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852E2" w:rsidRDefault="00484DD4" w:rsidP="00B74C37">
      <w:pPr>
        <w:spacing w:line="240" w:lineRule="auto"/>
        <w:jc w:val="center"/>
        <w:rPr>
          <w:b/>
          <w:sz w:val="30"/>
          <w:szCs w:val="30"/>
        </w:rPr>
      </w:pPr>
      <w:r>
        <w:rPr>
          <w:b/>
          <w:sz w:val="30"/>
          <w:szCs w:val="30"/>
        </w:rPr>
        <w:t>Civil Society Parallel Report on the</w:t>
      </w:r>
    </w:p>
    <w:p w14:paraId="00000002" w14:textId="77777777" w:rsidR="00D852E2" w:rsidRDefault="00484DD4" w:rsidP="00B74C37">
      <w:pPr>
        <w:spacing w:line="240" w:lineRule="auto"/>
        <w:jc w:val="center"/>
        <w:rPr>
          <w:b/>
          <w:sz w:val="30"/>
          <w:szCs w:val="30"/>
        </w:rPr>
      </w:pPr>
      <w:r>
        <w:rPr>
          <w:b/>
          <w:sz w:val="30"/>
          <w:szCs w:val="30"/>
        </w:rPr>
        <w:t xml:space="preserve">Fourth Report </w:t>
      </w:r>
    </w:p>
    <w:p w14:paraId="00000003" w14:textId="77777777" w:rsidR="00D852E2" w:rsidRDefault="00484DD4" w:rsidP="00B74C37">
      <w:pPr>
        <w:spacing w:line="240" w:lineRule="auto"/>
        <w:jc w:val="center"/>
        <w:rPr>
          <w:b/>
          <w:sz w:val="30"/>
          <w:szCs w:val="30"/>
        </w:rPr>
      </w:pPr>
      <w:r>
        <w:rPr>
          <w:b/>
          <w:sz w:val="30"/>
          <w:szCs w:val="30"/>
        </w:rPr>
        <w:t>on the Implementation of the</w:t>
      </w:r>
    </w:p>
    <w:p w14:paraId="00000004" w14:textId="77777777" w:rsidR="00D852E2" w:rsidRDefault="00484DD4" w:rsidP="00B74C37">
      <w:pPr>
        <w:spacing w:line="240" w:lineRule="auto"/>
        <w:jc w:val="center"/>
        <w:rPr>
          <w:b/>
          <w:sz w:val="30"/>
          <w:szCs w:val="30"/>
        </w:rPr>
      </w:pPr>
      <w:r>
        <w:rPr>
          <w:b/>
          <w:sz w:val="30"/>
          <w:szCs w:val="30"/>
        </w:rPr>
        <w:t xml:space="preserve"> International Covenant on Economic, Social and Cultural Rights</w:t>
      </w:r>
    </w:p>
    <w:p w14:paraId="00000005" w14:textId="77777777" w:rsidR="00D852E2" w:rsidRDefault="00484DD4" w:rsidP="00B74C37">
      <w:pPr>
        <w:spacing w:line="240" w:lineRule="auto"/>
        <w:jc w:val="center"/>
        <w:rPr>
          <w:b/>
          <w:sz w:val="30"/>
          <w:szCs w:val="30"/>
        </w:rPr>
      </w:pPr>
      <w:r>
        <w:rPr>
          <w:b/>
          <w:sz w:val="30"/>
          <w:szCs w:val="30"/>
        </w:rPr>
        <w:t xml:space="preserve">by the </w:t>
      </w:r>
    </w:p>
    <w:p w14:paraId="00000006" w14:textId="77777777" w:rsidR="00D852E2" w:rsidRDefault="00484DD4" w:rsidP="00B74C37">
      <w:pPr>
        <w:spacing w:line="240" w:lineRule="auto"/>
        <w:jc w:val="center"/>
        <w:rPr>
          <w:b/>
          <w:sz w:val="30"/>
          <w:szCs w:val="30"/>
        </w:rPr>
      </w:pPr>
      <w:r>
        <w:rPr>
          <w:b/>
          <w:sz w:val="30"/>
          <w:szCs w:val="30"/>
        </w:rPr>
        <w:t>Hong Kong Special Administrative Region of</w:t>
      </w:r>
    </w:p>
    <w:p w14:paraId="00000007" w14:textId="77777777" w:rsidR="00D852E2" w:rsidRDefault="00484DD4" w:rsidP="00B74C37">
      <w:pPr>
        <w:spacing w:line="240" w:lineRule="auto"/>
        <w:jc w:val="center"/>
        <w:rPr>
          <w:b/>
          <w:sz w:val="30"/>
          <w:szCs w:val="30"/>
        </w:rPr>
      </w:pPr>
      <w:r>
        <w:rPr>
          <w:b/>
          <w:sz w:val="30"/>
          <w:szCs w:val="30"/>
        </w:rPr>
        <w:t>the People’s Republic of China’s</w:t>
      </w:r>
    </w:p>
    <w:p w14:paraId="00000008" w14:textId="77777777" w:rsidR="00D852E2" w:rsidRDefault="00484DD4">
      <w:pPr>
        <w:jc w:val="center"/>
      </w:pPr>
      <w:r>
        <w:t>______________________</w:t>
      </w:r>
    </w:p>
    <w:p w14:paraId="00000009" w14:textId="77777777" w:rsidR="00D852E2" w:rsidRDefault="00484DD4" w:rsidP="00B74C37">
      <w:pPr>
        <w:spacing w:line="240" w:lineRule="auto"/>
        <w:jc w:val="center"/>
        <w:rPr>
          <w:i/>
          <w:sz w:val="28"/>
          <w:szCs w:val="28"/>
        </w:rPr>
      </w:pPr>
      <w:r>
        <w:rPr>
          <w:i/>
          <w:sz w:val="28"/>
          <w:szCs w:val="28"/>
        </w:rPr>
        <w:t>Submitted to the</w:t>
      </w:r>
    </w:p>
    <w:p w14:paraId="0000000A" w14:textId="77777777" w:rsidR="00D852E2" w:rsidRDefault="00484DD4" w:rsidP="00B74C37">
      <w:pPr>
        <w:spacing w:line="240" w:lineRule="auto"/>
        <w:jc w:val="center"/>
        <w:rPr>
          <w:i/>
          <w:sz w:val="28"/>
          <w:szCs w:val="28"/>
        </w:rPr>
      </w:pPr>
      <w:r>
        <w:rPr>
          <w:i/>
          <w:sz w:val="28"/>
          <w:szCs w:val="28"/>
        </w:rPr>
        <w:t>UN Committee on Economic, Social and Cultural Rights</w:t>
      </w:r>
    </w:p>
    <w:p w14:paraId="24A2158E" w14:textId="77777777" w:rsidR="00A80D50" w:rsidRDefault="00484DD4" w:rsidP="009E21CF">
      <w:pPr>
        <w:spacing w:line="240" w:lineRule="auto"/>
        <w:jc w:val="center"/>
        <w:rPr>
          <w:i/>
          <w:sz w:val="28"/>
          <w:szCs w:val="28"/>
        </w:rPr>
      </w:pPr>
      <w:r>
        <w:rPr>
          <w:i/>
          <w:sz w:val="28"/>
          <w:szCs w:val="28"/>
        </w:rPr>
        <w:t xml:space="preserve">for consideration in </w:t>
      </w:r>
      <w:r w:rsidR="009E21CF">
        <w:rPr>
          <w:i/>
          <w:sz w:val="28"/>
          <w:szCs w:val="28"/>
        </w:rPr>
        <w:t xml:space="preserve">its review of Hong Kong Special Administrative Region’s Fourth Periodic Report </w:t>
      </w:r>
      <w:r w:rsidR="00A80D50">
        <w:rPr>
          <w:i/>
          <w:sz w:val="28"/>
          <w:szCs w:val="28"/>
        </w:rPr>
        <w:t>at the</w:t>
      </w:r>
    </w:p>
    <w:p w14:paraId="0000000B" w14:textId="35309A74" w:rsidR="009E21CF" w:rsidRDefault="00A80D50" w:rsidP="009E21CF">
      <w:pPr>
        <w:spacing w:line="240" w:lineRule="auto"/>
        <w:jc w:val="center"/>
        <w:rPr>
          <w:i/>
          <w:sz w:val="28"/>
          <w:szCs w:val="28"/>
        </w:rPr>
      </w:pPr>
      <w:r w:rsidRPr="00A80D50">
        <w:rPr>
          <w:i/>
          <w:sz w:val="28"/>
          <w:szCs w:val="28"/>
        </w:rPr>
        <w:t>73</w:t>
      </w:r>
      <w:r>
        <w:rPr>
          <w:i/>
          <w:sz w:val="28"/>
          <w:szCs w:val="28"/>
        </w:rPr>
        <w:t>rd</w:t>
      </w:r>
      <w:r w:rsidRPr="00A80D50">
        <w:rPr>
          <w:i/>
          <w:sz w:val="28"/>
          <w:szCs w:val="28"/>
        </w:rPr>
        <w:t xml:space="preserve"> Session (13 Feb 2023 - 03 Mar 2023) of the Committee</w:t>
      </w:r>
    </w:p>
    <w:p w14:paraId="031A6695" w14:textId="77777777" w:rsidR="009E21CF" w:rsidRPr="009E21CF" w:rsidRDefault="009E21CF" w:rsidP="009E21CF">
      <w:pPr>
        <w:spacing w:line="240" w:lineRule="auto"/>
        <w:jc w:val="center"/>
        <w:rPr>
          <w:i/>
          <w:sz w:val="28"/>
          <w:szCs w:val="28"/>
        </w:rPr>
      </w:pPr>
    </w:p>
    <w:p w14:paraId="0000000E" w14:textId="77777777" w:rsidR="00D852E2" w:rsidRPr="00B74C37" w:rsidRDefault="00484DD4">
      <w:pPr>
        <w:jc w:val="center"/>
        <w:rPr>
          <w:sz w:val="20"/>
          <w:szCs w:val="20"/>
        </w:rPr>
      </w:pPr>
      <w:r w:rsidRPr="00B74C37">
        <w:rPr>
          <w:sz w:val="20"/>
          <w:szCs w:val="20"/>
        </w:rPr>
        <w:t>Submitted by:</w:t>
      </w:r>
    </w:p>
    <w:p w14:paraId="0000000F" w14:textId="77777777" w:rsidR="00D852E2" w:rsidRPr="00435221" w:rsidRDefault="00484DD4">
      <w:pPr>
        <w:spacing w:line="240" w:lineRule="auto"/>
        <w:jc w:val="center"/>
        <w:rPr>
          <w:i/>
          <w:szCs w:val="24"/>
        </w:rPr>
      </w:pPr>
      <w:r w:rsidRPr="00435221">
        <w:rPr>
          <w:i/>
          <w:szCs w:val="24"/>
        </w:rPr>
        <w:t>International Human Rights Center</w:t>
      </w:r>
    </w:p>
    <w:p w14:paraId="4C5A0C05" w14:textId="0131C492" w:rsidR="008B540B" w:rsidRDefault="00484DD4" w:rsidP="008B540B">
      <w:pPr>
        <w:spacing w:line="240" w:lineRule="auto"/>
        <w:jc w:val="center"/>
        <w:rPr>
          <w:i/>
          <w:szCs w:val="24"/>
        </w:rPr>
      </w:pPr>
      <w:r w:rsidRPr="00435221">
        <w:rPr>
          <w:i/>
          <w:szCs w:val="24"/>
        </w:rPr>
        <w:t>Loyola Law School, Los Angeles</w:t>
      </w:r>
    </w:p>
    <w:p w14:paraId="2CF938F7" w14:textId="0C4B90CA" w:rsidR="008B540B" w:rsidRPr="008B540B" w:rsidRDefault="008B540B" w:rsidP="008B540B">
      <w:pPr>
        <w:spacing w:line="240" w:lineRule="auto"/>
        <w:jc w:val="center"/>
        <w:rPr>
          <w:i/>
          <w:szCs w:val="24"/>
        </w:rPr>
      </w:pPr>
      <w:r w:rsidRPr="00B74C37">
        <w:rPr>
          <w:noProof/>
          <w:sz w:val="20"/>
          <w:szCs w:val="20"/>
        </w:rPr>
        <w:drawing>
          <wp:anchor distT="0" distB="0" distL="114300" distR="114300" simplePos="0" relativeHeight="251659264" behindDoc="1" locked="0" layoutInCell="1" allowOverlap="1" wp14:anchorId="7CF58A05" wp14:editId="39ED690A">
            <wp:simplePos x="0" y="0"/>
            <wp:positionH relativeFrom="page">
              <wp:posOffset>2537460</wp:posOffset>
            </wp:positionH>
            <wp:positionV relativeFrom="page">
              <wp:posOffset>4543425</wp:posOffset>
            </wp:positionV>
            <wp:extent cx="2880995" cy="939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Pentagram RAID:LMU University Identity:Deliverables:Stationery Templates:Electronic Letterhead:LMU_UniversityLogo_Lockup_Fullname-LeftAligned_RGB-CrimsonBlue-FULL.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880995"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112479" w14:textId="20DAFDE9" w:rsidR="00B74C37" w:rsidRPr="00B74C37" w:rsidRDefault="00B74C37">
      <w:pPr>
        <w:spacing w:line="240" w:lineRule="auto"/>
        <w:jc w:val="center"/>
        <w:rPr>
          <w:i/>
          <w:sz w:val="20"/>
          <w:szCs w:val="20"/>
        </w:rPr>
      </w:pPr>
    </w:p>
    <w:p w14:paraId="1D6AE9F0" w14:textId="25E2A2D8" w:rsidR="00B74C37" w:rsidRPr="00B74C37" w:rsidRDefault="00B74C37">
      <w:pPr>
        <w:spacing w:line="240" w:lineRule="auto"/>
        <w:jc w:val="center"/>
        <w:rPr>
          <w:i/>
          <w:sz w:val="20"/>
          <w:szCs w:val="20"/>
        </w:rPr>
      </w:pPr>
    </w:p>
    <w:p w14:paraId="6C3CA643" w14:textId="5A76920C" w:rsidR="00B74C37" w:rsidRPr="00B74C37" w:rsidRDefault="00B74C37">
      <w:pPr>
        <w:spacing w:line="240" w:lineRule="auto"/>
        <w:jc w:val="center"/>
        <w:rPr>
          <w:i/>
          <w:sz w:val="20"/>
          <w:szCs w:val="20"/>
        </w:rPr>
      </w:pPr>
    </w:p>
    <w:p w14:paraId="59C6D8E7" w14:textId="3191A10F" w:rsidR="00B74C37" w:rsidRPr="00B74C37" w:rsidRDefault="00B74C37" w:rsidP="008B540B">
      <w:pPr>
        <w:spacing w:line="240" w:lineRule="auto"/>
        <w:ind w:firstLine="0"/>
        <w:rPr>
          <w:i/>
          <w:sz w:val="20"/>
          <w:szCs w:val="20"/>
        </w:rPr>
      </w:pPr>
    </w:p>
    <w:p w14:paraId="00000011" w14:textId="4CE3AB17" w:rsidR="00D852E2" w:rsidRPr="00B74C37" w:rsidRDefault="00D852E2" w:rsidP="00B74C37">
      <w:pPr>
        <w:spacing w:line="240" w:lineRule="auto"/>
        <w:ind w:firstLine="0"/>
        <w:rPr>
          <w:i/>
          <w:sz w:val="20"/>
          <w:szCs w:val="20"/>
        </w:rPr>
      </w:pPr>
    </w:p>
    <w:p w14:paraId="00000012" w14:textId="77777777" w:rsidR="00D852E2" w:rsidRPr="00B74C37" w:rsidRDefault="00484DD4">
      <w:pPr>
        <w:spacing w:line="240" w:lineRule="auto"/>
        <w:jc w:val="center"/>
        <w:rPr>
          <w:sz w:val="20"/>
          <w:szCs w:val="20"/>
        </w:rPr>
      </w:pPr>
      <w:r w:rsidRPr="00B74C37">
        <w:rPr>
          <w:sz w:val="20"/>
          <w:szCs w:val="20"/>
        </w:rPr>
        <w:t>919 Albany Street</w:t>
      </w:r>
    </w:p>
    <w:p w14:paraId="00000013" w14:textId="461A0252" w:rsidR="00D852E2" w:rsidRPr="00B74C37" w:rsidRDefault="00484DD4">
      <w:pPr>
        <w:spacing w:line="240" w:lineRule="auto"/>
        <w:jc w:val="center"/>
        <w:rPr>
          <w:sz w:val="20"/>
          <w:szCs w:val="20"/>
        </w:rPr>
      </w:pPr>
      <w:r w:rsidRPr="00B74C37">
        <w:rPr>
          <w:sz w:val="20"/>
          <w:szCs w:val="20"/>
        </w:rPr>
        <w:t>90015, Los Angeles, CA</w:t>
      </w:r>
    </w:p>
    <w:p w14:paraId="00000014" w14:textId="2DD0F163" w:rsidR="00D852E2" w:rsidRPr="00B74C37" w:rsidRDefault="00484DD4">
      <w:pPr>
        <w:spacing w:line="240" w:lineRule="auto"/>
        <w:jc w:val="center"/>
        <w:rPr>
          <w:sz w:val="20"/>
          <w:szCs w:val="20"/>
        </w:rPr>
      </w:pPr>
      <w:r w:rsidRPr="00B74C37">
        <w:rPr>
          <w:sz w:val="20"/>
          <w:szCs w:val="20"/>
        </w:rPr>
        <w:t>United States of America</w:t>
      </w:r>
    </w:p>
    <w:p w14:paraId="00000015" w14:textId="08EA4A67" w:rsidR="00D852E2" w:rsidRPr="00B74C37" w:rsidRDefault="00484DD4">
      <w:pPr>
        <w:spacing w:line="240" w:lineRule="auto"/>
        <w:jc w:val="center"/>
        <w:rPr>
          <w:sz w:val="20"/>
          <w:szCs w:val="20"/>
        </w:rPr>
      </w:pPr>
      <w:r w:rsidRPr="00B74C37">
        <w:rPr>
          <w:sz w:val="20"/>
          <w:szCs w:val="20"/>
        </w:rPr>
        <w:t>Contact: Prof. Cesare Romano</w:t>
      </w:r>
    </w:p>
    <w:p w14:paraId="00000016" w14:textId="77777777" w:rsidR="00D852E2" w:rsidRPr="00B74C37" w:rsidRDefault="00D95851">
      <w:pPr>
        <w:spacing w:line="240" w:lineRule="auto"/>
        <w:jc w:val="center"/>
        <w:rPr>
          <w:sz w:val="20"/>
          <w:szCs w:val="20"/>
          <w:u w:val="single"/>
        </w:rPr>
      </w:pPr>
      <w:hyperlink r:id="rId13">
        <w:r w:rsidR="00484DD4" w:rsidRPr="00B74C37">
          <w:rPr>
            <w:color w:val="0563C1"/>
            <w:sz w:val="20"/>
            <w:szCs w:val="20"/>
            <w:u w:val="single"/>
          </w:rPr>
          <w:t>cesare.romano@lls.edu</w:t>
        </w:r>
      </w:hyperlink>
    </w:p>
    <w:p w14:paraId="00000017" w14:textId="77777777" w:rsidR="00D852E2" w:rsidRPr="00B74C37" w:rsidRDefault="00D852E2">
      <w:pPr>
        <w:spacing w:line="240" w:lineRule="auto"/>
        <w:jc w:val="center"/>
        <w:rPr>
          <w:sz w:val="20"/>
          <w:szCs w:val="20"/>
          <w:u w:val="single"/>
        </w:rPr>
      </w:pPr>
    </w:p>
    <w:p w14:paraId="00000019" w14:textId="61F58BD6" w:rsidR="00D852E2" w:rsidRDefault="00484DD4" w:rsidP="00B74C37">
      <w:pPr>
        <w:spacing w:line="240" w:lineRule="auto"/>
        <w:jc w:val="center"/>
        <w:rPr>
          <w:sz w:val="20"/>
          <w:szCs w:val="20"/>
        </w:rPr>
      </w:pPr>
      <w:r w:rsidRPr="00B74C37">
        <w:rPr>
          <w:sz w:val="20"/>
          <w:szCs w:val="20"/>
        </w:rPr>
        <w:t>and</w:t>
      </w:r>
    </w:p>
    <w:p w14:paraId="24027E84" w14:textId="77777777" w:rsidR="00435221" w:rsidRPr="00B74C37" w:rsidRDefault="00435221" w:rsidP="00B74C37">
      <w:pPr>
        <w:spacing w:line="240" w:lineRule="auto"/>
        <w:jc w:val="center"/>
        <w:rPr>
          <w:sz w:val="20"/>
          <w:szCs w:val="20"/>
        </w:rPr>
      </w:pPr>
    </w:p>
    <w:p w14:paraId="570A4A17" w14:textId="6AC3D4C2" w:rsidR="00435221" w:rsidRDefault="00484DD4" w:rsidP="00435221">
      <w:pPr>
        <w:spacing w:line="240" w:lineRule="auto"/>
        <w:ind w:left="432" w:firstLine="0"/>
        <w:jc w:val="center"/>
        <w:rPr>
          <w:i/>
          <w:szCs w:val="24"/>
        </w:rPr>
      </w:pPr>
      <w:r w:rsidRPr="00435221">
        <w:rPr>
          <w:i/>
          <w:szCs w:val="24"/>
        </w:rPr>
        <w:t>Science for Democracy</w:t>
      </w:r>
    </w:p>
    <w:p w14:paraId="75C61062" w14:textId="77777777" w:rsidR="00435221" w:rsidRPr="00435221" w:rsidRDefault="00435221" w:rsidP="00435221">
      <w:pPr>
        <w:spacing w:line="240" w:lineRule="auto"/>
        <w:ind w:left="432" w:firstLine="0"/>
        <w:jc w:val="center"/>
        <w:rPr>
          <w:i/>
          <w:szCs w:val="24"/>
        </w:rPr>
      </w:pPr>
    </w:p>
    <w:p w14:paraId="5F650554" w14:textId="4D46A950" w:rsidR="00B74C37" w:rsidRDefault="00435221" w:rsidP="00B74C37">
      <w:pPr>
        <w:spacing w:line="240" w:lineRule="auto"/>
        <w:ind w:left="432" w:firstLine="0"/>
        <w:jc w:val="center"/>
        <w:rPr>
          <w:sz w:val="20"/>
          <w:szCs w:val="20"/>
        </w:rPr>
      </w:pPr>
      <w:r w:rsidRPr="00B74C37">
        <w:rPr>
          <w:noProof/>
          <w:sz w:val="20"/>
          <w:szCs w:val="20"/>
        </w:rPr>
        <w:drawing>
          <wp:inline distT="0" distB="0" distL="0" distR="0" wp14:anchorId="6432AF10" wp14:editId="0772D640">
            <wp:extent cx="1988820" cy="723900"/>
            <wp:effectExtent l="0" t="0" r="0" b="0"/>
            <wp:docPr id="3" name="Picture 3" descr="Science for Democracy (@ScFrD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ience for Democracy (@ScFrDy) | Twitter"/>
                    <pic:cNvPicPr>
                      <a:picLocks noChangeAspect="1" noChangeArrowheads="1"/>
                    </pic:cNvPicPr>
                  </pic:nvPicPr>
                  <pic:blipFill rotWithShape="1">
                    <a:blip r:embed="rId14">
                      <a:extLst>
                        <a:ext uri="{28A0092B-C50C-407E-A947-70E740481C1C}">
                          <a14:useLocalDpi xmlns:a14="http://schemas.microsoft.com/office/drawing/2010/main" val="0"/>
                        </a:ext>
                      </a:extLst>
                    </a:blip>
                    <a:srcRect t="29018" b="28571"/>
                    <a:stretch/>
                  </pic:blipFill>
                  <pic:spPr bwMode="auto">
                    <a:xfrm>
                      <a:off x="0" y="0"/>
                      <a:ext cx="1988820" cy="723900"/>
                    </a:xfrm>
                    <a:prstGeom prst="rect">
                      <a:avLst/>
                    </a:prstGeom>
                    <a:noFill/>
                    <a:ln>
                      <a:noFill/>
                    </a:ln>
                    <a:extLst>
                      <a:ext uri="{53640926-AAD7-44D8-BBD7-CCE9431645EC}">
                        <a14:shadowObscured xmlns:a14="http://schemas.microsoft.com/office/drawing/2010/main"/>
                      </a:ext>
                    </a:extLst>
                  </pic:spPr>
                </pic:pic>
              </a:graphicData>
            </a:graphic>
          </wp:inline>
        </w:drawing>
      </w:r>
    </w:p>
    <w:p w14:paraId="2ADA2E6B" w14:textId="77777777" w:rsidR="00435221" w:rsidRPr="00B74C37" w:rsidRDefault="00435221" w:rsidP="00B74C37">
      <w:pPr>
        <w:spacing w:line="240" w:lineRule="auto"/>
        <w:ind w:left="432" w:firstLine="0"/>
        <w:jc w:val="center"/>
        <w:rPr>
          <w:sz w:val="20"/>
          <w:szCs w:val="20"/>
        </w:rPr>
      </w:pPr>
    </w:p>
    <w:p w14:paraId="0000001C" w14:textId="77777777" w:rsidR="00D852E2" w:rsidRPr="00D95851" w:rsidRDefault="00484DD4">
      <w:pPr>
        <w:spacing w:line="240" w:lineRule="auto"/>
        <w:ind w:left="432" w:firstLine="0"/>
        <w:jc w:val="center"/>
        <w:rPr>
          <w:sz w:val="20"/>
          <w:szCs w:val="20"/>
          <w:lang w:val="en-GB"/>
        </w:rPr>
      </w:pPr>
      <w:r w:rsidRPr="00D95851">
        <w:rPr>
          <w:sz w:val="20"/>
          <w:szCs w:val="20"/>
          <w:lang w:val="en-GB"/>
        </w:rPr>
        <w:t>Rue d'Arlon, 53</w:t>
      </w:r>
    </w:p>
    <w:p w14:paraId="0000001D" w14:textId="77777777" w:rsidR="00D852E2" w:rsidRPr="00D95851" w:rsidRDefault="00484DD4">
      <w:pPr>
        <w:spacing w:line="240" w:lineRule="auto"/>
        <w:ind w:left="432" w:firstLine="0"/>
        <w:jc w:val="center"/>
        <w:rPr>
          <w:sz w:val="20"/>
          <w:szCs w:val="20"/>
          <w:lang w:val="en-GB"/>
        </w:rPr>
      </w:pPr>
      <w:r w:rsidRPr="00D95851">
        <w:rPr>
          <w:sz w:val="20"/>
          <w:szCs w:val="20"/>
          <w:lang w:val="en-GB"/>
        </w:rPr>
        <w:t>B-1040 Brussels</w:t>
      </w:r>
    </w:p>
    <w:p w14:paraId="0000001E" w14:textId="77777777" w:rsidR="00D852E2" w:rsidRPr="00D95851" w:rsidRDefault="00484DD4">
      <w:pPr>
        <w:spacing w:line="240" w:lineRule="auto"/>
        <w:ind w:left="432" w:firstLine="0"/>
        <w:jc w:val="center"/>
        <w:rPr>
          <w:sz w:val="20"/>
          <w:szCs w:val="20"/>
          <w:lang w:val="en-GB"/>
        </w:rPr>
      </w:pPr>
      <w:r w:rsidRPr="00D95851">
        <w:rPr>
          <w:sz w:val="20"/>
          <w:szCs w:val="20"/>
          <w:lang w:val="en-GB"/>
        </w:rPr>
        <w:t>Belgium</w:t>
      </w:r>
    </w:p>
    <w:p w14:paraId="0000001F" w14:textId="77777777" w:rsidR="00D852E2" w:rsidRPr="00D95851" w:rsidRDefault="00484DD4">
      <w:pPr>
        <w:spacing w:line="240" w:lineRule="auto"/>
        <w:ind w:left="432" w:firstLine="0"/>
        <w:jc w:val="center"/>
        <w:rPr>
          <w:sz w:val="20"/>
          <w:szCs w:val="20"/>
          <w:lang w:val="en-GB"/>
        </w:rPr>
      </w:pPr>
      <w:r w:rsidRPr="00D95851">
        <w:rPr>
          <w:sz w:val="20"/>
          <w:szCs w:val="20"/>
          <w:lang w:val="en-GB"/>
        </w:rPr>
        <w:t>Contact: Marco Perduca</w:t>
      </w:r>
    </w:p>
    <w:p w14:paraId="00000020" w14:textId="77777777" w:rsidR="00D852E2" w:rsidRPr="00D95851" w:rsidRDefault="00D95851">
      <w:pPr>
        <w:spacing w:line="240" w:lineRule="auto"/>
        <w:ind w:left="432" w:firstLine="0"/>
        <w:jc w:val="center"/>
        <w:rPr>
          <w:sz w:val="20"/>
          <w:szCs w:val="20"/>
          <w:lang w:val="en-GB"/>
        </w:rPr>
      </w:pPr>
      <w:r>
        <w:fldChar w:fldCharType="begin"/>
      </w:r>
      <w:r>
        <w:instrText xml:space="preserve"> HYPERLINK "mailto:info@sciencefordemocracy.org" \h </w:instrText>
      </w:r>
      <w:r>
        <w:fldChar w:fldCharType="separate"/>
      </w:r>
      <w:r w:rsidR="00484DD4" w:rsidRPr="00D95851">
        <w:rPr>
          <w:color w:val="0563C1"/>
          <w:sz w:val="20"/>
          <w:szCs w:val="20"/>
          <w:u w:val="single"/>
          <w:lang w:val="en-GB"/>
        </w:rPr>
        <w:t>info@sciencefordemocracy.org</w:t>
      </w:r>
      <w:r>
        <w:rPr>
          <w:color w:val="0563C1"/>
          <w:sz w:val="20"/>
          <w:szCs w:val="20"/>
          <w:u w:val="single"/>
          <w:lang w:val="fr-CH"/>
        </w:rPr>
        <w:fldChar w:fldCharType="end"/>
      </w:r>
    </w:p>
    <w:p w14:paraId="00000021" w14:textId="77777777" w:rsidR="00D852E2" w:rsidRDefault="00484DD4" w:rsidP="00061D57">
      <w:pPr>
        <w:pStyle w:val="Heading1"/>
        <w:spacing w:line="336" w:lineRule="auto"/>
      </w:pPr>
      <w:bookmarkStart w:id="0" w:name="_heading=h.gjdgxs" w:colFirst="0" w:colLast="0"/>
      <w:bookmarkEnd w:id="0"/>
      <w:r>
        <w:lastRenderedPageBreak/>
        <w:t>I) PURPOSE OF THIS REPORT</w:t>
      </w:r>
    </w:p>
    <w:p w14:paraId="00000022" w14:textId="64F77FAB" w:rsidR="00342666" w:rsidRDefault="00484DD4" w:rsidP="00061D57">
      <w:pPr>
        <w:spacing w:line="336" w:lineRule="auto"/>
      </w:pPr>
      <w:r w:rsidRPr="00F52A71">
        <w:rPr>
          <w:b/>
          <w:bCs/>
        </w:rPr>
        <w:t>1</w:t>
      </w:r>
      <w:r w:rsidR="00F52A71" w:rsidRPr="00F52A71">
        <w:rPr>
          <w:b/>
          <w:bCs/>
        </w:rPr>
        <w:t>.</w:t>
      </w:r>
      <w:r>
        <w:t xml:space="preserve"> The purpose of this report is to assist the Committee on Economic, Social and Cultural Rights in </w:t>
      </w:r>
      <w:r w:rsidR="009E21CF">
        <w:t xml:space="preserve">its discussion and consideration </w:t>
      </w:r>
      <w:r>
        <w:t>of the Fourth Periodic Report of the Hong Kong Special Administrative Region (HKSAR) of the People’s Republic of China (PRC or China)</w:t>
      </w:r>
      <w:r w:rsidR="00342666">
        <w:rPr>
          <w:color w:val="000000"/>
          <w:sz w:val="22"/>
          <w:vertAlign w:val="superscript"/>
        </w:rPr>
        <w:footnoteReference w:id="1"/>
      </w:r>
      <w:r w:rsidR="00342666">
        <w:t xml:space="preserve"> on its implementation of the International Covenant on Economic, Social and Cultural Rights (</w:t>
      </w:r>
      <w:r w:rsidR="00A73D64">
        <w:t>I</w:t>
      </w:r>
      <w:r w:rsidR="00342666">
        <w:t>CESCR or Covenant).</w:t>
      </w:r>
    </w:p>
    <w:p w14:paraId="00000023" w14:textId="3F4BCF9D" w:rsidR="00342666" w:rsidRDefault="00342666" w:rsidP="00061D57">
      <w:pPr>
        <w:spacing w:line="336" w:lineRule="auto"/>
      </w:pPr>
      <w:r w:rsidRPr="00F52A71">
        <w:rPr>
          <w:b/>
          <w:bCs/>
        </w:rPr>
        <w:t>2</w:t>
      </w:r>
      <w:r w:rsidR="00F52A71" w:rsidRPr="00F52A71">
        <w:rPr>
          <w:b/>
          <w:bCs/>
        </w:rPr>
        <w:t>.</w:t>
      </w:r>
      <w:r>
        <w:t xml:space="preserve"> The PRC ratified the Covenant on 27 March 2001.</w:t>
      </w:r>
      <w:r>
        <w:rPr>
          <w:color w:val="000000"/>
          <w:sz w:val="22"/>
          <w:vertAlign w:val="superscript"/>
        </w:rPr>
        <w:footnoteReference w:id="2"/>
      </w:r>
      <w:r>
        <w:t xml:space="preserve"> Upon ratification of the Covenant, the PRC declared: “… the International Covenant on Economic, Social and Cultural Rights shall be applicable to the Hong Kong Special Administrative Region of the People's Republic of China </w:t>
      </w:r>
      <w:r w:rsidR="00C32ABA">
        <w:t>… and</w:t>
      </w:r>
      <w:r>
        <w:t xml:space="preserve"> shall, pursuant to the provisions of the Basic Law of the Hong Kong Special Administrative Region of the People's Republic of China … be implemented through the respective law of the … special administrative region.”</w:t>
      </w:r>
      <w:r>
        <w:rPr>
          <w:color w:val="000000"/>
          <w:sz w:val="22"/>
          <w:vertAlign w:val="superscript"/>
        </w:rPr>
        <w:footnoteReference w:id="3"/>
      </w:r>
    </w:p>
    <w:p w14:paraId="00000024" w14:textId="2EB0E784" w:rsidR="00342666" w:rsidRDefault="00342666" w:rsidP="00061D57">
      <w:pPr>
        <w:spacing w:line="336" w:lineRule="auto"/>
      </w:pPr>
      <w:r w:rsidRPr="00F52A71">
        <w:rPr>
          <w:b/>
          <w:bCs/>
        </w:rPr>
        <w:t>3</w:t>
      </w:r>
      <w:r w:rsidR="00F52A71" w:rsidRPr="00F52A71">
        <w:rPr>
          <w:b/>
          <w:bCs/>
        </w:rPr>
        <w:t>.</w:t>
      </w:r>
      <w:r>
        <w:t xml:space="preserve"> This report focuses on the</w:t>
      </w:r>
      <w:r>
        <w:rPr>
          <w:i/>
        </w:rPr>
        <w:t xml:space="preserve"> Law of the People’s Republic of China on Safeguarding National Security in the Hong Kong Special Administrative Region </w:t>
      </w:r>
      <w:r>
        <w:t>(National Security Law),</w:t>
      </w:r>
      <w:r>
        <w:rPr>
          <w:color w:val="000000"/>
          <w:sz w:val="22"/>
          <w:vertAlign w:val="superscript"/>
        </w:rPr>
        <w:footnoteReference w:id="4"/>
      </w:r>
      <w:r>
        <w:t xml:space="preserve"> and how some of its provisions pose serious risks to academic freedom protected by articles 13 and 15(1)(b), (2), (3) and (4) of the Covenant (</w:t>
      </w:r>
      <w:r w:rsidR="00D16CDB">
        <w:t xml:space="preserve">encompassing the </w:t>
      </w:r>
      <w:r>
        <w:t xml:space="preserve">right to education and the right to science). </w:t>
      </w:r>
      <w:r w:rsidR="002A350B">
        <w:t>Since the original submission of this report,</w:t>
      </w:r>
      <w:r w:rsidR="002A350B">
        <w:rPr>
          <w:rStyle w:val="FootnoteReference"/>
        </w:rPr>
        <w:footnoteReference w:id="5"/>
      </w:r>
      <w:r w:rsidR="00C605A6">
        <w:t xml:space="preserve"> the HKSAR has responded</w:t>
      </w:r>
      <w:r w:rsidR="00C605A6">
        <w:rPr>
          <w:rStyle w:val="FootnoteReference"/>
        </w:rPr>
        <w:footnoteReference w:id="6"/>
      </w:r>
      <w:r w:rsidR="002A68A8">
        <w:t xml:space="preserve"> to the list</w:t>
      </w:r>
      <w:r w:rsidR="00C32ABA">
        <w:t xml:space="preserve"> of issues prepared by Pre-S</w:t>
      </w:r>
      <w:r w:rsidR="00C605A6">
        <w:t>essional Working Group, specifically addressing issues related to academic freedom in the HKSAR.</w:t>
      </w:r>
      <w:r w:rsidR="00A02D4E">
        <w:rPr>
          <w:rStyle w:val="FootnoteReference"/>
        </w:rPr>
        <w:footnoteReference w:id="7"/>
      </w:r>
      <w:r w:rsidR="00C605A6">
        <w:t xml:space="preserve"> </w:t>
      </w:r>
      <w:r w:rsidR="00A02D4E">
        <w:t xml:space="preserve">This updated report seeks to address </w:t>
      </w:r>
      <w:r w:rsidR="002A68A8">
        <w:t xml:space="preserve">these responses as well as provide context for the actions taken by the HKSAR under the National Security Law since the List of Issues was drafted </w:t>
      </w:r>
      <w:r w:rsidR="002A68A8">
        <w:lastRenderedPageBreak/>
        <w:t>and highlight how the responses</w:t>
      </w:r>
      <w:r w:rsidR="003E2A85">
        <w:t xml:space="preserve"> of the HKSAR of the PRC</w:t>
      </w:r>
      <w:r w:rsidR="002A68A8">
        <w:t xml:space="preserve"> are insufficient to guarantee the protection of academic freedom under its obligations under the </w:t>
      </w:r>
      <w:r w:rsidR="00A73D64">
        <w:t>Covenant.</w:t>
      </w:r>
      <w:r w:rsidR="002A68A8">
        <w:t xml:space="preserve"> </w:t>
      </w:r>
    </w:p>
    <w:p w14:paraId="00000025" w14:textId="77777777" w:rsidR="00342666" w:rsidRDefault="00342666" w:rsidP="00061D57">
      <w:pPr>
        <w:pStyle w:val="Heading1"/>
        <w:spacing w:line="336" w:lineRule="auto"/>
      </w:pPr>
      <w:bookmarkStart w:id="1" w:name="_heading=h.30j0zll" w:colFirst="0" w:colLast="0"/>
      <w:bookmarkEnd w:id="1"/>
      <w:r>
        <w:t xml:space="preserve">II) ABOUT THE AUTHORS </w:t>
      </w:r>
    </w:p>
    <w:p w14:paraId="00000026" w14:textId="5557DD08" w:rsidR="00342666" w:rsidRDefault="00342666" w:rsidP="00061D57">
      <w:pPr>
        <w:spacing w:line="336" w:lineRule="auto"/>
      </w:pPr>
      <w:r w:rsidRPr="00F52A71">
        <w:rPr>
          <w:b/>
          <w:bCs/>
        </w:rPr>
        <w:t>4</w:t>
      </w:r>
      <w:r w:rsidR="00F52A71" w:rsidRPr="00F52A71">
        <w:rPr>
          <w:b/>
          <w:bCs/>
        </w:rPr>
        <w:t>.</w:t>
      </w:r>
      <w:r>
        <w:t xml:space="preserve"> This report has been prepared Justin Small, </w:t>
      </w:r>
      <w:r w:rsidR="007A3A26">
        <w:t>a human rights practitioner</w:t>
      </w:r>
      <w:r>
        <w:t>,</w:t>
      </w:r>
      <w:r w:rsidR="007A3A26">
        <w:t xml:space="preserve"> in collaboration with </w:t>
      </w:r>
      <w:r>
        <w:t xml:space="preserve">the International Human Rights International Human Rights Center of Loyola Law School, Los Angeles, under the supervision of Prof. Cesare Romano. </w:t>
      </w:r>
    </w:p>
    <w:p w14:paraId="00000027" w14:textId="4BF166DD" w:rsidR="00342666" w:rsidRDefault="00342666" w:rsidP="00061D57">
      <w:pPr>
        <w:spacing w:line="336" w:lineRule="auto"/>
      </w:pPr>
      <w:r w:rsidRPr="00F52A71">
        <w:rPr>
          <w:b/>
          <w:bCs/>
        </w:rPr>
        <w:t>5</w:t>
      </w:r>
      <w:r w:rsidR="00F52A71" w:rsidRPr="00F52A71">
        <w:rPr>
          <w:b/>
          <w:bCs/>
        </w:rPr>
        <w:t>.</w:t>
      </w:r>
      <w:r>
        <w:t xml:space="preserve"> 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Pr>
          <w:color w:val="000000"/>
          <w:sz w:val="22"/>
          <w:vertAlign w:val="superscript"/>
        </w:rPr>
        <w:footnoteReference w:id="8"/>
      </w:r>
      <w:r>
        <w:t xml:space="preserve"> Loyola Law School, Los Angeles is the school of law of Loyola Marymount University, a Jesuit university.</w:t>
      </w:r>
    </w:p>
    <w:p w14:paraId="00000028" w14:textId="410CC40E" w:rsidR="00342666" w:rsidRDefault="00342666" w:rsidP="00061D57">
      <w:pPr>
        <w:spacing w:line="336" w:lineRule="auto"/>
      </w:pPr>
      <w:r w:rsidRPr="00F52A71">
        <w:rPr>
          <w:b/>
          <w:bCs/>
        </w:rPr>
        <w:t>6</w:t>
      </w:r>
      <w:r w:rsidR="00F52A71" w:rsidRPr="00F52A71">
        <w:rPr>
          <w:b/>
          <w:bCs/>
        </w:rPr>
        <w:t>.</w:t>
      </w:r>
      <w:r>
        <w:t xml:space="preserve"> Science for Democracy is an international non-governmental organization, based in Brussels, Belgium.</w:t>
      </w:r>
      <w:r>
        <w:rPr>
          <w:rFonts w:ascii="Garamond" w:eastAsia="Garamond" w:hAnsi="Garamond" w:cs="Garamond"/>
          <w:vertAlign w:val="superscript"/>
        </w:rPr>
        <w:footnoteReference w:id="9"/>
      </w:r>
      <w:r>
        <w:t xml:space="preserve"> Its aim is to</w:t>
      </w:r>
      <w:r>
        <w:rPr>
          <w:highlight w:val="white"/>
        </w:rPr>
        <w:t xml:space="preserve"> promote the human right to benefit from progress in science and technology (the “right to science”) by fostering a dialogue between the scientific community and national and international decision-makers to urge States to fulfil their international human rights international obligations and to promote universally the right to science.</w:t>
      </w:r>
    </w:p>
    <w:p w14:paraId="00000029" w14:textId="1F0786D5" w:rsidR="00342666" w:rsidRDefault="00342666" w:rsidP="00061D57">
      <w:pPr>
        <w:pStyle w:val="Heading1"/>
        <w:spacing w:line="336" w:lineRule="auto"/>
      </w:pPr>
      <w:bookmarkStart w:id="2" w:name="_heading=h.1fob9te" w:colFirst="0" w:colLast="0"/>
      <w:bookmarkEnd w:id="2"/>
      <w:r>
        <w:t xml:space="preserve">III) </w:t>
      </w:r>
      <w:r w:rsidR="00770A45">
        <w:t>THE RIGHT TO ACADEMIC FREEDOM</w:t>
      </w:r>
    </w:p>
    <w:p w14:paraId="0000002B" w14:textId="631BE594" w:rsidR="00342666" w:rsidRDefault="00342666" w:rsidP="00061D57">
      <w:pPr>
        <w:spacing w:line="336" w:lineRule="auto"/>
      </w:pPr>
      <w:r w:rsidRPr="00F52A71">
        <w:rPr>
          <w:b/>
          <w:bCs/>
        </w:rPr>
        <w:t>7</w:t>
      </w:r>
      <w:r w:rsidR="00F52A71" w:rsidRPr="00F52A71">
        <w:rPr>
          <w:b/>
          <w:bCs/>
        </w:rPr>
        <w:t>.</w:t>
      </w:r>
      <w:r>
        <w:rPr>
          <w:color w:val="000000"/>
          <w:sz w:val="22"/>
        </w:rPr>
        <w:t xml:space="preserve"> </w:t>
      </w:r>
      <w:r>
        <w:t>Academic freedom underpins the right to education and the freedom of research within institutions of higher education. It is a philosophical and legal tenet that demands that members of academia be free to inquire, express, teach or communicate ideas or facts, including those that are inconvenient to authorities, without repercussions for themselves or the academic institutions to which they belong.</w:t>
      </w:r>
      <w:r>
        <w:rPr>
          <w:vertAlign w:val="superscript"/>
        </w:rPr>
        <w:footnoteReference w:id="10"/>
      </w:r>
      <w:r>
        <w:t xml:space="preserve"> Although “academic freedom” is not mentioned as such in the Covenant, </w:t>
      </w:r>
      <w:r>
        <w:lastRenderedPageBreak/>
        <w:t xml:space="preserve">there is no doubt that Articles 13 and 15 of the ICESCR, read together, “promote rights at the </w:t>
      </w:r>
      <w:proofErr w:type="spellStart"/>
      <w:r>
        <w:t>centre</w:t>
      </w:r>
      <w:proofErr w:type="spellEnd"/>
      <w:r>
        <w:t xml:space="preserve"> of academic freedom.”</w:t>
      </w:r>
      <w:r>
        <w:rPr>
          <w:vertAlign w:val="superscript"/>
        </w:rPr>
        <w:footnoteReference w:id="11"/>
      </w:r>
      <w:r>
        <w:t xml:space="preserve"> Indeed, the Committee’s own general comments on Article 13,</w:t>
      </w:r>
      <w:r>
        <w:rPr>
          <w:vertAlign w:val="superscript"/>
        </w:rPr>
        <w:footnoteReference w:id="12"/>
      </w:r>
      <w:r>
        <w:t xml:space="preserve"> and on Article 15(1)(b),(2),(3) and(4),</w:t>
      </w:r>
      <w:r>
        <w:rPr>
          <w:vertAlign w:val="superscript"/>
        </w:rPr>
        <w:footnoteReference w:id="13"/>
      </w:r>
      <w:r>
        <w:rPr>
          <w:vertAlign w:val="superscript"/>
        </w:rPr>
        <w:t xml:space="preserve"> </w:t>
      </w:r>
      <w:r>
        <w:t>make it clear that the Covenant protects academic freedom.</w:t>
      </w:r>
    </w:p>
    <w:p w14:paraId="0000002C" w14:textId="6DCD1A7C" w:rsidR="00342666" w:rsidRDefault="00342666" w:rsidP="00061D57">
      <w:pPr>
        <w:spacing w:line="336" w:lineRule="auto"/>
      </w:pPr>
      <w:r w:rsidRPr="00F52A71">
        <w:rPr>
          <w:b/>
          <w:bCs/>
        </w:rPr>
        <w:t>8</w:t>
      </w:r>
      <w:r w:rsidR="00F52A71" w:rsidRPr="00F52A71">
        <w:rPr>
          <w:b/>
          <w:bCs/>
        </w:rPr>
        <w:t>.</w:t>
      </w:r>
      <w:r>
        <w:t xml:space="preserve"> In General Comment No. 13 on the right to</w:t>
      </w:r>
      <w:r w:rsidR="00C32ABA">
        <w:t xml:space="preserve"> education, the Committee noted:</w:t>
      </w:r>
      <w:r>
        <w:t xml:space="preserve"> “Members of the academic community, individually or collectively, are free to pursue, develop and transmit knowledge and ideas, through research, teaching, study, discussion, documentation, production, </w:t>
      </w:r>
      <w:proofErr w:type="gramStart"/>
      <w:r>
        <w:t>creation</w:t>
      </w:r>
      <w:proofErr w:type="gramEnd"/>
      <w:r>
        <w:t xml:space="preserve"> or writing. Academic freedom includes the liberty of individuals to express freely opinions about the institution or system in which they work, to fulfil their functions without discrimination or fear of repression by the State or any other actor, to participate in professional or representative academic bodies, and to enjoy all the internationally recognized human rights applicable to other individuals in the same jurisdiction.</w:t>
      </w:r>
      <w:r w:rsidR="00F52A71">
        <w:t>”</w:t>
      </w:r>
      <w:r>
        <w:rPr>
          <w:vertAlign w:val="superscript"/>
        </w:rPr>
        <w:footnoteReference w:id="14"/>
      </w:r>
      <w:r>
        <w:t xml:space="preserve"> </w:t>
      </w:r>
    </w:p>
    <w:p w14:paraId="0000002D" w14:textId="36F8419A" w:rsidR="00342666" w:rsidRDefault="00342666" w:rsidP="00061D57">
      <w:pPr>
        <w:spacing w:line="336" w:lineRule="auto"/>
      </w:pPr>
      <w:r w:rsidRPr="00F52A71">
        <w:rPr>
          <w:b/>
          <w:bCs/>
        </w:rPr>
        <w:t>9</w:t>
      </w:r>
      <w:r w:rsidR="00F52A71" w:rsidRPr="00F52A71">
        <w:rPr>
          <w:b/>
          <w:bCs/>
        </w:rPr>
        <w:t>.</w:t>
      </w:r>
      <w:r>
        <w:t xml:space="preserve"> Academic freedom is both an individual and a collective right. Individually, it protects the scholar from interferences with her freedom of expression by the institutions that employ her, the government and third parties. As the European Court of Human Rights underlined in </w:t>
      </w:r>
      <w:proofErr w:type="spellStart"/>
      <w:r>
        <w:rPr>
          <w:i/>
        </w:rPr>
        <w:t>Sorguç</w:t>
      </w:r>
      <w:proofErr w:type="spellEnd"/>
      <w:r>
        <w:rPr>
          <w:i/>
        </w:rPr>
        <w:t xml:space="preserve"> v. Turkey</w:t>
      </w:r>
      <w:r>
        <w:t>, academic freedom guarantees academics the right to “express freely their opinion about the institution or system in which they work and freedom to distribute knowledge and truth without restriction.”</w:t>
      </w:r>
      <w:r>
        <w:rPr>
          <w:vertAlign w:val="superscript"/>
        </w:rPr>
        <w:footnoteReference w:id="15"/>
      </w:r>
      <w:r>
        <w:rPr>
          <w:vertAlign w:val="superscript"/>
        </w:rPr>
        <w:t xml:space="preserve"> </w:t>
      </w:r>
      <w:r>
        <w:t xml:space="preserve">The right extends to academics’ activities both within </w:t>
      </w:r>
      <w:r w:rsidR="002C0E92">
        <w:t xml:space="preserve">and outside </w:t>
      </w:r>
      <w:r>
        <w:t>their institutions because “all too often, academics are targeted for their public perception as sceptics and objective knowledge-seekers, especially when they engage in public debate.”</w:t>
      </w:r>
      <w:r>
        <w:rPr>
          <w:vertAlign w:val="superscript"/>
        </w:rPr>
        <w:footnoteReference w:id="16"/>
      </w:r>
    </w:p>
    <w:p w14:paraId="0000002E" w14:textId="26416698" w:rsidR="00342666" w:rsidRDefault="00342666" w:rsidP="00061D57">
      <w:pPr>
        <w:spacing w:line="336" w:lineRule="auto"/>
      </w:pPr>
      <w:r w:rsidRPr="00997359">
        <w:rPr>
          <w:b/>
          <w:bCs/>
        </w:rPr>
        <w:t>10</w:t>
      </w:r>
      <w:r w:rsidR="00997359" w:rsidRPr="00997359">
        <w:rPr>
          <w:b/>
          <w:bCs/>
        </w:rPr>
        <w:t>.</w:t>
      </w:r>
      <w:r>
        <w:t xml:space="preserve"> Collectively, academic freedom protects academic institutions from encroachment by the government and private actors. As the United Nations Educational, Scientific and Cultural </w:t>
      </w:r>
      <w:r>
        <w:lastRenderedPageBreak/>
        <w:t>Organization’s (UNESCO) Recommendation Concerning the Status of Higher-Education Teaching Personnel noted: “[s]elf-governance, collegiality and appropriate academic leadership are essential components of meaningful autonomy for institutions of higher education.”</w:t>
      </w:r>
      <w:r>
        <w:rPr>
          <w:vertAlign w:val="superscript"/>
        </w:rPr>
        <w:footnoteReference w:id="17"/>
      </w:r>
      <w:r>
        <w:t xml:space="preserve"> The autonomy of </w:t>
      </w:r>
      <w:r w:rsidR="009B6463">
        <w:t>these</w:t>
      </w:r>
      <w:r>
        <w:t xml:space="preserve"> institutions is a “precondition to guarantee the proper fulfillment of the functions entrusted to higher-education teaching personnel and institutions.”</w:t>
      </w:r>
      <w:r>
        <w:rPr>
          <w:vertAlign w:val="superscript"/>
        </w:rPr>
        <w:footnoteReference w:id="18"/>
      </w:r>
      <w:r>
        <w:t xml:space="preserve"> As the Committee </w:t>
      </w:r>
      <w:r w:rsidR="009B6463">
        <w:t xml:space="preserve">has </w:t>
      </w:r>
      <w:r>
        <w:t>stressed, academic freedom necessarily “requires the autonomy of higher institutions,”</w:t>
      </w:r>
      <w:r>
        <w:rPr>
          <w:vertAlign w:val="superscript"/>
        </w:rPr>
        <w:footnoteReference w:id="19"/>
      </w:r>
      <w:r>
        <w:t xml:space="preserve"> and autonomy is defined as the “degree of self-governance necessary for effective decision-making ... in relation to their [the institution’s] academic work, standards, management and related activities.”</w:t>
      </w:r>
      <w:r>
        <w:rPr>
          <w:vertAlign w:val="superscript"/>
        </w:rPr>
        <w:footnoteReference w:id="20"/>
      </w:r>
      <w:r>
        <w:rPr>
          <w:vertAlign w:val="superscript"/>
        </w:rPr>
        <w:t xml:space="preserve"> </w:t>
      </w:r>
      <w:r>
        <w:t>The “[e]</w:t>
      </w:r>
      <w:proofErr w:type="spellStart"/>
      <w:r>
        <w:t>xternal</w:t>
      </w:r>
      <w:proofErr w:type="spellEnd"/>
      <w:r>
        <w:t xml:space="preserve"> interference in the selection, appointment, and dismissal of leadership and professors”</w:t>
      </w:r>
      <w:r>
        <w:rPr>
          <w:vertAlign w:val="superscript"/>
        </w:rPr>
        <w:footnoteReference w:id="21"/>
      </w:r>
      <w:r>
        <w:rPr>
          <w:vertAlign w:val="superscript"/>
        </w:rPr>
        <w:t xml:space="preserve"> </w:t>
      </w:r>
      <w:r>
        <w:t>is one example of how the collective and individual right to academic freedom m</w:t>
      </w:r>
      <w:r w:rsidR="00AA55A4">
        <w:t>ay</w:t>
      </w:r>
      <w:r>
        <w:t xml:space="preserve"> be encroached. </w:t>
      </w:r>
    </w:p>
    <w:p w14:paraId="460BB80E" w14:textId="27ECEF67" w:rsidR="009F5510" w:rsidRPr="00770A45" w:rsidRDefault="00342666" w:rsidP="00770A45">
      <w:pPr>
        <w:spacing w:line="336" w:lineRule="auto"/>
        <w:rPr>
          <w:vertAlign w:val="superscript"/>
        </w:rPr>
      </w:pPr>
      <w:r w:rsidRPr="00997359">
        <w:rPr>
          <w:b/>
          <w:bCs/>
        </w:rPr>
        <w:t>11</w:t>
      </w:r>
      <w:r w:rsidR="00997359" w:rsidRPr="00997359">
        <w:rPr>
          <w:b/>
          <w:bCs/>
        </w:rPr>
        <w:t>.</w:t>
      </w:r>
      <w:r>
        <w:t xml:space="preserve"> Finally, ac</w:t>
      </w:r>
      <w:r w:rsidR="00C32ABA">
        <w:t>ademic freedom imposes obligations on State</w:t>
      </w:r>
      <w:r>
        <w:t xml:space="preserve"> </w:t>
      </w:r>
      <w:r w:rsidR="00C32ABA">
        <w:t>Parties</w:t>
      </w:r>
      <w:r>
        <w:t xml:space="preserve">, such as the duty to ensure the </w:t>
      </w:r>
      <w:r w:rsidR="00AA55A4">
        <w:t>“</w:t>
      </w:r>
      <w:r>
        <w:t>respect the academic freedom of others, the fair discussion of contrary views, and the treatment of everyone without discrimination on any of the prohibited grounds.”</w:t>
      </w:r>
      <w:r>
        <w:rPr>
          <w:vertAlign w:val="superscript"/>
        </w:rPr>
        <w:footnoteReference w:id="22"/>
      </w:r>
      <w:r>
        <w:rPr>
          <w:vertAlign w:val="superscript"/>
        </w:rPr>
        <w:t xml:space="preserve"> </w:t>
      </w:r>
      <w:r>
        <w:t>It also confers on the State positive obligations, such as the duty to foster an enabling environment that ensures protection of academic freedom.</w:t>
      </w:r>
      <w:r>
        <w:rPr>
          <w:vertAlign w:val="superscript"/>
        </w:rPr>
        <w:footnoteReference w:id="23"/>
      </w:r>
      <w:r>
        <w:rPr>
          <w:vertAlign w:val="superscript"/>
        </w:rPr>
        <w:t xml:space="preserve"> </w:t>
      </w:r>
    </w:p>
    <w:p w14:paraId="00000037" w14:textId="5D10354A" w:rsidR="00342666" w:rsidRDefault="00342666" w:rsidP="00955A69">
      <w:pPr>
        <w:pStyle w:val="Heading1"/>
        <w:spacing w:line="336" w:lineRule="auto"/>
        <w:ind w:left="432" w:firstLine="0"/>
      </w:pPr>
      <w:r>
        <w:t>IV) THE HKSAR NATIONAL SECURITY LAW</w:t>
      </w:r>
      <w:r w:rsidR="00382FF3">
        <w:t>’S</w:t>
      </w:r>
      <w:r w:rsidR="00955A69">
        <w:t xml:space="preserve"> IMPACT ON ACADAMIC FREEDOM</w:t>
      </w:r>
    </w:p>
    <w:p w14:paraId="70AD6FB0" w14:textId="748FA276" w:rsidR="009A1D9C" w:rsidRPr="0016621A" w:rsidRDefault="009A1D9C" w:rsidP="009A1D9C">
      <w:r>
        <w:rPr>
          <w:b/>
          <w:bCs/>
        </w:rPr>
        <w:t xml:space="preserve">12. </w:t>
      </w:r>
      <w:r w:rsidR="0016621A">
        <w:t xml:space="preserve">As noted in </w:t>
      </w:r>
      <w:r w:rsidR="00C32ABA">
        <w:t>the authors</w:t>
      </w:r>
      <w:r w:rsidR="0016621A">
        <w:t xml:space="preserve"> </w:t>
      </w:r>
      <w:r w:rsidR="00900E7E">
        <w:t xml:space="preserve">original </w:t>
      </w:r>
      <w:r w:rsidR="0016621A">
        <w:t>submission,</w:t>
      </w:r>
      <w:r w:rsidR="0016621A">
        <w:rPr>
          <w:rStyle w:val="FootnoteReference"/>
        </w:rPr>
        <w:footnoteReference w:id="24"/>
      </w:r>
      <w:r w:rsidR="0016621A">
        <w:t xml:space="preserve"> the HKSAR and the PRC have an unfortunate history of infringing on academic</w:t>
      </w:r>
      <w:r w:rsidR="00436906">
        <w:t>s’</w:t>
      </w:r>
      <w:r w:rsidR="0016621A">
        <w:t xml:space="preserve"> freedom of expression</w:t>
      </w:r>
      <w:r w:rsidR="00436906">
        <w:t xml:space="preserve">, including the prosecution </w:t>
      </w:r>
      <w:r w:rsidR="00436906">
        <w:lastRenderedPageBreak/>
        <w:t>and imprisonment of academics who voice ideas critical of the PRC</w:t>
      </w:r>
      <w:r w:rsidR="0016621A">
        <w:t>.</w:t>
      </w:r>
      <w:r w:rsidR="0016621A">
        <w:rPr>
          <w:rStyle w:val="FootnoteReference"/>
        </w:rPr>
        <w:footnoteReference w:id="25"/>
      </w:r>
      <w:r w:rsidR="0016621A">
        <w:t xml:space="preserve"> </w:t>
      </w:r>
      <w:r w:rsidR="00382FF3">
        <w:t>T</w:t>
      </w:r>
      <w:r w:rsidR="00436906">
        <w:t xml:space="preserve">he Global Public Police Institute, which </w:t>
      </w:r>
      <w:r w:rsidR="00382FF3">
        <w:t xml:space="preserve">publishes the </w:t>
      </w:r>
      <w:r w:rsidR="00436906">
        <w:t xml:space="preserve">Academic Freedom Index </w:t>
      </w:r>
      <w:r w:rsidR="00CE2BFE">
        <w:t>(AFI)</w:t>
      </w:r>
      <w:r w:rsidR="00382FF3">
        <w:t>, a dataset</w:t>
      </w:r>
      <w:r w:rsidR="00CE2BFE">
        <w:t xml:space="preserve"> </w:t>
      </w:r>
      <w:r w:rsidR="00900E7E">
        <w:t>measuring academic freedom around the world,</w:t>
      </w:r>
      <w:r w:rsidR="00CE2BFE">
        <w:t xml:space="preserve"> </w:t>
      </w:r>
      <w:r w:rsidR="00382FF3">
        <w:t xml:space="preserve">has found that from 2015-2020 </w:t>
      </w:r>
      <w:r w:rsidR="00CE2BFE">
        <w:t>the HKSAR</w:t>
      </w:r>
      <w:r w:rsidR="0091669A">
        <w:t xml:space="preserve"> </w:t>
      </w:r>
      <w:r w:rsidR="00382FF3">
        <w:t xml:space="preserve">has seen </w:t>
      </w:r>
      <w:r w:rsidR="00CE2BFE">
        <w:t>significant deterioration of academic freedom.</w:t>
      </w:r>
      <w:r w:rsidR="00CE2BFE">
        <w:rPr>
          <w:rStyle w:val="FootnoteReference"/>
        </w:rPr>
        <w:footnoteReference w:id="26"/>
      </w:r>
      <w:r w:rsidR="00D95BA5">
        <w:t xml:space="preserve"> </w:t>
      </w:r>
    </w:p>
    <w:p w14:paraId="00000038" w14:textId="5298DB14" w:rsidR="00342666" w:rsidRDefault="00D95BA5" w:rsidP="00061D57">
      <w:pPr>
        <w:spacing w:line="336" w:lineRule="auto"/>
      </w:pPr>
      <w:r>
        <w:rPr>
          <w:b/>
          <w:bCs/>
        </w:rPr>
        <w:t>13.</w:t>
      </w:r>
      <w:r w:rsidR="00342666">
        <w:t xml:space="preserve"> Against this backdrop of steady eroding academic freedom, on 28 May 2020, the National People’s Congress Standing Committee (Standing Committee) of the People’s Republic of China adopted the </w:t>
      </w:r>
      <w:r w:rsidR="00342666">
        <w:rPr>
          <w:i/>
        </w:rPr>
        <w:t>Law of the People’s Republic of China on Safeguarding National Security in the Hong Kong Special Administrative Region</w:t>
      </w:r>
      <w:r w:rsidR="00E1661D">
        <w:rPr>
          <w:i/>
        </w:rPr>
        <w:t xml:space="preserve"> </w:t>
      </w:r>
      <w:r w:rsidR="00E1661D">
        <w:t>(hereafter National Security Law)</w:t>
      </w:r>
      <w:r w:rsidR="00342666">
        <w:rPr>
          <w:i/>
        </w:rPr>
        <w:t>.</w:t>
      </w:r>
      <w:r w:rsidR="00342666">
        <w:rPr>
          <w:vertAlign w:val="superscript"/>
        </w:rPr>
        <w:footnoteReference w:id="27"/>
      </w:r>
      <w:r w:rsidR="00342666">
        <w:rPr>
          <w:i/>
        </w:rPr>
        <w:t xml:space="preserve"> </w:t>
      </w:r>
      <w:r w:rsidR="00342666">
        <w:t xml:space="preserve">The </w:t>
      </w:r>
      <w:r w:rsidR="00E1661D">
        <w:t>N</w:t>
      </w:r>
      <w:r w:rsidR="00342666">
        <w:t xml:space="preserve">ational </w:t>
      </w:r>
      <w:r w:rsidR="00E1661D">
        <w:t>S</w:t>
      </w:r>
      <w:r w:rsidR="00342666">
        <w:t>ecurity Law came into effect on 30 June 2020, an hour before the 23rd anniversary of the city’s handover to China from British rule.</w:t>
      </w:r>
      <w:r w:rsidR="00382FF3">
        <w:t xml:space="preserve"> </w:t>
      </w:r>
      <w:r w:rsidR="00342666">
        <w:t xml:space="preserve"> </w:t>
      </w:r>
    </w:p>
    <w:p w14:paraId="00000039" w14:textId="77777777" w:rsidR="00342666" w:rsidRDefault="00342666" w:rsidP="00061D57">
      <w:pPr>
        <w:pStyle w:val="Heading2"/>
        <w:spacing w:line="336" w:lineRule="auto"/>
        <w:rPr>
          <w:rFonts w:ascii="Times" w:eastAsia="Times" w:hAnsi="Times" w:cs="Times"/>
          <w:i/>
        </w:rPr>
      </w:pPr>
      <w:r>
        <w:t>A) Background of the HKSAR National Security Law</w:t>
      </w:r>
    </w:p>
    <w:p w14:paraId="0000003A" w14:textId="0761DB58" w:rsidR="00342666" w:rsidRDefault="00592AB7" w:rsidP="00061D57">
      <w:pPr>
        <w:spacing w:line="336" w:lineRule="auto"/>
      </w:pPr>
      <w:r>
        <w:rPr>
          <w:b/>
          <w:bCs/>
        </w:rPr>
        <w:t>14.</w:t>
      </w:r>
      <w:r w:rsidR="00342666">
        <w:t xml:space="preserve"> Article 23 of the Basic Law of the HKSAR</w:t>
      </w:r>
      <w:r w:rsidR="00342666">
        <w:rPr>
          <w:vertAlign w:val="superscript"/>
        </w:rPr>
        <w:footnoteReference w:id="28"/>
      </w:r>
      <w:r w:rsidR="00342666">
        <w:t xml:space="preserve"> (Basic Law), Hong Kong’s “Constitution”, provides: “The Hong Kong Special Administrative Region shall enact laws on its own to prohibit any act of treason, secession, sedition, subversion against the Central People’s Government, or theft of state secrets, to prohibit foreign political organizations or bodies from conducting political activities in the Region, and to prohibit political organizations or bodies of the Region from establishing ties with foreign political organizations or bodies.”</w:t>
      </w:r>
      <w:r w:rsidR="00342666">
        <w:rPr>
          <w:vertAlign w:val="superscript"/>
        </w:rPr>
        <w:footnoteReference w:id="29"/>
      </w:r>
    </w:p>
    <w:p w14:paraId="0000003B" w14:textId="27356185" w:rsidR="00342666" w:rsidRDefault="00592AB7" w:rsidP="00061D57">
      <w:pPr>
        <w:spacing w:line="336" w:lineRule="auto"/>
      </w:pPr>
      <w:r>
        <w:rPr>
          <w:b/>
          <w:bCs/>
        </w:rPr>
        <w:t>15.</w:t>
      </w:r>
      <w:r w:rsidR="00382FF3">
        <w:t xml:space="preserve"> The HKSAR’s previous</w:t>
      </w:r>
      <w:r w:rsidR="00342666">
        <w:t xml:space="preserve"> attempts to enact a national security law, </w:t>
      </w:r>
      <w:r w:rsidR="00382FF3">
        <w:t>pursuant to</w:t>
      </w:r>
      <w:r w:rsidR="00342666">
        <w:t xml:space="preserve"> Article 23, was met with public condemnation from the </w:t>
      </w:r>
      <w:r>
        <w:t xml:space="preserve">both the local and </w:t>
      </w:r>
      <w:r w:rsidR="00342666">
        <w:t xml:space="preserve">international community </w:t>
      </w:r>
      <w:r>
        <w:t>leading to</w:t>
      </w:r>
      <w:r w:rsidR="00342666">
        <w:t xml:space="preserve"> </w:t>
      </w:r>
      <w:r>
        <w:t>widespread</w:t>
      </w:r>
      <w:r w:rsidR="00382FF3">
        <w:t xml:space="preserve"> protest</w:t>
      </w:r>
      <w:r w:rsidR="00342666">
        <w:t>. In 2003, after 500,000 people protested, the HKSAR Legislative Council withdrew a national security bill,</w:t>
      </w:r>
      <w:r w:rsidR="00342666">
        <w:rPr>
          <w:vertAlign w:val="superscript"/>
        </w:rPr>
        <w:footnoteReference w:id="30"/>
      </w:r>
      <w:r w:rsidR="00342666">
        <w:t xml:space="preserve"> which was perceived as “a real threat to the rights and freedoms of the residents of Hong Kong, in particular, to their freedom of political expression and of seeking </w:t>
      </w:r>
      <w:r w:rsidR="00342666">
        <w:lastRenderedPageBreak/>
        <w:t>information through the media.”</w:t>
      </w:r>
      <w:r w:rsidR="00342666">
        <w:rPr>
          <w:vertAlign w:val="superscript"/>
        </w:rPr>
        <w:footnoteReference w:id="31"/>
      </w:r>
      <w:r w:rsidR="00342666">
        <w:rPr>
          <w:vertAlign w:val="superscript"/>
        </w:rPr>
        <w:t xml:space="preserve"> </w:t>
      </w:r>
      <w:r w:rsidR="00342666">
        <w:t xml:space="preserve">Subsequent attempts to amend the legislation were met with </w:t>
      </w:r>
      <w:r>
        <w:t>scrutiny,</w:t>
      </w:r>
      <w:r w:rsidR="00342666">
        <w:t xml:space="preserve"> perceived as threatening the delicate balance of the</w:t>
      </w:r>
      <w:r w:rsidR="00382FF3">
        <w:t xml:space="preserve"> paradox of</w:t>
      </w:r>
      <w:r w:rsidR="00342666">
        <w:t xml:space="preserve"> “one country, two systems.” In early 2019, Hong Kong’s Security Bureau proposed amendments to extradition laws that would allow extraditions </w:t>
      </w:r>
      <w:r w:rsidR="00382FF3">
        <w:t xml:space="preserve">of HKSAR residence </w:t>
      </w:r>
      <w:r w:rsidR="00342666">
        <w:t>to mainland China and other countries not covered by existing treaties, triggering a series of protests that rocked the HKSAR for much of 2019 and into 2020. University students sometimes accompanied by faculty, featured prominently in the</w:t>
      </w:r>
      <w:r>
        <w:t>se</w:t>
      </w:r>
      <w:r w:rsidR="00342666">
        <w:t xml:space="preserve"> protests.</w:t>
      </w:r>
      <w:r w:rsidR="00342666">
        <w:rPr>
          <w:vertAlign w:val="superscript"/>
        </w:rPr>
        <w:footnoteReference w:id="32"/>
      </w:r>
    </w:p>
    <w:p w14:paraId="0000003C" w14:textId="182D811E" w:rsidR="00342666" w:rsidRDefault="00955A69" w:rsidP="00061D57">
      <w:pPr>
        <w:spacing w:line="336" w:lineRule="auto"/>
      </w:pPr>
      <w:r>
        <w:rPr>
          <w:b/>
          <w:bCs/>
        </w:rPr>
        <w:t>16.</w:t>
      </w:r>
      <w:r w:rsidR="00342666">
        <w:t xml:space="preserve"> Frustrated with the ongoing unrest in </w:t>
      </w:r>
      <w:r w:rsidR="0091669A">
        <w:t>the HKSAR</w:t>
      </w:r>
      <w:r w:rsidR="00342666">
        <w:t>, the PRC Government moved to impose unilaterally a National Security Law on Hong Kong.</w:t>
      </w:r>
      <w:r w:rsidR="00342666">
        <w:rPr>
          <w:vertAlign w:val="superscript"/>
        </w:rPr>
        <w:footnoteReference w:id="33"/>
      </w:r>
      <w:r w:rsidR="00342666">
        <w:t xml:space="preserve"> On 30 June 2020, the National Security Law was incorporated in</w:t>
      </w:r>
      <w:r w:rsidR="00382FF3">
        <w:t>to</w:t>
      </w:r>
      <w:r w:rsidR="00342666">
        <w:t xml:space="preserve"> Annex III of Basic Law.</w:t>
      </w:r>
      <w:r w:rsidR="00342666">
        <w:rPr>
          <w:vertAlign w:val="superscript"/>
        </w:rPr>
        <w:footnoteReference w:id="34"/>
      </w:r>
      <w:r w:rsidR="00342666">
        <w:rPr>
          <w:vertAlign w:val="superscript"/>
        </w:rPr>
        <w:t xml:space="preserve"> </w:t>
      </w:r>
      <w:r w:rsidR="00342666">
        <w:t xml:space="preserve">In what appears to be a strategic decision, the law’s sixty-six articles were kept secret until after it was passed. The bill’s most alarming provisions introduce severe punishment, including life imprisonment, for acts of secession, subversion, </w:t>
      </w:r>
      <w:proofErr w:type="gramStart"/>
      <w:r w:rsidR="00342666">
        <w:t>terrorism</w:t>
      </w:r>
      <w:proofErr w:type="gramEnd"/>
      <w:r w:rsidR="00342666">
        <w:t xml:space="preserve"> and collusion with foreign or external forces, under the guise of “safeguarding national security; preventing, suppressing, organization and perpetration of terrorists activities, and collusion with a foreign country or with external elements to endanger national security in relation to the Hong Kong Special Administrative Region.”</w:t>
      </w:r>
      <w:r w:rsidR="00342666">
        <w:rPr>
          <w:vertAlign w:val="superscript"/>
        </w:rPr>
        <w:footnoteReference w:id="35"/>
      </w:r>
    </w:p>
    <w:p w14:paraId="0000003D" w14:textId="343456A2" w:rsidR="00342666" w:rsidRDefault="00955A69" w:rsidP="00061D57">
      <w:pPr>
        <w:spacing w:line="336" w:lineRule="auto"/>
      </w:pPr>
      <w:r>
        <w:rPr>
          <w:b/>
          <w:bCs/>
        </w:rPr>
        <w:t>17.</w:t>
      </w:r>
      <w:r w:rsidR="00342666">
        <w:t xml:space="preserve"> In addition to criminalizing a wide range of conduct, the National Security Law reduced </w:t>
      </w:r>
      <w:r w:rsidR="00382FF3">
        <w:t xml:space="preserve">the autonomy </w:t>
      </w:r>
      <w:r w:rsidR="008C60F5">
        <w:t>HKSAR’s</w:t>
      </w:r>
      <w:r w:rsidR="00382FF3">
        <w:t xml:space="preserve"> government from the PRC</w:t>
      </w:r>
      <w:r w:rsidR="00342666">
        <w:t xml:space="preserve">. The </w:t>
      </w:r>
      <w:r w:rsidR="00382FF3">
        <w:t>law applies</w:t>
      </w:r>
      <w:r w:rsidR="00342666">
        <w:t xml:space="preserve"> to both Hong Kong residents and non-permanent residents and people “from outside [Hong Kong] ... who are not permanent </w:t>
      </w:r>
      <w:r w:rsidR="00342666">
        <w:lastRenderedPageBreak/>
        <w:t>residents of Hong Kong.”</w:t>
      </w:r>
      <w:r w:rsidR="00342666">
        <w:rPr>
          <w:vertAlign w:val="superscript"/>
        </w:rPr>
        <w:footnoteReference w:id="36"/>
      </w:r>
      <w:r w:rsidR="00342666">
        <w:t xml:space="preserve"> Zhang </w:t>
      </w:r>
      <w:proofErr w:type="spellStart"/>
      <w:r w:rsidR="00342666">
        <w:t>Xioming</w:t>
      </w:r>
      <w:proofErr w:type="spellEnd"/>
      <w:r w:rsidR="00342666">
        <w:t>, Deputy Director of the Central Chinese Government Office for Hong Kong confirmed that the most serious violations of the National Security Law will be prosecuted in the mainland.</w:t>
      </w:r>
      <w:r w:rsidR="00342666">
        <w:rPr>
          <w:vertAlign w:val="superscript"/>
        </w:rPr>
        <w:footnoteReference w:id="37"/>
      </w:r>
    </w:p>
    <w:p w14:paraId="0000003E" w14:textId="0060CAE6" w:rsidR="00342666" w:rsidRDefault="00A73FC1" w:rsidP="00061D57">
      <w:pPr>
        <w:spacing w:line="336" w:lineRule="auto"/>
      </w:pPr>
      <w:r>
        <w:rPr>
          <w:b/>
          <w:bCs/>
        </w:rPr>
        <w:t>18.</w:t>
      </w:r>
      <w:r w:rsidR="00342666">
        <w:t xml:space="preserve"> Under Article 55 of the National Security Law, the PRC Government established a new security body in Hong Kong, called the “Office for Safeguarding National Security in Hong Kong” (the “Office”).</w:t>
      </w:r>
      <w:r w:rsidR="00342666">
        <w:rPr>
          <w:vertAlign w:val="superscript"/>
        </w:rPr>
        <w:footnoteReference w:id="38"/>
      </w:r>
      <w:r w:rsidR="00342666">
        <w:t xml:space="preserve"> The Office has the authority to investigate national security matters that are too complex due to foreign involvement or external forces, situations where the </w:t>
      </w:r>
      <w:r w:rsidR="00382FF3">
        <w:t>HKSAR</w:t>
      </w:r>
      <w:r w:rsidR="00342666">
        <w:t xml:space="preserve"> Government is unable to enforce the law, or major threats to national security.</w:t>
      </w:r>
      <w:r w:rsidR="00342666">
        <w:rPr>
          <w:vertAlign w:val="superscript"/>
        </w:rPr>
        <w:footnoteReference w:id="39"/>
      </w:r>
      <w:r w:rsidR="00342666">
        <w:rPr>
          <w:vertAlign w:val="superscript"/>
        </w:rPr>
        <w:t xml:space="preserve"> </w:t>
      </w:r>
      <w:r w:rsidR="00342666">
        <w:t>In addition, the Office may request Beijing’s permission to conduct investigations outside of the aforementioned contexts.</w:t>
      </w:r>
      <w:r w:rsidR="00342666">
        <w:rPr>
          <w:vertAlign w:val="superscript"/>
        </w:rPr>
        <w:footnoteReference w:id="40"/>
      </w:r>
      <w:r w:rsidR="00342666">
        <w:rPr>
          <w:vertAlign w:val="superscript"/>
        </w:rPr>
        <w:t xml:space="preserve"> </w:t>
      </w:r>
      <w:r w:rsidR="00342666">
        <w:t xml:space="preserve">The Office and its personnel are not within </w:t>
      </w:r>
      <w:r w:rsidR="00382FF3">
        <w:t xml:space="preserve">the </w:t>
      </w:r>
      <w:r w:rsidR="00342666">
        <w:t>jurisdiction</w:t>
      </w:r>
      <w:r w:rsidR="00382FF3">
        <w:t xml:space="preserve"> of the HKSAR</w:t>
      </w:r>
      <w:r w:rsidR="00342666">
        <w:t xml:space="preserve">, which means neither are subject to local laws. Effectively the Office maintains complete immunity from </w:t>
      </w:r>
      <w:r w:rsidR="00382FF3">
        <w:t>HKSAR</w:t>
      </w:r>
      <w:r w:rsidR="00342666">
        <w:t xml:space="preserve"> law.</w:t>
      </w:r>
      <w:r w:rsidR="00342666">
        <w:rPr>
          <w:vertAlign w:val="superscript"/>
        </w:rPr>
        <w:footnoteReference w:id="41"/>
      </w:r>
    </w:p>
    <w:p w14:paraId="0000003F" w14:textId="4A16EE86" w:rsidR="00342666" w:rsidRDefault="00A73FC1" w:rsidP="00061D57">
      <w:pPr>
        <w:spacing w:line="336" w:lineRule="auto"/>
      </w:pPr>
      <w:r>
        <w:rPr>
          <w:b/>
          <w:bCs/>
        </w:rPr>
        <w:t>19.</w:t>
      </w:r>
      <w:r w:rsidR="00342666">
        <w:t xml:space="preserve"> Pursuant to the National Security Law, </w:t>
      </w:r>
      <w:r w:rsidR="00382FF3">
        <w:t>the HKSAR</w:t>
      </w:r>
      <w:r w:rsidR="00342666">
        <w:t xml:space="preserve"> established its own national security commission (the Committee for Safeguarding National Security or the “Committee), “advised” by a delegate from the </w:t>
      </w:r>
      <w:r w:rsidR="00382FF3">
        <w:t>PRC’s</w:t>
      </w:r>
      <w:r w:rsidR="00342666">
        <w:t xml:space="preserve"> central government. The Committee has the authority to appoint law enforcement personnel and judges. The Committee is not required to disclose its work and its decisions are not reviewable by Hong Kong courts. Finally, the Hong Kong Police Force created a new national security division that can conduct surveillance without consulting judicial authority.</w:t>
      </w:r>
      <w:r w:rsidR="00342666">
        <w:rPr>
          <w:vertAlign w:val="superscript"/>
        </w:rPr>
        <w:footnoteReference w:id="42"/>
      </w:r>
    </w:p>
    <w:p w14:paraId="00000040" w14:textId="27F082EA" w:rsidR="00342666" w:rsidRDefault="00A73FC1" w:rsidP="00061D57">
      <w:pPr>
        <w:spacing w:line="336" w:lineRule="auto"/>
      </w:pPr>
      <w:r>
        <w:rPr>
          <w:b/>
          <w:bCs/>
        </w:rPr>
        <w:t>20.</w:t>
      </w:r>
      <w:r w:rsidR="00342666">
        <w:t xml:space="preserve"> Several observers have expressed concerns about the National Security Law’s compliance with both China’s and Hong Kong’s obligations under international law. The Chinese government must abide by the International Covenant on Civil and Political Rights (ICCPR), pursuant to the 1984 Sino-British Joint Declaration, which transferred control of the HKSAR from the United Kingdom to the PRC.</w:t>
      </w:r>
      <w:r w:rsidR="00342666">
        <w:rPr>
          <w:vertAlign w:val="superscript"/>
        </w:rPr>
        <w:footnoteReference w:id="43"/>
      </w:r>
      <w:r w:rsidR="00342666">
        <w:t xml:space="preserve"> Article 39 of the HKSAR Basic Law provides that the ICCPR shall remain </w:t>
      </w:r>
      <w:r w:rsidR="00342666">
        <w:lastRenderedPageBreak/>
        <w:t>in effect.</w:t>
      </w:r>
      <w:r w:rsidR="00342666">
        <w:rPr>
          <w:vertAlign w:val="superscript"/>
        </w:rPr>
        <w:footnoteReference w:id="44"/>
      </w:r>
      <w:r w:rsidR="00342666">
        <w:rPr>
          <w:vertAlign w:val="superscript"/>
        </w:rPr>
        <w:t xml:space="preserve"> </w:t>
      </w:r>
      <w:r w:rsidR="00342666">
        <w:t>The HKSAR Legislative Council implemented the rights enshrined in the ICCPR in the Hong Kong Bill of Rights Ordinance.</w:t>
      </w:r>
      <w:r w:rsidR="00342666">
        <w:rPr>
          <w:vertAlign w:val="superscript"/>
        </w:rPr>
        <w:footnoteReference w:id="45"/>
      </w:r>
      <w:r w:rsidR="00342666">
        <w:rPr>
          <w:vertAlign w:val="superscript"/>
        </w:rPr>
        <w:t xml:space="preserve"> </w:t>
      </w:r>
      <w:r w:rsidR="00342666">
        <w:t>However, Article 62 of the National Security Law states that it supersedes all Hong Kong local laws, such as the Bill of Rights Ordinance</w:t>
      </w:r>
      <w:r>
        <w:t>,</w:t>
      </w:r>
      <w:r w:rsidR="00342666">
        <w:rPr>
          <w:vertAlign w:val="superscript"/>
        </w:rPr>
        <w:footnoteReference w:id="46"/>
      </w:r>
      <w:r>
        <w:t xml:space="preserve"> </w:t>
      </w:r>
      <w:r w:rsidR="00DB56B9">
        <w:t>and</w:t>
      </w:r>
      <w:r>
        <w:t xml:space="preserve"> </w:t>
      </w:r>
      <w:r w:rsidR="00C631CE">
        <w:t>even Hong Kong</w:t>
      </w:r>
      <w:r>
        <w:t xml:space="preserve"> Basic </w:t>
      </w:r>
      <w:r w:rsidR="00E1661D">
        <w:t xml:space="preserve">Law, </w:t>
      </w:r>
      <w:r w:rsidR="00DB56B9">
        <w:t>as discussed in the next section</w:t>
      </w:r>
      <w:r>
        <w:t>.</w:t>
      </w:r>
      <w:r w:rsidR="00342666">
        <w:rPr>
          <w:vertAlign w:val="superscript"/>
        </w:rPr>
        <w:t xml:space="preserve"> </w:t>
      </w:r>
    </w:p>
    <w:p w14:paraId="00000042" w14:textId="52973B08" w:rsidR="00342666" w:rsidRDefault="00342666" w:rsidP="00061D57">
      <w:pPr>
        <w:pStyle w:val="Heading2"/>
        <w:spacing w:line="336" w:lineRule="auto"/>
      </w:pPr>
      <w:r>
        <w:t>B) How the HKSAR National Security Law Threatens Academic Freedom</w:t>
      </w:r>
    </w:p>
    <w:p w14:paraId="0D577206" w14:textId="5D464D5C" w:rsidR="00A73D64" w:rsidRDefault="00A73D64" w:rsidP="00A73D64">
      <w:pPr>
        <w:spacing w:line="336" w:lineRule="auto"/>
      </w:pPr>
      <w:r>
        <w:rPr>
          <w:b/>
          <w:bCs/>
        </w:rPr>
        <w:t>21.</w:t>
      </w:r>
      <w:r>
        <w:t xml:space="preserve"> Article 4 of the National Security Law promotes the protection and respect of human rights, including obligations under the ICESCR and ICCPR.</w:t>
      </w:r>
      <w:r>
        <w:rPr>
          <w:vertAlign w:val="superscript"/>
        </w:rPr>
        <w:footnoteReference w:id="47"/>
      </w:r>
      <w:r>
        <w:t xml:space="preserve"> </w:t>
      </w:r>
      <w:proofErr w:type="gramStart"/>
      <w:r w:rsidR="008D10F9">
        <w:t xml:space="preserve">However, </w:t>
      </w:r>
      <w:r>
        <w:t xml:space="preserve"> nowhere</w:t>
      </w:r>
      <w:proofErr w:type="gramEnd"/>
      <w:r>
        <w:t xml:space="preserve"> in the National Security Law is it explained how these obligations </w:t>
      </w:r>
      <w:r w:rsidR="00DB56B9">
        <w:t xml:space="preserve">are actually </w:t>
      </w:r>
      <w:r>
        <w:t xml:space="preserve">protected. </w:t>
      </w:r>
    </w:p>
    <w:p w14:paraId="6EBDF9EA" w14:textId="61A008BD" w:rsidR="00A73D64" w:rsidRDefault="00A73D64" w:rsidP="00A73D64">
      <w:pPr>
        <w:spacing w:line="336" w:lineRule="auto"/>
      </w:pPr>
      <w:r>
        <w:rPr>
          <w:b/>
          <w:bCs/>
        </w:rPr>
        <w:t>22.</w:t>
      </w:r>
      <w:r>
        <w:t xml:space="preserve"> Article 9 of the National Security Law empowers the HKSAR Government to carry out the “supervision and regulation over matters concerning national security, including, those relating to schools, [and] universities.”</w:t>
      </w:r>
      <w:r>
        <w:rPr>
          <w:vertAlign w:val="superscript"/>
        </w:rPr>
        <w:footnoteReference w:id="48"/>
      </w:r>
      <w:r>
        <w:t xml:space="preserve"> The broad authorization implied by the term “necessary measures”, complemented by the equally broad definitions of “secession, subversion, organization and preparation of terrorists activities” found in Articles 20-30 of the National Security Law,</w:t>
      </w:r>
      <w:r>
        <w:rPr>
          <w:vertAlign w:val="superscript"/>
        </w:rPr>
        <w:footnoteReference w:id="49"/>
      </w:r>
      <w:r>
        <w:rPr>
          <w:vertAlign w:val="superscript"/>
        </w:rPr>
        <w:t xml:space="preserve"> </w:t>
      </w:r>
      <w:r>
        <w:t xml:space="preserve">make it so that almost any measure can be justified as protecting national security. </w:t>
      </w:r>
    </w:p>
    <w:p w14:paraId="09296685" w14:textId="0D7151F3" w:rsidR="00A73D64" w:rsidRDefault="00A73D64" w:rsidP="00A73D64">
      <w:pPr>
        <w:spacing w:line="336" w:lineRule="auto"/>
      </w:pPr>
      <w:r>
        <w:rPr>
          <w:b/>
          <w:bCs/>
        </w:rPr>
        <w:t>23.</w:t>
      </w:r>
      <w:r>
        <w:t xml:space="preserve"> Article 10 clarifies what the goal of supervision and regulation is: the HKSAR “shall promote national security education in schools and universities through social </w:t>
      </w:r>
      <w:proofErr w:type="spellStart"/>
      <w:r>
        <w:t>organisations</w:t>
      </w:r>
      <w:proofErr w:type="spellEnd"/>
      <w:r>
        <w:t>, the media, the internet and other means to raise awareness... of the obligation to abide by the law.”</w:t>
      </w:r>
      <w:r>
        <w:rPr>
          <w:vertAlign w:val="superscript"/>
        </w:rPr>
        <w:footnoteReference w:id="50"/>
      </w:r>
      <w:r>
        <w:rPr>
          <w:vertAlign w:val="superscript"/>
        </w:rPr>
        <w:t xml:space="preserve"> </w:t>
      </w:r>
      <w:r>
        <w:t xml:space="preserve">When read together, Articles 9 and 10 enables the PRC, through the HKSAR Government, to direct what and how material is taught at universities and penalizes and sanctions professors who do not comply. </w:t>
      </w:r>
    </w:p>
    <w:p w14:paraId="2975D386" w14:textId="27E165A4" w:rsidR="00A73D64" w:rsidRDefault="00A73D64" w:rsidP="00A73D64">
      <w:pPr>
        <w:spacing w:line="336" w:lineRule="auto"/>
      </w:pPr>
      <w:r>
        <w:rPr>
          <w:b/>
          <w:bCs/>
        </w:rPr>
        <w:t>2</w:t>
      </w:r>
      <w:r w:rsidR="00922376">
        <w:rPr>
          <w:b/>
          <w:bCs/>
        </w:rPr>
        <w:t>4</w:t>
      </w:r>
      <w:r>
        <w:rPr>
          <w:b/>
          <w:bCs/>
        </w:rPr>
        <w:t>.</w:t>
      </w:r>
      <w:r>
        <w:t xml:space="preserve"> Article 38 asserts that the law applies </w:t>
      </w:r>
      <w:r w:rsidR="00E1661D">
        <w:t xml:space="preserve">also </w:t>
      </w:r>
      <w:r>
        <w:t xml:space="preserve">to conduct that takes place outside of Hong Kong, to persons from outside the HKSAR and/or China, granting China extraterritorial </w:t>
      </w:r>
      <w:r>
        <w:lastRenderedPageBreak/>
        <w:t>jurisdiction.</w:t>
      </w:r>
      <w:r>
        <w:rPr>
          <w:vertAlign w:val="superscript"/>
        </w:rPr>
        <w:footnoteReference w:id="51"/>
      </w:r>
      <w:r>
        <w:t xml:space="preserve"> The extraterritorial reach of the HKSAR National Security Law is probably the most widely commented and controversial aspect of the law.</w:t>
      </w:r>
      <w:r>
        <w:rPr>
          <w:vertAlign w:val="superscript"/>
        </w:rPr>
        <w:footnoteReference w:id="52"/>
      </w:r>
      <w:r>
        <w:rPr>
          <w:vertAlign w:val="superscript"/>
        </w:rPr>
        <w:t xml:space="preserve"> </w:t>
      </w:r>
    </w:p>
    <w:p w14:paraId="284084E3" w14:textId="10CEC5E0" w:rsidR="00A73D64" w:rsidRDefault="00A73D64" w:rsidP="00A73D64">
      <w:pPr>
        <w:spacing w:line="336" w:lineRule="auto"/>
      </w:pPr>
      <w:r>
        <w:rPr>
          <w:b/>
          <w:bCs/>
        </w:rPr>
        <w:t>2</w:t>
      </w:r>
      <w:r w:rsidR="00922376">
        <w:rPr>
          <w:b/>
          <w:bCs/>
        </w:rPr>
        <w:t>5</w:t>
      </w:r>
      <w:r>
        <w:rPr>
          <w:b/>
          <w:bCs/>
        </w:rPr>
        <w:t xml:space="preserve">. </w:t>
      </w:r>
      <w:r>
        <w:t>Article 38 is hardly consistent with the obligations of Hong Kong and the PRC under the Covenant. Recalling State obligations under article 15(4) of the Covenant to “recognize the benefits derived from the encouragement and development of international contacts and co-operation in scientific and cultural fields</w:t>
      </w:r>
      <w:r w:rsidR="00E1661D">
        <w:t>,</w:t>
      </w:r>
      <w:r>
        <w:t>”</w:t>
      </w:r>
      <w:r>
        <w:rPr>
          <w:vertAlign w:val="superscript"/>
        </w:rPr>
        <w:footnoteReference w:id="53"/>
      </w:r>
      <w:r w:rsidR="00E1661D">
        <w:t xml:space="preserve"> </w:t>
      </w:r>
      <w:r>
        <w:rPr>
          <w:vertAlign w:val="superscript"/>
        </w:rPr>
        <w:t xml:space="preserve"> </w:t>
      </w:r>
      <w:r w:rsidR="00E1661D">
        <w:t>t</w:t>
      </w:r>
      <w:r>
        <w:t xml:space="preserve">he Committee has clarified this obligation includes “extraterritorial obligations </w:t>
      </w:r>
      <w:proofErr w:type="gramStart"/>
      <w:r>
        <w:t>with regard to</w:t>
      </w:r>
      <w:proofErr w:type="gramEnd"/>
      <w:r>
        <w:t xml:space="preserve"> the full realization of the right to participate in and enjoy the benefits of scientific progress and its applications.”</w:t>
      </w:r>
      <w:r>
        <w:rPr>
          <w:vertAlign w:val="superscript"/>
        </w:rPr>
        <w:footnoteReference w:id="54"/>
      </w:r>
    </w:p>
    <w:p w14:paraId="652838FC" w14:textId="531F0040" w:rsidR="00922376" w:rsidRDefault="00922376" w:rsidP="00A73D64">
      <w:pPr>
        <w:spacing w:line="336" w:lineRule="auto"/>
      </w:pPr>
    </w:p>
    <w:p w14:paraId="675975E2" w14:textId="07096E8A" w:rsidR="00922376" w:rsidRPr="00922376" w:rsidRDefault="00922376" w:rsidP="00A73D64">
      <w:pPr>
        <w:spacing w:line="336" w:lineRule="auto"/>
        <w:rPr>
          <w:u w:val="single"/>
        </w:rPr>
      </w:pPr>
      <w:r>
        <w:rPr>
          <w:u w:val="single"/>
        </w:rPr>
        <w:t>C) Updates on Academic Freedom Post-Implementation</w:t>
      </w:r>
    </w:p>
    <w:p w14:paraId="684FCBEF" w14:textId="77777777" w:rsidR="00922376" w:rsidRDefault="00922376" w:rsidP="00A73D64">
      <w:pPr>
        <w:spacing w:line="336" w:lineRule="auto"/>
      </w:pPr>
    </w:p>
    <w:p w14:paraId="0000004A" w14:textId="201409F9" w:rsidR="00342666" w:rsidRDefault="00A73FC1" w:rsidP="00A73FC1">
      <w:pPr>
        <w:spacing w:line="336" w:lineRule="auto"/>
      </w:pPr>
      <w:r>
        <w:rPr>
          <w:b/>
          <w:bCs/>
        </w:rPr>
        <w:t>2</w:t>
      </w:r>
      <w:r w:rsidR="00900E7E">
        <w:rPr>
          <w:b/>
          <w:bCs/>
        </w:rPr>
        <w:t>6</w:t>
      </w:r>
      <w:r>
        <w:rPr>
          <w:b/>
          <w:bCs/>
        </w:rPr>
        <w:t>.</w:t>
      </w:r>
      <w:r w:rsidR="00342666">
        <w:t xml:space="preserve"> </w:t>
      </w:r>
      <w:r w:rsidR="00A80EA7">
        <w:t>Our initial</w:t>
      </w:r>
      <w:r>
        <w:t xml:space="preserve"> report was drafted less than six months after the implementation of </w:t>
      </w:r>
      <w:r w:rsidR="006C63A8">
        <w:t>the national security</w:t>
      </w:r>
      <w:r w:rsidR="00DB56B9">
        <w:t xml:space="preserve"> law</w:t>
      </w:r>
      <w:r w:rsidR="00C631CE">
        <w:t xml:space="preserve">, which made it difficult to ascertain the full scope and impact of the law on academic freedom. At the time of </w:t>
      </w:r>
      <w:r w:rsidR="00A80EA7">
        <w:t>our</w:t>
      </w:r>
      <w:r w:rsidR="00DB56B9">
        <w:t xml:space="preserve"> submission</w:t>
      </w:r>
      <w:r w:rsidR="004F470D">
        <w:t xml:space="preserve">, </w:t>
      </w:r>
      <w:r w:rsidR="00C631CE">
        <w:t>recommendations</w:t>
      </w:r>
      <w:r w:rsidR="00DB56B9">
        <w:t xml:space="preserve"> were made</w:t>
      </w:r>
      <w:r w:rsidR="00C631CE">
        <w:t xml:space="preserve"> to the Pre-Session Working Group of the CESCR to </w:t>
      </w:r>
      <w:r w:rsidR="004F470D">
        <w:t>seek clarification in the List of Issues discussed with the HKSAR on the how the national security law would impact the HKSAR and the PRC’s obligations under article 13 and article 15 of the ICESCR.</w:t>
      </w:r>
      <w:r w:rsidR="004F470D">
        <w:rPr>
          <w:rStyle w:val="FootnoteReference"/>
        </w:rPr>
        <w:footnoteReference w:id="55"/>
      </w:r>
      <w:r w:rsidR="004F470D">
        <w:t xml:space="preserve"> </w:t>
      </w:r>
    </w:p>
    <w:p w14:paraId="35E350D3" w14:textId="3BCF6495" w:rsidR="004F470D" w:rsidRDefault="004F470D" w:rsidP="00A73FC1">
      <w:pPr>
        <w:spacing w:line="336" w:lineRule="auto"/>
      </w:pPr>
      <w:r>
        <w:rPr>
          <w:b/>
          <w:bCs/>
        </w:rPr>
        <w:t>2</w:t>
      </w:r>
      <w:r w:rsidR="00900E7E">
        <w:rPr>
          <w:b/>
          <w:bCs/>
        </w:rPr>
        <w:t>7</w:t>
      </w:r>
      <w:r>
        <w:rPr>
          <w:b/>
          <w:bCs/>
        </w:rPr>
        <w:t xml:space="preserve">. </w:t>
      </w:r>
      <w:r>
        <w:t>In its response to the List of Issues adopted by the Pre-Session Working Group</w:t>
      </w:r>
      <w:r w:rsidR="00DB56B9">
        <w:t>,</w:t>
      </w:r>
      <w:r>
        <w:t xml:space="preserve"> the HKSAR has broadly declared that “[a]</w:t>
      </w:r>
      <w:proofErr w:type="spellStart"/>
      <w:r>
        <w:t>cademic</w:t>
      </w:r>
      <w:proofErr w:type="spellEnd"/>
      <w:r>
        <w:t xml:space="preserve"> freedom is an important social value treasured by Hong Kong.”</w:t>
      </w:r>
      <w:r>
        <w:rPr>
          <w:rStyle w:val="FootnoteReference"/>
        </w:rPr>
        <w:footnoteReference w:id="56"/>
      </w:r>
      <w:r>
        <w:t xml:space="preserve"> </w:t>
      </w:r>
      <w:r w:rsidR="008C607D">
        <w:t>It further notes that academic freedom is enshrined in Article 137 of Hong Kong Basic law and read in conjunction with Article 34 gives higher edu</w:t>
      </w:r>
      <w:r w:rsidR="00DB56B9">
        <w:t xml:space="preserve">cation institutions autonomy </w:t>
      </w:r>
      <w:r w:rsidR="00DB56B9">
        <w:lastRenderedPageBreak/>
        <w:t>“</w:t>
      </w:r>
      <w:r w:rsidR="008C607D">
        <w:t>to use teaching materials from outside the HKSAR</w:t>
      </w:r>
      <w:r w:rsidR="00DB56B9">
        <w:t>… [</w:t>
      </w:r>
      <w:r w:rsidR="008C607D">
        <w:t>and] the freedom to engage in academic research.”</w:t>
      </w:r>
      <w:r w:rsidR="008C607D">
        <w:rPr>
          <w:rStyle w:val="FootnoteReference"/>
        </w:rPr>
        <w:footnoteReference w:id="57"/>
      </w:r>
      <w:r w:rsidR="008C607D">
        <w:t xml:space="preserve"> </w:t>
      </w:r>
      <w:r w:rsidR="00DB56B9">
        <w:t>However,</w:t>
      </w:r>
      <w:r w:rsidR="008C607D">
        <w:t xml:space="preserve"> </w:t>
      </w:r>
      <w:r w:rsidR="00A80EA7">
        <w:t xml:space="preserve">troublingly, </w:t>
      </w:r>
      <w:r w:rsidR="008C607D">
        <w:t>HKSAR</w:t>
      </w:r>
      <w:r w:rsidR="00AC659F">
        <w:t>’s</w:t>
      </w:r>
      <w:r w:rsidR="008C607D">
        <w:t xml:space="preserve"> reply </w:t>
      </w:r>
      <w:r w:rsidR="00A80EA7">
        <w:t>also qualifies</w:t>
      </w:r>
      <w:r w:rsidR="008C607D">
        <w:t xml:space="preserve"> that “[t]</w:t>
      </w:r>
      <w:proofErr w:type="spellStart"/>
      <w:r w:rsidR="008C607D">
        <w:t>eachers</w:t>
      </w:r>
      <w:proofErr w:type="spellEnd"/>
      <w:r w:rsidR="008C607D">
        <w:t xml:space="preserve"> have the responsibility of teaching correct concept</w:t>
      </w:r>
      <w:r w:rsidR="00654BCD">
        <w:t>s” and that “it is totally not acceptable for teachers to impart to students distorted or biased views.”</w:t>
      </w:r>
      <w:r w:rsidR="00654BCD">
        <w:rPr>
          <w:rStyle w:val="FootnoteReference"/>
        </w:rPr>
        <w:footnoteReference w:id="58"/>
      </w:r>
      <w:r w:rsidR="008C607D">
        <w:t xml:space="preserve"> </w:t>
      </w:r>
      <w:r w:rsidR="00AC659F">
        <w:t>Among the concepts the HKSAR deems “not correct” include “the constitutional status of a region or country” or any views that “bring to students any harm that would adversely affect their growth.”</w:t>
      </w:r>
      <w:r w:rsidR="00AC659F">
        <w:rPr>
          <w:rStyle w:val="FootnoteReference"/>
        </w:rPr>
        <w:footnoteReference w:id="59"/>
      </w:r>
    </w:p>
    <w:p w14:paraId="42685CA8" w14:textId="5362F5A1" w:rsidR="00654BCD" w:rsidRDefault="00900E7E" w:rsidP="00A73FC1">
      <w:pPr>
        <w:spacing w:line="336" w:lineRule="auto"/>
      </w:pPr>
      <w:r>
        <w:rPr>
          <w:b/>
          <w:bCs/>
        </w:rPr>
        <w:t>28</w:t>
      </w:r>
      <w:r w:rsidR="00654BCD">
        <w:rPr>
          <w:b/>
          <w:bCs/>
        </w:rPr>
        <w:t xml:space="preserve">. </w:t>
      </w:r>
      <w:r w:rsidR="00654BCD">
        <w:t xml:space="preserve">While the HKSAR correctly </w:t>
      </w:r>
      <w:r w:rsidR="00F06989">
        <w:t xml:space="preserve">states </w:t>
      </w:r>
      <w:r w:rsidR="00654BCD">
        <w:t>that certain restrictions on freedom of expression may be permissible in the name of national security or public health,</w:t>
      </w:r>
      <w:r w:rsidR="00654BCD">
        <w:rPr>
          <w:rStyle w:val="FootnoteReference"/>
        </w:rPr>
        <w:footnoteReference w:id="60"/>
      </w:r>
      <w:r w:rsidR="00654BCD">
        <w:t xml:space="preserve"> in practice, the national security law has created an unrestrained ability of the government to </w:t>
      </w:r>
      <w:r w:rsidR="00992C56">
        <w:t xml:space="preserve">censor and intimidate academics from expressing views critical of the HKSAR government and PCR. </w:t>
      </w:r>
    </w:p>
    <w:p w14:paraId="383C57BE" w14:textId="74BB9321" w:rsidR="00992C56" w:rsidRDefault="00900E7E" w:rsidP="00A73FC1">
      <w:pPr>
        <w:spacing w:line="336" w:lineRule="auto"/>
      </w:pPr>
      <w:r>
        <w:rPr>
          <w:b/>
          <w:bCs/>
        </w:rPr>
        <w:t>29</w:t>
      </w:r>
      <w:r w:rsidR="00992C56">
        <w:rPr>
          <w:b/>
          <w:bCs/>
        </w:rPr>
        <w:t xml:space="preserve">. </w:t>
      </w:r>
      <w:r w:rsidR="00754C6C">
        <w:t>Due to the severe punishments imposed for violating</w:t>
      </w:r>
      <w:r w:rsidR="007545C1">
        <w:t xml:space="preserve"> of </w:t>
      </w:r>
      <w:r w:rsidR="00754C6C">
        <w:t>N</w:t>
      </w:r>
      <w:r w:rsidR="007545C1">
        <w:t xml:space="preserve">ational </w:t>
      </w:r>
      <w:r w:rsidR="00754C6C">
        <w:t>S</w:t>
      </w:r>
      <w:r w:rsidR="007545C1">
        <w:t xml:space="preserve">ecurity </w:t>
      </w:r>
      <w:proofErr w:type="gramStart"/>
      <w:r w:rsidR="00754C6C">
        <w:t>L</w:t>
      </w:r>
      <w:r w:rsidR="007545C1">
        <w:t>aw</w:t>
      </w:r>
      <w:r w:rsidR="00754C6C">
        <w:t xml:space="preserve">, </w:t>
      </w:r>
      <w:r w:rsidR="00A80EA7">
        <w:t xml:space="preserve"> </w:t>
      </w:r>
      <w:r w:rsidR="007545C1">
        <w:t>including</w:t>
      </w:r>
      <w:proofErr w:type="gramEnd"/>
      <w:r w:rsidR="007545C1">
        <w:t xml:space="preserve"> </w:t>
      </w:r>
      <w:r w:rsidR="00754C6C">
        <w:t xml:space="preserve">potential </w:t>
      </w:r>
      <w:r w:rsidR="007545C1">
        <w:t xml:space="preserve">life imprisonment, dissent and criticism of the law within the HKSAR is </w:t>
      </w:r>
      <w:r w:rsidR="00AC659F">
        <w:t xml:space="preserve">now </w:t>
      </w:r>
      <w:r w:rsidR="00F06989">
        <w:t>non-existent</w:t>
      </w:r>
      <w:r w:rsidR="007545C1">
        <w:t xml:space="preserve">. Most academics who have voiced how the law changed their experience teaching in universities </w:t>
      </w:r>
      <w:r w:rsidR="00555418">
        <w:t xml:space="preserve">in HKSAR have only been able to do so after </w:t>
      </w:r>
      <w:r w:rsidR="00DB56B9">
        <w:t>leaving the HKSAR</w:t>
      </w:r>
      <w:r w:rsidR="00555418">
        <w:t xml:space="preserve">. Peter </w:t>
      </w:r>
      <w:proofErr w:type="spellStart"/>
      <w:r w:rsidR="00555418">
        <w:t>Baehr</w:t>
      </w:r>
      <w:proofErr w:type="spellEnd"/>
      <w:r w:rsidR="00555418">
        <w:t>, the former academic dean of social sciences at the public Lingnan University who taught the</w:t>
      </w:r>
      <w:r w:rsidR="00FA39F8">
        <w:t>re from 2000 to 2021 describes, “[t]he phrasing of these crimes [</w:t>
      </w:r>
      <w:r w:rsidR="00DB56B9">
        <w:t>secession, subversion, terrorism and collusio</w:t>
      </w:r>
      <w:r w:rsidR="00AC659F">
        <w:t>n</w:t>
      </w:r>
      <w:r w:rsidR="00FA39F8">
        <w:t xml:space="preserve">] </w:t>
      </w:r>
      <w:r w:rsidR="008C23FB">
        <w:t>is deliberately ambiguous; it acts as both a dragnet and deterrent.”</w:t>
      </w:r>
      <w:r w:rsidR="008C23FB">
        <w:rPr>
          <w:rStyle w:val="FootnoteReference"/>
        </w:rPr>
        <w:footnoteReference w:id="61"/>
      </w:r>
      <w:r w:rsidR="008C23FB">
        <w:t xml:space="preserve"> He further observes that because Articles 9 and 10 of the national security law require the promotion of the national security law in education, “Article 137 is effectively null and void.”</w:t>
      </w:r>
      <w:r w:rsidR="008C23FB">
        <w:rPr>
          <w:rStyle w:val="FootnoteReference"/>
        </w:rPr>
        <w:footnoteReference w:id="62"/>
      </w:r>
    </w:p>
    <w:p w14:paraId="60FE8488" w14:textId="0430FB18" w:rsidR="00633524" w:rsidRDefault="00A73D64" w:rsidP="004E534D">
      <w:pPr>
        <w:spacing w:line="336" w:lineRule="auto"/>
      </w:pPr>
      <w:r>
        <w:rPr>
          <w:b/>
          <w:bCs/>
        </w:rPr>
        <w:t>3</w:t>
      </w:r>
      <w:r w:rsidR="00900E7E">
        <w:rPr>
          <w:b/>
          <w:bCs/>
        </w:rPr>
        <w:t>0</w:t>
      </w:r>
      <w:r w:rsidR="008C23FB">
        <w:rPr>
          <w:b/>
          <w:bCs/>
        </w:rPr>
        <w:t xml:space="preserve">. </w:t>
      </w:r>
      <w:r w:rsidR="00D43A53">
        <w:t>In October 202</w:t>
      </w:r>
      <w:r w:rsidR="00633524">
        <w:t>1</w:t>
      </w:r>
      <w:r w:rsidR="00D43A53">
        <w:t xml:space="preserve">, pursuant to Articles 9 and 10 of the national security law the HKSAR began implementing compulsory classes on the </w:t>
      </w:r>
      <w:r w:rsidR="00A80EA7">
        <w:t>N</w:t>
      </w:r>
      <w:r w:rsidR="00D43A53">
        <w:t xml:space="preserve">ational </w:t>
      </w:r>
      <w:r w:rsidR="00A80EA7">
        <w:t>S</w:t>
      </w:r>
      <w:r w:rsidR="00D43A53">
        <w:t>ecurity</w:t>
      </w:r>
      <w:r w:rsidR="00A80EA7">
        <w:t xml:space="preserve"> Law</w:t>
      </w:r>
      <w:r w:rsidR="00D43A53">
        <w:t>.</w:t>
      </w:r>
      <w:r w:rsidR="00D43A53">
        <w:rPr>
          <w:rStyle w:val="FootnoteReference"/>
        </w:rPr>
        <w:footnoteReference w:id="63"/>
      </w:r>
      <w:r w:rsidR="00D43A53">
        <w:t xml:space="preserve"> Thousands of students at Hong Kong Baptist University were compelled to attend classes on the law in which </w:t>
      </w:r>
      <w:r w:rsidR="00633524">
        <w:t xml:space="preserve">closed circuit cameras (CCTV) recorded </w:t>
      </w:r>
      <w:r w:rsidR="00503C64">
        <w:t>students’</w:t>
      </w:r>
      <w:r w:rsidR="00633524">
        <w:t xml:space="preserve"> participation.</w:t>
      </w:r>
      <w:r w:rsidR="00633524">
        <w:rPr>
          <w:rStyle w:val="FootnoteReference"/>
        </w:rPr>
        <w:footnoteReference w:id="64"/>
      </w:r>
    </w:p>
    <w:p w14:paraId="0E5EB886" w14:textId="31F994CD" w:rsidR="00840576" w:rsidRDefault="004E534D" w:rsidP="00A73FC1">
      <w:pPr>
        <w:spacing w:line="336" w:lineRule="auto"/>
      </w:pPr>
      <w:r>
        <w:rPr>
          <w:b/>
          <w:bCs/>
        </w:rPr>
        <w:t>3</w:t>
      </w:r>
      <w:r w:rsidR="00900E7E">
        <w:rPr>
          <w:b/>
          <w:bCs/>
        </w:rPr>
        <w:t>1</w:t>
      </w:r>
      <w:r w:rsidR="00840576">
        <w:rPr>
          <w:b/>
          <w:bCs/>
        </w:rPr>
        <w:t xml:space="preserve">. </w:t>
      </w:r>
      <w:r w:rsidR="00840576">
        <w:t>In March of 2021, the University Grants Committee, which controls funding for all public universities in the HKSAR</w:t>
      </w:r>
      <w:r w:rsidR="00A80EA7">
        <w:t>,</w:t>
      </w:r>
      <w:r w:rsidR="00840576">
        <w:t xml:space="preserve"> reminded public universities of their obligations to uphold the legal </w:t>
      </w:r>
      <w:r w:rsidR="00840576">
        <w:lastRenderedPageBreak/>
        <w:t xml:space="preserve">requirements of the </w:t>
      </w:r>
      <w:r w:rsidR="00A80EA7">
        <w:t>N</w:t>
      </w:r>
      <w:r w:rsidR="00840576">
        <w:t xml:space="preserve">ational </w:t>
      </w:r>
      <w:r w:rsidR="00A80EA7">
        <w:t>S</w:t>
      </w:r>
      <w:r w:rsidR="00840576">
        <w:t xml:space="preserve">ecurity </w:t>
      </w:r>
      <w:r w:rsidR="00A80EA7">
        <w:t>L</w:t>
      </w:r>
      <w:r w:rsidR="00840576">
        <w:t>aw.</w:t>
      </w:r>
      <w:r w:rsidR="00840576">
        <w:rPr>
          <w:rStyle w:val="FootnoteReference"/>
        </w:rPr>
        <w:footnoteReference w:id="65"/>
      </w:r>
      <w:r w:rsidR="00840576">
        <w:t xml:space="preserve"> This public admonition raises the spect</w:t>
      </w:r>
      <w:r w:rsidR="00503C64">
        <w:t>er</w:t>
      </w:r>
      <w:r w:rsidR="00840576">
        <w:t xml:space="preserve"> that failure to implement these compulsory courses on the </w:t>
      </w:r>
      <w:r w:rsidR="00A80EA7">
        <w:t>N</w:t>
      </w:r>
      <w:r w:rsidR="00840576">
        <w:t xml:space="preserve">ational </w:t>
      </w:r>
      <w:r w:rsidR="00A80EA7">
        <w:t>S</w:t>
      </w:r>
      <w:r w:rsidR="00840576">
        <w:t xml:space="preserve">ecurity </w:t>
      </w:r>
      <w:r w:rsidR="00A80EA7">
        <w:t>L</w:t>
      </w:r>
      <w:r w:rsidR="00840576">
        <w:t xml:space="preserve">aw could risk the loss of funding. </w:t>
      </w:r>
    </w:p>
    <w:p w14:paraId="4D6B3344" w14:textId="344705BD" w:rsidR="00AC659F" w:rsidRDefault="00AC659F" w:rsidP="00A73FC1">
      <w:pPr>
        <w:spacing w:line="336" w:lineRule="auto"/>
      </w:pPr>
      <w:r>
        <w:rPr>
          <w:b/>
          <w:bCs/>
        </w:rPr>
        <w:t xml:space="preserve">32. </w:t>
      </w:r>
      <w:r w:rsidR="00AB46D9">
        <w:t xml:space="preserve">These external pressures on higher education institutions extend beyond threats of </w:t>
      </w:r>
      <w:r w:rsidR="00A80EA7">
        <w:t xml:space="preserve">cutting </w:t>
      </w:r>
      <w:r w:rsidR="00AB46D9">
        <w:t xml:space="preserve">funding. The affirmative obligations of articles 9 and 10 of the </w:t>
      </w:r>
      <w:r w:rsidR="00A80EA7">
        <w:t>N</w:t>
      </w:r>
      <w:r w:rsidR="00AB46D9">
        <w:t xml:space="preserve">ational </w:t>
      </w:r>
      <w:r w:rsidR="00A80EA7">
        <w:t>S</w:t>
      </w:r>
      <w:r w:rsidR="00AB46D9">
        <w:t xml:space="preserve">ecurity </w:t>
      </w:r>
      <w:r w:rsidR="00A80EA7">
        <w:t>L</w:t>
      </w:r>
      <w:r w:rsidR="00AB46D9">
        <w:t xml:space="preserve">aw have </w:t>
      </w:r>
      <w:r w:rsidR="00552428">
        <w:t xml:space="preserve">led leaders of public universities to actively censor and punish students for expressing critical of the national security measures. Hong Kong University of Science and Technology suspended two students who attempted to organize a funeral for a classmate who had died during </w:t>
      </w:r>
      <w:r w:rsidR="006D4D66">
        <w:t xml:space="preserve">the </w:t>
      </w:r>
      <w:r w:rsidR="00552428">
        <w:t>pro-democracy protests.</w:t>
      </w:r>
      <w:r w:rsidR="00552428">
        <w:rPr>
          <w:rStyle w:val="FootnoteReference"/>
        </w:rPr>
        <w:footnoteReference w:id="66"/>
      </w:r>
      <w:r w:rsidR="002B3326">
        <w:t xml:space="preserve"> In February of 2021, Chinese University of Hong Kong withdrew administrative support for its own student union and suspended some members for potentially “unlawful remarks” made by the students as they campaigned for union seats</w:t>
      </w:r>
      <w:r w:rsidR="00B1009A">
        <w:t>;</w:t>
      </w:r>
      <w:r w:rsidR="002B3326">
        <w:t xml:space="preserve"> </w:t>
      </w:r>
      <w:r w:rsidR="00B1009A">
        <w:t>s</w:t>
      </w:r>
      <w:r w:rsidR="002B3326">
        <w:t>uch remarks included comments “on national security measures.”</w:t>
      </w:r>
      <w:r w:rsidR="00B1009A">
        <w:rPr>
          <w:rStyle w:val="FootnoteReference"/>
        </w:rPr>
        <w:footnoteReference w:id="67"/>
      </w:r>
      <w:r w:rsidR="002B3326">
        <w:t xml:space="preserve"> </w:t>
      </w:r>
      <w:r w:rsidR="00B1009A">
        <w:t>In October 2021</w:t>
      </w:r>
      <w:r w:rsidR="006D4D66">
        <w:t>,</w:t>
      </w:r>
      <w:r w:rsidR="00B1009A">
        <w:t xml:space="preserve"> the union voted to dissolve itself.</w:t>
      </w:r>
      <w:r w:rsidR="00B1009A">
        <w:rPr>
          <w:rStyle w:val="FootnoteReference"/>
        </w:rPr>
        <w:footnoteReference w:id="68"/>
      </w:r>
      <w:r w:rsidR="00B1009A">
        <w:t xml:space="preserve"> </w:t>
      </w:r>
    </w:p>
    <w:p w14:paraId="1AE63A4D" w14:textId="3C463148" w:rsidR="00B1009A" w:rsidRPr="006021E4" w:rsidRDefault="00B1009A" w:rsidP="00A73FC1">
      <w:pPr>
        <w:spacing w:line="336" w:lineRule="auto"/>
      </w:pPr>
      <w:r>
        <w:rPr>
          <w:b/>
          <w:bCs/>
        </w:rPr>
        <w:t xml:space="preserve">33. </w:t>
      </w:r>
      <w:r>
        <w:t>In April 2021</w:t>
      </w:r>
      <w:r w:rsidR="006D4D66">
        <w:t>,</w:t>
      </w:r>
      <w:r>
        <w:t xml:space="preserve"> the Hong Kong University student union penned an open letter to the university expressing concern over the mandated national security education.</w:t>
      </w:r>
      <w:r>
        <w:rPr>
          <w:rStyle w:val="FootnoteReference"/>
        </w:rPr>
        <w:footnoteReference w:id="69"/>
      </w:r>
      <w:r w:rsidR="0021679E">
        <w:t xml:space="preserve"> The letter was </w:t>
      </w:r>
      <w:r w:rsidR="006021E4">
        <w:t xml:space="preserve">criticized as a “malignant tumor” by the CCP backed </w:t>
      </w:r>
      <w:r w:rsidR="006021E4">
        <w:rPr>
          <w:i/>
          <w:iCs/>
        </w:rPr>
        <w:t xml:space="preserve">People’s Daily </w:t>
      </w:r>
      <w:r w:rsidR="006021E4">
        <w:t>newspaper and led to the university withdraw</w:t>
      </w:r>
      <w:r w:rsidR="006D4D66">
        <w:t>al of</w:t>
      </w:r>
      <w:r w:rsidR="006021E4">
        <w:t xml:space="preserve"> all financial support for the union.</w:t>
      </w:r>
      <w:r w:rsidR="006021E4">
        <w:rPr>
          <w:rStyle w:val="FootnoteReference"/>
        </w:rPr>
        <w:footnoteReference w:id="70"/>
      </w:r>
      <w:r w:rsidR="006021E4">
        <w:t xml:space="preserve"> In July 2021, the union was formally derecognized after </w:t>
      </w:r>
      <w:r w:rsidR="00345908">
        <w:t xml:space="preserve">it issued </w:t>
      </w:r>
      <w:r w:rsidR="006021E4">
        <w:t>a declaration on social media expressing sympathy for a man who killed himself after stabbing police officers.</w:t>
      </w:r>
      <w:r w:rsidR="006021E4">
        <w:rPr>
          <w:rStyle w:val="FootnoteReference"/>
        </w:rPr>
        <w:footnoteReference w:id="71"/>
      </w:r>
      <w:r w:rsidR="006021E4">
        <w:t xml:space="preserve"> </w:t>
      </w:r>
      <w:r w:rsidR="00345908">
        <w:t>At the instigation of the Chief Executive of HKSAR,</w:t>
      </w:r>
      <w:r w:rsidR="00345908">
        <w:rPr>
          <w:rStyle w:val="FootnoteReference"/>
        </w:rPr>
        <w:footnoteReference w:id="72"/>
      </w:r>
      <w:r w:rsidR="00345908">
        <w:t xml:space="preserve"> f</w:t>
      </w:r>
      <w:r w:rsidR="006021E4">
        <w:t xml:space="preserve">our of the student leaders of the union were charged with advocating for terrorism and face a maximum penalty of seven years in prison. Their trial is set for September of </w:t>
      </w:r>
      <w:r w:rsidR="006D4D66">
        <w:t>2023</w:t>
      </w:r>
      <w:r w:rsidR="006021E4">
        <w:t>.</w:t>
      </w:r>
      <w:r w:rsidR="006021E4">
        <w:rPr>
          <w:rStyle w:val="FootnoteReference"/>
        </w:rPr>
        <w:footnoteReference w:id="73"/>
      </w:r>
      <w:r w:rsidR="006021E4">
        <w:t xml:space="preserve"> </w:t>
      </w:r>
    </w:p>
    <w:p w14:paraId="4048D972" w14:textId="35AD4F11" w:rsidR="00C263F0" w:rsidRDefault="00A73D64" w:rsidP="00A73FC1">
      <w:pPr>
        <w:spacing w:line="336" w:lineRule="auto"/>
      </w:pPr>
      <w:r>
        <w:rPr>
          <w:b/>
          <w:bCs/>
        </w:rPr>
        <w:lastRenderedPageBreak/>
        <w:t>3</w:t>
      </w:r>
      <w:r w:rsidR="00E81857">
        <w:rPr>
          <w:b/>
          <w:bCs/>
        </w:rPr>
        <w:t>4</w:t>
      </w:r>
      <w:r w:rsidR="00C263F0">
        <w:rPr>
          <w:b/>
          <w:bCs/>
        </w:rPr>
        <w:t xml:space="preserve">. </w:t>
      </w:r>
      <w:r w:rsidR="004E534D">
        <w:t>Individual academics</w:t>
      </w:r>
      <w:r w:rsidR="00E81857">
        <w:t xml:space="preserve"> continue to be</w:t>
      </w:r>
      <w:r w:rsidR="004E534D">
        <w:t xml:space="preserve"> targeted and prosecuted for pro-democracy sentiments that are seen as violating the security law</w:t>
      </w:r>
      <w:r w:rsidR="00E81857">
        <w:t>,</w:t>
      </w:r>
      <w:r w:rsidR="004E534D">
        <w:t xml:space="preserve"> like </w:t>
      </w:r>
      <w:r w:rsidR="00C263F0">
        <w:t>l</w:t>
      </w:r>
      <w:r w:rsidR="006D4D66">
        <w:t>aw</w:t>
      </w:r>
      <w:r w:rsidR="00C263F0">
        <w:t xml:space="preserve"> </w:t>
      </w:r>
      <w:r w:rsidR="00BE7E93">
        <w:t>professor</w:t>
      </w:r>
      <w:r w:rsidR="00C263F0">
        <w:t xml:space="preserve"> Benny Tai </w:t>
      </w:r>
      <w:proofErr w:type="spellStart"/>
      <w:r w:rsidR="00C263F0">
        <w:t>Yui</w:t>
      </w:r>
      <w:proofErr w:type="spellEnd"/>
      <w:r w:rsidR="00C263F0">
        <w:t xml:space="preserve">-Ting, who was dismissed and </w:t>
      </w:r>
      <w:r w:rsidR="00BE7E93">
        <w:t>prosecuted for his role in the pr</w:t>
      </w:r>
      <w:r w:rsidR="004E534D">
        <w:t>o-democracy “umbrella movement.”</w:t>
      </w:r>
      <w:r w:rsidR="00BE7E93">
        <w:rPr>
          <w:rStyle w:val="FootnoteReference"/>
        </w:rPr>
        <w:footnoteReference w:id="74"/>
      </w:r>
      <w:r w:rsidR="00BE7E93">
        <w:t xml:space="preserve"> </w:t>
      </w:r>
      <w:r w:rsidR="004E534D">
        <w:t xml:space="preserve">Moreover, </w:t>
      </w:r>
      <w:r w:rsidR="00BE7E93">
        <w:t xml:space="preserve">academics </w:t>
      </w:r>
      <w:r w:rsidR="004E534D">
        <w:t>have been</w:t>
      </w:r>
      <w:r w:rsidR="00865BFC">
        <w:t xml:space="preserve"> dism</w:t>
      </w:r>
      <w:r w:rsidR="00503C64">
        <w:t xml:space="preserve">issed for merely expressing views critical of </w:t>
      </w:r>
      <w:r w:rsidR="006D4D66">
        <w:t>the N</w:t>
      </w:r>
      <w:r w:rsidR="00503C64">
        <w:t xml:space="preserve">ational </w:t>
      </w:r>
      <w:r w:rsidR="006D4D66">
        <w:t>S</w:t>
      </w:r>
      <w:r w:rsidR="00503C64">
        <w:t xml:space="preserve">ecurity </w:t>
      </w:r>
      <w:r w:rsidR="006D4D66">
        <w:t>L</w:t>
      </w:r>
      <w:r w:rsidR="00503C64">
        <w:t>aw</w:t>
      </w:r>
      <w:r w:rsidR="00E81857">
        <w:t>.</w:t>
      </w:r>
      <w:r w:rsidR="00503C64">
        <w:t xml:space="preserve"> For example</w:t>
      </w:r>
      <w:r w:rsidR="004E534D">
        <w:t>,</w:t>
      </w:r>
      <w:r w:rsidR="00503C64">
        <w:t xml:space="preserve"> adjunct professor of cultural studies Law Wing-</w:t>
      </w:r>
      <w:r w:rsidR="006D4D66">
        <w:t>S</w:t>
      </w:r>
      <w:r w:rsidR="00503C64">
        <w:t xml:space="preserve">ang was </w:t>
      </w:r>
      <w:r w:rsidR="004E534D">
        <w:t>sacked</w:t>
      </w:r>
      <w:r w:rsidR="00503C64">
        <w:t xml:space="preserve"> in October 2021</w:t>
      </w:r>
      <w:r w:rsidR="00A14F14">
        <w:t xml:space="preserve"> without a stated reason.</w:t>
      </w:r>
      <w:r w:rsidR="00A14F14">
        <w:rPr>
          <w:rStyle w:val="FootnoteReference"/>
        </w:rPr>
        <w:footnoteReference w:id="75"/>
      </w:r>
      <w:r w:rsidR="004E534D">
        <w:t xml:space="preserve"> His dismissal</w:t>
      </w:r>
      <w:r w:rsidR="00A14F14">
        <w:t xml:space="preserve"> came three days </w:t>
      </w:r>
      <w:r w:rsidR="004A2B1F">
        <w:t xml:space="preserve">after he had penned an article in a Chinese newspaper discussing the recent political controversy of whether opposition candidates should be allowed to stand in a coming </w:t>
      </w:r>
      <w:r w:rsidR="004E534D">
        <w:t xml:space="preserve">HKSAR </w:t>
      </w:r>
      <w:r w:rsidR="004A2B1F">
        <w:t>election.</w:t>
      </w:r>
      <w:r w:rsidR="004A2B1F">
        <w:rPr>
          <w:rStyle w:val="FootnoteReference"/>
        </w:rPr>
        <w:footnoteReference w:id="76"/>
      </w:r>
      <w:r w:rsidR="004A2B1F">
        <w:t xml:space="preserve"> The timing and lack of justification for dismissal suggests that the impact of the </w:t>
      </w:r>
      <w:r w:rsidR="006D4D66">
        <w:t>N</w:t>
      </w:r>
      <w:r w:rsidR="004A2B1F">
        <w:t xml:space="preserve">ational </w:t>
      </w:r>
      <w:r w:rsidR="006D4D66">
        <w:t>S</w:t>
      </w:r>
      <w:r w:rsidR="004A2B1F">
        <w:t xml:space="preserve">ecurity </w:t>
      </w:r>
      <w:r w:rsidR="006D4D66">
        <w:t>L</w:t>
      </w:r>
      <w:r w:rsidR="004A2B1F">
        <w:t>aw and its abil</w:t>
      </w:r>
      <w:r w:rsidR="004E534D">
        <w:t xml:space="preserve">ity to quell expression without </w:t>
      </w:r>
      <w:r w:rsidR="006D4D66">
        <w:t xml:space="preserve">even </w:t>
      </w:r>
      <w:r w:rsidR="004E534D">
        <w:t xml:space="preserve">having to formally charge academics. </w:t>
      </w:r>
    </w:p>
    <w:p w14:paraId="437CC07B" w14:textId="6654A992" w:rsidR="004A2B1F" w:rsidRPr="004A2B1F" w:rsidRDefault="00A73D64" w:rsidP="00A73FC1">
      <w:pPr>
        <w:spacing w:line="336" w:lineRule="auto"/>
      </w:pPr>
      <w:r>
        <w:rPr>
          <w:b/>
          <w:bCs/>
        </w:rPr>
        <w:t>3</w:t>
      </w:r>
      <w:r w:rsidR="00E81857">
        <w:rPr>
          <w:b/>
          <w:bCs/>
        </w:rPr>
        <w:t>5</w:t>
      </w:r>
      <w:r w:rsidR="004A2B1F">
        <w:rPr>
          <w:b/>
          <w:bCs/>
        </w:rPr>
        <w:t xml:space="preserve">. </w:t>
      </w:r>
      <w:r w:rsidR="00FD64E4">
        <w:t xml:space="preserve">The effects of the </w:t>
      </w:r>
      <w:r w:rsidR="006D4D66">
        <w:t>N</w:t>
      </w:r>
      <w:r w:rsidR="00FD64E4">
        <w:t xml:space="preserve">ational </w:t>
      </w:r>
      <w:r w:rsidR="006D4D66">
        <w:t>S</w:t>
      </w:r>
      <w:r w:rsidR="00FD64E4">
        <w:t xml:space="preserve">ecurity </w:t>
      </w:r>
      <w:r w:rsidR="006D4D66">
        <w:t>L</w:t>
      </w:r>
      <w:r w:rsidR="00FD64E4">
        <w:t>aw are being felt far beyond the borders of the HKSAR. As the extraordinary extraterritorial reach of Article 38 of the law allow</w:t>
      </w:r>
      <w:r w:rsidR="006D4D66">
        <w:t>s</w:t>
      </w:r>
      <w:r w:rsidR="00FD64E4">
        <w:t xml:space="preserve"> prosecution </w:t>
      </w:r>
      <w:r w:rsidR="006D4D66">
        <w:t>of</w:t>
      </w:r>
      <w:r w:rsidR="00FD64E4">
        <w:t xml:space="preserve"> violation</w:t>
      </w:r>
      <w:r w:rsidR="003C317A">
        <w:t xml:space="preserve">s anywhere </w:t>
      </w:r>
      <w:r w:rsidR="00FD64E4">
        <w:t>in the world, academics worldwide have had to grapple with its implications. Particularly with the onset of the global pandemic</w:t>
      </w:r>
      <w:r w:rsidR="004E534D">
        <w:t>,</w:t>
      </w:r>
      <w:r w:rsidR="00FD64E4">
        <w:t xml:space="preserve"> sending many </w:t>
      </w:r>
      <w:r w:rsidR="003C317A">
        <w:t>students’</w:t>
      </w:r>
      <w:r w:rsidR="00FD64E4">
        <w:t xml:space="preserve"> </w:t>
      </w:r>
      <w:proofErr w:type="gramStart"/>
      <w:r w:rsidR="00FD64E4">
        <w:t>home</w:t>
      </w:r>
      <w:proofErr w:type="gramEnd"/>
      <w:r w:rsidR="00FD64E4">
        <w:t xml:space="preserve"> to complete their education virtually, universities have had to consider what materials could be deemed violations of the law. For </w:t>
      </w:r>
      <w:r w:rsidR="004E534D">
        <w:t>example,</w:t>
      </w:r>
      <w:r w:rsidR="00FD64E4">
        <w:t xml:space="preserve"> </w:t>
      </w:r>
      <w:proofErr w:type="gramStart"/>
      <w:r w:rsidR="00FD64E4">
        <w:t xml:space="preserve">a </w:t>
      </w:r>
      <w:r w:rsidR="003C317A">
        <w:t xml:space="preserve"> </w:t>
      </w:r>
      <w:r w:rsidR="006D4D66">
        <w:t>journalist</w:t>
      </w:r>
      <w:proofErr w:type="gramEnd"/>
      <w:r w:rsidR="006D4D66">
        <w:t xml:space="preserve"> from </w:t>
      </w:r>
      <w:r w:rsidR="003C317A">
        <w:t>the Hong Kong Free Press “</w:t>
      </w:r>
      <w:r w:rsidR="003C317A" w:rsidRPr="003C317A">
        <w:t>declined an already-agreed-to speaking opportunity at the University of Leeds because he had been instructed by hosts to avoid focusing on the Hong Kong protests out of concern for the safety of Chinese students attending the lecture remotely.</w:t>
      </w:r>
      <w:r w:rsidR="003C317A">
        <w:t>”</w:t>
      </w:r>
      <w:r w:rsidR="003C317A">
        <w:rPr>
          <w:rStyle w:val="FootnoteReference"/>
        </w:rPr>
        <w:footnoteReference w:id="77"/>
      </w:r>
      <w:r w:rsidR="003C317A">
        <w:t xml:space="preserve"> </w:t>
      </w:r>
    </w:p>
    <w:p w14:paraId="0000004B" w14:textId="77777777" w:rsidR="00D852E2" w:rsidRDefault="00484DD4" w:rsidP="00061D57">
      <w:pPr>
        <w:pStyle w:val="Heading1"/>
        <w:spacing w:line="336" w:lineRule="auto"/>
      </w:pPr>
      <w:r>
        <w:t xml:space="preserve">IV) RECOMMENDATIONS </w:t>
      </w:r>
    </w:p>
    <w:p w14:paraId="5FC4A7C3" w14:textId="4AF5C109" w:rsidR="00E81857" w:rsidRPr="00E81857" w:rsidRDefault="00E81857" w:rsidP="00061D57">
      <w:pPr>
        <w:spacing w:line="336" w:lineRule="auto"/>
      </w:pPr>
      <w:r>
        <w:rPr>
          <w:b/>
          <w:bCs/>
        </w:rPr>
        <w:t xml:space="preserve">36. </w:t>
      </w:r>
      <w:r w:rsidR="006F64B8">
        <w:t>T</w:t>
      </w:r>
      <w:r w:rsidR="00CA6E43">
        <w:t xml:space="preserve">hese disturbing updates confirm </w:t>
      </w:r>
      <w:r w:rsidR="006F64B8">
        <w:t>our</w:t>
      </w:r>
      <w:r w:rsidR="00CA6E43">
        <w:t xml:space="preserve"> fear</w:t>
      </w:r>
      <w:r w:rsidR="006F64B8">
        <w:t xml:space="preserve"> that</w:t>
      </w:r>
      <w:r w:rsidR="00CA6E43">
        <w:t xml:space="preserve"> the </w:t>
      </w:r>
      <w:r w:rsidR="006F64B8">
        <w:t>N</w:t>
      </w:r>
      <w:r w:rsidR="00CA6E43">
        <w:t xml:space="preserve">ational </w:t>
      </w:r>
      <w:r w:rsidR="006F64B8">
        <w:t>S</w:t>
      </w:r>
      <w:r w:rsidR="00CA6E43">
        <w:t xml:space="preserve">ecurity </w:t>
      </w:r>
      <w:r w:rsidR="006F64B8">
        <w:t>L</w:t>
      </w:r>
      <w:r w:rsidR="00CA6E43">
        <w:t>aw</w:t>
      </w:r>
      <w:r w:rsidR="006F64B8">
        <w:t xml:space="preserve"> might undermine</w:t>
      </w:r>
      <w:r w:rsidR="00CA6E43">
        <w:t xml:space="preserve"> academic freedom</w:t>
      </w:r>
      <w:r w:rsidR="006F64B8">
        <w:t xml:space="preserve"> in Hong Kong. T</w:t>
      </w:r>
      <w:r w:rsidR="00CA6E43">
        <w:t>he HKSAR’s replies to the List of Issues</w:t>
      </w:r>
      <w:r w:rsidR="006F64B8">
        <w:t xml:space="preserve"> are</w:t>
      </w:r>
      <w:r w:rsidR="00CA6E43">
        <w:t xml:space="preserve"> insufficient to address the concerns that </w:t>
      </w:r>
      <w:r w:rsidR="006F64B8">
        <w:t>the National Security Law</w:t>
      </w:r>
      <w:r w:rsidR="00CA6E43">
        <w:t xml:space="preserve"> directly conflicts with the HKSAR and PRC’s obligations under the ICESCR. </w:t>
      </w:r>
    </w:p>
    <w:p w14:paraId="0000004C" w14:textId="69330B7A" w:rsidR="00D852E2" w:rsidRDefault="00E81857" w:rsidP="00061D57">
      <w:pPr>
        <w:spacing w:line="336" w:lineRule="auto"/>
      </w:pPr>
      <w:r>
        <w:rPr>
          <w:b/>
          <w:bCs/>
        </w:rPr>
        <w:t>37.</w:t>
      </w:r>
      <w:r w:rsidR="00484DD4">
        <w:t xml:space="preserve"> We respectfully request the Honorable Committee </w:t>
      </w:r>
      <w:r w:rsidR="0057709C">
        <w:t>to consider the following recommendations while considering the HKSAR’s fourth Periodic Report:</w:t>
      </w:r>
      <w:r w:rsidR="00CA6E43">
        <w:t xml:space="preserve"> </w:t>
      </w:r>
    </w:p>
    <w:p w14:paraId="0000004D" w14:textId="7F9AD144" w:rsidR="00D852E2" w:rsidRDefault="0057709C" w:rsidP="00061D57">
      <w:pPr>
        <w:numPr>
          <w:ilvl w:val="0"/>
          <w:numId w:val="1"/>
        </w:numPr>
        <w:pBdr>
          <w:top w:val="nil"/>
          <w:left w:val="nil"/>
          <w:bottom w:val="nil"/>
          <w:right w:val="nil"/>
          <w:between w:val="nil"/>
        </w:pBdr>
        <w:spacing w:line="336" w:lineRule="auto"/>
      </w:pPr>
      <w:r>
        <w:rPr>
          <w:color w:val="000000"/>
          <w:szCs w:val="24"/>
        </w:rPr>
        <w:lastRenderedPageBreak/>
        <w:t xml:space="preserve">The State party should eliminate </w:t>
      </w:r>
      <w:r w:rsidR="00CA6E43">
        <w:rPr>
          <w:color w:val="000000"/>
          <w:szCs w:val="24"/>
        </w:rPr>
        <w:t xml:space="preserve">the affirmative obligations imposed on higher education by articles 9 and 10 of the </w:t>
      </w:r>
      <w:r w:rsidR="006F64B8">
        <w:rPr>
          <w:color w:val="000000"/>
          <w:szCs w:val="24"/>
        </w:rPr>
        <w:t>N</w:t>
      </w:r>
      <w:r w:rsidR="00CA6E43">
        <w:rPr>
          <w:color w:val="000000"/>
          <w:szCs w:val="24"/>
        </w:rPr>
        <w:t xml:space="preserve">ational </w:t>
      </w:r>
      <w:r w:rsidR="006F64B8">
        <w:rPr>
          <w:color w:val="000000"/>
          <w:szCs w:val="24"/>
        </w:rPr>
        <w:t>S</w:t>
      </w:r>
      <w:r w:rsidR="00CA6E43">
        <w:rPr>
          <w:color w:val="000000"/>
          <w:szCs w:val="24"/>
        </w:rPr>
        <w:t xml:space="preserve">ecurity </w:t>
      </w:r>
      <w:r w:rsidR="006F64B8">
        <w:rPr>
          <w:color w:val="000000"/>
          <w:szCs w:val="24"/>
        </w:rPr>
        <w:t>L</w:t>
      </w:r>
      <w:r w:rsidR="00CA6E43">
        <w:rPr>
          <w:color w:val="000000"/>
          <w:szCs w:val="24"/>
        </w:rPr>
        <w:t>aw</w:t>
      </w:r>
      <w:r w:rsidR="006F64B8">
        <w:rPr>
          <w:color w:val="000000"/>
          <w:szCs w:val="24"/>
        </w:rPr>
        <w:t xml:space="preserve"> </w:t>
      </w:r>
      <w:r>
        <w:rPr>
          <w:color w:val="000000"/>
          <w:szCs w:val="24"/>
        </w:rPr>
        <w:t xml:space="preserve">as they interfere with institutional autonomy of higher education </w:t>
      </w:r>
      <w:r w:rsidR="00226140">
        <w:rPr>
          <w:color w:val="000000"/>
          <w:szCs w:val="24"/>
        </w:rPr>
        <w:t>institutions</w:t>
      </w:r>
      <w:r w:rsidR="006F64B8">
        <w:rPr>
          <w:color w:val="000000"/>
          <w:szCs w:val="24"/>
        </w:rPr>
        <w:t xml:space="preserve"> reconciled </w:t>
      </w:r>
      <w:r>
        <w:rPr>
          <w:color w:val="000000"/>
          <w:szCs w:val="24"/>
        </w:rPr>
        <w:t xml:space="preserve">under articles 13 and 15 of the Covenant. </w:t>
      </w:r>
      <w:r w:rsidR="00484DD4">
        <w:rPr>
          <w:color w:val="000000"/>
          <w:szCs w:val="24"/>
        </w:rPr>
        <w:t xml:space="preserve"> </w:t>
      </w:r>
    </w:p>
    <w:p w14:paraId="0000004E" w14:textId="1D0979AE" w:rsidR="00D852E2" w:rsidRDefault="0057709C" w:rsidP="00061D57">
      <w:pPr>
        <w:numPr>
          <w:ilvl w:val="0"/>
          <w:numId w:val="1"/>
        </w:numPr>
        <w:pBdr>
          <w:top w:val="nil"/>
          <w:left w:val="nil"/>
          <w:bottom w:val="nil"/>
          <w:right w:val="nil"/>
          <w:between w:val="nil"/>
        </w:pBdr>
        <w:spacing w:line="336" w:lineRule="auto"/>
      </w:pPr>
      <w:r>
        <w:rPr>
          <w:color w:val="000000"/>
          <w:szCs w:val="24"/>
        </w:rPr>
        <w:t>The State party should</w:t>
      </w:r>
      <w:r w:rsidR="000A48EE">
        <w:rPr>
          <w:color w:val="000000"/>
          <w:szCs w:val="24"/>
        </w:rPr>
        <w:t xml:space="preserve"> </w:t>
      </w:r>
      <w:r>
        <w:rPr>
          <w:color w:val="000000"/>
          <w:szCs w:val="24"/>
        </w:rPr>
        <w:t xml:space="preserve">clarify what it describes as </w:t>
      </w:r>
      <w:r w:rsidR="000A48EE">
        <w:rPr>
          <w:color w:val="000000"/>
          <w:szCs w:val="24"/>
        </w:rPr>
        <w:t>“correct concepts”, as noted in its reply,</w:t>
      </w:r>
      <w:r w:rsidR="006F64B8">
        <w:rPr>
          <w:rStyle w:val="FootnoteReference"/>
          <w:color w:val="000000"/>
          <w:szCs w:val="24"/>
        </w:rPr>
        <w:footnoteReference w:id="78"/>
      </w:r>
      <w:r w:rsidR="000A48EE">
        <w:rPr>
          <w:color w:val="000000"/>
          <w:szCs w:val="24"/>
        </w:rPr>
        <w:t xml:space="preserve"> </w:t>
      </w:r>
      <w:r>
        <w:rPr>
          <w:color w:val="000000"/>
          <w:szCs w:val="24"/>
        </w:rPr>
        <w:t xml:space="preserve">to evaluate the degree to which it interferes with the self-governance of higher educational institutions. </w:t>
      </w:r>
      <w:r w:rsidR="000A48EE">
        <w:rPr>
          <w:color w:val="000000"/>
          <w:szCs w:val="24"/>
        </w:rPr>
        <w:t xml:space="preserve"> </w:t>
      </w:r>
    </w:p>
    <w:p w14:paraId="0000004F" w14:textId="4BE49AEB" w:rsidR="00D852E2" w:rsidRDefault="00226140" w:rsidP="00061D57">
      <w:pPr>
        <w:numPr>
          <w:ilvl w:val="0"/>
          <w:numId w:val="1"/>
        </w:numPr>
        <w:pBdr>
          <w:top w:val="nil"/>
          <w:left w:val="nil"/>
          <w:bottom w:val="nil"/>
          <w:right w:val="nil"/>
          <w:between w:val="nil"/>
        </w:pBdr>
        <w:spacing w:line="336" w:lineRule="auto"/>
      </w:pPr>
      <w:r>
        <w:rPr>
          <w:color w:val="000000"/>
          <w:szCs w:val="24"/>
        </w:rPr>
        <w:t>The State party should</w:t>
      </w:r>
      <w:r w:rsidR="00484DD4">
        <w:rPr>
          <w:color w:val="000000"/>
          <w:szCs w:val="24"/>
        </w:rPr>
        <w:t xml:space="preserve"> explain how the institutional autonomy of higher education institutions in Hong Kong is protected, considering </w:t>
      </w:r>
      <w:r w:rsidR="000A48EE">
        <w:rPr>
          <w:color w:val="000000"/>
          <w:szCs w:val="24"/>
        </w:rPr>
        <w:t xml:space="preserve">the compulsory nature of national security </w:t>
      </w:r>
      <w:r w:rsidR="0057709C">
        <w:rPr>
          <w:color w:val="000000"/>
          <w:szCs w:val="24"/>
        </w:rPr>
        <w:t xml:space="preserve">law as it pertains to </w:t>
      </w:r>
      <w:r w:rsidR="000A48EE">
        <w:rPr>
          <w:color w:val="000000"/>
          <w:szCs w:val="24"/>
        </w:rPr>
        <w:t xml:space="preserve">education and the inability of any academic to speak critically of the law. </w:t>
      </w:r>
    </w:p>
    <w:p w14:paraId="00000050" w14:textId="1C180D41" w:rsidR="00D852E2" w:rsidRDefault="00226140" w:rsidP="00061D57">
      <w:pPr>
        <w:numPr>
          <w:ilvl w:val="0"/>
          <w:numId w:val="1"/>
        </w:numPr>
        <w:pBdr>
          <w:top w:val="nil"/>
          <w:left w:val="nil"/>
          <w:bottom w:val="nil"/>
          <w:right w:val="nil"/>
          <w:between w:val="nil"/>
        </w:pBdr>
        <w:spacing w:line="336" w:lineRule="auto"/>
      </w:pPr>
      <w:r>
        <w:rPr>
          <w:color w:val="000000"/>
          <w:szCs w:val="24"/>
        </w:rPr>
        <w:t>The State party should</w:t>
      </w:r>
      <w:r w:rsidR="00484DD4">
        <w:rPr>
          <w:color w:val="000000"/>
          <w:szCs w:val="24"/>
        </w:rPr>
        <w:t xml:space="preserve"> clarify how the application of article 38 of the National Security Law complies with core obligations the PRC/Hong Kong </w:t>
      </w:r>
      <w:proofErr w:type="gramStart"/>
      <w:r w:rsidR="00484DD4">
        <w:rPr>
          <w:color w:val="000000"/>
          <w:szCs w:val="24"/>
        </w:rPr>
        <w:t>has to</w:t>
      </w:r>
      <w:proofErr w:type="gramEnd"/>
      <w:r w:rsidR="00484DD4">
        <w:rPr>
          <w:color w:val="000000"/>
          <w:szCs w:val="24"/>
        </w:rPr>
        <w:t xml:space="preserve"> foster and develop international contacts and co-operation in the scientific field under articles 15(1)(b) and (4) of the Covenant. </w:t>
      </w:r>
    </w:p>
    <w:sectPr w:rsidR="00D852E2">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F55DF" w14:textId="77777777" w:rsidR="00AA53D1" w:rsidRDefault="00AA53D1">
      <w:pPr>
        <w:spacing w:line="240" w:lineRule="auto"/>
      </w:pPr>
      <w:r>
        <w:separator/>
      </w:r>
    </w:p>
  </w:endnote>
  <w:endnote w:type="continuationSeparator" w:id="0">
    <w:p w14:paraId="32BFEAF4" w14:textId="77777777" w:rsidR="00AA53D1" w:rsidRDefault="00AA53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Italic">
    <w:panose1 w:val="02020503050405090304"/>
    <w:charset w:val="00"/>
    <w:family w:val="roman"/>
    <w:pitch w:val="variable"/>
    <w:sig w:usb0="E0000AFF" w:usb1="00007843" w:usb2="00000001" w:usb3="00000000" w:csb0="000001B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4" w14:textId="1306E5EC" w:rsidR="00D852E2" w:rsidRDefault="00484DD4">
    <w:pPr>
      <w:pBdr>
        <w:top w:val="nil"/>
        <w:left w:val="nil"/>
        <w:bottom w:val="nil"/>
        <w:right w:val="nil"/>
        <w:between w:val="nil"/>
      </w:pBdr>
      <w:tabs>
        <w:tab w:val="center" w:pos="4680"/>
        <w:tab w:val="right" w:pos="9360"/>
      </w:tabs>
      <w:spacing w:line="240" w:lineRule="auto"/>
      <w:jc w:val="center"/>
      <w:rPr>
        <w:color w:val="000000"/>
        <w:szCs w:val="24"/>
      </w:rPr>
    </w:pPr>
    <w:r>
      <w:rPr>
        <w:color w:val="000000"/>
        <w:szCs w:val="24"/>
      </w:rPr>
      <w:fldChar w:fldCharType="begin"/>
    </w:r>
    <w:r>
      <w:rPr>
        <w:color w:val="000000"/>
        <w:szCs w:val="24"/>
      </w:rPr>
      <w:instrText>PAGE</w:instrText>
    </w:r>
    <w:r>
      <w:rPr>
        <w:color w:val="000000"/>
        <w:szCs w:val="24"/>
      </w:rPr>
      <w:fldChar w:fldCharType="separate"/>
    </w:r>
    <w:r w:rsidR="00A80D50">
      <w:rPr>
        <w:noProof/>
        <w:color w:val="000000"/>
        <w:szCs w:val="24"/>
      </w:rPr>
      <w:t>14</w:t>
    </w:r>
    <w:r>
      <w:rPr>
        <w:color w:val="00000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95967" w14:textId="77777777" w:rsidR="00AA53D1" w:rsidRDefault="00AA53D1">
      <w:pPr>
        <w:spacing w:line="240" w:lineRule="auto"/>
      </w:pPr>
      <w:r>
        <w:separator/>
      </w:r>
    </w:p>
  </w:footnote>
  <w:footnote w:type="continuationSeparator" w:id="0">
    <w:p w14:paraId="15C0F85D" w14:textId="77777777" w:rsidR="00AA53D1" w:rsidRDefault="00AA53D1">
      <w:pPr>
        <w:spacing w:line="240" w:lineRule="auto"/>
      </w:pPr>
      <w:r>
        <w:continuationSeparator/>
      </w:r>
    </w:p>
  </w:footnote>
  <w:footnote w:id="1">
    <w:p w14:paraId="00000051" w14:textId="08866207" w:rsidR="00342666" w:rsidRDefault="00342666" w:rsidP="002A350B">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Fourth Periodic Report Submitted by Hong Kong, China, under Articles 16 and 17 of the Covenant, due in 2019, </w:t>
      </w:r>
      <w:r>
        <w:rPr>
          <w:color w:val="000000"/>
          <w:sz w:val="20"/>
          <w:szCs w:val="20"/>
        </w:rPr>
        <w:t>(date received 19 Dec. 2019), U</w:t>
      </w:r>
      <w:r w:rsidR="003E2A85">
        <w:rPr>
          <w:color w:val="000000"/>
          <w:sz w:val="20"/>
          <w:szCs w:val="20"/>
        </w:rPr>
        <w:t xml:space="preserve">N </w:t>
      </w:r>
      <w:r>
        <w:rPr>
          <w:color w:val="000000"/>
          <w:sz w:val="20"/>
          <w:szCs w:val="20"/>
        </w:rPr>
        <w:t>Doc. E/C.12/CHN-HKG/4.</w:t>
      </w:r>
    </w:p>
  </w:footnote>
  <w:footnote w:id="2">
    <w:p w14:paraId="00000052" w14:textId="11EC8679" w:rsidR="00342666" w:rsidRDefault="00342666" w:rsidP="002A350B">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United Nations Office of the High Commissioner for Human Rights, </w:t>
      </w:r>
      <w:r>
        <w:rPr>
          <w:i/>
          <w:color w:val="000000"/>
          <w:sz w:val="20"/>
          <w:szCs w:val="20"/>
        </w:rPr>
        <w:t xml:space="preserve">Status of Ratification Interactive Dashboard, </w:t>
      </w:r>
      <w:r>
        <w:rPr>
          <w:color w:val="000000"/>
          <w:sz w:val="20"/>
          <w:szCs w:val="20"/>
        </w:rPr>
        <w:t xml:space="preserve">(last updated 29 Sept. 2020) </w:t>
      </w:r>
      <w:hyperlink r:id="rId1">
        <w:r>
          <w:rPr>
            <w:color w:val="0563C1"/>
            <w:sz w:val="20"/>
            <w:szCs w:val="20"/>
            <w:u w:val="single"/>
          </w:rPr>
          <w:t>https://indicators.ohchr.org/</w:t>
        </w:r>
      </w:hyperlink>
      <w:r>
        <w:rPr>
          <w:color w:val="000000"/>
          <w:sz w:val="20"/>
          <w:szCs w:val="20"/>
        </w:rPr>
        <w:t xml:space="preserve"> (last visited </w:t>
      </w:r>
      <w:r w:rsidR="00C605A6">
        <w:rPr>
          <w:color w:val="000000"/>
          <w:sz w:val="20"/>
          <w:szCs w:val="20"/>
        </w:rPr>
        <w:t>5</w:t>
      </w:r>
      <w:r>
        <w:rPr>
          <w:color w:val="000000"/>
          <w:sz w:val="20"/>
          <w:szCs w:val="20"/>
        </w:rPr>
        <w:t xml:space="preserve"> </w:t>
      </w:r>
      <w:r w:rsidR="00C605A6">
        <w:rPr>
          <w:color w:val="000000"/>
          <w:sz w:val="20"/>
          <w:szCs w:val="20"/>
        </w:rPr>
        <w:t>Jan</w:t>
      </w:r>
      <w:r>
        <w:rPr>
          <w:color w:val="000000"/>
          <w:sz w:val="20"/>
          <w:szCs w:val="20"/>
        </w:rPr>
        <w:t>. 202</w:t>
      </w:r>
      <w:r w:rsidR="00C605A6">
        <w:rPr>
          <w:color w:val="000000"/>
          <w:sz w:val="20"/>
          <w:szCs w:val="20"/>
        </w:rPr>
        <w:t>3</w:t>
      </w:r>
      <w:r>
        <w:rPr>
          <w:color w:val="000000"/>
          <w:sz w:val="20"/>
          <w:szCs w:val="20"/>
        </w:rPr>
        <w:t>).</w:t>
      </w:r>
    </w:p>
  </w:footnote>
  <w:footnote w:id="3">
    <w:p w14:paraId="00000053"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Id.</w:t>
      </w:r>
    </w:p>
  </w:footnote>
  <w:footnote w:id="4">
    <w:p w14:paraId="00000054" w14:textId="45188389" w:rsidR="00342666" w:rsidRDefault="00342666" w:rsidP="002A350B">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Official English translation, </w:t>
      </w:r>
      <w:r>
        <w:rPr>
          <w:i/>
          <w:color w:val="000000"/>
          <w:sz w:val="20"/>
          <w:szCs w:val="20"/>
        </w:rPr>
        <w:t xml:space="preserve">Hong Kong National Security Law Full Text, </w:t>
      </w:r>
      <w:r>
        <w:rPr>
          <w:color w:val="000000"/>
          <w:sz w:val="20"/>
          <w:szCs w:val="20"/>
        </w:rPr>
        <w:t xml:space="preserve">South China Morning Post (2 July 2020), available </w:t>
      </w:r>
      <w:r w:rsidR="002A350B">
        <w:rPr>
          <w:color w:val="000000"/>
          <w:sz w:val="20"/>
          <w:szCs w:val="20"/>
        </w:rPr>
        <w:t>at</w:t>
      </w:r>
      <w:r>
        <w:rPr>
          <w:color w:val="000000"/>
          <w:sz w:val="20"/>
          <w:szCs w:val="20"/>
        </w:rPr>
        <w:t xml:space="preserve">: </w:t>
      </w:r>
      <w:hyperlink r:id="rId2">
        <w:r>
          <w:rPr>
            <w:color w:val="0563C1"/>
            <w:sz w:val="20"/>
            <w:szCs w:val="20"/>
            <w:u w:val="single"/>
          </w:rPr>
          <w:t>https://www.scmp.com/news/hong-kong/politics/article/3091595/hong-kong-national-security-law-read-full-text</w:t>
        </w:r>
      </w:hyperlink>
      <w:r>
        <w:rPr>
          <w:color w:val="000000"/>
          <w:sz w:val="20"/>
          <w:szCs w:val="20"/>
        </w:rPr>
        <w:t xml:space="preserve">, (last visited </w:t>
      </w:r>
      <w:r w:rsidR="003E2A85">
        <w:rPr>
          <w:color w:val="000000"/>
          <w:sz w:val="20"/>
          <w:szCs w:val="20"/>
        </w:rPr>
        <w:t>5</w:t>
      </w:r>
      <w:r>
        <w:rPr>
          <w:color w:val="000000"/>
          <w:sz w:val="20"/>
          <w:szCs w:val="20"/>
        </w:rPr>
        <w:t xml:space="preserve"> </w:t>
      </w:r>
      <w:r w:rsidR="003E2A85">
        <w:rPr>
          <w:color w:val="000000"/>
          <w:sz w:val="20"/>
          <w:szCs w:val="20"/>
        </w:rPr>
        <w:t>Jan</w:t>
      </w:r>
      <w:r>
        <w:rPr>
          <w:color w:val="000000"/>
          <w:sz w:val="20"/>
          <w:szCs w:val="20"/>
        </w:rPr>
        <w:t>. 202</w:t>
      </w:r>
      <w:r w:rsidR="003E2A85">
        <w:rPr>
          <w:color w:val="000000"/>
          <w:sz w:val="20"/>
          <w:szCs w:val="20"/>
        </w:rPr>
        <w:t>3</w:t>
      </w:r>
      <w:r>
        <w:rPr>
          <w:color w:val="000000"/>
          <w:sz w:val="20"/>
          <w:szCs w:val="20"/>
        </w:rPr>
        <w:t>).</w:t>
      </w:r>
    </w:p>
  </w:footnote>
  <w:footnote w:id="5">
    <w:p w14:paraId="45347F7B" w14:textId="6308E143" w:rsidR="002A350B" w:rsidRPr="002A350B" w:rsidRDefault="002A350B" w:rsidP="002A350B">
      <w:pPr>
        <w:pStyle w:val="FootnoteText"/>
        <w:ind w:firstLine="0"/>
      </w:pPr>
      <w:r>
        <w:rPr>
          <w:rStyle w:val="FootnoteReference"/>
        </w:rPr>
        <w:footnoteRef/>
      </w:r>
      <w:r>
        <w:t xml:space="preserve"> International Human Rights Center &amp; Science for Democracy (Joint Submission), </w:t>
      </w:r>
      <w:r>
        <w:rPr>
          <w:i/>
          <w:iCs/>
        </w:rPr>
        <w:t xml:space="preserve">Civil Society Parallel Report </w:t>
      </w:r>
      <w:r w:rsidRPr="002A350B">
        <w:rPr>
          <w:i/>
          <w:iCs/>
        </w:rPr>
        <w:t>on the</w:t>
      </w:r>
      <w:r>
        <w:rPr>
          <w:i/>
          <w:iCs/>
        </w:rPr>
        <w:t xml:space="preserve"> </w:t>
      </w:r>
      <w:r w:rsidRPr="002A350B">
        <w:rPr>
          <w:i/>
          <w:iCs/>
        </w:rPr>
        <w:t>Fourth Report on the Implementation of the</w:t>
      </w:r>
      <w:r>
        <w:rPr>
          <w:i/>
          <w:iCs/>
        </w:rPr>
        <w:t xml:space="preserve"> </w:t>
      </w:r>
      <w:r w:rsidRPr="002A350B">
        <w:rPr>
          <w:i/>
          <w:iCs/>
        </w:rPr>
        <w:t>International Covenant on Economic, Social and Cultural Rights</w:t>
      </w:r>
      <w:r>
        <w:rPr>
          <w:i/>
          <w:iCs/>
        </w:rPr>
        <w:t xml:space="preserve"> </w:t>
      </w:r>
      <w:r w:rsidRPr="002A350B">
        <w:rPr>
          <w:i/>
          <w:iCs/>
        </w:rPr>
        <w:t>by</w:t>
      </w:r>
      <w:r>
        <w:rPr>
          <w:i/>
          <w:iCs/>
        </w:rPr>
        <w:t xml:space="preserve"> </w:t>
      </w:r>
      <w:r w:rsidRPr="002A350B">
        <w:rPr>
          <w:i/>
          <w:iCs/>
        </w:rPr>
        <w:t>th</w:t>
      </w:r>
      <w:r>
        <w:rPr>
          <w:i/>
          <w:iCs/>
        </w:rPr>
        <w:t xml:space="preserve">e </w:t>
      </w:r>
      <w:r w:rsidRPr="002A350B">
        <w:rPr>
          <w:i/>
          <w:iCs/>
        </w:rPr>
        <w:t>Hong Kong Special Administrative Region of</w:t>
      </w:r>
      <w:r>
        <w:rPr>
          <w:i/>
          <w:iCs/>
        </w:rPr>
        <w:t xml:space="preserve"> </w:t>
      </w:r>
      <w:r w:rsidRPr="002A350B">
        <w:rPr>
          <w:i/>
          <w:iCs/>
        </w:rPr>
        <w:t>the People’s Republic of China</w:t>
      </w:r>
      <w:r>
        <w:rPr>
          <w:i/>
          <w:iCs/>
        </w:rPr>
        <w:t xml:space="preserve">, </w:t>
      </w:r>
      <w:r>
        <w:t xml:space="preserve">(2020) available at: </w:t>
      </w:r>
      <w:hyperlink r:id="rId3" w:history="1">
        <w:r w:rsidRPr="007C141E">
          <w:rPr>
            <w:rStyle w:val="Hyperlink"/>
          </w:rPr>
          <w:t>https://tbinternet.ohchr.org/_layouts/15/treatybodyexternal/Download.aspx?symbolno=INT%2FCESCR%2FICO%2FHKG%2F43886&amp;Lang=en</w:t>
        </w:r>
      </w:hyperlink>
      <w:r>
        <w:t xml:space="preserve"> (last visited 10</w:t>
      </w:r>
      <w:r w:rsidR="00C605A6">
        <w:t xml:space="preserve"> Jan.</w:t>
      </w:r>
      <w:r>
        <w:t xml:space="preserve"> 2023). </w:t>
      </w:r>
    </w:p>
  </w:footnote>
  <w:footnote w:id="6">
    <w:p w14:paraId="1D94A8AB" w14:textId="4F72B83F" w:rsidR="00C605A6" w:rsidRPr="00A02D4E" w:rsidRDefault="00C605A6" w:rsidP="00A02D4E">
      <w:pPr>
        <w:pStyle w:val="FootnoteText"/>
        <w:ind w:firstLine="0"/>
        <w:jc w:val="left"/>
      </w:pPr>
      <w:r>
        <w:rPr>
          <w:rStyle w:val="FootnoteReference"/>
        </w:rPr>
        <w:footnoteRef/>
      </w:r>
      <w:r>
        <w:t xml:space="preserve"> </w:t>
      </w:r>
      <w:r w:rsidR="00A02D4E">
        <w:t xml:space="preserve">HKSAR, </w:t>
      </w:r>
      <w:r w:rsidR="00A02D4E">
        <w:rPr>
          <w:i/>
          <w:iCs/>
        </w:rPr>
        <w:t>Replies of the Hong Kong Special Administrative Region of the People’s Republic of China to the Lis</w:t>
      </w:r>
      <w:r w:rsidR="004F470D">
        <w:rPr>
          <w:i/>
          <w:iCs/>
        </w:rPr>
        <w:t>t</w:t>
      </w:r>
      <w:r w:rsidR="00A02D4E">
        <w:rPr>
          <w:i/>
          <w:iCs/>
        </w:rPr>
        <w:t xml:space="preserve"> of Issues in relation to the Fourth Periodic Report, </w:t>
      </w:r>
      <w:r w:rsidR="00A02D4E">
        <w:t xml:space="preserve">available at: </w:t>
      </w:r>
      <w:hyperlink r:id="rId4" w:history="1">
        <w:r w:rsidR="00A02D4E" w:rsidRPr="007C141E">
          <w:rPr>
            <w:rStyle w:val="Hyperlink"/>
          </w:rPr>
          <w:t>https://tbinternet.ohchr.org/_layouts/15/treatybodyexternal/Download.aspx?symbolno=E%2FC.12%2FCHN%2FRQ-HKG%2F4&amp;Lang=en</w:t>
        </w:r>
      </w:hyperlink>
      <w:r w:rsidR="00A02D4E">
        <w:t xml:space="preserve">. (last visited 10 Jan. 2023) UN Doc. E/C.12/CHN/RQ-HKG/4. </w:t>
      </w:r>
    </w:p>
  </w:footnote>
  <w:footnote w:id="7">
    <w:p w14:paraId="20570A74" w14:textId="28D2DDEB" w:rsidR="00A02D4E" w:rsidRPr="00A02D4E" w:rsidRDefault="00A02D4E" w:rsidP="00A02D4E">
      <w:pPr>
        <w:pStyle w:val="FootnoteText"/>
        <w:ind w:firstLine="0"/>
      </w:pPr>
      <w:r>
        <w:rPr>
          <w:rStyle w:val="FootnoteReference"/>
        </w:rPr>
        <w:footnoteRef/>
      </w:r>
      <w:r>
        <w:t xml:space="preserve"> </w:t>
      </w:r>
      <w:r>
        <w:rPr>
          <w:i/>
          <w:iCs/>
        </w:rPr>
        <w:t xml:space="preserve">Ibid. </w:t>
      </w:r>
      <w:r>
        <w:t xml:space="preserve">at paras. 123-126. </w:t>
      </w:r>
    </w:p>
  </w:footnote>
  <w:footnote w:id="8">
    <w:p w14:paraId="00000055" w14:textId="2558848D" w:rsidR="00342666" w:rsidRDefault="00342666" w:rsidP="003E2A85">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See </w:t>
      </w:r>
      <w:r>
        <w:rPr>
          <w:i/>
          <w:color w:val="000000"/>
          <w:sz w:val="20"/>
          <w:szCs w:val="20"/>
        </w:rPr>
        <w:t xml:space="preserve">International Human Rights Clinic, </w:t>
      </w:r>
      <w:r>
        <w:rPr>
          <w:color w:val="000000"/>
          <w:sz w:val="20"/>
          <w:szCs w:val="20"/>
        </w:rPr>
        <w:t xml:space="preserve">Loyola Law School, Los Angeles, </w:t>
      </w:r>
      <w:hyperlink r:id="rId5">
        <w:r>
          <w:rPr>
            <w:color w:val="0563C1"/>
            <w:sz w:val="20"/>
            <w:szCs w:val="20"/>
            <w:u w:val="single"/>
          </w:rPr>
          <w:t>https://www.lls.edu/academics/experientiallearning/clinics/internationalhumanrightscenter/</w:t>
        </w:r>
      </w:hyperlink>
      <w:r>
        <w:rPr>
          <w:color w:val="0563C1"/>
          <w:sz w:val="20"/>
          <w:szCs w:val="20"/>
        </w:rPr>
        <w:t xml:space="preserve"> </w:t>
      </w:r>
      <w:r>
        <w:rPr>
          <w:color w:val="000000"/>
          <w:sz w:val="20"/>
          <w:szCs w:val="20"/>
        </w:rPr>
        <w:t>(last visited 1</w:t>
      </w:r>
      <w:r w:rsidR="003E2A85">
        <w:rPr>
          <w:color w:val="000000"/>
          <w:sz w:val="20"/>
          <w:szCs w:val="20"/>
        </w:rPr>
        <w:t>1</w:t>
      </w:r>
      <w:r>
        <w:rPr>
          <w:color w:val="000000"/>
          <w:sz w:val="20"/>
          <w:szCs w:val="20"/>
        </w:rPr>
        <w:t xml:space="preserve"> </w:t>
      </w:r>
      <w:r w:rsidR="003E2A85">
        <w:rPr>
          <w:color w:val="000000"/>
          <w:sz w:val="20"/>
          <w:szCs w:val="20"/>
        </w:rPr>
        <w:t>Jan</w:t>
      </w:r>
      <w:r>
        <w:rPr>
          <w:color w:val="000000"/>
          <w:sz w:val="20"/>
          <w:szCs w:val="20"/>
        </w:rPr>
        <w:t>. 202</w:t>
      </w:r>
      <w:r w:rsidR="003E2A85">
        <w:rPr>
          <w:color w:val="000000"/>
          <w:sz w:val="20"/>
          <w:szCs w:val="20"/>
        </w:rPr>
        <w:t>3</w:t>
      </w:r>
      <w:r>
        <w:rPr>
          <w:color w:val="000000"/>
          <w:sz w:val="20"/>
          <w:szCs w:val="20"/>
        </w:rPr>
        <w:t>).</w:t>
      </w:r>
    </w:p>
  </w:footnote>
  <w:footnote w:id="9">
    <w:p w14:paraId="00000056" w14:textId="4E044992"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w:t>
      </w:r>
      <w:r>
        <w:rPr>
          <w:i/>
          <w:color w:val="000000"/>
          <w:sz w:val="20"/>
          <w:szCs w:val="20"/>
        </w:rPr>
        <w:t xml:space="preserve">Science for Democracy, </w:t>
      </w:r>
      <w:hyperlink r:id="rId6">
        <w:r>
          <w:rPr>
            <w:color w:val="0563C1"/>
            <w:sz w:val="20"/>
            <w:szCs w:val="20"/>
            <w:u w:val="single"/>
          </w:rPr>
          <w:t>Https://sciencefordemocracy.org/</w:t>
        </w:r>
      </w:hyperlink>
      <w:r>
        <w:rPr>
          <w:color w:val="000000"/>
          <w:sz w:val="20"/>
          <w:szCs w:val="20"/>
        </w:rPr>
        <w:t xml:space="preserve"> (last visited 1</w:t>
      </w:r>
      <w:r w:rsidR="003E2A85">
        <w:rPr>
          <w:color w:val="000000"/>
          <w:sz w:val="20"/>
          <w:szCs w:val="20"/>
        </w:rPr>
        <w:t>1 Jan</w:t>
      </w:r>
      <w:r>
        <w:rPr>
          <w:color w:val="000000"/>
          <w:sz w:val="20"/>
          <w:szCs w:val="20"/>
        </w:rPr>
        <w:t>. 202</w:t>
      </w:r>
      <w:r w:rsidR="003E2A85">
        <w:rPr>
          <w:color w:val="000000"/>
          <w:sz w:val="20"/>
          <w:szCs w:val="20"/>
        </w:rPr>
        <w:t>3</w:t>
      </w:r>
      <w:r>
        <w:rPr>
          <w:color w:val="000000"/>
          <w:sz w:val="20"/>
          <w:szCs w:val="20"/>
        </w:rPr>
        <w:t>).</w:t>
      </w:r>
    </w:p>
  </w:footnote>
  <w:footnote w:id="10">
    <w:p w14:paraId="00000057" w14:textId="713E11A9" w:rsidR="00342666" w:rsidRDefault="00342666" w:rsidP="00770A45">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A fixed and precise definition academic freedom remains elusive. However, the Committee’s remarks in its </w:t>
      </w:r>
      <w:r w:rsidR="003E2A85">
        <w:rPr>
          <w:color w:val="000000"/>
          <w:sz w:val="20"/>
          <w:szCs w:val="20"/>
        </w:rPr>
        <w:t>G</w:t>
      </w:r>
      <w:r>
        <w:rPr>
          <w:color w:val="000000"/>
          <w:sz w:val="20"/>
          <w:szCs w:val="20"/>
        </w:rPr>
        <w:t xml:space="preserve">eneral </w:t>
      </w:r>
      <w:r w:rsidR="003E2A85">
        <w:rPr>
          <w:color w:val="000000"/>
          <w:sz w:val="20"/>
          <w:szCs w:val="20"/>
        </w:rPr>
        <w:t>C</w:t>
      </w:r>
      <w:r>
        <w:rPr>
          <w:color w:val="000000"/>
          <w:sz w:val="20"/>
          <w:szCs w:val="20"/>
        </w:rPr>
        <w:t xml:space="preserve">omments and the UNESCO </w:t>
      </w:r>
      <w:r>
        <w:rPr>
          <w:i/>
          <w:color w:val="000000"/>
          <w:sz w:val="20"/>
          <w:szCs w:val="20"/>
        </w:rPr>
        <w:t>Recommendation Concerning the Status of Higher Education Teaching Personnel</w:t>
      </w:r>
      <w:r>
        <w:rPr>
          <w:color w:val="000000"/>
          <w:sz w:val="20"/>
          <w:szCs w:val="20"/>
        </w:rPr>
        <w:t xml:space="preserve"> are widely cited as providing a conceptual framework for academic freedom. See Klaus D. Beiter, </w:t>
      </w:r>
      <w:r>
        <w:rPr>
          <w:i/>
          <w:color w:val="000000"/>
          <w:sz w:val="20"/>
          <w:szCs w:val="20"/>
        </w:rPr>
        <w:t xml:space="preserve">Where Have All the Scientific and Academic Freedoms Gone?, </w:t>
      </w:r>
      <w:r>
        <w:rPr>
          <w:color w:val="000000"/>
          <w:sz w:val="20"/>
          <w:szCs w:val="20"/>
        </w:rPr>
        <w:t xml:space="preserve">Israel Law Review Vol. 52:2, p. 242 (2019); Jogchum Vrielink et al., </w:t>
      </w:r>
      <w:r>
        <w:rPr>
          <w:i/>
          <w:color w:val="000000"/>
          <w:sz w:val="20"/>
          <w:szCs w:val="20"/>
        </w:rPr>
        <w:t>Academic Freedom as a Fundamental Right,</w:t>
      </w:r>
      <w:r>
        <w:rPr>
          <w:color w:val="000000"/>
          <w:sz w:val="20"/>
          <w:szCs w:val="20"/>
        </w:rPr>
        <w:t xml:space="preserve"> League of European Research Universities, Advice Paper No. 6, paras. 17-21 (Dec. 2010); U</w:t>
      </w:r>
      <w:r w:rsidR="00F52A71">
        <w:rPr>
          <w:color w:val="000000"/>
          <w:sz w:val="20"/>
          <w:szCs w:val="20"/>
        </w:rPr>
        <w:t>N</w:t>
      </w:r>
      <w:r>
        <w:rPr>
          <w:color w:val="000000"/>
          <w:sz w:val="20"/>
          <w:szCs w:val="20"/>
        </w:rPr>
        <w:t xml:space="preserve"> General Assembly, </w:t>
      </w:r>
      <w:r>
        <w:rPr>
          <w:i/>
          <w:color w:val="000000"/>
          <w:sz w:val="20"/>
          <w:szCs w:val="20"/>
        </w:rPr>
        <w:t xml:space="preserve">Promotion and Protection of the Right to Freedom of Opinion and Expression, </w:t>
      </w:r>
      <w:r>
        <w:rPr>
          <w:color w:val="000000"/>
          <w:sz w:val="20"/>
          <w:szCs w:val="20"/>
        </w:rPr>
        <w:t>para. 6-7 (28 July 2020) U</w:t>
      </w:r>
      <w:r w:rsidR="00F52A71">
        <w:rPr>
          <w:color w:val="000000"/>
          <w:sz w:val="20"/>
          <w:szCs w:val="20"/>
        </w:rPr>
        <w:t>N</w:t>
      </w:r>
      <w:r>
        <w:rPr>
          <w:color w:val="000000"/>
          <w:sz w:val="20"/>
          <w:szCs w:val="20"/>
        </w:rPr>
        <w:t xml:space="preserve"> Doc. A/75/261; Debbie Sayers, </w:t>
      </w:r>
      <w:r>
        <w:rPr>
          <w:i/>
          <w:color w:val="000000"/>
          <w:sz w:val="20"/>
          <w:szCs w:val="20"/>
        </w:rPr>
        <w:t xml:space="preserve">The EU Charter of Fundamental Rights; A Commentary; Part 1- Commentary on the Articles of the EU Charter; Art 13- Freedom of Arts and Sciences, </w:t>
      </w:r>
      <w:r>
        <w:rPr>
          <w:color w:val="000000"/>
          <w:sz w:val="20"/>
          <w:szCs w:val="20"/>
        </w:rPr>
        <w:t>pp. 385-386 paras. 13.27-13.29 (Oxford 2014).</w:t>
      </w:r>
    </w:p>
  </w:footnote>
  <w:footnote w:id="11">
    <w:p w14:paraId="00000058" w14:textId="4122CBB6" w:rsidR="00342666" w:rsidRDefault="00342666" w:rsidP="00F52A71">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t>
      </w:r>
      <w:r w:rsidR="00F52A71">
        <w:rPr>
          <w:color w:val="000000"/>
          <w:sz w:val="20"/>
          <w:szCs w:val="20"/>
        </w:rPr>
        <w:t>UN</w:t>
      </w:r>
      <w:r>
        <w:rPr>
          <w:color w:val="000000"/>
          <w:sz w:val="20"/>
          <w:szCs w:val="20"/>
        </w:rPr>
        <w:t xml:space="preserve"> General Assembly, </w:t>
      </w:r>
      <w:r>
        <w:rPr>
          <w:i/>
          <w:color w:val="000000"/>
          <w:sz w:val="20"/>
          <w:szCs w:val="20"/>
        </w:rPr>
        <w:t xml:space="preserve">Promotion and Protection of the Right to Freedom of Opinion and Expression, </w:t>
      </w:r>
      <w:r>
        <w:rPr>
          <w:color w:val="000000"/>
          <w:sz w:val="20"/>
          <w:szCs w:val="20"/>
        </w:rPr>
        <w:t>para. 5 (28 July 2020) U</w:t>
      </w:r>
      <w:r w:rsidR="00F52A71">
        <w:rPr>
          <w:color w:val="000000"/>
          <w:sz w:val="20"/>
          <w:szCs w:val="20"/>
        </w:rPr>
        <w:t>N</w:t>
      </w:r>
      <w:r>
        <w:rPr>
          <w:color w:val="000000"/>
          <w:sz w:val="20"/>
          <w:szCs w:val="20"/>
        </w:rPr>
        <w:t xml:space="preserve"> Doc. A/75/261.</w:t>
      </w:r>
    </w:p>
  </w:footnote>
  <w:footnote w:id="12">
    <w:p w14:paraId="00000059" w14:textId="086A2965" w:rsidR="00342666" w:rsidRDefault="00342666" w:rsidP="00770A45">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United Nations Committee on Economic, Social and Cultural Rights</w:t>
      </w:r>
      <w:r w:rsidR="00F52A71">
        <w:rPr>
          <w:color w:val="000000"/>
          <w:sz w:val="20"/>
          <w:szCs w:val="20"/>
        </w:rPr>
        <w:t xml:space="preserve"> (“CESCR”)</w:t>
      </w:r>
      <w:r>
        <w:rPr>
          <w:color w:val="000000"/>
          <w:sz w:val="20"/>
          <w:szCs w:val="20"/>
        </w:rPr>
        <w:t xml:space="preserve">, </w:t>
      </w:r>
      <w:r>
        <w:rPr>
          <w:i/>
          <w:color w:val="000000"/>
          <w:sz w:val="20"/>
          <w:szCs w:val="20"/>
        </w:rPr>
        <w:t xml:space="preserve">General Comment No. 13 (Twenty-First Session 1999) The Right to Education, </w:t>
      </w:r>
      <w:r>
        <w:rPr>
          <w:color w:val="000000"/>
          <w:sz w:val="20"/>
          <w:szCs w:val="20"/>
        </w:rPr>
        <w:t>paras. 38-40 (8 Dec. 1999) U</w:t>
      </w:r>
      <w:r w:rsidR="00F52A71">
        <w:rPr>
          <w:color w:val="000000"/>
          <w:sz w:val="20"/>
          <w:szCs w:val="20"/>
        </w:rPr>
        <w:t>N</w:t>
      </w:r>
      <w:r>
        <w:rPr>
          <w:color w:val="000000"/>
          <w:sz w:val="20"/>
          <w:szCs w:val="20"/>
        </w:rPr>
        <w:t xml:space="preserve"> Doc. E/C.12/1999/10 (reading academic freedom as an accompanying right to the article 13’s right to education).</w:t>
      </w:r>
    </w:p>
  </w:footnote>
  <w:footnote w:id="13">
    <w:p w14:paraId="0000005A" w14:textId="3EB92BFC" w:rsidR="00342666" w:rsidRDefault="00342666" w:rsidP="00770A45">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t>
      </w:r>
      <w:r w:rsidR="00F52A71">
        <w:rPr>
          <w:color w:val="000000"/>
          <w:sz w:val="20"/>
          <w:szCs w:val="20"/>
        </w:rPr>
        <w:t>CESCR</w:t>
      </w:r>
      <w:r>
        <w:rPr>
          <w:color w:val="000000"/>
          <w:sz w:val="20"/>
          <w:szCs w:val="20"/>
        </w:rPr>
        <w:t xml:space="preserve">, </w:t>
      </w:r>
      <w:r>
        <w:rPr>
          <w:i/>
          <w:color w:val="000000"/>
          <w:sz w:val="20"/>
          <w:szCs w:val="20"/>
        </w:rPr>
        <w:t xml:space="preserve">General Comment No. 25 (2020) on Science and Economic, Social and Cultural Rights, </w:t>
      </w:r>
      <w:r>
        <w:rPr>
          <w:color w:val="000000"/>
          <w:sz w:val="20"/>
          <w:szCs w:val="20"/>
        </w:rPr>
        <w:t>para. 46 (30 Apr. 2020) U</w:t>
      </w:r>
      <w:r w:rsidR="00F52A71">
        <w:rPr>
          <w:color w:val="000000"/>
          <w:sz w:val="20"/>
          <w:szCs w:val="20"/>
        </w:rPr>
        <w:t>N</w:t>
      </w:r>
      <w:r>
        <w:rPr>
          <w:color w:val="000000"/>
          <w:sz w:val="20"/>
          <w:szCs w:val="20"/>
        </w:rPr>
        <w:t xml:space="preserve"> Doc. E/C.12/GC/25 (clarifying that the positive State duty to actively promote the advancement of science “implies inter alia, protection and promotion of academic and scientific freedom.)</w:t>
      </w:r>
    </w:p>
  </w:footnote>
  <w:footnote w:id="14">
    <w:p w14:paraId="0000005B" w14:textId="4707283A" w:rsidR="00342666" w:rsidRPr="002C0E92" w:rsidRDefault="00342666">
      <w:pPr>
        <w:pBdr>
          <w:top w:val="nil"/>
          <w:left w:val="nil"/>
          <w:bottom w:val="nil"/>
          <w:right w:val="nil"/>
          <w:between w:val="nil"/>
        </w:pBdr>
        <w:spacing w:line="240" w:lineRule="auto"/>
        <w:ind w:firstLine="0"/>
        <w:rPr>
          <w:iCs/>
          <w:color w:val="000000"/>
          <w:sz w:val="20"/>
          <w:szCs w:val="20"/>
        </w:rPr>
      </w:pPr>
      <w:r>
        <w:rPr>
          <w:rStyle w:val="FootnoteReference"/>
        </w:rPr>
        <w:footnoteRef/>
      </w:r>
      <w:r>
        <w:rPr>
          <w:color w:val="000000"/>
          <w:sz w:val="20"/>
          <w:szCs w:val="20"/>
        </w:rPr>
        <w:t xml:space="preserve"> </w:t>
      </w:r>
      <w:r w:rsidR="002C0E92">
        <w:rPr>
          <w:iCs/>
          <w:color w:val="000000"/>
          <w:sz w:val="20"/>
          <w:szCs w:val="20"/>
        </w:rPr>
        <w:t xml:space="preserve">CESCR, </w:t>
      </w:r>
      <w:r w:rsidR="002C0E92">
        <w:rPr>
          <w:i/>
          <w:color w:val="000000"/>
          <w:sz w:val="20"/>
          <w:szCs w:val="20"/>
        </w:rPr>
        <w:t xml:space="preserve">General Comment No. 13, </w:t>
      </w:r>
      <w:r w:rsidR="00AA55A4">
        <w:rPr>
          <w:i/>
          <w:color w:val="000000"/>
          <w:sz w:val="20"/>
          <w:szCs w:val="20"/>
        </w:rPr>
        <w:t>s</w:t>
      </w:r>
      <w:r w:rsidR="002C0E92">
        <w:rPr>
          <w:i/>
          <w:color w:val="000000"/>
          <w:sz w:val="20"/>
          <w:szCs w:val="20"/>
        </w:rPr>
        <w:t xml:space="preserve">upra. </w:t>
      </w:r>
      <w:r w:rsidR="002C0E92">
        <w:rPr>
          <w:iCs/>
          <w:color w:val="000000"/>
          <w:sz w:val="20"/>
          <w:szCs w:val="20"/>
        </w:rPr>
        <w:t xml:space="preserve">n. 12 at para. 39. </w:t>
      </w:r>
    </w:p>
  </w:footnote>
  <w:footnote w:id="15">
    <w:p w14:paraId="0000005C" w14:textId="77777777" w:rsidR="00342666" w:rsidRDefault="00342666" w:rsidP="00770A45">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t>
      </w:r>
      <w:r>
        <w:rPr>
          <w:i/>
          <w:color w:val="000000"/>
          <w:sz w:val="20"/>
          <w:szCs w:val="20"/>
        </w:rPr>
        <w:t xml:space="preserve">Sorguç v. Turkey, </w:t>
      </w:r>
      <w:r>
        <w:rPr>
          <w:color w:val="000000"/>
          <w:sz w:val="20"/>
          <w:szCs w:val="20"/>
        </w:rPr>
        <w:t xml:space="preserve">App. No. 17089/03, European Court of Human Rights, Judgement, para. 35 (23 June 2009) </w:t>
      </w:r>
      <w:hyperlink r:id="rId7" w:anchor="%7B%22fulltext%22:%5B%2217089/03%22%5D,%22documentcollectionid2%22:%5B%22GRANDCHAMBER%22,%22CHAMBER%22%5D,%22itemid%22:%5B%22001-93161%22%5D%7D">
        <w:r>
          <w:rPr>
            <w:color w:val="0563C1"/>
            <w:sz w:val="20"/>
            <w:szCs w:val="20"/>
            <w:u w:val="single"/>
          </w:rPr>
          <w:t>https://hudoc.echr.coe.int/eng#{%22fulltext%22:[%2217089/03%22],%22documentcollectionid2%22:[%22GRANDCHAMBER%22,%22CHAMBER%22],%22itemid%22:[%22001-93161%22]}</w:t>
        </w:r>
      </w:hyperlink>
      <w:r>
        <w:rPr>
          <w:color w:val="000000"/>
          <w:sz w:val="20"/>
          <w:szCs w:val="20"/>
        </w:rPr>
        <w:t>.</w:t>
      </w:r>
    </w:p>
  </w:footnote>
  <w:footnote w:id="16">
    <w:p w14:paraId="0000005D" w14:textId="04C65EC7" w:rsidR="00342666" w:rsidRDefault="00342666" w:rsidP="00770A45">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t>
      </w:r>
      <w:r w:rsidR="002C0E92">
        <w:rPr>
          <w:color w:val="000000"/>
          <w:sz w:val="20"/>
          <w:szCs w:val="20"/>
        </w:rPr>
        <w:t>UN</w:t>
      </w:r>
      <w:r>
        <w:rPr>
          <w:color w:val="000000"/>
          <w:sz w:val="20"/>
          <w:szCs w:val="20"/>
        </w:rPr>
        <w:t xml:space="preserve"> General Assembly, </w:t>
      </w:r>
      <w:r>
        <w:rPr>
          <w:i/>
          <w:color w:val="000000"/>
          <w:sz w:val="20"/>
          <w:szCs w:val="20"/>
        </w:rPr>
        <w:t xml:space="preserve">Promotion and Protection of the Right to Freedom of Opinion and Expression, </w:t>
      </w:r>
      <w:r>
        <w:rPr>
          <w:color w:val="000000"/>
          <w:sz w:val="20"/>
          <w:szCs w:val="20"/>
        </w:rPr>
        <w:t>para. 56(c) (28 July 2020) U</w:t>
      </w:r>
      <w:r w:rsidR="002C0E92">
        <w:rPr>
          <w:color w:val="000000"/>
          <w:sz w:val="20"/>
          <w:szCs w:val="20"/>
        </w:rPr>
        <w:t>N</w:t>
      </w:r>
      <w:r>
        <w:rPr>
          <w:color w:val="000000"/>
          <w:sz w:val="20"/>
          <w:szCs w:val="20"/>
        </w:rPr>
        <w:t xml:space="preserve"> Doc. A/75/261.</w:t>
      </w:r>
    </w:p>
  </w:footnote>
  <w:footnote w:id="17">
    <w:p w14:paraId="0000005E" w14:textId="1C2383DC" w:rsidR="00342666" w:rsidRDefault="00342666" w:rsidP="00873E2C">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United Nations Educational, Scientific and Cultural Organization</w:t>
      </w:r>
      <w:r w:rsidR="00AA55A4">
        <w:rPr>
          <w:color w:val="000000"/>
          <w:sz w:val="20"/>
          <w:szCs w:val="20"/>
        </w:rPr>
        <w:t xml:space="preserve"> (“UNESCO”)</w:t>
      </w:r>
      <w:r>
        <w:rPr>
          <w:color w:val="000000"/>
          <w:sz w:val="20"/>
          <w:szCs w:val="20"/>
        </w:rPr>
        <w:t xml:space="preserve">, </w:t>
      </w:r>
      <w:r>
        <w:rPr>
          <w:i/>
          <w:color w:val="000000"/>
          <w:sz w:val="20"/>
          <w:szCs w:val="20"/>
        </w:rPr>
        <w:t xml:space="preserve">Recommendation Concerning the Status of Higher-Education Teaching Personnel, </w:t>
      </w:r>
      <w:r>
        <w:rPr>
          <w:color w:val="000000"/>
          <w:sz w:val="20"/>
          <w:szCs w:val="20"/>
        </w:rPr>
        <w:t>UNESCO General Conference, 29</w:t>
      </w:r>
      <w:r>
        <w:rPr>
          <w:color w:val="000000"/>
          <w:sz w:val="20"/>
          <w:szCs w:val="20"/>
          <w:vertAlign w:val="superscript"/>
        </w:rPr>
        <w:t>th</w:t>
      </w:r>
      <w:r>
        <w:rPr>
          <w:color w:val="000000"/>
          <w:sz w:val="20"/>
          <w:szCs w:val="20"/>
        </w:rPr>
        <w:t xml:space="preserve"> Paris, para. 21 (11 Nov. 1997). </w:t>
      </w:r>
    </w:p>
  </w:footnote>
  <w:footnote w:id="18">
    <w:p w14:paraId="0000005F" w14:textId="2E26D78F" w:rsidR="00342666" w:rsidRDefault="00342666" w:rsidP="00873E2C">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t>
      </w:r>
      <w:r>
        <w:rPr>
          <w:i/>
          <w:color w:val="000000"/>
          <w:sz w:val="20"/>
          <w:szCs w:val="20"/>
        </w:rPr>
        <w:t>I</w:t>
      </w:r>
      <w:r w:rsidR="00E4590F">
        <w:rPr>
          <w:i/>
          <w:color w:val="000000"/>
          <w:sz w:val="20"/>
          <w:szCs w:val="20"/>
        </w:rPr>
        <w:t>bid</w:t>
      </w:r>
      <w:r>
        <w:rPr>
          <w:i/>
          <w:color w:val="000000"/>
          <w:sz w:val="20"/>
          <w:szCs w:val="20"/>
        </w:rPr>
        <w:t xml:space="preserve">. </w:t>
      </w:r>
      <w:r>
        <w:rPr>
          <w:color w:val="000000"/>
          <w:sz w:val="20"/>
          <w:szCs w:val="20"/>
        </w:rPr>
        <w:t xml:space="preserve">at para. 18. </w:t>
      </w:r>
    </w:p>
  </w:footnote>
  <w:footnote w:id="19">
    <w:p w14:paraId="00000060" w14:textId="56691D06" w:rsidR="00342666" w:rsidRDefault="00342666" w:rsidP="00873E2C">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t>
      </w:r>
      <w:r w:rsidR="00AA55A4">
        <w:rPr>
          <w:color w:val="000000"/>
          <w:sz w:val="20"/>
          <w:szCs w:val="20"/>
        </w:rPr>
        <w:t>CESCR</w:t>
      </w:r>
      <w:r>
        <w:rPr>
          <w:color w:val="000000"/>
          <w:sz w:val="20"/>
          <w:szCs w:val="20"/>
        </w:rPr>
        <w:t xml:space="preserve">, </w:t>
      </w:r>
      <w:r>
        <w:rPr>
          <w:i/>
          <w:color w:val="000000"/>
          <w:sz w:val="20"/>
          <w:szCs w:val="20"/>
        </w:rPr>
        <w:t>General Comment No. 13</w:t>
      </w:r>
      <w:r w:rsidR="00AA55A4">
        <w:rPr>
          <w:i/>
          <w:color w:val="000000"/>
          <w:sz w:val="20"/>
          <w:szCs w:val="20"/>
        </w:rPr>
        <w:t xml:space="preserve">, supra. </w:t>
      </w:r>
      <w:r w:rsidR="00AA55A4">
        <w:rPr>
          <w:iCs/>
          <w:color w:val="000000"/>
          <w:sz w:val="20"/>
          <w:szCs w:val="20"/>
        </w:rPr>
        <w:t>n. 12 at</w:t>
      </w:r>
      <w:r>
        <w:rPr>
          <w:i/>
          <w:color w:val="000000"/>
          <w:sz w:val="20"/>
          <w:szCs w:val="20"/>
        </w:rPr>
        <w:t xml:space="preserve"> </w:t>
      </w:r>
      <w:r>
        <w:rPr>
          <w:color w:val="000000"/>
          <w:sz w:val="20"/>
          <w:szCs w:val="20"/>
        </w:rPr>
        <w:t>para. 40</w:t>
      </w:r>
      <w:r w:rsidR="00AA55A4">
        <w:rPr>
          <w:color w:val="000000"/>
          <w:sz w:val="20"/>
          <w:szCs w:val="20"/>
        </w:rPr>
        <w:t>.</w:t>
      </w:r>
    </w:p>
  </w:footnote>
  <w:footnote w:id="20">
    <w:p w14:paraId="00000061"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21">
    <w:p w14:paraId="00000062" w14:textId="59F700C3" w:rsidR="00342666" w:rsidRDefault="00342666" w:rsidP="00873E2C">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t>
      </w:r>
      <w:r w:rsidR="00AA55A4">
        <w:rPr>
          <w:color w:val="000000"/>
          <w:sz w:val="20"/>
          <w:szCs w:val="20"/>
        </w:rPr>
        <w:t xml:space="preserve">UN </w:t>
      </w:r>
      <w:r>
        <w:rPr>
          <w:color w:val="000000"/>
          <w:sz w:val="20"/>
          <w:szCs w:val="20"/>
        </w:rPr>
        <w:t xml:space="preserve">General Assembly, </w:t>
      </w:r>
      <w:r>
        <w:rPr>
          <w:i/>
          <w:color w:val="000000"/>
          <w:sz w:val="20"/>
          <w:szCs w:val="20"/>
        </w:rPr>
        <w:t xml:space="preserve">Promotion and Protection of the Right to Freedom of Opinion and Expression, </w:t>
      </w:r>
      <w:r>
        <w:rPr>
          <w:color w:val="000000"/>
          <w:sz w:val="20"/>
          <w:szCs w:val="20"/>
        </w:rPr>
        <w:t>para. 39 (28 July 2020) U.N. Doc. A/75/261.</w:t>
      </w:r>
    </w:p>
  </w:footnote>
  <w:footnote w:id="22">
    <w:p w14:paraId="00000063" w14:textId="12057B2C" w:rsidR="00342666" w:rsidRDefault="00342666" w:rsidP="00873E2C">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t>
      </w:r>
      <w:r w:rsidR="00873E2C">
        <w:rPr>
          <w:color w:val="000000"/>
          <w:sz w:val="20"/>
          <w:szCs w:val="20"/>
        </w:rPr>
        <w:t>CESCR</w:t>
      </w:r>
      <w:r>
        <w:rPr>
          <w:color w:val="000000"/>
          <w:sz w:val="20"/>
          <w:szCs w:val="20"/>
        </w:rPr>
        <w:t xml:space="preserve">, </w:t>
      </w:r>
      <w:r>
        <w:rPr>
          <w:i/>
          <w:color w:val="000000"/>
          <w:sz w:val="20"/>
          <w:szCs w:val="20"/>
        </w:rPr>
        <w:t>General Comment No. 13</w:t>
      </w:r>
      <w:r w:rsidR="00E4590F">
        <w:rPr>
          <w:i/>
          <w:color w:val="000000"/>
          <w:sz w:val="20"/>
          <w:szCs w:val="20"/>
        </w:rPr>
        <w:t xml:space="preserve">, </w:t>
      </w:r>
      <w:r w:rsidR="00873E2C">
        <w:rPr>
          <w:i/>
          <w:color w:val="000000"/>
          <w:sz w:val="20"/>
          <w:szCs w:val="20"/>
        </w:rPr>
        <w:t xml:space="preserve">supra. </w:t>
      </w:r>
      <w:r w:rsidR="00873E2C">
        <w:rPr>
          <w:iCs/>
          <w:color w:val="000000"/>
          <w:sz w:val="20"/>
          <w:szCs w:val="20"/>
        </w:rPr>
        <w:t>n. 12 at</w:t>
      </w:r>
      <w:r w:rsidR="00873E2C">
        <w:rPr>
          <w:i/>
          <w:color w:val="000000"/>
          <w:sz w:val="20"/>
          <w:szCs w:val="20"/>
        </w:rPr>
        <w:t xml:space="preserve"> </w:t>
      </w:r>
      <w:r w:rsidR="00873E2C">
        <w:rPr>
          <w:color w:val="000000"/>
          <w:sz w:val="20"/>
          <w:szCs w:val="20"/>
        </w:rPr>
        <w:t>para. 39.</w:t>
      </w:r>
    </w:p>
  </w:footnote>
  <w:footnote w:id="23">
    <w:p w14:paraId="00000064" w14:textId="0B7957A1" w:rsidR="00342666" w:rsidRDefault="00342666" w:rsidP="00873E2C">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t>
      </w:r>
      <w:r w:rsidR="00873E2C">
        <w:rPr>
          <w:color w:val="000000"/>
          <w:sz w:val="20"/>
          <w:szCs w:val="20"/>
        </w:rPr>
        <w:t>UN</w:t>
      </w:r>
      <w:r>
        <w:rPr>
          <w:color w:val="000000"/>
          <w:sz w:val="20"/>
          <w:szCs w:val="20"/>
        </w:rPr>
        <w:t xml:space="preserve"> General Assembly, </w:t>
      </w:r>
      <w:r>
        <w:rPr>
          <w:i/>
          <w:color w:val="000000"/>
          <w:sz w:val="20"/>
          <w:szCs w:val="20"/>
        </w:rPr>
        <w:t xml:space="preserve">Promotion and Protection of the Right to Freedom of Opinion and Expression, </w:t>
      </w:r>
      <w:r>
        <w:rPr>
          <w:color w:val="000000"/>
          <w:sz w:val="20"/>
          <w:szCs w:val="20"/>
        </w:rPr>
        <w:t>paras. 9-10 (28 July 2020)</w:t>
      </w:r>
      <w:r w:rsidR="00E4590F">
        <w:rPr>
          <w:color w:val="000000"/>
          <w:sz w:val="20"/>
          <w:szCs w:val="20"/>
        </w:rPr>
        <w:t>,</w:t>
      </w:r>
      <w:r>
        <w:rPr>
          <w:color w:val="000000"/>
          <w:sz w:val="20"/>
          <w:szCs w:val="20"/>
        </w:rPr>
        <w:t xml:space="preserve"> U</w:t>
      </w:r>
      <w:r w:rsidR="00E4590F">
        <w:rPr>
          <w:color w:val="000000"/>
          <w:sz w:val="20"/>
          <w:szCs w:val="20"/>
        </w:rPr>
        <w:t>N</w:t>
      </w:r>
      <w:r>
        <w:rPr>
          <w:color w:val="000000"/>
          <w:sz w:val="20"/>
          <w:szCs w:val="20"/>
        </w:rPr>
        <w:t xml:space="preserve"> Doc. A/75/261.</w:t>
      </w:r>
    </w:p>
  </w:footnote>
  <w:footnote w:id="24">
    <w:p w14:paraId="4FE8D912" w14:textId="3214FE7D" w:rsidR="0016621A" w:rsidRPr="0016621A" w:rsidRDefault="0016621A" w:rsidP="0016621A">
      <w:pPr>
        <w:pStyle w:val="FootnoteText"/>
        <w:ind w:firstLine="0"/>
      </w:pPr>
      <w:r w:rsidRPr="0016621A">
        <w:rPr>
          <w:rStyle w:val="FootnoteReference"/>
          <w:sz w:val="24"/>
          <w:szCs w:val="24"/>
        </w:rPr>
        <w:footnoteRef/>
      </w:r>
      <w:r w:rsidRPr="0016621A">
        <w:rPr>
          <w:sz w:val="24"/>
          <w:szCs w:val="24"/>
          <w:vertAlign w:val="superscript"/>
        </w:rPr>
        <w:t xml:space="preserve"> </w:t>
      </w:r>
      <w:r>
        <w:t xml:space="preserve">International Human Rights Center &amp; Science for Democracy (Joint Submission), </w:t>
      </w:r>
      <w:r>
        <w:rPr>
          <w:i/>
          <w:iCs/>
        </w:rPr>
        <w:t xml:space="preserve">Civil Society Parallel Report, supra. </w:t>
      </w:r>
      <w:r>
        <w:t>n. 5 at paras. 12-17.</w:t>
      </w:r>
    </w:p>
  </w:footnote>
  <w:footnote w:id="25">
    <w:p w14:paraId="232686FC" w14:textId="5CDEAB9B" w:rsidR="0016621A" w:rsidRPr="00E4590F" w:rsidRDefault="0016621A" w:rsidP="00E4590F">
      <w:pPr>
        <w:pStyle w:val="FootnoteText"/>
        <w:ind w:firstLine="0"/>
      </w:pPr>
      <w:r w:rsidRPr="00E4590F">
        <w:rPr>
          <w:rStyle w:val="FootnoteReference"/>
          <w:vertAlign w:val="baseline"/>
        </w:rPr>
        <w:footnoteRef/>
      </w:r>
      <w:r w:rsidRPr="00E4590F">
        <w:t xml:space="preserve"> </w:t>
      </w:r>
      <w:r w:rsidR="00E4590F">
        <w:t>See</w:t>
      </w:r>
      <w:r w:rsidR="00E4590F" w:rsidRPr="00E4590F">
        <w:rPr>
          <w:color w:val="000000"/>
        </w:rPr>
        <w:t xml:space="preserve"> </w:t>
      </w:r>
      <w:r w:rsidR="00E4590F">
        <w:rPr>
          <w:color w:val="000000"/>
        </w:rPr>
        <w:t xml:space="preserve">UN General Assembly, </w:t>
      </w:r>
      <w:r w:rsidR="00E4590F">
        <w:rPr>
          <w:i/>
          <w:color w:val="000000"/>
        </w:rPr>
        <w:t xml:space="preserve">Promotion and Protection of the Right to Freedom of Opinion and Expression, </w:t>
      </w:r>
      <w:r w:rsidR="00E4590F">
        <w:rPr>
          <w:color w:val="000000"/>
        </w:rPr>
        <w:t xml:space="preserve">paras. 9-10 (28 July 2020) UN Doc. A/75/261; UN Human Rights Council: Working. Group on Arbitrary Detention, </w:t>
      </w:r>
      <w:r w:rsidR="00E4590F">
        <w:rPr>
          <w:i/>
          <w:color w:val="000000"/>
        </w:rPr>
        <w:t>Opinion No. 3/2014,</w:t>
      </w:r>
      <w:r w:rsidR="00E4590F">
        <w:rPr>
          <w:color w:val="000000"/>
        </w:rPr>
        <w:t xml:space="preserve"> para. 24 (21 July 2014) UN Doc. A/HRC/WGAD/2014/3.</w:t>
      </w:r>
    </w:p>
  </w:footnote>
  <w:footnote w:id="26">
    <w:p w14:paraId="71C36848" w14:textId="64DF82C3" w:rsidR="00CE2BFE" w:rsidRDefault="00CE2BFE" w:rsidP="00D95BA5">
      <w:pPr>
        <w:pStyle w:val="FootnoteText"/>
        <w:ind w:firstLine="0"/>
      </w:pPr>
      <w:r>
        <w:rPr>
          <w:rStyle w:val="FootnoteReference"/>
        </w:rPr>
        <w:footnoteRef/>
      </w:r>
      <w:r>
        <w:t xml:space="preserve"> </w:t>
      </w:r>
      <w:r w:rsidR="00D95BA5">
        <w:rPr>
          <w:color w:val="000000"/>
        </w:rPr>
        <w:t xml:space="preserve">See Katrin Kinzelbach et al., </w:t>
      </w:r>
      <w:r w:rsidR="00D95BA5">
        <w:rPr>
          <w:i/>
          <w:color w:val="000000"/>
        </w:rPr>
        <w:t xml:space="preserve">Free Universities: Putting Academic Freedom Index into Action, </w:t>
      </w:r>
      <w:r w:rsidR="00D95BA5">
        <w:rPr>
          <w:color w:val="000000"/>
        </w:rPr>
        <w:t>Global Public Policy Institute &amp; Scholars at Risk, p. 15 fig. 5 (March 2021).</w:t>
      </w:r>
    </w:p>
  </w:footnote>
  <w:footnote w:id="27">
    <w:p w14:paraId="0000007C" w14:textId="20C9BFC8"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sidR="00964787">
        <w:rPr>
          <w:color w:val="000000"/>
          <w:sz w:val="20"/>
          <w:szCs w:val="20"/>
        </w:rPr>
        <w:t xml:space="preserve">Official English translation, </w:t>
      </w:r>
      <w:r w:rsidR="00964787">
        <w:rPr>
          <w:i/>
          <w:color w:val="000000"/>
          <w:sz w:val="20"/>
          <w:szCs w:val="20"/>
        </w:rPr>
        <w:t>Hong Kong National Security Law Full Text, s</w:t>
      </w:r>
      <w:r>
        <w:rPr>
          <w:i/>
          <w:color w:val="000000"/>
          <w:sz w:val="20"/>
          <w:szCs w:val="20"/>
        </w:rPr>
        <w:t xml:space="preserve">upra. </w:t>
      </w:r>
      <w:r>
        <w:rPr>
          <w:color w:val="000000"/>
          <w:sz w:val="20"/>
          <w:szCs w:val="20"/>
        </w:rPr>
        <w:t xml:space="preserve">n. 4. </w:t>
      </w:r>
    </w:p>
  </w:footnote>
  <w:footnote w:id="28">
    <w:p w14:paraId="0000007D" w14:textId="00BE53E5"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Basic Law Of the Hong Kong Special Administrative Region of the People’s Republic of China, Ch</w:t>
      </w:r>
      <w:r w:rsidR="00592AB7">
        <w:rPr>
          <w:color w:val="000000"/>
          <w:sz w:val="20"/>
          <w:szCs w:val="20"/>
        </w:rPr>
        <w:t>.</w:t>
      </w:r>
      <w:r>
        <w:rPr>
          <w:color w:val="000000"/>
          <w:sz w:val="20"/>
          <w:szCs w:val="20"/>
        </w:rPr>
        <w:t xml:space="preserve"> I</w:t>
      </w:r>
      <w:r w:rsidR="00592AB7">
        <w:rPr>
          <w:color w:val="000000"/>
          <w:sz w:val="20"/>
          <w:szCs w:val="20"/>
        </w:rPr>
        <w:t>I</w:t>
      </w:r>
      <w:r w:rsidR="00382FF3">
        <w:rPr>
          <w:color w:val="000000"/>
          <w:sz w:val="20"/>
          <w:szCs w:val="20"/>
        </w:rPr>
        <w:t xml:space="preserve">, Art. 23 </w:t>
      </w:r>
      <w:hyperlink r:id="rId8" w:history="1">
        <w:r w:rsidR="00592AB7" w:rsidRPr="00592AB7">
          <w:rPr>
            <w:rStyle w:val="Hyperlink"/>
            <w:sz w:val="20"/>
            <w:szCs w:val="20"/>
          </w:rPr>
          <w:t>https://www.basiclaw.gov.hk/en/basiclaw/chapter2.html</w:t>
        </w:r>
      </w:hyperlink>
      <w:r w:rsidRPr="00592AB7">
        <w:rPr>
          <w:color w:val="000000"/>
          <w:sz w:val="20"/>
          <w:szCs w:val="20"/>
        </w:rPr>
        <w:t>.</w:t>
      </w:r>
    </w:p>
  </w:footnote>
  <w:footnote w:id="29">
    <w:p w14:paraId="0000007E"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30">
    <w:p w14:paraId="0000007F" w14:textId="60E6526F" w:rsidR="00342666" w:rsidRDefault="00342666" w:rsidP="00592AB7">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See Elson Tong, </w:t>
      </w:r>
      <w:r>
        <w:rPr>
          <w:i/>
          <w:color w:val="000000"/>
          <w:sz w:val="20"/>
          <w:szCs w:val="20"/>
        </w:rPr>
        <w:t xml:space="preserve">Reviving Article 23 (Part 1): The Rise and Fall of Hong Kong’s 2003 National Security Bill, </w:t>
      </w:r>
      <w:r>
        <w:rPr>
          <w:color w:val="000000"/>
          <w:sz w:val="20"/>
          <w:szCs w:val="20"/>
        </w:rPr>
        <w:t xml:space="preserve">Hong Kong Free Press (17 Feb. 2018) </w:t>
      </w:r>
      <w:hyperlink r:id="rId9" w:history="1">
        <w:r w:rsidR="008C60F5" w:rsidRPr="007C141E">
          <w:rPr>
            <w:rStyle w:val="Hyperlink"/>
            <w:sz w:val="20"/>
            <w:szCs w:val="20"/>
          </w:rPr>
          <w:t>https://hongkongfp.com/2018/02/17/reviving-article-23-part-i-rise-fall-hong-kongs-2003-national-security-bill/</w:t>
        </w:r>
      </w:hyperlink>
      <w:r>
        <w:rPr>
          <w:color w:val="000000"/>
          <w:sz w:val="20"/>
          <w:szCs w:val="20"/>
        </w:rPr>
        <w:t>.</w:t>
      </w:r>
    </w:p>
  </w:footnote>
  <w:footnote w:id="31">
    <w:p w14:paraId="00000080" w14:textId="01B313F6" w:rsidR="00342666" w:rsidRDefault="00342666" w:rsidP="00592AB7">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See Natalie Wong, </w:t>
      </w:r>
      <w:r>
        <w:rPr>
          <w:i/>
          <w:color w:val="000000"/>
          <w:sz w:val="20"/>
          <w:szCs w:val="20"/>
        </w:rPr>
        <w:t xml:space="preserve">National Security Law: Five Differences Between Hong Kong’s New Legislation and 2003’s Shelved Article 23 Bill, </w:t>
      </w:r>
      <w:r>
        <w:rPr>
          <w:color w:val="000000"/>
          <w:sz w:val="20"/>
          <w:szCs w:val="20"/>
        </w:rPr>
        <w:t xml:space="preserve">South China Morning Post (9 July 2020) </w:t>
      </w:r>
      <w:hyperlink r:id="rId10" w:history="1">
        <w:r w:rsidR="0091669A" w:rsidRPr="007C141E">
          <w:rPr>
            <w:rStyle w:val="Hyperlink"/>
            <w:sz w:val="20"/>
            <w:szCs w:val="20"/>
          </w:rPr>
          <w:t>https://www.scmp.com/news/hong-kong/politics/article/3092396/national-security-law-five-differences-between-hong-kongs</w:t>
        </w:r>
      </w:hyperlink>
      <w:r>
        <w:rPr>
          <w:color w:val="000000"/>
          <w:sz w:val="20"/>
          <w:szCs w:val="20"/>
        </w:rPr>
        <w:t xml:space="preserve">. </w:t>
      </w:r>
    </w:p>
  </w:footnote>
  <w:footnote w:id="32">
    <w:p w14:paraId="00000081" w14:textId="0C5B974C" w:rsidR="00342666" w:rsidRDefault="00342666" w:rsidP="00592AB7">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“Between November 17 and 29, 2019, a protracted, at-times fiery siege, of the Hong Kong Polytechnic University took place. Police surrounded the campus after students and activists barricaded themselves inside. More than 1,100 mostly young activists were arrested in what was widely seen as the police’s first major success against the protest movement. Key Dates in Hong Kong’s Anti-Government Protests, Reuters (2 June 2020) </w:t>
      </w:r>
      <w:hyperlink r:id="rId11" w:history="1">
        <w:r w:rsidR="008C60F5" w:rsidRPr="007C141E">
          <w:rPr>
            <w:rStyle w:val="Hyperlink"/>
            <w:sz w:val="20"/>
            <w:szCs w:val="20"/>
          </w:rPr>
          <w:t>https://www.reuters.com/article/us-hongkong-protests-anniversary-timelin/key-dates-in-hong-kongs-anti-government-protests-idUSKBN23A0QD</w:t>
        </w:r>
      </w:hyperlink>
      <w:r>
        <w:rPr>
          <w:color w:val="000000"/>
          <w:sz w:val="20"/>
          <w:szCs w:val="20"/>
        </w:rPr>
        <w:t>.</w:t>
      </w:r>
    </w:p>
  </w:footnote>
  <w:footnote w:id="33">
    <w:p w14:paraId="00000082" w14:textId="09CE9F93" w:rsidR="00342666" w:rsidRDefault="00342666" w:rsidP="00A73FC1">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“With Article 23 continuing to lie dormant and with Hong Kong’s national security law enforcement capabilities lacking, national security and Hong Kong’s long-term prosperity are under threat, says the Decision’s explanation. The central government thus decided to take matters into its own hands.” Changhao Wei, </w:t>
      </w:r>
      <w:r>
        <w:rPr>
          <w:i/>
          <w:color w:val="000000"/>
          <w:sz w:val="20"/>
          <w:szCs w:val="20"/>
        </w:rPr>
        <w:t xml:space="preserve">2020 NPC Secession: NPC’s Decision on National Security in Hong Kong Explained, </w:t>
      </w:r>
      <w:r>
        <w:rPr>
          <w:color w:val="000000"/>
          <w:sz w:val="20"/>
          <w:szCs w:val="20"/>
        </w:rPr>
        <w:t xml:space="preserve">NPC Observer (28 May 2020) </w:t>
      </w:r>
      <w:hyperlink r:id="rId12" w:history="1">
        <w:r w:rsidR="008C60F5" w:rsidRPr="007C141E">
          <w:rPr>
            <w:rStyle w:val="Hyperlink"/>
            <w:sz w:val="20"/>
            <w:szCs w:val="20"/>
          </w:rPr>
          <w:t xml:space="preserve">https://npcobserver.com/2020/05/22/2020-npc-session-npcs-imminent-decision-on-national-security-in-hong-kong-explained/ </w:t>
        </w:r>
      </w:hyperlink>
      <w:r>
        <w:rPr>
          <w:color w:val="000000"/>
          <w:sz w:val="20"/>
          <w:szCs w:val="20"/>
        </w:rPr>
        <w:t>.</w:t>
      </w:r>
    </w:p>
  </w:footnote>
  <w:footnote w:id="34">
    <w:p w14:paraId="00000083" w14:textId="6E35D523" w:rsidR="00342666" w:rsidRPr="00955A69" w:rsidRDefault="00342666" w:rsidP="00955A69">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Basic Law of the Hong Kong Special Administrative Region of the People’s Republic of China: Annex III: National Laws to be Applied in the Hong Kong Special Administrative Region, instrument 9 (30 June 2020) available</w:t>
      </w:r>
      <w:r w:rsidR="00955A69">
        <w:rPr>
          <w:color w:val="000000"/>
          <w:sz w:val="20"/>
          <w:szCs w:val="20"/>
        </w:rPr>
        <w:t xml:space="preserve">: </w:t>
      </w:r>
      <w:hyperlink r:id="rId13" w:history="1">
        <w:r w:rsidR="00955A69" w:rsidRPr="00955A69">
          <w:rPr>
            <w:rStyle w:val="Hyperlink"/>
            <w:sz w:val="20"/>
            <w:szCs w:val="20"/>
          </w:rPr>
          <w:t>https://flk.npc.gov.cn/detail.html?ZmY4MDgwODE3MmI1ZjI0ZjAxNzMwOTQxNzRkZTI1MWU%3D</w:t>
        </w:r>
        <w:r w:rsidRPr="00955A69">
          <w:rPr>
            <w:rStyle w:val="Hyperlink"/>
            <w:sz w:val="20"/>
            <w:szCs w:val="20"/>
          </w:rPr>
          <w:t xml:space="preserve"> (</w:t>
        </w:r>
      </w:hyperlink>
      <w:r>
        <w:rPr>
          <w:color w:val="000000"/>
          <w:sz w:val="20"/>
          <w:szCs w:val="20"/>
        </w:rPr>
        <w:t xml:space="preserve">last visited </w:t>
      </w:r>
      <w:r w:rsidR="00955A69">
        <w:rPr>
          <w:color w:val="000000"/>
          <w:sz w:val="20"/>
          <w:szCs w:val="20"/>
        </w:rPr>
        <w:t>10</w:t>
      </w:r>
      <w:r>
        <w:rPr>
          <w:color w:val="000000"/>
          <w:sz w:val="20"/>
          <w:szCs w:val="20"/>
        </w:rPr>
        <w:t xml:space="preserve"> </w:t>
      </w:r>
      <w:r w:rsidR="00955A69">
        <w:rPr>
          <w:color w:val="000000"/>
          <w:sz w:val="20"/>
          <w:szCs w:val="20"/>
        </w:rPr>
        <w:t>Jan</w:t>
      </w:r>
      <w:r>
        <w:rPr>
          <w:color w:val="000000"/>
          <w:sz w:val="20"/>
          <w:szCs w:val="20"/>
        </w:rPr>
        <w:t>. 20</w:t>
      </w:r>
      <w:r w:rsidR="00955A69">
        <w:rPr>
          <w:color w:val="000000"/>
          <w:sz w:val="20"/>
          <w:szCs w:val="20"/>
        </w:rPr>
        <w:t>23</w:t>
      </w:r>
      <w:r>
        <w:rPr>
          <w:color w:val="000000"/>
          <w:sz w:val="20"/>
          <w:szCs w:val="20"/>
        </w:rPr>
        <w:t>)</w:t>
      </w:r>
      <w:r w:rsidR="00955A69">
        <w:rPr>
          <w:color w:val="000000"/>
          <w:sz w:val="20"/>
          <w:szCs w:val="20"/>
        </w:rPr>
        <w:t xml:space="preserve">; English translation available at: Hong Kong Free Press, </w:t>
      </w:r>
      <w:r w:rsidR="00955A69">
        <w:rPr>
          <w:i/>
          <w:iCs/>
          <w:color w:val="000000"/>
          <w:sz w:val="20"/>
          <w:szCs w:val="20"/>
        </w:rPr>
        <w:t xml:space="preserve">In Full: Official English translation of Hong Kong National Security Law, </w:t>
      </w:r>
      <w:r w:rsidR="00955A69">
        <w:rPr>
          <w:color w:val="000000"/>
          <w:sz w:val="20"/>
          <w:szCs w:val="20"/>
        </w:rPr>
        <w:t xml:space="preserve">(July 2020) </w:t>
      </w:r>
      <w:hyperlink r:id="rId14" w:history="1">
        <w:r w:rsidR="00955A69" w:rsidRPr="007C141E">
          <w:rPr>
            <w:rStyle w:val="Hyperlink"/>
            <w:sz w:val="20"/>
            <w:szCs w:val="20"/>
          </w:rPr>
          <w:t>https://hongkongfp.com/2020/07/01/in-full-english-translation-of-the-hong-kong-national-security-law/</w:t>
        </w:r>
      </w:hyperlink>
      <w:r w:rsidR="00955A69">
        <w:rPr>
          <w:color w:val="000000"/>
          <w:sz w:val="20"/>
          <w:szCs w:val="20"/>
        </w:rPr>
        <w:t xml:space="preserve"> (last visited 10 Jan. 2023). </w:t>
      </w:r>
    </w:p>
  </w:footnote>
  <w:footnote w:id="35">
    <w:p w14:paraId="00000084" w14:textId="5436F266"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I</w:t>
      </w:r>
      <w:r w:rsidR="00955A69">
        <w:rPr>
          <w:i/>
          <w:color w:val="000000"/>
          <w:sz w:val="20"/>
          <w:szCs w:val="20"/>
        </w:rPr>
        <w:t>bi</w:t>
      </w:r>
      <w:r>
        <w:rPr>
          <w:i/>
          <w:color w:val="000000"/>
          <w:sz w:val="20"/>
          <w:szCs w:val="20"/>
        </w:rPr>
        <w:t xml:space="preserve">d. </w:t>
      </w:r>
      <w:r>
        <w:rPr>
          <w:color w:val="000000"/>
          <w:sz w:val="20"/>
          <w:szCs w:val="20"/>
        </w:rPr>
        <w:t xml:space="preserve">at art. 1. </w:t>
      </w:r>
    </w:p>
  </w:footnote>
  <w:footnote w:id="36">
    <w:p w14:paraId="00000085" w14:textId="5F10A10F"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I</w:t>
      </w:r>
      <w:r w:rsidR="00955A69">
        <w:rPr>
          <w:i/>
          <w:color w:val="000000"/>
          <w:sz w:val="20"/>
          <w:szCs w:val="20"/>
        </w:rPr>
        <w:t>bi</w:t>
      </w:r>
      <w:r>
        <w:rPr>
          <w:i/>
          <w:color w:val="000000"/>
          <w:sz w:val="20"/>
          <w:szCs w:val="20"/>
        </w:rPr>
        <w:t xml:space="preserve">d. </w:t>
      </w:r>
      <w:r>
        <w:rPr>
          <w:color w:val="000000"/>
          <w:sz w:val="20"/>
          <w:szCs w:val="20"/>
        </w:rPr>
        <w:t xml:space="preserve">at art. 38. </w:t>
      </w:r>
    </w:p>
  </w:footnote>
  <w:footnote w:id="37">
    <w:p w14:paraId="00000086" w14:textId="604B6ADD" w:rsidR="00342666" w:rsidRDefault="00342666" w:rsidP="008C60F5">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Javier C. Hernandez, </w:t>
      </w:r>
      <w:r>
        <w:rPr>
          <w:i/>
          <w:color w:val="000000"/>
          <w:sz w:val="20"/>
          <w:szCs w:val="20"/>
        </w:rPr>
        <w:t xml:space="preserve">Harsh Penalties, Vaguely Defined Crimes: Hong Kong’s National Security Law Explained, </w:t>
      </w:r>
      <w:r>
        <w:rPr>
          <w:color w:val="000000"/>
          <w:sz w:val="20"/>
          <w:szCs w:val="20"/>
        </w:rPr>
        <w:t xml:space="preserve">New York Times (13 July 2020) </w:t>
      </w:r>
      <w:hyperlink r:id="rId15" w:history="1">
        <w:r w:rsidR="008C60F5" w:rsidRPr="007C141E">
          <w:rPr>
            <w:rStyle w:val="Hyperlink"/>
            <w:sz w:val="20"/>
            <w:szCs w:val="20"/>
          </w:rPr>
          <w:t>https://www.nytimes.com/2020/06/30/world/asia/hong-kong-security-law-explain.html</w:t>
        </w:r>
      </w:hyperlink>
      <w:r>
        <w:rPr>
          <w:color w:val="000000"/>
          <w:sz w:val="20"/>
          <w:szCs w:val="20"/>
        </w:rPr>
        <w:t xml:space="preserve">. </w:t>
      </w:r>
    </w:p>
  </w:footnote>
  <w:footnote w:id="38">
    <w:p w14:paraId="00000087" w14:textId="0BD450EE" w:rsidR="00342666" w:rsidRDefault="00342666" w:rsidP="008C60F5">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Amnesty International, </w:t>
      </w:r>
      <w:r>
        <w:rPr>
          <w:i/>
          <w:color w:val="000000"/>
          <w:sz w:val="20"/>
          <w:szCs w:val="20"/>
        </w:rPr>
        <w:t xml:space="preserve">Hong Kong’s National Security Law 10 Things You Need to Know, </w:t>
      </w:r>
      <w:r>
        <w:rPr>
          <w:color w:val="000000"/>
          <w:sz w:val="20"/>
          <w:szCs w:val="20"/>
        </w:rPr>
        <w:t xml:space="preserve">(17 July 2020) </w:t>
      </w:r>
      <w:hyperlink r:id="rId16" w:history="1">
        <w:r w:rsidR="008C60F5" w:rsidRPr="007C141E">
          <w:rPr>
            <w:rStyle w:val="Hyperlink"/>
            <w:sz w:val="20"/>
            <w:szCs w:val="20"/>
          </w:rPr>
          <w:t>https://www.amnesty.org/en/latest/news/2020/07/hong-kong-national-security-law-10-things-you-need-to-know</w:t>
        </w:r>
      </w:hyperlink>
      <w:r>
        <w:rPr>
          <w:color w:val="000000"/>
          <w:sz w:val="20"/>
          <w:szCs w:val="20"/>
        </w:rPr>
        <w:t>/.</w:t>
      </w:r>
    </w:p>
  </w:footnote>
  <w:footnote w:id="39">
    <w:p w14:paraId="00000088"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40">
    <w:p w14:paraId="00000089"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41">
    <w:p w14:paraId="0000008A"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42">
    <w:p w14:paraId="0000008B"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43">
    <w:p w14:paraId="0000008C"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See </w:t>
      </w:r>
      <w:r>
        <w:rPr>
          <w:i/>
          <w:color w:val="000000"/>
          <w:sz w:val="20"/>
          <w:szCs w:val="20"/>
        </w:rPr>
        <w:t xml:space="preserve">Joint Declaration of the Government of the United Kingdom of Great Britain and Northern Ireland and the </w:t>
      </w:r>
    </w:p>
    <w:p w14:paraId="0000008D" w14:textId="77777777" w:rsidR="00342666" w:rsidRDefault="00342666">
      <w:pPr>
        <w:pBdr>
          <w:top w:val="nil"/>
          <w:left w:val="nil"/>
          <w:bottom w:val="nil"/>
          <w:right w:val="nil"/>
          <w:between w:val="nil"/>
        </w:pBdr>
        <w:spacing w:line="240" w:lineRule="auto"/>
        <w:ind w:firstLine="0"/>
        <w:rPr>
          <w:i/>
          <w:color w:val="000000"/>
          <w:sz w:val="20"/>
          <w:szCs w:val="20"/>
        </w:rPr>
      </w:pPr>
      <w:r>
        <w:rPr>
          <w:i/>
          <w:color w:val="000000"/>
          <w:sz w:val="20"/>
          <w:szCs w:val="20"/>
        </w:rPr>
        <w:t xml:space="preserve">Government of the People's Republic of China on the Question of Hong </w:t>
      </w:r>
    </w:p>
    <w:p w14:paraId="0000008E" w14:textId="37AC36AE" w:rsidR="00342666" w:rsidRDefault="00342666">
      <w:pPr>
        <w:pBdr>
          <w:top w:val="nil"/>
          <w:left w:val="nil"/>
          <w:bottom w:val="nil"/>
          <w:right w:val="nil"/>
          <w:between w:val="nil"/>
        </w:pBdr>
        <w:spacing w:line="240" w:lineRule="auto"/>
        <w:ind w:firstLine="0"/>
        <w:rPr>
          <w:color w:val="000000"/>
          <w:sz w:val="20"/>
          <w:szCs w:val="20"/>
        </w:rPr>
      </w:pPr>
      <w:r>
        <w:rPr>
          <w:i/>
          <w:color w:val="000000"/>
          <w:sz w:val="20"/>
          <w:szCs w:val="20"/>
        </w:rPr>
        <w:t>Kong</w:t>
      </w:r>
      <w:r>
        <w:rPr>
          <w:color w:val="000000"/>
          <w:sz w:val="20"/>
          <w:szCs w:val="20"/>
        </w:rPr>
        <w:t xml:space="preserve">, </w:t>
      </w:r>
      <w:r w:rsidR="00DB56B9">
        <w:rPr>
          <w:color w:val="000000"/>
          <w:sz w:val="20"/>
          <w:szCs w:val="20"/>
        </w:rPr>
        <w:t xml:space="preserve">Annex I Sec. XIV (19 Dec. 1984) </w:t>
      </w:r>
      <w:hyperlink r:id="rId17">
        <w:r>
          <w:rPr>
            <w:color w:val="0563C1"/>
            <w:sz w:val="20"/>
            <w:szCs w:val="20"/>
            <w:u w:val="single"/>
          </w:rPr>
          <w:t>https://www.refworld.org/docid/3ae6b525c.html</w:t>
        </w:r>
      </w:hyperlink>
      <w:r>
        <w:rPr>
          <w:color w:val="000000"/>
          <w:sz w:val="20"/>
          <w:szCs w:val="20"/>
        </w:rPr>
        <w:t>.</w:t>
      </w:r>
    </w:p>
  </w:footnote>
  <w:footnote w:id="44">
    <w:p w14:paraId="0000008F" w14:textId="3F1F08BD"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Basic Law of the Hong Kong Special Administrative Region of the People’s Republic of China: Ch. III, art. 39. available at: </w:t>
      </w:r>
      <w:hyperlink r:id="rId18" w:history="1">
        <w:r w:rsidR="008C60F5" w:rsidRPr="007C141E">
          <w:rPr>
            <w:rStyle w:val="Hyperlink"/>
            <w:sz w:val="20"/>
            <w:szCs w:val="20"/>
          </w:rPr>
          <w:t>https://www.basiclaw.gov.hk/en/basiclaw/chapter3.html</w:t>
        </w:r>
      </w:hyperlink>
      <w:r w:rsidR="008C60F5">
        <w:rPr>
          <w:color w:val="000000"/>
          <w:sz w:val="20"/>
          <w:szCs w:val="20"/>
        </w:rPr>
        <w:t xml:space="preserve">. </w:t>
      </w:r>
    </w:p>
  </w:footnote>
  <w:footnote w:id="45">
    <w:p w14:paraId="00000090"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46">
    <w:p w14:paraId="00000091" w14:textId="4D6FF799" w:rsidR="00342666" w:rsidRDefault="00342666" w:rsidP="008C60F5">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Human Rights Watch</w:t>
      </w:r>
      <w:r w:rsidR="008C60F5">
        <w:rPr>
          <w:color w:val="000000"/>
          <w:sz w:val="20"/>
          <w:szCs w:val="20"/>
        </w:rPr>
        <w:t>,</w:t>
      </w:r>
      <w:r>
        <w:rPr>
          <w:color w:val="000000"/>
          <w:sz w:val="20"/>
          <w:szCs w:val="20"/>
        </w:rPr>
        <w:t xml:space="preserve"> </w:t>
      </w:r>
      <w:r>
        <w:rPr>
          <w:i/>
          <w:color w:val="000000"/>
          <w:sz w:val="20"/>
          <w:szCs w:val="20"/>
        </w:rPr>
        <w:t xml:space="preserve">China: New Hong Kong Law a Roadmap for Repression, </w:t>
      </w:r>
      <w:r>
        <w:rPr>
          <w:color w:val="000000"/>
          <w:sz w:val="20"/>
          <w:szCs w:val="20"/>
        </w:rPr>
        <w:t xml:space="preserve">(29 July 2020) </w:t>
      </w:r>
      <w:hyperlink r:id="rId19">
        <w:r>
          <w:rPr>
            <w:color w:val="0563C1"/>
            <w:sz w:val="20"/>
            <w:szCs w:val="20"/>
            <w:u w:val="single"/>
          </w:rPr>
          <w:t>https://www.hrw.org/news/2020/07/29/china-new-hong-kong-law-roadmap-repression</w:t>
        </w:r>
      </w:hyperlink>
    </w:p>
  </w:footnote>
  <w:footnote w:id="47">
    <w:p w14:paraId="25184F93" w14:textId="3C345468" w:rsidR="00A73D64" w:rsidRPr="00922376" w:rsidRDefault="00A73D64" w:rsidP="00A73D64">
      <w:pPr>
        <w:pBdr>
          <w:top w:val="nil"/>
          <w:left w:val="nil"/>
          <w:bottom w:val="nil"/>
          <w:right w:val="nil"/>
          <w:between w:val="nil"/>
        </w:pBdr>
        <w:spacing w:line="240" w:lineRule="auto"/>
        <w:ind w:firstLine="0"/>
        <w:rPr>
          <w:iCs/>
          <w:color w:val="000000"/>
          <w:sz w:val="20"/>
          <w:szCs w:val="20"/>
        </w:rPr>
      </w:pPr>
      <w:r>
        <w:rPr>
          <w:rStyle w:val="FootnoteReference"/>
        </w:rPr>
        <w:footnoteRef/>
      </w:r>
      <w:r>
        <w:rPr>
          <w:color w:val="000000"/>
          <w:sz w:val="20"/>
          <w:szCs w:val="20"/>
        </w:rPr>
        <w:t xml:space="preserve"> </w:t>
      </w:r>
      <w:r w:rsidR="00922376">
        <w:rPr>
          <w:color w:val="000000"/>
          <w:sz w:val="20"/>
          <w:szCs w:val="20"/>
        </w:rPr>
        <w:t xml:space="preserve">Official English translation, </w:t>
      </w:r>
      <w:r w:rsidR="00922376">
        <w:rPr>
          <w:i/>
          <w:color w:val="000000"/>
          <w:sz w:val="20"/>
          <w:szCs w:val="20"/>
        </w:rPr>
        <w:t xml:space="preserve">Hong Kong National Security Law Full Text, supra. </w:t>
      </w:r>
      <w:r w:rsidR="00DB56B9">
        <w:rPr>
          <w:iCs/>
          <w:color w:val="000000"/>
          <w:sz w:val="20"/>
          <w:szCs w:val="20"/>
        </w:rPr>
        <w:t>n. 4 at a</w:t>
      </w:r>
      <w:r w:rsidR="00922376">
        <w:rPr>
          <w:iCs/>
          <w:color w:val="000000"/>
          <w:sz w:val="20"/>
          <w:szCs w:val="20"/>
        </w:rPr>
        <w:t xml:space="preserve">rt. 4. </w:t>
      </w:r>
    </w:p>
  </w:footnote>
  <w:footnote w:id="48">
    <w:p w14:paraId="30B1822F" w14:textId="77777777" w:rsidR="00A73D64" w:rsidRDefault="00A73D64" w:rsidP="00A73D64">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Id</w:t>
      </w:r>
      <w:r>
        <w:rPr>
          <w:color w:val="000000"/>
          <w:sz w:val="20"/>
          <w:szCs w:val="20"/>
        </w:rPr>
        <w:t xml:space="preserve">. at art. 9. </w:t>
      </w:r>
    </w:p>
  </w:footnote>
  <w:footnote w:id="49">
    <w:p w14:paraId="24DC1F5D" w14:textId="77777777" w:rsidR="00A73D64" w:rsidRDefault="00A73D64" w:rsidP="00A73D64">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 xml:space="preserve">at arts. 20-30. </w:t>
      </w:r>
    </w:p>
  </w:footnote>
  <w:footnote w:id="50">
    <w:p w14:paraId="2BAC07E8" w14:textId="77777777" w:rsidR="00A73D64" w:rsidRDefault="00A73D64" w:rsidP="00A73D64">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 xml:space="preserve">at art. 10. </w:t>
      </w:r>
    </w:p>
  </w:footnote>
  <w:footnote w:id="51">
    <w:p w14:paraId="0D488764" w14:textId="723B16CE" w:rsidR="00A73D64" w:rsidRDefault="00A73D64" w:rsidP="00A73D64">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Human Rights Watch, </w:t>
      </w:r>
      <w:r>
        <w:rPr>
          <w:i/>
          <w:color w:val="000000"/>
          <w:sz w:val="20"/>
          <w:szCs w:val="20"/>
        </w:rPr>
        <w:t xml:space="preserve">China: New Hong Kong Law a Roadmap for Repression, </w:t>
      </w:r>
      <w:r>
        <w:rPr>
          <w:color w:val="000000"/>
          <w:sz w:val="20"/>
          <w:szCs w:val="20"/>
        </w:rPr>
        <w:t xml:space="preserve">(29 July 2020) </w:t>
      </w:r>
      <w:hyperlink r:id="rId20" w:history="1">
        <w:r w:rsidR="00922376" w:rsidRPr="007C141E">
          <w:rPr>
            <w:rStyle w:val="Hyperlink"/>
            <w:sz w:val="20"/>
            <w:szCs w:val="20"/>
          </w:rPr>
          <w:t>https://www.hrw.org/news/2020/07/29/china-new-hong-kong-law-roadmap-repression</w:t>
        </w:r>
      </w:hyperlink>
      <w:r>
        <w:rPr>
          <w:color w:val="000000"/>
          <w:sz w:val="20"/>
          <w:szCs w:val="20"/>
        </w:rPr>
        <w:t xml:space="preserve">. </w:t>
      </w:r>
    </w:p>
  </w:footnote>
  <w:footnote w:id="52">
    <w:p w14:paraId="327EBDF4" w14:textId="40B9192D" w:rsidR="00A73D64" w:rsidRDefault="00A73D64" w:rsidP="00A73D64">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Bethany Allen-Ebrahimian, </w:t>
      </w:r>
      <w:r>
        <w:rPr>
          <w:i/>
          <w:color w:val="000000"/>
          <w:sz w:val="20"/>
          <w:szCs w:val="20"/>
        </w:rPr>
        <w:t xml:space="preserve">With the New Security Law, China Outlaws Global Activism, </w:t>
      </w:r>
      <w:r>
        <w:rPr>
          <w:color w:val="000000"/>
          <w:sz w:val="20"/>
          <w:szCs w:val="20"/>
        </w:rPr>
        <w:t xml:space="preserve">Axios (7 July 2020) </w:t>
      </w:r>
      <w:hyperlink r:id="rId21" w:history="1">
        <w:r w:rsidR="00922376" w:rsidRPr="007C141E">
          <w:rPr>
            <w:rStyle w:val="Hyperlink"/>
            <w:sz w:val="20"/>
            <w:szCs w:val="20"/>
          </w:rPr>
          <w:t>https://www.axios.com/china-hong-kong-law-global-activism-ff1ea6d1-0589-4a71-a462-eda5bea3f78f.html</w:t>
        </w:r>
      </w:hyperlink>
      <w:r>
        <w:rPr>
          <w:color w:val="000000"/>
          <w:sz w:val="20"/>
          <w:szCs w:val="20"/>
        </w:rPr>
        <w:t xml:space="preserve">; Jun Mai &amp; Sarah Zheng, </w:t>
      </w:r>
      <w:r>
        <w:rPr>
          <w:i/>
          <w:color w:val="000000"/>
          <w:sz w:val="20"/>
          <w:szCs w:val="20"/>
        </w:rPr>
        <w:t xml:space="preserve">Hong Kong National Security Law’s Long-Arm Jurisdiction ‘Extraordinary and Chilling’, </w:t>
      </w:r>
      <w:r>
        <w:rPr>
          <w:color w:val="000000"/>
          <w:sz w:val="20"/>
          <w:szCs w:val="20"/>
        </w:rPr>
        <w:t xml:space="preserve">South China Morning Post (2 July 2020) </w:t>
      </w:r>
      <w:hyperlink r:id="rId22" w:history="1">
        <w:r w:rsidR="00922376" w:rsidRPr="007C141E">
          <w:rPr>
            <w:rStyle w:val="Hyperlink"/>
            <w:sz w:val="20"/>
            <w:szCs w:val="20"/>
          </w:rPr>
          <w:t>https://www.scmp.com/news/china/politics/article/3091428/hong-kong-national-security-laws-long-arm-jurisdiction</w:t>
        </w:r>
      </w:hyperlink>
      <w:r>
        <w:rPr>
          <w:color w:val="000000"/>
          <w:sz w:val="20"/>
          <w:szCs w:val="20"/>
        </w:rPr>
        <w:t xml:space="preserve">; Patrick Wintour, </w:t>
      </w:r>
      <w:r>
        <w:rPr>
          <w:i/>
          <w:color w:val="000000"/>
          <w:sz w:val="20"/>
          <w:szCs w:val="20"/>
        </w:rPr>
        <w:t xml:space="preserve">Academics Warn of ‘Chilling Effect’ of Hong Kong Security Law, </w:t>
      </w:r>
      <w:r>
        <w:rPr>
          <w:color w:val="000000"/>
          <w:sz w:val="20"/>
          <w:szCs w:val="20"/>
        </w:rPr>
        <w:t xml:space="preserve">The Guardian (12 Oct. 2020) </w:t>
      </w:r>
      <w:hyperlink r:id="rId23" w:history="1">
        <w:r w:rsidR="00922376" w:rsidRPr="007C141E">
          <w:rPr>
            <w:rStyle w:val="Hyperlink"/>
            <w:sz w:val="20"/>
            <w:szCs w:val="20"/>
          </w:rPr>
          <w:t>https://www.theguardian.com/education/2020/oct/12/academics-warn-of-chilling-effect-of-hong-kong-security-law</w:t>
        </w:r>
      </w:hyperlink>
      <w:r>
        <w:rPr>
          <w:color w:val="000000"/>
          <w:sz w:val="20"/>
          <w:szCs w:val="20"/>
        </w:rPr>
        <w:t xml:space="preserve">. </w:t>
      </w:r>
    </w:p>
  </w:footnote>
  <w:footnote w:id="53">
    <w:p w14:paraId="434A1412" w14:textId="09D3744A" w:rsidR="00A73D64" w:rsidRDefault="00A73D64" w:rsidP="00922376">
      <w:pPr>
        <w:pBdr>
          <w:top w:val="nil"/>
          <w:left w:val="nil"/>
          <w:bottom w:val="nil"/>
          <w:right w:val="nil"/>
          <w:between w:val="nil"/>
        </w:pBdr>
        <w:spacing w:line="240" w:lineRule="auto"/>
        <w:ind w:firstLine="0"/>
        <w:jc w:val="left"/>
        <w:rPr>
          <w:color w:val="000000"/>
          <w:sz w:val="20"/>
          <w:szCs w:val="20"/>
        </w:rPr>
      </w:pPr>
      <w:r>
        <w:rPr>
          <w:rStyle w:val="FootnoteReference"/>
        </w:rPr>
        <w:footnoteRef/>
      </w:r>
      <w:r>
        <w:rPr>
          <w:color w:val="000000"/>
          <w:sz w:val="20"/>
          <w:szCs w:val="20"/>
        </w:rPr>
        <w:t xml:space="preserve"> International Covenant on Economic, Social and Cultural Rights, art. 15(4), Dec. 16, 1966, S. Treaty Doc. No. 95-19, 6 I.L.M. 360 (1967), 993 U.N.T.S. 3]. </w:t>
      </w:r>
      <w:r>
        <w:rPr>
          <w:i/>
          <w:color w:val="000000"/>
          <w:sz w:val="20"/>
          <w:szCs w:val="20"/>
        </w:rPr>
        <w:t>States Party to the International Covenant on Economic, Social and Cultural Rights</w:t>
      </w:r>
      <w:r>
        <w:rPr>
          <w:color w:val="000000"/>
          <w:sz w:val="20"/>
          <w:szCs w:val="20"/>
        </w:rPr>
        <w:t xml:space="preserve">, United Nations Treaty Collection, </w:t>
      </w:r>
      <w:hyperlink r:id="rId24">
        <w:r>
          <w:rPr>
            <w:color w:val="0563C1"/>
            <w:sz w:val="20"/>
            <w:szCs w:val="20"/>
            <w:u w:val="single"/>
          </w:rPr>
          <w:t>https://treaties.un.org/Pages/ViewDetails.aspx?src=IND&amp;mtdsg_no=IV-3&amp;chapter=4&amp;clang=_en</w:t>
        </w:r>
      </w:hyperlink>
      <w:r>
        <w:rPr>
          <w:color w:val="000000"/>
          <w:sz w:val="20"/>
          <w:szCs w:val="20"/>
        </w:rPr>
        <w:t>. (last visited 1</w:t>
      </w:r>
      <w:r w:rsidR="00F06989">
        <w:rPr>
          <w:color w:val="000000"/>
          <w:sz w:val="20"/>
          <w:szCs w:val="20"/>
        </w:rPr>
        <w:t>1</w:t>
      </w:r>
      <w:r>
        <w:rPr>
          <w:color w:val="000000"/>
          <w:sz w:val="20"/>
          <w:szCs w:val="20"/>
        </w:rPr>
        <w:t xml:space="preserve"> </w:t>
      </w:r>
      <w:r w:rsidR="00F06989">
        <w:rPr>
          <w:color w:val="000000"/>
          <w:sz w:val="20"/>
          <w:szCs w:val="20"/>
        </w:rPr>
        <w:t>Jan</w:t>
      </w:r>
      <w:r>
        <w:rPr>
          <w:color w:val="000000"/>
          <w:sz w:val="20"/>
          <w:szCs w:val="20"/>
        </w:rPr>
        <w:t>. 202</w:t>
      </w:r>
      <w:r w:rsidR="00F06989">
        <w:rPr>
          <w:color w:val="000000"/>
          <w:sz w:val="20"/>
          <w:szCs w:val="20"/>
        </w:rPr>
        <w:t>3</w:t>
      </w:r>
      <w:r>
        <w:rPr>
          <w:color w:val="000000"/>
          <w:sz w:val="20"/>
          <w:szCs w:val="20"/>
        </w:rPr>
        <w:t>).</w:t>
      </w:r>
    </w:p>
  </w:footnote>
  <w:footnote w:id="54">
    <w:p w14:paraId="0BF0CA5A" w14:textId="38708B90" w:rsidR="00A73D64" w:rsidRDefault="00A73D64" w:rsidP="00A73D64">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General Comment No. 25 (2020) on Science and Economic, Social and Cultural Rights, </w:t>
      </w:r>
      <w:r>
        <w:rPr>
          <w:color w:val="000000"/>
          <w:sz w:val="20"/>
          <w:szCs w:val="20"/>
        </w:rPr>
        <w:t>para. 83 (30 Apr. 2020) U</w:t>
      </w:r>
      <w:r w:rsidR="00F06989">
        <w:rPr>
          <w:color w:val="000000"/>
          <w:sz w:val="20"/>
          <w:szCs w:val="20"/>
        </w:rPr>
        <w:t>N</w:t>
      </w:r>
      <w:r>
        <w:rPr>
          <w:color w:val="000000"/>
          <w:sz w:val="20"/>
          <w:szCs w:val="20"/>
        </w:rPr>
        <w:t xml:space="preserve"> Doc. E/C.12/GC/25.</w:t>
      </w:r>
    </w:p>
  </w:footnote>
  <w:footnote w:id="55">
    <w:p w14:paraId="6E3ECC78" w14:textId="5E6360CA" w:rsidR="004F470D" w:rsidRDefault="004F470D" w:rsidP="004F470D">
      <w:pPr>
        <w:pStyle w:val="FootnoteText"/>
        <w:ind w:firstLine="0"/>
      </w:pPr>
      <w:r>
        <w:rPr>
          <w:rStyle w:val="FootnoteReference"/>
        </w:rPr>
        <w:footnoteRef/>
      </w:r>
      <w:r>
        <w:t xml:space="preserve"> International Human Rights Center &amp; Science for Democracy (Joint Submission), </w:t>
      </w:r>
      <w:r>
        <w:rPr>
          <w:i/>
          <w:iCs/>
        </w:rPr>
        <w:t xml:space="preserve">Civil Society Parallel Report, supra. </w:t>
      </w:r>
      <w:r>
        <w:t xml:space="preserve">n. 5 at para. 35. </w:t>
      </w:r>
    </w:p>
  </w:footnote>
  <w:footnote w:id="56">
    <w:p w14:paraId="3A9140DD" w14:textId="3C96E74F" w:rsidR="004F470D" w:rsidRPr="008C607D" w:rsidRDefault="004F470D" w:rsidP="004F470D">
      <w:pPr>
        <w:pStyle w:val="FootnoteText"/>
        <w:ind w:firstLine="0"/>
      </w:pPr>
      <w:r>
        <w:rPr>
          <w:rStyle w:val="FootnoteReference"/>
        </w:rPr>
        <w:footnoteRef/>
      </w:r>
      <w:r>
        <w:t xml:space="preserve"> HKSAR, </w:t>
      </w:r>
      <w:r>
        <w:rPr>
          <w:i/>
          <w:iCs/>
        </w:rPr>
        <w:t xml:space="preserve">Replies of the Hong Kong Special Administrative Region, supra. </w:t>
      </w:r>
      <w:r w:rsidR="008C607D">
        <w:t xml:space="preserve">n. 6 at para. 123. </w:t>
      </w:r>
    </w:p>
  </w:footnote>
  <w:footnote w:id="57">
    <w:p w14:paraId="139851DC" w14:textId="6573C246" w:rsidR="008C607D" w:rsidRDefault="008C607D" w:rsidP="008C607D">
      <w:pPr>
        <w:pStyle w:val="FootnoteText"/>
        <w:ind w:firstLine="0"/>
      </w:pPr>
      <w:r>
        <w:rPr>
          <w:rStyle w:val="FootnoteReference"/>
        </w:rPr>
        <w:footnoteRef/>
      </w:r>
      <w:r>
        <w:rPr>
          <w:i/>
          <w:iCs/>
        </w:rPr>
        <w:t xml:space="preserve"> Id. </w:t>
      </w:r>
      <w:r>
        <w:t xml:space="preserve"> </w:t>
      </w:r>
    </w:p>
  </w:footnote>
  <w:footnote w:id="58">
    <w:p w14:paraId="39C6B989" w14:textId="40F2287D" w:rsidR="00654BCD" w:rsidRPr="00654BCD" w:rsidRDefault="00654BCD" w:rsidP="00654BCD">
      <w:pPr>
        <w:pStyle w:val="FootnoteText"/>
        <w:ind w:firstLine="0"/>
        <w:rPr>
          <w:iCs/>
        </w:rPr>
      </w:pPr>
      <w:r>
        <w:rPr>
          <w:rStyle w:val="FootnoteReference"/>
        </w:rPr>
        <w:footnoteRef/>
      </w:r>
      <w:r>
        <w:t xml:space="preserve"> </w:t>
      </w:r>
      <w:r>
        <w:rPr>
          <w:i/>
          <w:iCs/>
        </w:rPr>
        <w:t xml:space="preserve">Ibid. </w:t>
      </w:r>
      <w:r>
        <w:rPr>
          <w:iCs/>
        </w:rPr>
        <w:t xml:space="preserve">at para. 126. </w:t>
      </w:r>
    </w:p>
  </w:footnote>
  <w:footnote w:id="59">
    <w:p w14:paraId="2BFC3009" w14:textId="3735E67B" w:rsidR="00AC659F" w:rsidRPr="00AC659F" w:rsidRDefault="00AC659F" w:rsidP="00AC659F">
      <w:pPr>
        <w:pStyle w:val="FootnoteText"/>
        <w:ind w:firstLine="0"/>
        <w:rPr>
          <w:i/>
          <w:iCs/>
        </w:rPr>
      </w:pPr>
      <w:r>
        <w:rPr>
          <w:rStyle w:val="FootnoteReference"/>
        </w:rPr>
        <w:footnoteRef/>
      </w:r>
      <w:r>
        <w:t xml:space="preserve"> </w:t>
      </w:r>
      <w:r>
        <w:rPr>
          <w:i/>
          <w:iCs/>
        </w:rPr>
        <w:t xml:space="preserve">Id. </w:t>
      </w:r>
    </w:p>
  </w:footnote>
  <w:footnote w:id="60">
    <w:p w14:paraId="03B93ED8" w14:textId="4B6E601C" w:rsidR="00654BCD" w:rsidRPr="00654BCD" w:rsidRDefault="00654BCD" w:rsidP="00654BCD">
      <w:pPr>
        <w:pStyle w:val="FootnoteText"/>
        <w:ind w:firstLine="0"/>
        <w:rPr>
          <w:i/>
          <w:iCs/>
        </w:rPr>
      </w:pPr>
      <w:r>
        <w:rPr>
          <w:rStyle w:val="FootnoteReference"/>
        </w:rPr>
        <w:footnoteRef/>
      </w:r>
      <w:r>
        <w:t xml:space="preserve"> </w:t>
      </w:r>
      <w:r>
        <w:rPr>
          <w:i/>
          <w:iCs/>
        </w:rPr>
        <w:t xml:space="preserve">Id. </w:t>
      </w:r>
    </w:p>
  </w:footnote>
  <w:footnote w:id="61">
    <w:p w14:paraId="6A71E29E" w14:textId="5442527D" w:rsidR="008C23FB" w:rsidRPr="008C23FB" w:rsidRDefault="008C23FB" w:rsidP="008C23FB">
      <w:pPr>
        <w:pStyle w:val="FootnoteText"/>
        <w:ind w:firstLine="0"/>
      </w:pPr>
      <w:r>
        <w:rPr>
          <w:rStyle w:val="FootnoteReference"/>
        </w:rPr>
        <w:footnoteRef/>
      </w:r>
      <w:r>
        <w:t xml:space="preserve"> Peter Baehr, </w:t>
      </w:r>
      <w:r>
        <w:rPr>
          <w:i/>
          <w:iCs/>
        </w:rPr>
        <w:t xml:space="preserve">Hong Kong Universities in the Shadow of the National Security Law, </w:t>
      </w:r>
      <w:r>
        <w:t xml:space="preserve">Society Vol. 59, pp. 225-230 (2022) </w:t>
      </w:r>
      <w:hyperlink r:id="rId25" w:anchor="Sec7" w:history="1">
        <w:r w:rsidRPr="007C141E">
          <w:rPr>
            <w:rStyle w:val="Hyperlink"/>
          </w:rPr>
          <w:t>https://link.springer.com/article/10.1007/s12115-022-00709-9#Sec7</w:t>
        </w:r>
      </w:hyperlink>
      <w:r>
        <w:t xml:space="preserve">. </w:t>
      </w:r>
    </w:p>
  </w:footnote>
  <w:footnote w:id="62">
    <w:p w14:paraId="462FC03A" w14:textId="5518E7F2" w:rsidR="008C23FB" w:rsidRPr="008C23FB" w:rsidRDefault="008C23FB" w:rsidP="008C23FB">
      <w:pPr>
        <w:pStyle w:val="FootnoteText"/>
        <w:ind w:firstLine="0"/>
        <w:rPr>
          <w:i/>
          <w:iCs/>
        </w:rPr>
      </w:pPr>
      <w:r>
        <w:rPr>
          <w:rStyle w:val="FootnoteReference"/>
        </w:rPr>
        <w:footnoteRef/>
      </w:r>
      <w:r>
        <w:t xml:space="preserve"> </w:t>
      </w:r>
      <w:r>
        <w:rPr>
          <w:i/>
          <w:iCs/>
        </w:rPr>
        <w:t xml:space="preserve">Id. </w:t>
      </w:r>
    </w:p>
  </w:footnote>
  <w:footnote w:id="63">
    <w:p w14:paraId="5FF4D7D8" w14:textId="4187F0DE" w:rsidR="00D43A53" w:rsidRPr="00D43A53" w:rsidRDefault="00D43A53" w:rsidP="00D43A53">
      <w:pPr>
        <w:pStyle w:val="FootnoteText"/>
        <w:ind w:firstLine="0"/>
      </w:pPr>
      <w:r>
        <w:rPr>
          <w:rStyle w:val="FootnoteReference"/>
        </w:rPr>
        <w:footnoteRef/>
      </w:r>
      <w:r>
        <w:t xml:space="preserve"> Sarah Cheng &amp; Jessie Pang, </w:t>
      </w:r>
      <w:r>
        <w:rPr>
          <w:i/>
          <w:iCs/>
        </w:rPr>
        <w:t xml:space="preserve">New Hong Kong university classes set out dangers of breaking security law, </w:t>
      </w:r>
      <w:r>
        <w:t xml:space="preserve">Reuters (5 Nov. 2021) </w:t>
      </w:r>
      <w:hyperlink r:id="rId26" w:history="1">
        <w:r w:rsidRPr="007C141E">
          <w:rPr>
            <w:rStyle w:val="Hyperlink"/>
          </w:rPr>
          <w:t>https://www.reuters.com/world/china/exclusive-new-hong-kong-university-classes-set-out-dangers-breaking-security-law-2021-11-05/</w:t>
        </w:r>
      </w:hyperlink>
      <w:r>
        <w:t xml:space="preserve">. </w:t>
      </w:r>
    </w:p>
  </w:footnote>
  <w:footnote w:id="64">
    <w:p w14:paraId="1AA013EB" w14:textId="2C6CEAD0" w:rsidR="00633524" w:rsidRDefault="00633524" w:rsidP="00633524">
      <w:pPr>
        <w:pStyle w:val="FootnoteText"/>
        <w:ind w:firstLine="0"/>
      </w:pPr>
      <w:r>
        <w:rPr>
          <w:rStyle w:val="FootnoteReference"/>
        </w:rPr>
        <w:footnoteRef/>
      </w:r>
      <w:r>
        <w:rPr>
          <w:i/>
          <w:iCs/>
        </w:rPr>
        <w:t xml:space="preserve"> Id.</w:t>
      </w:r>
      <w:r>
        <w:t xml:space="preserve"> </w:t>
      </w:r>
    </w:p>
  </w:footnote>
  <w:footnote w:id="65">
    <w:p w14:paraId="0398CCCD" w14:textId="52D00018" w:rsidR="00840576" w:rsidRPr="00E81857" w:rsidRDefault="00840576" w:rsidP="00840576">
      <w:pPr>
        <w:pStyle w:val="FootnoteText"/>
        <w:ind w:firstLine="0"/>
      </w:pPr>
      <w:r>
        <w:rPr>
          <w:rStyle w:val="FootnoteReference"/>
        </w:rPr>
        <w:footnoteRef/>
      </w:r>
      <w:r>
        <w:t xml:space="preserve"> Scholars at Risk, </w:t>
      </w:r>
      <w:r>
        <w:rPr>
          <w:i/>
          <w:iCs/>
        </w:rPr>
        <w:t xml:space="preserve">Free to Think 2021: Hong Kong, </w:t>
      </w:r>
      <w:r w:rsidR="00E81857">
        <w:t xml:space="preserve">(2021) </w:t>
      </w:r>
      <w:hyperlink r:id="rId27" w:history="1">
        <w:r w:rsidR="00E81857" w:rsidRPr="00C9464D">
          <w:rPr>
            <w:rStyle w:val="Hyperlink"/>
          </w:rPr>
          <w:t>https://www.scholarsatrisk.org/wp-content/uploads/2021/12/Free-to-Think-2021-Hong-Kong.pdf</w:t>
        </w:r>
      </w:hyperlink>
      <w:r w:rsidR="00E81857">
        <w:t xml:space="preserve">. </w:t>
      </w:r>
    </w:p>
  </w:footnote>
  <w:footnote w:id="66">
    <w:p w14:paraId="3CB5D7B3" w14:textId="7E62D210" w:rsidR="00552428" w:rsidRPr="002B3326" w:rsidRDefault="00552428" w:rsidP="00552428">
      <w:pPr>
        <w:pStyle w:val="FootnoteText"/>
        <w:ind w:firstLine="0"/>
      </w:pPr>
      <w:r>
        <w:rPr>
          <w:rStyle w:val="FootnoteReference"/>
        </w:rPr>
        <w:footnoteRef/>
      </w:r>
      <w:r>
        <w:t xml:space="preserve"> </w:t>
      </w:r>
      <w:r w:rsidR="002B3326">
        <w:t xml:space="preserve">Chan Ho-him, </w:t>
      </w:r>
      <w:r w:rsidR="002B3326" w:rsidRPr="002B3326">
        <w:rPr>
          <w:i/>
          <w:iCs/>
        </w:rPr>
        <w:t>Hong Kong university suspends student leaders over banned memorial for undergraduate who fell to his death near site of protest</w:t>
      </w:r>
      <w:r w:rsidR="002B3326">
        <w:rPr>
          <w:i/>
          <w:iCs/>
        </w:rPr>
        <w:t xml:space="preserve">, </w:t>
      </w:r>
      <w:r w:rsidR="002B3326">
        <w:t xml:space="preserve">South China Morning Post (25 Jan 2021) </w:t>
      </w:r>
      <w:hyperlink r:id="rId28" w:history="1">
        <w:r w:rsidR="002B3326" w:rsidRPr="00C9464D">
          <w:rPr>
            <w:rStyle w:val="Hyperlink"/>
          </w:rPr>
          <w:t>https://www.scmp.com/news/hong-kong/education/article/3119074/hong-kong-university-suspends-student-leaders-over-banned</w:t>
        </w:r>
      </w:hyperlink>
      <w:r w:rsidR="002B3326">
        <w:t xml:space="preserve">. </w:t>
      </w:r>
    </w:p>
  </w:footnote>
  <w:footnote w:id="67">
    <w:p w14:paraId="26E019B9" w14:textId="5A7C4A65" w:rsidR="00B1009A" w:rsidRPr="00B1009A" w:rsidRDefault="00B1009A" w:rsidP="00B1009A">
      <w:pPr>
        <w:pStyle w:val="FootnoteText"/>
        <w:ind w:firstLine="0"/>
        <w:jc w:val="left"/>
      </w:pPr>
      <w:r>
        <w:rPr>
          <w:rStyle w:val="FootnoteReference"/>
        </w:rPr>
        <w:footnoteRef/>
      </w:r>
      <w:r>
        <w:t xml:space="preserve"> Tony Cheung, </w:t>
      </w:r>
      <w:r w:rsidRPr="00B1009A">
        <w:rPr>
          <w:i/>
          <w:iCs/>
        </w:rPr>
        <w:t>National security law: Chinese University of Hong Kong’s student union becomes latest opposition-leaning group to disband under pressure</w:t>
      </w:r>
      <w:r>
        <w:rPr>
          <w:i/>
          <w:iCs/>
        </w:rPr>
        <w:t xml:space="preserve">, </w:t>
      </w:r>
      <w:r>
        <w:t xml:space="preserve">South China Morning Post (7 Oct. 2021) </w:t>
      </w:r>
      <w:hyperlink r:id="rId29" w:history="1">
        <w:r w:rsidRPr="00C9464D">
          <w:rPr>
            <w:rStyle w:val="Hyperlink"/>
          </w:rPr>
          <w:t>https://www.scmp.com/news/hong-kong/politics/article/3151478/national-security-law-chinese-university-hong-kongs-student</w:t>
        </w:r>
      </w:hyperlink>
      <w:r>
        <w:t xml:space="preserve">. </w:t>
      </w:r>
    </w:p>
  </w:footnote>
  <w:footnote w:id="68">
    <w:p w14:paraId="7ABED2B1" w14:textId="746484A3" w:rsidR="00B1009A" w:rsidRPr="00B1009A" w:rsidRDefault="00B1009A" w:rsidP="00B1009A">
      <w:pPr>
        <w:pStyle w:val="FootnoteText"/>
        <w:ind w:firstLine="0"/>
        <w:rPr>
          <w:i/>
          <w:iCs/>
        </w:rPr>
      </w:pPr>
      <w:r>
        <w:rPr>
          <w:rStyle w:val="FootnoteReference"/>
        </w:rPr>
        <w:footnoteRef/>
      </w:r>
      <w:r>
        <w:t xml:space="preserve"> </w:t>
      </w:r>
      <w:r>
        <w:rPr>
          <w:i/>
          <w:iCs/>
        </w:rPr>
        <w:t xml:space="preserve">Id. </w:t>
      </w:r>
    </w:p>
  </w:footnote>
  <w:footnote w:id="69">
    <w:p w14:paraId="0F3B14FB" w14:textId="722B7EC6" w:rsidR="00B1009A" w:rsidRDefault="00B1009A" w:rsidP="0021679E">
      <w:pPr>
        <w:pStyle w:val="FootnoteText"/>
        <w:ind w:firstLine="0"/>
      </w:pPr>
      <w:r>
        <w:rPr>
          <w:rStyle w:val="FootnoteReference"/>
        </w:rPr>
        <w:footnoteRef/>
      </w:r>
      <w:r>
        <w:t xml:space="preserve"> </w:t>
      </w:r>
      <w:r w:rsidR="00E81857">
        <w:t xml:space="preserve">Scholars at Risk, </w:t>
      </w:r>
      <w:r w:rsidR="00E81857">
        <w:rPr>
          <w:i/>
          <w:iCs/>
        </w:rPr>
        <w:t xml:space="preserve">Free to Think 2021: Hong Kong, supra. </w:t>
      </w:r>
      <w:r w:rsidR="00E81857">
        <w:t>n. 65.</w:t>
      </w:r>
    </w:p>
  </w:footnote>
  <w:footnote w:id="70">
    <w:p w14:paraId="06797CF9" w14:textId="03C97899" w:rsidR="006021E4" w:rsidRPr="00E81857" w:rsidRDefault="006021E4" w:rsidP="006021E4">
      <w:pPr>
        <w:pStyle w:val="FootnoteText"/>
        <w:ind w:firstLine="0"/>
        <w:rPr>
          <w:i/>
          <w:iCs/>
        </w:rPr>
      </w:pPr>
      <w:r>
        <w:rPr>
          <w:rStyle w:val="FootnoteReference"/>
        </w:rPr>
        <w:footnoteRef/>
      </w:r>
      <w:r>
        <w:t xml:space="preserve"> </w:t>
      </w:r>
      <w:r w:rsidR="00E81857">
        <w:rPr>
          <w:i/>
          <w:iCs/>
        </w:rPr>
        <w:t>Id.</w:t>
      </w:r>
    </w:p>
  </w:footnote>
  <w:footnote w:id="71">
    <w:p w14:paraId="063F8B42" w14:textId="4E89530E" w:rsidR="006021E4" w:rsidRPr="00E81857" w:rsidRDefault="006021E4" w:rsidP="006021E4">
      <w:pPr>
        <w:pStyle w:val="FootnoteText"/>
        <w:ind w:firstLine="0"/>
        <w:rPr>
          <w:i/>
          <w:iCs/>
        </w:rPr>
      </w:pPr>
      <w:r>
        <w:rPr>
          <w:rStyle w:val="FootnoteReference"/>
        </w:rPr>
        <w:footnoteRef/>
      </w:r>
      <w:r>
        <w:t xml:space="preserve"> </w:t>
      </w:r>
      <w:r w:rsidR="00E81857">
        <w:rPr>
          <w:i/>
          <w:iCs/>
        </w:rPr>
        <w:t>Id.</w:t>
      </w:r>
    </w:p>
  </w:footnote>
  <w:footnote w:id="72">
    <w:p w14:paraId="6551DA76" w14:textId="77777777" w:rsidR="00345908" w:rsidRPr="00E81857" w:rsidRDefault="00345908" w:rsidP="00345908">
      <w:pPr>
        <w:pStyle w:val="FootnoteText"/>
        <w:ind w:firstLine="0"/>
        <w:rPr>
          <w:i/>
          <w:iCs/>
        </w:rPr>
      </w:pPr>
      <w:r>
        <w:rPr>
          <w:rStyle w:val="FootnoteReference"/>
        </w:rPr>
        <w:footnoteRef/>
      </w:r>
      <w:r>
        <w:t xml:space="preserve"> </w:t>
      </w:r>
      <w:r>
        <w:rPr>
          <w:i/>
          <w:iCs/>
        </w:rPr>
        <w:t xml:space="preserve">Id. </w:t>
      </w:r>
    </w:p>
  </w:footnote>
  <w:footnote w:id="73">
    <w:p w14:paraId="79610369" w14:textId="77CB0236" w:rsidR="006021E4" w:rsidRPr="00E81857" w:rsidRDefault="006021E4" w:rsidP="006021E4">
      <w:pPr>
        <w:pStyle w:val="FootnoteText"/>
        <w:ind w:firstLine="0"/>
      </w:pPr>
      <w:r>
        <w:rPr>
          <w:rStyle w:val="FootnoteReference"/>
        </w:rPr>
        <w:footnoteRef/>
      </w:r>
      <w:r>
        <w:t xml:space="preserve"> </w:t>
      </w:r>
      <w:r w:rsidR="00E81857">
        <w:t xml:space="preserve">Lea Mok, </w:t>
      </w:r>
      <w:r w:rsidR="00E81857" w:rsidRPr="00E81857">
        <w:rPr>
          <w:i/>
          <w:iCs/>
        </w:rPr>
        <w:t>4 University of Hong Kong students set to plead not guilty to advocating terrorism under national security law</w:t>
      </w:r>
      <w:r w:rsidR="00E81857">
        <w:rPr>
          <w:i/>
          <w:iCs/>
        </w:rPr>
        <w:t xml:space="preserve">, </w:t>
      </w:r>
      <w:r w:rsidR="00E81857">
        <w:t xml:space="preserve">South China Morning Post (6 Dec. 2022) </w:t>
      </w:r>
      <w:hyperlink r:id="rId30" w:history="1">
        <w:r w:rsidR="00E81857" w:rsidRPr="00C9464D">
          <w:rPr>
            <w:rStyle w:val="Hyperlink"/>
          </w:rPr>
          <w:t>https://hongkongfp.com/2022/12/06/4-university-of-hong-kong-students-set-to-plead-not-guilty-to-advocating-terrorism-under-national-security-law/</w:t>
        </w:r>
      </w:hyperlink>
      <w:r w:rsidR="00E81857">
        <w:t xml:space="preserve">. </w:t>
      </w:r>
    </w:p>
  </w:footnote>
  <w:footnote w:id="74">
    <w:p w14:paraId="33B539C8" w14:textId="53B13F22" w:rsidR="00BE7E93" w:rsidRPr="00865BFC" w:rsidRDefault="00BE7E93" w:rsidP="00865BFC">
      <w:pPr>
        <w:pStyle w:val="FootnoteText"/>
        <w:ind w:firstLine="0"/>
        <w:jc w:val="left"/>
      </w:pPr>
      <w:r>
        <w:rPr>
          <w:rStyle w:val="FootnoteReference"/>
        </w:rPr>
        <w:footnoteRef/>
      </w:r>
      <w:r>
        <w:t xml:space="preserve"> </w:t>
      </w:r>
      <w:r w:rsidR="00865BFC">
        <w:t xml:space="preserve">Jasmine Siu, </w:t>
      </w:r>
      <w:r w:rsidR="00865BFC" w:rsidRPr="00865BFC">
        <w:rPr>
          <w:i/>
          <w:iCs/>
        </w:rPr>
        <w:t>Benny Tai sent back to jail to await Hong Kong court’s ruling in Occupy Central appeal</w:t>
      </w:r>
      <w:r w:rsidR="00865BFC">
        <w:rPr>
          <w:i/>
          <w:iCs/>
        </w:rPr>
        <w:t xml:space="preserve">, </w:t>
      </w:r>
      <w:r w:rsidR="00865BFC">
        <w:t xml:space="preserve">South China Morning Post (4 March 2021) </w:t>
      </w:r>
      <w:hyperlink r:id="rId31" w:history="1">
        <w:r w:rsidR="00865BFC" w:rsidRPr="007C141E">
          <w:rPr>
            <w:rStyle w:val="Hyperlink"/>
          </w:rPr>
          <w:t>https://www.scmp.com/news/hong-kong/law-and-crime/article/3124100/benny-tai-sent-back-jail-await-hong-kong-courts-ruling</w:t>
        </w:r>
      </w:hyperlink>
      <w:r w:rsidR="00865BFC">
        <w:t xml:space="preserve">. </w:t>
      </w:r>
    </w:p>
  </w:footnote>
  <w:footnote w:id="75">
    <w:p w14:paraId="39525950" w14:textId="35D019A2" w:rsidR="00A14F14" w:rsidRPr="00A14F14" w:rsidRDefault="00A14F14" w:rsidP="00A14F14">
      <w:pPr>
        <w:pStyle w:val="FootnoteText"/>
        <w:ind w:firstLine="0"/>
        <w:jc w:val="left"/>
      </w:pPr>
      <w:r>
        <w:rPr>
          <w:rStyle w:val="FootnoteReference"/>
        </w:rPr>
        <w:footnoteRef/>
      </w:r>
      <w:r>
        <w:t xml:space="preserve"> Nadia Lam &amp; Victor Ting, </w:t>
      </w:r>
      <w:r w:rsidRPr="00A14F14">
        <w:rPr>
          <w:i/>
          <w:iCs/>
        </w:rPr>
        <w:t>Hong Kong’s Lingnan University terminates 2 professors who previously criticised government</w:t>
      </w:r>
      <w:r>
        <w:rPr>
          <w:i/>
          <w:iCs/>
        </w:rPr>
        <w:t xml:space="preserve">, </w:t>
      </w:r>
      <w:r>
        <w:t xml:space="preserve">South China Morning Post (2 Oct. 2021) </w:t>
      </w:r>
      <w:hyperlink r:id="rId32" w:history="1">
        <w:r w:rsidRPr="007C141E">
          <w:rPr>
            <w:rStyle w:val="Hyperlink"/>
          </w:rPr>
          <w:t>https://www.scmp.com/news/hong-kong/politics/article/3150955/hong-kongs-lingnan-university-terminates-2-professors-who</w:t>
        </w:r>
      </w:hyperlink>
      <w:r>
        <w:t xml:space="preserve">. </w:t>
      </w:r>
    </w:p>
  </w:footnote>
  <w:footnote w:id="76">
    <w:p w14:paraId="2F713756" w14:textId="16155844" w:rsidR="004A2B1F" w:rsidRPr="004A2B1F" w:rsidRDefault="004A2B1F" w:rsidP="004A2B1F">
      <w:pPr>
        <w:pStyle w:val="FootnoteText"/>
        <w:ind w:firstLine="0"/>
        <w:rPr>
          <w:i/>
          <w:iCs/>
        </w:rPr>
      </w:pPr>
      <w:r>
        <w:rPr>
          <w:rStyle w:val="FootnoteReference"/>
        </w:rPr>
        <w:footnoteRef/>
      </w:r>
      <w:r>
        <w:t xml:space="preserve"> </w:t>
      </w:r>
      <w:r>
        <w:rPr>
          <w:i/>
          <w:iCs/>
        </w:rPr>
        <w:t xml:space="preserve">Id. </w:t>
      </w:r>
    </w:p>
  </w:footnote>
  <w:footnote w:id="77">
    <w:p w14:paraId="667C77D4" w14:textId="05EDC325" w:rsidR="003C317A" w:rsidRPr="003C317A" w:rsidRDefault="003C317A" w:rsidP="003C317A">
      <w:pPr>
        <w:pStyle w:val="FootnoteText"/>
        <w:ind w:firstLine="0"/>
      </w:pPr>
      <w:r>
        <w:rPr>
          <w:rStyle w:val="FootnoteReference"/>
        </w:rPr>
        <w:footnoteRef/>
      </w:r>
      <w:r>
        <w:t xml:space="preserve"> Liz Wolfe, </w:t>
      </w:r>
      <w:r w:rsidRPr="003C317A">
        <w:rPr>
          <w:i/>
          <w:iCs/>
        </w:rPr>
        <w:t>When the CCP Threatens International Students' Academic Freedom</w:t>
      </w:r>
      <w:r>
        <w:rPr>
          <w:i/>
          <w:iCs/>
        </w:rPr>
        <w:t xml:space="preserve">, </w:t>
      </w:r>
      <w:r>
        <w:t xml:space="preserve">Reason (25 Jan. 2022) </w:t>
      </w:r>
      <w:hyperlink r:id="rId33" w:history="1">
        <w:r w:rsidRPr="007C141E">
          <w:rPr>
            <w:rStyle w:val="Hyperlink"/>
          </w:rPr>
          <w:t>https://reason.com/2022/01/25/when-the-ccp-threatens-international-students-academic-freedom/</w:t>
        </w:r>
      </w:hyperlink>
      <w:r>
        <w:t xml:space="preserve">. </w:t>
      </w:r>
    </w:p>
  </w:footnote>
  <w:footnote w:id="78">
    <w:p w14:paraId="4DA76585" w14:textId="0C9B76D4" w:rsidR="006F64B8" w:rsidRDefault="006F64B8" w:rsidP="00226140">
      <w:pPr>
        <w:pStyle w:val="FootnoteText"/>
        <w:ind w:firstLine="0"/>
      </w:pPr>
      <w:r>
        <w:rPr>
          <w:rStyle w:val="FootnoteReference"/>
        </w:rPr>
        <w:footnoteRef/>
      </w:r>
      <w:r>
        <w:t xml:space="preserve"> </w:t>
      </w:r>
      <w:r w:rsidR="008D10F9">
        <w:t xml:space="preserve">HKSAR, </w:t>
      </w:r>
      <w:r w:rsidR="008D10F9">
        <w:rPr>
          <w:i/>
          <w:iCs/>
        </w:rPr>
        <w:t xml:space="preserve">Replies of the Hong Kong Special Administrative Region, supra. </w:t>
      </w:r>
      <w:r w:rsidR="008D10F9">
        <w:t xml:space="preserve">n. 6.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93B9A"/>
    <w:multiLevelType w:val="multilevel"/>
    <w:tmpl w:val="A66CF150"/>
    <w:lvl w:ilvl="0">
      <w:start w:val="1"/>
      <w:numFmt w:val="bullet"/>
      <w:lvlText w:val="●"/>
      <w:lvlJc w:val="left"/>
      <w:pPr>
        <w:ind w:left="1152" w:hanging="360"/>
      </w:pPr>
      <w:rPr>
        <w:rFonts w:ascii="Noto Sans Symbols" w:eastAsia="Noto Sans Symbols" w:hAnsi="Noto Sans Symbols" w:cs="Noto Sans Symbols"/>
      </w:rPr>
    </w:lvl>
    <w:lvl w:ilvl="1">
      <w:start w:val="1"/>
      <w:numFmt w:val="bullet"/>
      <w:lvlText w:val="o"/>
      <w:lvlJc w:val="left"/>
      <w:pPr>
        <w:ind w:left="1872" w:hanging="360"/>
      </w:pPr>
      <w:rPr>
        <w:rFonts w:ascii="Courier New" w:eastAsia="Courier New" w:hAnsi="Courier New" w:cs="Courier New"/>
      </w:rPr>
    </w:lvl>
    <w:lvl w:ilvl="2">
      <w:start w:val="1"/>
      <w:numFmt w:val="bullet"/>
      <w:lvlText w:val="▪"/>
      <w:lvlJc w:val="left"/>
      <w:pPr>
        <w:ind w:left="2592" w:hanging="360"/>
      </w:pPr>
      <w:rPr>
        <w:rFonts w:ascii="Noto Sans Symbols" w:eastAsia="Noto Sans Symbols" w:hAnsi="Noto Sans Symbols" w:cs="Noto Sans Symbols"/>
      </w:rPr>
    </w:lvl>
    <w:lvl w:ilvl="3">
      <w:start w:val="1"/>
      <w:numFmt w:val="bullet"/>
      <w:lvlText w:val="●"/>
      <w:lvlJc w:val="left"/>
      <w:pPr>
        <w:ind w:left="3312" w:hanging="360"/>
      </w:pPr>
      <w:rPr>
        <w:rFonts w:ascii="Noto Sans Symbols" w:eastAsia="Noto Sans Symbols" w:hAnsi="Noto Sans Symbols" w:cs="Noto Sans Symbols"/>
      </w:rPr>
    </w:lvl>
    <w:lvl w:ilvl="4">
      <w:start w:val="1"/>
      <w:numFmt w:val="bullet"/>
      <w:lvlText w:val="o"/>
      <w:lvlJc w:val="left"/>
      <w:pPr>
        <w:ind w:left="4032" w:hanging="360"/>
      </w:pPr>
      <w:rPr>
        <w:rFonts w:ascii="Courier New" w:eastAsia="Courier New" w:hAnsi="Courier New" w:cs="Courier New"/>
      </w:rPr>
    </w:lvl>
    <w:lvl w:ilvl="5">
      <w:start w:val="1"/>
      <w:numFmt w:val="bullet"/>
      <w:lvlText w:val="▪"/>
      <w:lvlJc w:val="left"/>
      <w:pPr>
        <w:ind w:left="4752" w:hanging="360"/>
      </w:pPr>
      <w:rPr>
        <w:rFonts w:ascii="Noto Sans Symbols" w:eastAsia="Noto Sans Symbols" w:hAnsi="Noto Sans Symbols" w:cs="Noto Sans Symbols"/>
      </w:rPr>
    </w:lvl>
    <w:lvl w:ilvl="6">
      <w:start w:val="1"/>
      <w:numFmt w:val="bullet"/>
      <w:lvlText w:val="●"/>
      <w:lvlJc w:val="left"/>
      <w:pPr>
        <w:ind w:left="5472" w:hanging="360"/>
      </w:pPr>
      <w:rPr>
        <w:rFonts w:ascii="Noto Sans Symbols" w:eastAsia="Noto Sans Symbols" w:hAnsi="Noto Sans Symbols" w:cs="Noto Sans Symbols"/>
      </w:rPr>
    </w:lvl>
    <w:lvl w:ilvl="7">
      <w:start w:val="1"/>
      <w:numFmt w:val="bullet"/>
      <w:lvlText w:val="o"/>
      <w:lvlJc w:val="left"/>
      <w:pPr>
        <w:ind w:left="6192" w:hanging="360"/>
      </w:pPr>
      <w:rPr>
        <w:rFonts w:ascii="Courier New" w:eastAsia="Courier New" w:hAnsi="Courier New" w:cs="Courier New"/>
      </w:rPr>
    </w:lvl>
    <w:lvl w:ilvl="8">
      <w:start w:val="1"/>
      <w:numFmt w:val="bullet"/>
      <w:lvlText w:val="▪"/>
      <w:lvlJc w:val="left"/>
      <w:pPr>
        <w:ind w:left="6912"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2E2"/>
    <w:rsid w:val="0004408C"/>
    <w:rsid w:val="00061D57"/>
    <w:rsid w:val="000A48EE"/>
    <w:rsid w:val="0016621A"/>
    <w:rsid w:val="00166C5D"/>
    <w:rsid w:val="001E66B1"/>
    <w:rsid w:val="002030BE"/>
    <w:rsid w:val="0021679E"/>
    <w:rsid w:val="00226140"/>
    <w:rsid w:val="002A350B"/>
    <w:rsid w:val="002A68A8"/>
    <w:rsid w:val="002B3326"/>
    <w:rsid w:val="002C0E92"/>
    <w:rsid w:val="00331C2E"/>
    <w:rsid w:val="00342666"/>
    <w:rsid w:val="00345908"/>
    <w:rsid w:val="00382FF3"/>
    <w:rsid w:val="003C317A"/>
    <w:rsid w:val="003E2A85"/>
    <w:rsid w:val="00420DB1"/>
    <w:rsid w:val="00435221"/>
    <w:rsid w:val="00436906"/>
    <w:rsid w:val="00484DD4"/>
    <w:rsid w:val="004A2B1F"/>
    <w:rsid w:val="004E534D"/>
    <w:rsid w:val="004F470D"/>
    <w:rsid w:val="00503C64"/>
    <w:rsid w:val="00552428"/>
    <w:rsid w:val="00555418"/>
    <w:rsid w:val="0057709C"/>
    <w:rsid w:val="00592AB7"/>
    <w:rsid w:val="005A29AB"/>
    <w:rsid w:val="006021E4"/>
    <w:rsid w:val="00633524"/>
    <w:rsid w:val="00654BCD"/>
    <w:rsid w:val="006C63A8"/>
    <w:rsid w:val="006D4D66"/>
    <w:rsid w:val="006F64B8"/>
    <w:rsid w:val="007545C1"/>
    <w:rsid w:val="00754C6C"/>
    <w:rsid w:val="00770A45"/>
    <w:rsid w:val="007960BD"/>
    <w:rsid w:val="007A3A26"/>
    <w:rsid w:val="00840576"/>
    <w:rsid w:val="00865BFC"/>
    <w:rsid w:val="00873E2C"/>
    <w:rsid w:val="008B540B"/>
    <w:rsid w:val="008C23FB"/>
    <w:rsid w:val="008C607D"/>
    <w:rsid w:val="008C60F5"/>
    <w:rsid w:val="008D10F9"/>
    <w:rsid w:val="00900E7E"/>
    <w:rsid w:val="0091669A"/>
    <w:rsid w:val="00922376"/>
    <w:rsid w:val="00955A69"/>
    <w:rsid w:val="00964787"/>
    <w:rsid w:val="00992C56"/>
    <w:rsid w:val="00997359"/>
    <w:rsid w:val="009A1D9C"/>
    <w:rsid w:val="009B6463"/>
    <w:rsid w:val="009E21CF"/>
    <w:rsid w:val="009F5510"/>
    <w:rsid w:val="00A02D4E"/>
    <w:rsid w:val="00A14F14"/>
    <w:rsid w:val="00A73D64"/>
    <w:rsid w:val="00A73FC1"/>
    <w:rsid w:val="00A80D50"/>
    <w:rsid w:val="00A80EA7"/>
    <w:rsid w:val="00AA53D1"/>
    <w:rsid w:val="00AA55A4"/>
    <w:rsid w:val="00AB1241"/>
    <w:rsid w:val="00AB46D9"/>
    <w:rsid w:val="00AC659F"/>
    <w:rsid w:val="00B1009A"/>
    <w:rsid w:val="00B74C37"/>
    <w:rsid w:val="00BE7E93"/>
    <w:rsid w:val="00C263F0"/>
    <w:rsid w:val="00C32ABA"/>
    <w:rsid w:val="00C605A6"/>
    <w:rsid w:val="00C631CE"/>
    <w:rsid w:val="00CA0B09"/>
    <w:rsid w:val="00CA6E43"/>
    <w:rsid w:val="00CE2BFE"/>
    <w:rsid w:val="00D16CDB"/>
    <w:rsid w:val="00D43A53"/>
    <w:rsid w:val="00D852E2"/>
    <w:rsid w:val="00D95851"/>
    <w:rsid w:val="00D95BA5"/>
    <w:rsid w:val="00DB56B9"/>
    <w:rsid w:val="00E1661D"/>
    <w:rsid w:val="00E4590F"/>
    <w:rsid w:val="00E76B6D"/>
    <w:rsid w:val="00E7744B"/>
    <w:rsid w:val="00E81857"/>
    <w:rsid w:val="00F06989"/>
    <w:rsid w:val="00F52A71"/>
    <w:rsid w:val="00FA39F8"/>
    <w:rsid w:val="00FB301E"/>
    <w:rsid w:val="00FC5A7C"/>
    <w:rsid w:val="00FD6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8FFD8"/>
  <w15:docId w15:val="{3284499A-89E8-4A62-9989-097725C6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ind w:firstLine="43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C85"/>
    <w:rPr>
      <w:szCs w:val="22"/>
    </w:rPr>
  </w:style>
  <w:style w:type="paragraph" w:styleId="Heading1">
    <w:name w:val="heading 1"/>
    <w:basedOn w:val="Normal"/>
    <w:next w:val="Normal"/>
    <w:link w:val="Heading1Char"/>
    <w:autoRedefine/>
    <w:uiPriority w:val="9"/>
    <w:qFormat/>
    <w:rsid w:val="00F85AB5"/>
    <w:pPr>
      <w:keepNext/>
      <w:keepLines/>
      <w:spacing w:before="100" w:beforeAutospacing="1" w:after="100" w:afterAutospacing="1" w:line="240" w:lineRule="auto"/>
      <w:outlineLvl w:val="0"/>
    </w:pPr>
    <w:rPr>
      <w:rFonts w:eastAsiaTheme="majorEastAsia"/>
      <w:b/>
      <w:color w:val="000000" w:themeColor="text1"/>
      <w:szCs w:val="28"/>
    </w:rPr>
  </w:style>
  <w:style w:type="paragraph" w:styleId="Heading2">
    <w:name w:val="heading 2"/>
    <w:basedOn w:val="Normal"/>
    <w:next w:val="Normal"/>
    <w:link w:val="Heading2Char"/>
    <w:uiPriority w:val="9"/>
    <w:unhideWhenUsed/>
    <w:qFormat/>
    <w:rsid w:val="00F85AB5"/>
    <w:pPr>
      <w:keepNext/>
      <w:keepLines/>
      <w:spacing w:before="100" w:beforeAutospacing="1" w:after="100" w:afterAutospacing="1"/>
      <w:outlineLvl w:val="1"/>
    </w:pPr>
    <w:rPr>
      <w:rFonts w:eastAsiaTheme="majorEastAsia" w:cstheme="majorBidi"/>
      <w:color w:val="000000" w:themeColor="text1"/>
      <w:szCs w:val="26"/>
      <w:u w:val="single"/>
    </w:rPr>
  </w:style>
  <w:style w:type="paragraph" w:styleId="Heading3">
    <w:name w:val="heading 3"/>
    <w:basedOn w:val="Normal"/>
    <w:next w:val="Normal"/>
    <w:link w:val="Heading3Char"/>
    <w:uiPriority w:val="9"/>
    <w:unhideWhenUsed/>
    <w:qFormat/>
    <w:rsid w:val="006D7123"/>
    <w:pPr>
      <w:keepNext/>
      <w:keepLines/>
      <w:spacing w:before="100" w:beforeAutospacing="1" w:after="100" w:afterAutospacing="1"/>
      <w:outlineLvl w:val="2"/>
    </w:pPr>
    <w:rPr>
      <w:rFonts w:ascii="Times New Roman Italic" w:eastAsiaTheme="majorEastAsia" w:hAnsi="Times New Roman Italic" w:cstheme="majorBidi"/>
      <w:i/>
      <w:color w:val="000000" w:themeColor="text1"/>
      <w:szCs w:val="24"/>
    </w:rPr>
  </w:style>
  <w:style w:type="paragraph" w:styleId="Heading4">
    <w:name w:val="heading 4"/>
    <w:basedOn w:val="Normal"/>
    <w:next w:val="Normal"/>
    <w:pPr>
      <w:keepNext/>
      <w:keepLines/>
      <w:spacing w:before="240" w:after="40"/>
      <w:outlineLvl w:val="3"/>
    </w:pPr>
    <w:rPr>
      <w:b/>
      <w:szCs w:val="24"/>
    </w:rPr>
  </w:style>
  <w:style w:type="paragraph" w:styleId="Heading5">
    <w:name w:val="heading 5"/>
    <w:basedOn w:val="Normal"/>
    <w:next w:val="Normal"/>
    <w:pPr>
      <w:keepNext/>
      <w:keepLines/>
      <w:spacing w:before="220" w:after="40"/>
      <w:outlineLvl w:val="4"/>
    </w:pPr>
    <w:rPr>
      <w:b/>
      <w:sz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1B6D8A"/>
    <w:rPr>
      <w:color w:val="0563C1" w:themeColor="hyperlink"/>
      <w:u w:val="single"/>
    </w:rPr>
  </w:style>
  <w:style w:type="character" w:customStyle="1" w:styleId="Heading1Char">
    <w:name w:val="Heading 1 Char"/>
    <w:basedOn w:val="DefaultParagraphFont"/>
    <w:link w:val="Heading1"/>
    <w:uiPriority w:val="9"/>
    <w:rsid w:val="00F85AB5"/>
    <w:rPr>
      <w:rFonts w:ascii="Times New Roman" w:eastAsiaTheme="majorEastAsia" w:hAnsi="Times New Roman" w:cs="Times New Roman"/>
      <w:b/>
      <w:color w:val="000000" w:themeColor="text1"/>
      <w:szCs w:val="28"/>
    </w:rPr>
  </w:style>
  <w:style w:type="paragraph" w:styleId="FootnoteText">
    <w:name w:val="footnote text"/>
    <w:aliases w:val="5_G"/>
    <w:basedOn w:val="Normal"/>
    <w:link w:val="FootnoteTextChar"/>
    <w:uiPriority w:val="99"/>
    <w:unhideWhenUsed/>
    <w:rsid w:val="001B6D8A"/>
    <w:pPr>
      <w:spacing w:line="240" w:lineRule="auto"/>
    </w:pPr>
    <w:rPr>
      <w:sz w:val="20"/>
      <w:szCs w:val="20"/>
    </w:rPr>
  </w:style>
  <w:style w:type="character" w:customStyle="1" w:styleId="FootnoteTextChar">
    <w:name w:val="Footnote Text Char"/>
    <w:aliases w:val="5_G Char"/>
    <w:basedOn w:val="DefaultParagraphFont"/>
    <w:link w:val="FootnoteText"/>
    <w:uiPriority w:val="99"/>
    <w:rsid w:val="001B6D8A"/>
    <w:rPr>
      <w:rFonts w:ascii="Garamond" w:hAnsi="Garamond"/>
      <w:sz w:val="20"/>
      <w:szCs w:val="20"/>
    </w:rPr>
  </w:style>
  <w:style w:type="character" w:styleId="FootnoteReference">
    <w:name w:val="footnote reference"/>
    <w:aliases w:val="4_G"/>
    <w:basedOn w:val="DefaultParagraphFont"/>
    <w:uiPriority w:val="99"/>
    <w:unhideWhenUsed/>
    <w:rsid w:val="001B6D8A"/>
    <w:rPr>
      <w:vertAlign w:val="superscript"/>
    </w:rPr>
  </w:style>
  <w:style w:type="character" w:styleId="FollowedHyperlink">
    <w:name w:val="FollowedHyperlink"/>
    <w:basedOn w:val="DefaultParagraphFont"/>
    <w:uiPriority w:val="99"/>
    <w:semiHidden/>
    <w:unhideWhenUsed/>
    <w:rsid w:val="001B6D8A"/>
    <w:rPr>
      <w:color w:val="954F72" w:themeColor="followedHyperlink"/>
      <w:u w:val="single"/>
    </w:rPr>
  </w:style>
  <w:style w:type="character" w:customStyle="1" w:styleId="Heading2Char">
    <w:name w:val="Heading 2 Char"/>
    <w:basedOn w:val="DefaultParagraphFont"/>
    <w:link w:val="Heading2"/>
    <w:uiPriority w:val="9"/>
    <w:rsid w:val="00F85AB5"/>
    <w:rPr>
      <w:rFonts w:ascii="Times New Roman" w:eastAsiaTheme="majorEastAsia" w:hAnsi="Times New Roman" w:cstheme="majorBidi"/>
      <w:color w:val="000000" w:themeColor="text1"/>
      <w:szCs w:val="26"/>
      <w:u w:val="single"/>
    </w:rPr>
  </w:style>
  <w:style w:type="character" w:customStyle="1" w:styleId="Heading3Char">
    <w:name w:val="Heading 3 Char"/>
    <w:basedOn w:val="DefaultParagraphFont"/>
    <w:link w:val="Heading3"/>
    <w:uiPriority w:val="9"/>
    <w:rsid w:val="006D7123"/>
    <w:rPr>
      <w:rFonts w:ascii="Times New Roman Italic" w:eastAsiaTheme="majorEastAsia" w:hAnsi="Times New Roman Italic" w:cstheme="majorBidi"/>
      <w:i/>
      <w:color w:val="000000" w:themeColor="text1"/>
    </w:rPr>
  </w:style>
  <w:style w:type="character" w:customStyle="1" w:styleId="UnresolvedMention1">
    <w:name w:val="Unresolved Mention1"/>
    <w:basedOn w:val="DefaultParagraphFont"/>
    <w:uiPriority w:val="99"/>
    <w:semiHidden/>
    <w:unhideWhenUsed/>
    <w:rsid w:val="008946FF"/>
    <w:rPr>
      <w:color w:val="605E5C"/>
      <w:shd w:val="clear" w:color="auto" w:fill="E1DFDD"/>
    </w:rPr>
  </w:style>
  <w:style w:type="character" w:styleId="PageNumber">
    <w:name w:val="page number"/>
    <w:basedOn w:val="DefaultParagraphFont"/>
    <w:uiPriority w:val="99"/>
    <w:semiHidden/>
    <w:unhideWhenUsed/>
    <w:rsid w:val="00B66FF9"/>
  </w:style>
  <w:style w:type="paragraph" w:styleId="ListParagraph">
    <w:name w:val="List Paragraph"/>
    <w:basedOn w:val="Normal"/>
    <w:uiPriority w:val="34"/>
    <w:qFormat/>
    <w:rsid w:val="00C543DC"/>
    <w:pPr>
      <w:ind w:left="720"/>
      <w:contextualSpacing/>
    </w:pPr>
  </w:style>
  <w:style w:type="paragraph" w:styleId="BalloonText">
    <w:name w:val="Balloon Text"/>
    <w:basedOn w:val="Normal"/>
    <w:link w:val="BalloonTextChar"/>
    <w:uiPriority w:val="99"/>
    <w:semiHidden/>
    <w:unhideWhenUsed/>
    <w:rsid w:val="002A2A23"/>
    <w:pPr>
      <w:spacing w:line="240" w:lineRule="auto"/>
    </w:pPr>
    <w:rPr>
      <w:szCs w:val="18"/>
    </w:rPr>
  </w:style>
  <w:style w:type="character" w:customStyle="1" w:styleId="BalloonTextChar">
    <w:name w:val="Balloon Text Char"/>
    <w:basedOn w:val="DefaultParagraphFont"/>
    <w:link w:val="BalloonText"/>
    <w:uiPriority w:val="99"/>
    <w:semiHidden/>
    <w:rsid w:val="002A2A23"/>
    <w:rPr>
      <w:rFonts w:ascii="Times New Roman" w:hAnsi="Times New Roman" w:cs="Times New Roman"/>
      <w:sz w:val="18"/>
      <w:szCs w:val="18"/>
    </w:rPr>
  </w:style>
  <w:style w:type="paragraph" w:styleId="Header">
    <w:name w:val="header"/>
    <w:basedOn w:val="Normal"/>
    <w:link w:val="HeaderChar"/>
    <w:uiPriority w:val="99"/>
    <w:unhideWhenUsed/>
    <w:rsid w:val="001B6AD7"/>
    <w:pPr>
      <w:tabs>
        <w:tab w:val="center" w:pos="4680"/>
        <w:tab w:val="right" w:pos="9360"/>
      </w:tabs>
      <w:spacing w:line="240" w:lineRule="auto"/>
    </w:pPr>
  </w:style>
  <w:style w:type="character" w:customStyle="1" w:styleId="HeaderChar">
    <w:name w:val="Header Char"/>
    <w:basedOn w:val="DefaultParagraphFont"/>
    <w:link w:val="Header"/>
    <w:uiPriority w:val="99"/>
    <w:rsid w:val="001B6AD7"/>
    <w:rPr>
      <w:rFonts w:ascii="Times New Roman" w:hAnsi="Times New Roman"/>
      <w:szCs w:val="22"/>
    </w:rPr>
  </w:style>
  <w:style w:type="paragraph" w:styleId="Footer">
    <w:name w:val="footer"/>
    <w:basedOn w:val="Normal"/>
    <w:link w:val="FooterChar"/>
    <w:uiPriority w:val="99"/>
    <w:unhideWhenUsed/>
    <w:rsid w:val="001B6AD7"/>
    <w:pPr>
      <w:tabs>
        <w:tab w:val="center" w:pos="4680"/>
        <w:tab w:val="right" w:pos="9360"/>
      </w:tabs>
      <w:spacing w:line="240" w:lineRule="auto"/>
    </w:pPr>
  </w:style>
  <w:style w:type="character" w:customStyle="1" w:styleId="FooterChar">
    <w:name w:val="Footer Char"/>
    <w:basedOn w:val="DefaultParagraphFont"/>
    <w:link w:val="Footer"/>
    <w:uiPriority w:val="99"/>
    <w:rsid w:val="001B6AD7"/>
    <w:rPr>
      <w:rFonts w:ascii="Times New Roman" w:hAnsi="Times New Roman"/>
      <w:szCs w:val="2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EndnoteText">
    <w:name w:val="endnote text"/>
    <w:basedOn w:val="Normal"/>
    <w:link w:val="EndnoteTextChar"/>
    <w:uiPriority w:val="99"/>
    <w:semiHidden/>
    <w:unhideWhenUsed/>
    <w:rsid w:val="00342666"/>
    <w:pPr>
      <w:spacing w:line="240" w:lineRule="auto"/>
    </w:pPr>
    <w:rPr>
      <w:sz w:val="20"/>
      <w:szCs w:val="20"/>
    </w:rPr>
  </w:style>
  <w:style w:type="character" w:customStyle="1" w:styleId="EndnoteTextChar">
    <w:name w:val="Endnote Text Char"/>
    <w:basedOn w:val="DefaultParagraphFont"/>
    <w:link w:val="EndnoteText"/>
    <w:uiPriority w:val="99"/>
    <w:semiHidden/>
    <w:rsid w:val="00342666"/>
    <w:rPr>
      <w:sz w:val="20"/>
      <w:szCs w:val="20"/>
    </w:rPr>
  </w:style>
  <w:style w:type="character" w:styleId="EndnoteReference">
    <w:name w:val="endnote reference"/>
    <w:basedOn w:val="DefaultParagraphFont"/>
    <w:uiPriority w:val="99"/>
    <w:semiHidden/>
    <w:unhideWhenUsed/>
    <w:rsid w:val="00342666"/>
    <w:rPr>
      <w:vertAlign w:val="superscript"/>
    </w:rPr>
  </w:style>
  <w:style w:type="character" w:customStyle="1" w:styleId="UnresolvedMention2">
    <w:name w:val="Unresolved Mention2"/>
    <w:basedOn w:val="DefaultParagraphFont"/>
    <w:uiPriority w:val="99"/>
    <w:semiHidden/>
    <w:unhideWhenUsed/>
    <w:rsid w:val="002A350B"/>
    <w:rPr>
      <w:color w:val="605E5C"/>
      <w:shd w:val="clear" w:color="auto" w:fill="E1DFDD"/>
    </w:rPr>
  </w:style>
  <w:style w:type="character" w:customStyle="1" w:styleId="UnresolvedMention3">
    <w:name w:val="Unresolved Mention3"/>
    <w:basedOn w:val="DefaultParagraphFont"/>
    <w:uiPriority w:val="99"/>
    <w:semiHidden/>
    <w:unhideWhenUsed/>
    <w:rsid w:val="002B332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E1661D"/>
    <w:rPr>
      <w:b/>
      <w:bCs/>
    </w:rPr>
  </w:style>
  <w:style w:type="character" w:customStyle="1" w:styleId="CommentSubjectChar">
    <w:name w:val="Comment Subject Char"/>
    <w:basedOn w:val="CommentTextChar"/>
    <w:link w:val="CommentSubject"/>
    <w:uiPriority w:val="99"/>
    <w:semiHidden/>
    <w:rsid w:val="00E1661D"/>
    <w:rPr>
      <w:b/>
      <w:bCs/>
      <w:sz w:val="20"/>
      <w:szCs w:val="20"/>
    </w:rPr>
  </w:style>
  <w:style w:type="paragraph" w:styleId="Revision">
    <w:name w:val="Revision"/>
    <w:hidden/>
    <w:uiPriority w:val="99"/>
    <w:semiHidden/>
    <w:rsid w:val="00754C6C"/>
    <w:pPr>
      <w:spacing w:line="240" w:lineRule="auto"/>
      <w:ind w:firstLine="0"/>
      <w:jc w:val="left"/>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93424">
      <w:bodyDiv w:val="1"/>
      <w:marLeft w:val="0"/>
      <w:marRight w:val="0"/>
      <w:marTop w:val="0"/>
      <w:marBottom w:val="0"/>
      <w:divBdr>
        <w:top w:val="none" w:sz="0" w:space="0" w:color="auto"/>
        <w:left w:val="none" w:sz="0" w:space="0" w:color="auto"/>
        <w:bottom w:val="none" w:sz="0" w:space="0" w:color="auto"/>
        <w:right w:val="none" w:sz="0" w:space="0" w:color="auto"/>
      </w:divBdr>
    </w:div>
    <w:div w:id="993947009">
      <w:bodyDiv w:val="1"/>
      <w:marLeft w:val="0"/>
      <w:marRight w:val="0"/>
      <w:marTop w:val="0"/>
      <w:marBottom w:val="0"/>
      <w:divBdr>
        <w:top w:val="none" w:sz="0" w:space="0" w:color="auto"/>
        <w:left w:val="none" w:sz="0" w:space="0" w:color="auto"/>
        <w:bottom w:val="none" w:sz="0" w:space="0" w:color="auto"/>
        <w:right w:val="none" w:sz="0" w:space="0" w:color="auto"/>
      </w:divBdr>
    </w:div>
    <w:div w:id="1648895862">
      <w:bodyDiv w:val="1"/>
      <w:marLeft w:val="0"/>
      <w:marRight w:val="0"/>
      <w:marTop w:val="0"/>
      <w:marBottom w:val="0"/>
      <w:divBdr>
        <w:top w:val="none" w:sz="0" w:space="0" w:color="auto"/>
        <w:left w:val="none" w:sz="0" w:space="0" w:color="auto"/>
        <w:bottom w:val="none" w:sz="0" w:space="0" w:color="auto"/>
        <w:right w:val="none" w:sz="0" w:space="0" w:color="auto"/>
      </w:divBdr>
    </w:div>
    <w:div w:id="1792699915">
      <w:bodyDiv w:val="1"/>
      <w:marLeft w:val="0"/>
      <w:marRight w:val="0"/>
      <w:marTop w:val="0"/>
      <w:marBottom w:val="0"/>
      <w:divBdr>
        <w:top w:val="none" w:sz="0" w:space="0" w:color="auto"/>
        <w:left w:val="none" w:sz="0" w:space="0" w:color="auto"/>
        <w:bottom w:val="none" w:sz="0" w:space="0" w:color="auto"/>
        <w:right w:val="none" w:sz="0" w:space="0" w:color="auto"/>
      </w:divBdr>
    </w:div>
    <w:div w:id="1979337486">
      <w:bodyDiv w:val="1"/>
      <w:marLeft w:val="0"/>
      <w:marRight w:val="0"/>
      <w:marTop w:val="0"/>
      <w:marBottom w:val="0"/>
      <w:divBdr>
        <w:top w:val="none" w:sz="0" w:space="0" w:color="auto"/>
        <w:left w:val="none" w:sz="0" w:space="0" w:color="auto"/>
        <w:bottom w:val="none" w:sz="0" w:space="0" w:color="auto"/>
        <w:right w:val="none" w:sz="0" w:space="0" w:color="auto"/>
      </w:divBdr>
    </w:div>
    <w:div w:id="2008897131">
      <w:bodyDiv w:val="1"/>
      <w:marLeft w:val="0"/>
      <w:marRight w:val="0"/>
      <w:marTop w:val="0"/>
      <w:marBottom w:val="0"/>
      <w:divBdr>
        <w:top w:val="none" w:sz="0" w:space="0" w:color="auto"/>
        <w:left w:val="none" w:sz="0" w:space="0" w:color="auto"/>
        <w:bottom w:val="none" w:sz="0" w:space="0" w:color="auto"/>
        <w:right w:val="none" w:sz="0" w:space="0" w:color="auto"/>
      </w:divBdr>
    </w:div>
    <w:div w:id="2014911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esare.romano@lls.edu"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_rels/footnotes.xml.rels><?xml version="1.0" encoding="UTF-8" standalone="yes"?>
<Relationships xmlns="http://schemas.openxmlformats.org/package/2006/relationships"><Relationship Id="rId13" Type="http://schemas.openxmlformats.org/officeDocument/2006/relationships/hyperlink" Target="https://flk.npc.gov.cn/detail.html?ZmY4MDgwODE3MmI1ZjI0ZjAxNzMwOTQxNzRkZTI1MWU%3D%20(" TargetMode="External"/><Relationship Id="rId18" Type="http://schemas.openxmlformats.org/officeDocument/2006/relationships/hyperlink" Target="https://www.basiclaw.gov.hk/en/basiclaw/chapter3.html" TargetMode="External"/><Relationship Id="rId26" Type="http://schemas.openxmlformats.org/officeDocument/2006/relationships/hyperlink" Target="https://www.reuters.com/world/china/exclusive-new-hong-kong-university-classes-set-out-dangers-breaking-security-law-2021-11-05/" TargetMode="External"/><Relationship Id="rId3" Type="http://schemas.openxmlformats.org/officeDocument/2006/relationships/hyperlink" Target="https://tbinternet.ohchr.org/_layouts/15/treatybodyexternal/Download.aspx?symbolno=INT%2FCESCR%2FICO%2FHKG%2F43886&amp;Lang=en" TargetMode="External"/><Relationship Id="rId21" Type="http://schemas.openxmlformats.org/officeDocument/2006/relationships/hyperlink" Target="https://www.axios.com/china-hong-kong-law-global-activism-ff1ea6d1-0589-4a71-a462-eda5bea3f78f.html" TargetMode="External"/><Relationship Id="rId7" Type="http://schemas.openxmlformats.org/officeDocument/2006/relationships/hyperlink" Target="https://hudoc.echr.coe.int/eng" TargetMode="External"/><Relationship Id="rId12" Type="http://schemas.openxmlformats.org/officeDocument/2006/relationships/hyperlink" Target="https://npcobserver.com/2020/05/22/2020-npc-session-npcs-imminent-decision-on-national-security-in-hong-kong-explained/%20" TargetMode="External"/><Relationship Id="rId17" Type="http://schemas.openxmlformats.org/officeDocument/2006/relationships/hyperlink" Target="https://www.refworld.org/docid/3ae6b525c.html" TargetMode="External"/><Relationship Id="rId25" Type="http://schemas.openxmlformats.org/officeDocument/2006/relationships/hyperlink" Target="https://link.springer.com/article/10.1007/s12115-022-00709-9" TargetMode="External"/><Relationship Id="rId33" Type="http://schemas.openxmlformats.org/officeDocument/2006/relationships/hyperlink" Target="https://reason.com/2022/01/25/when-the-ccp-threatens-international-students-academic-freedom/" TargetMode="External"/><Relationship Id="rId2" Type="http://schemas.openxmlformats.org/officeDocument/2006/relationships/hyperlink" Target="https://www.scmp.com/news/hong-kong/politics/article/3091595/hong-kong-national-security-law-read-full-text" TargetMode="External"/><Relationship Id="rId16" Type="http://schemas.openxmlformats.org/officeDocument/2006/relationships/hyperlink" Target="https://www.amnesty.org/en/latest/news/2020/07/hong-kong-national-security-law-10-things-you-need-to-know" TargetMode="External"/><Relationship Id="rId20" Type="http://schemas.openxmlformats.org/officeDocument/2006/relationships/hyperlink" Target="https://www.hrw.org/news/2020/07/29/china-new-hong-kong-law-roadmap-repression" TargetMode="External"/><Relationship Id="rId29" Type="http://schemas.openxmlformats.org/officeDocument/2006/relationships/hyperlink" Target="https://www.scmp.com/news/hong-kong/politics/article/3151478/national-security-law-chinese-university-hong-kongs-student" TargetMode="External"/><Relationship Id="rId1" Type="http://schemas.openxmlformats.org/officeDocument/2006/relationships/hyperlink" Target="https://indicators.ohchr.org/" TargetMode="External"/><Relationship Id="rId6" Type="http://schemas.openxmlformats.org/officeDocument/2006/relationships/hyperlink" Target="https://sciencefordemocracy.org/" TargetMode="External"/><Relationship Id="rId11" Type="http://schemas.openxmlformats.org/officeDocument/2006/relationships/hyperlink" Target="https://www.reuters.com/article/us-hongkong-protests-anniversary-timelin/key-dates-in-hong-kongs-anti-government-protests-idUSKBN23A0QD" TargetMode="External"/><Relationship Id="rId24" Type="http://schemas.openxmlformats.org/officeDocument/2006/relationships/hyperlink" Target="https://treaties.un.org/Pages/ViewDetails.aspx?src=IND&amp;mtdsg_no=IV-3&amp;chapter=4&amp;clang=_en" TargetMode="External"/><Relationship Id="rId32" Type="http://schemas.openxmlformats.org/officeDocument/2006/relationships/hyperlink" Target="https://www.scmp.com/news/hong-kong/politics/article/3150955/hong-kongs-lingnan-university-terminates-2-professors-who" TargetMode="External"/><Relationship Id="rId5" Type="http://schemas.openxmlformats.org/officeDocument/2006/relationships/hyperlink" Target="https://www.lls.edu/academics/experientiallearning/clinics/internationalhumanrightscenter/" TargetMode="External"/><Relationship Id="rId15" Type="http://schemas.openxmlformats.org/officeDocument/2006/relationships/hyperlink" Target="https://www.nytimes.com/2020/06/30/world/asia/hong-kong-security-law-explain.html" TargetMode="External"/><Relationship Id="rId23" Type="http://schemas.openxmlformats.org/officeDocument/2006/relationships/hyperlink" Target="https://www.theguardian.com/education/2020/oct/12/academics-warn-of-chilling-effect-of-hong-kong-security-law" TargetMode="External"/><Relationship Id="rId28" Type="http://schemas.openxmlformats.org/officeDocument/2006/relationships/hyperlink" Target="https://www.scmp.com/news/hong-kong/education/article/3119074/hong-kong-university-suspends-student-leaders-over-banned" TargetMode="External"/><Relationship Id="rId10" Type="http://schemas.openxmlformats.org/officeDocument/2006/relationships/hyperlink" Target="https://www.scmp.com/news/hong-kong/politics/article/3092396/national-security-law-five-differences-between-hong-kongs" TargetMode="External"/><Relationship Id="rId19" Type="http://schemas.openxmlformats.org/officeDocument/2006/relationships/hyperlink" Target="https://www.hrw.org/news/2020/07/29/china-new-hong-kong-law-roadmap-repression" TargetMode="External"/><Relationship Id="rId31" Type="http://schemas.openxmlformats.org/officeDocument/2006/relationships/hyperlink" Target="https://www.scmp.com/news/hong-kong/law-and-crime/article/3124100/benny-tai-sent-back-jail-await-hong-kong-courts-ruling" TargetMode="External"/><Relationship Id="rId4" Type="http://schemas.openxmlformats.org/officeDocument/2006/relationships/hyperlink" Target="https://tbinternet.ohchr.org/_layouts/15/treatybodyexternal/Download.aspx?symbolno=E%2FC.12%2FCHN%2FRQ-HKG%2F4&amp;Lang=en" TargetMode="External"/><Relationship Id="rId9" Type="http://schemas.openxmlformats.org/officeDocument/2006/relationships/hyperlink" Target="https://hongkongfp.com/2018/02/17/reviving-article-23-part-i-rise-fall-hong-kongs-2003-national-security-bill/" TargetMode="External"/><Relationship Id="rId14" Type="http://schemas.openxmlformats.org/officeDocument/2006/relationships/hyperlink" Target="https://hongkongfp.com/2020/07/01/in-full-english-translation-of-the-hong-kong-national-security-law/" TargetMode="External"/><Relationship Id="rId22" Type="http://schemas.openxmlformats.org/officeDocument/2006/relationships/hyperlink" Target="https://www.scmp.com/news/china/politics/article/3091428/hong-kong-national-security-laws-long-arm-jurisdiction" TargetMode="External"/><Relationship Id="rId27" Type="http://schemas.openxmlformats.org/officeDocument/2006/relationships/hyperlink" Target="https://www.scholarsatrisk.org/wp-content/uploads/2021/12/Free-to-Think-2021-Hong-Kong.pdf" TargetMode="External"/><Relationship Id="rId30" Type="http://schemas.openxmlformats.org/officeDocument/2006/relationships/hyperlink" Target="https://hongkongfp.com/2022/12/06/4-university-of-hong-kong-students-set-to-plead-not-guilty-to-advocating-terrorism-under-national-security-law/" TargetMode="External"/><Relationship Id="rId8" Type="http://schemas.openxmlformats.org/officeDocument/2006/relationships/hyperlink" Target="https://www.basiclaw.gov.hk/en/basiclaw/chapter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jzmK3jPLEHiL/n4mWZOXeHvrmNEg==">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</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DEEC3D-62AC-4100-85A3-EA22ACD79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59165DF-3201-4A22-A1ED-B169EA65A3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C3EE52-4BFC-42F6-896B-48B5F15DA4BE}">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A41A1820-7FB5-41FB-9874-E609F398C7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3625</Words>
  <Characters>20663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24240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Celine Reynaud</cp:lastModifiedBy>
  <cp:revision>2</cp:revision>
  <dcterms:created xsi:type="dcterms:W3CDTF">2023-01-17T09:16:00Z</dcterms:created>
  <dcterms:modified xsi:type="dcterms:W3CDTF">2023-01-17T09:16:00Z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