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E4216" w:rsidRDefault="00E44DBA">
      <w:pPr>
        <w:jc w:val="both"/>
        <w:rPr>
          <w:rFonts w:ascii="Times New Roman" w:eastAsia="Times New Roman" w:hAnsi="Times New Roman" w:cs="Times New Roman"/>
          <w:b/>
          <w:u w:val="single"/>
        </w:rPr>
      </w:pPr>
      <w:r>
        <w:rPr>
          <w:rFonts w:ascii="Times New Roman" w:eastAsia="Times New Roman" w:hAnsi="Times New Roman" w:cs="Times New Roman"/>
          <w:b/>
          <w:u w:val="single"/>
        </w:rPr>
        <w:t xml:space="preserve">Informe Alternativo para el examen del segundo informe periódico de Honduras ante el Comité de Trabajadores Migrantes. </w:t>
      </w:r>
    </w:p>
    <w:p w14:paraId="00000002" w14:textId="77777777" w:rsidR="00CE4216" w:rsidRDefault="00CE4216">
      <w:pPr>
        <w:jc w:val="both"/>
        <w:rPr>
          <w:rFonts w:ascii="Times New Roman" w:eastAsia="Times New Roman" w:hAnsi="Times New Roman" w:cs="Times New Roman"/>
        </w:rPr>
      </w:pPr>
    </w:p>
    <w:p w14:paraId="00000003"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Este informe alternativo aporta información y análisis sobre la situación de profesionales de la salud cubanos actualmente desplegados en Honduras con motivo de </w:t>
      </w:r>
      <w:r>
        <w:rPr>
          <w:rFonts w:ascii="Times New Roman" w:eastAsia="Times New Roman" w:hAnsi="Times New Roman" w:cs="Times New Roman"/>
          <w:b/>
        </w:rPr>
        <w:t>acuerdos entre Cuba y Honduras suscritos en 2024</w:t>
      </w:r>
      <w:r>
        <w:rPr>
          <w:rFonts w:ascii="Times New Roman" w:eastAsia="Times New Roman" w:hAnsi="Times New Roman" w:cs="Times New Roman"/>
        </w:rPr>
        <w:t xml:space="preserve"> (y que tienen antecedentes desde 1999), en el marco de las llamadas “misiones o brigadas médicas cubanas”. El objetivo es ofrecer información para el diálogo del Comité con Honduras respecto del cumplimiento de la Convención, con especial atención a violaciones de derechos y riesgos de trata de personas profesionales de la salud cubanas, que pueden derivar del propio diseño contractual del acuerdo, de sus prácticas de implementación y de las regulaciones a la</w:t>
      </w:r>
      <w:r>
        <w:rPr>
          <w:rFonts w:ascii="Times New Roman" w:eastAsia="Times New Roman" w:hAnsi="Times New Roman" w:cs="Times New Roman"/>
        </w:rPr>
        <w:t xml:space="preserve">s que están sujetos los trabajadores cubanos de las brigadas en Honduras. </w:t>
      </w:r>
    </w:p>
    <w:p w14:paraId="00000004" w14:textId="77777777" w:rsidR="00CE4216" w:rsidRDefault="00CE4216">
      <w:pPr>
        <w:jc w:val="both"/>
        <w:rPr>
          <w:rFonts w:ascii="Times New Roman" w:eastAsia="Times New Roman" w:hAnsi="Times New Roman" w:cs="Times New Roman"/>
        </w:rPr>
      </w:pPr>
    </w:p>
    <w:p w14:paraId="00000005"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Las Misiones Internacionalistas Cubanas en Honduras.</w:t>
      </w:r>
    </w:p>
    <w:p w14:paraId="00000006"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Las “misiones de internacionalistas cubanas” consisten en la exportación de servicios de profesionales cubanos -como médicos, arquitectos, marineros, profesores y otros - a trabajar al exterior por cuenta del Estado cubano. En el caso de las “misiones o brigadas médicas” involucran a Cuba y a decenas de Estados receptores, entre ellos Honduras. Si bien se presenta como cooperación internacional, distintos antecedentes en muchos de los países, demuestran que las misiones tienen un alto riesgo de trata disfra</w:t>
      </w:r>
      <w:r>
        <w:rPr>
          <w:rFonts w:ascii="Times New Roman" w:eastAsia="Times New Roman" w:hAnsi="Times New Roman" w:cs="Times New Roman"/>
        </w:rPr>
        <w:t xml:space="preserve">zado de humanitarismo. Los servicios médicos en el exterior generan al gobierno cubano cuantiosas divisas y beneficios político-diplomáticos. La ONG Archivo Cuba afirma que según la ONEI (Oficina Nacional de Estadísticas e Información cubana), en 2023 (último año con datos) los ingresos por exportación de servicios de salud fueron USD 4,4 mil millones. </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t>
      </w:r>
    </w:p>
    <w:p w14:paraId="00000007"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La práctica se caracteriza por la falta de transparencia, inconsistencia y contradicción sobre las cifras oficiales del número real de trabajadores desplegados, y las condiciones contractuales tanto entre Cuba y los países receptores, como entre Cuba y los trabajadores. Esto impide conocer con precisión la magnitud del fenómeno. Desde 2024 las autoridades cubanas informan que hay unos 26.000 trabajadores en 56 países. Archivo Cuba estima que a octubre de 2025 dicha información coincide con el cúmulo de info</w:t>
      </w:r>
      <w:r>
        <w:rPr>
          <w:rFonts w:ascii="Times New Roman" w:eastAsia="Times New Roman" w:hAnsi="Times New Roman" w:cs="Times New Roman"/>
        </w:rPr>
        <w:t>rmes de Estados contratantes y medios de prensa locales, pero la información sobre los términos, condiciones, y tratamiento de los trabajadores cubanos sigue siendo muy opaca. En cuanto a Honduras, conforme Archivo Cuba, habría desplegados 177 profesionales de la salud a febrero 2025.</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14:paraId="00000008"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lastRenderedPageBreak/>
        <w:t xml:space="preserve">Los acuerdos actualmente vigentes entre Honduras y Cuba. </w:t>
      </w:r>
    </w:p>
    <w:p w14:paraId="00000009"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En febrero de 2024 se celebraron entre Honduras y Cuba, acuerdos para reactivar las brigadas médicas que en distintos momentos -a partir de 1999- se habían desplegado en Honduras. </w:t>
      </w:r>
    </w:p>
    <w:p w14:paraId="0000000A"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Según información oficial publicada en el sitio de la Secretaría de Planificación Estratégica de Honduras: </w:t>
      </w:r>
      <w:r>
        <w:rPr>
          <w:rFonts w:ascii="Times New Roman" w:eastAsia="Times New Roman" w:hAnsi="Times New Roman" w:cs="Times New Roman"/>
          <w:i/>
        </w:rPr>
        <w:t>“El Gobierno de Honduras y el Gobierno de Cuba realizaron el jueves 01 de febrero, la firma del Acuerdo Tripartito de Cooperación entre la Secretaría de Planificación Estratégica, la Secretaría de Salud y el Ministerio Salud Pública de Cuba, para que, a partir de este 20 de febrero llegue una brigada de 89 médicos especialistas cubanos que brindarán atención en los diferentes hospitales del país. Entre las especialidades que acompañan esta brigada se encuentran; cirujanos, ortopedas, neurocirujanos, cirujan</w:t>
      </w:r>
      <w:r>
        <w:rPr>
          <w:rFonts w:ascii="Times New Roman" w:eastAsia="Times New Roman" w:hAnsi="Times New Roman" w:cs="Times New Roman"/>
          <w:i/>
        </w:rPr>
        <w:t>os vasculares, cirujanos oncólogos, internistas, psiquiatras, epidemiólogos, pediatras neurólogos, entre otros. Asimismo, en la capital será instalado uno de los centros oftalmológicos de la Operación Milagro que se extenderá a Siguatepeque y Santa Bárbara.”</w:t>
      </w:r>
      <w:r>
        <w:rPr>
          <w:rFonts w:ascii="Times New Roman" w:eastAsia="Times New Roman" w:hAnsi="Times New Roman" w:cs="Times New Roman"/>
          <w:i/>
          <w:vertAlign w:val="superscript"/>
        </w:rPr>
        <w:footnoteReference w:id="3"/>
      </w:r>
    </w:p>
    <w:p w14:paraId="0000000B"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A su vez, conforme información oficial del Ministerio del Relaciones Exteriores cubano: </w:t>
      </w:r>
      <w:r>
        <w:rPr>
          <w:rFonts w:ascii="Times New Roman" w:eastAsia="Times New Roman" w:hAnsi="Times New Roman" w:cs="Times New Roman"/>
          <w:i/>
        </w:rPr>
        <w:t>“Una brigada médica cubana, integrada por 120 especialistas, arribó este martes a Honduras con el propósito de fortalecer el sistema de salud pública en esta nación centroamericana…</w:t>
      </w:r>
      <w:r>
        <w:rPr>
          <w:i/>
        </w:rPr>
        <w:t xml:space="preserve"> </w:t>
      </w:r>
      <w:r>
        <w:rPr>
          <w:rFonts w:ascii="Times New Roman" w:eastAsia="Times New Roman" w:hAnsi="Times New Roman" w:cs="Times New Roman"/>
          <w:i/>
        </w:rPr>
        <w:t>Honduras y Cuba firmaron a principios de este mes un convenio de cooperación médica, y según las máximas autoridades del sector aquí, los galenos cubanos serán contratados por la Secretaría de Planificación Estratégica y asignados a los hospitales Escuela y Catarino Rivas, de Tegucigalpa y San Pedro Sula, respectivamente</w:t>
      </w:r>
      <w:r>
        <w:rPr>
          <w:rFonts w:ascii="Times New Roman" w:eastAsia="Times New Roman" w:hAnsi="Times New Roman" w:cs="Times New Roman"/>
        </w:rPr>
        <w:t xml:space="preserve"> …</w:t>
      </w:r>
      <w:r>
        <w:rPr>
          <w:rFonts w:ascii="Times New Roman" w:eastAsia="Times New Roman" w:hAnsi="Times New Roman" w:cs="Times New Roman"/>
          <w:i/>
        </w:rPr>
        <w:t>De acu</w:t>
      </w:r>
      <w:r>
        <w:rPr>
          <w:rFonts w:ascii="Times New Roman" w:eastAsia="Times New Roman" w:hAnsi="Times New Roman" w:cs="Times New Roman"/>
          <w:i/>
        </w:rPr>
        <w:t>erdo con la información, el convenio suscrito será por un plazo de dos años y permitirá también que médicos hondureños puedan especializarse en Cuba.”</w:t>
      </w:r>
      <w:r>
        <w:rPr>
          <w:rFonts w:ascii="Times New Roman" w:eastAsia="Times New Roman" w:hAnsi="Times New Roman" w:cs="Times New Roman"/>
          <w:i/>
          <w:vertAlign w:val="superscript"/>
        </w:rPr>
        <w:footnoteReference w:id="4"/>
      </w:r>
    </w:p>
    <w:p w14:paraId="0000000C"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Como puede observarse de la información que surge de los propios gobiernos o de medios periodísticos</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las cifras sobre la cantidad de trabajadores desplegados no son claras y varían según la fuente entre 89 y 120 trabajadores. </w:t>
      </w:r>
    </w:p>
    <w:p w14:paraId="0000000D" w14:textId="77777777" w:rsidR="00CE4216" w:rsidRDefault="00CE4216">
      <w:pPr>
        <w:jc w:val="both"/>
        <w:rPr>
          <w:rFonts w:ascii="Times New Roman" w:eastAsia="Times New Roman" w:hAnsi="Times New Roman" w:cs="Times New Roman"/>
        </w:rPr>
      </w:pPr>
    </w:p>
    <w:p w14:paraId="0000000E"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 xml:space="preserve">Señalamientos de organizaciones internacionales al sistema de las Brigadas Médicas Cubanas en el mundo. </w:t>
      </w:r>
    </w:p>
    <w:p w14:paraId="0000000F"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A continuación se detallan múltiples señalamientos de organismos internacionales sobre serias violaciones de derechos humanos en el marco de estas misiones en el mundo y deben ser seriamente considerados para el examen de Honduras. Pues se refiere a situaciones que efectivamente han sido documentadas y denunciadas como acontecidas donde las misiones están desplegadas. Se trata de una práctica sistemática que se presume tiene características casi idénticas en todos los países donde funcionan. </w:t>
      </w:r>
    </w:p>
    <w:p w14:paraId="00000010"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Señalamientos de Procedimientos Especiales de ONU</w:t>
      </w:r>
      <w:r>
        <w:rPr>
          <w:rFonts w:ascii="Times New Roman" w:eastAsia="Times New Roman" w:hAnsi="Times New Roman" w:cs="Times New Roman"/>
          <w:color w:val="000000"/>
        </w:rPr>
        <w:t xml:space="preserve">. </w:t>
      </w:r>
    </w:p>
    <w:p w14:paraId="00000011"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En noviembre de 2019, la </w:t>
      </w:r>
      <w:r>
        <w:rPr>
          <w:rFonts w:ascii="Times New Roman" w:eastAsia="Times New Roman" w:hAnsi="Times New Roman" w:cs="Times New Roman"/>
          <w:b/>
        </w:rPr>
        <w:t>Relatora Especial sobre las formas contemporáneas de la esclavitud y la Relatora Especial sobre la trata de personas</w:t>
      </w:r>
      <w:r>
        <w:rPr>
          <w:rFonts w:ascii="Times New Roman" w:eastAsia="Times New Roman" w:hAnsi="Times New Roman" w:cs="Times New Roman"/>
        </w:rPr>
        <w:t xml:space="preserve"> manifestaron preocupaciones sobre la situación de estos trabajadores </w:t>
      </w:r>
      <w:r>
        <w:rPr>
          <w:rFonts w:ascii="Times New Roman" w:eastAsia="Times New Roman" w:hAnsi="Times New Roman" w:cs="Times New Roman"/>
          <w:i/>
        </w:rPr>
        <w:t>“por las condiciones de trabajo y de vida […]estarían expuestos a condiciones de trabajo y de vida explotadoras, pagos salariales inadecuados[…]sometidos a presiones y a seguimiento…”</w:t>
      </w:r>
      <w:r>
        <w:rPr>
          <w:rFonts w:ascii="Times New Roman" w:eastAsia="Times New Roman" w:hAnsi="Times New Roman" w:cs="Times New Roman"/>
        </w:rPr>
        <w:t xml:space="preserve">. </w:t>
      </w:r>
    </w:p>
    <w:p w14:paraId="00000012"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Señalaron alegaciones de que, aunque oficialmente presentadas como voluntarias, </w:t>
      </w:r>
      <w:r>
        <w:rPr>
          <w:rFonts w:ascii="Times New Roman" w:eastAsia="Times New Roman" w:hAnsi="Times New Roman" w:cs="Times New Roman"/>
          <w:i/>
        </w:rPr>
        <w:t>“muchos médicos se sienten presionados para acogerse a dichas misiones y temen represalias”</w:t>
      </w:r>
      <w:r>
        <w:rPr>
          <w:rFonts w:ascii="Times New Roman" w:eastAsia="Times New Roman" w:hAnsi="Times New Roman" w:cs="Times New Roman"/>
        </w:rPr>
        <w:t xml:space="preserve">. Entre las prácticas denunciadas se encontraban: </w:t>
      </w:r>
    </w:p>
    <w:p w14:paraId="00000013"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 que </w:t>
      </w:r>
      <w:r>
        <w:rPr>
          <w:rFonts w:ascii="Times New Roman" w:eastAsia="Times New Roman" w:hAnsi="Times New Roman" w:cs="Times New Roman"/>
          <w:i/>
          <w:color w:val="000000"/>
        </w:rPr>
        <w:t xml:space="preserve">“los médicos cubanos no recibirían un contrato de trabajo o … no siempre recibirían copia del mismo”; </w:t>
      </w:r>
    </w:p>
    <w:p w14:paraId="00000014"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retención de entre el 75% y 90% de los salarios por parte del Estado cubano, la congelación de una parte hasta regresar a Cuba (con riesgo de no recibirlo íntegramente), </w:t>
      </w:r>
    </w:p>
    <w:p w14:paraId="00000015"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jornadas de trabajo de hasta 64 horas semanales, restricciones a la </w:t>
      </w:r>
      <w:r>
        <w:rPr>
          <w:rFonts w:ascii="Times New Roman" w:eastAsia="Times New Roman" w:hAnsi="Times New Roman" w:cs="Times New Roman"/>
          <w:i/>
          <w:color w:val="000000"/>
        </w:rPr>
        <w:t>“libertad de movimiento … y bajo vigilancia por funcionarios…”</w:t>
      </w:r>
      <w:r>
        <w:rPr>
          <w:rFonts w:ascii="Times New Roman" w:eastAsia="Times New Roman" w:hAnsi="Times New Roman" w:cs="Times New Roman"/>
          <w:color w:val="000000"/>
        </w:rPr>
        <w:t>; “</w:t>
      </w:r>
      <w:r>
        <w:rPr>
          <w:rFonts w:ascii="Times New Roman" w:eastAsia="Times New Roman" w:hAnsi="Times New Roman" w:cs="Times New Roman"/>
          <w:i/>
          <w:color w:val="000000"/>
        </w:rPr>
        <w:t xml:space="preserve">vacaciones una vez por año pero que dicho viaje sería muchas veces considerado como premio o… podría ser negado como una forma de castigo”; </w:t>
      </w:r>
    </w:p>
    <w:p w14:paraId="00000016"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sanciones penales de tres a ocho años por “abandono de misión” conforme el Código Penal cubano y que las mismas sanciones son aplicadas a profesionales que deciden terminada la misión establecerse en otro país y que los considerados </w:t>
      </w:r>
      <w:r>
        <w:rPr>
          <w:rFonts w:ascii="Times New Roman" w:eastAsia="Times New Roman" w:hAnsi="Times New Roman" w:cs="Times New Roman"/>
          <w:i/>
          <w:color w:val="000000"/>
        </w:rPr>
        <w:t>“desertores no están autorizados a regresar a Cuba por ocho años y que los familiares que permanecen en Cuba estarían sujetos a señalamientos y repercusiones…”</w:t>
      </w:r>
      <w:r>
        <w:rPr>
          <w:rFonts w:ascii="Times New Roman" w:eastAsia="Times New Roman" w:hAnsi="Times New Roman" w:cs="Times New Roman"/>
          <w:color w:val="000000"/>
        </w:rPr>
        <w:t xml:space="preserve">;  </w:t>
      </w:r>
    </w:p>
    <w:p w14:paraId="00000017" w14:textId="77777777" w:rsidR="00CE4216" w:rsidRDefault="00E44DBA">
      <w:pPr>
        <w:numPr>
          <w:ilvl w:val="0"/>
          <w:numId w:val="3"/>
        </w:numPr>
        <w:pBdr>
          <w:top w:val="nil"/>
          <w:left w:val="nil"/>
          <w:bottom w:val="nil"/>
          <w:right w:val="nil"/>
          <w:between w:val="nil"/>
        </w:pBdr>
        <w:jc w:val="both"/>
        <w:rPr>
          <w:color w:val="000000"/>
        </w:rPr>
      </w:pPr>
      <w:r>
        <w:rPr>
          <w:rFonts w:ascii="Times New Roman" w:eastAsia="Times New Roman" w:hAnsi="Times New Roman" w:cs="Times New Roman"/>
          <w:color w:val="000000"/>
        </w:rPr>
        <w:t xml:space="preserve">amenazas regulares y acoso sexual hacia las mujeres médicas. </w:t>
      </w:r>
    </w:p>
    <w:p w14:paraId="00000018"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Las relatoras concluyeron que </w:t>
      </w:r>
      <w:r>
        <w:rPr>
          <w:rFonts w:ascii="Times New Roman" w:eastAsia="Times New Roman" w:hAnsi="Times New Roman" w:cs="Times New Roman"/>
          <w:i/>
        </w:rPr>
        <w:t>“estas condiciones de trabajo podrían elevarse a trabajo forzoso”</w:t>
      </w:r>
      <w:r>
        <w:rPr>
          <w:rFonts w:ascii="Times New Roman" w:eastAsia="Times New Roman" w:hAnsi="Times New Roman" w:cs="Times New Roman"/>
        </w:rPr>
        <w:t xml:space="preserve"> según los indicadores de la OIT y, por ende, una forma contemporánea de esclavitud. </w:t>
      </w:r>
      <w:r>
        <w:rPr>
          <w:rFonts w:ascii="Times New Roman" w:eastAsia="Times New Roman" w:hAnsi="Times New Roman" w:cs="Times New Roman"/>
          <w:vertAlign w:val="superscript"/>
        </w:rPr>
        <w:footnoteReference w:id="6"/>
      </w:r>
    </w:p>
    <w:p w14:paraId="00000019"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En noviembre de 2023, el </w:t>
      </w:r>
      <w:r>
        <w:rPr>
          <w:rFonts w:ascii="Times New Roman" w:eastAsia="Times New Roman" w:hAnsi="Times New Roman" w:cs="Times New Roman"/>
          <w:b/>
        </w:rPr>
        <w:t xml:space="preserve">Relator Especial sobre las formas contemporáneas de la esclavitud </w:t>
      </w:r>
      <w:r>
        <w:rPr>
          <w:rFonts w:ascii="Times New Roman" w:eastAsia="Times New Roman" w:hAnsi="Times New Roman" w:cs="Times New Roman"/>
        </w:rPr>
        <w:t xml:space="preserve">señaló que muchas preocupaciones persistían y reiteró su </w:t>
      </w:r>
      <w:r>
        <w:rPr>
          <w:rFonts w:ascii="Times New Roman" w:eastAsia="Times New Roman" w:hAnsi="Times New Roman" w:cs="Times New Roman"/>
          <w:i/>
        </w:rPr>
        <w:t>“inquietud por los presuntos abusos de los derechos fundamentales, incluido el derecho a la intimidad, la libertad, la libertad de expresión y asociación, y la libertad de circulación…”</w:t>
      </w:r>
    </w:p>
    <w:p w14:paraId="0000001A"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Por su parte, destacó según la información recibida: </w:t>
      </w:r>
    </w:p>
    <w:p w14:paraId="0000001B"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 que </w:t>
      </w:r>
      <w:r>
        <w:rPr>
          <w:rFonts w:ascii="Times New Roman" w:eastAsia="Times New Roman" w:hAnsi="Times New Roman" w:cs="Times New Roman"/>
          <w:i/>
          <w:color w:val="000000"/>
        </w:rPr>
        <w:t>“el programa y la misión de migración temporal continuarían sometiendo a los profesionales cubanos… a condiciones laborales de explotación…”</w:t>
      </w:r>
    </w:p>
    <w:p w14:paraId="0000001C"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Que los salarios son inadecuados porque </w:t>
      </w:r>
      <w:r>
        <w:rPr>
          <w:rFonts w:ascii="Times New Roman" w:eastAsia="Times New Roman" w:hAnsi="Times New Roman" w:cs="Times New Roman"/>
          <w:i/>
          <w:color w:val="000000"/>
        </w:rPr>
        <w:t xml:space="preserve">“no permiten sostener una vida digna, y suelen estar por debajo del salario medio de las personas trabajadores en los respectivos países de destino”; </w:t>
      </w:r>
    </w:p>
    <w:p w14:paraId="0000001D"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la práctica de confiscación de pasaportes, restricciones de movimiento y toques de queda;</w:t>
      </w:r>
    </w:p>
    <w:p w14:paraId="0000001E" w14:textId="77777777" w:rsidR="00CE4216" w:rsidRDefault="00E44DBA">
      <w:pPr>
        <w:numPr>
          <w:ilvl w:val="0"/>
          <w:numId w:val="3"/>
        </w:numPr>
        <w:pBdr>
          <w:top w:val="nil"/>
          <w:left w:val="nil"/>
          <w:bottom w:val="nil"/>
          <w:right w:val="nil"/>
          <w:between w:val="nil"/>
        </w:pBdr>
        <w:spacing w:after="0"/>
        <w:jc w:val="both"/>
        <w:rPr>
          <w:i/>
          <w:color w:val="000000"/>
        </w:rPr>
      </w:pPr>
      <w:r>
        <w:rPr>
          <w:rFonts w:ascii="Times New Roman" w:eastAsia="Times New Roman" w:hAnsi="Times New Roman" w:cs="Times New Roman"/>
          <w:color w:val="000000"/>
        </w:rPr>
        <w:t xml:space="preserve">situaciones de </w:t>
      </w:r>
      <w:r>
        <w:rPr>
          <w:rFonts w:ascii="Times New Roman" w:eastAsia="Times New Roman" w:hAnsi="Times New Roman" w:cs="Times New Roman"/>
          <w:i/>
          <w:color w:val="000000"/>
        </w:rPr>
        <w:t>“acoso o violencia sexual, amenazas y/o violencia física…”</w:t>
      </w:r>
    </w:p>
    <w:p w14:paraId="0000001F" w14:textId="77777777" w:rsidR="00CE4216" w:rsidRDefault="00E44DBA">
      <w:pPr>
        <w:numPr>
          <w:ilvl w:val="0"/>
          <w:numId w:val="3"/>
        </w:numPr>
        <w:pBdr>
          <w:top w:val="nil"/>
          <w:left w:val="nil"/>
          <w:bottom w:val="nil"/>
          <w:right w:val="nil"/>
          <w:between w:val="nil"/>
        </w:pBdr>
        <w:spacing w:after="0"/>
        <w:jc w:val="both"/>
        <w:rPr>
          <w:i/>
          <w:color w:val="000000"/>
        </w:rPr>
      </w:pPr>
      <w:r>
        <w:rPr>
          <w:rFonts w:ascii="Times New Roman" w:eastAsia="Times New Roman" w:hAnsi="Times New Roman" w:cs="Times New Roman"/>
          <w:color w:val="000000"/>
        </w:rPr>
        <w:t>que “</w:t>
      </w:r>
      <w:r>
        <w:rPr>
          <w:rFonts w:ascii="Times New Roman" w:eastAsia="Times New Roman" w:hAnsi="Times New Roman" w:cs="Times New Roman"/>
          <w:i/>
          <w:color w:val="000000"/>
        </w:rPr>
        <w:t>…. En ciertos países, los trabajadores no recibirían un contrato laboral y en otros, algunos profesionales recibirían un contrato.... Los contratos incluirían una "cláusula de regreso"; una baja remuneración salarial; pago de honorarios y comisiones al Partido Comunista; subrogación a la legislación cubana…; falsificación de contratos y firma por parte de funcionarios cubanos, en lugar de los trabajadores; e imposiciones personales como la obligación de dar a luz en Cuba e impedir a los trabajadores obtener</w:t>
      </w:r>
      <w:r>
        <w:rPr>
          <w:rFonts w:ascii="Times New Roman" w:eastAsia="Times New Roman" w:hAnsi="Times New Roman" w:cs="Times New Roman"/>
          <w:i/>
          <w:color w:val="000000"/>
        </w:rPr>
        <w:t xml:space="preserve"> la residencia en los países de destino, entre otras”</w:t>
      </w:r>
    </w:p>
    <w:p w14:paraId="00000020"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que </w:t>
      </w:r>
      <w:r>
        <w:rPr>
          <w:rFonts w:ascii="Times New Roman" w:eastAsia="Times New Roman" w:hAnsi="Times New Roman" w:cs="Times New Roman"/>
          <w:i/>
          <w:color w:val="000000"/>
        </w:rPr>
        <w:t>“el artículo 176 del Código Penal cubano prevé penas de 8 años de prisión para los profesionales que abandonen su puesto de trabajo o no regresen a Cuba…”.</w:t>
      </w:r>
      <w:r>
        <w:rPr>
          <w:rFonts w:ascii="Times New Roman" w:eastAsia="Times New Roman" w:hAnsi="Times New Roman" w:cs="Times New Roman"/>
          <w:color w:val="000000"/>
        </w:rPr>
        <w:t xml:space="preserve"> </w:t>
      </w:r>
    </w:p>
    <w:p w14:paraId="00000021"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que </w:t>
      </w:r>
      <w:r>
        <w:rPr>
          <w:rFonts w:ascii="Times New Roman" w:eastAsia="Times New Roman" w:hAnsi="Times New Roman" w:cs="Times New Roman"/>
          <w:i/>
          <w:color w:val="000000"/>
        </w:rPr>
        <w:t xml:space="preserve">“Existe una prohibición de facto para los padres que terminaron un contrato civil en el extranjero de reunirse con sus hijos o hijas, a veces durante hasta ocho años” </w:t>
      </w:r>
      <w:r>
        <w:rPr>
          <w:rFonts w:ascii="Times New Roman" w:eastAsia="Times New Roman" w:hAnsi="Times New Roman" w:cs="Times New Roman"/>
          <w:color w:val="000000"/>
        </w:rPr>
        <w:t>y los efectos negativos de la separación sobre los niños “</w:t>
      </w:r>
      <w:r>
        <w:rPr>
          <w:rFonts w:ascii="Times New Roman" w:eastAsia="Times New Roman" w:hAnsi="Times New Roman" w:cs="Times New Roman"/>
          <w:i/>
          <w:color w:val="000000"/>
        </w:rPr>
        <w:t>como también resaltó el Comité de los Derechos del Niño”</w:t>
      </w:r>
      <w:r>
        <w:rPr>
          <w:rFonts w:ascii="Times New Roman" w:eastAsia="Times New Roman" w:hAnsi="Times New Roman" w:cs="Times New Roman"/>
          <w:color w:val="000000"/>
        </w:rPr>
        <w:t xml:space="preserve"> en sus observaciones finales (16 de junio 2022) al examen de Cuba.</w:t>
      </w:r>
    </w:p>
    <w:p w14:paraId="00000022"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que </w:t>
      </w:r>
      <w:r>
        <w:rPr>
          <w:rFonts w:ascii="Times New Roman" w:eastAsia="Times New Roman" w:hAnsi="Times New Roman" w:cs="Times New Roman"/>
          <w:i/>
          <w:color w:val="000000"/>
        </w:rPr>
        <w:t>“si una persona profesional abandona su puesto en el extranjero, se aplicaría una prohibición de salida a la familia en Cuba y mientras una persona presta servicios profesionales en el exterior sus familiares no podrían salir de Cuba sin autorización previa…</w:t>
      </w:r>
      <w:r>
        <w:rPr>
          <w:rFonts w:ascii="Times New Roman" w:eastAsia="Times New Roman" w:hAnsi="Times New Roman" w:cs="Times New Roman"/>
          <w:color w:val="000000"/>
        </w:rPr>
        <w:t xml:space="preserve">” </w:t>
      </w:r>
    </w:p>
    <w:p w14:paraId="00000023" w14:textId="77777777" w:rsidR="00CE4216" w:rsidRDefault="00E44DBA">
      <w:pPr>
        <w:numPr>
          <w:ilvl w:val="0"/>
          <w:numId w:val="3"/>
        </w:numPr>
        <w:pBdr>
          <w:top w:val="nil"/>
          <w:left w:val="nil"/>
          <w:bottom w:val="nil"/>
          <w:right w:val="nil"/>
          <w:between w:val="nil"/>
        </w:pBdr>
        <w:spacing w:after="0"/>
        <w:jc w:val="both"/>
        <w:rPr>
          <w:color w:val="000000"/>
        </w:rPr>
      </w:pPr>
      <w:r>
        <w:rPr>
          <w:rFonts w:ascii="Times New Roman" w:eastAsia="Times New Roman" w:hAnsi="Times New Roman" w:cs="Times New Roman"/>
          <w:color w:val="000000"/>
        </w:rPr>
        <w:t xml:space="preserve">que los profesionales que abandonan la misión son llamados </w:t>
      </w:r>
      <w:r>
        <w:rPr>
          <w:rFonts w:ascii="Times New Roman" w:eastAsia="Times New Roman" w:hAnsi="Times New Roman" w:cs="Times New Roman"/>
          <w:i/>
          <w:color w:val="000000"/>
        </w:rPr>
        <w:t>“desertores” o “traidores”, y se les restringiría la entrada al país según el artículo 24.1 de la Ley 1312 de Migración”</w:t>
      </w:r>
    </w:p>
    <w:p w14:paraId="00000024" w14:textId="77777777" w:rsidR="00CE4216" w:rsidRDefault="00E44DBA">
      <w:pPr>
        <w:numPr>
          <w:ilvl w:val="0"/>
          <w:numId w:val="3"/>
        </w:numPr>
        <w:pBdr>
          <w:top w:val="nil"/>
          <w:left w:val="nil"/>
          <w:bottom w:val="nil"/>
          <w:right w:val="nil"/>
          <w:between w:val="nil"/>
        </w:pBdr>
        <w:jc w:val="both"/>
        <w:rPr>
          <w:color w:val="000000"/>
        </w:rPr>
      </w:pPr>
      <w:r>
        <w:rPr>
          <w:rFonts w:ascii="Times New Roman" w:eastAsia="Times New Roman" w:hAnsi="Times New Roman" w:cs="Times New Roman"/>
          <w:color w:val="000000"/>
        </w:rPr>
        <w:t xml:space="preserve">retención de pasaportes al salir de Cuba. </w:t>
      </w:r>
    </w:p>
    <w:p w14:paraId="00000025" w14:textId="77777777" w:rsidR="00CE4216" w:rsidRDefault="00E44DBA">
      <w:pPr>
        <w:jc w:val="both"/>
        <w:rPr>
          <w:rFonts w:ascii="Times New Roman" w:eastAsia="Times New Roman" w:hAnsi="Times New Roman" w:cs="Times New Roman"/>
          <w:i/>
        </w:rPr>
      </w:pPr>
      <w:r>
        <w:rPr>
          <w:rFonts w:ascii="Times New Roman" w:eastAsia="Times New Roman" w:hAnsi="Times New Roman" w:cs="Times New Roman"/>
        </w:rPr>
        <w:t xml:space="preserve">Finalmente, el Relator afirmó que </w:t>
      </w:r>
      <w:r>
        <w:rPr>
          <w:rFonts w:ascii="Times New Roman" w:eastAsia="Times New Roman" w:hAnsi="Times New Roman" w:cs="Times New Roman"/>
          <w:i/>
        </w:rPr>
        <w:t>“Las condiciones de trabajo a las que trabajadores de diferentes categorías profesionales estarían sujetos podrían elevarse a trabajo forzoso, según los indicadores de trabajo forzoso establecidos por la Organización Internacional de Trabajo”</w:t>
      </w:r>
      <w:r>
        <w:rPr>
          <w:rFonts w:ascii="Times New Roman" w:eastAsia="Times New Roman" w:hAnsi="Times New Roman" w:cs="Times New Roman"/>
          <w:i/>
          <w:vertAlign w:val="superscript"/>
        </w:rPr>
        <w:footnoteReference w:id="7"/>
      </w:r>
    </w:p>
    <w:p w14:paraId="00000026" w14:textId="77777777" w:rsidR="00CE4216" w:rsidRDefault="00CE4216">
      <w:pPr>
        <w:jc w:val="both"/>
        <w:rPr>
          <w:rFonts w:ascii="Times New Roman" w:eastAsia="Times New Roman" w:hAnsi="Times New Roman" w:cs="Times New Roman"/>
        </w:rPr>
      </w:pPr>
    </w:p>
    <w:p w14:paraId="00000027"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 Señalamientos de la Organización Internacional del Trabajo (OIT)</w:t>
      </w:r>
    </w:p>
    <w:p w14:paraId="00000028"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En el marco del seguimiento del Convenio sobre el trabajo forzoso de 1930 (núm. 29), la Comisión de Expertos en Aplicación de Convenios y Recomendaciones (CEACR) de la OIT ha examinado la situación de las misiones médicas, haciendo señalamientos a Cuba. </w:t>
      </w:r>
    </w:p>
    <w:p w14:paraId="00000029"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La CEACR, en sus Solicitudes Directas de 2022</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 2024</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registró denuncias de las que se habían hecho eco los Procedimientos Especiales de ONU y la Asociación Sindical Independiente de Cuba (ASIC) sobre restricción de movimiento, retención salarial, jornadas excesivas, vigilancia y acoso, y sanciones penales por abandono de misión. Advirtió que tales regímenes pueden convertir un vínculo contractual en servicio impuesto por ley, incompatible con el Convenio. Solicitó información sobre mecanismos de recurso, denuncias, bajas y aplicación de sanciones; en 2024 c</w:t>
      </w:r>
      <w:r>
        <w:rPr>
          <w:rFonts w:ascii="Times New Roman" w:eastAsia="Times New Roman" w:hAnsi="Times New Roman" w:cs="Times New Roman"/>
        </w:rPr>
        <w:t>onstató falta de respuesta sustantiva y persistencia de las preocupaciones</w:t>
      </w:r>
    </w:p>
    <w:p w14:paraId="0000002A" w14:textId="77777777" w:rsidR="00CE4216" w:rsidRDefault="00CE4216">
      <w:pPr>
        <w:jc w:val="both"/>
        <w:rPr>
          <w:rFonts w:ascii="Times New Roman" w:eastAsia="Times New Roman" w:hAnsi="Times New Roman" w:cs="Times New Roman"/>
        </w:rPr>
      </w:pPr>
    </w:p>
    <w:p w14:paraId="0000002B"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Señalamientos de la Comisión Interamericana de Derechos Humanos (CIDH)</w:t>
      </w:r>
    </w:p>
    <w:p w14:paraId="0000002C"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En 2023 la CIDH expresó su preocupación en el tema, señalando que el personal </w:t>
      </w:r>
      <w:r>
        <w:rPr>
          <w:rFonts w:ascii="Times New Roman" w:eastAsia="Times New Roman" w:hAnsi="Times New Roman" w:cs="Times New Roman"/>
          <w:i/>
        </w:rPr>
        <w:t xml:space="preserve">“ podría encontrarse en situación de trabajo forzoso u obligatorio, conceptos relacionados a la esclavitud moderna, toda vez que sus derechos humanos laborales más básicos serían vulnerados” y </w:t>
      </w:r>
      <w:r>
        <w:rPr>
          <w:rFonts w:ascii="Times New Roman" w:eastAsia="Times New Roman" w:hAnsi="Times New Roman" w:cs="Times New Roman"/>
        </w:rPr>
        <w:t xml:space="preserve"> que había </w:t>
      </w:r>
      <w:r>
        <w:rPr>
          <w:rFonts w:ascii="Times New Roman" w:eastAsia="Times New Roman" w:hAnsi="Times New Roman" w:cs="Times New Roman"/>
          <w:i/>
        </w:rPr>
        <w:t>“recogido insumos de organizaciones de la sociedad civil en los que se afirma que el gobierno cubano retendría hasta el 90% del salario que otros gobiernos pagan…”</w:t>
      </w:r>
    </w:p>
    <w:p w14:paraId="0000002D"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Destacó información sobre </w:t>
      </w:r>
      <w:r>
        <w:rPr>
          <w:rFonts w:ascii="Times New Roman" w:eastAsia="Times New Roman" w:hAnsi="Times New Roman" w:cs="Times New Roman"/>
          <w:i/>
        </w:rPr>
        <w:t xml:space="preserve">“graves limitaciones a la libertad personal… de expresión y de asociación…pues se consideran como infracciones disciplinarias comportamientos cotidianos tales como desarrollar relaciones amistosas, amorosas o de cualquier otro tipo con cualquier persona con posiciones u opiniones contrarias al régimen cubano, así como la prohibición de hacer declaraciones a los medios de comunicación de situaciones …sin previa autorización…”.; </w:t>
      </w:r>
      <w:r>
        <w:rPr>
          <w:rFonts w:ascii="Times New Roman" w:eastAsia="Times New Roman" w:hAnsi="Times New Roman" w:cs="Times New Roman"/>
        </w:rPr>
        <w:t>y que estos comportamientos</w:t>
      </w:r>
      <w:r>
        <w:rPr>
          <w:rFonts w:ascii="Times New Roman" w:eastAsia="Times New Roman" w:hAnsi="Times New Roman" w:cs="Times New Roman"/>
          <w:i/>
        </w:rPr>
        <w:t xml:space="preserve"> “acarrearían consecuencias …como persecución, acoso, </w:t>
      </w:r>
      <w:r>
        <w:rPr>
          <w:rFonts w:ascii="Times New Roman" w:eastAsia="Times New Roman" w:hAnsi="Times New Roman" w:cs="Times New Roman"/>
          <w:i/>
        </w:rPr>
        <w:t>incapacidad para trabajar en la profesión, retención de credenciales … discriminación o imposibilidad de volver al país en caso de decidir abandonar la misión”</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0"/>
      </w:r>
    </w:p>
    <w:p w14:paraId="0000002E"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 Señalamientos del Parlamento Europeo. </w:t>
      </w:r>
    </w:p>
    <w:p w14:paraId="0000002F"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En dos resoluciones de junio y septiembre de 2021, el Parlamento Europeo se refirió a sus preocupaciones sobre las misiones y condenó las violaciones sistemáticas de derechos humanos y laborales cometidas contra el personal sanitario cubano enviado al exterior, instando al Gobierno cubano a respetar los derechos de estos trabajadores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p>
    <w:p w14:paraId="00000030"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Señalamientos del Gobierno de Estados Unidos. </w:t>
      </w:r>
    </w:p>
    <w:p w14:paraId="00000031"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Conforme a la ley de Protección a Víctimas de la Trata de Personas de los EE.UU., del año 2000, el Departamento de Estado publica un informe anual sobre la trata de personas a nivel mundial. El informe más reciente, de septiembre de 2025, clasificó a Cuba por quinto año consecutivo en el nivel 3 (el más gravoso), junto a otros veinte países que no cumplen con los estándares mínimos para la eliminación de la trata ni realizan esfuerzos significativos para lograrlo</w:t>
      </w:r>
      <w:r>
        <w:rPr>
          <w:rFonts w:ascii="Times New Roman" w:eastAsia="Times New Roman" w:hAnsi="Times New Roman" w:cs="Times New Roman"/>
          <w:vertAlign w:val="superscript"/>
        </w:rPr>
        <w:footnoteReference w:id="12"/>
      </w:r>
    </w:p>
    <w:p w14:paraId="00000032" w14:textId="77777777" w:rsidR="00CE4216" w:rsidRDefault="00CE4216">
      <w:pPr>
        <w:jc w:val="both"/>
        <w:rPr>
          <w:rFonts w:ascii="Times New Roman" w:eastAsia="Times New Roman" w:hAnsi="Times New Roman" w:cs="Times New Roman"/>
        </w:rPr>
      </w:pPr>
    </w:p>
    <w:p w14:paraId="00000033"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 xml:space="preserve">Legislación cubana aplicable a las Brigadas Médicas: Reglamento Disciplinario (Resolución 368/2000 del Ministerio de Comercio Exterior y la Inversión Extranjera; artículo 176 Código Penal y artículo 24.1 Ley 1312 de Migraciones. </w:t>
      </w:r>
    </w:p>
    <w:p w14:paraId="00000034" w14:textId="77777777" w:rsidR="00CE4216" w:rsidRDefault="00E44DBA">
      <w:pPr>
        <w:jc w:val="both"/>
        <w:rPr>
          <w:rFonts w:ascii="Times New Roman" w:eastAsia="Times New Roman" w:hAnsi="Times New Roman" w:cs="Times New Roman"/>
          <w:b/>
          <w:u w:val="single"/>
        </w:rPr>
      </w:pPr>
      <w:r>
        <w:rPr>
          <w:rFonts w:ascii="Times New Roman" w:eastAsia="Times New Roman" w:hAnsi="Times New Roman" w:cs="Times New Roman"/>
        </w:rPr>
        <w:t>La legislación cubana aplicable a las misiones internacionalistas cubanas es el Reglamento Disciplinario Resolución 368/2000 del Ministerio de Comercio Exterior y la Inversión Extranjera; y el artículo 176 del Código Penal.  La sola existencia y aplicación de las disposiciones que contienen estas normas, implican evidencia per-se de las violaciones de derechos humanos. Y todo país receptor de trabajadores bajo estos esquemas – en este caso Honduras -, es directamente responsable conforme al derecho internac</w:t>
      </w:r>
      <w:r>
        <w:rPr>
          <w:rFonts w:ascii="Times New Roman" w:eastAsia="Times New Roman" w:hAnsi="Times New Roman" w:cs="Times New Roman"/>
        </w:rPr>
        <w:t xml:space="preserve">ional. Seguidamente se realiza un muy sintético análisis de éstas, a la luz de la Convención. Aunque hay </w:t>
      </w:r>
      <w:r>
        <w:rPr>
          <w:rFonts w:ascii="Times New Roman" w:eastAsia="Times New Roman" w:hAnsi="Times New Roman" w:cs="Times New Roman"/>
          <w:b/>
          <w:u w:val="single"/>
        </w:rPr>
        <w:t xml:space="preserve">otros tratados de derechos humanos y normas de la OIT que también resultan violados por esta normativa. </w:t>
      </w:r>
    </w:p>
    <w:p w14:paraId="00000035" w14:textId="77777777" w:rsidR="00CE4216" w:rsidRDefault="00CE4216">
      <w:pPr>
        <w:jc w:val="both"/>
        <w:rPr>
          <w:rFonts w:ascii="Times New Roman" w:eastAsia="Times New Roman" w:hAnsi="Times New Roman" w:cs="Times New Roman"/>
        </w:rPr>
      </w:pPr>
    </w:p>
    <w:p w14:paraId="00000036"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La Resolución 368 de 2020</w:t>
      </w:r>
      <w:r>
        <w:rPr>
          <w:rFonts w:ascii="Times New Roman" w:eastAsia="Times New Roman" w:hAnsi="Times New Roman" w:cs="Times New Roman"/>
          <w:b/>
          <w:color w:val="000000"/>
          <w:vertAlign w:val="superscript"/>
        </w:rPr>
        <w:footnoteReference w:id="13"/>
      </w:r>
      <w:r>
        <w:rPr>
          <w:rFonts w:ascii="Times New Roman" w:eastAsia="Times New Roman" w:hAnsi="Times New Roman" w:cs="Times New Roman"/>
          <w:b/>
          <w:color w:val="000000"/>
        </w:rPr>
        <w:t xml:space="preserve">. </w:t>
      </w:r>
    </w:p>
    <w:p w14:paraId="00000037" w14:textId="77777777" w:rsidR="00CE4216" w:rsidRDefault="00E44DBA">
      <w:pPr>
        <w:jc w:val="both"/>
        <w:rPr>
          <w:rFonts w:ascii="Times New Roman" w:eastAsia="Times New Roman" w:hAnsi="Times New Roman" w:cs="Times New Roman"/>
          <w:u w:val="single"/>
        </w:rPr>
      </w:pPr>
      <w:r>
        <w:rPr>
          <w:rFonts w:ascii="Times New Roman" w:eastAsia="Times New Roman" w:hAnsi="Times New Roman" w:cs="Times New Roman"/>
        </w:rPr>
        <w:t xml:space="preserve">a) </w:t>
      </w:r>
      <w:r>
        <w:rPr>
          <w:rFonts w:ascii="Times New Roman" w:eastAsia="Times New Roman" w:hAnsi="Times New Roman" w:cs="Times New Roman"/>
          <w:u w:val="single"/>
        </w:rPr>
        <w:t xml:space="preserve">Salida del país de empleo, retorno impuesto y libertad de movimiento y residencia. </w:t>
      </w:r>
    </w:p>
    <w:p w14:paraId="00000038"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El Reglamento impone una obligación de retorno y restringe las salidas del país de destino: el cooperante debe </w:t>
      </w:r>
      <w:r>
        <w:rPr>
          <w:rFonts w:ascii="Times New Roman" w:eastAsia="Times New Roman" w:hAnsi="Times New Roman" w:cs="Times New Roman"/>
          <w:i/>
        </w:rPr>
        <w:t>“regresar a Cuba al concluir sus servicios en el exterior, en la fecha y a través de los medios de transportación señalados”</w:t>
      </w:r>
      <w:r>
        <w:rPr>
          <w:rFonts w:ascii="Times New Roman" w:eastAsia="Times New Roman" w:hAnsi="Times New Roman" w:cs="Times New Roman"/>
        </w:rPr>
        <w:t xml:space="preserve"> (art. 3, inc. j); y se sanciona </w:t>
      </w:r>
      <w:r>
        <w:rPr>
          <w:rFonts w:ascii="Times New Roman" w:eastAsia="Times New Roman" w:hAnsi="Times New Roman" w:cs="Times New Roman"/>
          <w:i/>
        </w:rPr>
        <w:t>“abandonar el país donde preste sus servicios sin… autorizaciones previas”</w:t>
      </w:r>
      <w:r>
        <w:rPr>
          <w:rFonts w:ascii="Times New Roman" w:eastAsia="Times New Roman" w:hAnsi="Times New Roman" w:cs="Times New Roman"/>
        </w:rPr>
        <w:t xml:space="preserve"> (art. 8, inc. h). Además, se prevé </w:t>
      </w:r>
      <w:r>
        <w:rPr>
          <w:rFonts w:ascii="Times New Roman" w:eastAsia="Times New Roman" w:hAnsi="Times New Roman" w:cs="Times New Roman"/>
          <w:i/>
        </w:rPr>
        <w:t>“el sistema de localización establecido”</w:t>
      </w:r>
      <w:r>
        <w:rPr>
          <w:rFonts w:ascii="Times New Roman" w:eastAsia="Times New Roman" w:hAnsi="Times New Roman" w:cs="Times New Roman"/>
        </w:rPr>
        <w:t xml:space="preserve"> y la prohibición de </w:t>
      </w:r>
      <w:r>
        <w:rPr>
          <w:rFonts w:ascii="Times New Roman" w:eastAsia="Times New Roman" w:hAnsi="Times New Roman" w:cs="Times New Roman"/>
          <w:i/>
        </w:rPr>
        <w:t>“extender su presencia fuera de la localidad o país… sin… autorización”</w:t>
      </w:r>
      <w:r>
        <w:rPr>
          <w:rFonts w:ascii="Times New Roman" w:eastAsia="Times New Roman" w:hAnsi="Times New Roman" w:cs="Times New Roman"/>
        </w:rPr>
        <w:t xml:space="preserve"> (arts. 8, inc. o e inc. </w:t>
      </w:r>
      <w:proofErr w:type="spellStart"/>
      <w:r>
        <w:rPr>
          <w:rFonts w:ascii="Times New Roman" w:eastAsia="Times New Roman" w:hAnsi="Times New Roman" w:cs="Times New Roman"/>
        </w:rPr>
        <w:t>ii</w:t>
      </w:r>
      <w:proofErr w:type="spellEnd"/>
      <w:r>
        <w:rPr>
          <w:rFonts w:ascii="Times New Roman" w:eastAsia="Times New Roman" w:hAnsi="Times New Roman" w:cs="Times New Roman"/>
        </w:rPr>
        <w:t>). Estas reglas constituyen restricciones incompatibles con la Convención, los trabaja</w:t>
      </w:r>
      <w:r>
        <w:rPr>
          <w:rFonts w:ascii="Times New Roman" w:eastAsia="Times New Roman" w:hAnsi="Times New Roman" w:cs="Times New Roman"/>
        </w:rPr>
        <w:t xml:space="preserve">dores migratorios </w:t>
      </w:r>
      <w:r>
        <w:rPr>
          <w:rFonts w:ascii="Times New Roman" w:eastAsia="Times New Roman" w:hAnsi="Times New Roman" w:cs="Times New Roman"/>
          <w:i/>
        </w:rPr>
        <w:t>“podrán salir libremente de cualquier Estado… y regresar …a su Estado de origen” (arts. 8.1 y 8.2.)</w:t>
      </w:r>
      <w:r>
        <w:rPr>
          <w:rFonts w:ascii="Times New Roman" w:eastAsia="Times New Roman" w:hAnsi="Times New Roman" w:cs="Times New Roman"/>
        </w:rPr>
        <w:t xml:space="preserve"> y gozan del </w:t>
      </w:r>
      <w:r>
        <w:rPr>
          <w:rFonts w:ascii="Times New Roman" w:eastAsia="Times New Roman" w:hAnsi="Times New Roman" w:cs="Times New Roman"/>
          <w:i/>
        </w:rPr>
        <w:t>“derecho a la libertad de movimiento… y a escoger libremente… su residencia”</w:t>
      </w:r>
      <w:r>
        <w:rPr>
          <w:rFonts w:ascii="Times New Roman" w:eastAsia="Times New Roman" w:hAnsi="Times New Roman" w:cs="Times New Roman"/>
        </w:rPr>
        <w:t xml:space="preserve"> en el Estado de empleo (art. 39). </w:t>
      </w:r>
    </w:p>
    <w:p w14:paraId="00000039" w14:textId="77777777" w:rsidR="00CE4216" w:rsidRDefault="00E44DBA">
      <w:pPr>
        <w:jc w:val="both"/>
        <w:rPr>
          <w:rFonts w:ascii="Times New Roman" w:eastAsia="Times New Roman" w:hAnsi="Times New Roman" w:cs="Times New Roman"/>
          <w:u w:val="single"/>
        </w:rPr>
      </w:pPr>
      <w:r>
        <w:rPr>
          <w:rFonts w:ascii="Times New Roman" w:eastAsia="Times New Roman" w:hAnsi="Times New Roman" w:cs="Times New Roman"/>
          <w:u w:val="single"/>
        </w:rPr>
        <w:t xml:space="preserve">b) Libertad de opinión y expresión y no discriminación </w:t>
      </w:r>
    </w:p>
    <w:p w14:paraId="0000003A"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La Resolución condiciona el discurso público y la expresión ideológica. Se sanciona </w:t>
      </w:r>
      <w:r>
        <w:rPr>
          <w:rFonts w:ascii="Times New Roman" w:eastAsia="Times New Roman" w:hAnsi="Times New Roman" w:cs="Times New Roman"/>
          <w:i/>
        </w:rPr>
        <w:t>“emitir criterios o valoraciones ante órganos de prensa, redes sociales, radio o televisión… sin que haya recibido instrucciones o autorizaciones previas”</w:t>
      </w:r>
      <w:r>
        <w:rPr>
          <w:rFonts w:ascii="Times New Roman" w:eastAsia="Times New Roman" w:hAnsi="Times New Roman" w:cs="Times New Roman"/>
        </w:rPr>
        <w:t xml:space="preserve"> (art. 8, inc. f) y </w:t>
      </w:r>
      <w:r>
        <w:rPr>
          <w:rFonts w:ascii="Times New Roman" w:eastAsia="Times New Roman" w:hAnsi="Times New Roman" w:cs="Times New Roman"/>
          <w:i/>
        </w:rPr>
        <w:t xml:space="preserve">“difundir… criterios o rumores… en detrimento… del prestigio del colectivo” </w:t>
      </w:r>
      <w:r>
        <w:rPr>
          <w:rFonts w:ascii="Times New Roman" w:eastAsia="Times New Roman" w:hAnsi="Times New Roman" w:cs="Times New Roman"/>
        </w:rPr>
        <w:t xml:space="preserve">(art. 8, inc. g). También se impide </w:t>
      </w:r>
      <w:r>
        <w:rPr>
          <w:rFonts w:ascii="Times New Roman" w:eastAsia="Times New Roman" w:hAnsi="Times New Roman" w:cs="Times New Roman"/>
          <w:i/>
        </w:rPr>
        <w:t>“participar en actos públicos… sin la debida autorización”</w:t>
      </w:r>
      <w:r>
        <w:rPr>
          <w:rFonts w:ascii="Times New Roman" w:eastAsia="Times New Roman" w:hAnsi="Times New Roman" w:cs="Times New Roman"/>
        </w:rPr>
        <w:t xml:space="preserve"> (art. 8, inc. e). A su vez, se exige </w:t>
      </w:r>
      <w:r>
        <w:rPr>
          <w:rFonts w:ascii="Times New Roman" w:eastAsia="Times New Roman" w:hAnsi="Times New Roman" w:cs="Times New Roman"/>
          <w:i/>
        </w:rPr>
        <w:t>“tener un comportamiento político… acorde con los principios que rigen en nuestra sociedad”</w:t>
      </w:r>
      <w:r>
        <w:rPr>
          <w:rFonts w:ascii="Times New Roman" w:eastAsia="Times New Roman" w:hAnsi="Times New Roman" w:cs="Times New Roman"/>
        </w:rPr>
        <w:t xml:space="preserve"> (art. 3, inc. d) y se penaliza </w:t>
      </w:r>
      <w:r>
        <w:rPr>
          <w:rFonts w:ascii="Times New Roman" w:eastAsia="Times New Roman" w:hAnsi="Times New Roman" w:cs="Times New Roman"/>
          <w:i/>
        </w:rPr>
        <w:t>“sosten</w:t>
      </w:r>
      <w:r>
        <w:rPr>
          <w:rFonts w:ascii="Times New Roman" w:eastAsia="Times New Roman" w:hAnsi="Times New Roman" w:cs="Times New Roman"/>
          <w:i/>
        </w:rPr>
        <w:t>er relaciones de amistad o vínculos… con personas que asuman posiciones hostiles o contrarias a los… valores de la… revolución cubana”</w:t>
      </w:r>
      <w:r>
        <w:rPr>
          <w:rFonts w:ascii="Times New Roman" w:eastAsia="Times New Roman" w:hAnsi="Times New Roman" w:cs="Times New Roman"/>
        </w:rPr>
        <w:t xml:space="preserve"> (art. 8, inc. j). Estas cláusulas son contrarias a la Convención pues </w:t>
      </w:r>
      <w:r>
        <w:rPr>
          <w:rFonts w:ascii="Times New Roman" w:eastAsia="Times New Roman" w:hAnsi="Times New Roman" w:cs="Times New Roman"/>
          <w:i/>
        </w:rPr>
        <w:t>“los trabajadores migratorios … tendrán derecho a la libertad de expresión”</w:t>
      </w:r>
      <w:r>
        <w:rPr>
          <w:rFonts w:ascii="Times New Roman" w:eastAsia="Times New Roman" w:hAnsi="Times New Roman" w:cs="Times New Roman"/>
        </w:rPr>
        <w:t xml:space="preserve"> (art. 13.1) y prohíbe toda discriminación, incluida por </w:t>
      </w:r>
      <w:r>
        <w:rPr>
          <w:rFonts w:ascii="Times New Roman" w:eastAsia="Times New Roman" w:hAnsi="Times New Roman" w:cs="Times New Roman"/>
          <w:i/>
        </w:rPr>
        <w:t>“opinión política …”</w:t>
      </w:r>
      <w:r>
        <w:rPr>
          <w:rFonts w:ascii="Times New Roman" w:eastAsia="Times New Roman" w:hAnsi="Times New Roman" w:cs="Times New Roman"/>
        </w:rPr>
        <w:t xml:space="preserve"> (art. 7). </w:t>
      </w:r>
    </w:p>
    <w:p w14:paraId="0000003B"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u w:val="single"/>
        </w:rPr>
        <w:t xml:space="preserve">) Vida privada y familiar </w:t>
      </w:r>
    </w:p>
    <w:p w14:paraId="0000003C"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El Reglamento obliga a reportar la vida íntima y somete los contactos familiares a autorizaciones discrecionales: </w:t>
      </w:r>
      <w:r>
        <w:rPr>
          <w:rFonts w:ascii="Times New Roman" w:eastAsia="Times New Roman" w:hAnsi="Times New Roman" w:cs="Times New Roman"/>
          <w:i/>
        </w:rPr>
        <w:t>“informar… sus relaciones de pareja… en el país donde presta cooperación y, … su intención de contraer matrimonio”</w:t>
      </w:r>
      <w:r>
        <w:rPr>
          <w:rFonts w:ascii="Times New Roman" w:eastAsia="Times New Roman" w:hAnsi="Times New Roman" w:cs="Times New Roman"/>
        </w:rPr>
        <w:t xml:space="preserve"> (art. 3, inc. m) y </w:t>
      </w:r>
      <w:r>
        <w:rPr>
          <w:rFonts w:ascii="Times New Roman" w:eastAsia="Times New Roman" w:hAnsi="Times New Roman" w:cs="Times New Roman"/>
          <w:i/>
        </w:rPr>
        <w:t>“viajar a Cuba, previa autorización… ante enfermedad grave o fallecimiento…</w:t>
      </w:r>
      <w:r>
        <w:rPr>
          <w:rFonts w:ascii="Times New Roman" w:eastAsia="Times New Roman" w:hAnsi="Times New Roman" w:cs="Times New Roman"/>
        </w:rPr>
        <w:t xml:space="preserve">(de familiares)” y </w:t>
      </w:r>
      <w:r>
        <w:rPr>
          <w:rFonts w:ascii="Times New Roman" w:eastAsia="Times New Roman" w:hAnsi="Times New Roman" w:cs="Times New Roman"/>
          <w:i/>
        </w:rPr>
        <w:t>“recibir, previa autorización… la visita de sus familiares”</w:t>
      </w:r>
      <w:r>
        <w:rPr>
          <w:rFonts w:ascii="Times New Roman" w:eastAsia="Times New Roman" w:hAnsi="Times New Roman" w:cs="Times New Roman"/>
        </w:rPr>
        <w:t xml:space="preserve"> (art. 4.1, </w:t>
      </w:r>
      <w:proofErr w:type="spellStart"/>
      <w:r>
        <w:rPr>
          <w:rFonts w:ascii="Times New Roman" w:eastAsia="Times New Roman" w:hAnsi="Times New Roman" w:cs="Times New Roman"/>
        </w:rPr>
        <w:t>incs</w:t>
      </w:r>
      <w:proofErr w:type="spellEnd"/>
      <w:r>
        <w:rPr>
          <w:rFonts w:ascii="Times New Roman" w:eastAsia="Times New Roman" w:hAnsi="Times New Roman" w:cs="Times New Roman"/>
        </w:rPr>
        <w:t>. i y j). Las cláusulas son incompatibles con la Convención pues protege “</w:t>
      </w:r>
      <w:r>
        <w:rPr>
          <w:rFonts w:ascii="Times New Roman" w:eastAsia="Times New Roman" w:hAnsi="Times New Roman" w:cs="Times New Roman"/>
          <w:i/>
        </w:rPr>
        <w:t xml:space="preserve">de injerencias arbitrarias o ilegales en su vida privada, familia…” </w:t>
      </w:r>
      <w:r>
        <w:rPr>
          <w:rFonts w:ascii="Times New Roman" w:eastAsia="Times New Roman" w:hAnsi="Times New Roman" w:cs="Times New Roman"/>
        </w:rPr>
        <w:t xml:space="preserve">(art. 14). </w:t>
      </w:r>
    </w:p>
    <w:p w14:paraId="0000003D"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d) </w:t>
      </w:r>
      <w:r>
        <w:rPr>
          <w:rFonts w:ascii="Times New Roman" w:eastAsia="Times New Roman" w:hAnsi="Times New Roman" w:cs="Times New Roman"/>
          <w:u w:val="single"/>
        </w:rPr>
        <w:t xml:space="preserve">Sanciones disciplinarias, debido proceso y acceso a justicia </w:t>
      </w:r>
    </w:p>
    <w:p w14:paraId="0000003E"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El catálogo sancionatorio incluye: la “amonestación pública”, “multas” de hasta el 25%, traslado a un puesto de trabajo “con condiciones laborales inferiores” , “revocación” y “expulsión de la misión” (arts. 10, 18 y 19), “pérdida del …50% de la… estimulación… acumulada”, (art. 18.1), entre otras sanciones. </w:t>
      </w:r>
    </w:p>
    <w:p w14:paraId="0000003F"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El procedimiento de impugnación es predominantemente interno, sin garantías de independencia ni acceso a un tribunal imparcial en el Estado de empleo. Ello puede afectar la libertad y seguridad personales y la protección “contra toda violencia, amenaza o intimidación” protegidas por la Convención (art. 16.1 y 16.2) cuando las sanciones se ejecutan con coerción material, y sobre todo afecta la igualdad ante los tribunales y garantías procesales (art. 18). El diseño procedimental del Reglamento no asegura vía</w:t>
      </w:r>
      <w:r>
        <w:rPr>
          <w:rFonts w:ascii="Times New Roman" w:eastAsia="Times New Roman" w:hAnsi="Times New Roman" w:cs="Times New Roman"/>
        </w:rPr>
        <w:t>s efectivas e independientes.</w:t>
      </w:r>
    </w:p>
    <w:p w14:paraId="00000040" w14:textId="77777777" w:rsidR="00CE4216" w:rsidRDefault="00E44DBA">
      <w:pPr>
        <w:jc w:val="both"/>
        <w:rPr>
          <w:rFonts w:ascii="Times New Roman" w:eastAsia="Times New Roman" w:hAnsi="Times New Roman" w:cs="Times New Roman"/>
          <w:u w:val="single"/>
        </w:rPr>
      </w:pPr>
      <w:r>
        <w:rPr>
          <w:rFonts w:ascii="Times New Roman" w:eastAsia="Times New Roman" w:hAnsi="Times New Roman" w:cs="Times New Roman"/>
          <w:u w:val="single"/>
        </w:rPr>
        <w:t>e) Naturaleza y efecto de medidas disciplinarias sobre condiciones de trabajo e igualdad</w:t>
      </w:r>
    </w:p>
    <w:p w14:paraId="00000041"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Varias sanciones disciplinarias tienen impacto directo en la retribución (arts. 10, 14, 18) la movilidad laboral (“traslado… a… condiciones laborales inferiores”, arts. 15 y 16) y la continuidad ocupacional (arts. 18–19). La Convención garantiza “trato no menos favorable” que los nacionales respecto de condiciones de trabajo, remuneración y otras (art. 25), y prohíbe expresamente la discriminación por opinión política (art. 7). Dado que el Reglamento usa categorías ideológicas (arts. 3, inc. d; 8, inc. j) p</w:t>
      </w:r>
      <w:r>
        <w:rPr>
          <w:rFonts w:ascii="Times New Roman" w:eastAsia="Times New Roman" w:hAnsi="Times New Roman" w:cs="Times New Roman"/>
        </w:rPr>
        <w:t>ara habilitar sanciones con efectos económicos/profesionales, se configura una afectación incompatible con los arts. 25 y 7 de la Convención.</w:t>
      </w:r>
    </w:p>
    <w:p w14:paraId="00000042" w14:textId="77777777" w:rsidR="00CE4216" w:rsidRDefault="00E44DBA">
      <w:pPr>
        <w:numPr>
          <w:ilvl w:val="1"/>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El artículo 176 Código Penal. </w:t>
      </w:r>
    </w:p>
    <w:p w14:paraId="00000043"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El artículo 176.1 del Código Penal cubano dispone: </w:t>
      </w:r>
      <w:r>
        <w:rPr>
          <w:rFonts w:ascii="Times New Roman" w:eastAsia="Times New Roman" w:hAnsi="Times New Roman" w:cs="Times New Roman"/>
          <w:i/>
        </w:rPr>
        <w:t>“El funcionario público encargado de cumplir alguna misión en otro país que la abandone o, cumplida esta, o requerido en cualquier momento para que regrese, se niegue expresa o tácitamente a hacerlo, incurre en sanción de privación de libertad de tres a ocho años.”</w:t>
      </w:r>
      <w:r>
        <w:rPr>
          <w:rFonts w:ascii="Times New Roman" w:eastAsia="Times New Roman" w:hAnsi="Times New Roman" w:cs="Times New Roman"/>
        </w:rPr>
        <w:t xml:space="preserve"> Esta penalización opera como un mecanismo de coacción que criminaliza la decisión de no retornar. </w:t>
      </w:r>
    </w:p>
    <w:p w14:paraId="00000044"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Esto resulta incompatible con derechos de movilidad y seguridad personal. La Convención reconoce que los trabajadores migratorios “podrán salir libremente de cualquier Estado” (art. 8.1), y que “tendrán derecho a regresar en cualquier momento a su Estado de origen y permanecer en él” (art. 8.2). La amenaza de prisión por no regresar restringe indebidamente la libertad del trabajador. </w:t>
      </w:r>
    </w:p>
    <w:p w14:paraId="00000045"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Asimismo, la Convención asegura en el Estado de empleo el “derecho a la libertad de movimiento… y a escoger libremente… su residencia” (art. 39.1). Aunque la norma penal es dictada por el Estado de origen, su efecto práctico es forzar la salida del Estado de empleo bajo amenaza de encarcelamiento, lo que desnaturaliza el goce efectivo de la libertad de movimiento y residencia durante la misión o permanencia posterior. </w:t>
      </w:r>
    </w:p>
    <w:p w14:paraId="00000046"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 xml:space="preserve">Por último, la criminalización del “no retorno” entra en tensión con la libertad y seguridad personales protegidas por la Convención (art. 16), impidiendo respuestas punitivas desproporcionadas para gestionar decisiones migratorias individuales. La utilización del derecho penal como herramienta de disciplina transnacional excede controles administrativos razonables y activa un riesgo incompatible con la Convención. </w:t>
      </w:r>
    </w:p>
    <w:p w14:paraId="00000047" w14:textId="77777777" w:rsidR="00CE4216" w:rsidRDefault="00CE4216">
      <w:pPr>
        <w:jc w:val="both"/>
        <w:rPr>
          <w:rFonts w:ascii="Times New Roman" w:eastAsia="Times New Roman" w:hAnsi="Times New Roman" w:cs="Times New Roman"/>
        </w:rPr>
      </w:pPr>
    </w:p>
    <w:p w14:paraId="00000048"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 xml:space="preserve">La trata de personas por actores estatales en el marco de los Acuerdos. </w:t>
      </w:r>
    </w:p>
    <w:p w14:paraId="00000049"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Considerando lo hasta aquí expuesto, en que el esquema de las misiones médicas en Honduras podría constituir – conforme el Protocolo de Palermo- un modelo de trata de personas cometida por Estados en el marco de acuerdos de servicio de trabajadores exportados. Las características de las misiones descriptas se adecúan al artículo 3 del Protocolo. Aún ante interpretaciones restrictivas del Protocolo, estas conductas deben considerarse graves violaciones del derecho internacional, pues su artículo 14 de Protoc</w:t>
      </w:r>
      <w:r>
        <w:rPr>
          <w:rFonts w:ascii="Times New Roman" w:eastAsia="Times New Roman" w:hAnsi="Times New Roman" w:cs="Times New Roman"/>
        </w:rPr>
        <w:t>olo exige se aplique un enfoque integral e interrelacionado previsto por el Derecho Internacional de los Derechos Humanos.</w:t>
      </w:r>
    </w:p>
    <w:p w14:paraId="0000004A" w14:textId="77777777" w:rsidR="00CE4216" w:rsidRDefault="00CE4216">
      <w:pPr>
        <w:jc w:val="both"/>
        <w:rPr>
          <w:rFonts w:ascii="Times New Roman" w:eastAsia="Times New Roman" w:hAnsi="Times New Roman" w:cs="Times New Roman"/>
        </w:rPr>
      </w:pPr>
    </w:p>
    <w:p w14:paraId="0000004B"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 xml:space="preserve">La responsabilidad jurídica de Honduras. </w:t>
      </w:r>
    </w:p>
    <w:p w14:paraId="0000004C"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Bajo las condiciones expuestas, Honduras compromete su responsabilidad internacional por permitir el incumplimiento de deberes de respeto, protección y garantía respecto de las personas trabajadoras migrantes bajo su jurisdicción.</w:t>
      </w:r>
    </w:p>
    <w:p w14:paraId="0000004D"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Los acuerdos de 2024 se insertan en un contexto de violaciones de derechos humanos público y conocido. Además, la normativa aplicable describe per-se mecanismos incompatibles con la Convención. Honduras incurre en responsabilidad si, sabiendo que ciertas prácticas y normativas cubanas vulneran derechos, coopera materialmente en su ejecución o permite su proyección de facto en el país.</w:t>
      </w:r>
    </w:p>
    <w:p w14:paraId="0000004E" w14:textId="77777777" w:rsidR="00CE4216" w:rsidRDefault="00E44DBA">
      <w:pPr>
        <w:numPr>
          <w:ilvl w:val="0"/>
          <w:numId w:val="1"/>
        </w:numPr>
        <w:pBdr>
          <w:top w:val="nil"/>
          <w:left w:val="nil"/>
          <w:bottom w:val="nil"/>
          <w:right w:val="nil"/>
          <w:between w:val="nil"/>
        </w:pBdr>
        <w:jc w:val="both"/>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 xml:space="preserve">Observaciones y Recomendaciones </w:t>
      </w:r>
    </w:p>
    <w:p w14:paraId="0000004F" w14:textId="77777777" w:rsidR="00CE4216" w:rsidRDefault="00E44DBA">
      <w:pPr>
        <w:spacing w:before="280" w:after="280" w:line="240" w:lineRule="auto"/>
        <w:ind w:firstLine="360"/>
        <w:jc w:val="both"/>
        <w:rPr>
          <w:rFonts w:ascii="Times New Roman" w:eastAsia="Times New Roman" w:hAnsi="Times New Roman" w:cs="Times New Roman"/>
          <w:b/>
        </w:rPr>
      </w:pPr>
      <w:r>
        <w:rPr>
          <w:rFonts w:ascii="Times New Roman" w:eastAsia="Times New Roman" w:hAnsi="Times New Roman" w:cs="Times New Roman"/>
          <w:b/>
        </w:rPr>
        <w:t>7.1. Observaciones</w:t>
      </w:r>
    </w:p>
    <w:p w14:paraId="00000050"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La normativa aplicable y las prácticas denunciadas por organismos internacionales constituyen evidencia suficiente para exigir medidas preventivas; la responsabilidad recae en Honduras, para acreditar que adoptó todas las acciones razonables para neutralizar el riesgo.</w:t>
      </w:r>
    </w:p>
    <w:p w14:paraId="00000051"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La ejecución en Honduras de los convenios con Cuba se superpone con normas cubanas abusivas, configurando un riesgo objetivo y previsible que activa deberes reforzados de prevención.</w:t>
      </w:r>
    </w:p>
    <w:p w14:paraId="00000052"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Existe peligro de prácticas y sanciones que afectan directamente derechos básicos durante la misión.</w:t>
      </w:r>
    </w:p>
    <w:p w14:paraId="00000053"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La mera admisión y ejecución de la cooperación sin controles laborales, migratorios y de derechos humanos no demuestra que Honduras haya prevenido: (i) restricciones a movimiento y residencia; (</w:t>
      </w:r>
      <w:proofErr w:type="spellStart"/>
      <w:r>
        <w:rPr>
          <w:rFonts w:ascii="Times New Roman" w:eastAsia="Times New Roman" w:hAnsi="Times New Roman" w:cs="Times New Roman"/>
        </w:rPr>
        <w:t>ii</w:t>
      </w:r>
      <w:proofErr w:type="spellEnd"/>
      <w:r>
        <w:rPr>
          <w:rFonts w:ascii="Times New Roman" w:eastAsia="Times New Roman" w:hAnsi="Times New Roman" w:cs="Times New Roman"/>
        </w:rPr>
        <w:t>) injerencias en vida privada y familiar; (</w:t>
      </w:r>
      <w:proofErr w:type="spellStart"/>
      <w:r>
        <w:rPr>
          <w:rFonts w:ascii="Times New Roman" w:eastAsia="Times New Roman" w:hAnsi="Times New Roman" w:cs="Times New Roman"/>
        </w:rPr>
        <w:t>iii</w:t>
      </w:r>
      <w:proofErr w:type="spellEnd"/>
      <w:r>
        <w:rPr>
          <w:rFonts w:ascii="Times New Roman" w:eastAsia="Times New Roman" w:hAnsi="Times New Roman" w:cs="Times New Roman"/>
        </w:rPr>
        <w:t>) afectaciones a expresión; (</w:t>
      </w:r>
      <w:proofErr w:type="spellStart"/>
      <w:r>
        <w:rPr>
          <w:rFonts w:ascii="Times New Roman" w:eastAsia="Times New Roman" w:hAnsi="Times New Roman" w:cs="Times New Roman"/>
        </w:rPr>
        <w:t>iv</w:t>
      </w:r>
      <w:proofErr w:type="spellEnd"/>
      <w:r>
        <w:rPr>
          <w:rFonts w:ascii="Times New Roman" w:eastAsia="Times New Roman" w:hAnsi="Times New Roman" w:cs="Times New Roman"/>
        </w:rPr>
        <w:t>) desigualdad en condiciones de trabajo; (v) procesos disciplinarios sin garantías.</w:t>
      </w:r>
    </w:p>
    <w:p w14:paraId="00000054" w14:textId="77777777" w:rsidR="00CE4216" w:rsidRDefault="00E44DBA">
      <w:pPr>
        <w:spacing w:before="280" w:after="280" w:line="240" w:lineRule="auto"/>
        <w:ind w:firstLine="708"/>
        <w:jc w:val="both"/>
        <w:rPr>
          <w:rFonts w:ascii="Times New Roman" w:eastAsia="Times New Roman" w:hAnsi="Times New Roman" w:cs="Times New Roman"/>
          <w:b/>
        </w:rPr>
      </w:pPr>
      <w:r>
        <w:rPr>
          <w:rFonts w:ascii="Times New Roman" w:eastAsia="Times New Roman" w:hAnsi="Times New Roman" w:cs="Times New Roman"/>
          <w:b/>
        </w:rPr>
        <w:t>7.2. Recomendaciones</w:t>
      </w:r>
    </w:p>
    <w:p w14:paraId="00000055"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 Exigir contratos individuales directos de los trabajadores de la salud con el Estado hondureño, que reconozcan y garanticen el ejercicio de plenos derechos (salario, jornada, descansos, seguridad social, movimiento, residencia, opinión política, asociación etc.) conforme la normativa internacional; registrados y auditables, con igualdad de trato </w:t>
      </w:r>
    </w:p>
    <w:p w14:paraId="00000056"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 Brindar información clara y transparente sobre la cantidad correcta y dónde están laborando los profesionales cubanos, de las brigadas médicas, que se encuentran en territorio hondureño. </w:t>
      </w:r>
    </w:p>
    <w:p w14:paraId="00000057"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Hasta tanto se continúe con las prestaciones de servicios de trabajadores a través de los convenios con el Estado cubano: </w:t>
      </w:r>
    </w:p>
    <w:p w14:paraId="00000058"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 Prohibir cláusulas que subordinen el ejercicio de derechos básicos protegidos por el derecho internacional a autorizaciones. </w:t>
      </w:r>
    </w:p>
    <w:p w14:paraId="00000059"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b/>
        </w:rPr>
        <w:t xml:space="preserve">- </w:t>
      </w:r>
      <w:r>
        <w:rPr>
          <w:rFonts w:ascii="Times New Roman" w:eastAsia="Times New Roman" w:hAnsi="Times New Roman" w:cs="Times New Roman"/>
        </w:rPr>
        <w:t>Incluir cláusulas de primacía de la Convención y del derecho hondureño frente a toda disposición incompatible.</w:t>
      </w:r>
    </w:p>
    <w:p w14:paraId="0000005A"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Prever salvaguardas de desvinculación: fin de relación, cambio de empleador o protección internacional en caso de permanencia en Honduras, sin represalias ni medidas sancionatorias al Estado de origen.</w:t>
      </w:r>
    </w:p>
    <w:p w14:paraId="0000005B"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Desplegar inspecciones proactivas (a través de áreas gubernamentales de Trabajo–Salud–Migración), con protocolos sobre trabajo forzoso y garantías de entrevistas confidenciales.</w:t>
      </w:r>
    </w:p>
    <w:p w14:paraId="0000005C"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Habilitar canales seguros de denuncia, medidas anti represalias, asistencia jurídica gratuita y recursos judiciales efectivos.</w:t>
      </w:r>
    </w:p>
    <w:p w14:paraId="0000005D"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Establecer medidas de regularización para desvinculación o cambio de empleador; impedir cooperación con sanciones disciplinarias/penales por “no retorno”.</w:t>
      </w:r>
    </w:p>
    <w:p w14:paraId="0000005E"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 Emitir directrices que garanticen condiciones laborales respetuosas de estándares de derechos humanos y normativa de la OIT, y que prohíban condiciones medidas disciplinarias con fines punitivos. </w:t>
      </w:r>
    </w:p>
    <w:p w14:paraId="0000005F"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 Publicar acuerdos y reportes periódicos (sobre dotación, funciones, remuneraciones, denuncias, </w:t>
      </w:r>
      <w:proofErr w:type="spellStart"/>
      <w:r>
        <w:rPr>
          <w:rFonts w:ascii="Times New Roman" w:eastAsia="Times New Roman" w:hAnsi="Times New Roman" w:cs="Times New Roman"/>
        </w:rPr>
        <w:t>etc</w:t>
      </w:r>
      <w:proofErr w:type="spellEnd"/>
      <w:r>
        <w:rPr>
          <w:rFonts w:ascii="Times New Roman" w:eastAsia="Times New Roman" w:hAnsi="Times New Roman" w:cs="Times New Roman"/>
        </w:rPr>
        <w:t>); realizar auditorías independientes.</w:t>
      </w:r>
    </w:p>
    <w:p w14:paraId="00000060" w14:textId="77777777" w:rsidR="00CE4216" w:rsidRDefault="00E44DBA">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Crear un mecanismo independiente para monitoreo, alertas tempranas y recomendaciones vinculantes.</w:t>
      </w:r>
    </w:p>
    <w:p w14:paraId="00000062" w14:textId="77777777" w:rsidR="00CE4216" w:rsidRDefault="00E44DBA">
      <w:pPr>
        <w:jc w:val="both"/>
        <w:rPr>
          <w:rFonts w:ascii="Times New Roman" w:eastAsia="Times New Roman" w:hAnsi="Times New Roman" w:cs="Times New Roman"/>
        </w:rPr>
      </w:pPr>
      <w:r>
        <w:rPr>
          <w:rFonts w:ascii="Times New Roman" w:eastAsia="Times New Roman" w:hAnsi="Times New Roman" w:cs="Times New Roman"/>
        </w:rPr>
        <w:t>Este informe ha sido elaborado en conjunto por las organizaciones abajo firmantes, defensoras de derechos humanos, que trabajan en la región, en la promoción y protección de derechos de personas en contexto de movilidad.</w:t>
      </w:r>
    </w:p>
    <w:p w14:paraId="00000063" w14:textId="77777777" w:rsidR="00CE4216" w:rsidRDefault="00E44DBA">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Innovación, Monitoreo, Desarrollo, Educación y Comunidad, IMDECO, G</w:t>
      </w:r>
      <w:r>
        <w:rPr>
          <w:rFonts w:ascii="Times New Roman" w:eastAsia="Times New Roman" w:hAnsi="Times New Roman" w:cs="Times New Roman"/>
        </w:rPr>
        <w:t xml:space="preserve">uatemala </w:t>
      </w:r>
    </w:p>
    <w:p w14:paraId="00000064" w14:textId="6CCD9B08" w:rsidR="00CE4216" w:rsidRDefault="00E44DBA">
      <w:pPr>
        <w:numPr>
          <w:ilvl w:val="0"/>
          <w:numId w:val="2"/>
        </w:num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Fundación p</w:t>
      </w:r>
      <w:r w:rsidR="001E7A07">
        <w:rPr>
          <w:rFonts w:ascii="Times New Roman" w:eastAsia="Times New Roman" w:hAnsi="Times New Roman" w:cs="Times New Roman"/>
        </w:rPr>
        <w:t>ara</w:t>
      </w:r>
      <w:r>
        <w:rPr>
          <w:rFonts w:ascii="Times New Roman" w:eastAsia="Times New Roman" w:hAnsi="Times New Roman" w:cs="Times New Roman"/>
        </w:rPr>
        <w:t xml:space="preserve"> la Justicia y el Estado Democrático de Derecho, FJEDD, regional</w:t>
      </w:r>
    </w:p>
    <w:p w14:paraId="00000065" w14:textId="77777777" w:rsidR="00CE4216" w:rsidRDefault="00E44DBA">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Grupo de Monitoreo Independiente de El Salvador, GMIES</w:t>
      </w:r>
    </w:p>
    <w:p w14:paraId="00000066" w14:textId="5BE0EA28" w:rsidR="00CE4216" w:rsidRDefault="00E44DBA">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rPr>
        <w:t xml:space="preserve">Por la </w:t>
      </w:r>
      <w:r w:rsidR="001E7A07">
        <w:rPr>
          <w:rFonts w:ascii="Times New Roman" w:eastAsia="Times New Roman" w:hAnsi="Times New Roman" w:cs="Times New Roman"/>
        </w:rPr>
        <w:t>S</w:t>
      </w:r>
      <w:r>
        <w:rPr>
          <w:rFonts w:ascii="Times New Roman" w:eastAsia="Times New Roman" w:hAnsi="Times New Roman" w:cs="Times New Roman"/>
        </w:rPr>
        <w:t xml:space="preserve">uperación de la </w:t>
      </w:r>
      <w:r w:rsidR="001E7A07">
        <w:rPr>
          <w:rFonts w:ascii="Times New Roman" w:eastAsia="Times New Roman" w:hAnsi="Times New Roman" w:cs="Times New Roman"/>
        </w:rPr>
        <w:t>M</w:t>
      </w:r>
      <w:r>
        <w:rPr>
          <w:rFonts w:ascii="Times New Roman" w:eastAsia="Times New Roman" w:hAnsi="Times New Roman" w:cs="Times New Roman"/>
        </w:rPr>
        <w:t>ujer A.C. México</w:t>
      </w:r>
    </w:p>
    <w:p w14:paraId="00000067" w14:textId="05C46483" w:rsidR="00CE4216" w:rsidRPr="00AB44F0" w:rsidRDefault="001E7A07" w:rsidP="00AB44F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sidRPr="00AB44F0">
        <w:rPr>
          <w:rFonts w:ascii="Times New Roman" w:eastAsia="Times New Roman" w:hAnsi="Times New Roman" w:cs="Times New Roman"/>
          <w:color w:val="000000"/>
        </w:rPr>
        <w:t xml:space="preserve">Asociación Calidad de Vida, Honduras </w:t>
      </w:r>
    </w:p>
    <w:p w14:paraId="6C5CBAEC" w14:textId="03DA41AB" w:rsidR="00AB44F0" w:rsidRDefault="00AB44F0" w:rsidP="00AB44F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rPr>
      </w:pPr>
      <w:r w:rsidRPr="00AB44F0">
        <w:rPr>
          <w:rFonts w:ascii="Times New Roman" w:eastAsia="Times New Roman" w:hAnsi="Times New Roman" w:cs="Times New Roman"/>
          <w:color w:val="000000"/>
        </w:rPr>
        <w:t xml:space="preserve">Foro Nacional para las Migraciones en Honduras, FONAMIH. </w:t>
      </w:r>
      <w:permStart w:id="549020879" w:edGrp="everyone"/>
      <w:permEnd w:id="549020879"/>
    </w:p>
    <w:sectPr w:rsidR="00AB44F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D0BDB" w14:textId="77777777" w:rsidR="00055DAF" w:rsidRDefault="00055DAF">
      <w:pPr>
        <w:spacing w:after="0" w:line="240" w:lineRule="auto"/>
      </w:pPr>
      <w:r>
        <w:separator/>
      </w:r>
    </w:p>
  </w:endnote>
  <w:endnote w:type="continuationSeparator" w:id="0">
    <w:p w14:paraId="7A200C51" w14:textId="77777777" w:rsidR="00055DAF" w:rsidRDefault="00055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Play">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12D24" w14:textId="77777777" w:rsidR="00055DAF" w:rsidRDefault="00055DAF">
      <w:pPr>
        <w:spacing w:after="0" w:line="240" w:lineRule="auto"/>
      </w:pPr>
      <w:r>
        <w:separator/>
      </w:r>
    </w:p>
  </w:footnote>
  <w:footnote w:type="continuationSeparator" w:id="0">
    <w:p w14:paraId="243CB543" w14:textId="77777777" w:rsidR="00055DAF" w:rsidRDefault="00055DAF">
      <w:pPr>
        <w:spacing w:after="0" w:line="240" w:lineRule="auto"/>
      </w:pPr>
      <w:r>
        <w:continuationSeparator/>
      </w:r>
    </w:p>
  </w:footnote>
  <w:footnote w:id="1">
    <w:p w14:paraId="00000068"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Maria C. Werlau, “</w:t>
      </w:r>
      <w:hyperlink r:id="rId1">
        <w:r w:rsidR="00CE4216">
          <w:rPr>
            <w:rFonts w:ascii="Times New Roman" w:eastAsia="Times New Roman" w:hAnsi="Times New Roman" w:cs="Times New Roman"/>
            <w:color w:val="467886"/>
            <w:sz w:val="20"/>
            <w:szCs w:val="20"/>
            <w:u w:val="single"/>
          </w:rPr>
          <w:t>Las brigadas médicas cubanas: trabajo forzoso con fachada altruista, Compendio informativo”</w:t>
        </w:r>
      </w:hyperlink>
      <w:r>
        <w:rPr>
          <w:rFonts w:ascii="Times New Roman" w:eastAsia="Times New Roman" w:hAnsi="Times New Roman" w:cs="Times New Roman"/>
          <w:color w:val="000000"/>
          <w:sz w:val="20"/>
          <w:szCs w:val="20"/>
        </w:rPr>
        <w:t>, Washington, D.C., Free Society Project/Cuba Archive, abril de 2025, actualizado agosto de 2025. Pags 12 y 13</w:t>
      </w:r>
    </w:p>
  </w:footnote>
  <w:footnote w:id="2">
    <w:p w14:paraId="00000069"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Ibid María Werlaw pag 5</w:t>
      </w:r>
    </w:p>
  </w:footnote>
  <w:footnote w:id="3">
    <w:p w14:paraId="0000006A"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Secretaría de Planificación Estratégica de Honduras, </w:t>
      </w:r>
      <w:hyperlink r:id="rId2">
        <w:r w:rsidR="00CE4216">
          <w:rPr>
            <w:rFonts w:ascii="Times New Roman" w:eastAsia="Times New Roman" w:hAnsi="Times New Roman" w:cs="Times New Roman"/>
            <w:color w:val="467886"/>
            <w:sz w:val="20"/>
            <w:szCs w:val="20"/>
            <w:u w:val="single"/>
          </w:rPr>
          <w:t>“Honduras y Cuba firman acuerdo tripartito de cooperación”</w:t>
        </w:r>
      </w:hyperlink>
      <w:r>
        <w:rPr>
          <w:rFonts w:ascii="Times New Roman" w:eastAsia="Times New Roman" w:hAnsi="Times New Roman" w:cs="Times New Roman"/>
          <w:color w:val="000000"/>
          <w:sz w:val="20"/>
          <w:szCs w:val="20"/>
        </w:rPr>
        <w:t>, SPE.gob.hn, 5 de febrero de 2024</w:t>
      </w:r>
    </w:p>
  </w:footnote>
  <w:footnote w:id="4">
    <w:p w14:paraId="0000006B" w14:textId="77777777" w:rsidR="00CE4216" w:rsidRDefault="00E44DB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Ministerio de Relaciones Exteriores de la República de Cuba, “</w:t>
      </w:r>
      <w:hyperlink r:id="rId3">
        <w:r w:rsidR="00CE4216">
          <w:rPr>
            <w:rFonts w:ascii="Times New Roman" w:eastAsia="Times New Roman" w:hAnsi="Times New Roman" w:cs="Times New Roman"/>
            <w:color w:val="467886"/>
            <w:sz w:val="20"/>
            <w:szCs w:val="20"/>
            <w:u w:val="single"/>
          </w:rPr>
          <w:t>En Honduras, brigada médica cubana para fortalecer sistema de salud</w:t>
        </w:r>
      </w:hyperlink>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Cubaminrex, 28 feb. 2024</w:t>
      </w:r>
    </w:p>
  </w:footnote>
  <w:footnote w:id="5">
    <w:p w14:paraId="0000006C"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Infobae, </w:t>
      </w:r>
      <w:hyperlink r:id="rId4">
        <w:r w:rsidR="00CE4216">
          <w:rPr>
            <w:rFonts w:ascii="Times New Roman" w:eastAsia="Times New Roman" w:hAnsi="Times New Roman" w:cs="Times New Roman"/>
            <w:color w:val="467886"/>
            <w:sz w:val="20"/>
            <w:szCs w:val="20"/>
            <w:u w:val="single"/>
          </w:rPr>
          <w:t>“Honduras y Cuba firman un acuerdo para contratar 89 médicos cubanos para mejorar la salud”</w:t>
        </w:r>
      </w:hyperlink>
      <w:r>
        <w:rPr>
          <w:rFonts w:ascii="Times New Roman" w:eastAsia="Times New Roman" w:hAnsi="Times New Roman" w:cs="Times New Roman"/>
          <w:color w:val="000000"/>
          <w:sz w:val="20"/>
          <w:szCs w:val="20"/>
        </w:rPr>
        <w:t>, 1 feb. 2024</w:t>
      </w:r>
    </w:p>
    <w:p w14:paraId="0000006D" w14:textId="77777777" w:rsidR="00CE4216" w:rsidRDefault="00E44DBA">
      <w:pPr>
        <w:pBdr>
          <w:top w:val="nil"/>
          <w:left w:val="nil"/>
          <w:bottom w:val="nil"/>
          <w:right w:val="nil"/>
          <w:between w:val="nil"/>
        </w:pBdr>
        <w:spacing w:after="0" w:line="240" w:lineRule="auto"/>
        <w:rPr>
          <w:color w:val="000000"/>
          <w:sz w:val="20"/>
          <w:szCs w:val="20"/>
        </w:rPr>
      </w:pPr>
      <w:r>
        <w:rPr>
          <w:rFonts w:ascii="Times New Roman" w:eastAsia="Times New Roman" w:hAnsi="Times New Roman" w:cs="Times New Roman"/>
          <w:color w:val="000000"/>
          <w:sz w:val="20"/>
          <w:szCs w:val="20"/>
        </w:rPr>
        <w:t xml:space="preserve">Agencia Informativa Latinoamericana S.A. (Prensa Latina), </w:t>
      </w:r>
      <w:hyperlink r:id="rId5">
        <w:r w:rsidR="00CE4216">
          <w:rPr>
            <w:rFonts w:ascii="Times New Roman" w:eastAsia="Times New Roman" w:hAnsi="Times New Roman" w:cs="Times New Roman"/>
            <w:color w:val="467886"/>
            <w:sz w:val="20"/>
            <w:szCs w:val="20"/>
            <w:u w:val="single"/>
          </w:rPr>
          <w:t>“Honduras y Cuba firmaron convenio de cooperación médica”</w:t>
        </w:r>
      </w:hyperlink>
      <w:r>
        <w:rPr>
          <w:rFonts w:ascii="Times New Roman" w:eastAsia="Times New Roman" w:hAnsi="Times New Roman" w:cs="Times New Roman"/>
          <w:color w:val="000000"/>
          <w:sz w:val="20"/>
          <w:szCs w:val="20"/>
        </w:rPr>
        <w:t>, Prensa Latina, 1 feb. 2024</w:t>
      </w:r>
    </w:p>
  </w:footnote>
  <w:footnote w:id="6">
    <w:p w14:paraId="0000006E"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Ver la comunicación AL CUB 6/2019</w:t>
      </w:r>
    </w:p>
  </w:footnote>
  <w:footnote w:id="7">
    <w:p w14:paraId="0000006F"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Ver la comunicación AL CUB 2/2023</w:t>
      </w:r>
    </w:p>
  </w:footnote>
  <w:footnote w:id="8">
    <w:p w14:paraId="00000070"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Comisión de Expertos en Aplicación de Convenios y Recomendaciones (CEACR), </w:t>
      </w:r>
      <w:hyperlink r:id="rId6">
        <w:r w:rsidR="00CE4216">
          <w:rPr>
            <w:rFonts w:ascii="Times New Roman" w:eastAsia="Times New Roman" w:hAnsi="Times New Roman" w:cs="Times New Roman"/>
            <w:color w:val="467886"/>
            <w:sz w:val="20"/>
            <w:szCs w:val="20"/>
            <w:u w:val="single"/>
          </w:rPr>
          <w:t>Solicitud Directa – Convenio sobre el trabajo forzoso, 1930 (núm. 29), Cuba, adoptada en 2022, publicada en la 111.ª CIT (2023)</w:t>
        </w:r>
      </w:hyperlink>
      <w:r>
        <w:rPr>
          <w:rFonts w:ascii="Times New Roman" w:eastAsia="Times New Roman" w:hAnsi="Times New Roman" w:cs="Times New Roman"/>
          <w:color w:val="000000"/>
          <w:sz w:val="20"/>
          <w:szCs w:val="20"/>
        </w:rPr>
        <w:t>;</w:t>
      </w:r>
    </w:p>
  </w:footnote>
  <w:footnote w:id="9">
    <w:p w14:paraId="00000071" w14:textId="77777777" w:rsidR="00CE4216" w:rsidRDefault="00E44DBA">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OIT, Comisión de Expertos en Aplicación de Convenios y Recomendaciones (CEACR), </w:t>
      </w:r>
      <w:hyperlink r:id="rId7">
        <w:r w:rsidR="00CE4216">
          <w:rPr>
            <w:rFonts w:ascii="Times New Roman" w:eastAsia="Times New Roman" w:hAnsi="Times New Roman" w:cs="Times New Roman"/>
            <w:color w:val="467886"/>
            <w:sz w:val="20"/>
            <w:szCs w:val="20"/>
            <w:u w:val="single"/>
          </w:rPr>
          <w:t>Solicitud Directa – Convenio sobre el trabajo forzoso, 1930 (núm. 29), Cuba adoptada en 2024, publicada en la 113.ª CIT (2025)</w:t>
        </w:r>
      </w:hyperlink>
    </w:p>
  </w:footnote>
  <w:footnote w:id="10">
    <w:p w14:paraId="00000072"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CIDH, </w:t>
      </w:r>
      <w:hyperlink r:id="rId8">
        <w:r w:rsidR="00CE4216">
          <w:rPr>
            <w:rFonts w:ascii="Times New Roman" w:eastAsia="Times New Roman" w:hAnsi="Times New Roman" w:cs="Times New Roman"/>
            <w:color w:val="467886"/>
            <w:sz w:val="20"/>
            <w:szCs w:val="20"/>
            <w:u w:val="single"/>
          </w:rPr>
          <w:t>Informe sobre Derechos Laborales y sindicales en Cuba - 2023</w:t>
        </w:r>
      </w:hyperlink>
      <w:r>
        <w:rPr>
          <w:rFonts w:ascii="Times New Roman" w:eastAsia="Times New Roman" w:hAnsi="Times New Roman" w:cs="Times New Roman"/>
          <w:color w:val="000000"/>
          <w:sz w:val="20"/>
          <w:szCs w:val="20"/>
        </w:rPr>
        <w:t xml:space="preserve"> –págs. 91 a 93.</w:t>
      </w:r>
    </w:p>
  </w:footnote>
  <w:footnote w:id="11">
    <w:p w14:paraId="00000073"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hyperlink r:id="rId9">
        <w:r w:rsidR="00CE4216">
          <w:rPr>
            <w:rFonts w:ascii="Times New Roman" w:eastAsia="Times New Roman" w:hAnsi="Times New Roman" w:cs="Times New Roman"/>
            <w:color w:val="467886"/>
            <w:sz w:val="20"/>
            <w:szCs w:val="20"/>
            <w:u w:val="single"/>
          </w:rPr>
          <w:t>Resolución Parlamento Europeo de junio de 2021</w:t>
        </w:r>
      </w:hyperlink>
      <w:r>
        <w:rPr>
          <w:rFonts w:ascii="Times New Roman" w:eastAsia="Times New Roman" w:hAnsi="Times New Roman" w:cs="Times New Roman"/>
          <w:color w:val="000000"/>
          <w:sz w:val="20"/>
          <w:szCs w:val="20"/>
        </w:rPr>
        <w:t xml:space="preserve">, y </w:t>
      </w:r>
      <w:hyperlink r:id="rId10">
        <w:r w:rsidR="00CE4216">
          <w:rPr>
            <w:rFonts w:ascii="Times New Roman" w:eastAsia="Times New Roman" w:hAnsi="Times New Roman" w:cs="Times New Roman"/>
            <w:color w:val="467886"/>
            <w:sz w:val="20"/>
            <w:szCs w:val="20"/>
            <w:u w:val="single"/>
          </w:rPr>
          <w:t>Resolución Parlamento Europeo de septiembre 2021</w:t>
        </w:r>
      </w:hyperlink>
    </w:p>
  </w:footnote>
  <w:footnote w:id="12">
    <w:p w14:paraId="00000074"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hyperlink r:id="rId11">
        <w:r w:rsidR="00CE4216">
          <w:rPr>
            <w:rFonts w:ascii="Times New Roman" w:eastAsia="Times New Roman" w:hAnsi="Times New Roman" w:cs="Times New Roman"/>
            <w:color w:val="467886"/>
            <w:sz w:val="20"/>
            <w:szCs w:val="20"/>
            <w:u w:val="single"/>
          </w:rPr>
          <w:t xml:space="preserve">2025 </w:t>
        </w:r>
        <w:r w:rsidR="00CE4216">
          <w:rPr>
            <w:rFonts w:ascii="Times New Roman" w:eastAsia="Times New Roman" w:hAnsi="Times New Roman" w:cs="Times New Roman"/>
            <w:color w:val="467886"/>
            <w:sz w:val="20"/>
            <w:szCs w:val="20"/>
            <w:u w:val="single"/>
          </w:rPr>
          <w:t>Trafficking in Persons Report</w:t>
        </w:r>
      </w:hyperlink>
      <w:r>
        <w:rPr>
          <w:rFonts w:ascii="Times New Roman" w:eastAsia="Times New Roman" w:hAnsi="Times New Roman" w:cs="Times New Roman"/>
          <w:color w:val="000000"/>
          <w:sz w:val="20"/>
          <w:szCs w:val="20"/>
        </w:rPr>
        <w:t>, Departamento de Estado de los Estados Unidos</w:t>
      </w:r>
    </w:p>
  </w:footnote>
  <w:footnote w:id="13">
    <w:p w14:paraId="00000075" w14:textId="77777777" w:rsidR="00CE4216" w:rsidRDefault="00E44DB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hyperlink r:id="rId12">
        <w:r w:rsidR="00CE4216">
          <w:rPr>
            <w:rFonts w:ascii="Times New Roman" w:eastAsia="Times New Roman" w:hAnsi="Times New Roman" w:cs="Times New Roman"/>
            <w:color w:val="467886"/>
            <w:sz w:val="20"/>
            <w:szCs w:val="20"/>
            <w:u w:val="single"/>
          </w:rPr>
          <w:t>Resolución 368 del año 2000</w:t>
        </w:r>
      </w:hyperlink>
      <w:r>
        <w:rPr>
          <w:rFonts w:ascii="Times New Roman" w:eastAsia="Times New Roman" w:hAnsi="Times New Roman" w:cs="Times New Roman"/>
          <w:color w:val="000000"/>
          <w:sz w:val="20"/>
          <w:szCs w:val="20"/>
        </w:rPr>
        <w:t xml:space="preserve"> del Ministerio de Comercio Exterior y la Inversión Extranjera de Cuba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17094"/>
    <w:multiLevelType w:val="multilevel"/>
    <w:tmpl w:val="494EAA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98018D"/>
    <w:multiLevelType w:val="multilevel"/>
    <w:tmpl w:val="09FC55DC"/>
    <w:lvl w:ilvl="0">
      <w:start w:val="1"/>
      <w:numFmt w:val="decimal"/>
      <w:lvlText w:val="%1."/>
      <w:lvlJc w:val="left"/>
      <w:pPr>
        <w:ind w:left="36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2" w15:restartNumberingAfterBreak="0">
    <w:nsid w:val="663540D2"/>
    <w:multiLevelType w:val="multilevel"/>
    <w:tmpl w:val="DEFAA222"/>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83019944">
    <w:abstractNumId w:val="1"/>
  </w:num>
  <w:num w:numId="2" w16cid:durableId="624041629">
    <w:abstractNumId w:val="0"/>
  </w:num>
  <w:num w:numId="3" w16cid:durableId="1035929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ocumentProtection w:edit="readOnly" w:formatting="1" w:enforcement="1" w:cryptProviderType="rsaAES" w:cryptAlgorithmClass="hash" w:cryptAlgorithmType="typeAny" w:cryptAlgorithmSid="14" w:cryptSpinCount="100000" w:hash="upbD5Q0lLLZXZNkLkDiREXFGHgF8W8zgVmsNstWTAeQ9aNGIiItys1jxYlAcgL/htaJ9YfHF7sQ2aGzXIkPrrA==" w:salt="vQyVBywfbGxuu8omUyTti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216"/>
    <w:rsid w:val="00055DAF"/>
    <w:rsid w:val="001E7A07"/>
    <w:rsid w:val="002677AD"/>
    <w:rsid w:val="006A7A36"/>
    <w:rsid w:val="00AB44F0"/>
    <w:rsid w:val="00C722BD"/>
    <w:rsid w:val="00CC3603"/>
    <w:rsid w:val="00CE4216"/>
    <w:rsid w:val="00DB102C"/>
    <w:rsid w:val="00E24165"/>
    <w:rsid w:val="00E44DBA"/>
    <w:rsid w:val="00F73764"/>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BEC22"/>
  <w15:docId w15:val="{3F4E90EC-2F11-478A-A073-01AB3E09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AR" w:eastAsia="es-MX"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Header">
    <w:name w:val="header"/>
    <w:basedOn w:val="Normal"/>
    <w:link w:val="HeaderChar"/>
    <w:uiPriority w:val="99"/>
    <w:semiHidden/>
    <w:unhideWhenUsed/>
    <w:rsid w:val="00E44D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44DBA"/>
  </w:style>
  <w:style w:type="paragraph" w:styleId="Footer">
    <w:name w:val="footer"/>
    <w:basedOn w:val="Normal"/>
    <w:link w:val="FooterChar"/>
    <w:uiPriority w:val="99"/>
    <w:semiHidden/>
    <w:unhideWhenUsed/>
    <w:rsid w:val="00E44DB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44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as.org/es/cidh/informes/pdfs/2023/Cuba_derechoslaborales_Es.pdf" TargetMode="External"/><Relationship Id="rId3" Type="http://schemas.openxmlformats.org/officeDocument/2006/relationships/hyperlink" Target="https://cubaminrex.cu/es/en-honduras-brigada-medica-cubana-para-fortalecer-sistema-de-salud" TargetMode="External"/><Relationship Id="rId7" Type="http://schemas.openxmlformats.org/officeDocument/2006/relationships/hyperlink" Target="https://normlex.ilo.org/dyn/nrmlx_es/f?p=NORMLEXPUB:13100:0::NO::P13100_COMMENT_ID%2CP13100_LANG_CODE:4418956%2Ces" TargetMode="External"/><Relationship Id="rId12" Type="http://schemas.openxmlformats.org/officeDocument/2006/relationships/hyperlink" Target="https://www.prisonersdefenders.org/wp-content/uploads/Resolucion-368-20-Reglamento-Disciplinario-Cooperantes.pdf" TargetMode="External"/><Relationship Id="rId2" Type="http://schemas.openxmlformats.org/officeDocument/2006/relationships/hyperlink" Target="https://spe.gob.hn/posts/336" TargetMode="External"/><Relationship Id="rId1" Type="http://schemas.openxmlformats.org/officeDocument/2006/relationships/hyperlink" Target="https://cubaarchive.org/wp-content/uploads/2025/09/Compendio-Las-brigadas-medicas-cubanas-8.2025.pdf" TargetMode="External"/><Relationship Id="rId6" Type="http://schemas.openxmlformats.org/officeDocument/2006/relationships/hyperlink" Target="https://normlex.ilo.org/dyn/nrmlx_es/f?p=NORMLEXPUB:13100:0::NO::P13100_COMMENT_ID%2CP11110_COUNTRY_ID%2CP11110_COUNTRY_NAME%2CP11110_COMMENT_YEAR:4297099%2C102603%2CCuba%2C2022" TargetMode="External"/><Relationship Id="rId11" Type="http://schemas.openxmlformats.org/officeDocument/2006/relationships/hyperlink" Target="https://www.state.gov/reports/2025-trafficking-in-persons-report/" TargetMode="External"/><Relationship Id="rId5" Type="http://schemas.openxmlformats.org/officeDocument/2006/relationships/hyperlink" Target="https://archivo.prensa-latina.cu/2024/02/01/honduras-y-cuba-firmaron-convenio-de-cooperacion-medica" TargetMode="External"/><Relationship Id="rId10" Type="http://schemas.openxmlformats.org/officeDocument/2006/relationships/hyperlink" Target="https://www.europarl.europa.eu/doceo/document/TA-9-2021-0389_ES.html" TargetMode="External"/><Relationship Id="rId4" Type="http://schemas.openxmlformats.org/officeDocument/2006/relationships/hyperlink" Target="https://www.infobae.com/america/agencias/2024/02/01/honduras-y-cuba-firman-un-acuerdo-para-contratar-89-medicos-cubanos-para-mejorar-la-salud/" TargetMode="External"/><Relationship Id="rId9" Type="http://schemas.openxmlformats.org/officeDocument/2006/relationships/hyperlink" Target="https://www.europarl.europa.eu/doceo/document/TA-9-2021-0292_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2025-11-04T12:07:00+00:00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411E9B-F03C-479B-813E-B309B4592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7DDEB-0BB4-46AC-A0FB-85C630DC82E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DA6C7BB3-0C77-4F31-87C8-D87FEBEFFA6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169</TotalTime>
  <Pages>1</Pages>
  <Words>3703</Words>
  <Characters>21113</Characters>
  <Application>Microsoft Office Word</Application>
  <DocSecurity>8</DocSecurity>
  <Lines>175</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Propietario</dc:creator>
  <cp:lastModifiedBy>Isabelle Fleche</cp:lastModifiedBy>
  <cp:revision>5</cp:revision>
  <cp:lastPrinted>2025-11-03T21:36:00Z</cp:lastPrinted>
  <dcterms:created xsi:type="dcterms:W3CDTF">2025-11-03T21:18:00Z</dcterms:created>
  <dcterms:modified xsi:type="dcterms:W3CDTF">2025-11-10T10:19:00Z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