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BC773" w14:textId="77777777" w:rsidR="008B6FBB" w:rsidRPr="008B6FBB" w:rsidRDefault="008B6FBB" w:rsidP="008B6FBB">
      <w:pPr>
        <w:jc w:val="center"/>
        <w:rPr>
          <w:rFonts w:ascii="Times New Roman" w:hAnsi="Times New Roman" w:cs="Times New Roman"/>
          <w:b/>
          <w:color w:val="70AD47" w:themeColor="accent6"/>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6FBB">
        <w:rPr>
          <w:rFonts w:ascii="Times New Roman" w:hAnsi="Times New Roman" w:cs="Times New Roman"/>
          <w:b/>
          <w:color w:val="70AD47" w:themeColor="accent6"/>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IAPD Report to the Human Rights Committee Regarding Belgium</w:t>
      </w:r>
    </w:p>
    <w:p w14:paraId="67DF5779" w14:textId="77777777" w:rsidR="008B6FBB" w:rsidRPr="008B6FBB" w:rsidRDefault="008B6FBB" w:rsidP="008B6FBB">
      <w:pPr>
        <w:pBdr>
          <w:bottom w:val="single" w:sz="18" w:space="1" w:color="auto"/>
        </w:pBdr>
        <w:jc w:val="center"/>
        <w:rPr>
          <w:rFonts w:ascii="Times New Roman" w:hAnsi="Times New Roman" w:cs="Times New Roman"/>
          <w:b/>
          <w:color w:val="0070C0"/>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6FBB">
        <w:rPr>
          <w:rFonts w:ascii="Times New Roman" w:hAnsi="Times New Roman" w:cs="Times New Roman"/>
          <w:b/>
          <w:color w:val="0070C0"/>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List of Issues Prior to Reporting</w:t>
      </w:r>
    </w:p>
    <w:p w14:paraId="7E2BAED8" w14:textId="66E243E5" w:rsidR="008B6FBB" w:rsidRPr="008B6FBB" w:rsidRDefault="008B6FBB" w:rsidP="008B6FBB">
      <w:pPr>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The International Alliance for Peace and Development (</w:t>
      </w:r>
      <w:bookmarkStart w:id="0" w:name="OLE_LINK388"/>
      <w:r w:rsidRPr="008B6FBB">
        <w:rPr>
          <w:rFonts w:ascii="Times New Roman" w:hAnsi="Times New Roman" w:cs="Times New Roman"/>
          <w:sz w:val="24"/>
          <w:szCs w:val="24"/>
          <w:lang w:bidi="ar-EG"/>
        </w:rPr>
        <w:t>IAPD</w:t>
      </w:r>
      <w:bookmarkEnd w:id="0"/>
      <w:r w:rsidRPr="008B6FBB">
        <w:rPr>
          <w:rFonts w:ascii="Times New Roman" w:hAnsi="Times New Roman" w:cs="Times New Roman"/>
          <w:sz w:val="24"/>
          <w:szCs w:val="24"/>
          <w:lang w:bidi="ar-EG"/>
        </w:rPr>
        <w:t xml:space="preserve">) submits this report to the </w:t>
      </w:r>
      <w:bookmarkStart w:id="1" w:name="OLE_LINK390"/>
      <w:r w:rsidRPr="008B6FBB">
        <w:rPr>
          <w:rFonts w:ascii="Times New Roman" w:hAnsi="Times New Roman" w:cs="Times New Roman"/>
          <w:sz w:val="24"/>
          <w:szCs w:val="24"/>
          <w:lang w:bidi="ar-EG"/>
        </w:rPr>
        <w:t xml:space="preserve">United Nations Human Rights Committee </w:t>
      </w:r>
      <w:bookmarkEnd w:id="1"/>
      <w:r w:rsidRPr="008B6FBB">
        <w:rPr>
          <w:rFonts w:ascii="Times New Roman" w:hAnsi="Times New Roman" w:cs="Times New Roman"/>
          <w:sz w:val="24"/>
          <w:szCs w:val="24"/>
          <w:lang w:bidi="ar-EG"/>
        </w:rPr>
        <w:t>as part of the list of issues prior to reporting. Belgium signed the International Covenant on Civil and Political Rights (hereinafter referred to as "</w:t>
      </w:r>
      <w:bookmarkStart w:id="2" w:name="OLE_LINK391"/>
      <w:r w:rsidRPr="008B6FBB">
        <w:rPr>
          <w:rFonts w:ascii="Times New Roman" w:hAnsi="Times New Roman" w:cs="Times New Roman"/>
          <w:sz w:val="24"/>
          <w:szCs w:val="24"/>
          <w:lang w:bidi="ar-EG"/>
        </w:rPr>
        <w:t>ICCPR</w:t>
      </w:r>
      <w:bookmarkEnd w:id="2"/>
      <w:r w:rsidRPr="008B6FBB">
        <w:rPr>
          <w:rFonts w:ascii="Times New Roman" w:hAnsi="Times New Roman" w:cs="Times New Roman"/>
          <w:sz w:val="24"/>
          <w:szCs w:val="24"/>
          <w:lang w:bidi="ar-EG"/>
        </w:rPr>
        <w:t>") on December 10, 1968, and ratified it on April 21, 1983. This ratification establishes obligations regarding the full respect of the provisions of ICCPR and ensures their actual implementation at both legislative and practical levels.</w:t>
      </w:r>
      <w:r w:rsidRPr="008B6FBB">
        <w:rPr>
          <w:rStyle w:val="FootnoteReference"/>
          <w:rFonts w:ascii="Times New Roman" w:hAnsi="Times New Roman" w:cs="Times New Roman"/>
          <w:sz w:val="24"/>
          <w:szCs w:val="24"/>
          <w:lang w:bidi="ar-EG"/>
        </w:rPr>
        <w:footnoteReference w:id="1"/>
      </w:r>
      <w:r w:rsidRPr="008B6FBB">
        <w:rPr>
          <w:rFonts w:ascii="Times New Roman" w:hAnsi="Times New Roman" w:cs="Times New Roman"/>
          <w:sz w:val="24"/>
          <w:szCs w:val="24"/>
          <w:lang w:bidi="ar-EG"/>
        </w:rPr>
        <w:t xml:space="preserve"> The report evaluates Belgium's implementation of Articles 3, 6, 7, 18, and 21 of the ICCPR.</w:t>
      </w:r>
    </w:p>
    <w:p w14:paraId="6CDF9844" w14:textId="77777777" w:rsidR="008B6FBB" w:rsidRPr="008B6FBB" w:rsidRDefault="008B6FBB" w:rsidP="008B6FBB">
      <w:pPr>
        <w:jc w:val="both"/>
        <w:rPr>
          <w:rFonts w:ascii="Times New Roman" w:hAnsi="Times New Roman" w:cs="Times New Roman"/>
          <w:color w:val="0070C0"/>
          <w:sz w:val="28"/>
          <w:szCs w:val="28"/>
          <w:lang w:bidi="ar-EG"/>
        </w:rPr>
      </w:pPr>
      <w:r w:rsidRPr="008B6FBB">
        <w:rPr>
          <w:rFonts w:ascii="Times New Roman" w:hAnsi="Times New Roman" w:cs="Times New Roman"/>
          <w:b/>
          <w:bCs/>
          <w:color w:val="0070C0"/>
          <w:sz w:val="28"/>
          <w:szCs w:val="28"/>
          <w:lang w:bidi="ar-EG"/>
        </w:rPr>
        <w:t>First: Equality and Non-Discrimination – Article 3</w:t>
      </w:r>
    </w:p>
    <w:p w14:paraId="58E15606" w14:textId="77777777" w:rsidR="008B6FBB" w:rsidRPr="008B6FBB" w:rsidRDefault="008B6FBB" w:rsidP="008B6FBB">
      <w:pPr>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In evaluating Belgium’s commitment to the principle of equality and non-discrimination as outlined in Article 3 of ICCPR, indicators for 2025 show a significant quantitative advancement. Belgium achieved a score of 68.5 out of 100 on the Gender Equality Index, ranking seventh in the European Union. This index has shown a gradual and continuous improvement, increasing by 9.5 points since 2015 and by about 4.9 points since 2020, a change largely attributed to developments in areas such as political participation, access to knowledge, and improved financial conditions. Therefore, Belgium not only surpasses the average performance of the European Union but also contributes to expanding the positive gap in its favor compared to the European average.</w:t>
      </w:r>
      <w:r w:rsidRPr="008B6FBB">
        <w:rPr>
          <w:rStyle w:val="FootnoteReference"/>
          <w:rFonts w:ascii="Times New Roman" w:hAnsi="Times New Roman" w:cs="Times New Roman"/>
          <w:sz w:val="24"/>
          <w:szCs w:val="24"/>
          <w:lang w:bidi="ar-EG"/>
        </w:rPr>
        <w:footnoteReference w:id="2"/>
      </w:r>
    </w:p>
    <w:p w14:paraId="57ADFE9E" w14:textId="77777777" w:rsidR="008B6FBB" w:rsidRPr="008B6FBB" w:rsidRDefault="008B6FBB" w:rsidP="008B6FBB">
      <w:pPr>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 xml:space="preserve">In the context of institutional efforts to promote gender equality, </w:t>
      </w:r>
      <w:bookmarkStart w:id="3" w:name="OLE_LINK392"/>
      <w:r w:rsidRPr="008B6FBB">
        <w:rPr>
          <w:rFonts w:ascii="Times New Roman" w:hAnsi="Times New Roman" w:cs="Times New Roman"/>
          <w:sz w:val="24"/>
          <w:szCs w:val="24"/>
          <w:lang w:bidi="ar-EG"/>
        </w:rPr>
        <w:t xml:space="preserve">the Belgian Minister for Equal Opportunities </w:t>
      </w:r>
      <w:bookmarkEnd w:id="3"/>
      <w:r w:rsidRPr="008B6FBB">
        <w:rPr>
          <w:rFonts w:ascii="Times New Roman" w:hAnsi="Times New Roman" w:cs="Times New Roman"/>
          <w:sz w:val="24"/>
          <w:szCs w:val="24"/>
          <w:lang w:bidi="ar-EG"/>
        </w:rPr>
        <w:t>launched a national campaign in September 2025 targeting employers, human resources professionals, and labor market actors. This campaign focuses specifically on the conditions of women of foreign origin, based on findings from recent reports highlighting the structural challenges faced by these women, including job instability and limited opportunities for career advancement. The campaign included the production of a parallel podcast that allowed migrant women to express their personal experiences and showcase their resilience in facing these obstacles, thereby raising public awareness of the nature of the compounded discrimination based on both gender and migration. This initiative highlights what can be described as "double deprivation" suffered by women of foreign origin, where wage gaps and overrepresentation in unstable or part-time jobs intersect with limited access to pathways for professional development.</w:t>
      </w:r>
      <w:r w:rsidRPr="008B6FBB">
        <w:rPr>
          <w:rStyle w:val="FootnoteReference"/>
          <w:rFonts w:ascii="Times New Roman" w:hAnsi="Times New Roman" w:cs="Times New Roman"/>
          <w:sz w:val="24"/>
          <w:szCs w:val="24"/>
          <w:lang w:bidi="ar-EG"/>
        </w:rPr>
        <w:footnoteReference w:id="3"/>
      </w:r>
      <w:r w:rsidRPr="008B6FBB">
        <w:rPr>
          <w:rFonts w:ascii="Times New Roman" w:hAnsi="Times New Roman" w:cs="Times New Roman"/>
          <w:sz w:val="24"/>
          <w:szCs w:val="24"/>
          <w:lang w:bidi="ar-EG"/>
        </w:rPr>
        <w:t xml:space="preserve"> In this context, IAPD emphasizes that these efforts contribute to supporting the achievement of the fifth Sustainable Development Goal and reflect a positive direction toward fulfilling the general commitments outlined in the ICCPR.</w:t>
      </w:r>
    </w:p>
    <w:p w14:paraId="490DD674" w14:textId="77777777" w:rsidR="008B6FBB" w:rsidRPr="008B6FBB" w:rsidRDefault="008B6FBB" w:rsidP="008B6FBB">
      <w:pPr>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 xml:space="preserve">Despite these developments, IAPD still has concerns regarding violence against women within the civil justice system in Belgium. Reports indicate that gender-based violence, especially domestic violence, is often minimized during considerations of personal status and family law cases, negatively impacting the safety of victims and their children. Despite Belgium's commitment to implementing the Istanbul </w:t>
      </w:r>
      <w:r w:rsidRPr="008B6FBB">
        <w:rPr>
          <w:rFonts w:ascii="Times New Roman" w:hAnsi="Times New Roman" w:cs="Times New Roman"/>
          <w:sz w:val="24"/>
          <w:szCs w:val="24"/>
          <w:lang w:bidi="ar-EG"/>
        </w:rPr>
        <w:lastRenderedPageBreak/>
        <w:t>Convention and making some legislative and institutional progress, there remain significant gaps in how the impacts of domestic violence are assessed when making decisions related to custody or visitation rights. Reports warn that the recurrent minimization of domestic violence in civil proceedings may lead to the granting of joint custody or visitation rights even in cases where violence has been established, allowing perpetrators, in some instances, to continue exerting control or pressure over victims and children. This approach raises serious questions about the consistency of existing judicial practices with the principle of actual equality and protection set forth in Article 3 of ICCPR, as well as the state's positive obligations to prevent gender-based discrimination and ensure that women are not subjected to additional risks due to inadequate judicial protection.</w:t>
      </w:r>
      <w:r w:rsidRPr="008B6FBB">
        <w:rPr>
          <w:rStyle w:val="FootnoteReference"/>
          <w:rFonts w:ascii="Times New Roman" w:hAnsi="Times New Roman" w:cs="Times New Roman"/>
          <w:sz w:val="24"/>
          <w:szCs w:val="24"/>
          <w:lang w:bidi="ar-EG"/>
        </w:rPr>
        <w:footnoteReference w:id="4"/>
      </w:r>
    </w:p>
    <w:p w14:paraId="32E8FEED" w14:textId="30D9558A" w:rsidR="008B6FBB" w:rsidRPr="007E6807" w:rsidRDefault="008B6FBB" w:rsidP="008B6FBB">
      <w:pPr>
        <w:jc w:val="both"/>
        <w:rPr>
          <w:rFonts w:ascii="Times New Roman" w:hAnsi="Times New Roman" w:cs="Times New Roman"/>
          <w:b/>
          <w:bCs/>
          <w:sz w:val="24"/>
          <w:szCs w:val="24"/>
          <w:rtl/>
          <w:lang w:bidi="ar-EG"/>
        </w:rPr>
      </w:pPr>
      <w:r w:rsidRPr="007E6807">
        <w:rPr>
          <w:rFonts w:ascii="Times New Roman" w:hAnsi="Times New Roman" w:cs="Times New Roman"/>
          <w:b/>
          <w:bCs/>
          <w:sz w:val="24"/>
          <w:szCs w:val="24"/>
          <w:lang w:bidi="ar-EG"/>
        </w:rPr>
        <w:t xml:space="preserve">IAPD suggests that </w:t>
      </w:r>
      <w:r w:rsidRPr="007E6807">
        <w:rPr>
          <w:rFonts w:ascii="Times New Roman" w:hAnsi="Times New Roman" w:cs="Times New Roman"/>
          <w:b/>
          <w:bCs/>
          <w:sz w:val="24"/>
          <w:szCs w:val="24"/>
          <w:lang w:bidi="ar-EG"/>
        </w:rPr>
        <w:t>The Committee</w:t>
      </w:r>
      <w:r w:rsidRPr="007E6807">
        <w:rPr>
          <w:rFonts w:ascii="Times New Roman" w:hAnsi="Times New Roman" w:cs="Times New Roman"/>
          <w:b/>
          <w:bCs/>
          <w:sz w:val="24"/>
          <w:szCs w:val="24"/>
          <w:lang w:bidi="ar-EG"/>
        </w:rPr>
        <w:t xml:space="preserve"> direct the following questions:</w:t>
      </w:r>
    </w:p>
    <w:p w14:paraId="2F889B52" w14:textId="77777777" w:rsidR="008B6FBB" w:rsidRPr="008B6FBB" w:rsidRDefault="008B6FBB" w:rsidP="008B6FBB">
      <w:pPr>
        <w:numPr>
          <w:ilvl w:val="0"/>
          <w:numId w:val="29"/>
        </w:numPr>
        <w:spacing w:after="160"/>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How does Belgium ensure that the positive indicators in gender equality are reflected in actual judicial practices, particularly in cases of domestic violence and family law, achieving equal and effective protection for women?</w:t>
      </w:r>
    </w:p>
    <w:p w14:paraId="26BB6EBC" w14:textId="77777777" w:rsidR="008B6FBB" w:rsidRPr="008B6FBB" w:rsidRDefault="008B6FBB" w:rsidP="008B6FBB">
      <w:pPr>
        <w:numPr>
          <w:ilvl w:val="0"/>
          <w:numId w:val="29"/>
        </w:numPr>
        <w:spacing w:after="160"/>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What are the criteria and guidelines adopted to systematically consider instances of gender-based violence when issuing custody and visitation decisions?</w:t>
      </w:r>
    </w:p>
    <w:p w14:paraId="7F93E2E2" w14:textId="77777777" w:rsidR="008B6FBB" w:rsidRPr="008B6FBB" w:rsidRDefault="008B6FBB" w:rsidP="008B6FBB">
      <w:pPr>
        <w:numPr>
          <w:ilvl w:val="0"/>
          <w:numId w:val="29"/>
        </w:numPr>
        <w:spacing w:after="160"/>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How does Belgium assess the impact of gender equality policies and campaigns on the conditions of women of migrant origin, especially concerning addressing forms of compounded discrimination related to gender and migration?</w:t>
      </w:r>
    </w:p>
    <w:p w14:paraId="6773E7F8" w14:textId="77777777" w:rsidR="008B6FBB" w:rsidRPr="008B6FBB" w:rsidRDefault="008B6FBB" w:rsidP="008B6FBB">
      <w:pPr>
        <w:jc w:val="both"/>
        <w:rPr>
          <w:rFonts w:ascii="Times New Roman" w:hAnsi="Times New Roman" w:cs="Times New Roman"/>
          <w:color w:val="0070C0"/>
          <w:sz w:val="28"/>
          <w:szCs w:val="28"/>
          <w:lang w:bidi="ar-EG"/>
        </w:rPr>
      </w:pPr>
      <w:r w:rsidRPr="008B6FBB">
        <w:rPr>
          <w:rFonts w:ascii="Times New Roman" w:hAnsi="Times New Roman" w:cs="Times New Roman"/>
          <w:b/>
          <w:bCs/>
          <w:color w:val="0070C0"/>
          <w:sz w:val="28"/>
          <w:szCs w:val="28"/>
          <w:lang w:bidi="ar-EG"/>
        </w:rPr>
        <w:t>Second: Right to Life – Article 6</w:t>
      </w:r>
    </w:p>
    <w:p w14:paraId="6496F646" w14:textId="77777777" w:rsidR="008B6FBB" w:rsidRPr="008B6FBB" w:rsidRDefault="008B6FBB" w:rsidP="008B6FBB">
      <w:pPr>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The National Institute for Health Insurance and Disability in Belgium has issued a decision to include euthanasia within the comprehensive health insurance compensation system starting November 1, 2025. According to this decision, patients or their relatives will not be required to bear any financial costs associated with the euthanasia procedure, while physicians will receive a specific fee of €180.24 for performing the procedure, as officially announced by the Institute. Notably, the Belgian health insurance system did not cover these costs prior to this date, but compensation now includes all expenses related to the procedure, including medical supplies, the execution of the procedure itself, confirmation of death, and completion of official documentation.</w:t>
      </w:r>
    </w:p>
    <w:p w14:paraId="0E72CBD3" w14:textId="77777777" w:rsidR="008B6FBB" w:rsidRPr="008B6FBB" w:rsidRDefault="008B6FBB" w:rsidP="008B6FBB">
      <w:pPr>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This development occurs in the context of legislation that has allowed euthanasia in Belgium since 2002, with its applicability later expanded to include minors, contingent on parental consent. Legally, the applicant for euthanasia must be in a state of unbearable physical or psychological suffering due to an incurable illness or serious accident, and the request must be made in writing, voluntarily, thoughtfully, and repeatedly. Despite these formal controls, official data released by the Federal Commission for Monitoring and Evaluating Euthanasia reflect a noticeable increase in the number of cases. In 2024, the Commission received and examined 3,991 registration documents for euthanasia cases, marking a 16.6% increase compared to 2023. Additionally, euthanasia constituted 3.6% of the total recorded deaths in Belgium in 2024, compared to 3.1% the previous year, indicating a steady expansion in recourse to this procedure.</w:t>
      </w:r>
      <w:r w:rsidRPr="008B6FBB">
        <w:rPr>
          <w:rStyle w:val="FootnoteReference"/>
          <w:rFonts w:ascii="Times New Roman" w:hAnsi="Times New Roman" w:cs="Times New Roman"/>
          <w:sz w:val="24"/>
          <w:szCs w:val="24"/>
          <w:lang w:bidi="ar-EG"/>
        </w:rPr>
        <w:footnoteReference w:id="5"/>
      </w:r>
    </w:p>
    <w:p w14:paraId="650222CF" w14:textId="77777777" w:rsidR="008B6FBB" w:rsidRPr="008B6FBB" w:rsidRDefault="008B6FBB" w:rsidP="008B6FBB">
      <w:pPr>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lastRenderedPageBreak/>
        <w:t>The inclusion of euthanasia within the health compensation system, alongside the growing leniency towards the idea of voluntary life termination, raises substantive issues concerning the essence of the right to life as an inherent and inalienable right. The institution fears that this approach may contribute to normalizing the termination of life as a therapeutic or administrative option, potentially leading to the practical ending of lives under circumstances that could be addressed through appropriate medical or psychological interventions, or by improving palliative care and psychosocial support services. This development also raises questions about the adequacy of existing substantive and procedural guarantees, particularly for the most vulnerable groups, including the elderly, persons with disabilities, and those suffering from mental disorders, in light of the strict obligations imposed by Article 6 of ICCPR on states parties to protect life and prevent any arbitrary deprivation thereof.</w:t>
      </w:r>
    </w:p>
    <w:p w14:paraId="1DFE5224" w14:textId="5B4DF8A7" w:rsidR="008B6FBB" w:rsidRPr="008B6FBB" w:rsidRDefault="008B6FBB" w:rsidP="008B6FBB">
      <w:pPr>
        <w:jc w:val="both"/>
        <w:rPr>
          <w:rFonts w:ascii="Times New Roman" w:hAnsi="Times New Roman" w:cs="Times New Roman"/>
          <w:b/>
          <w:bCs/>
          <w:sz w:val="24"/>
          <w:szCs w:val="24"/>
          <w:lang w:bidi="ar-EG"/>
        </w:rPr>
      </w:pPr>
      <w:bookmarkStart w:id="4" w:name="OLE_LINK389"/>
      <w:r w:rsidRPr="008B6FBB">
        <w:rPr>
          <w:rFonts w:ascii="Times New Roman" w:hAnsi="Times New Roman" w:cs="Times New Roman"/>
          <w:b/>
          <w:bCs/>
          <w:sz w:val="24"/>
          <w:szCs w:val="24"/>
          <w:lang w:bidi="ar-EG"/>
        </w:rPr>
        <w:t xml:space="preserve">IAPD </w:t>
      </w:r>
      <w:bookmarkEnd w:id="4"/>
      <w:r w:rsidRPr="008B6FBB">
        <w:rPr>
          <w:rFonts w:ascii="Times New Roman" w:hAnsi="Times New Roman" w:cs="Times New Roman"/>
          <w:b/>
          <w:bCs/>
          <w:sz w:val="24"/>
          <w:szCs w:val="24"/>
          <w:lang w:bidi="ar-EG"/>
        </w:rPr>
        <w:t xml:space="preserve">suggests that </w:t>
      </w:r>
      <w:r w:rsidR="007E6807" w:rsidRPr="007E6807">
        <w:rPr>
          <w:rFonts w:ascii="Times New Roman" w:hAnsi="Times New Roman" w:cs="Times New Roman"/>
          <w:b/>
          <w:bCs/>
          <w:sz w:val="24"/>
          <w:szCs w:val="24"/>
          <w:lang w:bidi="ar-EG"/>
        </w:rPr>
        <w:t xml:space="preserve">The Committee </w:t>
      </w:r>
      <w:r w:rsidRPr="008B6FBB">
        <w:rPr>
          <w:rFonts w:ascii="Times New Roman" w:hAnsi="Times New Roman" w:cs="Times New Roman"/>
          <w:b/>
          <w:bCs/>
          <w:sz w:val="24"/>
          <w:szCs w:val="24"/>
          <w:lang w:bidi="ar-EG"/>
        </w:rPr>
        <w:t>direct the following questions:</w:t>
      </w:r>
    </w:p>
    <w:p w14:paraId="40A1FAFB" w14:textId="77777777" w:rsidR="008B6FBB" w:rsidRPr="008B6FBB" w:rsidRDefault="008B6FBB" w:rsidP="008B6FBB">
      <w:pPr>
        <w:numPr>
          <w:ilvl w:val="0"/>
          <w:numId w:val="30"/>
        </w:numPr>
        <w:spacing w:after="160"/>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How does Belgium ensure that the inclusion of euthanasia in the health compensation system does not undermine the right to life or create direct or indirect pressures on patients to choose to end their lives?</w:t>
      </w:r>
    </w:p>
    <w:p w14:paraId="2126491A" w14:textId="77777777" w:rsidR="008B6FBB" w:rsidRPr="008B6FBB" w:rsidRDefault="008B6FBB" w:rsidP="008B6FBB">
      <w:pPr>
        <w:numPr>
          <w:ilvl w:val="0"/>
          <w:numId w:val="30"/>
        </w:numPr>
        <w:spacing w:after="160"/>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What practical guarantees are in place to ensure that all therapeutic alternatives have been thoroughly exhausted before approving euthanasia requests?</w:t>
      </w:r>
    </w:p>
    <w:p w14:paraId="54CF1CB9" w14:textId="77777777" w:rsidR="008B6FBB" w:rsidRPr="007E6807" w:rsidRDefault="008B6FBB" w:rsidP="008B6FBB">
      <w:pPr>
        <w:jc w:val="both"/>
        <w:rPr>
          <w:rFonts w:ascii="Times New Roman" w:hAnsi="Times New Roman" w:cs="Times New Roman"/>
          <w:color w:val="0070C0"/>
          <w:sz w:val="28"/>
          <w:szCs w:val="28"/>
          <w:lang w:bidi="ar-EG"/>
        </w:rPr>
      </w:pPr>
      <w:r w:rsidRPr="007E6807">
        <w:rPr>
          <w:rFonts w:ascii="Times New Roman" w:hAnsi="Times New Roman" w:cs="Times New Roman"/>
          <w:b/>
          <w:bCs/>
          <w:color w:val="0070C0"/>
          <w:sz w:val="28"/>
          <w:szCs w:val="28"/>
          <w:lang w:bidi="ar-EG"/>
        </w:rPr>
        <w:t>Third: Protection from Torture – Article 7</w:t>
      </w:r>
    </w:p>
    <w:p w14:paraId="288DBA7A" w14:textId="77777777" w:rsidR="008B6FBB" w:rsidRPr="008B6FBB" w:rsidRDefault="008B6FBB" w:rsidP="008B6FBB">
      <w:pPr>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IAPD has documented legislative developments concerning protection from torture in Belgium. These developments include the issuance of a law on May 3, 2024, which establishes a national preventive mechanism concerned with monitoring the conditions of individuals deprived of their liberty in detention facilities under federal jurisdiction, including prisons, detention centers, and police stations. This mechanism was created within the Federal Institute for Human Rights, reflecting an advanced step toward the state's compliance with the provisions of paragraph 7 of ICCPR, as well as the Optional Protocol to the Convention Against Torture. IAPD notes that the legal framework governing this mechanism provides it with a clear degree of functional independence and grants it essential powers, including conducting unannounced visits to places of deprivation of liberty, engaging in direct dialogues with relevant authorities, providing observations and recommendations related to relevant legislation and policies, and issuing an annual report highlighting the results of its activities. These powers, in principle, contribute to strengthening the system of prevention against torture and ill-treatment.</w:t>
      </w:r>
      <w:r w:rsidRPr="008B6FBB">
        <w:rPr>
          <w:rStyle w:val="FootnoteReference"/>
          <w:rFonts w:ascii="Times New Roman" w:hAnsi="Times New Roman" w:cs="Times New Roman"/>
          <w:sz w:val="24"/>
          <w:szCs w:val="24"/>
          <w:lang w:bidi="ar-EG"/>
        </w:rPr>
        <w:footnoteReference w:id="6"/>
      </w:r>
    </w:p>
    <w:p w14:paraId="6037A8EB" w14:textId="77777777" w:rsidR="008B6FBB" w:rsidRPr="008B6FBB" w:rsidRDefault="008B6FBB" w:rsidP="008B6FBB">
      <w:pPr>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 xml:space="preserve">On the other hand, IAPD has concerns regarding the continued legislative gaps related to the prohibition of corporal punishment against children. This prohibition has yet to be explicitly realized in homes, alternative care centers, and nurseries, even though corporal punishment is illegal in schools. To date, no legislative amendments have been introduced that clearly state a comprehensive ban on all forms of corporal punishment. Reports reviewed by IAPD indicate that corporal punishment by parents and others responsible for the care of children is still met with a degree of societal tolerance within Belgium, and that general legal texts concerning violence and abuse are not interpreted in practice as banning all forms of corporal punishment in the context of raising children. This situation reflects a widespread acceptance </w:t>
      </w:r>
      <w:r w:rsidRPr="008B6FBB">
        <w:rPr>
          <w:rFonts w:ascii="Times New Roman" w:hAnsi="Times New Roman" w:cs="Times New Roman"/>
          <w:sz w:val="24"/>
          <w:szCs w:val="24"/>
          <w:lang w:bidi="ar-EG"/>
        </w:rPr>
        <w:lastRenderedPageBreak/>
        <w:t>of a certain degree of violence as a disciplinary measure, raising serious concerns about the consistency of the legal framework and prevailing practices with the requirements of Article 7 of ICCPR.</w:t>
      </w:r>
      <w:r w:rsidRPr="008B6FBB">
        <w:rPr>
          <w:rStyle w:val="FootnoteReference"/>
          <w:rFonts w:ascii="Times New Roman" w:hAnsi="Times New Roman" w:cs="Times New Roman"/>
          <w:sz w:val="24"/>
          <w:szCs w:val="24"/>
          <w:lang w:bidi="ar-EG"/>
        </w:rPr>
        <w:footnoteReference w:id="7"/>
      </w:r>
    </w:p>
    <w:p w14:paraId="52582DF7" w14:textId="60EDD3D3" w:rsidR="008B6FBB" w:rsidRPr="008B6FBB" w:rsidRDefault="008B6FBB" w:rsidP="008B6FBB">
      <w:pPr>
        <w:jc w:val="both"/>
        <w:rPr>
          <w:rFonts w:ascii="Times New Roman" w:hAnsi="Times New Roman" w:cs="Times New Roman"/>
          <w:b/>
          <w:bCs/>
          <w:sz w:val="24"/>
          <w:szCs w:val="24"/>
          <w:lang w:bidi="ar-EG"/>
        </w:rPr>
      </w:pPr>
      <w:r w:rsidRPr="008B6FBB">
        <w:rPr>
          <w:rFonts w:ascii="Times New Roman" w:hAnsi="Times New Roman" w:cs="Times New Roman"/>
          <w:b/>
          <w:bCs/>
          <w:sz w:val="24"/>
          <w:szCs w:val="24"/>
          <w:lang w:bidi="ar-EG"/>
        </w:rPr>
        <w:t xml:space="preserve">IAPD suggests that </w:t>
      </w:r>
      <w:r w:rsidR="007E6807" w:rsidRPr="007E6807">
        <w:rPr>
          <w:rFonts w:ascii="Times New Roman" w:hAnsi="Times New Roman" w:cs="Times New Roman"/>
          <w:b/>
          <w:bCs/>
          <w:sz w:val="24"/>
          <w:szCs w:val="24"/>
          <w:lang w:bidi="ar-EG"/>
        </w:rPr>
        <w:t xml:space="preserve">The Committee </w:t>
      </w:r>
      <w:r w:rsidRPr="008B6FBB">
        <w:rPr>
          <w:rFonts w:ascii="Times New Roman" w:hAnsi="Times New Roman" w:cs="Times New Roman"/>
          <w:b/>
          <w:bCs/>
          <w:sz w:val="24"/>
          <w:szCs w:val="24"/>
          <w:lang w:bidi="ar-EG"/>
        </w:rPr>
        <w:t>pose the following questions:</w:t>
      </w:r>
    </w:p>
    <w:p w14:paraId="1BE83A78" w14:textId="77777777" w:rsidR="008B6FBB" w:rsidRPr="008B6FBB" w:rsidRDefault="008B6FBB" w:rsidP="008B6FBB">
      <w:pPr>
        <w:numPr>
          <w:ilvl w:val="0"/>
          <w:numId w:val="31"/>
        </w:numPr>
        <w:spacing w:after="160"/>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How does the state ensure that the newly established national preventive mechanism exercises its powers with complete independence and effective practicality, and that its observations and reports are taken into consideration when formulating policies and legislation related to places of detention?</w:t>
      </w:r>
    </w:p>
    <w:p w14:paraId="3717C9FD" w14:textId="77777777" w:rsidR="008B6FBB" w:rsidRPr="008B6FBB" w:rsidRDefault="008B6FBB" w:rsidP="008B6FBB">
      <w:pPr>
        <w:numPr>
          <w:ilvl w:val="0"/>
          <w:numId w:val="31"/>
        </w:numPr>
        <w:spacing w:after="160"/>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What is the current legal framework in place to ensure the protection of children from all forms of corporal punishment within families and care institutions, and how does this framework align with the absolute prohibition of cruel or degrading treatment as stated in Article 7 of ICCPR?</w:t>
      </w:r>
    </w:p>
    <w:p w14:paraId="26ACB1D3" w14:textId="77777777" w:rsidR="008B6FBB" w:rsidRPr="007E6807" w:rsidRDefault="008B6FBB" w:rsidP="008B6FBB">
      <w:pPr>
        <w:jc w:val="both"/>
        <w:rPr>
          <w:rFonts w:ascii="Times New Roman" w:hAnsi="Times New Roman" w:cs="Times New Roman"/>
          <w:color w:val="0070C0"/>
          <w:sz w:val="28"/>
          <w:szCs w:val="28"/>
          <w:lang w:bidi="ar-EG"/>
        </w:rPr>
      </w:pPr>
      <w:r w:rsidRPr="007E6807">
        <w:rPr>
          <w:rFonts w:ascii="Times New Roman" w:hAnsi="Times New Roman" w:cs="Times New Roman"/>
          <w:b/>
          <w:bCs/>
          <w:color w:val="0070C0"/>
          <w:sz w:val="28"/>
          <w:szCs w:val="28"/>
          <w:lang w:bidi="ar-EG"/>
        </w:rPr>
        <w:t>Fourth: Freedom of Religion and Belief – Article 18</w:t>
      </w:r>
    </w:p>
    <w:p w14:paraId="4A2EA6FF" w14:textId="77777777" w:rsidR="008B6FBB" w:rsidRPr="008B6FBB" w:rsidRDefault="008B6FBB" w:rsidP="008B6FBB">
      <w:pPr>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IAPD notes the continued challenges faced by Muslim women, especially migrants or those of foreign descent, in their social and professional integration pathways. Despite the official discourse affirming the multicultural nature of Belgian society, facts indicate that this group of women often encounters practical obstacles resulting from biases linked to religion, which limits their opportunities for equitable participation in public life. The hijab is one of the most prominent manifestations of this discrimination, as it is viewed in many contexts as conflicting with the concept of "neutrality" adopted by the state, leading to the effective exclusion of hijab-wearing women from job opportunities. Social studies and research indicate that Muslim women who wear the hijab face compounded challenges in the labor market. One study reported that 44% of employers believe that wearing the hijab impacts hiring decisions, while some managers have publicly stated that religious symbols are a significant factor in the selection process.</w:t>
      </w:r>
    </w:p>
    <w:p w14:paraId="7AC95914" w14:textId="77777777" w:rsidR="008B6FBB" w:rsidRPr="008B6FBB" w:rsidRDefault="008B6FBB" w:rsidP="008B6FBB">
      <w:pPr>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This form of religious discrimination intersects with broader discriminatory patterns, including wage gaps faced by individuals of Maghreb and African origins, categories that include a significant proportion of Muslims, thereby exacerbating economic and social exclusion. IAPD also observes that restrictive legal measures have contributed to deepening this exclusion.</w:t>
      </w:r>
    </w:p>
    <w:p w14:paraId="196B494E" w14:textId="77777777" w:rsidR="008B6FBB" w:rsidRPr="008B6FBB" w:rsidRDefault="008B6FBB" w:rsidP="008B6FBB">
      <w:pPr>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Despite the announcement by the Flemish Minister of Internal Affairs to lift the ban on hijabs in the Eastern Flanders province, a decision that came in compliance with the regional council's ruling on April 30, 2025, which aimed to prohibit the wearing of all religious symbols, including the Islamic hijab, in public schools, the ban remains in effect in various other regions. Although this law is justified on security grounds, it has effectively restricted the freedom of movement for some Muslim women and raised serious concerns about the potential expansion of these restrictions to encompass other forms of Islamic religious attire. Additionally, the negative portrayal of Muslim women in certain media representations often depicts them either as oppressed victims or as threats to society. This binary portrayal reinforces harmful stereotypes and increases the difficulties faced by Muslim women in both public and private spheres.</w:t>
      </w:r>
      <w:r w:rsidRPr="008B6FBB">
        <w:rPr>
          <w:rStyle w:val="FootnoteReference"/>
          <w:rFonts w:ascii="Times New Roman" w:hAnsi="Times New Roman" w:cs="Times New Roman"/>
          <w:sz w:val="24"/>
          <w:szCs w:val="24"/>
          <w:lang w:bidi="ar-EG"/>
        </w:rPr>
        <w:footnoteReference w:id="8"/>
      </w:r>
    </w:p>
    <w:p w14:paraId="43E804AF" w14:textId="77777777" w:rsidR="008B6FBB" w:rsidRPr="008B6FBB" w:rsidRDefault="008B6FBB" w:rsidP="008B6FBB">
      <w:pPr>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lastRenderedPageBreak/>
        <w:t>In a parallel context, IAPD has become aware of reports indicating the official imposition of a ban on wearing hijabs and Islamic head coverings in educational institutions in the Eastern Flanders province, starting from September 1, 2025. This decision has received public political support from some officials, accompanied by statements that involve discrimination and incitement, including labeling hijab-wearing women as "effectively signing a deportation contract." These developments raise serious concerns about the compatibility of these measures and the accompanying discourses with the state's obligations under Article 18 of ICCPR.</w:t>
      </w:r>
      <w:r w:rsidRPr="008B6FBB">
        <w:rPr>
          <w:rStyle w:val="FootnoteReference"/>
          <w:rFonts w:ascii="Times New Roman" w:hAnsi="Times New Roman" w:cs="Times New Roman"/>
          <w:sz w:val="24"/>
          <w:szCs w:val="24"/>
          <w:lang w:bidi="ar-EG"/>
        </w:rPr>
        <w:footnoteReference w:id="9"/>
      </w:r>
    </w:p>
    <w:p w14:paraId="37089520" w14:textId="353F00E8" w:rsidR="008B6FBB" w:rsidRPr="008B6FBB" w:rsidRDefault="008B6FBB" w:rsidP="008B6FBB">
      <w:pPr>
        <w:jc w:val="both"/>
        <w:rPr>
          <w:rFonts w:ascii="Times New Roman" w:hAnsi="Times New Roman" w:cs="Times New Roman"/>
          <w:b/>
          <w:bCs/>
          <w:sz w:val="24"/>
          <w:szCs w:val="24"/>
          <w:lang w:bidi="ar-EG"/>
        </w:rPr>
      </w:pPr>
      <w:r w:rsidRPr="008B6FBB">
        <w:rPr>
          <w:rFonts w:ascii="Times New Roman" w:hAnsi="Times New Roman" w:cs="Times New Roman"/>
          <w:b/>
          <w:bCs/>
          <w:sz w:val="24"/>
          <w:szCs w:val="24"/>
          <w:lang w:bidi="ar-EG"/>
        </w:rPr>
        <w:t xml:space="preserve">IAPD suggests that </w:t>
      </w:r>
      <w:r w:rsidR="007E6807" w:rsidRPr="007E6807">
        <w:rPr>
          <w:rFonts w:ascii="Times New Roman" w:hAnsi="Times New Roman" w:cs="Times New Roman"/>
          <w:b/>
          <w:bCs/>
          <w:sz w:val="24"/>
          <w:szCs w:val="24"/>
          <w:lang w:bidi="ar-EG"/>
        </w:rPr>
        <w:t xml:space="preserve">The Committee </w:t>
      </w:r>
      <w:r w:rsidRPr="008B6FBB">
        <w:rPr>
          <w:rFonts w:ascii="Times New Roman" w:hAnsi="Times New Roman" w:cs="Times New Roman"/>
          <w:b/>
          <w:bCs/>
          <w:sz w:val="24"/>
          <w:szCs w:val="24"/>
          <w:lang w:bidi="ar-EG"/>
        </w:rPr>
        <w:t>pose the following questions:</w:t>
      </w:r>
    </w:p>
    <w:p w14:paraId="5F4DC783" w14:textId="77777777" w:rsidR="008B6FBB" w:rsidRPr="008B6FBB" w:rsidRDefault="008B6FBB" w:rsidP="008B6FBB">
      <w:pPr>
        <w:numPr>
          <w:ilvl w:val="0"/>
          <w:numId w:val="32"/>
        </w:numPr>
        <w:spacing w:after="160"/>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Does Belgium intend to ease the restrictions on wearing Islamic religious symbols, particularly the hijab, in light of the commitments outlined in Article 18 of ICCPR?</w:t>
      </w:r>
    </w:p>
    <w:p w14:paraId="45EBD317" w14:textId="77777777" w:rsidR="008B6FBB" w:rsidRPr="008B6FBB" w:rsidRDefault="008B6FBB" w:rsidP="008B6FBB">
      <w:pPr>
        <w:numPr>
          <w:ilvl w:val="0"/>
          <w:numId w:val="32"/>
        </w:numPr>
        <w:spacing w:after="160"/>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What measures are being taken to ensure that Muslim women, especially immigrants or those of foreign descent, do not face discrimination in the labor market or educational institutions due to their religious appearance?</w:t>
      </w:r>
    </w:p>
    <w:p w14:paraId="030E05C8" w14:textId="77777777" w:rsidR="008B6FBB" w:rsidRPr="008B6FBB" w:rsidRDefault="008B6FBB" w:rsidP="008B6FBB">
      <w:pPr>
        <w:numPr>
          <w:ilvl w:val="0"/>
          <w:numId w:val="32"/>
        </w:numPr>
        <w:spacing w:after="160"/>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How does Belgium handle the speeches and statements from public officials that may involve incitement or stigmatization of specific religious groups, ensuring effective protection for freedom of religion and belief and preventing any form of exclusion or discrimination?</w:t>
      </w:r>
    </w:p>
    <w:p w14:paraId="4C0076C3" w14:textId="77777777" w:rsidR="008B6FBB" w:rsidRPr="00AA498C" w:rsidRDefault="008B6FBB" w:rsidP="008B6FBB">
      <w:pPr>
        <w:jc w:val="both"/>
        <w:rPr>
          <w:rFonts w:ascii="Times New Roman" w:hAnsi="Times New Roman" w:cs="Times New Roman"/>
          <w:color w:val="0070C0"/>
          <w:sz w:val="28"/>
          <w:szCs w:val="28"/>
          <w:lang w:bidi="ar-EG"/>
        </w:rPr>
      </w:pPr>
      <w:r w:rsidRPr="00AA498C">
        <w:rPr>
          <w:rFonts w:ascii="Times New Roman" w:hAnsi="Times New Roman" w:cs="Times New Roman"/>
          <w:b/>
          <w:bCs/>
          <w:color w:val="0070C0"/>
          <w:sz w:val="28"/>
          <w:szCs w:val="28"/>
          <w:lang w:bidi="ar-EG"/>
        </w:rPr>
        <w:t>Fifth: Freedom of Peaceful Assembly – Article 21</w:t>
      </w:r>
    </w:p>
    <w:p w14:paraId="48D8FE05" w14:textId="77777777" w:rsidR="008B6FBB" w:rsidRPr="008B6FBB" w:rsidRDefault="008B6FBB" w:rsidP="008B6FBB">
      <w:pPr>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Although Belgium enjoys high levels of respect for the right to peaceful assembly,</w:t>
      </w:r>
      <w:r w:rsidRPr="008B6FBB">
        <w:rPr>
          <w:rStyle w:val="FootnoteReference"/>
          <w:rFonts w:ascii="Times New Roman" w:hAnsi="Times New Roman" w:cs="Times New Roman"/>
          <w:sz w:val="24"/>
          <w:szCs w:val="24"/>
          <w:lang w:bidi="ar-EG"/>
        </w:rPr>
        <w:footnoteReference w:id="10"/>
      </w:r>
      <w:r w:rsidRPr="008B6FBB">
        <w:rPr>
          <w:rFonts w:ascii="Times New Roman" w:hAnsi="Times New Roman" w:cs="Times New Roman"/>
          <w:sz w:val="24"/>
          <w:szCs w:val="24"/>
          <w:lang w:bidi="ar-EG"/>
        </w:rPr>
        <w:t xml:space="preserve"> the </w:t>
      </w:r>
      <w:r w:rsidRPr="008B6FBB">
        <w:rPr>
          <w:rFonts w:ascii="Times New Roman" w:hAnsi="Times New Roman" w:cs="Times New Roman"/>
          <w:b/>
          <w:bCs/>
          <w:sz w:val="24"/>
          <w:szCs w:val="24"/>
          <w:lang w:bidi="ar-EG"/>
        </w:rPr>
        <w:t>IAPD has concerns regarding the Belgian government's management of recent gatherings and protests</w:t>
      </w:r>
      <w:r w:rsidRPr="008B6FBB">
        <w:rPr>
          <w:rFonts w:ascii="Times New Roman" w:hAnsi="Times New Roman" w:cs="Times New Roman"/>
          <w:sz w:val="24"/>
          <w:szCs w:val="24"/>
          <w:lang w:bidi="ar-EG"/>
        </w:rPr>
        <w:t>, particularly concerning the use of force and public order measures. In October 2025, approximately 4,000 people participated in a gathering outside the Belgian Ministry of Foreign Affairs to protest Israel's interception of a humanitarian aid fleet heading to Gaza. Around 5 PM, the demonstrators left the vicinity of the ministry building and marched toward the Luxembourg Square. During this march, tear gas was used by police forces under the pretext of restoring public order.</w:t>
      </w:r>
    </w:p>
    <w:p w14:paraId="4795D4DE" w14:textId="77777777" w:rsidR="008B6FBB" w:rsidRPr="008B6FBB" w:rsidRDefault="008B6FBB" w:rsidP="008B6FBB">
      <w:pPr>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According to Brussels police data, four individuals were arrested following these protests and were placed at the disposal of the public prosecutor's office for interrogation by an investigating judge, while two other individuals were briefly detained before being released later. These incidents raise questions about the authorities' adherence to the principles of necessity and proportionality when dealing with peaceful assemblies, especially considering the political and humanitarian nature of the protest.</w:t>
      </w:r>
      <w:r w:rsidRPr="008B6FBB">
        <w:rPr>
          <w:rStyle w:val="FootnoteReference"/>
          <w:rFonts w:ascii="Times New Roman" w:hAnsi="Times New Roman" w:cs="Times New Roman"/>
          <w:sz w:val="24"/>
          <w:szCs w:val="24"/>
          <w:lang w:bidi="ar-EG"/>
        </w:rPr>
        <w:footnoteReference w:id="11"/>
      </w:r>
    </w:p>
    <w:p w14:paraId="5A141453" w14:textId="77777777" w:rsidR="008B6FBB" w:rsidRPr="008B6FBB" w:rsidRDefault="008B6FBB" w:rsidP="008B6FBB">
      <w:pPr>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 xml:space="preserve">In a similar development, Brussels also witnessed large-scale protests in October 2025, involving tens of thousands of individuals opposing the austerity measures proposed by Prime Minister Bart De </w:t>
      </w:r>
      <w:proofErr w:type="spellStart"/>
      <w:r w:rsidRPr="008B6FBB">
        <w:rPr>
          <w:rFonts w:ascii="Times New Roman" w:hAnsi="Times New Roman" w:cs="Times New Roman"/>
          <w:sz w:val="24"/>
          <w:szCs w:val="24"/>
          <w:lang w:bidi="ar-EG"/>
        </w:rPr>
        <w:t>Wever</w:t>
      </w:r>
      <w:proofErr w:type="spellEnd"/>
      <w:r w:rsidRPr="008B6FBB">
        <w:rPr>
          <w:rFonts w:ascii="Times New Roman" w:hAnsi="Times New Roman" w:cs="Times New Roman"/>
          <w:sz w:val="24"/>
          <w:szCs w:val="24"/>
          <w:lang w:bidi="ar-EG"/>
        </w:rPr>
        <w:t>. According to reports reviewed by IAPD, the Belgian police used tear gas and water cannons in an attempt to disperse the demonstrators.</w:t>
      </w:r>
    </w:p>
    <w:p w14:paraId="4F5C9F86" w14:textId="77777777" w:rsidR="008B6FBB" w:rsidRPr="008B6FBB" w:rsidRDefault="008B6FBB" w:rsidP="008B6FBB">
      <w:pPr>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 xml:space="preserve">Police vehicles were seen chasing peaceful protesters, and bicycles were destroyed during the dispersal operations. Reports also indicated that plainclothes police officers, identifiable by red armbands, detained protesters and restrained them with plastic cuffs. This raises concerns regarding transparency, </w:t>
      </w:r>
      <w:r w:rsidRPr="008B6FBB">
        <w:rPr>
          <w:rFonts w:ascii="Times New Roman" w:hAnsi="Times New Roman" w:cs="Times New Roman"/>
          <w:sz w:val="24"/>
          <w:szCs w:val="24"/>
          <w:lang w:bidi="ar-EG"/>
        </w:rPr>
        <w:lastRenderedPageBreak/>
        <w:t>the identification of law enforcement officers, and ensuring accountability for any potential abuses. Collectively, these incidents underscore the importance of evaluating the legal framework and practical practices adopted in managing public assemblies in Belgium, especially to determine whether the use of crowd dispersal methods, including tear gas and water cannons, falls within the boundaries set by Article 21 of ICCPR.</w:t>
      </w:r>
      <w:r w:rsidRPr="008B6FBB">
        <w:rPr>
          <w:rStyle w:val="FootnoteReference"/>
          <w:rFonts w:ascii="Times New Roman" w:hAnsi="Times New Roman" w:cs="Times New Roman"/>
          <w:sz w:val="24"/>
          <w:szCs w:val="24"/>
          <w:lang w:bidi="ar-EG"/>
        </w:rPr>
        <w:footnoteReference w:id="12"/>
      </w:r>
    </w:p>
    <w:p w14:paraId="2F60BCAF" w14:textId="5B7FFD01" w:rsidR="008B6FBB" w:rsidRPr="008B6FBB" w:rsidRDefault="008B6FBB" w:rsidP="008B6FBB">
      <w:pPr>
        <w:jc w:val="both"/>
        <w:rPr>
          <w:rFonts w:ascii="Times New Roman" w:hAnsi="Times New Roman" w:cs="Times New Roman"/>
          <w:b/>
          <w:bCs/>
          <w:sz w:val="24"/>
          <w:szCs w:val="24"/>
          <w:lang w:bidi="ar-EG"/>
        </w:rPr>
      </w:pPr>
      <w:r w:rsidRPr="008B6FBB">
        <w:rPr>
          <w:rFonts w:ascii="Times New Roman" w:hAnsi="Times New Roman" w:cs="Times New Roman"/>
          <w:b/>
          <w:bCs/>
          <w:sz w:val="24"/>
          <w:szCs w:val="24"/>
          <w:lang w:bidi="ar-EG"/>
        </w:rPr>
        <w:t xml:space="preserve">IAPD suggests that </w:t>
      </w:r>
      <w:r w:rsidR="007E6807" w:rsidRPr="007E6807">
        <w:rPr>
          <w:rFonts w:ascii="Times New Roman" w:hAnsi="Times New Roman" w:cs="Times New Roman"/>
          <w:b/>
          <w:bCs/>
          <w:sz w:val="24"/>
          <w:szCs w:val="24"/>
          <w:lang w:bidi="ar-EG"/>
        </w:rPr>
        <w:t xml:space="preserve">The Committee </w:t>
      </w:r>
      <w:r w:rsidRPr="008B6FBB">
        <w:rPr>
          <w:rFonts w:ascii="Times New Roman" w:hAnsi="Times New Roman" w:cs="Times New Roman"/>
          <w:b/>
          <w:bCs/>
          <w:sz w:val="24"/>
          <w:szCs w:val="24"/>
          <w:lang w:bidi="ar-EG"/>
        </w:rPr>
        <w:t>pose the following questions:</w:t>
      </w:r>
    </w:p>
    <w:p w14:paraId="2D3359B8" w14:textId="77777777" w:rsidR="008B6FBB" w:rsidRPr="008B6FBB" w:rsidRDefault="008B6FBB" w:rsidP="008B6FBB">
      <w:pPr>
        <w:numPr>
          <w:ilvl w:val="0"/>
          <w:numId w:val="33"/>
        </w:numPr>
        <w:spacing w:after="160"/>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What are the criteria and procedures established by law enforcement agencies to ensure compliance when using force, including tear gas and water cannons?</w:t>
      </w:r>
    </w:p>
    <w:p w14:paraId="2605C103" w14:textId="77777777" w:rsidR="008B6FBB" w:rsidRPr="008B6FBB" w:rsidRDefault="008B6FBB" w:rsidP="008B6FBB">
      <w:pPr>
        <w:numPr>
          <w:ilvl w:val="0"/>
          <w:numId w:val="33"/>
        </w:numPr>
        <w:spacing w:after="160"/>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How does the state ensure transparency and accountability in cases of arrest or detention of protesters, particularly when plainclothes officers intervene during public protests?</w:t>
      </w:r>
    </w:p>
    <w:p w14:paraId="45CA4969" w14:textId="77777777" w:rsidR="008B6FBB" w:rsidRPr="008B6FBB" w:rsidRDefault="008B6FBB" w:rsidP="008B6FBB">
      <w:pPr>
        <w:numPr>
          <w:ilvl w:val="0"/>
          <w:numId w:val="33"/>
        </w:numPr>
        <w:spacing w:after="160"/>
        <w:jc w:val="both"/>
        <w:rPr>
          <w:rFonts w:ascii="Times New Roman" w:hAnsi="Times New Roman" w:cs="Times New Roman"/>
          <w:sz w:val="24"/>
          <w:szCs w:val="24"/>
          <w:lang w:bidi="ar-EG"/>
        </w:rPr>
      </w:pPr>
      <w:r w:rsidRPr="008B6FBB">
        <w:rPr>
          <w:rFonts w:ascii="Times New Roman" w:hAnsi="Times New Roman" w:cs="Times New Roman"/>
          <w:sz w:val="24"/>
          <w:szCs w:val="24"/>
          <w:lang w:bidi="ar-EG"/>
        </w:rPr>
        <w:t>What mechanisms are available for reviewing and assessing police interventions during peaceful assemblies, ensuring they comply with the obligations outlined in Article 21 of the ICCPR?</w:t>
      </w:r>
    </w:p>
    <w:p w14:paraId="7C6F1942" w14:textId="77777777" w:rsidR="008B6FBB" w:rsidRPr="008B6FBB" w:rsidRDefault="008B6FBB" w:rsidP="008B6FBB">
      <w:pPr>
        <w:jc w:val="both"/>
        <w:rPr>
          <w:rFonts w:ascii="Times New Roman" w:hAnsi="Times New Roman" w:cs="Times New Roman"/>
          <w:sz w:val="24"/>
          <w:szCs w:val="24"/>
          <w:lang w:bidi="ar-EG"/>
        </w:rPr>
      </w:pPr>
    </w:p>
    <w:p w14:paraId="19073781" w14:textId="77777777" w:rsidR="001719EB" w:rsidRPr="008B6FBB" w:rsidRDefault="001719EB" w:rsidP="00265110">
      <w:pPr>
        <w:jc w:val="both"/>
        <w:rPr>
          <w:rFonts w:ascii="Aptos" w:hAnsi="Aptos"/>
          <w:sz w:val="24"/>
          <w:szCs w:val="24"/>
        </w:rPr>
      </w:pPr>
    </w:p>
    <w:sectPr w:rsidR="001719EB" w:rsidRPr="008B6FBB">
      <w:footerReference w:type="default" r:id="rId8"/>
      <w:headerReference w:type="first" r:id="rId9"/>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48759" w14:textId="77777777" w:rsidR="00274387" w:rsidRDefault="00274387" w:rsidP="003D1884">
      <w:pPr>
        <w:spacing w:after="0" w:line="240" w:lineRule="auto"/>
      </w:pPr>
      <w:r>
        <w:separator/>
      </w:r>
    </w:p>
  </w:endnote>
  <w:endnote w:type="continuationSeparator" w:id="0">
    <w:p w14:paraId="5B3644B0" w14:textId="77777777" w:rsidR="00274387" w:rsidRDefault="00274387" w:rsidP="003D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605283"/>
      <w:docPartObj>
        <w:docPartGallery w:val="Page Numbers (Bottom of Page)"/>
        <w:docPartUnique/>
      </w:docPartObj>
    </w:sdtPr>
    <w:sdtEndPr>
      <w:rPr>
        <w:noProof/>
      </w:rPr>
    </w:sdtEndPr>
    <w:sdtContent>
      <w:p w14:paraId="7712E20D" w14:textId="4C8C234A" w:rsidR="007203A5" w:rsidRDefault="000B59D1">
        <w:pPr>
          <w:pStyle w:val="Footer"/>
          <w:jc w:val="center"/>
        </w:pPr>
        <w:r w:rsidRPr="006B714E">
          <w:rPr>
            <w:b/>
            <w:bCs/>
          </w:rPr>
          <w:fldChar w:fldCharType="begin"/>
        </w:r>
        <w:r w:rsidRPr="006B714E">
          <w:rPr>
            <w:b/>
            <w:bCs/>
          </w:rPr>
          <w:instrText xml:space="preserve"> PAGE   \* MERGEFORMAT </w:instrText>
        </w:r>
        <w:r w:rsidRPr="006B714E">
          <w:rPr>
            <w:b/>
            <w:bCs/>
          </w:rPr>
          <w:fldChar w:fldCharType="separate"/>
        </w:r>
        <w:r w:rsidRPr="006B714E">
          <w:rPr>
            <w:b/>
            <w:bCs/>
            <w:noProof/>
          </w:rPr>
          <w:t>2</w:t>
        </w:r>
        <w:r w:rsidRPr="006B714E">
          <w:rPr>
            <w:b/>
            <w:bCs/>
            <w:noProof/>
          </w:rPr>
          <w:fldChar w:fldCharType="end"/>
        </w:r>
      </w:p>
    </w:sdtContent>
  </w:sdt>
  <w:p w14:paraId="2A770DAD" w14:textId="77777777" w:rsidR="007203A5" w:rsidRDefault="007203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32D04" w14:textId="77777777" w:rsidR="00274387" w:rsidRDefault="00274387" w:rsidP="003D1884">
      <w:pPr>
        <w:spacing w:after="0" w:line="240" w:lineRule="auto"/>
      </w:pPr>
      <w:r>
        <w:separator/>
      </w:r>
    </w:p>
  </w:footnote>
  <w:footnote w:type="continuationSeparator" w:id="0">
    <w:p w14:paraId="339D46E9" w14:textId="77777777" w:rsidR="00274387" w:rsidRDefault="00274387" w:rsidP="003D1884">
      <w:pPr>
        <w:spacing w:after="0" w:line="240" w:lineRule="auto"/>
      </w:pPr>
      <w:r>
        <w:continuationSeparator/>
      </w:r>
    </w:p>
  </w:footnote>
  <w:footnote w:id="1">
    <w:p w14:paraId="4D28EA31" w14:textId="43473FD2" w:rsidR="008B6FBB" w:rsidRDefault="008B6FBB" w:rsidP="008B6FBB">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Ratification, Reporting &amp; Documentation for Belgium, </w:t>
      </w:r>
      <w:r>
        <w:rPr>
          <w:rFonts w:asciiTheme="majorBidi" w:hAnsiTheme="majorBidi" w:cstheme="majorBidi"/>
          <w:sz w:val="16"/>
          <w:szCs w:val="16"/>
        </w:rPr>
        <w:t>OHCHR</w:t>
      </w:r>
      <w:r>
        <w:rPr>
          <w:rFonts w:asciiTheme="majorBidi" w:hAnsiTheme="majorBidi" w:cstheme="majorBidi"/>
          <w:sz w:val="16"/>
          <w:szCs w:val="16"/>
        </w:rPr>
        <w:t xml:space="preserve">, </w:t>
      </w:r>
      <w:hyperlink r:id="rId1" w:history="1">
        <w:r>
          <w:rPr>
            <w:rStyle w:val="Hyperlink"/>
            <w:rFonts w:asciiTheme="majorBidi" w:hAnsiTheme="majorBidi" w:cstheme="majorBidi"/>
            <w:sz w:val="16"/>
            <w:szCs w:val="16"/>
          </w:rPr>
          <w:t>https://2h.ae/wfUt</w:t>
        </w:r>
      </w:hyperlink>
    </w:p>
  </w:footnote>
  <w:footnote w:id="2">
    <w:p w14:paraId="35AD4553" w14:textId="79F399DE" w:rsidR="008B6FBB" w:rsidRDefault="008B6FBB" w:rsidP="008B6FBB">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w:t>
      </w:r>
      <w:r>
        <w:rPr>
          <w:rFonts w:asciiTheme="majorBidi" w:hAnsiTheme="majorBidi" w:cstheme="majorBidi"/>
          <w:sz w:val="16"/>
          <w:szCs w:val="16"/>
          <w:lang w:bidi="ar-EG"/>
        </w:rPr>
        <w:t xml:space="preserve">Gender Equality Index 2025, </w:t>
      </w:r>
      <w:r>
        <w:rPr>
          <w:rFonts w:asciiTheme="majorBidi" w:hAnsiTheme="majorBidi" w:cstheme="majorBidi"/>
          <w:sz w:val="16"/>
          <w:szCs w:val="16"/>
          <w:lang w:bidi="ar-EG"/>
        </w:rPr>
        <w:t>E</w:t>
      </w:r>
      <w:r>
        <w:rPr>
          <w:rFonts w:asciiTheme="majorBidi" w:hAnsiTheme="majorBidi" w:cstheme="majorBidi"/>
          <w:sz w:val="16"/>
          <w:szCs w:val="16"/>
          <w:lang w:bidi="ar-EG"/>
        </w:rPr>
        <w:t xml:space="preserve">uropa, </w:t>
      </w:r>
      <w:hyperlink r:id="rId2" w:history="1">
        <w:r>
          <w:rPr>
            <w:rStyle w:val="Hyperlink"/>
            <w:rFonts w:asciiTheme="majorBidi" w:hAnsiTheme="majorBidi" w:cstheme="majorBidi"/>
            <w:sz w:val="16"/>
            <w:szCs w:val="16"/>
            <w:lang w:bidi="ar-EG"/>
          </w:rPr>
          <w:t>https://2cm.es/1lDYz</w:t>
        </w:r>
      </w:hyperlink>
    </w:p>
  </w:footnote>
  <w:footnote w:id="3">
    <w:p w14:paraId="53494DBA" w14:textId="636F1845" w:rsidR="008B6FBB" w:rsidRDefault="008B6FBB" w:rsidP="008B6FBB">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w:t>
      </w:r>
      <w:r>
        <w:rPr>
          <w:rFonts w:asciiTheme="majorBidi" w:hAnsiTheme="majorBidi" w:cstheme="majorBidi"/>
          <w:sz w:val="16"/>
          <w:szCs w:val="16"/>
          <w:lang w:bidi="ar-EG"/>
        </w:rPr>
        <w:t xml:space="preserve">Belgium campaign promotes gender equality on the labour market, with focus </w:t>
      </w:r>
      <w:proofErr w:type="spellStart"/>
      <w:r>
        <w:rPr>
          <w:rFonts w:asciiTheme="majorBidi" w:hAnsiTheme="majorBidi" w:cstheme="majorBidi"/>
          <w:sz w:val="16"/>
          <w:szCs w:val="16"/>
          <w:lang w:bidi="ar-EG"/>
        </w:rPr>
        <w:t>i.a.</w:t>
      </w:r>
      <w:proofErr w:type="spellEnd"/>
      <w:r>
        <w:rPr>
          <w:rFonts w:asciiTheme="majorBidi" w:hAnsiTheme="majorBidi" w:cstheme="majorBidi"/>
          <w:sz w:val="16"/>
          <w:szCs w:val="16"/>
          <w:lang w:bidi="ar-EG"/>
        </w:rPr>
        <w:t xml:space="preserve"> on women of foreign origin, </w:t>
      </w:r>
      <w:r>
        <w:rPr>
          <w:rFonts w:asciiTheme="majorBidi" w:hAnsiTheme="majorBidi" w:cstheme="majorBidi"/>
          <w:sz w:val="16"/>
          <w:szCs w:val="16"/>
          <w:lang w:bidi="ar-EG"/>
        </w:rPr>
        <w:t>EMN</w:t>
      </w:r>
      <w:r>
        <w:rPr>
          <w:rFonts w:asciiTheme="majorBidi" w:hAnsiTheme="majorBidi" w:cstheme="majorBidi"/>
          <w:sz w:val="16"/>
          <w:szCs w:val="16"/>
          <w:lang w:bidi="ar-EG"/>
        </w:rPr>
        <w:t xml:space="preserve"> </w:t>
      </w:r>
      <w:r>
        <w:rPr>
          <w:rFonts w:asciiTheme="majorBidi" w:hAnsiTheme="majorBidi" w:cstheme="majorBidi"/>
          <w:sz w:val="16"/>
          <w:szCs w:val="16"/>
          <w:lang w:bidi="ar-EG"/>
        </w:rPr>
        <w:t>Belgium</w:t>
      </w:r>
      <w:r>
        <w:rPr>
          <w:rFonts w:asciiTheme="majorBidi" w:hAnsiTheme="majorBidi" w:cstheme="majorBidi"/>
          <w:sz w:val="16"/>
          <w:szCs w:val="16"/>
          <w:lang w:bidi="ar-EG"/>
        </w:rPr>
        <w:t xml:space="preserve">, </w:t>
      </w:r>
      <w:hyperlink r:id="rId3" w:history="1">
        <w:r>
          <w:rPr>
            <w:rStyle w:val="Hyperlink"/>
            <w:rFonts w:asciiTheme="majorBidi" w:hAnsiTheme="majorBidi" w:cstheme="majorBidi"/>
            <w:sz w:val="16"/>
            <w:szCs w:val="16"/>
            <w:lang w:bidi="ar-EG"/>
          </w:rPr>
          <w:t>https://2cm.es/1gJJS</w:t>
        </w:r>
      </w:hyperlink>
    </w:p>
  </w:footnote>
  <w:footnote w:id="4">
    <w:p w14:paraId="3E37CAD6" w14:textId="7F00D541" w:rsidR="008B6FBB" w:rsidRDefault="008B6FBB" w:rsidP="008B6FBB">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w:t>
      </w:r>
      <w:r>
        <w:rPr>
          <w:rFonts w:asciiTheme="majorBidi" w:hAnsiTheme="majorBidi" w:cstheme="majorBidi"/>
          <w:sz w:val="16"/>
          <w:szCs w:val="16"/>
          <w:lang w:bidi="ar-EG"/>
        </w:rPr>
        <w:t xml:space="preserve">Report warns Belgian judges often downplay violence against women in civil court, </w:t>
      </w:r>
      <w:r w:rsidR="007E6807">
        <w:rPr>
          <w:rFonts w:asciiTheme="majorBidi" w:hAnsiTheme="majorBidi" w:cstheme="majorBidi"/>
          <w:sz w:val="16"/>
          <w:szCs w:val="16"/>
          <w:lang w:bidi="ar-EG"/>
        </w:rPr>
        <w:t>Belga</w:t>
      </w:r>
      <w:r>
        <w:rPr>
          <w:rFonts w:asciiTheme="majorBidi" w:hAnsiTheme="majorBidi" w:cstheme="majorBidi"/>
          <w:sz w:val="16"/>
          <w:szCs w:val="16"/>
          <w:lang w:bidi="ar-EG"/>
        </w:rPr>
        <w:t xml:space="preserve"> </w:t>
      </w:r>
      <w:r w:rsidR="007E6807">
        <w:rPr>
          <w:rFonts w:asciiTheme="majorBidi" w:hAnsiTheme="majorBidi" w:cstheme="majorBidi"/>
          <w:sz w:val="16"/>
          <w:szCs w:val="16"/>
          <w:lang w:bidi="ar-EG"/>
        </w:rPr>
        <w:t>N</w:t>
      </w:r>
      <w:r>
        <w:rPr>
          <w:rFonts w:asciiTheme="majorBidi" w:hAnsiTheme="majorBidi" w:cstheme="majorBidi"/>
          <w:sz w:val="16"/>
          <w:szCs w:val="16"/>
          <w:lang w:bidi="ar-EG"/>
        </w:rPr>
        <w:t>ews</w:t>
      </w:r>
      <w:r w:rsidR="007E6807">
        <w:rPr>
          <w:rFonts w:asciiTheme="majorBidi" w:hAnsiTheme="majorBidi" w:cstheme="majorBidi"/>
          <w:sz w:val="16"/>
          <w:szCs w:val="16"/>
          <w:lang w:bidi="ar-EG"/>
        </w:rPr>
        <w:t xml:space="preserve"> A</w:t>
      </w:r>
      <w:r>
        <w:rPr>
          <w:rFonts w:asciiTheme="majorBidi" w:hAnsiTheme="majorBidi" w:cstheme="majorBidi"/>
          <w:sz w:val="16"/>
          <w:szCs w:val="16"/>
          <w:lang w:bidi="ar-EG"/>
        </w:rPr>
        <w:t xml:space="preserve">gency, </w:t>
      </w:r>
      <w:hyperlink r:id="rId4" w:history="1">
        <w:r>
          <w:rPr>
            <w:rStyle w:val="Hyperlink"/>
            <w:rFonts w:asciiTheme="majorBidi" w:hAnsiTheme="majorBidi" w:cstheme="majorBidi"/>
            <w:sz w:val="16"/>
            <w:szCs w:val="16"/>
            <w:lang w:bidi="ar-EG"/>
          </w:rPr>
          <w:t>https://2cm.es/1lGks</w:t>
        </w:r>
      </w:hyperlink>
    </w:p>
  </w:footnote>
  <w:footnote w:id="5">
    <w:p w14:paraId="7D6D4DA7" w14:textId="6380E91A" w:rsidR="008B6FBB" w:rsidRDefault="008B6FBB" w:rsidP="008B6FBB">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w:t>
      </w:r>
      <w:r>
        <w:rPr>
          <w:rFonts w:asciiTheme="majorBidi" w:hAnsiTheme="majorBidi" w:cstheme="majorBidi"/>
          <w:sz w:val="16"/>
          <w:szCs w:val="16"/>
          <w:lang w:bidi="ar-EG"/>
        </w:rPr>
        <w:t xml:space="preserve">Belgium’s mandatory health insurance to cover euthanasia costs, </w:t>
      </w:r>
      <w:r w:rsidR="007E6807">
        <w:rPr>
          <w:rFonts w:asciiTheme="majorBidi" w:hAnsiTheme="majorBidi" w:cstheme="majorBidi"/>
          <w:sz w:val="16"/>
          <w:szCs w:val="16"/>
          <w:lang w:bidi="ar-EG"/>
        </w:rPr>
        <w:t>EU</w:t>
      </w:r>
      <w:r>
        <w:rPr>
          <w:rFonts w:asciiTheme="majorBidi" w:hAnsiTheme="majorBidi" w:cstheme="majorBidi"/>
          <w:sz w:val="16"/>
          <w:szCs w:val="16"/>
          <w:lang w:bidi="ar-EG"/>
        </w:rPr>
        <w:t xml:space="preserve"> news, </w:t>
      </w:r>
      <w:hyperlink r:id="rId5" w:history="1">
        <w:r>
          <w:rPr>
            <w:rStyle w:val="Hyperlink"/>
            <w:rFonts w:asciiTheme="majorBidi" w:hAnsiTheme="majorBidi" w:cstheme="majorBidi"/>
            <w:sz w:val="16"/>
            <w:szCs w:val="16"/>
            <w:lang w:bidi="ar-EG"/>
          </w:rPr>
          <w:t>https://2cm.es/1lEdw</w:t>
        </w:r>
      </w:hyperlink>
    </w:p>
  </w:footnote>
  <w:footnote w:id="6">
    <w:p w14:paraId="6548FEAB" w14:textId="77777777" w:rsidR="008B6FBB" w:rsidRDefault="008B6FBB" w:rsidP="008B6FBB">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Available at the following link</w:t>
      </w:r>
      <w:r>
        <w:rPr>
          <w:rFonts w:asciiTheme="majorBidi" w:hAnsiTheme="majorBidi" w:cstheme="majorBidi"/>
          <w:sz w:val="16"/>
          <w:szCs w:val="16"/>
          <w:rtl/>
        </w:rPr>
        <w:t xml:space="preserve">: </w:t>
      </w:r>
      <w:hyperlink r:id="rId6" w:history="1">
        <w:r>
          <w:rPr>
            <w:rStyle w:val="Hyperlink"/>
            <w:rFonts w:asciiTheme="majorBidi" w:hAnsiTheme="majorBidi" w:cstheme="majorBidi"/>
            <w:sz w:val="16"/>
            <w:szCs w:val="16"/>
          </w:rPr>
          <w:t>https://2h.ae/YFUv</w:t>
        </w:r>
      </w:hyperlink>
    </w:p>
  </w:footnote>
  <w:footnote w:id="7">
    <w:p w14:paraId="3C5EE1D4" w14:textId="71629326" w:rsidR="008B6FBB" w:rsidRDefault="008B6FBB" w:rsidP="008B6FBB">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w:t>
      </w:r>
      <w:r>
        <w:rPr>
          <w:rFonts w:asciiTheme="majorBidi" w:hAnsiTheme="majorBidi" w:cstheme="majorBidi"/>
          <w:sz w:val="16"/>
          <w:szCs w:val="16"/>
          <w:lang w:bidi="ar-EG"/>
        </w:rPr>
        <w:t xml:space="preserve">Country Report for Belgium, </w:t>
      </w:r>
      <w:r w:rsidR="007E6807">
        <w:rPr>
          <w:rFonts w:asciiTheme="majorBidi" w:hAnsiTheme="majorBidi" w:cstheme="majorBidi"/>
          <w:sz w:val="16"/>
          <w:szCs w:val="16"/>
          <w:lang w:bidi="ar-EG"/>
        </w:rPr>
        <w:t>E</w:t>
      </w:r>
      <w:r>
        <w:rPr>
          <w:rFonts w:asciiTheme="majorBidi" w:hAnsiTheme="majorBidi" w:cstheme="majorBidi"/>
          <w:sz w:val="16"/>
          <w:szCs w:val="16"/>
          <w:lang w:bidi="ar-EG"/>
        </w:rPr>
        <w:t xml:space="preserve">nd </w:t>
      </w:r>
      <w:r w:rsidR="007E6807">
        <w:rPr>
          <w:rFonts w:asciiTheme="majorBidi" w:hAnsiTheme="majorBidi" w:cstheme="majorBidi"/>
          <w:sz w:val="16"/>
          <w:szCs w:val="16"/>
          <w:lang w:bidi="ar-EG"/>
        </w:rPr>
        <w:t>C</w:t>
      </w:r>
      <w:r>
        <w:rPr>
          <w:rFonts w:asciiTheme="majorBidi" w:hAnsiTheme="majorBidi" w:cstheme="majorBidi"/>
          <w:sz w:val="16"/>
          <w:szCs w:val="16"/>
          <w:lang w:bidi="ar-EG"/>
        </w:rPr>
        <w:t xml:space="preserve">orporal </w:t>
      </w:r>
      <w:r w:rsidR="007E6807">
        <w:rPr>
          <w:rFonts w:asciiTheme="majorBidi" w:hAnsiTheme="majorBidi" w:cstheme="majorBidi"/>
          <w:sz w:val="16"/>
          <w:szCs w:val="16"/>
          <w:lang w:bidi="ar-EG"/>
        </w:rPr>
        <w:t>P</w:t>
      </w:r>
      <w:r>
        <w:rPr>
          <w:rFonts w:asciiTheme="majorBidi" w:hAnsiTheme="majorBidi" w:cstheme="majorBidi"/>
          <w:sz w:val="16"/>
          <w:szCs w:val="16"/>
          <w:lang w:bidi="ar-EG"/>
        </w:rPr>
        <w:t xml:space="preserve">unishment, </w:t>
      </w:r>
      <w:hyperlink r:id="rId7" w:history="1">
        <w:r>
          <w:rPr>
            <w:rStyle w:val="Hyperlink"/>
            <w:rFonts w:asciiTheme="majorBidi" w:hAnsiTheme="majorBidi" w:cstheme="majorBidi"/>
            <w:sz w:val="16"/>
            <w:szCs w:val="16"/>
            <w:lang w:bidi="ar-EG"/>
          </w:rPr>
          <w:t>https://2cm.es/1gJXO</w:t>
        </w:r>
      </w:hyperlink>
    </w:p>
  </w:footnote>
  <w:footnote w:id="8">
    <w:p w14:paraId="1F0A5796" w14:textId="78B1D7EB" w:rsidR="008B6FBB" w:rsidRDefault="008B6FBB" w:rsidP="008B6FBB">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w:t>
      </w:r>
      <w:r>
        <w:rPr>
          <w:rFonts w:asciiTheme="majorBidi" w:hAnsiTheme="majorBidi" w:cstheme="majorBidi"/>
          <w:sz w:val="16"/>
          <w:szCs w:val="16"/>
          <w:lang w:bidi="ar-EG"/>
        </w:rPr>
        <w:t xml:space="preserve">Muslim women in Belgium battle Islamophobia and discrimination, </w:t>
      </w:r>
      <w:r w:rsidR="007E6807">
        <w:rPr>
          <w:rFonts w:asciiTheme="majorBidi" w:hAnsiTheme="majorBidi" w:cstheme="majorBidi"/>
          <w:sz w:val="16"/>
          <w:szCs w:val="16"/>
          <w:lang w:bidi="ar-EG"/>
        </w:rPr>
        <w:t>Muslim</w:t>
      </w:r>
      <w:r>
        <w:rPr>
          <w:rFonts w:asciiTheme="majorBidi" w:hAnsiTheme="majorBidi" w:cstheme="majorBidi"/>
          <w:sz w:val="16"/>
          <w:szCs w:val="16"/>
          <w:lang w:bidi="ar-EG"/>
        </w:rPr>
        <w:t xml:space="preserve"> network, </w:t>
      </w:r>
      <w:hyperlink r:id="rId8" w:history="1">
        <w:r>
          <w:rPr>
            <w:rStyle w:val="Hyperlink"/>
            <w:rFonts w:asciiTheme="majorBidi" w:hAnsiTheme="majorBidi" w:cstheme="majorBidi"/>
            <w:sz w:val="16"/>
            <w:szCs w:val="16"/>
            <w:lang w:bidi="ar-EG"/>
          </w:rPr>
          <w:t>https://2cm.es/1gKi1</w:t>
        </w:r>
      </w:hyperlink>
    </w:p>
  </w:footnote>
  <w:footnote w:id="9">
    <w:p w14:paraId="6ACED99A" w14:textId="77777777" w:rsidR="008B6FBB" w:rsidRDefault="008B6FBB" w:rsidP="008B6FBB">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w:t>
      </w:r>
      <w:r>
        <w:rPr>
          <w:rFonts w:asciiTheme="majorBidi" w:hAnsiTheme="majorBidi" w:cstheme="majorBidi"/>
          <w:sz w:val="16"/>
          <w:szCs w:val="16"/>
          <w:lang w:bidi="ar-EG"/>
        </w:rPr>
        <w:t xml:space="preserve">CAIR Condemns Ban on Hijab by Province in Belgium, CAIR, </w:t>
      </w:r>
      <w:hyperlink r:id="rId9" w:history="1">
        <w:r>
          <w:rPr>
            <w:rStyle w:val="Hyperlink"/>
            <w:rFonts w:asciiTheme="majorBidi" w:hAnsiTheme="majorBidi" w:cstheme="majorBidi"/>
            <w:sz w:val="16"/>
            <w:szCs w:val="16"/>
            <w:lang w:bidi="ar-EG"/>
          </w:rPr>
          <w:t>https://2h.ae/hebH</w:t>
        </w:r>
      </w:hyperlink>
    </w:p>
  </w:footnote>
  <w:footnote w:id="10">
    <w:p w14:paraId="1C7EC70F" w14:textId="77777777" w:rsidR="008B6FBB" w:rsidRDefault="008B6FBB" w:rsidP="008B6FBB">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Freedom of association and freedom of assembly</w:t>
      </w:r>
      <w:r>
        <w:rPr>
          <w:rFonts w:asciiTheme="majorBidi" w:hAnsiTheme="majorBidi" w:cstheme="majorBidi"/>
          <w:sz w:val="16"/>
          <w:szCs w:val="16"/>
          <w:lang w:bidi="ar-EG"/>
        </w:rPr>
        <w:t xml:space="preserve">, </w:t>
      </w:r>
      <w:r>
        <w:rPr>
          <w:rFonts w:asciiTheme="majorBidi" w:hAnsiTheme="majorBidi" w:cstheme="majorBidi"/>
          <w:sz w:val="16"/>
          <w:szCs w:val="16"/>
          <w:rtl/>
        </w:rPr>
        <w:t xml:space="preserve"> </w:t>
      </w:r>
      <w:hyperlink r:id="rId10" w:history="1">
        <w:r>
          <w:rPr>
            <w:rStyle w:val="Hyperlink"/>
            <w:rFonts w:asciiTheme="majorBidi" w:hAnsiTheme="majorBidi" w:cstheme="majorBidi"/>
            <w:sz w:val="16"/>
            <w:szCs w:val="16"/>
          </w:rPr>
          <w:t>https://shorturl.at/H4KoZ</w:t>
        </w:r>
      </w:hyperlink>
    </w:p>
  </w:footnote>
  <w:footnote w:id="11">
    <w:p w14:paraId="46A74352" w14:textId="77777777" w:rsidR="008B6FBB" w:rsidRDefault="008B6FBB" w:rsidP="008B6FBB">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w:t>
      </w:r>
      <w:r>
        <w:rPr>
          <w:rFonts w:asciiTheme="majorBidi" w:hAnsiTheme="majorBidi" w:cstheme="majorBidi"/>
          <w:sz w:val="16"/>
          <w:szCs w:val="16"/>
          <w:lang w:bidi="ar-EG"/>
        </w:rPr>
        <w:t xml:space="preserve">Police deploy tear gas and water cannon as Gaza protest turns violent in Brussels, Brussels Times, </w:t>
      </w:r>
      <w:hyperlink r:id="rId11" w:history="1">
        <w:r>
          <w:rPr>
            <w:rStyle w:val="Hyperlink"/>
            <w:rFonts w:asciiTheme="majorBidi" w:hAnsiTheme="majorBidi" w:cstheme="majorBidi"/>
            <w:sz w:val="16"/>
            <w:szCs w:val="16"/>
            <w:lang w:bidi="ar-EG"/>
          </w:rPr>
          <w:t>https://2cm.es/1lEyg</w:t>
        </w:r>
      </w:hyperlink>
    </w:p>
  </w:footnote>
  <w:footnote w:id="12">
    <w:p w14:paraId="19CE7576" w14:textId="45BB1BBE" w:rsidR="008B6FBB" w:rsidRDefault="008B6FBB" w:rsidP="008B6FBB">
      <w:pPr>
        <w:pStyle w:val="FootnoteText"/>
        <w:rPr>
          <w:rFonts w:asciiTheme="majorBidi" w:hAnsiTheme="majorBidi" w:cstheme="majorBidi"/>
          <w:sz w:val="16"/>
          <w:szCs w:val="16"/>
        </w:rPr>
      </w:pPr>
      <w:r>
        <w:rPr>
          <w:rStyle w:val="FootnoteReference"/>
          <w:rFonts w:asciiTheme="majorBidi" w:hAnsiTheme="majorBidi" w:cstheme="majorBidi"/>
          <w:sz w:val="16"/>
          <w:szCs w:val="16"/>
        </w:rPr>
        <w:footnoteRef/>
      </w:r>
      <w:r>
        <w:rPr>
          <w:rFonts w:asciiTheme="majorBidi" w:hAnsiTheme="majorBidi" w:cstheme="majorBidi"/>
          <w:sz w:val="16"/>
          <w:szCs w:val="16"/>
        </w:rPr>
        <w:t xml:space="preserve"> </w:t>
      </w:r>
      <w:r>
        <w:rPr>
          <w:rFonts w:asciiTheme="majorBidi" w:hAnsiTheme="majorBidi" w:cstheme="majorBidi"/>
          <w:sz w:val="16"/>
          <w:szCs w:val="16"/>
          <w:lang w:bidi="ar-EG"/>
        </w:rPr>
        <w:t xml:space="preserve">Police fired tear gas at Brussels protest against austerity measures, </w:t>
      </w:r>
      <w:r w:rsidR="00AA498C">
        <w:rPr>
          <w:rFonts w:asciiTheme="majorBidi" w:hAnsiTheme="majorBidi" w:cstheme="majorBidi"/>
          <w:sz w:val="16"/>
          <w:szCs w:val="16"/>
          <w:lang w:bidi="ar-EG"/>
        </w:rPr>
        <w:t>AP</w:t>
      </w:r>
      <w:r>
        <w:rPr>
          <w:rFonts w:asciiTheme="majorBidi" w:hAnsiTheme="majorBidi" w:cstheme="majorBidi"/>
          <w:sz w:val="16"/>
          <w:szCs w:val="16"/>
          <w:lang w:bidi="ar-EG"/>
        </w:rPr>
        <w:t xml:space="preserve"> </w:t>
      </w:r>
      <w:r w:rsidR="00AA498C">
        <w:rPr>
          <w:rFonts w:asciiTheme="majorBidi" w:hAnsiTheme="majorBidi" w:cstheme="majorBidi"/>
          <w:sz w:val="16"/>
          <w:szCs w:val="16"/>
          <w:lang w:bidi="ar-EG"/>
        </w:rPr>
        <w:t>N</w:t>
      </w:r>
      <w:r>
        <w:rPr>
          <w:rFonts w:asciiTheme="majorBidi" w:hAnsiTheme="majorBidi" w:cstheme="majorBidi"/>
          <w:sz w:val="16"/>
          <w:szCs w:val="16"/>
          <w:lang w:bidi="ar-EG"/>
        </w:rPr>
        <w:t xml:space="preserve">ews, </w:t>
      </w:r>
      <w:hyperlink r:id="rId12" w:history="1">
        <w:r>
          <w:rPr>
            <w:rStyle w:val="Hyperlink"/>
            <w:rFonts w:asciiTheme="majorBidi" w:hAnsiTheme="majorBidi" w:cstheme="majorBidi"/>
            <w:sz w:val="16"/>
            <w:szCs w:val="16"/>
            <w:lang w:bidi="ar-EG"/>
          </w:rPr>
          <w:t>https://2cm.es/1gKkB</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2EF65" w14:textId="2A35154A" w:rsidR="001374D3" w:rsidRDefault="001374D3">
    <w:pPr>
      <w:pStyle w:val="Header"/>
    </w:pPr>
    <w:r w:rsidRPr="005C5F24">
      <w:rPr>
        <w:rFonts w:cstheme="minorHAnsi"/>
        <w:noProof/>
        <w:sz w:val="24"/>
        <w:szCs w:val="24"/>
        <w:lang w:bidi="ar-EG"/>
      </w:rPr>
      <w:drawing>
        <wp:inline distT="0" distB="0" distL="0" distR="0" wp14:anchorId="517E8D86" wp14:editId="7F083F1E">
          <wp:extent cx="1974850" cy="1328584"/>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295" cy="13288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31D8C"/>
    <w:multiLevelType w:val="hybridMultilevel"/>
    <w:tmpl w:val="30CC5CA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677BD2"/>
    <w:multiLevelType w:val="hybridMultilevel"/>
    <w:tmpl w:val="CC5676A4"/>
    <w:lvl w:ilvl="0" w:tplc="D2C8E05E">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E27379"/>
    <w:multiLevelType w:val="hybridMultilevel"/>
    <w:tmpl w:val="72CED88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E4173"/>
    <w:multiLevelType w:val="hybridMultilevel"/>
    <w:tmpl w:val="43DCBD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FF5B55"/>
    <w:multiLevelType w:val="hybridMultilevel"/>
    <w:tmpl w:val="3930453E"/>
    <w:lvl w:ilvl="0" w:tplc="B91E268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0151948"/>
    <w:multiLevelType w:val="hybridMultilevel"/>
    <w:tmpl w:val="A3E40AC8"/>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15:restartNumberingAfterBreak="0">
    <w:nsid w:val="111C244C"/>
    <w:multiLevelType w:val="hybridMultilevel"/>
    <w:tmpl w:val="7436B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8C37D8"/>
    <w:multiLevelType w:val="hybridMultilevel"/>
    <w:tmpl w:val="384AF420"/>
    <w:lvl w:ilvl="0" w:tplc="D2C8E05E">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132F3110"/>
    <w:multiLevelType w:val="hybridMultilevel"/>
    <w:tmpl w:val="5E7E9FD4"/>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37474B"/>
    <w:multiLevelType w:val="hybridMultilevel"/>
    <w:tmpl w:val="4AA874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04935A7"/>
    <w:multiLevelType w:val="multilevel"/>
    <w:tmpl w:val="22CA0C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1541CB"/>
    <w:multiLevelType w:val="multilevel"/>
    <w:tmpl w:val="B5D6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344CDB"/>
    <w:multiLevelType w:val="multilevel"/>
    <w:tmpl w:val="467A3A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5D48FE"/>
    <w:multiLevelType w:val="hybridMultilevel"/>
    <w:tmpl w:val="16DEC34E"/>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25DD3B59"/>
    <w:multiLevelType w:val="hybridMultilevel"/>
    <w:tmpl w:val="6ED8B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487B3F"/>
    <w:multiLevelType w:val="hybridMultilevel"/>
    <w:tmpl w:val="87F66154"/>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0B71676"/>
    <w:multiLevelType w:val="hybridMultilevel"/>
    <w:tmpl w:val="77FEB35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9151C0"/>
    <w:multiLevelType w:val="multilevel"/>
    <w:tmpl w:val="EC9A8F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034E4E"/>
    <w:multiLevelType w:val="hybridMultilevel"/>
    <w:tmpl w:val="89F4F672"/>
    <w:lvl w:ilvl="0" w:tplc="3794A37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DF10A58"/>
    <w:multiLevelType w:val="hybridMultilevel"/>
    <w:tmpl w:val="72CED88E"/>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1814542"/>
    <w:multiLevelType w:val="hybridMultilevel"/>
    <w:tmpl w:val="EA7C2D2C"/>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21" w15:restartNumberingAfterBreak="0">
    <w:nsid w:val="4B8500DF"/>
    <w:multiLevelType w:val="hybridMultilevel"/>
    <w:tmpl w:val="8846671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79072B"/>
    <w:multiLevelType w:val="hybridMultilevel"/>
    <w:tmpl w:val="C54EDA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E1F3AB6"/>
    <w:multiLevelType w:val="multilevel"/>
    <w:tmpl w:val="4F7CD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5D7FB8"/>
    <w:multiLevelType w:val="hybridMultilevel"/>
    <w:tmpl w:val="F6780B82"/>
    <w:lvl w:ilvl="0" w:tplc="D2C8E05E">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1987A9E"/>
    <w:multiLevelType w:val="hybridMultilevel"/>
    <w:tmpl w:val="E9922B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1C691B"/>
    <w:multiLevelType w:val="hybridMultilevel"/>
    <w:tmpl w:val="6C1A83C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95A1B56"/>
    <w:multiLevelType w:val="hybridMultilevel"/>
    <w:tmpl w:val="A790CBE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23A1534"/>
    <w:multiLevelType w:val="hybridMultilevel"/>
    <w:tmpl w:val="AAA8670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B515360"/>
    <w:multiLevelType w:val="hybridMultilevel"/>
    <w:tmpl w:val="03F62C7E"/>
    <w:lvl w:ilvl="0" w:tplc="A8BA913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777E6C"/>
    <w:multiLevelType w:val="hybridMultilevel"/>
    <w:tmpl w:val="42BE05B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76A44FC3"/>
    <w:multiLevelType w:val="hybridMultilevel"/>
    <w:tmpl w:val="485EB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3E456F"/>
    <w:multiLevelType w:val="hybridMultilevel"/>
    <w:tmpl w:val="8092BE0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3117043">
    <w:abstractNumId w:val="3"/>
  </w:num>
  <w:num w:numId="2" w16cid:durableId="1733964038">
    <w:abstractNumId w:val="18"/>
  </w:num>
  <w:num w:numId="3" w16cid:durableId="1057122983">
    <w:abstractNumId w:val="29"/>
  </w:num>
  <w:num w:numId="4" w16cid:durableId="599484416">
    <w:abstractNumId w:val="16"/>
  </w:num>
  <w:num w:numId="5" w16cid:durableId="221990767">
    <w:abstractNumId w:val="32"/>
  </w:num>
  <w:num w:numId="6" w16cid:durableId="1184974759">
    <w:abstractNumId w:val="2"/>
  </w:num>
  <w:num w:numId="7" w16cid:durableId="719747233">
    <w:abstractNumId w:val="8"/>
  </w:num>
  <w:num w:numId="8" w16cid:durableId="2082218265">
    <w:abstractNumId w:val="19"/>
  </w:num>
  <w:num w:numId="9" w16cid:durableId="44522668">
    <w:abstractNumId w:val="21"/>
  </w:num>
  <w:num w:numId="10" w16cid:durableId="384570591">
    <w:abstractNumId w:val="24"/>
  </w:num>
  <w:num w:numId="11" w16cid:durableId="955409921">
    <w:abstractNumId w:val="1"/>
  </w:num>
  <w:num w:numId="12" w16cid:durableId="329604790">
    <w:abstractNumId w:val="0"/>
  </w:num>
  <w:num w:numId="13" w16cid:durableId="499975853">
    <w:abstractNumId w:val="25"/>
  </w:num>
  <w:num w:numId="14" w16cid:durableId="933244681">
    <w:abstractNumId w:val="27"/>
  </w:num>
  <w:num w:numId="15" w16cid:durableId="1029186210">
    <w:abstractNumId w:val="30"/>
  </w:num>
  <w:num w:numId="16" w16cid:durableId="510409883">
    <w:abstractNumId w:val="28"/>
  </w:num>
  <w:num w:numId="17" w16cid:durableId="1424718560">
    <w:abstractNumId w:val="5"/>
  </w:num>
  <w:num w:numId="18" w16cid:durableId="1266771858">
    <w:abstractNumId w:val="22"/>
  </w:num>
  <w:num w:numId="19" w16cid:durableId="1307006074">
    <w:abstractNumId w:val="7"/>
  </w:num>
  <w:num w:numId="20" w16cid:durableId="596136773">
    <w:abstractNumId w:val="15"/>
  </w:num>
  <w:num w:numId="21" w16cid:durableId="31420069">
    <w:abstractNumId w:val="9"/>
  </w:num>
  <w:num w:numId="22" w16cid:durableId="334383903">
    <w:abstractNumId w:val="31"/>
  </w:num>
  <w:num w:numId="23" w16cid:durableId="1430659545">
    <w:abstractNumId w:val="13"/>
  </w:num>
  <w:num w:numId="24" w16cid:durableId="155460974">
    <w:abstractNumId w:val="26"/>
  </w:num>
  <w:num w:numId="25" w16cid:durableId="722827196">
    <w:abstractNumId w:val="4"/>
  </w:num>
  <w:num w:numId="26" w16cid:durableId="2024890808">
    <w:abstractNumId w:val="20"/>
  </w:num>
  <w:num w:numId="27" w16cid:durableId="570501625">
    <w:abstractNumId w:val="14"/>
  </w:num>
  <w:num w:numId="28" w16cid:durableId="1337419106">
    <w:abstractNumId w:val="6"/>
  </w:num>
  <w:num w:numId="29" w16cid:durableId="1324241534">
    <w:abstractNumId w:val="12"/>
    <w:lvlOverride w:ilvl="0"/>
    <w:lvlOverride w:ilvl="1"/>
    <w:lvlOverride w:ilvl="2"/>
    <w:lvlOverride w:ilvl="3"/>
    <w:lvlOverride w:ilvl="4"/>
    <w:lvlOverride w:ilvl="5"/>
    <w:lvlOverride w:ilvl="6"/>
    <w:lvlOverride w:ilvl="7"/>
    <w:lvlOverride w:ilvl="8"/>
  </w:num>
  <w:num w:numId="30" w16cid:durableId="639698888">
    <w:abstractNumId w:val="10"/>
    <w:lvlOverride w:ilvl="0"/>
    <w:lvlOverride w:ilvl="1"/>
    <w:lvlOverride w:ilvl="2"/>
    <w:lvlOverride w:ilvl="3"/>
    <w:lvlOverride w:ilvl="4"/>
    <w:lvlOverride w:ilvl="5"/>
    <w:lvlOverride w:ilvl="6"/>
    <w:lvlOverride w:ilvl="7"/>
    <w:lvlOverride w:ilvl="8"/>
  </w:num>
  <w:num w:numId="31" w16cid:durableId="1136533570">
    <w:abstractNumId w:val="11"/>
    <w:lvlOverride w:ilvl="0"/>
    <w:lvlOverride w:ilvl="1"/>
    <w:lvlOverride w:ilvl="2"/>
    <w:lvlOverride w:ilvl="3"/>
    <w:lvlOverride w:ilvl="4"/>
    <w:lvlOverride w:ilvl="5"/>
    <w:lvlOverride w:ilvl="6"/>
    <w:lvlOverride w:ilvl="7"/>
    <w:lvlOverride w:ilvl="8"/>
  </w:num>
  <w:num w:numId="32" w16cid:durableId="1567644005">
    <w:abstractNumId w:val="17"/>
    <w:lvlOverride w:ilvl="0"/>
    <w:lvlOverride w:ilvl="1"/>
    <w:lvlOverride w:ilvl="2"/>
    <w:lvlOverride w:ilvl="3"/>
    <w:lvlOverride w:ilvl="4"/>
    <w:lvlOverride w:ilvl="5"/>
    <w:lvlOverride w:ilvl="6"/>
    <w:lvlOverride w:ilvl="7"/>
    <w:lvlOverride w:ilvl="8"/>
  </w:num>
  <w:num w:numId="33" w16cid:durableId="1179153349">
    <w:abstractNumId w:val="2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84"/>
    <w:rsid w:val="000242A8"/>
    <w:rsid w:val="0006411F"/>
    <w:rsid w:val="00090770"/>
    <w:rsid w:val="000A1FA0"/>
    <w:rsid w:val="000B59D1"/>
    <w:rsid w:val="000B6672"/>
    <w:rsid w:val="000D76D9"/>
    <w:rsid w:val="000E46C3"/>
    <w:rsid w:val="000E7525"/>
    <w:rsid w:val="000F092A"/>
    <w:rsid w:val="000F7D01"/>
    <w:rsid w:val="00105DB7"/>
    <w:rsid w:val="00120EA5"/>
    <w:rsid w:val="0012660F"/>
    <w:rsid w:val="001268F4"/>
    <w:rsid w:val="00127B97"/>
    <w:rsid w:val="001374D3"/>
    <w:rsid w:val="00137D94"/>
    <w:rsid w:val="00137FA4"/>
    <w:rsid w:val="00145C8B"/>
    <w:rsid w:val="00155A14"/>
    <w:rsid w:val="001719EB"/>
    <w:rsid w:val="001751C8"/>
    <w:rsid w:val="00176BE1"/>
    <w:rsid w:val="001A5CB1"/>
    <w:rsid w:val="001B3856"/>
    <w:rsid w:val="001B74C9"/>
    <w:rsid w:val="001D2801"/>
    <w:rsid w:val="001E0F28"/>
    <w:rsid w:val="001E5853"/>
    <w:rsid w:val="001F17D0"/>
    <w:rsid w:val="00204088"/>
    <w:rsid w:val="0021413B"/>
    <w:rsid w:val="00220D6B"/>
    <w:rsid w:val="00265110"/>
    <w:rsid w:val="00273EAA"/>
    <w:rsid w:val="00274387"/>
    <w:rsid w:val="0027781D"/>
    <w:rsid w:val="00287FC0"/>
    <w:rsid w:val="00292DF1"/>
    <w:rsid w:val="002A6B29"/>
    <w:rsid w:val="002F1224"/>
    <w:rsid w:val="00304121"/>
    <w:rsid w:val="003174DA"/>
    <w:rsid w:val="00340D06"/>
    <w:rsid w:val="00391176"/>
    <w:rsid w:val="003946B5"/>
    <w:rsid w:val="003A181E"/>
    <w:rsid w:val="003D1884"/>
    <w:rsid w:val="003E0E53"/>
    <w:rsid w:val="003E1F7C"/>
    <w:rsid w:val="003F36C0"/>
    <w:rsid w:val="003F39DD"/>
    <w:rsid w:val="003F65C7"/>
    <w:rsid w:val="00434E12"/>
    <w:rsid w:val="00444AC0"/>
    <w:rsid w:val="00466AA6"/>
    <w:rsid w:val="00472C5D"/>
    <w:rsid w:val="00483CDB"/>
    <w:rsid w:val="00484B01"/>
    <w:rsid w:val="004B000E"/>
    <w:rsid w:val="004D7A9C"/>
    <w:rsid w:val="00507A7F"/>
    <w:rsid w:val="005171C1"/>
    <w:rsid w:val="00526952"/>
    <w:rsid w:val="00532295"/>
    <w:rsid w:val="00553347"/>
    <w:rsid w:val="00563368"/>
    <w:rsid w:val="00567291"/>
    <w:rsid w:val="00590ACC"/>
    <w:rsid w:val="005C5F24"/>
    <w:rsid w:val="005D2424"/>
    <w:rsid w:val="005D7270"/>
    <w:rsid w:val="005E07AC"/>
    <w:rsid w:val="005E1A66"/>
    <w:rsid w:val="00605C13"/>
    <w:rsid w:val="00605E6A"/>
    <w:rsid w:val="00623B00"/>
    <w:rsid w:val="0063407D"/>
    <w:rsid w:val="00661876"/>
    <w:rsid w:val="00672538"/>
    <w:rsid w:val="00685328"/>
    <w:rsid w:val="006857E8"/>
    <w:rsid w:val="00690CA6"/>
    <w:rsid w:val="006A4EDA"/>
    <w:rsid w:val="006A5B98"/>
    <w:rsid w:val="006D29FD"/>
    <w:rsid w:val="006D5294"/>
    <w:rsid w:val="006D7846"/>
    <w:rsid w:val="006F0399"/>
    <w:rsid w:val="007001BC"/>
    <w:rsid w:val="007165EF"/>
    <w:rsid w:val="00716EF6"/>
    <w:rsid w:val="007203A5"/>
    <w:rsid w:val="007253A8"/>
    <w:rsid w:val="00726C7D"/>
    <w:rsid w:val="00756631"/>
    <w:rsid w:val="007719B0"/>
    <w:rsid w:val="00774046"/>
    <w:rsid w:val="007809DA"/>
    <w:rsid w:val="0078773E"/>
    <w:rsid w:val="007A3308"/>
    <w:rsid w:val="007A5537"/>
    <w:rsid w:val="007D795E"/>
    <w:rsid w:val="007E6807"/>
    <w:rsid w:val="007E687B"/>
    <w:rsid w:val="0080014F"/>
    <w:rsid w:val="00832E45"/>
    <w:rsid w:val="0085336D"/>
    <w:rsid w:val="008738FB"/>
    <w:rsid w:val="0087723C"/>
    <w:rsid w:val="00877E2D"/>
    <w:rsid w:val="008A1847"/>
    <w:rsid w:val="008B6FBB"/>
    <w:rsid w:val="008C49F7"/>
    <w:rsid w:val="008D520A"/>
    <w:rsid w:val="008F2735"/>
    <w:rsid w:val="00904745"/>
    <w:rsid w:val="0096340C"/>
    <w:rsid w:val="0096779B"/>
    <w:rsid w:val="009852FE"/>
    <w:rsid w:val="009940AF"/>
    <w:rsid w:val="00996355"/>
    <w:rsid w:val="009A47EF"/>
    <w:rsid w:val="009C68A7"/>
    <w:rsid w:val="009D18CE"/>
    <w:rsid w:val="009E120E"/>
    <w:rsid w:val="009E5640"/>
    <w:rsid w:val="00A16414"/>
    <w:rsid w:val="00A42355"/>
    <w:rsid w:val="00A52770"/>
    <w:rsid w:val="00A641E3"/>
    <w:rsid w:val="00A66799"/>
    <w:rsid w:val="00AA498C"/>
    <w:rsid w:val="00AE3F17"/>
    <w:rsid w:val="00B02619"/>
    <w:rsid w:val="00B30326"/>
    <w:rsid w:val="00B544FE"/>
    <w:rsid w:val="00B567EF"/>
    <w:rsid w:val="00B86C51"/>
    <w:rsid w:val="00BC412F"/>
    <w:rsid w:val="00BD5A19"/>
    <w:rsid w:val="00BE0F32"/>
    <w:rsid w:val="00BE1008"/>
    <w:rsid w:val="00C26EB5"/>
    <w:rsid w:val="00C3032A"/>
    <w:rsid w:val="00C508A5"/>
    <w:rsid w:val="00C6564D"/>
    <w:rsid w:val="00C71B16"/>
    <w:rsid w:val="00C76041"/>
    <w:rsid w:val="00C82B72"/>
    <w:rsid w:val="00CA624A"/>
    <w:rsid w:val="00CA7CEB"/>
    <w:rsid w:val="00CF53E4"/>
    <w:rsid w:val="00D51762"/>
    <w:rsid w:val="00D65F66"/>
    <w:rsid w:val="00DB790F"/>
    <w:rsid w:val="00DC2019"/>
    <w:rsid w:val="00DC4F4D"/>
    <w:rsid w:val="00DF4ECD"/>
    <w:rsid w:val="00E0326C"/>
    <w:rsid w:val="00E23A40"/>
    <w:rsid w:val="00E23EEE"/>
    <w:rsid w:val="00E3778A"/>
    <w:rsid w:val="00E4081E"/>
    <w:rsid w:val="00E53BB1"/>
    <w:rsid w:val="00E55D80"/>
    <w:rsid w:val="00E56E43"/>
    <w:rsid w:val="00EB2133"/>
    <w:rsid w:val="00EC41C9"/>
    <w:rsid w:val="00ED1E5C"/>
    <w:rsid w:val="00EE156B"/>
    <w:rsid w:val="00F154A1"/>
    <w:rsid w:val="00F44F63"/>
    <w:rsid w:val="00F4689D"/>
    <w:rsid w:val="00F854B3"/>
    <w:rsid w:val="00F86E04"/>
    <w:rsid w:val="00F86F47"/>
    <w:rsid w:val="00FB1391"/>
    <w:rsid w:val="00FB2237"/>
    <w:rsid w:val="00FB3D68"/>
    <w:rsid w:val="00FC11B4"/>
    <w:rsid w:val="00FC312B"/>
    <w:rsid w:val="00FD7EF0"/>
    <w:rsid w:val="00FE6E15"/>
    <w:rsid w:val="00FE7E22"/>
    <w:rsid w:val="00FF6E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0D8783"/>
  <w15:docId w15:val="{49683657-F885-4E7F-9DC5-D8D6759D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326"/>
    <w:pPr>
      <w:spacing w:after="200" w:line="276" w:lineRule="auto"/>
    </w:pPr>
  </w:style>
  <w:style w:type="paragraph" w:styleId="Heading1">
    <w:name w:val="heading 1"/>
    <w:basedOn w:val="Normal"/>
    <w:link w:val="Heading1Char"/>
    <w:uiPriority w:val="9"/>
    <w:qFormat/>
    <w:rsid w:val="003D188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BE0F32"/>
    <w:pPr>
      <w:keepNext/>
      <w:keepLines/>
      <w:bidi/>
      <w:spacing w:before="40" w:after="0" w:line="259" w:lineRule="auto"/>
      <w:outlineLvl w:val="1"/>
    </w:pPr>
    <w:rPr>
      <w:rFonts w:asciiTheme="majorHAnsi" w:eastAsiaTheme="majorEastAsia" w:hAnsiTheme="majorHAnsi" w:cstheme="majorBidi"/>
      <w:color w:val="2F5496" w:themeColor="accent1" w:themeShade="BF"/>
      <w:kern w:val="0"/>
      <w:sz w:val="26"/>
      <w:szCs w:val="26"/>
      <w:lang w:bidi="ar-EG"/>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1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884"/>
  </w:style>
  <w:style w:type="paragraph" w:styleId="Footer">
    <w:name w:val="footer"/>
    <w:basedOn w:val="Normal"/>
    <w:link w:val="FooterChar"/>
    <w:uiPriority w:val="99"/>
    <w:unhideWhenUsed/>
    <w:rsid w:val="003D1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884"/>
  </w:style>
  <w:style w:type="paragraph" w:styleId="ListParagraph">
    <w:name w:val="List Paragraph"/>
    <w:basedOn w:val="Normal"/>
    <w:link w:val="ListParagraphChar"/>
    <w:uiPriority w:val="34"/>
    <w:qFormat/>
    <w:rsid w:val="003D1884"/>
    <w:pPr>
      <w:ind w:left="720"/>
      <w:contextualSpacing/>
    </w:pPr>
  </w:style>
  <w:style w:type="character" w:customStyle="1" w:styleId="ListParagraphChar">
    <w:name w:val="List Paragraph Char"/>
    <w:link w:val="ListParagraph"/>
    <w:uiPriority w:val="34"/>
    <w:rsid w:val="003D1884"/>
  </w:style>
  <w:style w:type="character" w:styleId="FootnoteReference">
    <w:name w:val="footnote reference"/>
    <w:aliases w:val="4_G,4_GA"/>
    <w:basedOn w:val="DefaultParagraphFont"/>
    <w:uiPriority w:val="99"/>
    <w:unhideWhenUsed/>
    <w:qFormat/>
    <w:rsid w:val="003D1884"/>
    <w:rPr>
      <w:vertAlign w:val="superscript"/>
    </w:rPr>
  </w:style>
  <w:style w:type="paragraph" w:styleId="FootnoteText">
    <w:name w:val="footnote text"/>
    <w:aliases w:val="5_G"/>
    <w:basedOn w:val="Normal"/>
    <w:link w:val="FootnoteTextChar"/>
    <w:uiPriority w:val="99"/>
    <w:unhideWhenUsed/>
    <w:qFormat/>
    <w:rsid w:val="003D188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3D1884"/>
    <w:rPr>
      <w:sz w:val="20"/>
      <w:szCs w:val="20"/>
    </w:rPr>
  </w:style>
  <w:style w:type="character" w:styleId="Hyperlink">
    <w:name w:val="Hyperlink"/>
    <w:basedOn w:val="DefaultParagraphFont"/>
    <w:uiPriority w:val="99"/>
    <w:unhideWhenUsed/>
    <w:rsid w:val="003D1884"/>
    <w:rPr>
      <w:color w:val="0563C1" w:themeColor="hyperlink"/>
      <w:u w:val="single"/>
    </w:rPr>
  </w:style>
  <w:style w:type="table" w:styleId="TableGrid">
    <w:name w:val="Table Grid"/>
    <w:basedOn w:val="TableNormal"/>
    <w:uiPriority w:val="59"/>
    <w:rsid w:val="003D18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3D1884"/>
  </w:style>
  <w:style w:type="character" w:customStyle="1" w:styleId="rynqvb">
    <w:name w:val="rynqvb"/>
    <w:basedOn w:val="DefaultParagraphFont"/>
    <w:rsid w:val="003D1884"/>
  </w:style>
  <w:style w:type="character" w:customStyle="1" w:styleId="Heading1Char">
    <w:name w:val="Heading 1 Char"/>
    <w:basedOn w:val="DefaultParagraphFont"/>
    <w:link w:val="Heading1"/>
    <w:uiPriority w:val="9"/>
    <w:rsid w:val="003D1884"/>
    <w:rPr>
      <w:rFonts w:ascii="Times New Roman" w:eastAsia="Times New Roman" w:hAnsi="Times New Roman" w:cs="Times New Roman"/>
      <w:b/>
      <w:bCs/>
      <w:kern w:val="36"/>
      <w:sz w:val="48"/>
      <w:szCs w:val="48"/>
      <w14:ligatures w14:val="none"/>
    </w:rPr>
  </w:style>
  <w:style w:type="character" w:styleId="Emphasis">
    <w:name w:val="Emphasis"/>
    <w:basedOn w:val="DefaultParagraphFont"/>
    <w:uiPriority w:val="20"/>
    <w:qFormat/>
    <w:rsid w:val="000F092A"/>
    <w:rPr>
      <w:i/>
      <w:iCs/>
    </w:rPr>
  </w:style>
  <w:style w:type="character" w:customStyle="1" w:styleId="Heading2Char">
    <w:name w:val="Heading 2 Char"/>
    <w:basedOn w:val="DefaultParagraphFont"/>
    <w:link w:val="Heading2"/>
    <w:uiPriority w:val="9"/>
    <w:rsid w:val="00BE0F32"/>
    <w:rPr>
      <w:rFonts w:asciiTheme="majorHAnsi" w:eastAsiaTheme="majorEastAsia" w:hAnsiTheme="majorHAnsi" w:cstheme="majorBidi"/>
      <w:color w:val="2F5496" w:themeColor="accent1" w:themeShade="BF"/>
      <w:kern w:val="0"/>
      <w:sz w:val="26"/>
      <w:szCs w:val="26"/>
      <w:lang w:bidi="ar-EG"/>
      <w14:ligatures w14:val="none"/>
    </w:rPr>
  </w:style>
  <w:style w:type="character" w:styleId="CommentReference">
    <w:name w:val="annotation reference"/>
    <w:basedOn w:val="DefaultParagraphFont"/>
    <w:uiPriority w:val="99"/>
    <w:semiHidden/>
    <w:unhideWhenUsed/>
    <w:rsid w:val="00BE0F32"/>
    <w:rPr>
      <w:sz w:val="16"/>
      <w:szCs w:val="16"/>
    </w:rPr>
  </w:style>
  <w:style w:type="paragraph" w:styleId="CommentText">
    <w:name w:val="annotation text"/>
    <w:basedOn w:val="Normal"/>
    <w:link w:val="CommentTextChar"/>
    <w:uiPriority w:val="99"/>
    <w:semiHidden/>
    <w:unhideWhenUsed/>
    <w:rsid w:val="00BE0F32"/>
    <w:pPr>
      <w:spacing w:line="240" w:lineRule="auto"/>
    </w:pPr>
    <w:rPr>
      <w:sz w:val="20"/>
      <w:szCs w:val="20"/>
    </w:rPr>
  </w:style>
  <w:style w:type="character" w:customStyle="1" w:styleId="CommentTextChar">
    <w:name w:val="Comment Text Char"/>
    <w:basedOn w:val="DefaultParagraphFont"/>
    <w:link w:val="CommentText"/>
    <w:uiPriority w:val="99"/>
    <w:semiHidden/>
    <w:rsid w:val="00BE0F32"/>
    <w:rPr>
      <w:sz w:val="20"/>
      <w:szCs w:val="20"/>
    </w:rPr>
  </w:style>
  <w:style w:type="paragraph" w:styleId="CommentSubject">
    <w:name w:val="annotation subject"/>
    <w:basedOn w:val="CommentText"/>
    <w:next w:val="CommentText"/>
    <w:link w:val="CommentSubjectChar"/>
    <w:uiPriority w:val="99"/>
    <w:semiHidden/>
    <w:unhideWhenUsed/>
    <w:rsid w:val="00BE0F32"/>
    <w:rPr>
      <w:b/>
      <w:bCs/>
    </w:rPr>
  </w:style>
  <w:style w:type="character" w:customStyle="1" w:styleId="CommentSubjectChar">
    <w:name w:val="Comment Subject Char"/>
    <w:basedOn w:val="CommentTextChar"/>
    <w:link w:val="CommentSubject"/>
    <w:uiPriority w:val="99"/>
    <w:semiHidden/>
    <w:rsid w:val="00BE0F32"/>
    <w:rPr>
      <w:b/>
      <w:bCs/>
      <w:sz w:val="20"/>
      <w:szCs w:val="20"/>
    </w:rPr>
  </w:style>
  <w:style w:type="character" w:styleId="UnresolvedMention">
    <w:name w:val="Unresolved Mention"/>
    <w:basedOn w:val="DefaultParagraphFont"/>
    <w:uiPriority w:val="99"/>
    <w:semiHidden/>
    <w:unhideWhenUsed/>
    <w:rsid w:val="00FC312B"/>
    <w:rPr>
      <w:color w:val="605E5C"/>
      <w:shd w:val="clear" w:color="auto" w:fill="E1DFDD"/>
    </w:rPr>
  </w:style>
  <w:style w:type="character" w:customStyle="1" w:styleId="hwtze">
    <w:name w:val="hwtze"/>
    <w:basedOn w:val="DefaultParagraphFont"/>
    <w:rsid w:val="00273EAA"/>
  </w:style>
  <w:style w:type="paragraph" w:styleId="NormalWeb">
    <w:name w:val="Normal (Web)"/>
    <w:basedOn w:val="Normal"/>
    <w:uiPriority w:val="99"/>
    <w:unhideWhenUsed/>
    <w:rsid w:val="0055334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34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05346">
      <w:bodyDiv w:val="1"/>
      <w:marLeft w:val="0"/>
      <w:marRight w:val="0"/>
      <w:marTop w:val="0"/>
      <w:marBottom w:val="0"/>
      <w:divBdr>
        <w:top w:val="none" w:sz="0" w:space="0" w:color="auto"/>
        <w:left w:val="none" w:sz="0" w:space="0" w:color="auto"/>
        <w:bottom w:val="none" w:sz="0" w:space="0" w:color="auto"/>
        <w:right w:val="none" w:sz="0" w:space="0" w:color="auto"/>
      </w:divBdr>
    </w:div>
    <w:div w:id="142351386">
      <w:bodyDiv w:val="1"/>
      <w:marLeft w:val="0"/>
      <w:marRight w:val="0"/>
      <w:marTop w:val="0"/>
      <w:marBottom w:val="0"/>
      <w:divBdr>
        <w:top w:val="none" w:sz="0" w:space="0" w:color="auto"/>
        <w:left w:val="none" w:sz="0" w:space="0" w:color="auto"/>
        <w:bottom w:val="none" w:sz="0" w:space="0" w:color="auto"/>
        <w:right w:val="none" w:sz="0" w:space="0" w:color="auto"/>
      </w:divBdr>
    </w:div>
    <w:div w:id="167251237">
      <w:bodyDiv w:val="1"/>
      <w:marLeft w:val="0"/>
      <w:marRight w:val="0"/>
      <w:marTop w:val="0"/>
      <w:marBottom w:val="0"/>
      <w:divBdr>
        <w:top w:val="none" w:sz="0" w:space="0" w:color="auto"/>
        <w:left w:val="none" w:sz="0" w:space="0" w:color="auto"/>
        <w:bottom w:val="none" w:sz="0" w:space="0" w:color="auto"/>
        <w:right w:val="none" w:sz="0" w:space="0" w:color="auto"/>
      </w:divBdr>
    </w:div>
    <w:div w:id="179122689">
      <w:bodyDiv w:val="1"/>
      <w:marLeft w:val="0"/>
      <w:marRight w:val="0"/>
      <w:marTop w:val="0"/>
      <w:marBottom w:val="0"/>
      <w:divBdr>
        <w:top w:val="none" w:sz="0" w:space="0" w:color="auto"/>
        <w:left w:val="none" w:sz="0" w:space="0" w:color="auto"/>
        <w:bottom w:val="none" w:sz="0" w:space="0" w:color="auto"/>
        <w:right w:val="none" w:sz="0" w:space="0" w:color="auto"/>
      </w:divBdr>
    </w:div>
    <w:div w:id="196090210">
      <w:bodyDiv w:val="1"/>
      <w:marLeft w:val="0"/>
      <w:marRight w:val="0"/>
      <w:marTop w:val="0"/>
      <w:marBottom w:val="0"/>
      <w:divBdr>
        <w:top w:val="none" w:sz="0" w:space="0" w:color="auto"/>
        <w:left w:val="none" w:sz="0" w:space="0" w:color="auto"/>
        <w:bottom w:val="none" w:sz="0" w:space="0" w:color="auto"/>
        <w:right w:val="none" w:sz="0" w:space="0" w:color="auto"/>
      </w:divBdr>
    </w:div>
    <w:div w:id="285620757">
      <w:bodyDiv w:val="1"/>
      <w:marLeft w:val="0"/>
      <w:marRight w:val="0"/>
      <w:marTop w:val="0"/>
      <w:marBottom w:val="0"/>
      <w:divBdr>
        <w:top w:val="none" w:sz="0" w:space="0" w:color="auto"/>
        <w:left w:val="none" w:sz="0" w:space="0" w:color="auto"/>
        <w:bottom w:val="none" w:sz="0" w:space="0" w:color="auto"/>
        <w:right w:val="none" w:sz="0" w:space="0" w:color="auto"/>
      </w:divBdr>
    </w:div>
    <w:div w:id="308481651">
      <w:bodyDiv w:val="1"/>
      <w:marLeft w:val="0"/>
      <w:marRight w:val="0"/>
      <w:marTop w:val="0"/>
      <w:marBottom w:val="0"/>
      <w:divBdr>
        <w:top w:val="none" w:sz="0" w:space="0" w:color="auto"/>
        <w:left w:val="none" w:sz="0" w:space="0" w:color="auto"/>
        <w:bottom w:val="none" w:sz="0" w:space="0" w:color="auto"/>
        <w:right w:val="none" w:sz="0" w:space="0" w:color="auto"/>
      </w:divBdr>
    </w:div>
    <w:div w:id="342441231">
      <w:bodyDiv w:val="1"/>
      <w:marLeft w:val="0"/>
      <w:marRight w:val="0"/>
      <w:marTop w:val="0"/>
      <w:marBottom w:val="0"/>
      <w:divBdr>
        <w:top w:val="none" w:sz="0" w:space="0" w:color="auto"/>
        <w:left w:val="none" w:sz="0" w:space="0" w:color="auto"/>
        <w:bottom w:val="none" w:sz="0" w:space="0" w:color="auto"/>
        <w:right w:val="none" w:sz="0" w:space="0" w:color="auto"/>
      </w:divBdr>
    </w:div>
    <w:div w:id="427888171">
      <w:bodyDiv w:val="1"/>
      <w:marLeft w:val="0"/>
      <w:marRight w:val="0"/>
      <w:marTop w:val="0"/>
      <w:marBottom w:val="0"/>
      <w:divBdr>
        <w:top w:val="none" w:sz="0" w:space="0" w:color="auto"/>
        <w:left w:val="none" w:sz="0" w:space="0" w:color="auto"/>
        <w:bottom w:val="none" w:sz="0" w:space="0" w:color="auto"/>
        <w:right w:val="none" w:sz="0" w:space="0" w:color="auto"/>
      </w:divBdr>
      <w:divsChild>
        <w:div w:id="905649144">
          <w:marLeft w:val="0"/>
          <w:marRight w:val="0"/>
          <w:marTop w:val="0"/>
          <w:marBottom w:val="0"/>
          <w:divBdr>
            <w:top w:val="none" w:sz="0" w:space="0" w:color="auto"/>
            <w:left w:val="none" w:sz="0" w:space="0" w:color="auto"/>
            <w:bottom w:val="none" w:sz="0" w:space="0" w:color="auto"/>
            <w:right w:val="none" w:sz="0" w:space="0" w:color="auto"/>
          </w:divBdr>
        </w:div>
      </w:divsChild>
    </w:div>
    <w:div w:id="451555181">
      <w:bodyDiv w:val="1"/>
      <w:marLeft w:val="0"/>
      <w:marRight w:val="0"/>
      <w:marTop w:val="0"/>
      <w:marBottom w:val="0"/>
      <w:divBdr>
        <w:top w:val="none" w:sz="0" w:space="0" w:color="auto"/>
        <w:left w:val="none" w:sz="0" w:space="0" w:color="auto"/>
        <w:bottom w:val="none" w:sz="0" w:space="0" w:color="auto"/>
        <w:right w:val="none" w:sz="0" w:space="0" w:color="auto"/>
      </w:divBdr>
    </w:div>
    <w:div w:id="530146085">
      <w:bodyDiv w:val="1"/>
      <w:marLeft w:val="0"/>
      <w:marRight w:val="0"/>
      <w:marTop w:val="0"/>
      <w:marBottom w:val="0"/>
      <w:divBdr>
        <w:top w:val="none" w:sz="0" w:space="0" w:color="auto"/>
        <w:left w:val="none" w:sz="0" w:space="0" w:color="auto"/>
        <w:bottom w:val="none" w:sz="0" w:space="0" w:color="auto"/>
        <w:right w:val="none" w:sz="0" w:space="0" w:color="auto"/>
      </w:divBdr>
    </w:div>
    <w:div w:id="561672417">
      <w:bodyDiv w:val="1"/>
      <w:marLeft w:val="0"/>
      <w:marRight w:val="0"/>
      <w:marTop w:val="0"/>
      <w:marBottom w:val="0"/>
      <w:divBdr>
        <w:top w:val="none" w:sz="0" w:space="0" w:color="auto"/>
        <w:left w:val="none" w:sz="0" w:space="0" w:color="auto"/>
        <w:bottom w:val="none" w:sz="0" w:space="0" w:color="auto"/>
        <w:right w:val="none" w:sz="0" w:space="0" w:color="auto"/>
      </w:divBdr>
    </w:div>
    <w:div w:id="570315097">
      <w:bodyDiv w:val="1"/>
      <w:marLeft w:val="0"/>
      <w:marRight w:val="0"/>
      <w:marTop w:val="0"/>
      <w:marBottom w:val="0"/>
      <w:divBdr>
        <w:top w:val="none" w:sz="0" w:space="0" w:color="auto"/>
        <w:left w:val="none" w:sz="0" w:space="0" w:color="auto"/>
        <w:bottom w:val="none" w:sz="0" w:space="0" w:color="auto"/>
        <w:right w:val="none" w:sz="0" w:space="0" w:color="auto"/>
      </w:divBdr>
    </w:div>
    <w:div w:id="645551394">
      <w:bodyDiv w:val="1"/>
      <w:marLeft w:val="0"/>
      <w:marRight w:val="0"/>
      <w:marTop w:val="0"/>
      <w:marBottom w:val="0"/>
      <w:divBdr>
        <w:top w:val="none" w:sz="0" w:space="0" w:color="auto"/>
        <w:left w:val="none" w:sz="0" w:space="0" w:color="auto"/>
        <w:bottom w:val="none" w:sz="0" w:space="0" w:color="auto"/>
        <w:right w:val="none" w:sz="0" w:space="0" w:color="auto"/>
      </w:divBdr>
    </w:div>
    <w:div w:id="671031608">
      <w:bodyDiv w:val="1"/>
      <w:marLeft w:val="0"/>
      <w:marRight w:val="0"/>
      <w:marTop w:val="0"/>
      <w:marBottom w:val="0"/>
      <w:divBdr>
        <w:top w:val="none" w:sz="0" w:space="0" w:color="auto"/>
        <w:left w:val="none" w:sz="0" w:space="0" w:color="auto"/>
        <w:bottom w:val="none" w:sz="0" w:space="0" w:color="auto"/>
        <w:right w:val="none" w:sz="0" w:space="0" w:color="auto"/>
      </w:divBdr>
      <w:divsChild>
        <w:div w:id="1458720784">
          <w:marLeft w:val="0"/>
          <w:marRight w:val="0"/>
          <w:marTop w:val="0"/>
          <w:marBottom w:val="0"/>
          <w:divBdr>
            <w:top w:val="none" w:sz="0" w:space="0" w:color="auto"/>
            <w:left w:val="none" w:sz="0" w:space="0" w:color="auto"/>
            <w:bottom w:val="none" w:sz="0" w:space="0" w:color="auto"/>
            <w:right w:val="none" w:sz="0" w:space="0" w:color="auto"/>
          </w:divBdr>
        </w:div>
      </w:divsChild>
    </w:div>
    <w:div w:id="771436483">
      <w:bodyDiv w:val="1"/>
      <w:marLeft w:val="0"/>
      <w:marRight w:val="0"/>
      <w:marTop w:val="0"/>
      <w:marBottom w:val="0"/>
      <w:divBdr>
        <w:top w:val="none" w:sz="0" w:space="0" w:color="auto"/>
        <w:left w:val="none" w:sz="0" w:space="0" w:color="auto"/>
        <w:bottom w:val="none" w:sz="0" w:space="0" w:color="auto"/>
        <w:right w:val="none" w:sz="0" w:space="0" w:color="auto"/>
      </w:divBdr>
    </w:div>
    <w:div w:id="817724798">
      <w:bodyDiv w:val="1"/>
      <w:marLeft w:val="0"/>
      <w:marRight w:val="0"/>
      <w:marTop w:val="0"/>
      <w:marBottom w:val="0"/>
      <w:divBdr>
        <w:top w:val="none" w:sz="0" w:space="0" w:color="auto"/>
        <w:left w:val="none" w:sz="0" w:space="0" w:color="auto"/>
        <w:bottom w:val="none" w:sz="0" w:space="0" w:color="auto"/>
        <w:right w:val="none" w:sz="0" w:space="0" w:color="auto"/>
      </w:divBdr>
    </w:div>
    <w:div w:id="885335662">
      <w:bodyDiv w:val="1"/>
      <w:marLeft w:val="0"/>
      <w:marRight w:val="0"/>
      <w:marTop w:val="0"/>
      <w:marBottom w:val="0"/>
      <w:divBdr>
        <w:top w:val="none" w:sz="0" w:space="0" w:color="auto"/>
        <w:left w:val="none" w:sz="0" w:space="0" w:color="auto"/>
        <w:bottom w:val="none" w:sz="0" w:space="0" w:color="auto"/>
        <w:right w:val="none" w:sz="0" w:space="0" w:color="auto"/>
      </w:divBdr>
    </w:div>
    <w:div w:id="888491390">
      <w:bodyDiv w:val="1"/>
      <w:marLeft w:val="0"/>
      <w:marRight w:val="0"/>
      <w:marTop w:val="0"/>
      <w:marBottom w:val="0"/>
      <w:divBdr>
        <w:top w:val="none" w:sz="0" w:space="0" w:color="auto"/>
        <w:left w:val="none" w:sz="0" w:space="0" w:color="auto"/>
        <w:bottom w:val="none" w:sz="0" w:space="0" w:color="auto"/>
        <w:right w:val="none" w:sz="0" w:space="0" w:color="auto"/>
      </w:divBdr>
    </w:div>
    <w:div w:id="970087854">
      <w:bodyDiv w:val="1"/>
      <w:marLeft w:val="0"/>
      <w:marRight w:val="0"/>
      <w:marTop w:val="0"/>
      <w:marBottom w:val="0"/>
      <w:divBdr>
        <w:top w:val="none" w:sz="0" w:space="0" w:color="auto"/>
        <w:left w:val="none" w:sz="0" w:space="0" w:color="auto"/>
        <w:bottom w:val="none" w:sz="0" w:space="0" w:color="auto"/>
        <w:right w:val="none" w:sz="0" w:space="0" w:color="auto"/>
      </w:divBdr>
    </w:div>
    <w:div w:id="1038310587">
      <w:bodyDiv w:val="1"/>
      <w:marLeft w:val="0"/>
      <w:marRight w:val="0"/>
      <w:marTop w:val="0"/>
      <w:marBottom w:val="0"/>
      <w:divBdr>
        <w:top w:val="none" w:sz="0" w:space="0" w:color="auto"/>
        <w:left w:val="none" w:sz="0" w:space="0" w:color="auto"/>
        <w:bottom w:val="none" w:sz="0" w:space="0" w:color="auto"/>
        <w:right w:val="none" w:sz="0" w:space="0" w:color="auto"/>
      </w:divBdr>
    </w:div>
    <w:div w:id="1104689923">
      <w:bodyDiv w:val="1"/>
      <w:marLeft w:val="0"/>
      <w:marRight w:val="0"/>
      <w:marTop w:val="0"/>
      <w:marBottom w:val="0"/>
      <w:divBdr>
        <w:top w:val="none" w:sz="0" w:space="0" w:color="auto"/>
        <w:left w:val="none" w:sz="0" w:space="0" w:color="auto"/>
        <w:bottom w:val="none" w:sz="0" w:space="0" w:color="auto"/>
        <w:right w:val="none" w:sz="0" w:space="0" w:color="auto"/>
      </w:divBdr>
    </w:div>
    <w:div w:id="1162619608">
      <w:bodyDiv w:val="1"/>
      <w:marLeft w:val="0"/>
      <w:marRight w:val="0"/>
      <w:marTop w:val="0"/>
      <w:marBottom w:val="0"/>
      <w:divBdr>
        <w:top w:val="none" w:sz="0" w:space="0" w:color="auto"/>
        <w:left w:val="none" w:sz="0" w:space="0" w:color="auto"/>
        <w:bottom w:val="none" w:sz="0" w:space="0" w:color="auto"/>
        <w:right w:val="none" w:sz="0" w:space="0" w:color="auto"/>
      </w:divBdr>
    </w:div>
    <w:div w:id="1353646222">
      <w:bodyDiv w:val="1"/>
      <w:marLeft w:val="0"/>
      <w:marRight w:val="0"/>
      <w:marTop w:val="0"/>
      <w:marBottom w:val="0"/>
      <w:divBdr>
        <w:top w:val="none" w:sz="0" w:space="0" w:color="auto"/>
        <w:left w:val="none" w:sz="0" w:space="0" w:color="auto"/>
        <w:bottom w:val="none" w:sz="0" w:space="0" w:color="auto"/>
        <w:right w:val="none" w:sz="0" w:space="0" w:color="auto"/>
      </w:divBdr>
    </w:div>
    <w:div w:id="1408842219">
      <w:bodyDiv w:val="1"/>
      <w:marLeft w:val="0"/>
      <w:marRight w:val="0"/>
      <w:marTop w:val="0"/>
      <w:marBottom w:val="0"/>
      <w:divBdr>
        <w:top w:val="none" w:sz="0" w:space="0" w:color="auto"/>
        <w:left w:val="none" w:sz="0" w:space="0" w:color="auto"/>
        <w:bottom w:val="none" w:sz="0" w:space="0" w:color="auto"/>
        <w:right w:val="none" w:sz="0" w:space="0" w:color="auto"/>
      </w:divBdr>
    </w:div>
    <w:div w:id="1533113376">
      <w:bodyDiv w:val="1"/>
      <w:marLeft w:val="0"/>
      <w:marRight w:val="0"/>
      <w:marTop w:val="0"/>
      <w:marBottom w:val="0"/>
      <w:divBdr>
        <w:top w:val="none" w:sz="0" w:space="0" w:color="auto"/>
        <w:left w:val="none" w:sz="0" w:space="0" w:color="auto"/>
        <w:bottom w:val="none" w:sz="0" w:space="0" w:color="auto"/>
        <w:right w:val="none" w:sz="0" w:space="0" w:color="auto"/>
      </w:divBdr>
    </w:div>
    <w:div w:id="1591159765">
      <w:bodyDiv w:val="1"/>
      <w:marLeft w:val="0"/>
      <w:marRight w:val="0"/>
      <w:marTop w:val="0"/>
      <w:marBottom w:val="0"/>
      <w:divBdr>
        <w:top w:val="none" w:sz="0" w:space="0" w:color="auto"/>
        <w:left w:val="none" w:sz="0" w:space="0" w:color="auto"/>
        <w:bottom w:val="none" w:sz="0" w:space="0" w:color="auto"/>
        <w:right w:val="none" w:sz="0" w:space="0" w:color="auto"/>
      </w:divBdr>
    </w:div>
    <w:div w:id="1685790685">
      <w:bodyDiv w:val="1"/>
      <w:marLeft w:val="0"/>
      <w:marRight w:val="0"/>
      <w:marTop w:val="0"/>
      <w:marBottom w:val="0"/>
      <w:divBdr>
        <w:top w:val="none" w:sz="0" w:space="0" w:color="auto"/>
        <w:left w:val="none" w:sz="0" w:space="0" w:color="auto"/>
        <w:bottom w:val="none" w:sz="0" w:space="0" w:color="auto"/>
        <w:right w:val="none" w:sz="0" w:space="0" w:color="auto"/>
      </w:divBdr>
    </w:div>
    <w:div w:id="1693339842">
      <w:bodyDiv w:val="1"/>
      <w:marLeft w:val="0"/>
      <w:marRight w:val="0"/>
      <w:marTop w:val="0"/>
      <w:marBottom w:val="0"/>
      <w:divBdr>
        <w:top w:val="none" w:sz="0" w:space="0" w:color="auto"/>
        <w:left w:val="none" w:sz="0" w:space="0" w:color="auto"/>
        <w:bottom w:val="none" w:sz="0" w:space="0" w:color="auto"/>
        <w:right w:val="none" w:sz="0" w:space="0" w:color="auto"/>
      </w:divBdr>
      <w:divsChild>
        <w:div w:id="1456293669">
          <w:marLeft w:val="0"/>
          <w:marRight w:val="0"/>
          <w:marTop w:val="0"/>
          <w:marBottom w:val="0"/>
          <w:divBdr>
            <w:top w:val="none" w:sz="0" w:space="0" w:color="auto"/>
            <w:left w:val="none" w:sz="0" w:space="0" w:color="auto"/>
            <w:bottom w:val="none" w:sz="0" w:space="0" w:color="auto"/>
            <w:right w:val="none" w:sz="0" w:space="0" w:color="auto"/>
          </w:divBdr>
        </w:div>
      </w:divsChild>
    </w:div>
    <w:div w:id="1712223370">
      <w:bodyDiv w:val="1"/>
      <w:marLeft w:val="0"/>
      <w:marRight w:val="0"/>
      <w:marTop w:val="0"/>
      <w:marBottom w:val="0"/>
      <w:divBdr>
        <w:top w:val="none" w:sz="0" w:space="0" w:color="auto"/>
        <w:left w:val="none" w:sz="0" w:space="0" w:color="auto"/>
        <w:bottom w:val="none" w:sz="0" w:space="0" w:color="auto"/>
        <w:right w:val="none" w:sz="0" w:space="0" w:color="auto"/>
      </w:divBdr>
      <w:divsChild>
        <w:div w:id="386076936">
          <w:marLeft w:val="0"/>
          <w:marRight w:val="0"/>
          <w:marTop w:val="0"/>
          <w:marBottom w:val="0"/>
          <w:divBdr>
            <w:top w:val="none" w:sz="0" w:space="0" w:color="auto"/>
            <w:left w:val="none" w:sz="0" w:space="0" w:color="auto"/>
            <w:bottom w:val="none" w:sz="0" w:space="0" w:color="auto"/>
            <w:right w:val="none" w:sz="0" w:space="0" w:color="auto"/>
          </w:divBdr>
        </w:div>
      </w:divsChild>
    </w:div>
    <w:div w:id="1712461243">
      <w:bodyDiv w:val="1"/>
      <w:marLeft w:val="0"/>
      <w:marRight w:val="0"/>
      <w:marTop w:val="0"/>
      <w:marBottom w:val="0"/>
      <w:divBdr>
        <w:top w:val="none" w:sz="0" w:space="0" w:color="auto"/>
        <w:left w:val="none" w:sz="0" w:space="0" w:color="auto"/>
        <w:bottom w:val="none" w:sz="0" w:space="0" w:color="auto"/>
        <w:right w:val="none" w:sz="0" w:space="0" w:color="auto"/>
      </w:divBdr>
    </w:div>
    <w:div w:id="1921525951">
      <w:bodyDiv w:val="1"/>
      <w:marLeft w:val="0"/>
      <w:marRight w:val="0"/>
      <w:marTop w:val="0"/>
      <w:marBottom w:val="0"/>
      <w:divBdr>
        <w:top w:val="none" w:sz="0" w:space="0" w:color="auto"/>
        <w:left w:val="none" w:sz="0" w:space="0" w:color="auto"/>
        <w:bottom w:val="none" w:sz="0" w:space="0" w:color="auto"/>
        <w:right w:val="none" w:sz="0" w:space="0" w:color="auto"/>
      </w:divBdr>
    </w:div>
    <w:div w:id="1967009170">
      <w:bodyDiv w:val="1"/>
      <w:marLeft w:val="0"/>
      <w:marRight w:val="0"/>
      <w:marTop w:val="0"/>
      <w:marBottom w:val="0"/>
      <w:divBdr>
        <w:top w:val="none" w:sz="0" w:space="0" w:color="auto"/>
        <w:left w:val="none" w:sz="0" w:space="0" w:color="auto"/>
        <w:bottom w:val="none" w:sz="0" w:space="0" w:color="auto"/>
        <w:right w:val="none" w:sz="0" w:space="0" w:color="auto"/>
      </w:divBdr>
    </w:div>
    <w:div w:id="1975215113">
      <w:bodyDiv w:val="1"/>
      <w:marLeft w:val="0"/>
      <w:marRight w:val="0"/>
      <w:marTop w:val="0"/>
      <w:marBottom w:val="0"/>
      <w:divBdr>
        <w:top w:val="none" w:sz="0" w:space="0" w:color="auto"/>
        <w:left w:val="none" w:sz="0" w:space="0" w:color="auto"/>
        <w:bottom w:val="none" w:sz="0" w:space="0" w:color="auto"/>
        <w:right w:val="none" w:sz="0" w:space="0" w:color="auto"/>
      </w:divBdr>
      <w:divsChild>
        <w:div w:id="1848326705">
          <w:marLeft w:val="0"/>
          <w:marRight w:val="0"/>
          <w:marTop w:val="0"/>
          <w:marBottom w:val="0"/>
          <w:divBdr>
            <w:top w:val="none" w:sz="0" w:space="0" w:color="auto"/>
            <w:left w:val="none" w:sz="0" w:space="0" w:color="auto"/>
            <w:bottom w:val="none" w:sz="0" w:space="0" w:color="auto"/>
            <w:right w:val="none" w:sz="0" w:space="0" w:color="auto"/>
          </w:divBdr>
        </w:div>
      </w:divsChild>
    </w:div>
    <w:div w:id="1980720184">
      <w:bodyDiv w:val="1"/>
      <w:marLeft w:val="0"/>
      <w:marRight w:val="0"/>
      <w:marTop w:val="0"/>
      <w:marBottom w:val="0"/>
      <w:divBdr>
        <w:top w:val="none" w:sz="0" w:space="0" w:color="auto"/>
        <w:left w:val="none" w:sz="0" w:space="0" w:color="auto"/>
        <w:bottom w:val="none" w:sz="0" w:space="0" w:color="auto"/>
        <w:right w:val="none" w:sz="0" w:space="0" w:color="auto"/>
      </w:divBdr>
    </w:div>
    <w:div w:id="2032875458">
      <w:bodyDiv w:val="1"/>
      <w:marLeft w:val="0"/>
      <w:marRight w:val="0"/>
      <w:marTop w:val="0"/>
      <w:marBottom w:val="0"/>
      <w:divBdr>
        <w:top w:val="none" w:sz="0" w:space="0" w:color="auto"/>
        <w:left w:val="none" w:sz="0" w:space="0" w:color="auto"/>
        <w:bottom w:val="none" w:sz="0" w:space="0" w:color="auto"/>
        <w:right w:val="none" w:sz="0" w:space="0" w:color="auto"/>
      </w:divBdr>
      <w:divsChild>
        <w:div w:id="1931622620">
          <w:marLeft w:val="0"/>
          <w:marRight w:val="0"/>
          <w:marTop w:val="0"/>
          <w:marBottom w:val="0"/>
          <w:divBdr>
            <w:top w:val="none" w:sz="0" w:space="0" w:color="auto"/>
            <w:left w:val="none" w:sz="0" w:space="0" w:color="auto"/>
            <w:bottom w:val="none" w:sz="0" w:space="0" w:color="auto"/>
            <w:right w:val="none" w:sz="0" w:space="0" w:color="auto"/>
          </w:divBdr>
        </w:div>
      </w:divsChild>
    </w:div>
    <w:div w:id="2086955008">
      <w:bodyDiv w:val="1"/>
      <w:marLeft w:val="0"/>
      <w:marRight w:val="0"/>
      <w:marTop w:val="0"/>
      <w:marBottom w:val="0"/>
      <w:divBdr>
        <w:top w:val="none" w:sz="0" w:space="0" w:color="auto"/>
        <w:left w:val="none" w:sz="0" w:space="0" w:color="auto"/>
        <w:bottom w:val="none" w:sz="0" w:space="0" w:color="auto"/>
        <w:right w:val="none" w:sz="0" w:space="0" w:color="auto"/>
      </w:divBdr>
    </w:div>
    <w:div w:id="2087533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2cm.es/1gKi1" TargetMode="External"/><Relationship Id="rId3" Type="http://schemas.openxmlformats.org/officeDocument/2006/relationships/hyperlink" Target="https://2cm.es/1gJJS" TargetMode="External"/><Relationship Id="rId7" Type="http://schemas.openxmlformats.org/officeDocument/2006/relationships/hyperlink" Target="https://2cm.es/1gJXO" TargetMode="External"/><Relationship Id="rId12" Type="http://schemas.openxmlformats.org/officeDocument/2006/relationships/hyperlink" Target="https://2cm.es/1gKkB" TargetMode="External"/><Relationship Id="rId2" Type="http://schemas.openxmlformats.org/officeDocument/2006/relationships/hyperlink" Target="https://2cm.es/1lDYz" TargetMode="External"/><Relationship Id="rId1" Type="http://schemas.openxmlformats.org/officeDocument/2006/relationships/hyperlink" Target="https://2h.ae/wfUt" TargetMode="External"/><Relationship Id="rId6" Type="http://schemas.openxmlformats.org/officeDocument/2006/relationships/hyperlink" Target="https://2h.ae/YFUv" TargetMode="External"/><Relationship Id="rId11" Type="http://schemas.openxmlformats.org/officeDocument/2006/relationships/hyperlink" Target="https://2cm.es/1lEyg" TargetMode="External"/><Relationship Id="rId5" Type="http://schemas.openxmlformats.org/officeDocument/2006/relationships/hyperlink" Target="https://2cm.es/1lEdw" TargetMode="External"/><Relationship Id="rId10" Type="http://schemas.openxmlformats.org/officeDocument/2006/relationships/hyperlink" Target="https://shorturl.at/H4KoZ" TargetMode="External"/><Relationship Id="rId4" Type="http://schemas.openxmlformats.org/officeDocument/2006/relationships/hyperlink" Target="https://2cm.es/1lGks" TargetMode="External"/><Relationship Id="rId9" Type="http://schemas.openxmlformats.org/officeDocument/2006/relationships/hyperlink" Target="https://2h.ae/heb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D054A-A178-43F4-906D-AFD8AEC73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2617</Words>
  <Characters>14918</Characters>
  <Application>Microsoft Office Word</Application>
  <DocSecurity>0</DocSecurity>
  <Lines>124</Lines>
  <Paragraphs>34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ICGS_8</dc:creator>
  <cp:keywords/>
  <dc:description/>
  <cp:lastModifiedBy>Mira</cp:lastModifiedBy>
  <cp:revision>2</cp:revision>
  <dcterms:created xsi:type="dcterms:W3CDTF">2026-01-05T11:32:00Z</dcterms:created>
  <dcterms:modified xsi:type="dcterms:W3CDTF">2026-01-05T11:32:00Z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944d6e79f3c9932c053996f329bf2f058c93239f5ca6e8838eed1da75b1f6526</vt:lpwstr>
  </property>
</Properties>
</file>