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Override5.xml" ContentType="application/vnd.openxmlformats-officedocument.themeOverride+xml"/>
  <Override PartName="/word/charts/chart9.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theme/theme1.xml" ContentType="application/vnd.openxmlformats-officedocument.theme+xml"/>
  <Override PartName="/word/theme/themeOverride3.xml" ContentType="application/vnd.openxmlformats-officedocument.themeOverride+xml"/>
  <Override PartName="/word/charts/chart7.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ajorEastAsia" w:hAnsi="Times New Roman" w:cstheme="minorBidi"/>
          <w:sz w:val="24"/>
          <w:szCs w:val="24"/>
          <w:lang w:val="es-ES_tradnl"/>
        </w:rPr>
        <w:id w:val="9350310"/>
        <w:docPartObj>
          <w:docPartGallery w:val="Cover Pages"/>
          <w:docPartUnique/>
        </w:docPartObj>
      </w:sdtPr>
      <w:sdtEndPr>
        <w:rPr>
          <w:rFonts w:eastAsiaTheme="minorHAnsi"/>
          <w:b/>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406"/>
          </w:tblGrid>
          <w:tr w:rsidR="005D0F06" w:rsidRPr="00086893" w:rsidTr="00AA3A45">
            <w:tc>
              <w:tcPr>
                <w:tcW w:w="7672" w:type="dxa"/>
                <w:tcMar>
                  <w:top w:w="216" w:type="dxa"/>
                  <w:left w:w="115" w:type="dxa"/>
                  <w:bottom w:w="216" w:type="dxa"/>
                  <w:right w:w="115" w:type="dxa"/>
                </w:tcMar>
              </w:tcPr>
              <w:p w:rsidR="005D0F06" w:rsidRPr="00086893" w:rsidRDefault="00FC7E01" w:rsidP="00086893">
                <w:pPr>
                  <w:pStyle w:val="NoSpacing"/>
                  <w:spacing w:line="360" w:lineRule="auto"/>
                  <w:jc w:val="center"/>
                  <w:rPr>
                    <w:rFonts w:ascii="Times New Roman" w:eastAsiaTheme="majorEastAsia" w:hAnsi="Times New Roman"/>
                    <w:sz w:val="24"/>
                    <w:szCs w:val="24"/>
                  </w:rPr>
                </w:pPr>
                <w:r>
                  <w:rPr>
                    <w:rFonts w:ascii="Times New Roman" w:eastAsiaTheme="majorEastAsia" w:hAnsi="Times New Roman" w:cstheme="minorBidi"/>
                    <w:sz w:val="24"/>
                    <w:szCs w:val="24"/>
                  </w:rPr>
                  <w:t>ANEXO 6TO INFORME PAÍ</w:t>
                </w:r>
                <w:r w:rsidR="00086893" w:rsidRPr="00086893">
                  <w:rPr>
                    <w:rFonts w:ascii="Times New Roman" w:eastAsiaTheme="majorEastAsia" w:hAnsi="Times New Roman" w:cstheme="minorBidi"/>
                    <w:sz w:val="24"/>
                    <w:szCs w:val="24"/>
                  </w:rPr>
                  <w:t>S REPÚBLICA DOMINICANA</w:t>
                </w:r>
                <w:sdt>
                  <w:sdtPr>
                    <w:rPr>
                      <w:rFonts w:ascii="Times New Roman" w:eastAsiaTheme="majorEastAsia" w:hAnsi="Times New Roman"/>
                      <w:sz w:val="36"/>
                      <w:szCs w:val="24"/>
                      <w:lang w:val="es-ES_tradnl"/>
                    </w:rPr>
                    <w:alias w:val="Company"/>
                    <w:id w:val="13406915"/>
                    <w:showingPlcHdr/>
                    <w:dataBinding w:prefixMappings="xmlns:ns0='http://schemas.openxmlformats.org/officeDocument/2006/extended-properties'" w:xpath="/ns0:Properties[1]/ns0:Company[1]" w:storeItemID="{6668398D-A668-4E3E-A5EB-62B293D839F1}"/>
                    <w:text/>
                  </w:sdtPr>
                  <w:sdtEndPr>
                    <w:rPr>
                      <w:b/>
                      <w:lang w:val="es-ES"/>
                    </w:rPr>
                  </w:sdtEndPr>
                  <w:sdtContent>
                    <w:r w:rsidR="005D0F06" w:rsidRPr="00086893">
                      <w:rPr>
                        <w:rFonts w:ascii="Times New Roman" w:eastAsiaTheme="majorEastAsia" w:hAnsi="Times New Roman"/>
                        <w:sz w:val="36"/>
                        <w:szCs w:val="24"/>
                      </w:rPr>
                      <w:t xml:space="preserve">     </w:t>
                    </w:r>
                  </w:sdtContent>
                </w:sdt>
              </w:p>
            </w:tc>
          </w:tr>
          <w:tr w:rsidR="005D0F06" w:rsidRPr="000D1029" w:rsidTr="00AA3A45">
            <w:tc>
              <w:tcPr>
                <w:tcW w:w="7672" w:type="dxa"/>
              </w:tcPr>
              <w:sdt>
                <w:sdtPr>
                  <w:rPr>
                    <w:rFonts w:ascii="Times New Roman" w:eastAsiaTheme="majorEastAsia" w:hAnsi="Times New Roman"/>
                    <w:color w:val="4F81BD" w:themeColor="accent1"/>
                    <w:sz w:val="24"/>
                    <w:szCs w:val="24"/>
                  </w:rPr>
                  <w:alias w:val="Title"/>
                  <w:id w:val="13406919"/>
                  <w:dataBinding w:prefixMappings="xmlns:ns0='http://schemas.openxmlformats.org/package/2006/metadata/core-properties' xmlns:ns1='http://purl.org/dc/elements/1.1/'" w:xpath="/ns0:coreProperties[1]/ns1:title[1]" w:storeItemID="{6C3C8BC8-F283-45AE-878A-BAB7291924A1}"/>
                  <w:text/>
                </w:sdtPr>
                <w:sdtContent>
                  <w:p w:rsidR="005D0F06" w:rsidRPr="000D1029" w:rsidRDefault="00086893" w:rsidP="000D1029">
                    <w:pPr>
                      <w:pStyle w:val="NoSpacing"/>
                      <w:spacing w:line="360" w:lineRule="auto"/>
                      <w:jc w:val="center"/>
                      <w:rPr>
                        <w:rFonts w:ascii="Times New Roman" w:eastAsiaTheme="majorEastAsia" w:hAnsi="Times New Roman"/>
                        <w:color w:val="4F81BD" w:themeColor="accent1"/>
                        <w:sz w:val="24"/>
                        <w:szCs w:val="24"/>
                      </w:rPr>
                    </w:pPr>
                    <w:r>
                      <w:rPr>
                        <w:rFonts w:ascii="Times New Roman" w:eastAsiaTheme="majorEastAsia" w:hAnsi="Times New Roman"/>
                        <w:color w:val="4F81BD" w:themeColor="accent1"/>
                        <w:sz w:val="24"/>
                        <w:szCs w:val="24"/>
                      </w:rPr>
                      <w:t>COMITÉ DE DERECHOS HUMANOS</w:t>
                    </w:r>
                  </w:p>
                </w:sdtContent>
              </w:sdt>
            </w:tc>
          </w:tr>
          <w:tr w:rsidR="005D0F06" w:rsidRPr="000D1029" w:rsidTr="00AA3A45">
            <w:sdt>
              <w:sdtPr>
                <w:rPr>
                  <w:rFonts w:ascii="Times New Roman" w:eastAsiaTheme="majorEastAsia" w:hAnsi="Times New Roman"/>
                  <w:sz w:val="24"/>
                  <w:szCs w:val="24"/>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5D0F06" w:rsidRPr="000D1029" w:rsidRDefault="004448FC" w:rsidP="004448FC">
                    <w:pPr>
                      <w:pStyle w:val="NoSpacing"/>
                      <w:spacing w:line="360" w:lineRule="auto"/>
                      <w:jc w:val="center"/>
                      <w:rPr>
                        <w:rFonts w:ascii="Times New Roman" w:eastAsiaTheme="majorEastAsia" w:hAnsi="Times New Roman"/>
                        <w:sz w:val="24"/>
                        <w:szCs w:val="24"/>
                      </w:rPr>
                    </w:pPr>
                    <w:r>
                      <w:rPr>
                        <w:rFonts w:ascii="Times New Roman" w:eastAsiaTheme="majorEastAsia" w:hAnsi="Times New Roman"/>
                        <w:sz w:val="24"/>
                        <w:szCs w:val="24"/>
                      </w:rPr>
                      <w:t xml:space="preserve">RESPUESTAS MOTIVOS DE PREOCUPACIONES Y OBSERVACIONES </w:t>
                    </w:r>
                    <w:r w:rsidR="00086893">
                      <w:rPr>
                        <w:rFonts w:ascii="Times New Roman" w:eastAsiaTheme="majorEastAsia" w:hAnsi="Times New Roman"/>
                        <w:sz w:val="24"/>
                        <w:szCs w:val="24"/>
                      </w:rPr>
                      <w:t xml:space="preserve"> CCPR/C/DOM/Q/5</w:t>
                    </w:r>
                  </w:p>
                </w:tc>
              </w:sdtContent>
            </w:sdt>
          </w:tr>
        </w:tbl>
        <w:p w:rsidR="005D0F06" w:rsidRPr="000D1029" w:rsidRDefault="005D0F06" w:rsidP="000D1029">
          <w:pPr>
            <w:rPr>
              <w:rFonts w:ascii="Times New Roman" w:hAnsi="Times New Roman" w:cs="Times New Roman"/>
            </w:rPr>
          </w:pPr>
        </w:p>
        <w:p w:rsidR="005D0F06" w:rsidRPr="000D1029" w:rsidRDefault="005D0F06" w:rsidP="000D1029">
          <w:pPr>
            <w:rPr>
              <w:rFonts w:ascii="Times New Roman" w:hAnsi="Times New Roman" w:cs="Times New Roman"/>
            </w:rPr>
          </w:pPr>
        </w:p>
        <w:p w:rsidR="005D0F06" w:rsidRPr="000D1029" w:rsidRDefault="005D0F06" w:rsidP="000D1029">
          <w:pPr>
            <w:widowControl w:val="0"/>
            <w:autoSpaceDE w:val="0"/>
            <w:autoSpaceDN w:val="0"/>
            <w:adjustRightInd w:val="0"/>
            <w:jc w:val="center"/>
            <w:rPr>
              <w:rFonts w:ascii="Times New Roman" w:hAnsi="Times New Roman" w:cs="Times New Roman"/>
              <w:b/>
              <w:lang w:val="es-ES"/>
            </w:rPr>
          </w:pPr>
          <w:r w:rsidRPr="000D1029">
            <w:rPr>
              <w:rFonts w:ascii="Times New Roman" w:hAnsi="Times New Roman" w:cs="Times New Roman"/>
              <w:b/>
              <w:lang w:val="es-ES"/>
            </w:rPr>
            <w:br w:type="page"/>
          </w:r>
        </w:p>
      </w:sdtContent>
    </w:sdt>
    <w:p w:rsidR="00900422" w:rsidRPr="000D1029" w:rsidRDefault="00900422" w:rsidP="00AB6DC7">
      <w:pPr>
        <w:spacing w:line="240" w:lineRule="auto"/>
        <w:rPr>
          <w:rFonts w:ascii="Times New Roman" w:hAnsi="Times New Roman" w:cs="Times New Roman"/>
          <w:b/>
          <w:lang w:val="es-ES"/>
        </w:rPr>
      </w:pPr>
      <w:r w:rsidRPr="000D1029">
        <w:rPr>
          <w:rFonts w:ascii="Times New Roman" w:hAnsi="Times New Roman" w:cs="Times New Roman"/>
          <w:b/>
          <w:lang w:val="es-ES"/>
        </w:rPr>
        <w:lastRenderedPageBreak/>
        <w:t>II. Principales Motivos de Preocupación y Recomendaciones.</w:t>
      </w:r>
    </w:p>
    <w:p w:rsidR="00900422" w:rsidRPr="000D1029" w:rsidRDefault="00900422" w:rsidP="00AB6DC7">
      <w:pPr>
        <w:spacing w:line="240" w:lineRule="auto"/>
        <w:rPr>
          <w:rFonts w:ascii="Times New Roman" w:hAnsi="Times New Roman" w:cs="Times New Roman"/>
          <w:b/>
          <w:i/>
          <w:u w:val="single"/>
          <w:lang w:val="es-ES"/>
        </w:rPr>
      </w:pPr>
    </w:p>
    <w:p w:rsidR="005D0F06" w:rsidRPr="000D1029" w:rsidRDefault="00A417FE" w:rsidP="00AB6DC7">
      <w:pPr>
        <w:spacing w:line="240" w:lineRule="auto"/>
        <w:rPr>
          <w:rFonts w:ascii="Times New Roman" w:hAnsi="Times New Roman" w:cs="Times New Roman"/>
          <w:i/>
          <w:lang w:val="es-ES"/>
        </w:rPr>
      </w:pPr>
      <w:r>
        <w:rPr>
          <w:rFonts w:ascii="Times New Roman" w:hAnsi="Times New Roman" w:cs="Times New Roman"/>
          <w:b/>
          <w:i/>
          <w:u w:val="single"/>
          <w:lang w:val="es-ES"/>
        </w:rPr>
        <w:t>1</w:t>
      </w:r>
      <w:r w:rsidR="005D0F06" w:rsidRPr="000D1029">
        <w:rPr>
          <w:rFonts w:ascii="Times New Roman" w:hAnsi="Times New Roman" w:cs="Times New Roman"/>
          <w:b/>
          <w:i/>
          <w:u w:val="single"/>
          <w:lang w:val="es-ES"/>
        </w:rPr>
        <w:t xml:space="preserve">. </w:t>
      </w:r>
      <w:r w:rsidR="00272160" w:rsidRPr="00272160">
        <w:rPr>
          <w:rFonts w:ascii="Times New Roman" w:hAnsi="Times New Roman" w:cs="Times New Roman"/>
          <w:b/>
          <w:i/>
          <w:u w:val="single"/>
          <w:lang w:val="es-ES"/>
        </w:rPr>
        <w:t>PÁRRAFO</w:t>
      </w:r>
      <w:r w:rsidR="005D0F06" w:rsidRPr="000D1029">
        <w:rPr>
          <w:rFonts w:ascii="Times New Roman" w:hAnsi="Times New Roman" w:cs="Times New Roman"/>
          <w:b/>
          <w:i/>
          <w:u w:val="single"/>
          <w:lang w:val="es-ES"/>
        </w:rPr>
        <w:t xml:space="preserve"> 5:</w:t>
      </w:r>
      <w:r w:rsidR="005D0F06" w:rsidRPr="000D1029">
        <w:rPr>
          <w:rFonts w:ascii="Times New Roman" w:hAnsi="Times New Roman" w:cs="Times New Roman"/>
          <w:b/>
          <w:i/>
          <w:lang w:val="es-ES"/>
        </w:rPr>
        <w:t xml:space="preserve"> </w:t>
      </w:r>
      <w:r w:rsidR="005D0F06" w:rsidRPr="000D1029">
        <w:rPr>
          <w:rFonts w:ascii="Times New Roman" w:hAnsi="Times New Roman" w:cs="Times New Roman"/>
          <w:i/>
          <w:lang w:val="es-ES"/>
        </w:rPr>
        <w:t>El Comité observa que, hasta la fecha, el Estado parte no ha aducido ejemplos de aplicación de artículos del Pacto por los tribunales nacionales y que el lugar que ocupa el Pacto en el ordenamiento jurídico inter</w:t>
      </w:r>
      <w:r w:rsidR="005E6FB0" w:rsidRPr="000D1029">
        <w:rPr>
          <w:rFonts w:ascii="Times New Roman" w:hAnsi="Times New Roman" w:cs="Times New Roman"/>
          <w:i/>
          <w:lang w:val="es-ES"/>
        </w:rPr>
        <w:t>no no queda totalmente claro. (A</w:t>
      </w:r>
      <w:r w:rsidR="005D0F06" w:rsidRPr="000D1029">
        <w:rPr>
          <w:rFonts w:ascii="Times New Roman" w:hAnsi="Times New Roman" w:cs="Times New Roman"/>
          <w:i/>
          <w:lang w:val="es-ES"/>
        </w:rPr>
        <w:t>rt. 2).</w:t>
      </w:r>
    </w:p>
    <w:p w:rsidR="005D0F06" w:rsidRPr="000D1029" w:rsidRDefault="005D0F06" w:rsidP="00AB6DC7">
      <w:pPr>
        <w:spacing w:line="240" w:lineRule="auto"/>
        <w:rPr>
          <w:rFonts w:ascii="Times New Roman" w:hAnsi="Times New Roman" w:cs="Times New Roman"/>
          <w:i/>
          <w:lang w:val="es-ES"/>
        </w:rPr>
      </w:pPr>
    </w:p>
    <w:p w:rsidR="005D0F06" w:rsidRPr="000D1029" w:rsidRDefault="005D0F06" w:rsidP="00AB6DC7">
      <w:pPr>
        <w:spacing w:line="240" w:lineRule="auto"/>
        <w:rPr>
          <w:rFonts w:ascii="Times New Roman" w:hAnsi="Times New Roman" w:cs="Times New Roman"/>
          <w:b/>
          <w:i/>
          <w:lang w:val="es-ES"/>
        </w:rPr>
      </w:pPr>
      <w:r w:rsidRPr="000D1029">
        <w:rPr>
          <w:rFonts w:ascii="Times New Roman" w:hAnsi="Times New Roman" w:cs="Times New Roman"/>
          <w:b/>
          <w:i/>
          <w:lang w:val="es-ES"/>
        </w:rPr>
        <w:t xml:space="preserve"> </w:t>
      </w:r>
      <w:r w:rsidR="00A417FE">
        <w:rPr>
          <w:rFonts w:ascii="Times New Roman" w:hAnsi="Times New Roman" w:cs="Times New Roman"/>
          <w:b/>
          <w:i/>
          <w:lang w:val="es-ES"/>
        </w:rPr>
        <w:t>2</w:t>
      </w:r>
      <w:r w:rsidRPr="000D1029">
        <w:rPr>
          <w:rFonts w:ascii="Times New Roman" w:hAnsi="Times New Roman" w:cs="Times New Roman"/>
          <w:b/>
          <w:i/>
          <w:lang w:val="es-ES"/>
        </w:rPr>
        <w:t>. El Estado Parte debe estipular claramente la primacía del Pacto sobre el derecho interno. En su próximo informe periódico, el Estado parte debe incluir ejemplos de la aplicación del Pacto por los tribunales nacionales, y del acceso a los recursos previstos en la legislación por las personas cuyos derechos enunciados en el Pacto hayan sido violados.</w:t>
      </w:r>
      <w:r w:rsidRPr="000D1029">
        <w:rPr>
          <w:rFonts w:ascii="Times New Roman" w:hAnsi="Times New Roman" w:cs="Times New Roman"/>
          <w:b/>
          <w:i/>
          <w:lang w:val="es-ES"/>
        </w:rPr>
        <w:cr/>
      </w:r>
    </w:p>
    <w:p w:rsidR="005D0F06" w:rsidRPr="008D373C" w:rsidRDefault="00A417FE" w:rsidP="00AB6DC7">
      <w:pPr>
        <w:spacing w:line="240" w:lineRule="auto"/>
        <w:rPr>
          <w:rFonts w:ascii="Times New Roman" w:hAnsi="Times New Roman" w:cs="Times New Roman"/>
          <w:b/>
          <w:i/>
          <w:color w:val="FF0000"/>
          <w:lang w:val="es-ES"/>
        </w:rPr>
      </w:pPr>
      <w:r>
        <w:rPr>
          <w:rFonts w:ascii="Times New Roman" w:hAnsi="Times New Roman" w:cs="Times New Roman"/>
          <w:b/>
          <w:lang w:val="es-ES"/>
        </w:rPr>
        <w:t>3</w:t>
      </w:r>
      <w:r w:rsidR="005D0F06" w:rsidRPr="000D1029">
        <w:rPr>
          <w:rFonts w:ascii="Times New Roman" w:hAnsi="Times New Roman" w:cs="Times New Roman"/>
          <w:b/>
          <w:lang w:val="es-ES"/>
        </w:rPr>
        <w:t>. Respuesta del Estado dominicano</w:t>
      </w:r>
      <w:r w:rsidR="005D0F06" w:rsidRPr="000D1029">
        <w:rPr>
          <w:rFonts w:ascii="Times New Roman" w:hAnsi="Times New Roman" w:cs="Times New Roman"/>
          <w:lang w:val="es-ES"/>
        </w:rPr>
        <w:t>:</w:t>
      </w:r>
      <w:r w:rsidR="005D0F06" w:rsidRPr="000D1029">
        <w:rPr>
          <w:rFonts w:ascii="Times New Roman" w:hAnsi="Times New Roman" w:cs="Times New Roman"/>
          <w:b/>
          <w:lang w:val="es-ES"/>
        </w:rPr>
        <w:t xml:space="preserve"> </w:t>
      </w:r>
      <w:r w:rsidR="003A2E3F" w:rsidRPr="000D1029">
        <w:rPr>
          <w:rFonts w:ascii="Times New Roman" w:hAnsi="Times New Roman" w:cs="Times New Roman"/>
          <w:lang w:val="es-DO"/>
        </w:rPr>
        <w:t xml:space="preserve">La </w:t>
      </w:r>
      <w:r w:rsidR="005D0F06" w:rsidRPr="000D1029">
        <w:rPr>
          <w:rFonts w:ascii="Times New Roman" w:hAnsi="Times New Roman" w:cs="Times New Roman"/>
          <w:lang w:val="es-DO"/>
        </w:rPr>
        <w:t xml:space="preserve">Constitución </w:t>
      </w:r>
      <w:r w:rsidR="003A2E3F" w:rsidRPr="000D1029">
        <w:rPr>
          <w:rFonts w:ascii="Times New Roman" w:hAnsi="Times New Roman" w:cs="Times New Roman"/>
          <w:lang w:val="es-DO"/>
        </w:rPr>
        <w:t>d</w:t>
      </w:r>
      <w:r w:rsidR="005D0F06" w:rsidRPr="000D1029">
        <w:rPr>
          <w:rFonts w:ascii="Times New Roman" w:hAnsi="Times New Roman" w:cs="Times New Roman"/>
          <w:lang w:val="es-DO"/>
        </w:rPr>
        <w:t xml:space="preserve">ominicana establece en su Artículo 26: </w:t>
      </w:r>
      <w:r w:rsidR="005D0F06" w:rsidRPr="000D1029">
        <w:rPr>
          <w:rFonts w:ascii="Times New Roman" w:hAnsi="Times New Roman" w:cs="Times New Roman"/>
          <w:i/>
          <w:lang w:val="es-ES"/>
        </w:rPr>
        <w:t>“</w:t>
      </w:r>
      <w:r w:rsidR="005D0F06" w:rsidRPr="000D1029">
        <w:rPr>
          <w:rFonts w:ascii="Times New Roman" w:hAnsi="Times New Roman" w:cs="Times New Roman"/>
          <w:lang w:val="es-DO"/>
        </w:rPr>
        <w:t>La República Dominicana es un Estado miembro de la comunidad internacional, abierto a la cooperación y apegado a las normas del derecho internacional, en consecuencia:</w:t>
      </w:r>
      <w:r w:rsidR="008D373C">
        <w:rPr>
          <w:rFonts w:ascii="Times New Roman" w:hAnsi="Times New Roman" w:cs="Times New Roman"/>
          <w:b/>
          <w:i/>
          <w:color w:val="FF0000"/>
          <w:lang w:val="es-ES"/>
        </w:rPr>
        <w:t xml:space="preserve"> </w:t>
      </w:r>
      <w:r w:rsidR="005D0F06" w:rsidRPr="008D373C">
        <w:rPr>
          <w:rFonts w:ascii="Times New Roman" w:hAnsi="Times New Roman" w:cs="Times New Roman"/>
          <w:lang w:val="es-DO"/>
        </w:rPr>
        <w:t>Reconoce y aplica las normas del derecho internacional, general y americano, en la medida en que sus poderes públicos las hayan adoptado;</w:t>
      </w:r>
      <w:r w:rsidR="008D373C">
        <w:rPr>
          <w:rFonts w:ascii="Times New Roman" w:hAnsi="Times New Roman" w:cs="Times New Roman"/>
          <w:b/>
          <w:i/>
          <w:color w:val="FF0000"/>
          <w:lang w:val="es-ES"/>
        </w:rPr>
        <w:t xml:space="preserve"> </w:t>
      </w:r>
      <w:r w:rsidR="005D0F06" w:rsidRPr="008D373C">
        <w:rPr>
          <w:rFonts w:ascii="Times New Roman" w:hAnsi="Times New Roman" w:cs="Times New Roman"/>
          <w:lang w:val="es-DO"/>
        </w:rPr>
        <w:t>Las normas vigentes de convenios internacionales ratificados regirán en el ámbito interno, una vez publicados de manera oficial;</w:t>
      </w:r>
      <w:r w:rsidR="008D373C">
        <w:rPr>
          <w:rFonts w:ascii="Times New Roman" w:hAnsi="Times New Roman" w:cs="Times New Roman"/>
          <w:b/>
          <w:i/>
          <w:color w:val="FF0000"/>
          <w:lang w:val="es-ES"/>
        </w:rPr>
        <w:t xml:space="preserve"> </w:t>
      </w:r>
      <w:r w:rsidR="005D0F06" w:rsidRPr="008D373C">
        <w:rPr>
          <w:rFonts w:ascii="Times New Roman" w:hAnsi="Times New Roman" w:cs="Times New Roman"/>
          <w:lang w:val="es-DO"/>
        </w:rPr>
        <w:t>Las relaciones internacionales de la República Dominicana se fundamentan y rigen por la afirmación y promoción de sus valores e intereses nacionales, el respeto a los derechos humanos y al derecho internacional;</w:t>
      </w:r>
      <w:r w:rsidR="008D373C">
        <w:rPr>
          <w:rFonts w:ascii="Times New Roman" w:hAnsi="Times New Roman" w:cs="Times New Roman"/>
          <w:b/>
          <w:i/>
          <w:color w:val="FF0000"/>
          <w:lang w:val="es-ES"/>
        </w:rPr>
        <w:t xml:space="preserve"> </w:t>
      </w:r>
      <w:r w:rsidR="005D0F06" w:rsidRPr="008D373C">
        <w:rPr>
          <w:rFonts w:ascii="Times New Roman" w:hAnsi="Times New Roman" w:cs="Times New Roman"/>
          <w:lang w:val="es-DO"/>
        </w:rPr>
        <w:t>En igualdad de condiciones con otros Estados, la República Dominicana acepta un ordenamiento jurídico internacional que garantice el respeto de los derechos fundamentales, la paz, la justicia, y el desarrollo político, social, económico y cultural de las naciones. Se compromete a actuar en el plano internacional, regional y nacional de modo compatible con los intereses nacionales, la convivencia pacífica entre los pueblos y los deberes de solidaridad con todas las naciones;</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4</w:t>
      </w:r>
      <w:r w:rsidR="005D0F06" w:rsidRPr="000D1029">
        <w:rPr>
          <w:rFonts w:ascii="Times New Roman" w:hAnsi="Times New Roman" w:cs="Times New Roman"/>
          <w:lang w:val="es-DO"/>
        </w:rPr>
        <w:t xml:space="preserve">. </w:t>
      </w:r>
      <w:r w:rsidR="003A2E3F" w:rsidRPr="000D1029">
        <w:rPr>
          <w:rFonts w:ascii="Times New Roman" w:hAnsi="Times New Roman" w:cs="Times New Roman"/>
          <w:lang w:val="es-DO"/>
        </w:rPr>
        <w:t xml:space="preserve">Por igual, </w:t>
      </w:r>
      <w:r w:rsidR="005D0F06" w:rsidRPr="000D1029">
        <w:rPr>
          <w:rFonts w:ascii="Times New Roman" w:hAnsi="Times New Roman" w:cs="Times New Roman"/>
          <w:lang w:val="es-DO"/>
        </w:rPr>
        <w:t>en sus Artículos 37 y siguientes</w:t>
      </w:r>
      <w:r w:rsidR="003A2E3F" w:rsidRPr="000D1029">
        <w:rPr>
          <w:rFonts w:ascii="Times New Roman" w:hAnsi="Times New Roman" w:cs="Times New Roman"/>
          <w:lang w:val="es-DO"/>
        </w:rPr>
        <w:t xml:space="preserve"> consagra </w:t>
      </w:r>
      <w:r w:rsidR="005D0F06" w:rsidRPr="000D1029">
        <w:rPr>
          <w:rFonts w:ascii="Times New Roman" w:hAnsi="Times New Roman" w:cs="Times New Roman"/>
          <w:lang w:val="es-DO"/>
        </w:rPr>
        <w:t>l</w:t>
      </w:r>
      <w:r w:rsidR="003A2E3F" w:rsidRPr="000D1029">
        <w:rPr>
          <w:rFonts w:ascii="Times New Roman" w:hAnsi="Times New Roman" w:cs="Times New Roman"/>
          <w:lang w:val="es-DO"/>
        </w:rPr>
        <w:t>os Derechos Civiles y Políticos</w:t>
      </w:r>
      <w:r w:rsidR="005D0F06" w:rsidRPr="000D1029">
        <w:rPr>
          <w:rFonts w:ascii="Times New Roman" w:hAnsi="Times New Roman" w:cs="Times New Roman"/>
          <w:lang w:val="es-DO"/>
        </w:rPr>
        <w:t xml:space="preserve">: el derecho a la vida, a la dignidad humana, a la igualdad, a la libertad y seguridad personal, prohibición de la esclavitud, derecho a la integridad personal, derecho al libre desarrollo de la personalidad, derecho a la intimidad y el honor personal, a la libertad de conciencia y de cultos, a la libertad de tránsito, a la libertad de asociación, de reunión, y de expresión e información. </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5</w:t>
      </w:r>
      <w:r w:rsidR="005D0F06" w:rsidRPr="000D1029">
        <w:rPr>
          <w:rFonts w:ascii="Times New Roman" w:hAnsi="Times New Roman" w:cs="Times New Roman"/>
          <w:lang w:val="es-DO"/>
        </w:rPr>
        <w:t>. Por su parte, el Artículo 74 numeral 3) de la Constitución de la República Dominicana, complementa las referidas disposiciones, al otorgar rango constitucional a los instrumentos internacionales relativos a derechos humanos, estableciendo en este sentido:</w:t>
      </w:r>
      <w:r w:rsidR="005B09D5" w:rsidRPr="000D1029">
        <w:rPr>
          <w:rFonts w:ascii="Times New Roman" w:hAnsi="Times New Roman" w:cs="Times New Roman"/>
          <w:lang w:val="es-DO"/>
        </w:rPr>
        <w:t xml:space="preserve"> </w:t>
      </w:r>
      <w:r w:rsidR="005D0F06" w:rsidRPr="000D1029">
        <w:rPr>
          <w:rFonts w:ascii="Times New Roman" w:hAnsi="Times New Roman" w:cs="Times New Roman"/>
          <w:i/>
          <w:lang w:val="es-DO"/>
        </w:rPr>
        <w:t>“Artículo 74.- Principios de reglamentación e interpretación. La interpretación y reglamentación de los derechos y garantías fundamentales, reconocidos en la presente Constitución, se rigen por los principios siguientes: (…) 3) Los tratados, pactos y convenciones relativos a derechos humanos, suscritos y ratificados por el Estado dominicano, tienen jerarquía constitucional y son de aplicación directa e inmediata por los tribunales y demás órganos del Estado (…)”</w:t>
      </w:r>
      <w:r w:rsidR="005B09D5" w:rsidRPr="000D1029">
        <w:rPr>
          <w:rFonts w:ascii="Times New Roman" w:hAnsi="Times New Roman" w:cs="Times New Roman"/>
          <w:i/>
          <w:lang w:val="es-DO"/>
        </w:rPr>
        <w:t>.</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6</w:t>
      </w:r>
      <w:r w:rsidR="005D0F06" w:rsidRPr="000D1029">
        <w:rPr>
          <w:rFonts w:ascii="Times New Roman" w:hAnsi="Times New Roman" w:cs="Times New Roman"/>
          <w:lang w:val="es-DO"/>
        </w:rPr>
        <w:t>. La Constitución Dominicana y el Código Procesal Penal, desarrollan un conjunto de garantías mínima</w:t>
      </w:r>
      <w:r w:rsidR="008E5BBF" w:rsidRPr="000D1029">
        <w:rPr>
          <w:rFonts w:ascii="Times New Roman" w:hAnsi="Times New Roman" w:cs="Times New Roman"/>
          <w:lang w:val="es-DO"/>
        </w:rPr>
        <w:t>s, que han sido contempladas como</w:t>
      </w:r>
      <w:r w:rsidR="005D0F06" w:rsidRPr="000D1029">
        <w:rPr>
          <w:rFonts w:ascii="Times New Roman" w:hAnsi="Times New Roman" w:cs="Times New Roman"/>
          <w:lang w:val="es-DO"/>
        </w:rPr>
        <w:t xml:space="preserve"> instrumentos internacionales que el Estado reconoce y aplica, vinculadas directamente con la garantía del derecho de defensa en el proceso penal; es así como la aplicación del indicado Código Procesal Penal tiende a otorgar a los procesados las garantías necesarias para la protección de los derechos fundamentales, así como, para mejorar las condiciones de encarcelamiento entre otras garantías mínimas. A saber:</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lastRenderedPageBreak/>
        <w:t>La aplicación de la Resolución No. 296-2005, reglamento que norma al Juez de la Ejecución de la Pena, quien controla el cumplimiento adecuado de las sentencias condenatorias y resuelve las cuestiones que se susciten durante la ejecución, y es quien ha de vigilar el cumplimiento de las Reglas Mínimas para el Tratamiento de los Reclusos de las Naciones Unidas; siendo así, el Juez de la Ejecución de la Pena, el garante de los derechos fundamentales de los reclusos.</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t xml:space="preserve">La Resolución No. 1920-2003, del 13 de noviembre del 2003, sobre las medidas anticipadas a la vigencia del Código Procesal Penal, que fue preparando el terreno para la exitosa aplicación de la referida normativa, pues se establece en ella, las garantías mínimas del debido proceso de ley.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i/>
          <w:lang w:val="es-DO"/>
        </w:rPr>
      </w:pPr>
      <w:r w:rsidRPr="000D1029">
        <w:rPr>
          <w:rFonts w:ascii="Times New Roman" w:hAnsi="Times New Roman" w:cs="Times New Roman"/>
          <w:lang w:val="es-DO"/>
        </w:rPr>
        <w:t xml:space="preserve">La Suprema Corte de Justicia mediante la indicada Resolución, reconoce el rango constitucional que obtienen los tratados internacionales una vez que han sido aprobados por el Congreso Nacional estableciendo en uno de sus atendidos lo siguiente: </w:t>
      </w:r>
      <w:r w:rsidRPr="000D1029">
        <w:rPr>
          <w:rFonts w:ascii="Times New Roman" w:hAnsi="Times New Roman" w:cs="Times New Roman"/>
          <w:i/>
          <w:lang w:val="es-DO"/>
        </w:rPr>
        <w:t xml:space="preserve">‘’Atendido, que la República Dominicana tiene un sistema constitucional integrado por disposiciones de igual jerarquía que emanan de dos fuentes normativas esenciales: a) la fuente nacional, que se encuentra formada por la Constitución y la jurisprudencia constitucional local tanto la dictada mediante el control difuso por todos los tribunales del país incluyendo la propia Suprema Corte de Justicia, y el control concentrado ejercido por el máximo tribunal judicial; y b) la fuente internacional, compuesta por los pactos y convenciones internacionales, las opiniones consultivas y las decisiones emanadas de la Corte Interamericana de los Derechos Humanos; fuentes normativas éstas que en su conjunto integran el bloque de constitucionalidad, al cual está sujeta la validez formal y material de toda legislación adjetiva o secundaria’’.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t xml:space="preserve">La creación de la Oficina Nacional para la Defensa Judicial, mediante Resolución del Pleno de la Suprema Corte de Justicia No. 512-2002, de fecha 19 de abril de 2002;  convirtiéndose posteriormente mediante Ley No. 277-04 en el Servicio Nacional de Defensa Pública. </w:t>
      </w:r>
      <w:r w:rsidR="00812AEC" w:rsidRPr="000D1029">
        <w:rPr>
          <w:rFonts w:ascii="Times New Roman" w:hAnsi="Times New Roman" w:cs="Times New Roman"/>
          <w:lang w:val="es-DO"/>
        </w:rPr>
        <w:t xml:space="preserve"> </w:t>
      </w:r>
      <w:r w:rsidRPr="000D1029">
        <w:rPr>
          <w:rFonts w:ascii="Times New Roman" w:hAnsi="Times New Roman" w:cs="Times New Roman"/>
          <w:lang w:val="es-DO"/>
        </w:rPr>
        <w:t>La Oficina Nacional de Defensa Pública, garantiza la asistencia técnica a los imputados, y con ello que los derechos consagrados en la Constitución de la República, en el Código Procesal Penal y en los tratados internacionales, sean  aplicados y respetados.</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t xml:space="preserve">Otras acciones que fortalecen el acceso a la justicia lo constituyen las emprendidas para organizar, sistematizar y distribuir información actualizada y oportuna, como son: la puesta en marcha de los Centros de Información y Orientación Ciudadana, el sitio web institucional, las líneas telefónicas de información gratuitas, el Centro de Información y Documentación Judicial Dominicano, la Oficina de Acceso a la Información Pública, los boletines estadísticos y judiciales, entre otras.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t>La creación de los tribunales especializados de Niños, Niñas y Adolescentes, la formación de los primeros defensores públicos penales juveniles, la creación del Centro de Mediación Familiar para la solución de conflictos alternos a la vía judicial, el establecimiento del procedimiento de la ejecución de la sanción de la persona adolescente y la elaboración de un plan de capacitación.</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lastRenderedPageBreak/>
        <w:t>La Suprema Corte de Justicia mediante Resolución No. 402-2006, de fecha 9 de marzo de 2006, adoptó como política pública del Poder Judicial la Resolución Alterna de Conflictos.</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t>El Poder Judicial ha adoptado medios para mejorar el acceso a la justicia de las personas en condiciones de vulnerabilidad, a través de la creación de: Centros de Entrevistas, Centros de Mediación, Observatorio de Justicia y Género; e Iniciativas para el establecimiento de la Política de Discapacidad.</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t xml:space="preserve">El Manual Operativo del Observatorio de Justicia y Género Mediante, aprobado mediante Acta No. 27/2010, de fecha diecinueve (19) de agosto de 2010, del Pleno de la Suprema Corte de Justicia de la República Dominicana; como órgano encargado de dar seguimiento a las sentencias y demás resoluciones judiciales dictadas en éste ámbito, a fin de plantear pautas de actuación en el seno del Poder Judicial y, a la vez sugerir aquellas modificaciones legislativas que se consideren necesarias para lograr una mayor eficacia y contundencia en la respuesta judicial.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7"/>
        </w:numPr>
        <w:spacing w:line="240" w:lineRule="auto"/>
        <w:rPr>
          <w:rFonts w:ascii="Times New Roman" w:hAnsi="Times New Roman" w:cs="Times New Roman"/>
          <w:lang w:val="es-DO"/>
        </w:rPr>
      </w:pPr>
      <w:r w:rsidRPr="000D1029">
        <w:rPr>
          <w:rFonts w:ascii="Times New Roman" w:hAnsi="Times New Roman" w:cs="Times New Roman"/>
          <w:lang w:val="es-DO"/>
        </w:rPr>
        <w:t xml:space="preserve">El establecimiento en el país </w:t>
      </w:r>
      <w:r w:rsidR="005F4307" w:rsidRPr="000D1029">
        <w:rPr>
          <w:rFonts w:ascii="Times New Roman" w:hAnsi="Times New Roman" w:cs="Times New Roman"/>
          <w:lang w:val="es-DO"/>
        </w:rPr>
        <w:t xml:space="preserve">de </w:t>
      </w:r>
      <w:r w:rsidRPr="000D1029">
        <w:rPr>
          <w:rFonts w:ascii="Times New Roman" w:hAnsi="Times New Roman" w:cs="Times New Roman"/>
          <w:lang w:val="es-DO"/>
        </w:rPr>
        <w:t>los Centros de Entrevistas para ser utilizados por mujeres víctimas de violencia; y para grupos de personas que se encontraren en tales condiciones, por razones de  raza, género, edad, entre otros.</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7</w:t>
      </w:r>
      <w:r w:rsidR="005F4307" w:rsidRPr="000D1029">
        <w:rPr>
          <w:rFonts w:ascii="Times New Roman" w:hAnsi="Times New Roman" w:cs="Times New Roman"/>
          <w:lang w:val="es-DO"/>
        </w:rPr>
        <w:t xml:space="preserve">. </w:t>
      </w:r>
      <w:r w:rsidR="005D0F06" w:rsidRPr="000D1029">
        <w:rPr>
          <w:rFonts w:ascii="Times New Roman" w:hAnsi="Times New Roman" w:cs="Times New Roman"/>
          <w:lang w:val="es-DO"/>
        </w:rPr>
        <w:t>Con relación a la aplicación del Pacto de Derechos Civiles y Políticos por los tribunales nacionales, y al acceso a los recursos previstos en la legislación por las personas cuyos derechos enunciados en el Pacto hayan sido violados, nos permitimos precisarle:</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La Constitución de la República Dominicana establece en sus Artículo 68 y siguientes, las Garantías de los Derechos Fundamentales. A saber</w:t>
      </w:r>
      <w:r w:rsidR="00F46FD7" w:rsidRPr="000D1029">
        <w:rPr>
          <w:rFonts w:ascii="Times New Roman" w:hAnsi="Times New Roman" w:cs="Times New Roman"/>
          <w:lang w:val="es-DO"/>
        </w:rPr>
        <w:t>: “</w:t>
      </w:r>
      <w:r w:rsidRPr="000D1029">
        <w:rPr>
          <w:rFonts w:ascii="Times New Roman" w:hAnsi="Times New Roman" w:cs="Times New Roman"/>
          <w:i/>
          <w:lang w:val="es-DO"/>
        </w:rPr>
        <w:t>Artículo 68.- Garantías de los derechos fundamentales. La Constitución garantiza la efectividad de los derechos fundamentales, a través de los mecanismos de tutela y protección, que ofrecen a la persona la posibilidad de obtener la satisfacción de sus derechos, frente a los sujetos obligados o deudores de los mismos. Los derechos fundamentales vinculan a todos los poderes públicos, los cuales deben garantizar su efectividad en los términos establecidos por la presente Constitución y por la ley”.</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8</w:t>
      </w:r>
      <w:r w:rsidR="005D0F06" w:rsidRPr="000D1029">
        <w:rPr>
          <w:rFonts w:ascii="Times New Roman" w:hAnsi="Times New Roman" w:cs="Times New Roman"/>
          <w:lang w:val="es-DO"/>
        </w:rPr>
        <w:t xml:space="preserve">. Debemos precisar que lo anteriormente expresado, no libera al Estado de responsabilidad, ya que el texto vincula a los poderes públicos como garantes de la efectividad de los derechos fundamentales, correspondiendo, pues a éstos, el establecimiento de los instrumentos necesarios para el logro de esa efectividad, dentro de los términos establecidos por la propia Constitución y las leyes. </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9</w:t>
      </w:r>
      <w:r w:rsidR="005D0F06" w:rsidRPr="000D1029">
        <w:rPr>
          <w:rFonts w:ascii="Times New Roman" w:hAnsi="Times New Roman" w:cs="Times New Roman"/>
          <w:lang w:val="es-DO"/>
        </w:rPr>
        <w:t xml:space="preserve">. El texto Constitucional establece una distinción entre el deudor de los derechos y el garante de éstos, que será siempre el Estado; es decir, la regulación de la garantía por la propia Constitución y las leyes fija el alcance de la obligación del Estado. </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i/>
          <w:lang w:val="es-DO"/>
        </w:rPr>
      </w:pPr>
      <w:r>
        <w:rPr>
          <w:rFonts w:ascii="Times New Roman" w:hAnsi="Times New Roman" w:cs="Times New Roman"/>
          <w:i/>
          <w:lang w:val="es-DO"/>
        </w:rPr>
        <w:t>10</w:t>
      </w:r>
      <w:r w:rsidR="005D0F06" w:rsidRPr="000D1029">
        <w:rPr>
          <w:rFonts w:ascii="Times New Roman" w:hAnsi="Times New Roman" w:cs="Times New Roman"/>
          <w:i/>
          <w:lang w:val="es-DO"/>
        </w:rPr>
        <w:t xml:space="preserve">. “Artículo 69.- Tutela judicial efectiva y debido proceso. Toda persona, en el ejercicio de sus derechos e intereses legítimos, tiene derecho a obtener la tutela judicial efectiva, con respeto del debido proceso que estará conformado por las garantías mínimas que se establecen a continuación: 1) El derecho a una justicia accesible, oportuna y gratuita; 2) El derecho a ser oída, dentro de un plazo razonable y por una jurisdicción competente, independiente e imparcial, establecida con anterioridad por la ley; 3) El derecho a que se </w:t>
      </w:r>
      <w:r w:rsidR="005D0F06" w:rsidRPr="000D1029">
        <w:rPr>
          <w:rFonts w:ascii="Times New Roman" w:hAnsi="Times New Roman" w:cs="Times New Roman"/>
          <w:i/>
          <w:lang w:val="es-DO"/>
        </w:rPr>
        <w:lastRenderedPageBreak/>
        <w:t>presuma su inocencia y a ser tratada como tal, mientras no se haya declarado su culpabilidad por sentencia irrevocable; 4) El derecho a un juicio público, oral y contradictorio, en plena igualdad y con respeto al derecho de defensa; 5) Ninguna persona puede ser juzgada dos veces por una misma causa; 6) Nadie podrá ser obligado a declarar contra sí mismo; 7) Ninguna persona podrá ser juzgada sino conforme a leyes preexistentes al acto que se le imputa, ante juez o tribunal competente y con observancia de la plenitud de las formalidades propias de cada juicio; 8) Es nula toda prueba obtenida en violación a la ley; 9) Toda sentencia puede ser recurrida de conformidad con la ley. El tribunal superior no podrá agravar la sanción impuesta cuando sólo la persona condenada recurra la sentencia; 10) Las normas del debido proceso se aplicarán a toda clase de actuaciones judiciales y administrativas”.</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11</w:t>
      </w:r>
      <w:r w:rsidR="005F4307" w:rsidRPr="000D1029">
        <w:rPr>
          <w:rFonts w:ascii="Times New Roman" w:hAnsi="Times New Roman" w:cs="Times New Roman"/>
          <w:lang w:val="es-DO"/>
        </w:rPr>
        <w:t xml:space="preserve">. </w:t>
      </w:r>
      <w:r w:rsidR="005D0F06" w:rsidRPr="000D1029">
        <w:rPr>
          <w:rFonts w:ascii="Times New Roman" w:hAnsi="Times New Roman" w:cs="Times New Roman"/>
          <w:lang w:val="es-DO"/>
        </w:rPr>
        <w:t>Con relación a los recursos a disposición de las personas que consideren vulnerados sus derechos, nos permitimos precisarle:</w:t>
      </w:r>
      <w:r w:rsidR="005F4307" w:rsidRPr="000D1029">
        <w:rPr>
          <w:rFonts w:ascii="Times New Roman" w:hAnsi="Times New Roman" w:cs="Times New Roman"/>
          <w:lang w:val="es-DO"/>
        </w:rPr>
        <w:t xml:space="preserve"> </w:t>
      </w:r>
      <w:r w:rsidR="005D0F06" w:rsidRPr="000D1029">
        <w:rPr>
          <w:rFonts w:ascii="Times New Roman" w:hAnsi="Times New Roman" w:cs="Times New Roman"/>
          <w:lang w:val="es-DO"/>
        </w:rPr>
        <w:t>La Constitución de la República Dominicana prevé</w:t>
      </w:r>
      <w:r w:rsidR="0087431E" w:rsidRPr="000D1029">
        <w:rPr>
          <w:rFonts w:ascii="Times New Roman" w:hAnsi="Times New Roman" w:cs="Times New Roman"/>
          <w:lang w:val="es-DO"/>
        </w:rPr>
        <w:t xml:space="preserve"> el Hábeas Data (Art. 70), el Hábeas Corpus (Art. 71)  y </w:t>
      </w:r>
      <w:r w:rsidR="003D38A2" w:rsidRPr="000D1029">
        <w:rPr>
          <w:rFonts w:ascii="Times New Roman" w:hAnsi="Times New Roman" w:cs="Times New Roman"/>
          <w:lang w:val="es-DO"/>
        </w:rPr>
        <w:t>el</w:t>
      </w:r>
      <w:r w:rsidR="0087431E" w:rsidRPr="000D1029">
        <w:rPr>
          <w:rFonts w:ascii="Times New Roman" w:hAnsi="Times New Roman" w:cs="Times New Roman"/>
          <w:lang w:val="es-DO"/>
        </w:rPr>
        <w:t xml:space="preserve"> Amparo (Art. 72).</w:t>
      </w:r>
    </w:p>
    <w:p w:rsidR="0087431E" w:rsidRPr="000D1029" w:rsidRDefault="0087431E" w:rsidP="00AB6DC7">
      <w:pPr>
        <w:spacing w:line="240" w:lineRule="auto"/>
        <w:rPr>
          <w:rFonts w:ascii="Times New Roman" w:hAnsi="Times New Roman" w:cs="Times New Roman"/>
          <w:i/>
          <w:lang w:val="es-DO"/>
        </w:rPr>
      </w:pPr>
    </w:p>
    <w:p w:rsidR="005D0F06" w:rsidRPr="000D1029" w:rsidRDefault="00A417FE" w:rsidP="00AB6DC7">
      <w:pPr>
        <w:spacing w:line="240" w:lineRule="auto"/>
        <w:rPr>
          <w:rFonts w:ascii="Times New Roman" w:hAnsi="Times New Roman" w:cs="Times New Roman"/>
          <w:i/>
          <w:lang w:val="es-DO"/>
        </w:rPr>
      </w:pPr>
      <w:r>
        <w:rPr>
          <w:rFonts w:ascii="Times New Roman" w:hAnsi="Times New Roman" w:cs="Times New Roman"/>
          <w:lang w:val="es-DO"/>
        </w:rPr>
        <w:t xml:space="preserve">12. </w:t>
      </w:r>
      <w:r w:rsidR="0087431E" w:rsidRPr="000D1029">
        <w:rPr>
          <w:rFonts w:ascii="Times New Roman" w:hAnsi="Times New Roman" w:cs="Times New Roman"/>
          <w:lang w:val="es-DO"/>
        </w:rPr>
        <w:t>Por otro lado, l</w:t>
      </w:r>
      <w:r w:rsidR="005D0F06" w:rsidRPr="000D1029">
        <w:rPr>
          <w:rFonts w:ascii="Times New Roman" w:hAnsi="Times New Roman" w:cs="Times New Roman"/>
          <w:lang w:val="es-DO"/>
        </w:rPr>
        <w:t>a Constitución dispone en su Artículo 73</w:t>
      </w:r>
      <w:r w:rsidR="0087431E" w:rsidRPr="000D1029">
        <w:rPr>
          <w:rFonts w:ascii="Times New Roman" w:hAnsi="Times New Roman" w:cs="Times New Roman"/>
          <w:lang w:val="es-DO"/>
        </w:rPr>
        <w:t xml:space="preserve"> que</w:t>
      </w:r>
      <w:r w:rsidR="005D0F06" w:rsidRPr="000D1029">
        <w:rPr>
          <w:rFonts w:ascii="Times New Roman" w:hAnsi="Times New Roman" w:cs="Times New Roman"/>
          <w:lang w:val="es-DO"/>
        </w:rPr>
        <w:t>:</w:t>
      </w:r>
      <w:r w:rsidR="005D0F06" w:rsidRPr="000D1029">
        <w:rPr>
          <w:rFonts w:ascii="Times New Roman" w:hAnsi="Times New Roman" w:cs="Times New Roman"/>
          <w:i/>
          <w:lang w:val="es-DO"/>
        </w:rPr>
        <w:t xml:space="preserve"> “</w:t>
      </w:r>
      <w:r w:rsidR="0087431E" w:rsidRPr="000D1029">
        <w:rPr>
          <w:rFonts w:ascii="Times New Roman" w:hAnsi="Times New Roman" w:cs="Times New Roman"/>
          <w:i/>
          <w:lang w:val="es-DO"/>
        </w:rPr>
        <w:t xml:space="preserve">son </w:t>
      </w:r>
      <w:r w:rsidR="005D0F06" w:rsidRPr="000D1029">
        <w:rPr>
          <w:rFonts w:ascii="Times New Roman" w:hAnsi="Times New Roman" w:cs="Times New Roman"/>
          <w:i/>
          <w:lang w:val="es-DO"/>
        </w:rPr>
        <w:t>nulos de pleno derecho los actos emanados de autoridad usurpada, las acciones o decisiones de los poderes públicos, instituciones o personas que alteren o subviertan el orden constitucional y toda decisión acordada por requisición de fuerza armada”.</w:t>
      </w:r>
    </w:p>
    <w:p w:rsidR="005D0F06" w:rsidRPr="000D1029" w:rsidRDefault="005D0F06" w:rsidP="00AB6DC7">
      <w:pPr>
        <w:spacing w:line="240" w:lineRule="auto"/>
        <w:rPr>
          <w:rFonts w:ascii="Times New Roman" w:hAnsi="Times New Roman" w:cs="Times New Roman"/>
          <w:lang w:val="es-DO"/>
        </w:rPr>
      </w:pPr>
    </w:p>
    <w:p w:rsidR="005D0F06" w:rsidRPr="000D1029" w:rsidRDefault="00C85001" w:rsidP="00AB6DC7">
      <w:pPr>
        <w:spacing w:line="240" w:lineRule="auto"/>
        <w:rPr>
          <w:rFonts w:ascii="Times New Roman" w:hAnsi="Times New Roman" w:cs="Times New Roman"/>
          <w:lang w:val="es-DO"/>
        </w:rPr>
      </w:pPr>
      <w:r w:rsidRPr="000D1029">
        <w:rPr>
          <w:rFonts w:ascii="Times New Roman" w:hAnsi="Times New Roman" w:cs="Times New Roman"/>
          <w:lang w:val="es-DO"/>
        </w:rPr>
        <w:t>1</w:t>
      </w:r>
      <w:r w:rsidR="00A417FE">
        <w:rPr>
          <w:rFonts w:ascii="Times New Roman" w:hAnsi="Times New Roman" w:cs="Times New Roman"/>
          <w:lang w:val="es-DO"/>
        </w:rPr>
        <w:t>3</w:t>
      </w:r>
      <w:r w:rsidR="005D0F06" w:rsidRPr="000D1029">
        <w:rPr>
          <w:rFonts w:ascii="Times New Roman" w:hAnsi="Times New Roman" w:cs="Times New Roman"/>
          <w:lang w:val="es-DO"/>
        </w:rPr>
        <w:t>. La nulidad de los actos que subviertan el orden constitucional, ciertamente, es un tema vinculado a la competencia de los diversos órganos que conforman el Estado, comprendida como la capacidad o aptitud que tienen para obrar válidamente en derecho.</w:t>
      </w:r>
    </w:p>
    <w:p w:rsidR="005D0F06" w:rsidRPr="000D1029" w:rsidRDefault="005D0F06" w:rsidP="00AB6DC7">
      <w:pPr>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14</w:t>
      </w:r>
      <w:r w:rsidR="005D0F06" w:rsidRPr="000D1029">
        <w:rPr>
          <w:rFonts w:ascii="Times New Roman" w:hAnsi="Times New Roman" w:cs="Times New Roman"/>
          <w:lang w:val="es-DO"/>
        </w:rPr>
        <w:t>. La actividad de todos los poderes públicos se encuentra sometida a la  Constitución de la República y las leyes, disposiciones que contienen normas a las que debe sujetarse en el ejercicio del poder el funcionario; es lo que se conoce como principio de legalidad administrativa. Por ello, los actos ejecutados por fuera de las facultades establecidas por la ley son nulos.</w:t>
      </w:r>
    </w:p>
    <w:p w:rsidR="005D0F06" w:rsidRPr="000D1029" w:rsidRDefault="005D0F06" w:rsidP="00AB6DC7">
      <w:pPr>
        <w:spacing w:line="240" w:lineRule="auto"/>
        <w:rPr>
          <w:rFonts w:ascii="Times New Roman" w:hAnsi="Times New Roman" w:cs="Times New Roman"/>
          <w:lang w:val="es-DO"/>
        </w:rPr>
      </w:pPr>
    </w:p>
    <w:p w:rsidR="008A5C17" w:rsidRPr="000D1029" w:rsidRDefault="00A417FE" w:rsidP="00AB6DC7">
      <w:pPr>
        <w:spacing w:line="240" w:lineRule="auto"/>
        <w:rPr>
          <w:rFonts w:ascii="Times New Roman" w:hAnsi="Times New Roman" w:cs="Times New Roman"/>
          <w:lang w:val="es-DO"/>
        </w:rPr>
      </w:pPr>
      <w:r>
        <w:rPr>
          <w:rFonts w:ascii="Times New Roman" w:hAnsi="Times New Roman" w:cs="Times New Roman"/>
          <w:lang w:val="es-DO"/>
        </w:rPr>
        <w:t>15</w:t>
      </w:r>
      <w:r w:rsidR="005D0F06" w:rsidRPr="000D1029">
        <w:rPr>
          <w:rFonts w:ascii="Times New Roman" w:hAnsi="Times New Roman" w:cs="Times New Roman"/>
          <w:lang w:val="es-DO"/>
        </w:rPr>
        <w:t>. Como ejemplo de decisiones recientes tomadas desde el ámbito judicial, en aplicación del Pacto de Derechos Civiles y Políticos, podemos citar</w:t>
      </w:r>
      <w:r w:rsidR="00FF44AE" w:rsidRPr="000D1029">
        <w:rPr>
          <w:rFonts w:ascii="Times New Roman" w:hAnsi="Times New Roman" w:cs="Times New Roman"/>
          <w:lang w:val="es-DO"/>
        </w:rPr>
        <w:t>: Sentencia</w:t>
      </w:r>
      <w:r w:rsidR="005D0F06" w:rsidRPr="000D1029">
        <w:rPr>
          <w:rFonts w:ascii="Times New Roman" w:hAnsi="Times New Roman" w:cs="Times New Roman"/>
          <w:lang w:val="es-DO"/>
        </w:rPr>
        <w:t xml:space="preserve"> No. 63, de fecha 31 de octubre de 2012, Salas Reunidas de la Suprema Corte de Justicia:</w:t>
      </w:r>
      <w:r w:rsidR="00FF44AE" w:rsidRPr="000D1029">
        <w:rPr>
          <w:rFonts w:ascii="Times New Roman" w:hAnsi="Times New Roman" w:cs="Times New Roman"/>
          <w:lang w:val="es-DO"/>
        </w:rPr>
        <w:t xml:space="preserve"> </w:t>
      </w:r>
      <w:r w:rsidR="005D0F06" w:rsidRPr="000D1029">
        <w:rPr>
          <w:rFonts w:ascii="Times New Roman" w:hAnsi="Times New Roman" w:cs="Times New Roman"/>
          <w:lang w:val="es-DO"/>
        </w:rPr>
        <w:t xml:space="preserve"> </w:t>
      </w:r>
    </w:p>
    <w:p w:rsidR="008A5C17" w:rsidRPr="000D1029" w:rsidRDefault="008A5C17"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 xml:space="preserve">Las Salas Reunidas de la Suprema Corte de Justicia, en atención al respeto de disposiciones de orden legal y constitucional, relativas al respeto de derechos fundamentales, dictó la sentencia con relación al recurso de casación incoado por el Procurador Adjunto de la República, Director de la Dirección Nacional de Persecución de la Corrupción Administrativa (DPCA) y 58. Coordinador General de los Fiscales Especiales contra Fraudes Bancarios, en el cual, en atención a la eventual afectación de derechos fundamentales que implicaba la investigación, como consecuencia de la incertidumbre de esperar posibles acciones contra de las personas señaladas como imputados, tales como arrestos, medidas de coerción, allanamientos, o acusaciones formales en contra de los presuntos implicados, </w:t>
      </w:r>
      <w:r w:rsidR="00AA3A45" w:rsidRPr="000D1029">
        <w:rPr>
          <w:rFonts w:ascii="Times New Roman" w:hAnsi="Times New Roman" w:cs="Times New Roman"/>
          <w:lang w:val="es-DO"/>
        </w:rPr>
        <w:t xml:space="preserve">   </w:t>
      </w:r>
      <w:r w:rsidRPr="000D1029">
        <w:rPr>
          <w:rFonts w:ascii="Times New Roman" w:hAnsi="Times New Roman" w:cs="Times New Roman"/>
          <w:lang w:val="es-DO"/>
        </w:rPr>
        <w:t xml:space="preserve">Las Salas Reunidas de la Suprema Corte de Justicia rechazaron el recurso de casación interpuesto bajo en entendido de que a los ciudadanos no se les realizó una simple entrevista de indagatorias preliminares, sino que se les interrogó de manera formal; dando el Ministerio Público a los interrogados un tratamiento de imputados, aplicando </w:t>
      </w:r>
      <w:r w:rsidRPr="000D1029">
        <w:rPr>
          <w:rFonts w:ascii="Times New Roman" w:hAnsi="Times New Roman" w:cs="Times New Roman"/>
          <w:lang w:val="es-DO"/>
        </w:rPr>
        <w:lastRenderedPageBreak/>
        <w:t xml:space="preserve">prerrogativas que han sido concebidas en el Código Procesal Penal a favor de los mismos, y en franca violación a sus derechos fundamentales.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Considerando en su decisión, Las Salas Reunidas de la Suprema Corte de Justicia que, por aplicación de los preceptos legales relativos a la duración máxima del proceso (establecidos en el Artículo 148 del Código Procesal Penal Dominicano), y sin que hubiese constancia en el expediente de la posibilidad de atribuir a los presuntos imputados actuaciones o incidentes retardatorios, dirigidos a prolongar más allá de lo debido el conocimiento de la acusación presentada en su contra, en razón de que los aplazamientos y sobreseimientos, en su mayor parte, resultaron de pedimentos de parte del Ministerio Público, no era posible atribuir el vencimiento de la duración máxima del proceso a los ciudadanos implicados en el proceso.</w:t>
      </w:r>
    </w:p>
    <w:p w:rsidR="005D0F06" w:rsidRPr="000D1029" w:rsidRDefault="005D0F06" w:rsidP="00AB6DC7">
      <w:pPr>
        <w:spacing w:line="240" w:lineRule="auto"/>
        <w:rPr>
          <w:rFonts w:ascii="Times New Roman" w:hAnsi="Times New Roman" w:cs="Times New Roman"/>
          <w:lang w:val="es-DO"/>
        </w:rPr>
      </w:pPr>
      <w:r w:rsidRPr="000D1029">
        <w:rPr>
          <w:rFonts w:ascii="Times New Roman" w:hAnsi="Times New Roman" w:cs="Times New Roman"/>
          <w:lang w:val="es-DO"/>
        </w:rPr>
        <w:t xml:space="preserve"> </w:t>
      </w: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 xml:space="preserve">La Suprema Corte de Justicia ha adoptado el criterio para este tipo de casos de que, el punto de partida del plazo para la extinción de la acción penal previsto en el Artículo 148 del Código Procesal Penal, tiene lugar cuando se lleva a cabo contra una persona una persecución penal en la cual se ha identificado con precisión el sujeto y las causas, con la posibilidad de que en su contra puedan verse afectados sus derechos fundamentales; o la fecha de la actuación legal o del requerimiento de autoridad pública que implique razonablemente una afectación o disminución de los derechos fundamentales de una persona, aún cuando no se le haya impuesto una medida de coerción.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Sentencia 16 de enero de 2013. Tercera Sala de la Suprema Corte de Justicia: Considerando, que el recurrente admite el incumplimiento a las disposiciones de la ley 87-01 del Sistema Dominicano de la Seguridad Social, en cuanto al trabajador fallecido, y hace una división de los valores a pagar, situación que es facultad de los jueces del fondo a través de “las expectativas de la vida”, “el proyecto de vida del trabajador”, el perjuicio, cierto, directo, personal, su edad, sus funciones, su relación afectiva de convivencia futura y en la forma que afectarían a sus descendientes cercanos, toda una serie de factores materiales y morales que tengan en cuenta el daño como un ente de reparación, no de beneficio mercantil o lucrativo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Sentencia 9 de abril de 2014. Tercera Sala de la Suprema Corte de Justicia: Considerando, que el trabajo y la vida humana tienen una relación directa con la Constitución, en especial con el derecho y el deber de trabajar que es una exigencia de la dignidad humana. En el despido y en la dimisión se clasifica como falta grave e inexcusable, las faltas a la honradez, probidad, injurias a la dignidad de la familia, realizado tanto del trabajador como del empleador, como es el caso de la especie, como una demostración de que el disfrute de los derechos y de las obligaciones y ejercicios de estas en las relaciones de trabajo se deben ejercer respetando el honor, la intimidad, así como la dignidad (…)</w:t>
      </w:r>
      <w:r w:rsidR="00F6113B" w:rsidRPr="000D1029">
        <w:rPr>
          <w:rFonts w:ascii="Times New Roman" w:hAnsi="Times New Roman" w:cs="Times New Roman"/>
          <w:lang w:val="es-DO"/>
        </w:rPr>
        <w:t>.</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Considerando, que en el caso de que se trata hay un hecho comprobado de que el conyugue de la trabajadora recurrida señora Luisa Grisselle Zorrilla Ufre fue objeto de acciones que cuestionan en forma seria y grave la honradez del mismo, con una acción penal injustificada la cual fue desestimada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 xml:space="preserve">Considerando, que el principio protector que rige las relaciones de trabajo, se extiende al cónyugue, padre, hijos o hermanos del trabajador al establecer medidas para evitar </w:t>
      </w:r>
      <w:r w:rsidRPr="000D1029">
        <w:rPr>
          <w:rFonts w:ascii="Times New Roman" w:hAnsi="Times New Roman" w:cs="Times New Roman"/>
          <w:lang w:val="es-DO"/>
        </w:rPr>
        <w:lastRenderedPageBreak/>
        <w:t>violaciones en ese tenor la dimisión realizada por la recurrida es justificada al atender la recurrente al temor y a la dignidad del esposo de la misma, lo cual fue comprobado por el tribunal a-quo sin que exista evidencia de desnaturalización en consecuencia el medio propuesto carece de fundamento y debe ser desestimado y rechazado el recurso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Sentencia del 18 de junio de 2014. Tercera Sala de la Suprema Corte de Justicia: Considerando, que cuando la legislación laboral vigente y la Constitución establecen medidas protectoras para asegurar la estabilidad en el empleo y al declarar la nulidad del desahucio de un trabajador que vive en condición de VIH, no puede considerarse como un atentado a la libertad empresarial sino como la consecuencia de la aplicación de los derechos fundamentales del trabajador y la prevalencia del principio protector del derecho del trabajo (…).</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Considerando, que es un atentado al patrimonio moral del trabajador recurrido, (STC 156/2001. 4F y 83/2001), como dignidad en sí ante un evidente y comprobado acto de discriminación y ejercicio abusivo de un derecho de una empresa con conocimiento notorio de la situación del trabajador con VIH, que se edifica e informa de la salud del trabajador recurrido, y sin embargo, lo desahucia situación analizada por los jueces del fondo que escapa al control de la casación, salvo desnaturalización, estableciendo que la actuación de la empresa originó daños al trabajador recurrido morales y materiales fijando una suma de dinero para la reparación del mismo, que esta corte estima adecuada.</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Sentencia del 09 de diciembre de 2015. Salas Reunidas de la Suprema Corte de Justicia: Considerando: (…) de la lectura de la indicada decisión, estas Salas Reunidas de la Suprema Corte de Justicia advierten que el recurrente ha sido perjudicado con su propio recurso, en razón de que la condenación establecida en la sentencia confirmada ahora por la Corte A-qua había sido reducida en apelación, de veinte (20) a diez (10) años de reclusión.</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Considerando: que de lo antes expuesto resulta que la Corte A-qua incurrió en una violación a la regla “reformatio in peius”, garantía de naturaleza constitucional, que consiste en la prohibición que tiene el tribunal que revisa una sentencia, de modificarla en perjuicio del imputado, cuando sólo él hubiese recurrido.</w:t>
      </w:r>
    </w:p>
    <w:p w:rsidR="005D0F06" w:rsidRPr="000D1029" w:rsidRDefault="005D0F06" w:rsidP="00AB6DC7">
      <w:pPr>
        <w:spacing w:line="240" w:lineRule="auto"/>
        <w:rPr>
          <w:rFonts w:ascii="Times New Roman" w:hAnsi="Times New Roman" w:cs="Times New Roman"/>
          <w:lang w:val="es-DO"/>
        </w:rPr>
      </w:pPr>
    </w:p>
    <w:p w:rsidR="005D0F06" w:rsidRDefault="005D0F06" w:rsidP="00AB6DC7">
      <w:pPr>
        <w:pStyle w:val="ListParagraph"/>
        <w:numPr>
          <w:ilvl w:val="0"/>
          <w:numId w:val="38"/>
        </w:numPr>
        <w:spacing w:line="240" w:lineRule="auto"/>
        <w:rPr>
          <w:rFonts w:ascii="Times New Roman" w:hAnsi="Times New Roman" w:cs="Times New Roman"/>
          <w:i/>
          <w:lang w:val="es-DO"/>
        </w:rPr>
      </w:pPr>
      <w:r w:rsidRPr="000D1029">
        <w:rPr>
          <w:rFonts w:ascii="Times New Roman" w:hAnsi="Times New Roman" w:cs="Times New Roman"/>
          <w:lang w:val="es-DO"/>
        </w:rPr>
        <w:t>Considerando: que ciertamente, la garantía citada en el considerando que antecede está contenida en el ordinal 9 del Artículo 69 de la Constitución de la República Dominicana, al disponer:</w:t>
      </w:r>
      <w:r w:rsidRPr="000D1029">
        <w:rPr>
          <w:rFonts w:ascii="Times New Roman" w:hAnsi="Times New Roman" w:cs="Times New Roman"/>
          <w:i/>
          <w:lang w:val="es-DO"/>
        </w:rPr>
        <w:t xml:space="preserve"> “Toda sentencia puede ser recurrida de conformidad con la ley. El tribunal superior no podrá agravar la sanción impuesta cuando sólo la persona </w:t>
      </w:r>
      <w:r w:rsidR="00AA3A45" w:rsidRPr="000D1029">
        <w:rPr>
          <w:rFonts w:ascii="Times New Roman" w:hAnsi="Times New Roman" w:cs="Times New Roman"/>
          <w:i/>
          <w:lang w:val="es-DO"/>
        </w:rPr>
        <w:t>condenada recurra la sentencia”.</w:t>
      </w:r>
      <w:r w:rsidRPr="000D1029">
        <w:rPr>
          <w:rFonts w:ascii="Times New Roman" w:hAnsi="Times New Roman" w:cs="Times New Roman"/>
          <w:i/>
          <w:lang w:val="es-DO"/>
        </w:rPr>
        <w:t xml:space="preserve"> </w:t>
      </w:r>
    </w:p>
    <w:p w:rsidR="003D3777" w:rsidRPr="003D3777" w:rsidRDefault="003D3777" w:rsidP="00AB6DC7">
      <w:pPr>
        <w:pStyle w:val="ListParagraph"/>
        <w:spacing w:line="240" w:lineRule="auto"/>
        <w:rPr>
          <w:rFonts w:ascii="Times New Roman" w:hAnsi="Times New Roman" w:cs="Times New Roman"/>
          <w:i/>
          <w:lang w:val="es-DO"/>
        </w:rPr>
      </w:pPr>
    </w:p>
    <w:p w:rsidR="005D0F06" w:rsidRPr="000D1029"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t>Considerando: que en las circunstancias descritas en las consideraciones que anteceden, en el caso, al tratarse de un único recurrente perjudicado por el ejercicio de su propio recurso, y habiendo sido vulnerado un derecho constitucional, procede casar la sentencia recurrida, con supresión y sin envío, en cuanto al aspecto penal en contra de Jorge Washington Rosado López, y en aplicación de lo que dispone el Artículo 427.2 literal a) del Código Procesal Penal, estas Salas Reunidas proceden a dictar su propia sentencia en cuanto a la condenación impuesta.</w:t>
      </w:r>
    </w:p>
    <w:p w:rsidR="005D0F06" w:rsidRPr="000D1029" w:rsidRDefault="005D0F06" w:rsidP="00AB6DC7">
      <w:pPr>
        <w:spacing w:line="240" w:lineRule="auto"/>
        <w:rPr>
          <w:rFonts w:ascii="Times New Roman" w:hAnsi="Times New Roman" w:cs="Times New Roman"/>
          <w:lang w:val="es-DO"/>
        </w:rPr>
      </w:pPr>
    </w:p>
    <w:p w:rsidR="005D0F06" w:rsidRDefault="005D0F06" w:rsidP="00AB6DC7">
      <w:pPr>
        <w:pStyle w:val="ListParagraph"/>
        <w:numPr>
          <w:ilvl w:val="0"/>
          <w:numId w:val="38"/>
        </w:numPr>
        <w:spacing w:line="240" w:lineRule="auto"/>
        <w:rPr>
          <w:rFonts w:ascii="Times New Roman" w:hAnsi="Times New Roman" w:cs="Times New Roman"/>
          <w:lang w:val="es-DO"/>
        </w:rPr>
      </w:pPr>
      <w:r w:rsidRPr="000D1029">
        <w:rPr>
          <w:rFonts w:ascii="Times New Roman" w:hAnsi="Times New Roman" w:cs="Times New Roman"/>
          <w:lang w:val="es-DO"/>
        </w:rPr>
        <w:lastRenderedPageBreak/>
        <w:t xml:space="preserve">Considerando: que, fundamentadas en las consideraciones que anteceden, Las Salas Reunidas de esta Suprema Corte de Justicia modifican la sentencia de la Corte A-qua en cuanto a la condenación impuesta en contra de Jorge Washington Rosado López, imputado y civilmente demandado, estableciendo la misma en diez (10) años de reclusión. </w:t>
      </w:r>
    </w:p>
    <w:p w:rsidR="003D3777" w:rsidRPr="003D3777" w:rsidRDefault="003D3777" w:rsidP="00AB6DC7">
      <w:pPr>
        <w:pStyle w:val="ListParagraph"/>
        <w:spacing w:line="240" w:lineRule="auto"/>
        <w:rPr>
          <w:rFonts w:ascii="Times New Roman" w:hAnsi="Times New Roman" w:cs="Times New Roman"/>
          <w:lang w:val="es-DO"/>
        </w:rPr>
      </w:pPr>
    </w:p>
    <w:p w:rsidR="005D0F06" w:rsidRPr="000D1029" w:rsidRDefault="00A417FE" w:rsidP="00AB6DC7">
      <w:pPr>
        <w:spacing w:line="240" w:lineRule="auto"/>
        <w:rPr>
          <w:rFonts w:ascii="Times New Roman" w:hAnsi="Times New Roman" w:cs="Times New Roman"/>
          <w:b/>
          <w:i/>
          <w:color w:val="FF0000"/>
          <w:u w:val="single"/>
          <w:lang w:val="es-ES"/>
        </w:rPr>
      </w:pPr>
      <w:r>
        <w:rPr>
          <w:rFonts w:ascii="Times New Roman" w:hAnsi="Times New Roman" w:cs="Times New Roman"/>
          <w:b/>
          <w:i/>
          <w:u w:val="single"/>
          <w:lang w:val="es-ES"/>
        </w:rPr>
        <w:t>16</w:t>
      </w:r>
      <w:r w:rsidR="005D0F06" w:rsidRPr="000D1029">
        <w:rPr>
          <w:rFonts w:ascii="Times New Roman" w:hAnsi="Times New Roman" w:cs="Times New Roman"/>
          <w:b/>
          <w:i/>
          <w:u w:val="single"/>
          <w:lang w:val="es-ES"/>
        </w:rPr>
        <w:t>. PARAFFO 6.</w:t>
      </w:r>
      <w:r w:rsidR="005D0F06" w:rsidRPr="003D3777">
        <w:rPr>
          <w:rFonts w:ascii="Times New Roman" w:hAnsi="Times New Roman" w:cs="Times New Roman"/>
          <w:b/>
          <w:i/>
          <w:lang w:val="es-ES"/>
        </w:rPr>
        <w:t xml:space="preserve"> </w:t>
      </w:r>
      <w:r w:rsidR="005D0F06" w:rsidRPr="000D1029">
        <w:rPr>
          <w:rFonts w:ascii="Times New Roman" w:hAnsi="Times New Roman" w:cs="Times New Roman"/>
          <w:i/>
          <w:lang w:val="es-ES"/>
        </w:rPr>
        <w:t>El Comité lamenta que, tras más de diez años después de la creación de la Defensoría del Pueblo, ningún defensor del Pueblo haya sido nombrado, y la institución no ha iniciado sus funciones. El Comité también lamenta que no exista una institución nacional de derechos humanos de conformidad con los Principios de París. (art. 2)</w:t>
      </w:r>
    </w:p>
    <w:p w:rsidR="005D0F06" w:rsidRPr="000D1029" w:rsidRDefault="005D0F06" w:rsidP="00AB6DC7">
      <w:pPr>
        <w:spacing w:line="240" w:lineRule="auto"/>
        <w:rPr>
          <w:rFonts w:ascii="Times New Roman" w:hAnsi="Times New Roman" w:cs="Times New Roman"/>
          <w:i/>
          <w:lang w:val="es-ES"/>
        </w:rPr>
      </w:pPr>
    </w:p>
    <w:p w:rsidR="005D0F06" w:rsidRPr="000D1029" w:rsidRDefault="00A417FE" w:rsidP="00AB6DC7">
      <w:pPr>
        <w:spacing w:line="240" w:lineRule="auto"/>
        <w:rPr>
          <w:rFonts w:ascii="Times New Roman" w:hAnsi="Times New Roman" w:cs="Times New Roman"/>
          <w:b/>
          <w:i/>
          <w:lang w:val="es-ES"/>
        </w:rPr>
      </w:pPr>
      <w:r>
        <w:rPr>
          <w:rFonts w:ascii="Times New Roman" w:hAnsi="Times New Roman" w:cs="Times New Roman"/>
          <w:b/>
          <w:i/>
          <w:lang w:val="es-ES"/>
        </w:rPr>
        <w:t>17</w:t>
      </w:r>
      <w:r w:rsidR="005D0F06" w:rsidRPr="000D1029">
        <w:rPr>
          <w:rFonts w:ascii="Times New Roman" w:hAnsi="Times New Roman" w:cs="Times New Roman"/>
          <w:b/>
          <w:i/>
          <w:lang w:val="es-ES"/>
        </w:rPr>
        <w:t>. El Estado Parte debe nombrar a la brevedad posible un Defensor del Pueblo a través de un procedimiento transparente, garantizando los más altos niveles de profesionalismo, independencia y experticia de la persona seleccionada. El Estado parte debe garantizar el funcionamiento adecuado de la Defensoría del Pueblo, dotarla de presupuesto propio, reforzar su mandato, ampliar sus facultades de vigilancia y tomar todas las medidas necesarias para garantizar plenamente su independencia de conformidad con los Principios de París (resolución 48/134 de la Asamblea General).</w:t>
      </w:r>
    </w:p>
    <w:p w:rsidR="005D0F06" w:rsidRPr="000D1029" w:rsidRDefault="005D0F06" w:rsidP="00AB6DC7">
      <w:pPr>
        <w:spacing w:line="240" w:lineRule="auto"/>
        <w:rPr>
          <w:rFonts w:ascii="Times New Roman" w:hAnsi="Times New Roman" w:cs="Times New Roman"/>
          <w:i/>
          <w:lang w:val="es-ES"/>
        </w:rPr>
      </w:pPr>
    </w:p>
    <w:p w:rsidR="00014D07" w:rsidRPr="000D1029" w:rsidRDefault="00A417FE" w:rsidP="00AB6DC7">
      <w:pPr>
        <w:spacing w:line="240" w:lineRule="auto"/>
        <w:rPr>
          <w:rFonts w:ascii="Times New Roman" w:hAnsi="Times New Roman" w:cs="Times New Roman"/>
          <w:lang w:val="es-ES"/>
        </w:rPr>
      </w:pPr>
      <w:r>
        <w:rPr>
          <w:rFonts w:ascii="Times New Roman" w:hAnsi="Times New Roman" w:cs="Times New Roman"/>
          <w:b/>
          <w:lang w:val="es-ES"/>
        </w:rPr>
        <w:t>18</w:t>
      </w:r>
      <w:r w:rsidR="005D0F06" w:rsidRPr="000D1029">
        <w:rPr>
          <w:rFonts w:ascii="Times New Roman" w:hAnsi="Times New Roman" w:cs="Times New Roman"/>
          <w:b/>
          <w:lang w:val="es-ES"/>
        </w:rPr>
        <w:t xml:space="preserve">. Respuesta del Estado dominicano: </w:t>
      </w:r>
      <w:r w:rsidR="00014D07" w:rsidRPr="000D1029">
        <w:rPr>
          <w:rFonts w:ascii="Times New Roman" w:hAnsi="Times New Roman" w:cs="Times New Roman"/>
          <w:lang w:val="es-ES"/>
        </w:rPr>
        <w:t xml:space="preserve">El Defensor del Pueblo de la República Dominicana, entidad pública autónoma de rango constitucional, creada mediante la Ley No. 19-01 que crea el Defensor del Pueblo, de fecha 1ro de febrero de 2001 y reconocida por los artículos 80.5, 83.3 y 190-192 de la Carta Magna. </w:t>
      </w:r>
      <w:r w:rsidR="00472103" w:rsidRPr="000D1029">
        <w:rPr>
          <w:rFonts w:ascii="Times New Roman" w:hAnsi="Times New Roman" w:cs="Times New Roman"/>
          <w:lang w:val="es-ES"/>
        </w:rPr>
        <w:t>La Constitución proclamada en el presente año 2010, eleva el Defensor del Pueblo a rango constitucional.</w:t>
      </w:r>
    </w:p>
    <w:p w:rsidR="00014D07" w:rsidRPr="000D1029" w:rsidRDefault="00014D07" w:rsidP="00AB6DC7">
      <w:pPr>
        <w:spacing w:line="240" w:lineRule="auto"/>
        <w:rPr>
          <w:rFonts w:ascii="Times New Roman" w:hAnsi="Times New Roman" w:cs="Times New Roman"/>
          <w:lang w:val="es-ES"/>
        </w:rPr>
      </w:pPr>
    </w:p>
    <w:p w:rsidR="00014D07" w:rsidRPr="000D1029" w:rsidRDefault="00A417FE" w:rsidP="00AB6DC7">
      <w:pPr>
        <w:spacing w:line="240" w:lineRule="auto"/>
        <w:rPr>
          <w:rFonts w:ascii="Times New Roman" w:hAnsi="Times New Roman" w:cs="Times New Roman"/>
          <w:lang w:val="es-ES"/>
        </w:rPr>
      </w:pPr>
      <w:r>
        <w:rPr>
          <w:rFonts w:ascii="Times New Roman" w:hAnsi="Times New Roman" w:cs="Times New Roman"/>
          <w:lang w:val="es-ES"/>
        </w:rPr>
        <w:t>19</w:t>
      </w:r>
      <w:r w:rsidR="00F6113B" w:rsidRPr="000D1029">
        <w:rPr>
          <w:rFonts w:ascii="Times New Roman" w:hAnsi="Times New Roman" w:cs="Times New Roman"/>
          <w:lang w:val="es-ES"/>
        </w:rPr>
        <w:t xml:space="preserve">. </w:t>
      </w:r>
      <w:r w:rsidR="00014D07" w:rsidRPr="000D1029">
        <w:rPr>
          <w:rFonts w:ascii="Times New Roman" w:hAnsi="Times New Roman" w:cs="Times New Roman"/>
          <w:lang w:val="es-ES"/>
        </w:rPr>
        <w:t xml:space="preserve">El Defensor del Pueblo es una autoridad independiente, un ejecutor que no se encuentra sujeto a  ninguna  limitante  más  que  la  del  apego  a  la  ley. Su  característica  es  la  neutralidad.  El  Defensor  del Pueblo tendrá autonomía funcional, administrativa y presupuestaria. </w:t>
      </w:r>
    </w:p>
    <w:p w:rsidR="00014D07" w:rsidRPr="000D1029" w:rsidRDefault="00014D07" w:rsidP="00AB6DC7">
      <w:pPr>
        <w:spacing w:line="240" w:lineRule="auto"/>
        <w:rPr>
          <w:rFonts w:ascii="Times New Roman" w:hAnsi="Times New Roman" w:cs="Times New Roman"/>
          <w:lang w:val="es-ES"/>
        </w:rPr>
      </w:pPr>
    </w:p>
    <w:p w:rsidR="00472103" w:rsidRPr="000D1029" w:rsidRDefault="00A417FE" w:rsidP="00AB6DC7">
      <w:pPr>
        <w:spacing w:line="240" w:lineRule="auto"/>
        <w:rPr>
          <w:rFonts w:ascii="Times New Roman" w:hAnsi="Times New Roman" w:cs="Times New Roman"/>
          <w:lang w:val="es-ES"/>
        </w:rPr>
      </w:pPr>
      <w:r>
        <w:rPr>
          <w:rFonts w:ascii="Times New Roman" w:hAnsi="Times New Roman" w:cs="Times New Roman"/>
          <w:lang w:val="es-ES"/>
        </w:rPr>
        <w:t>20</w:t>
      </w:r>
      <w:r w:rsidR="00F6113B" w:rsidRPr="000D1029">
        <w:rPr>
          <w:rFonts w:ascii="Times New Roman" w:hAnsi="Times New Roman" w:cs="Times New Roman"/>
          <w:lang w:val="es-ES"/>
        </w:rPr>
        <w:t xml:space="preserve">. </w:t>
      </w:r>
      <w:r w:rsidR="006C0DF2" w:rsidRPr="000D1029">
        <w:rPr>
          <w:rFonts w:ascii="Times New Roman" w:hAnsi="Times New Roman" w:cs="Times New Roman"/>
          <w:lang w:val="es-ES"/>
        </w:rPr>
        <w:t>Cumpliendo con el mandato constitucional, mediante Resolución No. 000210 del Senado de la República, de fecha 15 de mayo del 2013, fueron designadas las primeras autoridades del Defensor del Pueblo, encabezadas por su titular la Doctora Zoila Violeta Martínez, a</w:t>
      </w:r>
      <w:r w:rsidR="00B71AC0" w:rsidRPr="000D1029">
        <w:rPr>
          <w:rFonts w:ascii="Times New Roman" w:hAnsi="Times New Roman" w:cs="Times New Roman"/>
          <w:lang w:val="es-ES"/>
        </w:rPr>
        <w:t xml:space="preserve"> pesar de que la Ley existía desde el año 2001 no fue sino hasta el 2013 cuando se nombra a la Defensora del Pueblo.</w:t>
      </w:r>
    </w:p>
    <w:p w:rsidR="00B71AC0" w:rsidRPr="000D1029" w:rsidRDefault="00B71AC0" w:rsidP="00AB6DC7">
      <w:pPr>
        <w:spacing w:line="240" w:lineRule="auto"/>
        <w:rPr>
          <w:rFonts w:ascii="Times New Roman" w:hAnsi="Times New Roman" w:cs="Times New Roman"/>
          <w:lang w:val="es-ES"/>
        </w:rPr>
      </w:pPr>
    </w:p>
    <w:p w:rsidR="005D0F06" w:rsidRPr="000D1029" w:rsidRDefault="001F7BFB" w:rsidP="00AB6DC7">
      <w:pPr>
        <w:spacing w:line="240" w:lineRule="auto"/>
        <w:rPr>
          <w:rFonts w:ascii="Times New Roman" w:hAnsi="Times New Roman" w:cs="Times New Roman"/>
          <w:b/>
          <w:i/>
          <w:color w:val="FF0000"/>
          <w:u w:val="single"/>
          <w:lang w:val="es-ES"/>
        </w:rPr>
      </w:pPr>
      <w:r w:rsidRPr="000D1029">
        <w:rPr>
          <w:rFonts w:ascii="Times New Roman" w:hAnsi="Times New Roman" w:cs="Times New Roman"/>
          <w:lang w:val="es-ES"/>
        </w:rPr>
        <w:t xml:space="preserve"> </w:t>
      </w:r>
      <w:r w:rsidR="008F62E5">
        <w:rPr>
          <w:rFonts w:ascii="Times New Roman" w:hAnsi="Times New Roman" w:cs="Times New Roman"/>
          <w:b/>
          <w:i/>
          <w:u w:val="single"/>
          <w:lang w:val="es-ES"/>
        </w:rPr>
        <w:t>21</w:t>
      </w:r>
      <w:r w:rsidR="005D0F06" w:rsidRPr="000D1029">
        <w:rPr>
          <w:rFonts w:ascii="Times New Roman" w:hAnsi="Times New Roman" w:cs="Times New Roman"/>
          <w:b/>
          <w:i/>
          <w:u w:val="single"/>
          <w:lang w:val="es-ES"/>
        </w:rPr>
        <w:t xml:space="preserve">. </w:t>
      </w:r>
      <w:r w:rsidR="00272160" w:rsidRPr="00272160">
        <w:rPr>
          <w:rFonts w:ascii="Times New Roman" w:hAnsi="Times New Roman" w:cs="Times New Roman"/>
          <w:b/>
          <w:i/>
          <w:u w:val="single"/>
          <w:lang w:val="es-ES"/>
        </w:rPr>
        <w:t>PÁRRAFO</w:t>
      </w:r>
      <w:r w:rsidR="005D0F06" w:rsidRPr="000D1029">
        <w:rPr>
          <w:rFonts w:ascii="Times New Roman" w:hAnsi="Times New Roman" w:cs="Times New Roman"/>
          <w:b/>
          <w:i/>
          <w:u w:val="single"/>
          <w:lang w:val="es-ES"/>
        </w:rPr>
        <w:t xml:space="preserve"> 7:</w:t>
      </w:r>
      <w:r w:rsidR="005D0F06" w:rsidRPr="000D1029">
        <w:rPr>
          <w:rFonts w:ascii="Times New Roman" w:hAnsi="Times New Roman" w:cs="Times New Roman"/>
          <w:b/>
          <w:i/>
          <w:lang w:val="es-ES"/>
        </w:rPr>
        <w:t xml:space="preserve"> </w:t>
      </w:r>
      <w:r w:rsidR="005D0F06" w:rsidRPr="000D1029">
        <w:rPr>
          <w:rFonts w:ascii="Times New Roman" w:hAnsi="Times New Roman" w:cs="Times New Roman"/>
          <w:i/>
          <w:lang w:val="es-ES"/>
        </w:rPr>
        <w:t>El Comité sigue preocupado por la situación de extrema vulnerabilidad en la cual se encuentran los migrantes haitianos y sus descendientes, así como por el trato discriminatorio, la violencia y las agresiones de las cuales son víctimas. El Comité lamenta la falta de información sobre la investigación, enjuiciamiento y sanción de estos casos. (arts. 2, 26).</w:t>
      </w:r>
    </w:p>
    <w:p w:rsidR="005D0F06" w:rsidRPr="000D1029" w:rsidRDefault="005D0F06" w:rsidP="00AB6DC7">
      <w:pPr>
        <w:spacing w:line="240" w:lineRule="auto"/>
        <w:rPr>
          <w:rFonts w:ascii="Times New Roman" w:hAnsi="Times New Roman" w:cs="Times New Roman"/>
          <w:b/>
          <w:i/>
          <w:lang w:val="es-ES"/>
        </w:rPr>
      </w:pPr>
    </w:p>
    <w:p w:rsidR="005D0F06" w:rsidRPr="000D1029" w:rsidRDefault="008F62E5" w:rsidP="00AB6DC7">
      <w:pPr>
        <w:spacing w:line="240" w:lineRule="auto"/>
        <w:rPr>
          <w:rFonts w:ascii="Times New Roman" w:hAnsi="Times New Roman" w:cs="Times New Roman"/>
          <w:b/>
          <w:i/>
          <w:lang w:val="es-ES"/>
        </w:rPr>
      </w:pPr>
      <w:r>
        <w:rPr>
          <w:rFonts w:ascii="Times New Roman" w:hAnsi="Times New Roman" w:cs="Times New Roman"/>
          <w:b/>
          <w:i/>
          <w:lang w:val="es-ES"/>
        </w:rPr>
        <w:t>22</w:t>
      </w:r>
      <w:r w:rsidR="005D0F06" w:rsidRPr="000D1029">
        <w:rPr>
          <w:rFonts w:ascii="Times New Roman" w:hAnsi="Times New Roman" w:cs="Times New Roman"/>
          <w:b/>
          <w:i/>
          <w:lang w:val="es-ES"/>
        </w:rPr>
        <w:t>. El Estado parte debe esforzarse para erradicar los estereotipos y la discriminación contra los migrantes haitianos y sus descendientes, entre otras cosas llevando a cabo más campañas de sensibilización que promuevan la tolerancia y el respeto de la diversidad. El Estado parte debe velar para que los casos de discriminación sean sistemáticamente investigados, que los autores sean enjuiciados y castigados, y que se otorgue una indemnización adecuada a las víctimas.</w:t>
      </w:r>
    </w:p>
    <w:p w:rsidR="005D0F06" w:rsidRPr="000D1029" w:rsidRDefault="005D0F06" w:rsidP="00AB6DC7">
      <w:pPr>
        <w:spacing w:line="240" w:lineRule="auto"/>
        <w:rPr>
          <w:rFonts w:ascii="Times New Roman" w:hAnsi="Times New Roman" w:cs="Times New Roman"/>
          <w:i/>
          <w:lang w:val="es-ES"/>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b/>
          <w:lang w:val="es-ES"/>
        </w:rPr>
        <w:lastRenderedPageBreak/>
        <w:t>23</w:t>
      </w:r>
      <w:r w:rsidR="005D0F06" w:rsidRPr="000D1029">
        <w:rPr>
          <w:rFonts w:ascii="Times New Roman" w:hAnsi="Times New Roman" w:cs="Times New Roman"/>
          <w:b/>
          <w:lang w:val="es-ES"/>
        </w:rPr>
        <w:t>. Respuesta del Estado dominicano</w:t>
      </w:r>
      <w:r w:rsidR="005D0F06" w:rsidRPr="000D1029">
        <w:rPr>
          <w:rFonts w:ascii="Times New Roman" w:hAnsi="Times New Roman" w:cs="Times New Roman"/>
          <w:lang w:val="es-ES"/>
        </w:rPr>
        <w:t>:</w:t>
      </w:r>
      <w:r w:rsidR="004E224E" w:rsidRPr="000D1029">
        <w:rPr>
          <w:rFonts w:ascii="Times New Roman" w:hAnsi="Times New Roman" w:cs="Times New Roman"/>
          <w:b/>
          <w:i/>
          <w:color w:val="FF0000"/>
          <w:lang w:val="es-ES"/>
        </w:rPr>
        <w:t xml:space="preserve"> </w:t>
      </w:r>
      <w:r w:rsidR="00C47AD8" w:rsidRPr="000D1029">
        <w:rPr>
          <w:rFonts w:ascii="Times New Roman" w:hAnsi="Times New Roman" w:cs="Times New Roman"/>
        </w:rPr>
        <w:t>La sociedad d</w:t>
      </w:r>
      <w:r w:rsidR="005D0F06" w:rsidRPr="000D1029">
        <w:rPr>
          <w:rFonts w:ascii="Times New Roman" w:hAnsi="Times New Roman" w:cs="Times New Roman"/>
        </w:rPr>
        <w:t>ominicana  es compleja racialmente, tiene una  integración total de razas,  mulata, culturalmente predomina el mundo occidental; y étnicamente, integra grupos afroamericanos, asiáticos, europeos y americanos, lo que nos hace tan diversos como integrados en la pigmentación de nuestra piel y nuestros rasgos, escenario propio para el enriquecimiento del lenguaje y la diversificación de modos de definir los matices de nuestra identidad de fusión multicolor, por esta razón no podemos hablar de estereotipos.</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24</w:t>
      </w:r>
      <w:r w:rsidR="005D0F06" w:rsidRPr="000D1029">
        <w:rPr>
          <w:rFonts w:ascii="Times New Roman" w:hAnsi="Times New Roman" w:cs="Times New Roman"/>
        </w:rPr>
        <w:t>. En ese orden de ideas, y en el punto específico de la discriminación contra los migrantes haitianos y sus descendientes hay q</w:t>
      </w:r>
      <w:r w:rsidR="0038512E" w:rsidRPr="000D1029">
        <w:rPr>
          <w:rFonts w:ascii="Times New Roman" w:hAnsi="Times New Roman" w:cs="Times New Roman"/>
        </w:rPr>
        <w:t>ue indicar que  en la sociedad d</w:t>
      </w:r>
      <w:r w:rsidR="005D0F06" w:rsidRPr="000D1029">
        <w:rPr>
          <w:rFonts w:ascii="Times New Roman" w:hAnsi="Times New Roman" w:cs="Times New Roman"/>
        </w:rPr>
        <w:t>ominicana no hay disposición discriminatoria por motivos raciales ni otros. La discriminación excluyente no es ejercida y tampoco t</w:t>
      </w:r>
      <w:r w:rsidR="003D3777">
        <w:rPr>
          <w:rFonts w:ascii="Times New Roman" w:hAnsi="Times New Roman" w:cs="Times New Roman"/>
        </w:rPr>
        <w:t>olerada como política de Estado</w:t>
      </w:r>
      <w:r w:rsidR="005D0F06" w:rsidRPr="000D1029">
        <w:rPr>
          <w:rFonts w:ascii="Times New Roman" w:hAnsi="Times New Roman" w:cs="Times New Roman"/>
        </w:rPr>
        <w:t>, en tal sentido:</w:t>
      </w:r>
    </w:p>
    <w:p w:rsidR="005D0F06" w:rsidRPr="000D1029" w:rsidRDefault="005D0F06" w:rsidP="00AB6DC7">
      <w:pPr>
        <w:spacing w:line="240" w:lineRule="auto"/>
        <w:rPr>
          <w:rFonts w:ascii="Times New Roman" w:hAnsi="Times New Roman" w:cs="Times New Roman"/>
        </w:rPr>
      </w:pPr>
    </w:p>
    <w:p w:rsidR="005D0F06" w:rsidRPr="000D1029" w:rsidRDefault="005D0F06" w:rsidP="00AB6DC7">
      <w:pPr>
        <w:pStyle w:val="ListParagraph"/>
        <w:numPr>
          <w:ilvl w:val="0"/>
          <w:numId w:val="28"/>
        </w:numPr>
        <w:spacing w:line="240" w:lineRule="auto"/>
        <w:rPr>
          <w:rFonts w:ascii="Times New Roman" w:hAnsi="Times New Roman" w:cs="Times New Roman"/>
        </w:rPr>
      </w:pPr>
      <w:r w:rsidRPr="000D1029">
        <w:rPr>
          <w:rFonts w:ascii="Times New Roman" w:hAnsi="Times New Roman" w:cs="Times New Roman"/>
        </w:rPr>
        <w:t>La legislación Dominicana sanciona la discriminación racial desde la misma Constitución en su artículo 39, y los art</w:t>
      </w:r>
      <w:r w:rsidR="00C47AD8" w:rsidRPr="000D1029">
        <w:rPr>
          <w:rFonts w:ascii="Times New Roman" w:hAnsi="Times New Roman" w:cs="Times New Roman"/>
        </w:rPr>
        <w:t>s</w:t>
      </w:r>
      <w:r w:rsidRPr="000D1029">
        <w:rPr>
          <w:rFonts w:ascii="Times New Roman" w:hAnsi="Times New Roman" w:cs="Times New Roman"/>
        </w:rPr>
        <w:t>. 336, 336-1, del Código Penal Dominicano.</w:t>
      </w:r>
    </w:p>
    <w:p w:rsidR="005D0F06" w:rsidRPr="000D1029" w:rsidRDefault="005D0F06" w:rsidP="00AB6DC7">
      <w:pPr>
        <w:spacing w:line="240" w:lineRule="auto"/>
        <w:rPr>
          <w:rFonts w:ascii="Times New Roman" w:hAnsi="Times New Roman" w:cs="Times New Roman"/>
        </w:rPr>
      </w:pP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25</w:t>
      </w:r>
      <w:r w:rsidR="005D0F06" w:rsidRPr="000D1029">
        <w:rPr>
          <w:rFonts w:ascii="Times New Roman" w:hAnsi="Times New Roman" w:cs="Times New Roman"/>
        </w:rPr>
        <w:t>. En la cultura de nuestro país el fenómeno de la confrontación racial es un hecho cuasi inexistente salvo expresiones indeterminadas de muy escasa manifestación y la misma tiene la condena y el rechazo contundente de toda la sociedad, en los casos que ocurre, al margen de reiterar que el acceso a la justicia de víctimas potenciales está totalmente garantizado, no sólo por la gratuidad de la justicia, sino también por la existencia de instancias judiciales a nivel nacional, en todas y cada una de las demarcaciones geográficas, las cuales tienen la obligación de tramitar toda queja conforme a derecho.</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26</w:t>
      </w:r>
      <w:r w:rsidR="005D0F06" w:rsidRPr="000D1029">
        <w:rPr>
          <w:rFonts w:ascii="Times New Roman" w:hAnsi="Times New Roman" w:cs="Times New Roman"/>
        </w:rPr>
        <w:t>. En lo concerniente al resarcimiento de las posibles víctimas, el sistema de responsabilidad civil contemplado en el artículo 1,382 y siguientes del Código Civil permite a las víctimas requerirlos por vía directa a través de una acción civil o administrativa, o concomitantemente a la acción penal ante cualquier otro tribunal de la República competente según el caso.</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i/>
          <w:lang w:val="es-ES"/>
        </w:rPr>
      </w:pPr>
      <w:r>
        <w:rPr>
          <w:rFonts w:ascii="Times New Roman" w:hAnsi="Times New Roman" w:cs="Times New Roman"/>
          <w:b/>
          <w:i/>
          <w:u w:val="single"/>
          <w:lang w:val="es-ES"/>
        </w:rPr>
        <w:t>27</w:t>
      </w:r>
      <w:r w:rsidR="005D0F06" w:rsidRPr="000D1029">
        <w:rPr>
          <w:rFonts w:ascii="Times New Roman" w:hAnsi="Times New Roman" w:cs="Times New Roman"/>
          <w:b/>
          <w:i/>
          <w:u w:val="single"/>
          <w:lang w:val="es-ES"/>
        </w:rPr>
        <w:t xml:space="preserve">. </w:t>
      </w:r>
      <w:r w:rsidR="00272160" w:rsidRPr="00272160">
        <w:rPr>
          <w:rFonts w:ascii="Times New Roman" w:hAnsi="Times New Roman" w:cs="Times New Roman"/>
          <w:b/>
          <w:i/>
          <w:u w:val="single"/>
          <w:lang w:val="es-ES"/>
        </w:rPr>
        <w:t>PÁRRAFO</w:t>
      </w:r>
      <w:r w:rsidR="005D0F06" w:rsidRPr="000D1029">
        <w:rPr>
          <w:rFonts w:ascii="Times New Roman" w:hAnsi="Times New Roman" w:cs="Times New Roman"/>
          <w:b/>
          <w:i/>
          <w:u w:val="single"/>
          <w:lang w:val="es-ES"/>
        </w:rPr>
        <w:t xml:space="preserve"> 8:</w:t>
      </w:r>
      <w:r w:rsidR="005D0F06" w:rsidRPr="000D1029">
        <w:rPr>
          <w:rFonts w:ascii="Times New Roman" w:hAnsi="Times New Roman" w:cs="Times New Roman"/>
          <w:i/>
          <w:lang w:val="es-ES"/>
        </w:rPr>
        <w:t xml:space="preserve"> Al Comité le preocupa la falta de claridad de la situación de los refugiados en el Estado parte, inclusive en términos del acceso a documentos de identidad temporales que legalicen la estancia en el país. (arts. 2, 16).</w:t>
      </w:r>
    </w:p>
    <w:p w:rsidR="005D0F06" w:rsidRPr="000D1029" w:rsidRDefault="005D0F06" w:rsidP="00AB6DC7">
      <w:pPr>
        <w:spacing w:line="240" w:lineRule="auto"/>
        <w:rPr>
          <w:rFonts w:ascii="Times New Roman" w:hAnsi="Times New Roman" w:cs="Times New Roman"/>
          <w:i/>
          <w:lang w:val="es-ES"/>
        </w:rPr>
      </w:pPr>
    </w:p>
    <w:p w:rsidR="005D0F06" w:rsidRPr="000D1029" w:rsidRDefault="008F62E5" w:rsidP="00AB6DC7">
      <w:pPr>
        <w:spacing w:line="240" w:lineRule="auto"/>
        <w:rPr>
          <w:rFonts w:ascii="Times New Roman" w:hAnsi="Times New Roman" w:cs="Times New Roman"/>
          <w:b/>
          <w:i/>
          <w:lang w:val="es-ES"/>
        </w:rPr>
      </w:pPr>
      <w:r>
        <w:rPr>
          <w:rFonts w:ascii="Times New Roman" w:hAnsi="Times New Roman" w:cs="Times New Roman"/>
          <w:b/>
          <w:i/>
          <w:lang w:val="es-ES"/>
        </w:rPr>
        <w:t>28</w:t>
      </w:r>
      <w:r w:rsidR="005D0F06" w:rsidRPr="000D1029">
        <w:rPr>
          <w:rFonts w:ascii="Times New Roman" w:hAnsi="Times New Roman" w:cs="Times New Roman"/>
          <w:b/>
          <w:i/>
          <w:lang w:val="es-ES"/>
        </w:rPr>
        <w:t>. El Estado parte debe sistemáticamente otorgar medios de identificación reconocidas a los solicitantes de asilo y a los refugiados, a fin de protegerles en contra de una deportación indebida y de garantizarles el acceso a las oportunidades sociales y económicas.</w:t>
      </w:r>
    </w:p>
    <w:p w:rsidR="005D0F06" w:rsidRPr="000D1029" w:rsidRDefault="005D0F06" w:rsidP="00AB6DC7">
      <w:pPr>
        <w:spacing w:line="240" w:lineRule="auto"/>
        <w:rPr>
          <w:rFonts w:ascii="Times New Roman" w:hAnsi="Times New Roman" w:cs="Times New Roman"/>
          <w:i/>
          <w:lang w:val="es-ES"/>
        </w:rPr>
      </w:pPr>
    </w:p>
    <w:p w:rsidR="005D0F06" w:rsidRPr="000D1029" w:rsidRDefault="008F62E5" w:rsidP="00AB6DC7">
      <w:pPr>
        <w:spacing w:line="240" w:lineRule="auto"/>
        <w:rPr>
          <w:rFonts w:ascii="Times New Roman" w:hAnsi="Times New Roman" w:cs="Times New Roman"/>
          <w:lang w:val="es-ES"/>
        </w:rPr>
      </w:pPr>
      <w:r>
        <w:rPr>
          <w:rFonts w:ascii="Times New Roman" w:hAnsi="Times New Roman" w:cs="Times New Roman"/>
          <w:b/>
          <w:lang w:val="es-ES"/>
        </w:rPr>
        <w:t>29</w:t>
      </w:r>
      <w:r w:rsidR="005D0F06" w:rsidRPr="000D1029">
        <w:rPr>
          <w:rFonts w:ascii="Times New Roman" w:hAnsi="Times New Roman" w:cs="Times New Roman"/>
          <w:b/>
          <w:lang w:val="es-ES"/>
        </w:rPr>
        <w:t>. Respuesta del Estado dominicano</w:t>
      </w:r>
      <w:r w:rsidR="005D0F06" w:rsidRPr="000D1029">
        <w:rPr>
          <w:rFonts w:ascii="Times New Roman" w:hAnsi="Times New Roman" w:cs="Times New Roman"/>
          <w:lang w:val="es-ES"/>
        </w:rPr>
        <w:t>: En cuanto a las observaciones detalladas precedentemente la República Dominicana desde el año 2005 al 2014, se han convocado y decidido un total de cuatrocientos setenta y cinco (475) expedientes de solicitudes de reconocimiento de la condición de refugiado, casos estimados en un noventa y nueve por ciento (99%) del total de las solicitudes recibidas a partir del 2000, estas personas proceden de Haití, Cuba, Colombia, Siria e Iraq.</w:t>
      </w:r>
    </w:p>
    <w:p w:rsidR="006C0DF2" w:rsidRPr="000D1029" w:rsidRDefault="006C0DF2" w:rsidP="00AB6DC7">
      <w:pPr>
        <w:spacing w:line="240" w:lineRule="auto"/>
        <w:rPr>
          <w:rFonts w:ascii="Times New Roman" w:hAnsi="Times New Roman" w:cs="Times New Roman"/>
          <w:b/>
          <w:color w:val="FF0000"/>
          <w:lang w:val="es-ES"/>
        </w:rPr>
      </w:pPr>
    </w:p>
    <w:p w:rsidR="005D0F06" w:rsidRPr="000D1029" w:rsidRDefault="008F62E5" w:rsidP="00AB6DC7">
      <w:pPr>
        <w:spacing w:after="200" w:line="240" w:lineRule="auto"/>
        <w:rPr>
          <w:rFonts w:ascii="Times New Roman" w:hAnsi="Times New Roman" w:cs="Times New Roman"/>
          <w:lang w:val="es-ES"/>
        </w:rPr>
      </w:pPr>
      <w:r>
        <w:rPr>
          <w:rFonts w:ascii="Times New Roman" w:hAnsi="Times New Roman" w:cs="Times New Roman"/>
          <w:lang w:val="es-ES"/>
        </w:rPr>
        <w:t>30</w:t>
      </w:r>
      <w:r w:rsidR="005D0F06" w:rsidRPr="000D1029">
        <w:rPr>
          <w:rFonts w:ascii="Times New Roman" w:hAnsi="Times New Roman" w:cs="Times New Roman"/>
          <w:lang w:val="es-ES"/>
        </w:rPr>
        <w:t xml:space="preserve">. La Comisión Nacional de Refugiados (CONARE), en el Reglamento de dicha Comisión, establece la confidencialidad de los archivos, así mismo establece las condiciones para la reunificación familiar.  Una vez aceptado su solicitud se le expide una certificación. </w:t>
      </w:r>
    </w:p>
    <w:p w:rsidR="005D0F06" w:rsidRPr="000D1029" w:rsidRDefault="008F62E5" w:rsidP="00AB6DC7">
      <w:pPr>
        <w:spacing w:line="240" w:lineRule="auto"/>
        <w:rPr>
          <w:rFonts w:ascii="Times New Roman" w:hAnsi="Times New Roman" w:cs="Times New Roman"/>
          <w:i/>
          <w:lang w:val="es-ES"/>
        </w:rPr>
      </w:pPr>
      <w:r>
        <w:rPr>
          <w:rFonts w:ascii="Times New Roman" w:hAnsi="Times New Roman" w:cs="Times New Roman"/>
          <w:b/>
          <w:i/>
          <w:u w:val="single"/>
          <w:lang w:val="es-ES"/>
        </w:rPr>
        <w:lastRenderedPageBreak/>
        <w:t>31</w:t>
      </w:r>
      <w:r w:rsidR="005D0F06" w:rsidRPr="000D1029">
        <w:rPr>
          <w:rFonts w:ascii="Times New Roman" w:hAnsi="Times New Roman" w:cs="Times New Roman"/>
          <w:b/>
          <w:i/>
          <w:u w:val="single"/>
          <w:lang w:val="es-ES"/>
        </w:rPr>
        <w:t xml:space="preserve">. </w:t>
      </w:r>
      <w:r w:rsidR="00272160" w:rsidRPr="00272160">
        <w:rPr>
          <w:rFonts w:ascii="Times New Roman" w:hAnsi="Times New Roman" w:cs="Times New Roman"/>
          <w:b/>
          <w:i/>
          <w:u w:val="single"/>
          <w:lang w:val="es-ES"/>
        </w:rPr>
        <w:t>PÁRRAFO</w:t>
      </w:r>
      <w:r w:rsidR="005D0F06" w:rsidRPr="000D1029">
        <w:rPr>
          <w:rFonts w:ascii="Times New Roman" w:hAnsi="Times New Roman" w:cs="Times New Roman"/>
          <w:b/>
          <w:i/>
          <w:u w:val="single"/>
          <w:lang w:val="es-ES"/>
        </w:rPr>
        <w:t xml:space="preserve"> 9:</w:t>
      </w:r>
      <w:r w:rsidR="005D0F06" w:rsidRPr="000D1029">
        <w:rPr>
          <w:rFonts w:ascii="Times New Roman" w:hAnsi="Times New Roman" w:cs="Times New Roman"/>
          <w:i/>
          <w:lang w:val="es-ES"/>
        </w:rPr>
        <w:t xml:space="preserve"> El Comité lamenta la persistencia de grandes limitaciones para el acceso de las personas con discapacidad a los servicios de educación, cultura, salud y trabajo, y de su integración y</w:t>
      </w:r>
      <w:r w:rsidR="00F46FD7" w:rsidRPr="000D1029">
        <w:rPr>
          <w:rFonts w:ascii="Times New Roman" w:hAnsi="Times New Roman" w:cs="Times New Roman"/>
          <w:i/>
          <w:lang w:val="es-ES"/>
        </w:rPr>
        <w:t xml:space="preserve"> participación en la sociedad (A</w:t>
      </w:r>
      <w:r w:rsidR="005D0F06" w:rsidRPr="000D1029">
        <w:rPr>
          <w:rFonts w:ascii="Times New Roman" w:hAnsi="Times New Roman" w:cs="Times New Roman"/>
          <w:i/>
          <w:lang w:val="es-ES"/>
        </w:rPr>
        <w:t>rt. 2 y 26).</w:t>
      </w:r>
    </w:p>
    <w:p w:rsidR="005D0F06" w:rsidRPr="000D1029" w:rsidRDefault="005D0F06" w:rsidP="00AB6DC7">
      <w:pPr>
        <w:spacing w:line="240" w:lineRule="auto"/>
        <w:rPr>
          <w:rFonts w:ascii="Times New Roman" w:hAnsi="Times New Roman" w:cs="Times New Roman"/>
          <w:i/>
          <w:lang w:val="es-ES"/>
        </w:rPr>
      </w:pPr>
    </w:p>
    <w:p w:rsidR="005D0F06" w:rsidRPr="000D1029" w:rsidRDefault="008F62E5" w:rsidP="00AB6DC7">
      <w:pPr>
        <w:spacing w:line="240" w:lineRule="auto"/>
        <w:rPr>
          <w:rFonts w:ascii="Times New Roman" w:hAnsi="Times New Roman" w:cs="Times New Roman"/>
          <w:b/>
          <w:i/>
          <w:lang w:val="es-ES"/>
        </w:rPr>
      </w:pPr>
      <w:r>
        <w:rPr>
          <w:rFonts w:ascii="Times New Roman" w:hAnsi="Times New Roman" w:cs="Times New Roman"/>
          <w:b/>
          <w:i/>
          <w:lang w:val="es-ES"/>
        </w:rPr>
        <w:t>32</w:t>
      </w:r>
      <w:r w:rsidR="005D0F06" w:rsidRPr="000D1029">
        <w:rPr>
          <w:rFonts w:ascii="Times New Roman" w:hAnsi="Times New Roman" w:cs="Times New Roman"/>
          <w:b/>
          <w:i/>
          <w:lang w:val="es-ES"/>
        </w:rPr>
        <w:t>. El Estado parte debe reforzar sus esfuerzos para permitir la plena integración y participación de las personas con discapacidad en la sociedad.  En este sentido, el Estado parte debe implementar las disposiciones de la Convención sobre los derechos de las personas con discapacidad.</w:t>
      </w:r>
    </w:p>
    <w:p w:rsidR="005D0F06" w:rsidRPr="000D1029" w:rsidRDefault="005D0F06" w:rsidP="00AB6DC7">
      <w:pPr>
        <w:spacing w:line="240" w:lineRule="auto"/>
        <w:rPr>
          <w:rFonts w:ascii="Times New Roman" w:hAnsi="Times New Roman" w:cs="Times New Roman"/>
          <w:b/>
          <w:i/>
          <w:lang w:val="es-ES"/>
        </w:rPr>
      </w:pPr>
    </w:p>
    <w:p w:rsidR="005D0F06" w:rsidRPr="000D1029" w:rsidRDefault="008F62E5" w:rsidP="00AB6DC7">
      <w:pPr>
        <w:spacing w:line="240" w:lineRule="auto"/>
        <w:rPr>
          <w:rFonts w:ascii="Times New Roman" w:hAnsi="Times New Roman" w:cs="Times New Roman"/>
          <w:b/>
          <w:lang w:val="es-ES"/>
        </w:rPr>
      </w:pPr>
      <w:r>
        <w:rPr>
          <w:rFonts w:ascii="Times New Roman" w:hAnsi="Times New Roman" w:cs="Times New Roman"/>
          <w:b/>
          <w:lang w:val="es-ES"/>
        </w:rPr>
        <w:t>33</w:t>
      </w:r>
      <w:r w:rsidR="005D0F06" w:rsidRPr="000D1029">
        <w:rPr>
          <w:rFonts w:ascii="Times New Roman" w:hAnsi="Times New Roman" w:cs="Times New Roman"/>
          <w:b/>
          <w:lang w:val="es-ES"/>
        </w:rPr>
        <w:t xml:space="preserve">. Respuesta del Estado dominicano: </w:t>
      </w:r>
      <w:r w:rsidR="005D0F06" w:rsidRPr="000D1029">
        <w:rPr>
          <w:rFonts w:ascii="Times New Roman" w:hAnsi="Times New Roman" w:cs="Times New Roman"/>
          <w:lang w:val="es-ES"/>
        </w:rPr>
        <w:t>E</w:t>
      </w:r>
      <w:r w:rsidR="005D0F06" w:rsidRPr="000D1029">
        <w:rPr>
          <w:rFonts w:ascii="Times New Roman" w:hAnsi="Times New Roman" w:cs="Times New Roman"/>
        </w:rPr>
        <w:t xml:space="preserve">n la actualidad, han habido muchos avances en materia de inclusión de las personas con discapacidad, y el contexto actual es bastante diferente al del Informe Periódico para el cumplimiento del Pacto Internacional de los Derechos Civiles y Políticos en el año 2012. Por un lado la reforma constitucional del 2010 permitió la inclusión del artículo 58 que establece: </w:t>
      </w:r>
      <w:r w:rsidR="005D0F06" w:rsidRPr="000D1029">
        <w:rPr>
          <w:rFonts w:ascii="Times New Roman" w:hAnsi="Times New Roman" w:cs="Times New Roman"/>
          <w:i/>
        </w:rPr>
        <w:t xml:space="preserve">“Protección de las personas con discapacidad. El Estado promoverá, protegerá y asegurará el goce de todos los derechos humanos y libertades fundamentales de las personas con discapacidad, en condiciones de igualdad, así como el ejercicio pleno y autónomo de sus capacidades”. </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34</w:t>
      </w:r>
      <w:r w:rsidR="005D0F06" w:rsidRPr="000D1029">
        <w:rPr>
          <w:rFonts w:ascii="Times New Roman" w:hAnsi="Times New Roman" w:cs="Times New Roman"/>
        </w:rPr>
        <w:t>. Más importante aún fue la promulgación en el 2013 de la Ley Orgánica sobre Igualdad de Derechos de las Personas con Discapa</w:t>
      </w:r>
      <w:r w:rsidR="00FE7544" w:rsidRPr="000D1029">
        <w:rPr>
          <w:rFonts w:ascii="Times New Roman" w:hAnsi="Times New Roman" w:cs="Times New Roman"/>
        </w:rPr>
        <w:t>cidad No. 5-13 la cual da inicio</w:t>
      </w:r>
      <w:r w:rsidR="005D0F06" w:rsidRPr="000D1029">
        <w:rPr>
          <w:rFonts w:ascii="Times New Roman" w:hAnsi="Times New Roman" w:cs="Times New Roman"/>
        </w:rPr>
        <w:t xml:space="preserve"> al proceso de armonización de la legislación vigente con las disposiciones de la Convención sobre los Derechos de las Personas con Discapacidad y su Protocolo Facultativo. La Convención es también el marco de referencia base que se está utilizando en el proceso de consulta para la elaboración de su Reglamento de Aplicación.</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35</w:t>
      </w:r>
      <w:r w:rsidR="005D0F06" w:rsidRPr="000D1029">
        <w:rPr>
          <w:rFonts w:ascii="Times New Roman" w:hAnsi="Times New Roman" w:cs="Times New Roman"/>
        </w:rPr>
        <w:t>. Esta ley orgánica no sólo prevalece por su condición de norma de carácter constitucional, sino por emanar como consecuencia de una Convención Internacional ratificada por el país, de ahí que existe la tendencia a reforzar la protección de los derechos de las personas con discapacidad. Las disposiciones de esta ley son de orden público, de interés social y de observancia general teniendo como objetivo principal garantizar la participación e inclusión plena y efectiva de las personas con discapacidad y sus familias.</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36</w:t>
      </w:r>
      <w:r w:rsidR="005D0F06" w:rsidRPr="000D1029">
        <w:rPr>
          <w:rFonts w:ascii="Times New Roman" w:hAnsi="Times New Roman" w:cs="Times New Roman"/>
        </w:rPr>
        <w:t>. Desde el CONADIS</w:t>
      </w:r>
      <w:r w:rsidR="00E52E8C">
        <w:rPr>
          <w:rStyle w:val="FootnoteReference"/>
          <w:rFonts w:ascii="Times New Roman" w:hAnsi="Times New Roman" w:cs="Times New Roman"/>
        </w:rPr>
        <w:footnoteReference w:id="1"/>
      </w:r>
      <w:r w:rsidR="005D0F06" w:rsidRPr="000D1029">
        <w:rPr>
          <w:rFonts w:ascii="Times New Roman" w:hAnsi="Times New Roman" w:cs="Times New Roman"/>
        </w:rPr>
        <w:t xml:space="preserve"> se ha venido desarrollando el programa Saliendo del Escondite, con la finalidad de promover el desarrollo inclusivo con base comunitaria. Este programa favorece el empoderamiento y participación de diferentes sectores: líderes comunitarios, personas con discapacidad, iglesias, gobiernos locales, representantes locales del gobierno central, quienes con el acompañamiento del CONADIS elaboran estrategias que permitan la inclusión de las personas con discapacidad y su participación de forma independiente en la vida de la comunidad. </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37</w:t>
      </w:r>
      <w:r w:rsidR="005D0F06" w:rsidRPr="0035781C">
        <w:rPr>
          <w:rFonts w:ascii="Times New Roman" w:hAnsi="Times New Roman" w:cs="Times New Roman"/>
        </w:rPr>
        <w:t xml:space="preserve">. </w:t>
      </w:r>
      <w:r w:rsidR="005D0F06" w:rsidRPr="000D1029">
        <w:rPr>
          <w:rFonts w:ascii="Times New Roman" w:hAnsi="Times New Roman" w:cs="Times New Roman"/>
        </w:rPr>
        <w:t>Desde la Gestión Presidencial del Lic. Danilo Medina Sánchez y la Gestión del Ministro de Educación, se realiza el Programa Nacional de Edificaciones Escolares, a través del cual se construyeron 10,000 aulas en 2014, se construirán 18 mil nuevas aulas, se rehabilitarán 13 mil al 2016 y todas incluyen un comedor y una cocina en cada plantel escolar del país.</w:t>
      </w:r>
      <w:r w:rsidR="001955E3">
        <w:rPr>
          <w:rFonts w:ascii="Times New Roman" w:hAnsi="Times New Roman" w:cs="Times New Roman"/>
        </w:rPr>
        <w:t xml:space="preserve"> </w:t>
      </w:r>
      <w:r w:rsidR="005D0F06" w:rsidRPr="000D1029">
        <w:rPr>
          <w:rFonts w:ascii="Times New Roman" w:hAnsi="Times New Roman" w:cs="Times New Roman"/>
        </w:rPr>
        <w:t xml:space="preserve">Estos nuevos centros educativos tienen un diseño accesible para los estudiantes con discapacidad. Es importante destacar que desde el 2008 todos los centros educativos construidos son físicamente accesibles en el primer nivel, según datos suministrado por la Dirección de </w:t>
      </w:r>
      <w:r w:rsidR="005D0F06" w:rsidRPr="000D1029">
        <w:rPr>
          <w:rFonts w:ascii="Times New Roman" w:hAnsi="Times New Roman" w:cs="Times New Roman"/>
        </w:rPr>
        <w:lastRenderedPageBreak/>
        <w:t>Planificación del MINERD</w:t>
      </w:r>
      <w:r w:rsidR="001955E3">
        <w:rPr>
          <w:rStyle w:val="FootnoteReference"/>
          <w:rFonts w:ascii="Times New Roman" w:hAnsi="Times New Roman" w:cs="Times New Roman"/>
        </w:rPr>
        <w:footnoteReference w:id="2"/>
      </w:r>
      <w:r w:rsidR="005D0F06" w:rsidRPr="000D1029">
        <w:rPr>
          <w:rFonts w:ascii="Times New Roman" w:hAnsi="Times New Roman" w:cs="Times New Roman"/>
        </w:rPr>
        <w:t>.</w:t>
      </w:r>
      <w:r w:rsidR="001955E3">
        <w:rPr>
          <w:rFonts w:ascii="Times New Roman" w:hAnsi="Times New Roman" w:cs="Times New Roman"/>
        </w:rPr>
        <w:t xml:space="preserve"> </w:t>
      </w:r>
      <w:r w:rsidR="005D0F06" w:rsidRPr="000D1029">
        <w:rPr>
          <w:rFonts w:ascii="Times New Roman" w:hAnsi="Times New Roman" w:cs="Times New Roman"/>
        </w:rPr>
        <w:t>Las normativas y estándares de accesibilidad física se incluyeron en los planes de las escuelas pertenecientes al Programa de Edificaciones Escolares empezado en el año 2013. Hasta la fecha se han construido 601 escuelas de las cuales el 80% cumple con todos los criterios de accesibilidad en el primer nivel.</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38</w:t>
      </w:r>
      <w:r w:rsidR="005D0F06" w:rsidRPr="0035781C">
        <w:rPr>
          <w:rFonts w:ascii="Times New Roman" w:hAnsi="Times New Roman" w:cs="Times New Roman"/>
        </w:rPr>
        <w:t xml:space="preserve">. </w:t>
      </w:r>
      <w:r w:rsidR="005D0F06" w:rsidRPr="000D1029">
        <w:rPr>
          <w:rFonts w:ascii="Times New Roman" w:hAnsi="Times New Roman" w:cs="Times New Roman"/>
        </w:rPr>
        <w:t>En lo que respecta el acceso a la salud, en República Dominicana existe un nuevo modelo de atención en salud que privilegia la atención primaria, como política que promueve la atención integral en el nivel comunitario y los establecimientos de salud más cercanos a los lugares de residencia de las personas.</w:t>
      </w:r>
      <w:r w:rsidR="00CB4B44">
        <w:rPr>
          <w:rFonts w:ascii="Times New Roman" w:hAnsi="Times New Roman" w:cs="Times New Roman"/>
        </w:rPr>
        <w:t xml:space="preserve"> </w:t>
      </w:r>
      <w:r w:rsidR="005D0F06" w:rsidRPr="000D1029">
        <w:rPr>
          <w:rFonts w:ascii="Times New Roman" w:hAnsi="Times New Roman" w:cs="Times New Roman"/>
        </w:rPr>
        <w:t>Como parte del programa de gobierno la gestión del 2012-2016 se encuentra identificar las prioridades para el sector salud dentro de las cuales está la atención a las personas con discapacidad.</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39</w:t>
      </w:r>
      <w:r w:rsidR="005D0F06" w:rsidRPr="000D1029">
        <w:rPr>
          <w:rFonts w:ascii="Times New Roman" w:hAnsi="Times New Roman" w:cs="Times New Roman"/>
        </w:rPr>
        <w:t>. El Consejo Nacional de Seguridad Social (CNSS) aprobó, a través de la resolución No.212-02 del 2009, la inclusión de forma directa a los beneficios del Seguro Familiar de Salud (SFS) del Régimen Subsidiado a las personas de bajo ingresos con discapacidad. Esta inclusión se produce a través del Seguro Nacional de Salud (SENASA) en el Régimen Subsidiado del Sistema Dominicano de Seguridad Social (SDSS).</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40</w:t>
      </w:r>
      <w:r w:rsidR="005D0F06" w:rsidRPr="000D1029">
        <w:rPr>
          <w:rFonts w:ascii="Times New Roman" w:hAnsi="Times New Roman" w:cs="Times New Roman"/>
        </w:rPr>
        <w:t>. A través de la Encuesta Nacional de Hogares del 2013 (ENHOGAR 2013) se encontró que el 58.7% de las personas con discapacidad están afiliados a algún seguro médico o de salud.</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41</w:t>
      </w:r>
      <w:r w:rsidR="005D0F06" w:rsidRPr="000D1029">
        <w:rPr>
          <w:rFonts w:ascii="Times New Roman" w:hAnsi="Times New Roman" w:cs="Times New Roman"/>
        </w:rPr>
        <w:t xml:space="preserve">. En materia de trabajo La Ley Orgánica sobre la Igualdad de Derechos de las Personas con Discapacidad No. 5-13, establece en su Artículo 14,  las cuotas de empleos de un cinco por ciento (5%) para el sector público y de un dos por ciento (2%) para el sector privado. En este sentido, y mientras se concluye con el proceso de Consulta para el Reglamento de la referida ley, desde el CONADIS se ha estado coordinando iniciativas para la elaboración y evaluación de políticas públicas que promuevan la inclusión laboral de las personas con discapacidad. </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42</w:t>
      </w:r>
      <w:r w:rsidR="005D0F06" w:rsidRPr="000D1029">
        <w:rPr>
          <w:rFonts w:ascii="Times New Roman" w:hAnsi="Times New Roman" w:cs="Times New Roman"/>
        </w:rPr>
        <w:t>. Desde el Departamento de Inclusión Laboral del CONADIS se han gestionado unos ochenta y cuatro (84) empleos de diferentes modalidades como son: empleos fijos, empleos temporales y por contrataciones. Es importante destacar que la selección del personal contratado ha sido en base a sus competencias y habilidades.</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43</w:t>
      </w:r>
      <w:r w:rsidR="005D0F06" w:rsidRPr="000D1029">
        <w:rPr>
          <w:rFonts w:ascii="Times New Roman" w:hAnsi="Times New Roman" w:cs="Times New Roman"/>
        </w:rPr>
        <w:t>.</w:t>
      </w:r>
      <w:r w:rsidR="00237078">
        <w:rPr>
          <w:rFonts w:ascii="Times New Roman" w:hAnsi="Times New Roman" w:cs="Times New Roman"/>
        </w:rPr>
        <w:t xml:space="preserve"> </w:t>
      </w:r>
      <w:r w:rsidR="005D0F06" w:rsidRPr="000D1029">
        <w:rPr>
          <w:rFonts w:ascii="Times New Roman" w:hAnsi="Times New Roman" w:cs="Times New Roman"/>
        </w:rPr>
        <w:t>Según datos suministrados por el Instituto de Formación Técnico Profesional (INFOTEP), en los años 2013 y 2014 fueron formados en diferentes áreas un total de mil cuatrocientas noventa y seis (1496) personas con discapacidad distribuidas en todo el territorio nacional. Con este número el INFOTEP superó en más de un 200% sus expectativas formativas con esta población. Gran parte de estas capacitaciones se han realizado a través de la articulación que el CONADIS mantiene con el INFOTEP, proponiéndose metas conjunta para cada año.</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44</w:t>
      </w:r>
      <w:r w:rsidR="005D0F06" w:rsidRPr="000D1029">
        <w:rPr>
          <w:rFonts w:ascii="Times New Roman" w:hAnsi="Times New Roman" w:cs="Times New Roman"/>
        </w:rPr>
        <w:t>. La Junta Central y Electoral para el proceso de elecciones del año 2012 en coordinación con el Consejo Nacional de Discapacidad CONADIS, capacitó al equipo de los presidentes de las mesas electorales sobre el trato digno a las personas con discapacidad y su derecho al voto, donde se les suministró toda la información referente al proceso de votación.</w:t>
      </w:r>
      <w:r w:rsidR="00886A0B">
        <w:rPr>
          <w:rFonts w:ascii="Times New Roman" w:hAnsi="Times New Roman" w:cs="Times New Roman"/>
        </w:rPr>
        <w:t xml:space="preserve"> </w:t>
      </w:r>
      <w:r w:rsidR="005D0F06" w:rsidRPr="000D1029">
        <w:rPr>
          <w:rFonts w:ascii="Times New Roman" w:hAnsi="Times New Roman" w:cs="Times New Roman"/>
        </w:rPr>
        <w:t xml:space="preserve">Se quedó en acuerdo que las personas con discapacidad usuarias de sillas de ruedas o movilidad reducida que ejerzan el voto en locales con barreras arquitectónicas serán asistidas por un </w:t>
      </w:r>
      <w:r w:rsidR="005D0F06" w:rsidRPr="000D1029">
        <w:rPr>
          <w:rFonts w:ascii="Times New Roman" w:hAnsi="Times New Roman" w:cs="Times New Roman"/>
        </w:rPr>
        <w:lastRenderedPageBreak/>
        <w:t>representante que designe el presidente para tales fines. Así mismo, para las personas con discapacidad visual se utilizó plantillas en el sistema braille como en los años anteriores.</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45</w:t>
      </w:r>
      <w:r w:rsidR="005D0F06" w:rsidRPr="000D1029">
        <w:rPr>
          <w:rFonts w:ascii="Times New Roman" w:hAnsi="Times New Roman" w:cs="Times New Roman"/>
        </w:rPr>
        <w:t>.</w:t>
      </w:r>
      <w:r w:rsidR="00886A0B">
        <w:rPr>
          <w:rFonts w:ascii="Times New Roman" w:hAnsi="Times New Roman" w:cs="Times New Roman"/>
        </w:rPr>
        <w:t xml:space="preserve"> </w:t>
      </w:r>
      <w:r w:rsidR="005D0F06" w:rsidRPr="000D1029">
        <w:rPr>
          <w:rFonts w:ascii="Times New Roman" w:hAnsi="Times New Roman" w:cs="Times New Roman"/>
        </w:rPr>
        <w:t>En materia de seguimiento a la aplicación se ha creado el Observatorio a la Implementación de la Convención por los Derechos de las Personas con Discapacidad una herramienta diseñada para recabar, sistematizar y estructurar información e indicadores de manera directa, fomentando el trabajo de veeduría social y sustentando las acciones de incidencia, así como la demanda de transparencia de la información y cumplimiento de la Convención.</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46</w:t>
      </w:r>
      <w:r w:rsidR="005D0F06" w:rsidRPr="000D1029">
        <w:rPr>
          <w:rFonts w:ascii="Times New Roman" w:hAnsi="Times New Roman" w:cs="Times New Roman"/>
        </w:rPr>
        <w:t>. Resulta propio resaltar que el Comité sobre los Derechos de las Personas con Discapacidad examinó el informe inicial de República Dominicana (CRPD/C/DOM/1), así como las respuestas a las cuestiones adicionales (CRPD/C/DOM/Q/1/Add.1) en sus sesiones 186ª y 187ª, celebradas los días 7 y 8 de abril de 2015 respectivamente, donde estuvo presente el Director del CONADIS en representación del Estado, haciendo formal presentación del Informe y dando respuesta a los cuestionamientos realizado por el Comité en consecuencia del mismo. El Comité  luego presentó sus observaciones finales en su 196ª sesión, celebrada el 14 de abril de 2015.</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rPr>
      </w:pPr>
      <w:r>
        <w:rPr>
          <w:rFonts w:ascii="Times New Roman" w:hAnsi="Times New Roman" w:cs="Times New Roman"/>
        </w:rPr>
        <w:t>47</w:t>
      </w:r>
      <w:r w:rsidR="005D0F06" w:rsidRPr="000D1029">
        <w:rPr>
          <w:rFonts w:ascii="Times New Roman" w:hAnsi="Times New Roman" w:cs="Times New Roman"/>
        </w:rPr>
        <w:t>. Entre los aspectos positivos destacados por el Comité  destaca las medidas legislativas, políticas públicas y programas adoptados por el Estado parte en las diferentes áreas de la Convención, en particular,  los preceptos incluidos en la Constitución sobre los derechos de las personas con discapacidad, la promulgación de la Ley N° 05-13,  el Plan Nacional de Accesibilidad y la iniciativa para el desarrollo de una Conferencia Mundial sobre Turismo Accesible, y el Programa de Desarrollo Inclusivo con Base Comunitaria: Saliendo del Escondite.</w:t>
      </w:r>
    </w:p>
    <w:p w:rsidR="005D0F06" w:rsidRPr="000D1029" w:rsidRDefault="005D0F06" w:rsidP="00AB6DC7">
      <w:pPr>
        <w:spacing w:line="240" w:lineRule="auto"/>
        <w:rPr>
          <w:rFonts w:ascii="Times New Roman" w:hAnsi="Times New Roman" w:cs="Times New Roman"/>
        </w:rPr>
      </w:pPr>
    </w:p>
    <w:p w:rsidR="005D0F06" w:rsidRPr="000D1029" w:rsidRDefault="008F62E5" w:rsidP="00AB6DC7">
      <w:pPr>
        <w:spacing w:line="240" w:lineRule="auto"/>
        <w:rPr>
          <w:rFonts w:ascii="Times New Roman" w:hAnsi="Times New Roman" w:cs="Times New Roman"/>
          <w:i/>
          <w:lang w:val="es-ES"/>
        </w:rPr>
      </w:pPr>
      <w:r>
        <w:rPr>
          <w:rFonts w:ascii="Times New Roman" w:hAnsi="Times New Roman" w:cs="Times New Roman"/>
          <w:b/>
          <w:i/>
          <w:u w:val="single"/>
          <w:lang w:val="es-ES"/>
        </w:rPr>
        <w:t>48</w:t>
      </w:r>
      <w:r w:rsidR="005D0F06" w:rsidRPr="000D1029">
        <w:rPr>
          <w:rFonts w:ascii="Times New Roman" w:hAnsi="Times New Roman" w:cs="Times New Roman"/>
          <w:b/>
          <w:i/>
          <w:u w:val="single"/>
          <w:lang w:val="es-ES"/>
        </w:rPr>
        <w:t xml:space="preserve">. </w:t>
      </w:r>
      <w:r w:rsidR="00272160" w:rsidRPr="00272160">
        <w:rPr>
          <w:rFonts w:ascii="Times New Roman" w:hAnsi="Times New Roman" w:cs="Times New Roman"/>
          <w:b/>
          <w:i/>
          <w:u w:val="single"/>
          <w:lang w:val="es-ES"/>
        </w:rPr>
        <w:t>PÁRRAFO</w:t>
      </w:r>
      <w:r w:rsidR="005D0F06" w:rsidRPr="000D1029">
        <w:rPr>
          <w:rFonts w:ascii="Times New Roman" w:hAnsi="Times New Roman" w:cs="Times New Roman"/>
          <w:b/>
          <w:i/>
          <w:u w:val="single"/>
          <w:lang w:val="es-ES"/>
        </w:rPr>
        <w:t xml:space="preserve"> 10.</w:t>
      </w:r>
      <w:r w:rsidR="005D0F06" w:rsidRPr="000D1029">
        <w:rPr>
          <w:rFonts w:ascii="Times New Roman" w:hAnsi="Times New Roman" w:cs="Times New Roman"/>
          <w:i/>
          <w:lang w:val="es-ES"/>
        </w:rPr>
        <w:t xml:space="preserve">  El comité saluda la integración del principio de igualdad entre hombres y mujeres en la Constitución de 2010, así como la obligación para el Estado de proponer candidaturas equitativas en los cargos de elección directa. No obstante, el Comité observa con inquietud que las mujeres sigan sub-representadas tanto en el sector público como en el privado, especialmente en los cargos decisorios, y lamenta que existan suficientes mecanismos legales para facilitar la implementación de los principios constitucionales relacionados con la igualdad de género. (arts. 3 y 26).</w:t>
      </w:r>
    </w:p>
    <w:p w:rsidR="00411374" w:rsidRDefault="00411374" w:rsidP="00AB6DC7">
      <w:pPr>
        <w:spacing w:line="240" w:lineRule="auto"/>
        <w:rPr>
          <w:rFonts w:ascii="Times New Roman" w:hAnsi="Times New Roman" w:cs="Times New Roman"/>
          <w:lang w:val="es-ES"/>
        </w:rPr>
      </w:pPr>
    </w:p>
    <w:p w:rsidR="005D0F06" w:rsidRPr="000D1029" w:rsidRDefault="005D0F06" w:rsidP="00AB6DC7">
      <w:pPr>
        <w:spacing w:line="240" w:lineRule="auto"/>
        <w:rPr>
          <w:rFonts w:ascii="Times New Roman" w:hAnsi="Times New Roman" w:cs="Times New Roman"/>
          <w:lang w:val="es-ES"/>
        </w:rPr>
      </w:pPr>
      <w:r w:rsidRPr="000D1029">
        <w:rPr>
          <w:rFonts w:ascii="Times New Roman" w:hAnsi="Times New Roman" w:cs="Times New Roman"/>
          <w:lang w:val="es-ES"/>
        </w:rPr>
        <w:tab/>
      </w:r>
    </w:p>
    <w:p w:rsidR="005D0F06" w:rsidRPr="000D1029" w:rsidRDefault="008F62E5" w:rsidP="00AB6DC7">
      <w:pPr>
        <w:spacing w:line="240" w:lineRule="auto"/>
        <w:rPr>
          <w:rFonts w:ascii="Times New Roman" w:hAnsi="Times New Roman" w:cs="Times New Roman"/>
          <w:b/>
          <w:i/>
          <w:lang w:val="es-ES"/>
        </w:rPr>
      </w:pPr>
      <w:r>
        <w:rPr>
          <w:rFonts w:ascii="Times New Roman" w:hAnsi="Times New Roman" w:cs="Times New Roman"/>
          <w:b/>
          <w:i/>
          <w:lang w:val="es-ES"/>
        </w:rPr>
        <w:t>49</w:t>
      </w:r>
      <w:r w:rsidR="005D0F06" w:rsidRPr="000D1029">
        <w:rPr>
          <w:rFonts w:ascii="Times New Roman" w:hAnsi="Times New Roman" w:cs="Times New Roman"/>
          <w:b/>
          <w:i/>
          <w:lang w:val="es-ES"/>
        </w:rPr>
        <w:t>. El Estado parte debe adoptar las leyes que sean necesarias para dar pleno efecto a los principios de igualdad entre hombres y mujeres. Asimismo, el Estado parte debe incrementar el número de mujeres en cargos decisorios en los sectores privado y público, mediante la ejecución de nuevas iniciativas prácticas, incluidas, en caso necesario, la adopción de medidas especiales de carácter temporal para dar efecto a las disposiciones del Pacto.</w:t>
      </w:r>
    </w:p>
    <w:p w:rsidR="005D0F06" w:rsidRPr="000D1029" w:rsidRDefault="005D0F06" w:rsidP="00AB6DC7">
      <w:pPr>
        <w:spacing w:line="240" w:lineRule="auto"/>
        <w:rPr>
          <w:rFonts w:ascii="Times New Roman" w:hAnsi="Times New Roman" w:cs="Times New Roman"/>
          <w:b/>
          <w:i/>
          <w:lang w:val="es-ES"/>
        </w:rPr>
      </w:pPr>
    </w:p>
    <w:p w:rsidR="005D0F06" w:rsidRPr="000D1029" w:rsidRDefault="008F62E5" w:rsidP="00AB6DC7">
      <w:pPr>
        <w:spacing w:line="240" w:lineRule="auto"/>
        <w:rPr>
          <w:rFonts w:ascii="Times New Roman" w:hAnsi="Times New Roman" w:cs="Times New Roman"/>
          <w:lang w:val="es-DO"/>
        </w:rPr>
      </w:pPr>
      <w:r>
        <w:rPr>
          <w:rFonts w:ascii="Times New Roman" w:hAnsi="Times New Roman" w:cs="Times New Roman"/>
          <w:b/>
          <w:lang w:val="es-ES"/>
        </w:rPr>
        <w:t>50</w:t>
      </w:r>
      <w:r w:rsidR="005D0F06" w:rsidRPr="000D1029">
        <w:rPr>
          <w:rFonts w:ascii="Times New Roman" w:hAnsi="Times New Roman" w:cs="Times New Roman"/>
          <w:b/>
          <w:lang w:val="es-ES"/>
        </w:rPr>
        <w:t xml:space="preserve">. Respuesta del Estado dominicano: </w:t>
      </w:r>
      <w:r w:rsidR="005D0F06" w:rsidRPr="000D1029">
        <w:rPr>
          <w:rFonts w:ascii="Times New Roman" w:hAnsi="Times New Roman" w:cs="Times New Roman"/>
          <w:lang w:val="es-DO"/>
        </w:rPr>
        <w:t xml:space="preserve">Destacamos el establecimiento de la cuota mínima de representación política para las mujeres, que incluyó la cuota del 25 % en la ley electoral  275-97, no solo porque es un hecho sin precedente en la historia del país, sino también porque fue la primera acción afirmativa derivada de los compromisos con la Convención Para la Eliminación de todas las Formas de Discriminación contra las Mujeres, CEDAW y la Plataforma de Acción de Beijing en materia de participación política, y que  impulsó el </w:t>
      </w:r>
      <w:r w:rsidR="005D0F06" w:rsidRPr="000D1029">
        <w:rPr>
          <w:rFonts w:ascii="Times New Roman" w:hAnsi="Times New Roman" w:cs="Times New Roman"/>
          <w:lang w:val="es-DO"/>
        </w:rPr>
        <w:lastRenderedPageBreak/>
        <w:t>debate público sobre el derecho de las mujeres a participar plenamente en el escenario político.</w:t>
      </w:r>
    </w:p>
    <w:p w:rsidR="005D0F06" w:rsidRPr="000D1029" w:rsidRDefault="005D0F06" w:rsidP="00AB6DC7">
      <w:pPr>
        <w:spacing w:line="240" w:lineRule="auto"/>
        <w:rPr>
          <w:rFonts w:ascii="Times New Roman" w:hAnsi="Times New Roman" w:cs="Times New Roman"/>
          <w:lang w:val="es-DO"/>
        </w:rPr>
      </w:pPr>
    </w:p>
    <w:p w:rsidR="005D0F06" w:rsidRPr="000D1029" w:rsidRDefault="008F62E5" w:rsidP="00AB6DC7">
      <w:pPr>
        <w:spacing w:line="240" w:lineRule="auto"/>
        <w:rPr>
          <w:rFonts w:ascii="Times New Roman" w:hAnsi="Times New Roman" w:cs="Times New Roman"/>
          <w:lang w:val="es-DO"/>
        </w:rPr>
      </w:pPr>
      <w:r>
        <w:rPr>
          <w:rFonts w:ascii="Times New Roman" w:hAnsi="Times New Roman" w:cs="Times New Roman"/>
          <w:lang w:val="es-DO"/>
        </w:rPr>
        <w:t>51</w:t>
      </w:r>
      <w:r w:rsidR="005D0F06" w:rsidRPr="000D1029">
        <w:rPr>
          <w:rFonts w:ascii="Times New Roman" w:hAnsi="Times New Roman" w:cs="Times New Roman"/>
          <w:lang w:val="es-DO"/>
        </w:rPr>
        <w:t xml:space="preserve">. </w:t>
      </w:r>
      <w:r w:rsidR="008F4BF1" w:rsidRPr="000D1029">
        <w:rPr>
          <w:rFonts w:ascii="Times New Roman" w:hAnsi="Times New Roman" w:cs="Times New Roman"/>
          <w:lang w:val="es-DO"/>
        </w:rPr>
        <w:t>Igualmente</w:t>
      </w:r>
      <w:r w:rsidR="005D0F06" w:rsidRPr="000D1029">
        <w:rPr>
          <w:rFonts w:ascii="Times New Roman" w:hAnsi="Times New Roman" w:cs="Times New Roman"/>
          <w:lang w:val="es-DO"/>
        </w:rPr>
        <w:t>, en República Dominicana, existen dos leyes de cuota mínima para las candidaturas electorales, la Ley 12-2000,  que establece la cuota mínima de candidaturas de mujeres de 33% para las diputaciones y regidurías y la Ley 13-2000, que establece la obligatoriedad de que, cuando el candidato a la sindicatura (hoy alcaldías) sea un hombre debe colocarse a una mujer en el  cargo de la vicesindicatura y viceversa.</w:t>
      </w:r>
    </w:p>
    <w:p w:rsidR="005D0F06" w:rsidRPr="000D1029" w:rsidRDefault="005D0F06" w:rsidP="00AB6DC7">
      <w:pPr>
        <w:spacing w:line="240" w:lineRule="auto"/>
        <w:rPr>
          <w:rFonts w:ascii="Times New Roman" w:hAnsi="Times New Roman" w:cs="Times New Roman"/>
          <w:lang w:val="es-DO"/>
        </w:rPr>
      </w:pPr>
    </w:p>
    <w:p w:rsidR="005D0F06" w:rsidRPr="000D1029" w:rsidRDefault="008F62E5" w:rsidP="00AB6DC7">
      <w:pPr>
        <w:spacing w:line="240" w:lineRule="auto"/>
        <w:rPr>
          <w:rFonts w:ascii="Times New Roman" w:hAnsi="Times New Roman" w:cs="Times New Roman"/>
          <w:lang w:val="es-DO"/>
        </w:rPr>
      </w:pPr>
      <w:r>
        <w:rPr>
          <w:rFonts w:ascii="Times New Roman" w:hAnsi="Times New Roman" w:cs="Times New Roman"/>
          <w:lang w:val="es-DO"/>
        </w:rPr>
        <w:t>52</w:t>
      </w:r>
      <w:r w:rsidR="005D0F06" w:rsidRPr="000D1029">
        <w:rPr>
          <w:rFonts w:ascii="Times New Roman" w:hAnsi="Times New Roman" w:cs="Times New Roman"/>
          <w:lang w:val="es-DO"/>
        </w:rPr>
        <w:t>. Otras medidas vinculadas  a la aplicación de estas leyes son las resoluciones No. 06-2006 y la 04-2010 de la Junta Central Electoral adoptadas en el 2006 y el 2010, para promover el cumplimiento de la cuota  femenina.  Ambas  establecen  la obligatoriedad del cumplimiento de las leyes de cuotas  por parte de los partidos políticos.</w:t>
      </w:r>
    </w:p>
    <w:p w:rsidR="005D0F06" w:rsidRPr="000D1029" w:rsidRDefault="005D0F06" w:rsidP="00AB6DC7">
      <w:pPr>
        <w:spacing w:line="240" w:lineRule="auto"/>
        <w:rPr>
          <w:rFonts w:ascii="Times New Roman" w:hAnsi="Times New Roman" w:cs="Times New Roman"/>
          <w:lang w:val="es-DO"/>
        </w:rPr>
      </w:pPr>
    </w:p>
    <w:p w:rsidR="005D0F06" w:rsidRDefault="008F62E5" w:rsidP="00AB6DC7">
      <w:pPr>
        <w:spacing w:line="240" w:lineRule="auto"/>
        <w:rPr>
          <w:rFonts w:ascii="Times New Roman" w:hAnsi="Times New Roman" w:cs="Times New Roman"/>
          <w:lang w:val="es-DO"/>
        </w:rPr>
      </w:pPr>
      <w:r>
        <w:rPr>
          <w:rFonts w:ascii="Times New Roman" w:hAnsi="Times New Roman" w:cs="Times New Roman"/>
          <w:lang w:val="es-DO"/>
        </w:rPr>
        <w:t>53</w:t>
      </w:r>
      <w:r w:rsidR="005D0F06" w:rsidRPr="000D1029">
        <w:rPr>
          <w:rFonts w:ascii="Times New Roman" w:hAnsi="Times New Roman" w:cs="Times New Roman"/>
          <w:lang w:val="es-DO"/>
        </w:rPr>
        <w:t>. La cuota ha generado un proceso de cambio en los roles y protagonismos de la cultura política dominicana. A continuación, se presenta como ha evolucionado la escogencia de mujeres a cargo congresuales y municipales a partir del establecimiento de las leyes de cuotas:</w:t>
      </w:r>
    </w:p>
    <w:p w:rsidR="00AB6DC7" w:rsidRDefault="00AB6DC7" w:rsidP="00AB6DC7">
      <w:pPr>
        <w:spacing w:line="240" w:lineRule="auto"/>
        <w:rPr>
          <w:rFonts w:ascii="Times New Roman" w:hAnsi="Times New Roman" w:cs="Times New Roman"/>
          <w:b/>
          <w:lang w:val="es-DO"/>
        </w:rPr>
      </w:pPr>
    </w:p>
    <w:p w:rsidR="005D0F06" w:rsidRPr="00411374" w:rsidRDefault="00411374" w:rsidP="00AB6DC7">
      <w:pPr>
        <w:spacing w:line="240" w:lineRule="auto"/>
        <w:rPr>
          <w:rFonts w:ascii="Times New Roman" w:hAnsi="Times New Roman" w:cs="Times New Roman"/>
          <w:b/>
          <w:lang w:val="es-DO"/>
        </w:rPr>
      </w:pPr>
      <w:r>
        <w:rPr>
          <w:rFonts w:ascii="Times New Roman" w:hAnsi="Times New Roman" w:cs="Times New Roman"/>
          <w:b/>
          <w:lang w:val="es-DO"/>
        </w:rPr>
        <w:t>Tabla No. 1</w:t>
      </w:r>
    </w:p>
    <w:tbl>
      <w:tblPr>
        <w:tblW w:w="0" w:type="auto"/>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327"/>
        <w:gridCol w:w="1329"/>
        <w:gridCol w:w="1231"/>
        <w:gridCol w:w="16"/>
        <w:gridCol w:w="1228"/>
        <w:gridCol w:w="1150"/>
        <w:gridCol w:w="954"/>
        <w:gridCol w:w="928"/>
      </w:tblGrid>
      <w:tr w:rsidR="005D0F06" w:rsidRPr="000D1029" w:rsidTr="00411374">
        <w:trPr>
          <w:cantSplit/>
          <w:trHeight w:val="93"/>
        </w:trPr>
        <w:tc>
          <w:tcPr>
            <w:tcW w:w="1327" w:type="dxa"/>
            <w:vMerge w:val="restart"/>
            <w:shd w:val="clear" w:color="auto" w:fill="E0E0E0"/>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AÑO</w:t>
            </w:r>
          </w:p>
        </w:tc>
        <w:tc>
          <w:tcPr>
            <w:tcW w:w="3804" w:type="dxa"/>
            <w:gridSpan w:val="4"/>
            <w:shd w:val="clear" w:color="auto" w:fill="E0E0E0"/>
          </w:tcPr>
          <w:p w:rsidR="005D0F06" w:rsidRPr="00411374" w:rsidRDefault="005D0F06" w:rsidP="00AB6DC7">
            <w:pPr>
              <w:spacing w:line="240" w:lineRule="auto"/>
              <w:jc w:val="center"/>
              <w:rPr>
                <w:rFonts w:ascii="Times New Roman" w:hAnsi="Times New Roman" w:cs="Times New Roman"/>
              </w:rPr>
            </w:pPr>
            <w:r w:rsidRPr="00411374">
              <w:rPr>
                <w:rFonts w:ascii="Times New Roman" w:hAnsi="Times New Roman" w:cs="Times New Roman"/>
                <w:sz w:val="22"/>
              </w:rPr>
              <w:t>CAMARA BAJA</w:t>
            </w:r>
          </w:p>
        </w:tc>
        <w:tc>
          <w:tcPr>
            <w:tcW w:w="3032" w:type="dxa"/>
            <w:gridSpan w:val="3"/>
            <w:shd w:val="clear" w:color="auto" w:fill="E0E0E0"/>
          </w:tcPr>
          <w:p w:rsidR="005D0F06" w:rsidRPr="00411374" w:rsidRDefault="005D0F06" w:rsidP="00AB6DC7">
            <w:pPr>
              <w:spacing w:line="240" w:lineRule="auto"/>
              <w:jc w:val="center"/>
              <w:rPr>
                <w:rFonts w:ascii="Times New Roman" w:hAnsi="Times New Roman" w:cs="Times New Roman"/>
              </w:rPr>
            </w:pPr>
            <w:r w:rsidRPr="00411374">
              <w:rPr>
                <w:rFonts w:ascii="Times New Roman" w:hAnsi="Times New Roman" w:cs="Times New Roman"/>
                <w:sz w:val="22"/>
              </w:rPr>
              <w:t>SENADO</w:t>
            </w:r>
          </w:p>
        </w:tc>
      </w:tr>
      <w:tr w:rsidR="005D0F06" w:rsidRPr="000D1029" w:rsidTr="00411374">
        <w:trPr>
          <w:cantSplit/>
          <w:trHeight w:val="92"/>
        </w:trPr>
        <w:tc>
          <w:tcPr>
            <w:tcW w:w="1327" w:type="dxa"/>
            <w:vMerge/>
            <w:shd w:val="clear" w:color="auto" w:fill="E0E0E0"/>
          </w:tcPr>
          <w:p w:rsidR="005D0F06" w:rsidRPr="00411374" w:rsidRDefault="005D0F06" w:rsidP="00AB6DC7">
            <w:pPr>
              <w:spacing w:line="240" w:lineRule="auto"/>
              <w:rPr>
                <w:rFonts w:ascii="Times New Roman" w:hAnsi="Times New Roman" w:cs="Times New Roman"/>
              </w:rPr>
            </w:pPr>
          </w:p>
        </w:tc>
        <w:tc>
          <w:tcPr>
            <w:tcW w:w="1329" w:type="dxa"/>
            <w:shd w:val="clear" w:color="auto" w:fill="E0E0E0"/>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Sendos Sexos</w:t>
            </w:r>
          </w:p>
        </w:tc>
        <w:tc>
          <w:tcPr>
            <w:tcW w:w="1231" w:type="dxa"/>
            <w:shd w:val="clear" w:color="auto" w:fill="E0E0E0"/>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Mujeres</w:t>
            </w:r>
          </w:p>
        </w:tc>
        <w:tc>
          <w:tcPr>
            <w:tcW w:w="1244" w:type="dxa"/>
            <w:gridSpan w:val="2"/>
            <w:shd w:val="clear" w:color="auto" w:fill="E0E0E0"/>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w:t>
            </w:r>
          </w:p>
        </w:tc>
        <w:tc>
          <w:tcPr>
            <w:tcW w:w="1150" w:type="dxa"/>
            <w:shd w:val="clear" w:color="auto" w:fill="E0E0E0"/>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Sendos Sexos</w:t>
            </w:r>
          </w:p>
        </w:tc>
        <w:tc>
          <w:tcPr>
            <w:tcW w:w="954" w:type="dxa"/>
            <w:shd w:val="clear" w:color="auto" w:fill="E0E0E0"/>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Mujeres</w:t>
            </w:r>
          </w:p>
        </w:tc>
        <w:tc>
          <w:tcPr>
            <w:tcW w:w="928" w:type="dxa"/>
            <w:shd w:val="clear" w:color="auto" w:fill="E0E0E0"/>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1962</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71</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2.8</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26</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3.8</w:t>
            </w:r>
          </w:p>
        </w:tc>
      </w:tr>
      <w:tr w:rsidR="005D0F06" w:rsidRPr="000D1029" w:rsidTr="00411374">
        <w:trPr>
          <w:cantSplit/>
          <w:trHeight w:val="271"/>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1966</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74</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4.1</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27</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3.7</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1970</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74</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4.1</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27</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4</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14.8</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1974</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91</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13</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14.3</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27</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11.1</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1978</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91</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12</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13.2</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27</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7.4</w:t>
            </w:r>
          </w:p>
        </w:tc>
      </w:tr>
      <w:tr w:rsidR="005D0F06" w:rsidRPr="000D1029" w:rsidTr="00411374">
        <w:trPr>
          <w:cantSplit/>
          <w:trHeight w:val="271"/>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1982</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120</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8</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6.7</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27</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3.7</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1986</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120</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9</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7.5</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30</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3.3</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1990</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120</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14</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11.7</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30</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0</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0.0</w:t>
            </w:r>
          </w:p>
        </w:tc>
      </w:tr>
      <w:tr w:rsidR="005D0F06" w:rsidRPr="000D1029" w:rsidTr="00411374">
        <w:trPr>
          <w:cantSplit/>
          <w:trHeight w:val="271"/>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1994</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120</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15</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12.5</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30</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3.3</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1998</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149</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24</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16.1</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30</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6.7</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2002</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150</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24</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16</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32</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6.3</w:t>
            </w:r>
          </w:p>
        </w:tc>
      </w:tr>
      <w:tr w:rsidR="005D0F06" w:rsidRPr="000D1029" w:rsidTr="00411374">
        <w:trPr>
          <w:cantSplit/>
          <w:trHeight w:val="262"/>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2006</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178</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35</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19.7</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32</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6.3</w:t>
            </w:r>
          </w:p>
        </w:tc>
      </w:tr>
      <w:tr w:rsidR="005D0F06" w:rsidRPr="000D1029" w:rsidTr="00411374">
        <w:trPr>
          <w:cantSplit/>
          <w:trHeight w:val="271"/>
        </w:trPr>
        <w:tc>
          <w:tcPr>
            <w:tcW w:w="1327"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2010</w:t>
            </w:r>
          </w:p>
        </w:tc>
        <w:tc>
          <w:tcPr>
            <w:tcW w:w="1329"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183</w:t>
            </w:r>
          </w:p>
        </w:tc>
        <w:tc>
          <w:tcPr>
            <w:tcW w:w="1247" w:type="dxa"/>
            <w:gridSpan w:val="2"/>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38</w:t>
            </w:r>
          </w:p>
        </w:tc>
        <w:tc>
          <w:tcPr>
            <w:tcW w:w="12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20.8</w:t>
            </w:r>
          </w:p>
        </w:tc>
        <w:tc>
          <w:tcPr>
            <w:tcW w:w="1150"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32</w:t>
            </w:r>
          </w:p>
        </w:tc>
        <w:tc>
          <w:tcPr>
            <w:tcW w:w="954"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3</w:t>
            </w:r>
          </w:p>
        </w:tc>
        <w:tc>
          <w:tcPr>
            <w:tcW w:w="928" w:type="dxa"/>
          </w:tcPr>
          <w:p w:rsidR="005D0F06" w:rsidRPr="00411374" w:rsidRDefault="005D0F06" w:rsidP="00AB6DC7">
            <w:pPr>
              <w:spacing w:line="240" w:lineRule="auto"/>
              <w:rPr>
                <w:rFonts w:ascii="Times New Roman" w:hAnsi="Times New Roman" w:cs="Times New Roman"/>
              </w:rPr>
            </w:pPr>
            <w:r w:rsidRPr="00411374">
              <w:rPr>
                <w:rFonts w:ascii="Times New Roman" w:hAnsi="Times New Roman" w:cs="Times New Roman"/>
                <w:sz w:val="22"/>
              </w:rPr>
              <w:t>9.4%</w:t>
            </w:r>
          </w:p>
        </w:tc>
      </w:tr>
    </w:tbl>
    <w:p w:rsidR="005D0F06" w:rsidRPr="00411374" w:rsidRDefault="005D0F06" w:rsidP="00AB6DC7">
      <w:pPr>
        <w:spacing w:line="240" w:lineRule="auto"/>
        <w:rPr>
          <w:rFonts w:ascii="Times New Roman" w:hAnsi="Times New Roman" w:cs="Times New Roman"/>
          <w:sz w:val="20"/>
          <w:lang w:val="es-DO"/>
        </w:rPr>
      </w:pPr>
      <w:r w:rsidRPr="00411374">
        <w:rPr>
          <w:rFonts w:ascii="Times New Roman" w:hAnsi="Times New Roman" w:cs="Times New Roman"/>
          <w:sz w:val="20"/>
          <w:lang w:val="es-DO"/>
        </w:rPr>
        <w:t>Fuente: Clara Báez, Estadísticas para la planificación social con perspectivas de género. SEM-PNUD-FNUAP. Santo Domingo, 2000 y Junta Central Electoral, Resultados Electorales, 2002-2010.</w:t>
      </w:r>
    </w:p>
    <w:p w:rsidR="00411374" w:rsidRDefault="00411374" w:rsidP="00AB6DC7">
      <w:pPr>
        <w:spacing w:line="240" w:lineRule="auto"/>
        <w:rPr>
          <w:rFonts w:ascii="Times New Roman" w:hAnsi="Times New Roman" w:cs="Times New Roman"/>
          <w:b/>
          <w:lang w:val="es-ES"/>
        </w:rPr>
      </w:pPr>
    </w:p>
    <w:p w:rsidR="005D0F06" w:rsidRPr="000D1029" w:rsidRDefault="005D0F06" w:rsidP="00AB6DC7">
      <w:pPr>
        <w:spacing w:line="240" w:lineRule="auto"/>
        <w:rPr>
          <w:rFonts w:ascii="Times New Roman" w:hAnsi="Times New Roman" w:cs="Times New Roman"/>
          <w:b/>
          <w:lang w:val="es-ES"/>
        </w:rPr>
      </w:pPr>
      <w:r w:rsidRPr="000D1029">
        <w:rPr>
          <w:rFonts w:ascii="Times New Roman" w:hAnsi="Times New Roman" w:cs="Times New Roman"/>
          <w:b/>
          <w:lang w:val="es-ES"/>
        </w:rPr>
        <w:t>Tabla No. 2</w:t>
      </w:r>
    </w:p>
    <w:tbl>
      <w:tblPr>
        <w:tblW w:w="0" w:type="auto"/>
        <w:tblInd w:w="210" w:type="dxa"/>
        <w:tblBorders>
          <w:top w:val="single" w:sz="12" w:space="0" w:color="008000"/>
          <w:bottom w:val="single" w:sz="12" w:space="0" w:color="008000"/>
        </w:tblBorders>
        <w:tblLook w:val="01E0"/>
      </w:tblPr>
      <w:tblGrid>
        <w:gridCol w:w="1475"/>
        <w:gridCol w:w="1469"/>
        <w:gridCol w:w="1353"/>
        <w:gridCol w:w="18"/>
        <w:gridCol w:w="1367"/>
        <w:gridCol w:w="1265"/>
        <w:gridCol w:w="1048"/>
        <w:gridCol w:w="1021"/>
      </w:tblGrid>
      <w:tr w:rsidR="005D0F06" w:rsidRPr="000D1029" w:rsidTr="00AA3A45">
        <w:trPr>
          <w:trHeight w:val="535"/>
        </w:trPr>
        <w:tc>
          <w:tcPr>
            <w:tcW w:w="9016" w:type="dxa"/>
            <w:gridSpan w:val="8"/>
            <w:tcBorders>
              <w:top w:val="single" w:sz="4" w:space="0" w:color="auto"/>
              <w:left w:val="single" w:sz="4" w:space="0" w:color="auto"/>
              <w:bottom w:val="single" w:sz="6" w:space="0" w:color="008000"/>
              <w:right w:val="single" w:sz="4" w:space="0" w:color="auto"/>
            </w:tcBorders>
            <w:shd w:val="clear" w:color="auto" w:fill="E6E6E6"/>
          </w:tcPr>
          <w:p w:rsidR="005D0F06" w:rsidRPr="00411374" w:rsidRDefault="005D0F06" w:rsidP="00AB6DC7">
            <w:pPr>
              <w:spacing w:line="240" w:lineRule="auto"/>
              <w:jc w:val="center"/>
              <w:rPr>
                <w:rFonts w:ascii="Times New Roman" w:hAnsi="Times New Roman" w:cs="Times New Roman"/>
                <w:lang w:val="es-ES"/>
              </w:rPr>
            </w:pPr>
            <w:r w:rsidRPr="00411374">
              <w:rPr>
                <w:rFonts w:ascii="Times New Roman" w:hAnsi="Times New Roman" w:cs="Times New Roman"/>
                <w:sz w:val="22"/>
                <w:lang w:val="es-ES"/>
              </w:rPr>
              <w:t>REPRESENTACION FEMENINA EN LOS AYUNTAMIENTOS 1970 -2010</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Height w:val="143"/>
        </w:trPr>
        <w:tc>
          <w:tcPr>
            <w:tcW w:w="1475" w:type="dxa"/>
            <w:vMerge w:val="restart"/>
            <w:shd w:val="clear" w:color="auto" w:fill="E0E0E0"/>
          </w:tcPr>
          <w:p w:rsidR="005D0F06" w:rsidRPr="00411374" w:rsidRDefault="005D0F06" w:rsidP="00AB6DC7">
            <w:pPr>
              <w:spacing w:line="240" w:lineRule="auto"/>
              <w:rPr>
                <w:rFonts w:ascii="Times New Roman" w:hAnsi="Times New Roman" w:cs="Times New Roman"/>
                <w:lang w:val="es-ES"/>
              </w:rPr>
            </w:pPr>
          </w:p>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AÑO</w:t>
            </w:r>
          </w:p>
        </w:tc>
        <w:tc>
          <w:tcPr>
            <w:tcW w:w="4207" w:type="dxa"/>
            <w:gridSpan w:val="4"/>
            <w:shd w:val="clear" w:color="auto" w:fill="E0E0E0"/>
          </w:tcPr>
          <w:p w:rsidR="005D0F06" w:rsidRPr="00411374" w:rsidRDefault="005D0F06" w:rsidP="00AB6DC7">
            <w:pPr>
              <w:spacing w:line="240" w:lineRule="auto"/>
              <w:jc w:val="center"/>
              <w:rPr>
                <w:rFonts w:ascii="Times New Roman" w:hAnsi="Times New Roman" w:cs="Times New Roman"/>
                <w:lang w:val="es-ES"/>
              </w:rPr>
            </w:pPr>
            <w:r w:rsidRPr="00411374">
              <w:rPr>
                <w:rFonts w:ascii="Times New Roman" w:hAnsi="Times New Roman" w:cs="Times New Roman"/>
                <w:sz w:val="22"/>
                <w:lang w:val="es-ES"/>
              </w:rPr>
              <w:t>REGIDURIAS</w:t>
            </w:r>
          </w:p>
        </w:tc>
        <w:tc>
          <w:tcPr>
            <w:tcW w:w="3334" w:type="dxa"/>
            <w:gridSpan w:val="3"/>
            <w:shd w:val="clear" w:color="auto" w:fill="E0E0E0"/>
          </w:tcPr>
          <w:p w:rsidR="005D0F06" w:rsidRPr="00411374" w:rsidRDefault="005D0F06" w:rsidP="00AB6DC7">
            <w:pPr>
              <w:spacing w:line="240" w:lineRule="auto"/>
              <w:jc w:val="center"/>
              <w:rPr>
                <w:rFonts w:ascii="Times New Roman" w:hAnsi="Times New Roman" w:cs="Times New Roman"/>
                <w:lang w:val="es-ES"/>
              </w:rPr>
            </w:pPr>
            <w:r w:rsidRPr="00411374">
              <w:rPr>
                <w:rFonts w:ascii="Times New Roman" w:hAnsi="Times New Roman" w:cs="Times New Roman"/>
                <w:sz w:val="22"/>
                <w:lang w:val="es-ES"/>
              </w:rPr>
              <w:t>ALCALDIAS</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Height w:val="142"/>
        </w:trPr>
        <w:tc>
          <w:tcPr>
            <w:tcW w:w="1475" w:type="dxa"/>
            <w:vMerge/>
            <w:shd w:val="clear" w:color="auto" w:fill="E0E0E0"/>
          </w:tcPr>
          <w:p w:rsidR="005D0F06" w:rsidRPr="00411374" w:rsidRDefault="005D0F06" w:rsidP="00AB6DC7">
            <w:pPr>
              <w:spacing w:line="240" w:lineRule="auto"/>
              <w:rPr>
                <w:rFonts w:ascii="Times New Roman" w:hAnsi="Times New Roman" w:cs="Times New Roman"/>
                <w:lang w:val="es-ES"/>
              </w:rPr>
            </w:pPr>
          </w:p>
        </w:tc>
        <w:tc>
          <w:tcPr>
            <w:tcW w:w="1469" w:type="dxa"/>
            <w:shd w:val="clear" w:color="auto" w:fill="E0E0E0"/>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Sendos Sexos</w:t>
            </w:r>
          </w:p>
        </w:tc>
        <w:tc>
          <w:tcPr>
            <w:tcW w:w="1353" w:type="dxa"/>
            <w:shd w:val="clear" w:color="auto" w:fill="E0E0E0"/>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Mujeres</w:t>
            </w:r>
          </w:p>
        </w:tc>
        <w:tc>
          <w:tcPr>
            <w:tcW w:w="1385" w:type="dxa"/>
            <w:gridSpan w:val="2"/>
            <w:shd w:val="clear" w:color="auto" w:fill="E0E0E0"/>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w:t>
            </w:r>
          </w:p>
        </w:tc>
        <w:tc>
          <w:tcPr>
            <w:tcW w:w="1265" w:type="dxa"/>
            <w:shd w:val="clear" w:color="auto" w:fill="E0E0E0"/>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Sendos Sexos</w:t>
            </w:r>
          </w:p>
        </w:tc>
        <w:tc>
          <w:tcPr>
            <w:tcW w:w="1048" w:type="dxa"/>
            <w:shd w:val="clear" w:color="auto" w:fill="E0E0E0"/>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Mujeres</w:t>
            </w:r>
          </w:p>
        </w:tc>
        <w:tc>
          <w:tcPr>
            <w:tcW w:w="1021" w:type="dxa"/>
            <w:shd w:val="clear" w:color="auto" w:fill="E0E0E0"/>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1970</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423</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33</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7.8</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78</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1.3</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1974</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453</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48</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10.6</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78</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1.3</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1978</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484</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61</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12.6</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84</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0</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0.0</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1982</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584</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23</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3.9</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94</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2.1</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1986</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637</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39</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6.1</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99</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4.0</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1990</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625</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64</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10.2</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103</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5</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4.9</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lastRenderedPageBreak/>
              <w:t>1994</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648</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93</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14.4</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107</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5</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4.7</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1998</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756</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185</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24.4</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115</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1.7</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2002</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789</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236</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29.9</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125</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9</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7.8</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2006</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963</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259</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26.9</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151</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17</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11.3</w:t>
            </w:r>
          </w:p>
        </w:tc>
      </w:tr>
      <w:tr w:rsidR="005D0F06" w:rsidRPr="000D1029" w:rsidTr="00AA3A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7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2010</w:t>
            </w:r>
          </w:p>
        </w:tc>
        <w:tc>
          <w:tcPr>
            <w:tcW w:w="1469"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1,149</w:t>
            </w:r>
          </w:p>
        </w:tc>
        <w:tc>
          <w:tcPr>
            <w:tcW w:w="1371" w:type="dxa"/>
            <w:gridSpan w:val="2"/>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383</w:t>
            </w:r>
          </w:p>
        </w:tc>
        <w:tc>
          <w:tcPr>
            <w:tcW w:w="1367"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33.3%</w:t>
            </w:r>
          </w:p>
        </w:tc>
        <w:tc>
          <w:tcPr>
            <w:tcW w:w="1265"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155</w:t>
            </w:r>
          </w:p>
        </w:tc>
        <w:tc>
          <w:tcPr>
            <w:tcW w:w="1048"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12</w:t>
            </w:r>
          </w:p>
        </w:tc>
        <w:tc>
          <w:tcPr>
            <w:tcW w:w="1021" w:type="dxa"/>
          </w:tcPr>
          <w:p w:rsidR="005D0F06" w:rsidRPr="00411374" w:rsidRDefault="005D0F06" w:rsidP="00AB6DC7">
            <w:pPr>
              <w:spacing w:line="240" w:lineRule="auto"/>
              <w:rPr>
                <w:rFonts w:ascii="Times New Roman" w:hAnsi="Times New Roman" w:cs="Times New Roman"/>
                <w:lang w:val="es-ES"/>
              </w:rPr>
            </w:pPr>
            <w:r w:rsidRPr="00411374">
              <w:rPr>
                <w:rFonts w:ascii="Times New Roman" w:hAnsi="Times New Roman" w:cs="Times New Roman"/>
                <w:sz w:val="22"/>
                <w:lang w:val="es-ES"/>
              </w:rPr>
              <w:t>7.7%</w:t>
            </w:r>
          </w:p>
        </w:tc>
      </w:tr>
    </w:tbl>
    <w:p w:rsidR="005D0F06" w:rsidRPr="00411374" w:rsidRDefault="005D0F06" w:rsidP="00AB6DC7">
      <w:pPr>
        <w:spacing w:line="240" w:lineRule="auto"/>
        <w:rPr>
          <w:rFonts w:ascii="Times New Roman" w:hAnsi="Times New Roman" w:cs="Times New Roman"/>
          <w:sz w:val="20"/>
          <w:lang w:val="es-ES"/>
        </w:rPr>
      </w:pPr>
      <w:r w:rsidRPr="00411374">
        <w:rPr>
          <w:rFonts w:ascii="Times New Roman" w:hAnsi="Times New Roman" w:cs="Times New Roman"/>
          <w:sz w:val="20"/>
          <w:lang w:val="es-ES"/>
        </w:rPr>
        <w:t>Fuente: Clara Báez, Estadísticas para la planificación social con perspectivas de género. SEM-PNUD-FNUAP. Santo Domingo, 2000 y Junta Central Electoral, Resultados Electorales, 2002-2010.</w:t>
      </w:r>
    </w:p>
    <w:p w:rsidR="005D0F06" w:rsidRDefault="005D0F06" w:rsidP="00AB6DC7">
      <w:pPr>
        <w:spacing w:line="240" w:lineRule="auto"/>
        <w:rPr>
          <w:rFonts w:ascii="Times New Roman" w:hAnsi="Times New Roman" w:cs="Times New Roman"/>
          <w:sz w:val="20"/>
          <w:lang w:val="es-ES"/>
        </w:rPr>
      </w:pPr>
    </w:p>
    <w:p w:rsidR="00411374" w:rsidRPr="00411374" w:rsidRDefault="00411374" w:rsidP="00AB6DC7">
      <w:pPr>
        <w:spacing w:line="240" w:lineRule="auto"/>
        <w:rPr>
          <w:rFonts w:ascii="Times New Roman" w:hAnsi="Times New Roman" w:cs="Times New Roman"/>
          <w:sz w:val="20"/>
          <w:lang w:val="es-ES"/>
        </w:rPr>
      </w:pPr>
    </w:p>
    <w:p w:rsidR="005D0F06" w:rsidRPr="000D1029" w:rsidRDefault="008F62E5" w:rsidP="00AB6DC7">
      <w:pPr>
        <w:pStyle w:val="Default"/>
        <w:jc w:val="both"/>
        <w:rPr>
          <w:i/>
          <w:lang w:val="es-ES"/>
        </w:rPr>
      </w:pPr>
      <w:r>
        <w:rPr>
          <w:b/>
          <w:i/>
          <w:u w:val="single"/>
          <w:lang w:val="es-ES"/>
        </w:rPr>
        <w:t>54</w:t>
      </w:r>
      <w:r w:rsidR="005D0F06" w:rsidRPr="000D1029">
        <w:rPr>
          <w:b/>
          <w:i/>
          <w:u w:val="single"/>
          <w:lang w:val="es-ES"/>
        </w:rPr>
        <w:t xml:space="preserve">. </w:t>
      </w:r>
      <w:r w:rsidR="00272160" w:rsidRPr="00272160">
        <w:rPr>
          <w:b/>
          <w:i/>
          <w:u w:val="single"/>
          <w:lang w:val="es-ES"/>
        </w:rPr>
        <w:t>PÁRRAFO</w:t>
      </w:r>
      <w:r w:rsidR="005D0F06" w:rsidRPr="000D1029">
        <w:rPr>
          <w:b/>
          <w:i/>
          <w:u w:val="single"/>
          <w:lang w:val="es-ES"/>
        </w:rPr>
        <w:t xml:space="preserve"> 11</w:t>
      </w:r>
      <w:r w:rsidR="005D0F06" w:rsidRPr="000D1029">
        <w:rPr>
          <w:i/>
          <w:lang w:val="es-ES"/>
        </w:rPr>
        <w:t xml:space="preserve">. El Comité saluda las iniciativas tomadas en materia de prevención y sanción de los hechos de violencia en contra de las mujeres, así como la integración del delito de acoso sexual en el Código penal. No obstante, el Comité deplora la frecuencia de los hechos de violencia en contra de las mujeres y las limitaciones encontradas por parte de las víctimas para acceder a la justicia y a una protección adecuada, especialmente en las áreas rurales donde no se cuenta con las autoridades judiciales competentes y con albergues o casas de acogida. Asimismo, el Comité lamenta la persistente práctica del acoso sexual y la falta de datos sobre la implementación efectiva de este nuevo tipo penal. (art. 6, 7, 14). </w:t>
      </w:r>
    </w:p>
    <w:p w:rsidR="005D0F06" w:rsidRPr="000D1029" w:rsidRDefault="005D0F06" w:rsidP="00AB6DC7">
      <w:pPr>
        <w:pStyle w:val="Default"/>
        <w:jc w:val="both"/>
        <w:rPr>
          <w:i/>
          <w:lang w:val="es-ES"/>
        </w:rPr>
      </w:pPr>
    </w:p>
    <w:p w:rsidR="005D0F06" w:rsidRPr="000D1029" w:rsidRDefault="008F62E5" w:rsidP="00AB6DC7">
      <w:pPr>
        <w:spacing w:line="240" w:lineRule="auto"/>
        <w:rPr>
          <w:rFonts w:ascii="Times New Roman" w:hAnsi="Times New Roman" w:cs="Times New Roman"/>
          <w:i/>
          <w:lang w:val="es-ES"/>
        </w:rPr>
      </w:pPr>
      <w:r>
        <w:rPr>
          <w:rFonts w:ascii="Times New Roman" w:hAnsi="Times New Roman" w:cs="Times New Roman"/>
          <w:b/>
          <w:bCs/>
          <w:i/>
          <w:lang w:val="es-ES"/>
        </w:rPr>
        <w:t>55</w:t>
      </w:r>
      <w:r w:rsidR="005D0F06" w:rsidRPr="000D1029">
        <w:rPr>
          <w:rFonts w:ascii="Times New Roman" w:hAnsi="Times New Roman" w:cs="Times New Roman"/>
          <w:b/>
          <w:bCs/>
          <w:i/>
          <w:lang w:val="es-ES"/>
        </w:rPr>
        <w:t>. El Estado parte debe redoblar sus esfuerzos para eliminar la violencia en contra de las mujeres, velar por que esos casos estén investigados, procesados y sancionados de forma apropiada y sistemática, y establecer un sistema restaurativo para las víctimas. En particular, el Estado parte debe facilitar el acceso a la justicia para todas las mujeres, y multiplicar la disponibilidad de albergues o casas de acogida que cuenten con los recursos humanos y materiales adecuados en todo el país. El Estado parte debe mejorar la formación del personal de las instituciones judiciales y de la policía en lo concerniente a la violencia contra la mujer, incluidos el acoso sexual y la violencia doméstica. De igual forma, debe crear un sistema de registro y una base de datos sobre estos hechos con el fin de poder analizar y tomar medidas adecuadas en la materia.</w:t>
      </w:r>
    </w:p>
    <w:p w:rsidR="005D0F06" w:rsidRPr="000D1029" w:rsidRDefault="005D0F06" w:rsidP="00AB6DC7">
      <w:pPr>
        <w:spacing w:line="240" w:lineRule="auto"/>
        <w:rPr>
          <w:rFonts w:ascii="Times New Roman" w:hAnsi="Times New Roman" w:cs="Times New Roman"/>
          <w:bCs/>
          <w:lang w:val="es-ES"/>
        </w:rPr>
      </w:pPr>
    </w:p>
    <w:p w:rsidR="005D0F06" w:rsidRPr="000D1029" w:rsidRDefault="008F62E5" w:rsidP="00AB6DC7">
      <w:pPr>
        <w:spacing w:line="240" w:lineRule="auto"/>
        <w:rPr>
          <w:rFonts w:ascii="Times New Roman" w:hAnsi="Times New Roman" w:cs="Times New Roman"/>
          <w:lang w:val="es-ES"/>
        </w:rPr>
      </w:pPr>
      <w:r>
        <w:rPr>
          <w:rFonts w:ascii="Times New Roman" w:hAnsi="Times New Roman" w:cs="Times New Roman"/>
          <w:b/>
          <w:bCs/>
          <w:lang w:val="es-ES"/>
        </w:rPr>
        <w:t>56</w:t>
      </w:r>
      <w:r w:rsidR="005D0F06" w:rsidRPr="000D1029">
        <w:rPr>
          <w:rFonts w:ascii="Times New Roman" w:hAnsi="Times New Roman" w:cs="Times New Roman"/>
          <w:b/>
          <w:bCs/>
          <w:lang w:val="es-ES"/>
        </w:rPr>
        <w:t xml:space="preserve">. Respuesta del Estado dominicano: </w:t>
      </w:r>
      <w:r w:rsidR="005D0F06" w:rsidRPr="000D1029">
        <w:rPr>
          <w:rFonts w:ascii="Times New Roman" w:hAnsi="Times New Roman" w:cs="Times New Roman"/>
          <w:lang w:val="es-ES"/>
        </w:rPr>
        <w:t>Con la promulgación de la Ley 24/97 Sobre Violencia Contra la Mujer e Intrafamiliar, se institucionaliza una política pública a favor de las mu</w:t>
      </w:r>
      <w:r w:rsidR="0073322E" w:rsidRPr="000D1029">
        <w:rPr>
          <w:rFonts w:ascii="Times New Roman" w:hAnsi="Times New Roman" w:cs="Times New Roman"/>
          <w:lang w:val="es-ES"/>
        </w:rPr>
        <w:t>jeres en República Dominicana. É</w:t>
      </w:r>
      <w:r w:rsidR="005D0F06" w:rsidRPr="000D1029">
        <w:rPr>
          <w:rFonts w:ascii="Times New Roman" w:hAnsi="Times New Roman" w:cs="Times New Roman"/>
          <w:lang w:val="es-ES"/>
        </w:rPr>
        <w:t>sta</w:t>
      </w:r>
      <w:r w:rsidR="0073322E" w:rsidRPr="000D1029">
        <w:rPr>
          <w:rFonts w:ascii="Times New Roman" w:hAnsi="Times New Roman" w:cs="Times New Roman"/>
          <w:lang w:val="es-ES"/>
        </w:rPr>
        <w:t xml:space="preserve"> t</w:t>
      </w:r>
      <w:r w:rsidR="005D0F06" w:rsidRPr="000D1029">
        <w:rPr>
          <w:rFonts w:ascii="Times New Roman" w:hAnsi="Times New Roman" w:cs="Times New Roman"/>
          <w:lang w:val="es-ES"/>
        </w:rPr>
        <w:t>ipifica y sanciona la violencia contra la mujer y la violencia doméstica o intrafamiliar;  la agresión y la violación sexual; el incesto, el acoso sexual, el proxenetismo, la discriminación por razones de sexo y otras índoles. Igualmente contempla y sanciona, los atentados contra las intimidades de la vida privada, los atentados a niños, niñas y adolescentes; el abandono y maltrato de niños, niñas y adolescentes; el secuestro, traslado y ocultamiento de  niños, niñas y adolescentes; atentados al ejercicio de la autoridad del padre y la madre; y el abandono de familia.</w:t>
      </w:r>
    </w:p>
    <w:p w:rsidR="005D0F06" w:rsidRPr="000D1029" w:rsidRDefault="005D0F06" w:rsidP="00AB6DC7">
      <w:pPr>
        <w:pStyle w:val="ListParagraph"/>
        <w:spacing w:line="240" w:lineRule="auto"/>
        <w:ind w:left="0"/>
        <w:rPr>
          <w:rFonts w:ascii="Times New Roman" w:hAnsi="Times New Roman" w:cs="Times New Roman"/>
          <w:lang w:val="es-ES"/>
        </w:rPr>
      </w:pPr>
      <w:r w:rsidRPr="000D1029">
        <w:rPr>
          <w:rFonts w:ascii="Times New Roman" w:hAnsi="Times New Roman" w:cs="Times New Roman"/>
          <w:lang w:val="es-ES"/>
        </w:rPr>
        <w:t xml:space="preserve"> </w:t>
      </w:r>
    </w:p>
    <w:p w:rsidR="0073322E" w:rsidRPr="000D1029" w:rsidRDefault="008F62E5" w:rsidP="00AB6DC7">
      <w:pPr>
        <w:pStyle w:val="ListParagraph"/>
        <w:spacing w:line="240" w:lineRule="auto"/>
        <w:ind w:left="0"/>
        <w:rPr>
          <w:rFonts w:ascii="Times New Roman" w:hAnsi="Times New Roman" w:cs="Times New Roman"/>
          <w:lang w:val="es-ES"/>
        </w:rPr>
      </w:pPr>
      <w:r>
        <w:rPr>
          <w:rFonts w:ascii="Times New Roman" w:hAnsi="Times New Roman" w:cs="Times New Roman"/>
          <w:lang w:val="es-ES"/>
        </w:rPr>
        <w:t>57</w:t>
      </w:r>
      <w:r w:rsidR="005D0F06" w:rsidRPr="000D1029">
        <w:rPr>
          <w:rFonts w:ascii="Times New Roman" w:hAnsi="Times New Roman" w:cs="Times New Roman"/>
          <w:lang w:val="es-ES"/>
        </w:rPr>
        <w:t>.</w:t>
      </w:r>
      <w:r w:rsidR="0073322E" w:rsidRPr="000D1029">
        <w:rPr>
          <w:rFonts w:ascii="Times New Roman" w:hAnsi="Times New Roman" w:cs="Times New Roman"/>
          <w:lang w:val="es-ES"/>
        </w:rPr>
        <w:t xml:space="preserve"> Igualmente: se han promulgado otras tantas normativas:</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lang w:val="es-ES"/>
        </w:rPr>
        <w:t xml:space="preserve">La </w:t>
      </w:r>
      <w:r w:rsidRPr="000D1029">
        <w:rPr>
          <w:rFonts w:ascii="Times New Roman" w:hAnsi="Times New Roman" w:cs="Times New Roman"/>
          <w:bCs/>
          <w:lang w:val="es-ES"/>
        </w:rPr>
        <w:t>Ley 136-03</w:t>
      </w:r>
      <w:r w:rsidRPr="000D1029">
        <w:rPr>
          <w:rFonts w:ascii="Times New Roman" w:hAnsi="Times New Roman" w:cs="Times New Roman"/>
          <w:b/>
          <w:lang w:val="es-ES"/>
        </w:rPr>
        <w:t xml:space="preserve">, </w:t>
      </w:r>
      <w:r w:rsidRPr="000D1029">
        <w:rPr>
          <w:rFonts w:ascii="Times New Roman" w:hAnsi="Times New Roman" w:cs="Times New Roman"/>
          <w:lang w:val="es-ES"/>
        </w:rPr>
        <w:t xml:space="preserve">la cual crea el Código para el Sistema de Protección y los Derechos Fundamentales de los Niños, Niñas y Adolescentes, tiene por objeto garantizar a todos los niños, niñas y adolescentes que se encuentren en el territorio nacional el ejercicio y disfrute pleno y efectivo de sus derechos fundamentales. Para tales fines, este Código define y establece la protección integral de estos derechos regulando el papel y la relación del Estado, la sociedad, las familias y los individuos como sujetos desde su nacimiento hasta los 18 años de edad. </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lang w:val="es-ES"/>
        </w:rPr>
        <w:t xml:space="preserve">La </w:t>
      </w:r>
      <w:r w:rsidRPr="000D1029">
        <w:rPr>
          <w:rFonts w:ascii="Times New Roman" w:hAnsi="Times New Roman" w:cs="Times New Roman"/>
          <w:bCs/>
          <w:lang w:val="es-ES"/>
        </w:rPr>
        <w:t xml:space="preserve">Ley 137-03, </w:t>
      </w:r>
      <w:r w:rsidRPr="000D1029">
        <w:rPr>
          <w:rFonts w:ascii="Times New Roman" w:hAnsi="Times New Roman" w:cs="Times New Roman"/>
          <w:lang w:val="es-ES"/>
        </w:rPr>
        <w:t xml:space="preserve">Sobre el Tráfico Ilícito de Migrantes y Trata de Personas tiene como objeto proteger a las víctimas, combatir y penalizar la trata de personas y el tráfico ilícito de migrantes. </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lang w:val="es-ES"/>
        </w:rPr>
        <w:lastRenderedPageBreak/>
        <w:t>Ley 88-03, que instituye las Casas de Acogida o Refugios, Manual de uso y reglamento de aplicación y funcionamiento.</w:t>
      </w:r>
      <w:r w:rsidRPr="000D1029">
        <w:rPr>
          <w:rFonts w:ascii="Times New Roman" w:hAnsi="Times New Roman" w:cs="Times New Roman"/>
          <w:b/>
          <w:lang w:val="es-ES"/>
        </w:rPr>
        <w:t xml:space="preserve"> </w:t>
      </w:r>
      <w:r w:rsidRPr="000D1029">
        <w:rPr>
          <w:rFonts w:ascii="Times New Roman" w:hAnsi="Times New Roman" w:cs="Times New Roman"/>
          <w:lang w:val="es-ES"/>
        </w:rPr>
        <w:t>Que tiene como objetivo proteger a las mujeres y sus hijas e hijos menores de 14 años que se encuentran en peligro de muerte.</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lang w:val="es-ES"/>
        </w:rPr>
        <w:t>Ley 46/07 “16 Días de Activismo Contra la Violencia Hacia las Mujeres”: Que declara del 25 de noviembre al 10 de diciembre de cada año una campaña nacional denominada “16 Días de Activismo Contra la Violencia Hacia las Mujeres”.</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kern w:val="24"/>
          <w:lang w:val="es-ES" w:eastAsia="es-DO"/>
        </w:rPr>
        <w:t xml:space="preserve">La resolución </w:t>
      </w:r>
      <w:r w:rsidRPr="000D1029">
        <w:rPr>
          <w:rFonts w:ascii="Times New Roman" w:hAnsi="Times New Roman" w:cs="Times New Roman"/>
          <w:bCs/>
          <w:kern w:val="24"/>
          <w:lang w:val="es-ES" w:eastAsia="es-DO"/>
        </w:rPr>
        <w:t xml:space="preserve">3869-2006 de fecha 21 de diciembre 2006 </w:t>
      </w:r>
      <w:r w:rsidRPr="000D1029">
        <w:rPr>
          <w:rFonts w:ascii="Times New Roman" w:hAnsi="Times New Roman" w:cs="Times New Roman"/>
          <w:kern w:val="24"/>
          <w:lang w:val="es-ES" w:eastAsia="es-DO"/>
        </w:rPr>
        <w:t xml:space="preserve">de la Suprema Corte de Justicia establece el </w:t>
      </w:r>
      <w:r w:rsidRPr="000D1029">
        <w:rPr>
          <w:rFonts w:ascii="Times New Roman" w:hAnsi="Times New Roman" w:cs="Times New Roman"/>
          <w:bCs/>
          <w:kern w:val="24"/>
          <w:lang w:val="es-ES" w:eastAsia="es-DO"/>
        </w:rPr>
        <w:t xml:space="preserve">Síndrome de la Mujer Maltratada, </w:t>
      </w:r>
      <w:r w:rsidRPr="000D1029">
        <w:rPr>
          <w:rFonts w:ascii="Times New Roman" w:hAnsi="Times New Roman" w:cs="Times New Roman"/>
          <w:kern w:val="24"/>
          <w:lang w:val="es-ES" w:eastAsia="es-DO"/>
        </w:rPr>
        <w:t>herramienta de gran utilidad en el tratamiento de mujeres violentadas.</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lang w:val="es-ES"/>
        </w:rPr>
        <w:t>Resolución 2751/2010 de la Suprema Corte de Justicia: Que establece el reglamento para la aplicación de la Política de Igualdad de Género en el Poder Judicial.</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lang w:val="es-ES"/>
        </w:rPr>
        <w:t>Planes Nacionales. Estrategia Nacional de Desarrollo 2030 (END 2030), aprobada en el año 2010, por un período de veinte 20 años (2010-2030).  Para el abordaje de la violencia contra las mujeres, el Estado dominicano cuenta con el Plan Nacional de Igualdad y Equidad de Género (PLANEG II), aprobado en el año 2007 para el período 2007-2017.</w:t>
      </w:r>
    </w:p>
    <w:p w:rsidR="0073322E"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lang w:val="es-ES"/>
        </w:rPr>
        <w:t xml:space="preserve">Plan Estratégico para la Prevención, Detección, Atención y Sanción a la Violencia contra las Mujeres e Intrafamiliar, aprobado en el año 2011, por un período de 5 años (2011-2016), vigente a la fecha. Este último, es un instrumento específico para abordar la violencia contra las mujeres e intrafamiliar, en nuestro país. </w:t>
      </w:r>
    </w:p>
    <w:p w:rsidR="005D0F06" w:rsidRPr="000D1029" w:rsidRDefault="005D0F06" w:rsidP="00AB6DC7">
      <w:pPr>
        <w:pStyle w:val="ListParagraph"/>
        <w:numPr>
          <w:ilvl w:val="0"/>
          <w:numId w:val="28"/>
        </w:numPr>
        <w:spacing w:line="240" w:lineRule="auto"/>
        <w:rPr>
          <w:rFonts w:ascii="Times New Roman" w:hAnsi="Times New Roman" w:cs="Times New Roman"/>
          <w:lang w:val="es-ES"/>
        </w:rPr>
      </w:pPr>
      <w:r w:rsidRPr="000D1029">
        <w:rPr>
          <w:rFonts w:ascii="Times New Roman" w:hAnsi="Times New Roman" w:cs="Times New Roman"/>
          <w:bCs/>
          <w:kern w:val="24"/>
          <w:lang w:val="es-ES" w:eastAsia="es-DO"/>
        </w:rPr>
        <w:t xml:space="preserve">Plan Estratégico del Ministerio Público del 2011-2015, el cual </w:t>
      </w:r>
      <w:r w:rsidRPr="000D1029">
        <w:rPr>
          <w:rFonts w:ascii="Times New Roman" w:hAnsi="Times New Roman" w:cs="Times New Roman"/>
          <w:kern w:val="24"/>
          <w:lang w:val="es-ES" w:eastAsia="es-DO"/>
        </w:rPr>
        <w:t xml:space="preserve">señala en su tercer objetivo la importancia de </w:t>
      </w:r>
      <w:r w:rsidRPr="000D1029">
        <w:rPr>
          <w:rFonts w:ascii="Times New Roman" w:hAnsi="Times New Roman" w:cs="Times New Roman"/>
          <w:bCs/>
          <w:kern w:val="24"/>
          <w:lang w:val="es-ES" w:eastAsia="es-DO"/>
        </w:rPr>
        <w:t xml:space="preserve">“una efectiva atención a las víctimas” </w:t>
      </w:r>
      <w:r w:rsidRPr="000D1029">
        <w:rPr>
          <w:rFonts w:ascii="Times New Roman" w:hAnsi="Times New Roman" w:cs="Times New Roman"/>
          <w:kern w:val="24"/>
          <w:lang w:val="es-ES" w:eastAsia="es-DO"/>
        </w:rPr>
        <w:t>de este delito.</w:t>
      </w:r>
      <w:r w:rsidRPr="000D1029">
        <w:rPr>
          <w:rFonts w:ascii="Times New Roman" w:hAnsi="Times New Roman" w:cs="Times New Roman"/>
          <w:lang w:val="es-ES"/>
        </w:rPr>
        <w:t xml:space="preserve">  </w:t>
      </w:r>
      <w:r w:rsidRPr="000D1029">
        <w:rPr>
          <w:rFonts w:ascii="Times New Roman" w:hAnsi="Times New Roman" w:cs="Times New Roman"/>
          <w:bCs/>
          <w:lang w:val="es-ES"/>
        </w:rPr>
        <w:t>Estrategia para el fortalecimiento de la respuesta del Sistema Nacional de Salud a la violencia, con énfasis en la violencia de género y contra niños, niñas, adolescentes, mujeres y personas adultas mayores. 2016-2020.</w:t>
      </w:r>
    </w:p>
    <w:p w:rsidR="005D0F06" w:rsidRPr="000D1029" w:rsidRDefault="005D0F06" w:rsidP="00AB6DC7">
      <w:pPr>
        <w:spacing w:line="240" w:lineRule="auto"/>
        <w:rPr>
          <w:rFonts w:ascii="Times New Roman" w:hAnsi="Times New Roman" w:cs="Times New Roman"/>
          <w:lang w:val="es-ES"/>
        </w:rPr>
      </w:pPr>
    </w:p>
    <w:p w:rsidR="005D0F06" w:rsidRPr="000D1029" w:rsidRDefault="008F62E5" w:rsidP="00AB6DC7">
      <w:pPr>
        <w:spacing w:line="240" w:lineRule="auto"/>
        <w:rPr>
          <w:rFonts w:ascii="Times New Roman" w:hAnsi="Times New Roman" w:cs="Times New Roman"/>
          <w:lang w:val="es-ES"/>
        </w:rPr>
      </w:pPr>
      <w:r>
        <w:rPr>
          <w:rFonts w:ascii="Times New Roman" w:hAnsi="Times New Roman" w:cs="Times New Roman"/>
          <w:lang w:val="es-ES"/>
        </w:rPr>
        <w:t>58</w:t>
      </w:r>
      <w:r w:rsidR="005D0F06" w:rsidRPr="000D1029">
        <w:rPr>
          <w:rFonts w:ascii="Times New Roman" w:hAnsi="Times New Roman" w:cs="Times New Roman"/>
          <w:lang w:val="es-ES"/>
        </w:rPr>
        <w:t xml:space="preserve">. Para dar respuesta a la problemática de la violencia basada en género, El Estado Dominicano, ha creado instancias especializadas para prevenir y brindar atención especializada y acompañamiento legal, dirigidas a las víctimas de violencia contra las mujeres y de violencia intrafamiliar, como son: </w:t>
      </w:r>
    </w:p>
    <w:p w:rsidR="005D0F06" w:rsidRPr="000D1029" w:rsidRDefault="005D0F06" w:rsidP="00AB6DC7">
      <w:pPr>
        <w:spacing w:line="240" w:lineRule="auto"/>
        <w:rPr>
          <w:rFonts w:ascii="Times New Roman" w:hAnsi="Times New Roman" w:cs="Times New Roman"/>
          <w:lang w:val="es-ES"/>
        </w:rPr>
      </w:pPr>
    </w:p>
    <w:p w:rsidR="005D0F06" w:rsidRDefault="005D0F06" w:rsidP="00AB6DC7">
      <w:pPr>
        <w:pStyle w:val="ListParagraph"/>
        <w:numPr>
          <w:ilvl w:val="0"/>
          <w:numId w:val="39"/>
        </w:numPr>
        <w:spacing w:line="240" w:lineRule="auto"/>
        <w:rPr>
          <w:rFonts w:ascii="Times New Roman" w:hAnsi="Times New Roman" w:cs="Times New Roman"/>
          <w:lang w:val="es-ES"/>
        </w:rPr>
      </w:pPr>
      <w:r w:rsidRPr="000D1029">
        <w:rPr>
          <w:rFonts w:ascii="Times New Roman" w:hAnsi="Times New Roman" w:cs="Times New Roman"/>
          <w:lang w:val="es-ES"/>
        </w:rPr>
        <w:t xml:space="preserve">Ministerio de la Mujer: Creado mediante la Ley No.86 del 1999, como instancia rectora de la política de género en el país, responsable de establecer las normas y coordinar la ejecución de políticas, planes y programas a nivel sectorial, interministerial y con la sociedad civil, dirigidos a lograr la igualdad y la equidad de género y el pleno ejercicio de la ciudadanía por parte de las Mujeres.  Preside y coordina la Comisión Nacional de Prevención y Lucha contra la Violencia Intrafamiliar.  </w:t>
      </w:r>
    </w:p>
    <w:p w:rsidR="005B1CC2" w:rsidRPr="000D1029" w:rsidRDefault="005B1CC2" w:rsidP="005B1CC2">
      <w:pPr>
        <w:pStyle w:val="ListParagraph"/>
        <w:spacing w:line="240" w:lineRule="auto"/>
        <w:rPr>
          <w:rFonts w:ascii="Times New Roman" w:hAnsi="Times New Roman" w:cs="Times New Roman"/>
          <w:lang w:val="es-ES"/>
        </w:rPr>
      </w:pPr>
    </w:p>
    <w:p w:rsidR="005D0F06" w:rsidRDefault="005D0F06" w:rsidP="00AB6DC7">
      <w:pPr>
        <w:pStyle w:val="ListParagraph"/>
        <w:numPr>
          <w:ilvl w:val="0"/>
          <w:numId w:val="39"/>
        </w:numPr>
        <w:spacing w:line="240" w:lineRule="auto"/>
        <w:rPr>
          <w:rFonts w:ascii="Times New Roman" w:hAnsi="Times New Roman" w:cs="Times New Roman"/>
          <w:lang w:val="es-ES"/>
        </w:rPr>
      </w:pPr>
      <w:r w:rsidRPr="000D1029">
        <w:rPr>
          <w:rFonts w:ascii="Times New Roman" w:hAnsi="Times New Roman" w:cs="Times New Roman"/>
          <w:lang w:val="es-ES"/>
        </w:rPr>
        <w:t xml:space="preserve">Departamento de Prevención y Atención a la Violencia  del Ministerio de la Mujer (Sede central y sus 31 Oficinas Provinciales y 21 Oficinas Municipales): Este departamento ofrece asistencia psicológica y legal a sobrevivientes de violencia garantizando la cobertura nacional del Programa de Prevención y Atención a la Violencia contra las Mujeres e Intrafamiliar que ejecuta el Ministerio de la Mujer. </w:t>
      </w:r>
      <w:r w:rsidRPr="000D1029">
        <w:rPr>
          <w:rFonts w:ascii="Times New Roman" w:eastAsia="Times New Roman" w:hAnsi="Times New Roman" w:cs="Times New Roman"/>
          <w:color w:val="000000"/>
          <w:lang w:val="es-DO" w:eastAsia="es-DO"/>
        </w:rPr>
        <w:t>En el período que comprende los</w:t>
      </w:r>
      <w:r w:rsidRPr="000D1029">
        <w:rPr>
          <w:rFonts w:ascii="Times New Roman" w:eastAsia="Times New Roman" w:hAnsi="Times New Roman" w:cs="Times New Roman"/>
          <w:bCs/>
          <w:color w:val="000000"/>
          <w:lang w:val="es-DO" w:eastAsia="es-DO"/>
        </w:rPr>
        <w:t xml:space="preserve"> meses de enero a noviembre del año 2015</w:t>
      </w:r>
      <w:r w:rsidRPr="000D1029">
        <w:rPr>
          <w:rFonts w:ascii="Times New Roman" w:eastAsia="Times New Roman" w:hAnsi="Times New Roman" w:cs="Times New Roman"/>
          <w:color w:val="000000"/>
          <w:lang w:val="es-DO" w:eastAsia="es-DO"/>
        </w:rPr>
        <w:t xml:space="preserve"> se ofrecieron diez mil ochocientas noventa y cuatro </w:t>
      </w:r>
      <w:r w:rsidRPr="000D1029">
        <w:rPr>
          <w:rFonts w:ascii="Times New Roman" w:eastAsia="Times New Roman" w:hAnsi="Times New Roman" w:cs="Times New Roman"/>
          <w:bCs/>
          <w:color w:val="000000"/>
          <w:lang w:val="es-DO" w:eastAsia="es-DO"/>
        </w:rPr>
        <w:t xml:space="preserve"> (10,894) atenciones</w:t>
      </w:r>
      <w:r w:rsidRPr="000D1029">
        <w:rPr>
          <w:rFonts w:ascii="Times New Roman" w:eastAsia="Times New Roman" w:hAnsi="Times New Roman" w:cs="Times New Roman"/>
          <w:color w:val="000000"/>
          <w:lang w:val="es-DO" w:eastAsia="es-DO"/>
        </w:rPr>
        <w:t>, a través de este Departamento de Prevención y Atención a la Violencia Intrafamiliar.</w:t>
      </w:r>
      <w:r w:rsidR="006944A7" w:rsidRPr="000D1029">
        <w:rPr>
          <w:rFonts w:ascii="Times New Roman" w:eastAsia="Times New Roman" w:hAnsi="Times New Roman" w:cs="Times New Roman"/>
          <w:color w:val="000000"/>
          <w:lang w:val="es-DO" w:eastAsia="es-DO"/>
        </w:rPr>
        <w:t xml:space="preserve"> </w:t>
      </w:r>
      <w:r w:rsidRPr="000D1029">
        <w:rPr>
          <w:rFonts w:ascii="Times New Roman" w:eastAsia="Times New Roman" w:hAnsi="Times New Roman" w:cs="Times New Roman"/>
          <w:color w:val="000000"/>
          <w:lang w:val="es-DO" w:eastAsia="es-DO"/>
        </w:rPr>
        <w:t xml:space="preserve">De estas atenciones, </w:t>
      </w:r>
      <w:r w:rsidRPr="000D1029">
        <w:rPr>
          <w:rFonts w:ascii="Times New Roman" w:eastAsia="Times New Roman" w:hAnsi="Times New Roman" w:cs="Times New Roman"/>
          <w:bCs/>
          <w:lang w:val="es-DO" w:eastAsia="es-DO"/>
        </w:rPr>
        <w:t>seis mil trescientas sesenta y cuatro (6,364)</w:t>
      </w:r>
      <w:r w:rsidRPr="000D1029">
        <w:rPr>
          <w:rFonts w:ascii="Times New Roman" w:eastAsia="Times New Roman" w:hAnsi="Times New Roman" w:cs="Times New Roman"/>
          <w:lang w:val="es-DO" w:eastAsia="es-DO"/>
        </w:rPr>
        <w:t xml:space="preserve"> corresponden a </w:t>
      </w:r>
      <w:r w:rsidRPr="000D1029">
        <w:rPr>
          <w:rFonts w:ascii="Times New Roman" w:eastAsia="Times New Roman" w:hAnsi="Times New Roman" w:cs="Times New Roman"/>
          <w:bCs/>
          <w:lang w:val="es-DO" w:eastAsia="es-DO"/>
        </w:rPr>
        <w:t>atenciones legales</w:t>
      </w:r>
      <w:r w:rsidRPr="000D1029">
        <w:rPr>
          <w:rFonts w:ascii="Times New Roman" w:eastAsia="Times New Roman" w:hAnsi="Times New Roman" w:cs="Times New Roman"/>
          <w:lang w:val="es-DO" w:eastAsia="es-DO"/>
        </w:rPr>
        <w:t xml:space="preserve">,  tres mil ciento cincuenta y una </w:t>
      </w:r>
      <w:r w:rsidRPr="000D1029">
        <w:rPr>
          <w:rFonts w:ascii="Times New Roman" w:eastAsia="Times New Roman" w:hAnsi="Times New Roman" w:cs="Times New Roman"/>
          <w:bCs/>
          <w:lang w:val="es-DO" w:eastAsia="es-DO"/>
        </w:rPr>
        <w:t>(3,151)</w:t>
      </w:r>
      <w:r w:rsidRPr="000D1029">
        <w:rPr>
          <w:rFonts w:ascii="Times New Roman" w:eastAsia="Times New Roman" w:hAnsi="Times New Roman" w:cs="Times New Roman"/>
          <w:lang w:val="es-DO" w:eastAsia="es-DO"/>
        </w:rPr>
        <w:t xml:space="preserve"> a </w:t>
      </w:r>
      <w:r w:rsidRPr="000D1029">
        <w:rPr>
          <w:rFonts w:ascii="Times New Roman" w:eastAsia="Times New Roman" w:hAnsi="Times New Roman" w:cs="Times New Roman"/>
          <w:bCs/>
          <w:lang w:val="es-DO" w:eastAsia="es-DO"/>
        </w:rPr>
        <w:t>atenciones psicológicas</w:t>
      </w:r>
      <w:r w:rsidRPr="000D1029">
        <w:rPr>
          <w:rFonts w:ascii="Times New Roman" w:eastAsia="Times New Roman" w:hAnsi="Times New Roman" w:cs="Times New Roman"/>
          <w:lang w:val="es-DO" w:eastAsia="es-DO"/>
        </w:rPr>
        <w:t xml:space="preserve"> y </w:t>
      </w:r>
      <w:r w:rsidRPr="000D1029">
        <w:rPr>
          <w:rFonts w:ascii="Times New Roman" w:eastAsia="Times New Roman" w:hAnsi="Times New Roman" w:cs="Times New Roman"/>
          <w:bCs/>
          <w:lang w:val="es-DO" w:eastAsia="es-DO"/>
        </w:rPr>
        <w:t xml:space="preserve">mil </w:t>
      </w:r>
      <w:r w:rsidRPr="000D1029">
        <w:rPr>
          <w:rFonts w:ascii="Times New Roman" w:eastAsia="Times New Roman" w:hAnsi="Times New Roman" w:cs="Times New Roman"/>
          <w:bCs/>
          <w:lang w:val="es-DO" w:eastAsia="es-DO"/>
        </w:rPr>
        <w:lastRenderedPageBreak/>
        <w:t>trescientas setenta y nueve (1,379)</w:t>
      </w:r>
      <w:r w:rsidRPr="000D1029">
        <w:rPr>
          <w:rFonts w:ascii="Times New Roman" w:eastAsia="Times New Roman" w:hAnsi="Times New Roman" w:cs="Times New Roman"/>
          <w:lang w:val="es-DO" w:eastAsia="es-DO"/>
        </w:rPr>
        <w:t xml:space="preserve"> a </w:t>
      </w:r>
      <w:r w:rsidRPr="000D1029">
        <w:rPr>
          <w:rFonts w:ascii="Times New Roman" w:eastAsia="Times New Roman" w:hAnsi="Times New Roman" w:cs="Times New Roman"/>
          <w:bCs/>
          <w:lang w:val="es-DO" w:eastAsia="es-DO"/>
        </w:rPr>
        <w:t>otras atenciones</w:t>
      </w:r>
      <w:r w:rsidRPr="000D1029">
        <w:rPr>
          <w:rFonts w:ascii="Times New Roman" w:eastAsia="Times New Roman" w:hAnsi="Times New Roman" w:cs="Times New Roman"/>
          <w:lang w:val="es-DO" w:eastAsia="es-DO"/>
        </w:rPr>
        <w:t xml:space="preserve">. </w:t>
      </w:r>
      <w:r w:rsidRPr="000D1029">
        <w:rPr>
          <w:rFonts w:ascii="Times New Roman" w:eastAsia="Times New Roman" w:hAnsi="Times New Roman" w:cs="Times New Roman"/>
          <w:lang w:val="es-ES" w:eastAsia="es-DO"/>
        </w:rPr>
        <w:t>En este mismo periodo se obtuvieron 448 sentencias y se inició la defensa de 1,147 caso judiciales.</w:t>
      </w:r>
      <w:r w:rsidR="006944A7" w:rsidRPr="000D1029">
        <w:rPr>
          <w:rFonts w:ascii="Times New Roman" w:hAnsi="Times New Roman" w:cs="Times New Roman"/>
          <w:lang w:val="es-ES"/>
        </w:rPr>
        <w:t xml:space="preserve"> </w:t>
      </w:r>
      <w:r w:rsidRPr="000D1029">
        <w:rPr>
          <w:rFonts w:ascii="Times New Roman" w:hAnsi="Times New Roman" w:cs="Times New Roman"/>
          <w:lang w:val="es-ES"/>
        </w:rPr>
        <w:t>Como dato importante observamos que a partir del 2012, los feminicidios han ido en disminución, a modo de ejemplo en el 2011 ascendieron a 233 casos, bajando en el 2012 a 196, en el 2013 a 160 feminicidios, en el 2014 ocurrieron 188 pero en el 2015 bajaron a 132 casos. Esto consideramos que se debe al esfuerzo de todas las áreas que componen la prevención de violencia contra las mujeres, incluyendo la Línea Telefónica de Emergencia.</w:t>
      </w:r>
    </w:p>
    <w:p w:rsidR="005B1CC2" w:rsidRDefault="005B1CC2" w:rsidP="005B1CC2">
      <w:pPr>
        <w:pStyle w:val="ListParagraph"/>
        <w:spacing w:line="240" w:lineRule="auto"/>
        <w:rPr>
          <w:rFonts w:ascii="Times New Roman" w:hAnsi="Times New Roman" w:cs="Times New Roman"/>
          <w:lang w:val="es-ES"/>
        </w:rPr>
      </w:pPr>
    </w:p>
    <w:p w:rsidR="005D0F06" w:rsidRPr="00FD5A9B" w:rsidRDefault="005D0F06" w:rsidP="00AB6DC7">
      <w:pPr>
        <w:pStyle w:val="ListParagraph"/>
        <w:numPr>
          <w:ilvl w:val="0"/>
          <w:numId w:val="39"/>
        </w:numPr>
        <w:spacing w:line="240" w:lineRule="auto"/>
        <w:rPr>
          <w:rFonts w:ascii="Times New Roman" w:hAnsi="Times New Roman" w:cs="Times New Roman"/>
          <w:lang w:val="es-ES"/>
        </w:rPr>
      </w:pPr>
      <w:r w:rsidRPr="000D1029">
        <w:rPr>
          <w:rFonts w:ascii="Times New Roman" w:hAnsi="Times New Roman" w:cs="Times New Roman"/>
          <w:lang w:val="es-ES"/>
        </w:rPr>
        <w:t>Casas de Acogida o Refugios, para sobrevivientes de violencia con sus hijos e hijas menores de 14 años, donde se brindan servicios integrales a las mujeres en situaciones de alto riesgo. Actualmente hay en funcionamiento tres Casas de Acogidas para brindar atención a nivel nacional.</w:t>
      </w:r>
      <w:r w:rsidR="006944A7" w:rsidRPr="000D1029">
        <w:rPr>
          <w:rFonts w:ascii="Times New Roman" w:hAnsi="Times New Roman" w:cs="Times New Roman"/>
          <w:lang w:val="es-ES"/>
        </w:rPr>
        <w:t xml:space="preserve">  </w:t>
      </w:r>
      <w:r w:rsidRPr="000D1029">
        <w:rPr>
          <w:rFonts w:ascii="Times New Roman" w:hAnsi="Times New Roman" w:cs="Times New Roman"/>
          <w:bCs/>
          <w:lang w:val="es-ES"/>
        </w:rPr>
        <w:t>Las Casas de Acogida o Refugios fueron instituidas mediante la Ley 88-03,</w:t>
      </w:r>
      <w:r w:rsidRPr="000D1029">
        <w:rPr>
          <w:rFonts w:ascii="Times New Roman" w:hAnsi="Times New Roman" w:cs="Times New Roman"/>
          <w:b/>
          <w:bCs/>
          <w:lang w:val="es-ES"/>
        </w:rPr>
        <w:t xml:space="preserve"> </w:t>
      </w:r>
      <w:r w:rsidRPr="000D1029">
        <w:rPr>
          <w:rFonts w:ascii="Times New Roman" w:hAnsi="Times New Roman" w:cs="Times New Roman"/>
          <w:bCs/>
          <w:lang w:val="es-ES"/>
        </w:rPr>
        <w:t>y sus dos Reglamentos de Aplicación y  de Funcionamiento. El Consejo de Dirección  de las Casas de Acogida, es presidido por el Ministerio de la mujer e integrado además por un representante del Ministerio de Salud Pública, la Procuraduría General de la República, del Consejo Nacional para la Niñez y la Adolescencia, de una organización no gubernamental ONG,  que trabaja el tema de violencia contra la mujer y una ONG del área de la niñez.</w:t>
      </w:r>
      <w:r w:rsidR="006944A7" w:rsidRPr="000D1029">
        <w:rPr>
          <w:rFonts w:ascii="Times New Roman" w:hAnsi="Times New Roman" w:cs="Times New Roman"/>
          <w:lang w:val="es-ES"/>
        </w:rPr>
        <w:t xml:space="preserve"> </w:t>
      </w:r>
      <w:r w:rsidRPr="000D1029">
        <w:rPr>
          <w:rFonts w:ascii="Times New Roman" w:hAnsi="Times New Roman" w:cs="Times New Roman"/>
          <w:color w:val="000000"/>
          <w:lang w:val="es-DO" w:eastAsia="es-DO"/>
        </w:rPr>
        <w:t xml:space="preserve">Desde el 6 de mayo del año 2008 hasta el 30 de noviembre del año 2015 han sido acogidas un total de </w:t>
      </w:r>
      <w:r w:rsidRPr="000D1029">
        <w:rPr>
          <w:rFonts w:ascii="Times New Roman" w:hAnsi="Times New Roman" w:cs="Times New Roman"/>
          <w:bCs/>
          <w:color w:val="000000"/>
          <w:lang w:val="es-DO" w:eastAsia="es-DO"/>
        </w:rPr>
        <w:t>tres mil trescientas setenta y dos (3,372) personas</w:t>
      </w:r>
      <w:r w:rsidRPr="000D1029">
        <w:rPr>
          <w:rFonts w:ascii="Times New Roman" w:hAnsi="Times New Roman" w:cs="Times New Roman"/>
          <w:color w:val="000000"/>
          <w:lang w:val="es-DO" w:eastAsia="es-DO"/>
        </w:rPr>
        <w:t xml:space="preserve"> en las Casas de Acogida, que corresponden a </w:t>
      </w:r>
      <w:r w:rsidRPr="000D1029">
        <w:rPr>
          <w:rFonts w:ascii="Times New Roman" w:hAnsi="Times New Roman" w:cs="Times New Roman"/>
          <w:bCs/>
          <w:color w:val="000000"/>
          <w:lang w:val="es-DO" w:eastAsia="es-DO"/>
        </w:rPr>
        <w:t>mil cuatrocientas ochenta y cinco (1,485) mujeres</w:t>
      </w:r>
      <w:r w:rsidRPr="000D1029">
        <w:rPr>
          <w:rFonts w:ascii="Times New Roman" w:hAnsi="Times New Roman" w:cs="Times New Roman"/>
          <w:color w:val="000000"/>
          <w:lang w:val="es-DO" w:eastAsia="es-DO"/>
        </w:rPr>
        <w:t xml:space="preserve"> y </w:t>
      </w:r>
      <w:r w:rsidRPr="000D1029">
        <w:rPr>
          <w:rFonts w:ascii="Times New Roman" w:hAnsi="Times New Roman" w:cs="Times New Roman"/>
          <w:bCs/>
          <w:color w:val="000000"/>
          <w:lang w:val="es-DO" w:eastAsia="es-DO"/>
        </w:rPr>
        <w:t>mil ochocientos ochenta y siete (1,887) niños, niñas y adolescentes</w:t>
      </w:r>
      <w:r w:rsidRPr="000D1029">
        <w:rPr>
          <w:rFonts w:ascii="Times New Roman" w:hAnsi="Times New Roman" w:cs="Times New Roman"/>
          <w:color w:val="000000"/>
          <w:lang w:val="es-DO" w:eastAsia="es-DO"/>
        </w:rPr>
        <w:t>.</w:t>
      </w:r>
    </w:p>
    <w:p w:rsidR="00FD5A9B" w:rsidRPr="000D1029" w:rsidRDefault="00FD5A9B" w:rsidP="00AB6DC7">
      <w:pPr>
        <w:pStyle w:val="ListParagraph"/>
        <w:spacing w:line="240" w:lineRule="auto"/>
        <w:rPr>
          <w:rFonts w:ascii="Times New Roman" w:hAnsi="Times New Roman" w:cs="Times New Roman"/>
          <w:lang w:val="es-ES"/>
        </w:rPr>
      </w:pPr>
    </w:p>
    <w:p w:rsidR="005D0F06" w:rsidRPr="000D1029" w:rsidRDefault="005D0F06" w:rsidP="00AB6DC7">
      <w:pPr>
        <w:pStyle w:val="ListParagraph"/>
        <w:numPr>
          <w:ilvl w:val="0"/>
          <w:numId w:val="39"/>
        </w:numPr>
        <w:spacing w:line="240" w:lineRule="auto"/>
        <w:rPr>
          <w:rFonts w:ascii="Times New Roman" w:hAnsi="Times New Roman" w:cs="Times New Roman"/>
          <w:color w:val="C00000"/>
          <w:lang w:val="es-ES"/>
        </w:rPr>
      </w:pPr>
      <w:r w:rsidRPr="000D1029">
        <w:rPr>
          <w:rFonts w:ascii="Times New Roman" w:hAnsi="Times New Roman" w:cs="Times New Roman"/>
          <w:lang w:val="es-ES"/>
        </w:rPr>
        <w:t>La Línea de Emergencia 24 Horas del Ministerio de la Mujer</w:t>
      </w:r>
      <w:r w:rsidRPr="000D1029">
        <w:rPr>
          <w:rFonts w:ascii="Times New Roman" w:hAnsi="Times New Roman" w:cs="Times New Roman"/>
          <w:b/>
          <w:lang w:val="es-ES"/>
        </w:rPr>
        <w:t>:</w:t>
      </w:r>
      <w:r w:rsidRPr="000D1029">
        <w:rPr>
          <w:rFonts w:ascii="Times New Roman" w:hAnsi="Times New Roman" w:cs="Times New Roman"/>
          <w:lang w:val="es-ES"/>
        </w:rPr>
        <w:t xml:space="preserve"> Con cobertura nacional y asistencia las 24 horas del día, los 7 días de la semana, creada con el propósito de prevenir y reducir los feminicidios el cual funciona a nivel nacional. Articulada al Sistema Nacional de Atención de Emergencia 9.1.1 de la Policía Nacional.</w:t>
      </w:r>
      <w:r w:rsidR="006944A7" w:rsidRPr="000D1029">
        <w:rPr>
          <w:rFonts w:ascii="Times New Roman" w:hAnsi="Times New Roman" w:cs="Times New Roman"/>
          <w:lang w:val="es-ES"/>
        </w:rPr>
        <w:t xml:space="preserve"> </w:t>
      </w:r>
      <w:r w:rsidRPr="000D1029">
        <w:rPr>
          <w:rFonts w:ascii="Times New Roman" w:hAnsi="Times New Roman" w:cs="Times New Roman"/>
          <w:color w:val="000000"/>
          <w:lang w:val="es-ES"/>
        </w:rPr>
        <w:t xml:space="preserve">Desde el </w:t>
      </w:r>
      <w:r w:rsidRPr="000D1029">
        <w:rPr>
          <w:rFonts w:ascii="Times New Roman" w:hAnsi="Times New Roman" w:cs="Times New Roman"/>
          <w:bCs/>
          <w:color w:val="000000"/>
          <w:lang w:val="es-ES"/>
        </w:rPr>
        <w:t xml:space="preserve">20 de junio del año 2012 hasta el 30 de noviembre del año 2015 </w:t>
      </w:r>
      <w:r w:rsidRPr="000D1029">
        <w:rPr>
          <w:rFonts w:ascii="Times New Roman" w:hAnsi="Times New Roman" w:cs="Times New Roman"/>
          <w:color w:val="000000"/>
          <w:lang w:val="es-ES"/>
        </w:rPr>
        <w:t>se atendieron</w:t>
      </w:r>
      <w:r w:rsidRPr="000D1029">
        <w:rPr>
          <w:rFonts w:ascii="Times New Roman" w:hAnsi="Times New Roman" w:cs="Times New Roman"/>
          <w:bCs/>
          <w:color w:val="000000"/>
          <w:lang w:val="es-ES"/>
        </w:rPr>
        <w:t xml:space="preserve"> ocho mil cuatrocientas cincuenta (8,450) llamadas</w:t>
      </w:r>
      <w:r w:rsidRPr="000D1029">
        <w:rPr>
          <w:rFonts w:ascii="Times New Roman" w:hAnsi="Times New Roman" w:cs="Times New Roman"/>
          <w:color w:val="000000"/>
          <w:lang w:val="es-ES"/>
        </w:rPr>
        <w:t xml:space="preserve"> a través de la Línea de Emergencia, de las cuales </w:t>
      </w:r>
      <w:r w:rsidRPr="000D1029">
        <w:rPr>
          <w:rFonts w:ascii="Times New Roman" w:hAnsi="Times New Roman" w:cs="Times New Roman"/>
          <w:bCs/>
          <w:color w:val="000000"/>
          <w:lang w:val="es-ES"/>
        </w:rPr>
        <w:t>mil ciento cinco (1,105)</w:t>
      </w:r>
      <w:r w:rsidRPr="000D1029">
        <w:rPr>
          <w:rFonts w:ascii="Times New Roman" w:hAnsi="Times New Roman" w:cs="Times New Roman"/>
          <w:color w:val="000000"/>
          <w:lang w:val="es-ES"/>
        </w:rPr>
        <w:t xml:space="preserve"> corresponden </w:t>
      </w:r>
      <w:r w:rsidRPr="000D1029">
        <w:rPr>
          <w:rFonts w:ascii="Times New Roman" w:hAnsi="Times New Roman" w:cs="Times New Roman"/>
          <w:bCs/>
          <w:color w:val="000000"/>
          <w:lang w:val="es-ES"/>
        </w:rPr>
        <w:t>a rescates o emergencias de personas en riesgo</w:t>
      </w:r>
      <w:r w:rsidRPr="000D1029">
        <w:rPr>
          <w:rFonts w:ascii="Times New Roman" w:hAnsi="Times New Roman" w:cs="Times New Roman"/>
          <w:color w:val="000000"/>
          <w:lang w:val="es-ES"/>
        </w:rPr>
        <w:t>,</w:t>
      </w:r>
      <w:r w:rsidRPr="000D1029">
        <w:rPr>
          <w:rFonts w:ascii="Times New Roman" w:hAnsi="Times New Roman" w:cs="Times New Roman"/>
          <w:bCs/>
          <w:color w:val="000000"/>
          <w:lang w:val="es-ES"/>
        </w:rPr>
        <w:t xml:space="preserve"> cuatro mil quinientos ochenta y cuatro (4,584)</w:t>
      </w:r>
      <w:r w:rsidRPr="000D1029">
        <w:rPr>
          <w:rFonts w:ascii="Times New Roman" w:hAnsi="Times New Roman" w:cs="Times New Roman"/>
          <w:color w:val="000000"/>
          <w:lang w:val="es-ES"/>
        </w:rPr>
        <w:t xml:space="preserve"> a </w:t>
      </w:r>
      <w:r w:rsidRPr="000D1029">
        <w:rPr>
          <w:rFonts w:ascii="Times New Roman" w:hAnsi="Times New Roman" w:cs="Times New Roman"/>
          <w:bCs/>
          <w:color w:val="000000"/>
          <w:lang w:val="es-ES"/>
        </w:rPr>
        <w:t>rescates realizados en coordinación con el Servicio 9-1-1</w:t>
      </w:r>
      <w:r w:rsidRPr="000D1029">
        <w:rPr>
          <w:rFonts w:ascii="Times New Roman" w:hAnsi="Times New Roman" w:cs="Times New Roman"/>
          <w:color w:val="000000"/>
          <w:lang w:val="es-ES"/>
        </w:rPr>
        <w:t xml:space="preserve">, </w:t>
      </w:r>
      <w:r w:rsidRPr="000D1029">
        <w:rPr>
          <w:rFonts w:ascii="Times New Roman" w:hAnsi="Times New Roman" w:cs="Times New Roman"/>
          <w:bCs/>
          <w:color w:val="000000"/>
          <w:lang w:val="es-ES"/>
        </w:rPr>
        <w:t>seiscientas cuarenta y siete (647)</w:t>
      </w:r>
      <w:r w:rsidRPr="000D1029">
        <w:rPr>
          <w:rFonts w:ascii="Times New Roman" w:hAnsi="Times New Roman" w:cs="Times New Roman"/>
          <w:color w:val="000000"/>
          <w:lang w:val="es-ES"/>
        </w:rPr>
        <w:t xml:space="preserve"> a </w:t>
      </w:r>
      <w:r w:rsidRPr="000D1029">
        <w:rPr>
          <w:rFonts w:ascii="Times New Roman" w:hAnsi="Times New Roman" w:cs="Times New Roman"/>
          <w:bCs/>
          <w:color w:val="000000"/>
          <w:lang w:val="es-ES"/>
        </w:rPr>
        <w:t>orientaciones</w:t>
      </w:r>
      <w:r w:rsidRPr="000D1029">
        <w:rPr>
          <w:rFonts w:ascii="Times New Roman" w:hAnsi="Times New Roman" w:cs="Times New Roman"/>
          <w:color w:val="000000"/>
          <w:lang w:val="es-ES"/>
        </w:rPr>
        <w:t xml:space="preserve">, </w:t>
      </w:r>
      <w:r w:rsidRPr="000D1029">
        <w:rPr>
          <w:rFonts w:ascii="Times New Roman" w:hAnsi="Times New Roman" w:cs="Times New Roman"/>
          <w:bCs/>
          <w:color w:val="000000"/>
          <w:lang w:val="es-ES"/>
        </w:rPr>
        <w:t>mil ochocientos treinta y uno  (1,831)</w:t>
      </w:r>
      <w:r w:rsidRPr="000D1029">
        <w:rPr>
          <w:rFonts w:ascii="Times New Roman" w:hAnsi="Times New Roman" w:cs="Times New Roman"/>
          <w:color w:val="000000"/>
          <w:lang w:val="es-ES"/>
        </w:rPr>
        <w:t xml:space="preserve"> a </w:t>
      </w:r>
      <w:r w:rsidRPr="000D1029">
        <w:rPr>
          <w:rFonts w:ascii="Times New Roman" w:hAnsi="Times New Roman" w:cs="Times New Roman"/>
          <w:bCs/>
          <w:color w:val="000000"/>
          <w:lang w:val="es-ES"/>
        </w:rPr>
        <w:t>referimientos</w:t>
      </w:r>
      <w:r w:rsidRPr="000D1029">
        <w:rPr>
          <w:rFonts w:ascii="Times New Roman" w:hAnsi="Times New Roman" w:cs="Times New Roman"/>
          <w:color w:val="000000"/>
          <w:lang w:val="es-ES"/>
        </w:rPr>
        <w:t xml:space="preserve">, y </w:t>
      </w:r>
      <w:r w:rsidRPr="000D1029">
        <w:rPr>
          <w:rFonts w:ascii="Times New Roman" w:hAnsi="Times New Roman" w:cs="Times New Roman"/>
          <w:bCs/>
          <w:color w:val="000000"/>
          <w:lang w:val="es-ES"/>
        </w:rPr>
        <w:t>doscientas ochenta y tres (283)</w:t>
      </w:r>
      <w:r w:rsidRPr="000D1029">
        <w:rPr>
          <w:rFonts w:ascii="Times New Roman" w:hAnsi="Times New Roman" w:cs="Times New Roman"/>
          <w:color w:val="000000"/>
          <w:lang w:val="es-ES"/>
        </w:rPr>
        <w:t xml:space="preserve"> a </w:t>
      </w:r>
      <w:r w:rsidRPr="000D1029">
        <w:rPr>
          <w:rFonts w:ascii="Times New Roman" w:hAnsi="Times New Roman" w:cs="Times New Roman"/>
          <w:bCs/>
          <w:color w:val="000000"/>
          <w:lang w:val="es-ES"/>
        </w:rPr>
        <w:t>confirmaciones de línea</w:t>
      </w:r>
      <w:r w:rsidRPr="000D1029">
        <w:rPr>
          <w:rFonts w:ascii="Times New Roman" w:hAnsi="Times New Roman" w:cs="Times New Roman"/>
          <w:color w:val="000000"/>
          <w:lang w:val="es-ES"/>
        </w:rPr>
        <w:t>.</w:t>
      </w:r>
    </w:p>
    <w:p w:rsidR="005D0F06" w:rsidRPr="000D1029" w:rsidRDefault="005D0F06" w:rsidP="00AB6DC7">
      <w:pPr>
        <w:pStyle w:val="ListParagraph"/>
        <w:spacing w:line="240" w:lineRule="auto"/>
        <w:ind w:left="0"/>
        <w:rPr>
          <w:rFonts w:ascii="Times New Roman" w:hAnsi="Times New Roman" w:cs="Times New Roman"/>
          <w:color w:val="000000"/>
          <w:lang w:val="es-DO" w:eastAsia="es-DO"/>
        </w:rPr>
      </w:pPr>
    </w:p>
    <w:p w:rsidR="005D0F06" w:rsidRPr="00FD5A9B" w:rsidRDefault="005D0F06" w:rsidP="00AB6DC7">
      <w:pPr>
        <w:pStyle w:val="ListParagraph"/>
        <w:numPr>
          <w:ilvl w:val="0"/>
          <w:numId w:val="39"/>
        </w:numPr>
        <w:spacing w:line="240" w:lineRule="auto"/>
        <w:rPr>
          <w:rFonts w:ascii="Times New Roman" w:hAnsi="Times New Roman" w:cs="Times New Roman"/>
          <w:lang w:val="es-ES" w:eastAsia="es-DO"/>
        </w:rPr>
      </w:pPr>
      <w:r w:rsidRPr="000D1029">
        <w:rPr>
          <w:rFonts w:ascii="Times New Roman" w:hAnsi="Times New Roman" w:cs="Times New Roman"/>
          <w:lang w:val="es-ES" w:eastAsia="es-DO"/>
        </w:rPr>
        <w:t xml:space="preserve">Línea Vida, de la Procuraduría Fiscal del Distrito para de niños, niñas, adolescentes y familia. Línea </w:t>
      </w:r>
      <w:r w:rsidRPr="000D1029">
        <w:rPr>
          <w:rFonts w:ascii="Times New Roman" w:hAnsi="Times New Roman" w:cs="Times New Roman"/>
          <w:color w:val="000000"/>
          <w:lang w:val="es-ES"/>
        </w:rPr>
        <w:t>de Auxilio Llame y Viva, Procuraduría para asuntos de Trata y Tráfico y Pornografía Infantil.</w:t>
      </w:r>
    </w:p>
    <w:p w:rsidR="00FD5A9B" w:rsidRPr="00FD5A9B" w:rsidRDefault="00FD5A9B" w:rsidP="00AB6DC7">
      <w:pPr>
        <w:pStyle w:val="ListParagraph"/>
        <w:spacing w:line="240" w:lineRule="auto"/>
        <w:rPr>
          <w:rFonts w:ascii="Times New Roman" w:hAnsi="Times New Roman" w:cs="Times New Roman"/>
          <w:lang w:val="es-ES" w:eastAsia="es-DO"/>
        </w:rPr>
      </w:pPr>
    </w:p>
    <w:p w:rsidR="005D0F06" w:rsidRDefault="005D0F06" w:rsidP="00AB6DC7">
      <w:pPr>
        <w:pStyle w:val="ListParagraph"/>
        <w:numPr>
          <w:ilvl w:val="0"/>
          <w:numId w:val="39"/>
        </w:numPr>
        <w:spacing w:line="240" w:lineRule="auto"/>
        <w:rPr>
          <w:rFonts w:ascii="Times New Roman" w:hAnsi="Times New Roman" w:cs="Times New Roman"/>
          <w:lang w:val="es-ES"/>
        </w:rPr>
      </w:pPr>
      <w:r w:rsidRPr="000D1029">
        <w:rPr>
          <w:rFonts w:ascii="Times New Roman" w:hAnsi="Times New Roman" w:cs="Times New Roman"/>
          <w:lang w:val="es-ES"/>
        </w:rPr>
        <w:t xml:space="preserve">Sistema Nacional de Atención de Emergencias y Seguridad 9.1.1., creado con el fin de proporcionar a la ciudadanía una sola vía para el reporte de las emergencias, ante cualquier incidente ocurrido, y ser enlace para solicitar el apoyo a  instituciones involucradas, que le den soluciones a los mismos. </w:t>
      </w:r>
    </w:p>
    <w:p w:rsidR="00FD5A9B" w:rsidRPr="000D1029" w:rsidRDefault="00FD5A9B" w:rsidP="00AB6DC7">
      <w:pPr>
        <w:pStyle w:val="ListParagraph"/>
        <w:spacing w:line="240" w:lineRule="auto"/>
        <w:rPr>
          <w:rFonts w:ascii="Times New Roman" w:hAnsi="Times New Roman" w:cs="Times New Roman"/>
          <w:lang w:val="es-ES"/>
        </w:rPr>
      </w:pPr>
    </w:p>
    <w:p w:rsidR="006944A7" w:rsidRPr="00FD5A9B" w:rsidRDefault="005D0F06" w:rsidP="00AB6DC7">
      <w:pPr>
        <w:pStyle w:val="ListParagraph"/>
        <w:numPr>
          <w:ilvl w:val="0"/>
          <w:numId w:val="39"/>
        </w:numPr>
        <w:kinsoku w:val="0"/>
        <w:overflowPunct w:val="0"/>
        <w:spacing w:line="240" w:lineRule="auto"/>
        <w:textAlignment w:val="baseline"/>
        <w:rPr>
          <w:rFonts w:ascii="Times New Roman" w:hAnsi="Times New Roman" w:cs="Times New Roman"/>
          <w:lang w:val="es-ES" w:eastAsia="es-DO"/>
        </w:rPr>
      </w:pPr>
      <w:r w:rsidRPr="000D1029">
        <w:rPr>
          <w:rFonts w:ascii="Times New Roman" w:hAnsi="Times New Roman" w:cs="Times New Roman"/>
          <w:kern w:val="24"/>
          <w:lang w:val="es-ES" w:eastAsia="es-DO"/>
        </w:rPr>
        <w:t>La Procuraduría Adjunta para Asuntos de la Mujer. Este  despacho es responsable de articular la política criminal sobre el abordaje, atención  integral a la violencia de género, intrafamiliar y delitos sexuales, así como la persecución penal contra los agresores en todo el territorio nacional.</w:t>
      </w:r>
      <w:r w:rsidR="006944A7" w:rsidRPr="000D1029">
        <w:rPr>
          <w:rFonts w:ascii="Times New Roman" w:hAnsi="Times New Roman" w:cs="Times New Roman"/>
          <w:kern w:val="24"/>
          <w:lang w:val="es-ES" w:eastAsia="es-DO"/>
        </w:rPr>
        <w:t xml:space="preserve"> </w:t>
      </w:r>
    </w:p>
    <w:p w:rsidR="00FD5A9B" w:rsidRPr="000D1029" w:rsidRDefault="00FD5A9B" w:rsidP="00AB6DC7">
      <w:pPr>
        <w:pStyle w:val="ListParagraph"/>
        <w:kinsoku w:val="0"/>
        <w:overflowPunct w:val="0"/>
        <w:spacing w:line="240" w:lineRule="auto"/>
        <w:textAlignment w:val="baseline"/>
        <w:rPr>
          <w:rFonts w:ascii="Times New Roman" w:hAnsi="Times New Roman" w:cs="Times New Roman"/>
          <w:lang w:val="es-ES" w:eastAsia="es-DO"/>
        </w:rPr>
      </w:pPr>
    </w:p>
    <w:p w:rsidR="006944A7" w:rsidRDefault="005D0F06" w:rsidP="00AB6DC7">
      <w:pPr>
        <w:pStyle w:val="ListParagraph"/>
        <w:numPr>
          <w:ilvl w:val="0"/>
          <w:numId w:val="39"/>
        </w:numPr>
        <w:kinsoku w:val="0"/>
        <w:overflowPunct w:val="0"/>
        <w:spacing w:line="240" w:lineRule="auto"/>
        <w:textAlignment w:val="baseline"/>
        <w:rPr>
          <w:rFonts w:ascii="Times New Roman" w:hAnsi="Times New Roman" w:cs="Times New Roman"/>
          <w:lang w:val="es-ES" w:eastAsia="es-DO"/>
        </w:rPr>
      </w:pPr>
      <w:r w:rsidRPr="000D1029">
        <w:rPr>
          <w:rFonts w:ascii="Times New Roman" w:hAnsi="Times New Roman" w:cs="Times New Roman"/>
          <w:kern w:val="24"/>
          <w:lang w:val="es-ES" w:eastAsia="es-DO"/>
        </w:rPr>
        <w:lastRenderedPageBreak/>
        <w:t xml:space="preserve">35 Procuradurías </w:t>
      </w:r>
      <w:r w:rsidRPr="000D1029">
        <w:rPr>
          <w:rFonts w:ascii="Times New Roman" w:hAnsi="Times New Roman" w:cs="Times New Roman"/>
          <w:lang w:val="es-ES" w:eastAsia="es-DO"/>
        </w:rPr>
        <w:t>F</w:t>
      </w:r>
      <w:r w:rsidRPr="000D1029">
        <w:rPr>
          <w:rFonts w:ascii="Times New Roman" w:hAnsi="Times New Roman" w:cs="Times New Roman"/>
          <w:kern w:val="24"/>
          <w:lang w:val="es-ES" w:eastAsia="es-DO"/>
        </w:rPr>
        <w:t xml:space="preserve">iscales, en algunos casos con fiscalías barriales como en el  Distrito Nacional y la Provincia de Santo Domingo; 18 Unidades de Atención Integral a las Víctimas de Violencia de Género, Intrafamiliar y Delitos Sexuales distribuidas por todo el territorio nacional. Las Unidades están encomendadas a dar una atención rápida,  </w:t>
      </w:r>
      <w:r w:rsidRPr="000D1029">
        <w:rPr>
          <w:rFonts w:ascii="Times New Roman" w:hAnsi="Times New Roman" w:cs="Times New Roman"/>
          <w:lang w:val="es-ES"/>
        </w:rPr>
        <w:t>integral</w:t>
      </w:r>
      <w:r w:rsidRPr="000D1029">
        <w:rPr>
          <w:rFonts w:ascii="Times New Roman" w:hAnsi="Times New Roman" w:cs="Times New Roman"/>
          <w:kern w:val="24"/>
          <w:lang w:val="es-ES" w:eastAsia="es-DO"/>
        </w:rPr>
        <w:t xml:space="preserve"> y eficaz a las víctimas, concentrando en el mismo espacio, los servicios legales y especializados, es decir, fiscales, abogados/as, médicos/as legista y forenses, así como psicólogas/os forenses para la realización de los informes periciales y para la intervención en crisis de las víctimas procurando minimizar la re-victimización, </w:t>
      </w:r>
      <w:r w:rsidRPr="000D1029">
        <w:rPr>
          <w:rFonts w:ascii="Times New Roman" w:hAnsi="Times New Roman" w:cs="Times New Roman"/>
          <w:lang w:val="es-ES"/>
        </w:rPr>
        <w:t>dotación policial y un personal administrativo para recibir las denuncias de violencia de género, intrafamiliar y delitos sexuales. En algunas de las unidades, ya han sido instalados los denominados ¨Espacios de Esperanza¨, para la atención de los niños (as) y familiares de las víctimas mientras proceden con las denuncias, así como las Salas de entrevistas (Cámara de Gesell), facilitando la toma de la declaración o testimonio de los niños, niñas y adolescentes víctimas de delitos sexuales o violencia intrafamiliar.</w:t>
      </w:r>
    </w:p>
    <w:p w:rsidR="00FD5A9B" w:rsidRPr="000D1029" w:rsidRDefault="00FD5A9B" w:rsidP="00AB6DC7">
      <w:pPr>
        <w:pStyle w:val="ListParagraph"/>
        <w:kinsoku w:val="0"/>
        <w:overflowPunct w:val="0"/>
        <w:spacing w:line="240" w:lineRule="auto"/>
        <w:textAlignment w:val="baseline"/>
        <w:rPr>
          <w:rFonts w:ascii="Times New Roman" w:hAnsi="Times New Roman" w:cs="Times New Roman"/>
          <w:lang w:val="es-ES" w:eastAsia="es-DO"/>
        </w:rPr>
      </w:pPr>
    </w:p>
    <w:p w:rsidR="005D0F06" w:rsidRDefault="005D0F06" w:rsidP="00AB6DC7">
      <w:pPr>
        <w:pStyle w:val="ListParagraph"/>
        <w:numPr>
          <w:ilvl w:val="0"/>
          <w:numId w:val="39"/>
        </w:numPr>
        <w:kinsoku w:val="0"/>
        <w:overflowPunct w:val="0"/>
        <w:spacing w:line="240" w:lineRule="auto"/>
        <w:textAlignment w:val="baseline"/>
        <w:rPr>
          <w:rFonts w:ascii="Times New Roman" w:hAnsi="Times New Roman" w:cs="Times New Roman"/>
          <w:lang w:val="es-ES" w:eastAsia="es-DO"/>
        </w:rPr>
      </w:pPr>
      <w:r w:rsidRPr="000D1029">
        <w:rPr>
          <w:rFonts w:ascii="Times New Roman" w:hAnsi="Times New Roman" w:cs="Times New Roman"/>
          <w:lang w:val="es-ES"/>
        </w:rPr>
        <w:t>17 Fiscalías Barriales distribuidas en todo el Distrito Nacional, existiendo un (a) fiscal específicamente para los casos de violencia de género, intrafamiliar y delitos sexuales a los fines de brindar las primeras atenciones a las víctimas, procediendo luego a remitir el proceso a la unidad especializada.</w:t>
      </w:r>
    </w:p>
    <w:p w:rsidR="00FD5A9B" w:rsidRPr="00FD5A9B" w:rsidRDefault="00FD5A9B" w:rsidP="00AB6DC7">
      <w:pPr>
        <w:pStyle w:val="ListParagraph"/>
        <w:spacing w:line="240" w:lineRule="auto"/>
        <w:rPr>
          <w:rFonts w:ascii="Times New Roman" w:hAnsi="Times New Roman" w:cs="Times New Roman"/>
          <w:lang w:val="es-ES" w:eastAsia="es-DO"/>
        </w:rPr>
      </w:pPr>
    </w:p>
    <w:p w:rsidR="006944A7" w:rsidRDefault="005D0F06" w:rsidP="00AB6DC7">
      <w:pPr>
        <w:pStyle w:val="ListParagraph"/>
        <w:numPr>
          <w:ilvl w:val="0"/>
          <w:numId w:val="39"/>
        </w:numPr>
        <w:spacing w:line="240" w:lineRule="auto"/>
        <w:rPr>
          <w:rFonts w:ascii="Times New Roman" w:hAnsi="Times New Roman" w:cs="Times New Roman"/>
          <w:lang w:val="es-ES" w:eastAsia="es-DO"/>
        </w:rPr>
      </w:pPr>
      <w:r w:rsidRPr="000D1029">
        <w:rPr>
          <w:rFonts w:ascii="Times New Roman" w:hAnsi="Times New Roman" w:cs="Times New Roman"/>
          <w:lang w:val="es-ES"/>
        </w:rPr>
        <w:t>Centro de Atención y Desarrollo a Sobrevivientes de Violencia: Creado con el propósito de garantizar, desde el Estado, la recuperación integral de las sobrevivientes y sus familias de las secuelas  causadas por la violencia contra la mujer e intrafamiliar. Actualmente opera un centro de recuperación en el Ciudad de Santo Domingo, dependencia de la Procuraduría Fiscal del Distrito. Este centro contempla los servicios de Psicológicos (Terapia individual, terapia corporal y terapia grupal), Servicios Sociales (Seguimiento comunitario, orientación comunitaria,  redes comunitarias de prevención y vigilancia),  programa de promotores/as y formadoras en pares; Servicios económicos, laborales; Orientación y acompañamiento educativo, programa de reinserción laboral, programa de fondo de supervivencia, y programa de oportunidades para emprendedoras, Servicios familiares (Programas de cuidado para los hijos e hijas de las mujeres en proceso de recuperación, integración familiar).</w:t>
      </w:r>
    </w:p>
    <w:p w:rsidR="00FD5A9B" w:rsidRPr="000D1029" w:rsidRDefault="00FD5A9B" w:rsidP="00AB6DC7">
      <w:pPr>
        <w:pStyle w:val="ListParagraph"/>
        <w:spacing w:line="240" w:lineRule="auto"/>
        <w:rPr>
          <w:rFonts w:ascii="Times New Roman" w:hAnsi="Times New Roman" w:cs="Times New Roman"/>
          <w:lang w:val="es-ES" w:eastAsia="es-DO"/>
        </w:rPr>
      </w:pPr>
    </w:p>
    <w:p w:rsidR="006C28EF" w:rsidRDefault="005D0F06" w:rsidP="00AB6DC7">
      <w:pPr>
        <w:pStyle w:val="ListParagraph"/>
        <w:numPr>
          <w:ilvl w:val="0"/>
          <w:numId w:val="39"/>
        </w:numPr>
        <w:spacing w:line="240" w:lineRule="auto"/>
        <w:rPr>
          <w:rFonts w:ascii="Times New Roman" w:hAnsi="Times New Roman" w:cs="Times New Roman"/>
          <w:lang w:val="es-ES" w:eastAsia="es-DO"/>
        </w:rPr>
      </w:pPr>
      <w:r w:rsidRPr="000D1029">
        <w:rPr>
          <w:rFonts w:ascii="Times New Roman" w:hAnsi="Times New Roman" w:cs="Times New Roman"/>
          <w:lang w:val="es-ES"/>
        </w:rPr>
        <w:t xml:space="preserve">Dos Centros de Intervención Conductual para Hombres, donde son referidos los hombres que están en procesos judiciales para el tratamiento terapéutico por su conducta violenta, uno se encuentra en el Distrito Nacional y el otro en la Provincia San Juan de la Maguana. </w:t>
      </w:r>
    </w:p>
    <w:p w:rsidR="00FD5A9B" w:rsidRPr="00FD5A9B" w:rsidRDefault="00FD5A9B" w:rsidP="00AB6DC7">
      <w:pPr>
        <w:pStyle w:val="ListParagraph"/>
        <w:spacing w:line="240" w:lineRule="auto"/>
        <w:rPr>
          <w:rFonts w:ascii="Times New Roman" w:hAnsi="Times New Roman" w:cs="Times New Roman"/>
          <w:lang w:val="es-ES" w:eastAsia="es-DO"/>
        </w:rPr>
      </w:pPr>
    </w:p>
    <w:p w:rsidR="006944A7" w:rsidRDefault="005D0F06" w:rsidP="00AB6DC7">
      <w:pPr>
        <w:pStyle w:val="ListParagraph"/>
        <w:numPr>
          <w:ilvl w:val="0"/>
          <w:numId w:val="39"/>
        </w:numPr>
        <w:spacing w:line="240" w:lineRule="auto"/>
        <w:rPr>
          <w:rFonts w:ascii="Times New Roman" w:hAnsi="Times New Roman" w:cs="Times New Roman"/>
          <w:lang w:val="es-ES" w:eastAsia="es-DO"/>
        </w:rPr>
      </w:pPr>
      <w:r w:rsidRPr="000D1029">
        <w:rPr>
          <w:rFonts w:ascii="Times New Roman" w:hAnsi="Times New Roman" w:cs="Times New Roman"/>
          <w:lang w:val="es-ES"/>
        </w:rPr>
        <w:t xml:space="preserve">Establecimiento de Centro de Entrevista (Cámara de Gessel), para evaluación psicológica y testimonio de niños, niñas y adolescentes víctimas de violencia Distrito Nacional, San Pedro de Macorís, Santiago y San Cristóbal.  </w:t>
      </w:r>
    </w:p>
    <w:p w:rsidR="00FD5A9B" w:rsidRPr="00FD5A9B" w:rsidRDefault="00FD5A9B" w:rsidP="00AB6DC7">
      <w:pPr>
        <w:pStyle w:val="ListParagraph"/>
        <w:spacing w:line="240" w:lineRule="auto"/>
        <w:rPr>
          <w:rFonts w:ascii="Times New Roman" w:hAnsi="Times New Roman" w:cs="Times New Roman"/>
          <w:lang w:val="es-ES" w:eastAsia="es-DO"/>
        </w:rPr>
      </w:pPr>
    </w:p>
    <w:p w:rsidR="006944A7" w:rsidRDefault="005D0F06" w:rsidP="00AB6DC7">
      <w:pPr>
        <w:pStyle w:val="ListParagraph"/>
        <w:numPr>
          <w:ilvl w:val="0"/>
          <w:numId w:val="39"/>
        </w:numPr>
        <w:spacing w:line="240" w:lineRule="auto"/>
        <w:rPr>
          <w:rFonts w:ascii="Times New Roman" w:hAnsi="Times New Roman" w:cs="Times New Roman"/>
          <w:lang w:val="es-ES" w:eastAsia="es-DO"/>
        </w:rPr>
      </w:pPr>
      <w:r w:rsidRPr="000D1029">
        <w:rPr>
          <w:rFonts w:ascii="Times New Roman" w:hAnsi="Times New Roman" w:cs="Times New Roman"/>
          <w:lang w:val="es-ES"/>
        </w:rPr>
        <w:t xml:space="preserve">Centro de Apoyo a la Mujer Migrante Víctimas de Trata de Personas y Tráfico de Migrantes del </w:t>
      </w:r>
      <w:r w:rsidRPr="000D1029">
        <w:rPr>
          <w:rStyle w:val="Emphasis"/>
          <w:rFonts w:ascii="Times New Roman" w:hAnsi="Times New Roman" w:cs="Times New Roman"/>
          <w:bCs/>
          <w:shd w:val="clear" w:color="auto" w:fill="FFFFFF"/>
          <w:lang w:val="es-ES"/>
        </w:rPr>
        <w:t>Centro</w:t>
      </w:r>
      <w:r w:rsidRPr="000D1029">
        <w:rPr>
          <w:rStyle w:val="apple-converted-space"/>
          <w:rFonts w:ascii="Times New Roman" w:hAnsi="Times New Roman" w:cs="Times New Roman"/>
          <w:shd w:val="clear" w:color="auto" w:fill="FFFFFF"/>
          <w:lang w:val="es-ES"/>
        </w:rPr>
        <w:t> </w:t>
      </w:r>
      <w:r w:rsidRPr="000D1029">
        <w:rPr>
          <w:rFonts w:ascii="Times New Roman" w:hAnsi="Times New Roman" w:cs="Times New Roman"/>
          <w:shd w:val="clear" w:color="auto" w:fill="FFFFFF"/>
          <w:lang w:val="es-ES"/>
        </w:rPr>
        <w:t>de Orientación e Investigación Integral (</w:t>
      </w:r>
      <w:r w:rsidRPr="000D1029">
        <w:rPr>
          <w:rStyle w:val="Emphasis"/>
          <w:rFonts w:ascii="Times New Roman" w:hAnsi="Times New Roman" w:cs="Times New Roman"/>
          <w:bCs/>
          <w:shd w:val="clear" w:color="auto" w:fill="FFFFFF"/>
          <w:lang w:val="es-ES"/>
        </w:rPr>
        <w:t>COIN</w:t>
      </w:r>
      <w:r w:rsidRPr="000D1029">
        <w:rPr>
          <w:rFonts w:ascii="Times New Roman" w:hAnsi="Times New Roman" w:cs="Times New Roman"/>
          <w:shd w:val="clear" w:color="auto" w:fill="FFFFFF"/>
          <w:lang w:val="es-ES"/>
        </w:rPr>
        <w:t>)</w:t>
      </w:r>
      <w:r w:rsidRPr="000D1029">
        <w:rPr>
          <w:rFonts w:ascii="Times New Roman" w:hAnsi="Times New Roman" w:cs="Times New Roman"/>
          <w:lang w:val="es-ES"/>
        </w:rPr>
        <w:t xml:space="preserve">  con aportes del Ministerio de la Mujer. Centro de Promoción de la salud sexual y salud reproductiva de Adolescentes, del Ministerio de la Mujer con el objetivo de ofrecer información y educación integral en sexualidad que permita la toma de decisiones favorables a la salud sexual y salud reproductiva, desarrollar programas y estrategias relacionados con la salud sexual y salud reproductiva.</w:t>
      </w:r>
    </w:p>
    <w:p w:rsidR="00FD5A9B" w:rsidRPr="00FD5A9B" w:rsidRDefault="00FD5A9B" w:rsidP="00AB6DC7">
      <w:pPr>
        <w:pStyle w:val="ListParagraph"/>
        <w:spacing w:line="240" w:lineRule="auto"/>
        <w:rPr>
          <w:rFonts w:ascii="Times New Roman" w:hAnsi="Times New Roman" w:cs="Times New Roman"/>
          <w:lang w:val="es-ES" w:eastAsia="es-DO"/>
        </w:rPr>
      </w:pPr>
    </w:p>
    <w:p w:rsidR="00AC5CFB" w:rsidRPr="000D1029" w:rsidRDefault="00AC5CFB" w:rsidP="00AB6DC7">
      <w:pPr>
        <w:pStyle w:val="ListParagraph"/>
        <w:numPr>
          <w:ilvl w:val="0"/>
          <w:numId w:val="39"/>
        </w:numPr>
        <w:spacing w:line="240" w:lineRule="auto"/>
        <w:rPr>
          <w:rFonts w:ascii="Times New Roman" w:hAnsi="Times New Roman" w:cs="Times New Roman"/>
          <w:lang w:val="es-ES" w:eastAsia="es-DO"/>
        </w:rPr>
      </w:pPr>
      <w:r w:rsidRPr="000D1029">
        <w:rPr>
          <w:rFonts w:ascii="Times New Roman" w:hAnsi="Times New Roman" w:cs="Times New Roman"/>
          <w:lang w:val="es-ES"/>
        </w:rPr>
        <w:t>Otros esfuerzos lo constituyen las jornadas educativas y de sensibilización que se han llevado a cabo en el país, dirigidas tanto del Ministerio de la Mujer como desde la Procuraduría General de la República Dominicana.</w:t>
      </w:r>
    </w:p>
    <w:p w:rsidR="006944A7" w:rsidRPr="000D1029" w:rsidRDefault="006944A7" w:rsidP="00AB6DC7">
      <w:pPr>
        <w:pStyle w:val="ListParagraph"/>
        <w:spacing w:line="240" w:lineRule="auto"/>
        <w:rPr>
          <w:rFonts w:ascii="Times New Roman" w:hAnsi="Times New Roman" w:cs="Times New Roman"/>
          <w:lang w:val="es-ES"/>
        </w:rPr>
      </w:pPr>
    </w:p>
    <w:p w:rsidR="005D0F06" w:rsidRPr="00FD5A9B" w:rsidRDefault="008F62E5" w:rsidP="00AB6DC7">
      <w:pPr>
        <w:spacing w:line="240" w:lineRule="auto"/>
        <w:rPr>
          <w:rFonts w:ascii="Times New Roman" w:hAnsi="Times New Roman" w:cs="Times New Roman"/>
          <w:lang w:val="es-ES"/>
        </w:rPr>
      </w:pPr>
      <w:r>
        <w:rPr>
          <w:rFonts w:ascii="Times New Roman" w:hAnsi="Times New Roman" w:cs="Times New Roman"/>
          <w:lang w:val="es-ES"/>
        </w:rPr>
        <w:t>59</w:t>
      </w:r>
      <w:r w:rsidR="005D0F06" w:rsidRPr="000D1029">
        <w:rPr>
          <w:rFonts w:ascii="Times New Roman" w:hAnsi="Times New Roman" w:cs="Times New Roman"/>
          <w:lang w:val="es-ES"/>
        </w:rPr>
        <w:t>. Se ha conseguido un trabajo articulado entre los organismos nacionales e internacionales como son, la Procuraduría General de la República, Despacho de la Primera Dama, los Ministerios de la Mujer y de Salud Pública, el Poder Judicial, la Policía Nacional, la Fundación Vida sin Violencia, el Fondo de Población de Naciones Unidas (UNFPA), el Patronato de Ayuda a Casos de Mujeres Maltratadas (PACAM) y PROFAMILIA, entre otros, con el objetivo de seguir avanzando en la lucha para eliminar la violencia contra las mujeres.</w:t>
      </w:r>
      <w:r w:rsidR="00FD5A9B">
        <w:rPr>
          <w:rFonts w:ascii="Times New Roman" w:hAnsi="Times New Roman" w:cs="Times New Roman"/>
          <w:lang w:val="es-ES"/>
        </w:rPr>
        <w:t xml:space="preserve"> </w:t>
      </w:r>
      <w:r w:rsidR="005D0F06" w:rsidRPr="000D1029">
        <w:rPr>
          <w:rFonts w:ascii="Times New Roman" w:hAnsi="Times New Roman" w:cs="Times New Roman"/>
          <w:lang w:val="es-ES"/>
        </w:rPr>
        <w:t xml:space="preserve">En ese sentido, a través de convenios, se mantiene una coordinación de acciones entre la Procuraduría General de la República con la Secretaría de Justicia de Puerto Rico, con la Agencia Española de Cooperación Internacional (AECID) y Plan Internacional. </w:t>
      </w:r>
    </w:p>
    <w:p w:rsidR="005D0F06" w:rsidRPr="000D1029" w:rsidRDefault="005D0F06" w:rsidP="00AB6DC7">
      <w:pPr>
        <w:spacing w:line="240" w:lineRule="auto"/>
        <w:rPr>
          <w:rFonts w:ascii="Times New Roman" w:hAnsi="Times New Roman" w:cs="Times New Roman"/>
          <w:b/>
          <w:color w:val="FF0000"/>
          <w:lang w:val="es-ES"/>
        </w:rPr>
      </w:pPr>
    </w:p>
    <w:p w:rsidR="005D0F06" w:rsidRPr="000D1029" w:rsidRDefault="008F62E5" w:rsidP="00AB6DC7">
      <w:pPr>
        <w:spacing w:line="240" w:lineRule="auto"/>
        <w:rPr>
          <w:rFonts w:ascii="Times New Roman" w:hAnsi="Times New Roman" w:cs="Times New Roman"/>
          <w:i/>
          <w:lang w:val="es-ES"/>
        </w:rPr>
      </w:pPr>
      <w:r>
        <w:rPr>
          <w:rFonts w:ascii="Times New Roman" w:hAnsi="Times New Roman" w:cs="Times New Roman"/>
          <w:b/>
          <w:i/>
          <w:lang w:val="es-ES"/>
        </w:rPr>
        <w:t>60</w:t>
      </w:r>
      <w:r w:rsidR="005D0F06" w:rsidRPr="000D1029">
        <w:rPr>
          <w:rFonts w:ascii="Times New Roman" w:hAnsi="Times New Roman" w:cs="Times New Roman"/>
          <w:b/>
          <w:i/>
          <w:lang w:val="es-ES"/>
        </w:rPr>
        <w:t xml:space="preserve">. </w:t>
      </w:r>
      <w:r w:rsidR="00272160"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12: </w:t>
      </w:r>
      <w:r w:rsidR="005D0F06" w:rsidRPr="000D1029">
        <w:rPr>
          <w:rFonts w:ascii="Times New Roman" w:hAnsi="Times New Roman" w:cs="Times New Roman"/>
          <w:i/>
          <w:lang w:val="es-ES"/>
        </w:rPr>
        <w:t>El Comité está preocupado por la exención de responsabilidad propuesta en el proyecto de nuevo Código penal que suspende el enjuiciamiento, la responsabilidad y la pena impuesta en los casos de violación sexual cuando el infractor y la víctima contraen matrimonio. Tal propuesta promueve la violencia sexual en contra de las mujeres y conlleva a la impunidad de estos casos en violación de las disposiciones del Pacto. (arts. 3, 7, 14, 26).</w:t>
      </w:r>
    </w:p>
    <w:p w:rsidR="005D0F06" w:rsidRPr="000D1029" w:rsidRDefault="005D0F06" w:rsidP="00AB6DC7">
      <w:pPr>
        <w:spacing w:line="240" w:lineRule="auto"/>
        <w:rPr>
          <w:rFonts w:ascii="Times New Roman" w:hAnsi="Times New Roman" w:cs="Times New Roman"/>
          <w:i/>
          <w:lang w:val="es-ES"/>
        </w:rPr>
      </w:pPr>
    </w:p>
    <w:p w:rsidR="005D0F06" w:rsidRPr="000D1029" w:rsidRDefault="008F62E5" w:rsidP="00AB6DC7">
      <w:pPr>
        <w:spacing w:line="240" w:lineRule="auto"/>
        <w:rPr>
          <w:rFonts w:ascii="Times New Roman" w:hAnsi="Times New Roman" w:cs="Times New Roman"/>
          <w:b/>
          <w:i/>
          <w:lang w:val="es-ES"/>
        </w:rPr>
      </w:pPr>
      <w:r>
        <w:rPr>
          <w:rFonts w:ascii="Times New Roman" w:hAnsi="Times New Roman" w:cs="Times New Roman"/>
          <w:b/>
          <w:i/>
          <w:lang w:val="es-ES"/>
        </w:rPr>
        <w:t>61</w:t>
      </w:r>
      <w:r w:rsidR="005D0F06" w:rsidRPr="000D1029">
        <w:rPr>
          <w:rFonts w:ascii="Times New Roman" w:hAnsi="Times New Roman" w:cs="Times New Roman"/>
          <w:b/>
          <w:i/>
          <w:lang w:val="es-ES"/>
        </w:rPr>
        <w:t>. El Estado parte debe asegurarse que las disposiciones del Nuevo Código Penal actualmente en discusión en el Congreso respeten plenamente los derechos de la mujer. En este sentido, el Estado parte debe excluir toda exención de responsabilidad en los casos de violación o de cualquier otra forma de violencia en contra de las mujeres cuando el perpetrador y la victima contraen matrimonio.</w:t>
      </w:r>
    </w:p>
    <w:p w:rsidR="005D0F06" w:rsidRPr="000D1029" w:rsidRDefault="005D0F06" w:rsidP="00AB6DC7">
      <w:pPr>
        <w:spacing w:line="240" w:lineRule="auto"/>
        <w:rPr>
          <w:rFonts w:ascii="Times New Roman" w:hAnsi="Times New Roman" w:cs="Times New Roman"/>
          <w:b/>
          <w:i/>
          <w:lang w:val="es-ES"/>
        </w:rPr>
      </w:pPr>
    </w:p>
    <w:p w:rsidR="008F5BB0" w:rsidRPr="000D1029" w:rsidRDefault="008F62E5" w:rsidP="00AB6DC7">
      <w:pPr>
        <w:spacing w:line="240" w:lineRule="auto"/>
        <w:rPr>
          <w:rFonts w:ascii="Times New Roman" w:hAnsi="Times New Roman" w:cs="Times New Roman"/>
          <w:lang w:val="es-ES"/>
        </w:rPr>
      </w:pPr>
      <w:r>
        <w:rPr>
          <w:rFonts w:ascii="Times New Roman" w:hAnsi="Times New Roman" w:cs="Times New Roman"/>
          <w:b/>
          <w:lang w:val="es-ES"/>
        </w:rPr>
        <w:t>62</w:t>
      </w:r>
      <w:r w:rsidR="005D0F06" w:rsidRPr="000D1029">
        <w:rPr>
          <w:rFonts w:ascii="Times New Roman" w:hAnsi="Times New Roman" w:cs="Times New Roman"/>
          <w:b/>
          <w:lang w:val="es-ES"/>
        </w:rPr>
        <w:t>. Respuesta Estado dominicano:</w:t>
      </w:r>
      <w:r w:rsidR="008F5BB0" w:rsidRPr="000D1029">
        <w:rPr>
          <w:rFonts w:ascii="Times New Roman" w:hAnsi="Times New Roman" w:cs="Times New Roman"/>
          <w:b/>
          <w:lang w:val="es-ES"/>
        </w:rPr>
        <w:t xml:space="preserve"> </w:t>
      </w:r>
      <w:r w:rsidR="008F5BB0" w:rsidRPr="000D1029">
        <w:rPr>
          <w:rFonts w:ascii="Times New Roman" w:hAnsi="Times New Roman" w:cs="Times New Roman"/>
          <w:lang w:val="es-ES"/>
        </w:rPr>
        <w:t>La Violencia contra las Mujeres e Intrafamiliar es una violación a los derechos humanos, un grave problema de salud a nivel público y un obstáculo para el desarrollo socioeconómico, está presente en todo el mundo incluyendo nuestro país, y afecta a los sectores más vulnerables de la población: mujeres, niñas/os y adolescentes. En la República Dominicana la ley 24-97 que modificó el Código Penal e instituyó como delito la violencia intrafamiliar y contra las mujeres, dentro y fuera del hogar e incluyendo por primera vez la violación sexual entre parejas, siendo éste un avance del Estado Dominicano en materia de defensa de los derechos Humanos. En el Código Penal Dominicano los artículos que nos hablan de la Violación Sexual y la Agresión Sexual y la violencia intrafamiliar modificado por la Ley 24-97, de 1997;  son los siguientes:</w:t>
      </w:r>
    </w:p>
    <w:p w:rsidR="008F5BB0" w:rsidRPr="000D1029" w:rsidRDefault="008F5BB0" w:rsidP="00AB6DC7">
      <w:pPr>
        <w:spacing w:line="240" w:lineRule="auto"/>
        <w:rPr>
          <w:rFonts w:ascii="Times New Roman" w:hAnsi="Times New Roman" w:cs="Times New Roman"/>
          <w:lang w:val="es-ES"/>
        </w:rPr>
      </w:pPr>
    </w:p>
    <w:p w:rsidR="008F5BB0" w:rsidRPr="000D1029" w:rsidRDefault="008F5BB0" w:rsidP="00AB6DC7">
      <w:pPr>
        <w:pStyle w:val="ListParagraph"/>
        <w:numPr>
          <w:ilvl w:val="0"/>
          <w:numId w:val="46"/>
        </w:numPr>
        <w:spacing w:line="240" w:lineRule="auto"/>
        <w:rPr>
          <w:rFonts w:ascii="Times New Roman" w:hAnsi="Times New Roman" w:cs="Times New Roman"/>
          <w:lang w:val="es-ES"/>
        </w:rPr>
      </w:pPr>
      <w:r w:rsidRPr="000D1029">
        <w:rPr>
          <w:rFonts w:ascii="Times New Roman" w:hAnsi="Times New Roman" w:cs="Times New Roman"/>
          <w:lang w:val="es-ES"/>
        </w:rPr>
        <w:t>Art. 330 define agresión sexual como cualquier acción sexual realizada con violencia, amenaza, coacción, engaño o sorpresa.</w:t>
      </w:r>
    </w:p>
    <w:p w:rsidR="008F5BB0" w:rsidRPr="000D1029" w:rsidRDefault="008F5BB0" w:rsidP="00AB6DC7">
      <w:pPr>
        <w:pStyle w:val="ListParagraph"/>
        <w:numPr>
          <w:ilvl w:val="0"/>
          <w:numId w:val="46"/>
        </w:numPr>
        <w:spacing w:line="240" w:lineRule="auto"/>
        <w:rPr>
          <w:rFonts w:ascii="Times New Roman" w:hAnsi="Times New Roman" w:cs="Times New Roman"/>
          <w:lang w:val="es-ES"/>
        </w:rPr>
      </w:pPr>
      <w:r w:rsidRPr="000D1029">
        <w:rPr>
          <w:rFonts w:ascii="Times New Roman" w:hAnsi="Times New Roman" w:cs="Times New Roman"/>
          <w:lang w:val="es-ES"/>
        </w:rPr>
        <w:t>Art. 331 define violación como cualquier acto sexual, independientemente de su naturaleza, que se ha realizado con violencia, coacción, amenaza o sorpresa.</w:t>
      </w:r>
    </w:p>
    <w:p w:rsidR="008F5BB0" w:rsidRPr="000D1029" w:rsidRDefault="008F5BB0" w:rsidP="00AB6DC7">
      <w:pPr>
        <w:pStyle w:val="ListParagraph"/>
        <w:numPr>
          <w:ilvl w:val="0"/>
          <w:numId w:val="46"/>
        </w:numPr>
        <w:spacing w:line="240" w:lineRule="auto"/>
        <w:rPr>
          <w:rFonts w:ascii="Times New Roman" w:hAnsi="Times New Roman" w:cs="Times New Roman"/>
          <w:lang w:val="es-ES"/>
        </w:rPr>
      </w:pPr>
      <w:r w:rsidRPr="000D1029">
        <w:rPr>
          <w:rFonts w:ascii="Times New Roman" w:hAnsi="Times New Roman" w:cs="Times New Roman"/>
          <w:lang w:val="es-ES"/>
        </w:rPr>
        <w:t>Art. 332 establece que la persona que incurre en actividad sexual sin el consentimiento de la otra persona, estará sujeto a las mismas penas que en el caso de violación cuando: a) hace uso de la fuerza, violencia, intimidación o amenaza; b) la capacidad de resistencia de la víctima está disminuida por cualquier causa; c) la víctima sufre una enfermedad mental o incapacidad, permanente o temporal, y tiene la capacidad de comprender la naturaleza del acto en el tiempo de su realización; o d) la víctima se vio obligada o inducida por su pareja, a través de violencia física o psicológica, a tener relaciones sexuales con un tercero.</w:t>
      </w:r>
    </w:p>
    <w:p w:rsidR="005D0F06" w:rsidRPr="000D1029" w:rsidRDefault="005D0F06" w:rsidP="00AB6DC7">
      <w:pPr>
        <w:spacing w:line="240" w:lineRule="auto"/>
        <w:rPr>
          <w:rFonts w:ascii="Times New Roman" w:hAnsi="Times New Roman" w:cs="Times New Roman"/>
          <w:b/>
          <w:lang w:val="es-ES"/>
        </w:rPr>
      </w:pPr>
    </w:p>
    <w:p w:rsidR="005D0F06" w:rsidRPr="000D1029" w:rsidRDefault="008F62E5" w:rsidP="00AB6DC7">
      <w:pPr>
        <w:spacing w:line="240" w:lineRule="auto"/>
        <w:rPr>
          <w:rFonts w:ascii="Times New Roman" w:hAnsi="Times New Roman" w:cs="Times New Roman"/>
          <w:i/>
          <w:lang w:val="es-ES"/>
        </w:rPr>
      </w:pPr>
      <w:r>
        <w:rPr>
          <w:rFonts w:ascii="Times New Roman" w:hAnsi="Times New Roman" w:cs="Times New Roman"/>
          <w:b/>
          <w:i/>
          <w:lang w:val="es-ES"/>
        </w:rPr>
        <w:t>63</w:t>
      </w:r>
      <w:r w:rsidR="00D637C1" w:rsidRPr="000D1029">
        <w:rPr>
          <w:rFonts w:ascii="Times New Roman" w:hAnsi="Times New Roman" w:cs="Times New Roman"/>
          <w:b/>
          <w:i/>
          <w:lang w:val="es-ES"/>
        </w:rPr>
        <w:t xml:space="preserve">. </w:t>
      </w:r>
      <w:r w:rsidR="00272160"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13: </w:t>
      </w:r>
      <w:r w:rsidR="005D0F06" w:rsidRPr="000D1029">
        <w:rPr>
          <w:rFonts w:ascii="Times New Roman" w:hAnsi="Times New Roman" w:cs="Times New Roman"/>
          <w:i/>
          <w:lang w:val="es-ES"/>
        </w:rPr>
        <w:t>El Comité reitera su preocupación por la brutalidad policial y el uso excesivo de la fuerza por parte de los agentes del orden, y por las altas cifras de ejecuciones extrajudiciales. El Comité también lamenta la falta de una tipificación específica de las ejecuciones extrajudiciales en la legislación interna, lo cual ha limitado la plena visibilización del fenómeno y su trato adecuado por las autoridades judiciales. (arts. 6, 7).</w:t>
      </w:r>
    </w:p>
    <w:p w:rsidR="005D0F06" w:rsidRPr="000D1029" w:rsidRDefault="005D0F06" w:rsidP="00AB6DC7">
      <w:pPr>
        <w:spacing w:line="240" w:lineRule="auto"/>
        <w:rPr>
          <w:rFonts w:ascii="Times New Roman" w:hAnsi="Times New Roman" w:cs="Times New Roman"/>
          <w:i/>
          <w:lang w:val="es-ES"/>
        </w:rPr>
      </w:pPr>
    </w:p>
    <w:p w:rsidR="005D0F06" w:rsidRDefault="008F62E5" w:rsidP="00AB6DC7">
      <w:pPr>
        <w:spacing w:line="240" w:lineRule="auto"/>
        <w:rPr>
          <w:rFonts w:ascii="Times New Roman" w:hAnsi="Times New Roman" w:cs="Times New Roman"/>
          <w:b/>
          <w:i/>
          <w:lang w:val="es-ES"/>
        </w:rPr>
      </w:pPr>
      <w:r>
        <w:rPr>
          <w:rFonts w:ascii="Times New Roman" w:hAnsi="Times New Roman" w:cs="Times New Roman"/>
          <w:b/>
          <w:i/>
          <w:lang w:val="es-ES"/>
        </w:rPr>
        <w:t>64</w:t>
      </w:r>
      <w:r w:rsidR="005D0F06" w:rsidRPr="000D1029">
        <w:rPr>
          <w:rFonts w:ascii="Times New Roman" w:hAnsi="Times New Roman" w:cs="Times New Roman"/>
          <w:b/>
          <w:i/>
          <w:lang w:val="es-ES"/>
        </w:rPr>
        <w:t>. El Estado Parte debe seguir sus esfuerzos para eliminar la brutalidad policial y el uso excesivo de la fuerza por los agentes del orden. En particular, debe asegurar que las reformas de la institución policial que están en curso aseguren: a) una formación profesional de calidad que integre el pleno respeto de los derechos humanos y la resolución de los conflictos como objetivos prioritarios de la intervención policial; b) condiciones de trabajo y salarios adecuados, que reflejen el nivel de responsabilidad de los agentes del orden; c) posibilidades de desarrollo profesional y mecanismos de control permanentes que incentiven el respeto absoluto de los derechos humanos. El proceso de reforma en curso también debe garantizar la armonización de las políticas, legislaciones y prácticas del Estado parte con los Principios básicos de las Naciones Unidas sobre el empleo de la fuerza y de armas de fuego por parte de los funcionarios encargados de hacer cumplir la ley.</w:t>
      </w:r>
    </w:p>
    <w:p w:rsidR="00C0280F" w:rsidRPr="000D1029" w:rsidRDefault="00C0280F" w:rsidP="00AB6DC7">
      <w:pPr>
        <w:spacing w:line="240" w:lineRule="auto"/>
        <w:rPr>
          <w:rFonts w:ascii="Times New Roman" w:hAnsi="Times New Roman" w:cs="Times New Roman"/>
          <w:b/>
          <w:i/>
          <w:lang w:val="es-ES"/>
        </w:rPr>
      </w:pPr>
    </w:p>
    <w:p w:rsidR="00D85BAD" w:rsidRPr="000D1029" w:rsidRDefault="008F62E5" w:rsidP="00AB6DC7">
      <w:pPr>
        <w:spacing w:line="240" w:lineRule="auto"/>
        <w:rPr>
          <w:rFonts w:ascii="Times New Roman" w:hAnsi="Times New Roman" w:cs="Times New Roman"/>
          <w:lang w:val="es-ES"/>
        </w:rPr>
      </w:pPr>
      <w:r>
        <w:rPr>
          <w:rFonts w:ascii="Times New Roman" w:hAnsi="Times New Roman" w:cs="Times New Roman"/>
          <w:b/>
          <w:lang w:val="es-ES"/>
        </w:rPr>
        <w:t>65</w:t>
      </w:r>
      <w:r w:rsidR="005D0F06" w:rsidRPr="000D1029">
        <w:rPr>
          <w:rFonts w:ascii="Times New Roman" w:hAnsi="Times New Roman" w:cs="Times New Roman"/>
          <w:b/>
          <w:lang w:val="es-ES"/>
        </w:rPr>
        <w:t>. Respuesta del Estado dominicano</w:t>
      </w:r>
      <w:r w:rsidR="005D0F06" w:rsidRPr="000D1029">
        <w:rPr>
          <w:rFonts w:ascii="Times New Roman" w:hAnsi="Times New Roman" w:cs="Times New Roman"/>
          <w:b/>
          <w:i/>
          <w:lang w:val="es-ES"/>
        </w:rPr>
        <w:t xml:space="preserve">: </w:t>
      </w:r>
      <w:r w:rsidR="00D85BAD" w:rsidRPr="000D1029">
        <w:rPr>
          <w:rFonts w:ascii="Times New Roman" w:hAnsi="Times New Roman" w:cs="Times New Roman"/>
          <w:lang w:val="es-ES"/>
        </w:rPr>
        <w:t xml:space="preserve">Para eliminar el uso excesivo de la brutalidad policial por nuestros agentes, se ha fortalecido por el Reglamento sobre el uso de la fuerza al capacitarlos en los diferentes cursos y talleres, Manual de Aproximidad, y el Código de Ética de la Policía Nacional. Todos estos creados a partir de la fecha del 11 de diciembre del 2013 al mes de abril del 2014 mediante decreto No. 358-13, y resolución 011-2014 del Consejo Superior de esta. </w:t>
      </w:r>
    </w:p>
    <w:p w:rsidR="00D85BAD" w:rsidRPr="000D1029" w:rsidRDefault="00D85BAD" w:rsidP="00AB6DC7">
      <w:pPr>
        <w:spacing w:line="240" w:lineRule="auto"/>
        <w:rPr>
          <w:rFonts w:ascii="Times New Roman" w:hAnsi="Times New Roman" w:cs="Times New Roman"/>
          <w:lang w:val="es-ES"/>
        </w:rPr>
      </w:pPr>
    </w:p>
    <w:p w:rsidR="006D0A84" w:rsidRPr="000D1029" w:rsidRDefault="008F62E5" w:rsidP="00AB6DC7">
      <w:pPr>
        <w:spacing w:line="240" w:lineRule="auto"/>
        <w:rPr>
          <w:rFonts w:ascii="Times New Roman" w:hAnsi="Times New Roman" w:cs="Times New Roman"/>
          <w:lang w:val="es-ES"/>
        </w:rPr>
      </w:pPr>
      <w:r>
        <w:rPr>
          <w:rFonts w:ascii="Times New Roman" w:hAnsi="Times New Roman" w:cs="Times New Roman"/>
          <w:lang w:val="es-ES"/>
        </w:rPr>
        <w:t>66</w:t>
      </w:r>
      <w:r w:rsidR="00D637C1" w:rsidRPr="000D1029">
        <w:rPr>
          <w:rFonts w:ascii="Times New Roman" w:hAnsi="Times New Roman" w:cs="Times New Roman"/>
          <w:lang w:val="es-ES"/>
        </w:rPr>
        <w:t xml:space="preserve">. </w:t>
      </w:r>
      <w:r w:rsidR="006D0A84" w:rsidRPr="000D1029">
        <w:rPr>
          <w:rFonts w:ascii="Times New Roman" w:hAnsi="Times New Roman" w:cs="Times New Roman"/>
          <w:lang w:val="es-ES"/>
        </w:rPr>
        <w:t xml:space="preserve">Se hace correcto la observación de que cada agente de la policía nacional que incumpla por la mala práctica de excesos por brutalidad policial y no apegado al Código de Ética es sancionado y expulsado por actos indecorosos de la institución.       </w:t>
      </w:r>
    </w:p>
    <w:p w:rsidR="00C0280F" w:rsidRPr="00C0280F" w:rsidRDefault="006D0A84" w:rsidP="00AB6DC7">
      <w:pPr>
        <w:spacing w:line="240" w:lineRule="auto"/>
        <w:rPr>
          <w:rFonts w:ascii="Times New Roman" w:hAnsi="Times New Roman" w:cs="Times New Roman"/>
          <w:b/>
          <w:i/>
          <w:lang w:val="es-ES"/>
        </w:rPr>
      </w:pPr>
      <w:r w:rsidRPr="00C0280F">
        <w:rPr>
          <w:rFonts w:ascii="Times New Roman" w:hAnsi="Times New Roman" w:cs="Times New Roman"/>
          <w:b/>
          <w:i/>
          <w:lang w:val="es-ES"/>
        </w:rPr>
        <w:t xml:space="preserve">    </w:t>
      </w:r>
    </w:p>
    <w:p w:rsidR="006D0A84" w:rsidRPr="00C0280F" w:rsidRDefault="00C0280F" w:rsidP="00AB6DC7">
      <w:pPr>
        <w:spacing w:line="240" w:lineRule="auto"/>
        <w:jc w:val="center"/>
        <w:rPr>
          <w:rFonts w:ascii="Times New Roman" w:hAnsi="Times New Roman" w:cs="Times New Roman"/>
          <w:lang w:val="es-ES"/>
        </w:rPr>
      </w:pPr>
      <w:r w:rsidRPr="00C0280F">
        <w:rPr>
          <w:rFonts w:ascii="Times New Roman" w:hAnsi="Times New Roman" w:cs="Times New Roman"/>
          <w:b/>
          <w:i/>
          <w:lang w:val="es-ES"/>
        </w:rPr>
        <w:t>Tabla No. 3</w:t>
      </w:r>
    </w:p>
    <w:tbl>
      <w:tblPr>
        <w:tblW w:w="9576" w:type="dxa"/>
        <w:jc w:val="center"/>
        <w:tblLayout w:type="fixed"/>
        <w:tblLook w:val="04A0"/>
      </w:tblPr>
      <w:tblGrid>
        <w:gridCol w:w="2055"/>
        <w:gridCol w:w="1100"/>
        <w:gridCol w:w="1170"/>
        <w:gridCol w:w="1620"/>
        <w:gridCol w:w="1350"/>
        <w:gridCol w:w="1273"/>
        <w:gridCol w:w="77"/>
        <w:gridCol w:w="931"/>
      </w:tblGrid>
      <w:tr w:rsidR="006D0A84" w:rsidRPr="000D1029" w:rsidTr="003A6F75">
        <w:trPr>
          <w:trHeight w:val="414"/>
          <w:jc w:val="center"/>
        </w:trPr>
        <w:tc>
          <w:tcPr>
            <w:tcW w:w="9576" w:type="dxa"/>
            <w:gridSpan w:val="8"/>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rsidR="006D0A84" w:rsidRPr="00C0280F" w:rsidRDefault="006D0A84" w:rsidP="00AB6DC7">
            <w:pPr>
              <w:spacing w:line="240" w:lineRule="auto"/>
              <w:jc w:val="center"/>
              <w:rPr>
                <w:rFonts w:ascii="Times New Roman" w:eastAsia="Times New Roman" w:hAnsi="Times New Roman" w:cs="Times New Roman"/>
                <w:bCs/>
                <w:color w:val="000000"/>
                <w:sz w:val="20"/>
                <w:lang w:val="es-ES"/>
              </w:rPr>
            </w:pPr>
            <w:r w:rsidRPr="00C0280F">
              <w:rPr>
                <w:rFonts w:ascii="Times New Roman" w:eastAsia="Times New Roman" w:hAnsi="Times New Roman" w:cs="Times New Roman"/>
                <w:bCs/>
                <w:color w:val="000000"/>
                <w:sz w:val="20"/>
                <w:lang w:val="es-ES"/>
              </w:rPr>
              <w:t xml:space="preserve">Relación de Miembros de la Policía Nacional Dominicana que han sido Capacitados en los Cursos ´´TECNICAS DE INTERVENCION POLICIAL, FORTALECIMIENTO DEL ACCIONAR POLICIAL Y NIVELACION POLICIA JUDICIAL´´ Desde la Fecha 08/02/2016 a la Actualidad, Impartidos por los Equipos Móviles de Capacitación de la Dirección Central de Educación y Entrenamiento Policial, P. N.              </w:t>
            </w:r>
            <w:r w:rsidRPr="00C0280F">
              <w:rPr>
                <w:rFonts w:ascii="Times New Roman" w:eastAsia="Times New Roman" w:hAnsi="Times New Roman" w:cs="Times New Roman"/>
                <w:bCs/>
                <w:color w:val="000000"/>
                <w:sz w:val="20"/>
                <w:lang w:val="es-ES"/>
              </w:rPr>
              <w:br/>
              <w:t xml:space="preserve">              </w:t>
            </w:r>
          </w:p>
        </w:tc>
      </w:tr>
      <w:tr w:rsidR="006D0A84" w:rsidRPr="000D1029" w:rsidTr="003A6F75">
        <w:trPr>
          <w:trHeight w:val="414"/>
          <w:jc w:val="center"/>
        </w:trPr>
        <w:tc>
          <w:tcPr>
            <w:tcW w:w="9576" w:type="dxa"/>
            <w:gridSpan w:val="8"/>
            <w:vMerge/>
            <w:tcBorders>
              <w:top w:val="single" w:sz="4" w:space="0" w:color="000000"/>
              <w:left w:val="single" w:sz="4" w:space="0" w:color="auto"/>
              <w:bottom w:val="single" w:sz="4" w:space="0" w:color="auto"/>
              <w:right w:val="single" w:sz="4" w:space="0" w:color="auto"/>
            </w:tcBorders>
            <w:shd w:val="clear" w:color="auto" w:fill="EAF1DD" w:themeFill="accent3" w:themeFillTint="33"/>
            <w:vAlign w:val="center"/>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s-ES"/>
              </w:rPr>
            </w:pPr>
          </w:p>
        </w:tc>
      </w:tr>
      <w:tr w:rsidR="006D0A84" w:rsidRPr="000D1029" w:rsidTr="00C0280F">
        <w:trPr>
          <w:trHeight w:val="174"/>
          <w:jc w:val="center"/>
        </w:trPr>
        <w:tc>
          <w:tcPr>
            <w:tcW w:w="2055" w:type="dxa"/>
            <w:tcBorders>
              <w:top w:val="single" w:sz="4" w:space="0" w:color="auto"/>
              <w:left w:val="single" w:sz="4" w:space="0" w:color="auto"/>
              <w:bottom w:val="single" w:sz="4" w:space="0" w:color="auto"/>
              <w:right w:val="single" w:sz="4" w:space="0" w:color="auto"/>
            </w:tcBorders>
            <w:shd w:val="clear" w:color="000000" w:fill="C5BE97"/>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18"/>
                <w:lang w:val="en-US"/>
              </w:rPr>
            </w:pPr>
            <w:r w:rsidRPr="00C0280F">
              <w:rPr>
                <w:rFonts w:ascii="Times New Roman" w:eastAsia="Times New Roman" w:hAnsi="Times New Roman" w:cs="Times New Roman"/>
                <w:b/>
                <w:bCs/>
                <w:color w:val="000000"/>
                <w:sz w:val="18"/>
                <w:lang w:val="en-US"/>
              </w:rPr>
              <w:t>CURSO</w:t>
            </w:r>
          </w:p>
        </w:tc>
        <w:tc>
          <w:tcPr>
            <w:tcW w:w="1100" w:type="dxa"/>
            <w:tcBorders>
              <w:top w:val="single" w:sz="4" w:space="0" w:color="auto"/>
              <w:left w:val="nil"/>
              <w:bottom w:val="single" w:sz="4" w:space="0" w:color="auto"/>
              <w:right w:val="single" w:sz="4" w:space="0" w:color="auto"/>
            </w:tcBorders>
            <w:shd w:val="clear" w:color="000000" w:fill="C5BE97"/>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18"/>
                <w:lang w:val="en-US"/>
              </w:rPr>
            </w:pPr>
            <w:r w:rsidRPr="00C0280F">
              <w:rPr>
                <w:rFonts w:ascii="Times New Roman" w:eastAsia="Times New Roman" w:hAnsi="Times New Roman" w:cs="Times New Roman"/>
                <w:b/>
                <w:bCs/>
                <w:color w:val="000000"/>
                <w:sz w:val="18"/>
                <w:lang w:val="en-US"/>
              </w:rPr>
              <w:t xml:space="preserve">REGION </w:t>
            </w:r>
          </w:p>
        </w:tc>
        <w:tc>
          <w:tcPr>
            <w:tcW w:w="1170" w:type="dxa"/>
            <w:tcBorders>
              <w:top w:val="single" w:sz="4" w:space="0" w:color="auto"/>
              <w:left w:val="nil"/>
              <w:bottom w:val="single" w:sz="4" w:space="0" w:color="auto"/>
              <w:right w:val="single" w:sz="4" w:space="0" w:color="auto"/>
            </w:tcBorders>
            <w:shd w:val="clear" w:color="000000" w:fill="C5BE97"/>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18"/>
                <w:lang w:val="en-US"/>
              </w:rPr>
            </w:pPr>
            <w:r w:rsidRPr="00C0280F">
              <w:rPr>
                <w:rFonts w:ascii="Times New Roman" w:eastAsia="Times New Roman" w:hAnsi="Times New Roman" w:cs="Times New Roman"/>
                <w:b/>
                <w:bCs/>
                <w:color w:val="000000"/>
                <w:sz w:val="18"/>
                <w:lang w:val="en-US"/>
              </w:rPr>
              <w:t>LUGAR</w:t>
            </w:r>
          </w:p>
        </w:tc>
        <w:tc>
          <w:tcPr>
            <w:tcW w:w="1620" w:type="dxa"/>
            <w:tcBorders>
              <w:top w:val="single" w:sz="4" w:space="0" w:color="auto"/>
              <w:left w:val="nil"/>
              <w:bottom w:val="single" w:sz="4" w:space="0" w:color="auto"/>
              <w:right w:val="single" w:sz="4" w:space="0" w:color="auto"/>
            </w:tcBorders>
            <w:shd w:val="clear" w:color="000000" w:fill="C5BE97"/>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18"/>
                <w:lang w:val="en-US"/>
              </w:rPr>
            </w:pPr>
            <w:r w:rsidRPr="00C0280F">
              <w:rPr>
                <w:rFonts w:ascii="Times New Roman" w:eastAsia="Times New Roman" w:hAnsi="Times New Roman" w:cs="Times New Roman"/>
                <w:b/>
                <w:bCs/>
                <w:color w:val="000000"/>
                <w:sz w:val="18"/>
                <w:lang w:val="en-US"/>
              </w:rPr>
              <w:t xml:space="preserve"> CAPACITADOS</w:t>
            </w:r>
          </w:p>
        </w:tc>
        <w:tc>
          <w:tcPr>
            <w:tcW w:w="1350" w:type="dxa"/>
            <w:tcBorders>
              <w:top w:val="single" w:sz="4" w:space="0" w:color="auto"/>
              <w:left w:val="nil"/>
              <w:bottom w:val="single" w:sz="4" w:space="0" w:color="auto"/>
              <w:right w:val="single" w:sz="4" w:space="0" w:color="auto"/>
            </w:tcBorders>
            <w:shd w:val="clear" w:color="000000" w:fill="C5BE97"/>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18"/>
                <w:lang w:val="en-US"/>
              </w:rPr>
            </w:pPr>
            <w:r w:rsidRPr="00C0280F">
              <w:rPr>
                <w:rFonts w:ascii="Times New Roman" w:eastAsia="Times New Roman" w:hAnsi="Times New Roman" w:cs="Times New Roman"/>
                <w:b/>
                <w:bCs/>
                <w:color w:val="000000"/>
                <w:sz w:val="18"/>
                <w:lang w:val="en-US"/>
              </w:rPr>
              <w:t>CONVOCATORIAS</w:t>
            </w:r>
          </w:p>
        </w:tc>
        <w:tc>
          <w:tcPr>
            <w:tcW w:w="1350"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18"/>
                <w:lang w:val="en-US"/>
              </w:rPr>
            </w:pPr>
            <w:r w:rsidRPr="00C0280F">
              <w:rPr>
                <w:rFonts w:ascii="Times New Roman" w:eastAsia="Times New Roman" w:hAnsi="Times New Roman" w:cs="Times New Roman"/>
                <w:b/>
                <w:bCs/>
                <w:color w:val="000000"/>
                <w:sz w:val="18"/>
                <w:lang w:val="en-US"/>
              </w:rPr>
              <w:t>MASCULINO</w:t>
            </w:r>
          </w:p>
        </w:tc>
        <w:tc>
          <w:tcPr>
            <w:tcW w:w="931" w:type="dxa"/>
            <w:tcBorders>
              <w:top w:val="single" w:sz="4" w:space="0" w:color="auto"/>
              <w:left w:val="nil"/>
              <w:bottom w:val="single" w:sz="4" w:space="0" w:color="auto"/>
              <w:right w:val="single" w:sz="4" w:space="0" w:color="auto"/>
            </w:tcBorders>
            <w:shd w:val="clear" w:color="000000" w:fill="C5BE97"/>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18"/>
                <w:lang w:val="en-US"/>
              </w:rPr>
            </w:pPr>
            <w:r w:rsidRPr="00C0280F">
              <w:rPr>
                <w:rFonts w:ascii="Times New Roman" w:eastAsia="Times New Roman" w:hAnsi="Times New Roman" w:cs="Times New Roman"/>
                <w:b/>
                <w:bCs/>
                <w:color w:val="000000"/>
                <w:sz w:val="18"/>
                <w:lang w:val="en-US"/>
              </w:rPr>
              <w:t>FEMENINA</w:t>
            </w:r>
          </w:p>
        </w:tc>
      </w:tr>
      <w:tr w:rsidR="006D0A84" w:rsidRPr="000D1029" w:rsidTr="00C0280F">
        <w:trPr>
          <w:trHeight w:val="301"/>
          <w:jc w:val="center"/>
        </w:trPr>
        <w:tc>
          <w:tcPr>
            <w:tcW w:w="2055" w:type="dxa"/>
            <w:tcBorders>
              <w:top w:val="nil"/>
              <w:left w:val="single" w:sz="4" w:space="0" w:color="auto"/>
              <w:bottom w:val="nil"/>
              <w:right w:val="single" w:sz="4" w:space="0" w:color="auto"/>
            </w:tcBorders>
            <w:shd w:val="clear" w:color="auto" w:fill="auto"/>
            <w:vAlign w:val="bottom"/>
            <w:hideMark/>
          </w:tcPr>
          <w:p w:rsidR="006D0A84" w:rsidRPr="00C0280F" w:rsidRDefault="006D0A84" w:rsidP="00AB6DC7">
            <w:pPr>
              <w:spacing w:line="240" w:lineRule="auto"/>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Curso ´´NIVELACION POLICIA JUDICIAL´´</w:t>
            </w:r>
          </w:p>
        </w:tc>
        <w:tc>
          <w:tcPr>
            <w:tcW w:w="110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Noreste</w:t>
            </w:r>
          </w:p>
        </w:tc>
        <w:tc>
          <w:tcPr>
            <w:tcW w:w="117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San Francisco de Macoris</w:t>
            </w:r>
          </w:p>
        </w:tc>
        <w:tc>
          <w:tcPr>
            <w:tcW w:w="162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193</w:t>
            </w:r>
          </w:p>
        </w:tc>
        <w:tc>
          <w:tcPr>
            <w:tcW w:w="135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7</w:t>
            </w:r>
          </w:p>
        </w:tc>
        <w:tc>
          <w:tcPr>
            <w:tcW w:w="1273"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175</w:t>
            </w:r>
          </w:p>
        </w:tc>
        <w:tc>
          <w:tcPr>
            <w:tcW w:w="1008" w:type="dxa"/>
            <w:gridSpan w:val="2"/>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18</w:t>
            </w:r>
          </w:p>
        </w:tc>
      </w:tr>
      <w:tr w:rsidR="006D0A84" w:rsidRPr="000D1029" w:rsidTr="00C0280F">
        <w:trPr>
          <w:trHeight w:val="266"/>
          <w:jc w:val="center"/>
        </w:trPr>
        <w:tc>
          <w:tcPr>
            <w:tcW w:w="2055" w:type="dxa"/>
            <w:tcBorders>
              <w:top w:val="single" w:sz="4" w:space="0" w:color="auto"/>
              <w:left w:val="single" w:sz="4" w:space="0" w:color="auto"/>
              <w:bottom w:val="nil"/>
              <w:right w:val="single" w:sz="4" w:space="0" w:color="auto"/>
            </w:tcBorders>
            <w:shd w:val="clear" w:color="auto" w:fill="auto"/>
            <w:vAlign w:val="bottom"/>
            <w:hideMark/>
          </w:tcPr>
          <w:p w:rsidR="006D0A84" w:rsidRPr="00C0280F" w:rsidRDefault="006D0A84" w:rsidP="00AB6DC7">
            <w:pPr>
              <w:spacing w:line="240" w:lineRule="auto"/>
              <w:rPr>
                <w:rFonts w:ascii="Times New Roman" w:eastAsia="Times New Roman" w:hAnsi="Times New Roman" w:cs="Times New Roman"/>
                <w:b/>
                <w:bCs/>
                <w:color w:val="000000"/>
                <w:sz w:val="20"/>
                <w:lang w:val="es-ES"/>
              </w:rPr>
            </w:pPr>
            <w:r w:rsidRPr="00C0280F">
              <w:rPr>
                <w:rFonts w:ascii="Times New Roman" w:eastAsia="Times New Roman" w:hAnsi="Times New Roman" w:cs="Times New Roman"/>
                <w:b/>
                <w:bCs/>
                <w:color w:val="000000"/>
                <w:sz w:val="20"/>
                <w:lang w:val="es-ES"/>
              </w:rPr>
              <w:t>Curso ´´FORTALECIMIENTO DEL ACCIONAR POLICIAL´´</w:t>
            </w:r>
          </w:p>
        </w:tc>
        <w:tc>
          <w:tcPr>
            <w:tcW w:w="110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 xml:space="preserve">Cibao Central  </w:t>
            </w:r>
          </w:p>
        </w:tc>
        <w:tc>
          <w:tcPr>
            <w:tcW w:w="117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La Vega</w:t>
            </w:r>
          </w:p>
        </w:tc>
        <w:tc>
          <w:tcPr>
            <w:tcW w:w="162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190</w:t>
            </w:r>
          </w:p>
        </w:tc>
        <w:tc>
          <w:tcPr>
            <w:tcW w:w="135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8</w:t>
            </w:r>
          </w:p>
        </w:tc>
        <w:tc>
          <w:tcPr>
            <w:tcW w:w="1273"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183</w:t>
            </w:r>
          </w:p>
        </w:tc>
        <w:tc>
          <w:tcPr>
            <w:tcW w:w="1008" w:type="dxa"/>
            <w:gridSpan w:val="2"/>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7</w:t>
            </w:r>
          </w:p>
        </w:tc>
      </w:tr>
      <w:tr w:rsidR="006D0A84" w:rsidRPr="000D1029" w:rsidTr="00C0280F">
        <w:trPr>
          <w:trHeight w:val="301"/>
          <w:jc w:val="center"/>
        </w:trPr>
        <w:tc>
          <w:tcPr>
            <w:tcW w:w="2055" w:type="dxa"/>
            <w:tcBorders>
              <w:top w:val="single" w:sz="4" w:space="0" w:color="auto"/>
              <w:left w:val="single" w:sz="4" w:space="0" w:color="auto"/>
              <w:bottom w:val="nil"/>
              <w:right w:val="single" w:sz="4" w:space="0" w:color="auto"/>
            </w:tcBorders>
            <w:shd w:val="clear" w:color="auto" w:fill="auto"/>
            <w:vAlign w:val="bottom"/>
            <w:hideMark/>
          </w:tcPr>
          <w:p w:rsidR="006D0A84" w:rsidRPr="00C0280F" w:rsidRDefault="006D0A84" w:rsidP="00AB6DC7">
            <w:pPr>
              <w:spacing w:line="240" w:lineRule="auto"/>
              <w:rPr>
                <w:rFonts w:ascii="Times New Roman" w:eastAsia="Times New Roman" w:hAnsi="Times New Roman" w:cs="Times New Roman"/>
                <w:b/>
                <w:bCs/>
                <w:color w:val="000000"/>
                <w:sz w:val="20"/>
                <w:lang w:val="es-ES"/>
              </w:rPr>
            </w:pPr>
            <w:r w:rsidRPr="00C0280F">
              <w:rPr>
                <w:rFonts w:ascii="Times New Roman" w:eastAsia="Times New Roman" w:hAnsi="Times New Roman" w:cs="Times New Roman"/>
                <w:b/>
                <w:bCs/>
                <w:color w:val="000000"/>
                <w:sz w:val="20"/>
                <w:lang w:val="es-ES"/>
              </w:rPr>
              <w:t>Curso ´´FORTALECIMIENTO DEL ACCIONAR POLICIAL´´</w:t>
            </w:r>
          </w:p>
        </w:tc>
        <w:tc>
          <w:tcPr>
            <w:tcW w:w="110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 xml:space="preserve">Cibao Central  </w:t>
            </w:r>
          </w:p>
        </w:tc>
        <w:tc>
          <w:tcPr>
            <w:tcW w:w="117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Jarabacoa</w:t>
            </w:r>
          </w:p>
        </w:tc>
        <w:tc>
          <w:tcPr>
            <w:tcW w:w="162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60</w:t>
            </w:r>
          </w:p>
        </w:tc>
        <w:tc>
          <w:tcPr>
            <w:tcW w:w="135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3</w:t>
            </w:r>
          </w:p>
        </w:tc>
        <w:tc>
          <w:tcPr>
            <w:tcW w:w="1273"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60</w:t>
            </w:r>
          </w:p>
        </w:tc>
        <w:tc>
          <w:tcPr>
            <w:tcW w:w="1008" w:type="dxa"/>
            <w:gridSpan w:val="2"/>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 </w:t>
            </w:r>
          </w:p>
        </w:tc>
      </w:tr>
      <w:tr w:rsidR="006D0A84" w:rsidRPr="000D1029" w:rsidTr="00C0280F">
        <w:trPr>
          <w:trHeight w:val="301"/>
          <w:jc w:val="center"/>
        </w:trPr>
        <w:tc>
          <w:tcPr>
            <w:tcW w:w="2055" w:type="dxa"/>
            <w:tcBorders>
              <w:top w:val="single" w:sz="4" w:space="0" w:color="auto"/>
              <w:left w:val="single" w:sz="4" w:space="0" w:color="auto"/>
              <w:bottom w:val="nil"/>
              <w:right w:val="single" w:sz="4" w:space="0" w:color="auto"/>
            </w:tcBorders>
            <w:shd w:val="clear" w:color="auto" w:fill="auto"/>
            <w:vAlign w:val="bottom"/>
            <w:hideMark/>
          </w:tcPr>
          <w:p w:rsidR="006D0A84" w:rsidRPr="00C0280F" w:rsidRDefault="006D0A84" w:rsidP="00AB6DC7">
            <w:pPr>
              <w:spacing w:line="240" w:lineRule="auto"/>
              <w:rPr>
                <w:rFonts w:ascii="Times New Roman" w:eastAsia="Times New Roman" w:hAnsi="Times New Roman" w:cs="Times New Roman"/>
                <w:b/>
                <w:bCs/>
                <w:color w:val="000000"/>
                <w:sz w:val="20"/>
                <w:lang w:val="es-ES"/>
              </w:rPr>
            </w:pPr>
            <w:r w:rsidRPr="00C0280F">
              <w:rPr>
                <w:rFonts w:ascii="Times New Roman" w:eastAsia="Times New Roman" w:hAnsi="Times New Roman" w:cs="Times New Roman"/>
                <w:b/>
                <w:bCs/>
                <w:color w:val="000000"/>
                <w:sz w:val="20"/>
                <w:lang w:val="es-ES"/>
              </w:rPr>
              <w:lastRenderedPageBreak/>
              <w:t>Curso ´´FORTALECIMIENTO DEL ACCIONAR POLICIAL´´</w:t>
            </w:r>
          </w:p>
        </w:tc>
        <w:tc>
          <w:tcPr>
            <w:tcW w:w="110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Bonao Sur</w:t>
            </w:r>
          </w:p>
        </w:tc>
        <w:tc>
          <w:tcPr>
            <w:tcW w:w="117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Bonao</w:t>
            </w:r>
          </w:p>
        </w:tc>
        <w:tc>
          <w:tcPr>
            <w:tcW w:w="162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148</w:t>
            </w:r>
          </w:p>
        </w:tc>
        <w:tc>
          <w:tcPr>
            <w:tcW w:w="135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11</w:t>
            </w:r>
          </w:p>
        </w:tc>
        <w:tc>
          <w:tcPr>
            <w:tcW w:w="1273"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140</w:t>
            </w:r>
          </w:p>
        </w:tc>
        <w:tc>
          <w:tcPr>
            <w:tcW w:w="1008" w:type="dxa"/>
            <w:gridSpan w:val="2"/>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8</w:t>
            </w:r>
          </w:p>
        </w:tc>
      </w:tr>
      <w:tr w:rsidR="006D0A84" w:rsidRPr="000D1029" w:rsidTr="00C0280F">
        <w:trPr>
          <w:trHeight w:val="301"/>
          <w:jc w:val="center"/>
        </w:trPr>
        <w:tc>
          <w:tcPr>
            <w:tcW w:w="20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D0A84" w:rsidRPr="00C0280F" w:rsidRDefault="006D0A84" w:rsidP="00AB6DC7">
            <w:pPr>
              <w:spacing w:line="240" w:lineRule="auto"/>
              <w:rPr>
                <w:rFonts w:ascii="Times New Roman" w:eastAsia="Times New Roman" w:hAnsi="Times New Roman" w:cs="Times New Roman"/>
                <w:b/>
                <w:bCs/>
                <w:color w:val="000000"/>
                <w:sz w:val="20"/>
                <w:lang w:val="es-ES"/>
              </w:rPr>
            </w:pPr>
            <w:r w:rsidRPr="00C0280F">
              <w:rPr>
                <w:rFonts w:ascii="Times New Roman" w:eastAsia="Times New Roman" w:hAnsi="Times New Roman" w:cs="Times New Roman"/>
                <w:b/>
                <w:bCs/>
                <w:color w:val="000000"/>
                <w:sz w:val="20"/>
                <w:lang w:val="es-ES"/>
              </w:rPr>
              <w:t>Curso ´´TECNICAS DE INTERVENCION POLICIAL´´</w:t>
            </w:r>
          </w:p>
        </w:tc>
        <w:tc>
          <w:tcPr>
            <w:tcW w:w="110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Este</w:t>
            </w:r>
          </w:p>
        </w:tc>
        <w:tc>
          <w:tcPr>
            <w:tcW w:w="1170" w:type="dxa"/>
            <w:tcBorders>
              <w:top w:val="nil"/>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La Romana</w:t>
            </w:r>
          </w:p>
        </w:tc>
        <w:tc>
          <w:tcPr>
            <w:tcW w:w="162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172</w:t>
            </w:r>
          </w:p>
        </w:tc>
        <w:tc>
          <w:tcPr>
            <w:tcW w:w="135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10</w:t>
            </w:r>
          </w:p>
        </w:tc>
        <w:tc>
          <w:tcPr>
            <w:tcW w:w="1273"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160</w:t>
            </w:r>
          </w:p>
        </w:tc>
        <w:tc>
          <w:tcPr>
            <w:tcW w:w="1008" w:type="dxa"/>
            <w:gridSpan w:val="2"/>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12</w:t>
            </w:r>
          </w:p>
        </w:tc>
      </w:tr>
      <w:tr w:rsidR="006D0A84" w:rsidRPr="000D1029" w:rsidTr="00C0280F">
        <w:trPr>
          <w:trHeight w:val="301"/>
          <w:jc w:val="center"/>
        </w:trPr>
        <w:tc>
          <w:tcPr>
            <w:tcW w:w="20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D0A84" w:rsidRPr="00C0280F" w:rsidRDefault="006D0A84" w:rsidP="00AB6DC7">
            <w:pPr>
              <w:spacing w:line="240" w:lineRule="auto"/>
              <w:rPr>
                <w:rFonts w:ascii="Times New Roman" w:eastAsia="Times New Roman" w:hAnsi="Times New Roman" w:cs="Times New Roman"/>
                <w:b/>
                <w:bCs/>
                <w:color w:val="000000"/>
                <w:sz w:val="20"/>
                <w:lang w:val="es-ES"/>
              </w:rPr>
            </w:pPr>
            <w:r w:rsidRPr="00C0280F">
              <w:rPr>
                <w:rFonts w:ascii="Times New Roman" w:eastAsia="Times New Roman" w:hAnsi="Times New Roman" w:cs="Times New Roman"/>
                <w:b/>
                <w:bCs/>
                <w:color w:val="000000"/>
                <w:sz w:val="20"/>
                <w:lang w:val="es-ES"/>
              </w:rPr>
              <w:t>Curso ´´FORTALECIMIENTO DEL ACCIONAR POLICIAL´´</w:t>
            </w:r>
          </w:p>
        </w:tc>
        <w:tc>
          <w:tcPr>
            <w:tcW w:w="1100" w:type="dxa"/>
            <w:tcBorders>
              <w:top w:val="single" w:sz="4" w:space="0" w:color="auto"/>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Oeste</w:t>
            </w:r>
          </w:p>
        </w:tc>
        <w:tc>
          <w:tcPr>
            <w:tcW w:w="1170" w:type="dxa"/>
            <w:tcBorders>
              <w:top w:val="single" w:sz="4" w:space="0" w:color="auto"/>
              <w:left w:val="nil"/>
              <w:bottom w:val="single" w:sz="4" w:space="0" w:color="auto"/>
              <w:right w:val="single" w:sz="4" w:space="0" w:color="auto"/>
            </w:tcBorders>
            <w:shd w:val="clear" w:color="000000" w:fill="FFFFFF"/>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s-ES"/>
              </w:rPr>
            </w:pPr>
            <w:r w:rsidRPr="00C0280F">
              <w:rPr>
                <w:rFonts w:ascii="Times New Roman" w:eastAsia="Times New Roman" w:hAnsi="Times New Roman" w:cs="Times New Roman"/>
                <w:b/>
                <w:bCs/>
                <w:color w:val="000000"/>
                <w:sz w:val="20"/>
                <w:lang w:val="es-ES"/>
              </w:rPr>
              <w:t>San Juan de la Maguana</w:t>
            </w:r>
          </w:p>
        </w:tc>
        <w:tc>
          <w:tcPr>
            <w:tcW w:w="1620" w:type="dxa"/>
            <w:tcBorders>
              <w:top w:val="nil"/>
              <w:left w:val="single" w:sz="4" w:space="0" w:color="auto"/>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178</w:t>
            </w:r>
          </w:p>
        </w:tc>
        <w:tc>
          <w:tcPr>
            <w:tcW w:w="1350"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8</w:t>
            </w:r>
          </w:p>
        </w:tc>
        <w:tc>
          <w:tcPr>
            <w:tcW w:w="1273" w:type="dxa"/>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173</w:t>
            </w:r>
          </w:p>
        </w:tc>
        <w:tc>
          <w:tcPr>
            <w:tcW w:w="1008" w:type="dxa"/>
            <w:gridSpan w:val="2"/>
            <w:tcBorders>
              <w:top w:val="nil"/>
              <w:left w:val="nil"/>
              <w:bottom w:val="single" w:sz="4" w:space="0" w:color="auto"/>
              <w:right w:val="single" w:sz="4" w:space="0" w:color="auto"/>
            </w:tcBorders>
            <w:shd w:val="clear" w:color="000000" w:fill="FFFFFF"/>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5</w:t>
            </w:r>
          </w:p>
        </w:tc>
      </w:tr>
      <w:tr w:rsidR="006D0A84" w:rsidRPr="000D1029" w:rsidTr="00C0280F">
        <w:trPr>
          <w:trHeight w:val="183"/>
          <w:jc w:val="center"/>
        </w:trPr>
        <w:tc>
          <w:tcPr>
            <w:tcW w:w="43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TOTAL</w:t>
            </w:r>
          </w:p>
        </w:tc>
        <w:tc>
          <w:tcPr>
            <w:tcW w:w="1620" w:type="dxa"/>
            <w:tcBorders>
              <w:top w:val="nil"/>
              <w:left w:val="nil"/>
              <w:bottom w:val="single" w:sz="4" w:space="0" w:color="auto"/>
              <w:right w:val="single" w:sz="4" w:space="0" w:color="auto"/>
            </w:tcBorders>
            <w:shd w:val="clear" w:color="000000" w:fill="92D050"/>
            <w:noWrap/>
            <w:vAlign w:val="bottom"/>
            <w:hideMark/>
          </w:tcPr>
          <w:p w:rsidR="006D0A84" w:rsidRPr="00C0280F" w:rsidRDefault="006D0A84" w:rsidP="00AB6DC7">
            <w:pPr>
              <w:spacing w:line="240" w:lineRule="auto"/>
              <w:jc w:val="left"/>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941</w:t>
            </w:r>
          </w:p>
        </w:tc>
        <w:tc>
          <w:tcPr>
            <w:tcW w:w="1350" w:type="dxa"/>
            <w:tcBorders>
              <w:top w:val="nil"/>
              <w:left w:val="nil"/>
              <w:bottom w:val="single" w:sz="4" w:space="0" w:color="auto"/>
              <w:right w:val="single" w:sz="4" w:space="0" w:color="auto"/>
            </w:tcBorders>
            <w:shd w:val="clear" w:color="000000" w:fill="92D050"/>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47</w:t>
            </w:r>
          </w:p>
        </w:tc>
        <w:tc>
          <w:tcPr>
            <w:tcW w:w="1273" w:type="dxa"/>
            <w:tcBorders>
              <w:top w:val="nil"/>
              <w:left w:val="nil"/>
              <w:bottom w:val="single" w:sz="4" w:space="0" w:color="auto"/>
              <w:right w:val="single" w:sz="4" w:space="0" w:color="auto"/>
            </w:tcBorders>
            <w:shd w:val="clear" w:color="000000" w:fill="92D050"/>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891</w:t>
            </w:r>
          </w:p>
        </w:tc>
        <w:tc>
          <w:tcPr>
            <w:tcW w:w="1008" w:type="dxa"/>
            <w:gridSpan w:val="2"/>
            <w:tcBorders>
              <w:top w:val="nil"/>
              <w:left w:val="nil"/>
              <w:bottom w:val="single" w:sz="4" w:space="0" w:color="auto"/>
              <w:right w:val="single" w:sz="4" w:space="0" w:color="auto"/>
            </w:tcBorders>
            <w:shd w:val="clear" w:color="000000" w:fill="92D050"/>
            <w:noWrap/>
            <w:vAlign w:val="bottom"/>
            <w:hideMark/>
          </w:tcPr>
          <w:p w:rsidR="006D0A84" w:rsidRPr="00C0280F" w:rsidRDefault="006D0A84" w:rsidP="00AB6DC7">
            <w:pPr>
              <w:spacing w:line="240" w:lineRule="auto"/>
              <w:jc w:val="center"/>
              <w:rPr>
                <w:rFonts w:ascii="Times New Roman" w:eastAsia="Times New Roman" w:hAnsi="Times New Roman" w:cs="Times New Roman"/>
                <w:b/>
                <w:bCs/>
                <w:color w:val="000000"/>
                <w:sz w:val="20"/>
                <w:lang w:val="en-US"/>
              </w:rPr>
            </w:pPr>
            <w:r w:rsidRPr="00C0280F">
              <w:rPr>
                <w:rFonts w:ascii="Times New Roman" w:eastAsia="Times New Roman" w:hAnsi="Times New Roman" w:cs="Times New Roman"/>
                <w:b/>
                <w:bCs/>
                <w:color w:val="000000"/>
                <w:sz w:val="20"/>
                <w:lang w:val="en-US"/>
              </w:rPr>
              <w:t>50</w:t>
            </w:r>
          </w:p>
        </w:tc>
      </w:tr>
    </w:tbl>
    <w:p w:rsidR="00D85BAD" w:rsidRPr="00C0280F" w:rsidRDefault="00C0280F" w:rsidP="00AB6DC7">
      <w:pPr>
        <w:spacing w:line="240" w:lineRule="auto"/>
        <w:rPr>
          <w:rFonts w:ascii="Times New Roman" w:hAnsi="Times New Roman" w:cs="Times New Roman"/>
          <w:lang w:val="es-ES"/>
        </w:rPr>
      </w:pPr>
      <w:r w:rsidRPr="00C0280F">
        <w:rPr>
          <w:rFonts w:ascii="Times New Roman" w:hAnsi="Times New Roman" w:cs="Times New Roman"/>
          <w:lang w:val="es-ES"/>
        </w:rPr>
        <w:t xml:space="preserve">Fuente: </w:t>
      </w:r>
      <w:r w:rsidRPr="00C0280F">
        <w:rPr>
          <w:rFonts w:ascii="Times New Roman" w:eastAsia="Times New Roman" w:hAnsi="Times New Roman" w:cs="Times New Roman"/>
          <w:bCs/>
          <w:color w:val="000000"/>
          <w:sz w:val="20"/>
          <w:lang w:val="es-ES"/>
        </w:rPr>
        <w:t>Dirección Central de Educación y Entrenamiento Policial, P. N</w:t>
      </w:r>
    </w:p>
    <w:p w:rsidR="006D0A84" w:rsidRPr="00C0280F" w:rsidRDefault="006D0A84" w:rsidP="00AB6DC7">
      <w:pPr>
        <w:spacing w:line="240" w:lineRule="auto"/>
        <w:rPr>
          <w:rFonts w:ascii="Times New Roman" w:hAnsi="Times New Roman" w:cs="Times New Roman"/>
          <w:lang w:val="es-ES"/>
        </w:rPr>
      </w:pPr>
    </w:p>
    <w:p w:rsidR="00DA6382" w:rsidRDefault="008F62E5" w:rsidP="00AB6DC7">
      <w:pPr>
        <w:spacing w:line="240" w:lineRule="auto"/>
        <w:rPr>
          <w:rFonts w:ascii="Times New Roman" w:hAnsi="Times New Roman" w:cs="Times New Roman"/>
          <w:i/>
          <w:lang w:val="es-ES"/>
        </w:rPr>
      </w:pPr>
      <w:r>
        <w:rPr>
          <w:rFonts w:ascii="Times New Roman" w:hAnsi="Times New Roman" w:cs="Times New Roman"/>
          <w:b/>
          <w:i/>
          <w:lang w:val="es-ES"/>
        </w:rPr>
        <w:t>67</w:t>
      </w:r>
      <w:r w:rsidR="00DA6382" w:rsidRPr="000D1029">
        <w:rPr>
          <w:rFonts w:ascii="Times New Roman" w:hAnsi="Times New Roman" w:cs="Times New Roman"/>
          <w:b/>
          <w:i/>
          <w:lang w:val="es-ES"/>
        </w:rPr>
        <w:t>.</w:t>
      </w:r>
      <w:r w:rsidR="00DA6382" w:rsidRPr="000D1029">
        <w:rPr>
          <w:rFonts w:ascii="Times New Roman" w:hAnsi="Times New Roman" w:cs="Times New Roman"/>
          <w:b/>
          <w:i/>
          <w:color w:val="FF0000"/>
          <w:lang w:val="es-ES"/>
        </w:rPr>
        <w:t xml:space="preserve"> </w:t>
      </w:r>
      <w:r w:rsidR="00272160">
        <w:rPr>
          <w:rFonts w:ascii="Times New Roman" w:hAnsi="Times New Roman" w:cs="Times New Roman"/>
          <w:b/>
          <w:i/>
          <w:lang w:val="es-ES"/>
        </w:rPr>
        <w:t>PÁ</w:t>
      </w:r>
      <w:r w:rsidR="00DA6382" w:rsidRPr="000D1029">
        <w:rPr>
          <w:rFonts w:ascii="Times New Roman" w:hAnsi="Times New Roman" w:cs="Times New Roman"/>
          <w:b/>
          <w:i/>
          <w:lang w:val="es-ES"/>
        </w:rPr>
        <w:t xml:space="preserve">RRAFO 14: </w:t>
      </w:r>
      <w:r w:rsidR="00DA6382" w:rsidRPr="000D1029">
        <w:rPr>
          <w:rFonts w:ascii="Times New Roman" w:hAnsi="Times New Roman" w:cs="Times New Roman"/>
          <w:i/>
          <w:lang w:val="es-ES"/>
        </w:rPr>
        <w:t>El Comité saluda la decisión de reconocer la competencia de la justicia ordinaria en todos los casos de brutalidad o de uso excesivo de la fuerza por parte de los agentes del orden. No obstante, al Comité le preocupan las dificultades que tienen las víctimas de estos hechos, particularmente por las personas detenidas, para que sus casos sean investigados de forma inmediata, independiente e imparcial. El Comité también lamenta que la mayoría de las victimas de brutalidad o uso excesivo de la fuerza por agentes del orden no reciben las reparaciones definidas en las sentencias indemnizatorias. (arts. 6, 7, 14).</w:t>
      </w:r>
    </w:p>
    <w:p w:rsidR="00894294" w:rsidRPr="000D1029" w:rsidRDefault="00894294" w:rsidP="00AB6DC7">
      <w:pPr>
        <w:spacing w:line="240" w:lineRule="auto"/>
        <w:rPr>
          <w:rFonts w:ascii="Times New Roman" w:hAnsi="Times New Roman" w:cs="Times New Roman"/>
          <w:i/>
          <w:lang w:val="es-ES"/>
        </w:rPr>
      </w:pPr>
    </w:p>
    <w:p w:rsidR="00DA6382" w:rsidRPr="000D1029" w:rsidRDefault="008F62E5" w:rsidP="00AB6DC7">
      <w:pPr>
        <w:spacing w:line="240" w:lineRule="auto"/>
        <w:rPr>
          <w:rFonts w:ascii="Times New Roman" w:hAnsi="Times New Roman" w:cs="Times New Roman"/>
          <w:b/>
          <w:i/>
          <w:lang w:val="es-ES"/>
        </w:rPr>
      </w:pPr>
      <w:r>
        <w:rPr>
          <w:rFonts w:ascii="Times New Roman" w:hAnsi="Times New Roman" w:cs="Times New Roman"/>
          <w:b/>
          <w:i/>
          <w:lang w:val="es-ES"/>
        </w:rPr>
        <w:t>68</w:t>
      </w:r>
      <w:r w:rsidR="00DA6382" w:rsidRPr="000D1029">
        <w:rPr>
          <w:rFonts w:ascii="Times New Roman" w:hAnsi="Times New Roman" w:cs="Times New Roman"/>
          <w:b/>
          <w:i/>
          <w:lang w:val="es-ES"/>
        </w:rPr>
        <w:t>. El Estado parte debe crear un mecanismo independiente e imparcial para investigar de forma inmediata todos los casos de brutalidad o de uso excesivo de la fuerza por parte de los agentes del orden, particularmente en las cárceles. En todos los casos de brutalidad o de uso excesivo de la fuerza por parte de un agente del orden en contra del cual la víctima no presente una denuncia, el Estado parte debe sistemáticamente asegurar la investigación ex oficio. El Estado parte debe también instaurar mecanismos judiciales y administrativos para garantizar la ejecución de las sentencias indemnizatorias en beneficio de las víctimas de actos perpetrados por agentes del orden. En este sentido, el Estado parte debe modificar el artículo 61 de la Ley Institucional de la Policía Nacional para introducir la responsabilidad civil del Estado en todos los casos de responsabilidad policial.</w:t>
      </w:r>
    </w:p>
    <w:p w:rsidR="00894294" w:rsidRDefault="00894294" w:rsidP="00AB6DC7">
      <w:pPr>
        <w:spacing w:line="240" w:lineRule="auto"/>
        <w:rPr>
          <w:rFonts w:ascii="Times New Roman" w:hAnsi="Times New Roman" w:cs="Times New Roman"/>
          <w:b/>
          <w:i/>
          <w:lang w:val="es-ES"/>
        </w:rPr>
      </w:pPr>
    </w:p>
    <w:p w:rsidR="00894294" w:rsidRPr="000D1029" w:rsidRDefault="00894294" w:rsidP="00AB6DC7">
      <w:pPr>
        <w:spacing w:line="240" w:lineRule="auto"/>
        <w:rPr>
          <w:rFonts w:ascii="Times New Roman" w:hAnsi="Times New Roman" w:cs="Times New Roman"/>
          <w:b/>
          <w:i/>
          <w:lang w:val="es-ES"/>
        </w:rPr>
      </w:pPr>
    </w:p>
    <w:p w:rsidR="00031563" w:rsidRPr="000D1029" w:rsidRDefault="008F62E5" w:rsidP="00AB6DC7">
      <w:pPr>
        <w:spacing w:line="240" w:lineRule="auto"/>
        <w:rPr>
          <w:rFonts w:ascii="Times New Roman" w:hAnsi="Times New Roman" w:cs="Times New Roman"/>
          <w:b/>
          <w:color w:val="FF0000"/>
          <w:lang w:val="es-ES"/>
        </w:rPr>
      </w:pPr>
      <w:r>
        <w:rPr>
          <w:rFonts w:ascii="Times New Roman" w:hAnsi="Times New Roman" w:cs="Times New Roman"/>
          <w:b/>
          <w:lang w:val="es-ES"/>
        </w:rPr>
        <w:t>69</w:t>
      </w:r>
      <w:r w:rsidR="00D637C1" w:rsidRPr="000D1029">
        <w:rPr>
          <w:rFonts w:ascii="Times New Roman" w:hAnsi="Times New Roman" w:cs="Times New Roman"/>
          <w:b/>
          <w:lang w:val="es-ES"/>
        </w:rPr>
        <w:t xml:space="preserve">. </w:t>
      </w:r>
      <w:r w:rsidR="00031563" w:rsidRPr="000D1029">
        <w:rPr>
          <w:rFonts w:ascii="Times New Roman" w:hAnsi="Times New Roman" w:cs="Times New Roman"/>
          <w:b/>
          <w:lang w:val="es-ES"/>
        </w:rPr>
        <w:t>Respuesta del Estado dominicano:</w:t>
      </w:r>
      <w:r w:rsidR="00031563" w:rsidRPr="000D1029">
        <w:rPr>
          <w:rFonts w:ascii="Times New Roman" w:hAnsi="Times New Roman" w:cs="Times New Roman"/>
          <w:b/>
          <w:color w:val="FF0000"/>
          <w:lang w:val="es-ES"/>
        </w:rPr>
        <w:t xml:space="preserve"> </w:t>
      </w:r>
    </w:p>
    <w:p w:rsidR="005D0F06" w:rsidRPr="000D1029" w:rsidRDefault="005D0F06" w:rsidP="00AB6DC7">
      <w:pPr>
        <w:pStyle w:val="ListParagraph"/>
        <w:numPr>
          <w:ilvl w:val="0"/>
          <w:numId w:val="35"/>
        </w:numPr>
        <w:spacing w:line="240" w:lineRule="auto"/>
        <w:rPr>
          <w:rFonts w:ascii="Times New Roman" w:hAnsi="Times New Roman" w:cs="Times New Roman"/>
          <w:b/>
          <w:i/>
          <w:lang w:val="es-ES"/>
        </w:rPr>
      </w:pPr>
      <w:r w:rsidRPr="000D1029">
        <w:rPr>
          <w:rFonts w:ascii="Times New Roman" w:hAnsi="Times New Roman" w:cs="Times New Roman"/>
          <w:b/>
          <w:i/>
          <w:lang w:val="es-ES"/>
        </w:rPr>
        <w:t>INVESTIGACIONES POR MALA CONDUCTA</w:t>
      </w: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lang w:val="es-ES"/>
        </w:rPr>
        <w:t xml:space="preserve">Tabla No. </w:t>
      </w:r>
      <w:r w:rsidR="00894294">
        <w:rPr>
          <w:rFonts w:ascii="Times New Roman" w:hAnsi="Times New Roman" w:cs="Times New Roman"/>
          <w:b/>
          <w:i/>
          <w:lang w:val="es-ES"/>
        </w:rPr>
        <w:t>4</w:t>
      </w:r>
    </w:p>
    <w:tbl>
      <w:tblPr>
        <w:tblStyle w:val="TableGrid"/>
        <w:tblW w:w="0" w:type="auto"/>
        <w:tblLook w:val="04A0"/>
      </w:tblPr>
      <w:tblGrid>
        <w:gridCol w:w="1630"/>
        <w:gridCol w:w="2110"/>
        <w:gridCol w:w="1506"/>
        <w:gridCol w:w="1304"/>
        <w:gridCol w:w="1603"/>
        <w:gridCol w:w="1090"/>
      </w:tblGrid>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CANCELACIONES</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SANCIONES</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ENVIOS A LA JUSTICIA</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INACCIONES</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TOTAL</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ENERO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15</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19</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FEBRERO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37</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23</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30</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5</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95</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MARZO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26</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21</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33</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5</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85</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ABRIL</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11</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35</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91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MAYO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24</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71</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94</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7</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196</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JUNIO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26</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30</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62</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120</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JULIO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32</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66</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76</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19</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193</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AGOSTO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18</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40</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85</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7</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150</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lastRenderedPageBreak/>
              <w:t>SEPTIEMBRE</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85</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57</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93</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16</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251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 xml:space="preserve">OCTUBRE </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81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63</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90</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240</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 xml:space="preserve">TOTAL </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391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397</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617</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77</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1482</w:t>
            </w:r>
          </w:p>
        </w:tc>
      </w:tr>
    </w:tbl>
    <w:p w:rsidR="005D0F06" w:rsidRPr="00894294" w:rsidRDefault="005D0F06" w:rsidP="00AB6DC7">
      <w:pPr>
        <w:spacing w:line="240" w:lineRule="auto"/>
        <w:jc w:val="center"/>
        <w:rPr>
          <w:rFonts w:ascii="Times New Roman" w:hAnsi="Times New Roman" w:cs="Times New Roman"/>
          <w:i/>
          <w:lang w:val="es-ES"/>
        </w:rPr>
      </w:pPr>
      <w:r w:rsidRPr="00894294">
        <w:rPr>
          <w:rFonts w:ascii="Times New Roman" w:hAnsi="Times New Roman" w:cs="Times New Roman"/>
          <w:i/>
          <w:lang w:val="es-ES"/>
        </w:rPr>
        <w:t>Fuente: Dirección Central de Asuntos Internos Policía Nacional.</w:t>
      </w:r>
    </w:p>
    <w:p w:rsidR="005B1CC2" w:rsidRDefault="005B1CC2" w:rsidP="00AB6DC7">
      <w:pPr>
        <w:spacing w:line="240" w:lineRule="auto"/>
        <w:jc w:val="center"/>
        <w:rPr>
          <w:rFonts w:ascii="Times New Roman" w:hAnsi="Times New Roman" w:cs="Times New Roman"/>
          <w:b/>
          <w:i/>
          <w:lang w:val="es-ES"/>
        </w:rPr>
      </w:pPr>
    </w:p>
    <w:p w:rsidR="005B1CC2" w:rsidRDefault="005B1CC2" w:rsidP="00AB6DC7">
      <w:pPr>
        <w:spacing w:line="240" w:lineRule="auto"/>
        <w:jc w:val="center"/>
        <w:rPr>
          <w:rFonts w:ascii="Times New Roman" w:hAnsi="Times New Roman" w:cs="Times New Roman"/>
          <w:b/>
          <w:i/>
          <w:lang w:val="es-ES"/>
        </w:rPr>
      </w:pPr>
    </w:p>
    <w:p w:rsidR="005B1CC2" w:rsidRDefault="005B1CC2" w:rsidP="00AB6DC7">
      <w:pPr>
        <w:spacing w:line="240" w:lineRule="auto"/>
        <w:jc w:val="center"/>
        <w:rPr>
          <w:rFonts w:ascii="Times New Roman" w:hAnsi="Times New Roman" w:cs="Times New Roman"/>
          <w:b/>
          <w:i/>
          <w:lang w:val="es-ES"/>
        </w:rPr>
      </w:pP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lang w:val="es-ES"/>
        </w:rPr>
        <w:t>Gráfico No. 01 porcentajes finales</w:t>
      </w:r>
    </w:p>
    <w:p w:rsidR="005D0F06" w:rsidRPr="000D1029" w:rsidRDefault="00894294" w:rsidP="00AB6DC7">
      <w:pPr>
        <w:spacing w:line="240" w:lineRule="auto"/>
        <w:rPr>
          <w:rFonts w:ascii="Times New Roman" w:hAnsi="Times New Roman" w:cs="Times New Roman"/>
          <w:b/>
          <w:i/>
          <w:color w:val="FF0000"/>
          <w:lang w:val="es-ES"/>
        </w:rPr>
      </w:pPr>
      <w:r>
        <w:rPr>
          <w:rFonts w:ascii="Times New Roman" w:hAnsi="Times New Roman" w:cs="Times New Roman"/>
          <w:b/>
          <w:i/>
          <w:noProof/>
          <w:color w:val="FF0000"/>
          <w:lang w:val="en-US"/>
        </w:rPr>
        <w:drawing>
          <wp:anchor distT="0" distB="0" distL="114300" distR="114300" simplePos="0" relativeHeight="251659264" behindDoc="0" locked="0" layoutInCell="1" allowOverlap="1">
            <wp:simplePos x="0" y="0"/>
            <wp:positionH relativeFrom="column">
              <wp:posOffset>657225</wp:posOffset>
            </wp:positionH>
            <wp:positionV relativeFrom="paragraph">
              <wp:posOffset>67310</wp:posOffset>
            </wp:positionV>
            <wp:extent cx="4295775" cy="2533650"/>
            <wp:effectExtent l="19050" t="0" r="9525" b="0"/>
            <wp:wrapSquare wrapText="bothSides"/>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D0F06" w:rsidRPr="000D1029" w:rsidRDefault="005D0F06" w:rsidP="00AB6DC7">
      <w:pPr>
        <w:spacing w:line="240" w:lineRule="auto"/>
        <w:jc w:val="center"/>
        <w:rPr>
          <w:rFonts w:ascii="Times New Roman" w:hAnsi="Times New Roman" w:cs="Times New Roman"/>
          <w:b/>
          <w:i/>
          <w:color w:val="FF0000"/>
          <w:lang w:val="es-ES"/>
        </w:rPr>
      </w:pPr>
    </w:p>
    <w:p w:rsidR="005B1CC2" w:rsidRDefault="005B1CC2" w:rsidP="00AB6DC7">
      <w:pPr>
        <w:spacing w:line="240" w:lineRule="auto"/>
        <w:jc w:val="center"/>
        <w:rPr>
          <w:rFonts w:ascii="Times New Roman" w:hAnsi="Times New Roman" w:cs="Times New Roman"/>
          <w:i/>
          <w:lang w:val="es-ES"/>
        </w:rPr>
      </w:pPr>
    </w:p>
    <w:p w:rsidR="005B1CC2" w:rsidRDefault="005B1CC2" w:rsidP="00AB6DC7">
      <w:pPr>
        <w:spacing w:line="240" w:lineRule="auto"/>
        <w:jc w:val="center"/>
        <w:rPr>
          <w:rFonts w:ascii="Times New Roman" w:hAnsi="Times New Roman" w:cs="Times New Roman"/>
          <w:i/>
          <w:lang w:val="es-ES"/>
        </w:rPr>
      </w:pPr>
    </w:p>
    <w:p w:rsidR="005B1CC2" w:rsidRDefault="005B1CC2" w:rsidP="00AB6DC7">
      <w:pPr>
        <w:spacing w:line="240" w:lineRule="auto"/>
        <w:jc w:val="center"/>
        <w:rPr>
          <w:rFonts w:ascii="Times New Roman" w:hAnsi="Times New Roman" w:cs="Times New Roman"/>
          <w:i/>
          <w:lang w:val="es-ES"/>
        </w:rPr>
      </w:pPr>
    </w:p>
    <w:p w:rsidR="005B1CC2" w:rsidRDefault="005B1CC2" w:rsidP="00AB6DC7">
      <w:pPr>
        <w:spacing w:line="240" w:lineRule="auto"/>
        <w:jc w:val="center"/>
        <w:rPr>
          <w:rFonts w:ascii="Times New Roman" w:hAnsi="Times New Roman" w:cs="Times New Roman"/>
          <w:i/>
          <w:lang w:val="es-ES"/>
        </w:rPr>
      </w:pPr>
    </w:p>
    <w:p w:rsidR="005B1CC2" w:rsidRDefault="005B1CC2" w:rsidP="00AB6DC7">
      <w:pPr>
        <w:spacing w:line="240" w:lineRule="auto"/>
        <w:jc w:val="center"/>
        <w:rPr>
          <w:rFonts w:ascii="Times New Roman" w:hAnsi="Times New Roman" w:cs="Times New Roman"/>
          <w:i/>
          <w:lang w:val="es-ES"/>
        </w:rPr>
      </w:pPr>
    </w:p>
    <w:p w:rsidR="005D0F06" w:rsidRPr="00894294" w:rsidRDefault="00894294" w:rsidP="00AB6DC7">
      <w:pPr>
        <w:spacing w:line="240" w:lineRule="auto"/>
        <w:jc w:val="center"/>
        <w:rPr>
          <w:rFonts w:ascii="Times New Roman" w:hAnsi="Times New Roman" w:cs="Times New Roman"/>
          <w:i/>
          <w:lang w:val="es-ES"/>
        </w:rPr>
      </w:pPr>
      <w:r w:rsidRPr="00894294">
        <w:rPr>
          <w:rFonts w:ascii="Times New Roman" w:hAnsi="Times New Roman" w:cs="Times New Roman"/>
          <w:i/>
          <w:lang w:val="es-ES"/>
        </w:rPr>
        <w:t>Fuente: Tabla No. 04</w:t>
      </w:r>
    </w:p>
    <w:p w:rsidR="005D0F06" w:rsidRPr="000D1029" w:rsidRDefault="005D0F06" w:rsidP="00AB6DC7">
      <w:pPr>
        <w:spacing w:line="240" w:lineRule="auto"/>
        <w:jc w:val="center"/>
        <w:rPr>
          <w:rFonts w:ascii="Times New Roman" w:hAnsi="Times New Roman" w:cs="Times New Roman"/>
          <w:b/>
          <w:i/>
          <w:lang w:val="es-ES"/>
        </w:rPr>
      </w:pPr>
    </w:p>
    <w:p w:rsidR="005D0F06" w:rsidRPr="000D1029" w:rsidRDefault="005D0F06" w:rsidP="00AB6DC7">
      <w:pPr>
        <w:spacing w:line="240" w:lineRule="auto"/>
        <w:jc w:val="center"/>
        <w:rPr>
          <w:rFonts w:ascii="Times New Roman" w:hAnsi="Times New Roman" w:cs="Times New Roman"/>
          <w:b/>
          <w:i/>
          <w:lang w:val="es-ES"/>
        </w:rPr>
      </w:pPr>
    </w:p>
    <w:p w:rsidR="005D0F06" w:rsidRPr="000D1029" w:rsidRDefault="005D0F06" w:rsidP="00AB6DC7">
      <w:pPr>
        <w:pStyle w:val="ListParagraph"/>
        <w:numPr>
          <w:ilvl w:val="0"/>
          <w:numId w:val="35"/>
        </w:numPr>
        <w:spacing w:line="240" w:lineRule="auto"/>
        <w:rPr>
          <w:rFonts w:ascii="Times New Roman" w:hAnsi="Times New Roman" w:cs="Times New Roman"/>
          <w:b/>
          <w:i/>
          <w:lang w:val="es-ES"/>
        </w:rPr>
      </w:pPr>
      <w:r w:rsidRPr="000D1029">
        <w:rPr>
          <w:rFonts w:ascii="Times New Roman" w:hAnsi="Times New Roman" w:cs="Times New Roman"/>
          <w:b/>
          <w:i/>
          <w:lang w:val="es-ES"/>
        </w:rPr>
        <w:t>USO EXCESIVO DE LA FUERZA</w:t>
      </w:r>
    </w:p>
    <w:p w:rsidR="005D0F06" w:rsidRPr="000D1029" w:rsidRDefault="005D0F06" w:rsidP="00AB6DC7">
      <w:pPr>
        <w:pStyle w:val="ListParagraph"/>
        <w:spacing w:line="240" w:lineRule="auto"/>
        <w:rPr>
          <w:rFonts w:ascii="Times New Roman" w:hAnsi="Times New Roman" w:cs="Times New Roman"/>
          <w:b/>
          <w:i/>
          <w:lang w:val="es-ES"/>
        </w:rPr>
      </w:pPr>
    </w:p>
    <w:p w:rsidR="005D0F06" w:rsidRPr="00894294" w:rsidRDefault="00894294" w:rsidP="00AB6DC7">
      <w:pPr>
        <w:spacing w:line="240" w:lineRule="auto"/>
        <w:jc w:val="center"/>
        <w:rPr>
          <w:rFonts w:ascii="Times New Roman" w:hAnsi="Times New Roman" w:cs="Times New Roman"/>
          <w:i/>
          <w:lang w:val="es-ES"/>
        </w:rPr>
      </w:pPr>
      <w:r w:rsidRPr="00894294">
        <w:rPr>
          <w:rFonts w:ascii="Times New Roman" w:hAnsi="Times New Roman" w:cs="Times New Roman"/>
          <w:b/>
          <w:i/>
          <w:lang w:val="es-ES"/>
        </w:rPr>
        <w:t>Tabla No. 5</w:t>
      </w:r>
      <w:r w:rsidR="005D0F06" w:rsidRPr="00894294">
        <w:rPr>
          <w:rFonts w:ascii="Times New Roman" w:hAnsi="Times New Roman" w:cs="Times New Roman"/>
          <w:i/>
          <w:lang w:val="es-ES"/>
        </w:rPr>
        <w:t xml:space="preserve"> </w:t>
      </w:r>
    </w:p>
    <w:tbl>
      <w:tblPr>
        <w:tblStyle w:val="TableGrid"/>
        <w:tblW w:w="0" w:type="auto"/>
        <w:tblLook w:val="04A0"/>
      </w:tblPr>
      <w:tblGrid>
        <w:gridCol w:w="1630"/>
        <w:gridCol w:w="2110"/>
        <w:gridCol w:w="1506"/>
        <w:gridCol w:w="1304"/>
        <w:gridCol w:w="1603"/>
        <w:gridCol w:w="1090"/>
      </w:tblGrid>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MES</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CANCELACIONES</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SANCIONES</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ENVIOS A LA JUSTICIA</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INACCIONES</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TOTAL</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ENERO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5</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FEBRERO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9</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15</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MARZO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5</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ABRIL</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8</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MAYO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16</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JUNIO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15</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JULIO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7</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17</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30</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AGOSTO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18</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25</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SEPTIEMBRE</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19</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24</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 xml:space="preserve">OCTUBRE </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8</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18</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33</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 xml:space="preserve">TOTAL </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14</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29</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126</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19</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188</w:t>
            </w:r>
          </w:p>
        </w:tc>
      </w:tr>
    </w:tbl>
    <w:p w:rsidR="005D0F06" w:rsidRPr="00894294" w:rsidRDefault="005D0F06" w:rsidP="00AB6DC7">
      <w:pPr>
        <w:spacing w:line="240" w:lineRule="auto"/>
        <w:jc w:val="center"/>
        <w:rPr>
          <w:rFonts w:ascii="Times New Roman" w:hAnsi="Times New Roman" w:cs="Times New Roman"/>
          <w:i/>
          <w:lang w:val="es-ES"/>
        </w:rPr>
      </w:pPr>
      <w:r w:rsidRPr="00894294">
        <w:rPr>
          <w:rFonts w:ascii="Times New Roman" w:hAnsi="Times New Roman" w:cs="Times New Roman"/>
          <w:i/>
          <w:lang w:val="es-ES"/>
        </w:rPr>
        <w:t>Fuente: Dirección Central de Asuntos Internos, Policía Nacional.</w:t>
      </w:r>
    </w:p>
    <w:p w:rsidR="005D0F06" w:rsidRPr="000D1029" w:rsidRDefault="005D0F06" w:rsidP="00AB6DC7">
      <w:pPr>
        <w:spacing w:line="240" w:lineRule="auto"/>
        <w:jc w:val="center"/>
        <w:rPr>
          <w:rFonts w:ascii="Times New Roman" w:hAnsi="Times New Roman" w:cs="Times New Roman"/>
          <w:b/>
          <w:i/>
          <w:lang w:val="es-ES"/>
        </w:rPr>
      </w:pPr>
    </w:p>
    <w:p w:rsidR="00031563" w:rsidRPr="000D1029" w:rsidRDefault="00031563" w:rsidP="00AB6DC7">
      <w:pPr>
        <w:spacing w:line="240" w:lineRule="auto"/>
        <w:jc w:val="center"/>
        <w:rPr>
          <w:rFonts w:ascii="Times New Roman" w:hAnsi="Times New Roman" w:cs="Times New Roman"/>
          <w:b/>
          <w:i/>
          <w:lang w:val="es-ES"/>
        </w:rPr>
      </w:pPr>
    </w:p>
    <w:p w:rsidR="005B1CC2" w:rsidRDefault="005B1CC2" w:rsidP="00AB6DC7">
      <w:pPr>
        <w:spacing w:line="240" w:lineRule="auto"/>
        <w:jc w:val="center"/>
        <w:rPr>
          <w:rFonts w:ascii="Times New Roman" w:hAnsi="Times New Roman" w:cs="Times New Roman"/>
          <w:b/>
          <w:i/>
          <w:lang w:val="es-ES"/>
        </w:rPr>
      </w:pPr>
    </w:p>
    <w:p w:rsidR="005B1CC2" w:rsidRDefault="005B1CC2" w:rsidP="00AB6DC7">
      <w:pPr>
        <w:spacing w:line="240" w:lineRule="auto"/>
        <w:jc w:val="center"/>
        <w:rPr>
          <w:rFonts w:ascii="Times New Roman" w:hAnsi="Times New Roman" w:cs="Times New Roman"/>
          <w:b/>
          <w:i/>
          <w:lang w:val="es-ES"/>
        </w:rPr>
      </w:pPr>
    </w:p>
    <w:p w:rsidR="005B1CC2" w:rsidRDefault="005B1CC2" w:rsidP="00AB6DC7">
      <w:pPr>
        <w:spacing w:line="240" w:lineRule="auto"/>
        <w:jc w:val="center"/>
        <w:rPr>
          <w:rFonts w:ascii="Times New Roman" w:hAnsi="Times New Roman" w:cs="Times New Roman"/>
          <w:b/>
          <w:i/>
          <w:lang w:val="es-ES"/>
        </w:rPr>
      </w:pP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lang w:val="es-ES"/>
        </w:rPr>
        <w:lastRenderedPageBreak/>
        <w:t xml:space="preserve">Gráfico No. 02 porcentajes finales </w:t>
      </w: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noProof/>
          <w:lang w:val="en-US"/>
        </w:rPr>
        <w:drawing>
          <wp:inline distT="0" distB="0" distL="0" distR="0">
            <wp:extent cx="4572000" cy="2743200"/>
            <wp:effectExtent l="19050" t="0" r="1905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D0F06" w:rsidRDefault="00894294" w:rsidP="00AB6DC7">
      <w:pPr>
        <w:spacing w:line="240" w:lineRule="auto"/>
        <w:jc w:val="center"/>
        <w:rPr>
          <w:rFonts w:ascii="Times New Roman" w:hAnsi="Times New Roman" w:cs="Times New Roman"/>
          <w:i/>
          <w:lang w:val="es-ES"/>
        </w:rPr>
      </w:pPr>
      <w:r w:rsidRPr="00894294">
        <w:rPr>
          <w:rFonts w:ascii="Times New Roman" w:hAnsi="Times New Roman" w:cs="Times New Roman"/>
          <w:i/>
          <w:lang w:val="es-ES"/>
        </w:rPr>
        <w:t>Fuente: Tabla No. 5</w:t>
      </w:r>
    </w:p>
    <w:p w:rsidR="00DD25D4" w:rsidRPr="00894294" w:rsidRDefault="00DD25D4" w:rsidP="00AB6DC7">
      <w:pPr>
        <w:spacing w:line="240" w:lineRule="auto"/>
        <w:jc w:val="center"/>
        <w:rPr>
          <w:rFonts w:ascii="Times New Roman" w:hAnsi="Times New Roman" w:cs="Times New Roman"/>
          <w:i/>
          <w:lang w:val="es-ES"/>
        </w:rPr>
      </w:pPr>
    </w:p>
    <w:p w:rsidR="005D0F06" w:rsidRPr="000D1029" w:rsidRDefault="008F62E5" w:rsidP="00AB6DC7">
      <w:pPr>
        <w:pStyle w:val="ListParagraph"/>
        <w:numPr>
          <w:ilvl w:val="0"/>
          <w:numId w:val="35"/>
        </w:numPr>
        <w:spacing w:line="240" w:lineRule="auto"/>
        <w:rPr>
          <w:rFonts w:ascii="Times New Roman" w:hAnsi="Times New Roman" w:cs="Times New Roman"/>
          <w:b/>
          <w:i/>
          <w:lang w:val="es-ES"/>
        </w:rPr>
      </w:pPr>
      <w:r>
        <w:rPr>
          <w:rFonts w:ascii="Times New Roman" w:hAnsi="Times New Roman" w:cs="Times New Roman"/>
          <w:b/>
          <w:i/>
          <w:lang w:val="es-ES"/>
        </w:rPr>
        <w:t>AGRESION FÍ</w:t>
      </w:r>
      <w:r w:rsidR="005D0F06" w:rsidRPr="000D1029">
        <w:rPr>
          <w:rFonts w:ascii="Times New Roman" w:hAnsi="Times New Roman" w:cs="Times New Roman"/>
          <w:b/>
          <w:i/>
          <w:lang w:val="es-ES"/>
        </w:rPr>
        <w:t>SICA</w:t>
      </w:r>
    </w:p>
    <w:p w:rsidR="005D0F06" w:rsidRPr="000D1029" w:rsidRDefault="005D0F06" w:rsidP="00AB6DC7">
      <w:pPr>
        <w:spacing w:line="240" w:lineRule="auto"/>
        <w:jc w:val="center"/>
        <w:rPr>
          <w:rFonts w:ascii="Times New Roman" w:hAnsi="Times New Roman" w:cs="Times New Roman"/>
          <w:b/>
          <w:i/>
          <w:lang w:val="es-ES"/>
        </w:rPr>
      </w:pPr>
    </w:p>
    <w:p w:rsidR="005D0F06" w:rsidRPr="000D1029" w:rsidRDefault="00F00E5F" w:rsidP="00AB6DC7">
      <w:pPr>
        <w:spacing w:line="240" w:lineRule="auto"/>
        <w:jc w:val="center"/>
        <w:rPr>
          <w:rFonts w:ascii="Times New Roman" w:hAnsi="Times New Roman" w:cs="Times New Roman"/>
          <w:b/>
          <w:i/>
          <w:lang w:val="es-ES"/>
        </w:rPr>
      </w:pPr>
      <w:r>
        <w:rPr>
          <w:rFonts w:ascii="Times New Roman" w:hAnsi="Times New Roman" w:cs="Times New Roman"/>
          <w:b/>
          <w:i/>
          <w:lang w:val="es-ES"/>
        </w:rPr>
        <w:t>Tabla No. 6</w:t>
      </w:r>
    </w:p>
    <w:tbl>
      <w:tblPr>
        <w:tblStyle w:val="TableGrid"/>
        <w:tblW w:w="0" w:type="auto"/>
        <w:tblLook w:val="04A0"/>
      </w:tblPr>
      <w:tblGrid>
        <w:gridCol w:w="1630"/>
        <w:gridCol w:w="2110"/>
        <w:gridCol w:w="1506"/>
        <w:gridCol w:w="1304"/>
        <w:gridCol w:w="1603"/>
        <w:gridCol w:w="1090"/>
      </w:tblGrid>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MES</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CANCELACIONES</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SANCIONES</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ENVIOS A LA JUSTICIA</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INACCIONES</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TOTAL</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ENERO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5</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FEBRERO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MARZO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7</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13</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ABRIL</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12</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13</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MAYO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16</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23</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JUNIO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17</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JULIO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12</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18</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31</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AGOSTO</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23</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28</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SEPTIEMBRE</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21</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30</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 xml:space="preserve">OCTUBRE </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4</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19</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13</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0</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36</w:t>
            </w:r>
          </w:p>
        </w:tc>
      </w:tr>
      <w:tr w:rsidR="005D0F06" w:rsidRPr="00894294" w:rsidTr="00AA3A45">
        <w:tc>
          <w:tcPr>
            <w:tcW w:w="16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 xml:space="preserve">TOTAL </w:t>
            </w:r>
          </w:p>
        </w:tc>
        <w:tc>
          <w:tcPr>
            <w:tcW w:w="206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16</w:t>
            </w:r>
          </w:p>
        </w:tc>
        <w:tc>
          <w:tcPr>
            <w:tcW w:w="1542"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61</w:t>
            </w:r>
          </w:p>
        </w:tc>
        <w:tc>
          <w:tcPr>
            <w:tcW w:w="1438"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133</w:t>
            </w:r>
          </w:p>
        </w:tc>
        <w:tc>
          <w:tcPr>
            <w:tcW w:w="1587"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1</w:t>
            </w:r>
          </w:p>
        </w:tc>
        <w:tc>
          <w:tcPr>
            <w:tcW w:w="1323" w:type="dxa"/>
          </w:tcPr>
          <w:p w:rsidR="005D0F06" w:rsidRPr="00894294" w:rsidRDefault="005D0F06" w:rsidP="00AB6DC7">
            <w:pPr>
              <w:spacing w:line="240" w:lineRule="auto"/>
              <w:rPr>
                <w:rFonts w:ascii="Times New Roman" w:hAnsi="Times New Roman" w:cs="Times New Roman"/>
                <w:i/>
                <w:sz w:val="24"/>
                <w:szCs w:val="24"/>
                <w:lang w:val="es-ES"/>
              </w:rPr>
            </w:pPr>
            <w:r w:rsidRPr="00894294">
              <w:rPr>
                <w:rFonts w:ascii="Times New Roman" w:hAnsi="Times New Roman" w:cs="Times New Roman"/>
                <w:i/>
                <w:sz w:val="24"/>
                <w:szCs w:val="24"/>
                <w:lang w:val="es-ES"/>
              </w:rPr>
              <w:t>211</w:t>
            </w:r>
          </w:p>
        </w:tc>
      </w:tr>
    </w:tbl>
    <w:p w:rsidR="005D0F06" w:rsidRPr="00894294" w:rsidRDefault="005D0F06" w:rsidP="00AB6DC7">
      <w:pPr>
        <w:spacing w:line="240" w:lineRule="auto"/>
        <w:jc w:val="center"/>
        <w:rPr>
          <w:rFonts w:ascii="Times New Roman" w:hAnsi="Times New Roman" w:cs="Times New Roman"/>
          <w:i/>
          <w:lang w:val="es-ES"/>
        </w:rPr>
      </w:pPr>
      <w:r w:rsidRPr="00894294">
        <w:rPr>
          <w:rFonts w:ascii="Times New Roman" w:hAnsi="Times New Roman" w:cs="Times New Roman"/>
          <w:i/>
          <w:lang w:val="es-ES"/>
        </w:rPr>
        <w:t>Fuente: Dirección Central de Asuntos Internos, Policía Nacional.</w:t>
      </w:r>
    </w:p>
    <w:p w:rsidR="005D0F06" w:rsidRPr="000D1029" w:rsidRDefault="005D0F06" w:rsidP="00AB6DC7">
      <w:pPr>
        <w:spacing w:line="240" w:lineRule="auto"/>
        <w:jc w:val="center"/>
        <w:rPr>
          <w:rFonts w:ascii="Times New Roman" w:hAnsi="Times New Roman" w:cs="Times New Roman"/>
          <w:b/>
          <w:i/>
          <w:lang w:val="es-ES"/>
        </w:rPr>
      </w:pPr>
    </w:p>
    <w:p w:rsidR="002655ED" w:rsidRPr="000D1029" w:rsidRDefault="002655ED"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lang w:val="es-ES"/>
        </w:rPr>
        <w:lastRenderedPageBreak/>
        <w:t>Gráfico 3</w:t>
      </w: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noProof/>
          <w:lang w:val="en-US"/>
        </w:rPr>
        <w:drawing>
          <wp:inline distT="0" distB="0" distL="0" distR="0">
            <wp:extent cx="4572000" cy="2743200"/>
            <wp:effectExtent l="19050" t="0" r="19050"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D0F06" w:rsidRDefault="00F00E5F" w:rsidP="00AB6DC7">
      <w:pPr>
        <w:spacing w:line="240" w:lineRule="auto"/>
        <w:jc w:val="center"/>
        <w:rPr>
          <w:rFonts w:ascii="Times New Roman" w:hAnsi="Times New Roman" w:cs="Times New Roman"/>
          <w:b/>
          <w:i/>
          <w:lang w:val="es-ES"/>
        </w:rPr>
      </w:pPr>
      <w:r>
        <w:rPr>
          <w:rFonts w:ascii="Times New Roman" w:hAnsi="Times New Roman" w:cs="Times New Roman"/>
          <w:b/>
          <w:i/>
          <w:lang w:val="es-ES"/>
        </w:rPr>
        <w:t>Fuente: Tabla No. 6</w:t>
      </w:r>
    </w:p>
    <w:p w:rsidR="008F62E5" w:rsidRDefault="008F62E5" w:rsidP="00AB6DC7">
      <w:pPr>
        <w:spacing w:line="240" w:lineRule="auto"/>
        <w:jc w:val="center"/>
        <w:rPr>
          <w:rFonts w:ascii="Times New Roman" w:hAnsi="Times New Roman" w:cs="Times New Roman"/>
          <w:b/>
          <w:i/>
          <w:lang w:val="es-ES"/>
        </w:rPr>
      </w:pPr>
    </w:p>
    <w:p w:rsidR="00DD25D4" w:rsidRPr="000D1029" w:rsidRDefault="00DD25D4" w:rsidP="00AB6DC7">
      <w:pPr>
        <w:spacing w:line="240" w:lineRule="auto"/>
        <w:jc w:val="center"/>
        <w:rPr>
          <w:rFonts w:ascii="Times New Roman" w:hAnsi="Times New Roman" w:cs="Times New Roman"/>
          <w:b/>
          <w:i/>
          <w:lang w:val="es-ES"/>
        </w:rPr>
      </w:pPr>
    </w:p>
    <w:p w:rsidR="005D0F06" w:rsidRDefault="005D0F06" w:rsidP="00AB6DC7">
      <w:pPr>
        <w:pStyle w:val="ListParagraph"/>
        <w:numPr>
          <w:ilvl w:val="0"/>
          <w:numId w:val="35"/>
        </w:numPr>
        <w:spacing w:line="240" w:lineRule="auto"/>
        <w:rPr>
          <w:rFonts w:ascii="Times New Roman" w:hAnsi="Times New Roman" w:cs="Times New Roman"/>
          <w:b/>
          <w:i/>
          <w:lang w:val="es-ES"/>
        </w:rPr>
      </w:pPr>
      <w:r w:rsidRPr="00F00E5F">
        <w:rPr>
          <w:rFonts w:ascii="Times New Roman" w:hAnsi="Times New Roman" w:cs="Times New Roman"/>
          <w:b/>
          <w:i/>
          <w:lang w:val="es-ES"/>
        </w:rPr>
        <w:t>AMENAZA</w:t>
      </w:r>
    </w:p>
    <w:p w:rsidR="00DD25D4" w:rsidRPr="00F00E5F" w:rsidRDefault="00DD25D4" w:rsidP="00DD25D4">
      <w:pPr>
        <w:pStyle w:val="ListParagraph"/>
        <w:spacing w:line="240" w:lineRule="auto"/>
        <w:rPr>
          <w:rFonts w:ascii="Times New Roman" w:hAnsi="Times New Roman" w:cs="Times New Roman"/>
          <w:b/>
          <w:i/>
          <w:lang w:val="es-ES"/>
        </w:rPr>
      </w:pPr>
    </w:p>
    <w:p w:rsidR="005D0F06" w:rsidRPr="000D1029" w:rsidRDefault="00F00E5F" w:rsidP="00AB6DC7">
      <w:pPr>
        <w:spacing w:line="240" w:lineRule="auto"/>
        <w:jc w:val="center"/>
        <w:rPr>
          <w:rFonts w:ascii="Times New Roman" w:hAnsi="Times New Roman" w:cs="Times New Roman"/>
          <w:b/>
          <w:i/>
          <w:lang w:val="es-ES"/>
        </w:rPr>
      </w:pPr>
      <w:r>
        <w:rPr>
          <w:rFonts w:ascii="Times New Roman" w:hAnsi="Times New Roman" w:cs="Times New Roman"/>
          <w:b/>
          <w:i/>
          <w:lang w:val="es-ES"/>
        </w:rPr>
        <w:t>Tabla No. 7</w:t>
      </w:r>
    </w:p>
    <w:tbl>
      <w:tblPr>
        <w:tblStyle w:val="TableGrid"/>
        <w:tblW w:w="0" w:type="auto"/>
        <w:tblLook w:val="04A0"/>
      </w:tblPr>
      <w:tblGrid>
        <w:gridCol w:w="1630"/>
        <w:gridCol w:w="2110"/>
        <w:gridCol w:w="1506"/>
        <w:gridCol w:w="1304"/>
        <w:gridCol w:w="1603"/>
        <w:gridCol w:w="1090"/>
      </w:tblGrid>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MES</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CANCELACIONES</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SANCIONES</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ENVIOS A LA JUSTICIA</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INACCIONES</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TOTAL</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ENERO</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3</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2</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5</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FEBRERO</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10</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11</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MARZO</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4</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4</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9</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ABRIL</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2</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3</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5</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MAYO</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3</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23</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26</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JUNIO</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11</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11</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JULIO</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12</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13</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AGOSTO</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12</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13</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SEPTIEMBRE</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18</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19</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 xml:space="preserve">OCTUBRE </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2</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22</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0</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25</w:t>
            </w:r>
          </w:p>
        </w:tc>
      </w:tr>
      <w:tr w:rsidR="005D0F06" w:rsidRPr="00F00E5F" w:rsidTr="00AA3A45">
        <w:tc>
          <w:tcPr>
            <w:tcW w:w="16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 xml:space="preserve">TOTAL </w:t>
            </w:r>
          </w:p>
        </w:tc>
        <w:tc>
          <w:tcPr>
            <w:tcW w:w="206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3</w:t>
            </w:r>
          </w:p>
        </w:tc>
        <w:tc>
          <w:tcPr>
            <w:tcW w:w="1542"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16</w:t>
            </w:r>
          </w:p>
        </w:tc>
        <w:tc>
          <w:tcPr>
            <w:tcW w:w="1438"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117</w:t>
            </w:r>
          </w:p>
        </w:tc>
        <w:tc>
          <w:tcPr>
            <w:tcW w:w="1587"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w:t>
            </w:r>
          </w:p>
        </w:tc>
        <w:tc>
          <w:tcPr>
            <w:tcW w:w="1323" w:type="dxa"/>
          </w:tcPr>
          <w:p w:rsidR="005D0F06" w:rsidRPr="00F00E5F" w:rsidRDefault="005D0F06" w:rsidP="00AB6DC7">
            <w:pPr>
              <w:spacing w:line="240" w:lineRule="auto"/>
              <w:rPr>
                <w:rFonts w:ascii="Times New Roman" w:hAnsi="Times New Roman" w:cs="Times New Roman"/>
                <w:i/>
                <w:sz w:val="24"/>
                <w:szCs w:val="24"/>
                <w:lang w:val="es-ES"/>
              </w:rPr>
            </w:pPr>
            <w:r w:rsidRPr="00F00E5F">
              <w:rPr>
                <w:rFonts w:ascii="Times New Roman" w:hAnsi="Times New Roman" w:cs="Times New Roman"/>
                <w:i/>
                <w:sz w:val="24"/>
                <w:szCs w:val="24"/>
                <w:lang w:val="es-ES"/>
              </w:rPr>
              <w:t>137</w:t>
            </w:r>
          </w:p>
        </w:tc>
      </w:tr>
    </w:tbl>
    <w:p w:rsidR="005D0F06" w:rsidRPr="00F00E5F" w:rsidRDefault="005D0F06" w:rsidP="00AB6DC7">
      <w:pPr>
        <w:spacing w:line="240" w:lineRule="auto"/>
        <w:jc w:val="center"/>
        <w:rPr>
          <w:rFonts w:ascii="Times New Roman" w:hAnsi="Times New Roman" w:cs="Times New Roman"/>
          <w:i/>
          <w:lang w:val="es-ES"/>
        </w:rPr>
      </w:pPr>
      <w:r w:rsidRPr="00F00E5F">
        <w:rPr>
          <w:rFonts w:ascii="Times New Roman" w:hAnsi="Times New Roman" w:cs="Times New Roman"/>
          <w:i/>
          <w:lang w:val="es-ES"/>
        </w:rPr>
        <w:t>Fuente: Dirección Central de Asuntos Internos, Policía Nacional.</w:t>
      </w:r>
    </w:p>
    <w:p w:rsidR="005D0F06" w:rsidRPr="000D1029" w:rsidRDefault="005D0F06" w:rsidP="00AB6DC7">
      <w:pPr>
        <w:spacing w:line="240" w:lineRule="auto"/>
        <w:jc w:val="center"/>
        <w:rPr>
          <w:rFonts w:ascii="Times New Roman" w:hAnsi="Times New Roman" w:cs="Times New Roman"/>
          <w:b/>
          <w:i/>
          <w:lang w:val="es-ES"/>
        </w:rPr>
      </w:pPr>
    </w:p>
    <w:p w:rsidR="00031563" w:rsidRPr="000D1029" w:rsidRDefault="00031563"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DD25D4" w:rsidRDefault="00DD25D4" w:rsidP="00AB6DC7">
      <w:pPr>
        <w:spacing w:line="240" w:lineRule="auto"/>
        <w:jc w:val="center"/>
        <w:rPr>
          <w:rFonts w:ascii="Times New Roman" w:hAnsi="Times New Roman" w:cs="Times New Roman"/>
          <w:b/>
          <w:i/>
          <w:lang w:val="es-ES"/>
        </w:rPr>
      </w:pP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lang w:val="es-ES"/>
        </w:rPr>
        <w:t>Gráfico 4</w:t>
      </w:r>
    </w:p>
    <w:p w:rsidR="005D0F06" w:rsidRPr="000D1029" w:rsidRDefault="005D0F06" w:rsidP="00AB6DC7">
      <w:pPr>
        <w:spacing w:line="240" w:lineRule="auto"/>
        <w:jc w:val="center"/>
        <w:rPr>
          <w:rFonts w:ascii="Times New Roman" w:hAnsi="Times New Roman" w:cs="Times New Roman"/>
          <w:b/>
          <w:i/>
          <w:lang w:val="es-ES"/>
        </w:rPr>
      </w:pPr>
      <w:r w:rsidRPr="000D1029">
        <w:rPr>
          <w:rFonts w:ascii="Times New Roman" w:hAnsi="Times New Roman" w:cs="Times New Roman"/>
          <w:b/>
          <w:i/>
          <w:noProof/>
          <w:lang w:val="en-US"/>
        </w:rPr>
        <w:drawing>
          <wp:inline distT="0" distB="0" distL="0" distR="0">
            <wp:extent cx="4572000" cy="2743200"/>
            <wp:effectExtent l="19050" t="0" r="19050" b="0"/>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D0F06" w:rsidRPr="000D1029" w:rsidRDefault="00F00E5F" w:rsidP="00AB6DC7">
      <w:pPr>
        <w:spacing w:line="240" w:lineRule="auto"/>
        <w:jc w:val="center"/>
        <w:rPr>
          <w:rFonts w:ascii="Times New Roman" w:hAnsi="Times New Roman" w:cs="Times New Roman"/>
          <w:b/>
          <w:i/>
          <w:lang w:val="es-ES"/>
        </w:rPr>
      </w:pPr>
      <w:r>
        <w:rPr>
          <w:rFonts w:ascii="Times New Roman" w:hAnsi="Times New Roman" w:cs="Times New Roman"/>
          <w:b/>
          <w:i/>
          <w:lang w:val="es-ES"/>
        </w:rPr>
        <w:t>Fuente: Tabla No. 7</w:t>
      </w:r>
    </w:p>
    <w:p w:rsidR="005D0F06" w:rsidRPr="000D1029" w:rsidRDefault="005D0F06" w:rsidP="00AB6DC7">
      <w:pPr>
        <w:spacing w:line="240" w:lineRule="auto"/>
        <w:jc w:val="center"/>
        <w:rPr>
          <w:rFonts w:ascii="Times New Roman" w:hAnsi="Times New Roman" w:cs="Times New Roman"/>
          <w:b/>
          <w:i/>
          <w:lang w:val="es-ES"/>
        </w:rPr>
      </w:pPr>
    </w:p>
    <w:p w:rsidR="005D0F06" w:rsidRPr="000D1029" w:rsidRDefault="00272160" w:rsidP="00AB6DC7">
      <w:pPr>
        <w:spacing w:line="240" w:lineRule="auto"/>
        <w:rPr>
          <w:rFonts w:ascii="Times New Roman" w:hAnsi="Times New Roman" w:cs="Times New Roman"/>
          <w:i/>
          <w:lang w:val="es-ES"/>
        </w:rPr>
      </w:pPr>
      <w:r>
        <w:rPr>
          <w:rFonts w:ascii="Times New Roman" w:hAnsi="Times New Roman" w:cs="Times New Roman"/>
          <w:b/>
          <w:i/>
          <w:lang w:val="es-ES"/>
        </w:rPr>
        <w:t>70</w:t>
      </w:r>
      <w:r w:rsidR="005D0F06" w:rsidRPr="000D1029">
        <w:rPr>
          <w:rFonts w:ascii="Times New Roman" w:hAnsi="Times New Roman" w:cs="Times New Roman"/>
          <w:b/>
          <w:i/>
          <w:lang w:val="es-ES"/>
        </w:rPr>
        <w:t xml:space="preserve">. </w:t>
      </w:r>
      <w:r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15.</w:t>
      </w:r>
      <w:r w:rsidR="005D0F06" w:rsidRPr="000D1029">
        <w:rPr>
          <w:rFonts w:ascii="Times New Roman" w:hAnsi="Times New Roman" w:cs="Times New Roman"/>
          <w:i/>
          <w:lang w:val="es-ES"/>
        </w:rPr>
        <w:t xml:space="preserve">   El Comité expresa su preocupación por la criminalización generalizada del aborto que obliga a las mujeres embarazadas a buscar servicios de abortos clandestinos que ponen en peligro sus vidas y su salud. El Comité también está preocupado por el mantenimiento  de altos niveles de embarazos en adolescentes y de mortalidad materna, a pesar de los esfuerzos del Estado para prevenirlos. (arts.6 y17).</w:t>
      </w:r>
    </w:p>
    <w:p w:rsidR="005D0F06" w:rsidRPr="000D1029" w:rsidRDefault="005D0F06" w:rsidP="00AB6DC7">
      <w:pPr>
        <w:spacing w:line="240" w:lineRule="auto"/>
        <w:rPr>
          <w:rFonts w:ascii="Times New Roman" w:hAnsi="Times New Roman" w:cs="Times New Roman"/>
          <w:i/>
          <w:lang w:val="es-ES"/>
        </w:rPr>
      </w:pPr>
    </w:p>
    <w:p w:rsidR="005D0F06" w:rsidRPr="000D1029" w:rsidRDefault="00272160" w:rsidP="00AB6DC7">
      <w:pPr>
        <w:spacing w:line="240" w:lineRule="auto"/>
        <w:rPr>
          <w:rFonts w:ascii="Times New Roman" w:hAnsi="Times New Roman" w:cs="Times New Roman"/>
          <w:b/>
          <w:i/>
          <w:lang w:val="es-ES"/>
        </w:rPr>
      </w:pPr>
      <w:r>
        <w:rPr>
          <w:rFonts w:ascii="Times New Roman" w:hAnsi="Times New Roman" w:cs="Times New Roman"/>
          <w:b/>
          <w:i/>
          <w:lang w:val="es-ES"/>
        </w:rPr>
        <w:t>71</w:t>
      </w:r>
      <w:r w:rsidR="005D0F06" w:rsidRPr="000D1029">
        <w:rPr>
          <w:rFonts w:ascii="Times New Roman" w:hAnsi="Times New Roman" w:cs="Times New Roman"/>
          <w:b/>
          <w:i/>
          <w:lang w:val="es-ES"/>
        </w:rPr>
        <w:t xml:space="preserve">. El Comité recomienda al Estado parte que revise su legislación sobre el aborto y prevea excepciones a la prohibición general del aborto por razones terapéuticas y en los casos en que el embarazo sea consecuencia de una violación o incesto. El Estado parte debe asegurar que los servicios de salud reproductiva sean accesibles para todas las mujeres y adolescentes. Asimismo, el Estado parte debe multiplicar los programas de educación y sensibilización a nivel formal (escuelas y colegios) e informal (medios de comunicación) sobre la importancia del uso de anticonceptivos y los derechos a la salud reproductiva. </w:t>
      </w:r>
    </w:p>
    <w:p w:rsidR="005D0F06" w:rsidRPr="000D1029" w:rsidRDefault="005D0F06" w:rsidP="00AB6DC7">
      <w:pPr>
        <w:spacing w:line="240" w:lineRule="auto"/>
        <w:rPr>
          <w:rFonts w:ascii="Times New Roman" w:hAnsi="Times New Roman" w:cs="Times New Roman"/>
          <w:b/>
          <w:lang w:val="es-ES"/>
        </w:rPr>
      </w:pPr>
    </w:p>
    <w:p w:rsidR="005D0F06" w:rsidRPr="000D1029" w:rsidRDefault="001501A8" w:rsidP="00AB6DC7">
      <w:pPr>
        <w:spacing w:line="240" w:lineRule="auto"/>
        <w:rPr>
          <w:rFonts w:ascii="Times New Roman" w:hAnsi="Times New Roman" w:cs="Times New Roman"/>
          <w:b/>
          <w:lang w:val="es-ES"/>
        </w:rPr>
      </w:pPr>
      <w:r>
        <w:rPr>
          <w:rFonts w:ascii="Times New Roman" w:hAnsi="Times New Roman" w:cs="Times New Roman"/>
          <w:b/>
          <w:lang w:val="es-ES"/>
        </w:rPr>
        <w:t>7</w:t>
      </w:r>
      <w:r w:rsidR="00272160">
        <w:rPr>
          <w:rFonts w:ascii="Times New Roman" w:hAnsi="Times New Roman" w:cs="Times New Roman"/>
          <w:b/>
          <w:lang w:val="es-ES"/>
        </w:rPr>
        <w:t>2</w:t>
      </w:r>
      <w:r w:rsidR="005D0F06" w:rsidRPr="000D1029">
        <w:rPr>
          <w:rFonts w:ascii="Times New Roman" w:hAnsi="Times New Roman" w:cs="Times New Roman"/>
          <w:b/>
          <w:lang w:val="es-ES"/>
        </w:rPr>
        <w:t xml:space="preserve">. Respuesta del Estado dominicano: </w:t>
      </w:r>
      <w:r w:rsidR="005D0F06" w:rsidRPr="000D1029">
        <w:rPr>
          <w:rFonts w:ascii="Times New Roman" w:hAnsi="Times New Roman" w:cs="Times New Roman"/>
          <w:lang w:val="es-ES"/>
        </w:rPr>
        <w:t xml:space="preserve">En los últimos años se ha priorizado el abordaje de la prevención del embarazo en adolescentes de manera sostenida, a través del Comité Técnico Interinstitucional,  </w:t>
      </w:r>
      <w:r>
        <w:rPr>
          <w:rFonts w:ascii="Times New Roman" w:hAnsi="Times New Roman" w:cs="Times New Roman"/>
          <w:lang w:val="es-ES"/>
        </w:rPr>
        <w:t xml:space="preserve">se </w:t>
      </w:r>
      <w:r w:rsidR="005D0F06" w:rsidRPr="000D1029">
        <w:rPr>
          <w:rFonts w:ascii="Times New Roman" w:hAnsi="Times New Roman" w:cs="Times New Roman"/>
          <w:lang w:val="es-ES"/>
        </w:rPr>
        <w:t>crea la Comisión Interinstitucional para la Coordinación del Plan Nacional para la Prevención de Embarazos en Adolescentes, que integra los esfuerzos de los Ministerio de la Mujer,  Vicepresidencia de la Republica, el Despacho de la Primera Dama, Ministerio de Salud, Ministerio de Educación, Ministerio de la Juventud, Ministerio de Deportes, Ministerio de Economía Planificación y Desarrollo, el Consejo Nacional de la Niñez y Adolescencia, el Consejo Nacional de VHI y SIDA  y de otras instancias  gubernamentales y no-gubernamentales,  este comité es coordinado  y bajo la conducción del  Ministerio de la Mujer desde el año 2005,  y en el año 2011 se avanzó en la definición de un Plan Nacional de Prevención de Embarazos en adolescentes 2011-2016.</w:t>
      </w:r>
    </w:p>
    <w:p w:rsidR="005D0F06" w:rsidRPr="000D1029" w:rsidRDefault="005D0F06" w:rsidP="00AB6DC7">
      <w:pPr>
        <w:spacing w:line="240" w:lineRule="auto"/>
        <w:rPr>
          <w:rFonts w:ascii="Times New Roman" w:hAnsi="Times New Roman" w:cs="Times New Roman"/>
          <w:b/>
          <w:lang w:val="es-ES"/>
        </w:rPr>
      </w:pPr>
    </w:p>
    <w:p w:rsidR="005D0F06" w:rsidRPr="000D1029" w:rsidRDefault="00272160" w:rsidP="00AB6DC7">
      <w:pPr>
        <w:spacing w:line="240" w:lineRule="auto"/>
        <w:rPr>
          <w:rFonts w:ascii="Times New Roman" w:hAnsi="Times New Roman" w:cs="Times New Roman"/>
          <w:lang w:val="es-ES"/>
        </w:rPr>
      </w:pPr>
      <w:r>
        <w:rPr>
          <w:rFonts w:ascii="Times New Roman" w:hAnsi="Times New Roman" w:cs="Times New Roman"/>
          <w:lang w:val="es-ES"/>
        </w:rPr>
        <w:t>73</w:t>
      </w:r>
      <w:r w:rsidR="005D0F06" w:rsidRPr="000D1029">
        <w:rPr>
          <w:rFonts w:ascii="Times New Roman" w:hAnsi="Times New Roman" w:cs="Times New Roman"/>
          <w:lang w:val="es-ES"/>
        </w:rPr>
        <w:t>. La aplicación de la Ley 42-01, Ley General de Salud y su marco regulatorio, con énfasis en la salud  de las mujeres. Tam</w:t>
      </w:r>
      <w:r w:rsidR="00A07611">
        <w:rPr>
          <w:rFonts w:ascii="Times New Roman" w:hAnsi="Times New Roman" w:cs="Times New Roman"/>
          <w:lang w:val="es-ES"/>
        </w:rPr>
        <w:t>bién cabe destacar los avances en</w:t>
      </w:r>
      <w:r w:rsidR="005D0F06" w:rsidRPr="000D1029">
        <w:rPr>
          <w:rFonts w:ascii="Times New Roman" w:hAnsi="Times New Roman" w:cs="Times New Roman"/>
          <w:lang w:val="es-ES"/>
        </w:rPr>
        <w:t xml:space="preserve"> la ejecución del Plan Nacional de Prevención de Embarazos en adolescentes 2011-2016; incluyendo el monitoreo y seguimiento de los 52 Comités Interinstitucionales para la ejecución de las políticas en </w:t>
      </w:r>
      <w:r w:rsidR="005D0F06" w:rsidRPr="000D1029">
        <w:rPr>
          <w:rFonts w:ascii="Times New Roman" w:hAnsi="Times New Roman" w:cs="Times New Roman"/>
          <w:lang w:val="es-ES"/>
        </w:rPr>
        <w:lastRenderedPageBreak/>
        <w:t>materia de prevención de embarazos en adolescentes y que son coordinados por las oficinas Provinciales  Municipales de la Mujer (OPM/OMM).</w:t>
      </w:r>
    </w:p>
    <w:p w:rsidR="005D0F06" w:rsidRPr="000D1029" w:rsidRDefault="005D0F06" w:rsidP="00AB6DC7">
      <w:pPr>
        <w:spacing w:line="240" w:lineRule="auto"/>
        <w:rPr>
          <w:rFonts w:ascii="Times New Roman" w:hAnsi="Times New Roman" w:cs="Times New Roman"/>
          <w:lang w:val="es-ES"/>
        </w:rPr>
      </w:pPr>
    </w:p>
    <w:p w:rsidR="005D0F06" w:rsidRPr="000D1029" w:rsidRDefault="00272160" w:rsidP="00AB6DC7">
      <w:pPr>
        <w:spacing w:line="240" w:lineRule="auto"/>
        <w:rPr>
          <w:rFonts w:ascii="Times New Roman" w:hAnsi="Times New Roman" w:cs="Times New Roman"/>
          <w:lang w:val="es-ES"/>
        </w:rPr>
      </w:pPr>
      <w:r>
        <w:rPr>
          <w:rFonts w:ascii="Times New Roman" w:hAnsi="Times New Roman" w:cs="Times New Roman"/>
          <w:lang w:val="es-ES"/>
        </w:rPr>
        <w:t>74</w:t>
      </w:r>
      <w:r w:rsidR="005D0F06" w:rsidRPr="000D1029">
        <w:rPr>
          <w:rFonts w:ascii="Times New Roman" w:hAnsi="Times New Roman" w:cs="Times New Roman"/>
          <w:lang w:val="es-ES"/>
        </w:rPr>
        <w:t xml:space="preserve">. Entre los logros más relevantes en la gestión 2015 del Ministerio de la Mujer, es necesario destacar la instalación y puesta en funcionamiento del </w:t>
      </w:r>
      <w:r w:rsidR="005D0F06" w:rsidRPr="000D1029">
        <w:rPr>
          <w:rFonts w:ascii="Times New Roman" w:hAnsi="Times New Roman" w:cs="Times New Roman"/>
          <w:i/>
          <w:lang w:val="es-ES"/>
        </w:rPr>
        <w:t>Centro Piloto de Salud Sexual y Reproductiva en Adolescentes</w:t>
      </w:r>
      <w:r w:rsidR="005D0F06" w:rsidRPr="000D1029">
        <w:rPr>
          <w:rFonts w:ascii="Times New Roman" w:hAnsi="Times New Roman" w:cs="Times New Roman"/>
          <w:lang w:val="es-ES"/>
        </w:rPr>
        <w:t>, una actividad que se enmarca en el proyecto de la prevención del embarazo en adolescentes y fortalecimiento de los servicios de salud para mujeres jóvenes, auspiciado por la Agencia de Cooperación Internacional de Corea (KOICA).</w:t>
      </w:r>
    </w:p>
    <w:p w:rsidR="005D0F06" w:rsidRPr="000D1029" w:rsidRDefault="005D0F06" w:rsidP="00AB6DC7">
      <w:pPr>
        <w:spacing w:line="240" w:lineRule="auto"/>
        <w:rPr>
          <w:rFonts w:ascii="Times New Roman" w:hAnsi="Times New Roman" w:cs="Times New Roman"/>
          <w:lang w:val="es-DO"/>
        </w:rPr>
      </w:pPr>
    </w:p>
    <w:p w:rsidR="005D0F06" w:rsidRPr="000D1029" w:rsidRDefault="00272160" w:rsidP="00AB6DC7">
      <w:pPr>
        <w:spacing w:line="240" w:lineRule="auto"/>
        <w:rPr>
          <w:rFonts w:ascii="Times New Roman" w:hAnsi="Times New Roman" w:cs="Times New Roman"/>
          <w:lang w:val="es-MX"/>
        </w:rPr>
      </w:pPr>
      <w:r>
        <w:rPr>
          <w:rFonts w:ascii="Times New Roman" w:hAnsi="Times New Roman" w:cs="Times New Roman"/>
          <w:lang w:val="es-MX"/>
        </w:rPr>
        <w:t>75</w:t>
      </w:r>
      <w:r w:rsidR="006465EC" w:rsidRPr="000D1029">
        <w:rPr>
          <w:rFonts w:ascii="Times New Roman" w:hAnsi="Times New Roman" w:cs="Times New Roman"/>
          <w:lang w:val="es-MX"/>
        </w:rPr>
        <w:t>. Capacitación:</w:t>
      </w:r>
    </w:p>
    <w:p w:rsidR="005D0F06" w:rsidRPr="000D1029" w:rsidRDefault="005D0F06" w:rsidP="00AB6DC7">
      <w:pPr>
        <w:spacing w:line="240" w:lineRule="auto"/>
        <w:rPr>
          <w:rFonts w:ascii="Times New Roman" w:hAnsi="Times New Roman" w:cs="Times New Roman"/>
          <w:lang w:val="es-MX"/>
        </w:rPr>
      </w:pPr>
    </w:p>
    <w:p w:rsidR="005D0F06" w:rsidRPr="000D1029" w:rsidRDefault="005D0F06" w:rsidP="00AB6DC7">
      <w:pPr>
        <w:pStyle w:val="ListParagraph"/>
        <w:numPr>
          <w:ilvl w:val="0"/>
          <w:numId w:val="14"/>
        </w:numPr>
        <w:spacing w:line="240" w:lineRule="auto"/>
        <w:rPr>
          <w:rFonts w:ascii="Times New Roman" w:hAnsi="Times New Roman" w:cs="Times New Roman"/>
          <w:b/>
          <w:lang w:val="es-ES"/>
        </w:rPr>
      </w:pPr>
      <w:r w:rsidRPr="000D1029">
        <w:rPr>
          <w:rFonts w:ascii="Times New Roman" w:hAnsi="Times New Roman" w:cs="Times New Roman"/>
          <w:lang w:val="es-MX"/>
        </w:rPr>
        <w:t>648 personas de ambos sexos sensibilizadas en materia de Salud Sexual y Salud Reproductiva, Derechos Sexuales y Derechos Reproductivos.</w:t>
      </w:r>
    </w:p>
    <w:p w:rsidR="005D0F06" w:rsidRPr="000D1029" w:rsidRDefault="005D0F06" w:rsidP="00AB6DC7">
      <w:pPr>
        <w:pStyle w:val="ListParagraph"/>
        <w:numPr>
          <w:ilvl w:val="0"/>
          <w:numId w:val="14"/>
        </w:numPr>
        <w:spacing w:line="240" w:lineRule="auto"/>
        <w:rPr>
          <w:rFonts w:ascii="Times New Roman" w:hAnsi="Times New Roman" w:cs="Times New Roman"/>
          <w:b/>
          <w:lang w:val="es-ES"/>
        </w:rPr>
      </w:pPr>
      <w:r w:rsidRPr="000D1029">
        <w:rPr>
          <w:rFonts w:ascii="Times New Roman" w:hAnsi="Times New Roman" w:cs="Times New Roman"/>
          <w:lang w:val="es-MX"/>
        </w:rPr>
        <w:t>733 personas comunitarias sensibilizadas en Género, Salud, Derechos Sexuales y Derechos Reproductivos en las localidades de: Peravia, Barahona, Montecristi, Hermanas Mirabal, Monseñor Noel, azua, San José de Ocoa, San Juan de la Maguana, Sánchez Ramírez, Puerto Plata, Jimaní, Santo Domingo Este, Dajabón, El Seibo, Hato Mayor, Monte Plata, Pedernales, San Pedro de Macorís, San Francisco de Macorís, Higuey, La Romana y San José de las Matas.</w:t>
      </w:r>
      <w:hyperlink r:id="rId12" w:tgtFrame="_blank" w:history="1"/>
    </w:p>
    <w:p w:rsidR="005D0F06" w:rsidRPr="000D1029" w:rsidRDefault="005D0F06" w:rsidP="00AB6DC7">
      <w:pPr>
        <w:pStyle w:val="ListParagraph"/>
        <w:numPr>
          <w:ilvl w:val="0"/>
          <w:numId w:val="15"/>
        </w:numPr>
        <w:spacing w:line="240" w:lineRule="auto"/>
        <w:rPr>
          <w:rFonts w:ascii="Times New Roman" w:hAnsi="Times New Roman" w:cs="Times New Roman"/>
          <w:lang w:val="es-ES"/>
        </w:rPr>
      </w:pPr>
      <w:r w:rsidRPr="000D1029">
        <w:rPr>
          <w:rFonts w:ascii="Times New Roman" w:hAnsi="Times New Roman" w:cs="Times New Roman"/>
          <w:lang w:val="es-MX"/>
        </w:rPr>
        <w:t xml:space="preserve">Campaña de Comunicación dirigida a prevención del embarazo en adolescentes: “Planea tu vida” </w:t>
      </w:r>
    </w:p>
    <w:p w:rsidR="005D0F06" w:rsidRPr="000D1029" w:rsidRDefault="005D0F06" w:rsidP="00AB6DC7">
      <w:pPr>
        <w:pStyle w:val="ListParagraph"/>
        <w:numPr>
          <w:ilvl w:val="0"/>
          <w:numId w:val="15"/>
        </w:numPr>
        <w:spacing w:line="240" w:lineRule="auto"/>
        <w:rPr>
          <w:rFonts w:ascii="Times New Roman" w:hAnsi="Times New Roman" w:cs="Times New Roman"/>
          <w:lang w:val="es-ES"/>
        </w:rPr>
      </w:pPr>
      <w:r w:rsidRPr="000D1029">
        <w:rPr>
          <w:rFonts w:ascii="Times New Roman" w:hAnsi="Times New Roman" w:cs="Times New Roman"/>
          <w:lang w:val="es-ES"/>
        </w:rPr>
        <w:t>Campaña sobre derechos sexuales y derechos reproductivos de adolescentes, con énfasis en prevención de embarazos, iniciada el año 2013 y ampliada en el 2014 y continuó durante el 2015.</w:t>
      </w:r>
    </w:p>
    <w:p w:rsidR="005D0F06" w:rsidRPr="000D1029" w:rsidRDefault="005D0F06" w:rsidP="00AB6DC7">
      <w:pPr>
        <w:pStyle w:val="ListParagraph"/>
        <w:numPr>
          <w:ilvl w:val="0"/>
          <w:numId w:val="15"/>
        </w:numPr>
        <w:spacing w:line="240" w:lineRule="auto"/>
        <w:rPr>
          <w:rFonts w:ascii="Times New Roman" w:hAnsi="Times New Roman" w:cs="Times New Roman"/>
          <w:lang w:val="es-MX"/>
        </w:rPr>
      </w:pPr>
      <w:r w:rsidRPr="000D1029">
        <w:rPr>
          <w:rFonts w:ascii="Times New Roman" w:hAnsi="Times New Roman" w:cs="Times New Roman"/>
          <w:lang w:val="es-MX"/>
        </w:rPr>
        <w:t>11,066 personas, especialmente adolescentes y jóvenes, informadas y orientadas en materia de equidad e igualdad de género, derechos de las mujeres, derechos sexuales y derechos reproductivos, prevención de embarazos, infecciones de trasmisión sexual, VIH/SIDA y violencia contra las mujeres.</w:t>
      </w:r>
    </w:p>
    <w:p w:rsidR="005D0F06" w:rsidRPr="000D1029" w:rsidRDefault="005D0F06" w:rsidP="00AB6DC7">
      <w:pPr>
        <w:pStyle w:val="ListParagraph"/>
        <w:numPr>
          <w:ilvl w:val="0"/>
          <w:numId w:val="15"/>
        </w:numPr>
        <w:spacing w:line="240" w:lineRule="auto"/>
        <w:rPr>
          <w:rFonts w:ascii="Times New Roman" w:hAnsi="Times New Roman" w:cs="Times New Roman"/>
          <w:lang w:val="es-MX"/>
        </w:rPr>
      </w:pPr>
      <w:r w:rsidRPr="000D1029">
        <w:rPr>
          <w:rFonts w:ascii="Times New Roman" w:hAnsi="Times New Roman" w:cs="Times New Roman"/>
          <w:lang w:val="es-ES"/>
        </w:rPr>
        <w:t>Un estimado de 215,330 beneficiarios/as directos/as e indirectos/as alcanzadas a través de las acciones de información, educación y comunicación relacionada con los contenidos de la campaña de Comunicación.</w:t>
      </w:r>
    </w:p>
    <w:p w:rsidR="005D0F06" w:rsidRPr="000D1029" w:rsidRDefault="005D0F06" w:rsidP="00AB6DC7">
      <w:pPr>
        <w:pStyle w:val="ListParagraph"/>
        <w:numPr>
          <w:ilvl w:val="0"/>
          <w:numId w:val="15"/>
        </w:numPr>
        <w:spacing w:line="240" w:lineRule="auto"/>
        <w:rPr>
          <w:rFonts w:ascii="Times New Roman" w:hAnsi="Times New Roman" w:cs="Times New Roman"/>
          <w:lang w:val="es-MX"/>
        </w:rPr>
      </w:pPr>
      <w:r w:rsidRPr="000D1029">
        <w:rPr>
          <w:rFonts w:ascii="Times New Roman" w:hAnsi="Times New Roman" w:cs="Times New Roman"/>
          <w:lang w:val="es-ES"/>
        </w:rPr>
        <w:t>Reproducción y difusión de la  Hoja Informativa  “Planea de tu vida”, como parte de la campaña de comunicación para la prevención del embarazo en adolescentes, constituyéndose en la herramienta fundamental del trabajo “de Joven a  Joven”, siguiendo la metodología de “Diez cada vez”, por medio de la cual las y los multiplicadores/as  asumen alcanzar en cada intervención que realicen a diez nuevos adolescentes con los mensajes de prevención, incrementándose el número de beneficiarios impactados  a través de esta campaña.</w:t>
      </w:r>
    </w:p>
    <w:p w:rsidR="005D0F06" w:rsidRPr="000D1029" w:rsidRDefault="005D0F06" w:rsidP="00AB6DC7">
      <w:pPr>
        <w:pStyle w:val="ListParagraph"/>
        <w:numPr>
          <w:ilvl w:val="0"/>
          <w:numId w:val="15"/>
        </w:numPr>
        <w:spacing w:line="240" w:lineRule="auto"/>
        <w:rPr>
          <w:rFonts w:ascii="Times New Roman" w:hAnsi="Times New Roman" w:cs="Times New Roman"/>
          <w:lang w:val="es-MX"/>
        </w:rPr>
      </w:pPr>
      <w:r w:rsidRPr="000D1029">
        <w:rPr>
          <w:rFonts w:ascii="Times New Roman" w:hAnsi="Times New Roman" w:cs="Times New Roman"/>
          <w:lang w:val="es-ES"/>
        </w:rPr>
        <w:t>Incorporación de las TIC’s a las acciones de información y educación  como parte de la campaña,  a través de la difusión en las redes sociales de la hoja informativa “Planea tu vida”.</w:t>
      </w:r>
    </w:p>
    <w:p w:rsidR="005D0F06" w:rsidRPr="000D1029" w:rsidRDefault="005D0F06" w:rsidP="00AB6DC7">
      <w:pPr>
        <w:pStyle w:val="ListParagraph"/>
        <w:numPr>
          <w:ilvl w:val="0"/>
          <w:numId w:val="17"/>
        </w:numPr>
        <w:spacing w:line="240" w:lineRule="auto"/>
        <w:rPr>
          <w:rFonts w:ascii="Times New Roman" w:hAnsi="Times New Roman" w:cs="Times New Roman"/>
          <w:bCs/>
          <w:lang w:val="es-MX"/>
        </w:rPr>
      </w:pPr>
      <w:r w:rsidRPr="000D1029">
        <w:rPr>
          <w:rFonts w:ascii="Times New Roman" w:hAnsi="Times New Roman" w:cs="Times New Roman"/>
          <w:bCs/>
          <w:lang w:val="es-MX"/>
        </w:rPr>
        <w:t xml:space="preserve">6 Talleres de Formación de Jóvenes Multiplicadores. </w:t>
      </w:r>
    </w:p>
    <w:p w:rsidR="005D0F06" w:rsidRPr="000D1029" w:rsidRDefault="005D0F06" w:rsidP="00AB6DC7">
      <w:pPr>
        <w:pStyle w:val="ListParagraph"/>
        <w:numPr>
          <w:ilvl w:val="0"/>
          <w:numId w:val="17"/>
        </w:numPr>
        <w:spacing w:line="240" w:lineRule="auto"/>
        <w:rPr>
          <w:rFonts w:ascii="Times New Roman" w:hAnsi="Times New Roman" w:cs="Times New Roman"/>
          <w:bCs/>
          <w:lang w:val="es-MX"/>
        </w:rPr>
      </w:pPr>
      <w:r w:rsidRPr="000D1029">
        <w:rPr>
          <w:rFonts w:ascii="Times New Roman" w:hAnsi="Times New Roman" w:cs="Times New Roman"/>
          <w:bCs/>
          <w:lang w:val="es-MX"/>
        </w:rPr>
        <w:t xml:space="preserve">212 Jóvenes formados en Salud Integral de Adolescentes.  En el marco del </w:t>
      </w:r>
      <w:r w:rsidRPr="000D1029">
        <w:rPr>
          <w:rFonts w:ascii="Times New Roman" w:hAnsi="Times New Roman" w:cs="Times New Roman"/>
          <w:bCs/>
          <w:lang w:val="es-DO"/>
        </w:rPr>
        <w:t>Proyecto M.Mujer/Good Neighbors.</w:t>
      </w:r>
    </w:p>
    <w:p w:rsidR="005D0F06" w:rsidRPr="000D1029" w:rsidRDefault="005D0F06" w:rsidP="00AB6DC7">
      <w:pPr>
        <w:spacing w:line="240" w:lineRule="auto"/>
        <w:rPr>
          <w:rFonts w:ascii="Times New Roman" w:hAnsi="Times New Roman" w:cs="Times New Roman"/>
          <w:bCs/>
          <w:lang w:val="es-MX"/>
        </w:rPr>
      </w:pPr>
    </w:p>
    <w:p w:rsidR="005D0F06" w:rsidRPr="000D1029" w:rsidRDefault="00272160" w:rsidP="00AB6DC7">
      <w:pPr>
        <w:spacing w:line="240" w:lineRule="auto"/>
        <w:rPr>
          <w:rFonts w:ascii="Times New Roman" w:hAnsi="Times New Roman" w:cs="Times New Roman"/>
          <w:lang w:val="es-ES"/>
        </w:rPr>
      </w:pPr>
      <w:r>
        <w:rPr>
          <w:rFonts w:ascii="Times New Roman" w:hAnsi="Times New Roman" w:cs="Times New Roman"/>
          <w:lang w:val="es-ES"/>
        </w:rPr>
        <w:t>76</w:t>
      </w:r>
      <w:r w:rsidR="005D0F06" w:rsidRPr="000D1029">
        <w:rPr>
          <w:rFonts w:ascii="Times New Roman" w:hAnsi="Times New Roman" w:cs="Times New Roman"/>
          <w:lang w:val="es-ES"/>
        </w:rPr>
        <w:t xml:space="preserve">. En cuanto a la financiación del Sistema Nacional de Salud y los gastos per cápita en atención a salud notificamos que:  </w:t>
      </w:r>
    </w:p>
    <w:p w:rsidR="005D0F06" w:rsidRPr="000D1029" w:rsidRDefault="005D0F06" w:rsidP="00AB6DC7">
      <w:pPr>
        <w:spacing w:line="240" w:lineRule="auto"/>
        <w:rPr>
          <w:rFonts w:ascii="Times New Roman" w:hAnsi="Times New Roman" w:cs="Times New Roman"/>
          <w:lang w:val="es-ES"/>
        </w:rPr>
      </w:pPr>
    </w:p>
    <w:p w:rsidR="005D0F06" w:rsidRPr="000D1029" w:rsidRDefault="005D0F06" w:rsidP="00AB6DC7">
      <w:pPr>
        <w:pStyle w:val="ListParagraph"/>
        <w:numPr>
          <w:ilvl w:val="0"/>
          <w:numId w:val="22"/>
        </w:numPr>
        <w:spacing w:line="240" w:lineRule="auto"/>
        <w:rPr>
          <w:rFonts w:ascii="Times New Roman" w:hAnsi="Times New Roman" w:cs="Times New Roman"/>
          <w:lang w:val="es-ES"/>
        </w:rPr>
      </w:pPr>
      <w:r w:rsidRPr="000D1029">
        <w:rPr>
          <w:rFonts w:ascii="Times New Roman" w:hAnsi="Times New Roman" w:cs="Times New Roman"/>
          <w:lang w:val="es-ES"/>
        </w:rPr>
        <w:lastRenderedPageBreak/>
        <w:t>El financiamiento del gasto del Ministerio de Salud como por ciento del producto interno bruto (PIB) (año base 2007), alcanzó de 1.4 %.</w:t>
      </w:r>
    </w:p>
    <w:p w:rsidR="005D0F06" w:rsidRPr="000D1029" w:rsidRDefault="005D0F06" w:rsidP="00AB6DC7">
      <w:pPr>
        <w:pStyle w:val="ListParagraph"/>
        <w:numPr>
          <w:ilvl w:val="0"/>
          <w:numId w:val="22"/>
        </w:numPr>
        <w:spacing w:line="240" w:lineRule="auto"/>
        <w:rPr>
          <w:rFonts w:ascii="Times New Roman" w:hAnsi="Times New Roman" w:cs="Times New Roman"/>
          <w:lang w:val="es-ES"/>
        </w:rPr>
      </w:pPr>
      <w:r w:rsidRPr="000D1029">
        <w:rPr>
          <w:rFonts w:ascii="Times New Roman" w:hAnsi="Times New Roman" w:cs="Times New Roman"/>
          <w:lang w:val="es-ES"/>
        </w:rPr>
        <w:t>El gasto público en salud per cápita ascendió a RD$7,266. Equivalente a unos US$167.</w:t>
      </w:r>
    </w:p>
    <w:p w:rsidR="005D0F06" w:rsidRPr="000D1029" w:rsidRDefault="005D0F06" w:rsidP="00AB6DC7">
      <w:pPr>
        <w:pStyle w:val="ListParagraph"/>
        <w:numPr>
          <w:ilvl w:val="0"/>
          <w:numId w:val="22"/>
        </w:numPr>
        <w:spacing w:line="240" w:lineRule="auto"/>
        <w:rPr>
          <w:rFonts w:ascii="Times New Roman" w:hAnsi="Times New Roman" w:cs="Times New Roman"/>
          <w:b/>
          <w:lang w:val="es-ES"/>
        </w:rPr>
      </w:pPr>
      <w:r w:rsidRPr="000D1029">
        <w:rPr>
          <w:rFonts w:ascii="Times New Roman" w:hAnsi="Times New Roman" w:cs="Times New Roman"/>
          <w:lang w:val="es-ES"/>
        </w:rPr>
        <w:t>El porcentaje en servicios de prevención y promoción del gasto nacional en salud fue de 4.1 % equivalente a RD$2,976 millones.</w:t>
      </w:r>
      <w:r w:rsidRPr="000D1029">
        <w:rPr>
          <w:rFonts w:ascii="Times New Roman" w:hAnsi="Times New Roman" w:cs="Times New Roman"/>
          <w:b/>
          <w:lang w:val="es-ES"/>
        </w:rPr>
        <w:t xml:space="preserve"> </w:t>
      </w:r>
    </w:p>
    <w:p w:rsidR="005D0F06" w:rsidRPr="000D1029" w:rsidRDefault="005D0F06" w:rsidP="00AB6DC7">
      <w:pPr>
        <w:spacing w:line="240" w:lineRule="auto"/>
        <w:rPr>
          <w:rFonts w:ascii="Times New Roman" w:hAnsi="Times New Roman" w:cs="Times New Roman"/>
          <w:b/>
          <w:lang w:val="es-ES"/>
        </w:rPr>
      </w:pPr>
    </w:p>
    <w:p w:rsidR="005D0F06" w:rsidRPr="000D1029" w:rsidRDefault="00BF660E" w:rsidP="00AB6DC7">
      <w:pPr>
        <w:spacing w:line="240" w:lineRule="auto"/>
        <w:rPr>
          <w:rFonts w:ascii="Times New Roman" w:hAnsi="Times New Roman" w:cs="Times New Roman"/>
          <w:lang w:val="es-ES"/>
        </w:rPr>
      </w:pPr>
      <w:r>
        <w:rPr>
          <w:rFonts w:ascii="Times New Roman" w:hAnsi="Times New Roman" w:cs="Times New Roman"/>
          <w:lang w:val="es-ES"/>
        </w:rPr>
        <w:t>77</w:t>
      </w:r>
      <w:r w:rsidR="005D0F06" w:rsidRPr="000D1029">
        <w:rPr>
          <w:rFonts w:ascii="Times New Roman" w:hAnsi="Times New Roman" w:cs="Times New Roman"/>
          <w:lang w:val="es-ES"/>
        </w:rPr>
        <w:t>. Con relación a la mortalidad materna e infantil, podemos decir que esta constituye un desafío para el sector salud y toda la sociedad. La presente gestión de gobierno ha priorizado la agenda social y retoma el compromiso, a través del Ministerio de Salud, de lograr la disminución significativa de los indicadores nacionales referidos a la mortalidad materna y de la infantil, con énfasis en la neonatal.</w:t>
      </w:r>
    </w:p>
    <w:p w:rsidR="005D0F06" w:rsidRPr="000D1029" w:rsidRDefault="005D0F06" w:rsidP="00AB6DC7">
      <w:pPr>
        <w:spacing w:line="240" w:lineRule="auto"/>
        <w:rPr>
          <w:rFonts w:ascii="Times New Roman" w:hAnsi="Times New Roman" w:cs="Times New Roman"/>
          <w:lang w:val="es-ES"/>
        </w:rPr>
      </w:pPr>
    </w:p>
    <w:p w:rsidR="005D0F06" w:rsidRPr="000D1029" w:rsidRDefault="00BF660E" w:rsidP="00AB6DC7">
      <w:pPr>
        <w:spacing w:line="240" w:lineRule="auto"/>
        <w:rPr>
          <w:rFonts w:ascii="Times New Roman" w:hAnsi="Times New Roman" w:cs="Times New Roman"/>
          <w:lang w:val="es-ES"/>
        </w:rPr>
      </w:pPr>
      <w:r>
        <w:rPr>
          <w:rFonts w:ascii="Times New Roman" w:hAnsi="Times New Roman" w:cs="Times New Roman"/>
          <w:lang w:val="es-ES"/>
        </w:rPr>
        <w:t>78</w:t>
      </w:r>
      <w:r w:rsidR="005D0F06" w:rsidRPr="000D1029">
        <w:rPr>
          <w:rFonts w:ascii="Times New Roman" w:hAnsi="Times New Roman" w:cs="Times New Roman"/>
          <w:lang w:val="es-ES"/>
        </w:rPr>
        <w:t>. Desde el Viceministerio de Salud Colectiva, a través de la Dirección Materno Infantil y Adolescentes se ha elaborado un documento preliminar que sirvió de base para la construcción participativa y comprometida de un plan para la reducción de la mortalidad infantil y materna, que está acorde con las metas trazadas las cuales son de 50 por mil nacidos vivos para la mortalidad materna y para la mortalidad infantil de 15 por mil.</w:t>
      </w:r>
    </w:p>
    <w:p w:rsidR="005D0F06" w:rsidRPr="000D1029" w:rsidRDefault="005D0F06" w:rsidP="00AB6DC7">
      <w:pPr>
        <w:spacing w:line="240" w:lineRule="auto"/>
        <w:rPr>
          <w:rFonts w:ascii="Times New Roman" w:hAnsi="Times New Roman" w:cs="Times New Roman"/>
          <w:lang w:val="es-ES"/>
        </w:rPr>
      </w:pPr>
    </w:p>
    <w:p w:rsidR="005D0F06" w:rsidRPr="00A93750" w:rsidRDefault="00BF660E" w:rsidP="00AB6DC7">
      <w:pPr>
        <w:spacing w:line="240" w:lineRule="auto"/>
        <w:rPr>
          <w:rFonts w:ascii="Times New Roman" w:hAnsi="Times New Roman" w:cs="Times New Roman"/>
          <w:lang w:val="es-ES"/>
        </w:rPr>
      </w:pPr>
      <w:r>
        <w:rPr>
          <w:rFonts w:ascii="Times New Roman" w:hAnsi="Times New Roman" w:cs="Times New Roman"/>
          <w:lang w:val="es-ES"/>
        </w:rPr>
        <w:t>79</w:t>
      </w:r>
      <w:r w:rsidR="005D0F06" w:rsidRPr="000D1029">
        <w:rPr>
          <w:rFonts w:ascii="Times New Roman" w:hAnsi="Times New Roman" w:cs="Times New Roman"/>
          <w:lang w:val="es-ES"/>
        </w:rPr>
        <w:t xml:space="preserve">. Este plan se corresponde con el período 2012-2016 y pretende servir de referencia y orientar las acciones que se ejecutan en cada rincón del país, para que todos los dominicanos y dominicanas, desde sus diferentes ámbitos de actuación, coordinen recursos y esfuerzos con el objetivo de que ninguna mujer muera debido a un embarazo, parto o puerperio y ningún niño o niña muera, por causa que sea evitable. </w:t>
      </w:r>
      <w:r w:rsidR="00A93750">
        <w:rPr>
          <w:rFonts w:ascii="Times New Roman" w:hAnsi="Times New Roman" w:cs="Times New Roman"/>
          <w:lang w:val="es-ES"/>
        </w:rPr>
        <w:t xml:space="preserve"> </w:t>
      </w:r>
      <w:r w:rsidR="005D0F06" w:rsidRPr="000D1029">
        <w:rPr>
          <w:rFonts w:ascii="Times New Roman" w:hAnsi="Times New Roman" w:cs="Times New Roman"/>
        </w:rPr>
        <w:t>En relación al aborto en la República Dominicana, tenemos que admitir que está penalizado por las leyes, desde la promulgación del Código Penal Dominicano, en el año 1884.</w:t>
      </w:r>
    </w:p>
    <w:p w:rsidR="005D0F06" w:rsidRPr="000D1029" w:rsidRDefault="005D0F06" w:rsidP="00AB6DC7">
      <w:pPr>
        <w:tabs>
          <w:tab w:val="left" w:pos="0"/>
          <w:tab w:val="left" w:pos="426"/>
        </w:tabs>
        <w:autoSpaceDE w:val="0"/>
        <w:autoSpaceDN w:val="0"/>
        <w:adjustRightInd w:val="0"/>
        <w:spacing w:line="240" w:lineRule="auto"/>
        <w:rPr>
          <w:rFonts w:ascii="Times New Roman" w:hAnsi="Times New Roman" w:cs="Times New Roman"/>
        </w:rPr>
      </w:pPr>
    </w:p>
    <w:p w:rsidR="005D0F06" w:rsidRPr="000D1029" w:rsidRDefault="00BF660E" w:rsidP="00AB6DC7">
      <w:pPr>
        <w:spacing w:line="240" w:lineRule="auto"/>
        <w:rPr>
          <w:rFonts w:ascii="Times New Roman" w:hAnsi="Times New Roman" w:cs="Times New Roman"/>
          <w:i/>
          <w:lang w:val="es-ES"/>
        </w:rPr>
      </w:pPr>
      <w:r>
        <w:rPr>
          <w:rFonts w:ascii="Times New Roman" w:hAnsi="Times New Roman" w:cs="Times New Roman"/>
          <w:b/>
          <w:i/>
          <w:lang w:val="es-ES"/>
        </w:rPr>
        <w:t>80</w:t>
      </w:r>
      <w:r w:rsidR="005D0F06" w:rsidRPr="000D1029">
        <w:rPr>
          <w:rFonts w:ascii="Times New Roman" w:hAnsi="Times New Roman" w:cs="Times New Roman"/>
          <w:b/>
          <w:i/>
          <w:lang w:val="es-ES"/>
        </w:rPr>
        <w:t xml:space="preserve">. </w:t>
      </w:r>
      <w:r w:rsidR="00272160"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16:</w:t>
      </w:r>
      <w:r w:rsidR="005D0F06" w:rsidRPr="000D1029">
        <w:rPr>
          <w:rFonts w:ascii="Times New Roman" w:hAnsi="Times New Roman" w:cs="Times New Roman"/>
          <w:i/>
          <w:lang w:val="es-ES"/>
        </w:rPr>
        <w:t xml:space="preserve"> El Comité está preocupado por las informaciones sobre discriminación, hostigamiento, homicidios, malos tratos, tortura, agresión sexual y acoso sexual en contra de personas en razón de su orientación sexual o de su identidad de género. El Comité también lamenta la falta de información sobre la efectiva investigación y sanción de estos hechos. (arts. 3, 6, 7, 26).</w:t>
      </w:r>
    </w:p>
    <w:p w:rsidR="005D0F06" w:rsidRPr="000D1029" w:rsidRDefault="005D0F06" w:rsidP="00AB6DC7">
      <w:pPr>
        <w:spacing w:line="240" w:lineRule="auto"/>
        <w:rPr>
          <w:rFonts w:ascii="Times New Roman" w:hAnsi="Times New Roman" w:cs="Times New Roman"/>
          <w:i/>
          <w:lang w:val="es-ES"/>
        </w:rPr>
      </w:pPr>
    </w:p>
    <w:p w:rsidR="005D0F06" w:rsidRPr="000D1029" w:rsidRDefault="00BF660E" w:rsidP="00AB6DC7">
      <w:pPr>
        <w:spacing w:line="240" w:lineRule="auto"/>
        <w:rPr>
          <w:rFonts w:ascii="Times New Roman" w:hAnsi="Times New Roman" w:cs="Times New Roman"/>
          <w:b/>
          <w:i/>
          <w:lang w:val="es-ES"/>
        </w:rPr>
      </w:pPr>
      <w:r>
        <w:rPr>
          <w:rFonts w:ascii="Times New Roman" w:hAnsi="Times New Roman" w:cs="Times New Roman"/>
          <w:b/>
          <w:i/>
          <w:lang w:val="es-ES"/>
        </w:rPr>
        <w:t>81</w:t>
      </w:r>
      <w:r w:rsidR="005D0F06" w:rsidRPr="000D1029">
        <w:rPr>
          <w:rFonts w:ascii="Times New Roman" w:hAnsi="Times New Roman" w:cs="Times New Roman"/>
          <w:b/>
          <w:i/>
          <w:lang w:val="es-ES"/>
        </w:rPr>
        <w:t>. El Estado parte debe señalar claramente y oficialmente que no tolerará ninguna forma de estigmatización social de la homosexualidad, bisexualidad, transexualidad y acoso, discriminación o violencia contra personas por su orientación sexual o su identidad de género. El Estado parte debe garantizar la investigación, enjuiciamiento y sanción de los hechos discriminatorios o de violencia motivados por la orientación sexual de la víctima.</w:t>
      </w:r>
    </w:p>
    <w:p w:rsidR="005D0F06" w:rsidRPr="000D1029" w:rsidRDefault="005D0F06" w:rsidP="00AB6DC7">
      <w:pPr>
        <w:spacing w:line="240" w:lineRule="auto"/>
        <w:rPr>
          <w:rFonts w:ascii="Times New Roman" w:hAnsi="Times New Roman" w:cs="Times New Roman"/>
          <w:b/>
          <w:i/>
          <w:lang w:val="es-ES"/>
        </w:rPr>
      </w:pPr>
    </w:p>
    <w:p w:rsidR="002B69CC" w:rsidRPr="000D1029" w:rsidRDefault="00BF660E" w:rsidP="00AB6DC7">
      <w:pPr>
        <w:spacing w:line="240" w:lineRule="auto"/>
        <w:rPr>
          <w:rFonts w:ascii="Times New Roman" w:hAnsi="Times New Roman" w:cs="Times New Roman"/>
          <w:lang w:val="es-ES"/>
        </w:rPr>
      </w:pPr>
      <w:r>
        <w:rPr>
          <w:rFonts w:ascii="Times New Roman" w:hAnsi="Times New Roman" w:cs="Times New Roman"/>
          <w:b/>
          <w:lang w:val="es-ES"/>
        </w:rPr>
        <w:t>82</w:t>
      </w:r>
      <w:r w:rsidR="005D0F06" w:rsidRPr="000D1029">
        <w:rPr>
          <w:rFonts w:ascii="Times New Roman" w:hAnsi="Times New Roman" w:cs="Times New Roman"/>
          <w:b/>
          <w:lang w:val="es-ES"/>
        </w:rPr>
        <w:t>. Respuesta del Estado dominicano:</w:t>
      </w:r>
      <w:r w:rsidR="00D04975" w:rsidRPr="000D1029">
        <w:rPr>
          <w:rFonts w:ascii="Times New Roman" w:hAnsi="Times New Roman" w:cs="Times New Roman"/>
          <w:b/>
          <w:lang w:val="es-ES"/>
        </w:rPr>
        <w:t xml:space="preserve"> </w:t>
      </w:r>
      <w:r w:rsidR="002B69CC" w:rsidRPr="000D1029">
        <w:rPr>
          <w:rFonts w:ascii="Times New Roman" w:hAnsi="Times New Roman" w:cs="Times New Roman"/>
          <w:lang w:val="es-ES"/>
        </w:rPr>
        <w:t>El estado dominicano en la Constitución Dominicana en su artículo 39 prohíbe todas las formas de discriminación, aunque no especifica el tema de orientación sexual o identidad de género, cita</w:t>
      </w:r>
      <w:r w:rsidR="009649A5" w:rsidRPr="000D1029">
        <w:rPr>
          <w:rFonts w:ascii="Times New Roman" w:hAnsi="Times New Roman" w:cs="Times New Roman"/>
          <w:lang w:val="es-ES"/>
        </w:rPr>
        <w:t xml:space="preserve"> "condición social o personal". </w:t>
      </w:r>
      <w:r w:rsidR="002B69CC" w:rsidRPr="000D1029">
        <w:rPr>
          <w:rFonts w:ascii="Times New Roman" w:hAnsi="Times New Roman" w:cs="Times New Roman"/>
          <w:lang w:val="es-ES"/>
        </w:rPr>
        <w:t>La Ley 49-00, General de Juventud, en su artículo II prohíbe la distinción por "orientación sexual" en la aplicación de la políticas públicas de juventud.</w:t>
      </w:r>
    </w:p>
    <w:p w:rsidR="00D04975" w:rsidRPr="000D1029" w:rsidRDefault="00D04975" w:rsidP="00AB6DC7">
      <w:pPr>
        <w:spacing w:line="240" w:lineRule="auto"/>
        <w:rPr>
          <w:rFonts w:ascii="Times New Roman" w:hAnsi="Times New Roman" w:cs="Times New Roman"/>
          <w:lang w:val="es-ES"/>
        </w:rPr>
      </w:pPr>
    </w:p>
    <w:p w:rsidR="002B69CC" w:rsidRPr="000D1029" w:rsidRDefault="00BF660E" w:rsidP="00AB6DC7">
      <w:pPr>
        <w:spacing w:line="240" w:lineRule="auto"/>
        <w:rPr>
          <w:rFonts w:ascii="Times New Roman" w:hAnsi="Times New Roman" w:cs="Times New Roman"/>
          <w:lang w:val="es-ES"/>
        </w:rPr>
      </w:pPr>
      <w:r>
        <w:rPr>
          <w:rFonts w:ascii="Times New Roman" w:hAnsi="Times New Roman" w:cs="Times New Roman"/>
          <w:lang w:val="es-ES"/>
        </w:rPr>
        <w:t>83</w:t>
      </w:r>
      <w:r w:rsidR="009649A5" w:rsidRPr="000D1029">
        <w:rPr>
          <w:rFonts w:ascii="Times New Roman" w:hAnsi="Times New Roman" w:cs="Times New Roman"/>
          <w:lang w:val="es-ES"/>
        </w:rPr>
        <w:t xml:space="preserve">. </w:t>
      </w:r>
      <w:r w:rsidR="002B69CC" w:rsidRPr="000D1029">
        <w:rPr>
          <w:rFonts w:ascii="Times New Roman" w:hAnsi="Times New Roman" w:cs="Times New Roman"/>
          <w:lang w:val="es-ES"/>
        </w:rPr>
        <w:t>El Párrafo III. Del Código Penal Dominicano nos habla de los ATENTADOS CONTRA LA PERSONALIDAD Y LA DIGNIDAD DE LA PERSONA.  He aquí donde tenemos que prestar atención que la normativa sin importar sanciona y hace valer los derechos de todos sin importar la preferencia sexual. Actualmente es un tema controversial y que día tras día crece más el tema de concientización y de aceptación de lo que es el tema de los grupos LGTB.</w:t>
      </w:r>
    </w:p>
    <w:p w:rsidR="005D0F06" w:rsidRDefault="005D0F06" w:rsidP="00AB6DC7">
      <w:pPr>
        <w:spacing w:line="240" w:lineRule="auto"/>
        <w:rPr>
          <w:rFonts w:ascii="Times New Roman" w:hAnsi="Times New Roman" w:cs="Times New Roman"/>
          <w:i/>
          <w:lang w:val="es-ES"/>
        </w:rPr>
      </w:pPr>
    </w:p>
    <w:p w:rsidR="005D0F06" w:rsidRPr="000D1029" w:rsidRDefault="003F65B7" w:rsidP="00AB6DC7">
      <w:pPr>
        <w:spacing w:line="240" w:lineRule="auto"/>
        <w:rPr>
          <w:rFonts w:ascii="Times New Roman" w:hAnsi="Times New Roman" w:cs="Times New Roman"/>
          <w:i/>
          <w:lang w:val="es-ES"/>
        </w:rPr>
      </w:pPr>
      <w:r>
        <w:rPr>
          <w:rFonts w:ascii="Times New Roman" w:hAnsi="Times New Roman" w:cs="Times New Roman"/>
          <w:b/>
          <w:i/>
          <w:lang w:val="es-ES"/>
        </w:rPr>
        <w:t>8</w:t>
      </w:r>
      <w:r w:rsidR="00BF660E">
        <w:rPr>
          <w:rFonts w:ascii="Times New Roman" w:hAnsi="Times New Roman" w:cs="Times New Roman"/>
          <w:b/>
          <w:i/>
          <w:lang w:val="es-ES"/>
        </w:rPr>
        <w:t>4</w:t>
      </w:r>
      <w:r w:rsidR="005D0F06" w:rsidRPr="000D1029">
        <w:rPr>
          <w:rFonts w:ascii="Times New Roman" w:hAnsi="Times New Roman" w:cs="Times New Roman"/>
          <w:b/>
          <w:i/>
          <w:lang w:val="es-ES"/>
        </w:rPr>
        <w:t xml:space="preserve">. </w:t>
      </w:r>
      <w:r w:rsidR="00272160"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17</w:t>
      </w:r>
      <w:r w:rsidR="005D0F06" w:rsidRPr="000D1029">
        <w:rPr>
          <w:rFonts w:ascii="Times New Roman" w:hAnsi="Times New Roman" w:cs="Times New Roman"/>
          <w:i/>
          <w:lang w:val="es-ES"/>
        </w:rPr>
        <w:t>: Preocupa al Comité el número creciente de casos de tráfico de personas, que afectan principalmente a mujeres y niños, y el hecho que solo haya habido investigaciones, enjuiciamientos y condenas en una mínima proporción de casos. El Comité también lamenta el número limitado de albergues disponibles para las víctimas de tráfico de personas, especialmente en las zonas alejadas de las principales ciudades (arts. 3, 7 y 8 del Pacto).</w:t>
      </w:r>
    </w:p>
    <w:p w:rsidR="005D0F06" w:rsidRPr="000D1029" w:rsidRDefault="005D0F06" w:rsidP="00AB6DC7">
      <w:pPr>
        <w:spacing w:line="240" w:lineRule="auto"/>
        <w:rPr>
          <w:rFonts w:ascii="Times New Roman" w:hAnsi="Times New Roman" w:cs="Times New Roman"/>
          <w:i/>
          <w:lang w:val="es-ES"/>
        </w:rPr>
      </w:pPr>
    </w:p>
    <w:p w:rsidR="005D0F06" w:rsidRPr="000D1029" w:rsidRDefault="00BF660E" w:rsidP="00AB6DC7">
      <w:pPr>
        <w:spacing w:line="240" w:lineRule="auto"/>
        <w:rPr>
          <w:rFonts w:ascii="Times New Roman" w:hAnsi="Times New Roman" w:cs="Times New Roman"/>
          <w:b/>
          <w:i/>
          <w:lang w:val="es-ES"/>
        </w:rPr>
      </w:pPr>
      <w:r>
        <w:rPr>
          <w:rFonts w:ascii="Times New Roman" w:hAnsi="Times New Roman" w:cs="Times New Roman"/>
          <w:b/>
          <w:i/>
          <w:lang w:val="es-ES"/>
        </w:rPr>
        <w:t>85</w:t>
      </w:r>
      <w:r w:rsidR="005D0F06" w:rsidRPr="000D1029">
        <w:rPr>
          <w:rFonts w:ascii="Times New Roman" w:hAnsi="Times New Roman" w:cs="Times New Roman"/>
          <w:b/>
          <w:i/>
          <w:lang w:val="es-ES"/>
        </w:rPr>
        <w:t>. El Estado parte debe investigar eficazmente el fenómeno de la trata de personas, identificando a los responsables, enjuiciándolos e imponiéndoles sanciones proporcionales a la gravedad de los hechos. Debe asegurar la protección de los derechos de las víctimas, incluyendo la provisión de albergues en todas las regiones del país. Además, el Estado parte debe recopilar estadísticas fiables para combatir con eficacia este flagelo.</w:t>
      </w:r>
    </w:p>
    <w:p w:rsidR="005D0F06" w:rsidRPr="000D1029" w:rsidRDefault="005D0F06" w:rsidP="00AB6DC7">
      <w:pPr>
        <w:spacing w:line="240" w:lineRule="auto"/>
        <w:rPr>
          <w:rFonts w:ascii="Times New Roman" w:hAnsi="Times New Roman" w:cs="Times New Roman"/>
          <w:b/>
          <w:i/>
          <w:lang w:val="es-ES"/>
        </w:rPr>
      </w:pPr>
    </w:p>
    <w:p w:rsidR="007979FD" w:rsidRPr="000D1029" w:rsidRDefault="00BF660E" w:rsidP="00AB6DC7">
      <w:pPr>
        <w:spacing w:line="240" w:lineRule="auto"/>
        <w:rPr>
          <w:rFonts w:ascii="Times New Roman" w:hAnsi="Times New Roman" w:cs="Times New Roman"/>
        </w:rPr>
      </w:pPr>
      <w:r>
        <w:rPr>
          <w:rFonts w:ascii="Times New Roman" w:hAnsi="Times New Roman" w:cs="Times New Roman"/>
          <w:b/>
          <w:lang w:val="es-ES"/>
        </w:rPr>
        <w:t>86</w:t>
      </w:r>
      <w:r w:rsidR="005D0F06" w:rsidRPr="000D1029">
        <w:rPr>
          <w:rFonts w:ascii="Times New Roman" w:hAnsi="Times New Roman" w:cs="Times New Roman"/>
          <w:b/>
          <w:lang w:val="es-ES"/>
        </w:rPr>
        <w:t xml:space="preserve">. Respuesta del Estado dominicano: </w:t>
      </w:r>
      <w:r w:rsidR="007979FD" w:rsidRPr="000D1029">
        <w:rPr>
          <w:rFonts w:ascii="Times New Roman" w:hAnsi="Times New Roman" w:cs="Times New Roman"/>
        </w:rPr>
        <w:t>La Unidad contra el tráfico Ilícito de Migrantes y Trata de Personas fue elevada a Procuraduría Especializada en fecha cuatro (04) de febrero de 2013, mediante la Primera Resolución, Párrafo Tercero de la Tercera Sesión del Consejo Superior del Ministerio Público.</w:t>
      </w:r>
      <w:r w:rsidR="003F65B7">
        <w:rPr>
          <w:rFonts w:ascii="Times New Roman" w:hAnsi="Times New Roman" w:cs="Times New Roman"/>
        </w:rPr>
        <w:t xml:space="preserve"> </w:t>
      </w:r>
      <w:r w:rsidR="007979FD" w:rsidRPr="000D1029">
        <w:rPr>
          <w:rFonts w:ascii="Times New Roman" w:hAnsi="Times New Roman" w:cs="Times New Roman"/>
        </w:rPr>
        <w:t>La misma es responsable de implementar una política criminal nacional de combate al crimen organizado con jurisdicción en todo el país, haciendo cumplir la Ley 137-03, que sanciona los delitos de Tráfico Ilícito de Migrantes y Trata de Personas.</w:t>
      </w:r>
    </w:p>
    <w:p w:rsidR="007979FD" w:rsidRPr="000D1029" w:rsidRDefault="007979FD" w:rsidP="00AB6DC7">
      <w:pPr>
        <w:spacing w:line="240" w:lineRule="auto"/>
        <w:rPr>
          <w:rFonts w:ascii="Times New Roman" w:hAnsi="Times New Roman" w:cs="Times New Roman"/>
        </w:rPr>
      </w:pPr>
      <w:r w:rsidRPr="000D1029">
        <w:rPr>
          <w:rFonts w:ascii="Times New Roman" w:hAnsi="Times New Roman" w:cs="Times New Roman"/>
        </w:rPr>
        <w:t xml:space="preserve"> </w:t>
      </w:r>
    </w:p>
    <w:p w:rsidR="007979FD" w:rsidRPr="00017F8E" w:rsidRDefault="00BF660E" w:rsidP="00AB6DC7">
      <w:pPr>
        <w:tabs>
          <w:tab w:val="left" w:pos="3840"/>
        </w:tabs>
        <w:spacing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87</w:t>
      </w:r>
      <w:r w:rsidR="009649A5" w:rsidRPr="000D1029">
        <w:rPr>
          <w:rFonts w:ascii="Times New Roman" w:eastAsia="Calibri" w:hAnsi="Times New Roman" w:cs="Times New Roman"/>
          <w:color w:val="000000"/>
        </w:rPr>
        <w:t xml:space="preserve">. </w:t>
      </w:r>
      <w:r w:rsidR="007979FD" w:rsidRPr="000D1029">
        <w:rPr>
          <w:rFonts w:ascii="Times New Roman" w:eastAsia="Calibri" w:hAnsi="Times New Roman" w:cs="Times New Roman"/>
          <w:color w:val="000000"/>
        </w:rPr>
        <w:t xml:space="preserve">La Procuraduría Especializada contra el Tráfico Ilícito de Migrantes y Trata de Personas cuenta con un equipo de investigadores, los cuales realizan operativos y vigilancias, para detectar casos de trata, tenemos </w:t>
      </w:r>
      <w:r w:rsidR="007979FD" w:rsidRPr="000D1029">
        <w:rPr>
          <w:rFonts w:ascii="Times New Roman" w:eastAsia="Times New Roman" w:hAnsi="Times New Roman" w:cs="Times New Roman"/>
          <w:color w:val="000000"/>
        </w:rPr>
        <w:t>con una línea de denuncia gratuita donde cualquier ciudadano puede informar de un hecho y nuestros investigadores acuden al lugar para evaluar la situación</w:t>
      </w:r>
      <w:r w:rsidR="00017F8E">
        <w:rPr>
          <w:rFonts w:ascii="Times New Roman" w:eastAsia="Times New Roman" w:hAnsi="Times New Roman" w:cs="Times New Roman"/>
          <w:color w:val="000000"/>
        </w:rPr>
        <w:t xml:space="preserve">, </w:t>
      </w:r>
      <w:r w:rsidR="00017F8E">
        <w:rPr>
          <w:rFonts w:ascii="Times New Roman" w:eastAsia="Calibri" w:hAnsi="Times New Roman" w:cs="Times New Roman"/>
          <w:color w:val="000000"/>
        </w:rPr>
        <w:t>l</w:t>
      </w:r>
      <w:r w:rsidR="00017F8E" w:rsidRPr="000D1029">
        <w:rPr>
          <w:rFonts w:ascii="Times New Roman" w:eastAsia="Calibri" w:hAnsi="Times New Roman" w:cs="Times New Roman"/>
          <w:color w:val="000000"/>
        </w:rPr>
        <w:t>a línea gratuita de denuncias está habilitada las 24 horas del día, bajo parámetros de confidencialidad. El número de</w:t>
      </w:r>
      <w:r w:rsidR="00017F8E">
        <w:rPr>
          <w:rFonts w:ascii="Times New Roman" w:eastAsia="Calibri" w:hAnsi="Times New Roman" w:cs="Times New Roman"/>
          <w:color w:val="000000"/>
        </w:rPr>
        <w:t xml:space="preserve"> esta línea es 1-809-200-7393. </w:t>
      </w:r>
      <w:r w:rsidR="007979FD" w:rsidRPr="000D1029">
        <w:rPr>
          <w:rFonts w:ascii="Times New Roman" w:eastAsia="Times New Roman" w:hAnsi="Times New Roman" w:cs="Times New Roman"/>
          <w:color w:val="000000"/>
        </w:rPr>
        <w:t xml:space="preserve"> Asimismo contamos con un correo</w:t>
      </w:r>
      <w:r w:rsidR="007979FD" w:rsidRPr="000D1029">
        <w:rPr>
          <w:rFonts w:ascii="Times New Roman" w:eastAsia="Calibri" w:hAnsi="Times New Roman" w:cs="Times New Roman"/>
          <w:color w:val="000000"/>
        </w:rPr>
        <w:t xml:space="preserve"> institucional para lo mismo, aparte de que tomamos denuncias en nuestras oficinas. </w:t>
      </w:r>
      <w:r w:rsidR="007979FD" w:rsidRPr="000D1029">
        <w:rPr>
          <w:rFonts w:ascii="Times New Roman" w:eastAsia="Times New Roman" w:hAnsi="Times New Roman" w:cs="Times New Roman"/>
          <w:color w:val="000000"/>
        </w:rPr>
        <w:t>Se pone especial atención en los lugares que son conocidos como zonas vulnerables.</w:t>
      </w:r>
    </w:p>
    <w:p w:rsidR="006B00B4" w:rsidRPr="000D1029" w:rsidRDefault="006B00B4" w:rsidP="00AB6DC7">
      <w:pPr>
        <w:tabs>
          <w:tab w:val="left" w:pos="3840"/>
        </w:tabs>
        <w:spacing w:line="240" w:lineRule="auto"/>
        <w:contextualSpacing/>
        <w:rPr>
          <w:rFonts w:ascii="Times New Roman" w:eastAsia="Calibri" w:hAnsi="Times New Roman" w:cs="Times New Roman"/>
          <w:color w:val="000000"/>
        </w:rPr>
      </w:pPr>
    </w:p>
    <w:p w:rsidR="007979FD" w:rsidRPr="000D1029" w:rsidRDefault="00BF660E" w:rsidP="00AB6DC7">
      <w:pPr>
        <w:tabs>
          <w:tab w:val="left" w:pos="3840"/>
        </w:tabs>
        <w:spacing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88</w:t>
      </w:r>
      <w:r w:rsidR="009649A5" w:rsidRPr="000D1029">
        <w:rPr>
          <w:rFonts w:ascii="Times New Roman" w:eastAsia="Calibri" w:hAnsi="Times New Roman" w:cs="Times New Roman"/>
          <w:color w:val="000000"/>
        </w:rPr>
        <w:t xml:space="preserve">. </w:t>
      </w:r>
      <w:r w:rsidR="007979FD" w:rsidRPr="000D1029">
        <w:rPr>
          <w:rFonts w:ascii="Times New Roman" w:eastAsia="Calibri" w:hAnsi="Times New Roman" w:cs="Times New Roman"/>
          <w:color w:val="000000"/>
        </w:rPr>
        <w:t>En cuanto a la concienciación pública esta Procuraduría Especializada se ha dedicado a la distribución de brochures, con las informaciones básicas del ilícito de Trata de Personas y las informaciones de dónde y cómo denunciarlo,  programas de televisión,  programas de radio,  noticias en periódicos, y una cuenta de twitter.</w:t>
      </w:r>
    </w:p>
    <w:p w:rsidR="00BF660E" w:rsidRDefault="00BF660E"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Calibri" w:hAnsi="Times New Roman" w:cs="Times New Roman"/>
          <w:lang w:val="es-DO"/>
        </w:rPr>
        <w:t>89</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Con respecto de las iniciativas contra la trata, ofrecemos talleres, los cuales son impartidos por los fiscales expertos en el tema, con la colaboración de Organizaciones también especializadas en este flagelo, como lo son: La Comisión Interinstitucional de Combate a la Trata de Personas y el Tráfico Ilícito de Migrantes que es dirigida por el Ministerio de Relaciones Exteriores; el Comité de Protección a la Mujer Migrante (CIPROM) desde el Ministerio de la Mujer para la asistencia de esta población y l CITIM como órgano coordinador de las acciones Interinstitucionales contra la Trata se encuentra trabajando en el Plan Nacional contra la Trata de Personas los cuales gestionan el retorno de las víctimas en el exterior y han coordinado tres reuniones de seguimiento y dos para la continuación del Plan Nacional contra la Trata.</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spacing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90</w:t>
      </w:r>
      <w:r w:rsidR="009649A5" w:rsidRPr="000D1029">
        <w:rPr>
          <w:rFonts w:ascii="Times New Roman" w:eastAsia="Times New Roman" w:hAnsi="Times New Roman" w:cs="Times New Roman"/>
          <w:color w:val="000000"/>
        </w:rPr>
        <w:t xml:space="preserve">. </w:t>
      </w:r>
      <w:r w:rsidR="007979FD" w:rsidRPr="000D1029">
        <w:rPr>
          <w:rFonts w:ascii="Times New Roman" w:eastAsia="Times New Roman" w:hAnsi="Times New Roman" w:cs="Times New Roman"/>
          <w:color w:val="000000"/>
        </w:rPr>
        <w:t xml:space="preserve">Igualmente la Procuraduría Especializada contra el Tráfico Ilícito de Migrantes y Trata de Personas, colabora con los trabajos que realizan algunas ONG´s relacionadas al tema, pero más que colaborar nosotros con cualquier Organización No Gubernamental, es un trabajo en </w:t>
      </w:r>
      <w:r w:rsidR="007979FD" w:rsidRPr="000D1029">
        <w:rPr>
          <w:rFonts w:ascii="Times New Roman" w:eastAsia="Times New Roman" w:hAnsi="Times New Roman" w:cs="Times New Roman"/>
          <w:color w:val="000000"/>
        </w:rPr>
        <w:lastRenderedPageBreak/>
        <w:t xml:space="preserve">conjunto que se hace con las mismas, pues muchas de ellas colaboran con nosotros más de lo que nosotros colaboramos a ellas por el órgano que representamos ante este flagelo. A pesar de esto sí brindamos el apoyo necesario dentro de nuestras posibilidades, para el buen desenvolvimiento de estas ONG´s en la lucha contra la Trata y el Tráfico de Personas. </w:t>
      </w:r>
    </w:p>
    <w:p w:rsidR="00973740" w:rsidRPr="000D1029" w:rsidRDefault="00973740" w:rsidP="00AB6DC7">
      <w:pPr>
        <w:spacing w:line="240" w:lineRule="auto"/>
        <w:contextualSpacing/>
        <w:rPr>
          <w:rFonts w:ascii="Times New Roman" w:eastAsia="Times New Roman" w:hAnsi="Times New Roman" w:cs="Times New Roman"/>
          <w:color w:val="000000"/>
        </w:rPr>
      </w:pPr>
    </w:p>
    <w:p w:rsidR="007979FD" w:rsidRPr="000D1029"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Times New Roman" w:hAnsi="Times New Roman" w:cs="Times New Roman"/>
          <w:color w:val="000000"/>
        </w:rPr>
        <w:t>91</w:t>
      </w:r>
      <w:r w:rsidR="009649A5" w:rsidRPr="000D1029">
        <w:rPr>
          <w:rFonts w:ascii="Times New Roman" w:eastAsia="Times New Roman" w:hAnsi="Times New Roman" w:cs="Times New Roman"/>
          <w:color w:val="000000"/>
        </w:rPr>
        <w:t xml:space="preserve">. </w:t>
      </w:r>
      <w:r w:rsidR="007979FD" w:rsidRPr="000D1029">
        <w:rPr>
          <w:rFonts w:ascii="Times New Roman" w:eastAsia="Times New Roman" w:hAnsi="Times New Roman" w:cs="Times New Roman"/>
          <w:color w:val="000000"/>
        </w:rPr>
        <w:t xml:space="preserve">A parte de las ONG´s colaboramos y recibimos colaboración de organizaciones internacionales como Organización Internacional para las Migraciones, </w:t>
      </w:r>
      <w:r w:rsidR="007979FD" w:rsidRPr="000D1029">
        <w:rPr>
          <w:rFonts w:ascii="Times New Roman" w:eastAsia="Calibri" w:hAnsi="Times New Roman" w:cs="Times New Roman"/>
          <w:lang w:val="es-DO"/>
        </w:rPr>
        <w:t xml:space="preserve">la misma ha ayudado con el Ministerio Público en los casos llevados de Trata de Personas, en lo concerniente con la atención a las víctimas, intérpretes, ayuda económica, organización, proyectos, impartición de talleres, y gestión de fondos. De igual modo </w:t>
      </w:r>
      <w:r w:rsidR="007979FD" w:rsidRPr="000D1029">
        <w:rPr>
          <w:rFonts w:ascii="Times New Roman" w:eastAsia="Times New Roman" w:hAnsi="Times New Roman" w:cs="Times New Roman"/>
          <w:color w:val="000000"/>
        </w:rPr>
        <w:t>Misión Internacional de Justicia, Fight Ministeries, Organización Internacional del Trabajo y la Organización de las Naciones Unidas.</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Calibri" w:hAnsi="Times New Roman" w:cs="Times New Roman"/>
          <w:lang w:val="es-DO"/>
        </w:rPr>
        <w:t>92</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 xml:space="preserve">Contamos con una Casa de Asistencia para víctimas de trata de personas y Explotación Sexual, la cual cuenta con un Modelo de Asistencia basado en la intervención en crisis y la formación en liderazgo y técnica de las usuarias. </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Con el apoyo de UNICEF, realizamos las mesas de investigación judicial sobre ESC Y Trata de niños, niñas y adolescentes para mejorar la gestión de los casos de Explotación Sexual Comercial Infantil y Trata de Personas, logrando 6 reuniones en Junio, 6 reuniones en Julio, 5 en Agosto y 3 en Septiembre, 4 reuniones en Octubre y 6 en Noviembre, para un total de 62 mesas con presencia de Min</w:t>
      </w:r>
      <w:r w:rsidR="00A7482B">
        <w:rPr>
          <w:rFonts w:ascii="Times New Roman" w:eastAsia="Calibri" w:hAnsi="Times New Roman" w:cs="Times New Roman"/>
          <w:lang w:val="es-DO"/>
        </w:rPr>
        <w:t>isterio</w:t>
      </w:r>
      <w:r w:rsidR="007979FD" w:rsidRPr="000D1029">
        <w:rPr>
          <w:rFonts w:ascii="Times New Roman" w:eastAsia="Calibri" w:hAnsi="Times New Roman" w:cs="Times New Roman"/>
          <w:lang w:val="es-DO"/>
        </w:rPr>
        <w:t xml:space="preserve"> Público, Policía Nacional, Fuerzas Armadas, COBA</w:t>
      </w:r>
      <w:r w:rsidR="00A7482B">
        <w:rPr>
          <w:rStyle w:val="FootnoteReference"/>
          <w:rFonts w:ascii="Times New Roman" w:eastAsia="Calibri" w:hAnsi="Times New Roman" w:cs="Times New Roman"/>
          <w:lang w:val="es-DO"/>
        </w:rPr>
        <w:footnoteReference w:id="3"/>
      </w:r>
      <w:r w:rsidR="007979FD" w:rsidRPr="000D1029">
        <w:rPr>
          <w:rFonts w:ascii="Times New Roman" w:eastAsia="Calibri" w:hAnsi="Times New Roman" w:cs="Times New Roman"/>
          <w:lang w:val="es-DO"/>
        </w:rPr>
        <w:t>, CESTUR</w:t>
      </w:r>
      <w:r w:rsidR="00A7482B">
        <w:rPr>
          <w:rStyle w:val="FootnoteReference"/>
          <w:rFonts w:ascii="Times New Roman" w:eastAsia="Calibri" w:hAnsi="Times New Roman" w:cs="Times New Roman"/>
          <w:lang w:val="es-DO"/>
        </w:rPr>
        <w:footnoteReference w:id="4"/>
      </w:r>
      <w:r w:rsidR="007979FD" w:rsidRPr="000D1029">
        <w:rPr>
          <w:rFonts w:ascii="Times New Roman" w:eastAsia="Calibri" w:hAnsi="Times New Roman" w:cs="Times New Roman"/>
          <w:lang w:val="es-DO"/>
        </w:rPr>
        <w:t>, CESFRONT</w:t>
      </w:r>
      <w:r w:rsidR="00A7482B">
        <w:rPr>
          <w:rStyle w:val="FootnoteReference"/>
          <w:rFonts w:ascii="Times New Roman" w:eastAsia="Calibri" w:hAnsi="Times New Roman" w:cs="Times New Roman"/>
          <w:lang w:val="es-DO"/>
        </w:rPr>
        <w:footnoteReference w:id="5"/>
      </w:r>
      <w:r w:rsidR="007979FD" w:rsidRPr="000D1029">
        <w:rPr>
          <w:rFonts w:ascii="Times New Roman" w:eastAsia="Calibri" w:hAnsi="Times New Roman" w:cs="Times New Roman"/>
          <w:lang w:val="es-DO"/>
        </w:rPr>
        <w:t>; además: ONGs prestadoras de servicios a NNA como Visión Mundial, Organización de Mujeres Higüeyanas, Dream Proyect, Caminante, MAIS</w:t>
      </w:r>
      <w:r w:rsidR="00A7482B">
        <w:rPr>
          <w:rStyle w:val="FootnoteReference"/>
          <w:rFonts w:ascii="Times New Roman" w:eastAsia="Calibri" w:hAnsi="Times New Roman" w:cs="Times New Roman"/>
          <w:lang w:val="es-DO"/>
        </w:rPr>
        <w:footnoteReference w:id="6"/>
      </w:r>
      <w:r w:rsidR="007979FD" w:rsidRPr="000D1029">
        <w:rPr>
          <w:rFonts w:ascii="Times New Roman" w:eastAsia="Calibri" w:hAnsi="Times New Roman" w:cs="Times New Roman"/>
          <w:lang w:val="es-DO"/>
        </w:rPr>
        <w:t>, representantes de las Juntas de Protección y CONANI</w:t>
      </w:r>
      <w:r w:rsidR="00A7482B">
        <w:rPr>
          <w:rStyle w:val="FootnoteReference"/>
          <w:rFonts w:ascii="Times New Roman" w:eastAsia="Calibri" w:hAnsi="Times New Roman" w:cs="Times New Roman"/>
          <w:lang w:val="es-DO"/>
        </w:rPr>
        <w:footnoteReference w:id="7"/>
      </w:r>
      <w:r w:rsidR="007979FD" w:rsidRPr="000D1029">
        <w:rPr>
          <w:rFonts w:ascii="Times New Roman" w:eastAsia="Calibri" w:hAnsi="Times New Roman" w:cs="Times New Roman"/>
          <w:lang w:val="es-DO"/>
        </w:rPr>
        <w:t xml:space="preserve">; Oficinas Provinciales y Municipales de la Mujer; Ministerio de Educación; Ministerio de Trabajo; Ministerio de Salud; Ministerio de Turismo, Poder Judicial; Asociaciones de Hoteles y comerciantes, de motoconchistas y Taxistas, y líderes comunitarios. A </w:t>
      </w:r>
      <w:r w:rsidR="009649A5" w:rsidRPr="000D1029">
        <w:rPr>
          <w:rFonts w:ascii="Times New Roman" w:eastAsia="Calibri" w:hAnsi="Times New Roman" w:cs="Times New Roman"/>
          <w:lang w:val="es-DO"/>
        </w:rPr>
        <w:t xml:space="preserve">119. </w:t>
      </w:r>
      <w:r w:rsidR="007979FD" w:rsidRPr="000D1029">
        <w:rPr>
          <w:rFonts w:ascii="Times New Roman" w:eastAsia="Calibri" w:hAnsi="Times New Roman" w:cs="Times New Roman"/>
          <w:lang w:val="es-DO"/>
        </w:rPr>
        <w:t>partir de las Mesas de Investigación en las zonas seleccionadas, se han identificado 66 casos de NNA</w:t>
      </w:r>
      <w:r w:rsidR="00A7482B">
        <w:rPr>
          <w:rStyle w:val="FootnoteReference"/>
          <w:rFonts w:ascii="Times New Roman" w:eastAsia="Calibri" w:hAnsi="Times New Roman" w:cs="Times New Roman"/>
          <w:lang w:val="es-DO"/>
        </w:rPr>
        <w:footnoteReference w:id="8"/>
      </w:r>
      <w:r w:rsidR="007979FD" w:rsidRPr="000D1029">
        <w:rPr>
          <w:rFonts w:ascii="Times New Roman" w:eastAsia="Calibri" w:hAnsi="Times New Roman" w:cs="Times New Roman"/>
          <w:lang w:val="es-DO"/>
        </w:rPr>
        <w:t xml:space="preserve"> en situación de Explotación Sexual Comercial, los cuales han recibido asistencia psicológica legal y de trabajo social mediante la Unidad de Asistencia a Víctimas de la PETT</w:t>
      </w:r>
      <w:r w:rsidR="00A7482B">
        <w:rPr>
          <w:rStyle w:val="FootnoteReference"/>
          <w:rFonts w:ascii="Times New Roman" w:eastAsia="Calibri" w:hAnsi="Times New Roman" w:cs="Times New Roman"/>
          <w:lang w:val="es-DO"/>
        </w:rPr>
        <w:footnoteReference w:id="9"/>
      </w:r>
      <w:r w:rsidR="007979FD" w:rsidRPr="000D1029">
        <w:rPr>
          <w:rFonts w:ascii="Times New Roman" w:eastAsia="Calibri" w:hAnsi="Times New Roman" w:cs="Times New Roman"/>
          <w:lang w:val="es-DO"/>
        </w:rPr>
        <w:t>, en razón de que son los mismos imputados se han judicializado en 13 expedientes activos.</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Calibri" w:hAnsi="Times New Roman" w:cs="Times New Roman"/>
          <w:lang w:val="es-DO"/>
        </w:rPr>
        <w:t>93</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 xml:space="preserve">También realizamos un levantamiento judicial, social y periodístico de casos para identificar zonas de alta incidencia y las estrategias de captación, durante el periodo 2010-2014 mediante el cual se identificaron en las zonas seleccionadas un total de 14 casos de explotación sexual, de los cuales solo uno presenta sentencia y otros 13 archivos, sin embargo no todos fueron tipificados correctamente ni mediante la jurisdicción correspondiente. Los hallazgos preliminares del levantamiento judicial demuestran que: a) los casos de explotación sexual comercial requieren de una investigación más exhaustiva y que muchos son archivados por falta de pruebas, de diligencias procesales o por desinterés y sensibilización de las víctimas y sus familias, b) que, algunos casos fueron tipificados como abuso sexual teniendo elementos claros de explotación sexual comercial; c) ninguno de los casos anteriores al 2013 tienen registrado procesos de asistencia a víctimas, ni protección; d) el número de </w:t>
      </w:r>
      <w:r w:rsidR="007979FD" w:rsidRPr="000D1029">
        <w:rPr>
          <w:rFonts w:ascii="Times New Roman" w:eastAsia="Calibri" w:hAnsi="Times New Roman" w:cs="Times New Roman"/>
          <w:lang w:val="es-DO"/>
        </w:rPr>
        <w:lastRenderedPageBreak/>
        <w:t>casos identificados cambia drásticamente en el proceso 2013-2014 frente a la creación de la PETT.</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Calibri" w:hAnsi="Times New Roman" w:cs="Times New Roman"/>
          <w:lang w:val="es-DO"/>
        </w:rPr>
        <w:t>94</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Además de</w:t>
      </w:r>
      <w:r w:rsidR="00DA2E62">
        <w:rPr>
          <w:rFonts w:ascii="Times New Roman" w:eastAsia="Calibri" w:hAnsi="Times New Roman" w:cs="Times New Roman"/>
          <w:lang w:val="es-DO"/>
        </w:rPr>
        <w:t xml:space="preserve">l lanzamiento de dos protocolos, </w:t>
      </w:r>
      <w:r w:rsidR="007979FD" w:rsidRPr="000D1029">
        <w:rPr>
          <w:rFonts w:ascii="Times New Roman" w:eastAsia="Calibri" w:hAnsi="Times New Roman" w:cs="Times New Roman"/>
          <w:lang w:val="es-DO"/>
        </w:rPr>
        <w:t>el protocolo para la detección, asistencia y referencia de niños, niñas y adolescentes víctimas de trata de personas y el protocolo para la identificación, asistencia y reintegración a las sobrevivientes de trata de personas, que contemplan la ruta y los pasos que deben seguirse en estos casos.</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Calibri" w:hAnsi="Times New Roman" w:cs="Times New Roman"/>
          <w:lang w:val="es-DO"/>
        </w:rPr>
        <w:t>95</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Otro de los mayores logros del año 2014 fue la implementación del sistema de detección de los migrantes con delitos sexuales registrados, a los cuales se les impidió la entrada a la República Dominicana. De diciembre 2013 a enero 2014 se les fue impedida la entrada a 8 personas, en febrero 2014 a 12 personas, en marzo a 3, en abril a 4 personas, y en mayo a 3 personas, en total tenemos 30 personas que les fue negado el ingreso a la República Dominicana en el período diciembre 2013 – mayo 2014, esto con el fin de contrarrestar los delitos de explotación sexual comercial, la trata de personas, y todo delito sexual tipificado en nuestro ordenamiento jurídico y disminuir el turismo sexual en la República Dominicana.</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spacing w:line="240" w:lineRule="auto"/>
        <w:rPr>
          <w:rFonts w:ascii="Times New Roman" w:eastAsia="Calibri" w:hAnsi="Times New Roman" w:cs="Times New Roman"/>
          <w:lang w:val="es-DO"/>
        </w:rPr>
      </w:pPr>
      <w:r>
        <w:rPr>
          <w:rFonts w:ascii="Times New Roman" w:eastAsia="Calibri" w:hAnsi="Times New Roman" w:cs="Times New Roman"/>
          <w:lang w:val="es-DO"/>
        </w:rPr>
        <w:t>96</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También en fecha veintidós (22) del mes de enero del año 2015, fueron aprobada las Políticas para la Persecución Penal de los Fenómenos Criminales de Tráfico Ilícito de Migrantes y Trata de Personas, a los fines de que las mismas se apliquen por todos los miembros del Ministerio Público a la hora de perseguir estos delitos.</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Pr="000D1029"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Calibri" w:hAnsi="Times New Roman" w:cs="Times New Roman"/>
          <w:lang w:val="es-DO"/>
        </w:rPr>
        <w:t>97</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 xml:space="preserve">En cuanto a la protección a víctimas menores de edad, estas son referidas hacia CONANI y otros Hogares de Paso, se ha resguardado su identidad, se protege su integridad física, psicológica, y con el apoyo de ONG´s ha podido lograrse la reunificación familiar, además de que se les ha incluido en programas de reinserción social. </w:t>
      </w:r>
    </w:p>
    <w:p w:rsidR="007979FD" w:rsidRPr="000D1029" w:rsidRDefault="007979FD" w:rsidP="00AB6DC7">
      <w:pPr>
        <w:autoSpaceDE w:val="0"/>
        <w:autoSpaceDN w:val="0"/>
        <w:adjustRightInd w:val="0"/>
        <w:spacing w:line="240" w:lineRule="auto"/>
        <w:rPr>
          <w:rFonts w:ascii="Times New Roman" w:eastAsia="Calibri" w:hAnsi="Times New Roman" w:cs="Times New Roman"/>
          <w:lang w:val="es-DO"/>
        </w:rPr>
      </w:pPr>
    </w:p>
    <w:p w:rsidR="007979FD" w:rsidRDefault="00BF660E" w:rsidP="00AB6DC7">
      <w:pPr>
        <w:autoSpaceDE w:val="0"/>
        <w:autoSpaceDN w:val="0"/>
        <w:adjustRightInd w:val="0"/>
        <w:spacing w:line="240" w:lineRule="auto"/>
        <w:rPr>
          <w:rFonts w:ascii="Times New Roman" w:eastAsia="Calibri" w:hAnsi="Times New Roman" w:cs="Times New Roman"/>
          <w:lang w:val="es-DO"/>
        </w:rPr>
      </w:pPr>
      <w:r>
        <w:rPr>
          <w:rFonts w:ascii="Times New Roman" w:eastAsia="Calibri" w:hAnsi="Times New Roman" w:cs="Times New Roman"/>
          <w:lang w:val="es-DO"/>
        </w:rPr>
        <w:t>98</w:t>
      </w:r>
      <w:r w:rsidR="009649A5" w:rsidRPr="000D1029">
        <w:rPr>
          <w:rFonts w:ascii="Times New Roman" w:eastAsia="Calibri" w:hAnsi="Times New Roman" w:cs="Times New Roman"/>
          <w:lang w:val="es-DO"/>
        </w:rPr>
        <w:t xml:space="preserve">. </w:t>
      </w:r>
      <w:r w:rsidR="007979FD" w:rsidRPr="000D1029">
        <w:rPr>
          <w:rFonts w:ascii="Times New Roman" w:eastAsia="Calibri" w:hAnsi="Times New Roman" w:cs="Times New Roman"/>
          <w:lang w:val="es-DO"/>
        </w:rPr>
        <w:t>En nuestro país durante el año el 2015, se rescataron ciento un (101) víctimas, que se encontraban bajo el flagelo de trata de personas para fines de explotación de sexual, las cuales han sido mujeres. Los factores de riesgos son los que aplican para casi todas las víctimas de trata de personas, su condición de vulnerabilidad dada su género, la mayor parte de las víctimas son de sexo femenino, la minoría de edad y la situación económica. Por lo general lugares cercanos a puntos turísticos que se encuentran en situación de pobreza o pobreza extrema. El incremento de mujeres de Colombia y Venezuela que son traídas al país contratadas como bailarinas y luego son explotadas a nivel sexual.</w:t>
      </w: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Pr="000D1029" w:rsidRDefault="0019050C" w:rsidP="00AB6DC7">
      <w:pPr>
        <w:autoSpaceDE w:val="0"/>
        <w:autoSpaceDN w:val="0"/>
        <w:adjustRightInd w:val="0"/>
        <w:spacing w:line="240" w:lineRule="auto"/>
        <w:rPr>
          <w:rFonts w:ascii="Times New Roman" w:eastAsia="Calibri" w:hAnsi="Times New Roman" w:cs="Times New Roman"/>
          <w:lang w:val="es-DO"/>
        </w:rPr>
      </w:pPr>
    </w:p>
    <w:p w:rsidR="0019050C" w:rsidRPr="001F5F1C" w:rsidRDefault="0019050C" w:rsidP="0019050C">
      <w:pPr>
        <w:keepNext/>
        <w:spacing w:line="240" w:lineRule="auto"/>
        <w:ind w:right="567"/>
        <w:jc w:val="center"/>
        <w:outlineLvl w:val="2"/>
        <w:rPr>
          <w:rFonts w:ascii="Times New Roman" w:eastAsia="Times New Roman" w:hAnsi="Times New Roman" w:cs="Times New Roman"/>
          <w:b/>
        </w:rPr>
      </w:pPr>
      <w:r w:rsidRPr="000D1029">
        <w:rPr>
          <w:rFonts w:ascii="Times New Roman" w:eastAsia="Times New Roman" w:hAnsi="Times New Roman" w:cs="Times New Roman"/>
          <w:b/>
        </w:rPr>
        <w:lastRenderedPageBreak/>
        <w:t>Estadísticas Gráficas de Casos Judicializados, Procuraduría Especializada Contra el Tráfico Ilícito de Migrantes y Trata de Personas, año 2015</w:t>
      </w:r>
    </w:p>
    <w:p w:rsidR="00247FDC" w:rsidRDefault="00247FDC" w:rsidP="00AB6DC7">
      <w:pPr>
        <w:keepNext/>
        <w:spacing w:line="240" w:lineRule="auto"/>
        <w:ind w:right="567"/>
        <w:jc w:val="center"/>
        <w:outlineLvl w:val="2"/>
        <w:rPr>
          <w:rFonts w:ascii="Times New Roman" w:eastAsia="Times New Roman" w:hAnsi="Times New Roman" w:cs="Times New Roman"/>
          <w:b/>
        </w:rPr>
      </w:pPr>
    </w:p>
    <w:p w:rsidR="0019050C" w:rsidRDefault="0019050C" w:rsidP="00AB6DC7">
      <w:pPr>
        <w:keepNext/>
        <w:spacing w:line="240" w:lineRule="auto"/>
        <w:ind w:right="567"/>
        <w:jc w:val="center"/>
        <w:outlineLvl w:val="2"/>
        <w:rPr>
          <w:rFonts w:ascii="Times New Roman" w:eastAsia="Times New Roman" w:hAnsi="Times New Roman" w:cs="Times New Roman"/>
          <w:b/>
        </w:rPr>
      </w:pPr>
    </w:p>
    <w:p w:rsidR="0019050C" w:rsidRDefault="0019050C" w:rsidP="00AB6DC7">
      <w:pPr>
        <w:keepNext/>
        <w:spacing w:line="240" w:lineRule="auto"/>
        <w:ind w:right="567"/>
        <w:jc w:val="center"/>
        <w:outlineLvl w:val="2"/>
        <w:rPr>
          <w:rFonts w:ascii="Times New Roman" w:eastAsia="Times New Roman" w:hAnsi="Times New Roman" w:cs="Times New Roman"/>
          <w:b/>
        </w:rPr>
      </w:pPr>
      <w:r>
        <w:rPr>
          <w:rFonts w:ascii="Times New Roman" w:eastAsia="Times New Roman" w:hAnsi="Times New Roman" w:cs="Times New Roman"/>
          <w:b/>
          <w:noProof/>
          <w:lang w:val="en-US"/>
        </w:rPr>
        <w:drawing>
          <wp:anchor distT="0" distB="0" distL="114300" distR="114300" simplePos="0" relativeHeight="251664384" behindDoc="0" locked="0" layoutInCell="1" allowOverlap="1">
            <wp:simplePos x="0" y="0"/>
            <wp:positionH relativeFrom="column">
              <wp:posOffset>2985135</wp:posOffset>
            </wp:positionH>
            <wp:positionV relativeFrom="paragraph">
              <wp:posOffset>22860</wp:posOffset>
            </wp:positionV>
            <wp:extent cx="3017520" cy="2244090"/>
            <wp:effectExtent l="19050" t="0" r="11430" b="3810"/>
            <wp:wrapSquare wrapText="bothSides"/>
            <wp:docPr id="4" name="Gráfico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ascii="Times New Roman" w:eastAsia="Times New Roman" w:hAnsi="Times New Roman" w:cs="Times New Roman"/>
          <w:b/>
          <w:noProof/>
          <w:lang w:val="en-US"/>
        </w:rPr>
        <w:drawing>
          <wp:anchor distT="0" distB="0" distL="114300" distR="114300" simplePos="0" relativeHeight="251661312" behindDoc="0" locked="0" layoutInCell="1" allowOverlap="1">
            <wp:simplePos x="0" y="0"/>
            <wp:positionH relativeFrom="column">
              <wp:posOffset>-171450</wp:posOffset>
            </wp:positionH>
            <wp:positionV relativeFrom="paragraph">
              <wp:posOffset>70485</wp:posOffset>
            </wp:positionV>
            <wp:extent cx="2711450" cy="2247900"/>
            <wp:effectExtent l="19050" t="0" r="12700" b="0"/>
            <wp:wrapSquare wrapText="bothSides"/>
            <wp:docPr id="17" name="Gráfico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19050C" w:rsidRDefault="0019050C" w:rsidP="00AB6DC7">
      <w:pPr>
        <w:keepNext/>
        <w:spacing w:line="240" w:lineRule="auto"/>
        <w:ind w:right="567"/>
        <w:jc w:val="center"/>
        <w:outlineLvl w:val="2"/>
        <w:rPr>
          <w:rFonts w:ascii="Times New Roman" w:eastAsia="Times New Roman" w:hAnsi="Times New Roman" w:cs="Times New Roman"/>
          <w:b/>
        </w:rPr>
      </w:pPr>
    </w:p>
    <w:p w:rsidR="0019050C" w:rsidRDefault="0019050C" w:rsidP="00AB6DC7">
      <w:pPr>
        <w:keepNext/>
        <w:spacing w:line="240" w:lineRule="auto"/>
        <w:ind w:right="567"/>
        <w:jc w:val="center"/>
        <w:outlineLvl w:val="2"/>
        <w:rPr>
          <w:rFonts w:ascii="Times New Roman" w:eastAsia="Times New Roman" w:hAnsi="Times New Roman" w:cs="Times New Roman"/>
          <w:b/>
        </w:rPr>
      </w:pPr>
      <w:r>
        <w:rPr>
          <w:rFonts w:ascii="Times New Roman" w:eastAsia="Times New Roman" w:hAnsi="Times New Roman" w:cs="Times New Roman"/>
          <w:b/>
          <w:noProof/>
          <w:lang w:val="en-US"/>
        </w:rPr>
        <w:drawing>
          <wp:anchor distT="0" distB="0" distL="114300" distR="114300" simplePos="0" relativeHeight="251662336" behindDoc="0" locked="0" layoutInCell="1" allowOverlap="1">
            <wp:simplePos x="0" y="0"/>
            <wp:positionH relativeFrom="column">
              <wp:posOffset>3053715</wp:posOffset>
            </wp:positionH>
            <wp:positionV relativeFrom="paragraph">
              <wp:posOffset>68580</wp:posOffset>
            </wp:positionV>
            <wp:extent cx="2945130" cy="2126615"/>
            <wp:effectExtent l="19050" t="0" r="26670" b="6985"/>
            <wp:wrapSquare wrapText="bothSides"/>
            <wp:docPr id="28" name="Gráfico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ascii="Times New Roman" w:eastAsia="Times New Roman" w:hAnsi="Times New Roman" w:cs="Times New Roman"/>
          <w:b/>
          <w:noProof/>
          <w:lang w:val="en-US"/>
        </w:rPr>
        <w:drawing>
          <wp:anchor distT="0" distB="0" distL="114300" distR="114300" simplePos="0" relativeHeight="251663360" behindDoc="0" locked="0" layoutInCell="1" allowOverlap="1">
            <wp:simplePos x="0" y="0"/>
            <wp:positionH relativeFrom="column">
              <wp:posOffset>-171450</wp:posOffset>
            </wp:positionH>
            <wp:positionV relativeFrom="paragraph">
              <wp:posOffset>68580</wp:posOffset>
            </wp:positionV>
            <wp:extent cx="2783840" cy="2124075"/>
            <wp:effectExtent l="19050" t="0" r="16510" b="0"/>
            <wp:wrapSquare wrapText="bothSides"/>
            <wp:docPr id="2" name="Gráfico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19050C" w:rsidRDefault="0019050C" w:rsidP="00AB6DC7">
      <w:pPr>
        <w:keepNext/>
        <w:spacing w:line="240" w:lineRule="auto"/>
        <w:ind w:right="567"/>
        <w:jc w:val="center"/>
        <w:outlineLvl w:val="2"/>
        <w:rPr>
          <w:rFonts w:ascii="Times New Roman" w:eastAsia="Times New Roman" w:hAnsi="Times New Roman" w:cs="Times New Roman"/>
          <w:b/>
        </w:rPr>
      </w:pPr>
    </w:p>
    <w:p w:rsidR="0019050C" w:rsidRDefault="0019050C" w:rsidP="00AB6DC7">
      <w:pPr>
        <w:keepNext/>
        <w:spacing w:line="240" w:lineRule="auto"/>
        <w:ind w:right="567"/>
        <w:jc w:val="center"/>
        <w:outlineLvl w:val="2"/>
        <w:rPr>
          <w:rFonts w:ascii="Times New Roman" w:eastAsia="Times New Roman" w:hAnsi="Times New Roman" w:cs="Times New Roman"/>
          <w:b/>
        </w:rPr>
      </w:pPr>
      <w:r>
        <w:rPr>
          <w:rFonts w:ascii="Times New Roman" w:eastAsia="Times New Roman" w:hAnsi="Times New Roman" w:cs="Times New Roman"/>
          <w:b/>
          <w:noProof/>
          <w:lang w:val="en-US"/>
        </w:rPr>
        <w:drawing>
          <wp:anchor distT="0" distB="0" distL="114300" distR="114300" simplePos="0" relativeHeight="251665408" behindDoc="0" locked="0" layoutInCell="1" allowOverlap="1">
            <wp:simplePos x="0" y="0"/>
            <wp:positionH relativeFrom="column">
              <wp:posOffset>104775</wp:posOffset>
            </wp:positionH>
            <wp:positionV relativeFrom="paragraph">
              <wp:posOffset>49530</wp:posOffset>
            </wp:positionV>
            <wp:extent cx="5732145" cy="1952625"/>
            <wp:effectExtent l="19050" t="0" r="20955" b="0"/>
            <wp:wrapSquare wrapText="bothSides"/>
            <wp:docPr id="7" name="Gráfico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19050C" w:rsidRDefault="0019050C" w:rsidP="00AB6DC7">
      <w:pPr>
        <w:keepNext/>
        <w:spacing w:line="240" w:lineRule="auto"/>
        <w:ind w:right="567"/>
        <w:jc w:val="center"/>
        <w:outlineLvl w:val="2"/>
        <w:rPr>
          <w:rFonts w:ascii="Times New Roman" w:eastAsia="Times New Roman" w:hAnsi="Times New Roman" w:cs="Times New Roman"/>
          <w:b/>
        </w:rPr>
      </w:pPr>
    </w:p>
    <w:p w:rsidR="0019050C" w:rsidRDefault="0019050C" w:rsidP="00AB6DC7">
      <w:pPr>
        <w:keepNext/>
        <w:spacing w:line="240" w:lineRule="auto"/>
        <w:ind w:right="567"/>
        <w:jc w:val="center"/>
        <w:outlineLvl w:val="2"/>
        <w:rPr>
          <w:rFonts w:ascii="Times New Roman" w:eastAsia="Times New Roman" w:hAnsi="Times New Roman" w:cs="Times New Roman"/>
          <w:b/>
        </w:rPr>
      </w:pPr>
    </w:p>
    <w:p w:rsidR="0019050C" w:rsidRDefault="0019050C" w:rsidP="00AB6DC7">
      <w:pPr>
        <w:keepNext/>
        <w:spacing w:line="240" w:lineRule="auto"/>
        <w:ind w:right="567"/>
        <w:jc w:val="center"/>
        <w:outlineLvl w:val="2"/>
        <w:rPr>
          <w:rFonts w:ascii="Times New Roman" w:eastAsia="Times New Roman" w:hAnsi="Times New Roman" w:cs="Times New Roman"/>
          <w:b/>
        </w:rPr>
      </w:pPr>
    </w:p>
    <w:p w:rsidR="0019050C" w:rsidRDefault="0019050C" w:rsidP="00AB6DC7">
      <w:pPr>
        <w:keepNext/>
        <w:spacing w:line="240" w:lineRule="auto"/>
        <w:ind w:right="567"/>
        <w:jc w:val="center"/>
        <w:outlineLvl w:val="2"/>
        <w:rPr>
          <w:rFonts w:ascii="Times New Roman" w:eastAsia="Times New Roman" w:hAnsi="Times New Roman" w:cs="Times New Roman"/>
          <w:b/>
        </w:rPr>
      </w:pPr>
    </w:p>
    <w:p w:rsidR="005D0F06" w:rsidRPr="000D1029" w:rsidRDefault="00BF660E" w:rsidP="00AB6DC7">
      <w:pPr>
        <w:spacing w:line="240" w:lineRule="auto"/>
        <w:rPr>
          <w:rFonts w:ascii="Times New Roman" w:hAnsi="Times New Roman" w:cs="Times New Roman"/>
          <w:i/>
          <w:lang w:val="es-ES"/>
        </w:rPr>
      </w:pPr>
      <w:r>
        <w:rPr>
          <w:rFonts w:ascii="Times New Roman" w:hAnsi="Times New Roman" w:cs="Times New Roman"/>
          <w:b/>
          <w:i/>
          <w:lang w:val="es-ES"/>
        </w:rPr>
        <w:lastRenderedPageBreak/>
        <w:t>99</w:t>
      </w:r>
      <w:r w:rsidR="005D0F06" w:rsidRPr="000D1029">
        <w:rPr>
          <w:rFonts w:ascii="Times New Roman" w:hAnsi="Times New Roman" w:cs="Times New Roman"/>
          <w:b/>
          <w:i/>
          <w:lang w:val="es-ES"/>
        </w:rPr>
        <w:t xml:space="preserve">. </w:t>
      </w:r>
      <w:r w:rsidR="00272160"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18</w:t>
      </w:r>
      <w:r w:rsidR="005D0F06" w:rsidRPr="000D1029">
        <w:rPr>
          <w:rFonts w:ascii="Times New Roman" w:hAnsi="Times New Roman" w:cs="Times New Roman"/>
          <w:i/>
          <w:lang w:val="es-ES"/>
        </w:rPr>
        <w:t>. El Comité agradece al Estado parte por la información proporcionada sobre las iniciativas implementadas para prevenir el trabajo infantil. No obstante, el Comité está preocupado por la grave situación de los niños y las niñas víctimas de trabajo infantil, especialmente en el sector doméstico y agrícola. (arts. 8 y 24).</w:t>
      </w:r>
    </w:p>
    <w:p w:rsidR="005D0F06" w:rsidRPr="000D1029" w:rsidRDefault="005D0F06" w:rsidP="00AB6DC7">
      <w:pPr>
        <w:spacing w:line="240" w:lineRule="auto"/>
        <w:rPr>
          <w:rFonts w:ascii="Times New Roman" w:hAnsi="Times New Roman" w:cs="Times New Roman"/>
          <w:i/>
          <w:lang w:val="es-ES"/>
        </w:rPr>
      </w:pPr>
    </w:p>
    <w:p w:rsidR="005D0F06" w:rsidRPr="000D1029" w:rsidRDefault="00BF660E" w:rsidP="00AB6DC7">
      <w:pPr>
        <w:spacing w:line="240" w:lineRule="auto"/>
        <w:rPr>
          <w:rFonts w:ascii="Times New Roman" w:hAnsi="Times New Roman" w:cs="Times New Roman"/>
          <w:b/>
          <w:i/>
          <w:lang w:val="es-ES"/>
        </w:rPr>
      </w:pPr>
      <w:r>
        <w:rPr>
          <w:rFonts w:ascii="Times New Roman" w:hAnsi="Times New Roman" w:cs="Times New Roman"/>
          <w:b/>
          <w:i/>
          <w:lang w:val="es-ES"/>
        </w:rPr>
        <w:t>100</w:t>
      </w:r>
      <w:r w:rsidR="005D0F06" w:rsidRPr="000D1029">
        <w:rPr>
          <w:rFonts w:ascii="Times New Roman" w:hAnsi="Times New Roman" w:cs="Times New Roman"/>
          <w:b/>
          <w:i/>
          <w:lang w:val="es-ES"/>
        </w:rPr>
        <w:t>. El Estado Parte debe perseguir sus esfuerzos para la aplicación de las políticas y leyes existentes que son orientadas a la erradicación del trabajo infantil, incluyendo a través de campañas de sensibilización pública y de la educación de los ciudadanos sobre la protección de los derechos de los niños. El Estado debe velar por que los niños gocen de especial protección, de conformidad con el artículo 24 del Pacto. Finalmente el Estado parte debe garantizar la persecución y sanción de esta práctica y recopilar estadísticas fiables para combatirla con eficacia.</w:t>
      </w:r>
    </w:p>
    <w:p w:rsidR="005D0F06" w:rsidRPr="000D1029" w:rsidRDefault="005D0F06" w:rsidP="00AB6DC7">
      <w:pPr>
        <w:spacing w:line="240" w:lineRule="auto"/>
        <w:rPr>
          <w:rFonts w:ascii="Times New Roman" w:hAnsi="Times New Roman" w:cs="Times New Roman"/>
          <w:b/>
          <w:i/>
          <w:lang w:val="es-ES"/>
        </w:rPr>
      </w:pPr>
    </w:p>
    <w:p w:rsidR="005D0F06" w:rsidRPr="000D1029" w:rsidRDefault="00BF660E" w:rsidP="00AB6DC7">
      <w:pPr>
        <w:spacing w:line="240" w:lineRule="auto"/>
        <w:rPr>
          <w:rFonts w:ascii="Times New Roman" w:hAnsi="Times New Roman" w:cs="Times New Roman"/>
        </w:rPr>
      </w:pPr>
      <w:r>
        <w:rPr>
          <w:rFonts w:ascii="Times New Roman" w:hAnsi="Times New Roman" w:cs="Times New Roman"/>
          <w:b/>
          <w:lang w:val="es-ES"/>
        </w:rPr>
        <w:t>101</w:t>
      </w:r>
      <w:r w:rsidR="009649A5" w:rsidRPr="000D1029">
        <w:rPr>
          <w:rFonts w:ascii="Times New Roman" w:hAnsi="Times New Roman" w:cs="Times New Roman"/>
          <w:b/>
          <w:lang w:val="es-ES"/>
        </w:rPr>
        <w:t xml:space="preserve">. </w:t>
      </w:r>
      <w:r w:rsidR="005D0F06" w:rsidRPr="000D1029">
        <w:rPr>
          <w:rFonts w:ascii="Times New Roman" w:hAnsi="Times New Roman" w:cs="Times New Roman"/>
          <w:b/>
          <w:lang w:val="es-ES"/>
        </w:rPr>
        <w:t xml:space="preserve">Respuesta del Estado dominicano: </w:t>
      </w:r>
      <w:r w:rsidR="005D0F06" w:rsidRPr="000D1029">
        <w:rPr>
          <w:rFonts w:ascii="Times New Roman" w:hAnsi="Times New Roman" w:cs="Times New Roman"/>
        </w:rPr>
        <w:t xml:space="preserve">En el año 2013, dentro del marco normativo e institucional se inició un proceso de consulta para diseñar el protocolo de actuación del Comité Directivo Nacional de Lucha contra el Trabajo Infantil (CDN) y el Comité Directivo Local contra el Trabajo Infantil (CDL´s). </w:t>
      </w:r>
      <w:r w:rsidR="005330AC">
        <w:rPr>
          <w:rFonts w:ascii="Times New Roman" w:hAnsi="Times New Roman" w:cs="Times New Roman"/>
        </w:rPr>
        <w:t xml:space="preserve"> </w:t>
      </w:r>
      <w:r w:rsidR="005D0F06" w:rsidRPr="000D1029">
        <w:rPr>
          <w:rFonts w:ascii="Times New Roman" w:hAnsi="Times New Roman" w:cs="Times New Roman"/>
        </w:rPr>
        <w:t>Así como, se diseñó la base de datos del Sistema Nacional de Información, evaluación y monitoreo sobre Trabajo Infantil (INFOSITI) y la guía de usuarios del sistema, la cual, se encuentra en proceso de consulta. En ese mismo orden, se crea un instrumento de recolección de datos sobre el Trabajo Infantil desde la Inspección Laboral, el cual, ha sido ya validado.</w:t>
      </w:r>
    </w:p>
    <w:p w:rsidR="005D0F06" w:rsidRPr="000D1029" w:rsidRDefault="005D0F06" w:rsidP="00AB6DC7">
      <w:pPr>
        <w:spacing w:line="240" w:lineRule="auto"/>
        <w:rPr>
          <w:rFonts w:ascii="Times New Roman" w:hAnsi="Times New Roman" w:cs="Times New Roman"/>
        </w:rPr>
      </w:pPr>
    </w:p>
    <w:p w:rsidR="005D0F06" w:rsidRPr="000D1029" w:rsidRDefault="00BF660E" w:rsidP="00AB6DC7">
      <w:pPr>
        <w:spacing w:line="240" w:lineRule="auto"/>
        <w:rPr>
          <w:rFonts w:ascii="Times New Roman" w:hAnsi="Times New Roman" w:cs="Times New Roman"/>
        </w:rPr>
      </w:pPr>
      <w:r>
        <w:rPr>
          <w:rFonts w:ascii="Times New Roman" w:hAnsi="Times New Roman" w:cs="Times New Roman"/>
        </w:rPr>
        <w:t>102</w:t>
      </w:r>
      <w:r w:rsidR="009649A5" w:rsidRPr="000D1029">
        <w:rPr>
          <w:rFonts w:ascii="Times New Roman" w:hAnsi="Times New Roman" w:cs="Times New Roman"/>
        </w:rPr>
        <w:t xml:space="preserve">. </w:t>
      </w:r>
      <w:r w:rsidR="005D0F06" w:rsidRPr="000D1029">
        <w:rPr>
          <w:rFonts w:ascii="Times New Roman" w:hAnsi="Times New Roman" w:cs="Times New Roman"/>
        </w:rPr>
        <w:t>En cuanto a la sensibilización, movilización social y capacitación, fueron iniciadas tanto a las áreas sustantivas del Ministerio de Trabajo como la sociedad civil. En esta se capacitaron, 15 técnicos del Departamento de Higiene y Seguridad en el Trabajo sobre Trabajo Infantil y 41 personas, entre ellas, líderes comunitarios, organizaciones no gubernamentales y organismos gubernamentales, quienes conformaron el Comité de Vigilancia de Trabajo Infantil, en la comunidad de Cansino, en la provincia Santo Domingo Este. En ese mismo sentido, también fueron capacitados 25 periodistas, comunicadores y líderes de opinión sobre Trabajo Infantil y sus Peores Formas.</w:t>
      </w:r>
    </w:p>
    <w:p w:rsidR="005D0F06" w:rsidRPr="000D1029" w:rsidRDefault="005D0F06" w:rsidP="00AB6DC7">
      <w:pPr>
        <w:spacing w:line="240" w:lineRule="auto"/>
        <w:rPr>
          <w:rFonts w:ascii="Times New Roman" w:hAnsi="Times New Roman" w:cs="Times New Roman"/>
        </w:rPr>
      </w:pPr>
    </w:p>
    <w:p w:rsidR="005D0F06" w:rsidRPr="000D1029" w:rsidRDefault="00BF660E" w:rsidP="00AB6DC7">
      <w:pPr>
        <w:spacing w:line="240" w:lineRule="auto"/>
        <w:rPr>
          <w:rFonts w:ascii="Times New Roman" w:hAnsi="Times New Roman" w:cs="Times New Roman"/>
        </w:rPr>
      </w:pPr>
      <w:r>
        <w:rPr>
          <w:rFonts w:ascii="Times New Roman" w:hAnsi="Times New Roman" w:cs="Times New Roman"/>
        </w:rPr>
        <w:t>103</w:t>
      </w:r>
      <w:r w:rsidR="009649A5" w:rsidRPr="000D1029">
        <w:rPr>
          <w:rFonts w:ascii="Times New Roman" w:hAnsi="Times New Roman" w:cs="Times New Roman"/>
        </w:rPr>
        <w:t xml:space="preserve">. </w:t>
      </w:r>
      <w:r w:rsidR="005D0F06" w:rsidRPr="000D1029">
        <w:rPr>
          <w:rFonts w:ascii="Times New Roman" w:hAnsi="Times New Roman" w:cs="Times New Roman"/>
        </w:rPr>
        <w:t>Durante el 2013, se crearon 15 Comités Directivos Locales de prevención y erradicación contra el Trabajo Infantil, en las siguientes comunidades y provincias: Jimaní, Dajabón, Bayahíbe, Monte Plata, Hato Mayor, La Altagracia, Espaillat, Bonao,Pedernales, Elías Piña, El Seibo, Puerto Plata, La Vega, Duvergé, Las Matas de Farfán y la Provincia Santo Domingo.</w:t>
      </w:r>
    </w:p>
    <w:p w:rsidR="005D0F06" w:rsidRPr="000D1029" w:rsidRDefault="005D0F06" w:rsidP="00AB6DC7">
      <w:pPr>
        <w:spacing w:line="240" w:lineRule="auto"/>
        <w:rPr>
          <w:rFonts w:ascii="Times New Roman" w:hAnsi="Times New Roman" w:cs="Times New Roman"/>
        </w:rPr>
      </w:pPr>
    </w:p>
    <w:p w:rsidR="005D0F06" w:rsidRDefault="00BF660E" w:rsidP="00AB6DC7">
      <w:pPr>
        <w:spacing w:line="240" w:lineRule="auto"/>
        <w:rPr>
          <w:rFonts w:ascii="Times New Roman" w:hAnsi="Times New Roman" w:cs="Times New Roman"/>
        </w:rPr>
      </w:pPr>
      <w:r>
        <w:rPr>
          <w:rFonts w:ascii="Times New Roman" w:hAnsi="Times New Roman" w:cs="Times New Roman"/>
        </w:rPr>
        <w:t>104</w:t>
      </w:r>
      <w:r w:rsidR="009649A5" w:rsidRPr="000D1029">
        <w:rPr>
          <w:rFonts w:ascii="Times New Roman" w:hAnsi="Times New Roman" w:cs="Times New Roman"/>
        </w:rPr>
        <w:t xml:space="preserve">. </w:t>
      </w:r>
      <w:r w:rsidR="005D0F06" w:rsidRPr="000D1029">
        <w:rPr>
          <w:rFonts w:ascii="Times New Roman" w:hAnsi="Times New Roman" w:cs="Times New Roman"/>
        </w:rPr>
        <w:t>Se real</w:t>
      </w:r>
      <w:r w:rsidR="00061C33">
        <w:rPr>
          <w:rFonts w:ascii="Times New Roman" w:hAnsi="Times New Roman" w:cs="Times New Roman"/>
        </w:rPr>
        <w:t xml:space="preserve">izaron además, dos campañas: Una </w:t>
      </w:r>
      <w:r w:rsidR="005D0F06" w:rsidRPr="000D1029">
        <w:rPr>
          <w:rFonts w:ascii="Times New Roman" w:hAnsi="Times New Roman" w:cs="Times New Roman"/>
        </w:rPr>
        <w:t>Sobre la errad</w:t>
      </w:r>
      <w:r w:rsidR="00061C33">
        <w:rPr>
          <w:rFonts w:ascii="Times New Roman" w:hAnsi="Times New Roman" w:cs="Times New Roman"/>
        </w:rPr>
        <w:t>icación del trabajo infantil y otra c</w:t>
      </w:r>
      <w:r w:rsidR="005D0F06" w:rsidRPr="00061C33">
        <w:rPr>
          <w:rFonts w:ascii="Times New Roman" w:hAnsi="Times New Roman" w:cs="Times New Roman"/>
        </w:rPr>
        <w:t>ampaña de sensibilización contra el Trabajo Infantil Doméstico de Niños, Niñas y Adolescentes, en</w:t>
      </w:r>
      <w:r w:rsidR="005D0F06" w:rsidRPr="000D1029">
        <w:rPr>
          <w:rFonts w:ascii="Times New Roman" w:hAnsi="Times New Roman" w:cs="Times New Roman"/>
        </w:rPr>
        <w:t xml:space="preserve"> el marco del Día Internacional contra el Trabajo Infantil.</w:t>
      </w:r>
      <w:r w:rsidR="00061C33">
        <w:rPr>
          <w:rFonts w:ascii="Times New Roman" w:hAnsi="Times New Roman" w:cs="Times New Roman"/>
        </w:rPr>
        <w:t xml:space="preserve"> </w:t>
      </w:r>
      <w:r w:rsidR="005D0F06" w:rsidRPr="000D1029">
        <w:rPr>
          <w:rFonts w:ascii="Times New Roman" w:hAnsi="Times New Roman" w:cs="Times New Roman"/>
        </w:rPr>
        <w:t>Durante el año 2014, en cuanto al marco normativo e institucional se lanzó el protocolo de actuación del Comité Directivo Nacional y de los Comités Directivos Locales de Lucha contra el trabajo infantil. Fruto de esta iniciativa institucional, se diseñó y ejecutó el Plan de Sostenibilidad sobre trabajo infantil 2014, en el marco de implementación de la Hoja de Ruta para hacer de la República Dominicana libre de Trabajo Infantil.</w:t>
      </w:r>
    </w:p>
    <w:p w:rsidR="00061C33" w:rsidRPr="000D1029" w:rsidRDefault="00061C33" w:rsidP="00AB6DC7">
      <w:pPr>
        <w:spacing w:line="240" w:lineRule="auto"/>
        <w:rPr>
          <w:rFonts w:ascii="Times New Roman" w:hAnsi="Times New Roman" w:cs="Times New Roman"/>
        </w:rPr>
      </w:pPr>
    </w:p>
    <w:p w:rsidR="005D0F06" w:rsidRPr="000D1029" w:rsidRDefault="00BF660E" w:rsidP="00AB6DC7">
      <w:pPr>
        <w:spacing w:line="240" w:lineRule="auto"/>
        <w:rPr>
          <w:rFonts w:ascii="Times New Roman" w:hAnsi="Times New Roman" w:cs="Times New Roman"/>
        </w:rPr>
      </w:pPr>
      <w:r>
        <w:rPr>
          <w:rFonts w:ascii="Times New Roman" w:hAnsi="Times New Roman" w:cs="Times New Roman"/>
        </w:rPr>
        <w:t>105</w:t>
      </w:r>
      <w:r w:rsidR="00DD3D44" w:rsidRPr="000D1029">
        <w:rPr>
          <w:rFonts w:ascii="Times New Roman" w:hAnsi="Times New Roman" w:cs="Times New Roman"/>
        </w:rPr>
        <w:t xml:space="preserve">. </w:t>
      </w:r>
      <w:r w:rsidR="005D0F06" w:rsidRPr="000D1029">
        <w:rPr>
          <w:rFonts w:ascii="Times New Roman" w:hAnsi="Times New Roman" w:cs="Times New Roman"/>
        </w:rPr>
        <w:t xml:space="preserve">Durante este año, se han movilizado y sensibilizado a actores claves en la erradicación del trabajo infantil, por lo que, se lanza la Campaña contra el  Trabajo Infantil </w:t>
      </w:r>
      <w:r w:rsidR="005D0F06" w:rsidRPr="00061C33">
        <w:rPr>
          <w:rFonts w:ascii="Times New Roman" w:hAnsi="Times New Roman" w:cs="Times New Roman"/>
        </w:rPr>
        <w:t xml:space="preserve">“SI LO VES: Actúa, Habla, Denúncialo”, y dentro de esta campaña de sensibilización, se realizaron 2,510 cuñas radiales pautadas entre febrero y marzo, por las cadenas AL MOMENTO Y EDUCA, </w:t>
      </w:r>
      <w:r w:rsidR="005D0F06" w:rsidRPr="00061C33">
        <w:rPr>
          <w:rFonts w:ascii="Times New Roman" w:hAnsi="Times New Roman" w:cs="Times New Roman"/>
        </w:rPr>
        <w:lastRenderedPageBreak/>
        <w:t>así como la colocación de 6 banner web de la misma campaña, publicados en 3 publicaciones</w:t>
      </w:r>
      <w:r w:rsidR="005D0F06" w:rsidRPr="000D1029">
        <w:rPr>
          <w:rFonts w:ascii="Times New Roman" w:hAnsi="Times New Roman" w:cs="Times New Roman"/>
        </w:rPr>
        <w:t xml:space="preserve"> web.</w:t>
      </w:r>
    </w:p>
    <w:p w:rsidR="005D0F06" w:rsidRPr="000D1029" w:rsidRDefault="005D0F06" w:rsidP="00AB6DC7">
      <w:pPr>
        <w:spacing w:line="240" w:lineRule="auto"/>
        <w:jc w:val="center"/>
        <w:rPr>
          <w:rFonts w:ascii="Times New Roman" w:hAnsi="Times New Roman" w:cs="Times New Roman"/>
          <w:b/>
          <w:u w:val="double" w:color="943634" w:themeColor="accent2" w:themeShade="BF"/>
        </w:rPr>
      </w:pPr>
      <w:r w:rsidRPr="000D1029">
        <w:rPr>
          <w:rFonts w:ascii="Times New Roman" w:hAnsi="Times New Roman" w:cs="Times New Roman"/>
          <w:b/>
          <w:u w:val="double" w:color="943634" w:themeColor="accent2" w:themeShade="BF"/>
        </w:rPr>
        <w:t>Estadísticas producto de las sensibilizaciones y visitas:</w:t>
      </w:r>
    </w:p>
    <w:p w:rsidR="005D0F06" w:rsidRPr="000D1029" w:rsidRDefault="005D0F06" w:rsidP="00AB6DC7">
      <w:pPr>
        <w:spacing w:line="240" w:lineRule="auto"/>
        <w:jc w:val="center"/>
        <w:rPr>
          <w:rFonts w:ascii="Times New Roman" w:hAnsi="Times New Roman" w:cs="Times New Roman"/>
          <w:b/>
          <w:u w:val="double" w:color="943634" w:themeColor="accent2" w:themeShade="BF"/>
        </w:rPr>
      </w:pPr>
    </w:p>
    <w:tbl>
      <w:tblPr>
        <w:tblStyle w:val="TableGrid"/>
        <w:tblW w:w="0" w:type="auto"/>
        <w:jc w:val="center"/>
        <w:tblLayout w:type="fixed"/>
        <w:tblLook w:val="04A0"/>
      </w:tblPr>
      <w:tblGrid>
        <w:gridCol w:w="1271"/>
        <w:gridCol w:w="2841"/>
        <w:gridCol w:w="2835"/>
      </w:tblGrid>
      <w:tr w:rsidR="005D0F06" w:rsidRPr="000D1029" w:rsidTr="00AA3A45">
        <w:trPr>
          <w:jc w:val="center"/>
        </w:trPr>
        <w:tc>
          <w:tcPr>
            <w:tcW w:w="1271" w:type="dxa"/>
          </w:tcPr>
          <w:p w:rsidR="005D0F06" w:rsidRPr="000D1029" w:rsidRDefault="005D0F06" w:rsidP="00AB6DC7">
            <w:pPr>
              <w:spacing w:line="240" w:lineRule="auto"/>
              <w:jc w:val="center"/>
              <w:rPr>
                <w:rFonts w:ascii="Times New Roman" w:hAnsi="Times New Roman" w:cs="Times New Roman"/>
                <w:b/>
                <w:sz w:val="24"/>
                <w:szCs w:val="24"/>
              </w:rPr>
            </w:pPr>
            <w:r w:rsidRPr="000D1029">
              <w:rPr>
                <w:rFonts w:ascii="Times New Roman" w:hAnsi="Times New Roman" w:cs="Times New Roman"/>
                <w:b/>
                <w:sz w:val="24"/>
                <w:szCs w:val="24"/>
              </w:rPr>
              <w:t>Año</w:t>
            </w:r>
          </w:p>
        </w:tc>
        <w:tc>
          <w:tcPr>
            <w:tcW w:w="2841" w:type="dxa"/>
          </w:tcPr>
          <w:p w:rsidR="005D0F06" w:rsidRPr="000D1029" w:rsidRDefault="005D0F06" w:rsidP="00AB6DC7">
            <w:pPr>
              <w:spacing w:line="240" w:lineRule="auto"/>
              <w:jc w:val="center"/>
              <w:rPr>
                <w:rFonts w:ascii="Times New Roman" w:hAnsi="Times New Roman" w:cs="Times New Roman"/>
                <w:b/>
                <w:sz w:val="24"/>
                <w:szCs w:val="24"/>
              </w:rPr>
            </w:pPr>
            <w:r w:rsidRPr="000D1029">
              <w:rPr>
                <w:rFonts w:ascii="Times New Roman" w:hAnsi="Times New Roman" w:cs="Times New Roman"/>
                <w:b/>
                <w:sz w:val="24"/>
                <w:szCs w:val="24"/>
              </w:rPr>
              <w:t>Total de visitas en el sector Urbano y Agrícola</w:t>
            </w:r>
          </w:p>
        </w:tc>
        <w:tc>
          <w:tcPr>
            <w:tcW w:w="2835" w:type="dxa"/>
          </w:tcPr>
          <w:p w:rsidR="005D0F06" w:rsidRPr="000D1029" w:rsidRDefault="005D0F06" w:rsidP="00AB6DC7">
            <w:pPr>
              <w:spacing w:line="240" w:lineRule="auto"/>
              <w:jc w:val="center"/>
              <w:rPr>
                <w:rFonts w:ascii="Times New Roman" w:hAnsi="Times New Roman" w:cs="Times New Roman"/>
                <w:b/>
                <w:sz w:val="24"/>
                <w:szCs w:val="24"/>
              </w:rPr>
            </w:pPr>
            <w:r w:rsidRPr="000D1029">
              <w:rPr>
                <w:rFonts w:ascii="Times New Roman" w:hAnsi="Times New Roman" w:cs="Times New Roman"/>
                <w:b/>
                <w:sz w:val="24"/>
                <w:szCs w:val="24"/>
              </w:rPr>
              <w:t>NNA retirados- Depto. De Inspección</w:t>
            </w:r>
          </w:p>
        </w:tc>
      </w:tr>
      <w:tr w:rsidR="005D0F06" w:rsidRPr="000D1029" w:rsidTr="00AA3A45">
        <w:trPr>
          <w:jc w:val="center"/>
        </w:trPr>
        <w:tc>
          <w:tcPr>
            <w:tcW w:w="1271"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2013</w:t>
            </w:r>
          </w:p>
        </w:tc>
        <w:tc>
          <w:tcPr>
            <w:tcW w:w="2841"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w:t>
            </w:r>
          </w:p>
        </w:tc>
        <w:tc>
          <w:tcPr>
            <w:tcW w:w="2835"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317</w:t>
            </w:r>
          </w:p>
        </w:tc>
      </w:tr>
      <w:tr w:rsidR="005D0F06" w:rsidRPr="000D1029" w:rsidTr="00AA3A45">
        <w:trPr>
          <w:jc w:val="center"/>
        </w:trPr>
        <w:tc>
          <w:tcPr>
            <w:tcW w:w="1271"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2014</w:t>
            </w:r>
          </w:p>
        </w:tc>
        <w:tc>
          <w:tcPr>
            <w:tcW w:w="2841"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129</w:t>
            </w:r>
          </w:p>
        </w:tc>
        <w:tc>
          <w:tcPr>
            <w:tcW w:w="2835"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377</w:t>
            </w:r>
          </w:p>
        </w:tc>
      </w:tr>
      <w:tr w:rsidR="005D0F06" w:rsidRPr="000D1029" w:rsidTr="00AA3A45">
        <w:trPr>
          <w:jc w:val="center"/>
        </w:trPr>
        <w:tc>
          <w:tcPr>
            <w:tcW w:w="1271"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2015</w:t>
            </w:r>
          </w:p>
        </w:tc>
        <w:tc>
          <w:tcPr>
            <w:tcW w:w="2841"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27</w:t>
            </w:r>
          </w:p>
        </w:tc>
        <w:tc>
          <w:tcPr>
            <w:tcW w:w="2835" w:type="dxa"/>
          </w:tcPr>
          <w:p w:rsidR="005D0F06" w:rsidRPr="000D1029" w:rsidRDefault="005D0F06" w:rsidP="00AB6DC7">
            <w:pPr>
              <w:spacing w:line="240" w:lineRule="auto"/>
              <w:jc w:val="center"/>
              <w:rPr>
                <w:rFonts w:ascii="Times New Roman" w:hAnsi="Times New Roman" w:cs="Times New Roman"/>
                <w:sz w:val="24"/>
                <w:szCs w:val="24"/>
              </w:rPr>
            </w:pPr>
            <w:r w:rsidRPr="000D1029">
              <w:rPr>
                <w:rFonts w:ascii="Times New Roman" w:hAnsi="Times New Roman" w:cs="Times New Roman"/>
                <w:sz w:val="24"/>
                <w:szCs w:val="24"/>
              </w:rPr>
              <w:t>211</w:t>
            </w:r>
          </w:p>
        </w:tc>
      </w:tr>
      <w:tr w:rsidR="005D0F06" w:rsidRPr="000D1029" w:rsidTr="00AA3A45">
        <w:trPr>
          <w:jc w:val="center"/>
        </w:trPr>
        <w:tc>
          <w:tcPr>
            <w:tcW w:w="1271" w:type="dxa"/>
          </w:tcPr>
          <w:p w:rsidR="005D0F06" w:rsidRPr="000D1029" w:rsidRDefault="005D0F06" w:rsidP="00AB6DC7">
            <w:pPr>
              <w:spacing w:line="240" w:lineRule="auto"/>
              <w:jc w:val="center"/>
              <w:rPr>
                <w:rFonts w:ascii="Times New Roman" w:hAnsi="Times New Roman" w:cs="Times New Roman"/>
                <w:b/>
                <w:sz w:val="24"/>
                <w:szCs w:val="24"/>
              </w:rPr>
            </w:pPr>
            <w:r w:rsidRPr="000D1029">
              <w:rPr>
                <w:rFonts w:ascii="Times New Roman" w:hAnsi="Times New Roman" w:cs="Times New Roman"/>
                <w:b/>
                <w:sz w:val="24"/>
                <w:szCs w:val="24"/>
              </w:rPr>
              <w:t xml:space="preserve">Total </w:t>
            </w:r>
          </w:p>
        </w:tc>
        <w:tc>
          <w:tcPr>
            <w:tcW w:w="2841" w:type="dxa"/>
          </w:tcPr>
          <w:p w:rsidR="005D0F06" w:rsidRPr="000D1029" w:rsidRDefault="005D0F06" w:rsidP="00AB6DC7">
            <w:pPr>
              <w:spacing w:line="240" w:lineRule="auto"/>
              <w:jc w:val="center"/>
              <w:rPr>
                <w:rFonts w:ascii="Times New Roman" w:hAnsi="Times New Roman" w:cs="Times New Roman"/>
                <w:b/>
                <w:sz w:val="24"/>
                <w:szCs w:val="24"/>
              </w:rPr>
            </w:pPr>
            <w:r w:rsidRPr="000D1029">
              <w:rPr>
                <w:rFonts w:ascii="Times New Roman" w:hAnsi="Times New Roman" w:cs="Times New Roman"/>
                <w:b/>
                <w:sz w:val="24"/>
                <w:szCs w:val="24"/>
              </w:rPr>
              <w:t>156</w:t>
            </w:r>
          </w:p>
        </w:tc>
        <w:tc>
          <w:tcPr>
            <w:tcW w:w="2835" w:type="dxa"/>
          </w:tcPr>
          <w:p w:rsidR="005D0F06" w:rsidRPr="000D1029" w:rsidRDefault="005D0F06" w:rsidP="00AB6DC7">
            <w:pPr>
              <w:spacing w:line="240" w:lineRule="auto"/>
              <w:jc w:val="center"/>
              <w:rPr>
                <w:rFonts w:ascii="Times New Roman" w:hAnsi="Times New Roman" w:cs="Times New Roman"/>
                <w:b/>
                <w:sz w:val="24"/>
                <w:szCs w:val="24"/>
              </w:rPr>
            </w:pPr>
            <w:r w:rsidRPr="000D1029">
              <w:rPr>
                <w:rFonts w:ascii="Times New Roman" w:hAnsi="Times New Roman" w:cs="Times New Roman"/>
                <w:b/>
                <w:sz w:val="24"/>
                <w:szCs w:val="24"/>
              </w:rPr>
              <w:t>905</w:t>
            </w:r>
          </w:p>
        </w:tc>
      </w:tr>
    </w:tbl>
    <w:p w:rsidR="005D0F06" w:rsidRPr="000D1029" w:rsidRDefault="005D0F06" w:rsidP="00AB6DC7">
      <w:pPr>
        <w:spacing w:line="240" w:lineRule="auto"/>
        <w:rPr>
          <w:rFonts w:ascii="Times New Roman" w:hAnsi="Times New Roman" w:cs="Times New Roman"/>
        </w:rPr>
      </w:pPr>
    </w:p>
    <w:p w:rsidR="00061C33" w:rsidRDefault="00061C33" w:rsidP="00AB6DC7">
      <w:pPr>
        <w:spacing w:line="240" w:lineRule="auto"/>
        <w:rPr>
          <w:rFonts w:ascii="Times New Roman" w:hAnsi="Times New Roman" w:cs="Times New Roman"/>
          <w:b/>
          <w:i/>
          <w:lang w:val="es-ES"/>
        </w:rPr>
      </w:pPr>
    </w:p>
    <w:p w:rsidR="005D0F06" w:rsidRPr="000D1029" w:rsidRDefault="00BF660E" w:rsidP="00AB6DC7">
      <w:pPr>
        <w:spacing w:line="240" w:lineRule="auto"/>
        <w:rPr>
          <w:rFonts w:ascii="Times New Roman" w:hAnsi="Times New Roman" w:cs="Times New Roman"/>
          <w:i/>
          <w:lang w:val="es-ES"/>
        </w:rPr>
      </w:pPr>
      <w:r>
        <w:rPr>
          <w:rFonts w:ascii="Times New Roman" w:hAnsi="Times New Roman" w:cs="Times New Roman"/>
          <w:b/>
          <w:i/>
          <w:lang w:val="es-ES"/>
        </w:rPr>
        <w:t>106</w:t>
      </w:r>
      <w:r w:rsidR="005D0F06" w:rsidRPr="000D1029">
        <w:rPr>
          <w:rFonts w:ascii="Times New Roman" w:hAnsi="Times New Roman" w:cs="Times New Roman"/>
          <w:b/>
          <w:i/>
          <w:lang w:val="es-ES"/>
        </w:rPr>
        <w:t xml:space="preserve">. </w:t>
      </w:r>
      <w:r w:rsidR="00272160"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19.</w:t>
      </w:r>
      <w:r w:rsidR="005D0F06" w:rsidRPr="000D1029">
        <w:rPr>
          <w:rFonts w:ascii="Times New Roman" w:hAnsi="Times New Roman" w:cs="Times New Roman"/>
          <w:i/>
          <w:lang w:val="es-ES"/>
        </w:rPr>
        <w:t xml:space="preserve"> El Comité está preocupado con las condiciones a las cuales están sometidos los trabajadores migratorios que trabajan bajo relaciones laborales no especificadas, sin acceso a los derechos y beneficios a los cuales tienen derecho. (art. 8).</w:t>
      </w:r>
    </w:p>
    <w:p w:rsidR="005D0F06" w:rsidRPr="000D1029" w:rsidRDefault="005D0F06" w:rsidP="00AB6DC7">
      <w:pPr>
        <w:spacing w:line="240" w:lineRule="auto"/>
        <w:rPr>
          <w:rFonts w:ascii="Times New Roman" w:hAnsi="Times New Roman" w:cs="Times New Roman"/>
          <w:i/>
          <w:lang w:val="es-ES"/>
        </w:rPr>
      </w:pPr>
    </w:p>
    <w:p w:rsidR="005D0F06" w:rsidRPr="000D1029" w:rsidRDefault="00BF660E" w:rsidP="00AB6DC7">
      <w:pPr>
        <w:spacing w:line="240" w:lineRule="auto"/>
        <w:rPr>
          <w:rFonts w:ascii="Times New Roman" w:hAnsi="Times New Roman" w:cs="Times New Roman"/>
          <w:i/>
          <w:lang w:val="es-ES"/>
        </w:rPr>
      </w:pPr>
      <w:r>
        <w:rPr>
          <w:rFonts w:ascii="Times New Roman" w:hAnsi="Times New Roman" w:cs="Times New Roman"/>
          <w:b/>
          <w:i/>
          <w:lang w:val="es-ES"/>
        </w:rPr>
        <w:t>107</w:t>
      </w:r>
      <w:r w:rsidR="005D0F06" w:rsidRPr="000D1029">
        <w:rPr>
          <w:rFonts w:ascii="Times New Roman" w:hAnsi="Times New Roman" w:cs="Times New Roman"/>
          <w:b/>
          <w:i/>
          <w:lang w:val="es-ES"/>
        </w:rPr>
        <w:t>. El Estado parte debe adoptar medidas para garantizar el goce de sus derechos básicos para todos los trabajadores, independientemente de su situación migratoria. Asimismo, debe establecer mecanismos asequibles y efectivos para garantizar la responsabilidad de los empleadores abusivos</w:t>
      </w:r>
      <w:r w:rsidR="005D0F06" w:rsidRPr="000D1029">
        <w:rPr>
          <w:rFonts w:ascii="Times New Roman" w:hAnsi="Times New Roman" w:cs="Times New Roman"/>
          <w:i/>
          <w:lang w:val="es-ES"/>
        </w:rPr>
        <w:t>.</w:t>
      </w:r>
    </w:p>
    <w:p w:rsidR="005D0F06" w:rsidRPr="000D1029" w:rsidRDefault="005D0F06" w:rsidP="00AB6DC7">
      <w:pPr>
        <w:spacing w:line="240" w:lineRule="auto"/>
        <w:rPr>
          <w:rFonts w:ascii="Times New Roman" w:hAnsi="Times New Roman" w:cs="Times New Roman"/>
          <w:i/>
          <w:lang w:val="es-ES"/>
        </w:rPr>
      </w:pPr>
    </w:p>
    <w:p w:rsidR="005D0F06" w:rsidRPr="000D1029" w:rsidRDefault="00BF660E" w:rsidP="00AB6DC7">
      <w:pPr>
        <w:spacing w:line="240" w:lineRule="auto"/>
        <w:rPr>
          <w:rFonts w:ascii="Times New Roman" w:hAnsi="Times New Roman" w:cs="Times New Roman"/>
        </w:rPr>
      </w:pPr>
      <w:r>
        <w:rPr>
          <w:rFonts w:ascii="Times New Roman" w:hAnsi="Times New Roman" w:cs="Times New Roman"/>
          <w:b/>
          <w:lang w:val="es-ES"/>
        </w:rPr>
        <w:t>108</w:t>
      </w:r>
      <w:r w:rsidR="005D0F06" w:rsidRPr="000D1029">
        <w:rPr>
          <w:rFonts w:ascii="Times New Roman" w:hAnsi="Times New Roman" w:cs="Times New Roman"/>
          <w:b/>
          <w:lang w:val="es-ES"/>
        </w:rPr>
        <w:t xml:space="preserve">. Respuesta del Estado dominicano: </w:t>
      </w:r>
      <w:r w:rsidR="005D0F06" w:rsidRPr="000D1029">
        <w:rPr>
          <w:rFonts w:ascii="Times New Roman" w:hAnsi="Times New Roman" w:cs="Times New Roman"/>
        </w:rPr>
        <w:t xml:space="preserve">El Estado Dominicano a través del Código de Trabajo, garantiza los derechos laborales a todos los trabajadores, sin importar su nacionalidad ni su condición migratoria, tal y como lo establece del Código de Trabajo en el principio IV, (Ley 16-92) promulgada el 29 de mayo de 1992, en donde se expresa que las leyes concernientes al trabajo son de carácter territorial, rigiendo sin distinción a dominicanos y extranjeros, salvo las derogaciones admitidas en convenios internacionales. El Ministerio de Trabajo para cumplir con este mandato de ley, cuenta con la Dirección General de Trabajo, en la misma se encuentra la Dirección de Inspección, cuya función  es velar por el cumplimiento de la norma laboral vigente y sus normas complementarias. </w:t>
      </w:r>
    </w:p>
    <w:p w:rsidR="001D645D" w:rsidRPr="000D1029" w:rsidRDefault="001D645D" w:rsidP="00AB6DC7">
      <w:pPr>
        <w:spacing w:line="240" w:lineRule="auto"/>
        <w:rPr>
          <w:rFonts w:ascii="Times New Roman" w:hAnsi="Times New Roman" w:cs="Times New Roman"/>
        </w:rPr>
      </w:pPr>
    </w:p>
    <w:p w:rsidR="005D0F06" w:rsidRPr="000D1029" w:rsidRDefault="00BF660E" w:rsidP="00AB6DC7">
      <w:pPr>
        <w:spacing w:line="240" w:lineRule="auto"/>
        <w:rPr>
          <w:rFonts w:ascii="Times New Roman" w:hAnsi="Times New Roman" w:cs="Times New Roman"/>
        </w:rPr>
      </w:pPr>
      <w:r>
        <w:rPr>
          <w:rFonts w:ascii="Times New Roman" w:hAnsi="Times New Roman" w:cs="Times New Roman"/>
        </w:rPr>
        <w:t>109</w:t>
      </w:r>
      <w:r w:rsidR="00DD3D44" w:rsidRPr="000D1029">
        <w:rPr>
          <w:rFonts w:ascii="Times New Roman" w:hAnsi="Times New Roman" w:cs="Times New Roman"/>
        </w:rPr>
        <w:t xml:space="preserve">. </w:t>
      </w:r>
      <w:r w:rsidR="005D0F06" w:rsidRPr="000D1029">
        <w:rPr>
          <w:rFonts w:ascii="Times New Roman" w:hAnsi="Times New Roman" w:cs="Times New Roman"/>
        </w:rPr>
        <w:t xml:space="preserve">En cuanto a la aplicación del artículo </w:t>
      </w:r>
      <w:r w:rsidR="00925B77" w:rsidRPr="000D1029">
        <w:rPr>
          <w:rFonts w:ascii="Times New Roman" w:hAnsi="Times New Roman" w:cs="Times New Roman"/>
        </w:rPr>
        <w:t xml:space="preserve">22 del Pacto de Derechos Civiles y Políticos, la República Dominicana </w:t>
      </w:r>
      <w:r w:rsidR="005D0F06" w:rsidRPr="000D1029">
        <w:rPr>
          <w:rFonts w:ascii="Times New Roman" w:hAnsi="Times New Roman" w:cs="Times New Roman"/>
        </w:rPr>
        <w:t xml:space="preserve">ha firmado y ratificado los </w:t>
      </w:r>
      <w:r w:rsidR="005D0F06" w:rsidRPr="007D4A3F">
        <w:rPr>
          <w:rFonts w:ascii="Times New Roman" w:hAnsi="Times New Roman" w:cs="Times New Roman"/>
        </w:rPr>
        <w:t>Convenios Núm. 87 sobre libertad sindical y la protección de la sindicalización y el Convenio Núm. 98 sobre</w:t>
      </w:r>
      <w:r w:rsidR="005D0F06" w:rsidRPr="000D1029">
        <w:rPr>
          <w:rFonts w:ascii="Times New Roman" w:hAnsi="Times New Roman" w:cs="Times New Roman"/>
        </w:rPr>
        <w:t xml:space="preserve"> derechos de la sindicalización y la negociación colectiva, de la Organización Internacional del Trabajo (OIT).</w:t>
      </w:r>
    </w:p>
    <w:p w:rsidR="005D0F06" w:rsidRPr="000D1029" w:rsidRDefault="005D0F06" w:rsidP="00AB6DC7">
      <w:pPr>
        <w:spacing w:line="240" w:lineRule="auto"/>
        <w:rPr>
          <w:rFonts w:ascii="Times New Roman" w:hAnsi="Times New Roman" w:cs="Times New Roman"/>
          <w:i/>
        </w:rPr>
      </w:pPr>
    </w:p>
    <w:p w:rsidR="005D0F06" w:rsidRPr="000D1029" w:rsidRDefault="00BF660E" w:rsidP="00AB6DC7">
      <w:pPr>
        <w:tabs>
          <w:tab w:val="left" w:pos="0"/>
          <w:tab w:val="left" w:pos="426"/>
        </w:tabs>
        <w:autoSpaceDE w:val="0"/>
        <w:autoSpaceDN w:val="0"/>
        <w:adjustRightInd w:val="0"/>
        <w:spacing w:line="240" w:lineRule="auto"/>
        <w:rPr>
          <w:rFonts w:ascii="Times New Roman" w:hAnsi="Times New Roman" w:cs="Times New Roman"/>
          <w:i/>
        </w:rPr>
      </w:pPr>
      <w:r>
        <w:rPr>
          <w:rFonts w:ascii="Times New Roman" w:hAnsi="Times New Roman" w:cs="Times New Roman"/>
          <w:b/>
          <w:i/>
          <w:lang w:val="es-ES"/>
        </w:rPr>
        <w:t>110</w:t>
      </w:r>
      <w:r w:rsidR="005D0F06" w:rsidRPr="000D1029">
        <w:rPr>
          <w:rFonts w:ascii="Times New Roman" w:hAnsi="Times New Roman" w:cs="Times New Roman"/>
          <w:b/>
          <w:i/>
          <w:lang w:val="es-ES"/>
        </w:rPr>
        <w:t xml:space="preserve">. </w:t>
      </w:r>
      <w:r w:rsidR="00272160" w:rsidRPr="00272160">
        <w:rPr>
          <w:rFonts w:ascii="Times New Roman" w:hAnsi="Times New Roman" w:cs="Times New Roman"/>
          <w:b/>
          <w:i/>
          <w:lang w:val="es-ES"/>
        </w:rPr>
        <w:t>PÁRRAFO</w:t>
      </w:r>
      <w:r w:rsidR="005D0F06" w:rsidRPr="000D1029">
        <w:rPr>
          <w:rFonts w:ascii="Times New Roman" w:hAnsi="Times New Roman" w:cs="Times New Roman"/>
          <w:b/>
          <w:i/>
          <w:lang w:val="es-ES"/>
        </w:rPr>
        <w:t xml:space="preserve"> </w:t>
      </w:r>
      <w:r w:rsidR="005D0F06" w:rsidRPr="000D1029">
        <w:rPr>
          <w:rFonts w:ascii="Times New Roman" w:hAnsi="Times New Roman" w:cs="Times New Roman"/>
          <w:b/>
          <w:i/>
        </w:rPr>
        <w:t>20</w:t>
      </w:r>
      <w:r w:rsidR="005D0F06" w:rsidRPr="000D1029">
        <w:rPr>
          <w:rFonts w:ascii="Times New Roman" w:hAnsi="Times New Roman" w:cs="Times New Roman"/>
          <w:i/>
        </w:rPr>
        <w:t xml:space="preserve">.- El Comité sigue preocupado por la práctica de deportaciones de extranjeros en condiciones incompatibles con las disposiciones del Pacto. Asimismo, el Comité lamenta la detención por plazos indeterminados de las personas que van a ser deportadas. (art. </w:t>
      </w:r>
      <w:r w:rsidR="005D0F06" w:rsidRPr="000D1029">
        <w:rPr>
          <w:rFonts w:ascii="Times New Roman" w:hAnsi="Times New Roman" w:cs="Times New Roman"/>
          <w:i/>
          <w:spacing w:val="4"/>
        </w:rPr>
        <w:t>9,</w:t>
      </w:r>
      <w:r w:rsidR="005D0F06" w:rsidRPr="000D1029">
        <w:rPr>
          <w:rFonts w:ascii="Times New Roman" w:hAnsi="Times New Roman" w:cs="Times New Roman"/>
          <w:i/>
          <w:spacing w:val="-22"/>
        </w:rPr>
        <w:t xml:space="preserve"> </w:t>
      </w:r>
      <w:r w:rsidR="005D0F06" w:rsidRPr="000D1029">
        <w:rPr>
          <w:rFonts w:ascii="Times New Roman" w:hAnsi="Times New Roman" w:cs="Times New Roman"/>
          <w:i/>
        </w:rPr>
        <w:t>10)</w:t>
      </w:r>
      <w:r w:rsidR="0038216D">
        <w:rPr>
          <w:rFonts w:ascii="Times New Roman" w:hAnsi="Times New Roman" w:cs="Times New Roman"/>
          <w:i/>
        </w:rPr>
        <w:t>.</w:t>
      </w:r>
    </w:p>
    <w:p w:rsidR="005D0F06" w:rsidRPr="000D1029" w:rsidRDefault="005D0F06" w:rsidP="00AB6DC7">
      <w:pPr>
        <w:tabs>
          <w:tab w:val="left" w:pos="0"/>
          <w:tab w:val="left" w:pos="426"/>
        </w:tabs>
        <w:autoSpaceDE w:val="0"/>
        <w:autoSpaceDN w:val="0"/>
        <w:adjustRightInd w:val="0"/>
        <w:spacing w:line="240" w:lineRule="auto"/>
        <w:ind w:left="142"/>
        <w:rPr>
          <w:rFonts w:ascii="Times New Roman" w:eastAsia="Calibri" w:hAnsi="Times New Roman" w:cs="Times New Roman"/>
          <w:b/>
          <w:i/>
        </w:rPr>
      </w:pPr>
    </w:p>
    <w:p w:rsidR="005D0F06" w:rsidRPr="000D1029" w:rsidRDefault="00BF660E" w:rsidP="00AB6DC7">
      <w:pPr>
        <w:pStyle w:val="Heading31"/>
        <w:tabs>
          <w:tab w:val="left" w:pos="8647"/>
          <w:tab w:val="left" w:pos="9072"/>
        </w:tabs>
        <w:spacing w:before="0"/>
        <w:ind w:left="0" w:right="49" w:firstLine="0"/>
        <w:jc w:val="both"/>
        <w:rPr>
          <w:rFonts w:cs="Times New Roman"/>
          <w:i/>
          <w:sz w:val="24"/>
          <w:szCs w:val="24"/>
          <w:lang w:val="es-DO"/>
        </w:rPr>
      </w:pPr>
      <w:r>
        <w:rPr>
          <w:rFonts w:cs="Times New Roman"/>
          <w:i/>
          <w:sz w:val="24"/>
          <w:szCs w:val="24"/>
          <w:lang w:val="es-DO"/>
        </w:rPr>
        <w:t>111</w:t>
      </w:r>
      <w:r w:rsidR="005D0F06" w:rsidRPr="000D1029">
        <w:rPr>
          <w:rFonts w:cs="Times New Roman"/>
          <w:i/>
          <w:sz w:val="24"/>
          <w:szCs w:val="24"/>
          <w:lang w:val="es-DO"/>
        </w:rPr>
        <w:t xml:space="preserve">. El Estado en parte debe proporcionar a todas aquellas personas sujetas a </w:t>
      </w:r>
      <w:r w:rsidR="00BE3822" w:rsidRPr="000D1029">
        <w:rPr>
          <w:rFonts w:cs="Times New Roman"/>
          <w:i/>
          <w:sz w:val="24"/>
          <w:szCs w:val="24"/>
          <w:lang w:val="es-DO"/>
        </w:rPr>
        <w:t>n</w:t>
      </w:r>
      <w:r w:rsidR="005D0F06" w:rsidRPr="000D1029">
        <w:rPr>
          <w:rFonts w:cs="Times New Roman"/>
          <w:i/>
          <w:sz w:val="24"/>
          <w:szCs w:val="24"/>
          <w:lang w:val="es-DO"/>
        </w:rPr>
        <w:t>u proceso de deportación con las garantías establecidas en el Pacto, abolir la detención con duración indeterminada de las personas que van a ser deportadas, y proveer las personas detenidas con remedios</w:t>
      </w:r>
      <w:r w:rsidR="005D0F06" w:rsidRPr="000D1029">
        <w:rPr>
          <w:rFonts w:cs="Times New Roman"/>
          <w:i/>
          <w:spacing w:val="-9"/>
          <w:sz w:val="24"/>
          <w:szCs w:val="24"/>
          <w:lang w:val="es-DO"/>
        </w:rPr>
        <w:t xml:space="preserve"> </w:t>
      </w:r>
      <w:r w:rsidR="005D0F06" w:rsidRPr="000D1029">
        <w:rPr>
          <w:rFonts w:cs="Times New Roman"/>
          <w:i/>
          <w:sz w:val="24"/>
          <w:szCs w:val="24"/>
          <w:lang w:val="es-DO"/>
        </w:rPr>
        <w:t>efectivos.</w:t>
      </w:r>
    </w:p>
    <w:p w:rsidR="005D0F06" w:rsidRPr="000D1029" w:rsidRDefault="005D0F06" w:rsidP="00AB6DC7">
      <w:pPr>
        <w:pStyle w:val="Heading31"/>
        <w:spacing w:before="0"/>
        <w:ind w:left="0" w:right="1248" w:firstLine="0"/>
        <w:jc w:val="both"/>
        <w:rPr>
          <w:rFonts w:cs="Times New Roman"/>
          <w:bCs w:val="0"/>
          <w:sz w:val="24"/>
          <w:szCs w:val="24"/>
          <w:lang w:val="es-DO"/>
        </w:rPr>
      </w:pPr>
    </w:p>
    <w:p w:rsidR="005D0F06" w:rsidRPr="000D1029" w:rsidRDefault="00BF660E" w:rsidP="00AB6DC7">
      <w:pPr>
        <w:pStyle w:val="Heading31"/>
        <w:spacing w:before="0"/>
        <w:ind w:left="0" w:firstLine="0"/>
        <w:jc w:val="both"/>
        <w:rPr>
          <w:rFonts w:cs="Times New Roman"/>
          <w:b w:val="0"/>
          <w:bCs w:val="0"/>
          <w:color w:val="FF0000"/>
          <w:sz w:val="24"/>
          <w:szCs w:val="24"/>
          <w:lang w:val="es-DO"/>
        </w:rPr>
      </w:pPr>
      <w:r>
        <w:rPr>
          <w:rFonts w:cs="Times New Roman"/>
          <w:b w:val="0"/>
          <w:bCs w:val="0"/>
          <w:sz w:val="24"/>
          <w:szCs w:val="24"/>
          <w:lang w:val="es-DO"/>
        </w:rPr>
        <w:t>112</w:t>
      </w:r>
      <w:r w:rsidR="005D0F06" w:rsidRPr="000D1029">
        <w:rPr>
          <w:rFonts w:cs="Times New Roman"/>
          <w:b w:val="0"/>
          <w:bCs w:val="0"/>
          <w:sz w:val="24"/>
          <w:szCs w:val="24"/>
          <w:lang w:val="es-DO"/>
        </w:rPr>
        <w:t>. Respuesta del Estado dominicano:</w:t>
      </w:r>
      <w:r w:rsidR="005D0F06" w:rsidRPr="000D1029">
        <w:rPr>
          <w:rFonts w:cs="Times New Roman"/>
          <w:b w:val="0"/>
          <w:bCs w:val="0"/>
          <w:color w:val="FF0000"/>
          <w:sz w:val="24"/>
          <w:szCs w:val="24"/>
          <w:lang w:val="es-DO"/>
        </w:rPr>
        <w:t xml:space="preserve"> </w:t>
      </w:r>
      <w:r w:rsidR="005D0F06" w:rsidRPr="000D1029">
        <w:rPr>
          <w:rFonts w:cs="Times New Roman"/>
          <w:b w:val="0"/>
          <w:sz w:val="24"/>
          <w:szCs w:val="24"/>
          <w:lang w:val="es-ES"/>
        </w:rPr>
        <w:t xml:space="preserve">El Estado Dominicano tiene especial cuidado en el proceso de deportación del extranjero acto administrativo que se hace conforme a las normativas migratorias y garantías establecidas en la Constitución de la República, la ley </w:t>
      </w:r>
      <w:r w:rsidR="005D0F06" w:rsidRPr="000D1029">
        <w:rPr>
          <w:rFonts w:cs="Times New Roman"/>
          <w:b w:val="0"/>
          <w:sz w:val="24"/>
          <w:szCs w:val="24"/>
          <w:lang w:val="es-ES"/>
        </w:rPr>
        <w:lastRenderedPageBreak/>
        <w:t xml:space="preserve">285-04 sobre Migración y su Reglamento 631-11,  y las garantías establecidas en el pacto siempre que este acorde a la facultad de los Estados de </w:t>
      </w:r>
      <w:r w:rsidR="00BE3822" w:rsidRPr="000D1029">
        <w:rPr>
          <w:rFonts w:cs="Times New Roman"/>
          <w:b w:val="0"/>
          <w:sz w:val="24"/>
          <w:szCs w:val="24"/>
          <w:lang w:val="es-ES"/>
        </w:rPr>
        <w:t>m</w:t>
      </w:r>
      <w:r w:rsidR="005D0F06" w:rsidRPr="000D1029">
        <w:rPr>
          <w:rFonts w:cs="Times New Roman"/>
          <w:b w:val="0"/>
          <w:sz w:val="24"/>
          <w:szCs w:val="24"/>
          <w:lang w:val="es-ES"/>
        </w:rPr>
        <w:t xml:space="preserve">anejar su política migratoria, respetando  siempre la </w:t>
      </w:r>
      <w:r w:rsidR="005D0F06" w:rsidRPr="000D1029">
        <w:rPr>
          <w:rFonts w:cs="Times New Roman"/>
          <w:b w:val="0"/>
          <w:bCs w:val="0"/>
          <w:sz w:val="24"/>
          <w:szCs w:val="24"/>
          <w:lang w:val="es-ES"/>
        </w:rPr>
        <w:t xml:space="preserve">dignidad humana. </w:t>
      </w:r>
    </w:p>
    <w:p w:rsidR="005D0F06" w:rsidRPr="000D1029" w:rsidRDefault="005D0F06" w:rsidP="00AB6DC7">
      <w:pPr>
        <w:tabs>
          <w:tab w:val="left" w:pos="3030"/>
        </w:tabs>
        <w:spacing w:line="240" w:lineRule="auto"/>
        <w:rPr>
          <w:rFonts w:ascii="Times New Roman" w:hAnsi="Times New Roman" w:cs="Times New Roman"/>
        </w:rPr>
      </w:pPr>
    </w:p>
    <w:p w:rsidR="005D0F06" w:rsidRPr="000D1029" w:rsidRDefault="00A052D7" w:rsidP="00AB6DC7">
      <w:pPr>
        <w:autoSpaceDE w:val="0"/>
        <w:autoSpaceDN w:val="0"/>
        <w:adjustRightInd w:val="0"/>
        <w:spacing w:line="240" w:lineRule="auto"/>
        <w:rPr>
          <w:rFonts w:ascii="Times New Roman" w:hAnsi="Times New Roman" w:cs="Times New Roman"/>
        </w:rPr>
      </w:pPr>
      <w:r>
        <w:rPr>
          <w:rFonts w:ascii="Times New Roman" w:hAnsi="Times New Roman" w:cs="Times New Roman"/>
        </w:rPr>
        <w:t>113</w:t>
      </w:r>
      <w:r w:rsidR="005D0F06" w:rsidRPr="000D1029">
        <w:rPr>
          <w:rFonts w:ascii="Times New Roman" w:hAnsi="Times New Roman" w:cs="Times New Roman"/>
        </w:rPr>
        <w:t>. La deportación es un acto administrativo mediante el cual el gobierno dominicano expulsa del territorio nacional a un extranjero por una violación a la Ley, establecidas en los artículos 15, 68,  y 121 de la Ley de Migración</w:t>
      </w:r>
      <w:r w:rsidR="0045496B" w:rsidRPr="000D1029">
        <w:rPr>
          <w:rFonts w:ascii="Times New Roman" w:hAnsi="Times New Roman" w:cs="Times New Roman"/>
        </w:rPr>
        <w:t xml:space="preserve">. </w:t>
      </w:r>
      <w:r w:rsidR="005D0F06" w:rsidRPr="000D1029">
        <w:rPr>
          <w:rFonts w:ascii="Times New Roman" w:hAnsi="Times New Roman" w:cs="Times New Roman"/>
        </w:rPr>
        <w:t>Las deportaciones se realizarán en un plazo razonable el cual siempre dependerá de las condiciones para su tramitación. La decisión de la autoridad migratoria está obligada a preservar los principios de legalidad y del debido proceso, en cumplimiento al artículo 27 de la ley 285-04 sobre Migración.</w:t>
      </w:r>
      <w:r w:rsidR="0045496B" w:rsidRPr="000D1029">
        <w:rPr>
          <w:rFonts w:ascii="Times New Roman" w:hAnsi="Times New Roman" w:cs="Times New Roman"/>
        </w:rPr>
        <w:t xml:space="preserve"> </w:t>
      </w:r>
      <w:r w:rsidR="005D0F06" w:rsidRPr="000D1029">
        <w:rPr>
          <w:rFonts w:ascii="Times New Roman" w:hAnsi="Times New Roman" w:cs="Times New Roman"/>
        </w:rPr>
        <w:t xml:space="preserve">De acuerdo con la normativa migratoria nacional la detención se realizará hasta tanto se logren asegurar las condiciones para garantizar que la deportación del extranjero llegue a buen término. La detención es el último recurso, de modo que la autoridad migratoria sólo lo utiliza en caso de que se estimen insuficientes los demás recursos descritos en el reglamento de aplicación de la Ley de Migración. </w:t>
      </w:r>
    </w:p>
    <w:p w:rsidR="005D0F06" w:rsidRPr="000D1029" w:rsidRDefault="005D0F06" w:rsidP="00AB6DC7">
      <w:pPr>
        <w:shd w:val="clear" w:color="auto" w:fill="FFFFFF"/>
        <w:spacing w:line="240" w:lineRule="auto"/>
        <w:rPr>
          <w:rFonts w:ascii="Times New Roman" w:hAnsi="Times New Roman" w:cs="Times New Roman"/>
        </w:rPr>
      </w:pPr>
    </w:p>
    <w:p w:rsidR="005D0F06" w:rsidRPr="000D1029" w:rsidRDefault="00A052D7" w:rsidP="00AB6DC7">
      <w:pPr>
        <w:shd w:val="clear" w:color="auto" w:fill="FFFFFF"/>
        <w:spacing w:line="240" w:lineRule="auto"/>
        <w:rPr>
          <w:rFonts w:ascii="Times New Roman" w:hAnsi="Times New Roman" w:cs="Times New Roman"/>
          <w:lang w:val="es-ES"/>
        </w:rPr>
      </w:pPr>
      <w:r>
        <w:rPr>
          <w:rFonts w:ascii="Times New Roman" w:hAnsi="Times New Roman" w:cs="Times New Roman"/>
          <w:lang w:val="es-ES"/>
        </w:rPr>
        <w:t>114</w:t>
      </w:r>
      <w:r w:rsidR="005D0F06" w:rsidRPr="000D1029">
        <w:rPr>
          <w:rFonts w:ascii="Times New Roman" w:hAnsi="Times New Roman" w:cs="Times New Roman"/>
          <w:lang w:val="es-ES"/>
        </w:rPr>
        <w:t xml:space="preserve">. Durante el procedimiento administrativo de ejecutar del acto de deportación se les garantiza al extranjero el pleno respeto de sus derechos. El Extranjero podrá: </w:t>
      </w:r>
    </w:p>
    <w:p w:rsidR="005D0F06" w:rsidRPr="000D1029" w:rsidRDefault="005D0F06" w:rsidP="00AB6DC7">
      <w:pPr>
        <w:shd w:val="clear" w:color="auto" w:fill="FFFFFF"/>
        <w:spacing w:line="240" w:lineRule="auto"/>
        <w:rPr>
          <w:rFonts w:ascii="Times New Roman" w:hAnsi="Times New Roman" w:cs="Times New Roman"/>
          <w:lang w:val="es-ES"/>
        </w:rPr>
      </w:pPr>
    </w:p>
    <w:p w:rsidR="005D0F06" w:rsidRPr="000D1029" w:rsidRDefault="005D0F06" w:rsidP="00AB6DC7">
      <w:pPr>
        <w:pStyle w:val="ListParagraph"/>
        <w:numPr>
          <w:ilvl w:val="0"/>
          <w:numId w:val="30"/>
        </w:numPr>
        <w:shd w:val="clear" w:color="auto" w:fill="FFFFFF"/>
        <w:spacing w:line="240" w:lineRule="auto"/>
        <w:rPr>
          <w:rFonts w:ascii="Times New Roman" w:hAnsi="Times New Roman" w:cs="Times New Roman"/>
          <w:lang w:val="es-ES"/>
        </w:rPr>
      </w:pPr>
      <w:r w:rsidRPr="000D1029">
        <w:rPr>
          <w:rFonts w:ascii="Times New Roman" w:hAnsi="Times New Roman" w:cs="Times New Roman"/>
          <w:lang w:val="es-ES"/>
        </w:rPr>
        <w:t>Solicitar información de los motivos del Estado para detenerlo a fines deportación.</w:t>
      </w:r>
    </w:p>
    <w:p w:rsidR="005D0F06" w:rsidRPr="000D1029" w:rsidRDefault="005D0F06" w:rsidP="00AB6DC7">
      <w:pPr>
        <w:pStyle w:val="ListParagraph"/>
        <w:numPr>
          <w:ilvl w:val="0"/>
          <w:numId w:val="30"/>
        </w:numPr>
        <w:shd w:val="clear" w:color="auto" w:fill="FFFFFF"/>
        <w:spacing w:line="240" w:lineRule="auto"/>
        <w:rPr>
          <w:rFonts w:ascii="Times New Roman" w:hAnsi="Times New Roman" w:cs="Times New Roman"/>
          <w:lang w:val="es-ES"/>
        </w:rPr>
      </w:pPr>
      <w:r w:rsidRPr="000D1029">
        <w:rPr>
          <w:rFonts w:ascii="Times New Roman" w:hAnsi="Times New Roman" w:cs="Times New Roman"/>
          <w:lang w:val="es-ES"/>
        </w:rPr>
        <w:t>Tener comunicación con los representantes de su embajada.</w:t>
      </w:r>
    </w:p>
    <w:p w:rsidR="005D0F06" w:rsidRPr="000D1029" w:rsidRDefault="005D0F06" w:rsidP="00AB6DC7">
      <w:pPr>
        <w:pStyle w:val="ListParagraph"/>
        <w:numPr>
          <w:ilvl w:val="0"/>
          <w:numId w:val="30"/>
        </w:numPr>
        <w:shd w:val="clear" w:color="auto" w:fill="FFFFFF"/>
        <w:spacing w:line="240" w:lineRule="auto"/>
        <w:rPr>
          <w:rFonts w:ascii="Times New Roman" w:hAnsi="Times New Roman" w:cs="Times New Roman"/>
          <w:lang w:val="es-ES"/>
        </w:rPr>
      </w:pPr>
      <w:r w:rsidRPr="000D1029">
        <w:rPr>
          <w:rFonts w:ascii="Times New Roman" w:hAnsi="Times New Roman" w:cs="Times New Roman"/>
          <w:lang w:val="es-ES"/>
        </w:rPr>
        <w:t>Avisar a sus familiares, representante legal o persona de su confianza, ya sea en territorio nacional o fuera de éste; para tal efecto se le facilitarán los medios para comunicarse con ellos lo antes posible.</w:t>
      </w:r>
    </w:p>
    <w:p w:rsidR="005D0F06" w:rsidRPr="000D1029" w:rsidRDefault="005D0F06" w:rsidP="00AB6DC7">
      <w:pPr>
        <w:pStyle w:val="ListParagraph"/>
        <w:numPr>
          <w:ilvl w:val="0"/>
          <w:numId w:val="30"/>
        </w:numPr>
        <w:shd w:val="clear" w:color="auto" w:fill="FFFFFF"/>
        <w:spacing w:line="240" w:lineRule="auto"/>
        <w:rPr>
          <w:rFonts w:ascii="Times New Roman" w:hAnsi="Times New Roman" w:cs="Times New Roman"/>
          <w:lang w:val="es-ES"/>
        </w:rPr>
      </w:pPr>
      <w:r w:rsidRPr="000D1029">
        <w:rPr>
          <w:rFonts w:ascii="Times New Roman" w:hAnsi="Times New Roman" w:cs="Times New Roman"/>
          <w:lang w:val="es-ES"/>
        </w:rPr>
        <w:t>Requerir un traductor o intérprete de señas para facilitar la comunicación en el caso de que no hable o  entienda el español.</w:t>
      </w:r>
    </w:p>
    <w:p w:rsidR="005D0F06" w:rsidRPr="000D1029" w:rsidRDefault="005D0F06" w:rsidP="00AB6DC7">
      <w:pPr>
        <w:pStyle w:val="ListParagraph"/>
        <w:numPr>
          <w:ilvl w:val="0"/>
          <w:numId w:val="30"/>
        </w:numPr>
        <w:shd w:val="clear" w:color="auto" w:fill="FFFFFF"/>
        <w:spacing w:line="240" w:lineRule="auto"/>
        <w:rPr>
          <w:rFonts w:ascii="Times New Roman" w:hAnsi="Times New Roman" w:cs="Times New Roman"/>
          <w:lang w:val="es-ES"/>
        </w:rPr>
      </w:pPr>
      <w:r w:rsidRPr="000D1029">
        <w:rPr>
          <w:rFonts w:ascii="Times New Roman" w:hAnsi="Times New Roman" w:cs="Times New Roman"/>
          <w:lang w:val="es-ES"/>
        </w:rPr>
        <w:t>Ofrecer pruebas y alegar lo que a su derecho convenga, así como tener acceso parcial o completo a las constancias del expediente administrativo migratorio, salvo algunas discrecionalidades por motivos de seguridad del Estado.</w:t>
      </w:r>
    </w:p>
    <w:p w:rsidR="005D0F06" w:rsidRPr="000D1029" w:rsidRDefault="005D0F06" w:rsidP="00AB6DC7">
      <w:pPr>
        <w:tabs>
          <w:tab w:val="left" w:pos="3030"/>
        </w:tabs>
        <w:spacing w:line="240" w:lineRule="auto"/>
        <w:rPr>
          <w:rFonts w:ascii="Times New Roman" w:hAnsi="Times New Roman" w:cs="Times New Roman"/>
          <w:b/>
        </w:rPr>
      </w:pPr>
    </w:p>
    <w:p w:rsidR="005D0F06" w:rsidRPr="000D1029" w:rsidRDefault="00A052D7" w:rsidP="00AB6DC7">
      <w:pPr>
        <w:tabs>
          <w:tab w:val="left" w:pos="3030"/>
        </w:tabs>
        <w:spacing w:line="240" w:lineRule="auto"/>
        <w:rPr>
          <w:rFonts w:ascii="Times New Roman" w:hAnsi="Times New Roman" w:cs="Times New Roman"/>
        </w:rPr>
      </w:pPr>
      <w:r>
        <w:rPr>
          <w:rFonts w:ascii="Times New Roman" w:hAnsi="Times New Roman" w:cs="Times New Roman"/>
        </w:rPr>
        <w:t>115</w:t>
      </w:r>
      <w:r w:rsidR="005D0F06" w:rsidRPr="000D1029">
        <w:rPr>
          <w:rFonts w:ascii="Times New Roman" w:hAnsi="Times New Roman" w:cs="Times New Roman"/>
        </w:rPr>
        <w:t xml:space="preserve">. El acto Administrativo de la deportación podrá ser recurrido directamente  por el extranjero o por quien actué en su nombre en vía administrativa o jurisdiccional durante el trámite o solicitar que se revise éste de acuerdo al procedimiento establecido en la normativa vigente en la materia. </w:t>
      </w:r>
    </w:p>
    <w:p w:rsidR="005D0F06" w:rsidRPr="000D1029" w:rsidRDefault="005D0F06" w:rsidP="00AB6DC7">
      <w:pPr>
        <w:tabs>
          <w:tab w:val="left" w:pos="3030"/>
        </w:tabs>
        <w:spacing w:line="240" w:lineRule="auto"/>
        <w:rPr>
          <w:rFonts w:ascii="Times New Roman" w:hAnsi="Times New Roman" w:cs="Times New Roman"/>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i/>
          <w:lang w:val="es-ES" w:eastAsia="ja-JP"/>
        </w:rPr>
      </w:pPr>
      <w:r>
        <w:rPr>
          <w:rFonts w:ascii="Times New Roman" w:eastAsiaTheme="minorEastAsia" w:hAnsi="Times New Roman" w:cs="Times New Roman"/>
          <w:b/>
          <w:i/>
          <w:u w:val="single"/>
          <w:lang w:val="es-ES" w:eastAsia="ja-JP"/>
        </w:rPr>
        <w:t>116</w:t>
      </w:r>
      <w:r w:rsidR="005D0F06" w:rsidRPr="000D1029">
        <w:rPr>
          <w:rFonts w:ascii="Times New Roman" w:eastAsiaTheme="minorEastAsia" w:hAnsi="Times New Roman" w:cs="Times New Roman"/>
          <w:b/>
          <w:i/>
          <w:u w:val="single"/>
          <w:lang w:val="es-ES" w:eastAsia="ja-JP"/>
        </w:rPr>
        <w:t xml:space="preserve">. </w:t>
      </w:r>
      <w:r w:rsidR="00272160" w:rsidRPr="00272160">
        <w:rPr>
          <w:rFonts w:ascii="Times New Roman" w:eastAsiaTheme="minorEastAsia" w:hAnsi="Times New Roman" w:cs="Times New Roman"/>
          <w:b/>
          <w:i/>
          <w:u w:val="single"/>
          <w:lang w:val="es-ES" w:eastAsia="ja-JP"/>
        </w:rPr>
        <w:t>PÁRRAFO</w:t>
      </w:r>
      <w:r w:rsidR="005D0F06" w:rsidRPr="000D1029">
        <w:rPr>
          <w:rFonts w:ascii="Times New Roman" w:eastAsiaTheme="minorEastAsia" w:hAnsi="Times New Roman" w:cs="Times New Roman"/>
          <w:b/>
          <w:i/>
          <w:u w:val="single"/>
          <w:lang w:val="es-ES" w:eastAsia="ja-JP"/>
        </w:rPr>
        <w:t xml:space="preserve"> 21</w:t>
      </w:r>
      <w:r w:rsidR="005D0F06" w:rsidRPr="000D1029">
        <w:rPr>
          <w:rFonts w:ascii="Times New Roman" w:eastAsiaTheme="minorEastAsia" w:hAnsi="Times New Roman" w:cs="Times New Roman"/>
          <w:i/>
          <w:lang w:val="es-ES" w:eastAsia="ja-JP"/>
        </w:rPr>
        <w:t>: El Comité está preocupado por la falta de información sobre la situación en las cárceles no incluidas en el programa de implementación del nuevo modelo carcelario, donde permanece la mayoría de los detenidos. También lamenta el uso reducido de las alternativas al encarcelamiento, como la vigilancia electrónica y la excarcelación. (arts. 9, 10).</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i/>
          <w:lang w:val="es-ES"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b/>
          <w:i/>
          <w:lang w:val="es-ES" w:eastAsia="ja-JP"/>
        </w:rPr>
      </w:pPr>
      <w:r>
        <w:rPr>
          <w:rFonts w:ascii="Times New Roman" w:eastAsiaTheme="minorEastAsia" w:hAnsi="Times New Roman" w:cs="Times New Roman"/>
          <w:b/>
          <w:i/>
          <w:lang w:val="es-ES" w:eastAsia="ja-JP"/>
        </w:rPr>
        <w:t>117</w:t>
      </w:r>
      <w:r w:rsidR="005D0F06" w:rsidRPr="000D1029">
        <w:rPr>
          <w:rFonts w:ascii="Times New Roman" w:eastAsiaTheme="minorEastAsia" w:hAnsi="Times New Roman" w:cs="Times New Roman"/>
          <w:b/>
          <w:i/>
          <w:lang w:val="es-ES" w:eastAsia="ja-JP"/>
        </w:rPr>
        <w:t>. El Estado parte debe asegurar que la implementación del nuevo modelo carcelario no se realice a costa de las personas detenidas en las cárceles que sigan funcionando bajo los parámetros anteriores. El Estado parte debe garantizar el pleno respeto de las Reglas mínimas para el tratamiento de los reclusos en todas las cárceles del país. También debe intensificar sus esfuerzos para introducir alternativas al encarcelamiento en el sistema de sanciones penales.</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i/>
          <w:lang w:val="es-ES"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lang w:val="es-ES" w:eastAsia="ja-JP"/>
        </w:rPr>
      </w:pPr>
      <w:r>
        <w:rPr>
          <w:rFonts w:ascii="Times New Roman" w:eastAsiaTheme="minorEastAsia" w:hAnsi="Times New Roman" w:cs="Times New Roman"/>
          <w:lang w:val="es-ES" w:eastAsia="ja-JP"/>
        </w:rPr>
        <w:t>118</w:t>
      </w:r>
      <w:r w:rsidR="005D0F06" w:rsidRPr="000D1029">
        <w:rPr>
          <w:rFonts w:ascii="Times New Roman" w:eastAsiaTheme="minorEastAsia" w:hAnsi="Times New Roman" w:cs="Times New Roman"/>
          <w:lang w:val="es-ES" w:eastAsia="ja-JP"/>
        </w:rPr>
        <w:t>. Respuesta del Estado dominicano:</w:t>
      </w:r>
      <w:r w:rsidR="005D0F06" w:rsidRPr="000D1029">
        <w:rPr>
          <w:rFonts w:ascii="Times New Roman" w:eastAsiaTheme="minorEastAsia" w:hAnsi="Times New Roman" w:cs="Times New Roman"/>
          <w:b/>
          <w:lang w:val="es-ES" w:eastAsia="ja-JP"/>
        </w:rPr>
        <w:t xml:space="preserve"> </w:t>
      </w:r>
      <w:r w:rsidR="005D0F06" w:rsidRPr="000D1029">
        <w:rPr>
          <w:rFonts w:ascii="Times New Roman" w:eastAsiaTheme="minorEastAsia" w:hAnsi="Times New Roman" w:cs="Times New Roman"/>
          <w:lang w:val="es-ES" w:eastAsia="ja-JP"/>
        </w:rPr>
        <w:t xml:space="preserve">El Estado dominicano, sigue aplicando una política </w:t>
      </w:r>
      <w:r w:rsidR="005D0F06" w:rsidRPr="000D1029">
        <w:rPr>
          <w:rFonts w:ascii="Times New Roman" w:eastAsiaTheme="minorEastAsia" w:hAnsi="Times New Roman" w:cs="Times New Roman"/>
          <w:lang w:val="es-ES" w:eastAsia="ja-JP"/>
        </w:rPr>
        <w:lastRenderedPageBreak/>
        <w:t>penitenciara para mejorar la situación carcelaria de los privados de libertad, razón por la cual se han construido, en los últimos 10 años, 18 centros de corrección y rehabilitación, con el objetivo de darle cumplimiento a los preceptos de las reglas mínimas, reduciendo el nivel de hacinamiento, la insalubridad, los malos tratos y cumpliendo con la humanización en la ejecución de las sentencias.  En cuanto a políticas de reinserción social, la Dirección General de Prisiones como institución receptora de los privados de libertad solo se limita a aplicar el tratamiento a los internos; tanto es así, que en menos de tres años ha incrementado todos los programas de regeneración, educación, recreación, terapia  ocupacionales, salud cultura, religión, garantizando el pleno respeto de las Reglas Mínimas para el Tratamiento de los Reclusos en los las cárceles del país.</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lang w:val="es-ES"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lang w:val="es-ES" w:eastAsia="ja-JP"/>
        </w:rPr>
      </w:pPr>
      <w:r>
        <w:rPr>
          <w:rFonts w:ascii="Times New Roman" w:eastAsiaTheme="minorEastAsia" w:hAnsi="Times New Roman" w:cs="Times New Roman"/>
          <w:lang w:val="es-ES" w:eastAsia="ja-JP"/>
        </w:rPr>
        <w:t>119</w:t>
      </w:r>
      <w:r w:rsidR="005D0F06" w:rsidRPr="000D1029">
        <w:rPr>
          <w:rFonts w:ascii="Times New Roman" w:eastAsiaTheme="minorEastAsia" w:hAnsi="Times New Roman" w:cs="Times New Roman"/>
          <w:lang w:val="es-ES" w:eastAsia="ja-JP"/>
        </w:rPr>
        <w:t>. Con respecto a la excarcelación, y las medidas alternativas, es importante señalar que en el sistema penitenciario se ha realizado un gran esfuerzo para que los internos y las internas reciban un trato digno y humano.  Debiendo observar además, como se han reducido las riñas, motines y fugas en los recintos, la tranquilidad, y el estado de disciplina, que hoy exhibe el sistema penitenciario, donde los internos por esta situación se mantienen en un estado confraternidad, trabajando cada en los diferentes programas de regeneración.</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b/>
          <w:i/>
          <w:u w:val="single"/>
          <w:lang w:val="es-ES"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i/>
          <w:lang w:val="es-ES" w:eastAsia="ja-JP"/>
        </w:rPr>
      </w:pPr>
      <w:r>
        <w:rPr>
          <w:rFonts w:ascii="Times New Roman" w:eastAsiaTheme="minorEastAsia" w:hAnsi="Times New Roman" w:cs="Times New Roman"/>
          <w:b/>
          <w:i/>
          <w:u w:val="single"/>
          <w:lang w:val="es-ES" w:eastAsia="ja-JP"/>
        </w:rPr>
        <w:t>120</w:t>
      </w:r>
      <w:r w:rsidR="005D0F06" w:rsidRPr="000D1029">
        <w:rPr>
          <w:rFonts w:ascii="Times New Roman" w:eastAsiaTheme="minorEastAsia" w:hAnsi="Times New Roman" w:cs="Times New Roman"/>
          <w:b/>
          <w:i/>
          <w:u w:val="single"/>
          <w:lang w:val="es-ES" w:eastAsia="ja-JP"/>
        </w:rPr>
        <w:t xml:space="preserve">. </w:t>
      </w:r>
      <w:r w:rsidR="00272160" w:rsidRPr="00272160">
        <w:rPr>
          <w:rFonts w:ascii="Times New Roman" w:eastAsiaTheme="minorEastAsia" w:hAnsi="Times New Roman" w:cs="Times New Roman"/>
          <w:b/>
          <w:i/>
          <w:u w:val="single"/>
          <w:lang w:val="es-ES" w:eastAsia="ja-JP"/>
        </w:rPr>
        <w:t>PÁRRAFO</w:t>
      </w:r>
      <w:r w:rsidR="005D0F06" w:rsidRPr="000D1029">
        <w:rPr>
          <w:rFonts w:ascii="Times New Roman" w:eastAsiaTheme="minorEastAsia" w:hAnsi="Times New Roman" w:cs="Times New Roman"/>
          <w:b/>
          <w:i/>
          <w:u w:val="single"/>
          <w:lang w:val="es-ES" w:eastAsia="ja-JP"/>
        </w:rPr>
        <w:t xml:space="preserve"> 22</w:t>
      </w:r>
      <w:r w:rsidR="005D0F06" w:rsidRPr="000D1029">
        <w:rPr>
          <w:rFonts w:ascii="Times New Roman" w:eastAsiaTheme="minorEastAsia" w:hAnsi="Times New Roman" w:cs="Times New Roman"/>
          <w:i/>
          <w:lang w:val="es-ES" w:eastAsia="ja-JP"/>
        </w:rPr>
        <w:t xml:space="preserve">. El Comité está preocupado por la información recibida según la cual la ley migratoria del 2004 ha sido aplicada retroactivamente en varios casos a adultos dominicanos de origen haitiano, anulando el reconocimiento de su nacionalidad dominicana porque sus padres estaban en “tránsito” al momento de su nacimiento, cualquiera sea la duración de su estancia en el país. El Comité lamenta las graves consecuencias de esta situación sobre el acceso de las personas afectadas a la educación, la justicia, el empleo, la vivienda, la salud, y al conjunto de derechos civiles y políticos relacionados con el estatus migratorio y la nacionalidad. (arts. 2, 16, 26) </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i/>
          <w:lang w:val="es-ES"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b/>
          <w:i/>
          <w:lang w:val="es-ES" w:eastAsia="ja-JP"/>
        </w:rPr>
      </w:pPr>
      <w:r>
        <w:rPr>
          <w:rFonts w:ascii="Times New Roman" w:eastAsiaTheme="minorEastAsia" w:hAnsi="Times New Roman" w:cs="Times New Roman"/>
          <w:b/>
          <w:i/>
          <w:lang w:val="es-ES" w:eastAsia="ja-JP"/>
        </w:rPr>
        <w:t>121</w:t>
      </w:r>
      <w:r w:rsidR="005D0F06" w:rsidRPr="000D1029">
        <w:rPr>
          <w:rFonts w:ascii="Times New Roman" w:eastAsiaTheme="minorEastAsia" w:hAnsi="Times New Roman" w:cs="Times New Roman"/>
          <w:b/>
          <w:i/>
          <w:lang w:val="es-ES" w:eastAsia="ja-JP"/>
        </w:rPr>
        <w:t xml:space="preserve">. El Estado parte debe abstenerse de aplicar retroactivamente la ley migratoria del 2004 y mantener la nacionalidad dominicana a las personas que la tenían al momento de su nacimiento. Además, el Estado debe considerar la posibilidad de adherirse a la Convención sobre el Estatuto de los Apátridas de 1954, y a la Convención para reducir los casos de apatridia de 1961, y emprender las reformas legislativas y administrativas necesarias para armonizar sus leyes y procedimientos con esas normas. </w:t>
      </w:r>
    </w:p>
    <w:p w:rsidR="005D0F06" w:rsidRPr="000D1029" w:rsidRDefault="005D0F06" w:rsidP="00AB6DC7">
      <w:pPr>
        <w:spacing w:line="240" w:lineRule="auto"/>
        <w:rPr>
          <w:rFonts w:ascii="Times New Roman" w:hAnsi="Times New Roman" w:cs="Times New Roman"/>
          <w:b/>
          <w:lang w:val="es-ES"/>
        </w:rPr>
      </w:pPr>
    </w:p>
    <w:p w:rsidR="005D0F06" w:rsidRPr="000D1029" w:rsidRDefault="00A052D7" w:rsidP="00AB6DC7">
      <w:pPr>
        <w:spacing w:line="240" w:lineRule="auto"/>
        <w:rPr>
          <w:rFonts w:ascii="Times New Roman" w:hAnsi="Times New Roman" w:cs="Times New Roman"/>
          <w:lang w:val="es-ES"/>
        </w:rPr>
      </w:pPr>
      <w:r>
        <w:rPr>
          <w:rFonts w:ascii="Times New Roman" w:hAnsi="Times New Roman" w:cs="Times New Roman"/>
          <w:b/>
        </w:rPr>
        <w:t>122</w:t>
      </w:r>
      <w:r w:rsidR="005D0F06" w:rsidRPr="000D1029">
        <w:rPr>
          <w:rFonts w:ascii="Times New Roman" w:hAnsi="Times New Roman" w:cs="Times New Roman"/>
          <w:b/>
        </w:rPr>
        <w:t xml:space="preserve">. Respuesta del Estado dominicano: </w:t>
      </w:r>
      <w:bookmarkStart w:id="0" w:name="_GoBack"/>
      <w:bookmarkEnd w:id="0"/>
      <w:r w:rsidR="005D0F06" w:rsidRPr="000D1029">
        <w:rPr>
          <w:rFonts w:ascii="Times New Roman" w:hAnsi="Times New Roman" w:cs="Times New Roman"/>
          <w:lang w:val="es-ES"/>
        </w:rPr>
        <w:t>El 23 de septiembre del año 2013, el Tribunal Constitucional de la República Dominicana emitió la sentencia TC/0168/13, que decidió, interpretando el régimen constitucional de la nacionalidad que ha estado vigente en el sistema constitucional dominicano a partir del año 1929 y las leyes de migración dominicanas, que las personas nacidas en territorio dominicano de padres extranjeros en situación de irregularidad, no les corresponde la nacionalidad dominicana.</w:t>
      </w:r>
      <w:r w:rsidR="00585B5D" w:rsidRPr="000D1029">
        <w:rPr>
          <w:rFonts w:ascii="Times New Roman" w:hAnsi="Times New Roman" w:cs="Times New Roman"/>
          <w:lang w:val="es-ES"/>
        </w:rPr>
        <w:t xml:space="preserve"> </w:t>
      </w:r>
      <w:r w:rsidR="005D0F06" w:rsidRPr="000D1029">
        <w:rPr>
          <w:rFonts w:ascii="Times New Roman" w:hAnsi="Times New Roman" w:cs="Times New Roman"/>
          <w:lang w:val="es-ES"/>
        </w:rPr>
        <w:t>La Sentencia emitida por el Tribunal Constitucional de la República Dominicana, ratificó la jurisprudencia de la Suprema Corte de Justicia del 14 de diciembre del año 2005, reafirmando que a los hijos de extranjeros ilegales o en tránsito nacidos en territorio de la República Dominicana no les corresponde la nacionalidad dominicana.</w:t>
      </w:r>
    </w:p>
    <w:p w:rsidR="005D0F06" w:rsidRPr="000D1029" w:rsidRDefault="005D0F06" w:rsidP="00AB6DC7">
      <w:pPr>
        <w:spacing w:line="240" w:lineRule="auto"/>
        <w:rPr>
          <w:rFonts w:ascii="Times New Roman" w:hAnsi="Times New Roman" w:cs="Times New Roman"/>
          <w:lang w:val="es-ES"/>
        </w:rPr>
      </w:pPr>
      <w:r w:rsidRPr="000D1029">
        <w:rPr>
          <w:rFonts w:ascii="Times New Roman" w:hAnsi="Times New Roman" w:cs="Times New Roman"/>
          <w:lang w:val="es-ES"/>
        </w:rPr>
        <w:t xml:space="preserve"> </w:t>
      </w:r>
    </w:p>
    <w:p w:rsidR="005D0F06" w:rsidRPr="000D1029" w:rsidRDefault="00A052D7" w:rsidP="00AB6DC7">
      <w:pPr>
        <w:pStyle w:val="Normal1"/>
        <w:spacing w:line="240" w:lineRule="auto"/>
        <w:jc w:val="both"/>
        <w:rPr>
          <w:rFonts w:ascii="Times New Roman" w:hAnsi="Times New Roman" w:cs="Times New Roman"/>
          <w:sz w:val="24"/>
          <w:szCs w:val="24"/>
          <w:lang w:val="es-ES"/>
        </w:rPr>
      </w:pPr>
      <w:r>
        <w:rPr>
          <w:rFonts w:ascii="Times New Roman" w:eastAsia="Cambria" w:hAnsi="Times New Roman" w:cs="Times New Roman"/>
          <w:sz w:val="24"/>
          <w:szCs w:val="24"/>
          <w:lang w:val="es-ES"/>
        </w:rPr>
        <w:t>123</w:t>
      </w:r>
      <w:r w:rsidR="005D0F06" w:rsidRPr="000D1029">
        <w:rPr>
          <w:rFonts w:ascii="Times New Roman" w:eastAsia="Cambria" w:hAnsi="Times New Roman" w:cs="Times New Roman"/>
          <w:sz w:val="24"/>
          <w:szCs w:val="24"/>
          <w:lang w:val="es-ES"/>
        </w:rPr>
        <w:t xml:space="preserve">. Según la Encuesta Nacional de Inmigrantes (ENI) en República Dominicana teníamos 244 mil 151 personas hijos de extranjero, de estos 105 mil 381 dijeron tener por lo menos un padre dominicano, por lo tanto le correspondería la nacionalidad dominicana de pleno derecho según nuestra Constitución, y por lo tanto podemos decir que no se verían afectados </w:t>
      </w:r>
      <w:r w:rsidR="005D0F06" w:rsidRPr="000D1029">
        <w:rPr>
          <w:rFonts w:ascii="Times New Roman" w:eastAsia="Cambria" w:hAnsi="Times New Roman" w:cs="Times New Roman"/>
          <w:sz w:val="24"/>
          <w:szCs w:val="24"/>
          <w:lang w:val="es-ES"/>
        </w:rPr>
        <w:lastRenderedPageBreak/>
        <w:t>por la sentencia del Tribunal Constitucional 168-13. El resto, 138 mil 770 dijeron ser de ambos padres extranjeros.</w:t>
      </w:r>
    </w:p>
    <w:p w:rsidR="005D0F06" w:rsidRPr="000D1029" w:rsidRDefault="005D0F06" w:rsidP="00AB6DC7">
      <w:pPr>
        <w:pStyle w:val="Normal1"/>
        <w:spacing w:line="240" w:lineRule="auto"/>
        <w:jc w:val="both"/>
        <w:rPr>
          <w:rFonts w:ascii="Times New Roman" w:hAnsi="Times New Roman" w:cs="Times New Roman"/>
          <w:sz w:val="24"/>
          <w:szCs w:val="24"/>
          <w:lang w:val="es-ES"/>
        </w:rPr>
      </w:pPr>
      <w:r w:rsidRPr="000D1029">
        <w:rPr>
          <w:rFonts w:ascii="Times New Roman" w:eastAsia="Cambria" w:hAnsi="Times New Roman" w:cs="Times New Roman"/>
          <w:sz w:val="24"/>
          <w:szCs w:val="24"/>
          <w:lang w:val="es-ES"/>
        </w:rPr>
        <w:t xml:space="preserve"> </w:t>
      </w:r>
    </w:p>
    <w:p w:rsidR="005D0F06" w:rsidRPr="000D1029" w:rsidRDefault="00A052D7" w:rsidP="00AB6DC7">
      <w:pPr>
        <w:pStyle w:val="Normal1"/>
        <w:spacing w:line="240" w:lineRule="auto"/>
        <w:jc w:val="both"/>
        <w:rPr>
          <w:rFonts w:ascii="Times New Roman" w:hAnsi="Times New Roman" w:cs="Times New Roman"/>
          <w:sz w:val="24"/>
          <w:szCs w:val="24"/>
          <w:lang w:val="es-ES"/>
        </w:rPr>
      </w:pPr>
      <w:r>
        <w:rPr>
          <w:rFonts w:ascii="Times New Roman" w:eastAsia="Cambria" w:hAnsi="Times New Roman" w:cs="Times New Roman"/>
          <w:sz w:val="24"/>
          <w:szCs w:val="24"/>
          <w:lang w:val="es-ES"/>
        </w:rPr>
        <w:t>124</w:t>
      </w:r>
      <w:r w:rsidR="005D0F06" w:rsidRPr="000D1029">
        <w:rPr>
          <w:rFonts w:ascii="Times New Roman" w:eastAsia="Cambria" w:hAnsi="Times New Roman" w:cs="Times New Roman"/>
          <w:sz w:val="24"/>
          <w:szCs w:val="24"/>
          <w:lang w:val="es-ES"/>
        </w:rPr>
        <w:t xml:space="preserve">. De estos 138 mil 770, hay 20 mil 213 que dijeron poseer un documento de identidad extranjero y 16 mil 556 que poseían documento extranjero y dominicano; </w:t>
      </w:r>
      <w:r w:rsidR="005D0F06" w:rsidRPr="000D1029">
        <w:rPr>
          <w:rFonts w:ascii="Times New Roman" w:eastAsia="Cambria" w:hAnsi="Times New Roman" w:cs="Times New Roman"/>
          <w:color w:val="auto"/>
          <w:sz w:val="24"/>
          <w:szCs w:val="24"/>
          <w:lang w:val="es-ES"/>
        </w:rPr>
        <w:t>por tanto,</w:t>
      </w:r>
      <w:r w:rsidR="005D0F06" w:rsidRPr="000D1029">
        <w:rPr>
          <w:rFonts w:ascii="Times New Roman" w:eastAsia="Cambria" w:hAnsi="Times New Roman" w:cs="Times New Roman"/>
          <w:sz w:val="24"/>
          <w:szCs w:val="24"/>
          <w:lang w:val="es-ES"/>
        </w:rPr>
        <w:t xml:space="preserve"> no se podría decir que estas personas tienen su situación en cuanto a nacionalidad en cuestionamiento. </w:t>
      </w:r>
    </w:p>
    <w:p w:rsidR="005D0F06" w:rsidRPr="000D1029" w:rsidRDefault="005D0F06" w:rsidP="00AB6DC7">
      <w:pPr>
        <w:pStyle w:val="Normal1"/>
        <w:spacing w:line="240" w:lineRule="auto"/>
        <w:jc w:val="both"/>
        <w:rPr>
          <w:rFonts w:ascii="Times New Roman" w:hAnsi="Times New Roman" w:cs="Times New Roman"/>
          <w:sz w:val="24"/>
          <w:szCs w:val="24"/>
          <w:lang w:val="es-ES"/>
        </w:rPr>
      </w:pPr>
      <w:r w:rsidRPr="000D1029">
        <w:rPr>
          <w:rFonts w:ascii="Times New Roman" w:eastAsia="Cambria" w:hAnsi="Times New Roman" w:cs="Times New Roman"/>
          <w:sz w:val="24"/>
          <w:szCs w:val="24"/>
          <w:lang w:val="es-ES"/>
        </w:rPr>
        <w:t xml:space="preserve"> </w:t>
      </w:r>
    </w:p>
    <w:p w:rsidR="005D0F06" w:rsidRPr="000D1029" w:rsidRDefault="00A052D7" w:rsidP="00AB6DC7">
      <w:pPr>
        <w:pStyle w:val="Normal1"/>
        <w:spacing w:line="240" w:lineRule="auto"/>
        <w:jc w:val="both"/>
        <w:rPr>
          <w:rFonts w:ascii="Times New Roman" w:hAnsi="Times New Roman" w:cs="Times New Roman"/>
          <w:sz w:val="24"/>
          <w:szCs w:val="24"/>
          <w:lang w:val="es-ES"/>
        </w:rPr>
      </w:pPr>
      <w:r>
        <w:rPr>
          <w:rFonts w:ascii="Times New Roman" w:eastAsia="Cambria" w:hAnsi="Times New Roman" w:cs="Times New Roman"/>
          <w:sz w:val="24"/>
          <w:szCs w:val="24"/>
          <w:lang w:val="es-ES"/>
        </w:rPr>
        <w:t>125</w:t>
      </w:r>
      <w:r w:rsidR="005D0F06" w:rsidRPr="000D1029">
        <w:rPr>
          <w:rFonts w:ascii="Times New Roman" w:eastAsia="Cambria" w:hAnsi="Times New Roman" w:cs="Times New Roman"/>
          <w:sz w:val="24"/>
          <w:szCs w:val="24"/>
          <w:lang w:val="es-ES"/>
        </w:rPr>
        <w:t xml:space="preserve">. Había además, según la </w:t>
      </w:r>
      <w:r w:rsidR="005D0F06" w:rsidRPr="000D1029">
        <w:rPr>
          <w:rFonts w:ascii="Times New Roman" w:eastAsia="Cambria" w:hAnsi="Times New Roman" w:cs="Times New Roman"/>
          <w:color w:val="auto"/>
          <w:sz w:val="24"/>
          <w:szCs w:val="24"/>
          <w:lang w:val="es-ES"/>
        </w:rPr>
        <w:t>ENI-2012,</w:t>
      </w:r>
      <w:r w:rsidR="005D0F06" w:rsidRPr="000D1029">
        <w:rPr>
          <w:rFonts w:ascii="Times New Roman" w:eastAsia="Cambria" w:hAnsi="Times New Roman" w:cs="Times New Roman"/>
          <w:sz w:val="24"/>
          <w:szCs w:val="24"/>
          <w:lang w:val="es-ES"/>
        </w:rPr>
        <w:t xml:space="preserve"> 46 mil 759 personas que dijeron tener documento dominicano y ambos padres eran nacidos en el extranjero. Si bien no se sabe cuántos de ellos eran padres ilegales al momento del nacimiento del hijo o hija en territorio dominicano, podemos decir que la cifra de personas potenciales beneficiarios de</w:t>
      </w:r>
      <w:r w:rsidR="005D0F06" w:rsidRPr="000D1029">
        <w:rPr>
          <w:rFonts w:ascii="Times New Roman" w:eastAsia="Cambria" w:hAnsi="Times New Roman" w:cs="Times New Roman"/>
          <w:color w:val="auto"/>
          <w:sz w:val="24"/>
          <w:szCs w:val="24"/>
          <w:lang w:val="es-ES"/>
        </w:rPr>
        <w:t xml:space="preserve"> la</w:t>
      </w:r>
      <w:r w:rsidR="005D0F06" w:rsidRPr="000D1029">
        <w:rPr>
          <w:rFonts w:ascii="Times New Roman" w:eastAsia="Cambria" w:hAnsi="Times New Roman" w:cs="Times New Roman"/>
          <w:color w:val="FF0000"/>
          <w:sz w:val="24"/>
          <w:szCs w:val="24"/>
          <w:lang w:val="es-ES"/>
        </w:rPr>
        <w:t xml:space="preserve"> </w:t>
      </w:r>
      <w:r w:rsidR="005D0F06" w:rsidRPr="000D1029">
        <w:rPr>
          <w:rFonts w:ascii="Times New Roman" w:eastAsia="Cambria" w:hAnsi="Times New Roman" w:cs="Times New Roman"/>
          <w:sz w:val="24"/>
          <w:szCs w:val="24"/>
          <w:lang w:val="es-ES"/>
        </w:rPr>
        <w:t xml:space="preserve">Ley Especial 169-14 será similar o menor a este número. La Junta Central Electoral concluyó una auditoría del registro civil para identificar cuántas de estas personas efectivamente fueron inscritas  de manera regular y cuales no; el listado final fue de poco más de 55,000 personas. </w:t>
      </w:r>
    </w:p>
    <w:p w:rsidR="005D0F06" w:rsidRPr="000D1029" w:rsidRDefault="005D0F06" w:rsidP="00AB6DC7">
      <w:pPr>
        <w:pStyle w:val="Normal1"/>
        <w:spacing w:line="240" w:lineRule="auto"/>
        <w:jc w:val="both"/>
        <w:rPr>
          <w:rFonts w:ascii="Times New Roman" w:hAnsi="Times New Roman" w:cs="Times New Roman"/>
          <w:sz w:val="24"/>
          <w:szCs w:val="24"/>
          <w:lang w:val="es-ES"/>
        </w:rPr>
      </w:pPr>
      <w:r w:rsidRPr="000D1029">
        <w:rPr>
          <w:rFonts w:ascii="Times New Roman" w:eastAsia="Cambria" w:hAnsi="Times New Roman" w:cs="Times New Roman"/>
          <w:sz w:val="24"/>
          <w:szCs w:val="24"/>
          <w:lang w:val="es-ES"/>
        </w:rPr>
        <w:t xml:space="preserve"> </w:t>
      </w:r>
    </w:p>
    <w:p w:rsidR="005D0F06" w:rsidRPr="000D1029" w:rsidRDefault="00A052D7" w:rsidP="00AB6DC7">
      <w:pPr>
        <w:pStyle w:val="Normal1"/>
        <w:spacing w:line="240" w:lineRule="auto"/>
        <w:jc w:val="both"/>
        <w:rPr>
          <w:rFonts w:ascii="Times New Roman" w:hAnsi="Times New Roman" w:cs="Times New Roman"/>
          <w:sz w:val="24"/>
          <w:szCs w:val="24"/>
          <w:lang w:val="es-ES"/>
        </w:rPr>
      </w:pPr>
      <w:r>
        <w:rPr>
          <w:rFonts w:ascii="Times New Roman" w:eastAsia="Cambria" w:hAnsi="Times New Roman" w:cs="Times New Roman"/>
          <w:sz w:val="24"/>
          <w:szCs w:val="24"/>
          <w:lang w:val="es-ES"/>
        </w:rPr>
        <w:t>126</w:t>
      </w:r>
      <w:r w:rsidR="005D0F06" w:rsidRPr="000D1029">
        <w:rPr>
          <w:rFonts w:ascii="Times New Roman" w:eastAsia="Cambria" w:hAnsi="Times New Roman" w:cs="Times New Roman"/>
          <w:sz w:val="24"/>
          <w:szCs w:val="24"/>
          <w:lang w:val="es-ES"/>
        </w:rPr>
        <w:t xml:space="preserve">. También, la </w:t>
      </w:r>
      <w:r w:rsidR="005D0F06" w:rsidRPr="000D1029">
        <w:rPr>
          <w:rFonts w:ascii="Times New Roman" w:eastAsia="Cambria" w:hAnsi="Times New Roman" w:cs="Times New Roman"/>
          <w:color w:val="auto"/>
          <w:sz w:val="24"/>
          <w:szCs w:val="24"/>
          <w:lang w:val="es-ES"/>
        </w:rPr>
        <w:t>ENI-2012</w:t>
      </w:r>
      <w:r w:rsidR="005D0F06" w:rsidRPr="000D1029">
        <w:rPr>
          <w:rFonts w:ascii="Times New Roman" w:eastAsia="Cambria" w:hAnsi="Times New Roman" w:cs="Times New Roman"/>
          <w:sz w:val="24"/>
          <w:szCs w:val="24"/>
          <w:lang w:val="es-ES"/>
        </w:rPr>
        <w:t xml:space="preserve"> reveló un caso que representaba un gran reto para el registro civil y el Estado Dominicano, un grupo de 53 mil 438 personas que dijeron ser hijos de padres extranjeros y carecían de cualquier tipo de documento.</w:t>
      </w:r>
      <w:r w:rsidR="005D0F06" w:rsidRPr="000D1029">
        <w:rPr>
          <w:rFonts w:ascii="Times New Roman" w:eastAsia="Cambria" w:hAnsi="Times New Roman" w:cs="Times New Roman"/>
          <w:sz w:val="24"/>
          <w:szCs w:val="24"/>
          <w:vertAlign w:val="superscript"/>
          <w:lang w:val="es-ES"/>
        </w:rPr>
        <w:footnoteReference w:id="10"/>
      </w:r>
      <w:r w:rsidR="005D0F06" w:rsidRPr="000D1029">
        <w:rPr>
          <w:rFonts w:ascii="Times New Roman" w:eastAsia="Cambria" w:hAnsi="Times New Roman" w:cs="Times New Roman"/>
          <w:sz w:val="24"/>
          <w:szCs w:val="24"/>
          <w:lang w:val="es-ES"/>
        </w:rPr>
        <w:t xml:space="preserve"> Para ellos, la Ley 169-14 creó una vía institucional para su registro como extranjeros y eventual naturalización como dominicanos, pues como se ha señalado anteriormente, la constante jurisprudencial en la República Dominicana ha sido clara en determinar el status de estas personas. Posteriormente, luego de los procesos llevados a cabo a lo largo del año 2014 y 2015 el Estado ha entendido que parte de los descendientes del grupo conocido como A, entran dentro de este número arrojado por la Encuesta Nacional de Inmigrantes, lo que explicaría en parte el por qué en la categoría B de la Ley 169-14 se registraron 8,755, cifra señalada por algunos como insuficiente.</w:t>
      </w:r>
    </w:p>
    <w:p w:rsidR="005D0F06" w:rsidRPr="000D1029" w:rsidRDefault="005D0F06" w:rsidP="00AB6DC7">
      <w:pPr>
        <w:spacing w:line="240" w:lineRule="auto"/>
        <w:rPr>
          <w:rFonts w:ascii="Times New Roman" w:hAnsi="Times New Roman" w:cs="Times New Roman"/>
          <w:color w:val="000000" w:themeColor="text1"/>
          <w:lang w:val="es-ES"/>
        </w:rPr>
      </w:pPr>
    </w:p>
    <w:p w:rsidR="005D0F06" w:rsidRPr="000D1029" w:rsidRDefault="00A052D7" w:rsidP="00AB6DC7">
      <w:pPr>
        <w:spacing w:line="240" w:lineRule="auto"/>
        <w:rPr>
          <w:rFonts w:ascii="Times New Roman" w:hAnsi="Times New Roman" w:cs="Times New Roman"/>
          <w:color w:val="000000" w:themeColor="text1"/>
          <w:lang w:val="es-ES"/>
        </w:rPr>
      </w:pPr>
      <w:r>
        <w:rPr>
          <w:rFonts w:ascii="Times New Roman" w:hAnsi="Times New Roman" w:cs="Times New Roman"/>
          <w:color w:val="000000" w:themeColor="text1"/>
          <w:lang w:val="es-ES"/>
        </w:rPr>
        <w:t>127</w:t>
      </w:r>
      <w:r w:rsidR="005D0F06" w:rsidRPr="000D1029">
        <w:rPr>
          <w:rFonts w:ascii="Times New Roman" w:hAnsi="Times New Roman" w:cs="Times New Roman"/>
          <w:color w:val="000000" w:themeColor="text1"/>
          <w:lang w:val="es-ES"/>
        </w:rPr>
        <w:t xml:space="preserve">. La realidad es que en la República Dominicana no se han presentado casos de apatridia. El Alto Comisionado de las Naciones Unidas para los Refugiados, ACNUR se ha referido al tema como una posibilidad, como un riesgo, pero no ha constatado ninguno y, precisamente para eliminar el peligro de que se dieran, aprobamos la ley 169-14. </w:t>
      </w:r>
    </w:p>
    <w:p w:rsidR="005D0F06" w:rsidRPr="000D1029" w:rsidRDefault="005D0F06" w:rsidP="00AB6DC7">
      <w:pPr>
        <w:spacing w:line="240" w:lineRule="auto"/>
        <w:rPr>
          <w:rFonts w:ascii="Times New Roman" w:hAnsi="Times New Roman" w:cs="Times New Roman"/>
          <w:color w:val="000000" w:themeColor="text1"/>
          <w:lang w:val="es-ES"/>
        </w:rPr>
      </w:pPr>
    </w:p>
    <w:p w:rsidR="005D0F06" w:rsidRPr="000D1029" w:rsidRDefault="00A052D7" w:rsidP="00AB6DC7">
      <w:pPr>
        <w:spacing w:line="240" w:lineRule="auto"/>
        <w:rPr>
          <w:rFonts w:ascii="Times New Roman" w:eastAsiaTheme="minorEastAsia" w:hAnsi="Times New Roman" w:cs="Times New Roman"/>
          <w:lang w:eastAsia="ja-JP"/>
        </w:rPr>
      </w:pPr>
      <w:r>
        <w:rPr>
          <w:rFonts w:ascii="Times New Roman" w:hAnsi="Times New Roman" w:cs="Times New Roman"/>
        </w:rPr>
        <w:t>128</w:t>
      </w:r>
      <w:r w:rsidR="005D0F06" w:rsidRPr="000D1029">
        <w:rPr>
          <w:rFonts w:ascii="Times New Roman" w:hAnsi="Times New Roman" w:cs="Times New Roman"/>
        </w:rPr>
        <w:t xml:space="preserve">. La Cuestión Migratoria y el Plan Nacional de Regularización. </w:t>
      </w:r>
      <w:r w:rsidR="005D0F06" w:rsidRPr="000D1029">
        <w:rPr>
          <w:rFonts w:ascii="Times New Roman" w:eastAsiaTheme="minorEastAsia" w:hAnsi="Times New Roman" w:cs="Times New Roman"/>
          <w:lang w:eastAsia="ja-JP"/>
        </w:rPr>
        <w:t>Como se ha referido en otras partes de este documento, el Estado dominicano puso en vigencia un “Plan Nacional de Regularización de Extranjeros en condición migratoria irregular”, el cual se instituyó mediante el Decreto del Poder Ejecutivo No. 327-13 de fecha 29 de noviembre de 2013. Durante 18 meses el Estado impuso una moratoria en las deportaciones para que todos y cada uno de los extranjeros en el territorio dominicano que cumpliese con los requisitos de la norma se regularizara y obtuviera un estatus migratorio.</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lang w:eastAsia="ja-JP"/>
        </w:rPr>
      </w:pPr>
      <w:r w:rsidRPr="000D1029">
        <w:rPr>
          <w:rFonts w:ascii="Times New Roman" w:eastAsiaTheme="minorEastAsia" w:hAnsi="Times New Roman" w:cs="Times New Roman"/>
          <w:lang w:eastAsia="ja-JP"/>
        </w:rPr>
        <w:t> </w:t>
      </w: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lang w:eastAsia="ja-JP"/>
        </w:rPr>
      </w:pPr>
      <w:r>
        <w:rPr>
          <w:rFonts w:ascii="Times New Roman" w:eastAsiaTheme="minorEastAsia" w:hAnsi="Times New Roman" w:cs="Times New Roman"/>
          <w:lang w:eastAsia="ja-JP"/>
        </w:rPr>
        <w:t>129</w:t>
      </w:r>
      <w:r w:rsidR="005D0F06" w:rsidRPr="000D1029">
        <w:rPr>
          <w:rFonts w:ascii="Times New Roman" w:eastAsiaTheme="minorEastAsia" w:hAnsi="Times New Roman" w:cs="Times New Roman"/>
          <w:lang w:eastAsia="ja-JP"/>
        </w:rPr>
        <w:t xml:space="preserve">. Para facilitar el acceso a los interesados, el Estado incorporó a instituciones y organismos con experiencia en la materia a las labores de información y asistencia, tales como el Alto comisionado de las Naciones Unidas para los refugiados (ACNUR), la Organización Internacional para las Migraciones (OIM), el Fondo de las Naciones Unidas para la Infancia (UNICEF), la Unión Europea, el PNUD y la Mesa Nacional para las Migraciones, entre muchas otras. El Estado desplegó durante todo el proceso una campaña publicitaria en varios idiomas en todos los medios de comunicación; habilitó más de veinte </w:t>
      </w:r>
      <w:r w:rsidR="005D0F06" w:rsidRPr="000D1029">
        <w:rPr>
          <w:rFonts w:ascii="Times New Roman" w:eastAsiaTheme="minorEastAsia" w:hAnsi="Times New Roman" w:cs="Times New Roman"/>
          <w:lang w:eastAsia="ja-JP"/>
        </w:rPr>
        <w:lastRenderedPageBreak/>
        <w:t>(20) oficinas en todo el territorio y dispuso de oficinas móviles para alcanzar lugares remotos.</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lang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lang w:eastAsia="ja-JP"/>
        </w:rPr>
      </w:pPr>
      <w:r>
        <w:rPr>
          <w:rFonts w:ascii="Times New Roman" w:eastAsiaTheme="minorEastAsia" w:hAnsi="Times New Roman" w:cs="Times New Roman"/>
          <w:lang w:eastAsia="ja-JP"/>
        </w:rPr>
        <w:t>130</w:t>
      </w:r>
      <w:r w:rsidR="005D0F06" w:rsidRPr="000D1029">
        <w:rPr>
          <w:rFonts w:ascii="Times New Roman" w:eastAsiaTheme="minorEastAsia" w:hAnsi="Times New Roman" w:cs="Times New Roman"/>
          <w:lang w:eastAsia="ja-JP"/>
        </w:rPr>
        <w:t xml:space="preserve">. El requisito fundamental para regularizarse era tener un pasaporte de su país de origen. Al cierre del plazo, 288,486 personas solicitaron su regularización. Esto es, se inscribió el 69% de los extranjeros que de acuerdo a la Encuesta Nacional de Inmigrantes (ENI) llevada a cabo en el año 2012 residían en el país. </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lang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lang w:eastAsia="ja-JP"/>
        </w:rPr>
      </w:pPr>
      <w:r>
        <w:rPr>
          <w:rFonts w:ascii="Times New Roman" w:eastAsiaTheme="minorEastAsia" w:hAnsi="Times New Roman" w:cs="Times New Roman"/>
          <w:lang w:eastAsia="ja-JP"/>
        </w:rPr>
        <w:t>131</w:t>
      </w:r>
      <w:r w:rsidR="005D0F06" w:rsidRPr="000D1029">
        <w:rPr>
          <w:rFonts w:ascii="Times New Roman" w:eastAsiaTheme="minorEastAsia" w:hAnsi="Times New Roman" w:cs="Times New Roman"/>
          <w:lang w:eastAsia="ja-JP"/>
        </w:rPr>
        <w:t>. Más del 90% de los inscritos resultaron ser nacionales haitianos, y una proporción significativa de ellos no contaban con pasaporte. Ante la realidad de que la falta de esta documentación a quien termina por afectar es a la persona que carece de ella, el Gobierno dominicano decidió que aún aquellos solicitantes sin pasaporte fueran dotados de un estatus temporal con vigencia de un año mientras logran obtener su documento de identidad nacional haitiano. </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lang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lang w:eastAsia="ja-JP"/>
        </w:rPr>
      </w:pPr>
      <w:r>
        <w:rPr>
          <w:rFonts w:ascii="Times New Roman" w:eastAsiaTheme="minorEastAsia" w:hAnsi="Times New Roman" w:cs="Times New Roman"/>
          <w:lang w:eastAsia="ja-JP"/>
        </w:rPr>
        <w:t>132</w:t>
      </w:r>
      <w:r w:rsidR="005D0F06" w:rsidRPr="000D1029">
        <w:rPr>
          <w:rFonts w:ascii="Times New Roman" w:eastAsiaTheme="minorEastAsia" w:hAnsi="Times New Roman" w:cs="Times New Roman"/>
          <w:lang w:eastAsia="ja-JP"/>
        </w:rPr>
        <w:t>. Incluso, el Estado dominicano aceptó la inscripción en su Plan de Regularización de aquellos registrados en el programa del gobierno haitiano conocido como PIDIH pendientes de entrega de pasaporte.  Al iniciar el mes de diciembre del año 2015 184,816 extranjeros habían recibido el documento o el visado correspondiente a su solicitud de regularización.</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lang w:eastAsia="ja-JP"/>
        </w:rPr>
      </w:pPr>
    </w:p>
    <w:p w:rsidR="005D0F06" w:rsidRPr="000D1029" w:rsidRDefault="00A052D7" w:rsidP="00AB6DC7">
      <w:pPr>
        <w:widowControl w:val="0"/>
        <w:autoSpaceDE w:val="0"/>
        <w:autoSpaceDN w:val="0"/>
        <w:adjustRightInd w:val="0"/>
        <w:spacing w:line="240" w:lineRule="auto"/>
        <w:rPr>
          <w:rFonts w:ascii="Times New Roman" w:eastAsiaTheme="minorEastAsia" w:hAnsi="Times New Roman" w:cs="Times New Roman"/>
          <w:lang w:eastAsia="ja-JP"/>
        </w:rPr>
      </w:pPr>
      <w:r>
        <w:rPr>
          <w:rFonts w:ascii="Times New Roman" w:eastAsiaTheme="minorEastAsia" w:hAnsi="Times New Roman" w:cs="Times New Roman"/>
          <w:lang w:eastAsia="ja-JP"/>
        </w:rPr>
        <w:t>133</w:t>
      </w:r>
      <w:r w:rsidR="005D0F06" w:rsidRPr="000D1029">
        <w:rPr>
          <w:rFonts w:ascii="Times New Roman" w:eastAsiaTheme="minorEastAsia" w:hAnsi="Times New Roman" w:cs="Times New Roman"/>
          <w:lang w:eastAsia="ja-JP"/>
        </w:rPr>
        <w:t>. Con estas medidas 239,956 de los 288,000 inscritos en el Plan de Regularización obtuvieron una respuesta positiva a su solicitud de regularización. La cantidad restante se corresponde con aquellas solicitudes que no se completaron con un documento de identidad del país de origen o luego de una exhaustiva comparación se determinó que eran duplicados.</w:t>
      </w:r>
    </w:p>
    <w:p w:rsidR="005D0F06" w:rsidRPr="000D1029" w:rsidRDefault="005D0F06" w:rsidP="00AB6DC7">
      <w:pPr>
        <w:widowControl w:val="0"/>
        <w:autoSpaceDE w:val="0"/>
        <w:autoSpaceDN w:val="0"/>
        <w:adjustRightInd w:val="0"/>
        <w:spacing w:line="240" w:lineRule="auto"/>
        <w:rPr>
          <w:rFonts w:ascii="Times New Roman" w:eastAsiaTheme="minorEastAsia" w:hAnsi="Times New Roman" w:cs="Times New Roman"/>
          <w:lang w:eastAsia="ja-JP"/>
        </w:rPr>
      </w:pPr>
    </w:p>
    <w:p w:rsidR="005D0F06" w:rsidRPr="000D1029" w:rsidRDefault="00A052D7" w:rsidP="00AB6DC7">
      <w:pPr>
        <w:spacing w:line="240" w:lineRule="auto"/>
        <w:rPr>
          <w:rFonts w:ascii="Times New Roman" w:eastAsiaTheme="minorEastAsia" w:hAnsi="Times New Roman" w:cs="Times New Roman"/>
          <w:lang w:eastAsia="ja-JP"/>
        </w:rPr>
      </w:pPr>
      <w:r>
        <w:rPr>
          <w:rFonts w:ascii="Times New Roman" w:eastAsiaTheme="minorEastAsia" w:hAnsi="Times New Roman" w:cs="Times New Roman"/>
          <w:lang w:eastAsia="ja-JP"/>
        </w:rPr>
        <w:t>134</w:t>
      </w:r>
      <w:r w:rsidR="005D0F06" w:rsidRPr="000D1029">
        <w:rPr>
          <w:rFonts w:ascii="Times New Roman" w:eastAsiaTheme="minorEastAsia" w:hAnsi="Times New Roman" w:cs="Times New Roman"/>
          <w:lang w:eastAsia="ja-JP"/>
        </w:rPr>
        <w:t>. Como se puede apreciar, la República Dominicana ha hecho un esfuerzo extraordinario para documentar a los extranjeros irregulares, en tiempo récord y con un grado de flexibilización quizás como ninguna otra nación en la región, en un contexto regional y global en el que la cuestión migratoria ha devenido en uno de los problemas políticos más difíciles de tratar y resolver.</w:t>
      </w:r>
    </w:p>
    <w:p w:rsidR="005D0F06" w:rsidRPr="000D1029" w:rsidRDefault="005D0F06" w:rsidP="00AB6DC7">
      <w:pPr>
        <w:spacing w:line="240" w:lineRule="auto"/>
        <w:rPr>
          <w:rFonts w:ascii="Times New Roman" w:eastAsiaTheme="minorEastAsia" w:hAnsi="Times New Roman" w:cs="Times New Roman"/>
          <w:lang w:eastAsia="ja-JP"/>
        </w:rPr>
      </w:pPr>
    </w:p>
    <w:p w:rsidR="005D0F06" w:rsidRPr="000D1029" w:rsidRDefault="00A052D7" w:rsidP="00AB6DC7">
      <w:pPr>
        <w:spacing w:line="240" w:lineRule="auto"/>
        <w:rPr>
          <w:rFonts w:ascii="Times New Roman" w:hAnsi="Times New Roman" w:cs="Times New Roman"/>
          <w:i/>
          <w:lang w:val="es-DO"/>
        </w:rPr>
      </w:pPr>
      <w:r>
        <w:rPr>
          <w:rFonts w:ascii="Times New Roman" w:hAnsi="Times New Roman" w:cs="Times New Roman"/>
          <w:b/>
          <w:i/>
        </w:rPr>
        <w:t>135</w:t>
      </w:r>
      <w:r w:rsidR="00DD3D44" w:rsidRPr="000D1029">
        <w:rPr>
          <w:rFonts w:ascii="Times New Roman" w:hAnsi="Times New Roman" w:cs="Times New Roman"/>
          <w:b/>
          <w:i/>
        </w:rPr>
        <w:t xml:space="preserve">. </w:t>
      </w:r>
      <w:r w:rsidR="00272160" w:rsidRPr="00272160">
        <w:rPr>
          <w:rFonts w:ascii="Times New Roman" w:hAnsi="Times New Roman" w:cs="Times New Roman"/>
          <w:b/>
          <w:i/>
          <w:lang w:val="es-DO"/>
        </w:rPr>
        <w:t>PÁRRAFO</w:t>
      </w:r>
      <w:r w:rsidR="005D0F06" w:rsidRPr="000D1029">
        <w:rPr>
          <w:rFonts w:ascii="Times New Roman" w:hAnsi="Times New Roman" w:cs="Times New Roman"/>
          <w:b/>
          <w:i/>
          <w:lang w:val="es-DO"/>
        </w:rPr>
        <w:t xml:space="preserve"> 23.</w:t>
      </w:r>
      <w:r w:rsidR="005D0F06" w:rsidRPr="000D1029">
        <w:rPr>
          <w:rFonts w:ascii="Times New Roman" w:hAnsi="Times New Roman" w:cs="Times New Roman"/>
          <w:i/>
          <w:lang w:val="es-DO"/>
        </w:rPr>
        <w:t xml:space="preserve"> Al Comité le preocupa la información sobre niños de origen haitiano nacidos en República Dominicana que no han tenido acceso a una documentación oficial en razón de sus orígenes. (art. 24).</w:t>
      </w:r>
    </w:p>
    <w:p w:rsidR="005D0F06" w:rsidRPr="000D1029" w:rsidRDefault="005D0F06" w:rsidP="00AB6DC7">
      <w:pPr>
        <w:spacing w:line="240" w:lineRule="auto"/>
        <w:rPr>
          <w:rFonts w:ascii="Times New Roman" w:hAnsi="Times New Roman" w:cs="Times New Roman"/>
          <w:i/>
          <w:lang w:val="es-DO"/>
        </w:rPr>
      </w:pPr>
    </w:p>
    <w:p w:rsidR="005D0F06" w:rsidRPr="000D1029" w:rsidRDefault="00A052D7" w:rsidP="00AB6DC7">
      <w:pPr>
        <w:spacing w:line="240" w:lineRule="auto"/>
        <w:rPr>
          <w:rFonts w:ascii="Times New Roman" w:hAnsi="Times New Roman" w:cs="Times New Roman"/>
          <w:b/>
          <w:i/>
          <w:lang w:val="es-DO"/>
        </w:rPr>
      </w:pPr>
      <w:r>
        <w:rPr>
          <w:rFonts w:ascii="Times New Roman" w:hAnsi="Times New Roman" w:cs="Times New Roman"/>
          <w:b/>
          <w:i/>
          <w:lang w:val="es-DO"/>
        </w:rPr>
        <w:t>136</w:t>
      </w:r>
      <w:r w:rsidR="00DD3D44" w:rsidRPr="000D1029">
        <w:rPr>
          <w:rFonts w:ascii="Times New Roman" w:hAnsi="Times New Roman" w:cs="Times New Roman"/>
          <w:b/>
          <w:i/>
          <w:lang w:val="es-DO"/>
        </w:rPr>
        <w:t xml:space="preserve">. </w:t>
      </w:r>
      <w:r w:rsidR="005D0F06" w:rsidRPr="000D1029">
        <w:rPr>
          <w:rFonts w:ascii="Times New Roman" w:hAnsi="Times New Roman" w:cs="Times New Roman"/>
          <w:b/>
          <w:i/>
          <w:lang w:val="es-DO"/>
        </w:rPr>
        <w:t>El Estado parte debe garantizar que todos los niños nacidos en su territorio estén registrados y reciban un certificado de nacimiento oficial.</w:t>
      </w:r>
    </w:p>
    <w:p w:rsidR="005D0F06" w:rsidRPr="000D1029" w:rsidRDefault="005D0F06" w:rsidP="00AB6DC7">
      <w:pPr>
        <w:spacing w:line="240" w:lineRule="auto"/>
        <w:rPr>
          <w:rFonts w:ascii="Times New Roman" w:hAnsi="Times New Roman" w:cs="Times New Roman"/>
          <w:b/>
          <w:i/>
          <w:lang w:val="es-DO"/>
        </w:rPr>
      </w:pPr>
    </w:p>
    <w:p w:rsidR="005D0F06" w:rsidRPr="000D1029" w:rsidRDefault="00A052D7" w:rsidP="00AB6DC7">
      <w:pPr>
        <w:spacing w:line="240" w:lineRule="auto"/>
        <w:rPr>
          <w:rFonts w:ascii="Times New Roman" w:hAnsi="Times New Roman" w:cs="Times New Roman"/>
          <w:lang w:val="es-DO"/>
        </w:rPr>
      </w:pPr>
      <w:r>
        <w:rPr>
          <w:rFonts w:ascii="Times New Roman" w:hAnsi="Times New Roman" w:cs="Times New Roman"/>
          <w:b/>
          <w:lang w:val="es-DO"/>
        </w:rPr>
        <w:t>137</w:t>
      </w:r>
      <w:r w:rsidR="00DD3D44" w:rsidRPr="000D1029">
        <w:rPr>
          <w:rFonts w:ascii="Times New Roman" w:hAnsi="Times New Roman" w:cs="Times New Roman"/>
          <w:b/>
          <w:lang w:val="es-DO"/>
        </w:rPr>
        <w:t xml:space="preserve">. </w:t>
      </w:r>
      <w:r w:rsidR="005D0F06" w:rsidRPr="000D1029">
        <w:rPr>
          <w:rFonts w:ascii="Times New Roman" w:hAnsi="Times New Roman" w:cs="Times New Roman"/>
          <w:b/>
          <w:lang w:val="es-DO"/>
        </w:rPr>
        <w:t xml:space="preserve">Respuesta del Estado dominicano: </w:t>
      </w:r>
      <w:r w:rsidR="005D0F06" w:rsidRPr="000D1029">
        <w:rPr>
          <w:rFonts w:ascii="Times New Roman" w:hAnsi="Times New Roman" w:cs="Times New Roman"/>
          <w:lang w:val="es-DO"/>
        </w:rPr>
        <w:t>La Junta Central Electoral dicta en fecha 28 de abril del año 2011, la Resolución No. 02-2007, en aras de poner Vigencia del Libro-Registro del Nacimiento de Niño (a) de Madre Extranjera no Residente en República Dominicana, con la finalidad de dar cumplimiento a la Ley General de Migración No. 285-04, la que disponía la habilitación de un libro de registro civil (libro de extranjería) para todos aquellos extranjeros nacidos en el territorio nacional, a los que no les correspondiera la nacionalidad dominicana.</w:t>
      </w:r>
    </w:p>
    <w:p w:rsidR="005D0F06" w:rsidRPr="000D1029" w:rsidRDefault="005D0F06" w:rsidP="00AB6DC7">
      <w:pPr>
        <w:spacing w:line="240" w:lineRule="auto"/>
        <w:rPr>
          <w:rFonts w:ascii="Times New Roman" w:hAnsi="Times New Roman" w:cs="Times New Roman"/>
          <w:lang w:val="es-DO"/>
        </w:rPr>
      </w:pPr>
    </w:p>
    <w:p w:rsidR="005D0F06"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138</w:t>
      </w:r>
      <w:r w:rsidR="00DD3D44" w:rsidRPr="000D1029">
        <w:rPr>
          <w:rFonts w:ascii="Times New Roman" w:hAnsi="Times New Roman" w:cs="Times New Roman"/>
          <w:lang w:val="es-DO"/>
        </w:rPr>
        <w:t xml:space="preserve">. </w:t>
      </w:r>
      <w:r w:rsidR="005D0F06" w:rsidRPr="000D1029">
        <w:rPr>
          <w:rFonts w:ascii="Times New Roman" w:hAnsi="Times New Roman" w:cs="Times New Roman"/>
          <w:lang w:val="es-DO"/>
        </w:rPr>
        <w:t xml:space="preserve">El referido libro satisfizo la necesidad de dotar de un nombre e identidad, de manera expedita, a aquellos niños y niñas cuyos padres extranjeros se encontraban de manera temporal o irregular en el territorio dominicano. Para garantizar una efectiva implementación de la misma, la Junta Central Electoral desplegó ingentes esfuerzos, instalando en casi todos los hospitales o centros maternos del país Delegaciones de Oficialías; además, se realizó una </w:t>
      </w:r>
      <w:r w:rsidR="005D0F06" w:rsidRPr="000D1029">
        <w:rPr>
          <w:rFonts w:ascii="Times New Roman" w:hAnsi="Times New Roman" w:cs="Times New Roman"/>
          <w:lang w:val="es-DO"/>
        </w:rPr>
        <w:lastRenderedPageBreak/>
        <w:t>intensa campaña de promoción del referido libro, contando con el apoyo del Programa de las Naciones Unidas para el Desarrollo  (PNUD), y la Agencia Española de Cooperación Internacional para el Desarrollo (AECID).</w:t>
      </w:r>
    </w:p>
    <w:p w:rsidR="005D0F06" w:rsidRPr="000D1029" w:rsidRDefault="005D0F06" w:rsidP="00AB6DC7">
      <w:pPr>
        <w:spacing w:line="240" w:lineRule="auto"/>
        <w:rPr>
          <w:rFonts w:ascii="Times New Roman" w:hAnsi="Times New Roman" w:cs="Times New Roman"/>
          <w:lang w:val="es-DO"/>
        </w:rPr>
      </w:pPr>
    </w:p>
    <w:p w:rsidR="005D0F06"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139</w:t>
      </w:r>
      <w:r w:rsidR="00DD3D44" w:rsidRPr="000D1029">
        <w:rPr>
          <w:rFonts w:ascii="Times New Roman" w:hAnsi="Times New Roman" w:cs="Times New Roman"/>
          <w:lang w:val="es-DO"/>
        </w:rPr>
        <w:t xml:space="preserve">. </w:t>
      </w:r>
      <w:r w:rsidR="005D0F06" w:rsidRPr="000D1029">
        <w:rPr>
          <w:rFonts w:ascii="Times New Roman" w:hAnsi="Times New Roman" w:cs="Times New Roman"/>
          <w:lang w:val="es-DO"/>
        </w:rPr>
        <w:t>La Ley 169-14, de fecha 21 de mayo del 2014, en lo que respecta al papel de la Junta Central Electoral, ha cumplido en cuanto a su apoderamiento, en dos vertientes:</w:t>
      </w:r>
    </w:p>
    <w:p w:rsidR="005D0F06" w:rsidRPr="000D1029" w:rsidRDefault="005D0F06" w:rsidP="00AB6DC7">
      <w:pPr>
        <w:spacing w:line="240" w:lineRule="auto"/>
        <w:rPr>
          <w:rFonts w:ascii="Times New Roman" w:hAnsi="Times New Roman" w:cs="Times New Roman"/>
          <w:lang w:val="es-DO"/>
        </w:rPr>
      </w:pPr>
    </w:p>
    <w:p w:rsidR="005D0F06" w:rsidRPr="000D1029" w:rsidRDefault="005D0F06" w:rsidP="00AB6DC7">
      <w:pPr>
        <w:pStyle w:val="ListParagraph"/>
        <w:numPr>
          <w:ilvl w:val="0"/>
          <w:numId w:val="25"/>
        </w:numPr>
        <w:spacing w:line="240" w:lineRule="auto"/>
        <w:rPr>
          <w:rFonts w:ascii="Times New Roman" w:hAnsi="Times New Roman" w:cs="Times New Roman"/>
          <w:lang w:val="es-DO"/>
        </w:rPr>
      </w:pPr>
      <w:r w:rsidRPr="000D1029">
        <w:rPr>
          <w:rFonts w:ascii="Times New Roman" w:hAnsi="Times New Roman" w:cs="Times New Roman"/>
          <w:lang w:val="es-DO"/>
        </w:rPr>
        <w:t>Cumplimiento total de la regularización de las personas inscritas de forma irregular en el registro civil;</w:t>
      </w:r>
    </w:p>
    <w:p w:rsidR="005D0F06" w:rsidRPr="000D1029" w:rsidRDefault="005D0F06" w:rsidP="00AB6DC7">
      <w:pPr>
        <w:pStyle w:val="ListParagraph"/>
        <w:numPr>
          <w:ilvl w:val="0"/>
          <w:numId w:val="25"/>
        </w:numPr>
        <w:spacing w:line="240" w:lineRule="auto"/>
        <w:rPr>
          <w:rFonts w:ascii="Times New Roman" w:hAnsi="Times New Roman" w:cs="Times New Roman"/>
          <w:lang w:val="es-DO"/>
        </w:rPr>
      </w:pPr>
      <w:r w:rsidRPr="000D1029">
        <w:rPr>
          <w:rFonts w:ascii="Times New Roman" w:hAnsi="Times New Roman" w:cs="Times New Roman"/>
          <w:lang w:val="es-DO"/>
        </w:rPr>
        <w:t>En lo que respecta al Plan Nacional de Regularización, llevado a cabo por el Ministerio de Interior y Policía, se han transcrito en los Libros de Registro Civil correspondiente a los expedientes remitidos a la Junta Central Electoral, respecto a los hijos de extranjeros, nacidos en territorio dominicano, cuyos padres estaban en un estado de ilegalidad, y que los mismos se sometieron a dicho Plan, conjuntamente con sus hijos, por lo que, cada uno de ellos se encuentran registrados en todas las oficialías del Estado civil diseminadas en todo el país.</w:t>
      </w:r>
    </w:p>
    <w:p w:rsidR="005D0F06" w:rsidRPr="000D1029" w:rsidRDefault="005D0F06" w:rsidP="00AB6DC7">
      <w:pPr>
        <w:pStyle w:val="ListParagraph"/>
        <w:spacing w:line="240" w:lineRule="auto"/>
        <w:rPr>
          <w:rFonts w:ascii="Times New Roman" w:hAnsi="Times New Roman" w:cs="Times New Roman"/>
          <w:lang w:val="es-DO"/>
        </w:rPr>
      </w:pPr>
    </w:p>
    <w:p w:rsidR="005D0F06"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140</w:t>
      </w:r>
      <w:r w:rsidR="00DD3D44" w:rsidRPr="000D1029">
        <w:rPr>
          <w:rFonts w:ascii="Times New Roman" w:hAnsi="Times New Roman" w:cs="Times New Roman"/>
          <w:lang w:val="es-DO"/>
        </w:rPr>
        <w:t xml:space="preserve">. </w:t>
      </w:r>
      <w:r w:rsidR="005D0F06" w:rsidRPr="000D1029">
        <w:rPr>
          <w:rFonts w:ascii="Times New Roman" w:hAnsi="Times New Roman" w:cs="Times New Roman"/>
          <w:lang w:val="es-DO"/>
        </w:rPr>
        <w:t>La Junta Central Electoral ha difundido en diferentes medios de comunicación el listado general de las personas cuyo registros se presumía estaban en un estado de irregularidad, luego de concluida la auditoria,  con el propósito de que los inscritos pudiesen presentarse a los distintas oficialías y centros de servicios a retirar sus actas.</w:t>
      </w:r>
    </w:p>
    <w:p w:rsidR="005D0F06" w:rsidRPr="000D1029" w:rsidRDefault="005D0F06" w:rsidP="00AB6DC7">
      <w:pPr>
        <w:spacing w:line="240" w:lineRule="auto"/>
        <w:rPr>
          <w:rFonts w:ascii="Times New Roman" w:hAnsi="Times New Roman" w:cs="Times New Roman"/>
          <w:lang w:val="es-DO"/>
        </w:rPr>
      </w:pPr>
    </w:p>
    <w:p w:rsidR="005D0F06"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141</w:t>
      </w:r>
      <w:r w:rsidR="00DD3D44" w:rsidRPr="000D1029">
        <w:rPr>
          <w:rFonts w:ascii="Times New Roman" w:hAnsi="Times New Roman" w:cs="Times New Roman"/>
          <w:lang w:val="es-DO"/>
        </w:rPr>
        <w:t xml:space="preserve">. </w:t>
      </w:r>
      <w:r w:rsidR="005D0F06" w:rsidRPr="000D1029">
        <w:rPr>
          <w:rFonts w:ascii="Times New Roman" w:hAnsi="Times New Roman" w:cs="Times New Roman"/>
          <w:lang w:val="es-DO"/>
        </w:rPr>
        <w:t xml:space="preserve">De igual forma, se instalaron en todas las oficialías de todo el territorio nacional un listado de las personas inscritas. Todo ese proceso les fue suministrado a los Organismos Internacionales, a través del Ministerio de Relaciones Exteriores (MIREX), y a las Organizaciones que asisten a los ciudadanos en el tema.   </w:t>
      </w:r>
    </w:p>
    <w:p w:rsidR="005D0F06" w:rsidRPr="000D1029" w:rsidRDefault="005D0F06" w:rsidP="00AB6DC7">
      <w:pPr>
        <w:spacing w:line="240" w:lineRule="auto"/>
        <w:rPr>
          <w:rFonts w:ascii="Times New Roman" w:hAnsi="Times New Roman" w:cs="Times New Roman"/>
          <w:lang w:val="es-DO"/>
        </w:rPr>
      </w:pPr>
    </w:p>
    <w:p w:rsidR="005D0F06" w:rsidRPr="000D1029" w:rsidRDefault="00A052D7" w:rsidP="00AB6DC7">
      <w:pPr>
        <w:spacing w:line="240" w:lineRule="auto"/>
        <w:rPr>
          <w:rFonts w:ascii="Times New Roman" w:hAnsi="Times New Roman" w:cs="Times New Roman"/>
          <w:i/>
          <w:lang w:val="es-DO"/>
        </w:rPr>
      </w:pPr>
      <w:r>
        <w:rPr>
          <w:rFonts w:ascii="Times New Roman" w:hAnsi="Times New Roman" w:cs="Times New Roman"/>
          <w:b/>
          <w:i/>
          <w:lang w:val="es-DO"/>
        </w:rPr>
        <w:t>142</w:t>
      </w:r>
      <w:r w:rsidR="00DD3D44" w:rsidRPr="000D1029">
        <w:rPr>
          <w:rFonts w:ascii="Times New Roman" w:hAnsi="Times New Roman" w:cs="Times New Roman"/>
          <w:b/>
          <w:i/>
          <w:lang w:val="es-DO"/>
        </w:rPr>
        <w:t xml:space="preserve">. </w:t>
      </w:r>
      <w:r w:rsidR="00272160" w:rsidRPr="00272160">
        <w:rPr>
          <w:rFonts w:ascii="Times New Roman" w:hAnsi="Times New Roman" w:cs="Times New Roman"/>
          <w:b/>
          <w:i/>
          <w:lang w:val="es-DO"/>
        </w:rPr>
        <w:t>PÁRRAFO</w:t>
      </w:r>
      <w:r w:rsidR="005D0F06" w:rsidRPr="000D1029">
        <w:rPr>
          <w:rFonts w:ascii="Times New Roman" w:hAnsi="Times New Roman" w:cs="Times New Roman"/>
          <w:b/>
          <w:i/>
          <w:lang w:val="es-DO"/>
        </w:rPr>
        <w:t xml:space="preserve"> 24.</w:t>
      </w:r>
      <w:r w:rsidR="005D0F06" w:rsidRPr="000D1029">
        <w:rPr>
          <w:rFonts w:ascii="Times New Roman" w:hAnsi="Times New Roman" w:cs="Times New Roman"/>
          <w:i/>
          <w:lang w:val="es-DO"/>
        </w:rPr>
        <w:t xml:space="preserve"> El Comité está preocupado por la información recibida sobre varios casos de agresiones, amenazas e intimidaciones en contra de periodistas, a causa de sus actividades profesionales. (art. 19).</w:t>
      </w:r>
    </w:p>
    <w:p w:rsidR="005D0F06" w:rsidRPr="000D1029" w:rsidRDefault="005D0F06" w:rsidP="00AB6DC7">
      <w:pPr>
        <w:spacing w:line="240" w:lineRule="auto"/>
        <w:rPr>
          <w:rFonts w:ascii="Times New Roman" w:hAnsi="Times New Roman" w:cs="Times New Roman"/>
          <w:i/>
          <w:lang w:val="es-DO"/>
        </w:rPr>
      </w:pPr>
    </w:p>
    <w:p w:rsidR="005D0F06" w:rsidRPr="000D1029" w:rsidRDefault="00A052D7" w:rsidP="00AB6DC7">
      <w:pPr>
        <w:spacing w:line="240" w:lineRule="auto"/>
        <w:rPr>
          <w:rFonts w:ascii="Times New Roman" w:hAnsi="Times New Roman" w:cs="Times New Roman"/>
          <w:b/>
          <w:i/>
          <w:lang w:val="es-DO"/>
        </w:rPr>
      </w:pPr>
      <w:r>
        <w:rPr>
          <w:rFonts w:ascii="Times New Roman" w:hAnsi="Times New Roman" w:cs="Times New Roman"/>
          <w:b/>
          <w:i/>
          <w:lang w:val="es-DO"/>
        </w:rPr>
        <w:t>143</w:t>
      </w:r>
      <w:r w:rsidR="00DD3D44" w:rsidRPr="000D1029">
        <w:rPr>
          <w:rFonts w:ascii="Times New Roman" w:hAnsi="Times New Roman" w:cs="Times New Roman"/>
          <w:b/>
          <w:i/>
          <w:lang w:val="es-DO"/>
        </w:rPr>
        <w:t xml:space="preserve">. </w:t>
      </w:r>
      <w:r w:rsidR="005D0F06" w:rsidRPr="000D1029">
        <w:rPr>
          <w:rFonts w:ascii="Times New Roman" w:hAnsi="Times New Roman" w:cs="Times New Roman"/>
          <w:b/>
          <w:i/>
          <w:lang w:val="es-DO"/>
        </w:rPr>
        <w:t>El Estado parte debe adoptar políticas para proteger y promover la libertad de expresión, de conformidad con las líneas directrices de la Observación general Nº 34. Asimismo, el Estado parte debe garantizar la investigación, juzgamiento y sanción de los hechos de agresiones, amenazas e intimidaciones en contra de periodistas.</w:t>
      </w:r>
    </w:p>
    <w:p w:rsidR="005D0F06" w:rsidRPr="000D1029" w:rsidRDefault="005D0F06" w:rsidP="00AB6DC7">
      <w:pPr>
        <w:spacing w:line="240" w:lineRule="auto"/>
        <w:rPr>
          <w:rFonts w:ascii="Times New Roman" w:hAnsi="Times New Roman" w:cs="Times New Roman"/>
          <w:b/>
          <w:i/>
          <w:lang w:val="es-DO"/>
        </w:rPr>
      </w:pPr>
    </w:p>
    <w:p w:rsidR="00DD3D44" w:rsidRPr="000D1029" w:rsidRDefault="00A052D7" w:rsidP="00AB6DC7">
      <w:pPr>
        <w:spacing w:line="240" w:lineRule="auto"/>
        <w:rPr>
          <w:rFonts w:ascii="Times New Roman" w:hAnsi="Times New Roman" w:cs="Times New Roman"/>
          <w:lang w:val="es-DO"/>
        </w:rPr>
      </w:pPr>
      <w:r>
        <w:rPr>
          <w:rFonts w:ascii="Times New Roman" w:hAnsi="Times New Roman" w:cs="Times New Roman"/>
          <w:b/>
          <w:lang w:val="es-DO"/>
        </w:rPr>
        <w:t>144</w:t>
      </w:r>
      <w:r w:rsidR="001808AE" w:rsidRPr="000D1029">
        <w:rPr>
          <w:rFonts w:ascii="Times New Roman" w:hAnsi="Times New Roman" w:cs="Times New Roman"/>
          <w:b/>
          <w:lang w:val="es-DO"/>
        </w:rPr>
        <w:t xml:space="preserve">. </w:t>
      </w:r>
      <w:r w:rsidR="005D0F06" w:rsidRPr="000D1029">
        <w:rPr>
          <w:rFonts w:ascii="Times New Roman" w:hAnsi="Times New Roman" w:cs="Times New Roman"/>
          <w:b/>
          <w:lang w:val="es-DO"/>
        </w:rPr>
        <w:t xml:space="preserve">Respuesta del Estado dominicano: </w:t>
      </w:r>
      <w:r w:rsidR="00DD3D44" w:rsidRPr="000D1029">
        <w:rPr>
          <w:rFonts w:ascii="Times New Roman" w:hAnsi="Times New Roman" w:cs="Times New Roman"/>
          <w:lang w:val="es-DO"/>
        </w:rPr>
        <w:t>El Tribunal Constitucional anuló los artículos 30, 31, 34, 37, 46, 47 y 48 de la Ley 6132 sobre Libertad de Expresión y Difusión del Pensamiento, en vigencia desde 1962, por considerar que violentaban el artículo 13 de la Convención Americana de Derechos Humanos, referente a la libertad de pensamiento y de expresión.</w:t>
      </w:r>
    </w:p>
    <w:p w:rsidR="00DD3D44" w:rsidRPr="000D1029" w:rsidRDefault="00DD3D44" w:rsidP="00AB6DC7">
      <w:pPr>
        <w:spacing w:line="240" w:lineRule="auto"/>
        <w:rPr>
          <w:rFonts w:ascii="Times New Roman" w:hAnsi="Times New Roman" w:cs="Times New Roman"/>
          <w:lang w:val="es-DO"/>
        </w:rPr>
      </w:pPr>
    </w:p>
    <w:p w:rsidR="00DD3D44" w:rsidRPr="000D1029" w:rsidRDefault="00A052D7" w:rsidP="00AB6DC7">
      <w:pPr>
        <w:spacing w:line="240" w:lineRule="auto"/>
        <w:rPr>
          <w:rFonts w:ascii="Times New Roman" w:hAnsi="Times New Roman" w:cs="Times New Roman"/>
          <w:i/>
          <w:lang w:val="es-DO"/>
        </w:rPr>
      </w:pPr>
      <w:r>
        <w:rPr>
          <w:rFonts w:ascii="Times New Roman" w:hAnsi="Times New Roman" w:cs="Times New Roman"/>
          <w:lang w:val="es-DO"/>
        </w:rPr>
        <w:t>145</w:t>
      </w:r>
      <w:r w:rsidR="001808AE" w:rsidRPr="000D1029">
        <w:rPr>
          <w:rFonts w:ascii="Times New Roman" w:hAnsi="Times New Roman" w:cs="Times New Roman"/>
          <w:lang w:val="es-DO"/>
        </w:rPr>
        <w:t xml:space="preserve">. </w:t>
      </w:r>
      <w:r w:rsidR="00DD3D44" w:rsidRPr="000D1029">
        <w:rPr>
          <w:rFonts w:ascii="Times New Roman" w:hAnsi="Times New Roman" w:cs="Times New Roman"/>
          <w:lang w:val="es-DO"/>
        </w:rPr>
        <w:t>Pierre Manigault, presidente de la SIP y presidente del diario The Post and Courier, Charleston, Carolina del Sur expresó que “</w:t>
      </w:r>
      <w:r w:rsidR="00DD3D44" w:rsidRPr="000D1029">
        <w:rPr>
          <w:rFonts w:ascii="Times New Roman" w:hAnsi="Times New Roman" w:cs="Times New Roman"/>
          <w:i/>
          <w:lang w:val="es-DO"/>
        </w:rPr>
        <w:t>aplaudimos la eliminación parcial de reglas que criminalizaban la palabra en asuntos de interés público, las cuales creaban un manto de autocensura en los medios y entre periodistas, lo que condicionaba la tarea fiscalizadora de la prensa y, por ende, el derecho del público a la información”.</w:t>
      </w:r>
    </w:p>
    <w:p w:rsidR="00DD3D44" w:rsidRPr="000D1029" w:rsidRDefault="00DD3D44" w:rsidP="00AB6DC7">
      <w:pPr>
        <w:spacing w:line="240" w:lineRule="auto"/>
        <w:rPr>
          <w:rFonts w:ascii="Times New Roman" w:hAnsi="Times New Roman" w:cs="Times New Roman"/>
          <w:lang w:val="es-DO"/>
        </w:rPr>
      </w:pPr>
    </w:p>
    <w:p w:rsidR="00DD3D44"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146</w:t>
      </w:r>
      <w:r w:rsidR="001808AE" w:rsidRPr="000D1029">
        <w:rPr>
          <w:rFonts w:ascii="Times New Roman" w:hAnsi="Times New Roman" w:cs="Times New Roman"/>
          <w:lang w:val="es-DO"/>
        </w:rPr>
        <w:t xml:space="preserve">. </w:t>
      </w:r>
      <w:r w:rsidR="00DD3D44" w:rsidRPr="000D1029">
        <w:rPr>
          <w:rFonts w:ascii="Times New Roman" w:hAnsi="Times New Roman" w:cs="Times New Roman"/>
          <w:lang w:val="es-DO"/>
        </w:rPr>
        <w:t xml:space="preserve">El presidente Danilo Medina recalcó el compromiso del Gobierno dominicano con la libertad de prensa y de expresión en el esfuerzo por proteger y atender el derecho a la </w:t>
      </w:r>
      <w:r w:rsidR="00DD3D44" w:rsidRPr="000D1029">
        <w:rPr>
          <w:rFonts w:ascii="Times New Roman" w:hAnsi="Times New Roman" w:cs="Times New Roman"/>
          <w:lang w:val="es-DO"/>
        </w:rPr>
        <w:lastRenderedPageBreak/>
        <w:t>información de los ciudadanos y también el libre ejercicio de la labor periodística en el territorio nacional .El presidente Medina dejó inaugurada oficialmente la reunión de medio año de la Sociedad Interamericana de Prensa (SIP), celebrada en el hotel The Westin Puntacana Resort &amp; Club.</w:t>
      </w:r>
    </w:p>
    <w:p w:rsidR="00DD3D44" w:rsidRPr="000D1029" w:rsidRDefault="00DD3D44" w:rsidP="00AB6DC7">
      <w:pPr>
        <w:spacing w:line="240" w:lineRule="auto"/>
        <w:rPr>
          <w:rFonts w:ascii="Times New Roman" w:hAnsi="Times New Roman" w:cs="Times New Roman"/>
          <w:lang w:val="es-DO"/>
        </w:rPr>
      </w:pPr>
    </w:p>
    <w:p w:rsidR="00DD3D44"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147</w:t>
      </w:r>
      <w:r w:rsidR="001808AE" w:rsidRPr="000D1029">
        <w:rPr>
          <w:rFonts w:ascii="Times New Roman" w:hAnsi="Times New Roman" w:cs="Times New Roman"/>
          <w:lang w:val="es-DO"/>
        </w:rPr>
        <w:t xml:space="preserve">. </w:t>
      </w:r>
      <w:r w:rsidR="00DD3D44" w:rsidRPr="000D1029">
        <w:rPr>
          <w:rFonts w:ascii="Times New Roman" w:hAnsi="Times New Roman" w:cs="Times New Roman"/>
          <w:lang w:val="es-DO"/>
        </w:rPr>
        <w:t>El presidente dominicano manifestó que una prueba del avance en esa materia es la mejora que ha experimentado el país, de acuerdo al índice mundial de libertad de prensa elaborado por Reporteros sin Fronteras. Además agregó que según este informe, República Dominicana avanzó 17 posiciones en los últimos tres años, pasando del puesto 80 en el 2012 al 63 en el 2015. Además, dijo confiar en que el próximo reporte registrará un avance significativamente mayor.</w:t>
      </w:r>
    </w:p>
    <w:p w:rsidR="00DD3D44" w:rsidRPr="000D1029" w:rsidRDefault="00DD3D44" w:rsidP="00AB6DC7">
      <w:pPr>
        <w:spacing w:line="240" w:lineRule="auto"/>
        <w:rPr>
          <w:rFonts w:ascii="Times New Roman" w:hAnsi="Times New Roman" w:cs="Times New Roman"/>
          <w:lang w:val="es-DO"/>
        </w:rPr>
      </w:pPr>
    </w:p>
    <w:p w:rsidR="00DD3D44"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148</w:t>
      </w:r>
      <w:r w:rsidR="001808AE" w:rsidRPr="000D1029">
        <w:rPr>
          <w:rFonts w:ascii="Times New Roman" w:hAnsi="Times New Roman" w:cs="Times New Roman"/>
          <w:lang w:val="es-DO"/>
        </w:rPr>
        <w:t xml:space="preserve">. </w:t>
      </w:r>
      <w:r w:rsidR="00DD3D44" w:rsidRPr="000D1029">
        <w:rPr>
          <w:rFonts w:ascii="Times New Roman" w:hAnsi="Times New Roman" w:cs="Times New Roman"/>
          <w:lang w:val="es-DO"/>
        </w:rPr>
        <w:t>El presidente manifestó que</w:t>
      </w:r>
      <w:r w:rsidR="001808AE" w:rsidRPr="000D1029">
        <w:rPr>
          <w:rFonts w:ascii="Times New Roman" w:hAnsi="Times New Roman" w:cs="Times New Roman"/>
          <w:lang w:val="es-DO"/>
        </w:rPr>
        <w:t>: ”</w:t>
      </w:r>
      <w:r w:rsidR="00DD3D44" w:rsidRPr="000D1029">
        <w:rPr>
          <w:rFonts w:ascii="Times New Roman" w:hAnsi="Times New Roman" w:cs="Times New Roman"/>
          <w:i/>
          <w:lang w:val="es-DO"/>
        </w:rPr>
        <w:t>el principal reclamo del gremio periodístico en nuestro país encontró respuesta el pasado mes de febrero, con la anulación por parte del Tribunal Constitucional, de siete artículos de la Ley 6132 sobre Libertad de Expresión y Difusión del Pensamiento, vigente desde el año 1962”.</w:t>
      </w:r>
    </w:p>
    <w:p w:rsidR="005D0F06" w:rsidRPr="000D1029" w:rsidRDefault="005D0F06" w:rsidP="00AB6DC7">
      <w:pPr>
        <w:spacing w:line="240" w:lineRule="auto"/>
        <w:rPr>
          <w:rFonts w:ascii="Times New Roman" w:hAnsi="Times New Roman" w:cs="Times New Roman"/>
          <w:color w:val="FF0000"/>
        </w:rPr>
      </w:pPr>
    </w:p>
    <w:p w:rsidR="005D0F06" w:rsidRPr="000D1029" w:rsidRDefault="00A052D7" w:rsidP="00AB6DC7">
      <w:pPr>
        <w:spacing w:line="240" w:lineRule="auto"/>
        <w:rPr>
          <w:rFonts w:ascii="Times New Roman" w:hAnsi="Times New Roman" w:cs="Times New Roman"/>
          <w:i/>
          <w:lang w:val="es-DO"/>
        </w:rPr>
      </w:pPr>
      <w:r>
        <w:rPr>
          <w:rFonts w:ascii="Times New Roman" w:hAnsi="Times New Roman" w:cs="Times New Roman"/>
          <w:b/>
          <w:i/>
          <w:lang w:val="es-DO"/>
        </w:rPr>
        <w:t>149</w:t>
      </w:r>
      <w:r w:rsidR="001808AE" w:rsidRPr="000D1029">
        <w:rPr>
          <w:rFonts w:ascii="Times New Roman" w:hAnsi="Times New Roman" w:cs="Times New Roman"/>
          <w:b/>
          <w:i/>
          <w:lang w:val="es-DO"/>
        </w:rPr>
        <w:t xml:space="preserve">. </w:t>
      </w:r>
      <w:r w:rsidR="00272160" w:rsidRPr="00272160">
        <w:rPr>
          <w:rFonts w:ascii="Times New Roman" w:hAnsi="Times New Roman" w:cs="Times New Roman"/>
          <w:b/>
          <w:i/>
          <w:lang w:val="es-DO"/>
        </w:rPr>
        <w:t>PÁRRAFO</w:t>
      </w:r>
      <w:r w:rsidR="005D0F06" w:rsidRPr="000D1029">
        <w:rPr>
          <w:rFonts w:ascii="Times New Roman" w:hAnsi="Times New Roman" w:cs="Times New Roman"/>
          <w:b/>
          <w:i/>
          <w:lang w:val="es-DO"/>
        </w:rPr>
        <w:t xml:space="preserve"> 25</w:t>
      </w:r>
      <w:r w:rsidR="005D0F06" w:rsidRPr="000D1029">
        <w:rPr>
          <w:rFonts w:ascii="Times New Roman" w:hAnsi="Times New Roman" w:cs="Times New Roman"/>
          <w:i/>
          <w:lang w:val="es-DO"/>
        </w:rPr>
        <w:t>. El Comité lamenta la falta de información sobre las medidas adoptadas para promover el ejercicio real del derecho de reunión pacifica por parte de los trabajadores migratorios indocumentados, y para proteger su libertad de asociación en aplicación de las disposiciones legales vigentes en el orden interno. (arts. 21, 22).</w:t>
      </w:r>
    </w:p>
    <w:p w:rsidR="005D0F06" w:rsidRPr="000D1029" w:rsidRDefault="005D0F06" w:rsidP="00AB6DC7">
      <w:pPr>
        <w:spacing w:line="240" w:lineRule="auto"/>
        <w:rPr>
          <w:rFonts w:ascii="Times New Roman" w:hAnsi="Times New Roman" w:cs="Times New Roman"/>
          <w:i/>
          <w:lang w:val="es-DO"/>
        </w:rPr>
      </w:pPr>
    </w:p>
    <w:p w:rsidR="005D0F06" w:rsidRPr="000D1029" w:rsidRDefault="00A052D7" w:rsidP="00AB6DC7">
      <w:pPr>
        <w:spacing w:line="240" w:lineRule="auto"/>
        <w:rPr>
          <w:rFonts w:ascii="Times New Roman" w:hAnsi="Times New Roman" w:cs="Times New Roman"/>
          <w:b/>
          <w:i/>
          <w:lang w:val="es-DO"/>
        </w:rPr>
      </w:pPr>
      <w:r>
        <w:rPr>
          <w:rFonts w:ascii="Times New Roman" w:hAnsi="Times New Roman" w:cs="Times New Roman"/>
          <w:b/>
          <w:i/>
          <w:lang w:val="es-DO"/>
        </w:rPr>
        <w:t>150</w:t>
      </w:r>
      <w:r w:rsidR="001808AE" w:rsidRPr="000D1029">
        <w:rPr>
          <w:rFonts w:ascii="Times New Roman" w:hAnsi="Times New Roman" w:cs="Times New Roman"/>
          <w:b/>
          <w:i/>
          <w:lang w:val="es-DO"/>
        </w:rPr>
        <w:t xml:space="preserve">. </w:t>
      </w:r>
      <w:r w:rsidR="005D0F06" w:rsidRPr="000D1029">
        <w:rPr>
          <w:rFonts w:ascii="Times New Roman" w:hAnsi="Times New Roman" w:cs="Times New Roman"/>
          <w:b/>
          <w:i/>
          <w:lang w:val="es-DO"/>
        </w:rPr>
        <w:t>El Estado parte debe garantizar las implementación real y efectiva del derecho de reunión pacífica y de libre asociación para todos los trabajadores migratorios, sin que el ejercicio de estos derechos se convierta en un motivo de pérdida de su trabajo o de deportación para las personas involucradas.</w:t>
      </w:r>
    </w:p>
    <w:p w:rsidR="005D0F06" w:rsidRPr="000D1029" w:rsidRDefault="005D0F06" w:rsidP="00AB6DC7">
      <w:pPr>
        <w:spacing w:line="240" w:lineRule="auto"/>
        <w:rPr>
          <w:rFonts w:ascii="Times New Roman" w:hAnsi="Times New Roman" w:cs="Times New Roman"/>
          <w:i/>
          <w:lang w:val="es-DO"/>
        </w:rPr>
      </w:pPr>
    </w:p>
    <w:p w:rsidR="00940F95" w:rsidRPr="000D1029" w:rsidRDefault="00A052D7" w:rsidP="00AB6DC7">
      <w:pPr>
        <w:spacing w:line="240" w:lineRule="auto"/>
        <w:rPr>
          <w:rFonts w:ascii="Times New Roman" w:hAnsi="Times New Roman" w:cs="Times New Roman"/>
          <w:lang w:val="es-DO"/>
        </w:rPr>
      </w:pPr>
      <w:r>
        <w:rPr>
          <w:rFonts w:ascii="Times New Roman" w:hAnsi="Times New Roman" w:cs="Times New Roman"/>
          <w:b/>
          <w:lang w:val="es-DO"/>
        </w:rPr>
        <w:t>151</w:t>
      </w:r>
      <w:r w:rsidR="001808AE" w:rsidRPr="000D1029">
        <w:rPr>
          <w:rFonts w:ascii="Times New Roman" w:hAnsi="Times New Roman" w:cs="Times New Roman"/>
          <w:b/>
          <w:lang w:val="es-DO"/>
        </w:rPr>
        <w:t xml:space="preserve">. </w:t>
      </w:r>
      <w:r w:rsidR="005D0F06" w:rsidRPr="000D1029">
        <w:rPr>
          <w:rFonts w:ascii="Times New Roman" w:hAnsi="Times New Roman" w:cs="Times New Roman"/>
          <w:b/>
          <w:lang w:val="es-DO"/>
        </w:rPr>
        <w:t>Respuesta del Estado dominicano</w:t>
      </w:r>
      <w:r w:rsidR="005D0F06" w:rsidRPr="000D1029">
        <w:rPr>
          <w:rFonts w:ascii="Times New Roman" w:hAnsi="Times New Roman" w:cs="Times New Roman"/>
          <w:lang w:val="es-DO"/>
        </w:rPr>
        <w:t xml:space="preserve">: </w:t>
      </w:r>
      <w:r w:rsidR="00940F95" w:rsidRPr="000D1029">
        <w:rPr>
          <w:rFonts w:ascii="Times New Roman" w:hAnsi="Times New Roman" w:cs="Times New Roman"/>
          <w:lang w:val="es-DO"/>
        </w:rPr>
        <w:t>La sociedad Dominicana  es compleja racialmente, tiene una  integración total de razas,  mulata, culturalmente predomina el mundo occidental; y étnicamente, integra grupos afroamericanos, asiáticos, europeos y americanos, lo que nos hace tan diversos como integrados en la pigmentación de nuestra piel y nuestros rasgos, escenario propio para el enriquecimiento del lenguaje y la diversificación de modos de definir los matices de nuestra identidad de fusión multicolor, por esta razón no podemos hablar de estereotipos.</w:t>
      </w:r>
    </w:p>
    <w:p w:rsidR="00940F95" w:rsidRPr="000D1029" w:rsidRDefault="00940F95" w:rsidP="00AB6DC7">
      <w:pPr>
        <w:spacing w:line="240" w:lineRule="auto"/>
        <w:rPr>
          <w:rFonts w:ascii="Times New Roman" w:hAnsi="Times New Roman" w:cs="Times New Roman"/>
          <w:lang w:val="es-DO"/>
        </w:rPr>
      </w:pPr>
    </w:p>
    <w:p w:rsidR="00940F95"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152</w:t>
      </w:r>
      <w:r w:rsidR="001808AE" w:rsidRPr="000D1029">
        <w:rPr>
          <w:rFonts w:ascii="Times New Roman" w:hAnsi="Times New Roman" w:cs="Times New Roman"/>
          <w:lang w:val="es-DO"/>
        </w:rPr>
        <w:t xml:space="preserve">. </w:t>
      </w:r>
      <w:r w:rsidR="00940F95" w:rsidRPr="000D1029">
        <w:rPr>
          <w:rFonts w:ascii="Times New Roman" w:hAnsi="Times New Roman" w:cs="Times New Roman"/>
          <w:lang w:val="es-DO"/>
        </w:rPr>
        <w:t>En ese orden de ideas, y en el punto específico de la discriminación contra los migrantes haitianos y sus descendientes hay que indicar que  en la sociedad Dominicana no hay disposición discriminatoria por motivos raciales ni otros. La discriminación excluyente no es ejercida y tampoco t</w:t>
      </w:r>
      <w:r w:rsidR="00830BF4" w:rsidRPr="000D1029">
        <w:rPr>
          <w:rFonts w:ascii="Times New Roman" w:hAnsi="Times New Roman" w:cs="Times New Roman"/>
          <w:lang w:val="es-DO"/>
        </w:rPr>
        <w:t>olerada como política de Estado</w:t>
      </w:r>
      <w:r w:rsidR="00940F95" w:rsidRPr="000D1029">
        <w:rPr>
          <w:rFonts w:ascii="Times New Roman" w:hAnsi="Times New Roman" w:cs="Times New Roman"/>
          <w:lang w:val="es-DO"/>
        </w:rPr>
        <w:t>, en tal sentido:</w:t>
      </w:r>
    </w:p>
    <w:p w:rsidR="00940F95" w:rsidRPr="000D1029" w:rsidRDefault="00940F95" w:rsidP="00AB6DC7">
      <w:pPr>
        <w:spacing w:line="240" w:lineRule="auto"/>
        <w:rPr>
          <w:rFonts w:ascii="Times New Roman" w:hAnsi="Times New Roman" w:cs="Times New Roman"/>
          <w:lang w:val="es-DO"/>
        </w:rPr>
      </w:pPr>
    </w:p>
    <w:p w:rsidR="001808AE" w:rsidRPr="000D1029" w:rsidRDefault="00940F95" w:rsidP="00AB6DC7">
      <w:pPr>
        <w:pStyle w:val="ListParagraph"/>
        <w:numPr>
          <w:ilvl w:val="0"/>
          <w:numId w:val="47"/>
        </w:numPr>
        <w:spacing w:line="240" w:lineRule="auto"/>
        <w:rPr>
          <w:rFonts w:ascii="Times New Roman" w:hAnsi="Times New Roman" w:cs="Times New Roman"/>
          <w:lang w:val="es-DO"/>
        </w:rPr>
      </w:pPr>
      <w:r w:rsidRPr="000D1029">
        <w:rPr>
          <w:rFonts w:ascii="Times New Roman" w:hAnsi="Times New Roman" w:cs="Times New Roman"/>
          <w:lang w:val="es-DO"/>
        </w:rPr>
        <w:t>La legislación Dominicana sanciona la discriminación racial desde la misma Constitución en su artículo 39, y los art. 336, 336-1, del Código Penal Dominicano.</w:t>
      </w:r>
    </w:p>
    <w:p w:rsidR="00940F95" w:rsidRPr="000D1029" w:rsidRDefault="00940F95" w:rsidP="00AB6DC7">
      <w:pPr>
        <w:pStyle w:val="ListParagraph"/>
        <w:numPr>
          <w:ilvl w:val="0"/>
          <w:numId w:val="47"/>
        </w:numPr>
        <w:spacing w:line="240" w:lineRule="auto"/>
        <w:rPr>
          <w:rFonts w:ascii="Times New Roman" w:hAnsi="Times New Roman" w:cs="Times New Roman"/>
          <w:lang w:val="es-DO"/>
        </w:rPr>
      </w:pPr>
      <w:r w:rsidRPr="000D1029">
        <w:rPr>
          <w:rFonts w:ascii="Times New Roman" w:hAnsi="Times New Roman" w:cs="Times New Roman"/>
          <w:lang w:val="es-DO"/>
        </w:rPr>
        <w:t>El Nuevo Código Penal sanciona todo tipo de discriminación.</w:t>
      </w:r>
    </w:p>
    <w:p w:rsidR="00940F95" w:rsidRPr="000D1029" w:rsidRDefault="00940F95" w:rsidP="00AB6DC7">
      <w:pPr>
        <w:spacing w:line="240" w:lineRule="auto"/>
        <w:rPr>
          <w:rFonts w:ascii="Times New Roman" w:hAnsi="Times New Roman" w:cs="Times New Roman"/>
          <w:lang w:val="es-DO"/>
        </w:rPr>
      </w:pPr>
    </w:p>
    <w:p w:rsidR="00940F95" w:rsidRDefault="00A052D7" w:rsidP="00AB6DC7">
      <w:pPr>
        <w:spacing w:line="240" w:lineRule="auto"/>
        <w:rPr>
          <w:rFonts w:ascii="Times New Roman" w:hAnsi="Times New Roman" w:cs="Times New Roman"/>
          <w:lang w:val="es-DO"/>
        </w:rPr>
      </w:pPr>
      <w:r>
        <w:rPr>
          <w:rFonts w:ascii="Times New Roman" w:hAnsi="Times New Roman" w:cs="Times New Roman"/>
          <w:lang w:val="es-DO"/>
        </w:rPr>
        <w:t>153</w:t>
      </w:r>
      <w:r w:rsidR="001808AE" w:rsidRPr="000D1029">
        <w:rPr>
          <w:rFonts w:ascii="Times New Roman" w:hAnsi="Times New Roman" w:cs="Times New Roman"/>
          <w:lang w:val="es-DO"/>
        </w:rPr>
        <w:t xml:space="preserve">. </w:t>
      </w:r>
      <w:r w:rsidR="00940F95" w:rsidRPr="000D1029">
        <w:rPr>
          <w:rFonts w:ascii="Times New Roman" w:hAnsi="Times New Roman" w:cs="Times New Roman"/>
          <w:lang w:val="es-DO"/>
        </w:rPr>
        <w:t>Debe destacarse en este informe que a la fecha no se ha registrado en los tribunales de la República Dominicana ninguna acción por esta causa, en consecuencia no ha habido sentencia discriminatoria en nuestro sistema judicial, ni en procedimientos de carácter penal como tampoco en procedimientos de amparo.</w:t>
      </w:r>
    </w:p>
    <w:p w:rsidR="00A052D7" w:rsidRPr="000D1029" w:rsidRDefault="00A052D7" w:rsidP="00AB6DC7">
      <w:pPr>
        <w:spacing w:line="240" w:lineRule="auto"/>
        <w:rPr>
          <w:rFonts w:ascii="Times New Roman" w:hAnsi="Times New Roman" w:cs="Times New Roman"/>
          <w:lang w:val="es-DO"/>
        </w:rPr>
      </w:pPr>
    </w:p>
    <w:p w:rsidR="00940F95"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lastRenderedPageBreak/>
        <w:t>154</w:t>
      </w:r>
      <w:r w:rsidR="001808AE" w:rsidRPr="000D1029">
        <w:rPr>
          <w:rFonts w:ascii="Times New Roman" w:hAnsi="Times New Roman" w:cs="Times New Roman"/>
          <w:lang w:val="es-DO"/>
        </w:rPr>
        <w:t xml:space="preserve">. </w:t>
      </w:r>
      <w:r w:rsidR="00940F95" w:rsidRPr="000D1029">
        <w:rPr>
          <w:rFonts w:ascii="Times New Roman" w:hAnsi="Times New Roman" w:cs="Times New Roman"/>
          <w:lang w:val="es-DO"/>
        </w:rPr>
        <w:t>En lo concerniente al resarcimiento de las posibles víctimas, el sistema de responsabilidad civil contemplado en el artículo 1,382 y siguientes del Código Civil permite a las víctimas requerirlos por vía directa a través de una acción civil o administrativa, o concomitantemente a la acción penal ante cualquier otro tribunal de la República competente según el caso.</w:t>
      </w:r>
    </w:p>
    <w:p w:rsidR="00940F95" w:rsidRPr="000D1029" w:rsidRDefault="00940F95" w:rsidP="00AB6DC7">
      <w:pPr>
        <w:spacing w:line="240" w:lineRule="auto"/>
        <w:rPr>
          <w:rFonts w:ascii="Times New Roman" w:hAnsi="Times New Roman" w:cs="Times New Roman"/>
          <w:lang w:val="es-DO"/>
        </w:rPr>
      </w:pPr>
    </w:p>
    <w:p w:rsidR="00940F95"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155</w:t>
      </w:r>
      <w:r w:rsidR="001808AE" w:rsidRPr="000D1029">
        <w:rPr>
          <w:rFonts w:ascii="Times New Roman" w:hAnsi="Times New Roman" w:cs="Times New Roman"/>
          <w:lang w:val="es-DO"/>
        </w:rPr>
        <w:t xml:space="preserve">. </w:t>
      </w:r>
      <w:r w:rsidR="00940F95" w:rsidRPr="000D1029">
        <w:rPr>
          <w:rFonts w:ascii="Times New Roman" w:hAnsi="Times New Roman" w:cs="Times New Roman"/>
          <w:lang w:val="es-DO"/>
        </w:rPr>
        <w:t xml:space="preserve">El Estado Dominicano tiene especial cuidado en el proceso de deportación del extranjero acto administrativo que se hace conforme a las normativas migratorias y garantías establecidas en la Constitución de la República, la ley 285-04 sobre Migración y su Reglamento 631-11,  y las garantías establecidas en el pacto siempre que este acorde a la facultad de los Estados de Manejar su política migratoria, respetando  siempre la Dignidad humana. </w:t>
      </w:r>
    </w:p>
    <w:p w:rsidR="00940F95" w:rsidRPr="000D1029" w:rsidRDefault="00940F95" w:rsidP="00AB6DC7">
      <w:pPr>
        <w:spacing w:line="240" w:lineRule="auto"/>
        <w:rPr>
          <w:rFonts w:ascii="Times New Roman" w:hAnsi="Times New Roman" w:cs="Times New Roman"/>
          <w:lang w:val="es-DO"/>
        </w:rPr>
      </w:pPr>
    </w:p>
    <w:p w:rsidR="00940F95" w:rsidRPr="000D1029" w:rsidRDefault="00A052D7" w:rsidP="00AB6DC7">
      <w:pPr>
        <w:spacing w:line="240" w:lineRule="auto"/>
        <w:rPr>
          <w:rFonts w:ascii="Times New Roman" w:hAnsi="Times New Roman" w:cs="Times New Roman"/>
          <w:lang w:val="es-DO"/>
        </w:rPr>
      </w:pPr>
      <w:r>
        <w:rPr>
          <w:rFonts w:ascii="Times New Roman" w:hAnsi="Times New Roman" w:cs="Times New Roman"/>
          <w:lang w:val="es-DO"/>
        </w:rPr>
        <w:t>156</w:t>
      </w:r>
      <w:r w:rsidR="001808AE" w:rsidRPr="000D1029">
        <w:rPr>
          <w:rFonts w:ascii="Times New Roman" w:hAnsi="Times New Roman" w:cs="Times New Roman"/>
          <w:lang w:val="es-DO"/>
        </w:rPr>
        <w:t xml:space="preserve">. </w:t>
      </w:r>
      <w:r w:rsidR="00940F95" w:rsidRPr="000D1029">
        <w:rPr>
          <w:rFonts w:ascii="Times New Roman" w:hAnsi="Times New Roman" w:cs="Times New Roman"/>
          <w:lang w:val="es-DO"/>
        </w:rPr>
        <w:t>En concordancia con el artículo 137 de la Ley de Migración, la Dirección deberá informar al extranjero sobre los recursos legales que le asisten. Los cuales son el derecho de acceder al recurso de habeas corpus ante los tribunales de la República para la revisión de la legalidad de su detención de conformidad con el artículo 63 de la Ley Orgánica del Tribunal Constitucional y de los procedimientos constitucionales, No. 137-11. De igual modo, de acuerdo al artículo 65 de la misma Ley el extranjero podrá incoar una acción de amparo ante el Tribunal Superior Administrativo, en caso de que entienda que la administración le ha conculcado algún derecho fundamental.</w:t>
      </w:r>
    </w:p>
    <w:p w:rsidR="00940F95" w:rsidRPr="000D1029" w:rsidRDefault="00940F95" w:rsidP="00AB6DC7">
      <w:pPr>
        <w:spacing w:line="240" w:lineRule="auto"/>
        <w:rPr>
          <w:rFonts w:ascii="Times New Roman" w:hAnsi="Times New Roman" w:cs="Times New Roman"/>
          <w:lang w:val="es-DO"/>
        </w:rPr>
      </w:pPr>
    </w:p>
    <w:p w:rsidR="005D0F06" w:rsidRPr="000D1029" w:rsidRDefault="00A052D7" w:rsidP="00AB6DC7">
      <w:pPr>
        <w:spacing w:line="240" w:lineRule="auto"/>
        <w:rPr>
          <w:rFonts w:ascii="Times New Roman" w:hAnsi="Times New Roman" w:cs="Times New Roman"/>
          <w:i/>
          <w:lang w:val="es-DO"/>
        </w:rPr>
      </w:pPr>
      <w:r>
        <w:rPr>
          <w:rFonts w:ascii="Times New Roman" w:hAnsi="Times New Roman" w:cs="Times New Roman"/>
          <w:b/>
          <w:i/>
          <w:lang w:val="es-DO"/>
        </w:rPr>
        <w:t>157</w:t>
      </w:r>
      <w:r w:rsidR="00DD0EF8" w:rsidRPr="000D1029">
        <w:rPr>
          <w:rFonts w:ascii="Times New Roman" w:hAnsi="Times New Roman" w:cs="Times New Roman"/>
          <w:b/>
          <w:i/>
          <w:lang w:val="es-DO"/>
        </w:rPr>
        <w:t xml:space="preserve">. </w:t>
      </w:r>
      <w:r w:rsidR="00272160" w:rsidRPr="00272160">
        <w:rPr>
          <w:rFonts w:ascii="Times New Roman" w:hAnsi="Times New Roman" w:cs="Times New Roman"/>
          <w:b/>
          <w:i/>
          <w:lang w:val="es-DO"/>
        </w:rPr>
        <w:t>PÁRRAFO</w:t>
      </w:r>
      <w:r w:rsidR="005D0F06" w:rsidRPr="000D1029">
        <w:rPr>
          <w:rFonts w:ascii="Times New Roman" w:hAnsi="Times New Roman" w:cs="Times New Roman"/>
          <w:b/>
          <w:i/>
          <w:lang w:val="es-DO"/>
        </w:rPr>
        <w:t xml:space="preserve"> 26</w:t>
      </w:r>
      <w:r w:rsidR="005D0F06" w:rsidRPr="000D1029">
        <w:rPr>
          <w:rFonts w:ascii="Times New Roman" w:hAnsi="Times New Roman" w:cs="Times New Roman"/>
          <w:i/>
          <w:lang w:val="es-DO"/>
        </w:rPr>
        <w:t>. El Estado parte debe difundir ampliamente el Pacto, el texto del quinto informe periódico, las respuestas escritas que ha facilitado en relación con la lista de cuestiones preparadas por el Comité y las presentes observaciones finales para aumentar el grado de concienciación entre las autoridades judiciales, legislativas y administrativas, la sociedad civil y las ONG que actúan en el país, así como entre la población en general. Además,</w:t>
      </w:r>
      <w:r w:rsidR="005D0F06" w:rsidRPr="000D1029">
        <w:rPr>
          <w:rFonts w:ascii="Times New Roman" w:hAnsi="Times New Roman" w:cs="Times New Roman"/>
          <w:i/>
        </w:rPr>
        <w:t xml:space="preserve"> </w:t>
      </w:r>
      <w:r w:rsidR="005D0F06" w:rsidRPr="000D1029">
        <w:rPr>
          <w:rFonts w:ascii="Times New Roman" w:hAnsi="Times New Roman" w:cs="Times New Roman"/>
          <w:i/>
          <w:lang w:val="es-DO"/>
        </w:rPr>
        <w:t>aconseja al Estado parte que, al preparar su sexto informe periódico, consulte ampliamente a la sociedad civil y a las ONG.</w:t>
      </w:r>
    </w:p>
    <w:p w:rsidR="005D0F06" w:rsidRPr="000D1029" w:rsidRDefault="005D0F06" w:rsidP="00AB6DC7">
      <w:pPr>
        <w:spacing w:line="240" w:lineRule="auto"/>
        <w:rPr>
          <w:rFonts w:ascii="Times New Roman" w:hAnsi="Times New Roman" w:cs="Times New Roman"/>
          <w:i/>
          <w:lang w:val="es-DO"/>
        </w:rPr>
      </w:pPr>
    </w:p>
    <w:p w:rsidR="005D0F06" w:rsidRPr="000D1029" w:rsidRDefault="00D3566A" w:rsidP="00AB6DC7">
      <w:pPr>
        <w:spacing w:line="240" w:lineRule="auto"/>
        <w:rPr>
          <w:rFonts w:ascii="Times New Roman" w:hAnsi="Times New Roman" w:cs="Times New Roman"/>
          <w:lang w:val="es-DO"/>
        </w:rPr>
      </w:pPr>
      <w:r>
        <w:rPr>
          <w:rFonts w:ascii="Times New Roman" w:hAnsi="Times New Roman" w:cs="Times New Roman"/>
          <w:b/>
          <w:lang w:val="es-DO"/>
        </w:rPr>
        <w:t>158</w:t>
      </w:r>
      <w:r w:rsidR="00DD0EF8" w:rsidRPr="000D1029">
        <w:rPr>
          <w:rFonts w:ascii="Times New Roman" w:hAnsi="Times New Roman" w:cs="Times New Roman"/>
          <w:b/>
          <w:lang w:val="es-DO"/>
        </w:rPr>
        <w:t xml:space="preserve">. </w:t>
      </w:r>
      <w:r w:rsidR="005D0F06" w:rsidRPr="000D1029">
        <w:rPr>
          <w:rFonts w:ascii="Times New Roman" w:hAnsi="Times New Roman" w:cs="Times New Roman"/>
          <w:b/>
          <w:lang w:val="es-DO"/>
        </w:rPr>
        <w:t xml:space="preserve">Respuesta del Estado dominicano: </w:t>
      </w:r>
      <w:r w:rsidR="000F3AAB" w:rsidRPr="000D1029">
        <w:rPr>
          <w:rFonts w:ascii="Times New Roman" w:hAnsi="Times New Roman" w:cs="Times New Roman"/>
          <w:lang w:val="es-DO"/>
        </w:rPr>
        <w:t xml:space="preserve">La República Dominicana, al momento de elaborar el presente  informe, trabaja con diferentes institución que componen el Gobierno dominicano, conjuntamente con los diferentes sectores de la Sociedad Civil, adscritos a las distintas instituciones de gobierno, y conforme sus respectivas aéreas temáticas.  A través de la Comisión Interinstitucional de Derechos Humanos, citada en la parte introductoria del presente informe, el Ministerio de Relaciones Exteriores socializa y trabaja entre otros temas, el Pacto Internacional de los Derechos Civiles y Políticos, y así cumple con su rol de difundir y dar seguimiento a las recomendaciones del Comité de Derechos Humanos. </w:t>
      </w:r>
    </w:p>
    <w:p w:rsidR="005D0F06" w:rsidRPr="000D1029" w:rsidRDefault="005D0F06" w:rsidP="00AB6DC7">
      <w:pPr>
        <w:spacing w:line="240" w:lineRule="auto"/>
        <w:rPr>
          <w:rFonts w:ascii="Times New Roman" w:hAnsi="Times New Roman" w:cs="Times New Roman"/>
          <w:lang w:val="es-DO"/>
        </w:rPr>
      </w:pPr>
    </w:p>
    <w:sectPr w:rsidR="005D0F06" w:rsidRPr="000D1029" w:rsidSect="000D1029">
      <w:pgSz w:w="11907" w:h="16839" w:code="9"/>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301" w:rsidRDefault="00E80301" w:rsidP="005D0F06">
      <w:pPr>
        <w:spacing w:line="240" w:lineRule="auto"/>
      </w:pPr>
      <w:r>
        <w:separator/>
      </w:r>
    </w:p>
  </w:endnote>
  <w:endnote w:type="continuationSeparator" w:id="0">
    <w:p w:rsidR="00E80301" w:rsidRDefault="00E80301" w:rsidP="005D0F0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301" w:rsidRDefault="00E80301" w:rsidP="005D0F06">
      <w:pPr>
        <w:spacing w:line="240" w:lineRule="auto"/>
      </w:pPr>
      <w:r>
        <w:separator/>
      </w:r>
    </w:p>
  </w:footnote>
  <w:footnote w:type="continuationSeparator" w:id="0">
    <w:p w:rsidR="00E80301" w:rsidRDefault="00E80301" w:rsidP="005D0F06">
      <w:pPr>
        <w:spacing w:line="240" w:lineRule="auto"/>
      </w:pPr>
      <w:r>
        <w:continuationSeparator/>
      </w:r>
    </w:p>
  </w:footnote>
  <w:footnote w:id="1">
    <w:p w:rsidR="00272160" w:rsidRPr="00E52E8C" w:rsidRDefault="00272160">
      <w:pPr>
        <w:pStyle w:val="FootnoteText"/>
      </w:pPr>
      <w:r>
        <w:rPr>
          <w:rStyle w:val="FootnoteReference"/>
        </w:rPr>
        <w:footnoteRef/>
      </w:r>
      <w:r>
        <w:t xml:space="preserve"> Consejo Nacional de Discapacidad (CONADIS)</w:t>
      </w:r>
    </w:p>
  </w:footnote>
  <w:footnote w:id="2">
    <w:p w:rsidR="00272160" w:rsidRPr="001955E3" w:rsidRDefault="00272160">
      <w:pPr>
        <w:pStyle w:val="FootnoteText"/>
      </w:pPr>
      <w:r>
        <w:rPr>
          <w:rStyle w:val="FootnoteReference"/>
        </w:rPr>
        <w:footnoteRef/>
      </w:r>
      <w:r>
        <w:t xml:space="preserve"> Ministerio de Educación de la Republica Dominicana (MINERD)</w:t>
      </w:r>
    </w:p>
  </w:footnote>
  <w:footnote w:id="3">
    <w:p w:rsidR="00272160" w:rsidRPr="00A7482B" w:rsidRDefault="00272160">
      <w:pPr>
        <w:pStyle w:val="FootnoteText"/>
      </w:pPr>
      <w:r>
        <w:rPr>
          <w:rStyle w:val="FootnoteReference"/>
        </w:rPr>
        <w:footnoteRef/>
      </w:r>
      <w:r>
        <w:t xml:space="preserve"> Control de Bebidas Alcohólicas Ministerio de Interior y Policía </w:t>
      </w:r>
    </w:p>
  </w:footnote>
  <w:footnote w:id="4">
    <w:p w:rsidR="00272160" w:rsidRPr="00A7482B" w:rsidRDefault="00272160">
      <w:pPr>
        <w:pStyle w:val="FootnoteText"/>
      </w:pPr>
      <w:r>
        <w:rPr>
          <w:rStyle w:val="FootnoteReference"/>
        </w:rPr>
        <w:footnoteRef/>
      </w:r>
      <w:r>
        <w:t xml:space="preserve"> Cuerpo Especializado de Seguridad Turística</w:t>
      </w:r>
    </w:p>
  </w:footnote>
  <w:footnote w:id="5">
    <w:p w:rsidR="00272160" w:rsidRPr="00A7482B" w:rsidRDefault="00272160">
      <w:pPr>
        <w:pStyle w:val="FootnoteText"/>
      </w:pPr>
      <w:r>
        <w:rPr>
          <w:rStyle w:val="FootnoteReference"/>
        </w:rPr>
        <w:footnoteRef/>
      </w:r>
      <w:r>
        <w:t xml:space="preserve"> Cuerpo Especializado de Seguridad Fronteriza </w:t>
      </w:r>
    </w:p>
  </w:footnote>
  <w:footnote w:id="6">
    <w:p w:rsidR="00272160" w:rsidRPr="00A7482B" w:rsidRDefault="00272160">
      <w:pPr>
        <w:pStyle w:val="FootnoteText"/>
      </w:pPr>
      <w:r>
        <w:rPr>
          <w:rStyle w:val="FootnoteReference"/>
        </w:rPr>
        <w:footnoteRef/>
      </w:r>
      <w:r>
        <w:t xml:space="preserve"> Ministerio de Salud</w:t>
      </w:r>
    </w:p>
  </w:footnote>
  <w:footnote w:id="7">
    <w:p w:rsidR="00272160" w:rsidRPr="00A7482B" w:rsidRDefault="00272160">
      <w:pPr>
        <w:pStyle w:val="FootnoteText"/>
      </w:pPr>
      <w:r>
        <w:rPr>
          <w:rStyle w:val="FootnoteReference"/>
        </w:rPr>
        <w:footnoteRef/>
      </w:r>
      <w:r>
        <w:t xml:space="preserve"> Consejo Nacional para la Niñez y la Adolescencia</w:t>
      </w:r>
    </w:p>
  </w:footnote>
  <w:footnote w:id="8">
    <w:p w:rsidR="00272160" w:rsidRPr="00A7482B" w:rsidRDefault="00272160">
      <w:pPr>
        <w:pStyle w:val="FootnoteText"/>
      </w:pPr>
      <w:r>
        <w:rPr>
          <w:rStyle w:val="FootnoteReference"/>
        </w:rPr>
        <w:footnoteRef/>
      </w:r>
      <w:r>
        <w:t xml:space="preserve">  Niño, Niña y la Adolescente</w:t>
      </w:r>
    </w:p>
  </w:footnote>
  <w:footnote w:id="9">
    <w:p w:rsidR="00272160" w:rsidRPr="00A7482B" w:rsidRDefault="00272160">
      <w:pPr>
        <w:pStyle w:val="FootnoteText"/>
      </w:pPr>
      <w:r>
        <w:rPr>
          <w:rStyle w:val="FootnoteReference"/>
        </w:rPr>
        <w:footnoteRef/>
      </w:r>
      <w:r>
        <w:t xml:space="preserve"> Procuraduría Especializada Trata y Trafico</w:t>
      </w:r>
    </w:p>
  </w:footnote>
  <w:footnote w:id="10">
    <w:p w:rsidR="00272160" w:rsidRPr="006F17CD" w:rsidRDefault="00272160" w:rsidP="005D0F06">
      <w:pPr>
        <w:pStyle w:val="Normal1"/>
        <w:spacing w:line="240" w:lineRule="auto"/>
        <w:jc w:val="both"/>
        <w:rPr>
          <w:rFonts w:asciiTheme="minorHAnsi" w:hAnsiTheme="minorHAnsi"/>
          <w:lang w:val="es-ES"/>
        </w:rPr>
      </w:pPr>
      <w:r w:rsidRPr="006F17CD">
        <w:rPr>
          <w:rFonts w:asciiTheme="minorHAnsi" w:hAnsiTheme="minorHAnsi"/>
          <w:vertAlign w:val="superscript"/>
          <w:lang w:val="es-ES"/>
        </w:rPr>
        <w:footnoteRef/>
      </w:r>
      <w:r w:rsidRPr="006F17CD">
        <w:rPr>
          <w:rFonts w:asciiTheme="minorHAnsi" w:hAnsiTheme="minorHAnsi"/>
          <w:sz w:val="20"/>
          <w:lang w:val="es-ES"/>
        </w:rPr>
        <w:t xml:space="preserve"> Las restantes 1,803 personas encuestadas no respondieron a esta pregunta o dijeron no saber la respuesta.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304C0"/>
    <w:multiLevelType w:val="hybridMultilevel"/>
    <w:tmpl w:val="EB9A1AD0"/>
    <w:lvl w:ilvl="0" w:tplc="0BFE91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34F5C"/>
    <w:multiLevelType w:val="hybridMultilevel"/>
    <w:tmpl w:val="74209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EA32D89"/>
    <w:multiLevelType w:val="hybridMultilevel"/>
    <w:tmpl w:val="1B0C0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576033"/>
    <w:multiLevelType w:val="hybridMultilevel"/>
    <w:tmpl w:val="F9106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767800"/>
    <w:multiLevelType w:val="hybridMultilevel"/>
    <w:tmpl w:val="D19E5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DF3BC5"/>
    <w:multiLevelType w:val="hybridMultilevel"/>
    <w:tmpl w:val="43BAAFD8"/>
    <w:lvl w:ilvl="0" w:tplc="04090001">
      <w:start w:val="1"/>
      <w:numFmt w:val="bullet"/>
      <w:lvlText w:val=""/>
      <w:lvlJc w:val="left"/>
      <w:pPr>
        <w:tabs>
          <w:tab w:val="num" w:pos="800"/>
        </w:tabs>
        <w:ind w:left="800" w:hanging="360"/>
      </w:pPr>
      <w:rPr>
        <w:rFonts w:ascii="Symbol" w:hAnsi="Symbol" w:hint="default"/>
      </w:rPr>
    </w:lvl>
    <w:lvl w:ilvl="1" w:tplc="0C0A0001">
      <w:start w:val="1"/>
      <w:numFmt w:val="bullet"/>
      <w:lvlText w:val=""/>
      <w:lvlJc w:val="left"/>
      <w:pPr>
        <w:tabs>
          <w:tab w:val="num" w:pos="1520"/>
        </w:tabs>
        <w:ind w:left="1520" w:hanging="360"/>
      </w:pPr>
      <w:rPr>
        <w:rFonts w:ascii="Symbol" w:hAnsi="Symbol" w:hint="default"/>
      </w:rPr>
    </w:lvl>
    <w:lvl w:ilvl="2" w:tplc="080A0005" w:tentative="1">
      <w:start w:val="1"/>
      <w:numFmt w:val="bullet"/>
      <w:lvlText w:val=""/>
      <w:lvlJc w:val="left"/>
      <w:pPr>
        <w:tabs>
          <w:tab w:val="num" w:pos="2240"/>
        </w:tabs>
        <w:ind w:left="2240" w:hanging="360"/>
      </w:pPr>
      <w:rPr>
        <w:rFonts w:ascii="Wingdings" w:hAnsi="Wingdings" w:hint="default"/>
      </w:rPr>
    </w:lvl>
    <w:lvl w:ilvl="3" w:tplc="080A0001" w:tentative="1">
      <w:start w:val="1"/>
      <w:numFmt w:val="bullet"/>
      <w:lvlText w:val=""/>
      <w:lvlJc w:val="left"/>
      <w:pPr>
        <w:tabs>
          <w:tab w:val="num" w:pos="2960"/>
        </w:tabs>
        <w:ind w:left="2960" w:hanging="360"/>
      </w:pPr>
      <w:rPr>
        <w:rFonts w:ascii="Symbol" w:hAnsi="Symbol" w:hint="default"/>
      </w:rPr>
    </w:lvl>
    <w:lvl w:ilvl="4" w:tplc="080A0003" w:tentative="1">
      <w:start w:val="1"/>
      <w:numFmt w:val="bullet"/>
      <w:lvlText w:val="o"/>
      <w:lvlJc w:val="left"/>
      <w:pPr>
        <w:tabs>
          <w:tab w:val="num" w:pos="3680"/>
        </w:tabs>
        <w:ind w:left="3680" w:hanging="360"/>
      </w:pPr>
      <w:rPr>
        <w:rFonts w:ascii="Courier New" w:hAnsi="Courier New" w:cs="Courier New" w:hint="default"/>
      </w:rPr>
    </w:lvl>
    <w:lvl w:ilvl="5" w:tplc="080A0005" w:tentative="1">
      <w:start w:val="1"/>
      <w:numFmt w:val="bullet"/>
      <w:lvlText w:val=""/>
      <w:lvlJc w:val="left"/>
      <w:pPr>
        <w:tabs>
          <w:tab w:val="num" w:pos="4400"/>
        </w:tabs>
        <w:ind w:left="4400" w:hanging="360"/>
      </w:pPr>
      <w:rPr>
        <w:rFonts w:ascii="Wingdings" w:hAnsi="Wingdings" w:hint="default"/>
      </w:rPr>
    </w:lvl>
    <w:lvl w:ilvl="6" w:tplc="080A0001" w:tentative="1">
      <w:start w:val="1"/>
      <w:numFmt w:val="bullet"/>
      <w:lvlText w:val=""/>
      <w:lvlJc w:val="left"/>
      <w:pPr>
        <w:tabs>
          <w:tab w:val="num" w:pos="5120"/>
        </w:tabs>
        <w:ind w:left="5120" w:hanging="360"/>
      </w:pPr>
      <w:rPr>
        <w:rFonts w:ascii="Symbol" w:hAnsi="Symbol" w:hint="default"/>
      </w:rPr>
    </w:lvl>
    <w:lvl w:ilvl="7" w:tplc="080A0003" w:tentative="1">
      <w:start w:val="1"/>
      <w:numFmt w:val="bullet"/>
      <w:lvlText w:val="o"/>
      <w:lvlJc w:val="left"/>
      <w:pPr>
        <w:tabs>
          <w:tab w:val="num" w:pos="5840"/>
        </w:tabs>
        <w:ind w:left="5840" w:hanging="360"/>
      </w:pPr>
      <w:rPr>
        <w:rFonts w:ascii="Courier New" w:hAnsi="Courier New" w:cs="Courier New" w:hint="default"/>
      </w:rPr>
    </w:lvl>
    <w:lvl w:ilvl="8" w:tplc="080A0005" w:tentative="1">
      <w:start w:val="1"/>
      <w:numFmt w:val="bullet"/>
      <w:lvlText w:val=""/>
      <w:lvlJc w:val="left"/>
      <w:pPr>
        <w:tabs>
          <w:tab w:val="num" w:pos="6560"/>
        </w:tabs>
        <w:ind w:left="6560" w:hanging="360"/>
      </w:pPr>
      <w:rPr>
        <w:rFonts w:ascii="Wingdings" w:hAnsi="Wingdings" w:hint="default"/>
      </w:rPr>
    </w:lvl>
  </w:abstractNum>
  <w:abstractNum w:abstractNumId="6">
    <w:nsid w:val="1BBF19D8"/>
    <w:multiLevelType w:val="hybridMultilevel"/>
    <w:tmpl w:val="84042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857C0B"/>
    <w:multiLevelType w:val="hybridMultilevel"/>
    <w:tmpl w:val="EAAE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DA33E5"/>
    <w:multiLevelType w:val="hybridMultilevel"/>
    <w:tmpl w:val="1DAA4530"/>
    <w:lvl w:ilvl="0" w:tplc="0EFAFB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4942E0"/>
    <w:multiLevelType w:val="hybridMultilevel"/>
    <w:tmpl w:val="9654B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016DE5"/>
    <w:multiLevelType w:val="hybridMultilevel"/>
    <w:tmpl w:val="10C24B94"/>
    <w:lvl w:ilvl="0" w:tplc="1F50A024">
      <w:numFmt w:val="bullet"/>
      <w:lvlText w:val="-"/>
      <w:lvlJc w:val="left"/>
      <w:pPr>
        <w:ind w:left="720" w:hanging="360"/>
      </w:pPr>
      <w:rPr>
        <w:rFonts w:ascii="Cambria" w:eastAsiaTheme="minorHAnsi" w:hAnsi="Cambri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162645A"/>
    <w:multiLevelType w:val="hybridMultilevel"/>
    <w:tmpl w:val="E3560E2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b/>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21E80C88"/>
    <w:multiLevelType w:val="hybridMultilevel"/>
    <w:tmpl w:val="C758042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3">
    <w:nsid w:val="22525E22"/>
    <w:multiLevelType w:val="hybridMultilevel"/>
    <w:tmpl w:val="5F48A140"/>
    <w:lvl w:ilvl="0" w:tplc="9B8CC816">
      <w:start w:val="1"/>
      <w:numFmt w:val="decimal"/>
      <w:lvlText w:val="%1."/>
      <w:lvlJc w:val="left"/>
      <w:pPr>
        <w:ind w:left="720" w:hanging="360"/>
      </w:pPr>
      <w:rPr>
        <w:b/>
        <w:color w:val="3B3838"/>
      </w:rPr>
    </w:lvl>
    <w:lvl w:ilvl="1" w:tplc="1C0A0019">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nsid w:val="227C262A"/>
    <w:multiLevelType w:val="hybridMultilevel"/>
    <w:tmpl w:val="16005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E07A45"/>
    <w:multiLevelType w:val="hybridMultilevel"/>
    <w:tmpl w:val="FF82DF1A"/>
    <w:lvl w:ilvl="0" w:tplc="1F50A02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395C90"/>
    <w:multiLevelType w:val="hybridMultilevel"/>
    <w:tmpl w:val="E3F6D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DA6056"/>
    <w:multiLevelType w:val="hybridMultilevel"/>
    <w:tmpl w:val="1550E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12554B"/>
    <w:multiLevelType w:val="hybridMultilevel"/>
    <w:tmpl w:val="42F62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165D04"/>
    <w:multiLevelType w:val="hybridMultilevel"/>
    <w:tmpl w:val="70F28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F36762"/>
    <w:multiLevelType w:val="hybridMultilevel"/>
    <w:tmpl w:val="CEFC4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5F7614"/>
    <w:multiLevelType w:val="hybridMultilevel"/>
    <w:tmpl w:val="60C6F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C93B6A"/>
    <w:multiLevelType w:val="hybridMultilevel"/>
    <w:tmpl w:val="D6BCA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443088"/>
    <w:multiLevelType w:val="multilevel"/>
    <w:tmpl w:val="957C23F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3271F31"/>
    <w:multiLevelType w:val="hybridMultilevel"/>
    <w:tmpl w:val="B426A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3323231"/>
    <w:multiLevelType w:val="hybridMultilevel"/>
    <w:tmpl w:val="CC3CB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58013E"/>
    <w:multiLevelType w:val="hybridMultilevel"/>
    <w:tmpl w:val="96001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9126B9"/>
    <w:multiLevelType w:val="hybridMultilevel"/>
    <w:tmpl w:val="DB2013C0"/>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8">
    <w:nsid w:val="3B352F21"/>
    <w:multiLevelType w:val="hybridMultilevel"/>
    <w:tmpl w:val="A31AA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B87D97"/>
    <w:multiLevelType w:val="hybridMultilevel"/>
    <w:tmpl w:val="297CF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D32E30"/>
    <w:multiLevelType w:val="hybridMultilevel"/>
    <w:tmpl w:val="2752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3315FC"/>
    <w:multiLevelType w:val="hybridMultilevel"/>
    <w:tmpl w:val="2F482F6C"/>
    <w:lvl w:ilvl="0" w:tplc="040A0001">
      <w:start w:val="1"/>
      <w:numFmt w:val="bullet"/>
      <w:lvlText w:val=""/>
      <w:lvlJc w:val="left"/>
      <w:pPr>
        <w:ind w:left="294" w:hanging="360"/>
      </w:pPr>
      <w:rPr>
        <w:rFonts w:ascii="Symbol" w:hAnsi="Symbol" w:hint="default"/>
      </w:rPr>
    </w:lvl>
    <w:lvl w:ilvl="1" w:tplc="040A0003" w:tentative="1">
      <w:start w:val="1"/>
      <w:numFmt w:val="bullet"/>
      <w:lvlText w:val="o"/>
      <w:lvlJc w:val="left"/>
      <w:pPr>
        <w:ind w:left="1014" w:hanging="360"/>
      </w:pPr>
      <w:rPr>
        <w:rFonts w:ascii="Courier New" w:hAnsi="Courier New" w:cs="Courier New" w:hint="default"/>
      </w:rPr>
    </w:lvl>
    <w:lvl w:ilvl="2" w:tplc="040A0005" w:tentative="1">
      <w:start w:val="1"/>
      <w:numFmt w:val="bullet"/>
      <w:lvlText w:val=""/>
      <w:lvlJc w:val="left"/>
      <w:pPr>
        <w:ind w:left="1734" w:hanging="360"/>
      </w:pPr>
      <w:rPr>
        <w:rFonts w:ascii="Wingdings" w:hAnsi="Wingdings" w:hint="default"/>
      </w:rPr>
    </w:lvl>
    <w:lvl w:ilvl="3" w:tplc="040A0001" w:tentative="1">
      <w:start w:val="1"/>
      <w:numFmt w:val="bullet"/>
      <w:lvlText w:val=""/>
      <w:lvlJc w:val="left"/>
      <w:pPr>
        <w:ind w:left="2454" w:hanging="360"/>
      </w:pPr>
      <w:rPr>
        <w:rFonts w:ascii="Symbol" w:hAnsi="Symbol" w:hint="default"/>
      </w:rPr>
    </w:lvl>
    <w:lvl w:ilvl="4" w:tplc="040A0003" w:tentative="1">
      <w:start w:val="1"/>
      <w:numFmt w:val="bullet"/>
      <w:lvlText w:val="o"/>
      <w:lvlJc w:val="left"/>
      <w:pPr>
        <w:ind w:left="3174" w:hanging="360"/>
      </w:pPr>
      <w:rPr>
        <w:rFonts w:ascii="Courier New" w:hAnsi="Courier New" w:cs="Courier New" w:hint="default"/>
      </w:rPr>
    </w:lvl>
    <w:lvl w:ilvl="5" w:tplc="040A0005" w:tentative="1">
      <w:start w:val="1"/>
      <w:numFmt w:val="bullet"/>
      <w:lvlText w:val=""/>
      <w:lvlJc w:val="left"/>
      <w:pPr>
        <w:ind w:left="3894" w:hanging="360"/>
      </w:pPr>
      <w:rPr>
        <w:rFonts w:ascii="Wingdings" w:hAnsi="Wingdings" w:hint="default"/>
      </w:rPr>
    </w:lvl>
    <w:lvl w:ilvl="6" w:tplc="040A0001" w:tentative="1">
      <w:start w:val="1"/>
      <w:numFmt w:val="bullet"/>
      <w:lvlText w:val=""/>
      <w:lvlJc w:val="left"/>
      <w:pPr>
        <w:ind w:left="4614" w:hanging="360"/>
      </w:pPr>
      <w:rPr>
        <w:rFonts w:ascii="Symbol" w:hAnsi="Symbol" w:hint="default"/>
      </w:rPr>
    </w:lvl>
    <w:lvl w:ilvl="7" w:tplc="040A0003" w:tentative="1">
      <w:start w:val="1"/>
      <w:numFmt w:val="bullet"/>
      <w:lvlText w:val="o"/>
      <w:lvlJc w:val="left"/>
      <w:pPr>
        <w:ind w:left="5334" w:hanging="360"/>
      </w:pPr>
      <w:rPr>
        <w:rFonts w:ascii="Courier New" w:hAnsi="Courier New" w:cs="Courier New" w:hint="default"/>
      </w:rPr>
    </w:lvl>
    <w:lvl w:ilvl="8" w:tplc="040A0005" w:tentative="1">
      <w:start w:val="1"/>
      <w:numFmt w:val="bullet"/>
      <w:lvlText w:val=""/>
      <w:lvlJc w:val="left"/>
      <w:pPr>
        <w:ind w:left="6054" w:hanging="360"/>
      </w:pPr>
      <w:rPr>
        <w:rFonts w:ascii="Wingdings" w:hAnsi="Wingdings" w:hint="default"/>
      </w:rPr>
    </w:lvl>
  </w:abstractNum>
  <w:abstractNum w:abstractNumId="32">
    <w:nsid w:val="4C7F716E"/>
    <w:multiLevelType w:val="hybridMultilevel"/>
    <w:tmpl w:val="9190C0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D1C6DB7"/>
    <w:multiLevelType w:val="hybridMultilevel"/>
    <w:tmpl w:val="EE76A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127CFF"/>
    <w:multiLevelType w:val="hybridMultilevel"/>
    <w:tmpl w:val="E4FAE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480E7C"/>
    <w:multiLevelType w:val="hybridMultilevel"/>
    <w:tmpl w:val="FEF0D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D8763B"/>
    <w:multiLevelType w:val="hybridMultilevel"/>
    <w:tmpl w:val="6056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7E5633"/>
    <w:multiLevelType w:val="hybridMultilevel"/>
    <w:tmpl w:val="2BC6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6817DA"/>
    <w:multiLevelType w:val="hybridMultilevel"/>
    <w:tmpl w:val="55AAB668"/>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9">
    <w:nsid w:val="5E7333DC"/>
    <w:multiLevelType w:val="hybridMultilevel"/>
    <w:tmpl w:val="65D64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F28566E"/>
    <w:multiLevelType w:val="hybridMultilevel"/>
    <w:tmpl w:val="1CDA434C"/>
    <w:lvl w:ilvl="0" w:tplc="A662816C">
      <w:start w:val="1"/>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88A4565"/>
    <w:multiLevelType w:val="hybridMultilevel"/>
    <w:tmpl w:val="D51889DE"/>
    <w:lvl w:ilvl="0" w:tplc="B3E62702">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AC4330D"/>
    <w:multiLevelType w:val="hybridMultilevel"/>
    <w:tmpl w:val="EC808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797398"/>
    <w:multiLevelType w:val="hybridMultilevel"/>
    <w:tmpl w:val="40CA1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EE3C8B"/>
    <w:multiLevelType w:val="hybridMultilevel"/>
    <w:tmpl w:val="38BCD186"/>
    <w:lvl w:ilvl="0" w:tplc="C3761F7C">
      <w:start w:val="1"/>
      <w:numFmt w:val="decimal"/>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45">
    <w:nsid w:val="7B3730BE"/>
    <w:multiLevelType w:val="hybridMultilevel"/>
    <w:tmpl w:val="05F83384"/>
    <w:lvl w:ilvl="0" w:tplc="CCCC6BDC">
      <w:start w:val="1"/>
      <w:numFmt w:val="decimal"/>
      <w:lvlText w:val="%1."/>
      <w:lvlJc w:val="right"/>
      <w:pPr>
        <w:ind w:left="360" w:hanging="360"/>
      </w:pPr>
      <w:rPr>
        <w:rFonts w:hint="default"/>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46">
    <w:nsid w:val="7CAB0361"/>
    <w:multiLevelType w:val="hybridMultilevel"/>
    <w:tmpl w:val="01823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5"/>
  </w:num>
  <w:num w:numId="4">
    <w:abstractNumId w:val="45"/>
  </w:num>
  <w:num w:numId="5">
    <w:abstractNumId w:val="44"/>
  </w:num>
  <w:num w:numId="6">
    <w:abstractNumId w:val="40"/>
  </w:num>
  <w:num w:numId="7">
    <w:abstractNumId w:val="1"/>
  </w:num>
  <w:num w:numId="8">
    <w:abstractNumId w:val="38"/>
  </w:num>
  <w:num w:numId="9">
    <w:abstractNumId w:val="30"/>
  </w:num>
  <w:num w:numId="10">
    <w:abstractNumId w:val="9"/>
  </w:num>
  <w:num w:numId="11">
    <w:abstractNumId w:val="3"/>
  </w:num>
  <w:num w:numId="12">
    <w:abstractNumId w:val="33"/>
  </w:num>
  <w:num w:numId="13">
    <w:abstractNumId w:val="21"/>
  </w:num>
  <w:num w:numId="14">
    <w:abstractNumId w:val="46"/>
  </w:num>
  <w:num w:numId="15">
    <w:abstractNumId w:val="7"/>
  </w:num>
  <w:num w:numId="16">
    <w:abstractNumId w:val="18"/>
  </w:num>
  <w:num w:numId="17">
    <w:abstractNumId w:val="2"/>
  </w:num>
  <w:num w:numId="18">
    <w:abstractNumId w:val="14"/>
  </w:num>
  <w:num w:numId="19">
    <w:abstractNumId w:val="4"/>
  </w:num>
  <w:num w:numId="20">
    <w:abstractNumId w:val="23"/>
  </w:num>
  <w:num w:numId="21">
    <w:abstractNumId w:val="12"/>
  </w:num>
  <w:num w:numId="22">
    <w:abstractNumId w:val="24"/>
  </w:num>
  <w:num w:numId="23">
    <w:abstractNumId w:val="41"/>
  </w:num>
  <w:num w:numId="24">
    <w:abstractNumId w:val="25"/>
  </w:num>
  <w:num w:numId="25">
    <w:abstractNumId w:val="34"/>
  </w:num>
  <w:num w:numId="26">
    <w:abstractNumId w:val="28"/>
  </w:num>
  <w:num w:numId="27">
    <w:abstractNumId w:val="22"/>
  </w:num>
  <w:num w:numId="28">
    <w:abstractNumId w:val="6"/>
  </w:num>
  <w:num w:numId="29">
    <w:abstractNumId w:val="26"/>
  </w:num>
  <w:num w:numId="30">
    <w:abstractNumId w:val="27"/>
  </w:num>
  <w:num w:numId="31">
    <w:abstractNumId w:val="16"/>
  </w:num>
  <w:num w:numId="32">
    <w:abstractNumId w:val="29"/>
  </w:num>
  <w:num w:numId="33">
    <w:abstractNumId w:val="43"/>
  </w:num>
  <w:num w:numId="34">
    <w:abstractNumId w:val="37"/>
  </w:num>
  <w:num w:numId="35">
    <w:abstractNumId w:val="17"/>
  </w:num>
  <w:num w:numId="36">
    <w:abstractNumId w:val="10"/>
  </w:num>
  <w:num w:numId="37">
    <w:abstractNumId w:val="42"/>
  </w:num>
  <w:num w:numId="38">
    <w:abstractNumId w:val="35"/>
  </w:num>
  <w:num w:numId="39">
    <w:abstractNumId w:val="0"/>
  </w:num>
  <w:num w:numId="40">
    <w:abstractNumId w:val="19"/>
  </w:num>
  <w:num w:numId="41">
    <w:abstractNumId w:val="31"/>
  </w:num>
  <w:num w:numId="42">
    <w:abstractNumId w:val="8"/>
  </w:num>
  <w:num w:numId="43">
    <w:abstractNumId w:val="32"/>
  </w:num>
  <w:num w:numId="44">
    <w:abstractNumId w:val="36"/>
  </w:num>
  <w:num w:numId="45">
    <w:abstractNumId w:val="15"/>
  </w:num>
  <w:num w:numId="46">
    <w:abstractNumId w:val="39"/>
  </w:num>
  <w:num w:numId="4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5D0F06"/>
    <w:rsid w:val="00014D07"/>
    <w:rsid w:val="00017F8E"/>
    <w:rsid w:val="00031563"/>
    <w:rsid w:val="00032EF7"/>
    <w:rsid w:val="00042ED7"/>
    <w:rsid w:val="00044495"/>
    <w:rsid w:val="00044A64"/>
    <w:rsid w:val="000504BC"/>
    <w:rsid w:val="00061C33"/>
    <w:rsid w:val="00063E7C"/>
    <w:rsid w:val="000661A3"/>
    <w:rsid w:val="00086893"/>
    <w:rsid w:val="00092C17"/>
    <w:rsid w:val="00094AE6"/>
    <w:rsid w:val="000C2288"/>
    <w:rsid w:val="000D1029"/>
    <w:rsid w:val="000D1F37"/>
    <w:rsid w:val="000E19FC"/>
    <w:rsid w:val="000F3AAB"/>
    <w:rsid w:val="00111DFF"/>
    <w:rsid w:val="00121678"/>
    <w:rsid w:val="00127551"/>
    <w:rsid w:val="0014593C"/>
    <w:rsid w:val="001501A8"/>
    <w:rsid w:val="0016260E"/>
    <w:rsid w:val="001808AE"/>
    <w:rsid w:val="00182DAF"/>
    <w:rsid w:val="0019050C"/>
    <w:rsid w:val="0019507A"/>
    <w:rsid w:val="001955E3"/>
    <w:rsid w:val="001A6873"/>
    <w:rsid w:val="001D645D"/>
    <w:rsid w:val="001F5F1C"/>
    <w:rsid w:val="001F7BFB"/>
    <w:rsid w:val="002337E1"/>
    <w:rsid w:val="00237078"/>
    <w:rsid w:val="00247FDC"/>
    <w:rsid w:val="002655ED"/>
    <w:rsid w:val="00267D94"/>
    <w:rsid w:val="00272160"/>
    <w:rsid w:val="0027219A"/>
    <w:rsid w:val="002B69CC"/>
    <w:rsid w:val="002D21AE"/>
    <w:rsid w:val="002F0440"/>
    <w:rsid w:val="003024EF"/>
    <w:rsid w:val="00312EB9"/>
    <w:rsid w:val="00315EFF"/>
    <w:rsid w:val="00342B96"/>
    <w:rsid w:val="00342C60"/>
    <w:rsid w:val="0035781C"/>
    <w:rsid w:val="0037719F"/>
    <w:rsid w:val="0038216D"/>
    <w:rsid w:val="0038512E"/>
    <w:rsid w:val="00390E2F"/>
    <w:rsid w:val="003A2E3F"/>
    <w:rsid w:val="003A5798"/>
    <w:rsid w:val="003A6F75"/>
    <w:rsid w:val="003D3777"/>
    <w:rsid w:val="003D38A2"/>
    <w:rsid w:val="003E51D3"/>
    <w:rsid w:val="003F65B7"/>
    <w:rsid w:val="00411374"/>
    <w:rsid w:val="00421015"/>
    <w:rsid w:val="004448FC"/>
    <w:rsid w:val="0045496B"/>
    <w:rsid w:val="00472103"/>
    <w:rsid w:val="004E224E"/>
    <w:rsid w:val="004E50B1"/>
    <w:rsid w:val="005024BE"/>
    <w:rsid w:val="00522026"/>
    <w:rsid w:val="00523DBF"/>
    <w:rsid w:val="005330AC"/>
    <w:rsid w:val="00561CED"/>
    <w:rsid w:val="00575DD5"/>
    <w:rsid w:val="005808AE"/>
    <w:rsid w:val="00580A66"/>
    <w:rsid w:val="00582E39"/>
    <w:rsid w:val="00585B5D"/>
    <w:rsid w:val="005B09D5"/>
    <w:rsid w:val="005B1CC2"/>
    <w:rsid w:val="005C1410"/>
    <w:rsid w:val="005D0F06"/>
    <w:rsid w:val="005D7557"/>
    <w:rsid w:val="005E1F99"/>
    <w:rsid w:val="005E6FB0"/>
    <w:rsid w:val="005F4307"/>
    <w:rsid w:val="005F7322"/>
    <w:rsid w:val="006465EC"/>
    <w:rsid w:val="006944A7"/>
    <w:rsid w:val="006B00B4"/>
    <w:rsid w:val="006B1483"/>
    <w:rsid w:val="006C0DF2"/>
    <w:rsid w:val="006C2345"/>
    <w:rsid w:val="006C28EF"/>
    <w:rsid w:val="006C347C"/>
    <w:rsid w:val="006C4560"/>
    <w:rsid w:val="006D0A84"/>
    <w:rsid w:val="006E5764"/>
    <w:rsid w:val="006E6126"/>
    <w:rsid w:val="0073322E"/>
    <w:rsid w:val="0073663B"/>
    <w:rsid w:val="0074037D"/>
    <w:rsid w:val="00763F22"/>
    <w:rsid w:val="007979FD"/>
    <w:rsid w:val="007B46CF"/>
    <w:rsid w:val="007D1E9C"/>
    <w:rsid w:val="007D4A3F"/>
    <w:rsid w:val="00805BF5"/>
    <w:rsid w:val="00812AEC"/>
    <w:rsid w:val="00830BF4"/>
    <w:rsid w:val="0085278E"/>
    <w:rsid w:val="00857B5C"/>
    <w:rsid w:val="0087431E"/>
    <w:rsid w:val="00886A0B"/>
    <w:rsid w:val="00894294"/>
    <w:rsid w:val="008A13B0"/>
    <w:rsid w:val="008A36E2"/>
    <w:rsid w:val="008A5C17"/>
    <w:rsid w:val="008B5E53"/>
    <w:rsid w:val="008C6D09"/>
    <w:rsid w:val="008D373C"/>
    <w:rsid w:val="008E5BBF"/>
    <w:rsid w:val="008F0DF5"/>
    <w:rsid w:val="008F1AA6"/>
    <w:rsid w:val="008F4BF1"/>
    <w:rsid w:val="008F5BB0"/>
    <w:rsid w:val="008F62E5"/>
    <w:rsid w:val="00900422"/>
    <w:rsid w:val="00906128"/>
    <w:rsid w:val="00915C9B"/>
    <w:rsid w:val="00925B77"/>
    <w:rsid w:val="00940F95"/>
    <w:rsid w:val="00957387"/>
    <w:rsid w:val="009649A5"/>
    <w:rsid w:val="00973740"/>
    <w:rsid w:val="00990645"/>
    <w:rsid w:val="009B004C"/>
    <w:rsid w:val="009C79C4"/>
    <w:rsid w:val="00A052D7"/>
    <w:rsid w:val="00A07611"/>
    <w:rsid w:val="00A417FE"/>
    <w:rsid w:val="00A4208D"/>
    <w:rsid w:val="00A45B47"/>
    <w:rsid w:val="00A7482B"/>
    <w:rsid w:val="00A802E9"/>
    <w:rsid w:val="00A81FF2"/>
    <w:rsid w:val="00A93750"/>
    <w:rsid w:val="00AA14B1"/>
    <w:rsid w:val="00AA3A45"/>
    <w:rsid w:val="00AB6DC7"/>
    <w:rsid w:val="00AC5CFB"/>
    <w:rsid w:val="00AF089D"/>
    <w:rsid w:val="00B07DBB"/>
    <w:rsid w:val="00B17DA0"/>
    <w:rsid w:val="00B60806"/>
    <w:rsid w:val="00B71AC0"/>
    <w:rsid w:val="00B74A6C"/>
    <w:rsid w:val="00B7640B"/>
    <w:rsid w:val="00B85133"/>
    <w:rsid w:val="00BA3552"/>
    <w:rsid w:val="00BD449E"/>
    <w:rsid w:val="00BE33D4"/>
    <w:rsid w:val="00BE3822"/>
    <w:rsid w:val="00BF1681"/>
    <w:rsid w:val="00BF660E"/>
    <w:rsid w:val="00C016D3"/>
    <w:rsid w:val="00C0280F"/>
    <w:rsid w:val="00C25356"/>
    <w:rsid w:val="00C3421C"/>
    <w:rsid w:val="00C44642"/>
    <w:rsid w:val="00C47AD8"/>
    <w:rsid w:val="00C71C74"/>
    <w:rsid w:val="00C85001"/>
    <w:rsid w:val="00C874E8"/>
    <w:rsid w:val="00C96D95"/>
    <w:rsid w:val="00CB221E"/>
    <w:rsid w:val="00CB4B44"/>
    <w:rsid w:val="00CC483B"/>
    <w:rsid w:val="00D04975"/>
    <w:rsid w:val="00D1229A"/>
    <w:rsid w:val="00D27C90"/>
    <w:rsid w:val="00D339A5"/>
    <w:rsid w:val="00D3566A"/>
    <w:rsid w:val="00D557D8"/>
    <w:rsid w:val="00D637C1"/>
    <w:rsid w:val="00D85BAD"/>
    <w:rsid w:val="00DA2E62"/>
    <w:rsid w:val="00DA33EB"/>
    <w:rsid w:val="00DA6382"/>
    <w:rsid w:val="00DD0EF8"/>
    <w:rsid w:val="00DD20BF"/>
    <w:rsid w:val="00DD25D4"/>
    <w:rsid w:val="00DD3D44"/>
    <w:rsid w:val="00DF42E8"/>
    <w:rsid w:val="00E0621B"/>
    <w:rsid w:val="00E23064"/>
    <w:rsid w:val="00E52E8C"/>
    <w:rsid w:val="00E80301"/>
    <w:rsid w:val="00EF15EE"/>
    <w:rsid w:val="00F00E5F"/>
    <w:rsid w:val="00F05AE4"/>
    <w:rsid w:val="00F07D13"/>
    <w:rsid w:val="00F26D53"/>
    <w:rsid w:val="00F37CAE"/>
    <w:rsid w:val="00F46FD7"/>
    <w:rsid w:val="00F52B49"/>
    <w:rsid w:val="00F6113B"/>
    <w:rsid w:val="00F823FD"/>
    <w:rsid w:val="00FB51B0"/>
    <w:rsid w:val="00FC5A5B"/>
    <w:rsid w:val="00FC7E01"/>
    <w:rsid w:val="00FD547A"/>
    <w:rsid w:val="00FD5A9B"/>
    <w:rsid w:val="00FE7544"/>
    <w:rsid w:val="00FF44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06"/>
    <w:pPr>
      <w:spacing w:after="0" w:line="360" w:lineRule="auto"/>
      <w:jc w:val="both"/>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0F06"/>
    <w:pPr>
      <w:spacing w:after="0"/>
    </w:pPr>
    <w:rPr>
      <w:rFonts w:ascii="Arial" w:eastAsia="Arial" w:hAnsi="Arial" w:cs="Arial"/>
      <w:color w:val="000000"/>
    </w:rPr>
  </w:style>
  <w:style w:type="paragraph" w:styleId="ListParagraph">
    <w:name w:val="List Paragraph"/>
    <w:aliases w:val="Recommendation,List Paragraph1"/>
    <w:basedOn w:val="Normal"/>
    <w:link w:val="ListParagraphChar"/>
    <w:uiPriority w:val="34"/>
    <w:qFormat/>
    <w:rsid w:val="005D0F06"/>
    <w:pPr>
      <w:ind w:left="720"/>
      <w:contextualSpacing/>
    </w:pPr>
  </w:style>
  <w:style w:type="paragraph" w:styleId="NoSpacing">
    <w:name w:val="No Spacing"/>
    <w:link w:val="NoSpacingChar"/>
    <w:uiPriority w:val="1"/>
    <w:qFormat/>
    <w:rsid w:val="005D0F06"/>
    <w:pPr>
      <w:spacing w:after="0" w:line="240" w:lineRule="auto"/>
    </w:pPr>
    <w:rPr>
      <w:rFonts w:ascii="Calibri" w:eastAsia="Calibri" w:hAnsi="Calibri" w:cs="Times New Roman"/>
      <w:lang w:val="es-ES"/>
    </w:rPr>
  </w:style>
  <w:style w:type="character" w:customStyle="1" w:styleId="apple-converted-space">
    <w:name w:val="apple-converted-space"/>
    <w:basedOn w:val="DefaultParagraphFont"/>
    <w:rsid w:val="005D0F06"/>
  </w:style>
  <w:style w:type="character" w:styleId="Emphasis">
    <w:name w:val="Emphasis"/>
    <w:uiPriority w:val="20"/>
    <w:qFormat/>
    <w:rsid w:val="005D0F06"/>
    <w:rPr>
      <w:i/>
      <w:iCs/>
    </w:rPr>
  </w:style>
  <w:style w:type="paragraph" w:styleId="NormalWeb">
    <w:name w:val="Normal (Web)"/>
    <w:basedOn w:val="Normal"/>
    <w:uiPriority w:val="99"/>
    <w:unhideWhenUsed/>
    <w:rsid w:val="005D0F06"/>
    <w:pPr>
      <w:spacing w:before="100" w:beforeAutospacing="1" w:after="100" w:afterAutospacing="1" w:line="240" w:lineRule="auto"/>
      <w:jc w:val="left"/>
    </w:pPr>
    <w:rPr>
      <w:rFonts w:ascii="Times New Roman" w:eastAsia="Times New Roman" w:hAnsi="Times New Roman" w:cs="Times New Roman"/>
      <w:lang w:val="en-US"/>
    </w:rPr>
  </w:style>
  <w:style w:type="character" w:customStyle="1" w:styleId="st1">
    <w:name w:val="st1"/>
    <w:basedOn w:val="DefaultParagraphFont"/>
    <w:rsid w:val="005D0F06"/>
  </w:style>
  <w:style w:type="paragraph" w:customStyle="1" w:styleId="Default">
    <w:name w:val="Default"/>
    <w:rsid w:val="005D0F0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NoSpacingChar">
    <w:name w:val="No Spacing Char"/>
    <w:basedOn w:val="DefaultParagraphFont"/>
    <w:link w:val="NoSpacing"/>
    <w:uiPriority w:val="1"/>
    <w:rsid w:val="005D0F06"/>
    <w:rPr>
      <w:rFonts w:ascii="Calibri" w:eastAsia="Calibri" w:hAnsi="Calibri" w:cs="Times New Roman"/>
      <w:lang w:val="es-ES"/>
    </w:rPr>
  </w:style>
  <w:style w:type="paragraph" w:styleId="BalloonText">
    <w:name w:val="Balloon Text"/>
    <w:basedOn w:val="Normal"/>
    <w:link w:val="BalloonTextChar"/>
    <w:uiPriority w:val="99"/>
    <w:semiHidden/>
    <w:unhideWhenUsed/>
    <w:rsid w:val="005D0F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F06"/>
    <w:rPr>
      <w:rFonts w:ascii="Tahoma" w:hAnsi="Tahoma" w:cs="Tahoma"/>
      <w:sz w:val="16"/>
      <w:szCs w:val="16"/>
      <w:lang w:val="es-ES_tradnl"/>
    </w:rPr>
  </w:style>
  <w:style w:type="paragraph" w:customStyle="1" w:styleId="Heading31">
    <w:name w:val="Heading 31"/>
    <w:basedOn w:val="Normal"/>
    <w:uiPriority w:val="1"/>
    <w:qFormat/>
    <w:rsid w:val="005D0F06"/>
    <w:pPr>
      <w:widowControl w:val="0"/>
      <w:spacing w:before="126" w:line="240" w:lineRule="auto"/>
      <w:ind w:left="1246" w:firstLine="568"/>
      <w:jc w:val="left"/>
      <w:outlineLvl w:val="3"/>
    </w:pPr>
    <w:rPr>
      <w:rFonts w:ascii="Times New Roman" w:eastAsia="Times New Roman" w:hAnsi="Times New Roman"/>
      <w:b/>
      <w:bCs/>
      <w:sz w:val="20"/>
      <w:szCs w:val="20"/>
      <w:lang w:val="en-US"/>
    </w:rPr>
  </w:style>
  <w:style w:type="character" w:customStyle="1" w:styleId="ListParagraphChar">
    <w:name w:val="List Paragraph Char"/>
    <w:aliases w:val="Recommendation Char,List Paragraph1 Char"/>
    <w:link w:val="ListParagraph"/>
    <w:uiPriority w:val="34"/>
    <w:rsid w:val="005D0F06"/>
    <w:rPr>
      <w:sz w:val="24"/>
      <w:szCs w:val="24"/>
      <w:lang w:val="es-ES_tradnl"/>
    </w:rPr>
  </w:style>
  <w:style w:type="table" w:styleId="TableGrid">
    <w:name w:val="Table Grid"/>
    <w:basedOn w:val="TableNormal"/>
    <w:uiPriority w:val="39"/>
    <w:rsid w:val="005D0F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85133"/>
    <w:pPr>
      <w:spacing w:line="240" w:lineRule="auto"/>
    </w:pPr>
    <w:rPr>
      <w:sz w:val="20"/>
      <w:szCs w:val="20"/>
    </w:rPr>
  </w:style>
  <w:style w:type="character" w:customStyle="1" w:styleId="FootnoteTextChar">
    <w:name w:val="Footnote Text Char"/>
    <w:basedOn w:val="DefaultParagraphFont"/>
    <w:link w:val="FootnoteText"/>
    <w:uiPriority w:val="99"/>
    <w:semiHidden/>
    <w:rsid w:val="00B85133"/>
    <w:rPr>
      <w:sz w:val="20"/>
      <w:szCs w:val="20"/>
      <w:lang w:val="es-ES_tradnl"/>
    </w:rPr>
  </w:style>
  <w:style w:type="character" w:styleId="FootnoteReference">
    <w:name w:val="footnote reference"/>
    <w:basedOn w:val="DefaultParagraphFont"/>
    <w:uiPriority w:val="99"/>
    <w:semiHidden/>
    <w:unhideWhenUsed/>
    <w:rsid w:val="00B85133"/>
    <w:rPr>
      <w:vertAlign w:val="superscript"/>
    </w:rPr>
  </w:style>
  <w:style w:type="table" w:customStyle="1" w:styleId="Listamedia211">
    <w:name w:val="Lista media 211"/>
    <w:basedOn w:val="TableNormal"/>
    <w:uiPriority w:val="66"/>
    <w:rsid w:val="007979FD"/>
    <w:pPr>
      <w:spacing w:after="0" w:line="240" w:lineRule="auto"/>
    </w:pPr>
    <w:rPr>
      <w:rFonts w:ascii="Cambria" w:eastAsia="Times New Roman" w:hAnsi="Cambria" w:cs="Times New Roman"/>
      <w:color w:val="000000"/>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detablaclara1">
    <w:name w:val="Cuadrícula de tabla clara1"/>
    <w:basedOn w:val="TableNormal"/>
    <w:next w:val="TableNormal"/>
    <w:uiPriority w:val="40"/>
    <w:rsid w:val="007979FD"/>
    <w:pPr>
      <w:spacing w:after="0" w:line="240" w:lineRule="auto"/>
    </w:pPr>
    <w:rPr>
      <w:lang w:val="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0657018">
      <w:bodyDiv w:val="1"/>
      <w:marLeft w:val="0"/>
      <w:marRight w:val="0"/>
      <w:marTop w:val="0"/>
      <w:marBottom w:val="0"/>
      <w:divBdr>
        <w:top w:val="none" w:sz="0" w:space="0" w:color="auto"/>
        <w:left w:val="none" w:sz="0" w:space="0" w:color="auto"/>
        <w:bottom w:val="none" w:sz="0" w:space="0" w:color="auto"/>
        <w:right w:val="none" w:sz="0" w:space="0" w:color="auto"/>
      </w:divBdr>
    </w:div>
    <w:div w:id="1330869966">
      <w:bodyDiv w:val="1"/>
      <w:marLeft w:val="0"/>
      <w:marRight w:val="0"/>
      <w:marTop w:val="0"/>
      <w:marBottom w:val="0"/>
      <w:divBdr>
        <w:top w:val="none" w:sz="0" w:space="0" w:color="auto"/>
        <w:left w:val="none" w:sz="0" w:space="0" w:color="auto"/>
        <w:bottom w:val="none" w:sz="0" w:space="0" w:color="auto"/>
        <w:right w:val="none" w:sz="0" w:space="0" w:color="auto"/>
      </w:divBdr>
    </w:div>
    <w:div w:id="134246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think21c@hanmail.net" TargetMode="Externa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customXml" Target="../customXml/item4.xml"/></Relationships>
</file>

<file path=word/charts/_rels/chart1.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Office_Excel_Worksheet4.xlsx"/><Relationship Id="rId1" Type="http://schemas.openxmlformats.org/officeDocument/2006/relationships/themeOverride" Target="../theme/themeOverride4.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Office_Excel_Worksheet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INVESTIGACIONES POR MALA CONDUCTA MIEMBROS P.N.</a:t>
            </a:r>
          </a:p>
        </c:rich>
      </c:tx>
    </c:title>
    <c:view3D>
      <c:rotX val="30"/>
      <c:perspective val="30"/>
    </c:view3D>
    <c:plotArea>
      <c:layout/>
      <c:pie3DChart>
        <c:varyColors val="1"/>
        <c:ser>
          <c:idx val="0"/>
          <c:order val="0"/>
          <c:explosion val="25"/>
          <c:dLbls>
            <c:showPercent val="1"/>
            <c:showLeaderLines val="1"/>
          </c:dLbls>
          <c:cat>
            <c:strRef>
              <c:f>'[Chart in Microsoft Office Word]Sheet1'!$B$10:$E$10</c:f>
              <c:strCache>
                <c:ptCount val="4"/>
                <c:pt idx="0">
                  <c:v>CANCELACIONES</c:v>
                </c:pt>
                <c:pt idx="1">
                  <c:v>SANCIONES</c:v>
                </c:pt>
                <c:pt idx="2">
                  <c:v>ENVIOSA LA JUSTICIA</c:v>
                </c:pt>
                <c:pt idx="3">
                  <c:v>INACCIONES</c:v>
                </c:pt>
              </c:strCache>
            </c:strRef>
          </c:cat>
          <c:val>
            <c:numRef>
              <c:f>'[Chart in Microsoft Office Word]Sheet1'!$B$11:$E$11</c:f>
              <c:numCache>
                <c:formatCode>General</c:formatCode>
                <c:ptCount val="4"/>
                <c:pt idx="0">
                  <c:v>391</c:v>
                </c:pt>
                <c:pt idx="1">
                  <c:v>397</c:v>
                </c:pt>
                <c:pt idx="2">
                  <c:v>617</c:v>
                </c:pt>
                <c:pt idx="3">
                  <c:v>77</c:v>
                </c:pt>
              </c:numCache>
            </c:numRef>
          </c:val>
        </c:ser>
        <c:dLbls>
          <c:showPercent val="1"/>
        </c:dLbls>
      </c:pie3DChart>
    </c:plotArea>
    <c:legend>
      <c:legendPos val="r"/>
      <c:layout>
        <c:manualLayout>
          <c:xMode val="edge"/>
          <c:yMode val="edge"/>
          <c:x val="0.71316797900262086"/>
          <c:y val="0.51069043452902196"/>
          <c:w val="0.28683202099737531"/>
          <c:h val="0.33486876640420343"/>
        </c:manualLayout>
      </c:layout>
      <c:txPr>
        <a:bodyPr/>
        <a:lstStyle/>
        <a:p>
          <a:pPr rtl="0">
            <a:defRPr/>
          </a:pPr>
          <a:endParaRPr lang="en-US"/>
        </a:p>
      </c:txPr>
    </c:legend>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USO EXCESIVO DE LA FUERZA </a:t>
            </a:r>
          </a:p>
        </c:rich>
      </c:tx>
    </c:title>
    <c:view3D>
      <c:rotX val="30"/>
      <c:perspective val="30"/>
    </c:view3D>
    <c:plotArea>
      <c:layout/>
      <c:pie3DChart>
        <c:varyColors val="1"/>
        <c:ser>
          <c:idx val="0"/>
          <c:order val="0"/>
          <c:explosion val="25"/>
          <c:dPt>
            <c:idx val="2"/>
            <c:explosion val="28"/>
          </c:dPt>
          <c:dLbls>
            <c:showPercent val="1"/>
            <c:showLeaderLines val="1"/>
          </c:dLbls>
          <c:cat>
            <c:strRef>
              <c:f>'[Chart in Microsoft Office Word]Sheet1'!$B$13:$E$13</c:f>
              <c:strCache>
                <c:ptCount val="4"/>
                <c:pt idx="0">
                  <c:v>CANCELACIONES</c:v>
                </c:pt>
                <c:pt idx="1">
                  <c:v>SANCIONES</c:v>
                </c:pt>
                <c:pt idx="2">
                  <c:v>ENVIOSA LA JUSTICIA</c:v>
                </c:pt>
                <c:pt idx="3">
                  <c:v>INACCIONES</c:v>
                </c:pt>
              </c:strCache>
            </c:strRef>
          </c:cat>
          <c:val>
            <c:numRef>
              <c:f>'[Chart in Microsoft Office Word]Sheet1'!$B$14:$E$14</c:f>
              <c:numCache>
                <c:formatCode>General</c:formatCode>
                <c:ptCount val="4"/>
                <c:pt idx="0">
                  <c:v>14</c:v>
                </c:pt>
                <c:pt idx="1">
                  <c:v>29</c:v>
                </c:pt>
                <c:pt idx="2">
                  <c:v>126</c:v>
                </c:pt>
                <c:pt idx="3">
                  <c:v>19</c:v>
                </c:pt>
              </c:numCache>
            </c:numRef>
          </c:val>
        </c:ser>
        <c:dLbls>
          <c:showPercent val="1"/>
        </c:dLbls>
      </c:pie3DChart>
    </c:plotArea>
    <c:legend>
      <c:legendPos val="r"/>
      <c:txPr>
        <a:bodyPr/>
        <a:lstStyle/>
        <a:p>
          <a:pPr rtl="0">
            <a:defRPr/>
          </a:pPr>
          <a:endParaRPr lang="en-US"/>
        </a:p>
      </c:txPr>
    </c:legend>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AGRESION FISICA</a:t>
            </a:r>
          </a:p>
        </c:rich>
      </c:tx>
    </c:title>
    <c:view3D>
      <c:rotX val="30"/>
      <c:perspective val="30"/>
    </c:view3D>
    <c:plotArea>
      <c:layout/>
      <c:pie3DChart>
        <c:varyColors val="1"/>
        <c:ser>
          <c:idx val="0"/>
          <c:order val="0"/>
          <c:explosion val="25"/>
          <c:dLbls>
            <c:showPercent val="1"/>
            <c:showLeaderLines val="1"/>
          </c:dLbls>
          <c:cat>
            <c:strRef>
              <c:f>'[Chart in Microsoft Office Word]Sheet1'!$B$16:$E$16</c:f>
              <c:strCache>
                <c:ptCount val="4"/>
                <c:pt idx="0">
                  <c:v>CANCELACIONES</c:v>
                </c:pt>
                <c:pt idx="1">
                  <c:v>SANCIONES</c:v>
                </c:pt>
                <c:pt idx="2">
                  <c:v>ENVIOSA LA JUSTICIA</c:v>
                </c:pt>
                <c:pt idx="3">
                  <c:v>INACCIONES</c:v>
                </c:pt>
              </c:strCache>
            </c:strRef>
          </c:cat>
          <c:val>
            <c:numRef>
              <c:f>'[Chart in Microsoft Office Word]Sheet1'!$B$17:$E$17</c:f>
              <c:numCache>
                <c:formatCode>General</c:formatCode>
                <c:ptCount val="4"/>
                <c:pt idx="0">
                  <c:v>16</c:v>
                </c:pt>
                <c:pt idx="1">
                  <c:v>61</c:v>
                </c:pt>
                <c:pt idx="2">
                  <c:v>133</c:v>
                </c:pt>
                <c:pt idx="3">
                  <c:v>1</c:v>
                </c:pt>
              </c:numCache>
            </c:numRef>
          </c:val>
        </c:ser>
        <c:dLbls>
          <c:showPercent val="1"/>
        </c:dLbls>
      </c:pie3DChart>
    </c:plotArea>
    <c:legend>
      <c:legendPos val="r"/>
      <c:txPr>
        <a:bodyPr/>
        <a:lstStyle/>
        <a:p>
          <a:pPr rtl="0">
            <a:defRPr/>
          </a:pPr>
          <a:endParaRPr lang="en-US"/>
        </a:p>
      </c:txPr>
    </c:legend>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AMENAZA</a:t>
            </a:r>
          </a:p>
        </c:rich>
      </c:tx>
    </c:title>
    <c:view3D>
      <c:rotX val="30"/>
      <c:perspective val="30"/>
    </c:view3D>
    <c:plotArea>
      <c:layout/>
      <c:pie3DChart>
        <c:varyColors val="1"/>
        <c:ser>
          <c:idx val="0"/>
          <c:order val="0"/>
          <c:explosion val="25"/>
          <c:dLbls>
            <c:showPercent val="1"/>
            <c:showLeaderLines val="1"/>
          </c:dLbls>
          <c:cat>
            <c:strRef>
              <c:f>'[Chart in Microsoft Office Word]Sheet1'!$B$19:$E$19</c:f>
              <c:strCache>
                <c:ptCount val="4"/>
                <c:pt idx="0">
                  <c:v>CANCELACIONES</c:v>
                </c:pt>
                <c:pt idx="1">
                  <c:v>SANCIONES</c:v>
                </c:pt>
                <c:pt idx="2">
                  <c:v>ENVIOSA LA JUSTICIA</c:v>
                </c:pt>
                <c:pt idx="3">
                  <c:v>INACCIONES</c:v>
                </c:pt>
              </c:strCache>
            </c:strRef>
          </c:cat>
          <c:val>
            <c:numRef>
              <c:f>'[Chart in Microsoft Office Word]Sheet1'!$B$20:$E$20</c:f>
              <c:numCache>
                <c:formatCode>General</c:formatCode>
                <c:ptCount val="4"/>
                <c:pt idx="0">
                  <c:v>3</c:v>
                </c:pt>
                <c:pt idx="1">
                  <c:v>16</c:v>
                </c:pt>
                <c:pt idx="2">
                  <c:v>117</c:v>
                </c:pt>
                <c:pt idx="3">
                  <c:v>1</c:v>
                </c:pt>
              </c:numCache>
            </c:numRef>
          </c:val>
        </c:ser>
        <c:dLbls>
          <c:showPercent val="1"/>
        </c:dLbls>
      </c:pie3DChart>
    </c:plotArea>
    <c:legend>
      <c:legendPos val="r"/>
    </c:legend>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798" b="1" i="0" u="none" strike="noStrike" kern="1200" baseline="0">
                <a:solidFill>
                  <a:schemeClr val="dk1">
                    <a:lumMod val="75000"/>
                    <a:lumOff val="25000"/>
                  </a:schemeClr>
                </a:solidFill>
                <a:latin typeface="+mn-lt"/>
                <a:ea typeface="+mn-ea"/>
                <a:cs typeface="+mn-cs"/>
              </a:defRPr>
            </a:pPr>
            <a:r>
              <a:rPr lang="en-US">
                <a:solidFill>
                  <a:srgbClr val="00B0F0"/>
                </a:solidFill>
              </a:rPr>
              <a:t>Casos de Trata de Persona </a:t>
            </a:r>
          </a:p>
          <a:p>
            <a:pPr>
              <a:defRPr sz="1798" b="1" i="0" u="none" strike="noStrike" kern="1200" baseline="0">
                <a:solidFill>
                  <a:schemeClr val="dk1">
                    <a:lumMod val="75000"/>
                    <a:lumOff val="25000"/>
                  </a:schemeClr>
                </a:solidFill>
                <a:latin typeface="+mn-lt"/>
                <a:ea typeface="+mn-ea"/>
                <a:cs typeface="+mn-cs"/>
              </a:defRPr>
            </a:pPr>
            <a:r>
              <a:rPr lang="en-US">
                <a:solidFill>
                  <a:srgbClr val="00B0F0"/>
                </a:solidFill>
              </a:rPr>
              <a:t>y Explotacion Sexual</a:t>
            </a:r>
          </a:p>
        </c:rich>
      </c:tx>
      <c:layout>
        <c:manualLayout>
          <c:xMode val="edge"/>
          <c:yMode val="edge"/>
          <c:x val="0.16773973329091441"/>
          <c:y val="8.4889643463497505E-2"/>
        </c:manualLayout>
      </c:layout>
      <c:spPr>
        <a:noFill/>
        <a:ln>
          <a:noFill/>
        </a:ln>
        <a:effectLst/>
      </c:spPr>
    </c:title>
    <c:view3D>
      <c:rotX val="0"/>
      <c:rotY val="0"/>
      <c:depthPercent val="60"/>
      <c:perspective val="100"/>
    </c:view3D>
    <c:floor>
      <c:spPr>
        <a:solidFill>
          <a:schemeClr val="lt1">
            <a:lumMod val="95000"/>
          </a:schemeClr>
        </a:solid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Hoja1!$B$1</c:f>
              <c:strCache>
                <c:ptCount val="1"/>
                <c:pt idx="0">
                  <c:v>Casos de Trata de Persona</c:v>
                </c:pt>
              </c:strCache>
            </c:strRef>
          </c:tx>
          <c:spPr>
            <a:solidFill>
              <a:schemeClr val="accent1">
                <a:alpha val="85000"/>
              </a:schemeClr>
            </a:solidFill>
            <a:ln w="9518" cap="flat" cmpd="sng" algn="ctr">
              <a:solidFill>
                <a:schemeClr val="accent1">
                  <a:lumMod val="75000"/>
                </a:schemeClr>
              </a:solidFill>
              <a:round/>
            </a:ln>
            <a:effectLst/>
            <a:sp3d contourW="9525">
              <a:contourClr>
                <a:schemeClr val="accent1">
                  <a:lumMod val="75000"/>
                </a:schemeClr>
              </a:contourClr>
            </a:sp3d>
          </c:spPr>
          <c:dPt>
            <c:idx val="1"/>
            <c:spPr>
              <a:solidFill>
                <a:srgbClr val="00B050">
                  <a:alpha val="85000"/>
                </a:srgbClr>
              </a:solidFill>
              <a:ln w="9518" cap="flat" cmpd="sng" algn="ctr">
                <a:solidFill>
                  <a:schemeClr val="accent1">
                    <a:lumMod val="75000"/>
                  </a:schemeClr>
                </a:solidFill>
                <a:round/>
              </a:ln>
              <a:effectLst/>
              <a:sp3d contourW="9525">
                <a:contourClr>
                  <a:schemeClr val="accent1">
                    <a:lumMod val="75000"/>
                  </a:schemeClr>
                </a:contourClr>
              </a:sp3d>
            </c:spPr>
          </c:dPt>
          <c:dLbls>
            <c:dLbl>
              <c:idx val="0"/>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showVal val="1"/>
              <c:extLst>
                <c:ext xmlns:c15="http://schemas.microsoft.com/office/drawing/2012/chart" uri="{CE6537A1-D6FC-4f65-9D91-7224C49458BB}"/>
              </c:extLst>
            </c:dLbl>
            <c:dLbl>
              <c:idx val="1"/>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showVal val="1"/>
              <c:extLst>
                <c:ext xmlns:c15="http://schemas.microsoft.com/office/drawing/2012/chart" uri="{CE6537A1-D6FC-4f65-9D91-7224C49458BB}"/>
              </c:extLst>
            </c:dLbl>
            <c:delete val="1"/>
            <c:spPr>
              <a:noFill/>
              <a:ln>
                <a:noFill/>
              </a:ln>
              <a:effectLst/>
            </c:spPr>
            <c:extLst>
              <c:ext xmlns:c15="http://schemas.microsoft.com/office/drawing/2012/chart" uri="{CE6537A1-D6FC-4f65-9D91-7224C49458BB}">
                <c15:showLeaderLines val="0"/>
              </c:ext>
            </c:extLst>
          </c:dLbls>
          <c:cat>
            <c:strRef>
              <c:f>Hoja1!$A$2:$A$3</c:f>
              <c:strCache>
                <c:ptCount val="2"/>
                <c:pt idx="0">
                  <c:v>Judicializados</c:v>
                </c:pt>
                <c:pt idx="1">
                  <c:v>Proceso de Investigaciones</c:v>
                </c:pt>
              </c:strCache>
            </c:strRef>
          </c:cat>
          <c:val>
            <c:numRef>
              <c:f>Hoja1!$B$2:$B$3</c:f>
              <c:numCache>
                <c:formatCode>General</c:formatCode>
                <c:ptCount val="2"/>
                <c:pt idx="0">
                  <c:v>27</c:v>
                </c:pt>
                <c:pt idx="1">
                  <c:v>15</c:v>
                </c:pt>
              </c:numCache>
            </c:numRef>
          </c:val>
        </c:ser>
        <c:gapWidth val="65"/>
        <c:shape val="box"/>
        <c:axId val="106584320"/>
        <c:axId val="106618880"/>
        <c:axId val="0"/>
      </c:bar3DChart>
      <c:catAx>
        <c:axId val="106584320"/>
        <c:scaling>
          <c:orientation val="minMax"/>
        </c:scaling>
        <c:axPos val="b"/>
        <c:numFmt formatCode="General" sourceLinked="1"/>
        <c:majorTickMark val="none"/>
        <c:tickLblPos val="nextTo"/>
        <c:spPr>
          <a:noFill/>
          <a:ln w="19035" cap="flat" cmpd="sng" algn="ctr">
            <a:solidFill>
              <a:schemeClr val="dk1">
                <a:lumMod val="75000"/>
                <a:lumOff val="25000"/>
              </a:schemeClr>
            </a:solidFill>
            <a:round/>
          </a:ln>
          <a:effectLst/>
        </c:spPr>
        <c:txPr>
          <a:bodyPr rot="-60000000" spcFirstLastPara="1" vertOverflow="ellipsis" vert="horz" wrap="square" anchor="ctr" anchorCtr="1"/>
          <a:lstStyle/>
          <a:p>
            <a:pPr>
              <a:defRPr sz="899" b="0" i="0" u="none" strike="noStrike" kern="1200" cap="all" baseline="0">
                <a:solidFill>
                  <a:schemeClr val="dk1">
                    <a:lumMod val="75000"/>
                    <a:lumOff val="25000"/>
                  </a:schemeClr>
                </a:solidFill>
                <a:latin typeface="+mn-lt"/>
                <a:ea typeface="+mn-ea"/>
                <a:cs typeface="+mn-cs"/>
              </a:defRPr>
            </a:pPr>
            <a:endParaRPr lang="en-US"/>
          </a:p>
        </c:txPr>
        <c:crossAx val="106618880"/>
        <c:crosses val="autoZero"/>
        <c:auto val="1"/>
        <c:lblAlgn val="ctr"/>
        <c:lblOffset val="100"/>
      </c:catAx>
      <c:valAx>
        <c:axId val="106618880"/>
        <c:scaling>
          <c:orientation val="minMax"/>
        </c:scaling>
        <c:axPos val="l"/>
        <c:majorGridlines>
          <c:spPr>
            <a:ln w="9518" cap="flat" cmpd="sng" algn="ctr">
              <a:solidFill>
                <a:schemeClr val="dk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dk1">
                    <a:lumMod val="75000"/>
                    <a:lumOff val="25000"/>
                  </a:schemeClr>
                </a:solidFill>
                <a:latin typeface="+mn-lt"/>
                <a:ea typeface="+mn-ea"/>
                <a:cs typeface="+mn-cs"/>
              </a:defRPr>
            </a:pPr>
            <a:endParaRPr lang="en-US"/>
          </a:p>
        </c:txPr>
        <c:crossAx val="106584320"/>
        <c:crosses val="autoZero"/>
        <c:crossBetween val="between"/>
      </c:valAx>
      <c:spPr>
        <a:noFill/>
        <a:ln w="25380">
          <a:noFill/>
        </a:ln>
      </c:spPr>
    </c:plotArea>
    <c:legend>
      <c:legendPos val="b"/>
      <c:spPr>
        <a:solidFill>
          <a:schemeClr val="lt1">
            <a:lumMod val="95000"/>
            <a:alpha val="39000"/>
          </a:schemeClr>
        </a:solidFill>
        <a:ln>
          <a:noFill/>
        </a:ln>
        <a:effectLst/>
      </c:spPr>
      <c:txPr>
        <a:bodyPr rot="0" spcFirstLastPara="1" vertOverflow="ellipsis" vert="horz" wrap="square" anchor="ctr" anchorCtr="1"/>
        <a:lstStyle/>
        <a:p>
          <a:pPr>
            <a:defRPr sz="899" b="0" i="0" u="none" strike="noStrike" kern="1200" baseline="0">
              <a:solidFill>
                <a:schemeClr val="dk1">
                  <a:lumMod val="75000"/>
                  <a:lumOff val="25000"/>
                </a:schemeClr>
              </a:solidFill>
              <a:latin typeface="+mn-lt"/>
              <a:ea typeface="+mn-ea"/>
              <a:cs typeface="+mn-cs"/>
            </a:defRPr>
          </a:pPr>
          <a:endParaRPr lang="en-US"/>
        </a:p>
      </c:txPr>
    </c:legend>
    <c:plotVisOnly val="1"/>
    <c:dispBlanksAs val="gap"/>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18" cap="flat" cmpd="sng" algn="ctr">
      <a:solidFill>
        <a:schemeClr val="dk1">
          <a:lumMod val="25000"/>
          <a:lumOff val="75000"/>
        </a:schemeClr>
      </a:solidFill>
      <a:round/>
    </a:ln>
    <a:effectLst/>
  </c:spPr>
  <c:txPr>
    <a:bodyPr/>
    <a:lstStyle/>
    <a:p>
      <a:pPr>
        <a:defRPr/>
      </a:pPr>
      <a:endParaRPr lang="en-US"/>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solidFill>
                  <a:srgbClr val="0070C0"/>
                </a:solidFill>
              </a:rPr>
              <a:t>Victimas Rescatadas Según</a:t>
            </a:r>
            <a:r>
              <a:rPr lang="es-ES" baseline="0">
                <a:solidFill>
                  <a:srgbClr val="0070C0"/>
                </a:solidFill>
              </a:rPr>
              <a:t> Genero</a:t>
            </a:r>
            <a:endParaRPr lang="es-ES">
              <a:solidFill>
                <a:srgbClr val="0070C0"/>
              </a:solidFill>
            </a:endParaRPr>
          </a:p>
        </c:rich>
      </c:tx>
      <c:spPr>
        <a:noFill/>
        <a:ln w="25405">
          <a:noFill/>
        </a:ln>
      </c:spPr>
    </c:title>
    <c:plotArea>
      <c:layout>
        <c:manualLayout>
          <c:layoutTarget val="inner"/>
          <c:xMode val="edge"/>
          <c:yMode val="edge"/>
          <c:x val="0.11957439746261229"/>
          <c:y val="0.29480225988700642"/>
          <c:w val="0.81485183204558731"/>
          <c:h val="0.43359669024422864"/>
        </c:manualLayout>
      </c:layout>
      <c:barChart>
        <c:barDir val="col"/>
        <c:grouping val="clustered"/>
        <c:ser>
          <c:idx val="0"/>
          <c:order val="0"/>
          <c:tx>
            <c:strRef>
              <c:f>Hoja1!$B$1</c:f>
              <c:strCache>
                <c:ptCount val="1"/>
                <c:pt idx="0">
                  <c:v>Victimas Rescatadas</c:v>
                </c:pt>
              </c:strCache>
            </c:strRef>
          </c:tx>
          <c:spPr>
            <a:solidFill>
              <a:srgbClr val="5B9BD5"/>
            </a:solidFill>
            <a:ln w="25405">
              <a:noFill/>
            </a:ln>
          </c:spPr>
          <c:dPt>
            <c:idx val="1"/>
            <c:spPr>
              <a:solidFill>
                <a:srgbClr val="00B050"/>
              </a:solidFill>
              <a:ln w="25405">
                <a:noFill/>
              </a:ln>
            </c:spPr>
          </c:dPt>
          <c:dLbls>
            <c:spPr>
              <a:noFill/>
              <a:ln w="25405">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0"/>
              </c:ext>
            </c:extLst>
          </c:dLbls>
          <c:cat>
            <c:strRef>
              <c:f>Hoja1!$A$2:$A$3</c:f>
              <c:strCache>
                <c:ptCount val="2"/>
                <c:pt idx="0">
                  <c:v>Masculinos </c:v>
                </c:pt>
                <c:pt idx="1">
                  <c:v>Femeninas</c:v>
                </c:pt>
              </c:strCache>
            </c:strRef>
          </c:cat>
          <c:val>
            <c:numRef>
              <c:f>Hoja1!$B$2:$B$3</c:f>
              <c:numCache>
                <c:formatCode>General</c:formatCode>
                <c:ptCount val="2"/>
                <c:pt idx="0">
                  <c:v>5</c:v>
                </c:pt>
                <c:pt idx="1">
                  <c:v>96</c:v>
                </c:pt>
              </c:numCache>
            </c:numRef>
          </c:val>
        </c:ser>
        <c:gapWidth val="219"/>
        <c:overlap val="-27"/>
        <c:axId val="104800640"/>
        <c:axId val="104802176"/>
      </c:barChart>
      <c:catAx>
        <c:axId val="104800640"/>
        <c:scaling>
          <c:orientation val="minMax"/>
        </c:scaling>
        <c:axPos val="b"/>
        <c:numFmt formatCode="General" sourceLinked="1"/>
        <c:majorTickMark val="none"/>
        <c:tickLblPos val="nextTo"/>
        <c:spPr>
          <a:noFill/>
          <a:ln w="9527"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02176"/>
        <c:crosses val="autoZero"/>
        <c:auto val="1"/>
        <c:lblAlgn val="ctr"/>
        <c:lblOffset val="100"/>
      </c:catAx>
      <c:valAx>
        <c:axId val="104802176"/>
        <c:scaling>
          <c:orientation val="minMax"/>
        </c:scaling>
        <c:axPos val="l"/>
        <c:majorGridlines>
          <c:spPr>
            <a:ln w="9527" cap="flat" cmpd="sng" algn="ctr">
              <a:solidFill>
                <a:schemeClr val="tx1">
                  <a:lumMod val="15000"/>
                  <a:lumOff val="85000"/>
                </a:schemeClr>
              </a:solidFill>
              <a:round/>
            </a:ln>
            <a:effectLst/>
          </c:spPr>
        </c:majorGridlines>
        <c:numFmt formatCode="General" sourceLinked="1"/>
        <c:majorTickMark val="none"/>
        <c:tickLblPos val="nextTo"/>
        <c:spPr>
          <a:ln w="6351">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00640"/>
        <c:crosses val="autoZero"/>
        <c:crossBetween val="between"/>
      </c:valAx>
      <c:spPr>
        <a:noFill/>
        <a:ln w="25405">
          <a:noFill/>
        </a:ln>
      </c:spPr>
    </c:plotArea>
    <c:legend>
      <c:legendPos val="b"/>
      <c:spPr>
        <a:noFill/>
        <a:ln w="25405">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view3D>
      <c:depthPercent val="100"/>
      <c:rAngAx val="1"/>
    </c:view3D>
    <c:floor>
      <c:spPr>
        <a:noFill/>
        <a:ln w="6350">
          <a:noFill/>
        </a:ln>
      </c:spPr>
    </c:floor>
    <c:sideWall>
      <c:spPr>
        <a:noFill/>
        <a:ln w="25400">
          <a:noFill/>
        </a:ln>
      </c:spPr>
    </c:sideWall>
    <c:backWall>
      <c:spPr>
        <a:noFill/>
        <a:ln w="25400">
          <a:noFill/>
        </a:ln>
      </c:spPr>
    </c:backWall>
    <c:plotArea>
      <c:layout/>
      <c:bar3DChart>
        <c:barDir val="col"/>
        <c:grouping val="clustered"/>
        <c:ser>
          <c:idx val="0"/>
          <c:order val="0"/>
          <c:tx>
            <c:strRef>
              <c:f>Hoja1!$B$1</c:f>
              <c:strCache>
                <c:ptCount val="1"/>
                <c:pt idx="0">
                  <c:v>Sentencias Trata de Personas</c:v>
                </c:pt>
              </c:strCache>
            </c:strRef>
          </c:tx>
          <c:spPr>
            <a:solidFill>
              <a:srgbClr val="5B9BD5"/>
            </a:solidFill>
            <a:ln w="25330">
              <a:noFill/>
            </a:ln>
          </c:spPr>
          <c:dLbls>
            <c:dLbl>
              <c:idx val="0"/>
              <c:layout>
                <c:manualLayout>
                  <c:x val="1.8814675446848606E-2"/>
                  <c:y val="-6.853456964321708E-2"/>
                </c:manualLayout>
              </c:layout>
              <c:showVal val="1"/>
              <c:extLst>
                <c:ext xmlns:c15="http://schemas.microsoft.com/office/drawing/2012/chart" uri="{CE6537A1-D6FC-4f65-9D91-7224C49458BB}"/>
              </c:extLst>
            </c:dLbl>
            <c:spPr>
              <a:noFill/>
              <a:ln w="25330">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0"/>
              </c:ext>
            </c:extLst>
          </c:dLbls>
          <c:cat>
            <c:numRef>
              <c:f>Hoja1!$A$2</c:f>
              <c:numCache>
                <c:formatCode>General</c:formatCode>
                <c:ptCount val="1"/>
              </c:numCache>
            </c:numRef>
          </c:cat>
          <c:val>
            <c:numRef>
              <c:f>Hoja1!$B$2</c:f>
              <c:numCache>
                <c:formatCode>General</c:formatCode>
                <c:ptCount val="1"/>
                <c:pt idx="0">
                  <c:v>8</c:v>
                </c:pt>
              </c:numCache>
            </c:numRef>
          </c:val>
          <c:shape val="cylinder"/>
        </c:ser>
        <c:ser>
          <c:idx val="1"/>
          <c:order val="1"/>
          <c:tx>
            <c:strRef>
              <c:f>Hoja1!$C$1</c:f>
              <c:strCache>
                <c:ptCount val="1"/>
                <c:pt idx="0">
                  <c:v>Sentencias Explotacion Sexual</c:v>
                </c:pt>
              </c:strCache>
            </c:strRef>
          </c:tx>
          <c:spPr>
            <a:solidFill>
              <a:srgbClr val="00B050"/>
            </a:solidFill>
            <a:ln w="25330">
              <a:noFill/>
            </a:ln>
          </c:spPr>
          <c:dLbls>
            <c:dLbl>
              <c:idx val="0"/>
              <c:layout>
                <c:manualLayout>
                  <c:x val="3.7629350893697081E-2"/>
                  <c:y val="-7.2566014916347982E-2"/>
                </c:manualLayout>
              </c:layout>
              <c:showVal val="1"/>
              <c:extLst>
                <c:ext xmlns:c15="http://schemas.microsoft.com/office/drawing/2012/chart" uri="{CE6537A1-D6FC-4f65-9D91-7224C49458BB}"/>
              </c:extLst>
            </c:dLbl>
            <c:spPr>
              <a:noFill/>
              <a:ln w="25330">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0"/>
              </c:ext>
            </c:extLst>
          </c:dLbls>
          <c:cat>
            <c:numRef>
              <c:f>Hoja1!$A$2</c:f>
              <c:numCache>
                <c:formatCode>General</c:formatCode>
                <c:ptCount val="1"/>
              </c:numCache>
            </c:numRef>
          </c:cat>
          <c:val>
            <c:numRef>
              <c:f>Hoja1!$C$2</c:f>
              <c:numCache>
                <c:formatCode>General</c:formatCode>
                <c:ptCount val="1"/>
                <c:pt idx="0">
                  <c:v>7</c:v>
                </c:pt>
              </c:numCache>
            </c:numRef>
          </c:val>
          <c:shape val="cylinder"/>
        </c:ser>
        <c:shape val="box"/>
        <c:axId val="108703104"/>
        <c:axId val="108708992"/>
        <c:axId val="0"/>
      </c:bar3DChart>
      <c:catAx>
        <c:axId val="108703104"/>
        <c:scaling>
          <c:orientation val="minMax"/>
        </c:scaling>
        <c:axPos val="b"/>
        <c:numFmt formatCode="General" sourceLinked="1"/>
        <c:majorTickMark val="none"/>
        <c:tickLblPos val="nextTo"/>
        <c:spPr>
          <a:ln w="6332">
            <a:noFill/>
          </a:ln>
        </c:spPr>
        <c:txPr>
          <a:bodyPr rot="-6000000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en-US"/>
          </a:p>
        </c:txPr>
        <c:crossAx val="108708992"/>
        <c:crosses val="autoZero"/>
        <c:auto val="1"/>
        <c:lblAlgn val="ctr"/>
        <c:lblOffset val="100"/>
      </c:catAx>
      <c:valAx>
        <c:axId val="108708992"/>
        <c:scaling>
          <c:orientation val="minMax"/>
        </c:scaling>
        <c:axPos val="l"/>
        <c:majorGridlines>
          <c:spPr>
            <a:ln w="9499" cap="flat" cmpd="sng" algn="ctr">
              <a:solidFill>
                <a:schemeClr val="tx1">
                  <a:lumMod val="15000"/>
                  <a:lumOff val="85000"/>
                </a:schemeClr>
              </a:solidFill>
              <a:round/>
            </a:ln>
            <a:effectLst/>
          </c:spPr>
        </c:majorGridlines>
        <c:numFmt formatCode="General" sourceLinked="1"/>
        <c:majorTickMark val="none"/>
        <c:tickLblPos val="nextTo"/>
        <c:spPr>
          <a:ln w="6332">
            <a:noFill/>
          </a:ln>
        </c:spPr>
        <c:txPr>
          <a:bodyPr rot="-6000000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en-US"/>
          </a:p>
        </c:txPr>
        <c:crossAx val="108703104"/>
        <c:crosses val="autoZero"/>
        <c:crossBetween val="between"/>
      </c:valAx>
      <c:spPr>
        <a:noFill/>
        <a:ln w="25330">
          <a:noFill/>
        </a:ln>
      </c:spPr>
    </c:plotArea>
    <c:legend>
      <c:legendPos val="b"/>
      <c:spPr>
        <a:noFill/>
        <a:ln w="25330">
          <a:noFill/>
        </a:ln>
      </c:spPr>
      <c:txPr>
        <a:bodyPr rot="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499" cap="flat" cmpd="sng" algn="ctr">
      <a:solidFill>
        <a:schemeClr val="tx1">
          <a:lumMod val="15000"/>
          <a:lumOff val="85000"/>
        </a:schemeClr>
      </a:solidFill>
      <a:round/>
    </a:ln>
    <a:effectLst/>
  </c:spPr>
  <c:txPr>
    <a:bodyPr/>
    <a:lstStyle/>
    <a:p>
      <a:pPr>
        <a:defRPr/>
      </a:pPr>
      <a:endParaRPr lang="en-US"/>
    </a:p>
  </c:txPr>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solidFill>
                  <a:srgbClr val="0070C0"/>
                </a:solidFill>
              </a:rPr>
              <a:t>Victimas, Clasificacion Según  su Edad</a:t>
            </a:r>
          </a:p>
        </c:rich>
      </c:tx>
      <c:spPr>
        <a:noFill/>
        <a:ln w="25406">
          <a:noFill/>
        </a:ln>
      </c:spPr>
    </c:title>
    <c:view3D>
      <c:rotX val="30"/>
      <c:perspective val="30"/>
    </c:view3D>
    <c:plotArea>
      <c:layout/>
      <c:pie3DChart>
        <c:varyColors val="1"/>
        <c:ser>
          <c:idx val="0"/>
          <c:order val="0"/>
          <c:tx>
            <c:strRef>
              <c:f>Hoja1!$B$1</c:f>
              <c:strCache>
                <c:ptCount val="1"/>
                <c:pt idx="0">
                  <c:v>Victimas, Clasificacion Segun  su Edad</c:v>
                </c:pt>
              </c:strCache>
            </c:strRef>
          </c:tx>
          <c:dPt>
            <c:idx val="0"/>
            <c:explosion val="18"/>
            <c:spPr>
              <a:solidFill>
                <a:srgbClr val="00B050"/>
              </a:solidFill>
              <a:ln w="25406">
                <a:solidFill>
                  <a:schemeClr val="lt1"/>
                </a:solidFill>
              </a:ln>
              <a:effectLst/>
              <a:sp3d contourW="25400">
                <a:contourClr>
                  <a:schemeClr val="lt1"/>
                </a:contourClr>
              </a:sp3d>
            </c:spPr>
          </c:dPt>
          <c:dPt>
            <c:idx val="1"/>
            <c:spPr>
              <a:solidFill>
                <a:srgbClr val="FF0000"/>
              </a:solidFill>
              <a:ln w="25406">
                <a:solidFill>
                  <a:schemeClr val="lt1"/>
                </a:solidFill>
              </a:ln>
              <a:effectLst/>
              <a:sp3d contourW="25400">
                <a:contourClr>
                  <a:schemeClr val="lt1"/>
                </a:contourClr>
              </a:sp3d>
            </c:spPr>
          </c:dPt>
          <c:dLbls>
            <c:dLbl>
              <c:idx val="0"/>
              <c:layout>
                <c:manualLayout>
                  <c:x val="6.247416685802365E-2"/>
                  <c:y val="-2.1052080241632767E-2"/>
                </c:manualLayout>
              </c:layout>
              <c:dLblPos val="bestFit"/>
              <c:showVal val="1"/>
              <c:showPercent val="1"/>
              <c:extLst>
                <c:ext xmlns:c15="http://schemas.microsoft.com/office/drawing/2012/chart" uri="{CE6537A1-D6FC-4f65-9D91-7224C49458BB}"/>
              </c:extLst>
            </c:dLbl>
            <c:dLbl>
              <c:idx val="1"/>
              <c:layout>
                <c:manualLayout>
                  <c:x val="-0.12600702957755869"/>
                  <c:y val="-0.10041409609124398"/>
                </c:manualLayout>
              </c:layout>
              <c:dLblPos val="bestFit"/>
              <c:showVal val="1"/>
              <c:showPercent val="1"/>
              <c:extLst>
                <c:ext xmlns:c15="http://schemas.microsoft.com/office/drawing/2012/chart" uri="{CE6537A1-D6FC-4f65-9D91-7224C49458BB}"/>
              </c:extLst>
            </c:dLbl>
            <c:spPr>
              <a:noFill/>
              <a:ln w="25406">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showPercent val="1"/>
            <c:showLeaderLines val="1"/>
            <c:leaderLines>
              <c:spPr>
                <a:ln w="9527"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Hoja1!$A$2:$A$3</c:f>
              <c:strCache>
                <c:ptCount val="2"/>
                <c:pt idx="0">
                  <c:v>Adultas ( Desde 18 años)</c:v>
                </c:pt>
                <c:pt idx="1">
                  <c:v>Menores (Hasta 17 años)</c:v>
                </c:pt>
              </c:strCache>
            </c:strRef>
          </c:cat>
          <c:val>
            <c:numRef>
              <c:f>Hoja1!$B$2:$B$3</c:f>
              <c:numCache>
                <c:formatCode>General</c:formatCode>
                <c:ptCount val="2"/>
                <c:pt idx="0">
                  <c:v>19</c:v>
                </c:pt>
                <c:pt idx="1">
                  <c:v>82</c:v>
                </c:pt>
              </c:numCache>
            </c:numRef>
          </c:val>
        </c:ser>
      </c:pie3DChart>
      <c:spPr>
        <a:noFill/>
        <a:ln w="25406">
          <a:noFill/>
        </a:ln>
      </c:spPr>
    </c:plotArea>
    <c:legend>
      <c:legendPos val="b"/>
      <c:spPr>
        <a:noFill/>
        <a:ln w="25406">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s-ES">
                <a:solidFill>
                  <a:srgbClr val="0070C0"/>
                </a:solidFill>
              </a:rPr>
              <a:t>Victimas Rescatada Según Tipo Penal</a:t>
            </a:r>
          </a:p>
        </c:rich>
      </c:tx>
      <c:layout>
        <c:manualLayout>
          <c:xMode val="edge"/>
          <c:yMode val="edge"/>
          <c:x val="0.27518971827742394"/>
          <c:y val="0"/>
        </c:manualLayout>
      </c:layout>
      <c:spPr>
        <a:noFill/>
        <a:ln w="25404">
          <a:noFill/>
        </a:ln>
      </c:spPr>
    </c:title>
    <c:plotArea>
      <c:layout/>
      <c:barChart>
        <c:barDir val="col"/>
        <c:grouping val="clustered"/>
        <c:ser>
          <c:idx val="0"/>
          <c:order val="0"/>
          <c:tx>
            <c:strRef>
              <c:f>Hoja1!$B$1</c:f>
              <c:strCache>
                <c:ptCount val="1"/>
                <c:pt idx="0">
                  <c:v>Serie 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7" cap="flat" cmpd="sng" algn="ctr">
              <a:solidFill>
                <a:schemeClr val="accent1">
                  <a:shade val="95000"/>
                </a:schemeClr>
              </a:solidFill>
              <a:round/>
            </a:ln>
            <a:effectLst/>
          </c:spPr>
          <c:dPt>
            <c:idx val="0"/>
            <c:spPr>
              <a:solidFill>
                <a:srgbClr val="FF0000"/>
              </a:solidFill>
              <a:ln w="9527" cap="flat" cmpd="sng" algn="ctr">
                <a:solidFill>
                  <a:schemeClr val="accent1">
                    <a:shade val="95000"/>
                  </a:schemeClr>
                </a:solidFill>
                <a:round/>
              </a:ln>
              <a:effectLst/>
            </c:spPr>
          </c:dPt>
          <c:dPt>
            <c:idx val="1"/>
            <c:spPr>
              <a:solidFill>
                <a:srgbClr val="00B050"/>
              </a:solidFill>
              <a:ln w="9527" cap="flat" cmpd="sng" algn="ctr">
                <a:solidFill>
                  <a:schemeClr val="accent1">
                    <a:shade val="95000"/>
                  </a:schemeClr>
                </a:solidFill>
                <a:round/>
              </a:ln>
              <a:effectLst/>
            </c:spPr>
          </c:dPt>
          <c:dPt>
            <c:idx val="2"/>
            <c:spPr>
              <a:solidFill>
                <a:srgbClr val="0070C0"/>
              </a:solidFill>
              <a:ln w="9527" cap="flat" cmpd="sng" algn="ctr">
                <a:solidFill>
                  <a:schemeClr val="accent1">
                    <a:shade val="95000"/>
                  </a:schemeClr>
                </a:solidFill>
                <a:round/>
              </a:ln>
              <a:effectLst/>
            </c:spPr>
          </c:dPt>
          <c:dPt>
            <c:idx val="3"/>
            <c:spPr>
              <a:solidFill>
                <a:srgbClr val="002060"/>
              </a:solidFill>
              <a:ln w="9527" cap="flat" cmpd="sng" algn="ctr">
                <a:solidFill>
                  <a:schemeClr val="accent1">
                    <a:shade val="95000"/>
                  </a:schemeClr>
                </a:solidFill>
                <a:round/>
              </a:ln>
              <a:effectLst/>
            </c:spPr>
          </c:dPt>
          <c:dPt>
            <c:idx val="4"/>
            <c:spPr>
              <a:solidFill>
                <a:srgbClr val="7030A0"/>
              </a:solidFill>
              <a:ln w="9527" cap="flat" cmpd="sng" algn="ctr">
                <a:solidFill>
                  <a:srgbClr val="7030A0"/>
                </a:solidFill>
                <a:round/>
              </a:ln>
              <a:effectLst/>
            </c:spPr>
          </c:dPt>
          <c:dLbls>
            <c:spPr>
              <a:noFill/>
              <a:ln w="25404">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0"/>
              </c:ext>
            </c:extLst>
          </c:dLbls>
          <c:cat>
            <c:strRef>
              <c:f>Hoja1!$A$2:$A$6</c:f>
              <c:strCache>
                <c:ptCount val="5"/>
                <c:pt idx="0">
                  <c:v>Explotacion Sexual</c:v>
                </c:pt>
                <c:pt idx="1">
                  <c:v>Trata de Personas</c:v>
                </c:pt>
                <c:pt idx="2">
                  <c:v>Pornografia Infantil</c:v>
                </c:pt>
                <c:pt idx="3">
                  <c:v>Proxenetismo</c:v>
                </c:pt>
                <c:pt idx="4">
                  <c:v>Comercializacion de Niños</c:v>
                </c:pt>
              </c:strCache>
            </c:strRef>
          </c:cat>
          <c:val>
            <c:numRef>
              <c:f>Hoja1!$B$2:$B$6</c:f>
              <c:numCache>
                <c:formatCode>General</c:formatCode>
                <c:ptCount val="5"/>
                <c:pt idx="0">
                  <c:v>70</c:v>
                </c:pt>
                <c:pt idx="1">
                  <c:v>17</c:v>
                </c:pt>
                <c:pt idx="2">
                  <c:v>5</c:v>
                </c:pt>
                <c:pt idx="3">
                  <c:v>25</c:v>
                </c:pt>
                <c:pt idx="4">
                  <c:v>1</c:v>
                </c:pt>
              </c:numCache>
            </c:numRef>
          </c:val>
        </c:ser>
        <c:gapWidth val="100"/>
        <c:overlap val="-24"/>
        <c:axId val="109168512"/>
        <c:axId val="109170048"/>
      </c:barChart>
      <c:catAx>
        <c:axId val="109168512"/>
        <c:scaling>
          <c:orientation val="minMax"/>
        </c:scaling>
        <c:axPos val="b"/>
        <c:numFmt formatCode="General" sourceLinked="1"/>
        <c:majorTickMark val="none"/>
        <c:tickLblPos val="nextTo"/>
        <c:spPr>
          <a:noFill/>
          <a:ln w="9527"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09170048"/>
        <c:crosses val="autoZero"/>
        <c:auto val="1"/>
        <c:lblAlgn val="ctr"/>
        <c:lblOffset val="100"/>
      </c:catAx>
      <c:valAx>
        <c:axId val="109170048"/>
        <c:scaling>
          <c:orientation val="minMax"/>
        </c:scaling>
        <c:axPos val="l"/>
        <c:majorGridlines>
          <c:spPr>
            <a:ln w="9527" cap="flat" cmpd="sng" algn="ctr">
              <a:solidFill>
                <a:schemeClr val="tx1">
                  <a:lumMod val="15000"/>
                  <a:lumOff val="85000"/>
                </a:schemeClr>
              </a:solidFill>
              <a:round/>
            </a:ln>
            <a:effectLst/>
          </c:spPr>
        </c:majorGridlines>
        <c:numFmt formatCode="General" sourceLinked="1"/>
        <c:majorTickMark val="none"/>
        <c:tickLblPos val="nextTo"/>
        <c:spPr>
          <a:ln w="9527">
            <a:noFill/>
          </a:ln>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09168512"/>
        <c:crosses val="autoZero"/>
        <c:crossBetween val="between"/>
      </c:valAx>
      <c:spPr>
        <a:noFill/>
        <a:ln w="25404">
          <a:noFill/>
        </a:ln>
      </c:spPr>
    </c:plotArea>
    <c:legend>
      <c:legendPos val="b"/>
      <c:spPr>
        <a:noFill/>
        <a:ln w="25404">
          <a:noFill/>
        </a:ln>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47C2F4-4FFB-4AF7-A18B-68C91649C910}"/>
</file>

<file path=customXml/itemProps2.xml><?xml version="1.0" encoding="utf-8"?>
<ds:datastoreItem xmlns:ds="http://schemas.openxmlformats.org/officeDocument/2006/customXml" ds:itemID="{766982CA-2FE9-42A5-B76B-4CCB56BACEB0}"/>
</file>

<file path=customXml/itemProps3.xml><?xml version="1.0" encoding="utf-8"?>
<ds:datastoreItem xmlns:ds="http://schemas.openxmlformats.org/officeDocument/2006/customXml" ds:itemID="{A3648C31-48F9-473C-940E-31A140E7BAB6}"/>
</file>

<file path=customXml/itemProps4.xml><?xml version="1.0" encoding="utf-8"?>
<ds:datastoreItem xmlns:ds="http://schemas.openxmlformats.org/officeDocument/2006/customXml" ds:itemID="{C88D873B-41DE-49B9-AA1D-11A4094B9740}"/>
</file>

<file path=docProps/app.xml><?xml version="1.0" encoding="utf-8"?>
<Properties xmlns="http://schemas.openxmlformats.org/officeDocument/2006/extended-properties" xmlns:vt="http://schemas.openxmlformats.org/officeDocument/2006/docPropsVTypes">
  <Template>Normal</Template>
  <TotalTime>0</TotalTime>
  <Pages>39</Pages>
  <Words>16671</Words>
  <Characters>95031</Characters>
  <Application>Microsoft Office Word</Application>
  <DocSecurity>0</DocSecurity>
  <Lines>791</Lines>
  <Paragraphs>222</Paragraphs>
  <ScaleCrop>false</ScaleCrop>
  <HeadingPairs>
    <vt:vector size="2" baseType="variant">
      <vt:variant>
        <vt:lpstr>Title</vt:lpstr>
      </vt:variant>
      <vt:variant>
        <vt:i4>1</vt:i4>
      </vt:variant>
    </vt:vector>
  </HeadingPairs>
  <TitlesOfParts>
    <vt:vector size="1" baseType="lpstr">
      <vt:lpstr>COMITÉ DE DERECHOS HUMANOS</vt:lpstr>
    </vt:vector>
  </TitlesOfParts>
  <Company/>
  <LinksUpToDate>false</LinksUpToDate>
  <CharactersWithSpaces>111480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DE DERECHOS HUMANOS</dc:title>
  <dc:subject>RESPUESTAS MOTIVOS DE PREOCUPACIONES Y OBSERVACIONES  CCPR/C/DOM/Q/5</dc:subject>
  <dc:creator>speralta</dc:creator>
  <cp:lastModifiedBy>jgraciano</cp:lastModifiedBy>
  <cp:revision>2</cp:revision>
  <cp:lastPrinted>2016-06-02T16:51:00Z</cp:lastPrinted>
  <dcterms:created xsi:type="dcterms:W3CDTF">2016-06-20T13:30:00Z</dcterms:created>
  <dcterms:modified xsi:type="dcterms:W3CDTF">2016-06-20T13:30:00Z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