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F0E73" w14:textId="77777777" w:rsidR="00967084" w:rsidRPr="00B81EDA" w:rsidRDefault="00967084" w:rsidP="00967084">
      <w:pPr>
        <w:ind w:left="-360" w:firstLine="360"/>
        <w:jc w:val="center"/>
        <w:rPr>
          <w:b/>
          <w:bCs/>
          <w:color w:val="000000" w:themeColor="text1"/>
        </w:rPr>
      </w:pPr>
      <w:r w:rsidRPr="00B81EDA">
        <w:rPr>
          <w:b/>
          <w:bCs/>
          <w:color w:val="000000" w:themeColor="text1"/>
        </w:rPr>
        <w:t>NGO Joint Parallel Report on the Government of Syria’s</w:t>
      </w:r>
    </w:p>
    <w:p w14:paraId="0EFA2480" w14:textId="77777777" w:rsidR="00967084" w:rsidRPr="00B81EDA" w:rsidRDefault="00967084" w:rsidP="00967084">
      <w:pPr>
        <w:ind w:left="-360" w:firstLine="360"/>
        <w:jc w:val="center"/>
        <w:rPr>
          <w:b/>
          <w:bCs/>
          <w:color w:val="000000" w:themeColor="text1"/>
        </w:rPr>
      </w:pPr>
      <w:r w:rsidRPr="00B81EDA">
        <w:rPr>
          <w:b/>
          <w:bCs/>
          <w:color w:val="000000" w:themeColor="text1"/>
        </w:rPr>
        <w:t>Combined Third and Fourth Reports on the Implementation of the</w:t>
      </w:r>
    </w:p>
    <w:p w14:paraId="2D570A5C" w14:textId="77777777" w:rsidR="00967084" w:rsidRPr="00B81EDA" w:rsidRDefault="00967084" w:rsidP="00967084">
      <w:pPr>
        <w:ind w:left="-360" w:firstLine="360"/>
        <w:jc w:val="center"/>
        <w:rPr>
          <w:b/>
          <w:bCs/>
          <w:color w:val="000000" w:themeColor="text1"/>
        </w:rPr>
      </w:pPr>
      <w:r w:rsidRPr="00B81EDA">
        <w:rPr>
          <w:b/>
          <w:bCs/>
          <w:color w:val="000000" w:themeColor="text1"/>
        </w:rPr>
        <w:t>Co</w:t>
      </w:r>
      <w:r>
        <w:rPr>
          <w:b/>
          <w:bCs/>
          <w:color w:val="000000" w:themeColor="text1"/>
        </w:rPr>
        <w:t>nvention</w:t>
      </w:r>
      <w:r w:rsidRPr="00B81EDA">
        <w:rPr>
          <w:b/>
          <w:bCs/>
          <w:color w:val="000000" w:themeColor="text1"/>
        </w:rPr>
        <w:t xml:space="preserve"> on the Elimination of All Forms of Discrimination against Women</w:t>
      </w:r>
    </w:p>
    <w:p w14:paraId="7F352650" w14:textId="77777777" w:rsidR="00967084" w:rsidRPr="00B81EDA" w:rsidRDefault="00967084" w:rsidP="00967084">
      <w:pPr>
        <w:ind w:left="-360" w:firstLine="360"/>
        <w:jc w:val="center"/>
        <w:rPr>
          <w:color w:val="000000" w:themeColor="text1"/>
        </w:rPr>
      </w:pPr>
      <w:r w:rsidRPr="00B81EDA">
        <w:rPr>
          <w:color w:val="000000" w:themeColor="text1"/>
        </w:rPr>
        <w:t>-----------------------</w:t>
      </w:r>
    </w:p>
    <w:p w14:paraId="350BC26D" w14:textId="77777777" w:rsidR="00967084" w:rsidRPr="00B81EDA" w:rsidRDefault="00967084" w:rsidP="00967084">
      <w:pPr>
        <w:tabs>
          <w:tab w:val="left" w:pos="5040"/>
        </w:tabs>
        <w:ind w:left="-360" w:firstLine="360"/>
        <w:jc w:val="center"/>
        <w:rPr>
          <w:i/>
          <w:iCs/>
          <w:color w:val="000000" w:themeColor="text1"/>
        </w:rPr>
      </w:pPr>
      <w:r w:rsidRPr="00B81EDA">
        <w:rPr>
          <w:i/>
          <w:iCs/>
          <w:color w:val="000000" w:themeColor="text1"/>
        </w:rPr>
        <w:t>Submitted to the</w:t>
      </w:r>
    </w:p>
    <w:p w14:paraId="1F2E90B6" w14:textId="77777777" w:rsidR="00967084" w:rsidRPr="00B81EDA" w:rsidRDefault="00967084" w:rsidP="00967084">
      <w:pPr>
        <w:ind w:left="-360" w:firstLine="360"/>
        <w:jc w:val="center"/>
        <w:rPr>
          <w:i/>
          <w:iCs/>
          <w:color w:val="000000" w:themeColor="text1"/>
        </w:rPr>
      </w:pPr>
      <w:r w:rsidRPr="00B81EDA">
        <w:rPr>
          <w:i/>
          <w:iCs/>
          <w:color w:val="000000" w:themeColor="text1"/>
        </w:rPr>
        <w:t>UN Committee on the Elimination of Discrimination against Women</w:t>
      </w:r>
    </w:p>
    <w:p w14:paraId="58726A09" w14:textId="77777777" w:rsidR="00967084" w:rsidRPr="00B81EDA" w:rsidRDefault="00967084" w:rsidP="00967084">
      <w:pPr>
        <w:ind w:left="-360" w:firstLine="360"/>
        <w:jc w:val="center"/>
        <w:rPr>
          <w:i/>
          <w:iCs/>
          <w:color w:val="000000" w:themeColor="text1"/>
        </w:rPr>
      </w:pPr>
      <w:r w:rsidRPr="00B81EDA">
        <w:rPr>
          <w:i/>
          <w:iCs/>
          <w:color w:val="000000" w:themeColor="text1"/>
        </w:rPr>
        <w:t>for consideration in the formulation of the</w:t>
      </w:r>
    </w:p>
    <w:p w14:paraId="385AC5E5" w14:textId="77777777" w:rsidR="00967084" w:rsidRPr="00B81EDA" w:rsidRDefault="00967084" w:rsidP="00967084">
      <w:pPr>
        <w:ind w:left="-360" w:firstLine="360"/>
        <w:jc w:val="center"/>
        <w:rPr>
          <w:i/>
          <w:iCs/>
          <w:color w:val="000000" w:themeColor="text1"/>
        </w:rPr>
      </w:pPr>
      <w:r w:rsidRPr="00B81EDA">
        <w:rPr>
          <w:i/>
          <w:iCs/>
          <w:color w:val="000000" w:themeColor="text1"/>
        </w:rPr>
        <w:t>List of Issues during the 93</w:t>
      </w:r>
      <w:r w:rsidRPr="00B81EDA">
        <w:rPr>
          <w:i/>
          <w:iCs/>
          <w:color w:val="000000" w:themeColor="text1"/>
          <w:vertAlign w:val="superscript"/>
        </w:rPr>
        <w:t>rd</w:t>
      </w:r>
      <w:r w:rsidRPr="00B81EDA">
        <w:rPr>
          <w:i/>
          <w:iCs/>
          <w:color w:val="000000" w:themeColor="text1"/>
        </w:rPr>
        <w:t xml:space="preserve"> Pre-Sessional Working Group (7-11 July 2025)</w:t>
      </w:r>
    </w:p>
    <w:p w14:paraId="38A82827" w14:textId="3C808324" w:rsidR="00B91414" w:rsidRPr="00003CF5" w:rsidRDefault="1531EE56" w:rsidP="00C9095C">
      <w:pPr>
        <w:ind w:left="-360" w:right="-360"/>
        <w:jc w:val="center"/>
      </w:pPr>
      <w:r w:rsidRPr="1531EE56">
        <w:t>by:</w:t>
      </w:r>
    </w:p>
    <w:p w14:paraId="2619337D" w14:textId="77777777" w:rsidR="00B91414" w:rsidRPr="00003CF5" w:rsidRDefault="00B91414" w:rsidP="00C9095C">
      <w:pPr>
        <w:ind w:left="-360" w:right="-360"/>
        <w:jc w:val="center"/>
      </w:pPr>
    </w:p>
    <w:p w14:paraId="2FD91BA7" w14:textId="77777777" w:rsidR="00B91414" w:rsidRPr="00003CF5" w:rsidRDefault="00B91414" w:rsidP="00C63799">
      <w:pPr>
        <w:ind w:right="-360" w:firstLine="0"/>
        <w:rPr>
          <w:i/>
          <w:iCs/>
        </w:rPr>
        <w:sectPr w:rsidR="00B91414" w:rsidRPr="00003CF5" w:rsidSect="004F7330">
          <w:footerReference w:type="default" r:id="rId8"/>
          <w:pgSz w:w="12240" w:h="15840"/>
          <w:pgMar w:top="720" w:right="720" w:bottom="720" w:left="720" w:header="720" w:footer="720" w:gutter="0"/>
          <w:cols w:space="720"/>
          <w:docGrid w:linePitch="360"/>
        </w:sectPr>
      </w:pPr>
    </w:p>
    <w:p w14:paraId="12B3AC00" w14:textId="79566100" w:rsidR="00B91414" w:rsidRPr="00003CF5" w:rsidRDefault="00967084" w:rsidP="1531EE56">
      <w:pPr>
        <w:ind w:left="-360" w:right="-360"/>
        <w:jc w:val="center"/>
        <w:rPr>
          <w:i/>
          <w:iCs/>
        </w:rPr>
      </w:pPr>
      <w:r>
        <w:rPr>
          <w:i/>
          <w:iCs/>
        </w:rPr>
        <w:t>Syrian Network for Human Rights</w:t>
      </w:r>
    </w:p>
    <w:p w14:paraId="11DA473B" w14:textId="77777777" w:rsidR="00B91414" w:rsidRDefault="00B91414" w:rsidP="1531EE56">
      <w:pPr>
        <w:ind w:left="-360" w:right="-360"/>
        <w:jc w:val="center"/>
        <w:rPr>
          <w:i/>
          <w:iCs/>
        </w:rPr>
      </w:pPr>
    </w:p>
    <w:p w14:paraId="122B2526" w14:textId="77777777" w:rsidR="006C6A71" w:rsidRPr="00003CF5" w:rsidRDefault="006C6A71" w:rsidP="1531EE56">
      <w:pPr>
        <w:ind w:left="-360" w:right="-360"/>
        <w:jc w:val="center"/>
        <w:rPr>
          <w:i/>
          <w:iCs/>
        </w:rPr>
      </w:pPr>
    </w:p>
    <w:p w14:paraId="50819E0C" w14:textId="66016BF6" w:rsidR="00454134" w:rsidRPr="00B93207" w:rsidRDefault="00B93207" w:rsidP="00454134">
      <w:pPr>
        <w:ind w:left="-360" w:right="-360"/>
        <w:jc w:val="center"/>
      </w:pPr>
      <w:r w:rsidRPr="00B93207">
        <w:t xml:space="preserve">8620 </w:t>
      </w:r>
      <w:proofErr w:type="spellStart"/>
      <w:r w:rsidRPr="00B93207">
        <w:t>Frontgate</w:t>
      </w:r>
      <w:proofErr w:type="spellEnd"/>
      <w:r w:rsidRPr="00B93207">
        <w:t xml:space="preserve"> Ln.</w:t>
      </w:r>
      <w:r w:rsidR="00454134" w:rsidRPr="00B93207">
        <w:t xml:space="preserve">, </w:t>
      </w:r>
    </w:p>
    <w:p w14:paraId="1394C96A" w14:textId="09637D23" w:rsidR="00B91414" w:rsidRDefault="00B93207" w:rsidP="00454134">
      <w:pPr>
        <w:ind w:left="-360" w:right="-360"/>
        <w:jc w:val="center"/>
      </w:pPr>
      <w:r>
        <w:t>46256, Indianapolis, IN, USA</w:t>
      </w:r>
    </w:p>
    <w:p w14:paraId="372CB0B9" w14:textId="77777777" w:rsidR="00454134" w:rsidRPr="00466421" w:rsidRDefault="00454134" w:rsidP="00454134">
      <w:pPr>
        <w:ind w:left="-360" w:right="-360"/>
        <w:jc w:val="center"/>
      </w:pPr>
    </w:p>
    <w:p w14:paraId="67C632AD" w14:textId="6C330AD8" w:rsidR="00967084" w:rsidRDefault="1531EE56" w:rsidP="00967084">
      <w:pPr>
        <w:ind w:left="-360" w:right="-360"/>
        <w:jc w:val="center"/>
      </w:pPr>
      <w:r w:rsidRPr="1531EE56">
        <w:t xml:space="preserve">Contact: </w:t>
      </w:r>
      <w:r w:rsidR="00967084">
        <w:t>M</w:t>
      </w:r>
      <w:r w:rsidR="006C6A71">
        <w:t xml:space="preserve">r. </w:t>
      </w:r>
      <w:r w:rsidR="00967084">
        <w:t>Fadel Abdul Ghany</w:t>
      </w:r>
    </w:p>
    <w:p w14:paraId="508EA08E" w14:textId="105D5658" w:rsidR="008F73AE" w:rsidRPr="00967084" w:rsidRDefault="00967084" w:rsidP="00967084">
      <w:pPr>
        <w:ind w:left="-360" w:right="-360"/>
        <w:jc w:val="center"/>
        <w:rPr>
          <w:u w:val="single"/>
        </w:rPr>
      </w:pPr>
      <w:r w:rsidRPr="00967084">
        <w:rPr>
          <w:u w:val="single"/>
        </w:rPr>
        <w:t>fadel@snhr.org</w:t>
      </w:r>
    </w:p>
    <w:p w14:paraId="47E70C01" w14:textId="77777777" w:rsidR="00CE3027" w:rsidRPr="00003CF5" w:rsidRDefault="1531EE56" w:rsidP="1531EE56">
      <w:pPr>
        <w:ind w:left="-360" w:right="-360"/>
        <w:jc w:val="center"/>
        <w:rPr>
          <w:i/>
          <w:iCs/>
        </w:rPr>
      </w:pPr>
      <w:r w:rsidRPr="1531EE56">
        <w:rPr>
          <w:i/>
          <w:iCs/>
        </w:rPr>
        <w:t>International Human Rights Center</w:t>
      </w:r>
    </w:p>
    <w:p w14:paraId="4390A3E1" w14:textId="07F97C23" w:rsidR="00B91414" w:rsidRPr="00003CF5" w:rsidRDefault="1531EE56" w:rsidP="1531EE56">
      <w:pPr>
        <w:ind w:left="-360" w:right="-360"/>
        <w:jc w:val="center"/>
        <w:rPr>
          <w:i/>
          <w:iCs/>
        </w:rPr>
      </w:pPr>
      <w:r w:rsidRPr="1531EE56">
        <w:rPr>
          <w:i/>
          <w:iCs/>
        </w:rPr>
        <w:t>Loyola Law School, Los Angeles</w:t>
      </w:r>
    </w:p>
    <w:p w14:paraId="1EEBBD57" w14:textId="77777777" w:rsidR="00B91414" w:rsidRPr="00003CF5" w:rsidRDefault="00B91414" w:rsidP="00C9095C">
      <w:pPr>
        <w:ind w:left="-360" w:right="-360"/>
      </w:pPr>
    </w:p>
    <w:p w14:paraId="57061FD7" w14:textId="77777777" w:rsidR="00CE3027" w:rsidRPr="00003CF5" w:rsidRDefault="1531EE56" w:rsidP="00CE3027">
      <w:pPr>
        <w:ind w:left="-360" w:right="-360"/>
        <w:jc w:val="center"/>
      </w:pPr>
      <w:r w:rsidRPr="1531EE56">
        <w:t>919 Albany Street</w:t>
      </w:r>
    </w:p>
    <w:p w14:paraId="21005A1E" w14:textId="77777777" w:rsidR="00CE3027" w:rsidRPr="00466421" w:rsidRDefault="1531EE56" w:rsidP="00CE3027">
      <w:pPr>
        <w:ind w:left="-360" w:right="-360"/>
        <w:jc w:val="center"/>
      </w:pPr>
      <w:r w:rsidRPr="1531EE56">
        <w:t>90015, Los Angeles, CA, USA</w:t>
      </w:r>
    </w:p>
    <w:p w14:paraId="16C86A2E" w14:textId="77777777" w:rsidR="00B91414" w:rsidRPr="00003CF5" w:rsidRDefault="00B91414" w:rsidP="00C9095C">
      <w:pPr>
        <w:ind w:left="-360" w:right="-360"/>
        <w:jc w:val="center"/>
      </w:pPr>
    </w:p>
    <w:p w14:paraId="50AF3452" w14:textId="77777777" w:rsidR="00CE3027" w:rsidRPr="00466421" w:rsidRDefault="1531EE56" w:rsidP="00CE3027">
      <w:pPr>
        <w:ind w:left="-360" w:right="-360"/>
        <w:jc w:val="center"/>
      </w:pPr>
      <w:r w:rsidRPr="1531EE56">
        <w:t>Contact: Prof. Cesare Romano</w:t>
      </w:r>
    </w:p>
    <w:p w14:paraId="4A902767" w14:textId="5C9BE058" w:rsidR="00B91414" w:rsidRPr="00003CF5" w:rsidRDefault="1531EE56" w:rsidP="00CE3027">
      <w:pPr>
        <w:ind w:left="-360" w:right="-360"/>
        <w:jc w:val="center"/>
      </w:pPr>
      <w:hyperlink r:id="rId9">
        <w:r w:rsidRPr="1531EE56">
          <w:rPr>
            <w:rStyle w:val="Hyperlink"/>
            <w:color w:val="auto"/>
          </w:rPr>
          <w:t>cesare.romano@lls.edu</w:t>
        </w:r>
      </w:hyperlink>
      <w:r w:rsidR="006C6A71">
        <w:rPr>
          <w:rStyle w:val="Hyperlink"/>
          <w:color w:val="auto"/>
        </w:rPr>
        <w:t xml:space="preserve"> </w:t>
      </w:r>
    </w:p>
    <w:p w14:paraId="174464F9" w14:textId="77777777" w:rsidR="00B91414" w:rsidRPr="00003CF5" w:rsidRDefault="00B91414" w:rsidP="00C9095C">
      <w:pPr>
        <w:ind w:left="-360" w:right="-360"/>
        <w:jc w:val="center"/>
        <w:sectPr w:rsidR="00B91414" w:rsidRPr="00003CF5" w:rsidSect="004F7330">
          <w:type w:val="continuous"/>
          <w:pgSz w:w="12240" w:h="15840"/>
          <w:pgMar w:top="1440" w:right="1440" w:bottom="1440" w:left="1440" w:header="720" w:footer="720" w:gutter="0"/>
          <w:cols w:num="2" w:space="720"/>
          <w:docGrid w:linePitch="360"/>
        </w:sectPr>
      </w:pPr>
    </w:p>
    <w:p w14:paraId="0B4F810D" w14:textId="77777777" w:rsidR="005E1A74" w:rsidRPr="00003CF5" w:rsidRDefault="005E1A74" w:rsidP="005E1A74">
      <w:pPr>
        <w:ind w:right="-360" w:firstLine="0"/>
      </w:pPr>
    </w:p>
    <w:p w14:paraId="74FD5D66" w14:textId="3A9F6DA1" w:rsidR="00981D1D" w:rsidRDefault="00981D1D" w:rsidP="00ED6A50">
      <w:pPr>
        <w:ind w:left="-360" w:right="-360"/>
        <w:jc w:val="center"/>
      </w:pPr>
    </w:p>
    <w:p w14:paraId="79F358F4" w14:textId="77777777" w:rsidR="00967084" w:rsidRDefault="00967084" w:rsidP="00ED6A50">
      <w:pPr>
        <w:ind w:left="-360" w:right="-360"/>
        <w:jc w:val="center"/>
      </w:pPr>
    </w:p>
    <w:p w14:paraId="69542418" w14:textId="77777777" w:rsidR="00967084" w:rsidRDefault="00967084" w:rsidP="00ED6A50">
      <w:pPr>
        <w:ind w:left="-360" w:right="-360"/>
        <w:jc w:val="center"/>
      </w:pPr>
    </w:p>
    <w:p w14:paraId="109D3740" w14:textId="77777777" w:rsidR="00967084" w:rsidRDefault="00967084" w:rsidP="00ED6A50">
      <w:pPr>
        <w:ind w:left="-360" w:right="-360"/>
        <w:jc w:val="center"/>
      </w:pPr>
    </w:p>
    <w:p w14:paraId="699BC778" w14:textId="77777777" w:rsidR="00967084" w:rsidRDefault="00967084" w:rsidP="00ED6A50">
      <w:pPr>
        <w:ind w:left="-360" w:right="-360"/>
        <w:jc w:val="center"/>
      </w:pPr>
    </w:p>
    <w:p w14:paraId="737EA213" w14:textId="77777777" w:rsidR="00967084" w:rsidRDefault="00967084" w:rsidP="00ED6A50">
      <w:pPr>
        <w:ind w:left="-360" w:right="-360"/>
        <w:jc w:val="center"/>
      </w:pPr>
    </w:p>
    <w:p w14:paraId="5152841C" w14:textId="77777777" w:rsidR="00967084" w:rsidRDefault="00967084" w:rsidP="00ED6A50">
      <w:pPr>
        <w:ind w:left="-360" w:right="-360"/>
        <w:jc w:val="center"/>
      </w:pPr>
    </w:p>
    <w:p w14:paraId="3B74CB8B" w14:textId="77777777" w:rsidR="00967084" w:rsidRDefault="00967084" w:rsidP="00ED6A50">
      <w:pPr>
        <w:ind w:left="-360" w:right="-360"/>
        <w:jc w:val="center"/>
      </w:pPr>
    </w:p>
    <w:p w14:paraId="53F8AB33" w14:textId="77777777" w:rsidR="00967084" w:rsidRPr="00ED6A50" w:rsidRDefault="00967084" w:rsidP="00ED6A50">
      <w:pPr>
        <w:ind w:left="-360" w:right="-360"/>
        <w:jc w:val="center"/>
        <w:rPr>
          <w:szCs w:val="22"/>
          <w:highlight w:val="yellow"/>
        </w:rPr>
      </w:pPr>
    </w:p>
    <w:p w14:paraId="6F6906B9" w14:textId="77777777" w:rsidR="00981D1D" w:rsidRPr="00ED6A50" w:rsidRDefault="00981D1D" w:rsidP="00C9095C">
      <w:pPr>
        <w:ind w:left="-360" w:right="-360"/>
        <w:jc w:val="center"/>
        <w:rPr>
          <w:szCs w:val="22"/>
          <w:highlight w:val="yellow"/>
        </w:rPr>
      </w:pPr>
    </w:p>
    <w:p w14:paraId="7F72ADC9" w14:textId="77777777" w:rsidR="00981D1D" w:rsidRPr="00ED6A50" w:rsidRDefault="00981D1D" w:rsidP="00C9095C">
      <w:pPr>
        <w:ind w:left="-360" w:right="-360"/>
        <w:jc w:val="center"/>
        <w:rPr>
          <w:szCs w:val="22"/>
          <w:highlight w:val="yellow"/>
        </w:rPr>
      </w:pPr>
    </w:p>
    <w:p w14:paraId="2C142BF0" w14:textId="77777777" w:rsidR="00981D1D" w:rsidRPr="00ED6A50" w:rsidRDefault="00981D1D" w:rsidP="00C9095C">
      <w:pPr>
        <w:ind w:left="-360" w:right="-360"/>
        <w:jc w:val="center"/>
        <w:rPr>
          <w:szCs w:val="22"/>
          <w:highlight w:val="yellow"/>
        </w:rPr>
      </w:pPr>
    </w:p>
    <w:p w14:paraId="4E399BAA" w14:textId="77777777" w:rsidR="00981D1D" w:rsidRPr="00ED6A50" w:rsidRDefault="00981D1D" w:rsidP="00C9095C">
      <w:pPr>
        <w:ind w:left="-360" w:right="-360"/>
        <w:jc w:val="center"/>
        <w:rPr>
          <w:szCs w:val="22"/>
          <w:highlight w:val="yellow"/>
        </w:rPr>
      </w:pPr>
    </w:p>
    <w:p w14:paraId="40F74EA6" w14:textId="77777777" w:rsidR="00981D1D" w:rsidRPr="00ED6A50" w:rsidRDefault="00981D1D" w:rsidP="00C9095C">
      <w:pPr>
        <w:ind w:left="-360" w:right="-360"/>
        <w:jc w:val="center"/>
        <w:rPr>
          <w:szCs w:val="22"/>
          <w:highlight w:val="yellow"/>
        </w:rPr>
      </w:pPr>
    </w:p>
    <w:p w14:paraId="6591BF3B" w14:textId="77777777" w:rsidR="00967084" w:rsidRDefault="00967084" w:rsidP="00967084">
      <w:pPr>
        <w:pStyle w:val="TOC1"/>
        <w:tabs>
          <w:tab w:val="right" w:leader="dot" w:pos="9360"/>
        </w:tabs>
        <w:spacing w:before="240" w:after="0" w:line="240" w:lineRule="auto"/>
        <w:ind w:firstLine="0"/>
        <w:rPr>
          <w:color w:val="000000" w:themeColor="text1"/>
        </w:rPr>
      </w:pPr>
    </w:p>
    <w:p w14:paraId="0C611F1B" w14:textId="77777777" w:rsidR="00967084" w:rsidRDefault="00967084" w:rsidP="00967084"/>
    <w:p w14:paraId="64C404A6" w14:textId="77777777" w:rsidR="00BB11EE" w:rsidRPr="00967084" w:rsidRDefault="00BB11EE" w:rsidP="00967084"/>
    <w:p w14:paraId="236214E0" w14:textId="77777777" w:rsidR="00967084" w:rsidRPr="009B4027" w:rsidRDefault="00967084" w:rsidP="00967084">
      <w:pPr>
        <w:ind w:firstLine="0"/>
      </w:pPr>
    </w:p>
    <w:p w14:paraId="04C79212" w14:textId="77777777" w:rsidR="00967084" w:rsidRPr="00707C7F" w:rsidRDefault="00967084" w:rsidP="00967084">
      <w:pPr>
        <w:pStyle w:val="Heading1"/>
      </w:pPr>
      <w:bookmarkStart w:id="0" w:name="_Toc154935338"/>
      <w:r w:rsidRPr="00707C7F">
        <w:lastRenderedPageBreak/>
        <w:t>PURPOSE OF THIS PARALLEL REPORT</w:t>
      </w:r>
      <w:bookmarkEnd w:id="0"/>
    </w:p>
    <w:p w14:paraId="773B74F5" w14:textId="77777777" w:rsidR="00967084" w:rsidRPr="00B81EDA" w:rsidRDefault="00967084" w:rsidP="00967084">
      <w:pPr>
        <w:pStyle w:val="NormalWeb"/>
        <w:widowControl w:val="0"/>
        <w:tabs>
          <w:tab w:val="right" w:leader="dot" w:pos="9270"/>
          <w:tab w:val="right" w:leader="dot" w:pos="9360"/>
        </w:tabs>
        <w:spacing w:beforeAutospacing="0" w:afterAutospacing="0"/>
        <w:rPr>
          <w:color w:val="000000" w:themeColor="text1"/>
        </w:rPr>
      </w:pPr>
      <w:r w:rsidRPr="00B81EDA">
        <w:rPr>
          <w:color w:val="000000" w:themeColor="text1"/>
          <w:szCs w:val="22"/>
        </w:rPr>
        <w:t>(</w:t>
      </w:r>
      <w:r w:rsidRPr="00B81EDA">
        <w:rPr>
          <w:color w:val="000000" w:themeColor="text1"/>
        </w:rPr>
        <w:t>1</w:t>
      </w:r>
      <w:r w:rsidRPr="00B81EDA">
        <w:rPr>
          <w:color w:val="000000" w:themeColor="text1"/>
          <w:szCs w:val="22"/>
        </w:rPr>
        <w:t xml:space="preserve">) </w:t>
      </w:r>
      <w:r w:rsidRPr="00B81EDA">
        <w:rPr>
          <w:color w:val="000000" w:themeColor="text1"/>
        </w:rPr>
        <w:t>The purpose of this parallel report is to assist the Committee on the Elimination of Discrimination against Women (the Committee</w:t>
      </w:r>
      <w:r w:rsidRPr="00B81EDA">
        <w:rPr>
          <w:color w:val="000000" w:themeColor="text1"/>
          <w:szCs w:val="22"/>
        </w:rPr>
        <w:t xml:space="preserve">) </w:t>
      </w:r>
      <w:r w:rsidRPr="00B81EDA">
        <w:rPr>
          <w:color w:val="000000" w:themeColor="text1"/>
        </w:rPr>
        <w:t>in the formulation of the List of Issues during the 93</w:t>
      </w:r>
      <w:r w:rsidRPr="00B81EDA">
        <w:rPr>
          <w:color w:val="000000" w:themeColor="text1"/>
          <w:vertAlign w:val="superscript"/>
        </w:rPr>
        <w:t>rd</w:t>
      </w:r>
      <w:r w:rsidRPr="00B81EDA">
        <w:rPr>
          <w:color w:val="000000" w:themeColor="text1"/>
        </w:rPr>
        <w:t xml:space="preserve"> Pre-Sessional Working Group (7-11 July 2025</w:t>
      </w:r>
      <w:r w:rsidRPr="00B81EDA">
        <w:rPr>
          <w:color w:val="000000" w:themeColor="text1"/>
          <w:szCs w:val="22"/>
        </w:rPr>
        <w:t>)</w:t>
      </w:r>
      <w:r w:rsidRPr="00B81EDA">
        <w:rPr>
          <w:color w:val="000000" w:themeColor="text1"/>
        </w:rPr>
        <w:t>, leading to the discussion of the Government of the Syrian Arab Republic’s (“Syria”)</w:t>
      </w:r>
      <w:r w:rsidRPr="00B81EDA">
        <w:rPr>
          <w:color w:val="000000" w:themeColor="text1"/>
          <w:szCs w:val="22"/>
        </w:rPr>
        <w:t xml:space="preserve"> </w:t>
      </w:r>
      <w:r w:rsidRPr="00B81EDA">
        <w:rPr>
          <w:color w:val="000000" w:themeColor="text1"/>
        </w:rPr>
        <w:t>Third and Fourth Periodic Reports on the implementation of the Conve</w:t>
      </w:r>
      <w:r>
        <w:rPr>
          <w:color w:val="000000" w:themeColor="text1"/>
        </w:rPr>
        <w:t>ntion</w:t>
      </w:r>
      <w:r w:rsidRPr="00B81EDA">
        <w:rPr>
          <w:color w:val="000000" w:themeColor="text1"/>
        </w:rPr>
        <w:t xml:space="preserve"> on the Elimination of All Forms of Discrimination against Women (“CEDAW” or “Co</w:t>
      </w:r>
      <w:r>
        <w:rPr>
          <w:color w:val="000000" w:themeColor="text1"/>
        </w:rPr>
        <w:t>nvention</w:t>
      </w:r>
      <w:r w:rsidRPr="00B81EDA">
        <w:rPr>
          <w:color w:val="000000" w:themeColor="text1"/>
        </w:rPr>
        <w:t>”</w:t>
      </w:r>
      <w:r w:rsidRPr="00B81EDA">
        <w:rPr>
          <w:color w:val="000000" w:themeColor="text1"/>
          <w:szCs w:val="22"/>
        </w:rPr>
        <w:t>).</w:t>
      </w:r>
      <w:r w:rsidRPr="00B81EDA">
        <w:rPr>
          <w:rStyle w:val="FootnoteReference"/>
          <w:color w:val="000000" w:themeColor="text1"/>
        </w:rPr>
        <w:footnoteReference w:id="1"/>
      </w:r>
      <w:r w:rsidRPr="00B81EDA">
        <w:rPr>
          <w:color w:val="000000" w:themeColor="text1"/>
          <w:szCs w:val="22"/>
        </w:rPr>
        <w:t xml:space="preserve"> </w:t>
      </w:r>
    </w:p>
    <w:p w14:paraId="3F02D297" w14:textId="77777777" w:rsidR="00967084" w:rsidRPr="00B81EDA" w:rsidRDefault="00967084" w:rsidP="00967084">
      <w:pPr>
        <w:pStyle w:val="NormalWeb"/>
        <w:widowControl w:val="0"/>
        <w:tabs>
          <w:tab w:val="right" w:leader="dot" w:pos="9270"/>
          <w:tab w:val="right" w:leader="dot" w:pos="9360"/>
        </w:tabs>
        <w:spacing w:beforeAutospacing="0" w:afterAutospacing="0"/>
        <w:rPr>
          <w:color w:val="000000" w:themeColor="text1"/>
        </w:rPr>
      </w:pPr>
      <w:r w:rsidRPr="00B81EDA">
        <w:rPr>
          <w:color w:val="000000" w:themeColor="text1"/>
          <w:szCs w:val="22"/>
        </w:rPr>
        <w:t>(</w:t>
      </w:r>
      <w:r w:rsidRPr="00B81EDA">
        <w:rPr>
          <w:color w:val="000000" w:themeColor="text1"/>
        </w:rPr>
        <w:t>2</w:t>
      </w:r>
      <w:r w:rsidRPr="00B81EDA">
        <w:rPr>
          <w:color w:val="000000" w:themeColor="text1"/>
          <w:szCs w:val="22"/>
        </w:rPr>
        <w:t xml:space="preserve">) </w:t>
      </w:r>
      <w:r w:rsidRPr="00B81EDA">
        <w:rPr>
          <w:color w:val="000000" w:themeColor="text1"/>
        </w:rPr>
        <w:t xml:space="preserve">The report focuses on Syria’s discriminatory Nationality Law, in particular Chapter Two, Article Three, subsection A. Under the law, anyone born outside the country who is unable to provide documentation linking their </w:t>
      </w:r>
      <w:r>
        <w:rPr>
          <w:color w:val="000000" w:themeColor="text1"/>
        </w:rPr>
        <w:t xml:space="preserve">parentage </w:t>
      </w:r>
      <w:r w:rsidRPr="00B81EDA">
        <w:rPr>
          <w:color w:val="000000" w:themeColor="text1"/>
        </w:rPr>
        <w:t>to a Syrian father cannot obtain Syrian citizenship</w:t>
      </w:r>
      <w:r>
        <w:rPr>
          <w:color w:val="000000" w:themeColor="text1"/>
        </w:rPr>
        <w:t xml:space="preserve">, </w:t>
      </w:r>
      <w:r w:rsidRPr="00B81EDA">
        <w:rPr>
          <w:color w:val="000000" w:themeColor="text1"/>
        </w:rPr>
        <w:t>regardless of the mother’s Syrian citizenship status. This issue comes directly under the purview of the C</w:t>
      </w:r>
      <w:r>
        <w:rPr>
          <w:color w:val="000000" w:themeColor="text1"/>
        </w:rPr>
        <w:t>onvention</w:t>
      </w:r>
      <w:r w:rsidRPr="00B81EDA">
        <w:rPr>
          <w:color w:val="000000" w:themeColor="text1"/>
        </w:rPr>
        <w:t xml:space="preserve"> (</w:t>
      </w:r>
      <w:r>
        <w:rPr>
          <w:color w:val="000000" w:themeColor="text1"/>
        </w:rPr>
        <w:t>A</w:t>
      </w:r>
      <w:r w:rsidRPr="00B81EDA">
        <w:rPr>
          <w:color w:val="000000" w:themeColor="text1"/>
        </w:rPr>
        <w:t>rticle 9(2)). Syria ratified the Co</w:t>
      </w:r>
      <w:r>
        <w:rPr>
          <w:color w:val="000000" w:themeColor="text1"/>
        </w:rPr>
        <w:t>nvention</w:t>
      </w:r>
      <w:r w:rsidRPr="00B81EDA">
        <w:rPr>
          <w:color w:val="000000" w:themeColor="text1"/>
        </w:rPr>
        <w:t xml:space="preserve"> on 28 March 2003.</w:t>
      </w:r>
      <w:r w:rsidRPr="00B81EDA">
        <w:rPr>
          <w:rStyle w:val="FootnoteReference"/>
          <w:color w:val="000000" w:themeColor="text1"/>
        </w:rPr>
        <w:footnoteReference w:id="2"/>
      </w:r>
    </w:p>
    <w:p w14:paraId="6A55C0CC" w14:textId="77777777" w:rsidR="00967084" w:rsidRPr="00707C7F" w:rsidRDefault="00967084" w:rsidP="00967084">
      <w:pPr>
        <w:pStyle w:val="Heading1"/>
      </w:pPr>
      <w:bookmarkStart w:id="1" w:name="_Toc154935339"/>
      <w:r w:rsidRPr="00707C7F">
        <w:t>ABOUT THE AUTHORS OF THIS REPORT AND SOURCES</w:t>
      </w:r>
      <w:bookmarkEnd w:id="1"/>
    </w:p>
    <w:p w14:paraId="76D2390F" w14:textId="77777777" w:rsidR="00967084" w:rsidRPr="00B81EDA" w:rsidRDefault="00967084" w:rsidP="00967084">
      <w:pPr>
        <w:pStyle w:val="NormalWeb"/>
        <w:widowControl w:val="0"/>
        <w:tabs>
          <w:tab w:val="right" w:leader="dot" w:pos="9270"/>
          <w:tab w:val="right" w:leader="dot" w:pos="9360"/>
        </w:tabs>
        <w:spacing w:beforeAutospacing="0" w:afterAutospacing="0"/>
        <w:rPr>
          <w:color w:val="000000" w:themeColor="text1"/>
        </w:rPr>
      </w:pPr>
      <w:r w:rsidRPr="00B81EDA">
        <w:rPr>
          <w:color w:val="000000" w:themeColor="text1"/>
        </w:rPr>
        <w:t>(3) This report has been prepared by Ninveh Mansour (JD Candidate 2026) and Chandra Ingram (JD Candidate 2025) of the International Human Rights Center of Loyola Law School, Los Angeles, working under the supervision of Professor Cesare Romano.</w:t>
      </w:r>
    </w:p>
    <w:p w14:paraId="79E3E450" w14:textId="77777777" w:rsidR="00967084" w:rsidRPr="00B81EDA" w:rsidRDefault="00967084" w:rsidP="00967084">
      <w:pPr>
        <w:pStyle w:val="NormalWeb"/>
        <w:widowControl w:val="0"/>
        <w:tabs>
          <w:tab w:val="right" w:leader="dot" w:pos="9270"/>
          <w:tab w:val="right" w:leader="dot" w:pos="9360"/>
        </w:tabs>
        <w:spacing w:beforeAutospacing="0" w:afterAutospacing="0"/>
        <w:rPr>
          <w:rStyle w:val="apple-tab-span"/>
          <w:color w:val="000000" w:themeColor="text1"/>
        </w:rPr>
      </w:pPr>
      <w:r w:rsidRPr="00B81EDA">
        <w:rPr>
          <w:rStyle w:val="apple-tab-span"/>
          <w:color w:val="000000" w:themeColor="text1"/>
        </w:rPr>
        <w:t>(4) 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 Loyola Law School, Los Angeles is the school of law of Loyola Marymount University, a Jesuit university.</w:t>
      </w:r>
      <w:r w:rsidRPr="00B81EDA">
        <w:rPr>
          <w:rStyle w:val="FootnoteReference"/>
          <w:color w:val="000000" w:themeColor="text1"/>
        </w:rPr>
        <w:footnoteReference w:id="3"/>
      </w:r>
      <w:r w:rsidRPr="00B81EDA">
        <w:rPr>
          <w:rStyle w:val="apple-tab-span"/>
          <w:color w:val="000000" w:themeColor="text1"/>
        </w:rPr>
        <w:t xml:space="preserve"> </w:t>
      </w:r>
    </w:p>
    <w:p w14:paraId="36BAD89C" w14:textId="77777777" w:rsidR="00967084" w:rsidRPr="00707C7F" w:rsidRDefault="00967084" w:rsidP="00967084">
      <w:pPr>
        <w:pStyle w:val="Heading1"/>
      </w:pPr>
      <w:bookmarkStart w:id="2" w:name="_Toc154935340"/>
      <w:r w:rsidRPr="00707C7F">
        <w:t>BACKGROUND</w:t>
      </w:r>
      <w:bookmarkEnd w:id="2"/>
    </w:p>
    <w:p w14:paraId="3914A2C7" w14:textId="77777777" w:rsidR="00967084" w:rsidRPr="00B81EDA" w:rsidRDefault="00967084" w:rsidP="00967084">
      <w:pPr>
        <w:pStyle w:val="NormalWeb"/>
        <w:widowControl w:val="0"/>
        <w:spacing w:beforeAutospacing="0" w:afterAutospacing="0"/>
        <w:rPr>
          <w:rFonts w:eastAsia="Garamond" w:cs="Garamond"/>
          <w:color w:val="000000" w:themeColor="text1"/>
          <w:szCs w:val="22"/>
        </w:rPr>
      </w:pPr>
      <w:r w:rsidRPr="00B81EDA">
        <w:rPr>
          <w:color w:val="000000" w:themeColor="text1"/>
        </w:rPr>
        <w:t xml:space="preserve">(5) </w:t>
      </w:r>
      <w:r w:rsidRPr="00B81EDA">
        <w:rPr>
          <w:rFonts w:eastAsia="Garamond" w:cs="Garamond"/>
          <w:color w:val="000000" w:themeColor="text1"/>
          <w:szCs w:val="22"/>
        </w:rPr>
        <w:t>Statelessness is a</w:t>
      </w:r>
      <w:r>
        <w:rPr>
          <w:rFonts w:eastAsia="Garamond" w:cs="Garamond"/>
          <w:color w:val="000000" w:themeColor="text1"/>
          <w:szCs w:val="22"/>
        </w:rPr>
        <w:t xml:space="preserve"> perduring</w:t>
      </w:r>
      <w:r w:rsidRPr="00B81EDA">
        <w:rPr>
          <w:rFonts w:eastAsia="Garamond" w:cs="Garamond"/>
          <w:color w:val="000000" w:themeColor="text1"/>
          <w:szCs w:val="22"/>
        </w:rPr>
        <w:t xml:space="preserve"> issue in the Syrian Arab Republic. Some, like the Kurds, were stripped of their citizenships by decree</w:t>
      </w:r>
      <w:r w:rsidRPr="00B81EDA">
        <w:rPr>
          <w:rStyle w:val="FootnoteReference"/>
          <w:rFonts w:eastAsia="Garamond" w:cs="Garamond"/>
          <w:color w:val="000000" w:themeColor="text1"/>
          <w:szCs w:val="22"/>
        </w:rPr>
        <w:footnoteReference w:id="4"/>
      </w:r>
      <w:r>
        <w:rPr>
          <w:rFonts w:eastAsia="Garamond" w:cs="Garamond"/>
          <w:color w:val="000000" w:themeColor="text1"/>
          <w:szCs w:val="22"/>
        </w:rPr>
        <w:t>;</w:t>
      </w:r>
      <w:r w:rsidRPr="00B81EDA">
        <w:rPr>
          <w:rFonts w:eastAsia="Garamond" w:cs="Garamond"/>
          <w:color w:val="000000" w:themeColor="text1"/>
          <w:szCs w:val="22"/>
        </w:rPr>
        <w:t xml:space="preserve"> others </w:t>
      </w:r>
      <w:r>
        <w:rPr>
          <w:rFonts w:eastAsia="Garamond" w:cs="Garamond"/>
          <w:color w:val="000000" w:themeColor="text1"/>
          <w:szCs w:val="22"/>
        </w:rPr>
        <w:t>are</w:t>
      </w:r>
      <w:r w:rsidRPr="00B81EDA">
        <w:rPr>
          <w:rFonts w:eastAsia="Garamond" w:cs="Garamond"/>
          <w:color w:val="000000" w:themeColor="text1"/>
          <w:szCs w:val="22"/>
        </w:rPr>
        <w:t xml:space="preserve"> statelessness </w:t>
      </w:r>
      <w:r>
        <w:rPr>
          <w:rFonts w:eastAsia="Garamond" w:cs="Garamond"/>
          <w:color w:val="000000" w:themeColor="text1"/>
          <w:szCs w:val="22"/>
        </w:rPr>
        <w:t>because of</w:t>
      </w:r>
      <w:r w:rsidRPr="00B81EDA">
        <w:rPr>
          <w:rFonts w:eastAsia="Garamond" w:cs="Garamond"/>
          <w:color w:val="000000" w:themeColor="text1"/>
          <w:szCs w:val="22"/>
        </w:rPr>
        <w:t xml:space="preserve"> gender-discriminatory nationality law, and the </w:t>
      </w:r>
      <w:r>
        <w:rPr>
          <w:rFonts w:eastAsia="Garamond" w:cs="Garamond"/>
          <w:color w:val="000000" w:themeColor="text1"/>
          <w:szCs w:val="22"/>
        </w:rPr>
        <w:t>challenge to</w:t>
      </w:r>
      <w:r w:rsidRPr="00B81EDA">
        <w:rPr>
          <w:rFonts w:eastAsia="Garamond" w:cs="Garamond"/>
          <w:color w:val="000000" w:themeColor="text1"/>
          <w:szCs w:val="22"/>
        </w:rPr>
        <w:t xml:space="preserve"> fulfil registration requirements in the context of conflict and displacement.</w:t>
      </w:r>
      <w:r w:rsidRPr="00B81EDA">
        <w:rPr>
          <w:rStyle w:val="FootnoteReference"/>
          <w:rFonts w:eastAsia="Garamond" w:cs="Garamond"/>
          <w:color w:val="000000" w:themeColor="text1"/>
          <w:szCs w:val="22"/>
        </w:rPr>
        <w:footnoteReference w:id="5"/>
      </w:r>
      <w:r w:rsidRPr="00B81EDA">
        <w:rPr>
          <w:rFonts w:eastAsia="Garamond" w:cs="Garamond"/>
          <w:color w:val="000000" w:themeColor="text1"/>
          <w:szCs w:val="22"/>
        </w:rPr>
        <w:t xml:space="preserve">  A central concern of this report is the discriminatory nature of Syria’s nationality law, which does not grant mothers the same </w:t>
      </w:r>
      <w:r w:rsidRPr="00B81EDA">
        <w:rPr>
          <w:rFonts w:eastAsia="Garamond" w:cs="Garamond"/>
          <w:color w:val="000000" w:themeColor="text1"/>
          <w:szCs w:val="22"/>
        </w:rPr>
        <w:lastRenderedPageBreak/>
        <w:t>legal right as fathers to pass their citizenship to their children.</w:t>
      </w:r>
    </w:p>
    <w:p w14:paraId="67B5786B" w14:textId="77777777" w:rsidR="00967084" w:rsidRPr="00B81EDA" w:rsidRDefault="00967084" w:rsidP="00967084">
      <w:pPr>
        <w:pStyle w:val="NormalWeb"/>
        <w:widowControl w:val="0"/>
        <w:spacing w:beforeAutospacing="0" w:afterAutospacing="0"/>
        <w:rPr>
          <w:rFonts w:eastAsia="Garamond" w:cs="Garamond"/>
          <w:color w:val="000000" w:themeColor="text1"/>
          <w:szCs w:val="22"/>
        </w:rPr>
      </w:pPr>
      <w:r w:rsidRPr="00B81EDA">
        <w:rPr>
          <w:rFonts w:eastAsia="Garamond" w:cs="Garamond"/>
          <w:color w:val="000000" w:themeColor="text1"/>
          <w:szCs w:val="22"/>
        </w:rPr>
        <w:t xml:space="preserve">(6) Syria’s nationality </w:t>
      </w:r>
      <w:r>
        <w:rPr>
          <w:rFonts w:eastAsia="Garamond" w:cs="Garamond"/>
          <w:color w:val="000000" w:themeColor="text1"/>
          <w:szCs w:val="22"/>
        </w:rPr>
        <w:t xml:space="preserve">legal </w:t>
      </w:r>
      <w:r w:rsidRPr="00B81EDA">
        <w:rPr>
          <w:rFonts w:eastAsia="Garamond" w:cs="Garamond"/>
          <w:color w:val="000000" w:themeColor="text1"/>
          <w:szCs w:val="22"/>
        </w:rPr>
        <w:t>framework is primarily governed by Legislative Decree No. 276 of 1969. Under this law, nationality is passed almost exclusively through the father.</w:t>
      </w:r>
      <w:r w:rsidRPr="00B81EDA">
        <w:rPr>
          <w:rStyle w:val="FootnoteReference"/>
          <w:rFonts w:eastAsia="Garamond" w:cs="Garamond"/>
          <w:color w:val="000000" w:themeColor="text1"/>
          <w:szCs w:val="22"/>
        </w:rPr>
        <w:footnoteReference w:id="6"/>
      </w:r>
      <w:r w:rsidRPr="00B81EDA">
        <w:rPr>
          <w:rFonts w:eastAsia="Garamond" w:cs="Garamond"/>
          <w:color w:val="000000" w:themeColor="text1"/>
          <w:szCs w:val="22"/>
        </w:rPr>
        <w:t xml:space="preserve"> Article 3 (A), states that anyone is considered as “Syrian Arab </w:t>
      </w:r>
      <w:r w:rsidRPr="00B81EDA">
        <w:rPr>
          <w:rFonts w:eastAsia="Garamond" w:cs="Garamond"/>
          <w:i/>
          <w:iCs/>
          <w:color w:val="000000" w:themeColor="text1"/>
          <w:szCs w:val="22"/>
        </w:rPr>
        <w:t xml:space="preserve">ipso facto” </w:t>
      </w:r>
      <w:r w:rsidRPr="00B81EDA">
        <w:rPr>
          <w:rFonts w:eastAsia="Garamond" w:cs="Garamond"/>
          <w:color w:val="000000" w:themeColor="text1"/>
          <w:szCs w:val="22"/>
        </w:rPr>
        <w:t>if they are born, inside or outside the country, to a Syrian Arab father.</w:t>
      </w:r>
      <w:r w:rsidRPr="00B81EDA">
        <w:rPr>
          <w:rStyle w:val="FootnoteReference"/>
          <w:rFonts w:eastAsia="Garamond" w:cs="Garamond"/>
          <w:color w:val="000000" w:themeColor="text1"/>
          <w:szCs w:val="22"/>
        </w:rPr>
        <w:footnoteReference w:id="7"/>
      </w:r>
      <w:r w:rsidRPr="00B81EDA">
        <w:rPr>
          <w:rFonts w:eastAsia="Garamond" w:cs="Garamond"/>
          <w:color w:val="000000" w:themeColor="text1"/>
          <w:szCs w:val="22"/>
        </w:rPr>
        <w:t xml:space="preserve"> However, there is no corresponding right for children to acquire nationality from a Syrian mother unless the child is born inside Syria and the paternity has not been legally established</w:t>
      </w:r>
      <w:r>
        <w:rPr>
          <w:rFonts w:eastAsia="Garamond" w:cs="Garamond"/>
          <w:color w:val="000000" w:themeColor="text1"/>
          <w:szCs w:val="22"/>
        </w:rPr>
        <w:t xml:space="preserve">, though this presents alternate difficulties. Further, this applies only </w:t>
      </w:r>
      <w:r w:rsidRPr="00B81EDA">
        <w:rPr>
          <w:rFonts w:eastAsia="Garamond" w:cs="Garamond"/>
          <w:color w:val="000000" w:themeColor="text1"/>
          <w:szCs w:val="22"/>
        </w:rPr>
        <w:t>if the mother is in a situation where she can properly register the child’s birth, something that is difficult to do in the context of displacement.</w:t>
      </w:r>
      <w:r w:rsidRPr="00B81EDA">
        <w:rPr>
          <w:rStyle w:val="FootnoteReference"/>
          <w:rFonts w:eastAsia="Garamond" w:cs="Garamond"/>
          <w:color w:val="000000" w:themeColor="text1"/>
          <w:szCs w:val="22"/>
        </w:rPr>
        <w:footnoteReference w:id="8"/>
      </w:r>
      <w:r w:rsidRPr="00B81EDA">
        <w:rPr>
          <w:rFonts w:eastAsia="Garamond" w:cs="Garamond"/>
          <w:color w:val="000000" w:themeColor="text1"/>
          <w:szCs w:val="22"/>
        </w:rPr>
        <w:t xml:space="preserve"> There are some safeguards in the law as it regards foundlings</w:t>
      </w:r>
      <w:r>
        <w:rPr>
          <w:rFonts w:eastAsia="Garamond" w:cs="Garamond"/>
          <w:color w:val="000000" w:themeColor="text1"/>
          <w:szCs w:val="22"/>
        </w:rPr>
        <w:t>,</w:t>
      </w:r>
      <w:r w:rsidRPr="00B81EDA">
        <w:rPr>
          <w:rFonts w:eastAsia="Garamond" w:cs="Garamond"/>
          <w:color w:val="000000" w:themeColor="text1"/>
          <w:szCs w:val="22"/>
        </w:rPr>
        <w:t xml:space="preserve"> and children born in Syria </w:t>
      </w:r>
      <w:r>
        <w:rPr>
          <w:rFonts w:eastAsia="Garamond" w:cs="Garamond"/>
          <w:color w:val="000000" w:themeColor="text1"/>
          <w:szCs w:val="22"/>
        </w:rPr>
        <w:t>who are</w:t>
      </w:r>
      <w:r w:rsidRPr="00B81EDA">
        <w:rPr>
          <w:rFonts w:eastAsia="Garamond" w:cs="Garamond"/>
          <w:color w:val="000000" w:themeColor="text1"/>
          <w:szCs w:val="22"/>
        </w:rPr>
        <w:t xml:space="preserve"> not entitle</w:t>
      </w:r>
      <w:r>
        <w:rPr>
          <w:rFonts w:eastAsia="Garamond" w:cs="Garamond"/>
          <w:color w:val="000000" w:themeColor="text1"/>
          <w:szCs w:val="22"/>
        </w:rPr>
        <w:t>d</w:t>
      </w:r>
      <w:r w:rsidRPr="00B81EDA">
        <w:rPr>
          <w:rFonts w:eastAsia="Garamond" w:cs="Garamond"/>
          <w:color w:val="000000" w:themeColor="text1"/>
          <w:szCs w:val="22"/>
        </w:rPr>
        <w:t xml:space="preserve"> to a</w:t>
      </w:r>
      <w:r>
        <w:rPr>
          <w:rFonts w:eastAsia="Garamond" w:cs="Garamond"/>
          <w:color w:val="000000" w:themeColor="text1"/>
          <w:szCs w:val="22"/>
        </w:rPr>
        <w:t>nother</w:t>
      </w:r>
      <w:r w:rsidRPr="00B81EDA">
        <w:rPr>
          <w:rFonts w:eastAsia="Garamond" w:cs="Garamond"/>
          <w:color w:val="000000" w:themeColor="text1"/>
          <w:szCs w:val="22"/>
        </w:rPr>
        <w:t xml:space="preserve"> nationality at birth.</w:t>
      </w:r>
      <w:r w:rsidRPr="00B81EDA">
        <w:rPr>
          <w:rStyle w:val="FootnoteReference"/>
          <w:rFonts w:eastAsia="Garamond" w:cs="Garamond"/>
          <w:color w:val="000000" w:themeColor="text1"/>
          <w:szCs w:val="22"/>
        </w:rPr>
        <w:footnoteReference w:id="9"/>
      </w:r>
      <w:r w:rsidRPr="00B81EDA">
        <w:rPr>
          <w:rFonts w:eastAsia="Garamond" w:cs="Garamond"/>
          <w:color w:val="000000" w:themeColor="text1"/>
          <w:szCs w:val="22"/>
        </w:rPr>
        <w:t xml:space="preserve"> However, the later safeguard is rarely, if ever, implemented.</w:t>
      </w:r>
      <w:r w:rsidRPr="00B81EDA">
        <w:rPr>
          <w:rStyle w:val="FootnoteReference"/>
          <w:rFonts w:eastAsia="Garamond" w:cs="Garamond"/>
          <w:color w:val="000000" w:themeColor="text1"/>
          <w:szCs w:val="22"/>
        </w:rPr>
        <w:footnoteReference w:id="10"/>
      </w:r>
      <w:r w:rsidRPr="00B81EDA">
        <w:rPr>
          <w:rFonts w:eastAsia="Garamond" w:cs="Garamond"/>
          <w:color w:val="000000" w:themeColor="text1"/>
          <w:szCs w:val="22"/>
        </w:rPr>
        <w:t xml:space="preserve"> </w:t>
      </w:r>
    </w:p>
    <w:p w14:paraId="37D98FB1" w14:textId="77777777" w:rsidR="00967084" w:rsidRPr="00B81EDA" w:rsidRDefault="00967084" w:rsidP="00967084">
      <w:pPr>
        <w:rPr>
          <w:rFonts w:eastAsia="Garamond" w:cs="Garamond"/>
          <w:color w:val="000000" w:themeColor="text1"/>
          <w:szCs w:val="22"/>
        </w:rPr>
      </w:pPr>
      <w:r w:rsidRPr="00B81EDA">
        <w:rPr>
          <w:rFonts w:eastAsia="Garamond" w:cs="Garamond"/>
          <w:color w:val="000000" w:themeColor="text1"/>
          <w:szCs w:val="22"/>
        </w:rPr>
        <w:t>(7) The regulations enacting the Syrian Nationality Act were issued in 1976 and the law has remained unchanged since, despite efforts at reform.</w:t>
      </w:r>
      <w:r w:rsidRPr="00B81EDA">
        <w:rPr>
          <w:rStyle w:val="FootnoteReference"/>
          <w:rFonts w:eastAsia="Garamond" w:cs="Garamond"/>
          <w:color w:val="000000" w:themeColor="text1"/>
          <w:szCs w:val="22"/>
        </w:rPr>
        <w:footnoteReference w:id="11"/>
      </w:r>
      <w:r w:rsidRPr="00B81EDA">
        <w:rPr>
          <w:rFonts w:eastAsia="Garamond" w:cs="Garamond"/>
          <w:color w:val="000000" w:themeColor="text1"/>
          <w:szCs w:val="22"/>
        </w:rPr>
        <w:t xml:space="preserve"> Syrian civil society</w:t>
      </w:r>
      <w:r>
        <w:rPr>
          <w:rFonts w:eastAsia="Garamond" w:cs="Garamond"/>
          <w:color w:val="000000" w:themeColor="text1"/>
          <w:szCs w:val="22"/>
        </w:rPr>
        <w:t xml:space="preserve"> </w:t>
      </w:r>
      <w:r w:rsidRPr="00B81EDA">
        <w:rPr>
          <w:rFonts w:eastAsia="Garamond" w:cs="Garamond"/>
          <w:color w:val="000000" w:themeColor="text1"/>
          <w:szCs w:val="22"/>
        </w:rPr>
        <w:t xml:space="preserve">has historically advocated for amendments to the law which would grant women </w:t>
      </w:r>
      <w:r>
        <w:rPr>
          <w:rFonts w:eastAsia="Garamond" w:cs="Garamond"/>
          <w:color w:val="000000" w:themeColor="text1"/>
          <w:szCs w:val="22"/>
        </w:rPr>
        <w:t>the same</w:t>
      </w:r>
      <w:r w:rsidRPr="00B81EDA">
        <w:rPr>
          <w:rFonts w:eastAsia="Garamond" w:cs="Garamond"/>
          <w:color w:val="000000" w:themeColor="text1"/>
          <w:szCs w:val="22"/>
        </w:rPr>
        <w:t xml:space="preserve"> rights men </w:t>
      </w:r>
      <w:r>
        <w:rPr>
          <w:rFonts w:eastAsia="Garamond" w:cs="Garamond"/>
          <w:color w:val="000000" w:themeColor="text1"/>
          <w:szCs w:val="22"/>
        </w:rPr>
        <w:t>have to</w:t>
      </w:r>
      <w:r w:rsidRPr="00B81EDA">
        <w:rPr>
          <w:rFonts w:eastAsia="Garamond" w:cs="Garamond"/>
          <w:color w:val="000000" w:themeColor="text1"/>
          <w:szCs w:val="22"/>
        </w:rPr>
        <w:t xml:space="preserve"> confer their nationality</w:t>
      </w:r>
      <w:r>
        <w:rPr>
          <w:rFonts w:eastAsia="Garamond" w:cs="Garamond"/>
          <w:color w:val="000000" w:themeColor="text1"/>
          <w:szCs w:val="22"/>
        </w:rPr>
        <w:t xml:space="preserve"> to offsprings</w:t>
      </w:r>
      <w:r w:rsidRPr="00B81EDA">
        <w:rPr>
          <w:rFonts w:eastAsia="Garamond" w:cs="Garamond"/>
          <w:color w:val="000000" w:themeColor="text1"/>
          <w:szCs w:val="22"/>
        </w:rPr>
        <w:t>. In 2004, the Syrian Wome</w:t>
      </w:r>
      <w:r>
        <w:rPr>
          <w:rFonts w:eastAsia="Garamond" w:cs="Garamond"/>
          <w:color w:val="000000" w:themeColor="text1"/>
          <w:szCs w:val="22"/>
        </w:rPr>
        <w:t>n’</w:t>
      </w:r>
      <w:r w:rsidRPr="00B81EDA">
        <w:rPr>
          <w:rFonts w:eastAsia="Garamond" w:cs="Garamond"/>
          <w:color w:val="000000" w:themeColor="text1"/>
          <w:szCs w:val="22"/>
        </w:rPr>
        <w:t>s League presented a memorandum to the Peopl</w:t>
      </w:r>
      <w:r>
        <w:rPr>
          <w:rFonts w:eastAsia="Garamond" w:cs="Garamond"/>
          <w:color w:val="000000" w:themeColor="text1"/>
          <w:szCs w:val="22"/>
        </w:rPr>
        <w:t>e’</w:t>
      </w:r>
      <w:r w:rsidRPr="00B81EDA">
        <w:rPr>
          <w:rFonts w:eastAsia="Garamond" w:cs="Garamond"/>
          <w:color w:val="000000" w:themeColor="text1"/>
          <w:szCs w:val="22"/>
        </w:rPr>
        <w:t>s Assembly seeking to remove the discrimination in the nationality law. This memorandum was submitted to the Government</w:t>
      </w:r>
      <w:r>
        <w:rPr>
          <w:rFonts w:eastAsia="Garamond" w:cs="Garamond"/>
          <w:color w:val="000000" w:themeColor="text1"/>
          <w:szCs w:val="22"/>
        </w:rPr>
        <w:t>,</w:t>
      </w:r>
      <w:r w:rsidRPr="00B81EDA">
        <w:rPr>
          <w:rFonts w:eastAsia="Garamond" w:cs="Garamond"/>
          <w:color w:val="000000" w:themeColor="text1"/>
          <w:szCs w:val="22"/>
        </w:rPr>
        <w:t xml:space="preserve"> </w:t>
      </w:r>
      <w:r>
        <w:rPr>
          <w:rFonts w:eastAsia="Garamond" w:cs="Garamond"/>
          <w:color w:val="000000" w:themeColor="text1"/>
          <w:szCs w:val="22"/>
        </w:rPr>
        <w:t>but</w:t>
      </w:r>
      <w:r w:rsidRPr="00B81EDA">
        <w:rPr>
          <w:rFonts w:eastAsia="Garamond" w:cs="Garamond"/>
          <w:color w:val="000000" w:themeColor="text1"/>
          <w:szCs w:val="22"/>
        </w:rPr>
        <w:t>, in 2008, the Parliament voted against giving women the right to confer nationality to their children.</w:t>
      </w:r>
      <w:r w:rsidRPr="00B81EDA">
        <w:rPr>
          <w:rStyle w:val="FootnoteReference"/>
          <w:rFonts w:eastAsia="Garamond" w:cs="Garamond"/>
          <w:color w:val="000000" w:themeColor="text1"/>
          <w:szCs w:val="22"/>
        </w:rPr>
        <w:footnoteReference w:id="12"/>
      </w:r>
      <w:r w:rsidRPr="00B81EDA">
        <w:rPr>
          <w:rFonts w:eastAsia="Garamond" w:cs="Garamond"/>
          <w:color w:val="000000" w:themeColor="text1"/>
          <w:szCs w:val="22"/>
        </w:rPr>
        <w:t xml:space="preserve"> In 2010, a similar proposal was brought, but the onset of the Syrian civil war soon after halted further discussion. Renewed efforts emerged in </w:t>
      </w:r>
      <w:proofErr w:type="gramStart"/>
      <w:r w:rsidRPr="00B81EDA">
        <w:rPr>
          <w:rFonts w:eastAsia="Garamond" w:cs="Garamond"/>
          <w:color w:val="000000" w:themeColor="text1"/>
          <w:szCs w:val="22"/>
        </w:rPr>
        <w:t>2017,</w:t>
      </w:r>
      <w:proofErr w:type="gramEnd"/>
      <w:r w:rsidRPr="00B81EDA">
        <w:rPr>
          <w:rFonts w:eastAsia="Garamond" w:cs="Garamond"/>
          <w:color w:val="000000" w:themeColor="text1"/>
          <w:szCs w:val="22"/>
        </w:rPr>
        <w:t xml:space="preserve"> this time focused on enabling Syrian women to pass nationality to their foreign spouses. However, neither initiative resulted in legislative change, and the law continues to reflect its original, gender-discriminatory provisions.</w:t>
      </w:r>
      <w:r w:rsidRPr="00B81EDA">
        <w:rPr>
          <w:rStyle w:val="FootnoteReference"/>
          <w:rFonts w:eastAsia="Garamond" w:cs="Garamond"/>
          <w:color w:val="000000" w:themeColor="text1"/>
          <w:szCs w:val="22"/>
        </w:rPr>
        <w:footnoteReference w:id="13"/>
      </w:r>
    </w:p>
    <w:p w14:paraId="306A4594" w14:textId="77777777" w:rsidR="00967084" w:rsidRPr="00B81EDA" w:rsidRDefault="00967084" w:rsidP="00967084">
      <w:pPr>
        <w:widowControl w:val="0"/>
        <w:rPr>
          <w:rFonts w:eastAsia="Garamond" w:cs="Garamond"/>
          <w:color w:val="000000" w:themeColor="text1"/>
          <w:szCs w:val="22"/>
        </w:rPr>
      </w:pPr>
      <w:r w:rsidRPr="00B81EDA">
        <w:rPr>
          <w:color w:val="000000" w:themeColor="text1"/>
        </w:rPr>
        <w:t>(</w:t>
      </w:r>
      <w:r>
        <w:rPr>
          <w:color w:val="000000" w:themeColor="text1"/>
        </w:rPr>
        <w:t>8</w:t>
      </w:r>
      <w:r w:rsidRPr="00B81EDA">
        <w:rPr>
          <w:color w:val="000000" w:themeColor="text1"/>
        </w:rPr>
        <w:t xml:space="preserve">) </w:t>
      </w:r>
      <w:r w:rsidRPr="00B81EDA">
        <w:rPr>
          <w:rFonts w:eastAsia="Garamond" w:cs="Garamond"/>
          <w:color w:val="000000" w:themeColor="text1"/>
          <w:szCs w:val="22"/>
        </w:rPr>
        <w:t>This patrilineal system has severe consequences for children of Syrian women and foreign, stateless, or unidentified fathers. If the father is absent, deceased, unwilling to acknowledge the child, or legally unknown, the child may be unable to acquire Syrian nationality</w:t>
      </w:r>
      <w:r>
        <w:rPr>
          <w:rFonts w:eastAsia="Garamond" w:cs="Garamond"/>
          <w:color w:val="000000" w:themeColor="text1"/>
          <w:szCs w:val="22"/>
        </w:rPr>
        <w:t xml:space="preserve">, </w:t>
      </w:r>
      <w:r w:rsidRPr="00B81EDA">
        <w:rPr>
          <w:rFonts w:eastAsia="Garamond" w:cs="Garamond"/>
          <w:color w:val="000000" w:themeColor="text1"/>
          <w:szCs w:val="22"/>
        </w:rPr>
        <w:t>even if they were born and raised in Syria. In cases where Syrian women have children outside of wedlock</w:t>
      </w:r>
      <w:r>
        <w:rPr>
          <w:rFonts w:eastAsia="Garamond" w:cs="Garamond"/>
          <w:color w:val="000000" w:themeColor="text1"/>
          <w:szCs w:val="22"/>
        </w:rPr>
        <w:t>,</w:t>
      </w:r>
      <w:r w:rsidRPr="00B81EDA">
        <w:rPr>
          <w:rFonts w:eastAsia="Garamond" w:cs="Garamond"/>
          <w:color w:val="000000" w:themeColor="text1"/>
          <w:szCs w:val="22"/>
        </w:rPr>
        <w:t xml:space="preserve"> or </w:t>
      </w:r>
      <w:proofErr w:type="gramStart"/>
      <w:r w:rsidRPr="00B81EDA">
        <w:rPr>
          <w:rFonts w:eastAsia="Garamond" w:cs="Garamond"/>
          <w:color w:val="000000" w:themeColor="text1"/>
          <w:szCs w:val="22"/>
        </w:rPr>
        <w:t>as a result of</w:t>
      </w:r>
      <w:proofErr w:type="gramEnd"/>
      <w:r w:rsidRPr="00B81EDA">
        <w:rPr>
          <w:rFonts w:eastAsia="Garamond" w:cs="Garamond"/>
          <w:color w:val="000000" w:themeColor="text1"/>
          <w:szCs w:val="22"/>
        </w:rPr>
        <w:t xml:space="preserve"> sexual violence, the lack of legal paternity leaves children vulnerable to statelessness. Furthermore, a child born to unwed parents may not be legally </w:t>
      </w:r>
      <w:r w:rsidRPr="00B81EDA">
        <w:rPr>
          <w:rFonts w:eastAsia="Garamond" w:cs="Garamond"/>
          <w:color w:val="000000" w:themeColor="text1"/>
          <w:szCs w:val="22"/>
        </w:rPr>
        <w:lastRenderedPageBreak/>
        <w:t>registered until the parents marry or through a court order.</w:t>
      </w:r>
      <w:r w:rsidRPr="00B81EDA">
        <w:rPr>
          <w:rStyle w:val="FootnoteReference"/>
          <w:rFonts w:eastAsia="Garamond" w:cs="Garamond"/>
          <w:color w:val="000000" w:themeColor="text1"/>
          <w:szCs w:val="22"/>
        </w:rPr>
        <w:footnoteReference w:id="14"/>
      </w:r>
    </w:p>
    <w:p w14:paraId="77FC1528" w14:textId="77777777" w:rsidR="00967084" w:rsidRPr="00B81EDA" w:rsidRDefault="00967084" w:rsidP="00967084">
      <w:pPr>
        <w:widowControl w:val="0"/>
        <w:tabs>
          <w:tab w:val="right" w:leader="dot" w:pos="9270"/>
          <w:tab w:val="right" w:leader="dot" w:pos="9360"/>
        </w:tabs>
        <w:rPr>
          <w:rFonts w:eastAsia="Garamond" w:cs="Garamond"/>
          <w:color w:val="000000" w:themeColor="text1"/>
        </w:rPr>
      </w:pPr>
      <w:r w:rsidRPr="00B81EDA">
        <w:rPr>
          <w:rFonts w:eastAsia="Garamond" w:cs="Garamond"/>
          <w:color w:val="000000" w:themeColor="text1"/>
        </w:rPr>
        <w:t>(</w:t>
      </w:r>
      <w:r>
        <w:rPr>
          <w:rFonts w:eastAsia="Garamond" w:cs="Garamond"/>
          <w:color w:val="000000" w:themeColor="text1"/>
        </w:rPr>
        <w:t>9</w:t>
      </w:r>
      <w:r w:rsidRPr="00B81EDA">
        <w:rPr>
          <w:rFonts w:eastAsia="Garamond" w:cs="Garamond"/>
          <w:color w:val="000000" w:themeColor="text1"/>
        </w:rPr>
        <w:t>) This issue has become acutely problematic in the context of Syria’s extremely high rates of displacement. According to the UNHCR, 7.4 million Syrians remain internally displaced and another 6 million are refugees in neighboring countries and overseas.</w:t>
      </w:r>
      <w:r w:rsidRPr="00B81EDA">
        <w:rPr>
          <w:rStyle w:val="FootnoteReference"/>
          <w:rFonts w:eastAsia="Garamond" w:cs="Garamond"/>
          <w:color w:val="000000" w:themeColor="text1"/>
        </w:rPr>
        <w:footnoteReference w:id="15"/>
      </w:r>
      <w:r w:rsidRPr="00B81EDA">
        <w:rPr>
          <w:rFonts w:eastAsia="Garamond" w:cs="Garamond"/>
          <w:color w:val="000000" w:themeColor="text1"/>
        </w:rPr>
        <w:t xml:space="preserve"> Within this context of displacement, the issue of proving a child’s father is a Syrian national is incredibly difficult and lends itself to greater instances of children entering statelessness, due to Syria’s gender-discriminatory law. A marriage may not have been registered or the documents lost, fathers may be deceased, lost, or no longer present.</w:t>
      </w:r>
      <w:r w:rsidRPr="00B81EDA">
        <w:rPr>
          <w:rStyle w:val="FootnoteReference"/>
          <w:rFonts w:eastAsia="Garamond" w:cs="Garamond"/>
          <w:color w:val="000000" w:themeColor="text1"/>
        </w:rPr>
        <w:footnoteReference w:id="16"/>
      </w:r>
      <w:r w:rsidRPr="00B81EDA">
        <w:rPr>
          <w:rFonts w:eastAsia="Garamond" w:cs="Garamond"/>
          <w:color w:val="000000" w:themeColor="text1"/>
        </w:rPr>
        <w:t xml:space="preserve"> In such cases, a Syrian mother is unable to register her child as a Syrian, causing serious downstream effects for the child.  </w:t>
      </w:r>
    </w:p>
    <w:p w14:paraId="1CC489EF" w14:textId="77777777" w:rsidR="00967084" w:rsidRPr="00B81EDA" w:rsidRDefault="00967084" w:rsidP="00967084">
      <w:pPr>
        <w:widowControl w:val="0"/>
        <w:rPr>
          <w:rFonts w:eastAsia="Garamond" w:cs="Garamond"/>
          <w:color w:val="000000" w:themeColor="text1"/>
        </w:rPr>
      </w:pPr>
      <w:r w:rsidRPr="00B81EDA">
        <w:rPr>
          <w:rFonts w:eastAsia="Garamond" w:cs="Garamond"/>
          <w:color w:val="000000" w:themeColor="text1"/>
        </w:rPr>
        <w:t>(1</w:t>
      </w:r>
      <w:r>
        <w:rPr>
          <w:rFonts w:eastAsia="Garamond" w:cs="Garamond"/>
          <w:color w:val="000000" w:themeColor="text1"/>
        </w:rPr>
        <w:t>0</w:t>
      </w:r>
      <w:r w:rsidRPr="00B81EDA">
        <w:rPr>
          <w:rFonts w:eastAsia="Garamond" w:cs="Garamond"/>
          <w:color w:val="000000" w:themeColor="text1"/>
        </w:rPr>
        <w:t>) One of the most basic human rights is the right to recognition before the law. Without legal personality, an individual is bereft of access to many other basic human rights and social programs.</w:t>
      </w:r>
      <w:r w:rsidRPr="00B81EDA">
        <w:rPr>
          <w:rStyle w:val="FootnoteReference"/>
          <w:rFonts w:eastAsia="Garamond" w:cs="Garamond"/>
          <w:color w:val="000000" w:themeColor="text1"/>
        </w:rPr>
        <w:footnoteReference w:id="17"/>
      </w:r>
      <w:r w:rsidRPr="00B81EDA">
        <w:rPr>
          <w:rFonts w:eastAsia="Garamond" w:cs="Garamond"/>
          <w:color w:val="000000" w:themeColor="text1"/>
        </w:rPr>
        <w:t xml:space="preserve"> Syria has ratified other international treaties, like the ICCPR and CRC, which protect the right to a nationality. Regionally, Syria has ratified the Arab Charter on Human Rights, which obligates state parties to </w:t>
      </w:r>
      <w:proofErr w:type="gramStart"/>
      <w:r w:rsidRPr="00B81EDA">
        <w:rPr>
          <w:rFonts w:eastAsia="Garamond" w:cs="Garamond"/>
          <w:color w:val="000000" w:themeColor="text1"/>
        </w:rPr>
        <w:t>take action</w:t>
      </w:r>
      <w:proofErr w:type="gramEnd"/>
      <w:r w:rsidRPr="00B81EDA">
        <w:rPr>
          <w:rFonts w:eastAsia="Garamond" w:cs="Garamond"/>
          <w:color w:val="000000" w:themeColor="text1"/>
        </w:rPr>
        <w:t xml:space="preserve"> in their nationality laws to allow a child to acquire the mother’s nationality. </w:t>
      </w:r>
      <w:r w:rsidRPr="00B81EDA">
        <w:rPr>
          <w:rStyle w:val="FootnoteReference"/>
          <w:rFonts w:eastAsia="Garamond" w:cs="Garamond"/>
          <w:color w:val="000000" w:themeColor="text1"/>
        </w:rPr>
        <w:footnoteReference w:id="18"/>
      </w:r>
      <w:r w:rsidRPr="00B81EDA">
        <w:rPr>
          <w:rFonts w:eastAsia="Garamond" w:cs="Garamond"/>
          <w:color w:val="000000" w:themeColor="text1"/>
        </w:rPr>
        <w:t xml:space="preserve"> By adopting a nationality law that arbitrarily deprives women of the right to pass their nationality on to their children, the Syrian government has derogated from their obligation to protect the right to nationality. As a result, Syrian mothers have no recourse when their stateless children are denied access to basic rights and entitlements like healthcare, humanitarian aid, education, or even to travel across borders.</w:t>
      </w:r>
      <w:r w:rsidRPr="00B81EDA">
        <w:rPr>
          <w:rStyle w:val="FootnoteReference"/>
          <w:rFonts w:eastAsia="Garamond" w:cs="Garamond"/>
          <w:color w:val="000000" w:themeColor="text1"/>
        </w:rPr>
        <w:footnoteReference w:id="19"/>
      </w:r>
      <w:r w:rsidRPr="00B81EDA">
        <w:rPr>
          <w:rFonts w:eastAsia="Garamond" w:cs="Garamond"/>
          <w:color w:val="000000" w:themeColor="text1"/>
        </w:rPr>
        <w:t xml:space="preserve"> </w:t>
      </w:r>
    </w:p>
    <w:p w14:paraId="3AEC469A" w14:textId="77777777" w:rsidR="00967084" w:rsidRDefault="00967084" w:rsidP="00967084">
      <w:pPr>
        <w:widowControl w:val="0"/>
        <w:tabs>
          <w:tab w:val="right" w:leader="dot" w:pos="9270"/>
          <w:tab w:val="right" w:leader="dot" w:pos="9360"/>
        </w:tabs>
        <w:rPr>
          <w:rFonts w:eastAsia="Garamond" w:cs="Garamond"/>
          <w:color w:val="000000" w:themeColor="text1"/>
        </w:rPr>
      </w:pPr>
      <w:r w:rsidRPr="00B81EDA">
        <w:rPr>
          <w:rFonts w:eastAsia="Garamond" w:cs="Garamond"/>
          <w:color w:val="000000" w:themeColor="text1"/>
        </w:rPr>
        <w:t>(1</w:t>
      </w:r>
      <w:r>
        <w:rPr>
          <w:rFonts w:eastAsia="Garamond" w:cs="Garamond"/>
          <w:color w:val="000000" w:themeColor="text1"/>
        </w:rPr>
        <w:t>1</w:t>
      </w:r>
      <w:r w:rsidRPr="00B81EDA">
        <w:rPr>
          <w:rFonts w:eastAsia="Garamond" w:cs="Garamond"/>
          <w:color w:val="000000" w:themeColor="text1"/>
        </w:rPr>
        <w:t xml:space="preserve">) This Committee has previously recommended that the Government of Syria remove its reservations to this Convention, including </w:t>
      </w:r>
      <w:r>
        <w:rPr>
          <w:rFonts w:eastAsia="Garamond" w:cs="Garamond"/>
          <w:color w:val="000000" w:themeColor="text1"/>
        </w:rPr>
        <w:t>A</w:t>
      </w:r>
      <w:r w:rsidRPr="00B81EDA">
        <w:rPr>
          <w:rFonts w:eastAsia="Garamond" w:cs="Garamond"/>
          <w:color w:val="000000" w:themeColor="text1"/>
        </w:rPr>
        <w:t xml:space="preserve">rticle 9(2), which is the focal point of this report. The Committee has also expressed concern regarding </w:t>
      </w:r>
      <w:r>
        <w:rPr>
          <w:rFonts w:eastAsia="Garamond" w:cs="Garamond"/>
          <w:color w:val="000000" w:themeColor="text1"/>
        </w:rPr>
        <w:t>A</w:t>
      </w:r>
      <w:r w:rsidRPr="00B81EDA">
        <w:rPr>
          <w:rFonts w:eastAsia="Garamond" w:cs="Garamond"/>
          <w:color w:val="000000" w:themeColor="text1"/>
        </w:rPr>
        <w:t>rticle 3 of the Syrian Nationality Act and recommended the State party repeal its discriminatory provisions.</w:t>
      </w:r>
      <w:r w:rsidRPr="00B81EDA">
        <w:rPr>
          <w:rStyle w:val="FootnoteReference"/>
          <w:rFonts w:eastAsia="Garamond" w:cs="Garamond"/>
          <w:color w:val="000000" w:themeColor="text1"/>
        </w:rPr>
        <w:footnoteReference w:id="20"/>
      </w:r>
    </w:p>
    <w:p w14:paraId="5CD404B4" w14:textId="77777777" w:rsidR="00E868AF" w:rsidRDefault="00E868AF" w:rsidP="00967084">
      <w:pPr>
        <w:widowControl w:val="0"/>
        <w:tabs>
          <w:tab w:val="right" w:leader="dot" w:pos="9270"/>
          <w:tab w:val="right" w:leader="dot" w:pos="9360"/>
        </w:tabs>
        <w:rPr>
          <w:rFonts w:eastAsia="Garamond" w:cs="Garamond"/>
          <w:color w:val="000000" w:themeColor="text1"/>
        </w:rPr>
      </w:pPr>
    </w:p>
    <w:p w14:paraId="47A0B03A" w14:textId="77777777" w:rsidR="00E868AF" w:rsidRDefault="00E868AF" w:rsidP="00967084">
      <w:pPr>
        <w:widowControl w:val="0"/>
        <w:tabs>
          <w:tab w:val="right" w:leader="dot" w:pos="9270"/>
          <w:tab w:val="right" w:leader="dot" w:pos="9360"/>
        </w:tabs>
        <w:rPr>
          <w:rFonts w:eastAsia="Garamond" w:cs="Garamond"/>
          <w:color w:val="000000" w:themeColor="text1"/>
        </w:rPr>
      </w:pPr>
    </w:p>
    <w:p w14:paraId="670C71A4" w14:textId="77777777" w:rsidR="00E868AF" w:rsidRDefault="00E868AF" w:rsidP="00967084">
      <w:pPr>
        <w:widowControl w:val="0"/>
        <w:tabs>
          <w:tab w:val="right" w:leader="dot" w:pos="9270"/>
          <w:tab w:val="right" w:leader="dot" w:pos="9360"/>
        </w:tabs>
        <w:rPr>
          <w:rFonts w:eastAsia="Garamond" w:cs="Garamond"/>
          <w:color w:val="000000" w:themeColor="text1"/>
        </w:rPr>
      </w:pPr>
    </w:p>
    <w:p w14:paraId="0DE822A4" w14:textId="77777777" w:rsidR="00E868AF" w:rsidRPr="00B81EDA" w:rsidRDefault="00E868AF" w:rsidP="00967084">
      <w:pPr>
        <w:widowControl w:val="0"/>
        <w:tabs>
          <w:tab w:val="right" w:leader="dot" w:pos="9270"/>
          <w:tab w:val="right" w:leader="dot" w:pos="9360"/>
        </w:tabs>
        <w:rPr>
          <w:rFonts w:eastAsia="Garamond" w:cs="Garamond"/>
          <w:color w:val="000000" w:themeColor="text1"/>
        </w:rPr>
      </w:pPr>
    </w:p>
    <w:p w14:paraId="155D654E" w14:textId="77777777" w:rsidR="00967084" w:rsidRPr="00707C7F" w:rsidRDefault="00967084" w:rsidP="00967084">
      <w:pPr>
        <w:pStyle w:val="Heading1"/>
      </w:pPr>
      <w:bookmarkStart w:id="3" w:name="_Toc154935341"/>
      <w:r w:rsidRPr="00707C7F">
        <w:lastRenderedPageBreak/>
        <w:t xml:space="preserve">SYRIA’S GENDER DISCRIMINATORY NATIONALITY LAW VIOLATES INTERNATIONAL OBLIGATIONS CONCERNING GENDER EQUALITY </w:t>
      </w:r>
      <w:bookmarkEnd w:id="3"/>
    </w:p>
    <w:p w14:paraId="3B040F45" w14:textId="77777777" w:rsidR="00967084" w:rsidRPr="00B81EDA" w:rsidRDefault="00967084" w:rsidP="00967084">
      <w:r w:rsidRPr="00B81EDA">
        <w:t>(</w:t>
      </w:r>
      <w:r>
        <w:t>12</w:t>
      </w:r>
      <w:r w:rsidRPr="00B81EDA">
        <w:t>) In contravention of Syria’s obligations under the Co</w:t>
      </w:r>
      <w:r>
        <w:t>nvention</w:t>
      </w:r>
      <w:r w:rsidRPr="00B81EDA">
        <w:t xml:space="preserve">, Article 3(a) of the Syrian Nationality Law states that “anyone born inside or outside the country to a Syrian Arab </w:t>
      </w:r>
      <w:r w:rsidRPr="00E261FE">
        <w:rPr>
          <w:i/>
          <w:iCs/>
        </w:rPr>
        <w:t>father</w:t>
      </w:r>
      <w:r w:rsidRPr="00B81EDA">
        <w:t xml:space="preserve">...shall be considered as Syrian Arab </w:t>
      </w:r>
      <w:r w:rsidRPr="00B81EDA">
        <w:rPr>
          <w:i/>
          <w:iCs/>
        </w:rPr>
        <w:t xml:space="preserve">ipso facto.” </w:t>
      </w:r>
      <w:r w:rsidRPr="00B81EDA">
        <w:t xml:space="preserve">This is discriminatory on its face. Moreover, this provision stands in opposition to the 2012 Constitution of Syria, which stipulates that “Citizens shall be equal in rights and duties without discrimination among them on grounds of sex, origin, language, religion or creed.” </w:t>
      </w:r>
      <w:r w:rsidRPr="00E261FE">
        <w:t>T</w:t>
      </w:r>
      <w:r w:rsidRPr="00B81EDA">
        <w:t>he 2012 Constitution was repealed on March 13</w:t>
      </w:r>
      <w:r w:rsidRPr="00B81EDA">
        <w:rPr>
          <w:vertAlign w:val="superscript"/>
        </w:rPr>
        <w:t>th</w:t>
      </w:r>
      <w:r w:rsidRPr="00B81EDA">
        <w:t>, 2025, and subsequently replaced by the 2025 Interim Constitution. Article 10, of the 2025 Constitution states that “Citizens are equal before the law in rights and duties, without discrimination based on race, religion, gender or lineage.”</w:t>
      </w:r>
      <w:r w:rsidRPr="00B81EDA">
        <w:rPr>
          <w:rStyle w:val="FootnoteReference"/>
          <w:color w:val="000000" w:themeColor="text1"/>
        </w:rPr>
        <w:footnoteReference w:id="21"/>
      </w:r>
      <w:r w:rsidRPr="00B81EDA">
        <w:rPr>
          <w:rStyle w:val="FootnoteReference"/>
          <w:color w:val="000000" w:themeColor="text1"/>
        </w:rPr>
        <w:t xml:space="preserve"> </w:t>
      </w:r>
    </w:p>
    <w:p w14:paraId="25CA8ACE" w14:textId="77777777" w:rsidR="00967084" w:rsidRPr="005F008D" w:rsidRDefault="00967084" w:rsidP="00967084">
      <w:pPr>
        <w:pStyle w:val="Heading2"/>
        <w:ind w:left="0" w:firstLine="720"/>
      </w:pPr>
      <w:bookmarkStart w:id="4" w:name="_Toc154935342"/>
      <w:r w:rsidRPr="005F008D">
        <w:t xml:space="preserve">I) The inherently discriminatory nationality law </w:t>
      </w:r>
      <w:bookmarkEnd w:id="4"/>
      <w:r w:rsidRPr="005F008D">
        <w:t xml:space="preserve">is in violation of Articles 2 &amp; 3 </w:t>
      </w:r>
    </w:p>
    <w:p w14:paraId="663BD846" w14:textId="77777777" w:rsidR="00967084" w:rsidRPr="00B81EDA" w:rsidRDefault="00967084" w:rsidP="00967084">
      <w:pPr>
        <w:widowControl w:val="0"/>
        <w:tabs>
          <w:tab w:val="right" w:leader="dot" w:pos="9270"/>
          <w:tab w:val="right" w:leader="dot" w:pos="9360"/>
        </w:tabs>
        <w:rPr>
          <w:rFonts w:eastAsia="Garamond" w:cs="Garamond"/>
          <w:b/>
          <w:bCs/>
          <w:color w:val="000000" w:themeColor="text1"/>
          <w:szCs w:val="22"/>
          <w:u w:val="single"/>
        </w:rPr>
      </w:pPr>
      <w:r w:rsidRPr="00B81EDA">
        <w:rPr>
          <w:color w:val="000000" w:themeColor="text1"/>
          <w:szCs w:val="22"/>
        </w:rPr>
        <w:t>(</w:t>
      </w:r>
      <w:r>
        <w:rPr>
          <w:color w:val="000000" w:themeColor="text1"/>
          <w:szCs w:val="22"/>
        </w:rPr>
        <w:t>13</w:t>
      </w:r>
      <w:r w:rsidRPr="00B81EDA">
        <w:rPr>
          <w:color w:val="000000" w:themeColor="text1"/>
          <w:szCs w:val="22"/>
        </w:rPr>
        <w:t xml:space="preserve">) The </w:t>
      </w:r>
      <w:r w:rsidRPr="00B81EDA">
        <w:rPr>
          <w:rFonts w:eastAsia="Garamond" w:cs="Garamond"/>
          <w:color w:val="000000" w:themeColor="text1"/>
          <w:szCs w:val="22"/>
        </w:rPr>
        <w:t>discriminatory provisions in the Syrian Nationality Act of 1969 that prevent women from acquiring, retaining, and transferring citizenship on an equal basis with men is in direct violation of equal protection laws under the C</w:t>
      </w:r>
      <w:r>
        <w:rPr>
          <w:rFonts w:eastAsia="Garamond" w:cs="Garamond"/>
          <w:color w:val="000000" w:themeColor="text1"/>
          <w:szCs w:val="22"/>
        </w:rPr>
        <w:t>onvention</w:t>
      </w:r>
      <w:r w:rsidRPr="00B81EDA">
        <w:rPr>
          <w:rFonts w:eastAsia="Garamond" w:cs="Garamond"/>
          <w:color w:val="000000" w:themeColor="text1"/>
          <w:szCs w:val="22"/>
        </w:rPr>
        <w:t xml:space="preserve">. </w:t>
      </w:r>
    </w:p>
    <w:p w14:paraId="20E4F4A9" w14:textId="77777777" w:rsidR="00967084" w:rsidRPr="00B81EDA" w:rsidRDefault="00967084" w:rsidP="00967084">
      <w:pPr>
        <w:widowControl w:val="0"/>
        <w:tabs>
          <w:tab w:val="right" w:leader="dot" w:pos="9270"/>
          <w:tab w:val="right" w:leader="dot" w:pos="9360"/>
        </w:tabs>
        <w:rPr>
          <w:rStyle w:val="FootnoteReference"/>
          <w:rFonts w:eastAsia="Garamond" w:cs="Garamond"/>
          <w:color w:val="000000" w:themeColor="text1"/>
          <w:szCs w:val="22"/>
        </w:rPr>
      </w:pPr>
      <w:r w:rsidRPr="00B81EDA">
        <w:rPr>
          <w:rFonts w:eastAsia="Garamond" w:cs="Garamond"/>
          <w:color w:val="000000" w:themeColor="text1"/>
          <w:szCs w:val="22"/>
        </w:rPr>
        <w:t>(</w:t>
      </w:r>
      <w:r>
        <w:rPr>
          <w:rFonts w:eastAsia="Garamond" w:cs="Garamond"/>
          <w:color w:val="000000" w:themeColor="text1"/>
          <w:szCs w:val="22"/>
        </w:rPr>
        <w:t>14</w:t>
      </w:r>
      <w:r w:rsidRPr="00B81EDA">
        <w:rPr>
          <w:rFonts w:eastAsia="Garamond" w:cs="Garamond"/>
          <w:color w:val="000000" w:themeColor="text1"/>
          <w:szCs w:val="22"/>
        </w:rPr>
        <w:t xml:space="preserve">) </w:t>
      </w:r>
      <w:r w:rsidRPr="00B81EDA">
        <w:rPr>
          <w:rFonts w:eastAsia="Garamond" w:cs="Garamond"/>
          <w:smallCaps/>
          <w:color w:val="000000" w:themeColor="text1"/>
          <w:sz w:val="24"/>
        </w:rPr>
        <w:t xml:space="preserve"> </w:t>
      </w:r>
      <w:r w:rsidRPr="00B81EDA">
        <w:rPr>
          <w:rFonts w:eastAsia="Garamond" w:cs="Garamond"/>
          <w:color w:val="000000" w:themeColor="text1"/>
          <w:szCs w:val="22"/>
        </w:rPr>
        <w:t xml:space="preserve">Under CEDAW </w:t>
      </w:r>
      <w:r>
        <w:rPr>
          <w:rFonts w:eastAsia="Garamond" w:cs="Garamond"/>
          <w:color w:val="000000" w:themeColor="text1"/>
          <w:szCs w:val="22"/>
        </w:rPr>
        <w:t>A</w:t>
      </w:r>
      <w:r w:rsidRPr="00B81EDA">
        <w:rPr>
          <w:rFonts w:eastAsia="Garamond" w:cs="Garamond"/>
          <w:color w:val="000000" w:themeColor="text1"/>
          <w:szCs w:val="22"/>
        </w:rPr>
        <w:t>rticle 2, State Parties “agree to pursue” equality between men and women under the law, eliminating all legislative and other discrimination against women, and to establish law that protects women's rights as equal to those of men.</w:t>
      </w:r>
      <w:r w:rsidRPr="00B81EDA">
        <w:rPr>
          <w:rStyle w:val="FootnoteReference"/>
          <w:rFonts w:eastAsia="Garamond" w:cs="Garamond"/>
          <w:color w:val="000000" w:themeColor="text1"/>
          <w:szCs w:val="22"/>
        </w:rPr>
        <w:footnoteReference w:id="22"/>
      </w:r>
      <w:r w:rsidRPr="00B81EDA">
        <w:rPr>
          <w:rFonts w:eastAsia="Garamond" w:cs="Garamond"/>
          <w:color w:val="000000" w:themeColor="text1"/>
          <w:szCs w:val="22"/>
        </w:rPr>
        <w:t xml:space="preserve"> Syria, which previously had a reservation to </w:t>
      </w:r>
      <w:r>
        <w:rPr>
          <w:rFonts w:eastAsia="Garamond" w:cs="Garamond"/>
          <w:color w:val="000000" w:themeColor="text1"/>
          <w:szCs w:val="22"/>
        </w:rPr>
        <w:t>A</w:t>
      </w:r>
      <w:r w:rsidRPr="00B81EDA">
        <w:rPr>
          <w:rFonts w:eastAsia="Garamond" w:cs="Garamond"/>
          <w:color w:val="000000" w:themeColor="text1"/>
          <w:szCs w:val="22"/>
        </w:rPr>
        <w:t>rticle 2, lifted this reservation in 2017.</w:t>
      </w:r>
      <w:r w:rsidRPr="00B81EDA">
        <w:rPr>
          <w:rStyle w:val="FootnoteReference"/>
          <w:rFonts w:eastAsia="Garamond" w:cs="Garamond"/>
          <w:color w:val="000000" w:themeColor="text1"/>
          <w:szCs w:val="22"/>
        </w:rPr>
        <w:footnoteReference w:id="23"/>
      </w:r>
      <w:r w:rsidRPr="00B81EDA">
        <w:rPr>
          <w:rFonts w:eastAsia="Garamond" w:cs="Garamond"/>
          <w:color w:val="000000" w:themeColor="text1"/>
          <w:szCs w:val="22"/>
        </w:rPr>
        <w:t xml:space="preserve"> Similarly, </w:t>
      </w:r>
      <w:r>
        <w:rPr>
          <w:rFonts w:eastAsia="Garamond" w:cs="Garamond"/>
          <w:color w:val="000000" w:themeColor="text1"/>
          <w:szCs w:val="22"/>
        </w:rPr>
        <w:t>A</w:t>
      </w:r>
      <w:r w:rsidRPr="00B81EDA">
        <w:rPr>
          <w:rFonts w:eastAsia="Garamond" w:cs="Garamond"/>
          <w:color w:val="000000" w:themeColor="text1"/>
          <w:szCs w:val="22"/>
        </w:rPr>
        <w:t>rticle 3 of the Convention obliges the State Party to take all appropriate measures “for the purpose of guaranteeing them the exercise and enjoyment of human rights and fundamental freedoms on a basis of equality with men.”</w:t>
      </w:r>
      <w:r w:rsidRPr="00B81EDA">
        <w:rPr>
          <w:rStyle w:val="FootnoteReference"/>
          <w:rFonts w:eastAsia="Garamond" w:cs="Garamond"/>
          <w:color w:val="000000" w:themeColor="text1"/>
          <w:szCs w:val="22"/>
        </w:rPr>
        <w:footnoteReference w:id="24"/>
      </w:r>
      <w:r w:rsidRPr="00B81EDA">
        <w:rPr>
          <w:rStyle w:val="FootnoteReference"/>
          <w:rFonts w:eastAsia="Garamond" w:cs="Garamond"/>
          <w:color w:val="000000" w:themeColor="text1"/>
          <w:szCs w:val="22"/>
        </w:rPr>
        <w:t xml:space="preserve"> </w:t>
      </w:r>
    </w:p>
    <w:p w14:paraId="0A8ABB35" w14:textId="77777777" w:rsidR="00967084" w:rsidRPr="00B81EDA" w:rsidRDefault="00967084" w:rsidP="00967084">
      <w:pPr>
        <w:widowControl w:val="0"/>
        <w:rPr>
          <w:color w:val="000000" w:themeColor="text1"/>
        </w:rPr>
      </w:pPr>
      <w:r w:rsidRPr="00B81EDA">
        <w:rPr>
          <w:color w:val="000000" w:themeColor="text1"/>
        </w:rPr>
        <w:t>(</w:t>
      </w:r>
      <w:r>
        <w:rPr>
          <w:color w:val="000000" w:themeColor="text1"/>
        </w:rPr>
        <w:t>15</w:t>
      </w:r>
      <w:r w:rsidRPr="00B81EDA">
        <w:rPr>
          <w:color w:val="000000" w:themeColor="text1"/>
        </w:rPr>
        <w:t xml:space="preserve">) The Nationality law entrenches gender inequality by granting men an unconditional right to confer nationality, while limiting women’s ability to do so </w:t>
      </w:r>
      <w:r>
        <w:rPr>
          <w:color w:val="000000" w:themeColor="text1"/>
        </w:rPr>
        <w:t>only in</w:t>
      </w:r>
      <w:r w:rsidRPr="00B81EDA">
        <w:rPr>
          <w:color w:val="000000" w:themeColor="text1"/>
        </w:rPr>
        <w:t xml:space="preserve"> narrowly defined, exceptional circumstances. Despite having had opportunities to reform this legislation, the Syrian government has repeatedly failed to do so. This inaction has </w:t>
      </w:r>
      <w:r>
        <w:rPr>
          <w:color w:val="000000" w:themeColor="text1"/>
        </w:rPr>
        <w:t>institutionalized</w:t>
      </w:r>
      <w:r w:rsidRPr="00B81EDA">
        <w:rPr>
          <w:color w:val="000000" w:themeColor="text1"/>
        </w:rPr>
        <w:t xml:space="preserve"> a legal framework that significantly increases the risk of statelessness for children and families of Syrian mothers. For example, one Syrian woman who lived in Syria with her Nigerian husband, </w:t>
      </w:r>
      <w:r w:rsidRPr="00B81EDA">
        <w:rPr>
          <w:color w:val="000000" w:themeColor="text1"/>
        </w:rPr>
        <w:lastRenderedPageBreak/>
        <w:t>had a daughter who was not assigned Syrian citizenship at birth, as the father was not Syrian. After their divorce, the husband returned to Nigeria and the daughter, who has no legal documentation, is unable to leave Syria and remains stateless within its borders.</w:t>
      </w:r>
      <w:r w:rsidRPr="00B81EDA">
        <w:rPr>
          <w:rStyle w:val="FootnoteReference"/>
          <w:color w:val="000000" w:themeColor="text1"/>
        </w:rPr>
        <w:footnoteReference w:id="25"/>
      </w:r>
      <w:r>
        <w:rPr>
          <w:color w:val="000000" w:themeColor="text1"/>
        </w:rPr>
        <w:t xml:space="preserve"> </w:t>
      </w:r>
      <w:r w:rsidRPr="00B81EDA">
        <w:rPr>
          <w:color w:val="000000" w:themeColor="text1"/>
        </w:rPr>
        <w:t xml:space="preserve">By continuing to uphold this law in violation of </w:t>
      </w:r>
      <w:r>
        <w:rPr>
          <w:color w:val="000000" w:themeColor="text1"/>
        </w:rPr>
        <w:t>A</w:t>
      </w:r>
      <w:r w:rsidRPr="00B81EDA">
        <w:rPr>
          <w:color w:val="000000" w:themeColor="text1"/>
        </w:rPr>
        <w:t xml:space="preserve">rticles 2 and 3 of the Convention, the Syrian government is perpetuating the issue of statelessness within its borders.  </w:t>
      </w:r>
    </w:p>
    <w:p w14:paraId="073CA27F" w14:textId="77777777" w:rsidR="00967084" w:rsidRPr="00B81EDA" w:rsidRDefault="00967084" w:rsidP="00967084">
      <w:pPr>
        <w:widowControl w:val="0"/>
        <w:rPr>
          <w:color w:val="000000" w:themeColor="text1"/>
        </w:rPr>
      </w:pPr>
      <w:r w:rsidRPr="00B81EDA">
        <w:rPr>
          <w:color w:val="000000" w:themeColor="text1"/>
        </w:rPr>
        <w:t>(</w:t>
      </w:r>
      <w:r>
        <w:rPr>
          <w:color w:val="000000" w:themeColor="text1"/>
        </w:rPr>
        <w:t>16</w:t>
      </w:r>
      <w:r w:rsidRPr="00B81EDA">
        <w:rPr>
          <w:color w:val="000000" w:themeColor="text1"/>
        </w:rPr>
        <w:t>) UN human rights bodies have repeatedly affirmed that removing gender discrimination barriers to nationality is essential to end statelessness. A</w:t>
      </w:r>
      <w:r w:rsidRPr="00B81EDA">
        <w:rPr>
          <w:rFonts w:eastAsia="Garamond" w:cs="Garamond"/>
          <w:color w:val="000000" w:themeColor="text1"/>
          <w:szCs w:val="22"/>
        </w:rPr>
        <w:t xml:space="preserve"> range of human rights instruments recognize the right to a nationality with varying formulations.</w:t>
      </w:r>
      <w:r w:rsidRPr="00B81EDA">
        <w:rPr>
          <w:rStyle w:val="FootnoteReference"/>
          <w:rFonts w:eastAsia="Garamond" w:cs="Garamond"/>
          <w:color w:val="000000" w:themeColor="text1"/>
          <w:szCs w:val="22"/>
        </w:rPr>
        <w:footnoteReference w:id="26"/>
      </w:r>
      <w:r w:rsidRPr="00B81EDA">
        <w:rPr>
          <w:rFonts w:eastAsia="Garamond" w:cs="Garamond"/>
          <w:color w:val="000000" w:themeColor="text1"/>
          <w:szCs w:val="22"/>
        </w:rPr>
        <w:t xml:space="preserve"> </w:t>
      </w:r>
      <w:r w:rsidRPr="00B81EDA">
        <w:rPr>
          <w:color w:val="000000" w:themeColor="text1"/>
        </w:rPr>
        <w:t>In 2014, the UNHCR launched the “</w:t>
      </w:r>
      <w:r w:rsidRPr="00B81EDA">
        <w:rPr>
          <w:rFonts w:eastAsia="Garamond" w:cs="Garamond"/>
          <w:color w:val="000000" w:themeColor="text1"/>
          <w:szCs w:val="22"/>
        </w:rPr>
        <w:t>Global Action Plan to End Statelessness: 2014-2024,</w:t>
      </w:r>
      <w:r w:rsidRPr="00B81EDA">
        <w:rPr>
          <w:color w:val="000000" w:themeColor="text1"/>
        </w:rPr>
        <w:t>”</w:t>
      </w:r>
      <w:r w:rsidRPr="00B81EDA">
        <w:rPr>
          <w:rFonts w:eastAsia="Garamond" w:cs="Garamond"/>
          <w:color w:val="000000" w:themeColor="text1"/>
          <w:szCs w:val="22"/>
        </w:rPr>
        <w:t xml:space="preserve"> including removing gender discrimination from nationality laws.</w:t>
      </w:r>
      <w:r w:rsidRPr="00B81EDA">
        <w:rPr>
          <w:rStyle w:val="FootnoteReference"/>
          <w:rFonts w:eastAsia="Garamond" w:cs="Garamond"/>
          <w:color w:val="000000" w:themeColor="text1"/>
          <w:szCs w:val="22"/>
        </w:rPr>
        <w:footnoteReference w:id="27"/>
      </w:r>
      <w:r w:rsidRPr="00B81EDA">
        <w:rPr>
          <w:rFonts w:eastAsia="Garamond" w:cs="Garamond"/>
          <w:color w:val="000000" w:themeColor="text1"/>
          <w:szCs w:val="22"/>
        </w:rPr>
        <w:t xml:space="preserve"> </w:t>
      </w:r>
      <w:r w:rsidRPr="00B81EDA">
        <w:rPr>
          <w:color w:val="000000" w:themeColor="text1"/>
        </w:rPr>
        <w:t>Preventing women from passing on their nationality to their children can render children stateless, with devastating consequences for their childhood and into adulthood. For example, a mother living in impoverished northwest Syria was unable to secure birth registration documents her five children from her second marriage.</w:t>
      </w:r>
      <w:r w:rsidRPr="00B81EDA">
        <w:rPr>
          <w:rStyle w:val="FootnoteReference"/>
          <w:color w:val="000000" w:themeColor="text1"/>
        </w:rPr>
        <w:footnoteReference w:id="28"/>
      </w:r>
      <w:r w:rsidRPr="00B81EDA">
        <w:rPr>
          <w:color w:val="000000" w:themeColor="text1"/>
        </w:rPr>
        <w:t xml:space="preserve"> Consequently, her children could not access humanitarian aid and healthcare, were unable to register for school, nor move outside the northwest region and return to their home community.</w:t>
      </w:r>
      <w:r w:rsidRPr="00B81EDA">
        <w:rPr>
          <w:rStyle w:val="FootnoteReference"/>
          <w:color w:val="000000" w:themeColor="text1"/>
        </w:rPr>
        <w:footnoteReference w:id="29"/>
      </w:r>
      <w:r w:rsidRPr="00B81EDA">
        <w:rPr>
          <w:color w:val="000000" w:themeColor="text1"/>
        </w:rPr>
        <w:t xml:space="preserve"> This also led her children to work and marry young.</w:t>
      </w:r>
      <w:r w:rsidRPr="00B81EDA">
        <w:rPr>
          <w:rStyle w:val="FootnoteReference"/>
          <w:color w:val="000000" w:themeColor="text1"/>
        </w:rPr>
        <w:footnoteReference w:id="30"/>
      </w:r>
      <w:r w:rsidRPr="00B81EDA">
        <w:rPr>
          <w:color w:val="000000" w:themeColor="text1"/>
        </w:rPr>
        <w:t xml:space="preserve"> </w:t>
      </w:r>
    </w:p>
    <w:p w14:paraId="3C328521" w14:textId="77777777" w:rsidR="00967084" w:rsidRPr="00B81EDA" w:rsidRDefault="00967084" w:rsidP="00967084">
      <w:pPr>
        <w:widowControl w:val="0"/>
        <w:rPr>
          <w:color w:val="000000" w:themeColor="text1"/>
        </w:rPr>
      </w:pPr>
      <w:r w:rsidRPr="00B81EDA">
        <w:rPr>
          <w:color w:val="000000" w:themeColor="text1"/>
        </w:rPr>
        <w:t>(</w:t>
      </w:r>
      <w:r>
        <w:rPr>
          <w:color w:val="000000" w:themeColor="text1"/>
        </w:rPr>
        <w:t>17</w:t>
      </w:r>
      <w:r w:rsidRPr="00B81EDA">
        <w:rPr>
          <w:color w:val="000000" w:themeColor="text1"/>
        </w:rPr>
        <w:t xml:space="preserve">) </w:t>
      </w:r>
      <w:r w:rsidRPr="00B81EDA">
        <w:rPr>
          <w:rFonts w:eastAsia="Garamond" w:cs="Garamond"/>
          <w:color w:val="000000" w:themeColor="text1"/>
          <w:szCs w:val="22"/>
        </w:rPr>
        <w:t>General Comment 32 also refers to the States parties’ duty to support the right of women to benefit, on an equal basis with men, from naturalization for themselves and their spouses, under Articles 1 to 3.</w:t>
      </w:r>
      <w:r w:rsidRPr="00B81EDA">
        <w:rPr>
          <w:rStyle w:val="FootnoteReference"/>
          <w:rFonts w:eastAsia="Garamond" w:cs="Garamond"/>
          <w:color w:val="000000" w:themeColor="text1"/>
          <w:szCs w:val="22"/>
        </w:rPr>
        <w:footnoteReference w:id="31"/>
      </w:r>
      <w:r w:rsidRPr="00B81EDA">
        <w:rPr>
          <w:rFonts w:eastAsia="Garamond" w:cs="Garamond"/>
          <w:color w:val="000000" w:themeColor="text1"/>
          <w:szCs w:val="22"/>
        </w:rPr>
        <w:t xml:space="preserve"> When women are unable to confer their nationality on their stateless spouses, this also creates further risks of statelessness for their children.</w:t>
      </w:r>
      <w:r w:rsidRPr="00B81EDA">
        <w:rPr>
          <w:rStyle w:val="FootnoteReference"/>
          <w:rFonts w:eastAsia="Garamond" w:cs="Garamond"/>
          <w:color w:val="000000" w:themeColor="text1"/>
          <w:szCs w:val="22"/>
        </w:rPr>
        <w:footnoteReference w:id="32"/>
      </w:r>
      <w:r w:rsidRPr="00B81EDA">
        <w:rPr>
          <w:rFonts w:eastAsia="Garamond" w:cs="Garamond"/>
          <w:color w:val="000000" w:themeColor="text1"/>
          <w:szCs w:val="22"/>
        </w:rPr>
        <w:t xml:space="preserve"> </w:t>
      </w:r>
      <w:r w:rsidRPr="00B81EDA">
        <w:rPr>
          <w:color w:val="000000" w:themeColor="text1"/>
        </w:rPr>
        <w:t>Progress towards expanding access to necessary documentation is needed to ensure women and children are enjoying their rights under the Co</w:t>
      </w:r>
      <w:r>
        <w:rPr>
          <w:color w:val="000000" w:themeColor="text1"/>
        </w:rPr>
        <w:t>nvention</w:t>
      </w:r>
      <w:r w:rsidRPr="00B81EDA">
        <w:rPr>
          <w:color w:val="000000" w:themeColor="text1"/>
        </w:rPr>
        <w:t>.</w:t>
      </w:r>
    </w:p>
    <w:p w14:paraId="792A1628" w14:textId="77777777" w:rsidR="00967084" w:rsidRPr="00A27505" w:rsidRDefault="00967084" w:rsidP="00967084">
      <w:pPr>
        <w:pStyle w:val="Heading2"/>
        <w:ind w:left="0" w:firstLine="720"/>
      </w:pPr>
      <w:r w:rsidRPr="00A27505">
        <w:lastRenderedPageBreak/>
        <w:t>II) The Syrian Nationality Law directly violates Article 9</w:t>
      </w:r>
    </w:p>
    <w:p w14:paraId="5EA0EE32" w14:textId="77777777" w:rsidR="00967084" w:rsidRPr="00B81EDA" w:rsidRDefault="00967084" w:rsidP="00967084">
      <w:pPr>
        <w:widowControl w:val="0"/>
        <w:tabs>
          <w:tab w:val="right" w:leader="dot" w:pos="9270"/>
          <w:tab w:val="right" w:leader="dot" w:pos="9360"/>
        </w:tabs>
        <w:rPr>
          <w:rFonts w:eastAsia="Garamond" w:cs="Garamond"/>
          <w:color w:val="000000" w:themeColor="text1"/>
          <w:szCs w:val="22"/>
        </w:rPr>
      </w:pPr>
      <w:r w:rsidRPr="00B81EDA">
        <w:rPr>
          <w:color w:val="000000" w:themeColor="text1"/>
          <w:szCs w:val="22"/>
        </w:rPr>
        <w:t>(</w:t>
      </w:r>
      <w:r>
        <w:rPr>
          <w:color w:val="000000" w:themeColor="text1"/>
        </w:rPr>
        <w:t>18</w:t>
      </w:r>
      <w:r w:rsidRPr="00B81EDA">
        <w:rPr>
          <w:color w:val="000000" w:themeColor="text1"/>
          <w:szCs w:val="22"/>
        </w:rPr>
        <w:t xml:space="preserve">) </w:t>
      </w:r>
      <w:r w:rsidRPr="00B81EDA">
        <w:rPr>
          <w:rFonts w:eastAsia="Garamond" w:cs="Garamond"/>
          <w:color w:val="000000" w:themeColor="text1"/>
          <w:szCs w:val="22"/>
        </w:rPr>
        <w:t>The Syrian Nationality Law violates CEDAW Article 9(1) by not allowing women to transfer their citizenship to their spouse, as Syrian men can.</w:t>
      </w:r>
      <w:r w:rsidRPr="00B81EDA">
        <w:rPr>
          <w:rStyle w:val="FootnoteReference"/>
          <w:color w:val="000000" w:themeColor="text1"/>
        </w:rPr>
        <w:footnoteReference w:id="33"/>
      </w:r>
      <w:r w:rsidRPr="00B81EDA">
        <w:rPr>
          <w:color w:val="000000" w:themeColor="text1"/>
          <w:szCs w:val="22"/>
        </w:rPr>
        <w:t xml:space="preserve"> </w:t>
      </w:r>
      <w:r w:rsidRPr="00B81EDA">
        <w:rPr>
          <w:color w:val="000000" w:themeColor="text1"/>
        </w:rPr>
        <w:t>Article 9(1) of CEDAW recognizes “</w:t>
      </w:r>
      <w:r w:rsidRPr="00B81EDA">
        <w:rPr>
          <w:rFonts w:eastAsia="Garamond" w:cs="Garamond"/>
          <w:color w:val="000000" w:themeColor="text1"/>
          <w:szCs w:val="22"/>
        </w:rPr>
        <w:t xml:space="preserve">States Parties shall grant women equal rights with men to acquire, change or retain their nationality. They shall ensure </w:t>
      </w:r>
      <w:proofErr w:type="gramStart"/>
      <w:r w:rsidRPr="00B81EDA">
        <w:rPr>
          <w:rFonts w:eastAsia="Garamond" w:cs="Garamond"/>
          <w:color w:val="000000" w:themeColor="text1"/>
          <w:szCs w:val="22"/>
        </w:rPr>
        <w:t>in particular that</w:t>
      </w:r>
      <w:proofErr w:type="gramEnd"/>
      <w:r w:rsidRPr="00B81EDA">
        <w:rPr>
          <w:rFonts w:eastAsia="Garamond" w:cs="Garamond"/>
          <w:color w:val="000000" w:themeColor="text1"/>
          <w:szCs w:val="22"/>
        </w:rPr>
        <w:t xml:space="preserve"> neither marriage to an alien nor change of nationality by the husband during marriage shall automatically change the nationality of the wife, render her stateless or force upon her the nationality of the husband.</w:t>
      </w:r>
      <w:r w:rsidRPr="00B81EDA">
        <w:rPr>
          <w:color w:val="000000" w:themeColor="text1"/>
        </w:rPr>
        <w:t>”</w:t>
      </w:r>
      <w:r w:rsidRPr="00B81EDA">
        <w:rPr>
          <w:rStyle w:val="FootnoteReference"/>
          <w:color w:val="000000" w:themeColor="text1"/>
        </w:rPr>
        <w:footnoteReference w:id="34"/>
      </w:r>
      <w:r w:rsidRPr="00B81EDA">
        <w:rPr>
          <w:color w:val="000000" w:themeColor="text1"/>
        </w:rPr>
        <w:t xml:space="preserve"> </w:t>
      </w:r>
    </w:p>
    <w:p w14:paraId="5EDEE322" w14:textId="77777777" w:rsidR="00967084" w:rsidRDefault="00967084" w:rsidP="00967084">
      <w:pPr>
        <w:widowControl w:val="0"/>
        <w:tabs>
          <w:tab w:val="right" w:leader="dot" w:pos="9270"/>
          <w:tab w:val="right" w:leader="dot" w:pos="9360"/>
        </w:tabs>
        <w:rPr>
          <w:color w:val="000000" w:themeColor="text1"/>
        </w:rPr>
      </w:pPr>
      <w:r w:rsidRPr="00B81EDA">
        <w:rPr>
          <w:color w:val="000000" w:themeColor="text1"/>
        </w:rPr>
        <w:t>(2</w:t>
      </w:r>
      <w:r>
        <w:rPr>
          <w:color w:val="000000" w:themeColor="text1"/>
        </w:rPr>
        <w:t>0</w:t>
      </w:r>
      <w:r w:rsidRPr="00B81EDA">
        <w:rPr>
          <w:color w:val="000000" w:themeColor="text1"/>
        </w:rPr>
        <w:t xml:space="preserve">) </w:t>
      </w:r>
      <w:r w:rsidRPr="00B81EDA">
        <w:rPr>
          <w:rFonts w:eastAsia="Garamond" w:cs="Garamond"/>
          <w:color w:val="000000" w:themeColor="text1"/>
          <w:szCs w:val="22"/>
        </w:rPr>
        <w:t xml:space="preserve"> The Committee has recognized the serious consequences of discriminatory laws and practices that prevent women and their children from accessing identity and nationality documentation.</w:t>
      </w:r>
      <w:r w:rsidRPr="00B81EDA">
        <w:rPr>
          <w:rStyle w:val="FootnoteReference"/>
          <w:color w:val="000000" w:themeColor="text1"/>
        </w:rPr>
        <w:footnoteReference w:id="35"/>
      </w:r>
      <w:r w:rsidRPr="00B81EDA">
        <w:rPr>
          <w:color w:val="000000" w:themeColor="text1"/>
        </w:rPr>
        <w:t xml:space="preserve"> This includes, for example, restrictions on freedom of movement, problems gaining access to diplomatic protection, prolonged detention pending determination of identity, and ultimately, being rendered stateless.</w:t>
      </w:r>
      <w:r w:rsidRPr="00B81EDA">
        <w:rPr>
          <w:rStyle w:val="FootnoteReference"/>
          <w:color w:val="000000" w:themeColor="text1"/>
        </w:rPr>
        <w:footnoteReference w:id="36"/>
      </w:r>
      <w:r w:rsidRPr="00B81EDA">
        <w:rPr>
          <w:color w:val="000000" w:themeColor="text1"/>
        </w:rPr>
        <w:t xml:space="preserve"> In General Comment 40, the Committee highlighted the negative link between discriminatory nationality laws and women’s equal participation in political and public life.</w:t>
      </w:r>
      <w:r w:rsidRPr="00B81EDA">
        <w:rPr>
          <w:rStyle w:val="FootnoteReference"/>
          <w:color w:val="000000" w:themeColor="text1"/>
        </w:rPr>
        <w:footnoteReference w:id="37"/>
      </w:r>
      <w:r w:rsidRPr="00B81EDA">
        <w:rPr>
          <w:color w:val="000000" w:themeColor="text1"/>
        </w:rPr>
        <w:t xml:space="preserve"> </w:t>
      </w:r>
      <w:r w:rsidRPr="00B81EDA">
        <w:rPr>
          <w:rFonts w:eastAsia="Garamond" w:cs="Garamond"/>
          <w:color w:val="000000" w:themeColor="text1"/>
          <w:szCs w:val="22"/>
        </w:rPr>
        <w:t xml:space="preserve">For instance, </w:t>
      </w:r>
      <w:r>
        <w:rPr>
          <w:rFonts w:eastAsia="Garamond" w:cs="Garamond"/>
          <w:color w:val="000000" w:themeColor="text1"/>
          <w:szCs w:val="22"/>
        </w:rPr>
        <w:t>A</w:t>
      </w:r>
      <w:r w:rsidRPr="00B81EDA">
        <w:rPr>
          <w:rFonts w:eastAsia="Garamond" w:cs="Garamond"/>
          <w:color w:val="000000" w:themeColor="text1"/>
          <w:szCs w:val="22"/>
        </w:rPr>
        <w:t>rticle 7(a) guarantees women the right to vote in all elections and referendums. However, the Committee noted that national laws may deny women this right based on marital or family status</w:t>
      </w:r>
      <w:r w:rsidRPr="00B81EDA">
        <w:rPr>
          <w:color w:val="000000" w:themeColor="text1"/>
        </w:rPr>
        <w:t>.</w:t>
      </w:r>
      <w:r w:rsidRPr="00B81EDA">
        <w:rPr>
          <w:rStyle w:val="FootnoteReference"/>
          <w:color w:val="000000" w:themeColor="text1"/>
        </w:rPr>
        <w:footnoteReference w:id="38"/>
      </w:r>
      <w:r w:rsidRPr="00B81EDA">
        <w:rPr>
          <w:color w:val="000000" w:themeColor="text1"/>
        </w:rPr>
        <w:t xml:space="preserve"> The lack of necessary identification documents leads to a deprivation of women’s voting rights, and many other essential needs that are controlled via official documentation.</w:t>
      </w:r>
      <w:r w:rsidRPr="00B81EDA">
        <w:rPr>
          <w:rStyle w:val="FootnoteReference"/>
          <w:color w:val="000000" w:themeColor="text1"/>
        </w:rPr>
        <w:footnoteReference w:id="39"/>
      </w:r>
      <w:r w:rsidRPr="00B81EDA">
        <w:rPr>
          <w:color w:val="000000" w:themeColor="text1"/>
        </w:rPr>
        <w:t xml:space="preserve"> The Committee urged State Parties to repeal discriminatory nationality laws in General Comment 40 to ensure that women can exercise their right to vote on equal terms with men.</w:t>
      </w:r>
      <w:r w:rsidRPr="00B81EDA">
        <w:rPr>
          <w:rStyle w:val="FootnoteReference"/>
          <w:color w:val="000000" w:themeColor="text1"/>
        </w:rPr>
        <w:footnoteReference w:id="40"/>
      </w:r>
    </w:p>
    <w:p w14:paraId="27BC6991" w14:textId="77777777" w:rsidR="00967084" w:rsidRPr="00B81EDA" w:rsidRDefault="00967084" w:rsidP="00967084">
      <w:pPr>
        <w:widowControl w:val="0"/>
        <w:tabs>
          <w:tab w:val="right" w:leader="dot" w:pos="9270"/>
          <w:tab w:val="right" w:leader="dot" w:pos="9360"/>
        </w:tabs>
        <w:rPr>
          <w:rFonts w:eastAsia="Garamond" w:cs="Garamond"/>
          <w:color w:val="000000" w:themeColor="text1"/>
          <w:szCs w:val="22"/>
        </w:rPr>
      </w:pPr>
      <w:r w:rsidRPr="00B81EDA">
        <w:rPr>
          <w:color w:val="000000" w:themeColor="text1"/>
        </w:rPr>
        <w:t>(</w:t>
      </w:r>
      <w:r>
        <w:rPr>
          <w:color w:val="000000" w:themeColor="text1"/>
        </w:rPr>
        <w:t>21</w:t>
      </w:r>
      <w:r w:rsidRPr="00B81EDA">
        <w:rPr>
          <w:color w:val="000000" w:themeColor="text1"/>
        </w:rPr>
        <w:t xml:space="preserve">) In the concluding observations of Syria’s initial report in 2007, the Committee called </w:t>
      </w:r>
      <w:r w:rsidRPr="00B81EDA">
        <w:rPr>
          <w:rFonts w:eastAsia="Garamond" w:cs="Garamond"/>
          <w:color w:val="000000" w:themeColor="text1"/>
          <w:szCs w:val="22"/>
        </w:rPr>
        <w:t xml:space="preserve">upon Syria </w:t>
      </w:r>
      <w:r w:rsidRPr="00B81EDA">
        <w:rPr>
          <w:color w:val="000000" w:themeColor="text1"/>
        </w:rPr>
        <w:t>“</w:t>
      </w:r>
      <w:r w:rsidRPr="00B81EDA">
        <w:rPr>
          <w:rFonts w:eastAsia="Garamond" w:cs="Garamond"/>
          <w:color w:val="000000" w:themeColor="text1"/>
          <w:szCs w:val="22"/>
        </w:rPr>
        <w:t>to give high priority to its law reform process and to modify or repeal, without delay and within a clear time frame, discriminatory legislation, including discriminatory provisions in its Personal Status Act, Penal Code and Nationality Act.</w:t>
      </w:r>
      <w:r w:rsidRPr="00B81EDA">
        <w:rPr>
          <w:rStyle w:val="FootnoteReference"/>
          <w:color w:val="000000" w:themeColor="text1"/>
        </w:rPr>
        <w:footnoteReference w:id="41"/>
      </w:r>
      <w:r w:rsidRPr="00B81EDA">
        <w:rPr>
          <w:rFonts w:eastAsia="Garamond" w:cs="Garamond"/>
          <w:color w:val="000000" w:themeColor="text1"/>
          <w:szCs w:val="22"/>
        </w:rPr>
        <w:t xml:space="preserve"> In 2014, the Committee again called on Syria to repeal all discriminatory provisions of the Penal Code, the Personal Status Act, the Nationality Act and other relevant legislation, regulations and directives, including the </w:t>
      </w:r>
      <w:r w:rsidRPr="00B81EDA">
        <w:rPr>
          <w:color w:val="000000" w:themeColor="text1"/>
        </w:rPr>
        <w:t>“</w:t>
      </w:r>
      <w:r w:rsidRPr="00B81EDA">
        <w:rPr>
          <w:rFonts w:eastAsia="Garamond" w:cs="Garamond"/>
          <w:color w:val="000000" w:themeColor="text1"/>
          <w:szCs w:val="22"/>
        </w:rPr>
        <w:t>[d]</w:t>
      </w:r>
      <w:proofErr w:type="spellStart"/>
      <w:r w:rsidRPr="00B81EDA">
        <w:rPr>
          <w:rFonts w:eastAsia="Garamond" w:cs="Garamond"/>
          <w:color w:val="000000" w:themeColor="text1"/>
          <w:szCs w:val="22"/>
        </w:rPr>
        <w:t>iscriminatory</w:t>
      </w:r>
      <w:proofErr w:type="spellEnd"/>
      <w:r w:rsidRPr="00B81EDA">
        <w:rPr>
          <w:rFonts w:eastAsia="Garamond" w:cs="Garamond"/>
          <w:color w:val="000000" w:themeColor="text1"/>
          <w:szCs w:val="22"/>
        </w:rPr>
        <w:t xml:space="preserve"> provisions against women in various </w:t>
      </w:r>
      <w:r>
        <w:rPr>
          <w:rFonts w:eastAsia="Garamond" w:cs="Garamond"/>
          <w:color w:val="000000" w:themeColor="text1"/>
          <w:szCs w:val="22"/>
        </w:rPr>
        <w:t>A</w:t>
      </w:r>
      <w:r w:rsidRPr="00B81EDA">
        <w:rPr>
          <w:rFonts w:eastAsia="Garamond" w:cs="Garamond"/>
          <w:color w:val="000000" w:themeColor="text1"/>
          <w:szCs w:val="22"/>
        </w:rPr>
        <w:t xml:space="preserve">rticles of the Penal Code (e.g. </w:t>
      </w:r>
      <w:r w:rsidRPr="00B81EDA">
        <w:rPr>
          <w:rFonts w:eastAsia="Garamond" w:cs="Garamond"/>
          <w:color w:val="000000" w:themeColor="text1"/>
          <w:szCs w:val="22"/>
        </w:rPr>
        <w:lastRenderedPageBreak/>
        <w:t xml:space="preserve">arts. 473-475, 508 and 548), the Personal Status Act (e.g. arts. 12, 37, 70, 85 and 163) and </w:t>
      </w:r>
      <w:r>
        <w:rPr>
          <w:rFonts w:eastAsia="Garamond" w:cs="Garamond"/>
          <w:color w:val="000000" w:themeColor="text1"/>
          <w:szCs w:val="22"/>
        </w:rPr>
        <w:t>A</w:t>
      </w:r>
      <w:r w:rsidRPr="00B81EDA">
        <w:rPr>
          <w:rFonts w:eastAsia="Garamond" w:cs="Garamond"/>
          <w:color w:val="000000" w:themeColor="text1"/>
          <w:szCs w:val="22"/>
        </w:rPr>
        <w:t>rticle 3 of the Nationality Act.”</w:t>
      </w:r>
      <w:r w:rsidRPr="00B81EDA">
        <w:rPr>
          <w:rStyle w:val="FootnoteReference"/>
          <w:rFonts w:eastAsia="Garamond" w:cs="Garamond"/>
          <w:color w:val="000000" w:themeColor="text1"/>
          <w:szCs w:val="22"/>
        </w:rPr>
        <w:footnoteReference w:id="42"/>
      </w:r>
    </w:p>
    <w:p w14:paraId="022AADD5" w14:textId="77777777" w:rsidR="00967084" w:rsidRPr="00B81EDA" w:rsidRDefault="00967084" w:rsidP="00967084">
      <w:pPr>
        <w:widowControl w:val="0"/>
        <w:rPr>
          <w:rFonts w:eastAsia="Garamond" w:cs="Garamond"/>
          <w:color w:val="000000" w:themeColor="text1"/>
          <w:szCs w:val="22"/>
        </w:rPr>
      </w:pPr>
      <w:r w:rsidRPr="00B81EDA">
        <w:rPr>
          <w:rFonts w:eastAsia="Garamond" w:cs="Garamond"/>
          <w:color w:val="000000" w:themeColor="text1"/>
          <w:szCs w:val="22"/>
        </w:rPr>
        <w:t>(</w:t>
      </w:r>
      <w:r>
        <w:rPr>
          <w:rFonts w:eastAsia="Garamond" w:cs="Garamond"/>
          <w:color w:val="000000" w:themeColor="text1"/>
          <w:szCs w:val="22"/>
        </w:rPr>
        <w:t>22</w:t>
      </w:r>
      <w:r w:rsidRPr="00B81EDA">
        <w:rPr>
          <w:rFonts w:eastAsia="Garamond" w:cs="Garamond"/>
          <w:color w:val="000000" w:themeColor="text1"/>
          <w:szCs w:val="22"/>
        </w:rPr>
        <w:t>)Additionally, in the context of the conflict, the Committee noted the adverse impact of displacement and statelessness on women and their children, including those born as a consequence of rape, marriage jihad (jihad al-nikah), and child marriages.</w:t>
      </w:r>
      <w:r w:rsidRPr="00B81EDA">
        <w:rPr>
          <w:rStyle w:val="FootnoteReference"/>
          <w:rFonts w:eastAsia="Garamond" w:cs="Garamond"/>
          <w:color w:val="000000" w:themeColor="text1"/>
          <w:szCs w:val="22"/>
        </w:rPr>
        <w:footnoteReference w:id="43"/>
      </w:r>
      <w:r w:rsidRPr="00B81EDA">
        <w:rPr>
          <w:rFonts w:eastAsia="Garamond" w:cs="Garamond"/>
          <w:color w:val="000000" w:themeColor="text1"/>
          <w:szCs w:val="22"/>
        </w:rPr>
        <w:t xml:space="preserve">  The Committee further emphasized the “slow pace of implementation of Decree No. 49/2011 granting nationality to Syrian Kurds and the fact that many women who should benefit from the decree are stateless.”</w:t>
      </w:r>
      <w:r w:rsidRPr="00B81EDA">
        <w:rPr>
          <w:rStyle w:val="FootnoteReference"/>
          <w:rFonts w:eastAsia="Garamond" w:cs="Garamond"/>
          <w:color w:val="000000" w:themeColor="text1"/>
          <w:szCs w:val="22"/>
        </w:rPr>
        <w:footnoteReference w:id="44"/>
      </w:r>
    </w:p>
    <w:p w14:paraId="3A5B62CD" w14:textId="77777777" w:rsidR="00967084" w:rsidRPr="00B81EDA" w:rsidRDefault="00967084" w:rsidP="00967084">
      <w:pPr>
        <w:rPr>
          <w:rFonts w:eastAsia="Garamond" w:cs="Garamond"/>
          <w:color w:val="000000" w:themeColor="text1"/>
          <w:szCs w:val="22"/>
        </w:rPr>
      </w:pPr>
      <w:r w:rsidRPr="00B81EDA">
        <w:rPr>
          <w:rFonts w:eastAsia="Garamond" w:cs="Garamond"/>
          <w:color w:val="000000" w:themeColor="text1"/>
          <w:szCs w:val="22"/>
        </w:rPr>
        <w:t>(</w:t>
      </w:r>
      <w:r>
        <w:rPr>
          <w:rFonts w:eastAsia="Garamond" w:cs="Garamond"/>
          <w:color w:val="000000" w:themeColor="text1"/>
          <w:szCs w:val="22"/>
        </w:rPr>
        <w:t>23</w:t>
      </w:r>
      <w:r w:rsidRPr="00B81EDA">
        <w:rPr>
          <w:rFonts w:eastAsia="Garamond" w:cs="Garamond"/>
          <w:color w:val="000000" w:themeColor="text1"/>
          <w:szCs w:val="22"/>
        </w:rPr>
        <w:t>) In June 2023, Commissioner Lynn Welchman spoke on the gendered impact of the conflict in the Syrian Arab Republic on women in girls.</w:t>
      </w:r>
      <w:r w:rsidRPr="00B81EDA">
        <w:rPr>
          <w:rStyle w:val="FootnoteReference"/>
          <w:rFonts w:eastAsia="Garamond" w:cs="Garamond"/>
          <w:color w:val="000000" w:themeColor="text1"/>
          <w:szCs w:val="22"/>
        </w:rPr>
        <w:footnoteReference w:id="45"/>
      </w:r>
      <w:r w:rsidRPr="00B81EDA">
        <w:rPr>
          <w:rFonts w:eastAsia="Garamond" w:cs="Garamond"/>
          <w:color w:val="000000" w:themeColor="text1"/>
          <w:szCs w:val="22"/>
        </w:rPr>
        <w:t xml:space="preserve"> During the conflict, unregistered or uncustomary marriages grew exponentially, which particularly affects the families of widows and other women-headed households.</w:t>
      </w:r>
      <w:r w:rsidRPr="00B81EDA">
        <w:rPr>
          <w:rStyle w:val="FootnoteReference"/>
          <w:rFonts w:eastAsia="Garamond" w:cs="Garamond"/>
          <w:color w:val="000000" w:themeColor="text1"/>
          <w:szCs w:val="22"/>
        </w:rPr>
        <w:footnoteReference w:id="46"/>
      </w:r>
      <w:r w:rsidRPr="00B81EDA">
        <w:rPr>
          <w:rFonts w:eastAsia="Garamond" w:cs="Garamond"/>
          <w:color w:val="000000" w:themeColor="text1"/>
          <w:szCs w:val="22"/>
        </w:rPr>
        <w:t xml:space="preserve"> Their children remain at an increased risk of statelessness, which may compromise their recognition as a person before the law.</w:t>
      </w:r>
      <w:r w:rsidRPr="00B81EDA">
        <w:rPr>
          <w:rStyle w:val="FootnoteReference"/>
          <w:rFonts w:eastAsia="Garamond" w:cs="Garamond"/>
          <w:color w:val="000000" w:themeColor="text1"/>
          <w:szCs w:val="22"/>
        </w:rPr>
        <w:footnoteReference w:id="47"/>
      </w:r>
      <w:r w:rsidRPr="00B81EDA">
        <w:rPr>
          <w:rFonts w:eastAsia="Garamond" w:cs="Garamond"/>
          <w:color w:val="000000" w:themeColor="text1"/>
          <w:szCs w:val="22"/>
        </w:rPr>
        <w:t xml:space="preserve"> Lack of documentation also hampers access to education and medical services, putting further strain on female-headed households.</w:t>
      </w:r>
      <w:r w:rsidRPr="00B81EDA">
        <w:rPr>
          <w:rStyle w:val="FootnoteReference"/>
          <w:rFonts w:eastAsia="Garamond" w:cs="Garamond"/>
          <w:color w:val="000000" w:themeColor="text1"/>
          <w:szCs w:val="22"/>
        </w:rPr>
        <w:footnoteReference w:id="48"/>
      </w:r>
      <w:r w:rsidRPr="00B81EDA">
        <w:rPr>
          <w:rFonts w:eastAsia="Garamond" w:cs="Garamond"/>
          <w:color w:val="000000" w:themeColor="text1"/>
          <w:szCs w:val="22"/>
        </w:rPr>
        <w:t xml:space="preserve"> Moreover, women-headed households are twice as likely to report a complete inability to meet basic needs in comparison with male-headed households.</w:t>
      </w:r>
      <w:r w:rsidRPr="00B81EDA">
        <w:rPr>
          <w:rStyle w:val="FootnoteReference"/>
          <w:rFonts w:eastAsia="Garamond" w:cs="Garamond"/>
          <w:color w:val="000000" w:themeColor="text1"/>
          <w:szCs w:val="22"/>
        </w:rPr>
        <w:footnoteReference w:id="49"/>
      </w:r>
      <w:r w:rsidRPr="00B81EDA">
        <w:rPr>
          <w:rFonts w:eastAsia="Garamond" w:cs="Garamond"/>
          <w:color w:val="000000" w:themeColor="text1"/>
          <w:szCs w:val="22"/>
        </w:rPr>
        <w:t xml:space="preserve"> Of the 6 million Syrians in dire need of nutritional assistance, 74% are women and girls.</w:t>
      </w:r>
      <w:r w:rsidRPr="00B81EDA">
        <w:rPr>
          <w:rStyle w:val="FootnoteReference"/>
          <w:rFonts w:eastAsia="Garamond" w:cs="Garamond"/>
          <w:color w:val="000000" w:themeColor="text1"/>
          <w:szCs w:val="22"/>
        </w:rPr>
        <w:footnoteReference w:id="50"/>
      </w:r>
    </w:p>
    <w:p w14:paraId="5EEA2292" w14:textId="77777777" w:rsidR="00967084" w:rsidRPr="00B81EDA" w:rsidRDefault="00967084" w:rsidP="00967084">
      <w:pPr>
        <w:rPr>
          <w:rFonts w:eastAsia="Garamond" w:cs="Garamond"/>
          <w:i/>
          <w:iCs/>
          <w:color w:val="000000" w:themeColor="text1"/>
          <w:szCs w:val="22"/>
        </w:rPr>
      </w:pPr>
      <w:r w:rsidRPr="00B81EDA">
        <w:rPr>
          <w:rFonts w:eastAsia="Garamond" w:cs="Garamond"/>
          <w:color w:val="000000" w:themeColor="text1"/>
          <w:szCs w:val="22"/>
        </w:rPr>
        <w:t>(</w:t>
      </w:r>
      <w:r>
        <w:rPr>
          <w:rFonts w:eastAsia="Garamond" w:cs="Garamond"/>
          <w:color w:val="000000" w:themeColor="text1"/>
          <w:szCs w:val="22"/>
        </w:rPr>
        <w:t>24</w:t>
      </w:r>
      <w:r w:rsidRPr="00B81EDA">
        <w:rPr>
          <w:rFonts w:eastAsia="Garamond" w:cs="Garamond"/>
          <w:color w:val="000000" w:themeColor="text1"/>
          <w:szCs w:val="22"/>
        </w:rPr>
        <w:t>) Further, as the Committee explained in General Comment 32, gender inequality can also render children stateless when their mothers are prevented, on an equal basis with fathers, from transmitting their nationality to their children.</w:t>
      </w:r>
      <w:r w:rsidRPr="00B81EDA">
        <w:rPr>
          <w:rStyle w:val="FootnoteReference"/>
          <w:rFonts w:eastAsia="Garamond" w:cs="Garamond"/>
          <w:color w:val="000000" w:themeColor="text1"/>
          <w:szCs w:val="22"/>
        </w:rPr>
        <w:footnoteReference w:id="51"/>
      </w:r>
      <w:r w:rsidRPr="00B81EDA">
        <w:rPr>
          <w:rFonts w:eastAsia="Garamond" w:cs="Garamond"/>
          <w:color w:val="000000" w:themeColor="text1"/>
          <w:szCs w:val="22"/>
        </w:rPr>
        <w:t xml:space="preserve"> In this way, discrimination against women can lead to a cycle of statelessness that can be perpetuated from generation to generation.</w:t>
      </w:r>
      <w:r w:rsidRPr="00B81EDA">
        <w:rPr>
          <w:rStyle w:val="FootnoteReference"/>
          <w:rFonts w:eastAsia="Garamond" w:cs="Garamond"/>
          <w:color w:val="000000" w:themeColor="text1"/>
          <w:szCs w:val="22"/>
        </w:rPr>
        <w:footnoteReference w:id="52"/>
      </w:r>
    </w:p>
    <w:p w14:paraId="573D328C" w14:textId="77777777" w:rsidR="00967084" w:rsidRPr="00A27505" w:rsidRDefault="00967084" w:rsidP="00967084">
      <w:pPr>
        <w:pStyle w:val="Heading2"/>
        <w:tabs>
          <w:tab w:val="clear" w:pos="9270"/>
        </w:tabs>
        <w:ind w:left="0" w:firstLine="720"/>
        <w:rPr>
          <w:rFonts w:eastAsia="Garamond"/>
        </w:rPr>
      </w:pPr>
      <w:r w:rsidRPr="00A27505">
        <w:rPr>
          <w:rFonts w:eastAsia="Garamond"/>
        </w:rPr>
        <w:t>I</w:t>
      </w:r>
      <w:r>
        <w:rPr>
          <w:rFonts w:eastAsia="Garamond"/>
        </w:rPr>
        <w:t>I</w:t>
      </w:r>
      <w:r w:rsidRPr="00A27505">
        <w:rPr>
          <w:rFonts w:eastAsia="Garamond"/>
        </w:rPr>
        <w:t>I) The discriminatory nationality law’s impact on children</w:t>
      </w:r>
    </w:p>
    <w:p w14:paraId="61C91A32" w14:textId="77777777" w:rsidR="00967084" w:rsidRPr="00B81EDA" w:rsidRDefault="00967084" w:rsidP="00967084">
      <w:pPr>
        <w:widowControl w:val="0"/>
        <w:rPr>
          <w:rFonts w:eastAsia="Garamond" w:cs="Garamond"/>
          <w:color w:val="000000" w:themeColor="text1"/>
          <w:szCs w:val="22"/>
        </w:rPr>
      </w:pPr>
      <w:r w:rsidRPr="00B81EDA">
        <w:rPr>
          <w:rFonts w:eastAsia="Garamond" w:cs="Garamond"/>
          <w:color w:val="000000" w:themeColor="text1"/>
          <w:szCs w:val="22"/>
        </w:rPr>
        <w:t>(</w:t>
      </w:r>
      <w:r>
        <w:rPr>
          <w:rFonts w:eastAsia="Garamond" w:cs="Garamond"/>
          <w:color w:val="000000" w:themeColor="text1"/>
          <w:szCs w:val="22"/>
        </w:rPr>
        <w:t>25</w:t>
      </w:r>
      <w:r w:rsidRPr="00B81EDA">
        <w:rPr>
          <w:rFonts w:eastAsia="Garamond" w:cs="Garamond"/>
          <w:color w:val="000000" w:themeColor="text1"/>
          <w:szCs w:val="22"/>
        </w:rPr>
        <w:t>) Despite ratifying CEDAW in 2003, Syria included reservations</w:t>
      </w:r>
      <w:r w:rsidRPr="00B81EDA">
        <w:rPr>
          <w:color w:val="000000" w:themeColor="text1"/>
        </w:rPr>
        <w:t xml:space="preserve"> to Article 9(2), </w:t>
      </w:r>
      <w:r w:rsidRPr="00B81EDA">
        <w:rPr>
          <w:rFonts w:eastAsia="Garamond" w:cs="Garamond"/>
          <w:color w:val="000000" w:themeColor="text1"/>
          <w:szCs w:val="22"/>
        </w:rPr>
        <w:t xml:space="preserve">claiming </w:t>
      </w:r>
      <w:r w:rsidRPr="00B81EDA">
        <w:rPr>
          <w:rFonts w:eastAsia="Garamond" w:cs="Garamond"/>
          <w:color w:val="000000" w:themeColor="text1"/>
          <w:szCs w:val="22"/>
        </w:rPr>
        <w:lastRenderedPageBreak/>
        <w:t xml:space="preserve">incompatibility with </w:t>
      </w:r>
      <w:proofErr w:type="spellStart"/>
      <w:r w:rsidRPr="00B81EDA">
        <w:rPr>
          <w:rFonts w:eastAsia="Garamond" w:cs="Garamond"/>
          <w:i/>
          <w:iCs/>
          <w:color w:val="000000" w:themeColor="text1"/>
          <w:szCs w:val="22"/>
        </w:rPr>
        <w:t>Shari’a</w:t>
      </w:r>
      <w:proofErr w:type="spellEnd"/>
      <w:r w:rsidRPr="00B81EDA">
        <w:rPr>
          <w:rFonts w:eastAsia="Garamond" w:cs="Garamond"/>
          <w:i/>
          <w:iCs/>
          <w:color w:val="000000" w:themeColor="text1"/>
          <w:szCs w:val="22"/>
        </w:rPr>
        <w:t xml:space="preserve"> </w:t>
      </w:r>
      <w:r w:rsidRPr="00B81EDA">
        <w:rPr>
          <w:rFonts w:eastAsia="Garamond" w:cs="Garamond"/>
          <w:color w:val="000000" w:themeColor="text1"/>
          <w:szCs w:val="22"/>
        </w:rPr>
        <w:t>law.</w:t>
      </w:r>
      <w:r w:rsidRPr="00B81EDA">
        <w:rPr>
          <w:rStyle w:val="FootnoteReference"/>
          <w:rFonts w:eastAsia="Garamond" w:cs="Garamond"/>
          <w:color w:val="000000" w:themeColor="text1"/>
          <w:szCs w:val="22"/>
        </w:rPr>
        <w:footnoteReference w:id="53"/>
      </w:r>
      <w:r w:rsidRPr="00B81EDA">
        <w:rPr>
          <w:rFonts w:eastAsia="Garamond" w:cs="Garamond"/>
          <w:color w:val="000000" w:themeColor="text1"/>
          <w:szCs w:val="22"/>
        </w:rPr>
        <w:t xml:space="preserve"> Reserving Article 9(2) is contrary to its obligations to follow the object and purpose of CEDAW, as stated by the Committee in their 2007 concluding observation, and again in their 2014 concluding observations, when they called on Syria to withdraw its reservation to Article 9.</w:t>
      </w:r>
      <w:r w:rsidRPr="00B81EDA">
        <w:rPr>
          <w:rStyle w:val="FootnoteReference"/>
          <w:rFonts w:eastAsia="Garamond" w:cs="Garamond"/>
          <w:color w:val="000000" w:themeColor="text1"/>
          <w:szCs w:val="22"/>
        </w:rPr>
        <w:footnoteReference w:id="54"/>
      </w:r>
    </w:p>
    <w:p w14:paraId="7AFEDB3C" w14:textId="77777777" w:rsidR="00967084" w:rsidRPr="00B81EDA" w:rsidRDefault="00967084" w:rsidP="00967084">
      <w:pPr>
        <w:rPr>
          <w:rFonts w:eastAsia="Garamond" w:cs="Garamond"/>
          <w:color w:val="000000" w:themeColor="text1"/>
          <w:szCs w:val="22"/>
        </w:rPr>
      </w:pPr>
      <w:r w:rsidRPr="00B81EDA">
        <w:rPr>
          <w:color w:val="000000" w:themeColor="text1"/>
        </w:rPr>
        <w:t>(</w:t>
      </w:r>
      <w:r>
        <w:rPr>
          <w:color w:val="000000" w:themeColor="text1"/>
        </w:rPr>
        <w:t>26</w:t>
      </w:r>
      <w:r w:rsidRPr="00B81EDA">
        <w:rPr>
          <w:color w:val="000000" w:themeColor="text1"/>
        </w:rPr>
        <w:t>) In their General Comment 32, this Committee recommended t</w:t>
      </w:r>
      <w:r w:rsidRPr="00B81EDA">
        <w:rPr>
          <w:rFonts w:eastAsia="Garamond" w:cs="Garamond"/>
          <w:color w:val="000000" w:themeColor="text1"/>
          <w:szCs w:val="22"/>
        </w:rPr>
        <w:t>hat, among other suggestions, State Parties should review and reform their nationality laws to ensure equality of women and men with regard to the acquisition, changing, and retention of nationality, and to enable women to transmit their nationality to their children and foreign spouses.</w:t>
      </w:r>
      <w:r w:rsidRPr="00B81EDA">
        <w:rPr>
          <w:rStyle w:val="FootnoteReference"/>
          <w:rFonts w:eastAsia="Garamond" w:cs="Garamond"/>
          <w:color w:val="000000" w:themeColor="text1"/>
          <w:szCs w:val="22"/>
        </w:rPr>
        <w:footnoteReference w:id="55"/>
      </w:r>
      <w:r w:rsidRPr="00B81EDA">
        <w:rPr>
          <w:rFonts w:eastAsia="Garamond" w:cs="Garamond"/>
          <w:color w:val="000000" w:themeColor="text1"/>
          <w:szCs w:val="22"/>
        </w:rPr>
        <w:t xml:space="preserve"> This recommendation included removing any obstacles to practical implementation of such laws.</w:t>
      </w:r>
      <w:r w:rsidRPr="00B81EDA">
        <w:rPr>
          <w:rStyle w:val="FootnoteReference"/>
          <w:rFonts w:eastAsia="Garamond" w:cs="Garamond"/>
          <w:color w:val="000000" w:themeColor="text1"/>
          <w:szCs w:val="22"/>
        </w:rPr>
        <w:footnoteReference w:id="56"/>
      </w:r>
    </w:p>
    <w:p w14:paraId="1E2D7C4B" w14:textId="77777777" w:rsidR="00967084" w:rsidRPr="00B81EDA" w:rsidRDefault="00967084" w:rsidP="00967084">
      <w:pPr>
        <w:widowControl w:val="0"/>
        <w:rPr>
          <w:rFonts w:eastAsia="Garamond" w:cs="Garamond"/>
          <w:color w:val="000000" w:themeColor="text1"/>
          <w:szCs w:val="22"/>
        </w:rPr>
      </w:pPr>
      <w:r w:rsidRPr="00B81EDA">
        <w:rPr>
          <w:rFonts w:eastAsia="Garamond" w:cs="Garamond"/>
          <w:color w:val="000000" w:themeColor="text1"/>
          <w:szCs w:val="22"/>
        </w:rPr>
        <w:t>(</w:t>
      </w:r>
      <w:r>
        <w:rPr>
          <w:rFonts w:eastAsia="Garamond" w:cs="Garamond"/>
          <w:color w:val="000000" w:themeColor="text1"/>
          <w:szCs w:val="22"/>
        </w:rPr>
        <w:t>27</w:t>
      </w:r>
      <w:r w:rsidRPr="00B81EDA">
        <w:rPr>
          <w:rFonts w:eastAsia="Garamond" w:cs="Garamond"/>
          <w:color w:val="000000" w:themeColor="text1"/>
          <w:szCs w:val="22"/>
        </w:rPr>
        <w:t xml:space="preserve">) Under Article 9 of the Convention, Syrian women should have equal legal capacity to confer their nationality to their children, wherever they are born and regardless of the circumstances of their patronage. The government should urgently take steps to issue official and recognized identity documents for children in all parts of the country, including children in women headed families, as well as those abroad. To fulfill its obligations under CEDAW, the government must ensure Syrian nationality may be passed equally from a mother to her child, as it is for a father to his child. </w:t>
      </w:r>
    </w:p>
    <w:p w14:paraId="52060783" w14:textId="77777777" w:rsidR="00967084" w:rsidRPr="00B81EDA" w:rsidRDefault="00967084" w:rsidP="00967084">
      <w:pPr>
        <w:widowControl w:val="0"/>
        <w:rPr>
          <w:rFonts w:eastAsia="Garamond" w:cs="Garamond"/>
          <w:color w:val="000000" w:themeColor="text1"/>
          <w:szCs w:val="22"/>
        </w:rPr>
      </w:pPr>
      <w:r w:rsidRPr="00B81EDA">
        <w:rPr>
          <w:rFonts w:eastAsia="Garamond" w:cs="Garamond"/>
          <w:color w:val="000000" w:themeColor="text1"/>
          <w:szCs w:val="22"/>
        </w:rPr>
        <w:t>(</w:t>
      </w:r>
      <w:r>
        <w:rPr>
          <w:rFonts w:eastAsia="Garamond" w:cs="Garamond"/>
          <w:color w:val="000000" w:themeColor="text1"/>
          <w:szCs w:val="22"/>
        </w:rPr>
        <w:t>28</w:t>
      </w:r>
      <w:r w:rsidRPr="00B81EDA">
        <w:rPr>
          <w:rFonts w:eastAsia="Garamond" w:cs="Garamond"/>
          <w:color w:val="000000" w:themeColor="text1"/>
          <w:szCs w:val="22"/>
        </w:rPr>
        <w:t xml:space="preserve">) The gender-discriminatory gender law only exacerbates the issue of statelessness amongst Syrian children and stands as an arbitrary legal barrier to gender equality, as required by the Convention. While statistics are unavailable, information collected by humanitarian agencies indicates that </w:t>
      </w:r>
      <w:r w:rsidRPr="000009B1">
        <w:rPr>
          <w:rFonts w:eastAsia="Garamond" w:cs="Garamond"/>
          <w:color w:val="000000" w:themeColor="text1"/>
          <w:szCs w:val="22"/>
        </w:rPr>
        <w:t>S</w:t>
      </w:r>
      <w:r w:rsidRPr="00B81EDA">
        <w:rPr>
          <w:rFonts w:eastAsia="Garamond" w:cs="Garamond"/>
          <w:color w:val="000000" w:themeColor="text1"/>
          <w:szCs w:val="22"/>
        </w:rPr>
        <w:t>yrian children frequently lack civil documentation or identification documents, and are at risk of remaining unregistered, and in practical terms, stateless.</w:t>
      </w:r>
      <w:r w:rsidRPr="00B81EDA">
        <w:rPr>
          <w:rStyle w:val="FootnoteReference"/>
          <w:rFonts w:eastAsia="Garamond" w:cs="Garamond"/>
          <w:color w:val="000000" w:themeColor="text1"/>
          <w:szCs w:val="22"/>
        </w:rPr>
        <w:footnoteReference w:id="57"/>
      </w:r>
      <w:r w:rsidRPr="00B81EDA">
        <w:rPr>
          <w:rFonts w:eastAsia="Garamond" w:cs="Garamond"/>
          <w:color w:val="000000" w:themeColor="text1"/>
          <w:szCs w:val="22"/>
        </w:rPr>
        <w:t xml:space="preserve"> </w:t>
      </w:r>
    </w:p>
    <w:p w14:paraId="4C5B0441" w14:textId="77777777" w:rsidR="00967084" w:rsidRPr="005F008D" w:rsidRDefault="00967084" w:rsidP="00967084">
      <w:pPr>
        <w:pStyle w:val="Heading2"/>
        <w:tabs>
          <w:tab w:val="clear" w:pos="9270"/>
        </w:tabs>
        <w:ind w:left="0" w:firstLine="720"/>
      </w:pPr>
      <w:bookmarkStart w:id="5" w:name="_Toc154935343"/>
      <w:r w:rsidRPr="005F008D">
        <w:t>IV) Statutory safeguards protecting Syrian children’s rights to nationality are not implemented in practice</w:t>
      </w:r>
      <w:bookmarkEnd w:id="5"/>
    </w:p>
    <w:p w14:paraId="5ABF1F62" w14:textId="77777777" w:rsidR="00967084" w:rsidRPr="00B81EDA" w:rsidRDefault="00967084" w:rsidP="00967084">
      <w:pPr>
        <w:widowControl w:val="0"/>
        <w:rPr>
          <w:rFonts w:eastAsia="Garamond" w:cs="Garamond"/>
          <w:color w:val="000000" w:themeColor="text1"/>
        </w:rPr>
      </w:pPr>
      <w:r w:rsidRPr="00B81EDA">
        <w:rPr>
          <w:color w:val="000000" w:themeColor="text1"/>
        </w:rPr>
        <w:t>(</w:t>
      </w:r>
      <w:r>
        <w:rPr>
          <w:color w:val="000000" w:themeColor="text1"/>
        </w:rPr>
        <w:t>29</w:t>
      </w:r>
      <w:r w:rsidRPr="00B81EDA">
        <w:rPr>
          <w:color w:val="000000" w:themeColor="text1"/>
        </w:rPr>
        <w:t xml:space="preserve">) In the context of displacement, </w:t>
      </w:r>
      <w:r w:rsidRPr="00B81EDA">
        <w:rPr>
          <w:rFonts w:eastAsia="Garamond" w:cs="Garamond"/>
          <w:color w:val="000000" w:themeColor="text1"/>
          <w:szCs w:val="22"/>
        </w:rPr>
        <w:t xml:space="preserve">the gender discriminatory nature of Syria’s nationality law is critically concerning for the impact it has on children. Because a mother’s legal rights are not equal to a father’s, the provision can leave children without an established connection to a Syrian father, stateless.  Safeguards in Article 3 of the Nationality Law are meant to assist children in this situation. </w:t>
      </w:r>
      <w:r w:rsidRPr="00B81EDA">
        <w:rPr>
          <w:rFonts w:eastAsia="Garamond" w:cs="Garamond"/>
          <w:color w:val="000000" w:themeColor="text1"/>
        </w:rPr>
        <w:t>While children born to Syrian women are generally not able to acquire Syrian nationality through their mother, the law provides that Syrian women may pass their nationality if the child is born in Syria and if the father’s status is stateless, or unknown.</w:t>
      </w:r>
      <w:r w:rsidRPr="00B81EDA">
        <w:rPr>
          <w:rStyle w:val="FootnoteReference"/>
          <w:rFonts w:eastAsia="Garamond" w:cs="Garamond"/>
          <w:color w:val="000000" w:themeColor="text1"/>
        </w:rPr>
        <w:footnoteReference w:id="58"/>
      </w:r>
      <w:r w:rsidRPr="00B81EDA">
        <w:rPr>
          <w:rFonts w:eastAsia="Garamond" w:cs="Garamond"/>
          <w:color w:val="000000" w:themeColor="text1"/>
        </w:rPr>
        <w:t xml:space="preserve"> </w:t>
      </w:r>
    </w:p>
    <w:p w14:paraId="7123D069" w14:textId="77777777" w:rsidR="00967084" w:rsidRPr="00B81EDA" w:rsidRDefault="00967084" w:rsidP="00967084">
      <w:pPr>
        <w:widowControl w:val="0"/>
        <w:rPr>
          <w:rFonts w:eastAsia="Garamond" w:cs="Garamond"/>
          <w:color w:val="000000" w:themeColor="text1"/>
        </w:rPr>
      </w:pPr>
      <w:r w:rsidRPr="00B81EDA">
        <w:rPr>
          <w:rFonts w:eastAsia="Garamond" w:cs="Garamond"/>
          <w:color w:val="000000" w:themeColor="text1"/>
        </w:rPr>
        <w:lastRenderedPageBreak/>
        <w:t>(</w:t>
      </w:r>
      <w:r>
        <w:rPr>
          <w:rFonts w:eastAsia="Garamond" w:cs="Garamond"/>
          <w:color w:val="000000" w:themeColor="text1"/>
        </w:rPr>
        <w:t>30</w:t>
      </w:r>
      <w:r w:rsidRPr="00B81EDA">
        <w:rPr>
          <w:rFonts w:eastAsia="Garamond" w:cs="Garamond"/>
          <w:color w:val="000000" w:themeColor="text1"/>
        </w:rPr>
        <w:t>) However, these provisions are not followed in practice and are nonetheless inadequate.</w:t>
      </w:r>
      <w:r w:rsidRPr="00B81EDA">
        <w:rPr>
          <w:rStyle w:val="FootnoteReference"/>
          <w:rFonts w:eastAsia="Garamond" w:cs="Garamond"/>
          <w:color w:val="000000" w:themeColor="text1"/>
        </w:rPr>
        <w:footnoteReference w:id="59"/>
      </w:r>
      <w:r w:rsidRPr="00B81EDA">
        <w:rPr>
          <w:rFonts w:eastAsia="Garamond" w:cs="Garamond"/>
          <w:color w:val="000000" w:themeColor="text1"/>
        </w:rPr>
        <w:t xml:space="preserve"> For example, stateless Kurds in Syria were historically foreclosed from using this provision for purposes of gaining access to Syrian citizenship for themselves or their children.</w:t>
      </w:r>
      <w:r w:rsidRPr="00B81EDA">
        <w:rPr>
          <w:rStyle w:val="FootnoteReference"/>
          <w:rFonts w:eastAsia="Garamond" w:cs="Garamond"/>
          <w:color w:val="000000" w:themeColor="text1"/>
        </w:rPr>
        <w:footnoteReference w:id="60"/>
      </w:r>
      <w:r w:rsidRPr="00B81EDA">
        <w:rPr>
          <w:rFonts w:eastAsia="Garamond" w:cs="Garamond"/>
          <w:color w:val="000000" w:themeColor="text1"/>
        </w:rPr>
        <w:t xml:space="preserve"> UNHCR specifically cited the Syrian example in its 2019 global report on statelessness, emphasizing that “Syria has a safeguard in place to prevent statelessness among children born in the territory, but it is not clear that this is implemented in practice.”</w:t>
      </w:r>
      <w:r w:rsidRPr="00B81EDA">
        <w:rPr>
          <w:rStyle w:val="FootnoteReference"/>
          <w:rFonts w:eastAsia="Garamond" w:cs="Garamond"/>
          <w:color w:val="000000" w:themeColor="text1"/>
        </w:rPr>
        <w:footnoteReference w:id="61"/>
      </w:r>
      <w:r w:rsidRPr="00B81EDA">
        <w:rPr>
          <w:rFonts w:eastAsia="Garamond" w:cs="Garamond"/>
          <w:color w:val="000000" w:themeColor="text1"/>
        </w:rPr>
        <w:t xml:space="preserve"> </w:t>
      </w:r>
    </w:p>
    <w:p w14:paraId="05FF35DF" w14:textId="77777777" w:rsidR="00967084" w:rsidRPr="00B81EDA" w:rsidRDefault="00967084" w:rsidP="00967084">
      <w:pPr>
        <w:widowControl w:val="0"/>
        <w:rPr>
          <w:rFonts w:eastAsia="Garamond" w:cs="Garamond"/>
          <w:color w:val="000000" w:themeColor="text1"/>
        </w:rPr>
      </w:pPr>
      <w:r w:rsidRPr="00B81EDA">
        <w:rPr>
          <w:rFonts w:eastAsia="Garamond" w:cs="Garamond"/>
          <w:color w:val="000000" w:themeColor="text1"/>
        </w:rPr>
        <w:t>(</w:t>
      </w:r>
      <w:r>
        <w:rPr>
          <w:rFonts w:eastAsia="Garamond" w:cs="Garamond"/>
          <w:color w:val="000000" w:themeColor="text1"/>
        </w:rPr>
        <w:t>31</w:t>
      </w:r>
      <w:r w:rsidRPr="00B81EDA">
        <w:rPr>
          <w:rFonts w:eastAsia="Garamond" w:cs="Garamond"/>
          <w:color w:val="000000" w:themeColor="text1"/>
        </w:rPr>
        <w:t>) Article 3(b) states that where the “legal family relationship” to a child’s father has “not been established” and the child is born inside Syria to a Syrian mother, that child is considered a Syrian citizen.</w:t>
      </w:r>
      <w:r w:rsidRPr="00B81EDA">
        <w:rPr>
          <w:rStyle w:val="FootnoteReference"/>
          <w:rFonts w:eastAsia="Garamond" w:cs="Garamond"/>
          <w:color w:val="000000" w:themeColor="text1"/>
        </w:rPr>
        <w:footnoteReference w:id="62"/>
      </w:r>
      <w:r w:rsidRPr="00B81EDA">
        <w:rPr>
          <w:rFonts w:eastAsia="Garamond" w:cs="Garamond"/>
          <w:color w:val="000000" w:themeColor="text1"/>
        </w:rPr>
        <w:t xml:space="preserve"> This provision only applies to children born inside Syria and to those whose fathers are unknown, not those whose fathers are stateless.</w:t>
      </w:r>
      <w:r w:rsidRPr="00B81EDA">
        <w:rPr>
          <w:rStyle w:val="FootnoteReference"/>
          <w:rFonts w:eastAsia="Garamond" w:cs="Garamond"/>
          <w:color w:val="000000" w:themeColor="text1"/>
        </w:rPr>
        <w:footnoteReference w:id="63"/>
      </w:r>
      <w:r w:rsidRPr="00B81EDA">
        <w:rPr>
          <w:rFonts w:eastAsia="Garamond" w:cs="Garamond"/>
          <w:color w:val="000000" w:themeColor="text1"/>
        </w:rPr>
        <w:t xml:space="preserve">  </w:t>
      </w:r>
    </w:p>
    <w:p w14:paraId="2AC26AE1" w14:textId="77777777" w:rsidR="00967084" w:rsidRPr="00B81EDA" w:rsidRDefault="00967084" w:rsidP="00967084">
      <w:pPr>
        <w:widowControl w:val="0"/>
        <w:rPr>
          <w:rFonts w:eastAsia="Garamond" w:cs="Garamond"/>
          <w:color w:val="000000" w:themeColor="text1"/>
          <w:szCs w:val="22"/>
        </w:rPr>
      </w:pPr>
      <w:r w:rsidRPr="00B81EDA">
        <w:rPr>
          <w:rFonts w:eastAsia="Garamond" w:cs="Garamond"/>
          <w:color w:val="000000" w:themeColor="text1"/>
        </w:rPr>
        <w:t>(</w:t>
      </w:r>
      <w:r>
        <w:rPr>
          <w:rFonts w:eastAsia="Garamond" w:cs="Garamond"/>
          <w:color w:val="000000" w:themeColor="text1"/>
        </w:rPr>
        <w:t>32</w:t>
      </w:r>
      <w:r w:rsidRPr="00B81EDA">
        <w:rPr>
          <w:rFonts w:eastAsia="Garamond" w:cs="Garamond"/>
          <w:color w:val="000000" w:themeColor="text1"/>
        </w:rPr>
        <w:t xml:space="preserve">) </w:t>
      </w:r>
      <w:r w:rsidRPr="00B81EDA">
        <w:rPr>
          <w:rFonts w:eastAsia="Garamond" w:cs="Garamond"/>
          <w:color w:val="000000" w:themeColor="text1"/>
          <w:szCs w:val="22"/>
        </w:rPr>
        <w:t>In practice, Article 3(B) is not implemented due to the significant social barriers and stigma faced by women when admitting to having a child outside marriage. This includes possible negative legal consequences, and even honor crimes if pursued.</w:t>
      </w:r>
      <w:r w:rsidRPr="00B81EDA">
        <w:rPr>
          <w:rStyle w:val="FootnoteReference"/>
          <w:rFonts w:eastAsia="Garamond" w:cs="Garamond"/>
          <w:color w:val="000000" w:themeColor="text1"/>
          <w:szCs w:val="22"/>
        </w:rPr>
        <w:footnoteReference w:id="64"/>
      </w:r>
      <w:r w:rsidRPr="00B81EDA">
        <w:rPr>
          <w:rFonts w:eastAsia="Garamond" w:cs="Garamond"/>
          <w:color w:val="000000" w:themeColor="text1"/>
          <w:szCs w:val="22"/>
        </w:rPr>
        <w:t xml:space="preserve"> Additionally, women face numerous barriers when attempting to use these safeguards as the father is required to assist. This presents problems when fathers are unwilling or unable to cooperate in the civil registration process to establish paternity. This also includes children whose fathers are missing, imprisoned, dead, or feared being affiliated with an armed group.</w:t>
      </w:r>
      <w:r w:rsidRPr="00B81EDA">
        <w:rPr>
          <w:rStyle w:val="FootnoteReference"/>
          <w:rFonts w:eastAsia="Garamond" w:cs="Garamond"/>
          <w:color w:val="000000" w:themeColor="text1"/>
          <w:szCs w:val="22"/>
        </w:rPr>
        <w:footnoteReference w:id="65"/>
      </w:r>
      <w:r w:rsidRPr="00B81EDA">
        <w:rPr>
          <w:rFonts w:eastAsia="Garamond" w:cs="Garamond"/>
          <w:color w:val="000000" w:themeColor="text1"/>
          <w:szCs w:val="22"/>
        </w:rPr>
        <w:t xml:space="preserve"> </w:t>
      </w:r>
    </w:p>
    <w:p w14:paraId="7F8AFC6C" w14:textId="77777777" w:rsidR="00967084" w:rsidRPr="00B81EDA" w:rsidRDefault="00967084" w:rsidP="00967084">
      <w:pPr>
        <w:widowControl w:val="0"/>
        <w:rPr>
          <w:rFonts w:eastAsia="Garamond" w:cs="Garamond"/>
          <w:color w:val="000000" w:themeColor="text1"/>
          <w:szCs w:val="22"/>
        </w:rPr>
      </w:pPr>
      <w:r w:rsidRPr="00B81EDA">
        <w:rPr>
          <w:rFonts w:eastAsia="Garamond" w:cs="Garamond"/>
          <w:color w:val="000000" w:themeColor="text1"/>
        </w:rPr>
        <w:t>(33)</w:t>
      </w:r>
      <w:r w:rsidRPr="00B81EDA">
        <w:rPr>
          <w:rFonts w:eastAsia="Garamond" w:cs="Garamond"/>
          <w:color w:val="000000" w:themeColor="text1"/>
          <w:szCs w:val="22"/>
        </w:rPr>
        <w:t xml:space="preserve"> Additionally, Syrian Nationality Law’s provision Art. 3(C)</w:t>
      </w:r>
      <w:r w:rsidRPr="00B81EDA">
        <w:rPr>
          <w:rStyle w:val="FootnoteReference"/>
          <w:rFonts w:eastAsia="Garamond" w:cs="Garamond"/>
          <w:color w:val="000000" w:themeColor="text1"/>
          <w:szCs w:val="22"/>
        </w:rPr>
        <w:footnoteReference w:id="66"/>
      </w:r>
      <w:r w:rsidRPr="00B81EDA">
        <w:rPr>
          <w:rFonts w:eastAsia="Garamond" w:cs="Garamond"/>
          <w:color w:val="000000" w:themeColor="text1"/>
          <w:szCs w:val="22"/>
        </w:rPr>
        <w:t xml:space="preserve"> grants Syrian nationality to “foundlings.” However, the situation for foundlings’ access to nationality and documentation in Northwest </w:t>
      </w:r>
      <w:r w:rsidRPr="00B81EDA">
        <w:rPr>
          <w:rFonts w:eastAsia="Garamond" w:cs="Garamond"/>
          <w:color w:val="000000" w:themeColor="text1"/>
          <w:szCs w:val="22"/>
        </w:rPr>
        <w:lastRenderedPageBreak/>
        <w:t>Syria is also highly uncertain and in practice the provision is not always applied.</w:t>
      </w:r>
      <w:r w:rsidRPr="00B81EDA">
        <w:rPr>
          <w:rStyle w:val="FootnoteReference"/>
          <w:rFonts w:eastAsia="Garamond" w:cs="Garamond"/>
          <w:color w:val="000000" w:themeColor="text1"/>
          <w:szCs w:val="22"/>
        </w:rPr>
        <w:footnoteReference w:id="67"/>
      </w:r>
      <w:r w:rsidRPr="00B81EDA">
        <w:rPr>
          <w:rFonts w:eastAsia="Garamond" w:cs="Garamond"/>
          <w:color w:val="000000" w:themeColor="text1"/>
          <w:szCs w:val="22"/>
        </w:rPr>
        <w:t xml:space="preserve"> Consequently, lack of implementation of these key provisions meant to protect against statelessness has resulted in thousands of children in Northwest Syria not having access to nationality.</w:t>
      </w:r>
      <w:r w:rsidRPr="00B81EDA">
        <w:rPr>
          <w:rStyle w:val="FootnoteReference"/>
          <w:rFonts w:eastAsia="Garamond" w:cs="Garamond"/>
          <w:color w:val="000000" w:themeColor="text1"/>
          <w:szCs w:val="22"/>
        </w:rPr>
        <w:footnoteReference w:id="68"/>
      </w:r>
      <w:r w:rsidRPr="00B81EDA">
        <w:rPr>
          <w:rFonts w:eastAsia="Garamond" w:cs="Garamond"/>
          <w:color w:val="000000" w:themeColor="text1"/>
          <w:szCs w:val="22"/>
        </w:rPr>
        <w:t xml:space="preserve">  </w:t>
      </w:r>
    </w:p>
    <w:p w14:paraId="1202AE67" w14:textId="77777777" w:rsidR="00967084" w:rsidRPr="00E261FE" w:rsidRDefault="00967084" w:rsidP="00967084">
      <w:pPr>
        <w:pStyle w:val="Heading1"/>
      </w:pPr>
      <w:bookmarkStart w:id="6" w:name="_Toc154935347"/>
      <w:r w:rsidRPr="00E261FE">
        <w:t>RECOMMENDATIONS</w:t>
      </w:r>
      <w:bookmarkEnd w:id="6"/>
    </w:p>
    <w:p w14:paraId="0BE95FF1" w14:textId="77777777" w:rsidR="00967084" w:rsidRPr="00B81EDA" w:rsidRDefault="00967084" w:rsidP="00967084">
      <w:pPr>
        <w:pStyle w:val="NormalWeb"/>
        <w:widowControl w:val="0"/>
        <w:tabs>
          <w:tab w:val="right" w:leader="dot" w:pos="9270"/>
          <w:tab w:val="right" w:leader="dot" w:pos="9360"/>
        </w:tabs>
        <w:spacing w:beforeAutospacing="0" w:afterAutospacing="0"/>
        <w:rPr>
          <w:color w:val="000000" w:themeColor="text1"/>
        </w:rPr>
      </w:pPr>
      <w:r w:rsidRPr="00B81EDA">
        <w:rPr>
          <w:color w:val="000000" w:themeColor="text1"/>
        </w:rPr>
        <w:t>(</w:t>
      </w:r>
      <w:r>
        <w:rPr>
          <w:color w:val="000000" w:themeColor="text1"/>
        </w:rPr>
        <w:t>34</w:t>
      </w:r>
      <w:r w:rsidRPr="00B81EDA">
        <w:rPr>
          <w:color w:val="000000" w:themeColor="text1"/>
        </w:rPr>
        <w:t xml:space="preserve">) </w:t>
      </w:r>
      <w:r w:rsidRPr="00B81EDA">
        <w:rPr>
          <w:color w:val="000000" w:themeColor="text1"/>
        </w:rPr>
        <w:tab/>
        <w:t>We respectfully recommend the Committee to include at least one of the following questions in the List of Issues it will prepare for Syria.</w:t>
      </w:r>
    </w:p>
    <w:p w14:paraId="13124EB6" w14:textId="77777777" w:rsidR="00967084" w:rsidRPr="00B81EDA" w:rsidRDefault="00967084" w:rsidP="00967084">
      <w:pPr>
        <w:pStyle w:val="NormalWeb"/>
        <w:widowControl w:val="0"/>
        <w:tabs>
          <w:tab w:val="right" w:leader="dot" w:pos="9270"/>
          <w:tab w:val="right" w:leader="dot" w:pos="9360"/>
        </w:tabs>
        <w:spacing w:beforeAutospacing="0" w:afterAutospacing="0"/>
        <w:rPr>
          <w:b/>
          <w:bCs/>
          <w:i/>
          <w:iCs/>
          <w:color w:val="000000" w:themeColor="text1"/>
        </w:rPr>
      </w:pPr>
      <w:r w:rsidRPr="00B81EDA">
        <w:rPr>
          <w:b/>
          <w:bCs/>
          <w:i/>
          <w:iCs/>
          <w:color w:val="000000" w:themeColor="text1"/>
        </w:rPr>
        <w:t xml:space="preserve">1. Please explain what steps Syria intends to take to eliminate gender discrimination in nationality laws </w:t>
      </w:r>
      <w:proofErr w:type="gramStart"/>
      <w:r w:rsidRPr="00B81EDA">
        <w:rPr>
          <w:b/>
          <w:bCs/>
          <w:i/>
          <w:iCs/>
          <w:color w:val="000000" w:themeColor="text1"/>
        </w:rPr>
        <w:t>in order to</w:t>
      </w:r>
      <w:proofErr w:type="gramEnd"/>
      <w:r w:rsidRPr="00B81EDA">
        <w:rPr>
          <w:b/>
          <w:bCs/>
          <w:i/>
          <w:iCs/>
          <w:color w:val="000000" w:themeColor="text1"/>
        </w:rPr>
        <w:t xml:space="preserve"> bring them in line with the new Syrian Constitution, Article 10, and the provisions of this Convention. </w:t>
      </w:r>
    </w:p>
    <w:p w14:paraId="40624B66" w14:textId="77777777" w:rsidR="00967084" w:rsidRPr="00B81EDA" w:rsidRDefault="00967084" w:rsidP="00967084">
      <w:pPr>
        <w:pStyle w:val="NormalWeb"/>
        <w:widowControl w:val="0"/>
        <w:tabs>
          <w:tab w:val="right" w:leader="dot" w:pos="9270"/>
          <w:tab w:val="right" w:leader="dot" w:pos="9360"/>
        </w:tabs>
        <w:spacing w:beforeAutospacing="0" w:afterAutospacing="0"/>
        <w:rPr>
          <w:b/>
          <w:bCs/>
          <w:i/>
          <w:iCs/>
          <w:color w:val="000000" w:themeColor="text1"/>
        </w:rPr>
      </w:pPr>
      <w:r w:rsidRPr="00B81EDA">
        <w:rPr>
          <w:b/>
          <w:bCs/>
          <w:i/>
          <w:iCs/>
          <w:color w:val="000000" w:themeColor="text1"/>
        </w:rPr>
        <w:t xml:space="preserve">2. Please explain what steps Syria intends to take to ensure availability and access to citizenship and civil documentation to all women and their children. </w:t>
      </w:r>
    </w:p>
    <w:p w14:paraId="15F35323" w14:textId="77777777" w:rsidR="00967084" w:rsidRPr="00B81EDA" w:rsidRDefault="00967084" w:rsidP="00967084">
      <w:pPr>
        <w:pStyle w:val="NormalWeb"/>
        <w:widowControl w:val="0"/>
        <w:tabs>
          <w:tab w:val="right" w:leader="dot" w:pos="9270"/>
          <w:tab w:val="right" w:leader="dot" w:pos="9360"/>
        </w:tabs>
        <w:spacing w:beforeAutospacing="0" w:afterAutospacing="0"/>
        <w:rPr>
          <w:b/>
          <w:bCs/>
          <w:i/>
          <w:iCs/>
          <w:color w:val="000000" w:themeColor="text1"/>
        </w:rPr>
      </w:pPr>
      <w:r w:rsidRPr="00B81EDA">
        <w:rPr>
          <w:b/>
          <w:bCs/>
          <w:i/>
          <w:iCs/>
          <w:color w:val="000000" w:themeColor="text1"/>
        </w:rPr>
        <w:t xml:space="preserve">3. Please explain what steps Syria intends to take to ensure women and their children receive necessary access to healthcare, education, housing, freedom of movement, and other consequences of the discriminatory legislation. </w:t>
      </w:r>
    </w:p>
    <w:p w14:paraId="32C91957" w14:textId="77777777" w:rsidR="00967084" w:rsidRPr="00B81EDA" w:rsidRDefault="00967084" w:rsidP="00967084">
      <w:pPr>
        <w:pStyle w:val="NormalWeb"/>
        <w:widowControl w:val="0"/>
        <w:tabs>
          <w:tab w:val="right" w:leader="dot" w:pos="9270"/>
          <w:tab w:val="right" w:leader="dot" w:pos="9360"/>
        </w:tabs>
        <w:spacing w:beforeAutospacing="0" w:afterAutospacing="0"/>
        <w:rPr>
          <w:b/>
          <w:bCs/>
          <w:i/>
          <w:iCs/>
          <w:color w:val="000000" w:themeColor="text1"/>
        </w:rPr>
      </w:pPr>
      <w:r w:rsidRPr="00B81EDA">
        <w:rPr>
          <w:b/>
          <w:bCs/>
          <w:i/>
          <w:iCs/>
          <w:color w:val="000000" w:themeColor="text1"/>
        </w:rPr>
        <w:t xml:space="preserve">4. Please explain what steps Syria intends to take to reduce rates of statelessness </w:t>
      </w:r>
      <w:proofErr w:type="gramStart"/>
      <w:r w:rsidRPr="00B81EDA">
        <w:rPr>
          <w:b/>
          <w:bCs/>
          <w:i/>
          <w:iCs/>
          <w:color w:val="000000" w:themeColor="text1"/>
        </w:rPr>
        <w:t>as a result of</w:t>
      </w:r>
      <w:proofErr w:type="gramEnd"/>
      <w:r w:rsidRPr="00B81EDA">
        <w:rPr>
          <w:b/>
          <w:bCs/>
          <w:i/>
          <w:iCs/>
          <w:color w:val="000000" w:themeColor="text1"/>
        </w:rPr>
        <w:t xml:space="preserve"> their discriminatory legislation.</w:t>
      </w:r>
    </w:p>
    <w:p w14:paraId="67DDFE36" w14:textId="77777777" w:rsidR="00967084" w:rsidRPr="00B81EDA" w:rsidRDefault="00967084" w:rsidP="00967084">
      <w:pPr>
        <w:pStyle w:val="NormalWeb"/>
        <w:widowControl w:val="0"/>
        <w:tabs>
          <w:tab w:val="right" w:leader="dot" w:pos="9270"/>
          <w:tab w:val="right" w:leader="dot" w:pos="9360"/>
        </w:tabs>
        <w:spacing w:beforeAutospacing="0" w:afterAutospacing="0"/>
        <w:rPr>
          <w:b/>
          <w:bCs/>
          <w:i/>
          <w:iCs/>
          <w:color w:val="000000" w:themeColor="text1"/>
        </w:rPr>
      </w:pPr>
      <w:r w:rsidRPr="00B81EDA">
        <w:rPr>
          <w:b/>
          <w:bCs/>
          <w:i/>
          <w:iCs/>
          <w:color w:val="000000" w:themeColor="text1"/>
        </w:rPr>
        <w:t xml:space="preserve">5. Please explain what steps Syria intends to take to address stigma regarding second marriages and having children out of wedlock. </w:t>
      </w:r>
    </w:p>
    <w:p w14:paraId="4A6E5521" w14:textId="77777777" w:rsidR="00967084" w:rsidRDefault="00967084" w:rsidP="00967084">
      <w:pPr>
        <w:pStyle w:val="NormalWeb"/>
        <w:widowControl w:val="0"/>
        <w:tabs>
          <w:tab w:val="right" w:leader="dot" w:pos="9270"/>
          <w:tab w:val="right" w:leader="dot" w:pos="9360"/>
        </w:tabs>
        <w:spacing w:beforeAutospacing="0" w:afterAutospacing="0"/>
        <w:rPr>
          <w:b/>
          <w:bCs/>
          <w:i/>
          <w:iCs/>
          <w:color w:val="000000" w:themeColor="text1"/>
        </w:rPr>
      </w:pPr>
      <w:r w:rsidRPr="00B81EDA">
        <w:rPr>
          <w:b/>
          <w:bCs/>
          <w:i/>
          <w:iCs/>
          <w:color w:val="000000" w:themeColor="text1"/>
        </w:rPr>
        <w:t>6. Please explain what steps Syria intends to take to improve data collection and monitoring infrastructure of refugee women and their children’s safe and voluntary return home.</w:t>
      </w:r>
    </w:p>
    <w:p w14:paraId="4C66BB24" w14:textId="1352E5F9" w:rsidR="00E868AF" w:rsidRDefault="00E868AF" w:rsidP="00967084">
      <w:pPr>
        <w:pStyle w:val="NormalWeb"/>
        <w:widowControl w:val="0"/>
        <w:tabs>
          <w:tab w:val="right" w:leader="dot" w:pos="9270"/>
          <w:tab w:val="right" w:leader="dot" w:pos="9360"/>
        </w:tabs>
        <w:spacing w:beforeAutospacing="0" w:afterAutospacing="0"/>
        <w:rPr>
          <w:b/>
          <w:bCs/>
          <w:i/>
          <w:iCs/>
          <w:color w:val="000000" w:themeColor="text1"/>
        </w:rPr>
      </w:pPr>
      <w:r>
        <w:rPr>
          <w:b/>
          <w:bCs/>
          <w:i/>
          <w:iCs/>
          <w:color w:val="000000" w:themeColor="text1"/>
        </w:rPr>
        <w:t>7. Please explain the steps Syria intends to take to r</w:t>
      </w:r>
      <w:r w:rsidRPr="00E868AF">
        <w:rPr>
          <w:b/>
          <w:bCs/>
          <w:i/>
          <w:iCs/>
          <w:color w:val="000000" w:themeColor="text1"/>
        </w:rPr>
        <w:t>emove the discretion of security agencies in decisions regarding the conferral of nationality, which has historically politicized and obstructed the naturalization process in numerous documented cases.</w:t>
      </w:r>
    </w:p>
    <w:p w14:paraId="23F73ADC" w14:textId="36173D66" w:rsidR="00E868AF" w:rsidRPr="007C48C5" w:rsidRDefault="00E868AF" w:rsidP="00967084">
      <w:pPr>
        <w:pStyle w:val="NormalWeb"/>
        <w:widowControl w:val="0"/>
        <w:tabs>
          <w:tab w:val="right" w:leader="dot" w:pos="9270"/>
          <w:tab w:val="right" w:leader="dot" w:pos="9360"/>
        </w:tabs>
        <w:spacing w:beforeAutospacing="0" w:afterAutospacing="0"/>
        <w:rPr>
          <w:rFonts w:eastAsia="Garamond"/>
        </w:rPr>
      </w:pPr>
      <w:r>
        <w:rPr>
          <w:b/>
          <w:bCs/>
          <w:i/>
          <w:iCs/>
          <w:color w:val="000000" w:themeColor="text1"/>
        </w:rPr>
        <w:t>8. Please explain the steps Syria intends to take to l</w:t>
      </w:r>
      <w:r w:rsidRPr="00E868AF">
        <w:rPr>
          <w:b/>
          <w:bCs/>
          <w:i/>
          <w:iCs/>
          <w:color w:val="000000" w:themeColor="text1"/>
        </w:rPr>
        <w:t>aunch nationwide, no-cost registration and documentation campaigns targeting children rendered stateless by the current legal framework, especially in regions outside former regime control and among populations displaced by conflict.</w:t>
      </w:r>
    </w:p>
    <w:p w14:paraId="648FFB7D" w14:textId="2645F9ED" w:rsidR="00654E11" w:rsidRPr="00D0100D" w:rsidRDefault="00654E11" w:rsidP="006C6A71">
      <w:pPr>
        <w:pStyle w:val="NormalWeb"/>
        <w:widowControl w:val="0"/>
        <w:tabs>
          <w:tab w:val="right" w:leader="dot" w:pos="9270"/>
          <w:tab w:val="right" w:leader="dot" w:pos="9360"/>
        </w:tabs>
        <w:spacing w:beforeAutospacing="0" w:afterAutospacing="0"/>
        <w:ind w:right="-270" w:firstLine="0"/>
        <w:rPr>
          <w:b/>
          <w:bCs/>
          <w:i/>
          <w:iCs/>
        </w:rPr>
      </w:pPr>
    </w:p>
    <w:sectPr w:rsidR="00654E11" w:rsidRPr="00D0100D" w:rsidSect="004F733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E99D7" w14:textId="77777777" w:rsidR="0029200D" w:rsidRDefault="0029200D" w:rsidP="00B91414">
      <w:r>
        <w:separator/>
      </w:r>
    </w:p>
  </w:endnote>
  <w:endnote w:type="continuationSeparator" w:id="0">
    <w:p w14:paraId="2F809484" w14:textId="77777777" w:rsidR="0029200D" w:rsidRDefault="0029200D" w:rsidP="00B9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61711"/>
      <w:docPartObj>
        <w:docPartGallery w:val="Page Numbers (Bottom of Page)"/>
        <w:docPartUnique/>
      </w:docPartObj>
    </w:sdtPr>
    <w:sdtEndPr>
      <w:rPr>
        <w:noProof/>
      </w:rPr>
    </w:sdtEndPr>
    <w:sdtContent>
      <w:p w14:paraId="28367D71" w14:textId="4BA40BF4" w:rsidR="00C4441B" w:rsidRDefault="00C4441B" w:rsidP="006658BC">
        <w:pPr>
          <w:pStyle w:val="Footer"/>
          <w:jc w:val="center"/>
        </w:pPr>
        <w:r>
          <w:fldChar w:fldCharType="begin"/>
        </w:r>
        <w:r>
          <w:instrText xml:space="preserve"> PAGE   \* MERGEFORMAT </w:instrText>
        </w:r>
        <w:r>
          <w:fldChar w:fldCharType="separate"/>
        </w:r>
        <w:r w:rsidR="1531EE56">
          <w:t>16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E6FC7" w14:textId="77777777" w:rsidR="0029200D" w:rsidRDefault="0029200D" w:rsidP="00B91414">
      <w:r>
        <w:separator/>
      </w:r>
    </w:p>
  </w:footnote>
  <w:footnote w:type="continuationSeparator" w:id="0">
    <w:p w14:paraId="47DEA9FE" w14:textId="77777777" w:rsidR="0029200D" w:rsidRDefault="0029200D" w:rsidP="00B91414">
      <w:r>
        <w:continuationSeparator/>
      </w:r>
    </w:p>
  </w:footnote>
  <w:footnote w:id="1">
    <w:p w14:paraId="05C4A1F7" w14:textId="77777777" w:rsidR="00967084" w:rsidRPr="004E0C4B" w:rsidRDefault="00967084" w:rsidP="00967084">
      <w:pPr>
        <w:pStyle w:val="FootnoteText"/>
        <w:spacing w:line="240" w:lineRule="auto"/>
        <w:ind w:firstLine="0"/>
        <w:contextualSpacing/>
        <w:jc w:val="left"/>
      </w:pPr>
      <w:r w:rsidRPr="004E0C4B">
        <w:rPr>
          <w:rStyle w:val="FootnoteReference"/>
          <w:rFonts w:eastAsia="Garamond"/>
        </w:rPr>
        <w:footnoteRef/>
      </w:r>
      <w:r w:rsidRPr="004E0C4B">
        <w:rPr>
          <w:rFonts w:eastAsia="Garamond"/>
        </w:rPr>
        <w:t xml:space="preserve"> Co</w:t>
      </w:r>
      <w:r>
        <w:rPr>
          <w:rFonts w:eastAsia="Garamond"/>
        </w:rPr>
        <w:t>nvention</w:t>
      </w:r>
      <w:r w:rsidRPr="004E0C4B">
        <w:rPr>
          <w:rFonts w:eastAsia="Garamond"/>
        </w:rPr>
        <w:t xml:space="preserve"> on the Elimination of all forms of Discrimination against Women, </w:t>
      </w:r>
      <w:hyperlink r:id="rId1" w:history="1">
        <w:r w:rsidRPr="007827A8">
          <w:rPr>
            <w:rStyle w:val="Hyperlink"/>
          </w:rPr>
          <w:t>https://tbinternet.ohchr.org/_layouts/15/TreatyBodyExternal/Treaty.aspx?CountryID=131&amp;Lang=EN</w:t>
        </w:r>
      </w:hyperlink>
      <w:r>
        <w:t xml:space="preserve">, </w:t>
      </w:r>
      <w:r w:rsidRPr="004E0C4B">
        <w:rPr>
          <w:rFonts w:eastAsia="Garamond"/>
        </w:rPr>
        <w:t xml:space="preserve">[last accessed </w:t>
      </w:r>
      <w:r>
        <w:rPr>
          <w:rFonts w:eastAsia="Garamond"/>
        </w:rPr>
        <w:t xml:space="preserve">on </w:t>
      </w:r>
      <w:r w:rsidRPr="004E0C4B">
        <w:rPr>
          <w:rFonts w:eastAsia="Garamond"/>
        </w:rPr>
        <w:t>22 Apr</w:t>
      </w:r>
      <w:r>
        <w:rPr>
          <w:rFonts w:eastAsia="Garamond"/>
        </w:rPr>
        <w:t>.</w:t>
      </w:r>
      <w:r w:rsidRPr="004E0C4B">
        <w:rPr>
          <w:rFonts w:eastAsia="Garamond"/>
        </w:rPr>
        <w:t xml:space="preserve"> 2025].</w:t>
      </w:r>
    </w:p>
  </w:footnote>
  <w:footnote w:id="2">
    <w:p w14:paraId="63864570" w14:textId="77777777" w:rsidR="00967084" w:rsidRPr="005A5CDA" w:rsidRDefault="00967084" w:rsidP="00967084">
      <w:pPr>
        <w:pStyle w:val="FootnoteText"/>
        <w:spacing w:line="240" w:lineRule="auto"/>
        <w:ind w:firstLine="0"/>
        <w:contextualSpacing/>
        <w:jc w:val="left"/>
      </w:pPr>
      <w:r w:rsidRPr="004E0C4B">
        <w:rPr>
          <w:rStyle w:val="FootnoteReference"/>
          <w:rFonts w:eastAsia="Garamond"/>
        </w:rPr>
        <w:footnoteRef/>
      </w:r>
      <w:r w:rsidRPr="004E0C4B">
        <w:rPr>
          <w:rFonts w:eastAsia="Garamond"/>
        </w:rPr>
        <w:t xml:space="preserve"> </w:t>
      </w:r>
      <w:r>
        <w:rPr>
          <w:rFonts w:eastAsia="Garamond"/>
          <w:i/>
          <w:iCs/>
        </w:rPr>
        <w:t>Id</w:t>
      </w:r>
      <w:r>
        <w:rPr>
          <w:rFonts w:eastAsia="Garamond"/>
        </w:rPr>
        <w:t>.</w:t>
      </w:r>
    </w:p>
  </w:footnote>
  <w:footnote w:id="3">
    <w:p w14:paraId="3122C92F"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hyperlink r:id="rId2" w:history="1">
        <w:r w:rsidRPr="004E0C4B">
          <w:rPr>
            <w:rStyle w:val="Hyperlink"/>
          </w:rPr>
          <w:t>https://www.lls.edu/academics/centers/internationalhumanrightscenter/</w:t>
        </w:r>
      </w:hyperlink>
      <w:r>
        <w:t xml:space="preserve">, </w:t>
      </w:r>
      <w:r w:rsidRPr="004E0C4B">
        <w:rPr>
          <w:rFonts w:eastAsia="Garamond"/>
        </w:rPr>
        <w:t xml:space="preserve">[last accessed </w:t>
      </w:r>
      <w:r>
        <w:rPr>
          <w:rFonts w:eastAsia="Garamond"/>
        </w:rPr>
        <w:t xml:space="preserve">on </w:t>
      </w:r>
      <w:r w:rsidRPr="004E0C4B">
        <w:rPr>
          <w:rFonts w:eastAsia="Garamond"/>
        </w:rPr>
        <w:t>7 Nov</w:t>
      </w:r>
      <w:r>
        <w:rPr>
          <w:rFonts w:eastAsia="Garamond"/>
        </w:rPr>
        <w:t>.</w:t>
      </w:r>
      <w:r w:rsidRPr="004E0C4B">
        <w:rPr>
          <w:rFonts w:eastAsia="Garamond"/>
        </w:rPr>
        <w:t xml:space="preserve"> 2023].</w:t>
      </w:r>
    </w:p>
  </w:footnote>
  <w:footnote w:id="4">
    <w:p w14:paraId="1E8CCE58"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sidRPr="00CE5D72">
        <w:rPr>
          <w:i/>
          <w:iCs/>
        </w:rPr>
        <w:t>Stateless Populations in Syria</w:t>
      </w:r>
      <w:r>
        <w:t xml:space="preserve">, Syrian Nationality, </w:t>
      </w:r>
      <w:hyperlink r:id="rId3" w:history="1">
        <w:r w:rsidRPr="00F17CC6">
          <w:rPr>
            <w:rStyle w:val="Hyperlink"/>
          </w:rPr>
          <w:t>https://www.syrianationality.org/index.php?id=19&amp;utm</w:t>
        </w:r>
      </w:hyperlink>
      <w:r>
        <w:t xml:space="preserve"> </w:t>
      </w:r>
      <w:r w:rsidRPr="004E0C4B">
        <w:t>(many Syrian Kurds were able to reapply for citizenship in 2011 following presidential decree 49, though this only applied to a certain group amongst the Kurds who lost their citizenship).</w:t>
      </w:r>
    </w:p>
  </w:footnote>
  <w:footnote w:id="5">
    <w:p w14:paraId="1AD4B746"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Pr>
          <w:i/>
          <w:iCs/>
        </w:rPr>
        <w:t xml:space="preserve">Syria, </w:t>
      </w:r>
      <w:r>
        <w:t>Stateless Hub, Jan. 2024,</w:t>
      </w:r>
      <w:r w:rsidRPr="004E0C4B">
        <w:t xml:space="preserve"> </w:t>
      </w:r>
      <w:hyperlink r:id="rId4">
        <w:r w:rsidRPr="004E0C4B">
          <w:rPr>
            <w:rStyle w:val="Hyperlink"/>
          </w:rPr>
          <w:t>https://www.statelesshub.org/country/syria?utm</w:t>
        </w:r>
      </w:hyperlink>
      <w:r>
        <w:t>.</w:t>
      </w:r>
    </w:p>
  </w:footnote>
  <w:footnote w:id="6">
    <w:p w14:paraId="6D87BFD5"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t xml:space="preserve"> </w:t>
      </w:r>
      <w:r w:rsidRPr="004E0C4B">
        <w:rPr>
          <w:rFonts w:eastAsia="Garamond" w:cs="Garamond"/>
        </w:rPr>
        <w:t xml:space="preserve">LEGISLATIVE DECREE 276, NATIONALITY LAW (SYRIAN ARAB REPUBLIC), Issue 55, at 901 (Nov. 24, 1969), unofficial English translation available at </w:t>
      </w:r>
      <w:hyperlink r:id="rId5">
        <w:r w:rsidRPr="004E0C4B">
          <w:rPr>
            <w:rStyle w:val="Hyperlink"/>
            <w:rFonts w:eastAsia="Garamond" w:cs="Garamond"/>
          </w:rPr>
          <w:t>https://www.refworld.org/pdfid/4d81e7b12.pdf</w:t>
        </w:r>
      </w:hyperlink>
    </w:p>
  </w:footnote>
  <w:footnote w:id="7">
    <w:p w14:paraId="0BD7528E" w14:textId="77777777" w:rsidR="00967084" w:rsidRPr="005A5CDA" w:rsidRDefault="00967084" w:rsidP="00967084">
      <w:pPr>
        <w:pStyle w:val="FootnoteText"/>
        <w:spacing w:line="240" w:lineRule="auto"/>
        <w:ind w:firstLine="0"/>
        <w:contextualSpacing/>
        <w:jc w:val="left"/>
        <w:rPr>
          <w:i/>
          <w:iCs/>
        </w:rPr>
      </w:pPr>
      <w:r w:rsidRPr="004E0C4B">
        <w:rPr>
          <w:rStyle w:val="FootnoteReference"/>
        </w:rPr>
        <w:footnoteRef/>
      </w:r>
      <w:r w:rsidRPr="004E0C4B">
        <w:t xml:space="preserve"> </w:t>
      </w:r>
      <w:r>
        <w:rPr>
          <w:i/>
          <w:iCs/>
        </w:rPr>
        <w:t>Id.</w:t>
      </w:r>
    </w:p>
  </w:footnote>
  <w:footnote w:id="8">
    <w:p w14:paraId="5E86D4F2" w14:textId="77777777" w:rsidR="00967084" w:rsidRPr="005A5CDA"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Pr>
          <w:i/>
          <w:iCs/>
        </w:rPr>
        <w:t>Id</w:t>
      </w:r>
      <w:r>
        <w:t>.</w:t>
      </w:r>
    </w:p>
  </w:footnote>
  <w:footnote w:id="9">
    <w:p w14:paraId="75A42D10" w14:textId="77777777" w:rsidR="00967084" w:rsidRPr="005A5CDA" w:rsidRDefault="00967084" w:rsidP="00967084">
      <w:pPr>
        <w:pStyle w:val="FootnoteText"/>
        <w:spacing w:line="240" w:lineRule="auto"/>
        <w:ind w:firstLine="0"/>
        <w:contextualSpacing/>
        <w:jc w:val="left"/>
      </w:pPr>
      <w:r w:rsidRPr="004E0C4B">
        <w:rPr>
          <w:rStyle w:val="FootnoteReference"/>
        </w:rPr>
        <w:footnoteRef/>
      </w:r>
      <w:r>
        <w:t xml:space="preserve"> </w:t>
      </w:r>
      <w:r w:rsidRPr="005A5CDA">
        <w:t>Zahra Albarazi, </w:t>
      </w:r>
      <w:r w:rsidRPr="005A5CDA">
        <w:rPr>
          <w:i/>
          <w:iCs/>
        </w:rPr>
        <w:t>The Stateless Syrians</w:t>
      </w:r>
      <w:r w:rsidRPr="005A5CDA">
        <w:t>, Tilburg Universit</w:t>
      </w:r>
      <w:r>
        <w:t xml:space="preserve">y - </w:t>
      </w:r>
      <w:r w:rsidRPr="005A5CDA">
        <w:t xml:space="preserve">Statelessness </w:t>
      </w:r>
      <w:proofErr w:type="spellStart"/>
      <w:r w:rsidRPr="005A5CDA">
        <w:t>Programme</w:t>
      </w:r>
      <w:proofErr w:type="spellEnd"/>
      <w:r w:rsidRPr="005A5CDA">
        <w:t xml:space="preserve">, May 2013, </w:t>
      </w:r>
      <w:hyperlink r:id="rId6" w:history="1">
        <w:r w:rsidRPr="007827A8">
          <w:rPr>
            <w:rStyle w:val="Hyperlink"/>
          </w:rPr>
          <w:t>https://www.refworld.org/reference/countryrep/tsp/2013/en/96365</w:t>
        </w:r>
      </w:hyperlink>
      <w:r>
        <w:t xml:space="preserve">, </w:t>
      </w:r>
      <w:r w:rsidRPr="005A5CDA">
        <w:t>[</w:t>
      </w:r>
      <w:r>
        <w:t xml:space="preserve">last </w:t>
      </w:r>
      <w:r w:rsidRPr="005A5CDA">
        <w:t>accessed 15 May 2025]</w:t>
      </w:r>
      <w:r>
        <w:t>.</w:t>
      </w:r>
    </w:p>
  </w:footnote>
  <w:footnote w:id="10">
    <w:p w14:paraId="3661C742" w14:textId="77777777" w:rsidR="00967084" w:rsidRPr="005A5CDA" w:rsidRDefault="00967084" w:rsidP="00967084">
      <w:pPr>
        <w:pStyle w:val="FootnoteText"/>
        <w:spacing w:line="240" w:lineRule="auto"/>
        <w:ind w:firstLine="0"/>
        <w:contextualSpacing/>
        <w:jc w:val="left"/>
        <w:rPr>
          <w:i/>
          <w:iCs/>
        </w:rPr>
      </w:pPr>
      <w:r w:rsidRPr="004E0C4B">
        <w:rPr>
          <w:rStyle w:val="FootnoteReference"/>
        </w:rPr>
        <w:footnoteRef/>
      </w:r>
      <w:r w:rsidRPr="004E0C4B">
        <w:t xml:space="preserve"> </w:t>
      </w:r>
      <w:r w:rsidRPr="005A5CDA">
        <w:t>Zahra Albarazi</w:t>
      </w:r>
      <w:r>
        <w:t xml:space="preserve">, </w:t>
      </w:r>
      <w:r>
        <w:rPr>
          <w:i/>
          <w:iCs/>
        </w:rPr>
        <w:t xml:space="preserve">supra </w:t>
      </w:r>
      <w:r w:rsidRPr="005A5CDA">
        <w:t>note</w:t>
      </w:r>
      <w:r>
        <w:t xml:space="preserve"> 9, at pp. 7.</w:t>
      </w:r>
    </w:p>
  </w:footnote>
  <w:footnote w:id="11">
    <w:p w14:paraId="6025FFF9"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sidRPr="005A5CDA">
        <w:t>Zahra Albarazi</w:t>
      </w:r>
      <w:r>
        <w:t xml:space="preserve">, </w:t>
      </w:r>
      <w:r>
        <w:rPr>
          <w:i/>
          <w:iCs/>
        </w:rPr>
        <w:t xml:space="preserve">supra </w:t>
      </w:r>
      <w:r w:rsidRPr="005A5CDA">
        <w:t>note</w:t>
      </w:r>
      <w:r>
        <w:t xml:space="preserve"> 9, at pp. 6.</w:t>
      </w:r>
    </w:p>
  </w:footnote>
  <w:footnote w:id="12">
    <w:p w14:paraId="2CD9DADC"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sidRPr="005A5CDA">
        <w:t>Zahra Albarazi</w:t>
      </w:r>
      <w:r>
        <w:t xml:space="preserve">, </w:t>
      </w:r>
      <w:r>
        <w:rPr>
          <w:i/>
          <w:iCs/>
        </w:rPr>
        <w:t xml:space="preserve">supra </w:t>
      </w:r>
      <w:r w:rsidRPr="005A5CDA">
        <w:t>note</w:t>
      </w:r>
      <w:r>
        <w:t xml:space="preserve"> 9, at pp. 9.</w:t>
      </w:r>
    </w:p>
  </w:footnote>
  <w:footnote w:id="13">
    <w:p w14:paraId="3CADF6E0"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t xml:space="preserve">Alessandria Masi, </w:t>
      </w:r>
      <w:r>
        <w:rPr>
          <w:i/>
          <w:iCs/>
        </w:rPr>
        <w:t xml:space="preserve">Syria Studying Proposal to Amend Nationality Law, </w:t>
      </w:r>
      <w:r>
        <w:t xml:space="preserve">Syria Deeply, Oct. 12, 2017,  </w:t>
      </w:r>
      <w:r w:rsidRPr="004E0C4B">
        <w:t xml:space="preserve"> </w:t>
      </w:r>
      <w:hyperlink r:id="rId7">
        <w:r w:rsidRPr="004E0C4B">
          <w:rPr>
            <w:rStyle w:val="Hyperlink"/>
          </w:rPr>
          <w:t>https://deeply.thenewhumanitarian.org/syria/community/2017/10/12/syria-studying-proposal-to-amend-nationality-law</w:t>
        </w:r>
      </w:hyperlink>
      <w:r>
        <w:rPr>
          <w:rStyle w:val="Hyperlink"/>
        </w:rPr>
        <w:t>.</w:t>
      </w:r>
    </w:p>
  </w:footnote>
  <w:footnote w:id="14">
    <w:p w14:paraId="78E4B7C1"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Pr>
          <w:rFonts w:eastAsia="Garamond" w:cs="Garamond"/>
        </w:rPr>
        <w:t xml:space="preserve"> </w:t>
      </w:r>
      <w:r w:rsidRPr="004E0C4B">
        <w:rPr>
          <w:rFonts w:eastAsia="Garamond" w:cs="Garamond"/>
        </w:rPr>
        <w:t xml:space="preserve">Fletcher Graduate School of Global Affairs International Law Practicum (FILP) and Norwegian Refugee Council , </w:t>
      </w:r>
      <w:r w:rsidRPr="004E0C4B">
        <w:rPr>
          <w:rFonts w:eastAsia="Garamond" w:cs="Garamond"/>
          <w:i/>
          <w:iCs/>
        </w:rPr>
        <w:t>CHILDREN ON THE MARGINS: The Impacts of Depriving Children of their Right to Nationality and Legal Identity in Northwest Syria Report</w:t>
      </w:r>
      <w:r w:rsidRPr="004E0C4B">
        <w:rPr>
          <w:rFonts w:eastAsia="Garamond" w:cs="Garamond"/>
        </w:rPr>
        <w:t xml:space="preserve">, pp. </w:t>
      </w:r>
      <w:r>
        <w:rPr>
          <w:rFonts w:eastAsia="Garamond" w:cs="Garamond"/>
        </w:rPr>
        <w:t>28-29</w:t>
      </w:r>
      <w:r w:rsidRPr="004E0C4B">
        <w:rPr>
          <w:rFonts w:eastAsia="Garamond" w:cs="Garamond"/>
        </w:rPr>
        <w:t xml:space="preserve">, </w:t>
      </w:r>
      <w:hyperlink r:id="rId8">
        <w:r w:rsidRPr="004E0C4B">
          <w:rPr>
            <w:rStyle w:val="Hyperlink"/>
            <w:rFonts w:eastAsia="Garamond" w:cs="Garamond"/>
            <w:color w:val="467886"/>
          </w:rPr>
          <w:t>https://sites.tufts.edu/filp/files/2023/07/Children-on-the-Margins_Nationality-and-Legal-Identity-in-Northwest-Syria_Report.pdf</w:t>
        </w:r>
      </w:hyperlink>
      <w:r w:rsidRPr="004E0C4B">
        <w:rPr>
          <w:rFonts w:eastAsia="Garamond" w:cs="Garamond"/>
        </w:rPr>
        <w:t xml:space="preserve">, </w:t>
      </w:r>
      <w:r>
        <w:rPr>
          <w:rFonts w:eastAsia="Garamond" w:cs="Garamond"/>
        </w:rPr>
        <w:t xml:space="preserve">[last </w:t>
      </w:r>
      <w:r w:rsidRPr="004E0C4B">
        <w:rPr>
          <w:rFonts w:eastAsia="Garamond" w:cs="Garamond"/>
        </w:rPr>
        <w:t>accessed on 13 May 2025</w:t>
      </w:r>
      <w:r>
        <w:rPr>
          <w:rFonts w:eastAsia="Garamond" w:cs="Garamond"/>
        </w:rPr>
        <w:t>]</w:t>
      </w:r>
      <w:r w:rsidRPr="004E0C4B">
        <w:rPr>
          <w:rFonts w:eastAsia="Garamond" w:cs="Garamond"/>
        </w:rPr>
        <w:t xml:space="preserve">.  </w:t>
      </w:r>
    </w:p>
  </w:footnote>
  <w:footnote w:id="15">
    <w:p w14:paraId="796A52C8"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t xml:space="preserve"> </w:t>
      </w:r>
      <w:r w:rsidRPr="00C223B9">
        <w:rPr>
          <w:i/>
          <w:iCs/>
        </w:rPr>
        <w:t>Syria Refugee Crisis Explained</w:t>
      </w:r>
      <w:r>
        <w:t xml:space="preserve">, UNHCR, Mar. 13, 2025, </w:t>
      </w:r>
      <w:hyperlink r:id="rId9" w:anchor=":~:text=After%20over%20a%20decade%20of,Jordan%20and%20Iraq%20or%20abroad." w:history="1">
        <w:r w:rsidRPr="00F17CC6">
          <w:rPr>
            <w:rStyle w:val="Hyperlink"/>
          </w:rPr>
          <w:t>https://www.unrefugees.org/news/syria-refugee-crisis-explained/#:~:text=After%20over%20a%20decade%20of,Jordan%20and%20Iraq%20or%20abroad.</w:t>
        </w:r>
      </w:hyperlink>
    </w:p>
  </w:footnote>
  <w:footnote w:id="16">
    <w:p w14:paraId="7EF6C39B"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sidRPr="00C223B9">
        <w:rPr>
          <w:i/>
          <w:iCs/>
        </w:rPr>
        <w:t>Nationality, Documentation, and Statelessness in Syria</w:t>
      </w:r>
      <w:r>
        <w:t xml:space="preserve">, Syria Nationality, 2, </w:t>
      </w:r>
      <w:hyperlink r:id="rId10" w:history="1">
        <w:r w:rsidRPr="00F17CC6">
          <w:rPr>
            <w:rStyle w:val="Hyperlink"/>
          </w:rPr>
          <w:t>https://www.syrianationality.org/pdf/nationality-documentation-statelessness-syria.pdf</w:t>
        </w:r>
      </w:hyperlink>
      <w:r>
        <w:t>, [last accessed May 14, 2025].</w:t>
      </w:r>
    </w:p>
  </w:footnote>
  <w:footnote w:id="17">
    <w:p w14:paraId="5BBB0260"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Pr>
          <w:rFonts w:eastAsia="Garamond" w:cs="Garamond"/>
        </w:rPr>
        <w:t xml:space="preserve"> FILP and Norwegian Refugee Council, </w:t>
      </w:r>
      <w:r>
        <w:rPr>
          <w:rFonts w:eastAsia="Garamond" w:cs="Garamond"/>
          <w:i/>
          <w:iCs/>
        </w:rPr>
        <w:t xml:space="preserve">supra </w:t>
      </w:r>
      <w:r>
        <w:rPr>
          <w:rFonts w:eastAsia="Garamond" w:cs="Garamond"/>
        </w:rPr>
        <w:t>note 14, at</w:t>
      </w:r>
      <w:r w:rsidRPr="004E0C4B">
        <w:rPr>
          <w:rFonts w:eastAsia="Garamond" w:cs="Garamond"/>
        </w:rPr>
        <w:t xml:space="preserve"> pp. </w:t>
      </w:r>
      <w:r>
        <w:rPr>
          <w:rFonts w:eastAsia="Garamond" w:cs="Garamond"/>
        </w:rPr>
        <w:t>23.</w:t>
      </w:r>
    </w:p>
  </w:footnote>
  <w:footnote w:id="18">
    <w:p w14:paraId="3056FA76"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Pr>
          <w:rFonts w:eastAsia="Garamond" w:cs="Garamond"/>
        </w:rPr>
        <w:t xml:space="preserve"> </w:t>
      </w:r>
      <w:r>
        <w:rPr>
          <w:rFonts w:eastAsia="Garamond" w:cs="Garamond"/>
          <w:i/>
          <w:iCs/>
        </w:rPr>
        <w:t xml:space="preserve">Id. </w:t>
      </w:r>
      <w:r w:rsidRPr="004E0C4B">
        <w:rPr>
          <w:rFonts w:eastAsia="Garamond" w:cs="Garamond"/>
        </w:rPr>
        <w:t xml:space="preserve"> </w:t>
      </w:r>
    </w:p>
  </w:footnote>
  <w:footnote w:id="19">
    <w:p w14:paraId="13D355B0"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Pr>
          <w:rFonts w:eastAsia="Garamond" w:cs="Garamond"/>
        </w:rPr>
        <w:t xml:space="preserve"> FILP and Norwegian Refugee Council, </w:t>
      </w:r>
      <w:r>
        <w:rPr>
          <w:rFonts w:eastAsia="Garamond" w:cs="Garamond"/>
          <w:i/>
          <w:iCs/>
        </w:rPr>
        <w:t xml:space="preserve">supra </w:t>
      </w:r>
      <w:r>
        <w:rPr>
          <w:rFonts w:eastAsia="Garamond" w:cs="Garamond"/>
        </w:rPr>
        <w:t>note 14, at</w:t>
      </w:r>
      <w:r w:rsidRPr="004E0C4B">
        <w:rPr>
          <w:rFonts w:eastAsia="Garamond" w:cs="Garamond"/>
        </w:rPr>
        <w:t xml:space="preserve"> pp. </w:t>
      </w:r>
      <w:r>
        <w:rPr>
          <w:rFonts w:eastAsia="Garamond" w:cs="Garamond"/>
        </w:rPr>
        <w:t>1.</w:t>
      </w:r>
    </w:p>
  </w:footnote>
  <w:footnote w:id="20">
    <w:p w14:paraId="2D8B0C18" w14:textId="77777777" w:rsidR="00967084" w:rsidRPr="00A00AC8"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sidRPr="004E0C4B">
        <w:rPr>
          <w:rFonts w:eastAsia="Garamond" w:cs="Garamond"/>
        </w:rPr>
        <w:t xml:space="preserve">CEDAW Committee, </w:t>
      </w:r>
      <w:r w:rsidRPr="004E0C4B">
        <w:rPr>
          <w:i/>
          <w:iCs/>
        </w:rPr>
        <w:t>Concluding observations on the second periodic report of the Syrian Arab Republic</w:t>
      </w:r>
      <w:r w:rsidRPr="004E0C4B">
        <w:rPr>
          <w:rFonts w:eastAsia="Garamond" w:cs="Garamond"/>
        </w:rPr>
        <w:t xml:space="preserve">, </w:t>
      </w:r>
      <w:r w:rsidRPr="004E0C4B">
        <w:t>CEDAW/C/SYR/CO/2</w:t>
      </w:r>
      <w:r w:rsidRPr="004E0C4B">
        <w:rPr>
          <w:rFonts w:eastAsia="Garamond" w:cs="Garamond"/>
        </w:rPr>
        <w:t xml:space="preserve">, 24 July 2014, para. 17,  </w:t>
      </w:r>
      <w:hyperlink r:id="rId11">
        <w:r w:rsidRPr="004E0C4B">
          <w:rPr>
            <w:rStyle w:val="Hyperlink"/>
            <w:rFonts w:eastAsia="Garamond" w:cs="Garamond"/>
          </w:rPr>
          <w:t>https://digitallibrary.un.org/record/778824?ln=en&amp;v=pdf</w:t>
        </w:r>
      </w:hyperlink>
      <w:r w:rsidRPr="004E0C4B">
        <w:rPr>
          <w:rFonts w:eastAsia="Garamond" w:cs="Garamond"/>
        </w:rPr>
        <w:t xml:space="preserve">. </w:t>
      </w:r>
    </w:p>
  </w:footnote>
  <w:footnote w:id="21">
    <w:p w14:paraId="4A5BAF50"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rPr>
          <w:rFonts w:eastAsia="Garamond" w:cs="Garamond"/>
        </w:rPr>
        <w:t xml:space="preserve"> Associated Press, </w:t>
      </w:r>
      <w:r w:rsidRPr="004E0C4B">
        <w:rPr>
          <w:rFonts w:eastAsia="Garamond" w:cs="Garamond"/>
          <w:i/>
          <w:iCs/>
        </w:rPr>
        <w:t>Syrian leader signs constitution that puts the country under an Islamist group’s rule for 5 years</w:t>
      </w:r>
      <w:r w:rsidRPr="004E0C4B">
        <w:rPr>
          <w:rFonts w:eastAsia="Garamond" w:cs="Garamond"/>
        </w:rPr>
        <w:t xml:space="preserve">, CNN, 14 Mar. 2025, </w:t>
      </w:r>
      <w:hyperlink r:id="rId12">
        <w:r w:rsidRPr="004E0C4B">
          <w:rPr>
            <w:rStyle w:val="Hyperlink"/>
            <w:rFonts w:eastAsia="Garamond" w:cs="Garamond"/>
          </w:rPr>
          <w:t>https://www.cnn.com/2025/03/13/middleeast/syria-constitution-ap-intl</w:t>
        </w:r>
      </w:hyperlink>
      <w:r>
        <w:rPr>
          <w:rFonts w:eastAsia="Garamond" w:cs="Garamond"/>
        </w:rPr>
        <w:t>,</w:t>
      </w:r>
      <w:r w:rsidRPr="004E0C4B">
        <w:rPr>
          <w:rFonts w:eastAsia="Garamond" w:cs="Garamond"/>
        </w:rPr>
        <w:t xml:space="preserve"> </w:t>
      </w:r>
      <w:r>
        <w:rPr>
          <w:rFonts w:eastAsia="Garamond" w:cs="Garamond"/>
        </w:rPr>
        <w:t xml:space="preserve">[last accessed on 14 May 2025]; </w:t>
      </w:r>
      <w:r w:rsidRPr="004E0C4B">
        <w:rPr>
          <w:rFonts w:eastAsia="Garamond" w:cs="Garamond"/>
        </w:rPr>
        <w:t xml:space="preserve">Constitutional Declaration of the Syrian Arab Republic, 13 Mar. 2025, Art. 10, </w:t>
      </w:r>
      <w:hyperlink r:id="rId13">
        <w:r w:rsidRPr="004E0C4B">
          <w:rPr>
            <w:rStyle w:val="Hyperlink"/>
            <w:rFonts w:eastAsia="Garamond" w:cs="Garamond"/>
          </w:rPr>
          <w:t>https://constitutionnet.org/sites/default/files/2025-03/2025.03.13%20-%20Constitutional%20declaration%20%28English%29.pdf,</w:t>
        </w:r>
      </w:hyperlink>
      <w:r w:rsidRPr="004E0C4B">
        <w:rPr>
          <w:rFonts w:eastAsia="Garamond" w:cs="Garamond"/>
        </w:rPr>
        <w:t xml:space="preserve"> </w:t>
      </w:r>
      <w:r>
        <w:rPr>
          <w:rFonts w:eastAsia="Garamond" w:cs="Garamond"/>
        </w:rPr>
        <w:t xml:space="preserve">[last </w:t>
      </w:r>
      <w:r w:rsidRPr="004E0C4B">
        <w:rPr>
          <w:rFonts w:eastAsia="Garamond" w:cs="Garamond"/>
        </w:rPr>
        <w:t>accessed on 14 May 2025</w:t>
      </w:r>
      <w:r>
        <w:rPr>
          <w:rFonts w:eastAsia="Garamond" w:cs="Garamond"/>
        </w:rPr>
        <w:t>]</w:t>
      </w:r>
      <w:r w:rsidRPr="004E0C4B">
        <w:rPr>
          <w:rFonts w:eastAsia="Garamond" w:cs="Garamond"/>
        </w:rPr>
        <w:t xml:space="preserve">. </w:t>
      </w:r>
    </w:p>
  </w:footnote>
  <w:footnote w:id="22">
    <w:p w14:paraId="3A616B8D"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sidRPr="004E0C4B">
        <w:rPr>
          <w:rFonts w:eastAsia="Garamond" w:cs="Garamond"/>
        </w:rPr>
        <w:t>Convention on the Elimination of All Forms of Discrimination against Women (CEDAW), Adopted on 18 Dec. 1979, E.I.F. on 3 Sep. 1981, UNTS, vol. 1249 p.1, Art. 2, Iraq Ratified on 13 Aug. 1986.</w:t>
      </w:r>
    </w:p>
  </w:footnote>
  <w:footnote w:id="23">
    <w:p w14:paraId="4667D1BF"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hyperlink r:id="rId14">
        <w:r w:rsidRPr="004E0C4B">
          <w:rPr>
            <w:rStyle w:val="Hyperlink"/>
          </w:rPr>
          <w:t>https://euromedrights.org/wp-content/uploads/2017/11/Factsheet_VAW_Syria_EN_Nov2017.pdf</w:t>
        </w:r>
      </w:hyperlink>
      <w:r w:rsidRPr="004E0C4B">
        <w:t xml:space="preserve">  (page3)</w:t>
      </w:r>
    </w:p>
  </w:footnote>
  <w:footnote w:id="24">
    <w:p w14:paraId="17E657D8"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sidRPr="004E0C4B">
        <w:rPr>
          <w:rFonts w:eastAsia="Garamond" w:cs="Garamond"/>
        </w:rPr>
        <w:t>Convention on the Elimination of All Forms of Discrimination against Women (CEDAW), Adopted on 18 Dec. 1979, E.I.F. on 3 Sep. 1981, UNTS, vol. 1249 p.1, Art. 3, Iraq Ratified on 13 Aug. 1986.</w:t>
      </w:r>
    </w:p>
  </w:footnote>
  <w:footnote w:id="25">
    <w:p w14:paraId="7AC4A992"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sidRPr="005A5CDA">
        <w:t>Zahra Albarazi</w:t>
      </w:r>
      <w:r>
        <w:t xml:space="preserve">, </w:t>
      </w:r>
      <w:r>
        <w:rPr>
          <w:i/>
          <w:iCs/>
        </w:rPr>
        <w:t xml:space="preserve">supra </w:t>
      </w:r>
      <w:r w:rsidRPr="005A5CDA">
        <w:t>note</w:t>
      </w:r>
      <w:r>
        <w:t xml:space="preserve"> 9, at pp. 8.</w:t>
      </w:r>
    </w:p>
  </w:footnote>
  <w:footnote w:id="26">
    <w:p w14:paraId="65AA3767" w14:textId="77777777" w:rsidR="00967084" w:rsidRPr="004E0C4B" w:rsidRDefault="00967084" w:rsidP="00967084">
      <w:pPr>
        <w:pStyle w:val="FootnoteText"/>
        <w:spacing w:after="210" w:line="240" w:lineRule="auto"/>
        <w:ind w:firstLine="0"/>
        <w:contextualSpacing/>
        <w:jc w:val="left"/>
        <w:rPr>
          <w:rFonts w:eastAsia="Aptos" w:cs="Aptos"/>
        </w:rPr>
      </w:pPr>
      <w:r w:rsidRPr="004E0C4B">
        <w:rPr>
          <w:rStyle w:val="FootnoteReference"/>
          <w:rFonts w:eastAsia="Garamond" w:cs="Garamond"/>
        </w:rPr>
        <w:footnoteRef/>
      </w:r>
      <w:r w:rsidRPr="004E0C4B">
        <w:rPr>
          <w:rFonts w:eastAsia="Garamond" w:cs="Garamond"/>
        </w:rPr>
        <w:t xml:space="preserve"> </w:t>
      </w:r>
      <w:r w:rsidRPr="004E0C4B">
        <w:rPr>
          <w:rFonts w:eastAsia="Garamond" w:cs="Garamond"/>
          <w:color w:val="1B1B1A"/>
        </w:rPr>
        <w:t xml:space="preserve">These instruments include: Universal Declaration of Human Rights, Art 15; the International Covenant on Civil and Political Rights, Art 16; the International Convention on the Elimination of Racial Discrimination, Art. 5; the Convention on the Rights of the Child, Art. 2, Art. 7; the International Convention on the Protection of the Rights of All Migrant Workers and Members of Their Families, Art 29; and the Convention on the Rights of Persons with Disabilities, Art 18; UN GA Resolutions of Particular relevant to Nationality and Statelessness A/Res/68/141, 18 Dec. 2013; UNHCR Executive Committee, </w:t>
      </w:r>
      <w:r w:rsidRPr="004E0C4B">
        <w:rPr>
          <w:rFonts w:eastAsia="Garamond" w:cs="Garamond"/>
          <w:i/>
          <w:iCs/>
          <w:color w:val="1B1B1A"/>
        </w:rPr>
        <w:t xml:space="preserve">Conclusion on identification, prevention and reduction of statelessness and protection of stateless persons, </w:t>
      </w:r>
      <w:r w:rsidRPr="004E0C4B">
        <w:rPr>
          <w:rFonts w:eastAsia="Garamond" w:cs="Garamond"/>
          <w:color w:val="1B1B1A"/>
        </w:rPr>
        <w:t xml:space="preserve">No. 106; UNCHR Executive Committee, </w:t>
      </w:r>
      <w:r w:rsidRPr="004E0C4B">
        <w:rPr>
          <w:rFonts w:eastAsia="Garamond" w:cs="Garamond"/>
          <w:i/>
          <w:iCs/>
          <w:color w:val="1B1B1A"/>
        </w:rPr>
        <w:t>Conclusion on civil registration</w:t>
      </w:r>
      <w:r w:rsidRPr="004E0C4B">
        <w:rPr>
          <w:rFonts w:eastAsia="Garamond" w:cs="Garamond"/>
          <w:color w:val="1B1B1A"/>
        </w:rPr>
        <w:t xml:space="preserve">, No. 111; HRC, </w:t>
      </w:r>
      <w:r w:rsidRPr="004E0C4B">
        <w:rPr>
          <w:rFonts w:eastAsia="Garamond" w:cs="Garamond"/>
          <w:i/>
          <w:iCs/>
          <w:color w:val="1B1B1A"/>
        </w:rPr>
        <w:t>Human Rights and Arbitration Deprivation of Nationality</w:t>
      </w:r>
      <w:r w:rsidRPr="004E0C4B">
        <w:rPr>
          <w:rFonts w:eastAsia="Garamond" w:cs="Garamond"/>
          <w:color w:val="1B1B1A"/>
        </w:rPr>
        <w:t xml:space="preserve">, A/HRC/Res/26/14, 11 July 2014; HRC, </w:t>
      </w:r>
      <w:r w:rsidRPr="004E0C4B">
        <w:rPr>
          <w:rFonts w:eastAsia="Garamond" w:cs="Garamond"/>
          <w:i/>
          <w:iCs/>
          <w:color w:val="1B1B1A"/>
        </w:rPr>
        <w:t>The right to a nationality: women and children</w:t>
      </w:r>
      <w:r w:rsidRPr="004E0C4B">
        <w:rPr>
          <w:rFonts w:eastAsia="Garamond" w:cs="Garamond"/>
          <w:color w:val="1B1B1A"/>
        </w:rPr>
        <w:t xml:space="preserve">, A/HRC/Res/20/4, 16 July 2012; Covenant on the Right of the Child in Islam, Art. 7; Arab Charter on Human Rights, Art. 29. </w:t>
      </w:r>
    </w:p>
  </w:footnote>
  <w:footnote w:id="27">
    <w:p w14:paraId="4E1C63E0"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UNHCR, </w:t>
      </w:r>
      <w:r w:rsidRPr="004E0C4B">
        <w:rPr>
          <w:i/>
          <w:iCs/>
        </w:rPr>
        <w:t>UNHCR welcomes new General Recommendation on refugee and stateless women</w:t>
      </w:r>
      <w:r w:rsidRPr="004E0C4B">
        <w:t xml:space="preserve">, 5 Nov. 2014, </w:t>
      </w:r>
      <w:hyperlink r:id="rId15">
        <w:r w:rsidRPr="004E0C4B">
          <w:rPr>
            <w:rStyle w:val="Hyperlink"/>
          </w:rPr>
          <w:t>https://www.unhcr.org/news/news-releases/unhcr-welcomes-new-general-recommendation-refugee-and-stateless-women,</w:t>
        </w:r>
      </w:hyperlink>
      <w:r w:rsidRPr="004E0C4B">
        <w:t xml:space="preserve"> </w:t>
      </w:r>
      <w:r>
        <w:t xml:space="preserve">[last </w:t>
      </w:r>
      <w:r w:rsidRPr="004E0C4B">
        <w:t xml:space="preserve">accessed </w:t>
      </w:r>
      <w:r>
        <w:t xml:space="preserve">on </w:t>
      </w:r>
      <w:r w:rsidRPr="004E0C4B">
        <w:t>13 May 2025</w:t>
      </w:r>
      <w:r>
        <w:t>]</w:t>
      </w:r>
      <w:r w:rsidRPr="004E0C4B">
        <w:t xml:space="preserve">; UN Refugee Agency, </w:t>
      </w:r>
      <w:r w:rsidRPr="004E0C4B">
        <w:rPr>
          <w:i/>
          <w:iCs/>
        </w:rPr>
        <w:t>Global Action Plan to End Statelessness 2014-2024</w:t>
      </w:r>
      <w:r w:rsidRPr="004E0C4B">
        <w:t xml:space="preserve">, </w:t>
      </w:r>
      <w:hyperlink r:id="rId16">
        <w:r w:rsidRPr="004E0C4B">
          <w:rPr>
            <w:rStyle w:val="Hyperlink"/>
          </w:rPr>
          <w:t>https://www.unhcr.org/ru/media/end-statelessness-globalactionplan-2019-final-web-pdf</w:t>
        </w:r>
      </w:hyperlink>
      <w:r w:rsidRPr="004E0C4B">
        <w:t xml:space="preserve">, </w:t>
      </w:r>
      <w:r>
        <w:t xml:space="preserve">[last </w:t>
      </w:r>
      <w:r w:rsidRPr="004E0C4B">
        <w:t xml:space="preserve">accessed </w:t>
      </w:r>
      <w:r>
        <w:t xml:space="preserve">on </w:t>
      </w:r>
      <w:r w:rsidRPr="004E0C4B">
        <w:t>3 May 2025</w:t>
      </w:r>
      <w:r>
        <w:t>]</w:t>
      </w:r>
      <w:r w:rsidRPr="004E0C4B">
        <w:t>.</w:t>
      </w:r>
    </w:p>
  </w:footnote>
  <w:footnote w:id="28">
    <w:p w14:paraId="32307313"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Pr>
          <w:rFonts w:eastAsia="Garamond" w:cs="Garamond"/>
        </w:rPr>
        <w:t xml:space="preserve">FILP and Norwegian Refugee Council, </w:t>
      </w:r>
      <w:r>
        <w:rPr>
          <w:rFonts w:eastAsia="Garamond" w:cs="Garamond"/>
          <w:i/>
          <w:iCs/>
        </w:rPr>
        <w:t xml:space="preserve">supra </w:t>
      </w:r>
      <w:r>
        <w:rPr>
          <w:rFonts w:eastAsia="Garamond" w:cs="Garamond"/>
        </w:rPr>
        <w:t>note 14, at</w:t>
      </w:r>
      <w:r w:rsidRPr="004E0C4B">
        <w:rPr>
          <w:rFonts w:eastAsia="Garamond" w:cs="Garamond"/>
        </w:rPr>
        <w:t xml:space="preserve"> pp. pp. 61</w:t>
      </w:r>
      <w:r>
        <w:rPr>
          <w:rFonts w:eastAsia="Garamond" w:cs="Garamond"/>
        </w:rPr>
        <w:t>.</w:t>
      </w:r>
    </w:p>
  </w:footnote>
  <w:footnote w:id="29">
    <w:p w14:paraId="07BB6C8F" w14:textId="77777777" w:rsidR="00967084" w:rsidRPr="004E0C4B" w:rsidRDefault="00967084" w:rsidP="00967084">
      <w:pPr>
        <w:pStyle w:val="FootnoteText"/>
        <w:spacing w:line="240" w:lineRule="auto"/>
        <w:ind w:firstLine="0"/>
        <w:contextualSpacing/>
        <w:jc w:val="left"/>
        <w:rPr>
          <w:rFonts w:eastAsia="Garamond"/>
        </w:rPr>
      </w:pPr>
      <w:r w:rsidRPr="004E0C4B">
        <w:rPr>
          <w:rStyle w:val="FootnoteReference"/>
          <w:rFonts w:eastAsia="Garamond"/>
        </w:rPr>
        <w:footnoteRef/>
      </w:r>
      <w:r w:rsidRPr="004E0C4B">
        <w:rPr>
          <w:rFonts w:eastAsia="Garamond"/>
        </w:rPr>
        <w:t xml:space="preserve"> </w:t>
      </w:r>
      <w:r>
        <w:rPr>
          <w:rFonts w:eastAsia="Garamond" w:cs="Garamond"/>
          <w:i/>
          <w:iCs/>
        </w:rPr>
        <w:t>Id.</w:t>
      </w:r>
      <w:r w:rsidRPr="004E0C4B">
        <w:rPr>
          <w:rFonts w:eastAsia="Garamond" w:cs="Garamond"/>
        </w:rPr>
        <w:t xml:space="preserve"> </w:t>
      </w:r>
    </w:p>
  </w:footnote>
  <w:footnote w:id="30">
    <w:p w14:paraId="3C405675"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Pr>
          <w:rFonts w:eastAsia="Garamond" w:cs="Garamond"/>
          <w:i/>
          <w:iCs/>
        </w:rPr>
        <w:t>Id.</w:t>
      </w:r>
      <w:r w:rsidRPr="004E0C4B">
        <w:rPr>
          <w:rFonts w:eastAsia="Garamond" w:cs="Garamond"/>
        </w:rPr>
        <w:t xml:space="preserve">  </w:t>
      </w:r>
    </w:p>
  </w:footnote>
  <w:footnote w:id="31">
    <w:p w14:paraId="0B419C4D"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sidRPr="004E0C4B">
        <w:rPr>
          <w:rFonts w:eastAsia="Garamond" w:cs="Garamond"/>
        </w:rPr>
        <w:t xml:space="preserve">CEDAW, </w:t>
      </w:r>
      <w:r w:rsidRPr="004E0C4B">
        <w:rPr>
          <w:rFonts w:eastAsia="Garamond" w:cs="Garamond"/>
          <w:i/>
          <w:iCs/>
        </w:rPr>
        <w:t>General Comment No. 32 on the gender-related dimensions of refugee status, asylum, nationality and statelessness of women</w:t>
      </w:r>
      <w:r w:rsidRPr="004E0C4B">
        <w:rPr>
          <w:rFonts w:eastAsia="Garamond" w:cs="Garamond"/>
        </w:rPr>
        <w:t>, at para. 62.</w:t>
      </w:r>
    </w:p>
  </w:footnote>
  <w:footnote w:id="32">
    <w:p w14:paraId="6F15E89F" w14:textId="77777777" w:rsidR="00967084" w:rsidRPr="00EF1B67"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Pr>
          <w:rFonts w:eastAsia="Garamond" w:cs="Garamond"/>
          <w:i/>
          <w:iCs/>
        </w:rPr>
        <w:t>Id</w:t>
      </w:r>
      <w:r>
        <w:rPr>
          <w:rFonts w:eastAsia="Garamond" w:cs="Garamond"/>
        </w:rPr>
        <w:t>.</w:t>
      </w:r>
    </w:p>
  </w:footnote>
  <w:footnote w:id="33">
    <w:p w14:paraId="368A13DF"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sidRPr="004E0C4B">
        <w:rPr>
          <w:rFonts w:eastAsia="Garamond" w:cs="Garamond"/>
          <w:i/>
          <w:iCs/>
        </w:rPr>
        <w:t xml:space="preserve">See </w:t>
      </w:r>
      <w:r w:rsidRPr="004E0C4B">
        <w:rPr>
          <w:rFonts w:eastAsia="Garamond" w:cs="Garamond"/>
        </w:rPr>
        <w:t xml:space="preserve"> LEGISLATIVE DECREE 276, NATIONALITY LAW (SYRIAN ARAB REPUBLIC), Issue 55, at 901 (Nov. 24, 1969), unofficial English translation available at </w:t>
      </w:r>
      <w:hyperlink r:id="rId17">
        <w:r w:rsidRPr="004E0C4B">
          <w:rPr>
            <w:rStyle w:val="Hyperlink"/>
            <w:rFonts w:eastAsia="Garamond" w:cs="Garamond"/>
          </w:rPr>
          <w:t>https://www.refworld.org/pdfid/4d81e7b12.pdf</w:t>
        </w:r>
      </w:hyperlink>
      <w:r w:rsidRPr="004E0C4B">
        <w:rPr>
          <w:rFonts w:eastAsia="Garamond" w:cs="Garamond"/>
        </w:rPr>
        <w:t>; CHILD PROTECTION LAW (SYRIAN ARAB REPUBLIC), NO. 21 (2021). LAW OF PERSONAL STATUS (SYRIAN ARAB REPUBLIC), LAW NO. 59 (Sept. 17, 1953), as amended by Law 34/1975, Law 18/2003, Decree 76/2010, and Law 4 and 20 of 2019; CIVIL STATUS LAW (SYRIAN ARAB REPUBLIC), NO. 13/2021 (Mar. 25, 2021).</w:t>
      </w:r>
    </w:p>
  </w:footnote>
  <w:footnote w:id="34">
    <w:p w14:paraId="6A293271" w14:textId="77777777" w:rsidR="00967084" w:rsidRPr="004E0C4B" w:rsidRDefault="00967084" w:rsidP="00967084">
      <w:pPr>
        <w:pStyle w:val="FootnoteText"/>
        <w:spacing w:line="240" w:lineRule="auto"/>
        <w:ind w:firstLine="0"/>
        <w:contextualSpacing/>
        <w:jc w:val="left"/>
        <w:rPr>
          <w:rFonts w:eastAsia="Garamond"/>
        </w:rPr>
      </w:pPr>
      <w:r w:rsidRPr="004E0C4B">
        <w:rPr>
          <w:rStyle w:val="FootnoteReference"/>
          <w:rFonts w:eastAsia="Garamond"/>
        </w:rPr>
        <w:footnoteRef/>
      </w:r>
      <w:r w:rsidRPr="004E0C4B">
        <w:rPr>
          <w:rFonts w:eastAsia="Garamond"/>
        </w:rPr>
        <w:t xml:space="preserve"> </w:t>
      </w:r>
      <w:r w:rsidRPr="004E0C4B">
        <w:rPr>
          <w:rFonts w:eastAsia="Garamond" w:cs="Garamond"/>
          <w:color w:val="001D35"/>
        </w:rPr>
        <w:t>Convention on the Elimination of All Forms of Discrimination Against Women</w:t>
      </w:r>
      <w:r w:rsidRPr="004E0C4B">
        <w:rPr>
          <w:rFonts w:eastAsia="Garamond"/>
        </w:rPr>
        <w:t>, Art. 9(1).</w:t>
      </w:r>
    </w:p>
  </w:footnote>
  <w:footnote w:id="35">
    <w:p w14:paraId="4981107C" w14:textId="77777777" w:rsidR="00967084" w:rsidRPr="004E0C4B" w:rsidRDefault="00967084" w:rsidP="00967084">
      <w:pPr>
        <w:pStyle w:val="FootnoteText"/>
        <w:spacing w:line="240" w:lineRule="auto"/>
        <w:ind w:firstLine="0"/>
        <w:contextualSpacing/>
        <w:jc w:val="left"/>
        <w:rPr>
          <w:rFonts w:eastAsia="Aptos" w:cs="Aptos"/>
        </w:rPr>
      </w:pPr>
      <w:r w:rsidRPr="004E0C4B">
        <w:rPr>
          <w:rStyle w:val="FootnoteReference"/>
        </w:rPr>
        <w:footnoteRef/>
      </w:r>
      <w:r w:rsidRPr="004E0C4B">
        <w:t xml:space="preserve"> </w:t>
      </w:r>
      <w:r w:rsidRPr="004E0C4B">
        <w:rPr>
          <w:rFonts w:eastAsia="Garamond" w:cs="Garamond"/>
        </w:rPr>
        <w:t xml:space="preserve">CEDAW, </w:t>
      </w:r>
      <w:r w:rsidRPr="004E0C4B">
        <w:rPr>
          <w:rFonts w:eastAsia="Garamond" w:cs="Garamond"/>
          <w:i/>
          <w:iCs/>
        </w:rPr>
        <w:t>General Comment No. 32</w:t>
      </w:r>
      <w:r w:rsidRPr="004E0C4B">
        <w:rPr>
          <w:rFonts w:eastAsia="Garamond" w:cs="Garamond"/>
        </w:rPr>
        <w:t>,</w:t>
      </w:r>
      <w:r>
        <w:rPr>
          <w:rFonts w:eastAsia="Garamond" w:cs="Garamond"/>
        </w:rPr>
        <w:t xml:space="preserve"> </w:t>
      </w:r>
      <w:r>
        <w:rPr>
          <w:rFonts w:eastAsia="Garamond" w:cs="Garamond"/>
          <w:i/>
          <w:iCs/>
        </w:rPr>
        <w:t xml:space="preserve">supra </w:t>
      </w:r>
      <w:r>
        <w:rPr>
          <w:rFonts w:eastAsia="Garamond" w:cs="Garamond"/>
        </w:rPr>
        <w:t>note 31,</w:t>
      </w:r>
      <w:r w:rsidRPr="004E0C4B">
        <w:rPr>
          <w:rFonts w:eastAsia="Garamond" w:cs="Garamond"/>
        </w:rPr>
        <w:t xml:space="preserve"> at para. 57.</w:t>
      </w:r>
    </w:p>
  </w:footnote>
  <w:footnote w:id="36">
    <w:p w14:paraId="7762536A" w14:textId="77777777" w:rsidR="00967084" w:rsidRPr="004E0C4B" w:rsidRDefault="00967084" w:rsidP="00967084">
      <w:pPr>
        <w:pStyle w:val="FootnoteText"/>
        <w:spacing w:line="240" w:lineRule="auto"/>
        <w:ind w:firstLine="0"/>
        <w:contextualSpacing/>
        <w:jc w:val="left"/>
        <w:rPr>
          <w:rFonts w:eastAsia="Aptos" w:cs="Aptos"/>
        </w:rPr>
      </w:pPr>
      <w:r w:rsidRPr="004E0C4B">
        <w:rPr>
          <w:rStyle w:val="FootnoteReference"/>
        </w:rPr>
        <w:footnoteRef/>
      </w:r>
      <w:r w:rsidRPr="004E0C4B">
        <w:t xml:space="preserve"> </w:t>
      </w:r>
      <w:r>
        <w:rPr>
          <w:rFonts w:eastAsia="Garamond" w:cs="Garamond"/>
          <w:i/>
          <w:iCs/>
        </w:rPr>
        <w:t>Id.</w:t>
      </w:r>
    </w:p>
  </w:footnote>
  <w:footnote w:id="37">
    <w:p w14:paraId="1226F8B4" w14:textId="77777777" w:rsidR="00967084" w:rsidRPr="004E0C4B" w:rsidRDefault="00967084" w:rsidP="00967084">
      <w:pPr>
        <w:pStyle w:val="FootnoteText"/>
        <w:spacing w:line="240" w:lineRule="auto"/>
        <w:ind w:right="1290" w:firstLine="0"/>
        <w:contextualSpacing/>
        <w:jc w:val="left"/>
        <w:rPr>
          <w:rFonts w:eastAsia="Garamond" w:cs="Garamond"/>
        </w:rPr>
      </w:pPr>
      <w:r w:rsidRPr="004E0C4B">
        <w:rPr>
          <w:rStyle w:val="FootnoteReference"/>
          <w:rFonts w:eastAsia="Garamond" w:cs="Garamond"/>
        </w:rPr>
        <w:footnoteRef/>
      </w:r>
      <w:r w:rsidRPr="004E0C4B">
        <w:rPr>
          <w:rFonts w:eastAsia="Garamond" w:cs="Garamond"/>
        </w:rPr>
        <w:t xml:space="preserve"> CEDAW, </w:t>
      </w:r>
      <w:r w:rsidRPr="004E0C4B">
        <w:rPr>
          <w:rFonts w:eastAsia="Garamond" w:cs="Garamond"/>
          <w:i/>
          <w:iCs/>
        </w:rPr>
        <w:t>General Comment No. 32</w:t>
      </w:r>
      <w:r w:rsidRPr="004E0C4B">
        <w:rPr>
          <w:rFonts w:eastAsia="Garamond" w:cs="Garamond"/>
        </w:rPr>
        <w:t>,</w:t>
      </w:r>
      <w:r>
        <w:rPr>
          <w:rFonts w:eastAsia="Garamond" w:cs="Garamond"/>
        </w:rPr>
        <w:t xml:space="preserve"> </w:t>
      </w:r>
      <w:r>
        <w:rPr>
          <w:rFonts w:eastAsia="Garamond" w:cs="Garamond"/>
          <w:i/>
          <w:iCs/>
        </w:rPr>
        <w:t xml:space="preserve">supra </w:t>
      </w:r>
      <w:r>
        <w:rPr>
          <w:rFonts w:eastAsia="Garamond" w:cs="Garamond"/>
        </w:rPr>
        <w:t>note 31,</w:t>
      </w:r>
      <w:r w:rsidRPr="004E0C4B">
        <w:rPr>
          <w:rFonts w:eastAsia="Garamond" w:cs="Garamond"/>
        </w:rPr>
        <w:t xml:space="preserve"> at para. </w:t>
      </w:r>
      <w:r>
        <w:rPr>
          <w:rFonts w:eastAsia="Garamond" w:cs="Garamond"/>
        </w:rPr>
        <w:t>42</w:t>
      </w:r>
      <w:r w:rsidRPr="004E0C4B">
        <w:rPr>
          <w:rFonts w:eastAsia="Garamond" w:cs="Garamond"/>
        </w:rPr>
        <w:t>.</w:t>
      </w:r>
    </w:p>
  </w:footnote>
  <w:footnote w:id="38">
    <w:p w14:paraId="7C1FDA25"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sidRPr="004E0C4B">
        <w:rPr>
          <w:rFonts w:eastAsia="Garamond" w:cs="Garamond"/>
        </w:rPr>
        <w:t xml:space="preserve">CEDAW, </w:t>
      </w:r>
      <w:r w:rsidRPr="004E0C4B">
        <w:rPr>
          <w:rFonts w:eastAsia="Garamond" w:cs="Garamond"/>
          <w:i/>
          <w:iCs/>
        </w:rPr>
        <w:t xml:space="preserve">General Comment No. 40 </w:t>
      </w:r>
      <w:r w:rsidRPr="004E0C4B">
        <w:rPr>
          <w:rFonts w:eastAsia="Garamond" w:cs="Garamond"/>
          <w:i/>
          <w:iCs/>
          <w:lang w:val="en-GB"/>
        </w:rPr>
        <w:t>(2024) on the equal and inclusive representation of women in decision</w:t>
      </w:r>
      <w:r w:rsidRPr="004E0C4B">
        <w:rPr>
          <w:rFonts w:ascii="Cambria Math" w:eastAsia="Garamond" w:hAnsi="Cambria Math" w:cs="Cambria Math"/>
          <w:i/>
          <w:iCs/>
          <w:lang w:val="en-GB"/>
        </w:rPr>
        <w:t>‑</w:t>
      </w:r>
      <w:r w:rsidRPr="004E0C4B">
        <w:rPr>
          <w:rFonts w:eastAsia="Garamond" w:cs="Garamond"/>
          <w:i/>
          <w:iCs/>
          <w:lang w:val="en-GB"/>
        </w:rPr>
        <w:t>making systems</w:t>
      </w:r>
      <w:r w:rsidRPr="004E0C4B">
        <w:rPr>
          <w:rFonts w:eastAsia="Garamond" w:cs="Garamond"/>
        </w:rPr>
        <w:t>, at para. 42.</w:t>
      </w:r>
    </w:p>
  </w:footnote>
  <w:footnote w:id="39">
    <w:p w14:paraId="6D00A597"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Pr>
          <w:rFonts w:eastAsia="Garamond" w:cs="Garamond"/>
          <w:i/>
          <w:iCs/>
        </w:rPr>
        <w:t>Id.</w:t>
      </w:r>
    </w:p>
  </w:footnote>
  <w:footnote w:id="40">
    <w:p w14:paraId="4CDD7E20"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sidRPr="004E0C4B">
        <w:rPr>
          <w:rFonts w:eastAsia="Garamond" w:cs="Garamond"/>
        </w:rPr>
        <w:t xml:space="preserve">CEDAW, </w:t>
      </w:r>
      <w:r w:rsidRPr="004E0C4B">
        <w:rPr>
          <w:rFonts w:eastAsia="Garamond" w:cs="Garamond"/>
          <w:i/>
          <w:iCs/>
        </w:rPr>
        <w:t>General Comment No. 4</w:t>
      </w:r>
      <w:r>
        <w:rPr>
          <w:rFonts w:eastAsia="Garamond" w:cs="Garamond"/>
          <w:i/>
          <w:iCs/>
        </w:rPr>
        <w:t>0</w:t>
      </w:r>
      <w:r w:rsidRPr="004E0C4B">
        <w:rPr>
          <w:rFonts w:eastAsia="Garamond" w:cs="Garamond"/>
        </w:rPr>
        <w:t>,</w:t>
      </w:r>
      <w:r>
        <w:rPr>
          <w:rFonts w:eastAsia="Garamond" w:cs="Garamond"/>
        </w:rPr>
        <w:t xml:space="preserve"> </w:t>
      </w:r>
      <w:r>
        <w:rPr>
          <w:rFonts w:eastAsia="Garamond" w:cs="Garamond"/>
          <w:i/>
          <w:iCs/>
        </w:rPr>
        <w:t xml:space="preserve">supra </w:t>
      </w:r>
      <w:r>
        <w:rPr>
          <w:rFonts w:eastAsia="Garamond" w:cs="Garamond"/>
        </w:rPr>
        <w:t>note 38,</w:t>
      </w:r>
      <w:r w:rsidRPr="004E0C4B">
        <w:rPr>
          <w:rFonts w:eastAsia="Garamond" w:cs="Garamond"/>
        </w:rPr>
        <w:t xml:space="preserve"> at para. 43.</w:t>
      </w:r>
    </w:p>
  </w:footnote>
  <w:footnote w:id="41">
    <w:p w14:paraId="683C7D98"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Fonts w:eastAsia="Garamond"/>
        </w:rPr>
        <w:footnoteRef/>
      </w:r>
      <w:r w:rsidRPr="004E0C4B">
        <w:rPr>
          <w:rFonts w:eastAsia="Garamond"/>
        </w:rPr>
        <w:t xml:space="preserve"> </w:t>
      </w:r>
      <w:r w:rsidRPr="004E0C4B">
        <w:rPr>
          <w:rFonts w:eastAsia="Garamond" w:cs="Garamond"/>
        </w:rPr>
        <w:t xml:space="preserve">CEDAW Committee, </w:t>
      </w:r>
      <w:r w:rsidRPr="004E0C4B">
        <w:rPr>
          <w:rFonts w:eastAsia="Garamond" w:cs="Garamond"/>
          <w:i/>
          <w:iCs/>
        </w:rPr>
        <w:t>Concluding Comments on Syrian Aarab Republic</w:t>
      </w:r>
      <w:r w:rsidRPr="004E0C4B">
        <w:rPr>
          <w:rFonts w:eastAsia="Garamond" w:cs="Garamond"/>
        </w:rPr>
        <w:t xml:space="preserve">, CEDAW/C/ARE/CO/1, 11 June 2007, para. 18,  </w:t>
      </w:r>
      <w:hyperlink r:id="rId18">
        <w:r w:rsidRPr="004E0C4B">
          <w:rPr>
            <w:rStyle w:val="Hyperlink"/>
            <w:rFonts w:eastAsia="Garamond" w:cs="Garamond"/>
          </w:rPr>
          <w:t>https://www.ohchr.org/en/documents/concluding-observations/cedawcsyrco1-concluding-comments-syrian-arab-republic</w:t>
        </w:r>
      </w:hyperlink>
      <w:r w:rsidRPr="004E0C4B">
        <w:rPr>
          <w:rFonts w:eastAsia="Garamond" w:cs="Garamond"/>
        </w:rPr>
        <w:t>.</w:t>
      </w:r>
    </w:p>
  </w:footnote>
  <w:footnote w:id="42">
    <w:p w14:paraId="73AB269A" w14:textId="77777777" w:rsidR="00967084" w:rsidRPr="005A5CDA"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sidRPr="004E0C4B">
        <w:rPr>
          <w:rFonts w:eastAsia="Garamond" w:cs="Garamond"/>
        </w:rPr>
        <w:t xml:space="preserve">CEDAW Committee, </w:t>
      </w:r>
      <w:proofErr w:type="gramStart"/>
      <w:r w:rsidRPr="004E0C4B">
        <w:rPr>
          <w:i/>
          <w:iCs/>
        </w:rPr>
        <w:t>Concluding</w:t>
      </w:r>
      <w:proofErr w:type="gramEnd"/>
      <w:r w:rsidRPr="004E0C4B">
        <w:rPr>
          <w:i/>
          <w:iCs/>
        </w:rPr>
        <w:t xml:space="preserve"> observations on the second periodic report of the Syrian Arab Republic</w:t>
      </w:r>
      <w:r w:rsidRPr="004E0C4B">
        <w:rPr>
          <w:rFonts w:eastAsia="Garamond" w:cs="Garamond"/>
        </w:rPr>
        <w:t xml:space="preserve">, </w:t>
      </w:r>
      <w:r>
        <w:rPr>
          <w:i/>
          <w:iCs/>
        </w:rPr>
        <w:t xml:space="preserve">supra </w:t>
      </w:r>
      <w:r>
        <w:t>note 20.</w:t>
      </w:r>
    </w:p>
  </w:footnote>
  <w:footnote w:id="43">
    <w:p w14:paraId="07F4E1DA"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sidRPr="004E0C4B">
        <w:rPr>
          <w:rFonts w:eastAsia="Garamond" w:cs="Garamond"/>
        </w:rPr>
        <w:t xml:space="preserve">CEDAW Committee, </w:t>
      </w:r>
      <w:proofErr w:type="gramStart"/>
      <w:r w:rsidRPr="004E0C4B">
        <w:rPr>
          <w:i/>
          <w:iCs/>
        </w:rPr>
        <w:t>Concluding</w:t>
      </w:r>
      <w:proofErr w:type="gramEnd"/>
      <w:r w:rsidRPr="004E0C4B">
        <w:rPr>
          <w:i/>
          <w:iCs/>
        </w:rPr>
        <w:t xml:space="preserve"> observations on the second periodic report of the Syrian Arab Republic</w:t>
      </w:r>
      <w:r w:rsidRPr="004E0C4B">
        <w:rPr>
          <w:rFonts w:eastAsia="Garamond" w:cs="Garamond"/>
        </w:rPr>
        <w:t xml:space="preserve">, </w:t>
      </w:r>
      <w:r>
        <w:rPr>
          <w:i/>
          <w:iCs/>
        </w:rPr>
        <w:t xml:space="preserve">supra </w:t>
      </w:r>
      <w:r>
        <w:t>note 20</w:t>
      </w:r>
      <w:r w:rsidRPr="004E0C4B">
        <w:rPr>
          <w:rFonts w:eastAsia="Garamond" w:cs="Garamond"/>
        </w:rPr>
        <w:t>,</w:t>
      </w:r>
      <w:r>
        <w:rPr>
          <w:rFonts w:eastAsia="Garamond" w:cs="Garamond"/>
        </w:rPr>
        <w:t xml:space="preserve"> at</w:t>
      </w:r>
      <w:r w:rsidRPr="004E0C4B">
        <w:rPr>
          <w:rFonts w:eastAsia="Garamond" w:cs="Garamond"/>
        </w:rPr>
        <w:t xml:space="preserve"> para. 38</w:t>
      </w:r>
      <w:r>
        <w:rPr>
          <w:rFonts w:eastAsia="Garamond" w:cs="Garamond"/>
        </w:rPr>
        <w:t>.</w:t>
      </w:r>
    </w:p>
  </w:footnote>
  <w:footnote w:id="44">
    <w:p w14:paraId="58891E11" w14:textId="77777777" w:rsidR="00967084" w:rsidRPr="005A5CDA"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Pr>
          <w:rFonts w:eastAsia="Garamond" w:cs="Garamond"/>
          <w:i/>
          <w:iCs/>
        </w:rPr>
        <w:t xml:space="preserve">Id. </w:t>
      </w:r>
    </w:p>
  </w:footnote>
  <w:footnote w:id="45">
    <w:p w14:paraId="1F536305"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Lynn We</w:t>
      </w:r>
      <w:r>
        <w:t>l</w:t>
      </w:r>
      <w:r w:rsidRPr="004E0C4B">
        <w:t>chman, “G</w:t>
      </w:r>
      <w:r w:rsidRPr="004E0C4B">
        <w:rPr>
          <w:rFonts w:eastAsia="Garamond" w:cs="Garamond"/>
          <w:color w:val="4A4A4A"/>
        </w:rPr>
        <w:t>endered impact of the conflict in the Syrian Arab Republic on women in girls</w:t>
      </w:r>
      <w:r w:rsidRPr="004E0C4B">
        <w:t xml:space="preserve">”, 12 June 2023, </w:t>
      </w:r>
      <w:hyperlink r:id="rId19">
        <w:r w:rsidRPr="004E0C4B">
          <w:rPr>
            <w:rStyle w:val="Hyperlink"/>
          </w:rPr>
          <w:t>https://www.ohchr.org/en/statements-and-speeches/2023/06/gendered-impact-conflict-syrian-arab-republic-women-and-girls</w:t>
        </w:r>
      </w:hyperlink>
      <w:r w:rsidRPr="004E0C4B">
        <w:t xml:space="preserve">, </w:t>
      </w:r>
      <w:r>
        <w:t>[</w:t>
      </w:r>
      <w:r w:rsidRPr="004E0C4B">
        <w:t>last accessed on 14 May 2025</w:t>
      </w:r>
      <w:r>
        <w:t>]</w:t>
      </w:r>
      <w:r w:rsidRPr="004E0C4B">
        <w:t>.</w:t>
      </w:r>
    </w:p>
  </w:footnote>
  <w:footnote w:id="46">
    <w:p w14:paraId="5D0A7F6C" w14:textId="77777777" w:rsidR="00967084" w:rsidRPr="0074728A" w:rsidRDefault="00967084" w:rsidP="00967084">
      <w:pPr>
        <w:pStyle w:val="FootnoteText"/>
        <w:spacing w:line="240" w:lineRule="auto"/>
        <w:ind w:firstLine="0"/>
        <w:contextualSpacing/>
        <w:jc w:val="left"/>
        <w:rPr>
          <w:i/>
          <w:iCs/>
        </w:rPr>
      </w:pPr>
      <w:r w:rsidRPr="004E0C4B">
        <w:rPr>
          <w:rStyle w:val="FootnoteReference"/>
        </w:rPr>
        <w:footnoteRef/>
      </w:r>
      <w:r w:rsidRPr="004E0C4B">
        <w:t xml:space="preserve"> </w:t>
      </w:r>
      <w:r>
        <w:rPr>
          <w:i/>
          <w:iCs/>
        </w:rPr>
        <w:t>Id.</w:t>
      </w:r>
    </w:p>
  </w:footnote>
  <w:footnote w:id="47">
    <w:p w14:paraId="76C72C72"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Pr>
          <w:i/>
          <w:iCs/>
        </w:rPr>
        <w:t>Id.</w:t>
      </w:r>
    </w:p>
  </w:footnote>
  <w:footnote w:id="48">
    <w:p w14:paraId="520105ED"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Pr>
          <w:i/>
          <w:iCs/>
        </w:rPr>
        <w:t>Id.</w:t>
      </w:r>
    </w:p>
  </w:footnote>
  <w:footnote w:id="49">
    <w:p w14:paraId="0C4D4053"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Pr>
          <w:i/>
          <w:iCs/>
        </w:rPr>
        <w:t>Id.</w:t>
      </w:r>
    </w:p>
  </w:footnote>
  <w:footnote w:id="50">
    <w:p w14:paraId="0AA960DC"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Pr>
          <w:i/>
          <w:iCs/>
        </w:rPr>
        <w:t>Id.</w:t>
      </w:r>
    </w:p>
  </w:footnote>
  <w:footnote w:id="51">
    <w:p w14:paraId="1EF58DF3"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Fonts w:eastAsia="Garamond" w:cs="Garamond"/>
        </w:rPr>
        <w:footnoteRef/>
      </w:r>
      <w:r w:rsidRPr="004E0C4B">
        <w:rPr>
          <w:rFonts w:eastAsia="Garamond" w:cs="Garamond"/>
        </w:rPr>
        <w:t xml:space="preserve"> CEDAW, </w:t>
      </w:r>
      <w:r w:rsidRPr="004E0C4B">
        <w:rPr>
          <w:rFonts w:eastAsia="Garamond" w:cs="Garamond"/>
          <w:i/>
          <w:iCs/>
        </w:rPr>
        <w:t>General Comment No. 32</w:t>
      </w:r>
      <w:r w:rsidRPr="004E0C4B">
        <w:rPr>
          <w:rFonts w:eastAsia="Garamond" w:cs="Garamond"/>
        </w:rPr>
        <w:t>,</w:t>
      </w:r>
      <w:r>
        <w:rPr>
          <w:rFonts w:eastAsia="Garamond" w:cs="Garamond"/>
        </w:rPr>
        <w:t xml:space="preserve"> </w:t>
      </w:r>
      <w:r>
        <w:rPr>
          <w:rFonts w:eastAsia="Garamond" w:cs="Garamond"/>
          <w:i/>
          <w:iCs/>
        </w:rPr>
        <w:t xml:space="preserve">supra </w:t>
      </w:r>
      <w:r>
        <w:rPr>
          <w:rFonts w:eastAsia="Garamond" w:cs="Garamond"/>
        </w:rPr>
        <w:t>note 31,</w:t>
      </w:r>
      <w:r w:rsidRPr="004E0C4B">
        <w:rPr>
          <w:rFonts w:eastAsia="Garamond" w:cs="Garamond"/>
        </w:rPr>
        <w:t xml:space="preserve"> at para. 53; s</w:t>
      </w:r>
      <w:r w:rsidRPr="004E0C4B">
        <w:rPr>
          <w:rFonts w:eastAsia="Garamond" w:cs="Garamond"/>
          <w:i/>
          <w:iCs/>
        </w:rPr>
        <w:t xml:space="preserve">ee also </w:t>
      </w:r>
      <w:r w:rsidRPr="004E0C4B">
        <w:rPr>
          <w:rFonts w:eastAsia="Garamond" w:cs="Garamond"/>
        </w:rPr>
        <w:t xml:space="preserve">UNHCR, </w:t>
      </w:r>
      <w:r w:rsidRPr="004E0C4B">
        <w:rPr>
          <w:rFonts w:eastAsia="Garamond" w:cs="Garamond"/>
          <w:i/>
          <w:iCs/>
        </w:rPr>
        <w:t>Guidelines on statelessness No. 4: ensuring every child’s right to acquire a nationality through articles 1-4 of the 1961 Convention on the Reduction of Statelessness</w:t>
      </w:r>
      <w:r w:rsidRPr="004E0C4B">
        <w:rPr>
          <w:rFonts w:eastAsia="Garamond" w:cs="Garamond"/>
        </w:rPr>
        <w:t xml:space="preserve">, (HCR/GS/12/04), paras. 13-15, </w:t>
      </w:r>
      <w:hyperlink r:id="rId20">
        <w:r w:rsidRPr="004E0C4B">
          <w:rPr>
            <w:rStyle w:val="Hyperlink"/>
            <w:rFonts w:eastAsia="Garamond" w:cs="Garamond"/>
          </w:rPr>
          <w:t>www.refworld.org/docid/50d460c72.html</w:t>
        </w:r>
      </w:hyperlink>
      <w:r w:rsidRPr="004E0C4B">
        <w:rPr>
          <w:rFonts w:eastAsia="Garamond" w:cs="Garamond"/>
        </w:rPr>
        <w:t>.</w:t>
      </w:r>
    </w:p>
  </w:footnote>
  <w:footnote w:id="52">
    <w:p w14:paraId="4D535554" w14:textId="77777777" w:rsidR="00967084" w:rsidRPr="004E0C4B" w:rsidRDefault="00967084" w:rsidP="00967084">
      <w:pPr>
        <w:pStyle w:val="FootnoteText"/>
        <w:spacing w:line="240" w:lineRule="auto"/>
        <w:ind w:firstLine="0"/>
        <w:contextualSpacing/>
        <w:jc w:val="left"/>
        <w:rPr>
          <w:rFonts w:eastAsia="Aptos" w:cs="Aptos"/>
        </w:rPr>
      </w:pPr>
      <w:r w:rsidRPr="004E0C4B">
        <w:rPr>
          <w:rStyle w:val="FootnoteReference"/>
        </w:rPr>
        <w:footnoteRef/>
      </w:r>
      <w:r w:rsidRPr="004E0C4B">
        <w:t xml:space="preserve"> </w:t>
      </w:r>
      <w:r w:rsidRPr="004E0C4B">
        <w:rPr>
          <w:rFonts w:eastAsia="Garamond" w:cs="Garamond"/>
        </w:rPr>
        <w:t xml:space="preserve">CEDAW, </w:t>
      </w:r>
      <w:r w:rsidRPr="004E0C4B">
        <w:rPr>
          <w:rFonts w:eastAsia="Garamond" w:cs="Garamond"/>
          <w:i/>
          <w:iCs/>
        </w:rPr>
        <w:t>General Comment No. 32</w:t>
      </w:r>
      <w:r w:rsidRPr="004E0C4B">
        <w:rPr>
          <w:rFonts w:eastAsia="Garamond" w:cs="Garamond"/>
        </w:rPr>
        <w:t>,</w:t>
      </w:r>
      <w:r>
        <w:rPr>
          <w:rFonts w:eastAsia="Garamond" w:cs="Garamond"/>
        </w:rPr>
        <w:t xml:space="preserve"> </w:t>
      </w:r>
      <w:r>
        <w:rPr>
          <w:rFonts w:eastAsia="Garamond" w:cs="Garamond"/>
          <w:i/>
          <w:iCs/>
        </w:rPr>
        <w:t xml:space="preserve">supra </w:t>
      </w:r>
      <w:r>
        <w:rPr>
          <w:rFonts w:eastAsia="Garamond" w:cs="Garamond"/>
        </w:rPr>
        <w:t>note 31,</w:t>
      </w:r>
      <w:r w:rsidRPr="004E0C4B">
        <w:rPr>
          <w:rFonts w:eastAsia="Garamond" w:cs="Garamond"/>
        </w:rPr>
        <w:t xml:space="preserve"> at para. 5</w:t>
      </w:r>
      <w:r>
        <w:rPr>
          <w:rFonts w:eastAsia="Garamond" w:cs="Garamond"/>
        </w:rPr>
        <w:t>3</w:t>
      </w:r>
      <w:r w:rsidRPr="004E0C4B">
        <w:rPr>
          <w:rFonts w:eastAsia="Garamond" w:cs="Garamond"/>
        </w:rPr>
        <w:t>.</w:t>
      </w:r>
    </w:p>
  </w:footnote>
  <w:footnote w:id="53">
    <w:p w14:paraId="10FD5E3F" w14:textId="77777777" w:rsidR="00967084" w:rsidRPr="004E0C4B" w:rsidRDefault="00967084" w:rsidP="00967084">
      <w:pPr>
        <w:pStyle w:val="FootnoteText"/>
        <w:spacing w:before="240" w:after="240" w:line="240" w:lineRule="auto"/>
        <w:ind w:firstLine="0"/>
        <w:contextualSpacing/>
        <w:jc w:val="left"/>
        <w:rPr>
          <w:rFonts w:eastAsia="Garamond" w:cs="Garamond"/>
        </w:rPr>
      </w:pPr>
      <w:r w:rsidRPr="004E0C4B">
        <w:rPr>
          <w:rStyle w:val="FootnoteReference"/>
          <w:rFonts w:eastAsia="Garamond" w:cs="Garamond"/>
        </w:rPr>
        <w:footnoteRef/>
      </w:r>
      <w:r w:rsidRPr="004E0C4B">
        <w:rPr>
          <w:rFonts w:eastAsia="Garamond" w:cs="Garamond"/>
        </w:rPr>
        <w:t xml:space="preserve"> UN, “CEDAW”, </w:t>
      </w:r>
      <w:r w:rsidRPr="004E0C4B">
        <w:rPr>
          <w:rFonts w:eastAsia="Garamond" w:cs="Garamond"/>
          <w:i/>
          <w:iCs/>
        </w:rPr>
        <w:t>Treaty Collection</w:t>
      </w:r>
      <w:r w:rsidRPr="004E0C4B">
        <w:rPr>
          <w:rFonts w:eastAsia="Garamond" w:cs="Garamond"/>
        </w:rPr>
        <w:t xml:space="preserve">, </w:t>
      </w:r>
      <w:hyperlink r:id="rId21">
        <w:r w:rsidRPr="004E0C4B">
          <w:rPr>
            <w:rStyle w:val="Hyperlink"/>
          </w:rPr>
          <w:t>https://treaties.un.org/pages/viewdetails.aspx?src=treaty&amp;mtdsg_no=iv-8&amp;chapter=4&amp;clang=_en</w:t>
        </w:r>
      </w:hyperlink>
      <w:hyperlink r:id="rId22">
        <w:r w:rsidRPr="004E0C4B">
          <w:rPr>
            <w:rStyle w:val="Hyperlink"/>
            <w:rFonts w:eastAsia="Garamond" w:cs="Garamond"/>
            <w:color w:val="auto"/>
          </w:rPr>
          <w:t>,</w:t>
        </w:r>
      </w:hyperlink>
      <w:r w:rsidRPr="004E0C4B">
        <w:rPr>
          <w:rFonts w:eastAsia="Garamond" w:cs="Garamond"/>
        </w:rPr>
        <w:t xml:space="preserve"> </w:t>
      </w:r>
      <w:r>
        <w:rPr>
          <w:rFonts w:eastAsia="Garamond" w:cs="Garamond"/>
        </w:rPr>
        <w:t xml:space="preserve">[last </w:t>
      </w:r>
      <w:r w:rsidRPr="004E0C4B">
        <w:rPr>
          <w:rFonts w:eastAsia="Garamond" w:cs="Garamond"/>
        </w:rPr>
        <w:t xml:space="preserve">accessed </w:t>
      </w:r>
      <w:r>
        <w:rPr>
          <w:rFonts w:eastAsia="Garamond" w:cs="Garamond"/>
        </w:rPr>
        <w:t xml:space="preserve">on </w:t>
      </w:r>
      <w:r w:rsidRPr="004E0C4B">
        <w:rPr>
          <w:rFonts w:eastAsia="Garamond" w:cs="Garamond"/>
        </w:rPr>
        <w:t>13 May 2025</w:t>
      </w:r>
      <w:r>
        <w:rPr>
          <w:rFonts w:eastAsia="Garamond" w:cs="Garamond"/>
        </w:rPr>
        <w:t>]</w:t>
      </w:r>
      <w:r w:rsidRPr="004E0C4B">
        <w:rPr>
          <w:rFonts w:eastAsia="Garamond" w:cs="Garamond"/>
        </w:rPr>
        <w:t>: “</w:t>
      </w:r>
      <w:r w:rsidRPr="004E0C4B">
        <w:rPr>
          <w:rFonts w:eastAsia="Garamond" w:cs="Garamond"/>
          <w:i/>
          <w:iCs/>
        </w:rPr>
        <w:t xml:space="preserve">Reservation: </w:t>
      </w:r>
      <w:r w:rsidRPr="004E0C4B">
        <w:rPr>
          <w:rFonts w:eastAsia="Garamond" w:cs="Garamond"/>
        </w:rPr>
        <w:t>..... subject to reservations to article 2; article 9, paragraph 2, concerning the grant of a woman's nationality to her children. . .”</w:t>
      </w:r>
    </w:p>
  </w:footnote>
  <w:footnote w:id="54">
    <w:p w14:paraId="63154B7C"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sidRPr="004E0C4B">
        <w:rPr>
          <w:rFonts w:eastAsia="Garamond" w:cs="Garamond"/>
        </w:rPr>
        <w:t xml:space="preserve">CEDAW Committee, </w:t>
      </w:r>
      <w:r w:rsidRPr="004E0C4B">
        <w:rPr>
          <w:rFonts w:eastAsia="Garamond" w:cs="Garamond"/>
          <w:i/>
          <w:iCs/>
        </w:rPr>
        <w:t>Concluding Comments on Syrian Arab Republic</w:t>
      </w:r>
      <w:r w:rsidRPr="004E0C4B">
        <w:rPr>
          <w:rFonts w:eastAsia="Garamond" w:cs="Garamond"/>
        </w:rPr>
        <w:t xml:space="preserve">, </w:t>
      </w:r>
      <w:r>
        <w:rPr>
          <w:rFonts w:eastAsia="Garamond" w:cs="Garamond"/>
          <w:i/>
          <w:iCs/>
        </w:rPr>
        <w:t xml:space="preserve">supra </w:t>
      </w:r>
      <w:r>
        <w:rPr>
          <w:rFonts w:eastAsia="Garamond" w:cs="Garamond"/>
        </w:rPr>
        <w:t>note 41, at</w:t>
      </w:r>
      <w:r w:rsidRPr="004E0C4B">
        <w:rPr>
          <w:rFonts w:eastAsia="Garamond" w:cs="Garamond"/>
        </w:rPr>
        <w:t xml:space="preserve"> para. 11</w:t>
      </w:r>
      <w:r>
        <w:rPr>
          <w:rFonts w:eastAsia="Garamond" w:cs="Garamond"/>
        </w:rPr>
        <w:t>.</w:t>
      </w:r>
    </w:p>
  </w:footnote>
  <w:footnote w:id="55">
    <w:p w14:paraId="42FDC184" w14:textId="77777777" w:rsidR="00967084" w:rsidRPr="004E0C4B" w:rsidRDefault="00967084" w:rsidP="00967084">
      <w:pPr>
        <w:pStyle w:val="FootnoteText"/>
        <w:spacing w:line="240" w:lineRule="auto"/>
        <w:ind w:firstLine="0"/>
        <w:contextualSpacing/>
        <w:jc w:val="left"/>
        <w:rPr>
          <w:rFonts w:eastAsia="Aptos" w:cs="Aptos"/>
        </w:rPr>
      </w:pPr>
      <w:r w:rsidRPr="004E0C4B">
        <w:rPr>
          <w:rStyle w:val="FootnoteReference"/>
        </w:rPr>
        <w:footnoteRef/>
      </w:r>
      <w:r w:rsidRPr="004E0C4B">
        <w:t xml:space="preserve"> </w:t>
      </w:r>
      <w:r w:rsidRPr="004E0C4B">
        <w:rPr>
          <w:rFonts w:eastAsia="Garamond" w:cs="Garamond"/>
        </w:rPr>
        <w:t xml:space="preserve">CEDAW, </w:t>
      </w:r>
      <w:r w:rsidRPr="004E0C4B">
        <w:rPr>
          <w:rFonts w:eastAsia="Garamond" w:cs="Garamond"/>
          <w:i/>
          <w:iCs/>
        </w:rPr>
        <w:t>General Comment No. 32</w:t>
      </w:r>
      <w:r w:rsidRPr="004E0C4B">
        <w:rPr>
          <w:rFonts w:eastAsia="Garamond" w:cs="Garamond"/>
        </w:rPr>
        <w:t>,</w:t>
      </w:r>
      <w:r>
        <w:rPr>
          <w:rFonts w:eastAsia="Garamond" w:cs="Garamond"/>
        </w:rPr>
        <w:t xml:space="preserve"> </w:t>
      </w:r>
      <w:r>
        <w:rPr>
          <w:rFonts w:eastAsia="Garamond" w:cs="Garamond"/>
          <w:i/>
          <w:iCs/>
        </w:rPr>
        <w:t xml:space="preserve">supra </w:t>
      </w:r>
      <w:r>
        <w:rPr>
          <w:rFonts w:eastAsia="Garamond" w:cs="Garamond"/>
        </w:rPr>
        <w:t>note 31,</w:t>
      </w:r>
      <w:r w:rsidRPr="004E0C4B">
        <w:rPr>
          <w:rFonts w:eastAsia="Garamond" w:cs="Garamond"/>
        </w:rPr>
        <w:t xml:space="preserve"> at para. 63(b).</w:t>
      </w:r>
    </w:p>
  </w:footnote>
  <w:footnote w:id="56">
    <w:p w14:paraId="1BF5CD41" w14:textId="77777777" w:rsidR="00967084" w:rsidRDefault="00967084" w:rsidP="00967084">
      <w:pPr>
        <w:pStyle w:val="FootnoteText"/>
        <w:spacing w:line="240" w:lineRule="auto"/>
        <w:ind w:firstLine="0"/>
        <w:jc w:val="left"/>
      </w:pPr>
      <w:r>
        <w:rPr>
          <w:rStyle w:val="FootnoteReference"/>
        </w:rPr>
        <w:footnoteRef/>
      </w:r>
      <w:r>
        <w:t xml:space="preserve"> </w:t>
      </w:r>
      <w:r>
        <w:rPr>
          <w:rFonts w:eastAsia="Garamond" w:cs="Garamond"/>
          <w:i/>
          <w:iCs/>
        </w:rPr>
        <w:t>Id.</w:t>
      </w:r>
    </w:p>
  </w:footnote>
  <w:footnote w:id="57">
    <w:p w14:paraId="3FD00A75" w14:textId="77777777" w:rsidR="00967084" w:rsidRPr="00691298" w:rsidRDefault="00967084" w:rsidP="00967084">
      <w:pPr>
        <w:pStyle w:val="FootnoteText"/>
        <w:spacing w:line="240" w:lineRule="auto"/>
        <w:ind w:firstLine="0"/>
        <w:contextualSpacing/>
        <w:jc w:val="left"/>
      </w:pPr>
      <w:r w:rsidRPr="004E0C4B">
        <w:rPr>
          <w:rStyle w:val="FootnoteReference"/>
        </w:rPr>
        <w:footnoteRef/>
      </w:r>
      <w:r w:rsidRPr="004E0C4B">
        <w:t xml:space="preserve"> Lynn We</w:t>
      </w:r>
      <w:r>
        <w:t>l</w:t>
      </w:r>
      <w:r w:rsidRPr="004E0C4B">
        <w:t xml:space="preserve">chman, </w:t>
      </w:r>
      <w:r>
        <w:rPr>
          <w:i/>
          <w:iCs/>
        </w:rPr>
        <w:t xml:space="preserve">supra </w:t>
      </w:r>
      <w:r>
        <w:t>note 45.</w:t>
      </w:r>
    </w:p>
  </w:footnote>
  <w:footnote w:id="58">
    <w:p w14:paraId="2B2E0E29"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Fonts w:eastAsia="Garamond" w:cs="Garamond"/>
        </w:rPr>
        <w:footnoteRef/>
      </w:r>
      <w:r w:rsidRPr="004E0C4B">
        <w:rPr>
          <w:rFonts w:eastAsia="Garamond" w:cs="Garamond"/>
        </w:rPr>
        <w:t xml:space="preserve"> </w:t>
      </w:r>
      <w:r>
        <w:rPr>
          <w:rFonts w:eastAsia="Garamond" w:cs="Garamond"/>
        </w:rPr>
        <w:t xml:space="preserve">FILP and Norwegian Refugee Council, </w:t>
      </w:r>
      <w:r>
        <w:rPr>
          <w:rFonts w:eastAsia="Garamond" w:cs="Garamond"/>
          <w:i/>
          <w:iCs/>
        </w:rPr>
        <w:t xml:space="preserve">supra </w:t>
      </w:r>
      <w:r>
        <w:rPr>
          <w:rFonts w:eastAsia="Garamond" w:cs="Garamond"/>
        </w:rPr>
        <w:t>note 14, at</w:t>
      </w:r>
      <w:r w:rsidRPr="004E0C4B">
        <w:rPr>
          <w:rFonts w:eastAsia="Garamond" w:cs="Garamond"/>
        </w:rPr>
        <w:t xml:space="preserve"> pp.</w:t>
      </w:r>
      <w:r>
        <w:rPr>
          <w:rFonts w:eastAsia="Garamond" w:cs="Garamond"/>
        </w:rPr>
        <w:t xml:space="preserve"> 32.</w:t>
      </w:r>
    </w:p>
  </w:footnote>
  <w:footnote w:id="59">
    <w:p w14:paraId="20E204B3"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Pr>
          <w:rFonts w:eastAsia="Garamond" w:cs="Garamond"/>
        </w:rPr>
        <w:t xml:space="preserve">FILP and Norwegian Refugee Council, </w:t>
      </w:r>
      <w:r>
        <w:rPr>
          <w:rFonts w:eastAsia="Garamond" w:cs="Garamond"/>
          <w:i/>
          <w:iCs/>
        </w:rPr>
        <w:t xml:space="preserve">supra </w:t>
      </w:r>
      <w:r>
        <w:rPr>
          <w:rFonts w:eastAsia="Garamond" w:cs="Garamond"/>
        </w:rPr>
        <w:t>note 14, at</w:t>
      </w:r>
      <w:r w:rsidRPr="004E0C4B">
        <w:rPr>
          <w:rFonts w:eastAsia="Garamond" w:cs="Garamond"/>
        </w:rPr>
        <w:t xml:space="preserve"> pp. 33, fn. 75</w:t>
      </w:r>
      <w:r>
        <w:rPr>
          <w:rFonts w:eastAsia="Garamond" w:cs="Garamond"/>
        </w:rPr>
        <w:t xml:space="preserve">: </w:t>
      </w:r>
      <w:r w:rsidRPr="004E0C4B">
        <w:t>“</w:t>
      </w:r>
      <w:r w:rsidRPr="004E0C4B">
        <w:rPr>
          <w:rFonts w:eastAsia="Garamond" w:cs="Garamond"/>
        </w:rPr>
        <w:t>However, according to one key informant, people in NWS also conceal their old documents so that they are not stamped by de facto authorities (thus rendering the documents invalid), so they say they do not have them. Consequently, the informant suggested that any research carried out on how many people have documentation is inaccurate because many will conceal the fact that they have it. In previous research, the informant found that more than 10-15 percent of respondents concealed the fact that they had documentation.”</w:t>
      </w:r>
    </w:p>
  </w:footnote>
  <w:footnote w:id="60">
    <w:p w14:paraId="19DB1DA6"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Pr>
          <w:rFonts w:eastAsia="Garamond" w:cs="Garamond"/>
        </w:rPr>
        <w:t xml:space="preserve">FILP and Norwegian Refugee Council, </w:t>
      </w:r>
      <w:r>
        <w:rPr>
          <w:rFonts w:eastAsia="Garamond" w:cs="Garamond"/>
          <w:i/>
          <w:iCs/>
        </w:rPr>
        <w:t xml:space="preserve">supra </w:t>
      </w:r>
      <w:r>
        <w:rPr>
          <w:rFonts w:eastAsia="Garamond" w:cs="Garamond"/>
        </w:rPr>
        <w:t>note 14, at</w:t>
      </w:r>
      <w:r w:rsidRPr="004E0C4B">
        <w:rPr>
          <w:rFonts w:eastAsia="Garamond" w:cs="Garamond"/>
        </w:rPr>
        <w:t xml:space="preserve"> pp.</w:t>
      </w:r>
      <w:r>
        <w:rPr>
          <w:rFonts w:eastAsia="Garamond" w:cs="Garamond"/>
        </w:rPr>
        <w:t xml:space="preserve"> 32</w:t>
      </w:r>
      <w:r w:rsidRPr="004E0C4B">
        <w:rPr>
          <w:rFonts w:eastAsia="Garamond" w:cs="Garamond"/>
        </w:rPr>
        <w:t>.</w:t>
      </w:r>
    </w:p>
  </w:footnote>
  <w:footnote w:id="61">
    <w:p w14:paraId="060D1BE3"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UNHCR, </w:t>
      </w:r>
      <w:r w:rsidRPr="004E0C4B">
        <w:rPr>
          <w:i/>
          <w:iCs/>
        </w:rPr>
        <w:t>Background Note on Gender Equality, Nationality Laws and Statelessness 2019,</w:t>
      </w:r>
      <w:r w:rsidRPr="004E0C4B">
        <w:t xml:space="preserve"> 8 Mar. 2019, pp. 7, at: </w:t>
      </w:r>
      <w:hyperlink r:id="rId23">
        <w:r w:rsidRPr="004E0C4B">
          <w:rPr>
            <w:rStyle w:val="Hyperlink"/>
          </w:rPr>
          <w:t>https://www.refworld.org/docid/5c8120847.html</w:t>
        </w:r>
      </w:hyperlink>
      <w:r w:rsidRPr="004E0C4B">
        <w:t xml:space="preserve">; </w:t>
      </w:r>
      <w:r>
        <w:rPr>
          <w:rFonts w:eastAsia="Garamond" w:cs="Garamond"/>
        </w:rPr>
        <w:t xml:space="preserve">FILP and Norwegian Refugee Council, </w:t>
      </w:r>
      <w:r>
        <w:rPr>
          <w:rFonts w:eastAsia="Garamond" w:cs="Garamond"/>
          <w:i/>
          <w:iCs/>
        </w:rPr>
        <w:t xml:space="preserve">supra </w:t>
      </w:r>
      <w:r>
        <w:rPr>
          <w:rFonts w:eastAsia="Garamond" w:cs="Garamond"/>
        </w:rPr>
        <w:t>note 14, at</w:t>
      </w:r>
      <w:r w:rsidRPr="004E0C4B">
        <w:rPr>
          <w:rFonts w:eastAsia="Garamond" w:cs="Garamond"/>
        </w:rPr>
        <w:t xml:space="preserve"> pp.</w:t>
      </w:r>
      <w:r>
        <w:rPr>
          <w:rFonts w:eastAsia="Garamond" w:cs="Garamond"/>
        </w:rPr>
        <w:t xml:space="preserve"> 32.</w:t>
      </w:r>
    </w:p>
  </w:footnote>
  <w:footnote w:id="62">
    <w:p w14:paraId="3FF377E1"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sidRPr="004E0C4B">
        <w:rPr>
          <w:i/>
          <w:iCs/>
        </w:rPr>
        <w:t>Country Position Paper: Statelessness in Syria</w:t>
      </w:r>
      <w:r w:rsidRPr="004E0C4B">
        <w:t xml:space="preserve">, European Network on Statelessness and Institution on Statelessness and Inclusion, Aug. 2019, pp. 6 </w:t>
      </w:r>
      <w:hyperlink r:id="rId24">
        <w:r w:rsidRPr="004E0C4B">
          <w:rPr>
            <w:rStyle w:val="Hyperlink"/>
          </w:rPr>
          <w:t>https://statelessjourneys.org/wp-content/uploads/StatelessJourneys-Syria-August-2019.pdf,</w:t>
        </w:r>
      </w:hyperlink>
      <w:r w:rsidRPr="004E0C4B">
        <w:t xml:space="preserve"> </w:t>
      </w:r>
      <w:r>
        <w:t>[</w:t>
      </w:r>
      <w:r w:rsidRPr="004E0C4B">
        <w:t>last accessed on 14 May</w:t>
      </w:r>
      <w:r>
        <w:t xml:space="preserve"> </w:t>
      </w:r>
      <w:r w:rsidRPr="004E0C4B">
        <w:t>2025</w:t>
      </w:r>
      <w:r>
        <w:t>]</w:t>
      </w:r>
      <w:r w:rsidRPr="004E0C4B">
        <w:t xml:space="preserve">. </w:t>
      </w:r>
    </w:p>
  </w:footnote>
  <w:footnote w:id="63">
    <w:p w14:paraId="7A4AD737" w14:textId="77777777" w:rsidR="00967084" w:rsidRPr="003218ED" w:rsidRDefault="00967084" w:rsidP="00967084">
      <w:pPr>
        <w:pStyle w:val="FootnoteText"/>
        <w:spacing w:line="240" w:lineRule="auto"/>
        <w:ind w:firstLine="0"/>
        <w:contextualSpacing/>
        <w:jc w:val="left"/>
        <w:rPr>
          <w:i/>
          <w:iCs/>
        </w:rPr>
      </w:pPr>
      <w:r w:rsidRPr="004E0C4B">
        <w:rPr>
          <w:rStyle w:val="FootnoteReference"/>
        </w:rPr>
        <w:footnoteRef/>
      </w:r>
      <w:r w:rsidRPr="004E0C4B">
        <w:t xml:space="preserve"> </w:t>
      </w:r>
      <w:r>
        <w:rPr>
          <w:i/>
          <w:iCs/>
        </w:rPr>
        <w:t>Id.</w:t>
      </w:r>
    </w:p>
  </w:footnote>
  <w:footnote w:id="64">
    <w:p w14:paraId="242F4913"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UNHCR &amp; Norwegian Refugee Council, </w:t>
      </w:r>
      <w:r w:rsidRPr="004E0C4B">
        <w:rPr>
          <w:i/>
          <w:iCs/>
        </w:rPr>
        <w:t>Lost Identity: Challenges relating to legal identification and civil documentation in the north-west of the Syrian Arab Republic</w:t>
      </w:r>
      <w:r w:rsidRPr="004E0C4B">
        <w:t xml:space="preserve">,  pp. 25, 63, 2019, (based on its surveys of 1,100 households in non-government controlled districts in the Aleppo and Idlib governorates less than 30 percent of the displaced Syrians said that it was possible to obtain Syrian Government documentation where they were living); UNHCR, </w:t>
      </w:r>
      <w:r w:rsidRPr="004E0C4B">
        <w:rPr>
          <w:i/>
          <w:iCs/>
        </w:rPr>
        <w:t>Syria: COI Note on the Treatment of Women with Children Born Out of Wedlock in Syria</w:t>
      </w:r>
      <w:r w:rsidRPr="004E0C4B">
        <w:t xml:space="preserve">, 30 Sept. 2019, </w:t>
      </w:r>
      <w:hyperlink r:id="rId25">
        <w:r w:rsidRPr="004E0C4B">
          <w:rPr>
            <w:rStyle w:val="Hyperlink"/>
          </w:rPr>
          <w:t>https://www.refworld.org/docid/5db174a44.html</w:t>
        </w:r>
      </w:hyperlink>
      <w:r w:rsidRPr="004E0C4B">
        <w:t xml:space="preserve">. </w:t>
      </w:r>
    </w:p>
  </w:footnote>
  <w:footnote w:id="65">
    <w:p w14:paraId="45132D8D"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Pr>
          <w:rFonts w:eastAsia="Garamond" w:cs="Garamond"/>
        </w:rPr>
        <w:t xml:space="preserve">FILP and Norwegian Refugee Council, </w:t>
      </w:r>
      <w:r>
        <w:rPr>
          <w:rFonts w:eastAsia="Garamond" w:cs="Garamond"/>
          <w:i/>
          <w:iCs/>
        </w:rPr>
        <w:t xml:space="preserve">supra </w:t>
      </w:r>
      <w:r>
        <w:rPr>
          <w:rFonts w:eastAsia="Garamond" w:cs="Garamond"/>
        </w:rPr>
        <w:t>note 14, at</w:t>
      </w:r>
      <w:r w:rsidRPr="004E0C4B">
        <w:rPr>
          <w:rFonts w:eastAsia="Garamond" w:cs="Garamond"/>
        </w:rPr>
        <w:t xml:space="preserve"> pp.</w:t>
      </w:r>
      <w:r>
        <w:rPr>
          <w:rFonts w:eastAsia="Garamond" w:cs="Garamond"/>
        </w:rPr>
        <w:t xml:space="preserve"> 33.</w:t>
      </w:r>
    </w:p>
  </w:footnote>
  <w:footnote w:id="66">
    <w:p w14:paraId="0BC75749"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proofErr w:type="gramStart"/>
      <w:r w:rsidRPr="004E0C4B">
        <w:t>Article</w:t>
      </w:r>
      <w:proofErr w:type="gramEnd"/>
      <w:r w:rsidRPr="004E0C4B">
        <w:t xml:space="preserve"> 3(C) and 3(D) state, respectively, that the following people shall be considered Syrian: “Anyone born in the country to unknown parents or to parents of unknown nationality or without one. A foundling in the country </w:t>
      </w:r>
      <w:proofErr w:type="gramStart"/>
      <w:r w:rsidRPr="004E0C4B">
        <w:t>is considered to be</w:t>
      </w:r>
      <w:proofErr w:type="gramEnd"/>
      <w:r w:rsidRPr="004E0C4B">
        <w:t xml:space="preserve"> born there </w:t>
      </w:r>
      <w:proofErr w:type="gramStart"/>
      <w:r w:rsidRPr="004E0C4B">
        <w:t>and in the place</w:t>
      </w:r>
      <w:proofErr w:type="gramEnd"/>
      <w:r w:rsidRPr="004E0C4B">
        <w:t xml:space="preserve"> where he was found, unless proven otherwise”; and “A person who was born in the country and was not entitled, at the time of his birth, to acquire a foreign nationality by filiation”. Nationality Law, Legislative Decree 276, 1969, available at: </w:t>
      </w:r>
      <w:hyperlink r:id="rId26">
        <w:r w:rsidRPr="004E0C4B">
          <w:rPr>
            <w:rStyle w:val="Hyperlink"/>
          </w:rPr>
          <w:t>https://www.refworld.org/docid/4d81e7b12.html</w:t>
        </w:r>
      </w:hyperlink>
      <w:r w:rsidRPr="004E0C4B">
        <w:t xml:space="preserve">. </w:t>
      </w:r>
    </w:p>
  </w:footnote>
  <w:footnote w:id="67">
    <w:p w14:paraId="796C55EC" w14:textId="77777777" w:rsidR="00967084" w:rsidRPr="004E0C4B" w:rsidRDefault="00967084" w:rsidP="00967084">
      <w:pPr>
        <w:pStyle w:val="FootnoteText"/>
        <w:spacing w:line="240" w:lineRule="auto"/>
        <w:ind w:firstLine="0"/>
        <w:contextualSpacing/>
        <w:jc w:val="left"/>
      </w:pPr>
      <w:r w:rsidRPr="004E0C4B">
        <w:rPr>
          <w:rStyle w:val="FootnoteReference"/>
        </w:rPr>
        <w:footnoteRef/>
      </w:r>
      <w:r w:rsidRPr="004E0C4B">
        <w:t xml:space="preserve"> </w:t>
      </w:r>
      <w:r w:rsidRPr="004E0C4B">
        <w:rPr>
          <w:i/>
          <w:iCs/>
        </w:rPr>
        <w:t>Syrian Arab Republic</w:t>
      </w:r>
      <w:r w:rsidRPr="004E0C4B">
        <w:t xml:space="preserve">, Joint Submission to the Human Rights Council at the 40th Session of the Universal Periodic Review, para. 17, </w:t>
      </w:r>
      <w:hyperlink r:id="rId27">
        <w:r w:rsidRPr="004E0C4B">
          <w:rPr>
            <w:rStyle w:val="Hyperlink"/>
          </w:rPr>
          <w:t>https://uprdoc.ohchr.org/uprweb/downloadfile.aspx?filename=9567&amp;file=EnglishTranslation,</w:t>
        </w:r>
      </w:hyperlink>
      <w:r w:rsidRPr="004E0C4B">
        <w:t xml:space="preserve"> </w:t>
      </w:r>
      <w:r>
        <w:t>[</w:t>
      </w:r>
      <w:r w:rsidRPr="004E0C4B">
        <w:t>last accessed on 14 May 2025</w:t>
      </w:r>
      <w:r>
        <w:t>]</w:t>
      </w:r>
      <w:r w:rsidRPr="004E0C4B">
        <w:t xml:space="preserve">. </w:t>
      </w:r>
    </w:p>
  </w:footnote>
  <w:footnote w:id="68">
    <w:p w14:paraId="4C2926BC" w14:textId="77777777" w:rsidR="00967084" w:rsidRPr="004E0C4B" w:rsidRDefault="00967084" w:rsidP="00967084">
      <w:pPr>
        <w:pStyle w:val="FootnoteText"/>
        <w:spacing w:line="240" w:lineRule="auto"/>
        <w:ind w:firstLine="0"/>
        <w:contextualSpacing/>
        <w:jc w:val="left"/>
        <w:rPr>
          <w:rFonts w:eastAsia="Garamond" w:cs="Garamond"/>
        </w:rPr>
      </w:pPr>
      <w:r w:rsidRPr="004E0C4B">
        <w:rPr>
          <w:rStyle w:val="FootnoteReference"/>
        </w:rPr>
        <w:footnoteRef/>
      </w:r>
      <w:r w:rsidRPr="004E0C4B">
        <w:t xml:space="preserve"> </w:t>
      </w:r>
      <w:r>
        <w:rPr>
          <w:rFonts w:eastAsia="Garamond" w:cs="Garamond"/>
        </w:rPr>
        <w:t xml:space="preserve">FILP and Norwegian Refugee Council, </w:t>
      </w:r>
      <w:r>
        <w:rPr>
          <w:rFonts w:eastAsia="Garamond" w:cs="Garamond"/>
          <w:i/>
          <w:iCs/>
        </w:rPr>
        <w:t xml:space="preserve">supra </w:t>
      </w:r>
      <w:r>
        <w:rPr>
          <w:rFonts w:eastAsia="Garamond" w:cs="Garamond"/>
        </w:rPr>
        <w:t>note 14, at</w:t>
      </w:r>
      <w:r w:rsidRPr="004E0C4B">
        <w:rPr>
          <w:rFonts w:eastAsia="Garamond" w:cs="Garamond"/>
        </w:rPr>
        <w:t xml:space="preserve"> pp.</w:t>
      </w:r>
      <w:r>
        <w:rPr>
          <w:rFonts w:eastAsia="Garamond" w:cs="Garamond"/>
        </w:rPr>
        <w:t xml:space="preserve"> 33.</w:t>
      </w:r>
    </w:p>
  </w:footnote>
</w:footnotes>
</file>

<file path=word/intelligence2.xml><?xml version="1.0" encoding="utf-8"?>
<int2:intelligence xmlns:int2="http://schemas.microsoft.com/office/intelligence/2020/intelligence" xmlns:oel="http://schemas.microsoft.com/office/2019/extlst">
  <int2:observations>
    <int2:textHash int2:hashCode="ni8UUdXdlt6RIo" int2:id="2roxu7YI">
      <int2:state int2:value="Rejected" int2:type="LegacyProofing"/>
    </int2:textHash>
    <int2:textHash int2:hashCode="p4UWKyTVu2i2/A" int2:id="2w7iharm">
      <int2:state int2:value="Rejected" int2:type="LegacyProofing"/>
    </int2:textHash>
    <int2:textHash int2:hashCode="/hzLmKzTMNTLIY" int2:id="adoaLIEE">
      <int2:state int2:value="Rejected" int2:type="LegacyProofing"/>
    </int2:textHash>
    <int2:textHash int2:hashCode="VTV5M6cxDS25DD" int2:id="aTN4Zfbq">
      <int2:state int2:value="Rejected" int2:type="LegacyProofing"/>
    </int2:textHash>
    <int2:textHash int2:hashCode="OrtZNwJC/JiGrS" int2:id="XLNOTIel">
      <int2:state int2:value="Rejected" int2:type="LegacyProofing"/>
    </int2:textHash>
    <int2:textHash int2:hashCode="iH6omZoTvLATN+" int2:id="ccef4eV5">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0698A"/>
    <w:multiLevelType w:val="hybridMultilevel"/>
    <w:tmpl w:val="0F883CFC"/>
    <w:lvl w:ilvl="0" w:tplc="D6E804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6ED2ED7"/>
    <w:multiLevelType w:val="multilevel"/>
    <w:tmpl w:val="69348B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7D6F5D65"/>
    <w:multiLevelType w:val="multilevel"/>
    <w:tmpl w:val="888A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615695">
    <w:abstractNumId w:val="0"/>
  </w:num>
  <w:num w:numId="2" w16cid:durableId="2147240614">
    <w:abstractNumId w:val="1"/>
  </w:num>
  <w:num w:numId="3" w16cid:durableId="338428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MwMTE3NjYxMzQ1N7ZQ0lEKTi0uzszPAykwrAUA3hETQSwAAAA="/>
  </w:docVars>
  <w:rsids>
    <w:rsidRoot w:val="00B91414"/>
    <w:rsid w:val="00002A69"/>
    <w:rsid w:val="00003CF5"/>
    <w:rsid w:val="00005E93"/>
    <w:rsid w:val="000069E1"/>
    <w:rsid w:val="000106ED"/>
    <w:rsid w:val="000123BC"/>
    <w:rsid w:val="000131FD"/>
    <w:rsid w:val="00013AA7"/>
    <w:rsid w:val="0001477A"/>
    <w:rsid w:val="0001706F"/>
    <w:rsid w:val="000174BB"/>
    <w:rsid w:val="000213A0"/>
    <w:rsid w:val="000213D5"/>
    <w:rsid w:val="000218EC"/>
    <w:rsid w:val="00021BEE"/>
    <w:rsid w:val="00021F04"/>
    <w:rsid w:val="000316FA"/>
    <w:rsid w:val="000340B7"/>
    <w:rsid w:val="00035916"/>
    <w:rsid w:val="00036140"/>
    <w:rsid w:val="00036CBD"/>
    <w:rsid w:val="00037BBD"/>
    <w:rsid w:val="00042B98"/>
    <w:rsid w:val="00044F9D"/>
    <w:rsid w:val="000460E2"/>
    <w:rsid w:val="000518A1"/>
    <w:rsid w:val="00052659"/>
    <w:rsid w:val="000527B1"/>
    <w:rsid w:val="0005558D"/>
    <w:rsid w:val="00055A3F"/>
    <w:rsid w:val="00061533"/>
    <w:rsid w:val="000615EA"/>
    <w:rsid w:val="00062333"/>
    <w:rsid w:val="00062470"/>
    <w:rsid w:val="000633EE"/>
    <w:rsid w:val="00063A8D"/>
    <w:rsid w:val="000706A4"/>
    <w:rsid w:val="00071502"/>
    <w:rsid w:val="00073265"/>
    <w:rsid w:val="00081377"/>
    <w:rsid w:val="0008699F"/>
    <w:rsid w:val="000948AA"/>
    <w:rsid w:val="000A2E39"/>
    <w:rsid w:val="000A7D46"/>
    <w:rsid w:val="000B67EE"/>
    <w:rsid w:val="000C0130"/>
    <w:rsid w:val="000C1624"/>
    <w:rsid w:val="000C24A5"/>
    <w:rsid w:val="000C2ED2"/>
    <w:rsid w:val="000D066C"/>
    <w:rsid w:val="000D4A3E"/>
    <w:rsid w:val="000F5AD5"/>
    <w:rsid w:val="000F757A"/>
    <w:rsid w:val="0010111F"/>
    <w:rsid w:val="001019F9"/>
    <w:rsid w:val="00101C37"/>
    <w:rsid w:val="00103ADC"/>
    <w:rsid w:val="00106DD5"/>
    <w:rsid w:val="00107483"/>
    <w:rsid w:val="00107EE4"/>
    <w:rsid w:val="0011045C"/>
    <w:rsid w:val="0011205B"/>
    <w:rsid w:val="0011544A"/>
    <w:rsid w:val="00132442"/>
    <w:rsid w:val="00141B43"/>
    <w:rsid w:val="00142545"/>
    <w:rsid w:val="00143674"/>
    <w:rsid w:val="00144875"/>
    <w:rsid w:val="001452C8"/>
    <w:rsid w:val="001563D5"/>
    <w:rsid w:val="001607A9"/>
    <w:rsid w:val="00160BA9"/>
    <w:rsid w:val="00166A54"/>
    <w:rsid w:val="00166CA9"/>
    <w:rsid w:val="0017374D"/>
    <w:rsid w:val="00176E1A"/>
    <w:rsid w:val="00177A29"/>
    <w:rsid w:val="001805F6"/>
    <w:rsid w:val="00183226"/>
    <w:rsid w:val="00183621"/>
    <w:rsid w:val="00185AD4"/>
    <w:rsid w:val="00186469"/>
    <w:rsid w:val="0019673D"/>
    <w:rsid w:val="0019706E"/>
    <w:rsid w:val="00197AD8"/>
    <w:rsid w:val="00197D48"/>
    <w:rsid w:val="001A02CE"/>
    <w:rsid w:val="001A23C5"/>
    <w:rsid w:val="001A4193"/>
    <w:rsid w:val="001A427C"/>
    <w:rsid w:val="001A477E"/>
    <w:rsid w:val="001A6638"/>
    <w:rsid w:val="001B2710"/>
    <w:rsid w:val="001B29D2"/>
    <w:rsid w:val="001B2D87"/>
    <w:rsid w:val="001C0122"/>
    <w:rsid w:val="001C46CB"/>
    <w:rsid w:val="001C5F6C"/>
    <w:rsid w:val="001D1750"/>
    <w:rsid w:val="001D3409"/>
    <w:rsid w:val="001D438B"/>
    <w:rsid w:val="001D4C1C"/>
    <w:rsid w:val="001D5CAF"/>
    <w:rsid w:val="001E0341"/>
    <w:rsid w:val="001E1A81"/>
    <w:rsid w:val="001E24C5"/>
    <w:rsid w:val="001E402E"/>
    <w:rsid w:val="001E40DB"/>
    <w:rsid w:val="001E5183"/>
    <w:rsid w:val="001E5B27"/>
    <w:rsid w:val="001F05AC"/>
    <w:rsid w:val="001F163F"/>
    <w:rsid w:val="001F222F"/>
    <w:rsid w:val="001F232F"/>
    <w:rsid w:val="001F394A"/>
    <w:rsid w:val="001F51B2"/>
    <w:rsid w:val="001F5F07"/>
    <w:rsid w:val="001F6188"/>
    <w:rsid w:val="0020042C"/>
    <w:rsid w:val="0021249C"/>
    <w:rsid w:val="00212BC0"/>
    <w:rsid w:val="002147D7"/>
    <w:rsid w:val="002164EF"/>
    <w:rsid w:val="0022082C"/>
    <w:rsid w:val="00223C8F"/>
    <w:rsid w:val="00223F3D"/>
    <w:rsid w:val="002270E4"/>
    <w:rsid w:val="00230D6E"/>
    <w:rsid w:val="00230F60"/>
    <w:rsid w:val="002310E3"/>
    <w:rsid w:val="002314AA"/>
    <w:rsid w:val="0023162B"/>
    <w:rsid w:val="002321EF"/>
    <w:rsid w:val="00234E89"/>
    <w:rsid w:val="00236608"/>
    <w:rsid w:val="0024012C"/>
    <w:rsid w:val="002401A3"/>
    <w:rsid w:val="0024095E"/>
    <w:rsid w:val="00241793"/>
    <w:rsid w:val="00241AF9"/>
    <w:rsid w:val="00247CCE"/>
    <w:rsid w:val="002502D9"/>
    <w:rsid w:val="00250F86"/>
    <w:rsid w:val="00253A78"/>
    <w:rsid w:val="00254B1E"/>
    <w:rsid w:val="00255AE1"/>
    <w:rsid w:val="00257741"/>
    <w:rsid w:val="0026021F"/>
    <w:rsid w:val="00265D41"/>
    <w:rsid w:val="002660AF"/>
    <w:rsid w:val="00270F01"/>
    <w:rsid w:val="00271485"/>
    <w:rsid w:val="00271B73"/>
    <w:rsid w:val="00275AED"/>
    <w:rsid w:val="00280A1B"/>
    <w:rsid w:val="002810AB"/>
    <w:rsid w:val="0028177B"/>
    <w:rsid w:val="002822DC"/>
    <w:rsid w:val="00284C32"/>
    <w:rsid w:val="002858E8"/>
    <w:rsid w:val="00285C3D"/>
    <w:rsid w:val="00287359"/>
    <w:rsid w:val="00287F6D"/>
    <w:rsid w:val="00290F81"/>
    <w:rsid w:val="00291453"/>
    <w:rsid w:val="0029200D"/>
    <w:rsid w:val="0029331C"/>
    <w:rsid w:val="002977B7"/>
    <w:rsid w:val="002A1818"/>
    <w:rsid w:val="002A1E06"/>
    <w:rsid w:val="002A2DFA"/>
    <w:rsid w:val="002A54D7"/>
    <w:rsid w:val="002A5A91"/>
    <w:rsid w:val="002B4D14"/>
    <w:rsid w:val="002B5BB2"/>
    <w:rsid w:val="002C19B3"/>
    <w:rsid w:val="002C2360"/>
    <w:rsid w:val="002C305E"/>
    <w:rsid w:val="002C3E65"/>
    <w:rsid w:val="002C571A"/>
    <w:rsid w:val="002C7830"/>
    <w:rsid w:val="002D1B00"/>
    <w:rsid w:val="002D675F"/>
    <w:rsid w:val="002E1265"/>
    <w:rsid w:val="002E1926"/>
    <w:rsid w:val="002E20C9"/>
    <w:rsid w:val="002E27DB"/>
    <w:rsid w:val="002E370C"/>
    <w:rsid w:val="002E39DA"/>
    <w:rsid w:val="002E4820"/>
    <w:rsid w:val="002E5DF0"/>
    <w:rsid w:val="002E6052"/>
    <w:rsid w:val="002E7EC4"/>
    <w:rsid w:val="002F0D83"/>
    <w:rsid w:val="002F5D48"/>
    <w:rsid w:val="002F7671"/>
    <w:rsid w:val="00302021"/>
    <w:rsid w:val="00302B5A"/>
    <w:rsid w:val="00310FBE"/>
    <w:rsid w:val="00317DF6"/>
    <w:rsid w:val="0032359D"/>
    <w:rsid w:val="0032517E"/>
    <w:rsid w:val="003268F5"/>
    <w:rsid w:val="00337301"/>
    <w:rsid w:val="003408FF"/>
    <w:rsid w:val="00344E70"/>
    <w:rsid w:val="00346C18"/>
    <w:rsid w:val="003470EE"/>
    <w:rsid w:val="00350C8B"/>
    <w:rsid w:val="00351383"/>
    <w:rsid w:val="00351BF9"/>
    <w:rsid w:val="003539CD"/>
    <w:rsid w:val="00355ADF"/>
    <w:rsid w:val="003570E2"/>
    <w:rsid w:val="00357838"/>
    <w:rsid w:val="00360B7E"/>
    <w:rsid w:val="0036211E"/>
    <w:rsid w:val="00364C0C"/>
    <w:rsid w:val="00366573"/>
    <w:rsid w:val="00372DF4"/>
    <w:rsid w:val="003736B1"/>
    <w:rsid w:val="0037437B"/>
    <w:rsid w:val="0037757C"/>
    <w:rsid w:val="00381BAF"/>
    <w:rsid w:val="00382E98"/>
    <w:rsid w:val="003836B6"/>
    <w:rsid w:val="00383F53"/>
    <w:rsid w:val="00384F05"/>
    <w:rsid w:val="00390027"/>
    <w:rsid w:val="00392820"/>
    <w:rsid w:val="00393EFF"/>
    <w:rsid w:val="00395326"/>
    <w:rsid w:val="0039666E"/>
    <w:rsid w:val="003A21E5"/>
    <w:rsid w:val="003A2550"/>
    <w:rsid w:val="003A2564"/>
    <w:rsid w:val="003A49AC"/>
    <w:rsid w:val="003A58D6"/>
    <w:rsid w:val="003B42C0"/>
    <w:rsid w:val="003B519F"/>
    <w:rsid w:val="003C1944"/>
    <w:rsid w:val="003C56FA"/>
    <w:rsid w:val="003C7C7C"/>
    <w:rsid w:val="003D47AF"/>
    <w:rsid w:val="003D4E2E"/>
    <w:rsid w:val="003D7DD6"/>
    <w:rsid w:val="003E215A"/>
    <w:rsid w:val="003E2803"/>
    <w:rsid w:val="003E5244"/>
    <w:rsid w:val="003E55FB"/>
    <w:rsid w:val="003E5B51"/>
    <w:rsid w:val="003E5FD8"/>
    <w:rsid w:val="003E6542"/>
    <w:rsid w:val="003E77CC"/>
    <w:rsid w:val="003F0D12"/>
    <w:rsid w:val="003F1467"/>
    <w:rsid w:val="003F4462"/>
    <w:rsid w:val="003F46FB"/>
    <w:rsid w:val="003F4D96"/>
    <w:rsid w:val="003F7296"/>
    <w:rsid w:val="0040030C"/>
    <w:rsid w:val="004012A9"/>
    <w:rsid w:val="00401B47"/>
    <w:rsid w:val="004025F3"/>
    <w:rsid w:val="00403B4F"/>
    <w:rsid w:val="0040526B"/>
    <w:rsid w:val="00406F3C"/>
    <w:rsid w:val="00413D5D"/>
    <w:rsid w:val="0041432F"/>
    <w:rsid w:val="00414BF9"/>
    <w:rsid w:val="00415FE2"/>
    <w:rsid w:val="004164DE"/>
    <w:rsid w:val="004177DC"/>
    <w:rsid w:val="004240E4"/>
    <w:rsid w:val="00424E97"/>
    <w:rsid w:val="004250FB"/>
    <w:rsid w:val="0043289F"/>
    <w:rsid w:val="0043315C"/>
    <w:rsid w:val="00434033"/>
    <w:rsid w:val="00434D0B"/>
    <w:rsid w:val="00436C67"/>
    <w:rsid w:val="00443A29"/>
    <w:rsid w:val="00443D88"/>
    <w:rsid w:val="00447CFC"/>
    <w:rsid w:val="00451F6A"/>
    <w:rsid w:val="004525ED"/>
    <w:rsid w:val="00454134"/>
    <w:rsid w:val="00461EC7"/>
    <w:rsid w:val="00462F44"/>
    <w:rsid w:val="00466421"/>
    <w:rsid w:val="00466BCC"/>
    <w:rsid w:val="004678F3"/>
    <w:rsid w:val="004738AB"/>
    <w:rsid w:val="004819CD"/>
    <w:rsid w:val="004877EB"/>
    <w:rsid w:val="0049562A"/>
    <w:rsid w:val="00495FB9"/>
    <w:rsid w:val="004976F9"/>
    <w:rsid w:val="00497D74"/>
    <w:rsid w:val="004A4018"/>
    <w:rsid w:val="004A5384"/>
    <w:rsid w:val="004A6B5D"/>
    <w:rsid w:val="004B447D"/>
    <w:rsid w:val="004C035D"/>
    <w:rsid w:val="004C1F66"/>
    <w:rsid w:val="004C6668"/>
    <w:rsid w:val="004C6E27"/>
    <w:rsid w:val="004C726A"/>
    <w:rsid w:val="004C76A6"/>
    <w:rsid w:val="004D0AA0"/>
    <w:rsid w:val="004D35A2"/>
    <w:rsid w:val="004D4A77"/>
    <w:rsid w:val="004E2AD6"/>
    <w:rsid w:val="004E2B95"/>
    <w:rsid w:val="004E3A07"/>
    <w:rsid w:val="004F3429"/>
    <w:rsid w:val="004F3AD0"/>
    <w:rsid w:val="004F4338"/>
    <w:rsid w:val="004F7330"/>
    <w:rsid w:val="004F75B2"/>
    <w:rsid w:val="004F7FEA"/>
    <w:rsid w:val="00503431"/>
    <w:rsid w:val="00503518"/>
    <w:rsid w:val="00503DF4"/>
    <w:rsid w:val="0050548A"/>
    <w:rsid w:val="00505E47"/>
    <w:rsid w:val="0050633F"/>
    <w:rsid w:val="00513584"/>
    <w:rsid w:val="00516DE7"/>
    <w:rsid w:val="00523BDE"/>
    <w:rsid w:val="005245DD"/>
    <w:rsid w:val="0052521B"/>
    <w:rsid w:val="00526B5C"/>
    <w:rsid w:val="00532EFE"/>
    <w:rsid w:val="005344C3"/>
    <w:rsid w:val="005362C6"/>
    <w:rsid w:val="00537B66"/>
    <w:rsid w:val="00540CAA"/>
    <w:rsid w:val="00540CC5"/>
    <w:rsid w:val="00541F99"/>
    <w:rsid w:val="00542941"/>
    <w:rsid w:val="005442C9"/>
    <w:rsid w:val="00545572"/>
    <w:rsid w:val="00547118"/>
    <w:rsid w:val="005552CF"/>
    <w:rsid w:val="00560C8E"/>
    <w:rsid w:val="00561483"/>
    <w:rsid w:val="00565025"/>
    <w:rsid w:val="005650DA"/>
    <w:rsid w:val="0057076F"/>
    <w:rsid w:val="0057465F"/>
    <w:rsid w:val="00583813"/>
    <w:rsid w:val="00583CF3"/>
    <w:rsid w:val="005865D9"/>
    <w:rsid w:val="005870CC"/>
    <w:rsid w:val="00590C3A"/>
    <w:rsid w:val="00591398"/>
    <w:rsid w:val="0059183A"/>
    <w:rsid w:val="00591FC1"/>
    <w:rsid w:val="00593E28"/>
    <w:rsid w:val="00597B07"/>
    <w:rsid w:val="00597CA1"/>
    <w:rsid w:val="005A11B6"/>
    <w:rsid w:val="005A2DB5"/>
    <w:rsid w:val="005A43CF"/>
    <w:rsid w:val="005B4B10"/>
    <w:rsid w:val="005B5071"/>
    <w:rsid w:val="005B5686"/>
    <w:rsid w:val="005B6AE3"/>
    <w:rsid w:val="005C55AC"/>
    <w:rsid w:val="005C7B39"/>
    <w:rsid w:val="005C7CDD"/>
    <w:rsid w:val="005D0063"/>
    <w:rsid w:val="005D27F4"/>
    <w:rsid w:val="005D3563"/>
    <w:rsid w:val="005E18D9"/>
    <w:rsid w:val="005E1A74"/>
    <w:rsid w:val="005E60DA"/>
    <w:rsid w:val="005E6A5C"/>
    <w:rsid w:val="005F223B"/>
    <w:rsid w:val="005F57DD"/>
    <w:rsid w:val="005F621B"/>
    <w:rsid w:val="005F76C4"/>
    <w:rsid w:val="005F7819"/>
    <w:rsid w:val="0060104A"/>
    <w:rsid w:val="006017DE"/>
    <w:rsid w:val="00602DF8"/>
    <w:rsid w:val="00605CA5"/>
    <w:rsid w:val="00610E13"/>
    <w:rsid w:val="006113E6"/>
    <w:rsid w:val="00611669"/>
    <w:rsid w:val="006121B5"/>
    <w:rsid w:val="00614556"/>
    <w:rsid w:val="00614F33"/>
    <w:rsid w:val="00616D64"/>
    <w:rsid w:val="00620831"/>
    <w:rsid w:val="0062234E"/>
    <w:rsid w:val="006224BD"/>
    <w:rsid w:val="0062267A"/>
    <w:rsid w:val="00622870"/>
    <w:rsid w:val="00624FCE"/>
    <w:rsid w:val="00625AC7"/>
    <w:rsid w:val="00627518"/>
    <w:rsid w:val="00631F40"/>
    <w:rsid w:val="006333E6"/>
    <w:rsid w:val="00635EC6"/>
    <w:rsid w:val="00636176"/>
    <w:rsid w:val="00641129"/>
    <w:rsid w:val="006425F3"/>
    <w:rsid w:val="00642B9C"/>
    <w:rsid w:val="00644182"/>
    <w:rsid w:val="006472A8"/>
    <w:rsid w:val="006511F8"/>
    <w:rsid w:val="0065378C"/>
    <w:rsid w:val="00653E12"/>
    <w:rsid w:val="00654E11"/>
    <w:rsid w:val="00655A5D"/>
    <w:rsid w:val="0065613D"/>
    <w:rsid w:val="006568C0"/>
    <w:rsid w:val="00657526"/>
    <w:rsid w:val="00662327"/>
    <w:rsid w:val="00662F33"/>
    <w:rsid w:val="006658BC"/>
    <w:rsid w:val="00665E94"/>
    <w:rsid w:val="006715B1"/>
    <w:rsid w:val="00671F21"/>
    <w:rsid w:val="006730B9"/>
    <w:rsid w:val="00676A11"/>
    <w:rsid w:val="006774FD"/>
    <w:rsid w:val="006800F2"/>
    <w:rsid w:val="00680900"/>
    <w:rsid w:val="00681891"/>
    <w:rsid w:val="006823DA"/>
    <w:rsid w:val="00690AAD"/>
    <w:rsid w:val="00691960"/>
    <w:rsid w:val="0069224F"/>
    <w:rsid w:val="006A21B0"/>
    <w:rsid w:val="006A4752"/>
    <w:rsid w:val="006A514C"/>
    <w:rsid w:val="006A6F28"/>
    <w:rsid w:val="006B289E"/>
    <w:rsid w:val="006B3888"/>
    <w:rsid w:val="006B5D05"/>
    <w:rsid w:val="006B684C"/>
    <w:rsid w:val="006B6D0C"/>
    <w:rsid w:val="006B799D"/>
    <w:rsid w:val="006C12E5"/>
    <w:rsid w:val="006C2A9A"/>
    <w:rsid w:val="006C3117"/>
    <w:rsid w:val="006C32A4"/>
    <w:rsid w:val="006C331F"/>
    <w:rsid w:val="006C4D4E"/>
    <w:rsid w:val="006C5F95"/>
    <w:rsid w:val="006C6A71"/>
    <w:rsid w:val="006D003D"/>
    <w:rsid w:val="006D40B7"/>
    <w:rsid w:val="006D5793"/>
    <w:rsid w:val="006D618B"/>
    <w:rsid w:val="006D6E13"/>
    <w:rsid w:val="006E1E72"/>
    <w:rsid w:val="006E2A0C"/>
    <w:rsid w:val="006E3919"/>
    <w:rsid w:val="006E3CE5"/>
    <w:rsid w:val="006E4005"/>
    <w:rsid w:val="006E70D4"/>
    <w:rsid w:val="006F0468"/>
    <w:rsid w:val="006F3B76"/>
    <w:rsid w:val="006F425F"/>
    <w:rsid w:val="006F4A32"/>
    <w:rsid w:val="006F567F"/>
    <w:rsid w:val="006F6224"/>
    <w:rsid w:val="006F72E6"/>
    <w:rsid w:val="006F7A2F"/>
    <w:rsid w:val="006F7DD8"/>
    <w:rsid w:val="00701898"/>
    <w:rsid w:val="00702108"/>
    <w:rsid w:val="007026C5"/>
    <w:rsid w:val="007026E1"/>
    <w:rsid w:val="0070318D"/>
    <w:rsid w:val="00704C25"/>
    <w:rsid w:val="007054DD"/>
    <w:rsid w:val="00714084"/>
    <w:rsid w:val="00714761"/>
    <w:rsid w:val="00715666"/>
    <w:rsid w:val="00715819"/>
    <w:rsid w:val="00715F5E"/>
    <w:rsid w:val="00715FD6"/>
    <w:rsid w:val="00716B34"/>
    <w:rsid w:val="00723C3E"/>
    <w:rsid w:val="00724616"/>
    <w:rsid w:val="00726CD2"/>
    <w:rsid w:val="0072776A"/>
    <w:rsid w:val="0073033D"/>
    <w:rsid w:val="00730BE5"/>
    <w:rsid w:val="0073272F"/>
    <w:rsid w:val="0073376C"/>
    <w:rsid w:val="00734082"/>
    <w:rsid w:val="0073636F"/>
    <w:rsid w:val="00737A33"/>
    <w:rsid w:val="00740C17"/>
    <w:rsid w:val="007418B3"/>
    <w:rsid w:val="00745084"/>
    <w:rsid w:val="007450B1"/>
    <w:rsid w:val="00745464"/>
    <w:rsid w:val="00746837"/>
    <w:rsid w:val="0074757D"/>
    <w:rsid w:val="0075077C"/>
    <w:rsid w:val="00752216"/>
    <w:rsid w:val="0075299E"/>
    <w:rsid w:val="007606A5"/>
    <w:rsid w:val="0076229C"/>
    <w:rsid w:val="0076288E"/>
    <w:rsid w:val="007640EF"/>
    <w:rsid w:val="00770C27"/>
    <w:rsid w:val="0077278C"/>
    <w:rsid w:val="00772A8E"/>
    <w:rsid w:val="007758FD"/>
    <w:rsid w:val="00775C1A"/>
    <w:rsid w:val="00776FE1"/>
    <w:rsid w:val="007862CE"/>
    <w:rsid w:val="00792A4C"/>
    <w:rsid w:val="00796A26"/>
    <w:rsid w:val="00796C5A"/>
    <w:rsid w:val="007975CB"/>
    <w:rsid w:val="00797A31"/>
    <w:rsid w:val="007A3238"/>
    <w:rsid w:val="007AF886"/>
    <w:rsid w:val="007B08C0"/>
    <w:rsid w:val="007B0FB4"/>
    <w:rsid w:val="007B160F"/>
    <w:rsid w:val="007B2FB5"/>
    <w:rsid w:val="007B4277"/>
    <w:rsid w:val="007B6981"/>
    <w:rsid w:val="007B762E"/>
    <w:rsid w:val="007C0089"/>
    <w:rsid w:val="007C2CB1"/>
    <w:rsid w:val="007C42A0"/>
    <w:rsid w:val="007C78BF"/>
    <w:rsid w:val="007D2516"/>
    <w:rsid w:val="007D505E"/>
    <w:rsid w:val="007D5696"/>
    <w:rsid w:val="007D65F5"/>
    <w:rsid w:val="007D68CB"/>
    <w:rsid w:val="007E003F"/>
    <w:rsid w:val="007E008F"/>
    <w:rsid w:val="007E35B7"/>
    <w:rsid w:val="007E4DD1"/>
    <w:rsid w:val="007E64DD"/>
    <w:rsid w:val="007E78BB"/>
    <w:rsid w:val="007E7AE6"/>
    <w:rsid w:val="007E7D35"/>
    <w:rsid w:val="007E7E6D"/>
    <w:rsid w:val="007F0B6F"/>
    <w:rsid w:val="007F203A"/>
    <w:rsid w:val="007F41F8"/>
    <w:rsid w:val="00800CE8"/>
    <w:rsid w:val="00800D7B"/>
    <w:rsid w:val="00800E9C"/>
    <w:rsid w:val="0080151B"/>
    <w:rsid w:val="008026FE"/>
    <w:rsid w:val="008029AA"/>
    <w:rsid w:val="00802D36"/>
    <w:rsid w:val="00803CA0"/>
    <w:rsid w:val="00805CBB"/>
    <w:rsid w:val="00805F36"/>
    <w:rsid w:val="00811D66"/>
    <w:rsid w:val="008135E0"/>
    <w:rsid w:val="00813648"/>
    <w:rsid w:val="0081372A"/>
    <w:rsid w:val="00824578"/>
    <w:rsid w:val="008309DF"/>
    <w:rsid w:val="00833387"/>
    <w:rsid w:val="00833BF1"/>
    <w:rsid w:val="00837FE1"/>
    <w:rsid w:val="008436C9"/>
    <w:rsid w:val="00843CB8"/>
    <w:rsid w:val="008455C3"/>
    <w:rsid w:val="008459C9"/>
    <w:rsid w:val="00846A51"/>
    <w:rsid w:val="008472CB"/>
    <w:rsid w:val="00847FB3"/>
    <w:rsid w:val="00853178"/>
    <w:rsid w:val="00853D4B"/>
    <w:rsid w:val="008549F7"/>
    <w:rsid w:val="00855B7F"/>
    <w:rsid w:val="00856BF6"/>
    <w:rsid w:val="00857834"/>
    <w:rsid w:val="00857990"/>
    <w:rsid w:val="00860245"/>
    <w:rsid w:val="00862653"/>
    <w:rsid w:val="00863E74"/>
    <w:rsid w:val="008641FF"/>
    <w:rsid w:val="008650E2"/>
    <w:rsid w:val="00865A9D"/>
    <w:rsid w:val="00875BFF"/>
    <w:rsid w:val="00882A03"/>
    <w:rsid w:val="008834B4"/>
    <w:rsid w:val="008840A1"/>
    <w:rsid w:val="00890D52"/>
    <w:rsid w:val="00891B1A"/>
    <w:rsid w:val="00894A0A"/>
    <w:rsid w:val="008A0BD7"/>
    <w:rsid w:val="008A34BA"/>
    <w:rsid w:val="008B0AB1"/>
    <w:rsid w:val="008B11C4"/>
    <w:rsid w:val="008B29BA"/>
    <w:rsid w:val="008B4342"/>
    <w:rsid w:val="008B45D2"/>
    <w:rsid w:val="008B5E86"/>
    <w:rsid w:val="008B73A2"/>
    <w:rsid w:val="008C4838"/>
    <w:rsid w:val="008C7449"/>
    <w:rsid w:val="008D05D5"/>
    <w:rsid w:val="008D3EAD"/>
    <w:rsid w:val="008D5BAA"/>
    <w:rsid w:val="008D5C2E"/>
    <w:rsid w:val="008E2809"/>
    <w:rsid w:val="008E7312"/>
    <w:rsid w:val="008E7582"/>
    <w:rsid w:val="008F1826"/>
    <w:rsid w:val="008F2090"/>
    <w:rsid w:val="008F472E"/>
    <w:rsid w:val="008F6D10"/>
    <w:rsid w:val="008F73AE"/>
    <w:rsid w:val="008F75BC"/>
    <w:rsid w:val="00912D80"/>
    <w:rsid w:val="0091479A"/>
    <w:rsid w:val="00916703"/>
    <w:rsid w:val="00917888"/>
    <w:rsid w:val="00920BD1"/>
    <w:rsid w:val="00923C54"/>
    <w:rsid w:val="0092567D"/>
    <w:rsid w:val="00926FF9"/>
    <w:rsid w:val="009277F5"/>
    <w:rsid w:val="009278E5"/>
    <w:rsid w:val="0093075E"/>
    <w:rsid w:val="00931CE1"/>
    <w:rsid w:val="00934C94"/>
    <w:rsid w:val="00934DF4"/>
    <w:rsid w:val="00936CC7"/>
    <w:rsid w:val="00943E22"/>
    <w:rsid w:val="00946A05"/>
    <w:rsid w:val="00947025"/>
    <w:rsid w:val="009525C1"/>
    <w:rsid w:val="00953EC1"/>
    <w:rsid w:val="00954E03"/>
    <w:rsid w:val="00954E40"/>
    <w:rsid w:val="0095577F"/>
    <w:rsid w:val="00957899"/>
    <w:rsid w:val="00960406"/>
    <w:rsid w:val="00961ABA"/>
    <w:rsid w:val="00965894"/>
    <w:rsid w:val="00967084"/>
    <w:rsid w:val="00975B8A"/>
    <w:rsid w:val="00981D1D"/>
    <w:rsid w:val="00982145"/>
    <w:rsid w:val="00983940"/>
    <w:rsid w:val="009860F6"/>
    <w:rsid w:val="0099047A"/>
    <w:rsid w:val="00990854"/>
    <w:rsid w:val="0099324E"/>
    <w:rsid w:val="00994E9D"/>
    <w:rsid w:val="00994EDB"/>
    <w:rsid w:val="00995F13"/>
    <w:rsid w:val="009A3B0F"/>
    <w:rsid w:val="009A4B77"/>
    <w:rsid w:val="009A5A7D"/>
    <w:rsid w:val="009A7290"/>
    <w:rsid w:val="009B101A"/>
    <w:rsid w:val="009B1277"/>
    <w:rsid w:val="009B2771"/>
    <w:rsid w:val="009B4049"/>
    <w:rsid w:val="009B4806"/>
    <w:rsid w:val="009C147F"/>
    <w:rsid w:val="009C5BA5"/>
    <w:rsid w:val="009C5C71"/>
    <w:rsid w:val="009D2BF8"/>
    <w:rsid w:val="009D3096"/>
    <w:rsid w:val="009D44B3"/>
    <w:rsid w:val="009D4600"/>
    <w:rsid w:val="009E1DE5"/>
    <w:rsid w:val="009E5AC5"/>
    <w:rsid w:val="009E6002"/>
    <w:rsid w:val="009E613E"/>
    <w:rsid w:val="009E71CA"/>
    <w:rsid w:val="009F0878"/>
    <w:rsid w:val="009F221E"/>
    <w:rsid w:val="009F3055"/>
    <w:rsid w:val="009F4B92"/>
    <w:rsid w:val="00A042CD"/>
    <w:rsid w:val="00A06CB5"/>
    <w:rsid w:val="00A06D0A"/>
    <w:rsid w:val="00A07B3C"/>
    <w:rsid w:val="00A12502"/>
    <w:rsid w:val="00A15535"/>
    <w:rsid w:val="00A158CC"/>
    <w:rsid w:val="00A161B4"/>
    <w:rsid w:val="00A166DE"/>
    <w:rsid w:val="00A20D5C"/>
    <w:rsid w:val="00A21CC3"/>
    <w:rsid w:val="00A2232D"/>
    <w:rsid w:val="00A223D7"/>
    <w:rsid w:val="00A22B0F"/>
    <w:rsid w:val="00A238E1"/>
    <w:rsid w:val="00A25676"/>
    <w:rsid w:val="00A258F7"/>
    <w:rsid w:val="00A259F1"/>
    <w:rsid w:val="00A27F88"/>
    <w:rsid w:val="00A31962"/>
    <w:rsid w:val="00A322EF"/>
    <w:rsid w:val="00A33944"/>
    <w:rsid w:val="00A34484"/>
    <w:rsid w:val="00A34743"/>
    <w:rsid w:val="00A425F3"/>
    <w:rsid w:val="00A42A68"/>
    <w:rsid w:val="00A42C70"/>
    <w:rsid w:val="00A43869"/>
    <w:rsid w:val="00A44C2F"/>
    <w:rsid w:val="00A45EED"/>
    <w:rsid w:val="00A46920"/>
    <w:rsid w:val="00A47BEF"/>
    <w:rsid w:val="00A5013E"/>
    <w:rsid w:val="00A51F33"/>
    <w:rsid w:val="00A560D1"/>
    <w:rsid w:val="00A6394D"/>
    <w:rsid w:val="00A655D6"/>
    <w:rsid w:val="00A66092"/>
    <w:rsid w:val="00A71572"/>
    <w:rsid w:val="00A72E49"/>
    <w:rsid w:val="00A73406"/>
    <w:rsid w:val="00A75C93"/>
    <w:rsid w:val="00A75FAD"/>
    <w:rsid w:val="00A811D5"/>
    <w:rsid w:val="00A83D1F"/>
    <w:rsid w:val="00A92C5C"/>
    <w:rsid w:val="00A9382D"/>
    <w:rsid w:val="00A946FA"/>
    <w:rsid w:val="00AA4321"/>
    <w:rsid w:val="00AA46F8"/>
    <w:rsid w:val="00AA47A1"/>
    <w:rsid w:val="00AA4A16"/>
    <w:rsid w:val="00AA6863"/>
    <w:rsid w:val="00AB3040"/>
    <w:rsid w:val="00AB3656"/>
    <w:rsid w:val="00AB7DFC"/>
    <w:rsid w:val="00AC30D2"/>
    <w:rsid w:val="00AC3BFC"/>
    <w:rsid w:val="00AD28F5"/>
    <w:rsid w:val="00AD342A"/>
    <w:rsid w:val="00AD59C7"/>
    <w:rsid w:val="00AD62D8"/>
    <w:rsid w:val="00AD76B0"/>
    <w:rsid w:val="00AE1095"/>
    <w:rsid w:val="00AE2B51"/>
    <w:rsid w:val="00AE4405"/>
    <w:rsid w:val="00AE6C95"/>
    <w:rsid w:val="00AE7397"/>
    <w:rsid w:val="00AF0205"/>
    <w:rsid w:val="00AF0A62"/>
    <w:rsid w:val="00AF2E5C"/>
    <w:rsid w:val="00B0193B"/>
    <w:rsid w:val="00B021EA"/>
    <w:rsid w:val="00B052C4"/>
    <w:rsid w:val="00B079F0"/>
    <w:rsid w:val="00B07B0C"/>
    <w:rsid w:val="00B101B9"/>
    <w:rsid w:val="00B12352"/>
    <w:rsid w:val="00B12DAC"/>
    <w:rsid w:val="00B149A1"/>
    <w:rsid w:val="00B16703"/>
    <w:rsid w:val="00B209C8"/>
    <w:rsid w:val="00B21E34"/>
    <w:rsid w:val="00B253B6"/>
    <w:rsid w:val="00B25C93"/>
    <w:rsid w:val="00B26575"/>
    <w:rsid w:val="00B26A55"/>
    <w:rsid w:val="00B31A68"/>
    <w:rsid w:val="00B332FB"/>
    <w:rsid w:val="00B33E5E"/>
    <w:rsid w:val="00B35CD6"/>
    <w:rsid w:val="00B404EA"/>
    <w:rsid w:val="00B42CC2"/>
    <w:rsid w:val="00B46245"/>
    <w:rsid w:val="00B50D3B"/>
    <w:rsid w:val="00B52061"/>
    <w:rsid w:val="00B5418A"/>
    <w:rsid w:val="00B54B79"/>
    <w:rsid w:val="00B638F0"/>
    <w:rsid w:val="00B6531E"/>
    <w:rsid w:val="00B653BA"/>
    <w:rsid w:val="00B7603C"/>
    <w:rsid w:val="00B7719E"/>
    <w:rsid w:val="00B8047B"/>
    <w:rsid w:val="00B84D83"/>
    <w:rsid w:val="00B91414"/>
    <w:rsid w:val="00B91486"/>
    <w:rsid w:val="00B9220C"/>
    <w:rsid w:val="00B92D67"/>
    <w:rsid w:val="00B93207"/>
    <w:rsid w:val="00B93A9C"/>
    <w:rsid w:val="00BA108C"/>
    <w:rsid w:val="00BA3A4E"/>
    <w:rsid w:val="00BA47B3"/>
    <w:rsid w:val="00BB0410"/>
    <w:rsid w:val="00BB0586"/>
    <w:rsid w:val="00BB11EE"/>
    <w:rsid w:val="00BB15A6"/>
    <w:rsid w:val="00BB52B5"/>
    <w:rsid w:val="00BC3A62"/>
    <w:rsid w:val="00BC48B0"/>
    <w:rsid w:val="00BC4B29"/>
    <w:rsid w:val="00BC7243"/>
    <w:rsid w:val="00BD2E4C"/>
    <w:rsid w:val="00BE5924"/>
    <w:rsid w:val="00BF00EF"/>
    <w:rsid w:val="00BF44A4"/>
    <w:rsid w:val="00BF6433"/>
    <w:rsid w:val="00BF7326"/>
    <w:rsid w:val="00BF77F3"/>
    <w:rsid w:val="00BF7BC6"/>
    <w:rsid w:val="00C048F9"/>
    <w:rsid w:val="00C10267"/>
    <w:rsid w:val="00C1044D"/>
    <w:rsid w:val="00C12011"/>
    <w:rsid w:val="00C12449"/>
    <w:rsid w:val="00C1364E"/>
    <w:rsid w:val="00C1414B"/>
    <w:rsid w:val="00C16E82"/>
    <w:rsid w:val="00C17001"/>
    <w:rsid w:val="00C210C2"/>
    <w:rsid w:val="00C217A3"/>
    <w:rsid w:val="00C22CCA"/>
    <w:rsid w:val="00C23885"/>
    <w:rsid w:val="00C27011"/>
    <w:rsid w:val="00C27D69"/>
    <w:rsid w:val="00C27D83"/>
    <w:rsid w:val="00C30F52"/>
    <w:rsid w:val="00C316CB"/>
    <w:rsid w:val="00C32DCF"/>
    <w:rsid w:val="00C36FD4"/>
    <w:rsid w:val="00C37D4B"/>
    <w:rsid w:val="00C408CC"/>
    <w:rsid w:val="00C409F2"/>
    <w:rsid w:val="00C4365B"/>
    <w:rsid w:val="00C4441B"/>
    <w:rsid w:val="00C460CF"/>
    <w:rsid w:val="00C46A55"/>
    <w:rsid w:val="00C46BFA"/>
    <w:rsid w:val="00C60B6E"/>
    <w:rsid w:val="00C62878"/>
    <w:rsid w:val="00C63799"/>
    <w:rsid w:val="00C64405"/>
    <w:rsid w:val="00C648AA"/>
    <w:rsid w:val="00C65BBD"/>
    <w:rsid w:val="00C66BE4"/>
    <w:rsid w:val="00C67DEB"/>
    <w:rsid w:val="00C700F9"/>
    <w:rsid w:val="00C72C6F"/>
    <w:rsid w:val="00C81243"/>
    <w:rsid w:val="00C844E6"/>
    <w:rsid w:val="00C85111"/>
    <w:rsid w:val="00C860CA"/>
    <w:rsid w:val="00C904E7"/>
    <w:rsid w:val="00C9095C"/>
    <w:rsid w:val="00C91DAE"/>
    <w:rsid w:val="00C91FED"/>
    <w:rsid w:val="00C925E8"/>
    <w:rsid w:val="00C93169"/>
    <w:rsid w:val="00C93657"/>
    <w:rsid w:val="00C938A7"/>
    <w:rsid w:val="00C95792"/>
    <w:rsid w:val="00C96FC2"/>
    <w:rsid w:val="00CA02E2"/>
    <w:rsid w:val="00CA3203"/>
    <w:rsid w:val="00CA3A80"/>
    <w:rsid w:val="00CB3FD4"/>
    <w:rsid w:val="00CC3C45"/>
    <w:rsid w:val="00CC6D7A"/>
    <w:rsid w:val="00CC7EA2"/>
    <w:rsid w:val="00CD333F"/>
    <w:rsid w:val="00CD4269"/>
    <w:rsid w:val="00CD5A3D"/>
    <w:rsid w:val="00CE27B2"/>
    <w:rsid w:val="00CE2E1C"/>
    <w:rsid w:val="00CE3027"/>
    <w:rsid w:val="00CE473F"/>
    <w:rsid w:val="00CE516E"/>
    <w:rsid w:val="00CF3E4B"/>
    <w:rsid w:val="00D00551"/>
    <w:rsid w:val="00D0084F"/>
    <w:rsid w:val="00D0100D"/>
    <w:rsid w:val="00D01CEB"/>
    <w:rsid w:val="00D02C2A"/>
    <w:rsid w:val="00D0377A"/>
    <w:rsid w:val="00D04148"/>
    <w:rsid w:val="00D0561F"/>
    <w:rsid w:val="00D05974"/>
    <w:rsid w:val="00D068A8"/>
    <w:rsid w:val="00D07E79"/>
    <w:rsid w:val="00D10962"/>
    <w:rsid w:val="00D11061"/>
    <w:rsid w:val="00D115C2"/>
    <w:rsid w:val="00D11CC5"/>
    <w:rsid w:val="00D14505"/>
    <w:rsid w:val="00D1459D"/>
    <w:rsid w:val="00D22CD2"/>
    <w:rsid w:val="00D257AF"/>
    <w:rsid w:val="00D2710A"/>
    <w:rsid w:val="00D27BD7"/>
    <w:rsid w:val="00D30C60"/>
    <w:rsid w:val="00D3116E"/>
    <w:rsid w:val="00D31EC5"/>
    <w:rsid w:val="00D343B9"/>
    <w:rsid w:val="00D35709"/>
    <w:rsid w:val="00D35FAD"/>
    <w:rsid w:val="00D425B8"/>
    <w:rsid w:val="00D45CCA"/>
    <w:rsid w:val="00D501CF"/>
    <w:rsid w:val="00D55108"/>
    <w:rsid w:val="00D63BA2"/>
    <w:rsid w:val="00D648AD"/>
    <w:rsid w:val="00D65E3F"/>
    <w:rsid w:val="00D661EC"/>
    <w:rsid w:val="00D67CFB"/>
    <w:rsid w:val="00D70ECA"/>
    <w:rsid w:val="00D71927"/>
    <w:rsid w:val="00D723A3"/>
    <w:rsid w:val="00D72CF7"/>
    <w:rsid w:val="00D74A8E"/>
    <w:rsid w:val="00D845B9"/>
    <w:rsid w:val="00D85698"/>
    <w:rsid w:val="00D945A7"/>
    <w:rsid w:val="00D97A08"/>
    <w:rsid w:val="00D97DFF"/>
    <w:rsid w:val="00DA0A04"/>
    <w:rsid w:val="00DA222A"/>
    <w:rsid w:val="00DA400F"/>
    <w:rsid w:val="00DA531A"/>
    <w:rsid w:val="00DA5A0E"/>
    <w:rsid w:val="00DA5E65"/>
    <w:rsid w:val="00DA6AE0"/>
    <w:rsid w:val="00DB095E"/>
    <w:rsid w:val="00DB2623"/>
    <w:rsid w:val="00DB4846"/>
    <w:rsid w:val="00DB7292"/>
    <w:rsid w:val="00DB7890"/>
    <w:rsid w:val="00DC0959"/>
    <w:rsid w:val="00DC0F80"/>
    <w:rsid w:val="00DC1815"/>
    <w:rsid w:val="00DC2D73"/>
    <w:rsid w:val="00DC5726"/>
    <w:rsid w:val="00DC5985"/>
    <w:rsid w:val="00DC62CD"/>
    <w:rsid w:val="00DC7C8E"/>
    <w:rsid w:val="00DD0CD6"/>
    <w:rsid w:val="00DD18BD"/>
    <w:rsid w:val="00DD1AFF"/>
    <w:rsid w:val="00DD5AAA"/>
    <w:rsid w:val="00DD5D34"/>
    <w:rsid w:val="00DD5DA5"/>
    <w:rsid w:val="00DE0411"/>
    <w:rsid w:val="00DE537D"/>
    <w:rsid w:val="00DE6E44"/>
    <w:rsid w:val="00DF0C20"/>
    <w:rsid w:val="00DF1AB2"/>
    <w:rsid w:val="00DF45C9"/>
    <w:rsid w:val="00DF6492"/>
    <w:rsid w:val="00DF6A4A"/>
    <w:rsid w:val="00DF7682"/>
    <w:rsid w:val="00E00213"/>
    <w:rsid w:val="00E02850"/>
    <w:rsid w:val="00E03379"/>
    <w:rsid w:val="00E035CB"/>
    <w:rsid w:val="00E07333"/>
    <w:rsid w:val="00E12FA8"/>
    <w:rsid w:val="00E14128"/>
    <w:rsid w:val="00E15A2E"/>
    <w:rsid w:val="00E1690A"/>
    <w:rsid w:val="00E25B5B"/>
    <w:rsid w:val="00E27915"/>
    <w:rsid w:val="00E30BC0"/>
    <w:rsid w:val="00E34D3F"/>
    <w:rsid w:val="00E352D3"/>
    <w:rsid w:val="00E36A0A"/>
    <w:rsid w:val="00E36BC8"/>
    <w:rsid w:val="00E405AB"/>
    <w:rsid w:val="00E45D97"/>
    <w:rsid w:val="00E526AB"/>
    <w:rsid w:val="00E53BA0"/>
    <w:rsid w:val="00E55C29"/>
    <w:rsid w:val="00E614D8"/>
    <w:rsid w:val="00E621C9"/>
    <w:rsid w:val="00E625A1"/>
    <w:rsid w:val="00E664EA"/>
    <w:rsid w:val="00E665F9"/>
    <w:rsid w:val="00E701F2"/>
    <w:rsid w:val="00E733CA"/>
    <w:rsid w:val="00E73BB1"/>
    <w:rsid w:val="00E73D73"/>
    <w:rsid w:val="00E74167"/>
    <w:rsid w:val="00E75E87"/>
    <w:rsid w:val="00E76F5A"/>
    <w:rsid w:val="00E771E5"/>
    <w:rsid w:val="00E8208F"/>
    <w:rsid w:val="00E82741"/>
    <w:rsid w:val="00E8317E"/>
    <w:rsid w:val="00E84F7D"/>
    <w:rsid w:val="00E868AF"/>
    <w:rsid w:val="00E9007F"/>
    <w:rsid w:val="00E944D2"/>
    <w:rsid w:val="00E94740"/>
    <w:rsid w:val="00E955F6"/>
    <w:rsid w:val="00EA2BB5"/>
    <w:rsid w:val="00EA38C7"/>
    <w:rsid w:val="00EA480D"/>
    <w:rsid w:val="00EB08F0"/>
    <w:rsid w:val="00EB1B86"/>
    <w:rsid w:val="00EB4BEB"/>
    <w:rsid w:val="00EB60F2"/>
    <w:rsid w:val="00EB627A"/>
    <w:rsid w:val="00EB6B61"/>
    <w:rsid w:val="00EB7319"/>
    <w:rsid w:val="00EC0123"/>
    <w:rsid w:val="00EC1008"/>
    <w:rsid w:val="00EC144A"/>
    <w:rsid w:val="00EC1B0D"/>
    <w:rsid w:val="00EC1DE1"/>
    <w:rsid w:val="00EC2C78"/>
    <w:rsid w:val="00ED0042"/>
    <w:rsid w:val="00ED0555"/>
    <w:rsid w:val="00ED41BE"/>
    <w:rsid w:val="00ED4353"/>
    <w:rsid w:val="00ED56EA"/>
    <w:rsid w:val="00ED5E0C"/>
    <w:rsid w:val="00ED6A50"/>
    <w:rsid w:val="00EE0CF7"/>
    <w:rsid w:val="00EE146A"/>
    <w:rsid w:val="00EE28AF"/>
    <w:rsid w:val="00EE3BB1"/>
    <w:rsid w:val="00EE6940"/>
    <w:rsid w:val="00EE6A72"/>
    <w:rsid w:val="00EF075D"/>
    <w:rsid w:val="00EF11E6"/>
    <w:rsid w:val="00EF6033"/>
    <w:rsid w:val="00F02038"/>
    <w:rsid w:val="00F02582"/>
    <w:rsid w:val="00F05B4E"/>
    <w:rsid w:val="00F079D5"/>
    <w:rsid w:val="00F10346"/>
    <w:rsid w:val="00F10994"/>
    <w:rsid w:val="00F11264"/>
    <w:rsid w:val="00F12607"/>
    <w:rsid w:val="00F1382C"/>
    <w:rsid w:val="00F13E28"/>
    <w:rsid w:val="00F141C1"/>
    <w:rsid w:val="00F14F62"/>
    <w:rsid w:val="00F15C2E"/>
    <w:rsid w:val="00F2013D"/>
    <w:rsid w:val="00F23B25"/>
    <w:rsid w:val="00F24E91"/>
    <w:rsid w:val="00F33455"/>
    <w:rsid w:val="00F4161A"/>
    <w:rsid w:val="00F431E2"/>
    <w:rsid w:val="00F4647E"/>
    <w:rsid w:val="00F469EC"/>
    <w:rsid w:val="00F47F8B"/>
    <w:rsid w:val="00F56AE5"/>
    <w:rsid w:val="00F613BE"/>
    <w:rsid w:val="00F63B66"/>
    <w:rsid w:val="00F64591"/>
    <w:rsid w:val="00F65D42"/>
    <w:rsid w:val="00F65DAC"/>
    <w:rsid w:val="00F709A2"/>
    <w:rsid w:val="00F75E2E"/>
    <w:rsid w:val="00F81CAB"/>
    <w:rsid w:val="00F91196"/>
    <w:rsid w:val="00F91AEC"/>
    <w:rsid w:val="00F95DDB"/>
    <w:rsid w:val="00F96C61"/>
    <w:rsid w:val="00F97539"/>
    <w:rsid w:val="00FA03A4"/>
    <w:rsid w:val="00FA308C"/>
    <w:rsid w:val="00FB7DC2"/>
    <w:rsid w:val="00FC1BA3"/>
    <w:rsid w:val="00FC2AB0"/>
    <w:rsid w:val="00FC3884"/>
    <w:rsid w:val="00FC65A3"/>
    <w:rsid w:val="00FC7615"/>
    <w:rsid w:val="00FD1A6F"/>
    <w:rsid w:val="00FE0095"/>
    <w:rsid w:val="00FE1510"/>
    <w:rsid w:val="00FE1620"/>
    <w:rsid w:val="00FE3C3B"/>
    <w:rsid w:val="00FE3D43"/>
    <w:rsid w:val="00FE3E3F"/>
    <w:rsid w:val="00FE64F9"/>
    <w:rsid w:val="00FE66FB"/>
    <w:rsid w:val="00FF1F50"/>
    <w:rsid w:val="00FF2A68"/>
    <w:rsid w:val="00FF2B1A"/>
    <w:rsid w:val="00FF515D"/>
    <w:rsid w:val="00FF597F"/>
    <w:rsid w:val="0148FDBE"/>
    <w:rsid w:val="014B0C43"/>
    <w:rsid w:val="01605221"/>
    <w:rsid w:val="01B50E18"/>
    <w:rsid w:val="01CF0BDA"/>
    <w:rsid w:val="024A830E"/>
    <w:rsid w:val="02725C3B"/>
    <w:rsid w:val="02ED44D3"/>
    <w:rsid w:val="034A9993"/>
    <w:rsid w:val="049C0738"/>
    <w:rsid w:val="056CAF84"/>
    <w:rsid w:val="05EF8B4E"/>
    <w:rsid w:val="06037EF3"/>
    <w:rsid w:val="06C0B500"/>
    <w:rsid w:val="084DA758"/>
    <w:rsid w:val="08C48128"/>
    <w:rsid w:val="09B4EEA9"/>
    <w:rsid w:val="0A6BB011"/>
    <w:rsid w:val="0B4F80F5"/>
    <w:rsid w:val="0B84D44C"/>
    <w:rsid w:val="0B8B6F38"/>
    <w:rsid w:val="0DA3A382"/>
    <w:rsid w:val="0FF0B099"/>
    <w:rsid w:val="107A0BB8"/>
    <w:rsid w:val="10B1D118"/>
    <w:rsid w:val="10E47256"/>
    <w:rsid w:val="11BE0781"/>
    <w:rsid w:val="1294B698"/>
    <w:rsid w:val="13A5A554"/>
    <w:rsid w:val="14051AB2"/>
    <w:rsid w:val="1531EE56"/>
    <w:rsid w:val="159E3BD1"/>
    <w:rsid w:val="15E2A0E6"/>
    <w:rsid w:val="1670CBFF"/>
    <w:rsid w:val="16EE57BE"/>
    <w:rsid w:val="170E2573"/>
    <w:rsid w:val="18F26EF3"/>
    <w:rsid w:val="1A54F650"/>
    <w:rsid w:val="1BC65B6D"/>
    <w:rsid w:val="1C8DB856"/>
    <w:rsid w:val="1C985156"/>
    <w:rsid w:val="1CBE1C60"/>
    <w:rsid w:val="1CD19EEC"/>
    <w:rsid w:val="1E155484"/>
    <w:rsid w:val="1E872C4F"/>
    <w:rsid w:val="1F277F08"/>
    <w:rsid w:val="200B541D"/>
    <w:rsid w:val="21342DE8"/>
    <w:rsid w:val="21C6461F"/>
    <w:rsid w:val="21FC541F"/>
    <w:rsid w:val="221D9F80"/>
    <w:rsid w:val="230DA817"/>
    <w:rsid w:val="233E8B50"/>
    <w:rsid w:val="23487C8E"/>
    <w:rsid w:val="253E04DB"/>
    <w:rsid w:val="25A564A9"/>
    <w:rsid w:val="26DAAA60"/>
    <w:rsid w:val="2781DB0A"/>
    <w:rsid w:val="27DC99DC"/>
    <w:rsid w:val="28760479"/>
    <w:rsid w:val="29165129"/>
    <w:rsid w:val="2A2B88D9"/>
    <w:rsid w:val="2A693847"/>
    <w:rsid w:val="2B4D1C9D"/>
    <w:rsid w:val="2C9BD6B3"/>
    <w:rsid w:val="2CA51C3C"/>
    <w:rsid w:val="2DC60E9D"/>
    <w:rsid w:val="2DD8465C"/>
    <w:rsid w:val="2F09262F"/>
    <w:rsid w:val="2F614D7E"/>
    <w:rsid w:val="2FAC8CD1"/>
    <w:rsid w:val="305A3A75"/>
    <w:rsid w:val="3122FDA9"/>
    <w:rsid w:val="3173C6C4"/>
    <w:rsid w:val="32463888"/>
    <w:rsid w:val="3252513F"/>
    <w:rsid w:val="329B12FE"/>
    <w:rsid w:val="32E4C753"/>
    <w:rsid w:val="33B3AB3E"/>
    <w:rsid w:val="33B7F52C"/>
    <w:rsid w:val="33EA424A"/>
    <w:rsid w:val="34761830"/>
    <w:rsid w:val="34C24E7F"/>
    <w:rsid w:val="352BE3B1"/>
    <w:rsid w:val="357E2ED2"/>
    <w:rsid w:val="35F59D7F"/>
    <w:rsid w:val="364E437A"/>
    <w:rsid w:val="3655DDB2"/>
    <w:rsid w:val="36CE2618"/>
    <w:rsid w:val="37658427"/>
    <w:rsid w:val="3A06A669"/>
    <w:rsid w:val="3A43450C"/>
    <w:rsid w:val="3A8A6D29"/>
    <w:rsid w:val="3BE3AD28"/>
    <w:rsid w:val="3CE509BB"/>
    <w:rsid w:val="3CF54995"/>
    <w:rsid w:val="3DC33982"/>
    <w:rsid w:val="3ED10778"/>
    <w:rsid w:val="405BEBAA"/>
    <w:rsid w:val="40872E2B"/>
    <w:rsid w:val="41AB9747"/>
    <w:rsid w:val="43265267"/>
    <w:rsid w:val="432C3736"/>
    <w:rsid w:val="4401AB46"/>
    <w:rsid w:val="444E97C0"/>
    <w:rsid w:val="44F71C3F"/>
    <w:rsid w:val="454C9926"/>
    <w:rsid w:val="4594395B"/>
    <w:rsid w:val="45DE28BB"/>
    <w:rsid w:val="45E27A36"/>
    <w:rsid w:val="466073E7"/>
    <w:rsid w:val="49217106"/>
    <w:rsid w:val="494CACC3"/>
    <w:rsid w:val="4A7B1223"/>
    <w:rsid w:val="4A9D7109"/>
    <w:rsid w:val="4BAEED99"/>
    <w:rsid w:val="4C1E67E0"/>
    <w:rsid w:val="4EC1BA73"/>
    <w:rsid w:val="4F12F465"/>
    <w:rsid w:val="4FE41FD8"/>
    <w:rsid w:val="502D316D"/>
    <w:rsid w:val="5131EE16"/>
    <w:rsid w:val="518C2189"/>
    <w:rsid w:val="5263157C"/>
    <w:rsid w:val="526CA036"/>
    <w:rsid w:val="53CE7D1A"/>
    <w:rsid w:val="5401E5A1"/>
    <w:rsid w:val="547660A9"/>
    <w:rsid w:val="54DC19D1"/>
    <w:rsid w:val="54E241DF"/>
    <w:rsid w:val="5536CD26"/>
    <w:rsid w:val="565E7BA9"/>
    <w:rsid w:val="570B084D"/>
    <w:rsid w:val="57EDA3D5"/>
    <w:rsid w:val="58BC933A"/>
    <w:rsid w:val="5B8A6283"/>
    <w:rsid w:val="5D2DB811"/>
    <w:rsid w:val="5E985BCD"/>
    <w:rsid w:val="5FDAB9AA"/>
    <w:rsid w:val="6110A86A"/>
    <w:rsid w:val="61A0B362"/>
    <w:rsid w:val="629555EA"/>
    <w:rsid w:val="6398E3B3"/>
    <w:rsid w:val="63B06A13"/>
    <w:rsid w:val="65AAF4E3"/>
    <w:rsid w:val="65B87CBA"/>
    <w:rsid w:val="65B9EFBE"/>
    <w:rsid w:val="660BDF5F"/>
    <w:rsid w:val="6643A437"/>
    <w:rsid w:val="6730A933"/>
    <w:rsid w:val="675517BE"/>
    <w:rsid w:val="6820B93A"/>
    <w:rsid w:val="6847279E"/>
    <w:rsid w:val="68E61991"/>
    <w:rsid w:val="691C3038"/>
    <w:rsid w:val="6B817457"/>
    <w:rsid w:val="6BC4DAEA"/>
    <w:rsid w:val="6BC7BEA1"/>
    <w:rsid w:val="6BE82536"/>
    <w:rsid w:val="6DC60F04"/>
    <w:rsid w:val="6EB9D1DB"/>
    <w:rsid w:val="700AFF01"/>
    <w:rsid w:val="71A1003E"/>
    <w:rsid w:val="71C02161"/>
    <w:rsid w:val="726293AC"/>
    <w:rsid w:val="73F40BA0"/>
    <w:rsid w:val="75B4230B"/>
    <w:rsid w:val="7627526C"/>
    <w:rsid w:val="77256FB8"/>
    <w:rsid w:val="7810D93A"/>
    <w:rsid w:val="78408A48"/>
    <w:rsid w:val="78456994"/>
    <w:rsid w:val="78B7863E"/>
    <w:rsid w:val="797F8ACA"/>
    <w:rsid w:val="79BED71E"/>
    <w:rsid w:val="7A644B2E"/>
    <w:rsid w:val="7AF0573C"/>
    <w:rsid w:val="7B0DC674"/>
    <w:rsid w:val="7BB976C7"/>
    <w:rsid w:val="7C591BF3"/>
    <w:rsid w:val="7C93487E"/>
    <w:rsid w:val="7C983278"/>
    <w:rsid w:val="7D119AEA"/>
    <w:rsid w:val="7DCA54A9"/>
    <w:rsid w:val="7F8BE8FA"/>
    <w:rsid w:val="7F990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1CA2"/>
  <w15:chartTrackingRefBased/>
  <w15:docId w15:val="{EB8F52F6-97B3-4D5A-A6F8-62C7017B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FD6"/>
    <w:pPr>
      <w:spacing w:after="0" w:line="360" w:lineRule="auto"/>
      <w:ind w:firstLine="720"/>
      <w:jc w:val="both"/>
    </w:pPr>
    <w:rPr>
      <w:rFonts w:ascii="Garamond" w:eastAsia="Times New Roman" w:hAnsi="Garamond" w:cs="Times New Roman"/>
      <w:szCs w:val="24"/>
    </w:rPr>
  </w:style>
  <w:style w:type="paragraph" w:styleId="Heading1">
    <w:name w:val="heading 1"/>
    <w:basedOn w:val="Normal"/>
    <w:next w:val="Normal"/>
    <w:link w:val="Heading1Char"/>
    <w:uiPriority w:val="9"/>
    <w:qFormat/>
    <w:rsid w:val="1531EE56"/>
    <w:pPr>
      <w:widowControl w:val="0"/>
      <w:spacing w:beforeAutospacing="1" w:afterAutospacing="1"/>
      <w:outlineLvl w:val="0"/>
    </w:pPr>
    <w:rPr>
      <w:rFonts w:eastAsiaTheme="minorEastAsia"/>
      <w:b/>
      <w:bCs/>
    </w:rPr>
  </w:style>
  <w:style w:type="paragraph" w:styleId="Heading2">
    <w:name w:val="heading 2"/>
    <w:basedOn w:val="Normal"/>
    <w:next w:val="Normal"/>
    <w:link w:val="Heading2Char"/>
    <w:uiPriority w:val="9"/>
    <w:unhideWhenUsed/>
    <w:qFormat/>
    <w:rsid w:val="1531EE56"/>
    <w:pPr>
      <w:widowControl w:val="0"/>
      <w:tabs>
        <w:tab w:val="right" w:leader="dot" w:pos="9270"/>
      </w:tabs>
      <w:spacing w:beforeAutospacing="1" w:afterAutospacing="1"/>
      <w:ind w:left="-360" w:right="-270" w:firstLine="540"/>
      <w:outlineLvl w:val="1"/>
    </w:pPr>
    <w:rPr>
      <w:rFonts w:eastAsiaTheme="majorEastAsia" w:cstheme="majorBidi"/>
      <w:i/>
      <w:iCs/>
      <w:color w:val="000000" w:themeColor="text1"/>
    </w:rPr>
  </w:style>
  <w:style w:type="paragraph" w:styleId="Heading3">
    <w:name w:val="heading 3"/>
    <w:basedOn w:val="Normal"/>
    <w:next w:val="Normal"/>
    <w:link w:val="Heading3Char"/>
    <w:uiPriority w:val="9"/>
    <w:unhideWhenUsed/>
    <w:qFormat/>
    <w:rsid w:val="1531EE56"/>
    <w:pPr>
      <w:keepNext/>
      <w:keepLines/>
      <w:spacing w:beforeAutospacing="1" w:afterAutospacing="1"/>
      <w:outlineLvl w:val="2"/>
    </w:pPr>
    <w:rPr>
      <w:rFonts w:eastAsiaTheme="majorEastAsia" w:cstheme="majorBidi"/>
      <w:u w:val="single"/>
    </w:rPr>
  </w:style>
  <w:style w:type="paragraph" w:styleId="Heading4">
    <w:name w:val="heading 4"/>
    <w:basedOn w:val="Normal"/>
    <w:next w:val="Normal"/>
    <w:link w:val="Heading4Char"/>
    <w:uiPriority w:val="9"/>
    <w:unhideWhenUsed/>
    <w:qFormat/>
    <w:rsid w:val="1531EE56"/>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1531EE56"/>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1531EE56"/>
    <w:pPr>
      <w:keepNext/>
      <w:keepLines/>
      <w:spacing w:before="40"/>
      <w:outlineLvl w:val="5"/>
    </w:pPr>
    <w:rPr>
      <w:rFonts w:asciiTheme="majorHAnsi" w:eastAsiaTheme="majorEastAsia" w:hAnsiTheme="majorHAnsi" w:cstheme="majorBidi"/>
      <w:color w:val="1F4D78"/>
    </w:rPr>
  </w:style>
  <w:style w:type="paragraph" w:styleId="Heading7">
    <w:name w:val="heading 7"/>
    <w:basedOn w:val="Normal"/>
    <w:next w:val="Normal"/>
    <w:link w:val="Heading7Char"/>
    <w:uiPriority w:val="9"/>
    <w:unhideWhenUsed/>
    <w:qFormat/>
    <w:rsid w:val="1531EE56"/>
    <w:pPr>
      <w:keepNext/>
      <w:keepLines/>
      <w:spacing w:before="40"/>
      <w:outlineLvl w:val="6"/>
    </w:pPr>
    <w:rPr>
      <w:rFonts w:asciiTheme="majorHAnsi" w:eastAsiaTheme="majorEastAsia" w:hAnsiTheme="majorHAnsi" w:cstheme="majorBidi"/>
      <w:i/>
      <w:iCs/>
      <w:color w:val="1F4D78"/>
    </w:rPr>
  </w:style>
  <w:style w:type="paragraph" w:styleId="Heading8">
    <w:name w:val="heading 8"/>
    <w:basedOn w:val="Normal"/>
    <w:next w:val="Normal"/>
    <w:link w:val="Heading8Char"/>
    <w:uiPriority w:val="9"/>
    <w:unhideWhenUsed/>
    <w:qFormat/>
    <w:rsid w:val="1531EE56"/>
    <w:pPr>
      <w:keepNext/>
      <w:keepLines/>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531EE56"/>
    <w:pPr>
      <w:keepNext/>
      <w:keepLines/>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1531EE56"/>
    <w:rPr>
      <w:rFonts w:ascii="Garamond" w:eastAsiaTheme="minorEastAsia" w:hAnsi="Garamond" w:cs="Times New Roman"/>
      <w:b/>
      <w:bCs/>
      <w:noProof w:val="0"/>
      <w:sz w:val="24"/>
      <w:szCs w:val="24"/>
      <w:lang w:val="en-US"/>
    </w:rPr>
  </w:style>
  <w:style w:type="character" w:customStyle="1" w:styleId="Heading2Char">
    <w:name w:val="Heading 2 Char"/>
    <w:basedOn w:val="DefaultParagraphFont"/>
    <w:link w:val="Heading2"/>
    <w:uiPriority w:val="9"/>
    <w:rsid w:val="1531EE56"/>
    <w:rPr>
      <w:rFonts w:ascii="Garamond" w:eastAsiaTheme="majorEastAsia" w:hAnsi="Garamond" w:cstheme="majorBidi"/>
      <w:i/>
      <w:iCs/>
      <w:noProof w:val="0"/>
      <w:color w:val="000000" w:themeColor="text1"/>
      <w:sz w:val="24"/>
      <w:szCs w:val="24"/>
      <w:lang w:val="en-US"/>
    </w:rPr>
  </w:style>
  <w:style w:type="character" w:customStyle="1" w:styleId="Heading3Char">
    <w:name w:val="Heading 3 Char"/>
    <w:basedOn w:val="DefaultParagraphFont"/>
    <w:link w:val="Heading3"/>
    <w:uiPriority w:val="9"/>
    <w:rsid w:val="1531EE56"/>
    <w:rPr>
      <w:rFonts w:ascii="Garamond" w:eastAsiaTheme="majorEastAsia" w:hAnsi="Garamond" w:cstheme="majorBidi"/>
      <w:noProof w:val="0"/>
      <w:sz w:val="24"/>
      <w:szCs w:val="24"/>
      <w:u w:val="single"/>
      <w:lang w:val="en-US"/>
    </w:rPr>
  </w:style>
  <w:style w:type="paragraph" w:styleId="NormalWeb">
    <w:name w:val="Normal (Web)"/>
    <w:basedOn w:val="Normal"/>
    <w:uiPriority w:val="99"/>
    <w:unhideWhenUsed/>
    <w:rsid w:val="1531EE56"/>
    <w:pPr>
      <w:spacing w:beforeAutospacing="1" w:afterAutospacing="1"/>
    </w:pPr>
    <w:rPr>
      <w:rFonts w:eastAsiaTheme="minorEastAsia"/>
    </w:rPr>
  </w:style>
  <w:style w:type="character" w:customStyle="1" w:styleId="apple-tab-span">
    <w:name w:val="apple-tab-span"/>
    <w:basedOn w:val="DefaultParagraphFont"/>
    <w:rsid w:val="00B91414"/>
  </w:style>
  <w:style w:type="paragraph" w:styleId="FootnoteText">
    <w:name w:val="footnote text"/>
    <w:basedOn w:val="Normal"/>
    <w:link w:val="FootnoteTextChar"/>
    <w:uiPriority w:val="99"/>
    <w:unhideWhenUsed/>
    <w:rsid w:val="00B91414"/>
    <w:rPr>
      <w:rFonts w:eastAsiaTheme="minorHAnsi"/>
      <w:sz w:val="20"/>
      <w:szCs w:val="20"/>
    </w:rPr>
  </w:style>
  <w:style w:type="character" w:customStyle="1" w:styleId="FootnoteTextChar">
    <w:name w:val="Footnote Text Char"/>
    <w:basedOn w:val="DefaultParagraphFont"/>
    <w:link w:val="FootnoteText"/>
    <w:uiPriority w:val="99"/>
    <w:rsid w:val="1531EE56"/>
    <w:rPr>
      <w:rFonts w:ascii="Times New Roman" w:eastAsiaTheme="minorEastAsia" w:hAnsi="Times New Roman" w:cs="Times New Roman"/>
      <w:noProof w:val="0"/>
      <w:sz w:val="20"/>
      <w:szCs w:val="20"/>
      <w:lang w:val="en-US"/>
    </w:rPr>
  </w:style>
  <w:style w:type="character" w:styleId="FootnoteReference">
    <w:name w:val="footnote reference"/>
    <w:basedOn w:val="DefaultParagraphFont"/>
    <w:uiPriority w:val="99"/>
    <w:unhideWhenUsed/>
    <w:rsid w:val="00B91414"/>
    <w:rPr>
      <w:vertAlign w:val="superscript"/>
    </w:rPr>
  </w:style>
  <w:style w:type="character" w:styleId="Hyperlink">
    <w:name w:val="Hyperlink"/>
    <w:basedOn w:val="DefaultParagraphFont"/>
    <w:uiPriority w:val="99"/>
    <w:unhideWhenUsed/>
    <w:rsid w:val="00B91414"/>
    <w:rPr>
      <w:color w:val="0563C1" w:themeColor="hyperlink"/>
      <w:u w:val="single"/>
    </w:rPr>
  </w:style>
  <w:style w:type="character" w:styleId="Emphasis">
    <w:name w:val="Emphasis"/>
    <w:basedOn w:val="DefaultParagraphFont"/>
    <w:uiPriority w:val="20"/>
    <w:qFormat/>
    <w:rsid w:val="00B91414"/>
    <w:rPr>
      <w:i/>
      <w:iCs/>
    </w:rPr>
  </w:style>
  <w:style w:type="character" w:styleId="CommentReference">
    <w:name w:val="annotation reference"/>
    <w:basedOn w:val="DefaultParagraphFont"/>
    <w:uiPriority w:val="99"/>
    <w:semiHidden/>
    <w:unhideWhenUsed/>
    <w:rsid w:val="00B91414"/>
    <w:rPr>
      <w:sz w:val="16"/>
      <w:szCs w:val="16"/>
    </w:rPr>
  </w:style>
  <w:style w:type="paragraph" w:styleId="CommentText">
    <w:name w:val="annotation text"/>
    <w:basedOn w:val="Normal"/>
    <w:link w:val="CommentTextChar"/>
    <w:uiPriority w:val="99"/>
    <w:unhideWhenUsed/>
    <w:rsid w:val="1531EE56"/>
    <w:rPr>
      <w:rFonts w:eastAsiaTheme="minorEastAsia"/>
      <w:sz w:val="20"/>
      <w:szCs w:val="20"/>
    </w:rPr>
  </w:style>
  <w:style w:type="character" w:customStyle="1" w:styleId="CommentTextChar">
    <w:name w:val="Comment Text Char"/>
    <w:basedOn w:val="DefaultParagraphFont"/>
    <w:link w:val="CommentText"/>
    <w:uiPriority w:val="99"/>
    <w:rsid w:val="1531EE56"/>
    <w:rPr>
      <w:rFonts w:ascii="Times New Roman" w:eastAsiaTheme="minorEastAsia" w:hAnsi="Times New Roman" w:cs="Times New Roman"/>
      <w:noProof w:val="0"/>
      <w:sz w:val="20"/>
      <w:szCs w:val="20"/>
      <w:lang w:val="en-US"/>
    </w:rPr>
  </w:style>
  <w:style w:type="paragraph" w:styleId="Footer">
    <w:name w:val="footer"/>
    <w:basedOn w:val="Normal"/>
    <w:link w:val="FooterChar"/>
    <w:uiPriority w:val="99"/>
    <w:unhideWhenUsed/>
    <w:rsid w:val="1531EE56"/>
    <w:pPr>
      <w:tabs>
        <w:tab w:val="center" w:pos="4680"/>
        <w:tab w:val="right" w:pos="9360"/>
      </w:tabs>
    </w:pPr>
    <w:rPr>
      <w:rFonts w:eastAsiaTheme="minorEastAsia"/>
    </w:rPr>
  </w:style>
  <w:style w:type="character" w:customStyle="1" w:styleId="FooterChar">
    <w:name w:val="Footer Char"/>
    <w:basedOn w:val="DefaultParagraphFont"/>
    <w:link w:val="Footer"/>
    <w:uiPriority w:val="99"/>
    <w:rsid w:val="1531EE56"/>
    <w:rPr>
      <w:rFonts w:ascii="Times New Roman" w:eastAsiaTheme="minorEastAsia" w:hAnsi="Times New Roman" w:cs="Times New Roman"/>
      <w:noProof w:val="0"/>
      <w:sz w:val="24"/>
      <w:szCs w:val="24"/>
      <w:lang w:val="en-US"/>
    </w:rPr>
  </w:style>
  <w:style w:type="paragraph" w:styleId="BalloonText">
    <w:name w:val="Balloon Text"/>
    <w:basedOn w:val="Normal"/>
    <w:link w:val="BalloonTextChar"/>
    <w:uiPriority w:val="99"/>
    <w:semiHidden/>
    <w:unhideWhenUsed/>
    <w:rsid w:val="1531EE56"/>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semiHidden/>
    <w:rsid w:val="1531EE56"/>
    <w:rPr>
      <w:rFonts w:ascii="Segoe UI" w:eastAsiaTheme="minorEastAsia" w:hAnsi="Segoe UI" w:cs="Segoe UI"/>
      <w:noProof w:val="0"/>
      <w:sz w:val="18"/>
      <w:szCs w:val="18"/>
      <w:lang w:val="en-US"/>
    </w:rPr>
  </w:style>
  <w:style w:type="paragraph" w:styleId="CommentSubject">
    <w:name w:val="annotation subject"/>
    <w:basedOn w:val="CommentText"/>
    <w:next w:val="CommentText"/>
    <w:link w:val="CommentSubjectChar"/>
    <w:uiPriority w:val="99"/>
    <w:semiHidden/>
    <w:unhideWhenUsed/>
    <w:rsid w:val="1531EE56"/>
    <w:rPr>
      <w:b/>
      <w:bCs/>
    </w:rPr>
  </w:style>
  <w:style w:type="character" w:customStyle="1" w:styleId="CommentSubjectChar">
    <w:name w:val="Comment Subject Char"/>
    <w:basedOn w:val="CommentTextChar"/>
    <w:link w:val="CommentSubject"/>
    <w:uiPriority w:val="99"/>
    <w:semiHidden/>
    <w:rsid w:val="1531EE56"/>
    <w:rPr>
      <w:rFonts w:ascii="Times New Roman" w:eastAsiaTheme="minorEastAsia" w:hAnsi="Times New Roman" w:cs="Times New Roman"/>
      <w:b/>
      <w:bCs/>
      <w:noProof w:val="0"/>
      <w:sz w:val="20"/>
      <w:szCs w:val="20"/>
      <w:lang w:val="en-US"/>
    </w:rPr>
  </w:style>
  <w:style w:type="character" w:styleId="FollowedHyperlink">
    <w:name w:val="FollowedHyperlink"/>
    <w:basedOn w:val="DefaultParagraphFont"/>
    <w:uiPriority w:val="99"/>
    <w:semiHidden/>
    <w:unhideWhenUsed/>
    <w:rsid w:val="001F05AC"/>
    <w:rPr>
      <w:color w:val="954F72" w:themeColor="followedHyperlink"/>
      <w:u w:val="single"/>
    </w:rPr>
  </w:style>
  <w:style w:type="character" w:customStyle="1" w:styleId="UnresolvedMention1">
    <w:name w:val="Unresolved Mention1"/>
    <w:basedOn w:val="DefaultParagraphFont"/>
    <w:uiPriority w:val="99"/>
    <w:semiHidden/>
    <w:unhideWhenUsed/>
    <w:rsid w:val="00723C3E"/>
    <w:rPr>
      <w:color w:val="605E5C"/>
      <w:shd w:val="clear" w:color="auto" w:fill="E1DFDD"/>
    </w:rPr>
  </w:style>
  <w:style w:type="paragraph" w:styleId="TOC1">
    <w:name w:val="toc 1"/>
    <w:basedOn w:val="Normal"/>
    <w:next w:val="Normal"/>
    <w:uiPriority w:val="39"/>
    <w:unhideWhenUsed/>
    <w:rsid w:val="007E7AE6"/>
    <w:pPr>
      <w:spacing w:after="100"/>
    </w:pPr>
    <w:rPr>
      <w:rFonts w:eastAsiaTheme="minorEastAsia"/>
    </w:rPr>
  </w:style>
  <w:style w:type="paragraph" w:styleId="TOC2">
    <w:name w:val="toc 2"/>
    <w:basedOn w:val="Normal"/>
    <w:next w:val="Normal"/>
    <w:uiPriority w:val="39"/>
    <w:unhideWhenUsed/>
    <w:rsid w:val="1531EE56"/>
    <w:pPr>
      <w:spacing w:after="100"/>
      <w:ind w:left="240"/>
    </w:pPr>
    <w:rPr>
      <w:rFonts w:eastAsiaTheme="minorEastAsia"/>
    </w:rPr>
  </w:style>
  <w:style w:type="paragraph" w:styleId="TOC3">
    <w:name w:val="toc 3"/>
    <w:basedOn w:val="Normal"/>
    <w:next w:val="Normal"/>
    <w:uiPriority w:val="39"/>
    <w:unhideWhenUsed/>
    <w:rsid w:val="1531EE56"/>
    <w:pPr>
      <w:spacing w:after="100"/>
      <w:ind w:left="480"/>
    </w:pPr>
    <w:rPr>
      <w:rFonts w:eastAsiaTheme="minorEastAsia"/>
    </w:rPr>
  </w:style>
  <w:style w:type="character" w:customStyle="1" w:styleId="UnresolvedMention2">
    <w:name w:val="Unresolved Mention2"/>
    <w:basedOn w:val="DefaultParagraphFont"/>
    <w:uiPriority w:val="99"/>
    <w:semiHidden/>
    <w:unhideWhenUsed/>
    <w:rsid w:val="002660AF"/>
    <w:rPr>
      <w:color w:val="605E5C"/>
      <w:shd w:val="clear" w:color="auto" w:fill="E1DFDD"/>
    </w:rPr>
  </w:style>
  <w:style w:type="character" w:styleId="UnresolvedMention">
    <w:name w:val="Unresolved Mention"/>
    <w:basedOn w:val="DefaultParagraphFont"/>
    <w:uiPriority w:val="99"/>
    <w:semiHidden/>
    <w:unhideWhenUsed/>
    <w:rsid w:val="00C27011"/>
    <w:rPr>
      <w:color w:val="605E5C"/>
      <w:shd w:val="clear" w:color="auto" w:fill="E1DFDD"/>
    </w:rPr>
  </w:style>
  <w:style w:type="paragraph" w:styleId="Revision">
    <w:name w:val="Revision"/>
    <w:hidden/>
    <w:uiPriority w:val="99"/>
    <w:semiHidden/>
    <w:rsid w:val="005650DA"/>
    <w:pPr>
      <w:spacing w:after="0" w:line="240" w:lineRule="auto"/>
    </w:pPr>
    <w:rPr>
      <w:rFonts w:ascii="Times New Roman" w:eastAsia="Times New Roman" w:hAnsi="Times New Roman" w:cs="Times New Roman"/>
      <w:sz w:val="24"/>
      <w:szCs w:val="24"/>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rsid w:val="1531EE56"/>
    <w:pPr>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531EE56"/>
    <w:rPr>
      <w:rFonts w:eastAsiaTheme="minorEastAsia"/>
      <w:color w:val="5A5A5A"/>
    </w:rPr>
  </w:style>
  <w:style w:type="paragraph" w:styleId="Quote">
    <w:name w:val="Quote"/>
    <w:basedOn w:val="Normal"/>
    <w:next w:val="Normal"/>
    <w:link w:val="QuoteChar"/>
    <w:uiPriority w:val="29"/>
    <w:qFormat/>
    <w:rsid w:val="1531EE56"/>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531EE56"/>
    <w:pPr>
      <w:spacing w:before="360" w:after="360"/>
      <w:ind w:left="864" w:right="864"/>
      <w:jc w:val="center"/>
    </w:pPr>
    <w:rPr>
      <w:i/>
      <w:iCs/>
      <w:color w:val="5B9BD5" w:themeColor="accent1"/>
    </w:rPr>
  </w:style>
  <w:style w:type="paragraph" w:styleId="ListParagraph">
    <w:name w:val="List Paragraph"/>
    <w:basedOn w:val="Normal"/>
    <w:uiPriority w:val="34"/>
    <w:qFormat/>
    <w:rsid w:val="1531EE56"/>
    <w:pPr>
      <w:ind w:left="720"/>
      <w:contextualSpacing/>
    </w:pPr>
  </w:style>
  <w:style w:type="character" w:customStyle="1" w:styleId="Heading4Char">
    <w:name w:val="Heading 4 Char"/>
    <w:basedOn w:val="DefaultParagraphFont"/>
    <w:link w:val="Heading4"/>
    <w:uiPriority w:val="9"/>
    <w:rsid w:val="1531EE56"/>
    <w:rPr>
      <w:rFonts w:asciiTheme="majorHAnsi" w:eastAsiaTheme="majorEastAsia" w:hAnsiTheme="majorHAnsi" w:cstheme="majorBidi"/>
      <w:i/>
      <w:iCs/>
      <w:noProof w:val="0"/>
      <w:color w:val="2E74B5" w:themeColor="accent1" w:themeShade="BF"/>
      <w:lang w:val="en-US"/>
    </w:rPr>
  </w:style>
  <w:style w:type="character" w:customStyle="1" w:styleId="Heading5Char">
    <w:name w:val="Heading 5 Char"/>
    <w:basedOn w:val="DefaultParagraphFont"/>
    <w:link w:val="Heading5"/>
    <w:uiPriority w:val="9"/>
    <w:rsid w:val="1531EE56"/>
    <w:rPr>
      <w:rFonts w:asciiTheme="majorHAnsi" w:eastAsiaTheme="majorEastAsia" w:hAnsiTheme="majorHAnsi" w:cstheme="majorBidi"/>
      <w:noProof w:val="0"/>
      <w:color w:val="2E74B5" w:themeColor="accent1" w:themeShade="BF"/>
      <w:lang w:val="en-US"/>
    </w:rPr>
  </w:style>
  <w:style w:type="character" w:customStyle="1" w:styleId="Heading6Char">
    <w:name w:val="Heading 6 Char"/>
    <w:basedOn w:val="DefaultParagraphFont"/>
    <w:link w:val="Heading6"/>
    <w:uiPriority w:val="9"/>
    <w:rsid w:val="1531EE56"/>
    <w:rPr>
      <w:rFonts w:asciiTheme="majorHAnsi" w:eastAsiaTheme="majorEastAsia" w:hAnsiTheme="majorHAnsi" w:cstheme="majorBidi"/>
      <w:noProof w:val="0"/>
      <w:color w:val="1F4D78"/>
      <w:lang w:val="en-US"/>
    </w:rPr>
  </w:style>
  <w:style w:type="character" w:customStyle="1" w:styleId="Heading7Char">
    <w:name w:val="Heading 7 Char"/>
    <w:basedOn w:val="DefaultParagraphFont"/>
    <w:link w:val="Heading7"/>
    <w:uiPriority w:val="9"/>
    <w:rsid w:val="1531EE56"/>
    <w:rPr>
      <w:rFonts w:asciiTheme="majorHAnsi" w:eastAsiaTheme="majorEastAsia" w:hAnsiTheme="majorHAnsi" w:cstheme="majorBidi"/>
      <w:i/>
      <w:iCs/>
      <w:noProof w:val="0"/>
      <w:color w:val="1F4D78"/>
      <w:lang w:val="en-US"/>
    </w:rPr>
  </w:style>
  <w:style w:type="character" w:customStyle="1" w:styleId="Heading8Char">
    <w:name w:val="Heading 8 Char"/>
    <w:basedOn w:val="DefaultParagraphFont"/>
    <w:link w:val="Heading8"/>
    <w:uiPriority w:val="9"/>
    <w:rsid w:val="1531EE56"/>
    <w:rPr>
      <w:rFonts w:asciiTheme="majorHAnsi" w:eastAsiaTheme="majorEastAsia" w:hAnsiTheme="majorHAnsi" w:cstheme="majorBidi"/>
      <w:noProof w:val="0"/>
      <w:color w:val="272727"/>
      <w:sz w:val="21"/>
      <w:szCs w:val="21"/>
      <w:lang w:val="en-US"/>
    </w:rPr>
  </w:style>
  <w:style w:type="character" w:customStyle="1" w:styleId="Heading9Char">
    <w:name w:val="Heading 9 Char"/>
    <w:basedOn w:val="DefaultParagraphFont"/>
    <w:link w:val="Heading9"/>
    <w:uiPriority w:val="9"/>
    <w:rsid w:val="1531EE56"/>
    <w:rPr>
      <w:rFonts w:asciiTheme="majorHAnsi" w:eastAsiaTheme="majorEastAsia" w:hAnsiTheme="majorHAnsi" w:cstheme="majorBidi"/>
      <w:i/>
      <w:iCs/>
      <w:noProof w:val="0"/>
      <w:color w:val="272727"/>
      <w:sz w:val="21"/>
      <w:szCs w:val="21"/>
      <w:lang w:val="en-US"/>
    </w:rPr>
  </w:style>
  <w:style w:type="character" w:customStyle="1" w:styleId="TitleChar">
    <w:name w:val="Title Char"/>
    <w:basedOn w:val="DefaultParagraphFont"/>
    <w:link w:val="Title"/>
    <w:uiPriority w:val="10"/>
    <w:rsid w:val="1531EE56"/>
    <w:rPr>
      <w:rFonts w:asciiTheme="majorHAnsi" w:eastAsiaTheme="majorEastAsia" w:hAnsiTheme="majorHAnsi" w:cstheme="majorBidi"/>
      <w:noProof w:val="0"/>
      <w:sz w:val="56"/>
      <w:szCs w:val="56"/>
      <w:lang w:val="en-US"/>
    </w:rPr>
  </w:style>
  <w:style w:type="character" w:customStyle="1" w:styleId="SubtitleChar">
    <w:name w:val="Subtitle Char"/>
    <w:basedOn w:val="DefaultParagraphFont"/>
    <w:link w:val="Subtitle"/>
    <w:uiPriority w:val="11"/>
    <w:rsid w:val="1531EE56"/>
    <w:rPr>
      <w:rFonts w:asciiTheme="minorHAnsi" w:eastAsiaTheme="minorEastAsia" w:hAnsiTheme="minorHAnsi" w:cstheme="minorBidi"/>
      <w:noProof w:val="0"/>
      <w:color w:val="5A5A5A"/>
      <w:lang w:val="en-US"/>
    </w:rPr>
  </w:style>
  <w:style w:type="character" w:customStyle="1" w:styleId="QuoteChar">
    <w:name w:val="Quote Char"/>
    <w:basedOn w:val="DefaultParagraphFont"/>
    <w:link w:val="Quote"/>
    <w:uiPriority w:val="29"/>
    <w:rsid w:val="1531EE56"/>
    <w:rPr>
      <w:i/>
      <w:iCs/>
      <w:noProof w:val="0"/>
      <w:color w:val="404040" w:themeColor="text1" w:themeTint="BF"/>
      <w:lang w:val="en-US"/>
    </w:rPr>
  </w:style>
  <w:style w:type="character" w:customStyle="1" w:styleId="IntenseQuoteChar">
    <w:name w:val="Intense Quote Char"/>
    <w:basedOn w:val="DefaultParagraphFont"/>
    <w:link w:val="IntenseQuote"/>
    <w:uiPriority w:val="30"/>
    <w:rsid w:val="1531EE56"/>
    <w:rPr>
      <w:i/>
      <w:iCs/>
      <w:noProof w:val="0"/>
      <w:color w:val="5B9BD5" w:themeColor="accent1"/>
      <w:lang w:val="en-US"/>
    </w:rPr>
  </w:style>
  <w:style w:type="paragraph" w:styleId="TOC4">
    <w:name w:val="toc 4"/>
    <w:basedOn w:val="Normal"/>
    <w:next w:val="Normal"/>
    <w:uiPriority w:val="39"/>
    <w:unhideWhenUsed/>
    <w:rsid w:val="1531EE56"/>
    <w:pPr>
      <w:spacing w:after="100"/>
      <w:ind w:left="660"/>
    </w:pPr>
  </w:style>
  <w:style w:type="paragraph" w:styleId="TOC5">
    <w:name w:val="toc 5"/>
    <w:basedOn w:val="Normal"/>
    <w:next w:val="Normal"/>
    <w:uiPriority w:val="39"/>
    <w:unhideWhenUsed/>
    <w:rsid w:val="1531EE56"/>
    <w:pPr>
      <w:spacing w:after="100"/>
      <w:ind w:left="880"/>
    </w:pPr>
  </w:style>
  <w:style w:type="paragraph" w:styleId="TOC6">
    <w:name w:val="toc 6"/>
    <w:basedOn w:val="Normal"/>
    <w:next w:val="Normal"/>
    <w:uiPriority w:val="39"/>
    <w:unhideWhenUsed/>
    <w:rsid w:val="1531EE56"/>
    <w:pPr>
      <w:spacing w:after="100"/>
      <w:ind w:left="1100"/>
    </w:pPr>
  </w:style>
  <w:style w:type="paragraph" w:styleId="TOC7">
    <w:name w:val="toc 7"/>
    <w:basedOn w:val="Normal"/>
    <w:next w:val="Normal"/>
    <w:uiPriority w:val="39"/>
    <w:unhideWhenUsed/>
    <w:rsid w:val="1531EE56"/>
    <w:pPr>
      <w:spacing w:after="100"/>
      <w:ind w:left="1320"/>
    </w:pPr>
  </w:style>
  <w:style w:type="paragraph" w:styleId="TOC8">
    <w:name w:val="toc 8"/>
    <w:basedOn w:val="Normal"/>
    <w:next w:val="Normal"/>
    <w:uiPriority w:val="39"/>
    <w:unhideWhenUsed/>
    <w:rsid w:val="1531EE56"/>
    <w:pPr>
      <w:spacing w:after="100"/>
      <w:ind w:left="1540"/>
    </w:pPr>
  </w:style>
  <w:style w:type="paragraph" w:styleId="TOC9">
    <w:name w:val="toc 9"/>
    <w:basedOn w:val="Normal"/>
    <w:next w:val="Normal"/>
    <w:uiPriority w:val="39"/>
    <w:unhideWhenUsed/>
    <w:rsid w:val="1531EE56"/>
    <w:pPr>
      <w:spacing w:after="100"/>
      <w:ind w:left="1760"/>
    </w:pPr>
  </w:style>
  <w:style w:type="paragraph" w:styleId="EndnoteText">
    <w:name w:val="endnote text"/>
    <w:basedOn w:val="Normal"/>
    <w:link w:val="EndnoteTextChar"/>
    <w:uiPriority w:val="99"/>
    <w:semiHidden/>
    <w:unhideWhenUsed/>
    <w:rsid w:val="1531EE56"/>
    <w:rPr>
      <w:sz w:val="20"/>
      <w:szCs w:val="20"/>
    </w:rPr>
  </w:style>
  <w:style w:type="character" w:customStyle="1" w:styleId="EndnoteTextChar">
    <w:name w:val="Endnote Text Char"/>
    <w:basedOn w:val="DefaultParagraphFont"/>
    <w:link w:val="EndnoteText"/>
    <w:uiPriority w:val="99"/>
    <w:semiHidden/>
    <w:rsid w:val="1531EE56"/>
    <w:rPr>
      <w:noProof w:val="0"/>
      <w:sz w:val="20"/>
      <w:szCs w:val="20"/>
      <w:lang w:val="en-US"/>
    </w:rPr>
  </w:style>
  <w:style w:type="paragraph" w:styleId="Header">
    <w:name w:val="header"/>
    <w:basedOn w:val="Normal"/>
    <w:link w:val="HeaderChar"/>
    <w:uiPriority w:val="99"/>
    <w:unhideWhenUsed/>
    <w:rsid w:val="1531EE56"/>
    <w:pPr>
      <w:tabs>
        <w:tab w:val="center" w:pos="4680"/>
        <w:tab w:val="right" w:pos="9360"/>
      </w:tabs>
    </w:pPr>
  </w:style>
  <w:style w:type="character" w:customStyle="1" w:styleId="HeaderChar">
    <w:name w:val="Header Char"/>
    <w:basedOn w:val="DefaultParagraphFont"/>
    <w:link w:val="Header"/>
    <w:uiPriority w:val="99"/>
    <w:rsid w:val="1531EE56"/>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99038">
      <w:bodyDiv w:val="1"/>
      <w:marLeft w:val="0"/>
      <w:marRight w:val="0"/>
      <w:marTop w:val="0"/>
      <w:marBottom w:val="0"/>
      <w:divBdr>
        <w:top w:val="none" w:sz="0" w:space="0" w:color="auto"/>
        <w:left w:val="none" w:sz="0" w:space="0" w:color="auto"/>
        <w:bottom w:val="none" w:sz="0" w:space="0" w:color="auto"/>
        <w:right w:val="none" w:sz="0" w:space="0" w:color="auto"/>
      </w:divBdr>
      <w:divsChild>
        <w:div w:id="1026253745">
          <w:marLeft w:val="0"/>
          <w:marRight w:val="0"/>
          <w:marTop w:val="0"/>
          <w:marBottom w:val="0"/>
          <w:divBdr>
            <w:top w:val="none" w:sz="0" w:space="0" w:color="auto"/>
            <w:left w:val="none" w:sz="0" w:space="0" w:color="auto"/>
            <w:bottom w:val="none" w:sz="0" w:space="0" w:color="auto"/>
            <w:right w:val="none" w:sz="0" w:space="0" w:color="auto"/>
          </w:divBdr>
          <w:divsChild>
            <w:div w:id="2083478646">
              <w:marLeft w:val="0"/>
              <w:marRight w:val="0"/>
              <w:marTop w:val="0"/>
              <w:marBottom w:val="0"/>
              <w:divBdr>
                <w:top w:val="none" w:sz="0" w:space="0" w:color="auto"/>
                <w:left w:val="none" w:sz="0" w:space="0" w:color="auto"/>
                <w:bottom w:val="none" w:sz="0" w:space="0" w:color="auto"/>
                <w:right w:val="none" w:sz="0" w:space="0" w:color="auto"/>
              </w:divBdr>
              <w:divsChild>
                <w:div w:id="2571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532178">
      <w:bodyDiv w:val="1"/>
      <w:marLeft w:val="0"/>
      <w:marRight w:val="0"/>
      <w:marTop w:val="0"/>
      <w:marBottom w:val="0"/>
      <w:divBdr>
        <w:top w:val="none" w:sz="0" w:space="0" w:color="auto"/>
        <w:left w:val="none" w:sz="0" w:space="0" w:color="auto"/>
        <w:bottom w:val="none" w:sz="0" w:space="0" w:color="auto"/>
        <w:right w:val="none" w:sz="0" w:space="0" w:color="auto"/>
      </w:divBdr>
      <w:divsChild>
        <w:div w:id="786311832">
          <w:marLeft w:val="0"/>
          <w:marRight w:val="0"/>
          <w:marTop w:val="0"/>
          <w:marBottom w:val="0"/>
          <w:divBdr>
            <w:top w:val="none" w:sz="0" w:space="0" w:color="auto"/>
            <w:left w:val="none" w:sz="0" w:space="0" w:color="auto"/>
            <w:bottom w:val="none" w:sz="0" w:space="0" w:color="auto"/>
            <w:right w:val="none" w:sz="0" w:space="0" w:color="auto"/>
          </w:divBdr>
          <w:divsChild>
            <w:div w:id="1901209737">
              <w:marLeft w:val="0"/>
              <w:marRight w:val="0"/>
              <w:marTop w:val="0"/>
              <w:marBottom w:val="0"/>
              <w:divBdr>
                <w:top w:val="none" w:sz="0" w:space="0" w:color="auto"/>
                <w:left w:val="none" w:sz="0" w:space="0" w:color="auto"/>
                <w:bottom w:val="none" w:sz="0" w:space="0" w:color="auto"/>
                <w:right w:val="none" w:sz="0" w:space="0" w:color="auto"/>
              </w:divBdr>
              <w:divsChild>
                <w:div w:id="48578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04403">
      <w:bodyDiv w:val="1"/>
      <w:marLeft w:val="0"/>
      <w:marRight w:val="0"/>
      <w:marTop w:val="0"/>
      <w:marBottom w:val="0"/>
      <w:divBdr>
        <w:top w:val="none" w:sz="0" w:space="0" w:color="auto"/>
        <w:left w:val="none" w:sz="0" w:space="0" w:color="auto"/>
        <w:bottom w:val="none" w:sz="0" w:space="0" w:color="auto"/>
        <w:right w:val="none" w:sz="0" w:space="0" w:color="auto"/>
      </w:divBdr>
    </w:div>
    <w:div w:id="327900881">
      <w:bodyDiv w:val="1"/>
      <w:marLeft w:val="0"/>
      <w:marRight w:val="0"/>
      <w:marTop w:val="0"/>
      <w:marBottom w:val="0"/>
      <w:divBdr>
        <w:top w:val="none" w:sz="0" w:space="0" w:color="auto"/>
        <w:left w:val="none" w:sz="0" w:space="0" w:color="auto"/>
        <w:bottom w:val="none" w:sz="0" w:space="0" w:color="auto"/>
        <w:right w:val="none" w:sz="0" w:space="0" w:color="auto"/>
      </w:divBdr>
      <w:divsChild>
        <w:div w:id="538663983">
          <w:marLeft w:val="0"/>
          <w:marRight w:val="0"/>
          <w:marTop w:val="0"/>
          <w:marBottom w:val="0"/>
          <w:divBdr>
            <w:top w:val="none" w:sz="0" w:space="0" w:color="auto"/>
            <w:left w:val="none" w:sz="0" w:space="0" w:color="auto"/>
            <w:bottom w:val="none" w:sz="0" w:space="0" w:color="auto"/>
            <w:right w:val="none" w:sz="0" w:space="0" w:color="auto"/>
          </w:divBdr>
          <w:divsChild>
            <w:div w:id="511644844">
              <w:marLeft w:val="0"/>
              <w:marRight w:val="0"/>
              <w:marTop w:val="0"/>
              <w:marBottom w:val="0"/>
              <w:divBdr>
                <w:top w:val="none" w:sz="0" w:space="0" w:color="auto"/>
                <w:left w:val="none" w:sz="0" w:space="0" w:color="auto"/>
                <w:bottom w:val="none" w:sz="0" w:space="0" w:color="auto"/>
                <w:right w:val="none" w:sz="0" w:space="0" w:color="auto"/>
              </w:divBdr>
              <w:divsChild>
                <w:div w:id="1132820">
                  <w:marLeft w:val="0"/>
                  <w:marRight w:val="0"/>
                  <w:marTop w:val="0"/>
                  <w:marBottom w:val="0"/>
                  <w:divBdr>
                    <w:top w:val="none" w:sz="0" w:space="0" w:color="auto"/>
                    <w:left w:val="none" w:sz="0" w:space="0" w:color="auto"/>
                    <w:bottom w:val="none" w:sz="0" w:space="0" w:color="auto"/>
                    <w:right w:val="none" w:sz="0" w:space="0" w:color="auto"/>
                  </w:divBdr>
                  <w:divsChild>
                    <w:div w:id="13958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722619">
      <w:bodyDiv w:val="1"/>
      <w:marLeft w:val="0"/>
      <w:marRight w:val="0"/>
      <w:marTop w:val="0"/>
      <w:marBottom w:val="0"/>
      <w:divBdr>
        <w:top w:val="none" w:sz="0" w:space="0" w:color="auto"/>
        <w:left w:val="none" w:sz="0" w:space="0" w:color="auto"/>
        <w:bottom w:val="none" w:sz="0" w:space="0" w:color="auto"/>
        <w:right w:val="none" w:sz="0" w:space="0" w:color="auto"/>
      </w:divBdr>
    </w:div>
    <w:div w:id="346761168">
      <w:bodyDiv w:val="1"/>
      <w:marLeft w:val="0"/>
      <w:marRight w:val="0"/>
      <w:marTop w:val="0"/>
      <w:marBottom w:val="0"/>
      <w:divBdr>
        <w:top w:val="none" w:sz="0" w:space="0" w:color="auto"/>
        <w:left w:val="none" w:sz="0" w:space="0" w:color="auto"/>
        <w:bottom w:val="none" w:sz="0" w:space="0" w:color="auto"/>
        <w:right w:val="none" w:sz="0" w:space="0" w:color="auto"/>
      </w:divBdr>
      <w:divsChild>
        <w:div w:id="525678426">
          <w:marLeft w:val="0"/>
          <w:marRight w:val="0"/>
          <w:marTop w:val="0"/>
          <w:marBottom w:val="0"/>
          <w:divBdr>
            <w:top w:val="none" w:sz="0" w:space="0" w:color="auto"/>
            <w:left w:val="none" w:sz="0" w:space="0" w:color="auto"/>
            <w:bottom w:val="none" w:sz="0" w:space="0" w:color="auto"/>
            <w:right w:val="none" w:sz="0" w:space="0" w:color="auto"/>
          </w:divBdr>
          <w:divsChild>
            <w:div w:id="47532031">
              <w:marLeft w:val="0"/>
              <w:marRight w:val="0"/>
              <w:marTop w:val="0"/>
              <w:marBottom w:val="0"/>
              <w:divBdr>
                <w:top w:val="none" w:sz="0" w:space="0" w:color="auto"/>
                <w:left w:val="none" w:sz="0" w:space="0" w:color="auto"/>
                <w:bottom w:val="none" w:sz="0" w:space="0" w:color="auto"/>
                <w:right w:val="none" w:sz="0" w:space="0" w:color="auto"/>
              </w:divBdr>
              <w:divsChild>
                <w:div w:id="5059784">
                  <w:marLeft w:val="0"/>
                  <w:marRight w:val="0"/>
                  <w:marTop w:val="0"/>
                  <w:marBottom w:val="0"/>
                  <w:divBdr>
                    <w:top w:val="none" w:sz="0" w:space="0" w:color="auto"/>
                    <w:left w:val="none" w:sz="0" w:space="0" w:color="auto"/>
                    <w:bottom w:val="none" w:sz="0" w:space="0" w:color="auto"/>
                    <w:right w:val="none" w:sz="0" w:space="0" w:color="auto"/>
                  </w:divBdr>
                  <w:divsChild>
                    <w:div w:id="14893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569066">
      <w:bodyDiv w:val="1"/>
      <w:marLeft w:val="0"/>
      <w:marRight w:val="0"/>
      <w:marTop w:val="0"/>
      <w:marBottom w:val="0"/>
      <w:divBdr>
        <w:top w:val="none" w:sz="0" w:space="0" w:color="auto"/>
        <w:left w:val="none" w:sz="0" w:space="0" w:color="auto"/>
        <w:bottom w:val="none" w:sz="0" w:space="0" w:color="auto"/>
        <w:right w:val="none" w:sz="0" w:space="0" w:color="auto"/>
      </w:divBdr>
      <w:divsChild>
        <w:div w:id="1457411899">
          <w:marLeft w:val="0"/>
          <w:marRight w:val="0"/>
          <w:marTop w:val="0"/>
          <w:marBottom w:val="0"/>
          <w:divBdr>
            <w:top w:val="none" w:sz="0" w:space="0" w:color="auto"/>
            <w:left w:val="none" w:sz="0" w:space="0" w:color="auto"/>
            <w:bottom w:val="none" w:sz="0" w:space="0" w:color="auto"/>
            <w:right w:val="none" w:sz="0" w:space="0" w:color="auto"/>
          </w:divBdr>
          <w:divsChild>
            <w:div w:id="1742167389">
              <w:marLeft w:val="0"/>
              <w:marRight w:val="0"/>
              <w:marTop w:val="0"/>
              <w:marBottom w:val="0"/>
              <w:divBdr>
                <w:top w:val="none" w:sz="0" w:space="0" w:color="auto"/>
                <w:left w:val="none" w:sz="0" w:space="0" w:color="auto"/>
                <w:bottom w:val="none" w:sz="0" w:space="0" w:color="auto"/>
                <w:right w:val="none" w:sz="0" w:space="0" w:color="auto"/>
              </w:divBdr>
              <w:divsChild>
                <w:div w:id="624653580">
                  <w:marLeft w:val="0"/>
                  <w:marRight w:val="0"/>
                  <w:marTop w:val="0"/>
                  <w:marBottom w:val="0"/>
                  <w:divBdr>
                    <w:top w:val="none" w:sz="0" w:space="0" w:color="auto"/>
                    <w:left w:val="none" w:sz="0" w:space="0" w:color="auto"/>
                    <w:bottom w:val="none" w:sz="0" w:space="0" w:color="auto"/>
                    <w:right w:val="none" w:sz="0" w:space="0" w:color="auto"/>
                  </w:divBdr>
                  <w:divsChild>
                    <w:div w:id="11942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861318">
      <w:bodyDiv w:val="1"/>
      <w:marLeft w:val="0"/>
      <w:marRight w:val="0"/>
      <w:marTop w:val="0"/>
      <w:marBottom w:val="0"/>
      <w:divBdr>
        <w:top w:val="none" w:sz="0" w:space="0" w:color="auto"/>
        <w:left w:val="none" w:sz="0" w:space="0" w:color="auto"/>
        <w:bottom w:val="none" w:sz="0" w:space="0" w:color="auto"/>
        <w:right w:val="none" w:sz="0" w:space="0" w:color="auto"/>
      </w:divBdr>
    </w:div>
    <w:div w:id="649284066">
      <w:bodyDiv w:val="1"/>
      <w:marLeft w:val="0"/>
      <w:marRight w:val="0"/>
      <w:marTop w:val="0"/>
      <w:marBottom w:val="0"/>
      <w:divBdr>
        <w:top w:val="none" w:sz="0" w:space="0" w:color="auto"/>
        <w:left w:val="none" w:sz="0" w:space="0" w:color="auto"/>
        <w:bottom w:val="none" w:sz="0" w:space="0" w:color="auto"/>
        <w:right w:val="none" w:sz="0" w:space="0" w:color="auto"/>
      </w:divBdr>
    </w:div>
    <w:div w:id="694231593">
      <w:bodyDiv w:val="1"/>
      <w:marLeft w:val="0"/>
      <w:marRight w:val="0"/>
      <w:marTop w:val="0"/>
      <w:marBottom w:val="0"/>
      <w:divBdr>
        <w:top w:val="none" w:sz="0" w:space="0" w:color="auto"/>
        <w:left w:val="none" w:sz="0" w:space="0" w:color="auto"/>
        <w:bottom w:val="none" w:sz="0" w:space="0" w:color="auto"/>
        <w:right w:val="none" w:sz="0" w:space="0" w:color="auto"/>
      </w:divBdr>
      <w:divsChild>
        <w:div w:id="1452751407">
          <w:marLeft w:val="0"/>
          <w:marRight w:val="0"/>
          <w:marTop w:val="0"/>
          <w:marBottom w:val="0"/>
          <w:divBdr>
            <w:top w:val="none" w:sz="0" w:space="0" w:color="auto"/>
            <w:left w:val="none" w:sz="0" w:space="0" w:color="auto"/>
            <w:bottom w:val="none" w:sz="0" w:space="0" w:color="auto"/>
            <w:right w:val="none" w:sz="0" w:space="0" w:color="auto"/>
          </w:divBdr>
          <w:divsChild>
            <w:div w:id="1990279258">
              <w:marLeft w:val="0"/>
              <w:marRight w:val="0"/>
              <w:marTop w:val="0"/>
              <w:marBottom w:val="0"/>
              <w:divBdr>
                <w:top w:val="none" w:sz="0" w:space="0" w:color="auto"/>
                <w:left w:val="none" w:sz="0" w:space="0" w:color="auto"/>
                <w:bottom w:val="none" w:sz="0" w:space="0" w:color="auto"/>
                <w:right w:val="none" w:sz="0" w:space="0" w:color="auto"/>
              </w:divBdr>
              <w:divsChild>
                <w:div w:id="3426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7595">
      <w:bodyDiv w:val="1"/>
      <w:marLeft w:val="0"/>
      <w:marRight w:val="0"/>
      <w:marTop w:val="0"/>
      <w:marBottom w:val="0"/>
      <w:divBdr>
        <w:top w:val="none" w:sz="0" w:space="0" w:color="auto"/>
        <w:left w:val="none" w:sz="0" w:space="0" w:color="auto"/>
        <w:bottom w:val="none" w:sz="0" w:space="0" w:color="auto"/>
        <w:right w:val="none" w:sz="0" w:space="0" w:color="auto"/>
      </w:divBdr>
      <w:divsChild>
        <w:div w:id="2141802599">
          <w:marLeft w:val="0"/>
          <w:marRight w:val="0"/>
          <w:marTop w:val="0"/>
          <w:marBottom w:val="0"/>
          <w:divBdr>
            <w:top w:val="none" w:sz="0" w:space="0" w:color="auto"/>
            <w:left w:val="none" w:sz="0" w:space="0" w:color="auto"/>
            <w:bottom w:val="none" w:sz="0" w:space="0" w:color="auto"/>
            <w:right w:val="none" w:sz="0" w:space="0" w:color="auto"/>
          </w:divBdr>
          <w:divsChild>
            <w:div w:id="899442171">
              <w:marLeft w:val="0"/>
              <w:marRight w:val="0"/>
              <w:marTop w:val="0"/>
              <w:marBottom w:val="0"/>
              <w:divBdr>
                <w:top w:val="none" w:sz="0" w:space="0" w:color="auto"/>
                <w:left w:val="none" w:sz="0" w:space="0" w:color="auto"/>
                <w:bottom w:val="none" w:sz="0" w:space="0" w:color="auto"/>
                <w:right w:val="none" w:sz="0" w:space="0" w:color="auto"/>
              </w:divBdr>
              <w:divsChild>
                <w:div w:id="128433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47424">
      <w:bodyDiv w:val="1"/>
      <w:marLeft w:val="0"/>
      <w:marRight w:val="0"/>
      <w:marTop w:val="0"/>
      <w:marBottom w:val="0"/>
      <w:divBdr>
        <w:top w:val="none" w:sz="0" w:space="0" w:color="auto"/>
        <w:left w:val="none" w:sz="0" w:space="0" w:color="auto"/>
        <w:bottom w:val="none" w:sz="0" w:space="0" w:color="auto"/>
        <w:right w:val="none" w:sz="0" w:space="0" w:color="auto"/>
      </w:divBdr>
    </w:div>
    <w:div w:id="786973235">
      <w:bodyDiv w:val="1"/>
      <w:marLeft w:val="0"/>
      <w:marRight w:val="0"/>
      <w:marTop w:val="0"/>
      <w:marBottom w:val="0"/>
      <w:divBdr>
        <w:top w:val="none" w:sz="0" w:space="0" w:color="auto"/>
        <w:left w:val="none" w:sz="0" w:space="0" w:color="auto"/>
        <w:bottom w:val="none" w:sz="0" w:space="0" w:color="auto"/>
        <w:right w:val="none" w:sz="0" w:space="0" w:color="auto"/>
      </w:divBdr>
      <w:divsChild>
        <w:div w:id="587884562">
          <w:marLeft w:val="0"/>
          <w:marRight w:val="0"/>
          <w:marTop w:val="0"/>
          <w:marBottom w:val="0"/>
          <w:divBdr>
            <w:top w:val="none" w:sz="0" w:space="0" w:color="auto"/>
            <w:left w:val="none" w:sz="0" w:space="0" w:color="auto"/>
            <w:bottom w:val="none" w:sz="0" w:space="0" w:color="auto"/>
            <w:right w:val="none" w:sz="0" w:space="0" w:color="auto"/>
          </w:divBdr>
          <w:divsChild>
            <w:div w:id="2075470668">
              <w:marLeft w:val="0"/>
              <w:marRight w:val="0"/>
              <w:marTop w:val="0"/>
              <w:marBottom w:val="0"/>
              <w:divBdr>
                <w:top w:val="none" w:sz="0" w:space="0" w:color="auto"/>
                <w:left w:val="none" w:sz="0" w:space="0" w:color="auto"/>
                <w:bottom w:val="none" w:sz="0" w:space="0" w:color="auto"/>
                <w:right w:val="none" w:sz="0" w:space="0" w:color="auto"/>
              </w:divBdr>
              <w:divsChild>
                <w:div w:id="1276213747">
                  <w:marLeft w:val="0"/>
                  <w:marRight w:val="0"/>
                  <w:marTop w:val="0"/>
                  <w:marBottom w:val="0"/>
                  <w:divBdr>
                    <w:top w:val="none" w:sz="0" w:space="0" w:color="auto"/>
                    <w:left w:val="none" w:sz="0" w:space="0" w:color="auto"/>
                    <w:bottom w:val="none" w:sz="0" w:space="0" w:color="auto"/>
                    <w:right w:val="none" w:sz="0" w:space="0" w:color="auto"/>
                  </w:divBdr>
                  <w:divsChild>
                    <w:div w:id="2323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413294">
      <w:bodyDiv w:val="1"/>
      <w:marLeft w:val="0"/>
      <w:marRight w:val="0"/>
      <w:marTop w:val="0"/>
      <w:marBottom w:val="0"/>
      <w:divBdr>
        <w:top w:val="none" w:sz="0" w:space="0" w:color="auto"/>
        <w:left w:val="none" w:sz="0" w:space="0" w:color="auto"/>
        <w:bottom w:val="none" w:sz="0" w:space="0" w:color="auto"/>
        <w:right w:val="none" w:sz="0" w:space="0" w:color="auto"/>
      </w:divBdr>
    </w:div>
    <w:div w:id="1003632773">
      <w:bodyDiv w:val="1"/>
      <w:marLeft w:val="0"/>
      <w:marRight w:val="0"/>
      <w:marTop w:val="0"/>
      <w:marBottom w:val="0"/>
      <w:divBdr>
        <w:top w:val="none" w:sz="0" w:space="0" w:color="auto"/>
        <w:left w:val="none" w:sz="0" w:space="0" w:color="auto"/>
        <w:bottom w:val="none" w:sz="0" w:space="0" w:color="auto"/>
        <w:right w:val="none" w:sz="0" w:space="0" w:color="auto"/>
      </w:divBdr>
      <w:divsChild>
        <w:div w:id="367067237">
          <w:marLeft w:val="0"/>
          <w:marRight w:val="0"/>
          <w:marTop w:val="0"/>
          <w:marBottom w:val="0"/>
          <w:divBdr>
            <w:top w:val="none" w:sz="0" w:space="0" w:color="auto"/>
            <w:left w:val="none" w:sz="0" w:space="0" w:color="auto"/>
            <w:bottom w:val="none" w:sz="0" w:space="0" w:color="auto"/>
            <w:right w:val="none" w:sz="0" w:space="0" w:color="auto"/>
          </w:divBdr>
          <w:divsChild>
            <w:div w:id="1425221201">
              <w:marLeft w:val="0"/>
              <w:marRight w:val="0"/>
              <w:marTop w:val="0"/>
              <w:marBottom w:val="0"/>
              <w:divBdr>
                <w:top w:val="none" w:sz="0" w:space="0" w:color="auto"/>
                <w:left w:val="none" w:sz="0" w:space="0" w:color="auto"/>
                <w:bottom w:val="none" w:sz="0" w:space="0" w:color="auto"/>
                <w:right w:val="none" w:sz="0" w:space="0" w:color="auto"/>
              </w:divBdr>
              <w:divsChild>
                <w:div w:id="1843231301">
                  <w:marLeft w:val="0"/>
                  <w:marRight w:val="0"/>
                  <w:marTop w:val="0"/>
                  <w:marBottom w:val="0"/>
                  <w:divBdr>
                    <w:top w:val="none" w:sz="0" w:space="0" w:color="auto"/>
                    <w:left w:val="none" w:sz="0" w:space="0" w:color="auto"/>
                    <w:bottom w:val="none" w:sz="0" w:space="0" w:color="auto"/>
                    <w:right w:val="none" w:sz="0" w:space="0" w:color="auto"/>
                  </w:divBdr>
                  <w:divsChild>
                    <w:div w:id="11715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66260">
      <w:bodyDiv w:val="1"/>
      <w:marLeft w:val="0"/>
      <w:marRight w:val="0"/>
      <w:marTop w:val="0"/>
      <w:marBottom w:val="0"/>
      <w:divBdr>
        <w:top w:val="none" w:sz="0" w:space="0" w:color="auto"/>
        <w:left w:val="none" w:sz="0" w:space="0" w:color="auto"/>
        <w:bottom w:val="none" w:sz="0" w:space="0" w:color="auto"/>
        <w:right w:val="none" w:sz="0" w:space="0" w:color="auto"/>
      </w:divBdr>
      <w:divsChild>
        <w:div w:id="239485645">
          <w:marLeft w:val="0"/>
          <w:marRight w:val="0"/>
          <w:marTop w:val="0"/>
          <w:marBottom w:val="0"/>
          <w:divBdr>
            <w:top w:val="none" w:sz="0" w:space="0" w:color="auto"/>
            <w:left w:val="none" w:sz="0" w:space="0" w:color="auto"/>
            <w:bottom w:val="none" w:sz="0" w:space="0" w:color="auto"/>
            <w:right w:val="none" w:sz="0" w:space="0" w:color="auto"/>
          </w:divBdr>
          <w:divsChild>
            <w:div w:id="1035037697">
              <w:marLeft w:val="0"/>
              <w:marRight w:val="0"/>
              <w:marTop w:val="0"/>
              <w:marBottom w:val="0"/>
              <w:divBdr>
                <w:top w:val="none" w:sz="0" w:space="0" w:color="auto"/>
                <w:left w:val="none" w:sz="0" w:space="0" w:color="auto"/>
                <w:bottom w:val="none" w:sz="0" w:space="0" w:color="auto"/>
                <w:right w:val="none" w:sz="0" w:space="0" w:color="auto"/>
              </w:divBdr>
              <w:divsChild>
                <w:div w:id="664478520">
                  <w:marLeft w:val="0"/>
                  <w:marRight w:val="0"/>
                  <w:marTop w:val="0"/>
                  <w:marBottom w:val="0"/>
                  <w:divBdr>
                    <w:top w:val="none" w:sz="0" w:space="0" w:color="auto"/>
                    <w:left w:val="none" w:sz="0" w:space="0" w:color="auto"/>
                    <w:bottom w:val="none" w:sz="0" w:space="0" w:color="auto"/>
                    <w:right w:val="none" w:sz="0" w:space="0" w:color="auto"/>
                  </w:divBdr>
                  <w:divsChild>
                    <w:div w:id="6929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94625">
      <w:bodyDiv w:val="1"/>
      <w:marLeft w:val="0"/>
      <w:marRight w:val="0"/>
      <w:marTop w:val="0"/>
      <w:marBottom w:val="0"/>
      <w:divBdr>
        <w:top w:val="none" w:sz="0" w:space="0" w:color="auto"/>
        <w:left w:val="none" w:sz="0" w:space="0" w:color="auto"/>
        <w:bottom w:val="none" w:sz="0" w:space="0" w:color="auto"/>
        <w:right w:val="none" w:sz="0" w:space="0" w:color="auto"/>
      </w:divBdr>
      <w:divsChild>
        <w:div w:id="1343822431">
          <w:marLeft w:val="0"/>
          <w:marRight w:val="0"/>
          <w:marTop w:val="0"/>
          <w:marBottom w:val="0"/>
          <w:divBdr>
            <w:top w:val="none" w:sz="0" w:space="0" w:color="auto"/>
            <w:left w:val="none" w:sz="0" w:space="0" w:color="auto"/>
            <w:bottom w:val="none" w:sz="0" w:space="0" w:color="auto"/>
            <w:right w:val="none" w:sz="0" w:space="0" w:color="auto"/>
          </w:divBdr>
          <w:divsChild>
            <w:div w:id="725956180">
              <w:marLeft w:val="0"/>
              <w:marRight w:val="0"/>
              <w:marTop w:val="0"/>
              <w:marBottom w:val="0"/>
              <w:divBdr>
                <w:top w:val="none" w:sz="0" w:space="0" w:color="auto"/>
                <w:left w:val="none" w:sz="0" w:space="0" w:color="auto"/>
                <w:bottom w:val="none" w:sz="0" w:space="0" w:color="auto"/>
                <w:right w:val="none" w:sz="0" w:space="0" w:color="auto"/>
              </w:divBdr>
              <w:divsChild>
                <w:div w:id="12390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9263">
      <w:bodyDiv w:val="1"/>
      <w:marLeft w:val="0"/>
      <w:marRight w:val="0"/>
      <w:marTop w:val="0"/>
      <w:marBottom w:val="0"/>
      <w:divBdr>
        <w:top w:val="none" w:sz="0" w:space="0" w:color="auto"/>
        <w:left w:val="none" w:sz="0" w:space="0" w:color="auto"/>
        <w:bottom w:val="none" w:sz="0" w:space="0" w:color="auto"/>
        <w:right w:val="none" w:sz="0" w:space="0" w:color="auto"/>
      </w:divBdr>
      <w:divsChild>
        <w:div w:id="1047342372">
          <w:marLeft w:val="0"/>
          <w:marRight w:val="0"/>
          <w:marTop w:val="0"/>
          <w:marBottom w:val="0"/>
          <w:divBdr>
            <w:top w:val="none" w:sz="0" w:space="0" w:color="auto"/>
            <w:left w:val="none" w:sz="0" w:space="0" w:color="auto"/>
            <w:bottom w:val="none" w:sz="0" w:space="0" w:color="auto"/>
            <w:right w:val="none" w:sz="0" w:space="0" w:color="auto"/>
          </w:divBdr>
          <w:divsChild>
            <w:div w:id="1516916993">
              <w:marLeft w:val="0"/>
              <w:marRight w:val="0"/>
              <w:marTop w:val="0"/>
              <w:marBottom w:val="0"/>
              <w:divBdr>
                <w:top w:val="none" w:sz="0" w:space="0" w:color="auto"/>
                <w:left w:val="none" w:sz="0" w:space="0" w:color="auto"/>
                <w:bottom w:val="none" w:sz="0" w:space="0" w:color="auto"/>
                <w:right w:val="none" w:sz="0" w:space="0" w:color="auto"/>
              </w:divBdr>
              <w:divsChild>
                <w:div w:id="13418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401204">
      <w:bodyDiv w:val="1"/>
      <w:marLeft w:val="0"/>
      <w:marRight w:val="0"/>
      <w:marTop w:val="0"/>
      <w:marBottom w:val="0"/>
      <w:divBdr>
        <w:top w:val="none" w:sz="0" w:space="0" w:color="auto"/>
        <w:left w:val="none" w:sz="0" w:space="0" w:color="auto"/>
        <w:bottom w:val="none" w:sz="0" w:space="0" w:color="auto"/>
        <w:right w:val="none" w:sz="0" w:space="0" w:color="auto"/>
      </w:divBdr>
    </w:div>
    <w:div w:id="1356269642">
      <w:bodyDiv w:val="1"/>
      <w:marLeft w:val="0"/>
      <w:marRight w:val="0"/>
      <w:marTop w:val="0"/>
      <w:marBottom w:val="0"/>
      <w:divBdr>
        <w:top w:val="none" w:sz="0" w:space="0" w:color="auto"/>
        <w:left w:val="none" w:sz="0" w:space="0" w:color="auto"/>
        <w:bottom w:val="none" w:sz="0" w:space="0" w:color="auto"/>
        <w:right w:val="none" w:sz="0" w:space="0" w:color="auto"/>
      </w:divBdr>
    </w:div>
    <w:div w:id="1409424274">
      <w:bodyDiv w:val="1"/>
      <w:marLeft w:val="0"/>
      <w:marRight w:val="0"/>
      <w:marTop w:val="0"/>
      <w:marBottom w:val="0"/>
      <w:divBdr>
        <w:top w:val="none" w:sz="0" w:space="0" w:color="auto"/>
        <w:left w:val="none" w:sz="0" w:space="0" w:color="auto"/>
        <w:bottom w:val="none" w:sz="0" w:space="0" w:color="auto"/>
        <w:right w:val="none" w:sz="0" w:space="0" w:color="auto"/>
      </w:divBdr>
    </w:div>
    <w:div w:id="1477450227">
      <w:bodyDiv w:val="1"/>
      <w:marLeft w:val="0"/>
      <w:marRight w:val="0"/>
      <w:marTop w:val="0"/>
      <w:marBottom w:val="0"/>
      <w:divBdr>
        <w:top w:val="none" w:sz="0" w:space="0" w:color="auto"/>
        <w:left w:val="none" w:sz="0" w:space="0" w:color="auto"/>
        <w:bottom w:val="none" w:sz="0" w:space="0" w:color="auto"/>
        <w:right w:val="none" w:sz="0" w:space="0" w:color="auto"/>
      </w:divBdr>
      <w:divsChild>
        <w:div w:id="183515686">
          <w:marLeft w:val="0"/>
          <w:marRight w:val="0"/>
          <w:marTop w:val="0"/>
          <w:marBottom w:val="0"/>
          <w:divBdr>
            <w:top w:val="none" w:sz="0" w:space="0" w:color="auto"/>
            <w:left w:val="none" w:sz="0" w:space="0" w:color="auto"/>
            <w:bottom w:val="none" w:sz="0" w:space="0" w:color="auto"/>
            <w:right w:val="none" w:sz="0" w:space="0" w:color="auto"/>
          </w:divBdr>
          <w:divsChild>
            <w:div w:id="105123881">
              <w:marLeft w:val="0"/>
              <w:marRight w:val="0"/>
              <w:marTop w:val="0"/>
              <w:marBottom w:val="0"/>
              <w:divBdr>
                <w:top w:val="none" w:sz="0" w:space="0" w:color="auto"/>
                <w:left w:val="none" w:sz="0" w:space="0" w:color="auto"/>
                <w:bottom w:val="none" w:sz="0" w:space="0" w:color="auto"/>
                <w:right w:val="none" w:sz="0" w:space="0" w:color="auto"/>
              </w:divBdr>
              <w:divsChild>
                <w:div w:id="1185559052">
                  <w:marLeft w:val="0"/>
                  <w:marRight w:val="0"/>
                  <w:marTop w:val="0"/>
                  <w:marBottom w:val="0"/>
                  <w:divBdr>
                    <w:top w:val="none" w:sz="0" w:space="0" w:color="auto"/>
                    <w:left w:val="none" w:sz="0" w:space="0" w:color="auto"/>
                    <w:bottom w:val="none" w:sz="0" w:space="0" w:color="auto"/>
                    <w:right w:val="none" w:sz="0" w:space="0" w:color="auto"/>
                  </w:divBdr>
                  <w:divsChild>
                    <w:div w:id="16667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886">
      <w:bodyDiv w:val="1"/>
      <w:marLeft w:val="0"/>
      <w:marRight w:val="0"/>
      <w:marTop w:val="0"/>
      <w:marBottom w:val="0"/>
      <w:divBdr>
        <w:top w:val="none" w:sz="0" w:space="0" w:color="auto"/>
        <w:left w:val="none" w:sz="0" w:space="0" w:color="auto"/>
        <w:bottom w:val="none" w:sz="0" w:space="0" w:color="auto"/>
        <w:right w:val="none" w:sz="0" w:space="0" w:color="auto"/>
      </w:divBdr>
      <w:divsChild>
        <w:div w:id="2023627934">
          <w:marLeft w:val="0"/>
          <w:marRight w:val="0"/>
          <w:marTop w:val="0"/>
          <w:marBottom w:val="0"/>
          <w:divBdr>
            <w:top w:val="none" w:sz="0" w:space="0" w:color="auto"/>
            <w:left w:val="none" w:sz="0" w:space="0" w:color="auto"/>
            <w:bottom w:val="none" w:sz="0" w:space="0" w:color="auto"/>
            <w:right w:val="none" w:sz="0" w:space="0" w:color="auto"/>
          </w:divBdr>
          <w:divsChild>
            <w:div w:id="87239462">
              <w:marLeft w:val="0"/>
              <w:marRight w:val="0"/>
              <w:marTop w:val="0"/>
              <w:marBottom w:val="0"/>
              <w:divBdr>
                <w:top w:val="none" w:sz="0" w:space="0" w:color="auto"/>
                <w:left w:val="none" w:sz="0" w:space="0" w:color="auto"/>
                <w:bottom w:val="none" w:sz="0" w:space="0" w:color="auto"/>
                <w:right w:val="none" w:sz="0" w:space="0" w:color="auto"/>
              </w:divBdr>
              <w:divsChild>
                <w:div w:id="95128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351943">
      <w:bodyDiv w:val="1"/>
      <w:marLeft w:val="0"/>
      <w:marRight w:val="0"/>
      <w:marTop w:val="0"/>
      <w:marBottom w:val="0"/>
      <w:divBdr>
        <w:top w:val="none" w:sz="0" w:space="0" w:color="auto"/>
        <w:left w:val="none" w:sz="0" w:space="0" w:color="auto"/>
        <w:bottom w:val="none" w:sz="0" w:space="0" w:color="auto"/>
        <w:right w:val="none" w:sz="0" w:space="0" w:color="auto"/>
      </w:divBdr>
      <w:divsChild>
        <w:div w:id="88081728">
          <w:marLeft w:val="0"/>
          <w:marRight w:val="0"/>
          <w:marTop w:val="0"/>
          <w:marBottom w:val="0"/>
          <w:divBdr>
            <w:top w:val="none" w:sz="0" w:space="0" w:color="auto"/>
            <w:left w:val="none" w:sz="0" w:space="0" w:color="auto"/>
            <w:bottom w:val="none" w:sz="0" w:space="0" w:color="auto"/>
            <w:right w:val="none" w:sz="0" w:space="0" w:color="auto"/>
          </w:divBdr>
          <w:divsChild>
            <w:div w:id="708800046">
              <w:marLeft w:val="0"/>
              <w:marRight w:val="0"/>
              <w:marTop w:val="0"/>
              <w:marBottom w:val="0"/>
              <w:divBdr>
                <w:top w:val="none" w:sz="0" w:space="0" w:color="auto"/>
                <w:left w:val="none" w:sz="0" w:space="0" w:color="auto"/>
                <w:bottom w:val="none" w:sz="0" w:space="0" w:color="auto"/>
                <w:right w:val="none" w:sz="0" w:space="0" w:color="auto"/>
              </w:divBdr>
              <w:divsChild>
                <w:div w:id="2019454715">
                  <w:marLeft w:val="0"/>
                  <w:marRight w:val="0"/>
                  <w:marTop w:val="0"/>
                  <w:marBottom w:val="0"/>
                  <w:divBdr>
                    <w:top w:val="none" w:sz="0" w:space="0" w:color="auto"/>
                    <w:left w:val="none" w:sz="0" w:space="0" w:color="auto"/>
                    <w:bottom w:val="none" w:sz="0" w:space="0" w:color="auto"/>
                    <w:right w:val="none" w:sz="0" w:space="0" w:color="auto"/>
                  </w:divBdr>
                  <w:divsChild>
                    <w:div w:id="18268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067077">
      <w:bodyDiv w:val="1"/>
      <w:marLeft w:val="0"/>
      <w:marRight w:val="0"/>
      <w:marTop w:val="0"/>
      <w:marBottom w:val="0"/>
      <w:divBdr>
        <w:top w:val="none" w:sz="0" w:space="0" w:color="auto"/>
        <w:left w:val="none" w:sz="0" w:space="0" w:color="auto"/>
        <w:bottom w:val="none" w:sz="0" w:space="0" w:color="auto"/>
        <w:right w:val="none" w:sz="0" w:space="0" w:color="auto"/>
      </w:divBdr>
    </w:div>
    <w:div w:id="208857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esare.romano@lls.edu"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ites.tufts.edu/filp/files/2023/07/Children-on-the-Margins_Nationality-and-Legal-Identity-in-Northwest-Syria_Report.pdf" TargetMode="External"/><Relationship Id="rId13" Type="http://schemas.openxmlformats.org/officeDocument/2006/relationships/hyperlink" Target="https://constitutionnet.org/sites/default/files/2025-03/2025.03.13%20-%20Constitutional%20declaration%20%28English%29.pdf," TargetMode="External"/><Relationship Id="rId18" Type="http://schemas.openxmlformats.org/officeDocument/2006/relationships/hyperlink" Target="https://www.ohchr.org/en/documents/concluding-observations/cedawcsyrco1-concluding-comments-syrian-arab-republic" TargetMode="External"/><Relationship Id="rId26" Type="http://schemas.openxmlformats.org/officeDocument/2006/relationships/hyperlink" Target="https://www.refworld.org/docid/4d81e7b12.html" TargetMode="External"/><Relationship Id="rId3" Type="http://schemas.openxmlformats.org/officeDocument/2006/relationships/hyperlink" Target="https://www.syrianationality.org/index.php?id=19&amp;utm" TargetMode="External"/><Relationship Id="rId21" Type="http://schemas.openxmlformats.org/officeDocument/2006/relationships/hyperlink" Target="https://treaties.un.org/pages/viewdetails.aspx?src=treaty&amp;mtdsg_no=iv-8&amp;chapter=4&amp;clang=_en" TargetMode="External"/><Relationship Id="rId7" Type="http://schemas.openxmlformats.org/officeDocument/2006/relationships/hyperlink" Target="https://deeply.thenewhumanitarian.org/syria/community/2017/10/12/syria-studying-proposal-to-amend-nationality-law" TargetMode="External"/><Relationship Id="rId12" Type="http://schemas.openxmlformats.org/officeDocument/2006/relationships/hyperlink" Target="https://www.cnn.com/2025/03/13/middleeast/syria-constitution-ap-intl" TargetMode="External"/><Relationship Id="rId17" Type="http://schemas.openxmlformats.org/officeDocument/2006/relationships/hyperlink" Target="https://www.refworld.org/pdfid/4d81e7b12.pdf" TargetMode="External"/><Relationship Id="rId25" Type="http://schemas.openxmlformats.org/officeDocument/2006/relationships/hyperlink" Target="https://www.refworld.org/docid/5db174a44.html" TargetMode="External"/><Relationship Id="rId2" Type="http://schemas.openxmlformats.org/officeDocument/2006/relationships/hyperlink" Target="https://www.lls.edu/academics/centers/internationalhumanrightscenter/" TargetMode="External"/><Relationship Id="rId16" Type="http://schemas.openxmlformats.org/officeDocument/2006/relationships/hyperlink" Target="https://www.unhcr.org/ru/media/end-statelessness-globalactionplan-2019-final-web-pdf" TargetMode="External"/><Relationship Id="rId20" Type="http://schemas.openxmlformats.org/officeDocument/2006/relationships/hyperlink" Target="https://www.refworld.org/docid/50d460c72.html" TargetMode="External"/><Relationship Id="rId1" Type="http://schemas.openxmlformats.org/officeDocument/2006/relationships/hyperlink" Target="https://tbinternet.ohchr.org/_layouts/15/TreatyBodyExternal/Treaty.aspx?CountryID=131&amp;Lang=EN" TargetMode="External"/><Relationship Id="rId6" Type="http://schemas.openxmlformats.org/officeDocument/2006/relationships/hyperlink" Target="https://www.refworld.org/reference/countryrep/tsp/2013/en/96365" TargetMode="External"/><Relationship Id="rId11" Type="http://schemas.openxmlformats.org/officeDocument/2006/relationships/hyperlink" Target="https://digitallibrary.un.org/record/778824?ln=en&amp;v=pdf" TargetMode="External"/><Relationship Id="rId24" Type="http://schemas.openxmlformats.org/officeDocument/2006/relationships/hyperlink" Target="https://statelessjourneys.org/wp-content/uploads/StatelessJourneys-Syria-August-2019.pdf," TargetMode="External"/><Relationship Id="rId5" Type="http://schemas.openxmlformats.org/officeDocument/2006/relationships/hyperlink" Target="https://www.refworld.org/pdfid/4d81e7b12.pdf" TargetMode="External"/><Relationship Id="rId15" Type="http://schemas.openxmlformats.org/officeDocument/2006/relationships/hyperlink" Target="https://www.unhcr.org/news/news-releases/unhcr-welcomes-new-general-recommendation-refugee-and-stateless-women," TargetMode="External"/><Relationship Id="rId23" Type="http://schemas.openxmlformats.org/officeDocument/2006/relationships/hyperlink" Target="https://www.refworld.org/docid/5c8120847.html" TargetMode="External"/><Relationship Id="rId10" Type="http://schemas.openxmlformats.org/officeDocument/2006/relationships/hyperlink" Target="https://www.syrianationality.org/pdf/nationality-documentation-statelessness-syria.pdf" TargetMode="External"/><Relationship Id="rId19" Type="http://schemas.openxmlformats.org/officeDocument/2006/relationships/hyperlink" Target="https://www.ohchr.org/en/statements-and-speeches/2023/06/gendered-impact-conflict-syrian-arab-republic-women-and-girls" TargetMode="External"/><Relationship Id="rId4" Type="http://schemas.openxmlformats.org/officeDocument/2006/relationships/hyperlink" Target="https://www.statelesshub.org/country/syria?utm" TargetMode="External"/><Relationship Id="rId9" Type="http://schemas.openxmlformats.org/officeDocument/2006/relationships/hyperlink" Target="https://www.unrefugees.org/news/syria-refugee-crisis-explained/" TargetMode="External"/><Relationship Id="rId14" Type="http://schemas.openxmlformats.org/officeDocument/2006/relationships/hyperlink" Target="https://euromedrights.org/wp-content/uploads/2017/11/Factsheet_VAW_Syria_EN_Nov2017.pdf" TargetMode="External"/><Relationship Id="rId22" Type="http://schemas.openxmlformats.org/officeDocument/2006/relationships/hyperlink" Target="https://treaties.un.org/pages/viewdetails.aspx?src=treaty&amp;mtdsg_no=iv-8&amp;chapter=4&amp;clang=_en," TargetMode="External"/><Relationship Id="rId27" Type="http://schemas.openxmlformats.org/officeDocument/2006/relationships/hyperlink" Target="https://uprdoc.ohchr.org/uprweb/downloadfile.aspx?filename=9567&amp;file=EnglishTran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8842C-4453-924A-B84D-248B245F7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3362</Words>
  <Characters>19165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 Cesare</dc:creator>
  <cp:keywords/>
  <dc:description/>
  <cp:lastModifiedBy>Mansour, Ninveh</cp:lastModifiedBy>
  <cp:revision>6</cp:revision>
  <dcterms:created xsi:type="dcterms:W3CDTF">2025-06-08T01:03:00Z</dcterms:created>
  <dcterms:modified xsi:type="dcterms:W3CDTF">2025-06-09T02:33:00Z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a000ad0c6397f29da4f191b080804ad390f42a7ff89acc45d08acc7301b1d6b3</vt:lpwstr>
  </property>
</Properties>
</file>