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D7539" w14:paraId="3B772584" w14:textId="77777777">
        <w:trPr>
          <w:cantSplit/>
          <w:trHeight w:hRule="exact" w:val="851"/>
        </w:trPr>
        <w:tc>
          <w:tcPr>
            <w:tcW w:w="1276" w:type="dxa"/>
            <w:tcBorders>
              <w:bottom w:val="single" w:sz="4" w:space="0" w:color="auto"/>
            </w:tcBorders>
            <w:vAlign w:val="bottom"/>
          </w:tcPr>
          <w:p w14:paraId="42FA62C3" w14:textId="77777777" w:rsidR="00BE3C14" w:rsidRDefault="00BE3C14"/>
        </w:tc>
        <w:tc>
          <w:tcPr>
            <w:tcW w:w="2268" w:type="dxa"/>
            <w:tcBorders>
              <w:bottom w:val="single" w:sz="4" w:space="0" w:color="auto"/>
            </w:tcBorders>
            <w:vAlign w:val="bottom"/>
          </w:tcPr>
          <w:p w14:paraId="1AAB9AD9" w14:textId="3430EFA2" w:rsidR="00BE3C14" w:rsidRDefault="00BE3C14">
            <w:pPr>
              <w:spacing w:after="80" w:line="300" w:lineRule="exact"/>
              <w:rPr>
                <w:b/>
                <w:sz w:val="24"/>
                <w:szCs w:val="24"/>
              </w:rPr>
            </w:pPr>
          </w:p>
        </w:tc>
        <w:tc>
          <w:tcPr>
            <w:tcW w:w="6095" w:type="dxa"/>
            <w:gridSpan w:val="2"/>
            <w:tcBorders>
              <w:bottom w:val="single" w:sz="4" w:space="0" w:color="auto"/>
            </w:tcBorders>
            <w:vAlign w:val="bottom"/>
          </w:tcPr>
          <w:p w14:paraId="44603FAA" w14:textId="77FCB176" w:rsidR="00BE3C14" w:rsidRDefault="00BE3C14">
            <w:pPr>
              <w:suppressAutoHyphens w:val="0"/>
              <w:spacing w:after="20"/>
              <w:jc w:val="right"/>
            </w:pPr>
          </w:p>
        </w:tc>
      </w:tr>
      <w:tr w:rsidR="000D7539" w14:paraId="398C689E" w14:textId="77777777">
        <w:trPr>
          <w:cantSplit/>
          <w:trHeight w:hRule="exact" w:val="2835"/>
        </w:trPr>
        <w:tc>
          <w:tcPr>
            <w:tcW w:w="1276" w:type="dxa"/>
            <w:tcBorders>
              <w:top w:val="single" w:sz="4" w:space="0" w:color="auto"/>
              <w:bottom w:val="single" w:sz="12" w:space="0" w:color="auto"/>
            </w:tcBorders>
          </w:tcPr>
          <w:p w14:paraId="64E6FABD" w14:textId="5465E5C1" w:rsidR="00BE3C14" w:rsidRDefault="00BE3C14">
            <w:pPr>
              <w:spacing w:before="120"/>
              <w:jc w:val="center"/>
            </w:pPr>
          </w:p>
        </w:tc>
        <w:tc>
          <w:tcPr>
            <w:tcW w:w="5528" w:type="dxa"/>
            <w:gridSpan w:val="2"/>
            <w:tcBorders>
              <w:top w:val="single" w:sz="4" w:space="0" w:color="auto"/>
              <w:bottom w:val="single" w:sz="12" w:space="0" w:color="auto"/>
            </w:tcBorders>
          </w:tcPr>
          <w:p w14:paraId="0C2E10EF" w14:textId="03C95E41" w:rsidR="00BE3C14" w:rsidRDefault="003B4D4E">
            <w:pPr>
              <w:spacing w:before="120" w:line="380" w:lineRule="exact"/>
            </w:pPr>
            <w:r w:rsidRPr="003B4D4E">
              <w:rPr>
                <w:b/>
                <w:sz w:val="34"/>
                <w:szCs w:val="34"/>
              </w:rPr>
              <w:t>VERSION AVANCÉE NON ÉDITÉE</w:t>
            </w:r>
          </w:p>
        </w:tc>
        <w:tc>
          <w:tcPr>
            <w:tcW w:w="2835" w:type="dxa"/>
            <w:tcBorders>
              <w:top w:val="single" w:sz="4" w:space="0" w:color="auto"/>
              <w:bottom w:val="single" w:sz="12" w:space="0" w:color="auto"/>
            </w:tcBorders>
          </w:tcPr>
          <w:p w14:paraId="781ADC90" w14:textId="0DF7D6EB" w:rsidR="00BE3C14" w:rsidRDefault="00BE3C14">
            <w:pPr>
              <w:suppressAutoHyphens w:val="0"/>
            </w:pPr>
          </w:p>
        </w:tc>
      </w:tr>
    </w:tbl>
    <w:p w14:paraId="5A9639F5" w14:textId="77777777" w:rsidR="00BE3C14" w:rsidRDefault="00643558">
      <w:pPr>
        <w:spacing w:before="120"/>
        <w:rPr>
          <w:b/>
          <w:sz w:val="24"/>
          <w:szCs w:val="24"/>
        </w:rPr>
      </w:pPr>
      <w:r>
        <w:rPr>
          <w:b/>
          <w:sz w:val="24"/>
          <w:szCs w:val="24"/>
        </w:rPr>
        <w:t>Comité contre la torture</w:t>
      </w:r>
    </w:p>
    <w:p w14:paraId="503A4D8F" w14:textId="1AF27DFD" w:rsidR="00BE3C14" w:rsidRDefault="00643558">
      <w:pPr>
        <w:pStyle w:val="HMG"/>
      </w:pPr>
      <w:r>
        <w:tab/>
      </w:r>
      <w:r>
        <w:tab/>
        <w:t xml:space="preserve">Troisième rapport périodique soumis par la Mauritanie en application de l’article 19 de la Convention, attendu en </w:t>
      </w:r>
      <w:r w:rsidRPr="00643558">
        <w:rPr>
          <w:color w:val="000000" w:themeColor="text1"/>
        </w:rPr>
        <w:t>2022</w:t>
      </w:r>
      <w:r w:rsidRPr="00643558">
        <w:rPr>
          <w:rStyle w:val="FootnoteReference"/>
          <w:b w:val="0"/>
          <w:color w:val="000000" w:themeColor="text1"/>
          <w:sz w:val="20"/>
          <w:vertAlign w:val="baseline"/>
        </w:rPr>
        <w:footnoteReference w:customMarkFollows="1" w:id="2"/>
        <w:t>*</w:t>
      </w:r>
    </w:p>
    <w:p w14:paraId="67BE53D1" w14:textId="485FE77F" w:rsidR="00BE3C14" w:rsidRDefault="00643558">
      <w:pPr>
        <w:pStyle w:val="SingleTxtG"/>
        <w:jc w:val="right"/>
      </w:pPr>
      <w:r>
        <w:t>[Date de réception</w:t>
      </w:r>
      <w:r w:rsidR="000F1836">
        <w:t> </w:t>
      </w:r>
      <w:r>
        <w:t xml:space="preserve">: </w:t>
      </w:r>
      <w:r w:rsidR="00DE3B85" w:rsidRPr="00DE3B85">
        <w:rPr>
          <w:color w:val="000000" w:themeColor="text1"/>
        </w:rPr>
        <w:t>23 juin 2025</w:t>
      </w:r>
      <w:r w:rsidRPr="00DE3B85">
        <w:rPr>
          <w:color w:val="000000" w:themeColor="text1"/>
        </w:rPr>
        <w:t>]</w:t>
      </w:r>
    </w:p>
    <w:p w14:paraId="49E02BFE" w14:textId="3C45A11C" w:rsidR="004608F0" w:rsidRDefault="004608F0">
      <w:pPr>
        <w:suppressAutoHyphens w:val="0"/>
        <w:kinsoku/>
        <w:overflowPunct/>
        <w:autoSpaceDE/>
        <w:autoSpaceDN/>
        <w:adjustRightInd/>
        <w:snapToGrid/>
        <w:spacing w:after="200" w:line="276" w:lineRule="auto"/>
        <w:rPr>
          <w:rFonts w:eastAsiaTheme="minorEastAsia"/>
          <w:lang w:eastAsia="zh-CN"/>
        </w:rPr>
      </w:pPr>
      <w:r>
        <w:br w:type="page"/>
      </w:r>
    </w:p>
    <w:p w14:paraId="628E09B6" w14:textId="588CA897" w:rsidR="004608F0" w:rsidRPr="00472C38" w:rsidRDefault="003D2D74" w:rsidP="003D2D74">
      <w:pPr>
        <w:pStyle w:val="H1G"/>
        <w:rPr>
          <w:noProof/>
          <w:sz w:val="28"/>
          <w:szCs w:val="22"/>
          <w:lang w:val="fr-FR"/>
        </w:rPr>
      </w:pPr>
      <w:r w:rsidRPr="00472C38">
        <w:rPr>
          <w:noProof/>
          <w:sz w:val="28"/>
          <w:szCs w:val="22"/>
          <w:lang w:val="fr-FR"/>
        </w:rPr>
        <w:lastRenderedPageBreak/>
        <w:tab/>
        <w:t>I.</w:t>
      </w:r>
      <w:r w:rsidRPr="00472C38">
        <w:rPr>
          <w:noProof/>
          <w:sz w:val="28"/>
          <w:szCs w:val="22"/>
          <w:lang w:val="fr-FR"/>
        </w:rPr>
        <w:tab/>
        <w:t>Introduction</w:t>
      </w:r>
    </w:p>
    <w:p w14:paraId="7E1765B3" w14:textId="77777777" w:rsidR="004608F0" w:rsidRPr="004608F0" w:rsidRDefault="004608F0" w:rsidP="003E6DC7">
      <w:pPr>
        <w:pStyle w:val="SingleTxtG"/>
        <w:numPr>
          <w:ilvl w:val="0"/>
          <w:numId w:val="31"/>
        </w:numPr>
        <w:ind w:left="1134" w:firstLine="0"/>
        <w:rPr>
          <w:lang w:val="fr-FR"/>
        </w:rPr>
      </w:pPr>
      <w:r w:rsidRPr="004608F0">
        <w:rPr>
          <w:lang w:val="fr-FR"/>
        </w:rPr>
        <w:t>La République Islamique de Mauritanie a l’honneur de soumettre au Comité contre la torture, son troisième rapport périodique conformément à l’article 19 de la Convention contre la torture et autres peines ou traitements cruels, inhumains ou dégradants, adoptée par l’Assemblée Générale des Nations Unies, le 10 décembre 1984, à laquelle, la Mauritanie a adhéré le 17 novembre 2004.</w:t>
      </w:r>
    </w:p>
    <w:p w14:paraId="62A56D60" w14:textId="77777777" w:rsidR="004608F0" w:rsidRPr="004608F0" w:rsidRDefault="004608F0" w:rsidP="003E6DC7">
      <w:pPr>
        <w:pStyle w:val="SingleTxtG"/>
        <w:numPr>
          <w:ilvl w:val="0"/>
          <w:numId w:val="31"/>
        </w:numPr>
        <w:ind w:left="1134" w:firstLine="0"/>
        <w:rPr>
          <w:lang w:val="fr-FR"/>
        </w:rPr>
      </w:pPr>
      <w:r w:rsidRPr="004608F0">
        <w:rPr>
          <w:lang w:val="fr-FR"/>
        </w:rPr>
        <w:t>Pour rappel, le Comité contre la torture a examiné le deuxième rapport périodique de la Mauritanie (CAT/C/MRT/2) à ses 1656e et 1659e séances (voir CAT/C/SR.1656 et 1659), les 24 et 25 juillet 2018, et a adopté des observations finales à sa 1672e séance, le 6 août 2018. Aux termes du paragraphe 46 des dites observations, le Comité a invité la Mauritanie à soumettre son troisième rapport périodique dans les délais requis.</w:t>
      </w:r>
    </w:p>
    <w:p w14:paraId="7F61E4B2" w14:textId="77777777" w:rsidR="004608F0" w:rsidRPr="004608F0" w:rsidRDefault="004608F0" w:rsidP="003E6DC7">
      <w:pPr>
        <w:pStyle w:val="SingleTxtG"/>
        <w:numPr>
          <w:ilvl w:val="0"/>
          <w:numId w:val="31"/>
        </w:numPr>
        <w:ind w:left="1134" w:firstLine="0"/>
        <w:rPr>
          <w:lang w:val="fr-FR"/>
        </w:rPr>
      </w:pPr>
      <w:r w:rsidRPr="004608F0">
        <w:rPr>
          <w:lang w:val="fr-FR"/>
        </w:rPr>
        <w:t xml:space="preserve">Le présent rapport a été élaboré par le Commissariat aux Droits de l’Homme, à l’Action humanitaire et aux Relations avec la Société Civile (CDHAHRSC), à travers son Comité technique intersectoriel chargé de l’élaboration des rapports et du suivi des recommandations (CTIERSR), suivant les directives du Comité et les directives générales concernant la forme et le contenu des rapports périodiques. </w:t>
      </w:r>
    </w:p>
    <w:p w14:paraId="698F8549" w14:textId="77777777" w:rsidR="004608F0" w:rsidRDefault="004608F0" w:rsidP="003E6DC7">
      <w:pPr>
        <w:pStyle w:val="SingleTxtG"/>
        <w:numPr>
          <w:ilvl w:val="0"/>
          <w:numId w:val="31"/>
        </w:numPr>
        <w:ind w:left="1134" w:firstLine="0"/>
        <w:rPr>
          <w:lang w:val="fr-FR"/>
        </w:rPr>
      </w:pPr>
      <w:r w:rsidRPr="004608F0">
        <w:rPr>
          <w:lang w:val="fr-FR"/>
        </w:rPr>
        <w:t>Il s’articule autour de trois parties. La première présente des informations générales sur la Mauritanie à savoir le document de base, la seconde traite des faits nouveaux relatifs à l’application des articles de fond (1 à 16) de la Convention et la troisième aborde les mesures prises pour donner suites aux recommandations précédentes du Comité.</w:t>
      </w:r>
    </w:p>
    <w:p w14:paraId="7210A641" w14:textId="77777777" w:rsidR="00D234CB" w:rsidRPr="00EC063E" w:rsidRDefault="00D234CB" w:rsidP="00D234CB">
      <w:pPr>
        <w:pStyle w:val="H1G"/>
        <w:ind w:left="360" w:firstLine="0"/>
        <w:rPr>
          <w:noProof/>
          <w:sz w:val="28"/>
          <w:szCs w:val="28"/>
          <w:lang w:val="fr-FR" w:eastAsia="es-GT"/>
        </w:rPr>
      </w:pPr>
      <w:r w:rsidRPr="000626E9">
        <w:rPr>
          <w:noProof/>
          <w:lang w:val="fr-FR" w:eastAsia="es-GT"/>
        </w:rPr>
        <w:tab/>
      </w:r>
      <w:r w:rsidRPr="00EC063E">
        <w:rPr>
          <w:noProof/>
          <w:sz w:val="28"/>
          <w:szCs w:val="28"/>
          <w:lang w:val="fr-FR" w:eastAsia="es-GT"/>
        </w:rPr>
        <w:t>II.</w:t>
      </w:r>
      <w:r w:rsidRPr="00EC063E">
        <w:rPr>
          <w:noProof/>
          <w:sz w:val="28"/>
          <w:szCs w:val="28"/>
          <w:lang w:val="fr-FR" w:eastAsia="es-GT"/>
        </w:rPr>
        <w:tab/>
        <w:t xml:space="preserve">Réponses à la liste de points </w:t>
      </w:r>
    </w:p>
    <w:p w14:paraId="41F92ED7" w14:textId="1CD96A11" w:rsidR="004608F0" w:rsidRPr="004608F0" w:rsidRDefault="00243954" w:rsidP="00243954">
      <w:pPr>
        <w:pStyle w:val="H23G"/>
        <w:rPr>
          <w:sz w:val="24"/>
          <w:szCs w:val="24"/>
        </w:rPr>
      </w:pPr>
      <w:r>
        <w:rPr>
          <w:sz w:val="24"/>
          <w:szCs w:val="24"/>
        </w:rPr>
        <w:tab/>
      </w:r>
      <w:r>
        <w:rPr>
          <w:sz w:val="24"/>
          <w:szCs w:val="24"/>
        </w:rPr>
        <w:tab/>
      </w:r>
      <w:r w:rsidR="004608F0" w:rsidRPr="004608F0">
        <w:rPr>
          <w:sz w:val="24"/>
          <w:szCs w:val="24"/>
        </w:rPr>
        <w:t>RENSEIGNEMENTS SUR LES MESURES ET FAITS NOUVEAUX TOUCHANT L’APPLICATION DE LA CONVENTION : Articles 1 à 16.</w:t>
      </w:r>
    </w:p>
    <w:p w14:paraId="0F86C879" w14:textId="23373613" w:rsidR="004608F0" w:rsidRPr="004608F0" w:rsidRDefault="00992932" w:rsidP="00243954">
      <w:pPr>
        <w:pStyle w:val="H23G"/>
      </w:pPr>
      <w:r>
        <w:tab/>
      </w:r>
      <w:r>
        <w:tab/>
      </w:r>
      <w:r w:rsidR="004608F0" w:rsidRPr="004608F0">
        <w:t>Article 1 : Définition de la torture</w:t>
      </w:r>
    </w:p>
    <w:p w14:paraId="40C57FAE" w14:textId="77777777" w:rsidR="004608F0" w:rsidRPr="004608F0" w:rsidRDefault="004608F0" w:rsidP="00992932">
      <w:pPr>
        <w:pStyle w:val="SingleTxtG"/>
        <w:numPr>
          <w:ilvl w:val="0"/>
          <w:numId w:val="31"/>
        </w:numPr>
        <w:ind w:left="1134" w:firstLine="0"/>
        <w:rPr>
          <w:lang w:val="fr-FR"/>
        </w:rPr>
      </w:pPr>
      <w:r w:rsidRPr="004608F0">
        <w:rPr>
          <w:lang w:val="fr-FR"/>
        </w:rPr>
        <w:t xml:space="preserve">La Mauritanie a adopté la loi n° 2015-033 du 10 septembre 2015 relative à la lutte contre la torture. Cette loi définit la torture, l’incrimine et la réprime en tant que crime contre l’humanité conformément aux dispositions constitutionnelles. Elle la définit tout en la qualifiant de crime imprescriptible contre l’humanité afin de prévoir la sanction adéquate. La loi intègre les dispositions de la Convention des Nations Unies sur la prévention de la torture et la réparation de ses victimes. </w:t>
      </w:r>
    </w:p>
    <w:p w14:paraId="73C0191D" w14:textId="7AC148FB" w:rsidR="004608F0" w:rsidRPr="004608F0" w:rsidRDefault="00992932" w:rsidP="00992932">
      <w:pPr>
        <w:pStyle w:val="H23G"/>
        <w:rPr>
          <w:lang w:val="fr-FR"/>
        </w:rPr>
      </w:pPr>
      <w:r>
        <w:rPr>
          <w:lang w:val="fr-FR"/>
        </w:rPr>
        <w:tab/>
      </w:r>
      <w:r>
        <w:rPr>
          <w:lang w:val="fr-FR"/>
        </w:rPr>
        <w:tab/>
      </w:r>
      <w:r w:rsidR="004608F0" w:rsidRPr="004608F0">
        <w:rPr>
          <w:lang w:val="fr-FR"/>
        </w:rPr>
        <w:t xml:space="preserve">Article 2 : Mesures législatives, administratives et judiciaires </w:t>
      </w:r>
    </w:p>
    <w:p w14:paraId="2B9064BF" w14:textId="77777777" w:rsidR="004608F0" w:rsidRPr="004608F0" w:rsidRDefault="004608F0" w:rsidP="00E54531">
      <w:pPr>
        <w:pStyle w:val="SingleTxtG"/>
        <w:numPr>
          <w:ilvl w:val="0"/>
          <w:numId w:val="31"/>
        </w:numPr>
        <w:ind w:left="1134" w:firstLine="0"/>
        <w:rPr>
          <w:lang w:val="fr-FR"/>
        </w:rPr>
      </w:pPr>
      <w:r w:rsidRPr="004608F0">
        <w:rPr>
          <w:lang w:val="fr-FR"/>
        </w:rPr>
        <w:t xml:space="preserve">Pour prévenir tout acte de torture, la loi n°2015-033 dans son article 4, a consacré les garanties fondamentales pour les cas suivants : </w:t>
      </w:r>
    </w:p>
    <w:p w14:paraId="5D75CCED" w14:textId="7B0EFF0B" w:rsidR="004608F0" w:rsidRPr="004608F0" w:rsidRDefault="009265F3" w:rsidP="009265F3">
      <w:pPr>
        <w:pStyle w:val="H23G"/>
        <w:rPr>
          <w:lang w:val="fr-FR"/>
        </w:rPr>
      </w:pPr>
      <w:r>
        <w:rPr>
          <w:lang w:val="fr-FR"/>
        </w:rPr>
        <w:tab/>
      </w:r>
      <w:r>
        <w:rPr>
          <w:lang w:val="fr-FR"/>
        </w:rPr>
        <w:tab/>
      </w:r>
      <w:r w:rsidR="004608F0" w:rsidRPr="004608F0">
        <w:rPr>
          <w:lang w:val="fr-FR"/>
        </w:rPr>
        <w:t xml:space="preserve">La privation de liberté, </w:t>
      </w:r>
    </w:p>
    <w:p w14:paraId="0B437C43" w14:textId="77777777" w:rsidR="004608F0" w:rsidRPr="004608F0" w:rsidRDefault="004608F0" w:rsidP="00E54531">
      <w:pPr>
        <w:pStyle w:val="SingleTxtG"/>
        <w:numPr>
          <w:ilvl w:val="0"/>
          <w:numId w:val="31"/>
        </w:numPr>
        <w:ind w:left="1134" w:firstLine="0"/>
        <w:rPr>
          <w:lang w:val="fr-FR"/>
        </w:rPr>
      </w:pPr>
      <w:r w:rsidRPr="004608F0">
        <w:rPr>
          <w:lang w:val="fr-FR"/>
        </w:rPr>
        <w:t xml:space="preserve">Dès l'instant où intervient la privation de liberté d'une personne, des garanties fondamentales doivent être appliquées, notamment : </w:t>
      </w:r>
    </w:p>
    <w:p w14:paraId="3702D9DA" w14:textId="77777777" w:rsidR="004608F0" w:rsidRPr="004608F0" w:rsidRDefault="004608F0" w:rsidP="009265F3">
      <w:pPr>
        <w:pStyle w:val="Bullet1G"/>
        <w:rPr>
          <w:lang w:val="fr-FR"/>
        </w:rPr>
      </w:pPr>
      <w:r w:rsidRPr="004608F0">
        <w:rPr>
          <w:lang w:val="fr-FR"/>
        </w:rPr>
        <w:t xml:space="preserve">Le droit à ce qu'un membre de la famille ou une personne de son choix soit immédiatement informé de sa détention et du lieu de détention ; </w:t>
      </w:r>
    </w:p>
    <w:p w14:paraId="036C4CED" w14:textId="77777777" w:rsidR="004608F0" w:rsidRPr="004608F0" w:rsidRDefault="004608F0" w:rsidP="009265F3">
      <w:pPr>
        <w:pStyle w:val="Bullet1G"/>
        <w:rPr>
          <w:lang w:val="fr-FR"/>
        </w:rPr>
      </w:pPr>
      <w:r w:rsidRPr="004608F0">
        <w:rPr>
          <w:lang w:val="fr-FR"/>
        </w:rPr>
        <w:t xml:space="preserve">Le droit, à sa demande, à un examen par un médecin dès son admission, arrestation ou internement ; </w:t>
      </w:r>
    </w:p>
    <w:p w14:paraId="6CCFD392" w14:textId="21A67498" w:rsidR="004608F0" w:rsidRPr="004608F0" w:rsidRDefault="004608F0" w:rsidP="009265F3">
      <w:pPr>
        <w:pStyle w:val="Bullet1G"/>
        <w:rPr>
          <w:lang w:val="fr-FR"/>
        </w:rPr>
      </w:pPr>
      <w:r w:rsidRPr="004608F0">
        <w:rPr>
          <w:lang w:val="fr-FR"/>
        </w:rPr>
        <w:t>Le droit d’avoir accès à un avocat dès le début de la privation de liberté ou à l'assistance d'une personne de son choix ainsi que la possibilité d’avoir rapidement accès à une aide judiciaire le cas échéant</w:t>
      </w:r>
      <w:r w:rsidR="00D82F1A">
        <w:rPr>
          <w:lang w:val="fr-FR"/>
        </w:rPr>
        <w:t> ;</w:t>
      </w:r>
      <w:r w:rsidRPr="004608F0">
        <w:rPr>
          <w:lang w:val="fr-FR"/>
        </w:rPr>
        <w:t xml:space="preserve"> </w:t>
      </w:r>
    </w:p>
    <w:p w14:paraId="7BF48012" w14:textId="77777777" w:rsidR="004608F0" w:rsidRPr="004608F0" w:rsidRDefault="004608F0" w:rsidP="009265F3">
      <w:pPr>
        <w:pStyle w:val="Bullet1G"/>
        <w:rPr>
          <w:lang w:val="fr-FR"/>
        </w:rPr>
      </w:pPr>
      <w:r w:rsidRPr="004608F0">
        <w:rPr>
          <w:lang w:val="fr-FR"/>
        </w:rPr>
        <w:t xml:space="preserve">Le droit d’être présentée sans délai à un juge et de faire examiner par un tribunal la légalité de sa détention, conformément aux lois en vigueur ; </w:t>
      </w:r>
    </w:p>
    <w:p w14:paraId="6DE23270" w14:textId="77777777" w:rsidR="004608F0" w:rsidRPr="004608F0" w:rsidRDefault="004608F0" w:rsidP="009265F3">
      <w:pPr>
        <w:pStyle w:val="Bullet1G"/>
        <w:rPr>
          <w:lang w:val="fr-FR"/>
        </w:rPr>
      </w:pPr>
      <w:r w:rsidRPr="004608F0">
        <w:rPr>
          <w:lang w:val="fr-FR"/>
        </w:rPr>
        <w:lastRenderedPageBreak/>
        <w:t xml:space="preserve">Le droit d'être informée dans une langue qu’elle comprend, des droits ci-dessus énumérés ainsi que la possibilité de solliciter l’aide judiciaire ; </w:t>
      </w:r>
    </w:p>
    <w:p w14:paraId="19B5F54A" w14:textId="77777777" w:rsidR="004608F0" w:rsidRPr="004608F0" w:rsidRDefault="004608F0" w:rsidP="009265F3">
      <w:pPr>
        <w:pStyle w:val="Bullet1G"/>
        <w:rPr>
          <w:lang w:val="fr-FR"/>
        </w:rPr>
      </w:pPr>
      <w:r w:rsidRPr="004608F0">
        <w:rPr>
          <w:lang w:val="fr-FR"/>
        </w:rPr>
        <w:t>L’obligation pour l’autorité de détention de tenir un registre à jour, indiquant notamment l’identité et l’état physique et sanitaire de la personne privée de liberté, la date, l’heure et le motif de la privation de liberté, l’autorité qui a procédé à la privation de liberté, la date et l’heure de la libération ou du transfert vers un autre lieu de détention, la destination et l’autorité chargée du transfert. L’inobservation de ces garanties fera l’objet de sanctions disciplinaires ou de poursuites pénales s’il y a lieu.</w:t>
      </w:r>
    </w:p>
    <w:p w14:paraId="748FE26F" w14:textId="77777777" w:rsidR="004608F0" w:rsidRPr="004608F0" w:rsidRDefault="004608F0" w:rsidP="00FE2856">
      <w:pPr>
        <w:pStyle w:val="SingleTxtG"/>
        <w:numPr>
          <w:ilvl w:val="0"/>
          <w:numId w:val="31"/>
        </w:numPr>
        <w:ind w:left="1134" w:firstLine="0"/>
        <w:rPr>
          <w:lang w:val="fr-FR"/>
        </w:rPr>
      </w:pPr>
      <w:r w:rsidRPr="004608F0">
        <w:rPr>
          <w:lang w:val="fr-FR"/>
        </w:rPr>
        <w:t>En outre, l’article 58 du Code de procédure pénale prévoit que toute personne privée de liberté en vertu d’une arrestation ou détention ou toute autres formes de privation de liberté doit être traitée conformément au respect de la dignité humaine. Il est interdit de la maltraiter moralement ou physiquement ou de la détenir hors des lieux prévus légalement à cet effet.</w:t>
      </w:r>
    </w:p>
    <w:p w14:paraId="4EEEB243" w14:textId="06CBEF38" w:rsidR="004608F0" w:rsidRPr="004608F0" w:rsidRDefault="004608F0" w:rsidP="00FE2856">
      <w:pPr>
        <w:pStyle w:val="H23G"/>
        <w:rPr>
          <w:lang w:val="fr-FR"/>
        </w:rPr>
      </w:pPr>
      <w:r w:rsidRPr="004608F0">
        <w:rPr>
          <w:lang w:val="fr-FR"/>
        </w:rPr>
        <w:t xml:space="preserve"> </w:t>
      </w:r>
      <w:r w:rsidR="00FE2856">
        <w:rPr>
          <w:lang w:val="fr-FR"/>
        </w:rPr>
        <w:tab/>
      </w:r>
      <w:r w:rsidR="00FE2856">
        <w:rPr>
          <w:lang w:val="fr-FR"/>
        </w:rPr>
        <w:tab/>
      </w:r>
      <w:r w:rsidRPr="004608F0">
        <w:rPr>
          <w:lang w:val="fr-FR"/>
        </w:rPr>
        <w:t>La détention illégale</w:t>
      </w:r>
    </w:p>
    <w:p w14:paraId="36398A95" w14:textId="77777777" w:rsidR="004608F0" w:rsidRPr="004608F0" w:rsidRDefault="004608F0" w:rsidP="00FE2856">
      <w:pPr>
        <w:pStyle w:val="SingleTxtG"/>
        <w:numPr>
          <w:ilvl w:val="0"/>
          <w:numId w:val="31"/>
        </w:numPr>
        <w:ind w:left="1134" w:firstLine="0"/>
        <w:rPr>
          <w:lang w:val="fr-FR"/>
        </w:rPr>
      </w:pPr>
      <w:r w:rsidRPr="004608F0">
        <w:rPr>
          <w:lang w:val="fr-FR"/>
        </w:rPr>
        <w:t xml:space="preserve">L’article 649 du Code de procédure pénale précise que « Nul régisseur de prison ne peut, à peine d’être poursuivi et puni comme coupable de détention arbitraire, recevoir ni détenir aucune personne qu’en vertu d’un arrêt ou jugement de condamnation, d’un mandat de dépôt ou d’arrêt, d’un mandat d’amener, lorsque ce mandat doit être suivi d’incarcération provisoire, d’un ordre d’arrestation ou d’un billet d’écrou établi conformément à la loi». </w:t>
      </w:r>
    </w:p>
    <w:p w14:paraId="58865297" w14:textId="77777777" w:rsidR="004608F0" w:rsidRPr="004608F0" w:rsidRDefault="004608F0" w:rsidP="00FE2856">
      <w:pPr>
        <w:pStyle w:val="SingleTxtG"/>
        <w:numPr>
          <w:ilvl w:val="0"/>
          <w:numId w:val="31"/>
        </w:numPr>
        <w:ind w:left="1134" w:firstLine="0"/>
        <w:rPr>
          <w:lang w:val="fr-FR"/>
        </w:rPr>
      </w:pPr>
      <w:r w:rsidRPr="004608F0">
        <w:rPr>
          <w:lang w:val="fr-FR"/>
        </w:rPr>
        <w:t xml:space="preserve">En outre, la détention d'une personne dans tout lieu autre que ceux prévus par les lois est interdite et qualifiée par la loi de détention au secret et puni comme tel de la réclusion de 10 ans à 20 ans, conformément à l’article 13 de la loi n°2015-033. </w:t>
      </w:r>
    </w:p>
    <w:p w14:paraId="341B4A3E" w14:textId="5F3E0C1B" w:rsidR="004608F0" w:rsidRPr="004608F0" w:rsidRDefault="00FE2856" w:rsidP="00FE2856">
      <w:pPr>
        <w:pStyle w:val="H23G"/>
        <w:rPr>
          <w:lang w:val="fr-FR"/>
        </w:rPr>
      </w:pPr>
      <w:r>
        <w:rPr>
          <w:lang w:val="fr-FR"/>
        </w:rPr>
        <w:tab/>
      </w:r>
      <w:r>
        <w:rPr>
          <w:lang w:val="fr-FR"/>
        </w:rPr>
        <w:tab/>
      </w:r>
      <w:r w:rsidR="004608F0" w:rsidRPr="004608F0">
        <w:rPr>
          <w:lang w:val="fr-FR"/>
        </w:rPr>
        <w:t>La valeur de la déclaration sous la torture</w:t>
      </w:r>
    </w:p>
    <w:p w14:paraId="15FBE8C5" w14:textId="77777777" w:rsidR="004608F0" w:rsidRPr="004608F0" w:rsidRDefault="004608F0" w:rsidP="00FE2856">
      <w:pPr>
        <w:pStyle w:val="SingleTxtG"/>
        <w:numPr>
          <w:ilvl w:val="0"/>
          <w:numId w:val="31"/>
        </w:numPr>
        <w:ind w:left="1134" w:firstLine="0"/>
        <w:rPr>
          <w:lang w:val="fr-FR"/>
        </w:rPr>
      </w:pPr>
      <w:r w:rsidRPr="004608F0">
        <w:rPr>
          <w:lang w:val="fr-FR"/>
        </w:rPr>
        <w:t>Selon l’article 6 de la loi n°2015-033, toute déclaration dont il est établi qu'elle a été obtenue par l’usage de la torture, ne peut être invoquée comme élément de preuve dans une procédure si ce n'est pour établir la preuve de torture contre la personne accusée pour ce fait. En outre, l’article préliminaire du Code de procédure pénale (CPP) prévoit que l’aveu obtenu par la torture, la violence ou la contrainte n’a pas de valeur.</w:t>
      </w:r>
    </w:p>
    <w:p w14:paraId="7C1D828A" w14:textId="798D14E4" w:rsidR="004608F0" w:rsidRPr="004608F0" w:rsidRDefault="00FE2856" w:rsidP="00FE2856">
      <w:pPr>
        <w:pStyle w:val="H23G"/>
        <w:rPr>
          <w:lang w:val="fr-FR"/>
        </w:rPr>
      </w:pPr>
      <w:r>
        <w:rPr>
          <w:lang w:val="fr-FR"/>
        </w:rPr>
        <w:tab/>
      </w:r>
      <w:r>
        <w:rPr>
          <w:lang w:val="fr-FR"/>
        </w:rPr>
        <w:tab/>
      </w:r>
      <w:r w:rsidR="004608F0" w:rsidRPr="004608F0">
        <w:rPr>
          <w:lang w:val="fr-FR"/>
        </w:rPr>
        <w:t>Le contrôle de la détention.</w:t>
      </w:r>
    </w:p>
    <w:p w14:paraId="1325D216" w14:textId="77777777" w:rsidR="004608F0" w:rsidRPr="004608F0" w:rsidRDefault="004608F0" w:rsidP="00FE2856">
      <w:pPr>
        <w:pStyle w:val="SingleTxtG"/>
        <w:numPr>
          <w:ilvl w:val="0"/>
          <w:numId w:val="31"/>
        </w:numPr>
        <w:ind w:left="1134" w:firstLine="0"/>
        <w:rPr>
          <w:lang w:val="fr-FR"/>
        </w:rPr>
      </w:pPr>
      <w:r w:rsidRPr="004608F0">
        <w:rPr>
          <w:lang w:val="fr-FR"/>
        </w:rPr>
        <w:t xml:space="preserve">Le contrôle de la détention est confié aux organes habilités à cet effet par la législation en vigueur. Aux termes de l’article 59 du CPP, tout officier de police judiciaire tient, dans tous les lieux de garde à vue, un registre côté et paraphé par le procureur de la République. L’identité de la personne gardée à vue, les causes de la garde à vue, l’heure à laquelle elle a débuté et celle à laquelle elle a pris fin, la durée de l’interrogatoire, les heures de repos, l’état physique et sanitaire de la personne arrêtée et l’alimentation qui lui est fournie, sont portées sur ce registre, qui est présenté au procureur de la République pour visa au moins une fois par mois. Aussi, le procureur de la République ou son substitut peut consulter ce registre à tout moment et au cours des visites qu’il effectue aux services d’enquête pour s’enquérir des conditions des lieux de garde à vue et des personnes qui y sont retenues. </w:t>
      </w:r>
    </w:p>
    <w:p w14:paraId="2CF9437A" w14:textId="77777777" w:rsidR="004608F0" w:rsidRPr="004608F0" w:rsidRDefault="004608F0" w:rsidP="00FE2856">
      <w:pPr>
        <w:pStyle w:val="SingleTxtG"/>
        <w:numPr>
          <w:ilvl w:val="0"/>
          <w:numId w:val="31"/>
        </w:numPr>
        <w:ind w:left="1134" w:firstLine="0"/>
        <w:rPr>
          <w:lang w:val="fr-FR"/>
        </w:rPr>
      </w:pPr>
      <w:r w:rsidRPr="004608F0">
        <w:rPr>
          <w:lang w:val="fr-FR"/>
        </w:rPr>
        <w:t xml:space="preserve">Aux termes de l’article 648 du même code, tout établissement pénitentiaire est pourvu d’un registre d’écrou signé et paraphé à toutes les pages par le procureur de la République. Parallèlement à ce registre, les grands établissements pénitentiaires (Dar-Naim, Centrale, Riyadh, Nouadhibou, Aleg et </w:t>
      </w:r>
      <w:proofErr w:type="spellStart"/>
      <w:r w:rsidRPr="004608F0">
        <w:rPr>
          <w:lang w:val="fr-FR"/>
        </w:rPr>
        <w:t>Nbeika</w:t>
      </w:r>
      <w:proofErr w:type="spellEnd"/>
      <w:r w:rsidRPr="004608F0">
        <w:rPr>
          <w:lang w:val="fr-FR"/>
        </w:rPr>
        <w:t xml:space="preserve">) sont dotés d’applications informatiques de gestion automatisée des situations pénales des détenus. Ces applications sont en voie d’interconnexion au niveau central avec la direction générale chargée de l’administration pénitentiaire. </w:t>
      </w:r>
    </w:p>
    <w:p w14:paraId="719E5C9C" w14:textId="77777777" w:rsidR="004608F0" w:rsidRPr="004608F0" w:rsidRDefault="004608F0" w:rsidP="00FE2856">
      <w:pPr>
        <w:pStyle w:val="SingleTxtG"/>
        <w:numPr>
          <w:ilvl w:val="0"/>
          <w:numId w:val="31"/>
        </w:numPr>
        <w:ind w:left="1134" w:firstLine="0"/>
        <w:rPr>
          <w:lang w:val="fr-FR"/>
        </w:rPr>
      </w:pPr>
      <w:r w:rsidRPr="004608F0">
        <w:rPr>
          <w:lang w:val="fr-FR"/>
        </w:rPr>
        <w:t xml:space="preserve">Conformément aux article 220, 638 du CPP et 13 du décret n°98-078 portant organisation et fonctionnement des établissements pénitentiaires, les présidents des chambres d’accusation, les procureurs généraux près les cours d’appel, les juges d’instruction, les juges d’exécution des peines et les procureurs de la République visitent régulièrement les établissements pénitentiaires de leurs ressorts. Ces visites sont sanctionnées de rapports qu’ils adressent au ministre de la Justice. </w:t>
      </w:r>
    </w:p>
    <w:p w14:paraId="6353BCD6" w14:textId="77777777" w:rsidR="004608F0" w:rsidRPr="004608F0" w:rsidRDefault="004608F0" w:rsidP="00FE2856">
      <w:pPr>
        <w:pStyle w:val="SingleTxtG"/>
        <w:numPr>
          <w:ilvl w:val="0"/>
          <w:numId w:val="31"/>
        </w:numPr>
        <w:ind w:left="1134" w:firstLine="0"/>
        <w:rPr>
          <w:lang w:val="fr-FR"/>
        </w:rPr>
      </w:pPr>
      <w:r w:rsidRPr="004608F0">
        <w:rPr>
          <w:lang w:val="fr-FR"/>
        </w:rPr>
        <w:t xml:space="preserve">Les institutions nationales des droits de l’homme, notamment le Commission Nationale des Droits de l’Homme (CNDH) et le Mécanisme National de Prévention de la Torture (MNP) et l’Observatoire National des Droits de la Femme et de la Fille (ONDFF) effectuent régulièrement des visites dans tous les lieux susceptibles de recevoir des personnes privées de liberté. Ces institutions ont droit d’effectuer des visites en tout lieu et à tout moment, y compris de façon inopinée. </w:t>
      </w:r>
    </w:p>
    <w:p w14:paraId="1E805ACD" w14:textId="77777777" w:rsidR="004608F0" w:rsidRPr="004608F0" w:rsidRDefault="004608F0" w:rsidP="00FE2856">
      <w:pPr>
        <w:pStyle w:val="SingleTxtG"/>
        <w:numPr>
          <w:ilvl w:val="0"/>
          <w:numId w:val="31"/>
        </w:numPr>
        <w:ind w:left="1134" w:firstLine="0"/>
        <w:rPr>
          <w:lang w:val="fr-FR"/>
        </w:rPr>
      </w:pPr>
      <w:r w:rsidRPr="004608F0">
        <w:rPr>
          <w:lang w:val="fr-FR"/>
        </w:rPr>
        <w:t>Les commissions de contrôle des établissements pénitentiaires, instituées en vertu de l’article 14 du décret n°98-078 portant organisation et fonctionnement des établissements pénitentiaires, contrôlent les prisons, notamment en ce qui concerne la salubrité, la sécurité, le régime alimentaire, le service de santé, le travail pénal, la discipline et l’observation des règlements.</w:t>
      </w:r>
    </w:p>
    <w:p w14:paraId="3D282405" w14:textId="77777777" w:rsidR="004608F0" w:rsidRPr="004608F0" w:rsidRDefault="004608F0" w:rsidP="00FE2856">
      <w:pPr>
        <w:pStyle w:val="SingleTxtG"/>
        <w:numPr>
          <w:ilvl w:val="0"/>
          <w:numId w:val="31"/>
        </w:numPr>
        <w:ind w:left="1134" w:firstLine="0"/>
        <w:rPr>
          <w:lang w:val="fr-FR"/>
        </w:rPr>
      </w:pPr>
      <w:r w:rsidRPr="004608F0">
        <w:rPr>
          <w:lang w:val="fr-FR"/>
        </w:rPr>
        <w:t>Conformément à l’article 58 du décret n°70-153, tout détenu peut demander à être entendu par les magistrats et fonctionnaires chargés de l’inspection ou de la visite de l’établissement, hors la présence de tout membre du personnel de la prison.</w:t>
      </w:r>
    </w:p>
    <w:p w14:paraId="47FA9A79" w14:textId="4D1843BD" w:rsidR="004608F0" w:rsidRPr="004608F0" w:rsidRDefault="00FE2856" w:rsidP="00FE2856">
      <w:pPr>
        <w:pStyle w:val="H23G"/>
        <w:rPr>
          <w:lang w:val="fr-FR"/>
        </w:rPr>
      </w:pPr>
      <w:r>
        <w:rPr>
          <w:lang w:val="fr-FR"/>
        </w:rPr>
        <w:tab/>
      </w:r>
      <w:r>
        <w:rPr>
          <w:lang w:val="fr-FR"/>
        </w:rPr>
        <w:tab/>
      </w:r>
      <w:r w:rsidR="004608F0" w:rsidRPr="004608F0">
        <w:rPr>
          <w:lang w:val="fr-FR"/>
        </w:rPr>
        <w:t>Non justification de la torture</w:t>
      </w:r>
    </w:p>
    <w:p w14:paraId="7404F8CF" w14:textId="77777777" w:rsidR="004608F0" w:rsidRPr="004608F0" w:rsidRDefault="004608F0" w:rsidP="00FE2856">
      <w:pPr>
        <w:pStyle w:val="SingleTxtG"/>
        <w:numPr>
          <w:ilvl w:val="0"/>
          <w:numId w:val="31"/>
        </w:numPr>
        <w:ind w:left="1134" w:firstLine="0"/>
        <w:rPr>
          <w:lang w:val="fr-FR"/>
        </w:rPr>
      </w:pPr>
      <w:r w:rsidRPr="004608F0">
        <w:rPr>
          <w:lang w:val="fr-FR"/>
        </w:rPr>
        <w:t xml:space="preserve">L’article 14 de la loi n°2015-033, précise qu’aucune circonstance exceptionnelle, quelle qu’elle soit, qu’il s’agisse de l’état de guerre, de l’état d’urgence ou de tout autre situation d’exception ni même l’ordre du supérieur ne peuvent être invoqués, pour justifier la torture, </w:t>
      </w:r>
    </w:p>
    <w:p w14:paraId="7DCA09C4" w14:textId="593EBF23" w:rsidR="004608F0" w:rsidRPr="004608F0" w:rsidRDefault="004B2534" w:rsidP="004B2534">
      <w:pPr>
        <w:pStyle w:val="H23G"/>
        <w:rPr>
          <w:lang w:val="fr-FR"/>
        </w:rPr>
      </w:pPr>
      <w:r>
        <w:rPr>
          <w:lang w:val="fr-FR"/>
        </w:rPr>
        <w:tab/>
      </w:r>
      <w:r>
        <w:rPr>
          <w:lang w:val="fr-FR"/>
        </w:rPr>
        <w:tab/>
      </w:r>
      <w:r w:rsidR="004608F0" w:rsidRPr="004608F0">
        <w:rPr>
          <w:lang w:val="fr-FR"/>
        </w:rPr>
        <w:t>Article 3 : Interdiction de l’expulsion, du renvoi ou de l’extradition</w:t>
      </w:r>
    </w:p>
    <w:p w14:paraId="4AE5AC0C" w14:textId="77777777" w:rsidR="004608F0" w:rsidRPr="004608F0" w:rsidRDefault="004608F0" w:rsidP="004B2534">
      <w:pPr>
        <w:pStyle w:val="SingleTxtG"/>
        <w:numPr>
          <w:ilvl w:val="0"/>
          <w:numId w:val="31"/>
        </w:numPr>
        <w:ind w:left="1134" w:firstLine="0"/>
        <w:rPr>
          <w:lang w:val="fr-FR"/>
        </w:rPr>
      </w:pPr>
      <w:r w:rsidRPr="004608F0">
        <w:rPr>
          <w:lang w:val="fr-FR"/>
        </w:rPr>
        <w:t xml:space="preserve">La loi 2015-033 en son article 18, interdit le refoulement, l’expulsion, et l’extradition vers un pays si la personne concernée risque d’y être torturée. « Sans préjudice des principes régissant la procédure d'extradition, nul ne sera expulsé, refoulé ou extradé vers un </w:t>
      </w:r>
      <w:proofErr w:type="spellStart"/>
      <w:r w:rsidRPr="004608F0">
        <w:rPr>
          <w:lang w:val="fr-FR"/>
        </w:rPr>
        <w:t>Etat</w:t>
      </w:r>
      <w:proofErr w:type="spellEnd"/>
      <w:r w:rsidRPr="004608F0">
        <w:rPr>
          <w:lang w:val="fr-FR"/>
        </w:rPr>
        <w:t xml:space="preserve"> où il encourt le risque d'être soumis à la torture ».</w:t>
      </w:r>
    </w:p>
    <w:p w14:paraId="68062E56" w14:textId="77777777" w:rsidR="004608F0" w:rsidRPr="004608F0" w:rsidRDefault="004608F0" w:rsidP="004B2534">
      <w:pPr>
        <w:pStyle w:val="SingleTxtG"/>
        <w:numPr>
          <w:ilvl w:val="0"/>
          <w:numId w:val="31"/>
        </w:numPr>
        <w:ind w:left="1134" w:firstLine="0"/>
        <w:rPr>
          <w:lang w:val="fr-FR"/>
        </w:rPr>
      </w:pPr>
      <w:r w:rsidRPr="004608F0">
        <w:rPr>
          <w:lang w:val="fr-FR"/>
        </w:rPr>
        <w:t xml:space="preserve">Dans ce cas de figure, les juridictions mauritaniennes sont compétentes pour le juger sur les faits faisant l’objet de l’extradition si ceux-ci sont prévus et punis par la législation en vigueur en Mauritanie ou s’ils constituent un crime international. </w:t>
      </w:r>
    </w:p>
    <w:p w14:paraId="502C7B3F" w14:textId="3FC02EFF" w:rsidR="004608F0" w:rsidRPr="004608F0" w:rsidRDefault="004B2534" w:rsidP="004B2534">
      <w:pPr>
        <w:pStyle w:val="H23G"/>
        <w:rPr>
          <w:lang w:val="fr-FR"/>
        </w:rPr>
      </w:pPr>
      <w:r>
        <w:rPr>
          <w:lang w:val="fr-FR"/>
        </w:rPr>
        <w:tab/>
      </w:r>
      <w:r>
        <w:rPr>
          <w:lang w:val="fr-FR"/>
        </w:rPr>
        <w:tab/>
      </w:r>
      <w:r w:rsidR="004608F0" w:rsidRPr="004608F0">
        <w:rPr>
          <w:lang w:val="fr-FR"/>
        </w:rPr>
        <w:t>Article 4 : Dispositions relatives à la torture</w:t>
      </w:r>
    </w:p>
    <w:p w14:paraId="55811034" w14:textId="77777777" w:rsidR="004608F0" w:rsidRPr="004608F0" w:rsidRDefault="004608F0" w:rsidP="004B2534">
      <w:pPr>
        <w:pStyle w:val="SingleTxtG"/>
        <w:numPr>
          <w:ilvl w:val="0"/>
          <w:numId w:val="31"/>
        </w:numPr>
        <w:ind w:left="1134" w:firstLine="0"/>
        <w:rPr>
          <w:lang w:val="fr-FR"/>
        </w:rPr>
      </w:pPr>
      <w:r w:rsidRPr="004608F0">
        <w:rPr>
          <w:lang w:val="fr-FR"/>
        </w:rPr>
        <w:t xml:space="preserve">La loi 2015-033 réprime la torture en tant que crime contre l’humanité conformément aux dispositions constitutionnelles. Elle la définit tout en la qualifiant de crime imprescriptible contre l’humanité afin de prévoir la sanction adéquate. </w:t>
      </w:r>
    </w:p>
    <w:p w14:paraId="53577F72" w14:textId="77777777" w:rsidR="004608F0" w:rsidRPr="004608F0" w:rsidRDefault="004608F0" w:rsidP="004B2534">
      <w:pPr>
        <w:pStyle w:val="SingleTxtG"/>
        <w:numPr>
          <w:ilvl w:val="0"/>
          <w:numId w:val="31"/>
        </w:numPr>
        <w:ind w:left="1134" w:firstLine="0"/>
        <w:rPr>
          <w:lang w:val="fr-FR"/>
        </w:rPr>
      </w:pPr>
      <w:r w:rsidRPr="004608F0">
        <w:rPr>
          <w:lang w:val="fr-FR"/>
        </w:rPr>
        <w:t>Les autorités judiciaires compétentes initient immédiatement une enquête impartiale chaque fois qu'il existe des motifs raisonnables de croire qu'un acte de torture ou de mauvais traitements a été tenté ou commis dans leur juridiction et ce même en l’absence de plainte. La saisine des autorités compétentes est ouverte à quiconque prétend avoir été soumis à la torture. Celles-ci procèdent immédiatement et impartialement à l'examen de sa cause.</w:t>
      </w:r>
    </w:p>
    <w:p w14:paraId="5EC1091C" w14:textId="77777777" w:rsidR="004608F0" w:rsidRPr="004608F0" w:rsidRDefault="004608F0" w:rsidP="004B2534">
      <w:pPr>
        <w:pStyle w:val="SingleTxtG"/>
        <w:numPr>
          <w:ilvl w:val="0"/>
          <w:numId w:val="31"/>
        </w:numPr>
        <w:ind w:left="1134" w:firstLine="0"/>
        <w:rPr>
          <w:lang w:val="fr-FR"/>
        </w:rPr>
      </w:pPr>
      <w:r w:rsidRPr="004608F0">
        <w:rPr>
          <w:lang w:val="fr-FR"/>
        </w:rPr>
        <w:t xml:space="preserve">La peine encourue par celui qui commet l’acte de torture est de dix (10) à vingt (20) ans de réclusion. Les complices et les </w:t>
      </w:r>
      <w:proofErr w:type="spellStart"/>
      <w:r w:rsidRPr="004608F0">
        <w:rPr>
          <w:lang w:val="fr-FR"/>
        </w:rPr>
        <w:t>coauteurs</w:t>
      </w:r>
      <w:proofErr w:type="spellEnd"/>
      <w:r w:rsidRPr="004608F0">
        <w:rPr>
          <w:lang w:val="fr-FR"/>
        </w:rPr>
        <w:t xml:space="preserve"> d’actes constitutifs de peines ou traitements cruels, inhumains ou dégradants encourent les mêmes peines.</w:t>
      </w:r>
    </w:p>
    <w:p w14:paraId="2E876910" w14:textId="77777777" w:rsidR="004608F0" w:rsidRPr="004608F0" w:rsidRDefault="004608F0" w:rsidP="004B2534">
      <w:pPr>
        <w:pStyle w:val="SingleTxtG"/>
        <w:numPr>
          <w:ilvl w:val="0"/>
          <w:numId w:val="31"/>
        </w:numPr>
        <w:ind w:left="1134" w:firstLine="0"/>
        <w:rPr>
          <w:lang w:val="fr-FR"/>
        </w:rPr>
      </w:pPr>
      <w:r w:rsidRPr="004608F0">
        <w:rPr>
          <w:lang w:val="fr-FR"/>
        </w:rPr>
        <w:t xml:space="preserve">La peine est aggravée de douze (12) à vingt-quatre (24) ans de réclusion si : </w:t>
      </w:r>
    </w:p>
    <w:p w14:paraId="1BD66840" w14:textId="77777777" w:rsidR="004608F0" w:rsidRPr="004608F0" w:rsidRDefault="004608F0" w:rsidP="004B2534">
      <w:pPr>
        <w:pStyle w:val="Bullet1G"/>
      </w:pPr>
      <w:r w:rsidRPr="004608F0">
        <w:t xml:space="preserve">l'acte de torture a été commis sur un mineur ou sur une femme enceinte ; </w:t>
      </w:r>
    </w:p>
    <w:p w14:paraId="0B6A2623" w14:textId="77777777" w:rsidR="004608F0" w:rsidRPr="004608F0" w:rsidRDefault="004608F0" w:rsidP="004B2534">
      <w:pPr>
        <w:pStyle w:val="Bullet1G"/>
      </w:pPr>
      <w:r w:rsidRPr="004608F0">
        <w:t xml:space="preserve">l'acte de torture a été commis à l'aide d'appareils spécifiquement destinés à la torture. </w:t>
      </w:r>
    </w:p>
    <w:p w14:paraId="0245B9C0" w14:textId="77777777" w:rsidR="004608F0" w:rsidRPr="004608F0" w:rsidRDefault="004608F0" w:rsidP="004B2534">
      <w:pPr>
        <w:pStyle w:val="SingleTxtG"/>
        <w:numPr>
          <w:ilvl w:val="0"/>
          <w:numId w:val="31"/>
        </w:numPr>
        <w:ind w:left="1134" w:firstLine="0"/>
        <w:rPr>
          <w:lang w:val="fr-FR"/>
        </w:rPr>
      </w:pPr>
      <w:r w:rsidRPr="004608F0">
        <w:rPr>
          <w:lang w:val="fr-FR"/>
        </w:rPr>
        <w:t xml:space="preserve">La peine encourue est de trente (30) ans de réclusion : </w:t>
      </w:r>
    </w:p>
    <w:p w14:paraId="47F3B498" w14:textId="77777777" w:rsidR="004608F0" w:rsidRPr="004608F0" w:rsidRDefault="004608F0" w:rsidP="00B16A52">
      <w:pPr>
        <w:pStyle w:val="Bullet1G"/>
      </w:pPr>
      <w:r w:rsidRPr="004608F0">
        <w:t>si l'acte de torture a entraîné l'infirmité totale ou partielle de la victime ;</w:t>
      </w:r>
    </w:p>
    <w:p w14:paraId="6B640DC0" w14:textId="77777777" w:rsidR="004608F0" w:rsidRPr="004608F0" w:rsidRDefault="004608F0" w:rsidP="00B16A52">
      <w:pPr>
        <w:pStyle w:val="Bullet1G"/>
      </w:pPr>
      <w:r w:rsidRPr="004608F0">
        <w:t>si l’acte de torture a été suivi de mutilation, privation de l’usage d’un organe des sens, de la perte de l’organe de reproduction.</w:t>
      </w:r>
    </w:p>
    <w:p w14:paraId="78706A1E" w14:textId="77777777" w:rsidR="004608F0" w:rsidRPr="004608F0" w:rsidRDefault="004608F0" w:rsidP="00203413">
      <w:pPr>
        <w:pStyle w:val="SingleTxtG"/>
        <w:numPr>
          <w:ilvl w:val="0"/>
          <w:numId w:val="31"/>
        </w:numPr>
        <w:ind w:left="1134" w:firstLine="0"/>
        <w:rPr>
          <w:lang w:val="fr-FR"/>
        </w:rPr>
      </w:pPr>
      <w:r w:rsidRPr="004608F0">
        <w:rPr>
          <w:lang w:val="fr-FR"/>
        </w:rPr>
        <w:t>L'auteur encourt la réclusion à perpétuité si l'acte de torture a entraîné la mort de la victime ou s’il a été constitué par viol ou précédé d’un viol.</w:t>
      </w:r>
    </w:p>
    <w:p w14:paraId="0BA40C58" w14:textId="7355FC62" w:rsidR="004608F0" w:rsidRPr="004608F0" w:rsidRDefault="00203413" w:rsidP="00203413">
      <w:pPr>
        <w:pStyle w:val="H23G"/>
        <w:rPr>
          <w:lang w:val="fr-FR"/>
        </w:rPr>
      </w:pPr>
      <w:r>
        <w:rPr>
          <w:lang w:val="fr-FR"/>
        </w:rPr>
        <w:tab/>
      </w:r>
      <w:r>
        <w:rPr>
          <w:lang w:val="fr-FR"/>
        </w:rPr>
        <w:tab/>
      </w:r>
      <w:r w:rsidR="004608F0" w:rsidRPr="004608F0">
        <w:rPr>
          <w:lang w:val="fr-FR"/>
        </w:rPr>
        <w:t>Article 5 : Compétence</w:t>
      </w:r>
    </w:p>
    <w:p w14:paraId="2F7A40CB" w14:textId="77777777" w:rsidR="004608F0" w:rsidRPr="004608F0" w:rsidRDefault="004608F0" w:rsidP="00203413">
      <w:pPr>
        <w:pStyle w:val="SingleTxtG"/>
        <w:numPr>
          <w:ilvl w:val="0"/>
          <w:numId w:val="31"/>
        </w:numPr>
        <w:ind w:left="1134" w:firstLine="0"/>
        <w:rPr>
          <w:lang w:val="fr-FR"/>
        </w:rPr>
      </w:pPr>
      <w:r w:rsidRPr="004608F0">
        <w:rPr>
          <w:lang w:val="fr-FR"/>
        </w:rPr>
        <w:t>Les juridictions mauritaniennes sont compétentes pour poursuivre, juger et punir toute personne qui aurait commis un acte de torture (1) si l’acte est commis sur le territoire de la République Islamique de Mauritanie ; (2) à bord d'un navire immatriculé mauritanien ou à l'égard duquel un permis ou un numéro d'identification a été délivré en conformité avec une telle loi, (3) si l’acte est commis à bord d’un aéronef immatriculé en Mauritanie, ou loué sans équipage et mis au service par une personne remplissant les conditions d’inscription comme propriétaire d’un aéronef en Mauritanie ; (4) si l’auteur est de nationalité mauritanienne ; (5) si le plaignant ou la victime est de nationalité mauritanienne ; (6) si l’auteur se trouve en Mauritanie ; (article 17 de la loi n°2015-033) et n’est pas extradé (article 18).</w:t>
      </w:r>
    </w:p>
    <w:p w14:paraId="001487C3" w14:textId="2481263E" w:rsidR="004608F0" w:rsidRPr="004608F0" w:rsidRDefault="00A13111" w:rsidP="00A13111">
      <w:pPr>
        <w:pStyle w:val="H23G"/>
        <w:rPr>
          <w:lang w:val="fr-FR"/>
        </w:rPr>
      </w:pPr>
      <w:r>
        <w:rPr>
          <w:lang w:val="fr-FR"/>
        </w:rPr>
        <w:tab/>
      </w:r>
      <w:r>
        <w:rPr>
          <w:lang w:val="fr-FR"/>
        </w:rPr>
        <w:tab/>
      </w:r>
      <w:r w:rsidR="004608F0" w:rsidRPr="004608F0">
        <w:rPr>
          <w:lang w:val="fr-FR"/>
        </w:rPr>
        <w:t>Article 6 : Mesures juridiques jusqu’à la mise en accusation ou l’extradition</w:t>
      </w:r>
    </w:p>
    <w:p w14:paraId="2EA8F96A" w14:textId="77777777" w:rsidR="004608F0" w:rsidRPr="004608F0" w:rsidRDefault="004608F0" w:rsidP="00A13111">
      <w:pPr>
        <w:pStyle w:val="SingleTxtG"/>
        <w:numPr>
          <w:ilvl w:val="0"/>
          <w:numId w:val="31"/>
        </w:numPr>
        <w:ind w:left="1134" w:firstLine="0"/>
        <w:rPr>
          <w:lang w:val="fr-FR"/>
        </w:rPr>
      </w:pPr>
      <w:r w:rsidRPr="004608F0">
        <w:rPr>
          <w:lang w:val="fr-FR"/>
        </w:rPr>
        <w:t xml:space="preserve">Pour ce qui est des dispositions du droit mauritanien concernant le placement en détention d’une personne soupçonnée d’avoir commis l’infraction visée à l’article 4 de la convention, ou les autres mesures visant à s’assurer de sa présence, les règles applicables sont celles prévues par le Code de procédure pénale. </w:t>
      </w:r>
    </w:p>
    <w:p w14:paraId="23752C7B" w14:textId="77777777" w:rsidR="004608F0" w:rsidRPr="004608F0" w:rsidRDefault="004608F0" w:rsidP="00A13111">
      <w:pPr>
        <w:pStyle w:val="SingleTxtG"/>
        <w:numPr>
          <w:ilvl w:val="0"/>
          <w:numId w:val="31"/>
        </w:numPr>
        <w:ind w:left="1134" w:firstLine="0"/>
        <w:rPr>
          <w:lang w:val="fr-FR"/>
        </w:rPr>
      </w:pPr>
      <w:r w:rsidRPr="004608F0">
        <w:rPr>
          <w:lang w:val="fr-FR"/>
        </w:rPr>
        <w:t xml:space="preserve">Les autorités judiciaires compétentes initient immédiatement une enquête impartiale chaque fois qu'il existe des motifs raisonnables de croire qu'un acte de torture ou de mauvais traitements a été tenté ou a été commis. L’autorité compétente saisie est tenue d’ouvrir immédiatement une enquête impartiale pour examiner la cause en vue d’établir les faits, dès lors qu’une personne prétend avoir été soumis à la torture. </w:t>
      </w:r>
    </w:p>
    <w:p w14:paraId="61382B0C" w14:textId="77777777" w:rsidR="004608F0" w:rsidRPr="004608F0" w:rsidRDefault="004608F0" w:rsidP="00A13111">
      <w:pPr>
        <w:pStyle w:val="SingleTxtG"/>
        <w:numPr>
          <w:ilvl w:val="0"/>
          <w:numId w:val="31"/>
        </w:numPr>
        <w:ind w:left="1134" w:firstLine="0"/>
        <w:rPr>
          <w:rtl/>
          <w:lang w:eastAsia="ar-SA"/>
        </w:rPr>
      </w:pPr>
      <w:r w:rsidRPr="004608F0">
        <w:rPr>
          <w:lang w:val="fr-FR"/>
        </w:rPr>
        <w:t xml:space="preserve">Pour les nécessités de l’enquête préliminaire, l’officier de police judiciaire peut retenir à sa disposition toute personne contre laquelle existent des indices graves et concordants de nature à motiver une inculpation pour crime ou délit puni d’une peine d’emprisonnement, y compris les infractions prévues par la convention. </w:t>
      </w:r>
    </w:p>
    <w:p w14:paraId="42D84653" w14:textId="77777777" w:rsidR="004608F0" w:rsidRPr="004608F0" w:rsidRDefault="004608F0" w:rsidP="00A13111">
      <w:pPr>
        <w:pStyle w:val="SingleTxtG"/>
        <w:numPr>
          <w:ilvl w:val="0"/>
          <w:numId w:val="31"/>
        </w:numPr>
        <w:ind w:left="1134" w:firstLine="0"/>
        <w:rPr>
          <w:lang w:val="fr-FR"/>
        </w:rPr>
      </w:pPr>
      <w:r w:rsidRPr="004608F0">
        <w:rPr>
          <w:lang w:val="fr-FR"/>
        </w:rPr>
        <w:t>Durant l’enquête et conformément à l’article 57 du Code de procédure pénale, l’officier de police judiciaire peut être emmener à garder à sa disposition une personne. Toutefois, il ne peut la retenir plus que le temps nécessaire pour prendre ses déclarations. Néanmoins, s’il existe contre une personne des indices graves et concordants de nature à motiver une inculpation, l’officier de police judiciaire peut la garder à sa disposition pendant une durée de quarante-huit heures. Cette durée peut être prorogée une seule fois pour un délai égal à la période initiale par autorisation écrite du procureur de la République. Dans tous les cas, l’officier de police judiciaire est tenu d’informer immédiatement le procureur de la République, devant lequel il doit justifier toutes les dispositions qu’il a prises.</w:t>
      </w:r>
    </w:p>
    <w:p w14:paraId="7E0EA541" w14:textId="77777777" w:rsidR="004608F0" w:rsidRPr="004608F0" w:rsidRDefault="004608F0" w:rsidP="00A13111">
      <w:pPr>
        <w:pStyle w:val="SingleTxtG"/>
        <w:numPr>
          <w:ilvl w:val="0"/>
          <w:numId w:val="31"/>
        </w:numPr>
        <w:ind w:left="1134" w:firstLine="0"/>
        <w:rPr>
          <w:lang w:val="fr-FR"/>
        </w:rPr>
      </w:pPr>
      <w:r w:rsidRPr="004608F0">
        <w:rPr>
          <w:lang w:val="fr-FR"/>
        </w:rPr>
        <w:t>En matière de corruption, le délai de garde à vue a été revu à 48 heures renouvelable sur autorisation écrite du procureur de la République conformément à l’article 30 de la loi relative à la lutte contre la corruption.</w:t>
      </w:r>
    </w:p>
    <w:p w14:paraId="12E6BD48" w14:textId="77777777" w:rsidR="004608F0" w:rsidRPr="004608F0" w:rsidRDefault="004608F0" w:rsidP="00A13111">
      <w:pPr>
        <w:pStyle w:val="SingleTxtG"/>
        <w:numPr>
          <w:ilvl w:val="0"/>
          <w:numId w:val="31"/>
        </w:numPr>
        <w:ind w:left="1134" w:firstLine="0"/>
        <w:rPr>
          <w:lang w:val="fr-FR"/>
        </w:rPr>
      </w:pPr>
      <w:r w:rsidRPr="004608F0">
        <w:rPr>
          <w:lang w:val="fr-FR"/>
        </w:rPr>
        <w:t>L’officier de police judiciaire qui détient une personne en garde à vue a l’obligation en vertu de l’article 58 du Code de procédure pénale, d’en informer dans les meilleurs délais son conjoint, son ascendant ou descendant au premier degré et de la possibilité pour celle-ci de communiquer avec son époux ou l’un de ses parents directs et en cas de prorogation de la garde à vue, elle a le droit de communiquer avec son avocat.</w:t>
      </w:r>
    </w:p>
    <w:p w14:paraId="38F820A3" w14:textId="77777777" w:rsidR="004608F0" w:rsidRPr="004608F0" w:rsidRDefault="004608F0" w:rsidP="00A13111">
      <w:pPr>
        <w:pStyle w:val="SingleTxtG"/>
        <w:numPr>
          <w:ilvl w:val="0"/>
          <w:numId w:val="31"/>
        </w:numPr>
        <w:ind w:left="1134" w:firstLine="0"/>
        <w:rPr>
          <w:lang w:val="fr-FR"/>
        </w:rPr>
      </w:pPr>
      <w:r w:rsidRPr="004608F0">
        <w:rPr>
          <w:lang w:val="fr-FR"/>
        </w:rPr>
        <w:t xml:space="preserve">Conformément à l’article 125 et 126 du décret n°70-153, les détenus de nationalité étrangère sont soumis au même régime que les détenus nationaux appartenant à leur catégorie pénale. Les visites et les correspondances des étrangers peuvent s’effectuer dans leur langue. S’ils sont écroués à la suite d’une demande d’extradition, ils sont soumis au régime des prévenus. </w:t>
      </w:r>
    </w:p>
    <w:p w14:paraId="2208F0DF" w14:textId="77777777" w:rsidR="004608F0" w:rsidRPr="004608F0" w:rsidRDefault="004608F0" w:rsidP="00A13111">
      <w:pPr>
        <w:pStyle w:val="SingleTxtG"/>
        <w:numPr>
          <w:ilvl w:val="0"/>
          <w:numId w:val="31"/>
        </w:numPr>
        <w:ind w:left="1134" w:firstLine="0"/>
        <w:rPr>
          <w:lang w:val="fr-FR"/>
        </w:rPr>
      </w:pPr>
      <w:r w:rsidRPr="004608F0">
        <w:rPr>
          <w:lang w:val="fr-FR"/>
        </w:rPr>
        <w:t xml:space="preserve">La délivrance des permis de visite et le contrôle de la correspondance les concernant relèvent du ministère de la Justice, dans le respect des engagements du pays en la matière, notamment les conventions de Vienne de 1961 et de 1963, en vertu desquelles les autorités compétentes de l'État de résidence informent le poste consulaire si un ressortissant de son </w:t>
      </w:r>
      <w:proofErr w:type="spellStart"/>
      <w:r w:rsidRPr="004608F0">
        <w:rPr>
          <w:lang w:val="fr-FR"/>
        </w:rPr>
        <w:t>Etat</w:t>
      </w:r>
      <w:proofErr w:type="spellEnd"/>
      <w:r w:rsidRPr="004608F0">
        <w:rPr>
          <w:lang w:val="fr-FR"/>
        </w:rPr>
        <w:t xml:space="preserve"> est arrêté, mis en détention préventive ou en prison, et accorder à ce dernier le droit de communiquer avec les représentants de son pays, qui de leur côté ont le droit de se rendre auprès de leurs ressortissants.</w:t>
      </w:r>
    </w:p>
    <w:p w14:paraId="4C0D64D1" w14:textId="73B4ED8F" w:rsidR="004608F0" w:rsidRPr="004608F0" w:rsidRDefault="00A13111" w:rsidP="00A13111">
      <w:pPr>
        <w:pStyle w:val="H23G"/>
        <w:rPr>
          <w:lang w:val="fr-FR"/>
        </w:rPr>
      </w:pPr>
      <w:r>
        <w:rPr>
          <w:lang w:val="fr-FR"/>
        </w:rPr>
        <w:tab/>
      </w:r>
      <w:r>
        <w:rPr>
          <w:lang w:val="fr-FR"/>
        </w:rPr>
        <w:tab/>
      </w:r>
      <w:r w:rsidR="004608F0" w:rsidRPr="004608F0">
        <w:rPr>
          <w:lang w:val="fr-FR"/>
        </w:rPr>
        <w:t>Article 7 : Poursuites pénales contre une personne accusée d’avoir commis le crime de torture, autorités compétentes en cas de non-extradition</w:t>
      </w:r>
    </w:p>
    <w:p w14:paraId="38E17C8B" w14:textId="77777777" w:rsidR="004608F0" w:rsidRPr="004608F0" w:rsidRDefault="004608F0" w:rsidP="00A13111">
      <w:pPr>
        <w:pStyle w:val="SingleTxtG"/>
        <w:numPr>
          <w:ilvl w:val="0"/>
          <w:numId w:val="31"/>
        </w:numPr>
        <w:ind w:left="1134" w:firstLine="0"/>
        <w:rPr>
          <w:lang w:val="fr-FR"/>
        </w:rPr>
      </w:pPr>
      <w:r w:rsidRPr="004608F0">
        <w:rPr>
          <w:lang w:val="fr-FR"/>
        </w:rPr>
        <w:t xml:space="preserve">Aux termes de l’article 18 de la loi n°2015-033, et sans préjudice des principes régissant l'extradition, nul ne sera expulsé, refoulé ou extradé vers un </w:t>
      </w:r>
      <w:proofErr w:type="spellStart"/>
      <w:r w:rsidRPr="004608F0">
        <w:rPr>
          <w:lang w:val="fr-FR"/>
        </w:rPr>
        <w:t>Etat</w:t>
      </w:r>
      <w:proofErr w:type="spellEnd"/>
      <w:r w:rsidRPr="004608F0">
        <w:rPr>
          <w:lang w:val="fr-FR"/>
        </w:rPr>
        <w:t xml:space="preserve"> ou il encourt le risque d'être soumis à la torture. Dans ce cas, les juridictions mauritaniennes auront compétence pour juger la personne sur les faits objet de la demande d'extradition sous réserve de leur incrimination en droit interne. Dans ce cas, l’accusé bénéficie de la garantie d’un traitement équitable à tous les stades de la procédure, et notamment des garanties fondamentales prévues à l’article 4 de la loi n°2015-033.</w:t>
      </w:r>
    </w:p>
    <w:p w14:paraId="3D73B970" w14:textId="5FAA32A9" w:rsidR="004608F0" w:rsidRPr="004608F0" w:rsidRDefault="00A13111" w:rsidP="00A13111">
      <w:pPr>
        <w:pStyle w:val="H23G"/>
        <w:rPr>
          <w:lang w:val="fr-FR"/>
        </w:rPr>
      </w:pPr>
      <w:r>
        <w:rPr>
          <w:lang w:val="fr-FR"/>
        </w:rPr>
        <w:tab/>
      </w:r>
      <w:r>
        <w:rPr>
          <w:lang w:val="fr-FR"/>
        </w:rPr>
        <w:tab/>
      </w:r>
      <w:r w:rsidR="004608F0" w:rsidRPr="004608F0">
        <w:rPr>
          <w:lang w:val="fr-FR"/>
        </w:rPr>
        <w:t>Article 8 : Extradition</w:t>
      </w:r>
    </w:p>
    <w:p w14:paraId="1B9DC878" w14:textId="77777777" w:rsidR="004608F0" w:rsidRPr="004608F0" w:rsidRDefault="004608F0" w:rsidP="00A13111">
      <w:pPr>
        <w:pStyle w:val="SingleTxtG"/>
        <w:numPr>
          <w:ilvl w:val="0"/>
          <w:numId w:val="31"/>
        </w:numPr>
        <w:ind w:left="1134" w:firstLine="0"/>
        <w:rPr>
          <w:lang w:val="fr-FR"/>
        </w:rPr>
      </w:pPr>
      <w:r w:rsidRPr="004608F0">
        <w:rPr>
          <w:lang w:val="fr-FR"/>
        </w:rPr>
        <w:t xml:space="preserve">L’extradition est régie par les dispositions du Code de procédure pénale, articles 711 et suivants, et les dispositions résultant des traités ou conventions auxquels la Mauritanie est partie, qui ont primauté sur les lois nationales, conformément à l’article 80 de la Constitution. Les dispositions des conventions et accords internationaux ratifiés s’appliquent directement, et occupent une place importante dans l’ordonnancement juridique national. L’article 8 de la convention s’applique mutatis mutandis et les infractions prévues par la convention sont, de plein droit, comprises parmi celles pouvant faire l’objet d’extradition. </w:t>
      </w:r>
    </w:p>
    <w:p w14:paraId="0F2061B6" w14:textId="77777777" w:rsidR="004608F0" w:rsidRPr="004608F0" w:rsidRDefault="004608F0" w:rsidP="00A13111">
      <w:pPr>
        <w:pStyle w:val="SingleTxtG"/>
        <w:numPr>
          <w:ilvl w:val="0"/>
          <w:numId w:val="31"/>
        </w:numPr>
        <w:ind w:left="1134" w:firstLine="0"/>
        <w:rPr>
          <w:lang w:val="fr-FR"/>
        </w:rPr>
      </w:pPr>
      <w:r w:rsidRPr="004608F0">
        <w:rPr>
          <w:lang w:val="fr-FR"/>
        </w:rPr>
        <w:t>Le gouvernement mauritanien peut livrer, sur leur demande, aux gouvernements étrangers, tout individu non mauritanien qui a fait l’objet d’une poursuite ou d’une condamnation prononcée par les tribunaux de l’</w:t>
      </w:r>
      <w:proofErr w:type="spellStart"/>
      <w:r w:rsidRPr="004608F0">
        <w:rPr>
          <w:lang w:val="fr-FR"/>
        </w:rPr>
        <w:t>Etat</w:t>
      </w:r>
      <w:proofErr w:type="spellEnd"/>
      <w:r w:rsidRPr="004608F0">
        <w:rPr>
          <w:lang w:val="fr-FR"/>
        </w:rPr>
        <w:t xml:space="preserve"> requérant, et qui se trouve sur le territoire mauritanien.</w:t>
      </w:r>
    </w:p>
    <w:p w14:paraId="68514CD8" w14:textId="77777777" w:rsidR="004608F0" w:rsidRPr="004608F0" w:rsidRDefault="004608F0" w:rsidP="00A13111">
      <w:pPr>
        <w:pStyle w:val="SingleTxtG"/>
        <w:numPr>
          <w:ilvl w:val="0"/>
          <w:numId w:val="31"/>
        </w:numPr>
        <w:ind w:left="1134" w:firstLine="0"/>
        <w:rPr>
          <w:lang w:val="fr-FR"/>
        </w:rPr>
      </w:pPr>
      <w:r w:rsidRPr="004608F0">
        <w:rPr>
          <w:lang w:val="fr-FR"/>
        </w:rPr>
        <w:t>Tous les faits punis de peines criminelles ou de peines correctionnelles quand le maximum de la peine encourue, aux termes de cette loi, et de deux ans ou au-dessus, ou s’il s’agit d’un condamné, quand la peine prononcée par la juridiction de l’</w:t>
      </w:r>
      <w:proofErr w:type="spellStart"/>
      <w:r w:rsidRPr="004608F0">
        <w:rPr>
          <w:lang w:val="fr-FR"/>
        </w:rPr>
        <w:t>Etat</w:t>
      </w:r>
      <w:proofErr w:type="spellEnd"/>
      <w:r w:rsidRPr="004608F0">
        <w:rPr>
          <w:lang w:val="fr-FR"/>
        </w:rPr>
        <w:t xml:space="preserve"> requérant est égale ou supérieure à deux mois d’emprisonnement, peuvent donner lieu à l’extradition. Dans tous les cas, l’extradition n’est accordée si le fait est puni par la loi mauritanienne d’une peine criminelle ou correctionnelle. L’extradition pour les faits de tentative ou de complicité sont soumis aux mêmes règles.</w:t>
      </w:r>
    </w:p>
    <w:p w14:paraId="11FDF07C" w14:textId="1A9B9EE6" w:rsidR="004608F0" w:rsidRPr="004608F0" w:rsidRDefault="00A13111" w:rsidP="00A13111">
      <w:pPr>
        <w:pStyle w:val="H23G"/>
        <w:rPr>
          <w:lang w:val="fr-FR"/>
        </w:rPr>
      </w:pPr>
      <w:r>
        <w:rPr>
          <w:lang w:val="fr-FR"/>
        </w:rPr>
        <w:tab/>
      </w:r>
      <w:r>
        <w:rPr>
          <w:lang w:val="fr-FR"/>
        </w:rPr>
        <w:tab/>
      </w:r>
      <w:r w:rsidR="004608F0" w:rsidRPr="004608F0">
        <w:rPr>
          <w:lang w:val="fr-FR"/>
        </w:rPr>
        <w:t>Article 9 : L’entraide judiciaire</w:t>
      </w:r>
    </w:p>
    <w:p w14:paraId="55FF7BBE" w14:textId="77777777" w:rsidR="004608F0" w:rsidRPr="004608F0" w:rsidRDefault="004608F0" w:rsidP="00A13111">
      <w:pPr>
        <w:pStyle w:val="SingleTxtG"/>
        <w:numPr>
          <w:ilvl w:val="0"/>
          <w:numId w:val="31"/>
        </w:numPr>
        <w:ind w:left="1134" w:firstLine="0"/>
        <w:rPr>
          <w:lang w:val="fr-FR"/>
        </w:rPr>
      </w:pPr>
      <w:r w:rsidRPr="004608F0">
        <w:rPr>
          <w:lang w:val="fr-FR"/>
        </w:rPr>
        <w:t xml:space="preserve">Conformément à l’article 19 de la loi n°2015-033, l'entraide judiciaire est accordée à tout </w:t>
      </w:r>
      <w:proofErr w:type="spellStart"/>
      <w:r w:rsidRPr="004608F0">
        <w:rPr>
          <w:lang w:val="fr-FR"/>
        </w:rPr>
        <w:t>Etat</w:t>
      </w:r>
      <w:proofErr w:type="spellEnd"/>
      <w:r w:rsidRPr="004608F0">
        <w:rPr>
          <w:lang w:val="fr-FR"/>
        </w:rPr>
        <w:t xml:space="preserve"> ou toute Juridiction internationale, y compris en ce qui concerne la communication de tous les éléments de preuve qui sont nécessaires aux fins de la procédure en matière de torture. Le décret n°209/2023 du 25 décembre 2023, fixant les attributions du ministre de la Justice et l’organisation de l’administration centrale de son département, a institué une direction centrale chargé de la coopération et de l’entraide judiciaire, qui constitue l’autorité centrale en matière de coopération judiciaire pénale. Cette direction dispose en son sein d’un bureau d’entraide judiciaire internationale (BEJI), qui a été créé en vertu de l’arrêté n°0114 en date du 07 février 2025. </w:t>
      </w:r>
    </w:p>
    <w:p w14:paraId="453B18CA" w14:textId="77777777" w:rsidR="004608F0" w:rsidRPr="004608F0" w:rsidRDefault="004608F0" w:rsidP="00A13111">
      <w:pPr>
        <w:pStyle w:val="SingleTxtG"/>
        <w:numPr>
          <w:ilvl w:val="0"/>
          <w:numId w:val="31"/>
        </w:numPr>
        <w:ind w:left="1134" w:firstLine="0"/>
        <w:rPr>
          <w:lang w:val="fr-FR"/>
        </w:rPr>
      </w:pPr>
      <w:r w:rsidRPr="004608F0">
        <w:rPr>
          <w:lang w:val="fr-FR"/>
        </w:rPr>
        <w:t>Le BEJI est chargé, en matière pénale, de faciliter la coopération judiciaire internationale dans toutes ses formes, notamment l’extradition, l’entraide judiciaire, le transfèrement de personnes condamnées détenues, le transfert de procédures pénales, la dénonciation aux fins de poursuites ou d’exécution de peines et l’échange d’information entre les services.</w:t>
      </w:r>
    </w:p>
    <w:p w14:paraId="0732E563" w14:textId="77777777" w:rsidR="004608F0" w:rsidRPr="004608F0" w:rsidRDefault="004608F0" w:rsidP="00A13111">
      <w:pPr>
        <w:pStyle w:val="SingleTxtG"/>
        <w:numPr>
          <w:ilvl w:val="0"/>
          <w:numId w:val="31"/>
        </w:numPr>
        <w:ind w:left="1134" w:firstLine="0"/>
        <w:rPr>
          <w:lang w:val="fr-FR"/>
        </w:rPr>
      </w:pPr>
      <w:r w:rsidRPr="004608F0">
        <w:rPr>
          <w:lang w:val="fr-FR"/>
        </w:rPr>
        <w:t xml:space="preserve">Dans ce cadre, le BEJI a pour mission de recevoir, gérer et transmettre les demandes de coopération judiciaire en provenance d’autorités étrangères ou émises par les autorités nationales, conformément aux traités, conventions ou arrangements internationaux. Il fournit aux autorités judiciaires nationales, l’assistance technique nécessaire à la rédaction des demandes de coopération judiciaire. Il peut également assister les autorités centrales étrangères à cet effet. </w:t>
      </w:r>
    </w:p>
    <w:p w14:paraId="4696BEF0" w14:textId="77777777" w:rsidR="004608F0" w:rsidRPr="004608F0" w:rsidRDefault="004608F0" w:rsidP="00A13111">
      <w:pPr>
        <w:pStyle w:val="SingleTxtG"/>
        <w:numPr>
          <w:ilvl w:val="0"/>
          <w:numId w:val="31"/>
        </w:numPr>
        <w:ind w:left="1134" w:firstLine="0"/>
        <w:rPr>
          <w:lang w:val="fr-FR"/>
        </w:rPr>
      </w:pPr>
      <w:r w:rsidRPr="004608F0">
        <w:rPr>
          <w:lang w:val="fr-FR"/>
        </w:rPr>
        <w:t xml:space="preserve">Il communique aux autorités centrales similaires, les informations sur l’état de la législation mauritanienne, notamment les conditions de recevabilité des requêtes et les procédures nationales d’exécution. Il prend toutes les mesures nécessaires pour développer et renforcer la coopération internationale dans le domaine pénal. Il peut recevoir les demandes d’entraide par l’intermédiaire des </w:t>
      </w:r>
      <w:proofErr w:type="spellStart"/>
      <w:r w:rsidRPr="004608F0">
        <w:rPr>
          <w:lang w:val="fr-FR"/>
        </w:rPr>
        <w:t>plateformes</w:t>
      </w:r>
      <w:proofErr w:type="spellEnd"/>
      <w:r w:rsidRPr="004608F0">
        <w:rPr>
          <w:lang w:val="fr-FR"/>
        </w:rPr>
        <w:t xml:space="preserve"> de coopération judiciaire internationale ou tout autre organisme pertinent, et en cas d’urgence, la demande d’entraide peut être transmise par tout moyen de communication laissant une trace écrite.</w:t>
      </w:r>
    </w:p>
    <w:p w14:paraId="2027CAF7" w14:textId="77777777" w:rsidR="004608F0" w:rsidRPr="004608F0" w:rsidRDefault="004608F0" w:rsidP="00694B72">
      <w:pPr>
        <w:pStyle w:val="SingleTxtG"/>
        <w:numPr>
          <w:ilvl w:val="0"/>
          <w:numId w:val="31"/>
        </w:numPr>
        <w:ind w:left="1134" w:firstLine="0"/>
        <w:rPr>
          <w:lang w:val="fr-FR"/>
        </w:rPr>
      </w:pPr>
      <w:r w:rsidRPr="004608F0">
        <w:rPr>
          <w:lang w:val="fr-FR"/>
        </w:rPr>
        <w:t xml:space="preserve">Dans le cadre de ses missions, le BEJI assure la réception, l’étude, l’envoi et le suivi des demandes d’entraide judiciaire internationale en matière pénale. Il assure également la coordination et la coopération avec les autorités centrales des autres </w:t>
      </w:r>
      <w:proofErr w:type="spellStart"/>
      <w:r w:rsidRPr="004608F0">
        <w:rPr>
          <w:lang w:val="fr-FR"/>
        </w:rPr>
        <w:t>Etats</w:t>
      </w:r>
      <w:proofErr w:type="spellEnd"/>
      <w:r w:rsidRPr="004608F0">
        <w:rPr>
          <w:lang w:val="fr-FR"/>
        </w:rPr>
        <w:t>, ainsi que les organisations internationales et régionales pertinentes.</w:t>
      </w:r>
    </w:p>
    <w:p w14:paraId="31A22E0A" w14:textId="77777777" w:rsidR="004608F0" w:rsidRPr="004608F0" w:rsidRDefault="004608F0" w:rsidP="00694B72">
      <w:pPr>
        <w:pStyle w:val="SingleTxtG"/>
        <w:numPr>
          <w:ilvl w:val="0"/>
          <w:numId w:val="31"/>
        </w:numPr>
        <w:ind w:left="1134" w:firstLine="0"/>
        <w:rPr>
          <w:lang w:val="fr-FR"/>
        </w:rPr>
      </w:pPr>
      <w:r w:rsidRPr="004608F0">
        <w:rPr>
          <w:lang w:val="fr-FR"/>
        </w:rPr>
        <w:t>Deux conventions relatives respectivement à l’entraide judiciaire en matière pénale et l’extradition avec le Gouvernement de la République Algérienne Démocratique et Populaire, signées à Nouakchott le 14 septembre 2022 ont été ratifiées.</w:t>
      </w:r>
    </w:p>
    <w:p w14:paraId="35CCF3F9" w14:textId="77777777" w:rsidR="004608F0" w:rsidRPr="004608F0" w:rsidRDefault="004608F0" w:rsidP="00694B72">
      <w:pPr>
        <w:pStyle w:val="SingleTxtG"/>
        <w:numPr>
          <w:ilvl w:val="0"/>
          <w:numId w:val="31"/>
        </w:numPr>
        <w:ind w:left="1134" w:firstLine="0"/>
        <w:rPr>
          <w:lang w:val="fr-FR"/>
        </w:rPr>
      </w:pPr>
      <w:r w:rsidRPr="004608F0">
        <w:rPr>
          <w:lang w:val="fr-FR"/>
        </w:rPr>
        <w:t xml:space="preserve">Ces accords établissent un cadre juridique de coopération judiciaire entre les deux pays dans le domaine pénal, et permettent une coopération mutuelle en ce qui concerne les procédures pénales et l’extradition, qui relèvent de la compétence des autorités judiciaires des deux pays, et les engagent à remettre l’un à l’autre, sur demande, les personnes recherchées se trouvant sur son territoire, ainsi que ceux à l’encontre desquels une mesure privative de liberté a été prononcée par l’autorité judiciaire dans le cadre d’une poursuite pénale ou d’un jugement définitif de condamnation. </w:t>
      </w:r>
    </w:p>
    <w:p w14:paraId="12B87618" w14:textId="77777777" w:rsidR="004608F0" w:rsidRPr="004608F0" w:rsidRDefault="004608F0" w:rsidP="00694B72">
      <w:pPr>
        <w:pStyle w:val="SingleTxtG"/>
        <w:numPr>
          <w:ilvl w:val="0"/>
          <w:numId w:val="31"/>
        </w:numPr>
        <w:ind w:left="1134" w:firstLine="0"/>
        <w:rPr>
          <w:lang w:val="fr-FR"/>
        </w:rPr>
      </w:pPr>
      <w:r w:rsidRPr="004608F0">
        <w:rPr>
          <w:lang w:val="fr-FR"/>
        </w:rPr>
        <w:t>Il y a eu également la ratification de 3 conventions respectivement en matière d’extradition, d’entraide pénale et le transfèrement des personnes condamnées avec la République du Sénégal.</w:t>
      </w:r>
    </w:p>
    <w:p w14:paraId="49973A01" w14:textId="77777777" w:rsidR="004608F0" w:rsidRPr="004608F0" w:rsidRDefault="004608F0" w:rsidP="00694B72">
      <w:pPr>
        <w:pStyle w:val="SingleTxtG"/>
        <w:numPr>
          <w:ilvl w:val="0"/>
          <w:numId w:val="31"/>
        </w:numPr>
        <w:ind w:left="1134" w:firstLine="0"/>
        <w:rPr>
          <w:lang w:val="fr-FR"/>
        </w:rPr>
      </w:pPr>
      <w:r w:rsidRPr="004608F0">
        <w:rPr>
          <w:lang w:val="fr-FR"/>
        </w:rPr>
        <w:t>La Convention relative à l’entraide pénale prévoit une assistance entre les deux pays dans le domaine des inspections, des saisies, du gel, de la confiscation, du transfert des avoirs lors de la délivrance d’une décision définitive sur le territoire de la partie requérante et de l’échange d’informations concernant les condamnations.</w:t>
      </w:r>
    </w:p>
    <w:p w14:paraId="4999168C" w14:textId="77777777" w:rsidR="004608F0" w:rsidRPr="004608F0" w:rsidRDefault="004608F0" w:rsidP="00694B72">
      <w:pPr>
        <w:pStyle w:val="SingleTxtG"/>
        <w:numPr>
          <w:ilvl w:val="0"/>
          <w:numId w:val="31"/>
        </w:numPr>
        <w:ind w:left="1134" w:firstLine="0"/>
        <w:rPr>
          <w:lang w:val="fr-FR"/>
        </w:rPr>
      </w:pPr>
      <w:r w:rsidRPr="004608F0">
        <w:rPr>
          <w:lang w:val="fr-FR"/>
        </w:rPr>
        <w:t>Quant à l’accord d’extradition, il définit le champ de la coopération judiciaire en matière d’extradition des personnes recherchées.</w:t>
      </w:r>
    </w:p>
    <w:p w14:paraId="1102DF11" w14:textId="77777777" w:rsidR="004608F0" w:rsidRPr="004608F0" w:rsidRDefault="004608F0" w:rsidP="00694B72">
      <w:pPr>
        <w:pStyle w:val="SingleTxtG"/>
        <w:numPr>
          <w:ilvl w:val="0"/>
          <w:numId w:val="31"/>
        </w:numPr>
        <w:ind w:left="1134" w:firstLine="0"/>
        <w:rPr>
          <w:lang w:val="fr-FR"/>
        </w:rPr>
      </w:pPr>
      <w:r w:rsidRPr="004608F0">
        <w:rPr>
          <w:lang w:val="fr-FR"/>
        </w:rPr>
        <w:t xml:space="preserve">S’agissant de l’accord relatif au transfèrement des personnes condamnées entre les deux pays, il permet aux personnes condamnées en Mauritanie ou au Sénégal de purger leur condamnation dans leur pays d’origine. </w:t>
      </w:r>
    </w:p>
    <w:p w14:paraId="3634395D" w14:textId="43701C9B" w:rsidR="004608F0" w:rsidRPr="004608F0" w:rsidRDefault="00694B72" w:rsidP="00694B72">
      <w:pPr>
        <w:pStyle w:val="H23G"/>
        <w:rPr>
          <w:lang w:val="fr-FR"/>
        </w:rPr>
      </w:pPr>
      <w:r>
        <w:rPr>
          <w:lang w:val="fr-FR"/>
        </w:rPr>
        <w:tab/>
      </w:r>
      <w:r>
        <w:rPr>
          <w:lang w:val="fr-FR"/>
        </w:rPr>
        <w:tab/>
      </w:r>
      <w:r w:rsidR="004608F0" w:rsidRPr="004608F0">
        <w:rPr>
          <w:lang w:val="fr-FR"/>
        </w:rPr>
        <w:t>Article 10 : Mesures prises pour sensibiliser le personnel chargé de l’application des lois à la prévention de la torture</w:t>
      </w:r>
    </w:p>
    <w:p w14:paraId="0C896261" w14:textId="77777777" w:rsidR="004608F0" w:rsidRPr="004608F0" w:rsidRDefault="004608F0" w:rsidP="00694B72">
      <w:pPr>
        <w:pStyle w:val="SingleTxtG"/>
        <w:numPr>
          <w:ilvl w:val="0"/>
          <w:numId w:val="31"/>
        </w:numPr>
        <w:ind w:left="1134" w:firstLine="0"/>
        <w:rPr>
          <w:lang w:val="fr-FR"/>
        </w:rPr>
      </w:pPr>
      <w:r w:rsidRPr="004608F0">
        <w:rPr>
          <w:lang w:val="fr-FR"/>
        </w:rPr>
        <w:t xml:space="preserve">L’enseignement et l’information concernant l’interdiction de la torture font partie intégrante de la formation obligatoire du personnel civil ou militaire chargé de l’application des lois en particulier la police, la gendarmerie, les magistrats, du personnel médical, des agents de la fonction publique et des autres personnes qui peuvent intervenir dans la garde, l’interrogatoire ou le traitement de tout individu arrêté, détenu ou emprisonné de quelque façon que ce soit. </w:t>
      </w:r>
    </w:p>
    <w:p w14:paraId="0D8FE28E" w14:textId="77777777" w:rsidR="004608F0" w:rsidRPr="004608F0" w:rsidRDefault="004608F0" w:rsidP="00694B72">
      <w:pPr>
        <w:pStyle w:val="SingleTxtG"/>
        <w:numPr>
          <w:ilvl w:val="0"/>
          <w:numId w:val="31"/>
        </w:numPr>
        <w:ind w:left="1134" w:firstLine="0"/>
        <w:rPr>
          <w:lang w:val="fr-FR"/>
        </w:rPr>
      </w:pPr>
      <w:r w:rsidRPr="004608F0">
        <w:rPr>
          <w:lang w:val="fr-FR"/>
        </w:rPr>
        <w:t>Cette interdiction est incorporée dans les règles ou instructions édictées relatives aux obligations et attributions des personnes visées à l’alinéa premier de l’article 7 de la Loi 2015-033.</w:t>
      </w:r>
    </w:p>
    <w:p w14:paraId="63F327B8" w14:textId="77777777" w:rsidR="004608F0" w:rsidRPr="004608F0" w:rsidRDefault="004608F0" w:rsidP="00694B72">
      <w:pPr>
        <w:pStyle w:val="SingleTxtG"/>
        <w:numPr>
          <w:ilvl w:val="0"/>
          <w:numId w:val="31"/>
        </w:numPr>
        <w:ind w:left="1134" w:firstLine="0"/>
        <w:rPr>
          <w:lang w:val="fr-FR"/>
        </w:rPr>
      </w:pPr>
      <w:r w:rsidRPr="004608F0">
        <w:rPr>
          <w:lang w:val="fr-FR"/>
        </w:rPr>
        <w:t xml:space="preserve">Un module sur les droits humains est incorporé dans tous les programmes de formation des écoles professionnelles (ENAJM, écoles de police, gendarmerie, garde, militaire, santé, action sociale, jeunesse…). </w:t>
      </w:r>
    </w:p>
    <w:p w14:paraId="02479849" w14:textId="57EEFEC7" w:rsidR="004608F0" w:rsidRPr="004608F0" w:rsidRDefault="00694B72" w:rsidP="00694B72">
      <w:pPr>
        <w:pStyle w:val="H23G"/>
        <w:rPr>
          <w:lang w:val="fr-FR"/>
        </w:rPr>
      </w:pPr>
      <w:r>
        <w:rPr>
          <w:lang w:val="fr-FR"/>
        </w:rPr>
        <w:tab/>
      </w:r>
      <w:r>
        <w:rPr>
          <w:lang w:val="fr-FR"/>
        </w:rPr>
        <w:tab/>
      </w:r>
      <w:r w:rsidR="004608F0" w:rsidRPr="004608F0">
        <w:rPr>
          <w:lang w:val="fr-FR"/>
        </w:rPr>
        <w:t>Article 11 : Interrogatoire, enquête, protection et traitement durant la garde à vue et la détention avant jugement</w:t>
      </w:r>
    </w:p>
    <w:p w14:paraId="0FA9E537" w14:textId="77777777" w:rsidR="004608F0" w:rsidRPr="004608F0" w:rsidRDefault="004608F0" w:rsidP="00130FB3">
      <w:pPr>
        <w:pStyle w:val="SingleTxtG"/>
        <w:numPr>
          <w:ilvl w:val="0"/>
          <w:numId w:val="31"/>
        </w:numPr>
        <w:ind w:left="1134" w:firstLine="0"/>
        <w:rPr>
          <w:lang w:val="fr-FR"/>
        </w:rPr>
      </w:pPr>
      <w:r w:rsidRPr="004608F0">
        <w:rPr>
          <w:lang w:val="fr-FR"/>
        </w:rPr>
        <w:t xml:space="preserve">En vue d'éviter la commission de tout cas de torture, le parquet exerce un contrôle systématique sur l’application des règles, instructions, méthodes et pratiques d'interrogatoire et sur les dispositions concernant la garde et le traitement des personnes arrêtées, détenues ou emprisonnées. </w:t>
      </w:r>
    </w:p>
    <w:p w14:paraId="03CB2768" w14:textId="77777777" w:rsidR="004608F0" w:rsidRPr="004608F0" w:rsidRDefault="004608F0" w:rsidP="00130FB3">
      <w:pPr>
        <w:pStyle w:val="SingleTxtG"/>
        <w:numPr>
          <w:ilvl w:val="0"/>
          <w:numId w:val="31"/>
        </w:numPr>
        <w:ind w:left="1134" w:firstLine="0"/>
        <w:rPr>
          <w:lang w:val="fr-FR"/>
        </w:rPr>
      </w:pPr>
      <w:r w:rsidRPr="004608F0">
        <w:rPr>
          <w:lang w:val="fr-FR"/>
        </w:rPr>
        <w:t xml:space="preserve">Conformément à l’article 37 du Code de procédure pénale, le procureur de la République procède ou fait procéder à tous les actes nécessaires à la recherche et à la poursuite des infractions à la loi pénale, y compris les actes de torture. </w:t>
      </w:r>
      <w:proofErr w:type="spellStart"/>
      <w:r w:rsidRPr="004608F0">
        <w:rPr>
          <w:lang w:val="fr-FR"/>
        </w:rPr>
        <w:t>A</w:t>
      </w:r>
      <w:proofErr w:type="spellEnd"/>
      <w:r w:rsidRPr="004608F0">
        <w:rPr>
          <w:lang w:val="fr-FR"/>
        </w:rPr>
        <w:t xml:space="preserve"> cette fin, il dirige l’activité des officiers et agents de la police judiciaire. </w:t>
      </w:r>
    </w:p>
    <w:p w14:paraId="23B382A5" w14:textId="77777777" w:rsidR="004608F0" w:rsidRPr="004608F0" w:rsidRDefault="004608F0" w:rsidP="00130FB3">
      <w:pPr>
        <w:pStyle w:val="SingleTxtG"/>
        <w:numPr>
          <w:ilvl w:val="0"/>
          <w:numId w:val="31"/>
        </w:numPr>
        <w:ind w:left="1134" w:firstLine="0"/>
        <w:rPr>
          <w:lang w:val="fr-FR"/>
        </w:rPr>
      </w:pPr>
      <w:r w:rsidRPr="004608F0">
        <w:rPr>
          <w:lang w:val="fr-FR"/>
        </w:rPr>
        <w:t>Les officiers de police judiciaire sont tenus de l’informer sans délai des crimes, délits et contraventions, y compris les actes de torture, dont ils ont connaissance. Ils lui font parvenir directement les originaux des procès-verbaux qu’ils ont dressés et tous les documents récupérés, les objets saisis sont mis à sa disposition.</w:t>
      </w:r>
    </w:p>
    <w:p w14:paraId="38A7C0D2" w14:textId="033B417B" w:rsidR="004608F0" w:rsidRPr="004608F0" w:rsidRDefault="00130FB3" w:rsidP="00130FB3">
      <w:pPr>
        <w:pStyle w:val="H23G"/>
        <w:rPr>
          <w:lang w:val="fr-FR"/>
        </w:rPr>
      </w:pPr>
      <w:r>
        <w:rPr>
          <w:lang w:val="fr-FR"/>
        </w:rPr>
        <w:tab/>
      </w:r>
      <w:r>
        <w:rPr>
          <w:lang w:val="fr-FR"/>
        </w:rPr>
        <w:tab/>
      </w:r>
      <w:r w:rsidR="004608F0" w:rsidRPr="004608F0">
        <w:rPr>
          <w:lang w:val="fr-FR"/>
        </w:rPr>
        <w:t>Article 12 : Enquête en cas de suspicion sérieuse de torture</w:t>
      </w:r>
    </w:p>
    <w:p w14:paraId="169CF9B4" w14:textId="77777777" w:rsidR="004608F0" w:rsidRPr="004608F0" w:rsidRDefault="004608F0" w:rsidP="00130FB3">
      <w:pPr>
        <w:pStyle w:val="SingleTxtG"/>
        <w:numPr>
          <w:ilvl w:val="0"/>
          <w:numId w:val="31"/>
        </w:numPr>
        <w:ind w:left="1134" w:firstLine="0"/>
        <w:rPr>
          <w:lang w:val="fr-FR"/>
        </w:rPr>
      </w:pPr>
      <w:r w:rsidRPr="004608F0">
        <w:rPr>
          <w:lang w:val="fr-FR"/>
        </w:rPr>
        <w:t>Selon l’article 9 de la loi contre la torture, les autorités judiciaires compétentes initient immédiatement une enquête impartiale chaque fois qu'il existe des motifs raisonnables de croire qu'un acte de torture ou de mauvais traitements a été tenté ou commis dans leur juridiction et ce même en l’absence de plainte. La saisine des autorités compétentes est ouverte à quiconque prétend avoir été soumis à la torture. Celles-ci procèdent immédiatement et impartialement à l'examen de sa cause.</w:t>
      </w:r>
    </w:p>
    <w:p w14:paraId="1F2437D3" w14:textId="77777777" w:rsidR="004608F0" w:rsidRPr="004608F0" w:rsidRDefault="004608F0" w:rsidP="00130FB3">
      <w:pPr>
        <w:pStyle w:val="SingleTxtG"/>
        <w:numPr>
          <w:ilvl w:val="0"/>
          <w:numId w:val="31"/>
        </w:numPr>
        <w:ind w:left="1134" w:firstLine="0"/>
        <w:rPr>
          <w:lang w:val="fr-FR"/>
        </w:rPr>
      </w:pPr>
      <w:r w:rsidRPr="004608F0">
        <w:rPr>
          <w:lang w:val="fr-FR"/>
        </w:rPr>
        <w:t xml:space="preserve">Par ailleurs, le Mécanisme National de Prévention de la Torture (MNP) contribue à ce que les allégations de torture soient suivies d'enquête. Celui-ci est </w:t>
      </w:r>
      <w:proofErr w:type="spellStart"/>
      <w:r w:rsidRPr="004608F0">
        <w:rPr>
          <w:lang w:val="fr-FR"/>
        </w:rPr>
        <w:t>est</w:t>
      </w:r>
      <w:proofErr w:type="spellEnd"/>
      <w:r w:rsidRPr="004608F0">
        <w:rPr>
          <w:lang w:val="fr-FR"/>
        </w:rPr>
        <w:t xml:space="preserve"> compétent pour : </w:t>
      </w:r>
    </w:p>
    <w:p w14:paraId="4B7E4D6D" w14:textId="77777777" w:rsidR="004608F0" w:rsidRPr="004608F0" w:rsidRDefault="004608F0" w:rsidP="00130FB3">
      <w:pPr>
        <w:pStyle w:val="Bullet1G"/>
        <w:rPr>
          <w:lang w:val="fr-FR"/>
        </w:rPr>
      </w:pPr>
      <w:r w:rsidRPr="004608F0">
        <w:rPr>
          <w:lang w:val="fr-FR"/>
        </w:rPr>
        <w:t>Effectuer des visites régulières, programmées ou inopinées, sans aucun préavis et à tout moment dans tous les lieux où se trouvent ou pourraient se trouver des personnes privées de liberté, afin de s’informer sur les conditions des détenus et de s’assurer qu’ils n’ont pas été victimes de torture ou d’autres peines ou traitements cruels, inhumains ou dégradants ;</w:t>
      </w:r>
    </w:p>
    <w:p w14:paraId="476D3C25" w14:textId="77777777" w:rsidR="004608F0" w:rsidRPr="004608F0" w:rsidRDefault="004608F0" w:rsidP="00130FB3">
      <w:pPr>
        <w:pStyle w:val="Bullet1G"/>
        <w:rPr>
          <w:lang w:val="fr-FR"/>
        </w:rPr>
      </w:pPr>
      <w:r w:rsidRPr="004608F0">
        <w:rPr>
          <w:lang w:val="fr-FR"/>
        </w:rPr>
        <w:t>Examiner régulièrement la situation des personnes privées de liberté se trouvant dans les lieux de détention visés à l’article 2, en vue de renforcer, le cas échéant, leur protection contre la torture et autres peines ou traitements cruels, inhumains ou dégradants ;</w:t>
      </w:r>
    </w:p>
    <w:p w14:paraId="44A92059" w14:textId="77777777" w:rsidR="004608F0" w:rsidRPr="004608F0" w:rsidRDefault="004608F0" w:rsidP="00130FB3">
      <w:pPr>
        <w:pStyle w:val="Bullet1G"/>
        <w:rPr>
          <w:lang w:val="fr-FR"/>
        </w:rPr>
      </w:pPr>
      <w:r w:rsidRPr="004608F0">
        <w:rPr>
          <w:lang w:val="fr-FR"/>
        </w:rPr>
        <w:t>Recevoir les plaintes et allégations de torture et autres peines ou traitements cruels, inhumains ou dégradants survenus dans les lieux de privation de liberté et les transmettre aux autorités administratives et judiciaires, ou autres institutions compétentes pour enquêter.</w:t>
      </w:r>
    </w:p>
    <w:p w14:paraId="274AC60F" w14:textId="2B16105C" w:rsidR="004608F0" w:rsidRPr="004608F0" w:rsidRDefault="00130FB3" w:rsidP="00130FB3">
      <w:pPr>
        <w:pStyle w:val="H23G"/>
        <w:rPr>
          <w:lang w:val="fr-FR"/>
        </w:rPr>
      </w:pPr>
      <w:r>
        <w:rPr>
          <w:lang w:val="fr-FR"/>
        </w:rPr>
        <w:tab/>
      </w:r>
      <w:r>
        <w:rPr>
          <w:lang w:val="fr-FR"/>
        </w:rPr>
        <w:tab/>
      </w:r>
      <w:r w:rsidR="004608F0" w:rsidRPr="004608F0">
        <w:rPr>
          <w:lang w:val="fr-FR"/>
        </w:rPr>
        <w:t>Article 13 : Droit de porter plainte et de contester une décision</w:t>
      </w:r>
    </w:p>
    <w:p w14:paraId="7A9CEB1D" w14:textId="77777777" w:rsidR="004608F0" w:rsidRPr="004608F0" w:rsidRDefault="004608F0" w:rsidP="00130FB3">
      <w:pPr>
        <w:pStyle w:val="SingleTxtG"/>
        <w:numPr>
          <w:ilvl w:val="0"/>
          <w:numId w:val="31"/>
        </w:numPr>
        <w:ind w:left="1134" w:firstLine="0"/>
        <w:rPr>
          <w:lang w:val="fr-FR"/>
        </w:rPr>
      </w:pPr>
      <w:r w:rsidRPr="004608F0">
        <w:rPr>
          <w:lang w:val="fr-FR"/>
        </w:rPr>
        <w:t xml:space="preserve">L’article 20 de la loi n°2015-033, précise que la victime de torture ou mauvais traitements bénéficie de l’aide judiciaire dans les conditions prévues par la loi. Conformément à l’article premier de la loi n°2015-030, l’aide judiciaire est accordée en matière pénale à la partie civile et au demandeur en révision. L’action publique pour l’application des peines, y compris en matière de torture et de mauvais traitements, est mise en mouvement et exercée contre l’auteur principal, les complices et les participants, par les magistrats des juridictions compétentes ou par les fonctionnaires auxquels elle est confiée par la loi. Elle peut aussi être mise en mouvement par la partie lésée. </w:t>
      </w:r>
    </w:p>
    <w:p w14:paraId="70F4A42E" w14:textId="77777777" w:rsidR="004608F0" w:rsidRPr="004608F0" w:rsidRDefault="004608F0" w:rsidP="00130FB3">
      <w:pPr>
        <w:pStyle w:val="SingleTxtG"/>
        <w:numPr>
          <w:ilvl w:val="0"/>
          <w:numId w:val="31"/>
        </w:numPr>
        <w:ind w:left="1134" w:firstLine="0"/>
        <w:rPr>
          <w:lang w:val="fr-FR"/>
        </w:rPr>
      </w:pPr>
      <w:r w:rsidRPr="004608F0">
        <w:rPr>
          <w:lang w:val="fr-FR"/>
        </w:rPr>
        <w:t xml:space="preserve">En effet, toute personne qui se prétend lésée par la commission d’une infraction, y compris de torture, peut en portant plainte se constituer partie civile devant l’officier de police judiciaire par une déclaration consignée dans le procès-verbal. Dans ce cas, elle ne pourra pas être entendue sous serment à toutes les étapes de la procédure. Elle peut également, conformément à l’article 381 du Code de procédure pénale, porter plainte en se constituant formellement partie civile devant le président du tribunal, si aucune poursuite n’est engagée par ministère public. </w:t>
      </w:r>
    </w:p>
    <w:p w14:paraId="744B613C" w14:textId="77777777" w:rsidR="004608F0" w:rsidRPr="004608F0" w:rsidRDefault="004608F0" w:rsidP="00130FB3">
      <w:pPr>
        <w:pStyle w:val="SingleTxtG"/>
        <w:numPr>
          <w:ilvl w:val="0"/>
          <w:numId w:val="31"/>
        </w:numPr>
        <w:ind w:left="1134" w:firstLine="0"/>
        <w:rPr>
          <w:lang w:val="fr-FR"/>
        </w:rPr>
      </w:pPr>
      <w:r w:rsidRPr="004608F0">
        <w:rPr>
          <w:lang w:val="fr-FR"/>
        </w:rPr>
        <w:t xml:space="preserve">La protection et l’assistance sont assurées aux victimes d’actes de torture et de mauvais traitements, aux témoins ou personnes chargées de l’enquête ainsi que leurs familles contre la violence, les menaces de violence ou toute autre forme d’intimidation ou de représailles en raison de plaintes déposées, d’auditions ou de déclarations faites, de rapports effectués ou d’enquête. </w:t>
      </w:r>
    </w:p>
    <w:p w14:paraId="0ADE23A0" w14:textId="77777777" w:rsidR="004608F0" w:rsidRPr="004608F0" w:rsidRDefault="004608F0" w:rsidP="004608F0">
      <w:pPr>
        <w:pStyle w:val="SingleTxtG"/>
        <w:rPr>
          <w:b/>
          <w:bCs/>
          <w:lang w:val="fr-FR"/>
        </w:rPr>
      </w:pPr>
      <w:r w:rsidRPr="004608F0">
        <w:rPr>
          <w:b/>
          <w:bCs/>
          <w:lang w:val="fr-FR"/>
        </w:rPr>
        <w:t>Article 14 : Indemnisation de la victime d’un acte de torture</w:t>
      </w:r>
    </w:p>
    <w:p w14:paraId="0709691A" w14:textId="77777777" w:rsidR="004608F0" w:rsidRPr="004608F0" w:rsidRDefault="004608F0" w:rsidP="00CF7274">
      <w:pPr>
        <w:pStyle w:val="SingleTxtG"/>
        <w:numPr>
          <w:ilvl w:val="0"/>
          <w:numId w:val="31"/>
        </w:numPr>
        <w:ind w:left="1134" w:firstLine="0"/>
        <w:rPr>
          <w:lang w:val="fr-FR"/>
        </w:rPr>
      </w:pPr>
      <w:r w:rsidRPr="004608F0">
        <w:rPr>
          <w:lang w:val="fr-FR"/>
        </w:rPr>
        <w:t>Conformément à l’article 21 de la loi contre la torture, la victime d’un acte de torture a le droit d’obtenir réparation par l’auteur dudit acte. Cette réparation n’exempte pas l’</w:t>
      </w:r>
      <w:proofErr w:type="spellStart"/>
      <w:r w:rsidRPr="004608F0">
        <w:rPr>
          <w:lang w:val="fr-FR"/>
        </w:rPr>
        <w:t>Etat</w:t>
      </w:r>
      <w:proofErr w:type="spellEnd"/>
      <w:r w:rsidRPr="004608F0">
        <w:rPr>
          <w:lang w:val="fr-FR"/>
        </w:rPr>
        <w:t xml:space="preserve"> de l’obligation d’indemniser la victime équitablement et de manière adéquate et sa réparation à travers les moyens nécessaires à sa réadaptation la plus complète possible, notamment des soins médicaux appropriés et une rééducation médicale et sociale. </w:t>
      </w:r>
    </w:p>
    <w:p w14:paraId="0F11B1DC" w14:textId="77777777" w:rsidR="004608F0" w:rsidRPr="004608F0" w:rsidRDefault="004608F0" w:rsidP="00CF7274">
      <w:pPr>
        <w:pStyle w:val="SingleTxtG"/>
        <w:numPr>
          <w:ilvl w:val="0"/>
          <w:numId w:val="31"/>
        </w:numPr>
        <w:ind w:left="1134" w:firstLine="0"/>
        <w:rPr>
          <w:lang w:val="fr-FR"/>
        </w:rPr>
      </w:pPr>
      <w:r w:rsidRPr="004608F0">
        <w:rPr>
          <w:lang w:val="fr-FR"/>
        </w:rPr>
        <w:t>Lorsque les autorités ou toute personne agissant à titre officiel ont commis des actes de torture ou de mauvais traitements ou si elles ont su ou ont eu des motifs raisonnables de croire que de tels actes avaient été commis et n’ont pas exercé la diligence voulue pour les prévenir, mener une enquête ou engager une action contre leurs auteurs afin de les punir conformément à la législation en vigueur, elles sont tenues d’assurer la réparation aux victimes desdits actes.</w:t>
      </w:r>
    </w:p>
    <w:p w14:paraId="34E10D3B" w14:textId="77777777" w:rsidR="004608F0" w:rsidRPr="004608F0" w:rsidRDefault="004608F0" w:rsidP="00CF7274">
      <w:pPr>
        <w:pStyle w:val="SingleTxtG"/>
        <w:numPr>
          <w:ilvl w:val="0"/>
          <w:numId w:val="31"/>
        </w:numPr>
        <w:ind w:left="1134" w:firstLine="0"/>
        <w:rPr>
          <w:lang w:val="fr-FR"/>
        </w:rPr>
      </w:pPr>
      <w:r w:rsidRPr="004608F0">
        <w:rPr>
          <w:lang w:val="fr-FR"/>
        </w:rPr>
        <w:t>Les dommages subis par les victimes de torture et de mauvais traitements, suite à des actes commis par les agents de la fonction publique ou par toute autre personne agissant à titre officiel ou à son instigation, ou avec son consentement exprès ou tacite, bénéficient de réparations conformément au droit commun (article 22 de la loi n°2015-033).</w:t>
      </w:r>
    </w:p>
    <w:p w14:paraId="38C54EC6" w14:textId="77777777" w:rsidR="004608F0" w:rsidRPr="004608F0" w:rsidRDefault="004608F0" w:rsidP="00CF7274">
      <w:pPr>
        <w:pStyle w:val="SingleTxtG"/>
        <w:numPr>
          <w:ilvl w:val="0"/>
          <w:numId w:val="31"/>
        </w:numPr>
        <w:ind w:left="1134" w:firstLine="0"/>
        <w:rPr>
          <w:lang w:val="fr-FR"/>
        </w:rPr>
      </w:pPr>
      <w:r w:rsidRPr="004608F0">
        <w:rPr>
          <w:lang w:val="fr-FR"/>
        </w:rPr>
        <w:t xml:space="preserve">L’action civile en réparation du dommage causé par un crime, un délit, y compris de torture ou de mauvais traitement, appartient à tous ceux qui ont personnellement souffert du dommage directement causé par l’infraction. La renonciation de la personne lésée à l’action civile ne peut arrêter ni suspendre l’exercice de l’action publique que lorsque la loi le prévoit expressément ou la plainte est une condition nécessaire pour la poursuite. Ce qui n’est pas le cas en matière d’action publique pour les actes de torture et de mauvais traitement. </w:t>
      </w:r>
    </w:p>
    <w:p w14:paraId="046BE091" w14:textId="770E6FA7" w:rsidR="004608F0" w:rsidRPr="004608F0" w:rsidRDefault="00CF7274" w:rsidP="00CF7274">
      <w:pPr>
        <w:pStyle w:val="H23G"/>
        <w:rPr>
          <w:lang w:val="fr-FR"/>
        </w:rPr>
      </w:pPr>
      <w:r>
        <w:rPr>
          <w:lang w:val="fr-FR"/>
        </w:rPr>
        <w:tab/>
      </w:r>
      <w:r>
        <w:rPr>
          <w:lang w:val="fr-FR"/>
        </w:rPr>
        <w:tab/>
      </w:r>
      <w:r w:rsidR="004608F0" w:rsidRPr="004608F0">
        <w:rPr>
          <w:lang w:val="fr-FR"/>
        </w:rPr>
        <w:t>Article 15 : Interdiction d’utiliser une déclaration obtenue par la torture comme élément de preuve dans un procès</w:t>
      </w:r>
    </w:p>
    <w:p w14:paraId="3992DDF6" w14:textId="77777777" w:rsidR="004608F0" w:rsidRPr="004608F0" w:rsidRDefault="004608F0" w:rsidP="00CF7274">
      <w:pPr>
        <w:pStyle w:val="SingleTxtG"/>
        <w:numPr>
          <w:ilvl w:val="0"/>
          <w:numId w:val="31"/>
        </w:numPr>
        <w:ind w:left="1134" w:firstLine="0"/>
        <w:rPr>
          <w:lang w:val="fr-FR"/>
        </w:rPr>
      </w:pPr>
      <w:r w:rsidRPr="004608F0">
        <w:rPr>
          <w:lang w:val="fr-FR"/>
        </w:rPr>
        <w:t>Selon l’article 6 de la loi n°2015-033, toute déclaration dont il est établi qu'elle a été obtenue par l’usage de la torture, ne peut être invoquée comme élément de preuve dans une procédure si ce n'est pour établir la preuve de torture contre la personne accusée pour ce fait. En outre, l’article préliminaire du Code de procédure pénale prévoit que l’aveu obtenu par la torture, la violence ou la contrainte n’a pas de valeur.</w:t>
      </w:r>
    </w:p>
    <w:p w14:paraId="525A048D" w14:textId="301C0C4F" w:rsidR="004608F0" w:rsidRPr="004608F0" w:rsidRDefault="00CF7274" w:rsidP="00CF7274">
      <w:pPr>
        <w:pStyle w:val="H23G"/>
        <w:rPr>
          <w:lang w:val="fr-FR"/>
        </w:rPr>
      </w:pPr>
      <w:r>
        <w:rPr>
          <w:lang w:val="fr-FR"/>
        </w:rPr>
        <w:tab/>
      </w:r>
      <w:r>
        <w:rPr>
          <w:lang w:val="fr-FR"/>
        </w:rPr>
        <w:tab/>
      </w:r>
      <w:r w:rsidR="004608F0" w:rsidRPr="004608F0">
        <w:rPr>
          <w:lang w:val="fr-FR"/>
        </w:rPr>
        <w:t>Article 16 : Prévention d’autres actes constitutifs de peines ou traitements cruels, inhumains ou dégradants qui ne sont pas des actes de torture</w:t>
      </w:r>
    </w:p>
    <w:p w14:paraId="626D7B6C" w14:textId="77777777" w:rsidR="004608F0" w:rsidRPr="004608F0" w:rsidRDefault="004608F0" w:rsidP="00CF7274">
      <w:pPr>
        <w:pStyle w:val="SingleTxtG"/>
        <w:numPr>
          <w:ilvl w:val="0"/>
          <w:numId w:val="31"/>
        </w:numPr>
        <w:ind w:left="1134" w:firstLine="0"/>
        <w:rPr>
          <w:lang w:val="fr-FR"/>
        </w:rPr>
      </w:pPr>
      <w:r w:rsidRPr="004608F0">
        <w:rPr>
          <w:lang w:val="fr-FR"/>
        </w:rPr>
        <w:t>La loi relative à la lutte contre la torture fixe le régime juridique de l’interdiction, de la prévention, de la répression des actes de torture et d’autres peines ou traitements cruels, inhumains ou dégradants, ainsi que leur réparation et des mesures de protection des victimes. Elle considère que les actes de torture et peines ou traitements cruels, inhumains ou dégradants constituent, des crimes contre l’humanité.  Ces crimes sont imprescriptibles.</w:t>
      </w:r>
    </w:p>
    <w:p w14:paraId="1D24D526" w14:textId="77777777" w:rsidR="004608F0" w:rsidRPr="004608F0" w:rsidRDefault="004608F0" w:rsidP="00CF7274">
      <w:pPr>
        <w:pStyle w:val="SingleTxtG"/>
        <w:numPr>
          <w:ilvl w:val="0"/>
          <w:numId w:val="31"/>
        </w:numPr>
        <w:ind w:left="1134" w:firstLine="0"/>
        <w:rPr>
          <w:lang w:val="fr-FR"/>
        </w:rPr>
      </w:pPr>
      <w:r w:rsidRPr="004608F0">
        <w:rPr>
          <w:lang w:val="fr-FR"/>
        </w:rPr>
        <w:t xml:space="preserve">Les capacités des éléments de la Garde Nationale chargé d’assurer la surveillance et la sécurité des prisons, et des personnels de l’administration pénitentiaire, sont renforcées régulièrement au cours des ateliers de formation et de sensibilisation organisés par l’administration en collaboration avec ses principaux partenaires, sur l’interdiction de la torture et les mauvais traitements. Dans ce cadre, les agents pénitentiaires ont participé aux séminaires organisés par le MNP durant toutes ces dernières années. </w:t>
      </w:r>
    </w:p>
    <w:p w14:paraId="2911D066" w14:textId="77777777" w:rsidR="004608F0" w:rsidRPr="004608F0" w:rsidRDefault="004608F0" w:rsidP="00CF7274">
      <w:pPr>
        <w:pStyle w:val="SingleTxtG"/>
        <w:numPr>
          <w:ilvl w:val="0"/>
          <w:numId w:val="31"/>
        </w:numPr>
        <w:ind w:left="1134" w:firstLine="0"/>
        <w:rPr>
          <w:lang w:val="fr-FR"/>
        </w:rPr>
      </w:pPr>
      <w:r w:rsidRPr="004608F0">
        <w:rPr>
          <w:lang w:val="fr-FR"/>
        </w:rPr>
        <w:t xml:space="preserve">L’administration pénitentiaire en partenariat avec la fondation Noura a organisé plusieurs sessions de sensibilisation à l’intention des éléments de la garde nationale à l’intérieur des prisons sur les règles Mandela. </w:t>
      </w:r>
    </w:p>
    <w:p w14:paraId="2B74985F" w14:textId="77777777" w:rsidR="004608F0" w:rsidRPr="004608F0" w:rsidRDefault="004608F0" w:rsidP="00CF7274">
      <w:pPr>
        <w:pStyle w:val="SingleTxtG"/>
        <w:numPr>
          <w:ilvl w:val="0"/>
          <w:numId w:val="31"/>
        </w:numPr>
        <w:ind w:left="1134" w:firstLine="0"/>
        <w:rPr>
          <w:lang w:val="fr-FR"/>
        </w:rPr>
      </w:pPr>
      <w:r w:rsidRPr="004608F0">
        <w:rPr>
          <w:lang w:val="fr-FR"/>
        </w:rPr>
        <w:t>L’atelier organisé en partenariat avec l’</w:t>
      </w:r>
      <w:proofErr w:type="spellStart"/>
      <w:r w:rsidRPr="004608F0">
        <w:rPr>
          <w:lang w:val="fr-FR"/>
        </w:rPr>
        <w:t>Etat-Major</w:t>
      </w:r>
      <w:proofErr w:type="spellEnd"/>
      <w:r w:rsidRPr="004608F0">
        <w:rPr>
          <w:lang w:val="fr-FR"/>
        </w:rPr>
        <w:t xml:space="preserve"> de la Garde Nationale sur le respect des Droits de l’homme en milieu pénitentiaire a bénéficié pendant quatre jours à plus de deux cents officiers, sous-officiers et agents de la garde nationale. Un guide de bonnes pratiques et des brochures ont été distribués à tous les participants.</w:t>
      </w:r>
    </w:p>
    <w:p w14:paraId="33063AA5" w14:textId="77777777" w:rsidR="004608F0" w:rsidRPr="004608F0" w:rsidRDefault="004608F0" w:rsidP="00CF7274">
      <w:pPr>
        <w:pStyle w:val="SingleTxtG"/>
        <w:numPr>
          <w:ilvl w:val="0"/>
          <w:numId w:val="31"/>
        </w:numPr>
        <w:ind w:left="1134" w:firstLine="0"/>
        <w:rPr>
          <w:lang w:val="fr-FR"/>
        </w:rPr>
      </w:pPr>
      <w:r w:rsidRPr="004608F0">
        <w:rPr>
          <w:lang w:val="fr-FR"/>
        </w:rPr>
        <w:t xml:space="preserve">Deux ateliers sur les standards internationaux des droits humains en milieu carcéral ont été organisés respectivement à Kiffa et Aleg les 07 et 08 </w:t>
      </w:r>
      <w:proofErr w:type="spellStart"/>
      <w:r w:rsidRPr="004608F0">
        <w:rPr>
          <w:lang w:val="fr-FR"/>
        </w:rPr>
        <w:t>aout</w:t>
      </w:r>
      <w:proofErr w:type="spellEnd"/>
      <w:r w:rsidRPr="004608F0">
        <w:rPr>
          <w:lang w:val="fr-FR"/>
        </w:rPr>
        <w:t xml:space="preserve"> 2023 et les 10 et 11 août 2023, en collaboration avec le bureau du Haut-Commissariat des Nations Unies aux Droits de l’Homme, regroupant 60 participants (régisseurs de prisons, procureurs de la République, juges d’instruction et éléments de garde chargés de la sécurité des prisons) du ressort de ces deux cours d’appels. </w:t>
      </w:r>
    </w:p>
    <w:p w14:paraId="1104A662" w14:textId="77777777" w:rsidR="004608F0" w:rsidRPr="004608F0" w:rsidRDefault="004608F0" w:rsidP="00CF7274">
      <w:pPr>
        <w:pStyle w:val="SingleTxtG"/>
        <w:numPr>
          <w:ilvl w:val="0"/>
          <w:numId w:val="31"/>
        </w:numPr>
        <w:ind w:left="1134" w:firstLine="0"/>
        <w:rPr>
          <w:lang w:val="fr-FR"/>
        </w:rPr>
      </w:pPr>
      <w:r w:rsidRPr="004608F0">
        <w:rPr>
          <w:lang w:val="fr-FR"/>
        </w:rPr>
        <w:t xml:space="preserve">En novembre 2023, l’administration pénitentiaire en partenariat avec le projet d’appui à la réhabilitation de la justice (PARJ) a organisé un séminaire bénéficiant à quarante participants (procureurs de la République, régisseurs de prisons et officiers et sous-officiers surveillants de prison à Nouakchott avec l’intervention d’un expert international). </w:t>
      </w:r>
    </w:p>
    <w:p w14:paraId="7A6FBA4A" w14:textId="77777777" w:rsidR="004608F0" w:rsidRPr="004608F0" w:rsidRDefault="004608F0" w:rsidP="00CF7274">
      <w:pPr>
        <w:pStyle w:val="SingleTxtG"/>
        <w:numPr>
          <w:ilvl w:val="0"/>
          <w:numId w:val="31"/>
        </w:numPr>
        <w:ind w:left="1134" w:firstLine="0"/>
        <w:rPr>
          <w:lang w:val="fr-FR"/>
        </w:rPr>
      </w:pPr>
      <w:r w:rsidRPr="004608F0">
        <w:rPr>
          <w:lang w:val="fr-FR"/>
        </w:rPr>
        <w:t xml:space="preserve">Le MNP a installé des </w:t>
      </w:r>
      <w:proofErr w:type="spellStart"/>
      <w:r w:rsidRPr="004608F0">
        <w:rPr>
          <w:lang w:val="fr-FR"/>
        </w:rPr>
        <w:t>boites</w:t>
      </w:r>
      <w:proofErr w:type="spellEnd"/>
      <w:r w:rsidRPr="004608F0">
        <w:rPr>
          <w:lang w:val="fr-FR"/>
        </w:rPr>
        <w:t xml:space="preserve"> aux lettres au niveau des principaux établissements pénitentiaires pour recevoir en privé les correspondances que les détenus peuvent adresser sans contrôle préalable de la part de l’administration pénitentiaire. Aussi, les responsables des prisons sont formés et sensibilisés sur l’obligation de dénoncer systématiquement à l’administration centrale et au ministère public, toute plainte ou suspicion d’actes de torture. Tous les avis en conséquence ont fait l’objet d’enquête ordonnée par les autorités compétentes. </w:t>
      </w:r>
    </w:p>
    <w:p w14:paraId="2B4AAE08" w14:textId="77777777" w:rsidR="004608F0" w:rsidRPr="004608F0" w:rsidRDefault="004608F0" w:rsidP="00CF7274">
      <w:pPr>
        <w:pStyle w:val="SingleTxtG"/>
        <w:numPr>
          <w:ilvl w:val="0"/>
          <w:numId w:val="31"/>
        </w:numPr>
        <w:ind w:left="1134" w:firstLine="0"/>
        <w:rPr>
          <w:lang w:val="fr-FR"/>
        </w:rPr>
      </w:pPr>
      <w:r w:rsidRPr="004608F0">
        <w:rPr>
          <w:lang w:val="fr-FR"/>
        </w:rPr>
        <w:t xml:space="preserve">L’ouverture des prisons aux visites régulières déclarées et inopinées effectuées par des autorités indépendantes tels les procureurs, les juges, les membres des institutions nationales des droits de l’homme et les organisations de la société civiles contribuent à la prévention de la torture en milieu pénitentiaire. </w:t>
      </w:r>
    </w:p>
    <w:p w14:paraId="6B033A33" w14:textId="3231D57C" w:rsidR="004608F0" w:rsidRPr="00763332" w:rsidRDefault="00434428" w:rsidP="00763332">
      <w:pPr>
        <w:pStyle w:val="H1G"/>
        <w:rPr>
          <w:noProof/>
          <w:lang w:val="fr-FR" w:eastAsia="es-GT"/>
        </w:rPr>
      </w:pPr>
      <w:r w:rsidRPr="00763332">
        <w:rPr>
          <w:noProof/>
          <w:lang w:val="fr-FR" w:eastAsia="es-GT"/>
        </w:rPr>
        <w:tab/>
        <w:t>III.</w:t>
      </w:r>
      <w:r w:rsidRPr="00763332">
        <w:rPr>
          <w:noProof/>
          <w:lang w:val="fr-FR" w:eastAsia="es-GT"/>
        </w:rPr>
        <w:tab/>
        <w:t xml:space="preserve"> </w:t>
      </w:r>
      <w:r w:rsidR="004608F0" w:rsidRPr="00763332">
        <w:rPr>
          <w:noProof/>
          <w:lang w:val="fr-FR" w:eastAsia="es-GT"/>
        </w:rPr>
        <w:t xml:space="preserve">Mesures prises en réponse aux observations et recommandations du Comité contre la torture CAT/C/MRT/CO/2 </w:t>
      </w:r>
    </w:p>
    <w:p w14:paraId="75DCB9CC" w14:textId="4F9674B5" w:rsidR="004608F0" w:rsidRPr="004608F0" w:rsidRDefault="0098006A" w:rsidP="0098006A">
      <w:pPr>
        <w:pStyle w:val="H23G"/>
        <w:rPr>
          <w:lang w:val="fr-FR"/>
        </w:rPr>
      </w:pPr>
      <w:r>
        <w:rPr>
          <w:lang w:val="fr-FR"/>
        </w:rPr>
        <w:tab/>
      </w:r>
      <w:r>
        <w:rPr>
          <w:lang w:val="fr-FR"/>
        </w:rPr>
        <w:tab/>
      </w:r>
      <w:r w:rsidR="004608F0" w:rsidRPr="004608F0">
        <w:rPr>
          <w:lang w:val="fr-FR"/>
        </w:rPr>
        <w:t>Garanties juridiques fondamentales</w:t>
      </w:r>
    </w:p>
    <w:p w14:paraId="78D40A49" w14:textId="2AC341ED" w:rsidR="004608F0" w:rsidRPr="004608F0" w:rsidRDefault="0098006A" w:rsidP="00EA524F">
      <w:pPr>
        <w:pStyle w:val="H23G"/>
        <w:rPr>
          <w:lang w:val="fr-FR"/>
        </w:rPr>
      </w:pPr>
      <w:r>
        <w:rPr>
          <w:lang w:val="fr-FR"/>
        </w:rPr>
        <w:tab/>
      </w:r>
      <w:r>
        <w:rPr>
          <w:lang w:val="fr-FR"/>
        </w:rPr>
        <w:tab/>
      </w:r>
      <w:r w:rsidR="004608F0" w:rsidRPr="004608F0">
        <w:rPr>
          <w:lang w:val="fr-FR"/>
        </w:rPr>
        <w:t>Réponse au paragraphe 9 a) et b)</w:t>
      </w:r>
    </w:p>
    <w:p w14:paraId="799B9D6F" w14:textId="77777777" w:rsidR="004608F0" w:rsidRPr="004608F0" w:rsidRDefault="004608F0" w:rsidP="0098006A">
      <w:pPr>
        <w:pStyle w:val="SingleTxtG"/>
        <w:numPr>
          <w:ilvl w:val="0"/>
          <w:numId w:val="31"/>
        </w:numPr>
        <w:ind w:left="1134" w:firstLine="0"/>
        <w:rPr>
          <w:lang w:val="fr-FR"/>
        </w:rPr>
      </w:pPr>
      <w:r w:rsidRPr="004608F0">
        <w:rPr>
          <w:lang w:val="fr-FR"/>
        </w:rPr>
        <w:t>Les dispositions de la loi relative à la lutte contre le terrorisme sont conformes à la loi n°2015-033. En effet, les garanties prévues par la loi n°2015-033 relative à la lutte contre la torture, s’appliquent en toute circonstance, sans préjudice des dispositions spéciales propres au contexte du terrorisme et des atteintes à la sûreté de l’</w:t>
      </w:r>
      <w:proofErr w:type="spellStart"/>
      <w:r w:rsidRPr="004608F0">
        <w:rPr>
          <w:lang w:val="fr-FR"/>
        </w:rPr>
        <w:t>Etat</w:t>
      </w:r>
      <w:proofErr w:type="spellEnd"/>
      <w:r w:rsidRPr="004608F0">
        <w:rPr>
          <w:lang w:val="fr-FR"/>
        </w:rPr>
        <w:t xml:space="preserve">, dans le cadre desquelles, l’accès à l’avocat est retardé, conformément aux dispositions pertinentes du Code de procédure pénale et de la loi n°2010-035 modifiée et complétée, relative à la lutte contre le terrorisme. Ce retard se justifie par les besoins et les spécificités des enquêtes en la matière. Il reste que dans tous les cas d’arrestation et quelle qu’en soit la durée, l’officier de police judiciaire est tenu de justifier devant le juge compétent toutes les dispositions qu’il a prises (article 57 du CPP). </w:t>
      </w:r>
    </w:p>
    <w:p w14:paraId="61F3A289" w14:textId="77777777" w:rsidR="004608F0" w:rsidRPr="004608F0" w:rsidRDefault="004608F0" w:rsidP="0098006A">
      <w:pPr>
        <w:pStyle w:val="SingleTxtG"/>
        <w:numPr>
          <w:ilvl w:val="0"/>
          <w:numId w:val="31"/>
        </w:numPr>
        <w:ind w:left="1134" w:firstLine="0"/>
        <w:rPr>
          <w:lang w:val="fr-FR"/>
        </w:rPr>
      </w:pPr>
      <w:r w:rsidRPr="004608F0">
        <w:rPr>
          <w:lang w:val="fr-FR"/>
        </w:rPr>
        <w:t>En outre, toute personne privée de liberté en vertu d’une arrestation ou détention ou toutes autres formes de privation de liberté doit être traitée conformément au respect de la dignité humaine. Il est interdit de la maltraiter moralement ou physiquement ou de la détenir hors des lieux prévus légalement à cet effet (articles 58 du CPP, 4, 5 et 13 de la loi n°2015-033).</w:t>
      </w:r>
    </w:p>
    <w:p w14:paraId="5AAF3B4F" w14:textId="77777777" w:rsidR="004608F0" w:rsidRPr="004608F0" w:rsidRDefault="004608F0" w:rsidP="0098006A">
      <w:pPr>
        <w:pStyle w:val="SingleTxtG"/>
        <w:numPr>
          <w:ilvl w:val="0"/>
          <w:numId w:val="31"/>
        </w:numPr>
        <w:ind w:left="1134" w:firstLine="0"/>
        <w:rPr>
          <w:lang w:val="fr-FR"/>
        </w:rPr>
      </w:pPr>
      <w:r w:rsidRPr="004608F0">
        <w:rPr>
          <w:lang w:val="fr-FR"/>
        </w:rPr>
        <w:t>c) En matière de corruption, le délai de garde à vue a été revu à 48 heures renouvelable sur autorisation écrite du procureur de la république conformément à l’article 30 de la loi 2025/// relative à la lutte contre la corruption.</w:t>
      </w:r>
    </w:p>
    <w:p w14:paraId="0F8321DD" w14:textId="77777777" w:rsidR="004608F0" w:rsidRPr="004608F0" w:rsidRDefault="004608F0" w:rsidP="0098006A">
      <w:pPr>
        <w:pStyle w:val="SingleTxtG"/>
        <w:numPr>
          <w:ilvl w:val="0"/>
          <w:numId w:val="31"/>
        </w:numPr>
        <w:ind w:left="1134" w:firstLine="0"/>
        <w:rPr>
          <w:lang w:val="fr-FR"/>
        </w:rPr>
      </w:pPr>
      <w:r w:rsidRPr="004608F0">
        <w:rPr>
          <w:lang w:val="fr-FR"/>
        </w:rPr>
        <w:t>Le plan d’action du document national de réforme et de développement de la justice issu des états généraux de la justice organisé en 2023, prévoit la relecture en 2025 de la loi n°93-037 relative à la lutte contre les stupéfiants et substances psychotropes et le CPP aux fins de les rendre conformes aux contextes actuels ainsi que les engagements de la Mauritanie au titre de instruments internationaux dont elle est partie.</w:t>
      </w:r>
    </w:p>
    <w:p w14:paraId="34B6DECC" w14:textId="77777777" w:rsidR="004608F0" w:rsidRPr="004608F0" w:rsidRDefault="004608F0" w:rsidP="00077525">
      <w:pPr>
        <w:pStyle w:val="SingleTxtG"/>
        <w:numPr>
          <w:ilvl w:val="0"/>
          <w:numId w:val="31"/>
        </w:numPr>
        <w:ind w:left="1134" w:firstLine="0"/>
        <w:rPr>
          <w:lang w:val="fr-FR"/>
        </w:rPr>
      </w:pPr>
      <w:r w:rsidRPr="004608F0">
        <w:rPr>
          <w:lang w:val="fr-FR"/>
        </w:rPr>
        <w:t xml:space="preserve">d) Dès l'instant où intervient la privation de liberté d'une personne, des garanties fondamentales doivent être appliquées, notamment : </w:t>
      </w:r>
    </w:p>
    <w:p w14:paraId="668E04D5" w14:textId="77777777" w:rsidR="004608F0" w:rsidRPr="004608F0" w:rsidRDefault="004608F0" w:rsidP="00077525">
      <w:pPr>
        <w:pStyle w:val="Bullet1G"/>
        <w:rPr>
          <w:lang w:val="fr-FR"/>
        </w:rPr>
      </w:pPr>
      <w:r w:rsidRPr="004608F0">
        <w:rPr>
          <w:lang w:val="fr-FR"/>
        </w:rPr>
        <w:t xml:space="preserve">Le droit à ce qu'un membre de la famille ou une personne de son choix soit immédiatement informé de sa détention et du lieu de détention ; </w:t>
      </w:r>
    </w:p>
    <w:p w14:paraId="715C5F94" w14:textId="77777777" w:rsidR="004608F0" w:rsidRPr="004608F0" w:rsidRDefault="004608F0" w:rsidP="00077525">
      <w:pPr>
        <w:pStyle w:val="Bullet1G"/>
        <w:rPr>
          <w:lang w:val="fr-FR"/>
        </w:rPr>
      </w:pPr>
      <w:r w:rsidRPr="004608F0">
        <w:rPr>
          <w:lang w:val="fr-FR"/>
        </w:rPr>
        <w:t xml:space="preserve">Le droit, à sa demande, à un examen par un médecin dès son admission, arrestation ou internement ; </w:t>
      </w:r>
    </w:p>
    <w:p w14:paraId="7FCBA8CC" w14:textId="77777777" w:rsidR="004608F0" w:rsidRPr="004608F0" w:rsidRDefault="004608F0" w:rsidP="00077525">
      <w:pPr>
        <w:pStyle w:val="Bullet1G"/>
        <w:rPr>
          <w:lang w:val="fr-FR"/>
        </w:rPr>
      </w:pPr>
      <w:r w:rsidRPr="004608F0">
        <w:rPr>
          <w:lang w:val="fr-FR"/>
        </w:rPr>
        <w:t xml:space="preserve">Le droit d’avoir accès à un avocat dès le début de la privation de liberté ou à l'assistance d'une personne de son choix ainsi que la possibilité d’avoir rapidement accès à une aide judiciaire le cas échéant. </w:t>
      </w:r>
    </w:p>
    <w:p w14:paraId="43179A03" w14:textId="77777777" w:rsidR="004608F0" w:rsidRPr="004608F0" w:rsidRDefault="004608F0" w:rsidP="00077525">
      <w:pPr>
        <w:pStyle w:val="Bullet1G"/>
        <w:rPr>
          <w:lang w:val="fr-FR"/>
        </w:rPr>
      </w:pPr>
      <w:r w:rsidRPr="004608F0">
        <w:rPr>
          <w:lang w:val="fr-FR"/>
        </w:rPr>
        <w:t xml:space="preserve">Le droit d’être présentée sans délai à un juge et de faire examiner par un tribunal la légalité de sa détention, conformément aux lois en vigueur ; </w:t>
      </w:r>
    </w:p>
    <w:p w14:paraId="7B7C4153" w14:textId="77777777" w:rsidR="004608F0" w:rsidRPr="004608F0" w:rsidRDefault="004608F0" w:rsidP="00077525">
      <w:pPr>
        <w:pStyle w:val="Bullet1G"/>
        <w:rPr>
          <w:lang w:val="fr-FR"/>
        </w:rPr>
      </w:pPr>
      <w:r w:rsidRPr="004608F0">
        <w:rPr>
          <w:lang w:val="fr-FR"/>
        </w:rPr>
        <w:t xml:space="preserve">Le droit d'être informée dans une langue qu’elle comprend, des droits ci-dessus énumérés ainsi que la possibilité de solliciter l’aide judiciaire ; </w:t>
      </w:r>
    </w:p>
    <w:p w14:paraId="68E2FDFE" w14:textId="77777777" w:rsidR="004608F0" w:rsidRPr="004608F0" w:rsidRDefault="004608F0" w:rsidP="00077525">
      <w:pPr>
        <w:pStyle w:val="Bullet1G"/>
        <w:rPr>
          <w:lang w:val="fr-FR"/>
        </w:rPr>
      </w:pPr>
      <w:r w:rsidRPr="004608F0">
        <w:rPr>
          <w:lang w:val="fr-FR"/>
        </w:rPr>
        <w:t>L’obligation pour l’autorité de détention de tenir un registre à jour, indiquant notamment l’identité et l’état physique et sanitaire de la personne privée de liberté, la date, l’heure et le motif de la privation de liberté, l’autorité qui a procédé à la privation de liberté, la date et l’heure de la libération ou du transfert vers un autre lieu de détention, la destination et l’autorité chargée du transfert. L’inobservation de ces garanties fera l’objet de sanctions disciplinaires ou de poursuites pénales s’il y a lieu.</w:t>
      </w:r>
    </w:p>
    <w:p w14:paraId="6736E864" w14:textId="77777777" w:rsidR="004608F0" w:rsidRPr="004608F0" w:rsidRDefault="004608F0" w:rsidP="00077525">
      <w:pPr>
        <w:pStyle w:val="SingleTxtG"/>
        <w:numPr>
          <w:ilvl w:val="0"/>
          <w:numId w:val="31"/>
        </w:numPr>
        <w:ind w:left="1134" w:firstLine="0"/>
        <w:rPr>
          <w:lang w:val="fr-FR"/>
        </w:rPr>
      </w:pPr>
      <w:r w:rsidRPr="004608F0">
        <w:rPr>
          <w:lang w:val="fr-FR"/>
        </w:rPr>
        <w:t xml:space="preserve">Aux termes de l’article 648 du CPP, tout établissement pénitentiaire est pourvu d’un registre d’écrou signé et paraphé à toutes les pages par le procureur de la République. Parallèlement à ce registre, les grands établissements pénitentiaires (Dar-Naim, Centrale, Riyadh, Nouadhibou, Aleg et </w:t>
      </w:r>
      <w:proofErr w:type="spellStart"/>
      <w:r w:rsidRPr="004608F0">
        <w:rPr>
          <w:lang w:val="fr-FR"/>
        </w:rPr>
        <w:t>Nbeika</w:t>
      </w:r>
      <w:proofErr w:type="spellEnd"/>
      <w:r w:rsidRPr="004608F0">
        <w:rPr>
          <w:lang w:val="fr-FR"/>
        </w:rPr>
        <w:t xml:space="preserve">) sont dotés d’applications informatiques de gestion automatisée des situations pénales des détenus. Ces applications sont en voie d’interconnexion au niveau central avec la direction générale chargée de l’administration pénitentiaire. </w:t>
      </w:r>
    </w:p>
    <w:p w14:paraId="407E2C7B" w14:textId="0C9DA88A" w:rsidR="004608F0" w:rsidRPr="00EA524F" w:rsidRDefault="00EA524F" w:rsidP="00EA524F">
      <w:pPr>
        <w:pStyle w:val="SingleTxtG"/>
        <w:rPr>
          <w:b/>
          <w:bCs/>
          <w:lang w:val="fr-FR"/>
        </w:rPr>
      </w:pPr>
      <w:r w:rsidRPr="00EA524F">
        <w:rPr>
          <w:b/>
          <w:bCs/>
          <w:lang w:val="fr-FR"/>
        </w:rPr>
        <w:t xml:space="preserve">Réponse au paragraphe 9 </w:t>
      </w:r>
      <w:r w:rsidR="004608F0" w:rsidRPr="00EA524F">
        <w:rPr>
          <w:b/>
          <w:bCs/>
          <w:lang w:val="fr-FR"/>
        </w:rPr>
        <w:t>e) et f)</w:t>
      </w:r>
      <w:r w:rsidR="004608F0" w:rsidRPr="00EA524F">
        <w:rPr>
          <w:b/>
          <w:bCs/>
          <w:lang w:val="fr-FR"/>
        </w:rPr>
        <w:tab/>
      </w:r>
    </w:p>
    <w:p w14:paraId="437D3098" w14:textId="77777777" w:rsidR="004608F0" w:rsidRPr="004608F0" w:rsidRDefault="004608F0" w:rsidP="00BC3D59">
      <w:pPr>
        <w:pStyle w:val="SingleTxtG"/>
        <w:numPr>
          <w:ilvl w:val="0"/>
          <w:numId w:val="31"/>
        </w:numPr>
        <w:ind w:left="1134" w:firstLine="0"/>
        <w:rPr>
          <w:lang w:val="fr-FR"/>
        </w:rPr>
      </w:pPr>
      <w:r w:rsidRPr="004608F0">
        <w:rPr>
          <w:lang w:val="fr-FR"/>
        </w:rPr>
        <w:t xml:space="preserve">L’aide judiciaire est consacrée par la loi n°2015-030. Elle est accordée aux personnes indigentes, ou dont le revenu est limité, à toutes les phases de la procédure. Dans le cadre de la mise en œuvre de la Stratégie nationale d'accès à la justice (2020-2024) et l’application de la loi, les textes suivants ont été adoptés et mis en œuvre : </w:t>
      </w:r>
    </w:p>
    <w:p w14:paraId="34BDFCC1" w14:textId="77777777" w:rsidR="004608F0" w:rsidRPr="004608F0" w:rsidRDefault="004608F0" w:rsidP="00BC3D59">
      <w:pPr>
        <w:pStyle w:val="Bullet1G"/>
        <w:rPr>
          <w:lang w:val="fr-FR"/>
        </w:rPr>
      </w:pPr>
      <w:r w:rsidRPr="004608F0">
        <w:rPr>
          <w:lang w:val="fr-FR"/>
        </w:rPr>
        <w:t>Arrêté n°008/2021 du 6/1/2021 fixant la composition des bureaux d'aide judiciaire ;</w:t>
      </w:r>
    </w:p>
    <w:p w14:paraId="7796412A" w14:textId="77777777" w:rsidR="004608F0" w:rsidRPr="004608F0" w:rsidRDefault="004608F0" w:rsidP="00BC3D59">
      <w:pPr>
        <w:pStyle w:val="Bullet1G"/>
        <w:rPr>
          <w:lang w:val="fr-FR"/>
        </w:rPr>
      </w:pPr>
      <w:r w:rsidRPr="004608F0">
        <w:rPr>
          <w:lang w:val="fr-FR"/>
        </w:rPr>
        <w:t>Arrêté n°396/2021 du 14/4/2021, fixant le contenu de la demande d’aide judiciaire et la périodicité de réunions de ses bureaux ;</w:t>
      </w:r>
    </w:p>
    <w:p w14:paraId="5A4EEC48" w14:textId="77777777" w:rsidR="004608F0" w:rsidRPr="004608F0" w:rsidRDefault="004608F0" w:rsidP="00BC3D59">
      <w:pPr>
        <w:pStyle w:val="Bullet1G"/>
        <w:rPr>
          <w:lang w:val="fr-FR"/>
        </w:rPr>
      </w:pPr>
      <w:r w:rsidRPr="004608F0">
        <w:rPr>
          <w:lang w:val="fr-FR"/>
        </w:rPr>
        <w:t xml:space="preserve">Arrêté n°430/2021 du 20/4/2021, fixant les honoraires des avocats commis dans le cadre de l'aide judiciaire ; </w:t>
      </w:r>
    </w:p>
    <w:p w14:paraId="20CB6218" w14:textId="77777777" w:rsidR="004608F0" w:rsidRPr="004608F0" w:rsidRDefault="004608F0" w:rsidP="00BC3D59">
      <w:pPr>
        <w:pStyle w:val="Bullet1G"/>
        <w:rPr>
          <w:lang w:val="fr-FR"/>
        </w:rPr>
      </w:pPr>
      <w:r w:rsidRPr="004608F0">
        <w:rPr>
          <w:lang w:val="fr-FR"/>
        </w:rPr>
        <w:t xml:space="preserve">Arrêté n°1190/2021 du 15/10/2021, portant création de la commission centrale de l’aide judiciaire. </w:t>
      </w:r>
    </w:p>
    <w:p w14:paraId="357F07B0" w14:textId="77777777" w:rsidR="004608F0" w:rsidRPr="004608F0" w:rsidRDefault="004608F0" w:rsidP="00BC3D59">
      <w:pPr>
        <w:pStyle w:val="SingleTxtG"/>
        <w:numPr>
          <w:ilvl w:val="0"/>
          <w:numId w:val="31"/>
        </w:numPr>
        <w:ind w:left="1134" w:firstLine="0"/>
        <w:rPr>
          <w:lang w:val="fr-FR"/>
        </w:rPr>
      </w:pPr>
      <w:r w:rsidRPr="004608F0">
        <w:rPr>
          <w:lang w:val="fr-FR"/>
        </w:rPr>
        <w:t>Le financement de l’aide judiciaire est acquis sur le budget général de l’</w:t>
      </w:r>
      <w:proofErr w:type="spellStart"/>
      <w:r w:rsidRPr="004608F0">
        <w:rPr>
          <w:lang w:val="fr-FR"/>
        </w:rPr>
        <w:t>Etat</w:t>
      </w:r>
      <w:proofErr w:type="spellEnd"/>
      <w:r w:rsidRPr="004608F0">
        <w:rPr>
          <w:lang w:val="fr-FR"/>
        </w:rPr>
        <w:t xml:space="preserve"> depuis 2022. Au titre de la loi de finances 2025 ce financement est de 70,000,000 MRO. </w:t>
      </w:r>
    </w:p>
    <w:p w14:paraId="6556C406" w14:textId="77777777" w:rsidR="004608F0" w:rsidRPr="004608F0" w:rsidRDefault="004608F0" w:rsidP="00BC3D59">
      <w:pPr>
        <w:pStyle w:val="SingleTxtG"/>
        <w:numPr>
          <w:ilvl w:val="0"/>
          <w:numId w:val="31"/>
        </w:numPr>
        <w:ind w:left="1134" w:firstLine="0"/>
        <w:rPr>
          <w:lang w:val="fr-FR"/>
        </w:rPr>
      </w:pPr>
      <w:r w:rsidRPr="004608F0">
        <w:rPr>
          <w:lang w:val="fr-FR"/>
        </w:rPr>
        <w:t>En outre, des partenaires comme l’Office des Nations Unies Contre la Drogue et le Crime, le Programme des Nations Unies pour le Développement (PNUD), le Projet d’appui à la réforme de la justice (PARJ) et d’autres organisations ont développé et mis en œuvre des mécanismes parallèles d’aide juridique et judiciaire, qu’ils financent.</w:t>
      </w:r>
    </w:p>
    <w:p w14:paraId="4CAB1942" w14:textId="77777777" w:rsidR="004608F0" w:rsidRPr="004608F0" w:rsidRDefault="004608F0" w:rsidP="00BC3D59">
      <w:pPr>
        <w:pStyle w:val="SingleTxtG"/>
        <w:numPr>
          <w:ilvl w:val="0"/>
          <w:numId w:val="31"/>
        </w:numPr>
        <w:ind w:left="1134" w:firstLine="0"/>
        <w:rPr>
          <w:lang w:val="fr-FR"/>
        </w:rPr>
      </w:pPr>
      <w:r w:rsidRPr="004608F0">
        <w:rPr>
          <w:lang w:val="fr-FR"/>
        </w:rPr>
        <w:t>Les bureaux d’aide judiciaire sont installés auprès de tous les tribunaux des wilayas et fonctionnent normalement. Les bénéficiaires de l’aide judiciaire accordée par les bureaux d’aide judiciaire, au cours de l’année 2024 ont atteint 119 personnes. Au 1er juin 2025, déjà 80 bénéficiaires en ont profité. Ces chiffres constituent l’ensemble des demandes reçus et qui ont été accordées dans leur totalité.</w:t>
      </w:r>
    </w:p>
    <w:p w14:paraId="5AF4D536" w14:textId="77777777" w:rsidR="004608F0" w:rsidRPr="004608F0" w:rsidRDefault="004608F0" w:rsidP="00BC3D59">
      <w:pPr>
        <w:pStyle w:val="SingleTxtG"/>
        <w:numPr>
          <w:ilvl w:val="0"/>
          <w:numId w:val="31"/>
        </w:numPr>
        <w:ind w:left="1134" w:firstLine="0"/>
        <w:rPr>
          <w:lang w:val="fr-FR"/>
        </w:rPr>
      </w:pPr>
      <w:r w:rsidRPr="004608F0">
        <w:rPr>
          <w:lang w:val="fr-FR"/>
        </w:rPr>
        <w:t xml:space="preserve">g) Un registre côté et paraphé par le procureur de la République est tenu dans tous les lieux dans lesquels une personne est susceptible d’être placée en garde à vue. L’identité de la personne gardée à vue, les causes de cette dernière, l’heure à laquelle elle a débuté et celle à laquelle elle a pris fin, la durée de l’interrogatoire, les heures de repos, l’état physique et sanitaire de la personne arrêtée et l’alimentation qui lui est fournie sont mentionnées dans ce registre. </w:t>
      </w:r>
    </w:p>
    <w:p w14:paraId="7DA46975" w14:textId="77777777" w:rsidR="004608F0" w:rsidRPr="004608F0" w:rsidRDefault="004608F0" w:rsidP="00BC3D59">
      <w:pPr>
        <w:pStyle w:val="SingleTxtG"/>
        <w:numPr>
          <w:ilvl w:val="0"/>
          <w:numId w:val="31"/>
        </w:numPr>
        <w:ind w:left="1134" w:firstLine="0"/>
        <w:rPr>
          <w:lang w:val="fr-FR"/>
        </w:rPr>
      </w:pPr>
      <w:r w:rsidRPr="004608F0">
        <w:rPr>
          <w:lang w:val="fr-FR"/>
        </w:rPr>
        <w:t>Un registre similaire est tenu au niveau de chaque établissement pénitentiaire, dans lequel sont enregistrés les informations et les titres en vertus desquels toute personne est détenue dans l’établissement.</w:t>
      </w:r>
    </w:p>
    <w:p w14:paraId="276E9C79" w14:textId="77777777" w:rsidR="004608F0" w:rsidRPr="004608F0" w:rsidRDefault="004608F0" w:rsidP="00BC3D59">
      <w:pPr>
        <w:pStyle w:val="SingleTxtG"/>
        <w:numPr>
          <w:ilvl w:val="0"/>
          <w:numId w:val="31"/>
        </w:numPr>
        <w:ind w:left="1134" w:firstLine="0"/>
        <w:rPr>
          <w:lang w:val="fr-FR"/>
        </w:rPr>
      </w:pPr>
      <w:r w:rsidRPr="004608F0">
        <w:rPr>
          <w:lang w:val="fr-FR"/>
        </w:rPr>
        <w:t xml:space="preserve">La tenue de ces registres est soumise régulièrement au contrôle du procureur de la République et procureur général, des juges d’instruction et des présidents des chambres d’accusation, du ressort. </w:t>
      </w:r>
    </w:p>
    <w:p w14:paraId="5975A83F" w14:textId="77777777" w:rsidR="004608F0" w:rsidRPr="004608F0" w:rsidRDefault="004608F0" w:rsidP="00BC3D59">
      <w:pPr>
        <w:pStyle w:val="SingleTxtG"/>
        <w:numPr>
          <w:ilvl w:val="0"/>
          <w:numId w:val="31"/>
        </w:numPr>
        <w:ind w:left="1134" w:firstLine="0"/>
        <w:rPr>
          <w:lang w:val="fr-FR"/>
        </w:rPr>
      </w:pPr>
      <w:r w:rsidRPr="004608F0">
        <w:rPr>
          <w:lang w:val="fr-FR"/>
        </w:rPr>
        <w:t>En outre, il est prévu que le juge de l’exécution des peines visite les établissements pénitentiaires relevant du ressort du tribunal de la wilaya dans laquelle il travaille au moins une fois par mois au moins. Il consulte les registres et établit un rapport à chaque visite, contenant ses observations, qu’il adresse au ministre de la Justice, au procureur général près la cour d’appel et à l’inspecteur général de l’administration judiciaire et pénitentiaire (article 638 du CPP).</w:t>
      </w:r>
    </w:p>
    <w:p w14:paraId="11C44E02" w14:textId="77777777" w:rsidR="004608F0" w:rsidRPr="004608F0" w:rsidRDefault="004608F0" w:rsidP="00BC3D59">
      <w:pPr>
        <w:pStyle w:val="SingleTxtG"/>
        <w:numPr>
          <w:ilvl w:val="0"/>
          <w:numId w:val="31"/>
        </w:numPr>
        <w:ind w:left="1134" w:firstLine="0"/>
        <w:rPr>
          <w:lang w:val="fr-FR"/>
        </w:rPr>
      </w:pPr>
      <w:r w:rsidRPr="004608F0">
        <w:rPr>
          <w:lang w:val="fr-FR"/>
        </w:rPr>
        <w:t>Les institutions indépendantes, comme la Commission Nationale des Droits de l’Homme (CNDH) et le Mécanisme National de Prévention de la Torture (MNP) peuvent vérifier et s’assurer de la tenue de tel registre, au cours des visites qu’elles effectuent de façon déclarée ou inopinée à ces lieux de détention.</w:t>
      </w:r>
    </w:p>
    <w:p w14:paraId="32F16364" w14:textId="153CD1D9" w:rsidR="004608F0" w:rsidRPr="004608F0" w:rsidRDefault="00BC3D59" w:rsidP="00BC3D59">
      <w:pPr>
        <w:pStyle w:val="H23G"/>
        <w:rPr>
          <w:lang w:val="fr-FR"/>
        </w:rPr>
      </w:pPr>
      <w:r>
        <w:rPr>
          <w:lang w:val="fr-FR"/>
        </w:rPr>
        <w:tab/>
      </w:r>
      <w:r>
        <w:rPr>
          <w:lang w:val="fr-FR"/>
        </w:rPr>
        <w:tab/>
      </w:r>
      <w:r w:rsidR="004608F0" w:rsidRPr="004608F0">
        <w:rPr>
          <w:lang w:val="fr-FR"/>
        </w:rPr>
        <w:t xml:space="preserve">Lutte contre le terrorisme et détentions au secret et dans des lieux de détention officieux </w:t>
      </w:r>
    </w:p>
    <w:p w14:paraId="717EC3CC" w14:textId="33C34F49" w:rsidR="004608F0" w:rsidRPr="004608F0" w:rsidRDefault="00BC3D59" w:rsidP="00BC3D59">
      <w:pPr>
        <w:pStyle w:val="H23G"/>
      </w:pPr>
      <w:r>
        <w:tab/>
      </w:r>
      <w:r>
        <w:tab/>
      </w:r>
      <w:r w:rsidR="004608F0" w:rsidRPr="004608F0">
        <w:t xml:space="preserve">Réponse au paragraphe 11 des observations finales </w:t>
      </w:r>
    </w:p>
    <w:p w14:paraId="272A6C76" w14:textId="77777777" w:rsidR="004608F0" w:rsidRPr="004608F0" w:rsidRDefault="004608F0" w:rsidP="00BC3D59">
      <w:pPr>
        <w:pStyle w:val="SingleTxtG"/>
        <w:numPr>
          <w:ilvl w:val="0"/>
          <w:numId w:val="31"/>
        </w:numPr>
        <w:ind w:left="1134" w:firstLine="0"/>
        <w:rPr>
          <w:lang w:val="fr-FR"/>
        </w:rPr>
      </w:pPr>
      <w:r w:rsidRPr="004608F0">
        <w:rPr>
          <w:lang w:val="fr-FR"/>
        </w:rPr>
        <w:t xml:space="preserve">a) Il n’existe pas de lieu où est pratiquée de mise en détention au secret. Toutes les prisons sur l’ensemble du territoire national sont </w:t>
      </w:r>
      <w:proofErr w:type="spellStart"/>
      <w:r w:rsidRPr="004608F0">
        <w:rPr>
          <w:lang w:val="fr-FR"/>
        </w:rPr>
        <w:t>règlementaires</w:t>
      </w:r>
      <w:proofErr w:type="spellEnd"/>
      <w:r w:rsidRPr="004608F0">
        <w:rPr>
          <w:lang w:val="fr-FR"/>
        </w:rPr>
        <w:t xml:space="preserve"> et conformes à la loi. A la date du 27 mai 2025, les détenus pour des faits en lien avec le terrorisme sont au total au nombre de 25 détenus dont seulement 2 en situation de détention préventive en attente de jugement.</w:t>
      </w:r>
    </w:p>
    <w:p w14:paraId="218FAE61" w14:textId="77777777" w:rsidR="004608F0" w:rsidRPr="004608F0" w:rsidRDefault="004608F0" w:rsidP="00BC3D59">
      <w:pPr>
        <w:pStyle w:val="SingleTxtG"/>
        <w:numPr>
          <w:ilvl w:val="0"/>
          <w:numId w:val="31"/>
        </w:numPr>
        <w:ind w:left="1134" w:firstLine="0"/>
        <w:rPr>
          <w:lang w:val="fr-FR"/>
        </w:rPr>
      </w:pPr>
      <w:r w:rsidRPr="004608F0">
        <w:rPr>
          <w:lang w:val="fr-FR"/>
        </w:rPr>
        <w:t xml:space="preserve">Tous les détenus pour des actes en lien avec le terrorisme jouissent pleinement de leurs droits en tant que détenus. Leur prise en charge humanitaire totale est assurée. Ils reçoivent les visites familiales et peuvent communiquer avec leurs familles par téléphone, etc. </w:t>
      </w:r>
    </w:p>
    <w:p w14:paraId="20218BF8" w14:textId="77777777" w:rsidR="004608F0" w:rsidRPr="004608F0" w:rsidRDefault="004608F0" w:rsidP="00657A16">
      <w:pPr>
        <w:pStyle w:val="SingleTxtG"/>
        <w:numPr>
          <w:ilvl w:val="0"/>
          <w:numId w:val="31"/>
        </w:numPr>
        <w:ind w:left="1134" w:firstLine="0"/>
        <w:rPr>
          <w:lang w:val="fr-FR"/>
        </w:rPr>
      </w:pPr>
      <w:r w:rsidRPr="004608F0">
        <w:rPr>
          <w:lang w:val="fr-FR"/>
        </w:rPr>
        <w:t xml:space="preserve">b) Aucune information ni allégation ne laisse croire qu’un lieu est tenu secret pour recevoir des personnes privées de liberté pour quelque cause que ce soit. </w:t>
      </w:r>
    </w:p>
    <w:p w14:paraId="42035C92" w14:textId="77777777" w:rsidR="004608F0" w:rsidRPr="004608F0" w:rsidRDefault="004608F0" w:rsidP="00657A16">
      <w:pPr>
        <w:pStyle w:val="SingleTxtG"/>
        <w:numPr>
          <w:ilvl w:val="0"/>
          <w:numId w:val="31"/>
        </w:numPr>
        <w:ind w:left="1134" w:firstLine="0"/>
        <w:rPr>
          <w:lang w:val="fr-FR"/>
        </w:rPr>
      </w:pPr>
      <w:r w:rsidRPr="004608F0">
        <w:rPr>
          <w:lang w:val="fr-FR"/>
        </w:rPr>
        <w:t>c) La Feuille de Route résultant de l’étude sur l’harmonisation de la législation nationale avec les conventions internationales ratifiées par la Mauritanie, menée par le Gouvernement en 2021, prévoit, entre autres, la révision de la Loi n° 2010-035 modifiée relative à la lutte contre le terrorisme.</w:t>
      </w:r>
    </w:p>
    <w:p w14:paraId="16031EB7" w14:textId="29373801" w:rsidR="004608F0" w:rsidRPr="004608F0" w:rsidRDefault="004608F0" w:rsidP="002138AD">
      <w:pPr>
        <w:pStyle w:val="H23G"/>
        <w:rPr>
          <w:lang w:val="fr-FR"/>
        </w:rPr>
      </w:pPr>
      <w:r w:rsidRPr="004608F0">
        <w:tab/>
      </w:r>
      <w:r w:rsidR="002138AD">
        <w:tab/>
      </w:r>
      <w:r w:rsidR="002138AD">
        <w:tab/>
      </w:r>
      <w:r w:rsidRPr="004608F0">
        <w:rPr>
          <w:lang w:val="fr-FR"/>
        </w:rPr>
        <w:t>Recours à la torture</w:t>
      </w:r>
      <w:r w:rsidRPr="004608F0">
        <w:t xml:space="preserve"> et aux mauvais traitements pendant l’arrestation et la détention</w:t>
      </w:r>
    </w:p>
    <w:p w14:paraId="10BE0583" w14:textId="41EB9DD1" w:rsidR="004608F0" w:rsidRPr="004608F0" w:rsidRDefault="002138AD" w:rsidP="002138AD">
      <w:pPr>
        <w:pStyle w:val="H23G"/>
        <w:rPr>
          <w:lang w:val="x-none"/>
        </w:rPr>
      </w:pPr>
      <w:r>
        <w:rPr>
          <w:lang w:val="x-none"/>
        </w:rPr>
        <w:tab/>
      </w:r>
      <w:r>
        <w:rPr>
          <w:lang w:val="x-none"/>
        </w:rPr>
        <w:tab/>
      </w:r>
      <w:proofErr w:type="spellStart"/>
      <w:r w:rsidR="004608F0" w:rsidRPr="004608F0">
        <w:rPr>
          <w:lang w:val="x-none"/>
        </w:rPr>
        <w:t>Réponse</w:t>
      </w:r>
      <w:proofErr w:type="spellEnd"/>
      <w:r w:rsidR="004608F0" w:rsidRPr="004608F0">
        <w:rPr>
          <w:lang w:val="x-none"/>
        </w:rPr>
        <w:t xml:space="preserve"> au </w:t>
      </w:r>
      <w:proofErr w:type="spellStart"/>
      <w:r w:rsidR="004608F0" w:rsidRPr="004608F0">
        <w:rPr>
          <w:lang w:val="x-none"/>
        </w:rPr>
        <w:t>paragraphe</w:t>
      </w:r>
      <w:proofErr w:type="spellEnd"/>
      <w:r w:rsidR="004608F0" w:rsidRPr="004608F0">
        <w:rPr>
          <w:lang w:val="x-none"/>
        </w:rPr>
        <w:t xml:space="preserve"> 13 des observations finales </w:t>
      </w:r>
    </w:p>
    <w:p w14:paraId="64E61A73" w14:textId="77777777" w:rsidR="004608F0" w:rsidRPr="004608F0" w:rsidRDefault="004608F0" w:rsidP="002138AD">
      <w:pPr>
        <w:pStyle w:val="SingleTxtG"/>
        <w:numPr>
          <w:ilvl w:val="0"/>
          <w:numId w:val="31"/>
        </w:numPr>
        <w:ind w:left="1134" w:firstLine="0"/>
        <w:rPr>
          <w:lang w:val="fr-FR"/>
        </w:rPr>
      </w:pPr>
      <w:r w:rsidRPr="004608F0">
        <w:rPr>
          <w:lang w:val="fr-FR"/>
        </w:rPr>
        <w:t xml:space="preserve">a) Cette affirmation a été traduite explicitement dans la circulaire n°023 en date 24 janvier 2017 dans laquelle, le procureur général près la Cour suprême, attirant l’attention des membres du ministère public (procureur généraux et procureurs de la République) sur l’importance à prêter particulièrement aux traitements des infractions liées à la torture en autres actes comme la corruption, l’esclavage, le trafic des stupéfiants et substances psychotropes, le terrorisme etc.  </w:t>
      </w:r>
    </w:p>
    <w:p w14:paraId="6A919FE4" w14:textId="77777777" w:rsidR="004608F0" w:rsidRPr="004608F0" w:rsidRDefault="004608F0" w:rsidP="002138AD">
      <w:pPr>
        <w:pStyle w:val="SingleTxtG"/>
        <w:numPr>
          <w:ilvl w:val="0"/>
          <w:numId w:val="31"/>
        </w:numPr>
        <w:ind w:left="1134" w:firstLine="0"/>
        <w:rPr>
          <w:lang w:val="fr-FR"/>
        </w:rPr>
      </w:pPr>
      <w:r w:rsidRPr="004608F0">
        <w:rPr>
          <w:lang w:val="fr-FR"/>
        </w:rPr>
        <w:t xml:space="preserve">b) Les dispositifs de </w:t>
      </w:r>
      <w:proofErr w:type="spellStart"/>
      <w:r w:rsidRPr="004608F0">
        <w:rPr>
          <w:lang w:val="fr-FR"/>
        </w:rPr>
        <w:t>vidéosurveillance</w:t>
      </w:r>
      <w:proofErr w:type="spellEnd"/>
      <w:r w:rsidRPr="004608F0">
        <w:rPr>
          <w:lang w:val="fr-FR"/>
        </w:rPr>
        <w:t xml:space="preserve"> sont installés dans les prisons de Dar-Naim, Nouadhibou, Aleg, Centrale, femmes, </w:t>
      </w:r>
      <w:proofErr w:type="spellStart"/>
      <w:r w:rsidRPr="004608F0">
        <w:rPr>
          <w:lang w:val="fr-FR"/>
        </w:rPr>
        <w:t>Nbeika</w:t>
      </w:r>
      <w:proofErr w:type="spellEnd"/>
      <w:r w:rsidRPr="004608F0">
        <w:rPr>
          <w:lang w:val="fr-FR"/>
        </w:rPr>
        <w:t xml:space="preserve"> et Riyadh. Ces dispositifs couvrent tous les espaces de l’établissement à l’exception de lieux de vie des détenus, les lieux réservés à la visite conjugale intime et les salles d’entretien des avocats et points de santé. </w:t>
      </w:r>
    </w:p>
    <w:p w14:paraId="6FAFE02B" w14:textId="77777777" w:rsidR="004608F0" w:rsidRPr="004608F0" w:rsidRDefault="004608F0" w:rsidP="002138AD">
      <w:pPr>
        <w:pStyle w:val="SingleTxtG"/>
        <w:numPr>
          <w:ilvl w:val="0"/>
          <w:numId w:val="31"/>
        </w:numPr>
        <w:ind w:left="1134" w:firstLine="0"/>
        <w:rPr>
          <w:lang w:val="fr-FR"/>
        </w:rPr>
      </w:pPr>
      <w:r w:rsidRPr="004608F0">
        <w:rPr>
          <w:lang w:val="fr-FR"/>
        </w:rPr>
        <w:t xml:space="preserve">c) La Direction Générale de la </w:t>
      </w:r>
      <w:proofErr w:type="spellStart"/>
      <w:r w:rsidRPr="004608F0">
        <w:rPr>
          <w:lang w:val="fr-FR"/>
        </w:rPr>
        <w:t>Sureté</w:t>
      </w:r>
      <w:proofErr w:type="spellEnd"/>
      <w:r w:rsidRPr="004608F0">
        <w:rPr>
          <w:lang w:val="fr-FR"/>
        </w:rPr>
        <w:t xml:space="preserve"> Nationale a mis en place un laboratoire scientifique moderne. Le laboratoire joue un rôle essentiel dans le soutien des enquêtes criminelles. Ses principales missions sont l’analyse des preuves, l’identification et la comparaison les éléments et prélèvements, le soutien aux enquête et la réalisation d’expertises scientifiques dans diverses spécialités. Le laboratoire contribue ainsi à aider  la justice en apportant une expertise technique fiable pour résoudre les affaires criminelles. </w:t>
      </w:r>
    </w:p>
    <w:p w14:paraId="4937B281" w14:textId="77777777" w:rsidR="004608F0" w:rsidRPr="004608F0" w:rsidRDefault="004608F0" w:rsidP="002138AD">
      <w:pPr>
        <w:pStyle w:val="SingleTxtG"/>
        <w:numPr>
          <w:ilvl w:val="0"/>
          <w:numId w:val="31"/>
        </w:numPr>
        <w:ind w:left="1134" w:firstLine="0"/>
        <w:rPr>
          <w:lang w:val="fr-FR"/>
        </w:rPr>
      </w:pPr>
      <w:r w:rsidRPr="004608F0">
        <w:rPr>
          <w:lang w:val="fr-FR"/>
        </w:rPr>
        <w:t xml:space="preserve">Le Plan d’action du document national de réforme et de développement de la justice prévoit la révision du Code de Procédure Pénale en 2025 en vue d’intégrer les techniques spéciales d’enquête. Cette révision dont les études sont avancée, consacre une place primordiale à la preuve scientifique. </w:t>
      </w:r>
    </w:p>
    <w:p w14:paraId="78C7D374" w14:textId="77777777" w:rsidR="004608F0" w:rsidRPr="004608F0" w:rsidRDefault="004608F0" w:rsidP="002138AD">
      <w:pPr>
        <w:pStyle w:val="SingleTxtG"/>
        <w:numPr>
          <w:ilvl w:val="0"/>
          <w:numId w:val="31"/>
        </w:numPr>
        <w:ind w:left="1134" w:firstLine="0"/>
        <w:rPr>
          <w:lang w:val="fr-FR"/>
        </w:rPr>
      </w:pPr>
      <w:r w:rsidRPr="004608F0">
        <w:rPr>
          <w:lang w:val="fr-FR"/>
        </w:rPr>
        <w:t>d) Le Gouvernement reconnaît l’importance des visites régulières et effectives des lieux de privation de liberté par les autorités judiciaires, en tant que garantie essentielle contre les mauvais traitements et pour le respect des droits des détenus. Le juge d’instruction, le juge de l’exécution des peines, les procureurs de la République et le procureur général près la cour d’appel effectuent des visites régulières dans les lieux de détention relevant de leur ressort, conformément aux dispositions du Code de procédure pénale.</w:t>
      </w:r>
    </w:p>
    <w:p w14:paraId="25080C1E" w14:textId="77777777" w:rsidR="004608F0" w:rsidRPr="004608F0" w:rsidRDefault="004608F0" w:rsidP="002138AD">
      <w:pPr>
        <w:pStyle w:val="SingleTxtG"/>
        <w:numPr>
          <w:ilvl w:val="0"/>
          <w:numId w:val="31"/>
        </w:numPr>
        <w:ind w:left="1134" w:firstLine="0"/>
        <w:rPr>
          <w:lang w:val="fr-FR"/>
        </w:rPr>
      </w:pPr>
      <w:r w:rsidRPr="004608F0">
        <w:rPr>
          <w:lang w:val="fr-FR"/>
        </w:rPr>
        <w:t xml:space="preserve">Le président de la chambre d’accusation ou celui qui le représente visite au moins une fois tous les trois mois les établissements pénitentiaires qui relèvent du ressort de la cour d’appel dans laquelle il travaille et s’assure de la situation des prévenus en détention préventive. Il peut demander au juge d’instruction toutes les informations qu’il juge nécessaires. S’il estime que la détention n’est pas justifiée, le président de la chambre d’accusation adresse au juge d’instruction les recommandations appropriées à cet effet (article 220 et 651 du CPP). </w:t>
      </w:r>
    </w:p>
    <w:p w14:paraId="40C5A1DB" w14:textId="77777777" w:rsidR="004608F0" w:rsidRPr="004608F0" w:rsidRDefault="004608F0" w:rsidP="002138AD">
      <w:pPr>
        <w:pStyle w:val="SingleTxtG"/>
        <w:numPr>
          <w:ilvl w:val="0"/>
          <w:numId w:val="31"/>
        </w:numPr>
        <w:ind w:left="1134" w:firstLine="0"/>
        <w:rPr>
          <w:lang w:val="fr-FR"/>
        </w:rPr>
      </w:pPr>
      <w:r w:rsidRPr="004608F0">
        <w:rPr>
          <w:lang w:val="fr-FR"/>
        </w:rPr>
        <w:t>Une circulaire du ministère de la Justice rappelle aux magistrats leurs obligations de recueillir les doléances des personnes détenues qui en font la demande, lors de ces visites.</w:t>
      </w:r>
    </w:p>
    <w:p w14:paraId="78DF28EB" w14:textId="77777777" w:rsidR="004608F0" w:rsidRPr="004608F0" w:rsidRDefault="004608F0" w:rsidP="002138AD">
      <w:pPr>
        <w:pStyle w:val="SingleTxtG"/>
        <w:numPr>
          <w:ilvl w:val="0"/>
          <w:numId w:val="31"/>
        </w:numPr>
        <w:ind w:left="1134" w:firstLine="0"/>
        <w:rPr>
          <w:lang w:val="fr-FR"/>
        </w:rPr>
      </w:pPr>
      <w:r w:rsidRPr="004608F0">
        <w:rPr>
          <w:lang w:val="fr-FR"/>
        </w:rPr>
        <w:t>Des registres de réclamations ont été mis en place dans plusieurs établissements pénitentiaires afin de permettre aux détenus de signaler des abus ou de solliciter un entretien avec un magistrat.</w:t>
      </w:r>
    </w:p>
    <w:p w14:paraId="3543C6E2" w14:textId="13CB7F9F" w:rsidR="004608F0" w:rsidRPr="004608F0" w:rsidRDefault="002138AD" w:rsidP="002138AD">
      <w:pPr>
        <w:pStyle w:val="H23G"/>
      </w:pPr>
      <w:r>
        <w:rPr>
          <w:lang w:val="fr-FR"/>
        </w:rPr>
        <w:tab/>
      </w:r>
      <w:r>
        <w:rPr>
          <w:lang w:val="fr-FR"/>
        </w:rPr>
        <w:tab/>
      </w:r>
      <w:r w:rsidR="004608F0" w:rsidRPr="004608F0">
        <w:rPr>
          <w:lang w:val="fr-FR"/>
        </w:rPr>
        <w:t>Impunité des actes de torture et des mauvais traitements et indépendance des enquêtes</w:t>
      </w:r>
    </w:p>
    <w:p w14:paraId="0431A173" w14:textId="6CAF4F2A" w:rsidR="004608F0" w:rsidRPr="004608F0" w:rsidRDefault="002138AD" w:rsidP="002138AD">
      <w:pPr>
        <w:pStyle w:val="H23G"/>
      </w:pPr>
      <w:r>
        <w:tab/>
      </w:r>
      <w:r>
        <w:tab/>
      </w:r>
      <w:r w:rsidR="004608F0" w:rsidRPr="004608F0">
        <w:t xml:space="preserve">Réponse au paragraphe 15 des observations finales </w:t>
      </w:r>
    </w:p>
    <w:p w14:paraId="7F0B67FB" w14:textId="77777777" w:rsidR="004608F0" w:rsidRPr="004608F0" w:rsidRDefault="004608F0" w:rsidP="005B06D5">
      <w:pPr>
        <w:pStyle w:val="SingleTxtG"/>
        <w:numPr>
          <w:ilvl w:val="0"/>
          <w:numId w:val="31"/>
        </w:numPr>
        <w:ind w:left="1134" w:firstLine="0"/>
        <w:rPr>
          <w:lang w:val="fr-FR"/>
        </w:rPr>
      </w:pPr>
      <w:r w:rsidRPr="004608F0">
        <w:rPr>
          <w:lang w:val="fr-FR"/>
        </w:rPr>
        <w:t xml:space="preserve">Le président de la République est aux termes de l’article 89 (nouveau) de la Constitution, le garant de l’indépendance de la justice. </w:t>
      </w:r>
      <w:proofErr w:type="spellStart"/>
      <w:r w:rsidRPr="004608F0">
        <w:rPr>
          <w:lang w:val="fr-FR"/>
        </w:rPr>
        <w:t>A</w:t>
      </w:r>
      <w:proofErr w:type="spellEnd"/>
      <w:r w:rsidRPr="004608F0">
        <w:rPr>
          <w:lang w:val="fr-FR"/>
        </w:rPr>
        <w:t xml:space="preserve"> cet égard, il est assisté par le Conseil supérieur de la magistrature qu’il préside.</w:t>
      </w:r>
    </w:p>
    <w:p w14:paraId="73A0F2A7" w14:textId="77777777" w:rsidR="004608F0" w:rsidRPr="004608F0" w:rsidRDefault="004608F0" w:rsidP="005B06D5">
      <w:pPr>
        <w:pStyle w:val="SingleTxtG"/>
        <w:numPr>
          <w:ilvl w:val="0"/>
          <w:numId w:val="31"/>
        </w:numPr>
        <w:ind w:left="1134" w:firstLine="0"/>
        <w:rPr>
          <w:lang w:val="fr-FR"/>
        </w:rPr>
      </w:pPr>
      <w:r w:rsidRPr="004608F0">
        <w:rPr>
          <w:lang w:val="fr-FR"/>
        </w:rPr>
        <w:t xml:space="preserve">Au cours de l’année 2022, deux (2) cas d’allégation de torture ont été enregistrés. La première plainte a été introduite par les présumés victimes, 4 mois après les supposés faits. Le ministère public a ordonné une enquête qui a été confiée à la brigade de Gendarmerie Nationale du ressort. Après conclusion de l’examen médical confié à un médecin, interrogatoire des suspects et audition des plaignants, il a été conclu que ces allégations ne sont pas fondées. </w:t>
      </w:r>
    </w:p>
    <w:p w14:paraId="0089F538" w14:textId="77777777" w:rsidR="004608F0" w:rsidRPr="004608F0" w:rsidRDefault="004608F0" w:rsidP="005B06D5">
      <w:pPr>
        <w:pStyle w:val="SingleTxtG"/>
        <w:numPr>
          <w:ilvl w:val="0"/>
          <w:numId w:val="31"/>
        </w:numPr>
        <w:ind w:left="1134" w:firstLine="0"/>
        <w:rPr>
          <w:lang w:val="fr-FR"/>
        </w:rPr>
      </w:pPr>
      <w:r w:rsidRPr="004608F0">
        <w:rPr>
          <w:lang w:val="fr-FR"/>
        </w:rPr>
        <w:t xml:space="preserve">Le deuxième cas portait sur les conséquences d’une course poursuite qu’une patrouille de la Gendarmerie nationale, a engagé suite à une information concernant un vol de bétail (petits ruminants) que les ravisseurs transportait dans un véhicule. Rattrapés dans la course, un accrochage violent a eu lieu entre les deux antagonistes (gendarmes d’une part et bande de brigands d’autre part) à l’issue duquel plusieurs personnes ont été  blessées, y compris des gendarmes. </w:t>
      </w:r>
    </w:p>
    <w:p w14:paraId="47912542" w14:textId="77777777" w:rsidR="004608F0" w:rsidRPr="004608F0" w:rsidRDefault="004608F0" w:rsidP="005B06D5">
      <w:pPr>
        <w:pStyle w:val="SingleTxtG"/>
        <w:numPr>
          <w:ilvl w:val="0"/>
          <w:numId w:val="31"/>
        </w:numPr>
        <w:ind w:left="1134" w:firstLine="0"/>
        <w:rPr>
          <w:lang w:val="fr-FR"/>
        </w:rPr>
      </w:pPr>
      <w:r w:rsidRPr="004608F0">
        <w:rPr>
          <w:lang w:val="fr-FR"/>
        </w:rPr>
        <w:t xml:space="preserve">Lors de leurs déferrements devant le procureur de la République, un prévenu a déclaré que sa blessure était due à la torture qu’il aurait subie au niveau du poste de gendarmerie. Au vu du caractère non convainquant de l’allégation et les constats pertinents tant dans le procès-verbal d’enquête, que les informations précédemment communiquées par le service d’enquête au sujet de la violente confrontation lors de l’arrestation des auteurs de vol, le ministère public a passé outre.  </w:t>
      </w:r>
    </w:p>
    <w:p w14:paraId="264F2C7F" w14:textId="2D46F8BB" w:rsidR="004608F0" w:rsidRPr="004608F0" w:rsidRDefault="00C54E67" w:rsidP="00C54E67">
      <w:pPr>
        <w:pStyle w:val="H23G"/>
      </w:pPr>
      <w:r>
        <w:tab/>
      </w:r>
      <w:r>
        <w:tab/>
      </w:r>
      <w:r w:rsidR="004608F0" w:rsidRPr="004608F0">
        <w:t>Irrecevabilité des aveux obtenus sous la torture</w:t>
      </w:r>
    </w:p>
    <w:p w14:paraId="466AC912" w14:textId="49E374D1" w:rsidR="004608F0" w:rsidRPr="004608F0" w:rsidRDefault="00C54E67" w:rsidP="00C54E67">
      <w:pPr>
        <w:pStyle w:val="H23G"/>
      </w:pPr>
      <w:r>
        <w:tab/>
      </w:r>
      <w:r>
        <w:tab/>
      </w:r>
      <w:r w:rsidR="004608F0" w:rsidRPr="004608F0">
        <w:t xml:space="preserve">Réponse au paragraphe 17 des observations finales </w:t>
      </w:r>
    </w:p>
    <w:p w14:paraId="09B09594" w14:textId="77777777" w:rsidR="004608F0" w:rsidRPr="004608F0" w:rsidRDefault="004608F0" w:rsidP="00C54E67">
      <w:pPr>
        <w:pStyle w:val="SingleTxtG"/>
        <w:numPr>
          <w:ilvl w:val="0"/>
          <w:numId w:val="31"/>
        </w:numPr>
        <w:ind w:left="1134" w:firstLine="0"/>
        <w:rPr>
          <w:lang w:val="fr-FR"/>
        </w:rPr>
      </w:pPr>
      <w:r w:rsidRPr="004608F0">
        <w:rPr>
          <w:lang w:val="fr-FR"/>
        </w:rPr>
        <w:t>La Mauritanie réaffirme son engagement à respecter l’article 15 de la Convention contre la torture, garantissant l’irrecevabilité de tout aveu ou déclaration obtenue sous la torture. Des efforts continus sont menés pour garantir l’application effective de ce principe dans la pratique judiciaire.</w:t>
      </w:r>
    </w:p>
    <w:p w14:paraId="566700AB" w14:textId="77777777" w:rsidR="004608F0" w:rsidRPr="004608F0" w:rsidRDefault="004608F0" w:rsidP="00C54E67">
      <w:pPr>
        <w:pStyle w:val="SingleTxtG"/>
        <w:numPr>
          <w:ilvl w:val="0"/>
          <w:numId w:val="31"/>
        </w:numPr>
        <w:ind w:left="1134" w:firstLine="0"/>
        <w:rPr>
          <w:lang w:val="fr-FR"/>
        </w:rPr>
      </w:pPr>
      <w:r w:rsidRPr="004608F0">
        <w:rPr>
          <w:lang w:val="fr-FR"/>
        </w:rPr>
        <w:t>a) Enquêtes et examens médico-légaux en cas d’allégations</w:t>
      </w:r>
    </w:p>
    <w:p w14:paraId="489178E9" w14:textId="77777777" w:rsidR="004608F0" w:rsidRPr="004608F0" w:rsidRDefault="004608F0" w:rsidP="00C54E67">
      <w:pPr>
        <w:pStyle w:val="Bullet1G"/>
        <w:rPr>
          <w:lang w:val="fr-FR"/>
        </w:rPr>
      </w:pPr>
      <w:r w:rsidRPr="004608F0">
        <w:rPr>
          <w:lang w:val="fr-FR"/>
        </w:rPr>
        <w:t>Toute allégation d’aveux extorqués sous la torture fait l’objet, en vertu de la loi, d’une enquête judiciaire dès qu’elle est portée à la connaissance des autorités compétentes.</w:t>
      </w:r>
    </w:p>
    <w:p w14:paraId="0FD865DA" w14:textId="77777777" w:rsidR="004608F0" w:rsidRPr="004608F0" w:rsidRDefault="004608F0" w:rsidP="00C54E67">
      <w:pPr>
        <w:pStyle w:val="Bullet1G"/>
        <w:rPr>
          <w:lang w:val="fr-FR"/>
        </w:rPr>
      </w:pPr>
      <w:r w:rsidRPr="004608F0">
        <w:rPr>
          <w:lang w:val="fr-FR"/>
        </w:rPr>
        <w:t>Les instructions du ministère de la Justice insistent sur l’obligation pour les magistrats et les procureurs de diligenter une expertise médico-légale en cas de soupçons crédibles de torture ou de mauvais traitements.</w:t>
      </w:r>
    </w:p>
    <w:p w14:paraId="7BC8228D" w14:textId="77777777" w:rsidR="004608F0" w:rsidRPr="004608F0" w:rsidRDefault="004608F0" w:rsidP="00C54E67">
      <w:pPr>
        <w:pStyle w:val="Bullet1G"/>
        <w:rPr>
          <w:lang w:val="fr-FR"/>
        </w:rPr>
      </w:pPr>
      <w:r w:rsidRPr="004608F0">
        <w:rPr>
          <w:lang w:val="fr-FR"/>
        </w:rPr>
        <w:t>La Mauritanie est également engagée dans un processus de renforcement des capacités techniques, y compris le recrutement et la formation de nouveaux médecins légistes, avec l’appui de partenaires internationaux.</w:t>
      </w:r>
    </w:p>
    <w:p w14:paraId="47E26A91" w14:textId="77777777" w:rsidR="004608F0" w:rsidRPr="004608F0" w:rsidRDefault="004608F0" w:rsidP="00C54E67">
      <w:pPr>
        <w:pStyle w:val="SingleTxtG"/>
        <w:numPr>
          <w:ilvl w:val="0"/>
          <w:numId w:val="31"/>
        </w:numPr>
        <w:ind w:left="1134" w:firstLine="0"/>
        <w:rPr>
          <w:lang w:val="fr-FR"/>
        </w:rPr>
      </w:pPr>
      <w:r w:rsidRPr="004608F0">
        <w:rPr>
          <w:lang w:val="fr-FR"/>
        </w:rPr>
        <w:t>b) Un service de médecine légale est ouvert au niveau du Centre Hospitalier national et l’effectif des médecins légistes est passé de 1 à 4.</w:t>
      </w:r>
    </w:p>
    <w:p w14:paraId="541F1384" w14:textId="77777777" w:rsidR="004608F0" w:rsidRPr="004608F0" w:rsidRDefault="004608F0" w:rsidP="00C54E67">
      <w:pPr>
        <w:pStyle w:val="SingleTxtG"/>
        <w:numPr>
          <w:ilvl w:val="0"/>
          <w:numId w:val="31"/>
        </w:numPr>
        <w:ind w:left="1134" w:firstLine="0"/>
        <w:rPr>
          <w:lang w:val="fr-FR"/>
        </w:rPr>
      </w:pPr>
      <w:r w:rsidRPr="004608F0">
        <w:rPr>
          <w:lang w:val="fr-FR"/>
        </w:rPr>
        <w:t>c) Les auteurs d’acte de torture au cours des interrogatoires sont systématiquement traduits en justice et punis en fonction de la gravité des faits. C’est ainsi que dans l’affaire RP101/2023 quatre agents de la fonction publique auteurs d’actes de torture ont été condamnés à la perpétuité et un complice condamné à l’emprisonnement ferme de 18 mois. L’ensemble de ces agents ont été radiés de leur corps.</w:t>
      </w:r>
    </w:p>
    <w:p w14:paraId="473C9CCC" w14:textId="77777777" w:rsidR="004608F0" w:rsidRPr="004608F0" w:rsidRDefault="004608F0" w:rsidP="00C54E67">
      <w:pPr>
        <w:pStyle w:val="SingleTxtG"/>
        <w:numPr>
          <w:ilvl w:val="0"/>
          <w:numId w:val="31"/>
        </w:numPr>
        <w:ind w:left="1134" w:firstLine="0"/>
        <w:rPr>
          <w:lang w:val="fr-FR"/>
        </w:rPr>
      </w:pPr>
      <w:r w:rsidRPr="004608F0">
        <w:rPr>
          <w:lang w:val="fr-FR"/>
        </w:rPr>
        <w:t>d) Formation des magistrats et obligation d’agir. Des sessions de formation continue sont organisées à l’intention des magistrats du siège et du parquet sur le thème de l’irrecevabilité des aveux obtenus sous la contrainte, en conformité avec les standards internationaux. Ces formations incluent des modules pratiques sur la manière d’évaluer la crédibilité des allégations de torture, les obligations d’ouvrir une enquête, ainsi que les mécanismes disciplinaires en cas de manquement.</w:t>
      </w:r>
    </w:p>
    <w:p w14:paraId="7B5822E2" w14:textId="602F3F17" w:rsidR="004608F0" w:rsidRPr="004608F0" w:rsidRDefault="00C54E67" w:rsidP="00C54E67">
      <w:pPr>
        <w:pStyle w:val="H23G"/>
      </w:pPr>
      <w:r>
        <w:tab/>
      </w:r>
      <w:r>
        <w:tab/>
      </w:r>
      <w:r w:rsidR="004608F0" w:rsidRPr="004608F0">
        <w:t>Conditions de détention</w:t>
      </w:r>
    </w:p>
    <w:p w14:paraId="7F3F4410" w14:textId="7F0F2DB9" w:rsidR="004608F0" w:rsidRPr="004608F0" w:rsidRDefault="00C54E67" w:rsidP="00C54E67">
      <w:pPr>
        <w:pStyle w:val="H23G"/>
      </w:pPr>
      <w:r>
        <w:tab/>
      </w:r>
      <w:r>
        <w:tab/>
      </w:r>
      <w:r w:rsidR="004608F0" w:rsidRPr="004608F0">
        <w:t xml:space="preserve">Réponse au paragraphe 19 des observations finales </w:t>
      </w:r>
    </w:p>
    <w:p w14:paraId="392325B4" w14:textId="77777777" w:rsidR="004608F0" w:rsidRPr="004608F0" w:rsidRDefault="004608F0" w:rsidP="00C54E67">
      <w:pPr>
        <w:pStyle w:val="SingleTxtG"/>
        <w:numPr>
          <w:ilvl w:val="0"/>
          <w:numId w:val="31"/>
        </w:numPr>
        <w:ind w:left="1134" w:firstLine="0"/>
        <w:rPr>
          <w:lang w:val="fr-FR"/>
        </w:rPr>
      </w:pPr>
      <w:r w:rsidRPr="004608F0">
        <w:rPr>
          <w:lang w:val="fr-FR"/>
        </w:rPr>
        <w:t>a) En vue d’atténuer la surpopulation carcérale, un établissement pénitentiaire et de réinsertion aux normes, d’une capacité de 1200 lits vient d’être exploité au niveau de Nouakchott sud augmentant ainsi la capacité d’accueil au niveau des Wilaya de Nouakchott  et atténuant ainsi  le degré de surpopulation. Malgré une capacité globale de 4692 places contre une population carcérale autour de 3100 détenus, certains établissement pénitentiaires de Nouakchott demeurent en état de surpopulation à cause de la répartition géographique inéquitable des prisons.</w:t>
      </w:r>
    </w:p>
    <w:p w14:paraId="146A4907" w14:textId="77777777" w:rsidR="004608F0" w:rsidRPr="004608F0" w:rsidRDefault="004608F0" w:rsidP="00C54E67">
      <w:pPr>
        <w:pStyle w:val="SingleTxtG"/>
        <w:numPr>
          <w:ilvl w:val="0"/>
          <w:numId w:val="31"/>
        </w:numPr>
        <w:ind w:left="1134" w:firstLine="0"/>
        <w:rPr>
          <w:lang w:val="fr-FR"/>
        </w:rPr>
      </w:pPr>
      <w:r w:rsidRPr="004608F0">
        <w:rPr>
          <w:lang w:val="fr-FR"/>
        </w:rPr>
        <w:t>Les pouvoirs publics pour désengorger les prisons nationales recourent chaque fois à l’occasion des fêtes nationales et religieuses à la grâce présidentielle et de façon ponctuelle à la libération conditionnelle. Outre, le bénéfice de 1405 détenus condamnés de droits communs de la grâce présidentielle, au cours des dernières années, l’ensemble des détenus dont la condamnation est définitive ont bénéficié d’une remise de peine d’un an exception faites des infractions graves de criminalité organisée.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3"/>
        <w:gridCol w:w="1833"/>
        <w:gridCol w:w="2070"/>
        <w:gridCol w:w="1654"/>
      </w:tblGrid>
      <w:tr w:rsidR="004608F0" w:rsidRPr="00641CAE" w14:paraId="42832DA3" w14:textId="77777777" w:rsidTr="00641CAE">
        <w:trPr>
          <w:tblHeader/>
        </w:trPr>
        <w:tc>
          <w:tcPr>
            <w:tcW w:w="2369" w:type="dxa"/>
            <w:tcBorders>
              <w:top w:val="single" w:sz="4" w:space="0" w:color="auto"/>
              <w:bottom w:val="single" w:sz="12" w:space="0" w:color="auto"/>
            </w:tcBorders>
            <w:shd w:val="clear" w:color="auto" w:fill="auto"/>
            <w:vAlign w:val="bottom"/>
          </w:tcPr>
          <w:p w14:paraId="4C8054D4" w14:textId="77777777" w:rsidR="004608F0" w:rsidRPr="00641CAE" w:rsidRDefault="004608F0" w:rsidP="00641CAE">
            <w:pPr>
              <w:pStyle w:val="SingleTxtG"/>
              <w:tabs>
                <w:tab w:val="clear" w:pos="1701"/>
                <w:tab w:val="clear" w:pos="2268"/>
                <w:tab w:val="clear" w:pos="2835"/>
              </w:tabs>
              <w:suppressAutoHyphens w:val="0"/>
              <w:spacing w:before="80" w:after="80" w:line="200" w:lineRule="exact"/>
              <w:ind w:left="0" w:right="0"/>
              <w:jc w:val="left"/>
              <w:rPr>
                <w:bCs/>
                <w:i/>
                <w:sz w:val="16"/>
                <w:lang w:val="fr-FR"/>
              </w:rPr>
            </w:pPr>
            <w:r w:rsidRPr="00641CAE">
              <w:rPr>
                <w:bCs/>
                <w:i/>
                <w:sz w:val="16"/>
                <w:lang w:val="fr-FR"/>
              </w:rPr>
              <w:t>Année</w:t>
            </w:r>
          </w:p>
        </w:tc>
        <w:tc>
          <w:tcPr>
            <w:tcW w:w="2394" w:type="dxa"/>
            <w:tcBorders>
              <w:top w:val="single" w:sz="4" w:space="0" w:color="auto"/>
              <w:bottom w:val="single" w:sz="12" w:space="0" w:color="auto"/>
            </w:tcBorders>
            <w:shd w:val="clear" w:color="auto" w:fill="auto"/>
            <w:vAlign w:val="bottom"/>
          </w:tcPr>
          <w:p w14:paraId="72432733" w14:textId="77777777" w:rsidR="004608F0" w:rsidRPr="00641CAE" w:rsidRDefault="004608F0" w:rsidP="00641CAE">
            <w:pPr>
              <w:pStyle w:val="SingleTxtG"/>
              <w:tabs>
                <w:tab w:val="clear" w:pos="1701"/>
                <w:tab w:val="clear" w:pos="2268"/>
                <w:tab w:val="clear" w:pos="2835"/>
              </w:tabs>
              <w:suppressAutoHyphens w:val="0"/>
              <w:spacing w:before="80" w:after="80" w:line="200" w:lineRule="exact"/>
              <w:ind w:left="0" w:right="0"/>
              <w:jc w:val="right"/>
              <w:rPr>
                <w:bCs/>
                <w:i/>
                <w:sz w:val="16"/>
                <w:lang w:val="fr-FR"/>
              </w:rPr>
            </w:pPr>
            <w:r w:rsidRPr="00641CAE">
              <w:rPr>
                <w:bCs/>
                <w:i/>
                <w:sz w:val="16"/>
                <w:lang w:val="fr-FR"/>
              </w:rPr>
              <w:t>A l’occasion des fêtes religieuses</w:t>
            </w:r>
          </w:p>
        </w:tc>
        <w:tc>
          <w:tcPr>
            <w:tcW w:w="2705" w:type="dxa"/>
            <w:tcBorders>
              <w:top w:val="single" w:sz="4" w:space="0" w:color="auto"/>
              <w:bottom w:val="single" w:sz="12" w:space="0" w:color="auto"/>
            </w:tcBorders>
            <w:shd w:val="clear" w:color="auto" w:fill="auto"/>
            <w:vAlign w:val="bottom"/>
          </w:tcPr>
          <w:p w14:paraId="1543B5BC" w14:textId="77777777" w:rsidR="004608F0" w:rsidRPr="00641CAE" w:rsidRDefault="004608F0" w:rsidP="00641CAE">
            <w:pPr>
              <w:pStyle w:val="SingleTxtG"/>
              <w:tabs>
                <w:tab w:val="clear" w:pos="1701"/>
                <w:tab w:val="clear" w:pos="2268"/>
                <w:tab w:val="clear" w:pos="2835"/>
              </w:tabs>
              <w:suppressAutoHyphens w:val="0"/>
              <w:spacing w:before="80" w:after="80" w:line="200" w:lineRule="exact"/>
              <w:ind w:left="0" w:right="0"/>
              <w:jc w:val="right"/>
              <w:rPr>
                <w:bCs/>
                <w:i/>
                <w:sz w:val="16"/>
                <w:lang w:val="fr-FR"/>
              </w:rPr>
            </w:pPr>
            <w:r w:rsidRPr="00641CAE">
              <w:rPr>
                <w:bCs/>
                <w:i/>
                <w:sz w:val="16"/>
                <w:lang w:val="fr-FR"/>
              </w:rPr>
              <w:t>A l’occasion de la fête de l’indépendance nationale (28 novembre)</w:t>
            </w:r>
          </w:p>
        </w:tc>
        <w:tc>
          <w:tcPr>
            <w:tcW w:w="2160" w:type="dxa"/>
            <w:tcBorders>
              <w:top w:val="single" w:sz="4" w:space="0" w:color="auto"/>
              <w:bottom w:val="single" w:sz="12" w:space="0" w:color="auto"/>
            </w:tcBorders>
            <w:shd w:val="clear" w:color="auto" w:fill="auto"/>
            <w:vAlign w:val="bottom"/>
          </w:tcPr>
          <w:p w14:paraId="619F977B" w14:textId="77777777" w:rsidR="004608F0" w:rsidRPr="00641CAE" w:rsidRDefault="004608F0" w:rsidP="00641CAE">
            <w:pPr>
              <w:pStyle w:val="SingleTxtG"/>
              <w:tabs>
                <w:tab w:val="clear" w:pos="1701"/>
                <w:tab w:val="clear" w:pos="2268"/>
                <w:tab w:val="clear" w:pos="2835"/>
              </w:tabs>
              <w:suppressAutoHyphens w:val="0"/>
              <w:spacing w:before="80" w:after="80" w:line="200" w:lineRule="exact"/>
              <w:ind w:left="0" w:right="0"/>
              <w:jc w:val="right"/>
              <w:rPr>
                <w:bCs/>
                <w:i/>
                <w:sz w:val="16"/>
                <w:lang w:val="fr-FR"/>
              </w:rPr>
            </w:pPr>
            <w:r w:rsidRPr="00641CAE">
              <w:rPr>
                <w:bCs/>
                <w:i/>
                <w:sz w:val="16"/>
                <w:lang w:val="fr-FR"/>
              </w:rPr>
              <w:t>Total annuel</w:t>
            </w:r>
          </w:p>
        </w:tc>
      </w:tr>
      <w:tr w:rsidR="004608F0" w:rsidRPr="00641CAE" w14:paraId="17DB886E" w14:textId="77777777" w:rsidTr="00641CAE">
        <w:tc>
          <w:tcPr>
            <w:tcW w:w="2369" w:type="dxa"/>
            <w:tcBorders>
              <w:top w:val="single" w:sz="12" w:space="0" w:color="auto"/>
            </w:tcBorders>
            <w:shd w:val="clear" w:color="auto" w:fill="auto"/>
          </w:tcPr>
          <w:p w14:paraId="3D7AABE5"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41CAE">
              <w:rPr>
                <w:sz w:val="18"/>
                <w:lang w:val="fr-FR"/>
              </w:rPr>
              <w:t>2022</w:t>
            </w:r>
          </w:p>
        </w:tc>
        <w:tc>
          <w:tcPr>
            <w:tcW w:w="2394" w:type="dxa"/>
            <w:tcBorders>
              <w:top w:val="single" w:sz="12" w:space="0" w:color="auto"/>
            </w:tcBorders>
            <w:shd w:val="clear" w:color="auto" w:fill="auto"/>
            <w:vAlign w:val="bottom"/>
          </w:tcPr>
          <w:p w14:paraId="26213654"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41CAE">
              <w:rPr>
                <w:sz w:val="18"/>
                <w:lang w:val="fr-FR"/>
              </w:rPr>
              <w:t>222</w:t>
            </w:r>
          </w:p>
        </w:tc>
        <w:tc>
          <w:tcPr>
            <w:tcW w:w="2705" w:type="dxa"/>
            <w:tcBorders>
              <w:top w:val="single" w:sz="12" w:space="0" w:color="auto"/>
            </w:tcBorders>
            <w:shd w:val="clear" w:color="auto" w:fill="auto"/>
            <w:vAlign w:val="bottom"/>
          </w:tcPr>
          <w:p w14:paraId="632DE897"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41CAE">
              <w:rPr>
                <w:sz w:val="18"/>
                <w:lang w:val="fr-FR"/>
              </w:rPr>
              <w:t>228</w:t>
            </w:r>
          </w:p>
        </w:tc>
        <w:tc>
          <w:tcPr>
            <w:tcW w:w="2160" w:type="dxa"/>
            <w:tcBorders>
              <w:top w:val="single" w:sz="12" w:space="0" w:color="auto"/>
            </w:tcBorders>
            <w:shd w:val="clear" w:color="auto" w:fill="auto"/>
            <w:vAlign w:val="bottom"/>
          </w:tcPr>
          <w:p w14:paraId="7340CBE8"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41CAE">
              <w:rPr>
                <w:sz w:val="18"/>
                <w:lang w:val="fr-FR"/>
              </w:rPr>
              <w:t>450</w:t>
            </w:r>
          </w:p>
        </w:tc>
      </w:tr>
      <w:tr w:rsidR="004608F0" w:rsidRPr="00641CAE" w14:paraId="3369D5FF" w14:textId="77777777" w:rsidTr="00641CAE">
        <w:tc>
          <w:tcPr>
            <w:tcW w:w="2369" w:type="dxa"/>
            <w:shd w:val="clear" w:color="auto" w:fill="auto"/>
          </w:tcPr>
          <w:p w14:paraId="5C0DB542"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41CAE">
              <w:rPr>
                <w:sz w:val="18"/>
                <w:lang w:val="fr-FR"/>
              </w:rPr>
              <w:t>2023</w:t>
            </w:r>
          </w:p>
        </w:tc>
        <w:tc>
          <w:tcPr>
            <w:tcW w:w="2394" w:type="dxa"/>
            <w:shd w:val="clear" w:color="auto" w:fill="auto"/>
            <w:vAlign w:val="bottom"/>
          </w:tcPr>
          <w:p w14:paraId="14EF81E4"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41CAE">
              <w:rPr>
                <w:sz w:val="18"/>
                <w:lang w:val="fr-FR"/>
              </w:rPr>
              <w:t>269</w:t>
            </w:r>
          </w:p>
        </w:tc>
        <w:tc>
          <w:tcPr>
            <w:tcW w:w="2705" w:type="dxa"/>
            <w:shd w:val="clear" w:color="auto" w:fill="auto"/>
            <w:vAlign w:val="bottom"/>
          </w:tcPr>
          <w:p w14:paraId="4356C44C"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41CAE">
              <w:rPr>
                <w:sz w:val="18"/>
                <w:lang w:val="fr-FR"/>
              </w:rPr>
              <w:t>193</w:t>
            </w:r>
          </w:p>
        </w:tc>
        <w:tc>
          <w:tcPr>
            <w:tcW w:w="2160" w:type="dxa"/>
            <w:shd w:val="clear" w:color="auto" w:fill="auto"/>
            <w:vAlign w:val="bottom"/>
          </w:tcPr>
          <w:p w14:paraId="72B5617C"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41CAE">
              <w:rPr>
                <w:sz w:val="18"/>
                <w:lang w:val="fr-FR"/>
              </w:rPr>
              <w:t>462</w:t>
            </w:r>
          </w:p>
        </w:tc>
      </w:tr>
      <w:tr w:rsidR="004608F0" w:rsidRPr="00641CAE" w14:paraId="7ED762D0" w14:textId="77777777" w:rsidTr="00641CAE">
        <w:tc>
          <w:tcPr>
            <w:tcW w:w="2369" w:type="dxa"/>
            <w:shd w:val="clear" w:color="auto" w:fill="auto"/>
          </w:tcPr>
          <w:p w14:paraId="7E436C87"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41CAE">
              <w:rPr>
                <w:sz w:val="18"/>
                <w:lang w:val="fr-FR"/>
              </w:rPr>
              <w:t>2024</w:t>
            </w:r>
          </w:p>
        </w:tc>
        <w:tc>
          <w:tcPr>
            <w:tcW w:w="2394" w:type="dxa"/>
            <w:shd w:val="clear" w:color="auto" w:fill="auto"/>
            <w:vAlign w:val="bottom"/>
          </w:tcPr>
          <w:p w14:paraId="7BA76F86"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41CAE">
              <w:rPr>
                <w:sz w:val="18"/>
                <w:lang w:val="fr-FR"/>
              </w:rPr>
              <w:t>143</w:t>
            </w:r>
          </w:p>
        </w:tc>
        <w:tc>
          <w:tcPr>
            <w:tcW w:w="2705" w:type="dxa"/>
            <w:shd w:val="clear" w:color="auto" w:fill="auto"/>
            <w:vAlign w:val="bottom"/>
          </w:tcPr>
          <w:p w14:paraId="616E6AE1"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41CAE">
              <w:rPr>
                <w:sz w:val="18"/>
                <w:lang w:val="fr-FR"/>
              </w:rPr>
              <w:t>110</w:t>
            </w:r>
          </w:p>
        </w:tc>
        <w:tc>
          <w:tcPr>
            <w:tcW w:w="2160" w:type="dxa"/>
            <w:shd w:val="clear" w:color="auto" w:fill="auto"/>
            <w:vAlign w:val="bottom"/>
          </w:tcPr>
          <w:p w14:paraId="640715AC"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41CAE">
              <w:rPr>
                <w:sz w:val="18"/>
                <w:lang w:val="fr-FR"/>
              </w:rPr>
              <w:t>253</w:t>
            </w:r>
          </w:p>
        </w:tc>
      </w:tr>
      <w:tr w:rsidR="004608F0" w:rsidRPr="00641CAE" w14:paraId="45E1864D" w14:textId="77777777" w:rsidTr="00641CAE">
        <w:tc>
          <w:tcPr>
            <w:tcW w:w="2369" w:type="dxa"/>
            <w:shd w:val="clear" w:color="auto" w:fill="auto"/>
          </w:tcPr>
          <w:p w14:paraId="27F6C504"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41CAE">
              <w:rPr>
                <w:sz w:val="18"/>
                <w:lang w:val="fr-FR"/>
              </w:rPr>
              <w:t>2025</w:t>
            </w:r>
          </w:p>
        </w:tc>
        <w:tc>
          <w:tcPr>
            <w:tcW w:w="2394" w:type="dxa"/>
            <w:shd w:val="clear" w:color="auto" w:fill="auto"/>
            <w:vAlign w:val="bottom"/>
          </w:tcPr>
          <w:p w14:paraId="40F1033E"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41CAE">
              <w:rPr>
                <w:sz w:val="18"/>
                <w:lang w:val="fr-FR"/>
              </w:rPr>
              <w:t>240</w:t>
            </w:r>
          </w:p>
        </w:tc>
        <w:tc>
          <w:tcPr>
            <w:tcW w:w="2705" w:type="dxa"/>
            <w:shd w:val="clear" w:color="auto" w:fill="auto"/>
            <w:vAlign w:val="bottom"/>
          </w:tcPr>
          <w:p w14:paraId="791644BA"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41CAE">
              <w:rPr>
                <w:sz w:val="18"/>
                <w:lang w:val="fr-FR"/>
              </w:rPr>
              <w:t>-</w:t>
            </w:r>
          </w:p>
        </w:tc>
        <w:tc>
          <w:tcPr>
            <w:tcW w:w="2160" w:type="dxa"/>
            <w:shd w:val="clear" w:color="auto" w:fill="auto"/>
            <w:vAlign w:val="bottom"/>
          </w:tcPr>
          <w:p w14:paraId="6657804A"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41CAE">
              <w:rPr>
                <w:sz w:val="18"/>
                <w:lang w:val="fr-FR"/>
              </w:rPr>
              <w:t>240</w:t>
            </w:r>
          </w:p>
        </w:tc>
      </w:tr>
      <w:tr w:rsidR="004608F0" w:rsidRPr="00641CAE" w14:paraId="15E8DB39" w14:textId="77777777" w:rsidTr="00641CAE">
        <w:tc>
          <w:tcPr>
            <w:tcW w:w="2369" w:type="dxa"/>
            <w:tcBorders>
              <w:bottom w:val="single" w:sz="12" w:space="0" w:color="auto"/>
            </w:tcBorders>
            <w:shd w:val="clear" w:color="auto" w:fill="auto"/>
          </w:tcPr>
          <w:p w14:paraId="77EA15A1"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left"/>
              <w:rPr>
                <w:b/>
                <w:bCs/>
                <w:sz w:val="18"/>
                <w:lang w:val="fr-FR"/>
              </w:rPr>
            </w:pPr>
            <w:r w:rsidRPr="00641CAE">
              <w:rPr>
                <w:b/>
                <w:bCs/>
                <w:sz w:val="18"/>
                <w:lang w:val="fr-FR"/>
              </w:rPr>
              <w:t>TOTAUX</w:t>
            </w:r>
          </w:p>
        </w:tc>
        <w:tc>
          <w:tcPr>
            <w:tcW w:w="2394" w:type="dxa"/>
            <w:tcBorders>
              <w:bottom w:val="single" w:sz="12" w:space="0" w:color="auto"/>
            </w:tcBorders>
            <w:shd w:val="clear" w:color="auto" w:fill="auto"/>
            <w:vAlign w:val="bottom"/>
          </w:tcPr>
          <w:p w14:paraId="6A4CC3A3"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641CAE">
              <w:rPr>
                <w:b/>
                <w:bCs/>
                <w:sz w:val="18"/>
                <w:lang w:val="fr-FR"/>
              </w:rPr>
              <w:fldChar w:fldCharType="begin"/>
            </w:r>
            <w:r w:rsidRPr="00641CAE">
              <w:rPr>
                <w:b/>
                <w:bCs/>
                <w:sz w:val="18"/>
                <w:lang w:val="fr-FR"/>
              </w:rPr>
              <w:instrText xml:space="preserve"> =SUM(ABOVE) </w:instrText>
            </w:r>
            <w:r w:rsidRPr="00641CAE">
              <w:rPr>
                <w:b/>
                <w:bCs/>
                <w:sz w:val="18"/>
                <w:lang w:val="fr-FR"/>
              </w:rPr>
              <w:fldChar w:fldCharType="separate"/>
            </w:r>
            <w:r w:rsidRPr="00641CAE">
              <w:rPr>
                <w:b/>
                <w:bCs/>
                <w:sz w:val="18"/>
                <w:lang w:val="fr-FR"/>
              </w:rPr>
              <w:t>874</w:t>
            </w:r>
            <w:r w:rsidRPr="00641CAE">
              <w:rPr>
                <w:sz w:val="18"/>
              </w:rPr>
              <w:fldChar w:fldCharType="end"/>
            </w:r>
          </w:p>
        </w:tc>
        <w:tc>
          <w:tcPr>
            <w:tcW w:w="2705" w:type="dxa"/>
            <w:tcBorders>
              <w:bottom w:val="single" w:sz="12" w:space="0" w:color="auto"/>
            </w:tcBorders>
            <w:shd w:val="clear" w:color="auto" w:fill="auto"/>
            <w:vAlign w:val="bottom"/>
          </w:tcPr>
          <w:p w14:paraId="1DFA31B0"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641CAE">
              <w:rPr>
                <w:b/>
                <w:bCs/>
                <w:sz w:val="18"/>
                <w:lang w:val="fr-FR"/>
              </w:rPr>
              <w:fldChar w:fldCharType="begin"/>
            </w:r>
            <w:r w:rsidRPr="00641CAE">
              <w:rPr>
                <w:b/>
                <w:bCs/>
                <w:sz w:val="18"/>
                <w:lang w:val="fr-FR"/>
              </w:rPr>
              <w:instrText xml:space="preserve"> =SUM(ABOVE) </w:instrText>
            </w:r>
            <w:r w:rsidRPr="00641CAE">
              <w:rPr>
                <w:b/>
                <w:bCs/>
                <w:sz w:val="18"/>
                <w:lang w:val="fr-FR"/>
              </w:rPr>
              <w:fldChar w:fldCharType="separate"/>
            </w:r>
            <w:r w:rsidRPr="00641CAE">
              <w:rPr>
                <w:b/>
                <w:bCs/>
                <w:sz w:val="18"/>
                <w:lang w:val="fr-FR"/>
              </w:rPr>
              <w:t>531</w:t>
            </w:r>
            <w:r w:rsidRPr="00641CAE">
              <w:rPr>
                <w:sz w:val="18"/>
              </w:rPr>
              <w:fldChar w:fldCharType="end"/>
            </w:r>
          </w:p>
        </w:tc>
        <w:tc>
          <w:tcPr>
            <w:tcW w:w="2160" w:type="dxa"/>
            <w:tcBorders>
              <w:bottom w:val="single" w:sz="12" w:space="0" w:color="auto"/>
            </w:tcBorders>
            <w:shd w:val="clear" w:color="auto" w:fill="auto"/>
            <w:vAlign w:val="bottom"/>
          </w:tcPr>
          <w:p w14:paraId="2250EEE0"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641CAE">
              <w:rPr>
                <w:b/>
                <w:bCs/>
                <w:sz w:val="18"/>
                <w:lang w:val="fr-FR"/>
              </w:rPr>
              <w:fldChar w:fldCharType="begin"/>
            </w:r>
            <w:r w:rsidRPr="00641CAE">
              <w:rPr>
                <w:b/>
                <w:bCs/>
                <w:sz w:val="18"/>
                <w:lang w:val="fr-FR"/>
              </w:rPr>
              <w:instrText xml:space="preserve"> =SUM(ABOVE) </w:instrText>
            </w:r>
            <w:r w:rsidRPr="00641CAE">
              <w:rPr>
                <w:b/>
                <w:bCs/>
                <w:sz w:val="18"/>
                <w:lang w:val="fr-FR"/>
              </w:rPr>
              <w:fldChar w:fldCharType="separate"/>
            </w:r>
            <w:r w:rsidRPr="00641CAE">
              <w:rPr>
                <w:b/>
                <w:bCs/>
                <w:sz w:val="18"/>
                <w:lang w:val="fr-FR"/>
              </w:rPr>
              <w:t>1405</w:t>
            </w:r>
            <w:r w:rsidRPr="00641CAE">
              <w:rPr>
                <w:sz w:val="18"/>
              </w:rPr>
              <w:fldChar w:fldCharType="end"/>
            </w:r>
          </w:p>
        </w:tc>
      </w:tr>
    </w:tbl>
    <w:p w14:paraId="1CFAE4CF" w14:textId="77777777" w:rsidR="004608F0" w:rsidRPr="004608F0" w:rsidRDefault="004608F0" w:rsidP="00641CAE">
      <w:pPr>
        <w:pStyle w:val="SingleTxtG"/>
        <w:numPr>
          <w:ilvl w:val="0"/>
          <w:numId w:val="31"/>
        </w:numPr>
        <w:ind w:left="1134" w:firstLine="0"/>
        <w:rPr>
          <w:lang w:val="fr-FR"/>
        </w:rPr>
      </w:pPr>
      <w:r w:rsidRPr="004608F0">
        <w:rPr>
          <w:lang w:val="fr-FR"/>
        </w:rPr>
        <w:t xml:space="preserve">Au niveau des établissements pénitentiaires de Nouakchott notamment, l’administration pénitentiaire procède régulièrement à des transferts de condamnés vers les établissements pénitentiaires qui offrent plus de place, en particulier les prisons d’Aleg et de </w:t>
      </w:r>
      <w:proofErr w:type="spellStart"/>
      <w:r w:rsidRPr="004608F0">
        <w:rPr>
          <w:lang w:val="fr-FR"/>
        </w:rPr>
        <w:t>Nbeika</w:t>
      </w:r>
      <w:proofErr w:type="spellEnd"/>
      <w:r w:rsidRPr="004608F0">
        <w:rPr>
          <w:lang w:val="fr-FR"/>
        </w:rPr>
        <w:t xml:space="preserve">.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97"/>
        <w:gridCol w:w="1929"/>
        <w:gridCol w:w="1955"/>
        <w:gridCol w:w="1789"/>
      </w:tblGrid>
      <w:tr w:rsidR="004608F0" w:rsidRPr="00641CAE" w14:paraId="79249611" w14:textId="77777777" w:rsidTr="00641CAE">
        <w:trPr>
          <w:tblHeader/>
        </w:trPr>
        <w:tc>
          <w:tcPr>
            <w:tcW w:w="2216" w:type="dxa"/>
            <w:tcBorders>
              <w:top w:val="single" w:sz="4" w:space="0" w:color="auto"/>
              <w:bottom w:val="single" w:sz="12" w:space="0" w:color="auto"/>
            </w:tcBorders>
            <w:shd w:val="clear" w:color="auto" w:fill="auto"/>
            <w:vAlign w:val="bottom"/>
          </w:tcPr>
          <w:p w14:paraId="60288974" w14:textId="77777777" w:rsidR="004608F0" w:rsidRPr="00641CAE" w:rsidRDefault="004608F0" w:rsidP="00641CAE">
            <w:pPr>
              <w:pStyle w:val="SingleTxtG"/>
              <w:tabs>
                <w:tab w:val="clear" w:pos="1701"/>
                <w:tab w:val="clear" w:pos="2268"/>
                <w:tab w:val="clear" w:pos="2835"/>
              </w:tabs>
              <w:suppressAutoHyphens w:val="0"/>
              <w:spacing w:before="80" w:after="80" w:line="200" w:lineRule="exact"/>
              <w:ind w:left="0" w:right="0"/>
              <w:jc w:val="left"/>
              <w:rPr>
                <w:bCs/>
                <w:i/>
                <w:sz w:val="16"/>
                <w:lang w:val="fr-FR"/>
              </w:rPr>
            </w:pPr>
            <w:r w:rsidRPr="00641CAE">
              <w:rPr>
                <w:bCs/>
                <w:i/>
                <w:sz w:val="16"/>
                <w:lang w:val="fr-FR"/>
              </w:rPr>
              <w:t>Année</w:t>
            </w:r>
          </w:p>
        </w:tc>
        <w:tc>
          <w:tcPr>
            <w:tcW w:w="2520" w:type="dxa"/>
            <w:tcBorders>
              <w:top w:val="single" w:sz="4" w:space="0" w:color="auto"/>
              <w:bottom w:val="single" w:sz="12" w:space="0" w:color="auto"/>
            </w:tcBorders>
            <w:shd w:val="clear" w:color="auto" w:fill="auto"/>
            <w:vAlign w:val="bottom"/>
          </w:tcPr>
          <w:p w14:paraId="0E2E0015" w14:textId="77777777" w:rsidR="004608F0" w:rsidRPr="00641CAE" w:rsidRDefault="004608F0" w:rsidP="00641CAE">
            <w:pPr>
              <w:pStyle w:val="SingleTxtG"/>
              <w:tabs>
                <w:tab w:val="clear" w:pos="1701"/>
                <w:tab w:val="clear" w:pos="2268"/>
                <w:tab w:val="clear" w:pos="2835"/>
              </w:tabs>
              <w:suppressAutoHyphens w:val="0"/>
              <w:spacing w:before="80" w:after="80" w:line="200" w:lineRule="exact"/>
              <w:ind w:left="0" w:right="0"/>
              <w:jc w:val="right"/>
              <w:rPr>
                <w:bCs/>
                <w:i/>
                <w:sz w:val="16"/>
                <w:lang w:val="fr-FR"/>
              </w:rPr>
            </w:pPr>
            <w:r w:rsidRPr="00641CAE">
              <w:rPr>
                <w:bCs/>
                <w:i/>
                <w:sz w:val="16"/>
                <w:lang w:val="fr-FR"/>
              </w:rPr>
              <w:t>Origine</w:t>
            </w:r>
          </w:p>
        </w:tc>
        <w:tc>
          <w:tcPr>
            <w:tcW w:w="2555" w:type="dxa"/>
            <w:tcBorders>
              <w:top w:val="single" w:sz="4" w:space="0" w:color="auto"/>
              <w:bottom w:val="single" w:sz="12" w:space="0" w:color="auto"/>
            </w:tcBorders>
            <w:shd w:val="clear" w:color="auto" w:fill="auto"/>
            <w:vAlign w:val="bottom"/>
          </w:tcPr>
          <w:p w14:paraId="15C5F069" w14:textId="77777777" w:rsidR="004608F0" w:rsidRPr="00641CAE" w:rsidRDefault="004608F0" w:rsidP="00641CAE">
            <w:pPr>
              <w:pStyle w:val="SingleTxtG"/>
              <w:tabs>
                <w:tab w:val="clear" w:pos="1701"/>
                <w:tab w:val="clear" w:pos="2268"/>
                <w:tab w:val="clear" w:pos="2835"/>
              </w:tabs>
              <w:suppressAutoHyphens w:val="0"/>
              <w:spacing w:before="80" w:after="80" w:line="200" w:lineRule="exact"/>
              <w:ind w:left="0" w:right="0"/>
              <w:jc w:val="right"/>
              <w:rPr>
                <w:bCs/>
                <w:i/>
                <w:sz w:val="16"/>
                <w:lang w:val="fr-FR"/>
              </w:rPr>
            </w:pPr>
            <w:r w:rsidRPr="00641CAE">
              <w:rPr>
                <w:bCs/>
                <w:i/>
                <w:sz w:val="16"/>
                <w:lang w:val="fr-FR"/>
              </w:rPr>
              <w:t>Destination</w:t>
            </w:r>
          </w:p>
        </w:tc>
        <w:tc>
          <w:tcPr>
            <w:tcW w:w="2337" w:type="dxa"/>
            <w:tcBorders>
              <w:top w:val="single" w:sz="4" w:space="0" w:color="auto"/>
              <w:bottom w:val="single" w:sz="12" w:space="0" w:color="auto"/>
            </w:tcBorders>
            <w:shd w:val="clear" w:color="auto" w:fill="auto"/>
            <w:vAlign w:val="bottom"/>
          </w:tcPr>
          <w:p w14:paraId="65A4AA42" w14:textId="77777777" w:rsidR="004608F0" w:rsidRPr="00641CAE" w:rsidRDefault="004608F0" w:rsidP="00641CAE">
            <w:pPr>
              <w:pStyle w:val="SingleTxtG"/>
              <w:tabs>
                <w:tab w:val="clear" w:pos="1701"/>
                <w:tab w:val="clear" w:pos="2268"/>
                <w:tab w:val="clear" w:pos="2835"/>
              </w:tabs>
              <w:suppressAutoHyphens w:val="0"/>
              <w:spacing w:before="80" w:after="80" w:line="200" w:lineRule="exact"/>
              <w:ind w:left="0" w:right="0"/>
              <w:jc w:val="right"/>
              <w:rPr>
                <w:bCs/>
                <w:i/>
                <w:sz w:val="16"/>
                <w:lang w:val="fr-FR"/>
              </w:rPr>
            </w:pPr>
            <w:r w:rsidRPr="00641CAE">
              <w:rPr>
                <w:bCs/>
                <w:i/>
                <w:sz w:val="16"/>
                <w:lang w:val="fr-FR"/>
              </w:rPr>
              <w:t>Nombre</w:t>
            </w:r>
          </w:p>
        </w:tc>
      </w:tr>
      <w:tr w:rsidR="004608F0" w:rsidRPr="00641CAE" w14:paraId="4501B4E9" w14:textId="77777777" w:rsidTr="00641CAE">
        <w:tc>
          <w:tcPr>
            <w:tcW w:w="2216" w:type="dxa"/>
            <w:tcBorders>
              <w:top w:val="single" w:sz="12" w:space="0" w:color="auto"/>
            </w:tcBorders>
            <w:shd w:val="clear" w:color="auto" w:fill="auto"/>
          </w:tcPr>
          <w:p w14:paraId="0B9E0031"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41CAE">
              <w:rPr>
                <w:sz w:val="18"/>
                <w:lang w:val="fr-FR"/>
              </w:rPr>
              <w:t>2022</w:t>
            </w:r>
          </w:p>
        </w:tc>
        <w:tc>
          <w:tcPr>
            <w:tcW w:w="2520" w:type="dxa"/>
            <w:tcBorders>
              <w:top w:val="single" w:sz="12" w:space="0" w:color="auto"/>
            </w:tcBorders>
            <w:shd w:val="clear" w:color="auto" w:fill="auto"/>
            <w:vAlign w:val="bottom"/>
          </w:tcPr>
          <w:p w14:paraId="477A0E93"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41CAE">
              <w:rPr>
                <w:sz w:val="18"/>
                <w:lang w:val="fr-FR"/>
              </w:rPr>
              <w:t>Nouakchott</w:t>
            </w:r>
          </w:p>
        </w:tc>
        <w:tc>
          <w:tcPr>
            <w:tcW w:w="2555" w:type="dxa"/>
            <w:tcBorders>
              <w:top w:val="single" w:sz="12" w:space="0" w:color="auto"/>
            </w:tcBorders>
            <w:shd w:val="clear" w:color="auto" w:fill="auto"/>
            <w:vAlign w:val="bottom"/>
          </w:tcPr>
          <w:p w14:paraId="308DEEC7"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41CAE">
              <w:rPr>
                <w:sz w:val="18"/>
                <w:lang w:val="fr-FR"/>
              </w:rPr>
              <w:t xml:space="preserve">Aleg - </w:t>
            </w:r>
            <w:proofErr w:type="spellStart"/>
            <w:r w:rsidRPr="00641CAE">
              <w:rPr>
                <w:sz w:val="18"/>
                <w:lang w:val="fr-FR"/>
              </w:rPr>
              <w:t>Nbeika</w:t>
            </w:r>
            <w:proofErr w:type="spellEnd"/>
          </w:p>
        </w:tc>
        <w:tc>
          <w:tcPr>
            <w:tcW w:w="2337" w:type="dxa"/>
            <w:tcBorders>
              <w:top w:val="single" w:sz="12" w:space="0" w:color="auto"/>
            </w:tcBorders>
            <w:shd w:val="clear" w:color="auto" w:fill="auto"/>
            <w:vAlign w:val="bottom"/>
          </w:tcPr>
          <w:p w14:paraId="500E05CF"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41CAE">
              <w:rPr>
                <w:sz w:val="18"/>
                <w:lang w:val="fr-FR"/>
              </w:rPr>
              <w:t>510</w:t>
            </w:r>
          </w:p>
        </w:tc>
      </w:tr>
      <w:tr w:rsidR="004608F0" w:rsidRPr="00641CAE" w14:paraId="6C8316F6" w14:textId="77777777" w:rsidTr="00641CAE">
        <w:tc>
          <w:tcPr>
            <w:tcW w:w="2216" w:type="dxa"/>
            <w:shd w:val="clear" w:color="auto" w:fill="auto"/>
          </w:tcPr>
          <w:p w14:paraId="6D8618E5"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41CAE">
              <w:rPr>
                <w:sz w:val="18"/>
                <w:lang w:val="fr-FR"/>
              </w:rPr>
              <w:t>2023</w:t>
            </w:r>
          </w:p>
        </w:tc>
        <w:tc>
          <w:tcPr>
            <w:tcW w:w="2520" w:type="dxa"/>
            <w:shd w:val="clear" w:color="auto" w:fill="auto"/>
            <w:vAlign w:val="bottom"/>
          </w:tcPr>
          <w:p w14:paraId="4C76099E"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41CAE">
              <w:rPr>
                <w:sz w:val="18"/>
                <w:lang w:val="fr-FR"/>
              </w:rPr>
              <w:t>Nouakchott</w:t>
            </w:r>
          </w:p>
        </w:tc>
        <w:tc>
          <w:tcPr>
            <w:tcW w:w="2555" w:type="dxa"/>
            <w:shd w:val="clear" w:color="auto" w:fill="auto"/>
            <w:vAlign w:val="bottom"/>
          </w:tcPr>
          <w:p w14:paraId="675BD920"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41CAE">
              <w:rPr>
                <w:sz w:val="18"/>
                <w:lang w:val="fr-FR"/>
              </w:rPr>
              <w:t xml:space="preserve">Aleg </w:t>
            </w:r>
            <w:proofErr w:type="spellStart"/>
            <w:r w:rsidRPr="00641CAE">
              <w:rPr>
                <w:sz w:val="18"/>
                <w:lang w:val="fr-FR"/>
              </w:rPr>
              <w:t>Nbeika</w:t>
            </w:r>
            <w:proofErr w:type="spellEnd"/>
          </w:p>
        </w:tc>
        <w:tc>
          <w:tcPr>
            <w:tcW w:w="2337" w:type="dxa"/>
            <w:shd w:val="clear" w:color="auto" w:fill="auto"/>
            <w:vAlign w:val="bottom"/>
          </w:tcPr>
          <w:p w14:paraId="49A57B96"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41CAE">
              <w:rPr>
                <w:sz w:val="18"/>
                <w:lang w:val="fr-FR"/>
              </w:rPr>
              <w:t>579</w:t>
            </w:r>
          </w:p>
        </w:tc>
      </w:tr>
      <w:tr w:rsidR="004608F0" w:rsidRPr="00641CAE" w14:paraId="68CD5A12" w14:textId="77777777" w:rsidTr="00641CAE">
        <w:tc>
          <w:tcPr>
            <w:tcW w:w="2216" w:type="dxa"/>
            <w:shd w:val="clear" w:color="auto" w:fill="auto"/>
          </w:tcPr>
          <w:p w14:paraId="7C14C3AA"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41CAE">
              <w:rPr>
                <w:sz w:val="18"/>
                <w:lang w:val="fr-FR"/>
              </w:rPr>
              <w:t>2024</w:t>
            </w:r>
          </w:p>
        </w:tc>
        <w:tc>
          <w:tcPr>
            <w:tcW w:w="2520" w:type="dxa"/>
            <w:shd w:val="clear" w:color="auto" w:fill="auto"/>
            <w:vAlign w:val="bottom"/>
          </w:tcPr>
          <w:p w14:paraId="43A34AF7"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41CAE">
              <w:rPr>
                <w:sz w:val="18"/>
                <w:lang w:val="fr-FR"/>
              </w:rPr>
              <w:t>Kaédi – Sélibabi – Nouakchott</w:t>
            </w:r>
          </w:p>
        </w:tc>
        <w:tc>
          <w:tcPr>
            <w:tcW w:w="2555" w:type="dxa"/>
            <w:shd w:val="clear" w:color="auto" w:fill="auto"/>
            <w:vAlign w:val="bottom"/>
          </w:tcPr>
          <w:p w14:paraId="6A7FC975"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41CAE">
              <w:rPr>
                <w:sz w:val="18"/>
                <w:lang w:val="fr-FR"/>
              </w:rPr>
              <w:t xml:space="preserve">Aleg </w:t>
            </w:r>
            <w:proofErr w:type="spellStart"/>
            <w:r w:rsidRPr="00641CAE">
              <w:rPr>
                <w:sz w:val="18"/>
                <w:lang w:val="fr-FR"/>
              </w:rPr>
              <w:t>Nbeika</w:t>
            </w:r>
            <w:proofErr w:type="spellEnd"/>
          </w:p>
        </w:tc>
        <w:tc>
          <w:tcPr>
            <w:tcW w:w="2337" w:type="dxa"/>
            <w:shd w:val="clear" w:color="auto" w:fill="auto"/>
            <w:vAlign w:val="bottom"/>
          </w:tcPr>
          <w:p w14:paraId="436084A4"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41CAE">
              <w:rPr>
                <w:sz w:val="18"/>
                <w:lang w:val="fr-FR"/>
              </w:rPr>
              <w:t>325</w:t>
            </w:r>
          </w:p>
        </w:tc>
      </w:tr>
      <w:tr w:rsidR="004608F0" w:rsidRPr="00641CAE" w14:paraId="619E1C3B" w14:textId="77777777" w:rsidTr="00641CAE">
        <w:tc>
          <w:tcPr>
            <w:tcW w:w="2216" w:type="dxa"/>
            <w:shd w:val="clear" w:color="auto" w:fill="auto"/>
          </w:tcPr>
          <w:p w14:paraId="29056438"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left"/>
              <w:rPr>
                <w:sz w:val="18"/>
                <w:lang w:val="fr-FR"/>
              </w:rPr>
            </w:pPr>
            <w:r w:rsidRPr="00641CAE">
              <w:rPr>
                <w:sz w:val="18"/>
                <w:lang w:val="fr-FR"/>
              </w:rPr>
              <w:t>2025 (mai)</w:t>
            </w:r>
          </w:p>
        </w:tc>
        <w:tc>
          <w:tcPr>
            <w:tcW w:w="2520" w:type="dxa"/>
            <w:shd w:val="clear" w:color="auto" w:fill="auto"/>
            <w:vAlign w:val="bottom"/>
          </w:tcPr>
          <w:p w14:paraId="4EE27F9A"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41CAE">
              <w:rPr>
                <w:sz w:val="18"/>
                <w:lang w:val="fr-FR"/>
              </w:rPr>
              <w:t>Nouakchott – Néma – Kaédi</w:t>
            </w:r>
          </w:p>
        </w:tc>
        <w:tc>
          <w:tcPr>
            <w:tcW w:w="2555" w:type="dxa"/>
            <w:shd w:val="clear" w:color="auto" w:fill="auto"/>
            <w:vAlign w:val="bottom"/>
          </w:tcPr>
          <w:p w14:paraId="624606D1"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41CAE">
              <w:rPr>
                <w:sz w:val="18"/>
                <w:lang w:val="fr-FR"/>
              </w:rPr>
              <w:t xml:space="preserve">Aleg - </w:t>
            </w:r>
            <w:proofErr w:type="spellStart"/>
            <w:r w:rsidRPr="00641CAE">
              <w:rPr>
                <w:sz w:val="18"/>
                <w:lang w:val="fr-FR"/>
              </w:rPr>
              <w:t>Nbeika</w:t>
            </w:r>
            <w:proofErr w:type="spellEnd"/>
          </w:p>
        </w:tc>
        <w:tc>
          <w:tcPr>
            <w:tcW w:w="2337" w:type="dxa"/>
            <w:shd w:val="clear" w:color="auto" w:fill="auto"/>
            <w:vAlign w:val="bottom"/>
          </w:tcPr>
          <w:p w14:paraId="338071E5"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641CAE">
              <w:rPr>
                <w:sz w:val="18"/>
                <w:lang w:val="fr-FR"/>
              </w:rPr>
              <w:t>139</w:t>
            </w:r>
          </w:p>
        </w:tc>
      </w:tr>
      <w:tr w:rsidR="004608F0" w:rsidRPr="00641CAE" w14:paraId="210A5888" w14:textId="77777777" w:rsidTr="00641CAE">
        <w:tc>
          <w:tcPr>
            <w:tcW w:w="7291" w:type="dxa"/>
            <w:gridSpan w:val="3"/>
            <w:tcBorders>
              <w:bottom w:val="single" w:sz="12" w:space="0" w:color="auto"/>
            </w:tcBorders>
            <w:shd w:val="clear" w:color="auto" w:fill="auto"/>
          </w:tcPr>
          <w:p w14:paraId="09ADEC90"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left"/>
              <w:rPr>
                <w:b/>
                <w:bCs/>
                <w:sz w:val="18"/>
                <w:lang w:val="fr-FR"/>
              </w:rPr>
            </w:pPr>
            <w:r w:rsidRPr="00641CAE">
              <w:rPr>
                <w:b/>
                <w:bCs/>
                <w:sz w:val="18"/>
                <w:lang w:val="fr-FR"/>
              </w:rPr>
              <w:t xml:space="preserve">Total </w:t>
            </w:r>
          </w:p>
        </w:tc>
        <w:tc>
          <w:tcPr>
            <w:tcW w:w="2337" w:type="dxa"/>
            <w:tcBorders>
              <w:bottom w:val="single" w:sz="12" w:space="0" w:color="auto"/>
            </w:tcBorders>
            <w:shd w:val="clear" w:color="auto" w:fill="auto"/>
            <w:vAlign w:val="bottom"/>
          </w:tcPr>
          <w:p w14:paraId="7058FDB7" w14:textId="77777777" w:rsidR="004608F0" w:rsidRPr="00641CAE" w:rsidRDefault="004608F0" w:rsidP="00641CAE">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641CAE">
              <w:rPr>
                <w:b/>
                <w:bCs/>
                <w:sz w:val="18"/>
                <w:lang w:val="fr-FR"/>
              </w:rPr>
              <w:fldChar w:fldCharType="begin"/>
            </w:r>
            <w:r w:rsidRPr="00641CAE">
              <w:rPr>
                <w:b/>
                <w:bCs/>
                <w:sz w:val="18"/>
                <w:lang w:val="fr-FR"/>
              </w:rPr>
              <w:instrText xml:space="preserve"> =SUM(ABOVE) </w:instrText>
            </w:r>
            <w:r w:rsidRPr="00641CAE">
              <w:rPr>
                <w:b/>
                <w:bCs/>
                <w:sz w:val="18"/>
                <w:lang w:val="fr-FR"/>
              </w:rPr>
              <w:fldChar w:fldCharType="separate"/>
            </w:r>
            <w:r w:rsidRPr="00641CAE">
              <w:rPr>
                <w:b/>
                <w:bCs/>
                <w:sz w:val="18"/>
                <w:lang w:val="fr-FR"/>
              </w:rPr>
              <w:t>1553</w:t>
            </w:r>
            <w:r w:rsidRPr="00641CAE">
              <w:rPr>
                <w:sz w:val="18"/>
              </w:rPr>
              <w:fldChar w:fldCharType="end"/>
            </w:r>
          </w:p>
        </w:tc>
      </w:tr>
    </w:tbl>
    <w:p w14:paraId="24F32769" w14:textId="77777777" w:rsidR="004608F0" w:rsidRPr="004608F0" w:rsidRDefault="004608F0" w:rsidP="00641CAE">
      <w:pPr>
        <w:pStyle w:val="SingleTxtG"/>
        <w:numPr>
          <w:ilvl w:val="0"/>
          <w:numId w:val="31"/>
        </w:numPr>
        <w:ind w:left="1134" w:firstLine="0"/>
        <w:rPr>
          <w:lang w:val="fr-FR"/>
        </w:rPr>
      </w:pPr>
      <w:r w:rsidRPr="004608F0">
        <w:rPr>
          <w:lang w:val="fr-FR"/>
        </w:rPr>
        <w:t>b) Le Gouvernement reconnaît que la détention provisoire doit demeurer une mesure exceptionnelle, strictement encadrée par la loi, et subordonnée aux principes de nécessité, de proportionnalité et de respect des droits de la défense. À cet égard, plusieurs mesures ont été engagées :</w:t>
      </w:r>
    </w:p>
    <w:p w14:paraId="1F3B9DFF" w14:textId="77777777" w:rsidR="004608F0" w:rsidRPr="004608F0" w:rsidRDefault="004608F0" w:rsidP="00434F1C">
      <w:pPr>
        <w:pStyle w:val="Bullet1G"/>
        <w:rPr>
          <w:lang w:val="fr-FR"/>
        </w:rPr>
      </w:pPr>
      <w:r w:rsidRPr="004608F0">
        <w:rPr>
          <w:lang w:val="fr-FR"/>
        </w:rPr>
        <w:t>Le Code de procédure pénale introduit de nouvelles garanties limitant le recours à la détention provisoire et renforçant les conditions de sa prolongation, en insistant sur la motivation obligatoire de toute décision en ce sens.</w:t>
      </w:r>
    </w:p>
    <w:p w14:paraId="4D28F19D" w14:textId="77777777" w:rsidR="004608F0" w:rsidRPr="004608F0" w:rsidRDefault="004608F0" w:rsidP="00434F1C">
      <w:pPr>
        <w:pStyle w:val="Bullet1G"/>
        <w:rPr>
          <w:lang w:val="fr-FR"/>
        </w:rPr>
      </w:pPr>
      <w:r w:rsidRPr="004608F0">
        <w:rPr>
          <w:lang w:val="fr-FR"/>
        </w:rPr>
        <w:t>Promotion des alternatives : Le cadre juridique permet aux juges de recourir à des mesures alternatives, telles que le contrôle judiciaire. Des instructions ont été émises pour encourager leur application chaque fois que cela est compatible avec les impératifs de justice.</w:t>
      </w:r>
    </w:p>
    <w:p w14:paraId="36C9F3CB" w14:textId="77777777" w:rsidR="004608F0" w:rsidRPr="004608F0" w:rsidRDefault="004608F0" w:rsidP="00434F1C">
      <w:pPr>
        <w:pStyle w:val="Bullet1G"/>
        <w:rPr>
          <w:lang w:val="fr-FR"/>
        </w:rPr>
      </w:pPr>
      <w:r w:rsidRPr="004608F0">
        <w:rPr>
          <w:lang w:val="fr-FR"/>
        </w:rPr>
        <w:t>Formation des magistrats : Des sessions de formation spécialisées sur les standards internationaux relatifs à la détention préventive et les alternatives possibles sont organisées régulièrement, en partenariat avec des institutions nationales et internationales. Ces formations mettent l’accent sur l’individualisation des décisions, l’appréciation du risque et le respect du délai raisonnable.</w:t>
      </w:r>
    </w:p>
    <w:p w14:paraId="7C9A91D4" w14:textId="77777777" w:rsidR="004608F0" w:rsidRPr="004608F0" w:rsidRDefault="004608F0" w:rsidP="00434F1C">
      <w:pPr>
        <w:pStyle w:val="Bullet1G"/>
        <w:rPr>
          <w:lang w:val="fr-FR"/>
        </w:rPr>
      </w:pPr>
      <w:r w:rsidRPr="004608F0">
        <w:rPr>
          <w:lang w:val="fr-FR"/>
        </w:rPr>
        <w:t>Suivi de l’impact : Un système de collecte de données statistiques est en cours d’élaboration afin de mieux suivre le recours à la détention provisoire, la durée moyenne des détentions, et la fréquence des mesures alternatives, en vue d’une évaluation régulière de l’impact des réformes engagées.</w:t>
      </w:r>
    </w:p>
    <w:p w14:paraId="50D95F1C" w14:textId="77777777" w:rsidR="004608F0" w:rsidRPr="004608F0" w:rsidRDefault="004608F0" w:rsidP="00434F1C">
      <w:pPr>
        <w:pStyle w:val="SingleTxtG"/>
        <w:numPr>
          <w:ilvl w:val="0"/>
          <w:numId w:val="31"/>
        </w:numPr>
        <w:ind w:left="1134" w:firstLine="0"/>
        <w:rPr>
          <w:lang w:val="fr-FR"/>
        </w:rPr>
      </w:pPr>
      <w:r w:rsidRPr="004608F0">
        <w:rPr>
          <w:lang w:val="fr-FR"/>
        </w:rPr>
        <w:t xml:space="preserve">c) Le Gouvernement a construit un complexe pénitentiaire d’une capacité de 1200 places à Riyadh (Nouakchott-Sud). Un autre établissement pénitentiaire de 200 places est en cours de construction à Kiffa. Ces établissements sont conçus conformément aux normes. </w:t>
      </w:r>
    </w:p>
    <w:p w14:paraId="3E22A0FE" w14:textId="77777777" w:rsidR="004608F0" w:rsidRPr="004608F0" w:rsidRDefault="004608F0" w:rsidP="00434F1C">
      <w:pPr>
        <w:pStyle w:val="SingleTxtG"/>
        <w:numPr>
          <w:ilvl w:val="0"/>
          <w:numId w:val="31"/>
        </w:numPr>
        <w:ind w:left="1134" w:firstLine="0"/>
        <w:rPr>
          <w:lang w:val="fr-FR"/>
        </w:rPr>
      </w:pPr>
      <w:r w:rsidRPr="004608F0">
        <w:rPr>
          <w:lang w:val="fr-FR"/>
        </w:rPr>
        <w:t>Cela permettra aussi de résoudre les difficultés causées par les transfèrements éloignés ; auxquels il n’est fait généralement recours qu’en cas d’extrême nécessité pour alléger le taux de surpopulation au niveau des établissements pénitentiaires situés à Nouakchott essentiellement.</w:t>
      </w:r>
    </w:p>
    <w:p w14:paraId="518718B9" w14:textId="77777777" w:rsidR="004608F0" w:rsidRPr="004608F0" w:rsidRDefault="004608F0" w:rsidP="00434F1C">
      <w:pPr>
        <w:pStyle w:val="SingleTxtG"/>
        <w:numPr>
          <w:ilvl w:val="0"/>
          <w:numId w:val="31"/>
        </w:numPr>
        <w:ind w:left="1134" w:firstLine="0"/>
        <w:rPr>
          <w:lang w:val="fr-FR"/>
        </w:rPr>
      </w:pPr>
      <w:r w:rsidRPr="004608F0">
        <w:rPr>
          <w:lang w:val="fr-FR"/>
        </w:rPr>
        <w:t xml:space="preserve">d) L’augmentation importante des crédits alloués à l’administration pénitentiaire pour le fonctionnement des prisons et l’entretien de la population carcérale, à raison de 107% par rapport à 2019, a permis d’améliorer considérablement les conditions de détention malgré l’augmentation constante du nombre des détenus. </w:t>
      </w:r>
    </w:p>
    <w:p w14:paraId="46CC52FD" w14:textId="77777777" w:rsidR="004608F0" w:rsidRPr="004608F0" w:rsidRDefault="004608F0" w:rsidP="00434F1C">
      <w:pPr>
        <w:pStyle w:val="SingleTxtG"/>
        <w:numPr>
          <w:ilvl w:val="0"/>
          <w:numId w:val="31"/>
        </w:numPr>
        <w:ind w:left="1134" w:firstLine="0"/>
        <w:rPr>
          <w:lang w:val="fr-FR"/>
        </w:rPr>
      </w:pPr>
      <w:r w:rsidRPr="004608F0">
        <w:rPr>
          <w:lang w:val="fr-FR"/>
        </w:rPr>
        <w:t>Toutes les prisons nationales sans exception sont reliées aux réseaux domestiques d’adduction d’eau et d’électricité. Les grands établissements sont dotés de générateurs électriques de secours. La gratuité des soins des détenus est assurée. Les détenus sont admis dans toutes les structures publiques de santé pour recevoir les soins adaptés. Des pharmacies de la place fournissent tous les médicaments prescrits. Les frais de cette prise en charge sont entièrement pris en charge par l’</w:t>
      </w:r>
      <w:proofErr w:type="spellStart"/>
      <w:r w:rsidRPr="004608F0">
        <w:rPr>
          <w:lang w:val="fr-FR"/>
        </w:rPr>
        <w:t>Etat</w:t>
      </w:r>
      <w:proofErr w:type="spellEnd"/>
      <w:r w:rsidRPr="004608F0">
        <w:rPr>
          <w:lang w:val="fr-FR"/>
        </w:rPr>
        <w:t xml:space="preserve">. </w:t>
      </w:r>
    </w:p>
    <w:p w14:paraId="27988F53" w14:textId="77777777" w:rsidR="004608F0" w:rsidRPr="004608F0" w:rsidRDefault="004608F0" w:rsidP="00434F1C">
      <w:pPr>
        <w:pStyle w:val="SingleTxtG"/>
        <w:numPr>
          <w:ilvl w:val="0"/>
          <w:numId w:val="31"/>
        </w:numPr>
        <w:ind w:left="1134" w:firstLine="0"/>
        <w:rPr>
          <w:lang w:val="fr-FR"/>
        </w:rPr>
      </w:pPr>
      <w:r w:rsidRPr="004608F0">
        <w:rPr>
          <w:lang w:val="fr-FR"/>
        </w:rPr>
        <w:t>e) et f)</w:t>
      </w:r>
      <w:r w:rsidRPr="004608F0">
        <w:rPr>
          <w:lang w:val="fr-FR"/>
        </w:rPr>
        <w:tab/>
        <w:t xml:space="preserve">La séparation stricte entre les majeurs et les mineurs d’une part et entre les hommes et les femmes est généralisée à tous les établissements pénitentiaires. La séparation entre condamnés et détenus est mise en œuvre progressivement en fonction de la compatibilité des infrastructures pénitentiaires. Elle est effective dans les prisons de Nouadhibou, Aleg, </w:t>
      </w:r>
      <w:proofErr w:type="spellStart"/>
      <w:r w:rsidRPr="004608F0">
        <w:rPr>
          <w:lang w:val="fr-FR"/>
        </w:rPr>
        <w:t>Nbeika</w:t>
      </w:r>
      <w:proofErr w:type="spellEnd"/>
      <w:r w:rsidRPr="004608F0">
        <w:rPr>
          <w:lang w:val="fr-FR"/>
        </w:rPr>
        <w:t xml:space="preserve"> et Riyadh. Cet objectif va se concrétiser au fur de la réception de nouvelles prisons. Un plan de construction est communiqué au département de l’habitat en vue de la programmation de construction de nouvelles infrastructures.</w:t>
      </w:r>
    </w:p>
    <w:p w14:paraId="22BF2DB5" w14:textId="77777777" w:rsidR="004608F0" w:rsidRPr="004608F0" w:rsidRDefault="004608F0" w:rsidP="009D4805">
      <w:pPr>
        <w:pStyle w:val="SingleTxtG"/>
        <w:numPr>
          <w:ilvl w:val="0"/>
          <w:numId w:val="31"/>
        </w:numPr>
        <w:ind w:left="1134" w:firstLine="0"/>
        <w:rPr>
          <w:lang w:val="fr-FR"/>
        </w:rPr>
      </w:pPr>
      <w:r w:rsidRPr="004608F0">
        <w:rPr>
          <w:lang w:val="fr-FR"/>
        </w:rPr>
        <w:t xml:space="preserve">g) La Direction en charge de l’administration pénitentiaire a connu récemment une restructuration élevant son niveau d’ancrage institutionnel au rang de direction générale. Un service au sein de la nouvelle structure est dédié à la santé, l’alimentation et l’hygiène des détenus. </w:t>
      </w:r>
    </w:p>
    <w:p w14:paraId="1B494855" w14:textId="77777777" w:rsidR="004608F0" w:rsidRPr="004608F0" w:rsidRDefault="004608F0" w:rsidP="009D4805">
      <w:pPr>
        <w:pStyle w:val="SingleTxtG"/>
        <w:numPr>
          <w:ilvl w:val="0"/>
          <w:numId w:val="31"/>
        </w:numPr>
        <w:ind w:left="1134" w:firstLine="0"/>
        <w:rPr>
          <w:lang w:val="fr-FR"/>
        </w:rPr>
      </w:pPr>
      <w:r w:rsidRPr="004608F0">
        <w:rPr>
          <w:lang w:val="fr-FR"/>
        </w:rPr>
        <w:t xml:space="preserve">Avec l’appui et la facilitation du Comité International de la Croix Rouge (CICR), un comité technique tripartite est mis en place entre la Direction Générale de la santé publique (ministère de la Santé) et la Direction Générale de l’administration pénitentiaire (DGAPR), ce qui a permis d’intégrer la santé carcérale dans le système national d’information sanitaire (SNIS). C’est ainsi que tous les programmes verticaux de santé publique tels que le paludisme, la tuberculose, le VIH-SIDA interviennent désormais en milieu pénitentiaire. </w:t>
      </w:r>
    </w:p>
    <w:p w14:paraId="6568949B" w14:textId="77777777" w:rsidR="004608F0" w:rsidRPr="004608F0" w:rsidRDefault="004608F0" w:rsidP="009D4805">
      <w:pPr>
        <w:pStyle w:val="SingleTxtG"/>
        <w:numPr>
          <w:ilvl w:val="0"/>
          <w:numId w:val="31"/>
        </w:numPr>
        <w:ind w:left="1134" w:firstLine="0"/>
        <w:rPr>
          <w:lang w:val="fr-FR"/>
        </w:rPr>
      </w:pPr>
      <w:r w:rsidRPr="004608F0">
        <w:rPr>
          <w:lang w:val="fr-FR"/>
        </w:rPr>
        <w:t xml:space="preserve">Dans ce cadre, tous les points de santé des prisons ont été référés aux Directions Régionales de l’Action Sanitaire (DRAS) du ressort. </w:t>
      </w:r>
    </w:p>
    <w:p w14:paraId="7819F332" w14:textId="77777777" w:rsidR="004608F0" w:rsidRPr="004608F0" w:rsidRDefault="004608F0" w:rsidP="009D4805">
      <w:pPr>
        <w:pStyle w:val="SingleTxtG"/>
        <w:numPr>
          <w:ilvl w:val="0"/>
          <w:numId w:val="31"/>
        </w:numPr>
        <w:ind w:left="1134" w:firstLine="0"/>
        <w:rPr>
          <w:lang w:val="fr-FR"/>
        </w:rPr>
      </w:pPr>
      <w:r w:rsidRPr="004608F0">
        <w:rPr>
          <w:lang w:val="fr-FR"/>
        </w:rPr>
        <w:t>h) En vue de promouvoir les droits des détenus et améliorer leur prise en charge, la restructuration de la direction chargée de l’administration pénitentiaire, en vertu du décret 134-2022 a institué une direction centrale au niveau du ministère de la justice chargée de la réinsertion sociale de détenus. Un service dédié à la formation et l’emploi des détenus est créé au sein de cette direction. En outre, une division de la promotion du partenariat et de la réinsertion est créée au niveau de chaque établissement pénitentiaire en vue de promouvoir et mettre en œuvre des programmes de réinsertion en faveur des détenus.</w:t>
      </w:r>
    </w:p>
    <w:p w14:paraId="1693ACCB" w14:textId="77777777" w:rsidR="004608F0" w:rsidRPr="004608F0" w:rsidRDefault="004608F0" w:rsidP="009D4805">
      <w:pPr>
        <w:pStyle w:val="SingleTxtG"/>
        <w:numPr>
          <w:ilvl w:val="0"/>
          <w:numId w:val="31"/>
        </w:numPr>
        <w:ind w:left="1134" w:firstLine="0"/>
        <w:rPr>
          <w:lang w:val="fr-FR"/>
        </w:rPr>
      </w:pPr>
      <w:r w:rsidRPr="004608F0">
        <w:rPr>
          <w:lang w:val="fr-FR"/>
        </w:rPr>
        <w:t xml:space="preserve">Déjà, l’administration pénitentiaire met en œuvre en collaboration avec le Département en charge des Affaires Islamiques et de l’Enseignement Original et la Fondation des Oulémas de Mauritanie, un programme d’éducation civique et religieuse dans toutes les prisons nationales. Ce programme opérationnel depuis janvier 2021, a commencé par les prisons de Dar-Naim, Centrale, Femmes, Nouadhibou, Aleg et </w:t>
      </w:r>
      <w:proofErr w:type="spellStart"/>
      <w:r w:rsidRPr="004608F0">
        <w:rPr>
          <w:lang w:val="fr-FR"/>
        </w:rPr>
        <w:t>Nbeika</w:t>
      </w:r>
      <w:proofErr w:type="spellEnd"/>
      <w:r w:rsidRPr="004608F0">
        <w:rPr>
          <w:lang w:val="fr-FR"/>
        </w:rPr>
        <w:t xml:space="preserve">, où il se perpétue aujourd’hui et s’étend progressivement aux autres prisons. </w:t>
      </w:r>
    </w:p>
    <w:p w14:paraId="3A58A351" w14:textId="77777777" w:rsidR="004608F0" w:rsidRPr="004608F0" w:rsidRDefault="004608F0" w:rsidP="009D4805">
      <w:pPr>
        <w:pStyle w:val="SingleTxtG"/>
        <w:numPr>
          <w:ilvl w:val="0"/>
          <w:numId w:val="31"/>
        </w:numPr>
        <w:ind w:left="1134" w:firstLine="0"/>
        <w:rPr>
          <w:lang w:val="fr-FR"/>
        </w:rPr>
      </w:pPr>
      <w:r w:rsidRPr="004608F0">
        <w:rPr>
          <w:lang w:val="fr-FR"/>
        </w:rPr>
        <w:t xml:space="preserve">Les ateliers de formation et de production (boulangerie, soudure métallique, cordonnerie, couture, coiffure, mécanique automobile, électricité auto, bâtiment, plomberie, menuiserie bois et aluminium, blanchisserie et boucherie, etc.) sont ouverts dans certains centres et prisons. Un nombre important de détenus exercent l’apprentissage aux métiers. </w:t>
      </w:r>
    </w:p>
    <w:p w14:paraId="757E1D69" w14:textId="77777777" w:rsidR="004608F0" w:rsidRPr="004608F0" w:rsidRDefault="004608F0" w:rsidP="009D4805">
      <w:pPr>
        <w:pStyle w:val="SingleTxtG"/>
        <w:numPr>
          <w:ilvl w:val="0"/>
          <w:numId w:val="31"/>
        </w:numPr>
        <w:ind w:left="1134" w:firstLine="0"/>
        <w:rPr>
          <w:lang w:val="fr-FR"/>
        </w:rPr>
      </w:pPr>
      <w:r w:rsidRPr="004608F0">
        <w:rPr>
          <w:lang w:val="fr-FR"/>
        </w:rPr>
        <w:t xml:space="preserve">Certains sont arrivés à des résultats probants, en s’intégrant convenablement dans la société après leur libération.  Le suivi de ces individus après leur libération est jusqu’à présent assuré en partenariat avec des ONG comme la Fondation Noura et Caritas-Mauritanie. D’autres détenus, encore en détention apportent de l’aide à leurs familles ou sont en train de constituer des épargnes auprès des institutions de micro-crédits, dans l’espoir de lancer à l’avenir dans des activités génératrices de revenus avec l’aide et le suivi de ces associations. </w:t>
      </w:r>
    </w:p>
    <w:p w14:paraId="023B2DD3" w14:textId="77777777" w:rsidR="004608F0" w:rsidRPr="004608F0" w:rsidRDefault="004608F0" w:rsidP="009D4805">
      <w:pPr>
        <w:pStyle w:val="SingleTxtG"/>
        <w:numPr>
          <w:ilvl w:val="0"/>
          <w:numId w:val="31"/>
        </w:numPr>
        <w:ind w:left="1134" w:firstLine="0"/>
        <w:rPr>
          <w:lang w:val="fr-FR"/>
        </w:rPr>
      </w:pPr>
      <w:r w:rsidRPr="004608F0">
        <w:rPr>
          <w:lang w:val="fr-FR"/>
        </w:rPr>
        <w:t>Les statistiques d’occupation des établissements pénitentiaires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22"/>
        <w:gridCol w:w="916"/>
        <w:gridCol w:w="874"/>
        <w:gridCol w:w="903"/>
        <w:gridCol w:w="968"/>
        <w:gridCol w:w="881"/>
        <w:gridCol w:w="884"/>
        <w:gridCol w:w="922"/>
      </w:tblGrid>
      <w:tr w:rsidR="009D4805" w:rsidRPr="009D4805" w14:paraId="7B759111" w14:textId="77777777" w:rsidTr="009D4805">
        <w:trPr>
          <w:tblHeader/>
        </w:trPr>
        <w:tc>
          <w:tcPr>
            <w:tcW w:w="1337" w:type="dxa"/>
            <w:tcBorders>
              <w:top w:val="single" w:sz="4" w:space="0" w:color="auto"/>
              <w:bottom w:val="single" w:sz="12" w:space="0" w:color="auto"/>
            </w:tcBorders>
            <w:shd w:val="clear" w:color="auto" w:fill="auto"/>
            <w:vAlign w:val="bottom"/>
          </w:tcPr>
          <w:p w14:paraId="3359A1B0" w14:textId="77777777" w:rsidR="004608F0" w:rsidRPr="009D4805" w:rsidRDefault="004608F0" w:rsidP="009D4805">
            <w:pPr>
              <w:pStyle w:val="SingleTxtG"/>
              <w:tabs>
                <w:tab w:val="clear" w:pos="1701"/>
                <w:tab w:val="clear" w:pos="2268"/>
                <w:tab w:val="clear" w:pos="2835"/>
              </w:tabs>
              <w:suppressAutoHyphens w:val="0"/>
              <w:spacing w:before="80" w:after="80" w:line="200" w:lineRule="exact"/>
              <w:ind w:left="0" w:right="0"/>
              <w:jc w:val="left"/>
              <w:rPr>
                <w:bCs/>
                <w:i/>
                <w:sz w:val="16"/>
                <w:lang w:val="fr-FR"/>
              </w:rPr>
            </w:pPr>
            <w:proofErr w:type="spellStart"/>
            <w:r w:rsidRPr="009D4805">
              <w:rPr>
                <w:bCs/>
                <w:i/>
                <w:sz w:val="16"/>
                <w:lang w:val="fr-FR"/>
              </w:rPr>
              <w:t>Etablissement</w:t>
            </w:r>
            <w:proofErr w:type="spellEnd"/>
          </w:p>
        </w:tc>
        <w:tc>
          <w:tcPr>
            <w:tcW w:w="1197" w:type="dxa"/>
            <w:tcBorders>
              <w:top w:val="single" w:sz="4" w:space="0" w:color="auto"/>
              <w:bottom w:val="single" w:sz="12" w:space="0" w:color="auto"/>
            </w:tcBorders>
            <w:shd w:val="clear" w:color="auto" w:fill="auto"/>
            <w:vAlign w:val="bottom"/>
          </w:tcPr>
          <w:p w14:paraId="109CB2F6" w14:textId="77777777" w:rsidR="004608F0" w:rsidRPr="009D4805" w:rsidRDefault="004608F0" w:rsidP="009D4805">
            <w:pPr>
              <w:pStyle w:val="SingleTxtG"/>
              <w:tabs>
                <w:tab w:val="clear" w:pos="1701"/>
                <w:tab w:val="clear" w:pos="2268"/>
                <w:tab w:val="clear" w:pos="2835"/>
              </w:tabs>
              <w:suppressAutoHyphens w:val="0"/>
              <w:spacing w:before="80" w:after="80" w:line="200" w:lineRule="exact"/>
              <w:ind w:left="0" w:right="0"/>
              <w:jc w:val="right"/>
              <w:rPr>
                <w:bCs/>
                <w:i/>
                <w:sz w:val="16"/>
                <w:lang w:val="fr-FR"/>
              </w:rPr>
            </w:pPr>
            <w:r w:rsidRPr="009D4805">
              <w:rPr>
                <w:bCs/>
                <w:i/>
                <w:sz w:val="16"/>
                <w:lang w:val="fr-FR"/>
              </w:rPr>
              <w:t>Capacités</w:t>
            </w:r>
          </w:p>
        </w:tc>
        <w:tc>
          <w:tcPr>
            <w:tcW w:w="1141" w:type="dxa"/>
            <w:tcBorders>
              <w:top w:val="single" w:sz="4" w:space="0" w:color="auto"/>
              <w:bottom w:val="single" w:sz="12" w:space="0" w:color="auto"/>
            </w:tcBorders>
            <w:shd w:val="clear" w:color="auto" w:fill="auto"/>
            <w:vAlign w:val="bottom"/>
          </w:tcPr>
          <w:p w14:paraId="668A3F90" w14:textId="77777777" w:rsidR="004608F0" w:rsidRPr="009D4805" w:rsidRDefault="004608F0" w:rsidP="009D4805">
            <w:pPr>
              <w:pStyle w:val="SingleTxtG"/>
              <w:tabs>
                <w:tab w:val="clear" w:pos="1701"/>
                <w:tab w:val="clear" w:pos="2268"/>
                <w:tab w:val="clear" w:pos="2835"/>
              </w:tabs>
              <w:suppressAutoHyphens w:val="0"/>
              <w:spacing w:before="80" w:after="80" w:line="200" w:lineRule="exact"/>
              <w:ind w:left="0" w:right="0"/>
              <w:jc w:val="right"/>
              <w:rPr>
                <w:bCs/>
                <w:i/>
                <w:sz w:val="16"/>
                <w:lang w:val="fr-FR"/>
              </w:rPr>
            </w:pPr>
            <w:r w:rsidRPr="009D4805">
              <w:rPr>
                <w:bCs/>
                <w:i/>
                <w:sz w:val="16"/>
                <w:lang w:val="fr-FR"/>
              </w:rPr>
              <w:t>Détenus</w:t>
            </w:r>
          </w:p>
        </w:tc>
        <w:tc>
          <w:tcPr>
            <w:tcW w:w="1179" w:type="dxa"/>
            <w:tcBorders>
              <w:top w:val="single" w:sz="4" w:space="0" w:color="auto"/>
              <w:bottom w:val="single" w:sz="12" w:space="0" w:color="auto"/>
            </w:tcBorders>
            <w:shd w:val="clear" w:color="auto" w:fill="auto"/>
            <w:vAlign w:val="bottom"/>
          </w:tcPr>
          <w:p w14:paraId="60B559FE" w14:textId="77777777" w:rsidR="004608F0" w:rsidRPr="009D4805" w:rsidRDefault="004608F0" w:rsidP="009D4805">
            <w:pPr>
              <w:pStyle w:val="SingleTxtG"/>
              <w:tabs>
                <w:tab w:val="clear" w:pos="1701"/>
                <w:tab w:val="clear" w:pos="2268"/>
                <w:tab w:val="clear" w:pos="2835"/>
              </w:tabs>
              <w:suppressAutoHyphens w:val="0"/>
              <w:spacing w:before="80" w:after="80" w:line="200" w:lineRule="exact"/>
              <w:ind w:left="0" w:right="0"/>
              <w:jc w:val="right"/>
              <w:rPr>
                <w:bCs/>
                <w:i/>
                <w:sz w:val="16"/>
                <w:lang w:val="fr-FR"/>
              </w:rPr>
            </w:pPr>
            <w:r w:rsidRPr="009D4805">
              <w:rPr>
                <w:bCs/>
                <w:i/>
                <w:sz w:val="16"/>
                <w:lang w:val="fr-FR"/>
              </w:rPr>
              <w:t>Prévenus</w:t>
            </w:r>
          </w:p>
        </w:tc>
        <w:tc>
          <w:tcPr>
            <w:tcW w:w="1265" w:type="dxa"/>
            <w:tcBorders>
              <w:top w:val="single" w:sz="4" w:space="0" w:color="auto"/>
              <w:bottom w:val="single" w:sz="12" w:space="0" w:color="auto"/>
            </w:tcBorders>
            <w:shd w:val="clear" w:color="auto" w:fill="auto"/>
            <w:vAlign w:val="bottom"/>
          </w:tcPr>
          <w:p w14:paraId="284A4795" w14:textId="77777777" w:rsidR="004608F0" w:rsidRPr="009D4805" w:rsidRDefault="004608F0" w:rsidP="009D4805">
            <w:pPr>
              <w:pStyle w:val="SingleTxtG"/>
              <w:tabs>
                <w:tab w:val="clear" w:pos="1701"/>
                <w:tab w:val="clear" w:pos="2268"/>
                <w:tab w:val="clear" w:pos="2835"/>
              </w:tabs>
              <w:suppressAutoHyphens w:val="0"/>
              <w:spacing w:before="80" w:after="80" w:line="200" w:lineRule="exact"/>
              <w:ind w:left="0" w:right="0"/>
              <w:jc w:val="right"/>
              <w:rPr>
                <w:bCs/>
                <w:i/>
                <w:sz w:val="16"/>
                <w:lang w:val="fr-FR"/>
              </w:rPr>
            </w:pPr>
            <w:r w:rsidRPr="009D4805">
              <w:rPr>
                <w:bCs/>
                <w:i/>
                <w:sz w:val="16"/>
                <w:lang w:val="fr-FR"/>
              </w:rPr>
              <w:t>Condamnés</w:t>
            </w:r>
          </w:p>
        </w:tc>
        <w:tc>
          <w:tcPr>
            <w:tcW w:w="1150" w:type="dxa"/>
            <w:tcBorders>
              <w:top w:val="single" w:sz="4" w:space="0" w:color="auto"/>
              <w:bottom w:val="single" w:sz="12" w:space="0" w:color="auto"/>
            </w:tcBorders>
            <w:shd w:val="clear" w:color="auto" w:fill="auto"/>
            <w:vAlign w:val="bottom"/>
          </w:tcPr>
          <w:p w14:paraId="44A8DE98" w14:textId="77777777" w:rsidR="004608F0" w:rsidRPr="009D4805" w:rsidRDefault="004608F0" w:rsidP="009D4805">
            <w:pPr>
              <w:pStyle w:val="SingleTxtG"/>
              <w:tabs>
                <w:tab w:val="clear" w:pos="1701"/>
                <w:tab w:val="clear" w:pos="2268"/>
                <w:tab w:val="clear" w:pos="2835"/>
              </w:tabs>
              <w:suppressAutoHyphens w:val="0"/>
              <w:spacing w:before="80" w:after="80" w:line="200" w:lineRule="exact"/>
              <w:ind w:left="0" w:right="0"/>
              <w:jc w:val="right"/>
              <w:rPr>
                <w:bCs/>
                <w:i/>
                <w:sz w:val="16"/>
                <w:lang w:val="fr-FR"/>
              </w:rPr>
            </w:pPr>
            <w:proofErr w:type="spellStart"/>
            <w:r w:rsidRPr="009D4805">
              <w:rPr>
                <w:bCs/>
                <w:i/>
                <w:sz w:val="16"/>
                <w:lang w:val="fr-FR"/>
              </w:rPr>
              <w:t>Feminin</w:t>
            </w:r>
            <w:proofErr w:type="spellEnd"/>
          </w:p>
        </w:tc>
        <w:tc>
          <w:tcPr>
            <w:tcW w:w="1154" w:type="dxa"/>
            <w:tcBorders>
              <w:top w:val="single" w:sz="4" w:space="0" w:color="auto"/>
              <w:bottom w:val="single" w:sz="12" w:space="0" w:color="auto"/>
            </w:tcBorders>
            <w:shd w:val="clear" w:color="auto" w:fill="auto"/>
            <w:vAlign w:val="bottom"/>
          </w:tcPr>
          <w:p w14:paraId="1D70414A" w14:textId="77777777" w:rsidR="004608F0" w:rsidRPr="009D4805" w:rsidRDefault="004608F0" w:rsidP="009D4805">
            <w:pPr>
              <w:pStyle w:val="SingleTxtG"/>
              <w:tabs>
                <w:tab w:val="clear" w:pos="1701"/>
                <w:tab w:val="clear" w:pos="2268"/>
                <w:tab w:val="clear" w:pos="2835"/>
              </w:tabs>
              <w:suppressAutoHyphens w:val="0"/>
              <w:spacing w:before="80" w:after="80" w:line="200" w:lineRule="exact"/>
              <w:ind w:left="0" w:right="0"/>
              <w:jc w:val="right"/>
              <w:rPr>
                <w:bCs/>
                <w:i/>
                <w:sz w:val="16"/>
                <w:lang w:val="fr-FR"/>
              </w:rPr>
            </w:pPr>
            <w:r w:rsidRPr="009D4805">
              <w:rPr>
                <w:bCs/>
                <w:i/>
                <w:sz w:val="16"/>
                <w:lang w:val="fr-FR"/>
              </w:rPr>
              <w:t>Mineurs</w:t>
            </w:r>
          </w:p>
        </w:tc>
        <w:tc>
          <w:tcPr>
            <w:tcW w:w="1205" w:type="dxa"/>
            <w:tcBorders>
              <w:top w:val="single" w:sz="4" w:space="0" w:color="auto"/>
              <w:bottom w:val="single" w:sz="12" w:space="0" w:color="auto"/>
            </w:tcBorders>
            <w:shd w:val="clear" w:color="auto" w:fill="auto"/>
            <w:vAlign w:val="bottom"/>
          </w:tcPr>
          <w:p w14:paraId="76858613" w14:textId="77777777" w:rsidR="004608F0" w:rsidRPr="009D4805" w:rsidRDefault="004608F0" w:rsidP="009D4805">
            <w:pPr>
              <w:pStyle w:val="SingleTxtG"/>
              <w:tabs>
                <w:tab w:val="clear" w:pos="1701"/>
                <w:tab w:val="clear" w:pos="2268"/>
                <w:tab w:val="clear" w:pos="2835"/>
              </w:tabs>
              <w:suppressAutoHyphens w:val="0"/>
              <w:spacing w:before="80" w:after="80" w:line="200" w:lineRule="exact"/>
              <w:ind w:left="0" w:right="0"/>
              <w:jc w:val="right"/>
              <w:rPr>
                <w:bCs/>
                <w:i/>
                <w:sz w:val="16"/>
                <w:lang w:val="fr-FR"/>
              </w:rPr>
            </w:pPr>
            <w:proofErr w:type="spellStart"/>
            <w:r w:rsidRPr="009D4805">
              <w:rPr>
                <w:bCs/>
                <w:i/>
                <w:sz w:val="16"/>
                <w:lang w:val="fr-FR"/>
              </w:rPr>
              <w:t>Etrangers</w:t>
            </w:r>
            <w:proofErr w:type="spellEnd"/>
          </w:p>
        </w:tc>
      </w:tr>
      <w:tr w:rsidR="009D4805" w:rsidRPr="009D4805" w14:paraId="50633D03" w14:textId="77777777" w:rsidTr="009D4805">
        <w:tc>
          <w:tcPr>
            <w:tcW w:w="1337" w:type="dxa"/>
            <w:tcBorders>
              <w:top w:val="single" w:sz="12" w:space="0" w:color="auto"/>
            </w:tcBorders>
            <w:shd w:val="clear" w:color="auto" w:fill="auto"/>
          </w:tcPr>
          <w:p w14:paraId="684B3747"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left"/>
              <w:rPr>
                <w:b/>
                <w:bCs/>
                <w:sz w:val="18"/>
                <w:lang w:val="fr-FR"/>
              </w:rPr>
            </w:pPr>
            <w:r w:rsidRPr="009D4805">
              <w:rPr>
                <w:b/>
                <w:bCs/>
                <w:sz w:val="18"/>
                <w:lang w:val="fr-FR"/>
              </w:rPr>
              <w:t>Riyad</w:t>
            </w:r>
          </w:p>
        </w:tc>
        <w:tc>
          <w:tcPr>
            <w:tcW w:w="1197" w:type="dxa"/>
            <w:tcBorders>
              <w:top w:val="single" w:sz="12" w:space="0" w:color="auto"/>
            </w:tcBorders>
            <w:shd w:val="clear" w:color="auto" w:fill="auto"/>
            <w:vAlign w:val="bottom"/>
          </w:tcPr>
          <w:p w14:paraId="2894939C"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1200</w:t>
            </w:r>
          </w:p>
        </w:tc>
        <w:tc>
          <w:tcPr>
            <w:tcW w:w="1141" w:type="dxa"/>
            <w:tcBorders>
              <w:top w:val="single" w:sz="12" w:space="0" w:color="auto"/>
            </w:tcBorders>
            <w:shd w:val="clear" w:color="auto" w:fill="auto"/>
            <w:vAlign w:val="bottom"/>
          </w:tcPr>
          <w:p w14:paraId="66EF81F7"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786</w:t>
            </w:r>
          </w:p>
        </w:tc>
        <w:tc>
          <w:tcPr>
            <w:tcW w:w="1179" w:type="dxa"/>
            <w:tcBorders>
              <w:top w:val="single" w:sz="12" w:space="0" w:color="auto"/>
            </w:tcBorders>
            <w:shd w:val="clear" w:color="auto" w:fill="auto"/>
            <w:vAlign w:val="bottom"/>
          </w:tcPr>
          <w:p w14:paraId="0D59C6B6"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582</w:t>
            </w:r>
          </w:p>
        </w:tc>
        <w:tc>
          <w:tcPr>
            <w:tcW w:w="1265" w:type="dxa"/>
            <w:tcBorders>
              <w:top w:val="single" w:sz="12" w:space="0" w:color="auto"/>
            </w:tcBorders>
            <w:shd w:val="clear" w:color="auto" w:fill="auto"/>
            <w:vAlign w:val="bottom"/>
          </w:tcPr>
          <w:p w14:paraId="4828EFC3"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204</w:t>
            </w:r>
          </w:p>
        </w:tc>
        <w:tc>
          <w:tcPr>
            <w:tcW w:w="1150" w:type="dxa"/>
            <w:tcBorders>
              <w:top w:val="single" w:sz="12" w:space="0" w:color="auto"/>
            </w:tcBorders>
            <w:shd w:val="clear" w:color="auto" w:fill="auto"/>
            <w:vAlign w:val="bottom"/>
          </w:tcPr>
          <w:p w14:paraId="6582D5CB"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154" w:type="dxa"/>
            <w:tcBorders>
              <w:top w:val="single" w:sz="12" w:space="0" w:color="auto"/>
            </w:tcBorders>
            <w:shd w:val="clear" w:color="auto" w:fill="auto"/>
            <w:vAlign w:val="bottom"/>
          </w:tcPr>
          <w:p w14:paraId="6750B14C"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205" w:type="dxa"/>
            <w:tcBorders>
              <w:top w:val="single" w:sz="12" w:space="0" w:color="auto"/>
            </w:tcBorders>
            <w:shd w:val="clear" w:color="auto" w:fill="auto"/>
            <w:vAlign w:val="bottom"/>
          </w:tcPr>
          <w:p w14:paraId="1DAEA7AC"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117</w:t>
            </w:r>
          </w:p>
        </w:tc>
      </w:tr>
      <w:tr w:rsidR="009D4805" w:rsidRPr="009D4805" w14:paraId="34B3A92F" w14:textId="77777777" w:rsidTr="009D4805">
        <w:tc>
          <w:tcPr>
            <w:tcW w:w="1337" w:type="dxa"/>
            <w:shd w:val="clear" w:color="auto" w:fill="auto"/>
          </w:tcPr>
          <w:p w14:paraId="0A287987"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left"/>
              <w:rPr>
                <w:b/>
                <w:bCs/>
                <w:sz w:val="18"/>
                <w:lang w:val="fr-FR"/>
              </w:rPr>
            </w:pPr>
            <w:proofErr w:type="spellStart"/>
            <w:r w:rsidRPr="009D4805">
              <w:rPr>
                <w:b/>
                <w:bCs/>
                <w:sz w:val="18"/>
                <w:lang w:val="fr-FR"/>
              </w:rPr>
              <w:t>Nkc</w:t>
            </w:r>
            <w:proofErr w:type="spellEnd"/>
            <w:r w:rsidRPr="009D4805">
              <w:rPr>
                <w:b/>
                <w:bCs/>
                <w:sz w:val="18"/>
                <w:lang w:val="fr-FR"/>
              </w:rPr>
              <w:t xml:space="preserve"> Dar-Naim</w:t>
            </w:r>
          </w:p>
        </w:tc>
        <w:tc>
          <w:tcPr>
            <w:tcW w:w="1197" w:type="dxa"/>
            <w:shd w:val="clear" w:color="auto" w:fill="auto"/>
            <w:vAlign w:val="bottom"/>
          </w:tcPr>
          <w:p w14:paraId="4DCAF6ED"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350</w:t>
            </w:r>
          </w:p>
        </w:tc>
        <w:tc>
          <w:tcPr>
            <w:tcW w:w="1141" w:type="dxa"/>
            <w:shd w:val="clear" w:color="auto" w:fill="auto"/>
            <w:vAlign w:val="bottom"/>
          </w:tcPr>
          <w:p w14:paraId="7E6FB57D"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768</w:t>
            </w:r>
          </w:p>
        </w:tc>
        <w:tc>
          <w:tcPr>
            <w:tcW w:w="1179" w:type="dxa"/>
            <w:shd w:val="clear" w:color="auto" w:fill="auto"/>
            <w:vAlign w:val="bottom"/>
          </w:tcPr>
          <w:p w14:paraId="1E9282FC"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475</w:t>
            </w:r>
          </w:p>
        </w:tc>
        <w:tc>
          <w:tcPr>
            <w:tcW w:w="1265" w:type="dxa"/>
            <w:shd w:val="clear" w:color="auto" w:fill="auto"/>
            <w:vAlign w:val="bottom"/>
          </w:tcPr>
          <w:p w14:paraId="75B7B9B6"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293</w:t>
            </w:r>
          </w:p>
        </w:tc>
        <w:tc>
          <w:tcPr>
            <w:tcW w:w="1150" w:type="dxa"/>
            <w:shd w:val="clear" w:color="auto" w:fill="auto"/>
            <w:vAlign w:val="bottom"/>
          </w:tcPr>
          <w:p w14:paraId="245C75DA"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154" w:type="dxa"/>
            <w:shd w:val="clear" w:color="auto" w:fill="auto"/>
            <w:vAlign w:val="bottom"/>
          </w:tcPr>
          <w:p w14:paraId="0A21F40E"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205" w:type="dxa"/>
            <w:shd w:val="clear" w:color="auto" w:fill="auto"/>
            <w:vAlign w:val="bottom"/>
          </w:tcPr>
          <w:p w14:paraId="539C77FB"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125</w:t>
            </w:r>
          </w:p>
        </w:tc>
      </w:tr>
      <w:tr w:rsidR="009D4805" w:rsidRPr="009D4805" w14:paraId="587C9491" w14:textId="77777777" w:rsidTr="009D4805">
        <w:tc>
          <w:tcPr>
            <w:tcW w:w="1337" w:type="dxa"/>
            <w:shd w:val="clear" w:color="auto" w:fill="auto"/>
          </w:tcPr>
          <w:p w14:paraId="6B6E311C"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left"/>
              <w:rPr>
                <w:b/>
                <w:bCs/>
                <w:sz w:val="18"/>
                <w:lang w:val="fr-FR"/>
              </w:rPr>
            </w:pPr>
            <w:proofErr w:type="spellStart"/>
            <w:r w:rsidRPr="009D4805">
              <w:rPr>
                <w:b/>
                <w:bCs/>
                <w:sz w:val="18"/>
                <w:lang w:val="fr-FR"/>
              </w:rPr>
              <w:t>Nkc</w:t>
            </w:r>
            <w:proofErr w:type="spellEnd"/>
            <w:r w:rsidRPr="009D4805">
              <w:rPr>
                <w:b/>
                <w:bCs/>
                <w:sz w:val="18"/>
                <w:lang w:val="fr-FR"/>
              </w:rPr>
              <w:t xml:space="preserve"> Centrale</w:t>
            </w:r>
          </w:p>
        </w:tc>
        <w:tc>
          <w:tcPr>
            <w:tcW w:w="1197" w:type="dxa"/>
            <w:shd w:val="clear" w:color="auto" w:fill="auto"/>
            <w:vAlign w:val="bottom"/>
          </w:tcPr>
          <w:p w14:paraId="7D5EF27C"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150</w:t>
            </w:r>
          </w:p>
        </w:tc>
        <w:tc>
          <w:tcPr>
            <w:tcW w:w="1141" w:type="dxa"/>
            <w:shd w:val="clear" w:color="auto" w:fill="auto"/>
            <w:vAlign w:val="bottom"/>
          </w:tcPr>
          <w:p w14:paraId="3E896DDE"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124</w:t>
            </w:r>
          </w:p>
        </w:tc>
        <w:tc>
          <w:tcPr>
            <w:tcW w:w="1179" w:type="dxa"/>
            <w:shd w:val="clear" w:color="auto" w:fill="auto"/>
            <w:vAlign w:val="bottom"/>
          </w:tcPr>
          <w:p w14:paraId="3948AA00"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64</w:t>
            </w:r>
          </w:p>
        </w:tc>
        <w:tc>
          <w:tcPr>
            <w:tcW w:w="1265" w:type="dxa"/>
            <w:shd w:val="clear" w:color="auto" w:fill="auto"/>
            <w:vAlign w:val="bottom"/>
          </w:tcPr>
          <w:p w14:paraId="33AE9F5D"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60</w:t>
            </w:r>
          </w:p>
        </w:tc>
        <w:tc>
          <w:tcPr>
            <w:tcW w:w="1150" w:type="dxa"/>
            <w:shd w:val="clear" w:color="auto" w:fill="auto"/>
            <w:vAlign w:val="bottom"/>
          </w:tcPr>
          <w:p w14:paraId="4D2472B3"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154" w:type="dxa"/>
            <w:shd w:val="clear" w:color="auto" w:fill="auto"/>
            <w:vAlign w:val="bottom"/>
          </w:tcPr>
          <w:p w14:paraId="0A51148C"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205" w:type="dxa"/>
            <w:shd w:val="clear" w:color="auto" w:fill="auto"/>
            <w:vAlign w:val="bottom"/>
          </w:tcPr>
          <w:p w14:paraId="638DF854"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6</w:t>
            </w:r>
          </w:p>
        </w:tc>
      </w:tr>
      <w:tr w:rsidR="009D4805" w:rsidRPr="009D4805" w14:paraId="5AFE05E9" w14:textId="77777777" w:rsidTr="009D4805">
        <w:tc>
          <w:tcPr>
            <w:tcW w:w="1337" w:type="dxa"/>
            <w:shd w:val="clear" w:color="auto" w:fill="auto"/>
          </w:tcPr>
          <w:p w14:paraId="3E5C67A7"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left"/>
              <w:rPr>
                <w:b/>
                <w:bCs/>
                <w:sz w:val="18"/>
                <w:lang w:val="fr-FR"/>
              </w:rPr>
            </w:pPr>
            <w:proofErr w:type="spellStart"/>
            <w:r w:rsidRPr="009D4805">
              <w:rPr>
                <w:b/>
                <w:bCs/>
                <w:sz w:val="18"/>
                <w:lang w:val="fr-FR"/>
              </w:rPr>
              <w:t>Nkc</w:t>
            </w:r>
            <w:proofErr w:type="spellEnd"/>
            <w:r w:rsidRPr="009D4805">
              <w:rPr>
                <w:b/>
                <w:bCs/>
                <w:sz w:val="18"/>
                <w:lang w:val="fr-FR"/>
              </w:rPr>
              <w:t xml:space="preserve"> femmes</w:t>
            </w:r>
          </w:p>
        </w:tc>
        <w:tc>
          <w:tcPr>
            <w:tcW w:w="1197" w:type="dxa"/>
            <w:shd w:val="clear" w:color="auto" w:fill="auto"/>
            <w:vAlign w:val="bottom"/>
          </w:tcPr>
          <w:p w14:paraId="7A01377F"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50</w:t>
            </w:r>
          </w:p>
        </w:tc>
        <w:tc>
          <w:tcPr>
            <w:tcW w:w="1141" w:type="dxa"/>
            <w:shd w:val="clear" w:color="auto" w:fill="auto"/>
            <w:vAlign w:val="bottom"/>
          </w:tcPr>
          <w:p w14:paraId="1BBB0E6E"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60</w:t>
            </w:r>
          </w:p>
        </w:tc>
        <w:tc>
          <w:tcPr>
            <w:tcW w:w="1179" w:type="dxa"/>
            <w:shd w:val="clear" w:color="auto" w:fill="auto"/>
            <w:vAlign w:val="bottom"/>
          </w:tcPr>
          <w:p w14:paraId="72255F36"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44</w:t>
            </w:r>
          </w:p>
        </w:tc>
        <w:tc>
          <w:tcPr>
            <w:tcW w:w="1265" w:type="dxa"/>
            <w:shd w:val="clear" w:color="auto" w:fill="auto"/>
            <w:vAlign w:val="bottom"/>
          </w:tcPr>
          <w:p w14:paraId="1EC27EE0"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16</w:t>
            </w:r>
          </w:p>
        </w:tc>
        <w:tc>
          <w:tcPr>
            <w:tcW w:w="1150" w:type="dxa"/>
            <w:shd w:val="clear" w:color="auto" w:fill="auto"/>
            <w:vAlign w:val="bottom"/>
          </w:tcPr>
          <w:p w14:paraId="268A0C5A"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65</w:t>
            </w:r>
          </w:p>
        </w:tc>
        <w:tc>
          <w:tcPr>
            <w:tcW w:w="1154" w:type="dxa"/>
            <w:shd w:val="clear" w:color="auto" w:fill="auto"/>
            <w:vAlign w:val="bottom"/>
          </w:tcPr>
          <w:p w14:paraId="19089C49"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205" w:type="dxa"/>
            <w:shd w:val="clear" w:color="auto" w:fill="auto"/>
            <w:vAlign w:val="bottom"/>
          </w:tcPr>
          <w:p w14:paraId="7A6049D9"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16</w:t>
            </w:r>
          </w:p>
        </w:tc>
      </w:tr>
      <w:tr w:rsidR="009D4805" w:rsidRPr="009D4805" w14:paraId="3408A4EC" w14:textId="77777777" w:rsidTr="009D4805">
        <w:tc>
          <w:tcPr>
            <w:tcW w:w="1337" w:type="dxa"/>
            <w:shd w:val="clear" w:color="auto" w:fill="auto"/>
          </w:tcPr>
          <w:p w14:paraId="5E35B40E"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left"/>
              <w:rPr>
                <w:b/>
                <w:bCs/>
                <w:sz w:val="18"/>
                <w:lang w:val="fr-FR"/>
              </w:rPr>
            </w:pPr>
            <w:r w:rsidRPr="009D4805">
              <w:rPr>
                <w:b/>
                <w:bCs/>
                <w:sz w:val="18"/>
                <w:lang w:val="fr-FR"/>
              </w:rPr>
              <w:t>Compagnie</w:t>
            </w:r>
          </w:p>
        </w:tc>
        <w:tc>
          <w:tcPr>
            <w:tcW w:w="1197" w:type="dxa"/>
            <w:shd w:val="clear" w:color="auto" w:fill="auto"/>
            <w:vAlign w:val="bottom"/>
          </w:tcPr>
          <w:p w14:paraId="4D4952F4"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5</w:t>
            </w:r>
          </w:p>
        </w:tc>
        <w:tc>
          <w:tcPr>
            <w:tcW w:w="1141" w:type="dxa"/>
            <w:shd w:val="clear" w:color="auto" w:fill="auto"/>
            <w:vAlign w:val="bottom"/>
          </w:tcPr>
          <w:p w14:paraId="11003AA1"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179" w:type="dxa"/>
            <w:shd w:val="clear" w:color="auto" w:fill="auto"/>
            <w:vAlign w:val="bottom"/>
          </w:tcPr>
          <w:p w14:paraId="50D5D9C0"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265" w:type="dxa"/>
            <w:shd w:val="clear" w:color="auto" w:fill="auto"/>
            <w:vAlign w:val="bottom"/>
          </w:tcPr>
          <w:p w14:paraId="370F7B7C"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150" w:type="dxa"/>
            <w:shd w:val="clear" w:color="auto" w:fill="auto"/>
            <w:vAlign w:val="bottom"/>
          </w:tcPr>
          <w:p w14:paraId="68010AA1"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154" w:type="dxa"/>
            <w:shd w:val="clear" w:color="auto" w:fill="auto"/>
            <w:vAlign w:val="bottom"/>
          </w:tcPr>
          <w:p w14:paraId="0B01A061"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205" w:type="dxa"/>
            <w:shd w:val="clear" w:color="auto" w:fill="auto"/>
            <w:vAlign w:val="bottom"/>
          </w:tcPr>
          <w:p w14:paraId="58724D34"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r>
      <w:tr w:rsidR="009D4805" w:rsidRPr="009D4805" w14:paraId="5CB00E9F" w14:textId="77777777" w:rsidTr="009D4805">
        <w:tc>
          <w:tcPr>
            <w:tcW w:w="1337" w:type="dxa"/>
            <w:shd w:val="clear" w:color="auto" w:fill="auto"/>
          </w:tcPr>
          <w:p w14:paraId="4AABD431"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left"/>
              <w:rPr>
                <w:b/>
                <w:bCs/>
                <w:sz w:val="18"/>
                <w:lang w:val="fr-FR"/>
              </w:rPr>
            </w:pPr>
            <w:proofErr w:type="spellStart"/>
            <w:r w:rsidRPr="009D4805">
              <w:rPr>
                <w:b/>
                <w:bCs/>
                <w:sz w:val="18"/>
                <w:lang w:val="fr-FR"/>
              </w:rPr>
              <w:t>Ecole</w:t>
            </w:r>
            <w:proofErr w:type="spellEnd"/>
            <w:r w:rsidRPr="009D4805">
              <w:rPr>
                <w:b/>
                <w:bCs/>
                <w:sz w:val="18"/>
                <w:lang w:val="fr-FR"/>
              </w:rPr>
              <w:t xml:space="preserve"> Police</w:t>
            </w:r>
          </w:p>
        </w:tc>
        <w:tc>
          <w:tcPr>
            <w:tcW w:w="1197" w:type="dxa"/>
            <w:shd w:val="clear" w:color="auto" w:fill="auto"/>
            <w:vAlign w:val="bottom"/>
          </w:tcPr>
          <w:p w14:paraId="3CF82934"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10</w:t>
            </w:r>
          </w:p>
        </w:tc>
        <w:tc>
          <w:tcPr>
            <w:tcW w:w="1141" w:type="dxa"/>
            <w:shd w:val="clear" w:color="auto" w:fill="auto"/>
            <w:vAlign w:val="bottom"/>
          </w:tcPr>
          <w:p w14:paraId="17517BB9"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179" w:type="dxa"/>
            <w:shd w:val="clear" w:color="auto" w:fill="auto"/>
            <w:vAlign w:val="bottom"/>
          </w:tcPr>
          <w:p w14:paraId="2C0414CA"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265" w:type="dxa"/>
            <w:shd w:val="clear" w:color="auto" w:fill="auto"/>
            <w:vAlign w:val="bottom"/>
          </w:tcPr>
          <w:p w14:paraId="339E6625"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150" w:type="dxa"/>
            <w:shd w:val="clear" w:color="auto" w:fill="auto"/>
            <w:vAlign w:val="bottom"/>
          </w:tcPr>
          <w:p w14:paraId="5EC16E55"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154" w:type="dxa"/>
            <w:shd w:val="clear" w:color="auto" w:fill="auto"/>
            <w:vAlign w:val="bottom"/>
          </w:tcPr>
          <w:p w14:paraId="3DB2AB5D"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205" w:type="dxa"/>
            <w:shd w:val="clear" w:color="auto" w:fill="auto"/>
            <w:vAlign w:val="bottom"/>
          </w:tcPr>
          <w:p w14:paraId="0A64EBA0"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r>
      <w:tr w:rsidR="009D4805" w:rsidRPr="009D4805" w14:paraId="07DC93B7" w14:textId="77777777" w:rsidTr="009D4805">
        <w:tc>
          <w:tcPr>
            <w:tcW w:w="1337" w:type="dxa"/>
            <w:shd w:val="clear" w:color="auto" w:fill="auto"/>
          </w:tcPr>
          <w:p w14:paraId="692DDE20"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left"/>
              <w:rPr>
                <w:b/>
                <w:bCs/>
                <w:sz w:val="18"/>
                <w:lang w:val="fr-FR"/>
              </w:rPr>
            </w:pPr>
            <w:r w:rsidRPr="009D4805">
              <w:rPr>
                <w:b/>
                <w:bCs/>
                <w:sz w:val="18"/>
                <w:lang w:val="fr-FR"/>
              </w:rPr>
              <w:t>Néma</w:t>
            </w:r>
          </w:p>
        </w:tc>
        <w:tc>
          <w:tcPr>
            <w:tcW w:w="1197" w:type="dxa"/>
            <w:shd w:val="clear" w:color="auto" w:fill="auto"/>
            <w:vAlign w:val="bottom"/>
          </w:tcPr>
          <w:p w14:paraId="1FAF4ED7"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90</w:t>
            </w:r>
          </w:p>
        </w:tc>
        <w:tc>
          <w:tcPr>
            <w:tcW w:w="1141" w:type="dxa"/>
            <w:shd w:val="clear" w:color="auto" w:fill="auto"/>
            <w:vAlign w:val="bottom"/>
          </w:tcPr>
          <w:p w14:paraId="23704016"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73</w:t>
            </w:r>
          </w:p>
        </w:tc>
        <w:tc>
          <w:tcPr>
            <w:tcW w:w="1179" w:type="dxa"/>
            <w:shd w:val="clear" w:color="auto" w:fill="auto"/>
            <w:vAlign w:val="bottom"/>
          </w:tcPr>
          <w:p w14:paraId="24574564"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48</w:t>
            </w:r>
          </w:p>
        </w:tc>
        <w:tc>
          <w:tcPr>
            <w:tcW w:w="1265" w:type="dxa"/>
            <w:shd w:val="clear" w:color="auto" w:fill="auto"/>
            <w:vAlign w:val="bottom"/>
          </w:tcPr>
          <w:p w14:paraId="430DC60D"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25</w:t>
            </w:r>
          </w:p>
        </w:tc>
        <w:tc>
          <w:tcPr>
            <w:tcW w:w="1150" w:type="dxa"/>
            <w:shd w:val="clear" w:color="auto" w:fill="auto"/>
            <w:vAlign w:val="bottom"/>
          </w:tcPr>
          <w:p w14:paraId="0273A776"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154" w:type="dxa"/>
            <w:shd w:val="clear" w:color="auto" w:fill="auto"/>
            <w:vAlign w:val="bottom"/>
          </w:tcPr>
          <w:p w14:paraId="29EBF8F7"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205" w:type="dxa"/>
            <w:shd w:val="clear" w:color="auto" w:fill="auto"/>
            <w:vAlign w:val="bottom"/>
          </w:tcPr>
          <w:p w14:paraId="5CBADDD1"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22</w:t>
            </w:r>
          </w:p>
        </w:tc>
      </w:tr>
      <w:tr w:rsidR="009D4805" w:rsidRPr="009D4805" w14:paraId="5BAC4C60" w14:textId="77777777" w:rsidTr="009D4805">
        <w:tc>
          <w:tcPr>
            <w:tcW w:w="1337" w:type="dxa"/>
            <w:shd w:val="clear" w:color="auto" w:fill="auto"/>
          </w:tcPr>
          <w:p w14:paraId="341B7F77"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left"/>
              <w:rPr>
                <w:b/>
                <w:bCs/>
                <w:sz w:val="18"/>
                <w:lang w:val="fr-FR"/>
              </w:rPr>
            </w:pPr>
            <w:proofErr w:type="spellStart"/>
            <w:r w:rsidRPr="009D4805">
              <w:rPr>
                <w:b/>
                <w:bCs/>
                <w:sz w:val="18"/>
                <w:lang w:val="fr-FR"/>
              </w:rPr>
              <w:t>Aioun</w:t>
            </w:r>
            <w:proofErr w:type="spellEnd"/>
            <w:r w:rsidRPr="009D4805">
              <w:rPr>
                <w:b/>
                <w:bCs/>
                <w:sz w:val="18"/>
                <w:lang w:val="fr-FR"/>
              </w:rPr>
              <w:t xml:space="preserve"> </w:t>
            </w:r>
          </w:p>
        </w:tc>
        <w:tc>
          <w:tcPr>
            <w:tcW w:w="1197" w:type="dxa"/>
            <w:shd w:val="clear" w:color="auto" w:fill="auto"/>
            <w:vAlign w:val="bottom"/>
          </w:tcPr>
          <w:p w14:paraId="1DF5C39C"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40</w:t>
            </w:r>
          </w:p>
        </w:tc>
        <w:tc>
          <w:tcPr>
            <w:tcW w:w="1141" w:type="dxa"/>
            <w:shd w:val="clear" w:color="auto" w:fill="auto"/>
            <w:vAlign w:val="bottom"/>
          </w:tcPr>
          <w:p w14:paraId="785E072B"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27</w:t>
            </w:r>
          </w:p>
        </w:tc>
        <w:tc>
          <w:tcPr>
            <w:tcW w:w="1179" w:type="dxa"/>
            <w:shd w:val="clear" w:color="auto" w:fill="auto"/>
            <w:vAlign w:val="bottom"/>
          </w:tcPr>
          <w:p w14:paraId="4A45F21C"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18</w:t>
            </w:r>
          </w:p>
        </w:tc>
        <w:tc>
          <w:tcPr>
            <w:tcW w:w="1265" w:type="dxa"/>
            <w:shd w:val="clear" w:color="auto" w:fill="auto"/>
            <w:vAlign w:val="bottom"/>
          </w:tcPr>
          <w:p w14:paraId="7865EED1"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9</w:t>
            </w:r>
          </w:p>
        </w:tc>
        <w:tc>
          <w:tcPr>
            <w:tcW w:w="1150" w:type="dxa"/>
            <w:shd w:val="clear" w:color="auto" w:fill="auto"/>
            <w:vAlign w:val="bottom"/>
          </w:tcPr>
          <w:p w14:paraId="7987AF2C"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154" w:type="dxa"/>
            <w:shd w:val="clear" w:color="auto" w:fill="auto"/>
            <w:vAlign w:val="bottom"/>
          </w:tcPr>
          <w:p w14:paraId="655836E0"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205" w:type="dxa"/>
            <w:shd w:val="clear" w:color="auto" w:fill="auto"/>
            <w:vAlign w:val="bottom"/>
          </w:tcPr>
          <w:p w14:paraId="043E0E03"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4</w:t>
            </w:r>
          </w:p>
        </w:tc>
      </w:tr>
      <w:tr w:rsidR="009D4805" w:rsidRPr="009D4805" w14:paraId="135287CB" w14:textId="77777777" w:rsidTr="009D4805">
        <w:tc>
          <w:tcPr>
            <w:tcW w:w="1337" w:type="dxa"/>
            <w:shd w:val="clear" w:color="auto" w:fill="auto"/>
          </w:tcPr>
          <w:p w14:paraId="7BFADD0E"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left"/>
              <w:rPr>
                <w:b/>
                <w:bCs/>
                <w:sz w:val="18"/>
                <w:lang w:val="fr-FR"/>
              </w:rPr>
            </w:pPr>
            <w:r w:rsidRPr="009D4805">
              <w:rPr>
                <w:b/>
                <w:bCs/>
                <w:sz w:val="18"/>
                <w:lang w:val="fr-FR"/>
              </w:rPr>
              <w:t xml:space="preserve">Kiffa </w:t>
            </w:r>
          </w:p>
        </w:tc>
        <w:tc>
          <w:tcPr>
            <w:tcW w:w="1197" w:type="dxa"/>
            <w:shd w:val="clear" w:color="auto" w:fill="auto"/>
            <w:vAlign w:val="bottom"/>
          </w:tcPr>
          <w:p w14:paraId="61FF6EA6"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40</w:t>
            </w:r>
          </w:p>
        </w:tc>
        <w:tc>
          <w:tcPr>
            <w:tcW w:w="1141" w:type="dxa"/>
            <w:shd w:val="clear" w:color="auto" w:fill="auto"/>
            <w:vAlign w:val="bottom"/>
          </w:tcPr>
          <w:p w14:paraId="1F44CD38"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33</w:t>
            </w:r>
          </w:p>
        </w:tc>
        <w:tc>
          <w:tcPr>
            <w:tcW w:w="1179" w:type="dxa"/>
            <w:shd w:val="clear" w:color="auto" w:fill="auto"/>
            <w:vAlign w:val="bottom"/>
          </w:tcPr>
          <w:p w14:paraId="2D819AF0"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22</w:t>
            </w:r>
          </w:p>
        </w:tc>
        <w:tc>
          <w:tcPr>
            <w:tcW w:w="1265" w:type="dxa"/>
            <w:shd w:val="clear" w:color="auto" w:fill="auto"/>
            <w:vAlign w:val="bottom"/>
          </w:tcPr>
          <w:p w14:paraId="6021A880"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11</w:t>
            </w:r>
          </w:p>
        </w:tc>
        <w:tc>
          <w:tcPr>
            <w:tcW w:w="1150" w:type="dxa"/>
            <w:shd w:val="clear" w:color="auto" w:fill="auto"/>
            <w:vAlign w:val="bottom"/>
          </w:tcPr>
          <w:p w14:paraId="064A2300"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154" w:type="dxa"/>
            <w:shd w:val="clear" w:color="auto" w:fill="auto"/>
            <w:vAlign w:val="bottom"/>
          </w:tcPr>
          <w:p w14:paraId="652D6B13"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205" w:type="dxa"/>
            <w:shd w:val="clear" w:color="auto" w:fill="auto"/>
            <w:vAlign w:val="bottom"/>
          </w:tcPr>
          <w:p w14:paraId="1A719AF6"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2</w:t>
            </w:r>
          </w:p>
        </w:tc>
      </w:tr>
      <w:tr w:rsidR="009D4805" w:rsidRPr="009D4805" w14:paraId="39AEE6C3" w14:textId="77777777" w:rsidTr="009D4805">
        <w:tc>
          <w:tcPr>
            <w:tcW w:w="1337" w:type="dxa"/>
            <w:shd w:val="clear" w:color="auto" w:fill="auto"/>
          </w:tcPr>
          <w:p w14:paraId="6030219A"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left"/>
              <w:rPr>
                <w:b/>
                <w:bCs/>
                <w:sz w:val="18"/>
                <w:lang w:val="fr-FR"/>
              </w:rPr>
            </w:pPr>
            <w:r w:rsidRPr="009D4805">
              <w:rPr>
                <w:b/>
                <w:bCs/>
                <w:sz w:val="18"/>
                <w:lang w:val="fr-FR"/>
              </w:rPr>
              <w:t>Kaédi</w:t>
            </w:r>
          </w:p>
        </w:tc>
        <w:tc>
          <w:tcPr>
            <w:tcW w:w="1197" w:type="dxa"/>
            <w:shd w:val="clear" w:color="auto" w:fill="auto"/>
            <w:vAlign w:val="bottom"/>
          </w:tcPr>
          <w:p w14:paraId="31860D41"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50</w:t>
            </w:r>
          </w:p>
        </w:tc>
        <w:tc>
          <w:tcPr>
            <w:tcW w:w="1141" w:type="dxa"/>
            <w:shd w:val="clear" w:color="auto" w:fill="auto"/>
            <w:vAlign w:val="bottom"/>
          </w:tcPr>
          <w:p w14:paraId="7EB73733"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43</w:t>
            </w:r>
          </w:p>
        </w:tc>
        <w:tc>
          <w:tcPr>
            <w:tcW w:w="1179" w:type="dxa"/>
            <w:shd w:val="clear" w:color="auto" w:fill="auto"/>
            <w:vAlign w:val="bottom"/>
          </w:tcPr>
          <w:p w14:paraId="55CD8F65"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33</w:t>
            </w:r>
          </w:p>
        </w:tc>
        <w:tc>
          <w:tcPr>
            <w:tcW w:w="1265" w:type="dxa"/>
            <w:shd w:val="clear" w:color="auto" w:fill="auto"/>
            <w:vAlign w:val="bottom"/>
          </w:tcPr>
          <w:p w14:paraId="4A02F6E0"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10</w:t>
            </w:r>
          </w:p>
        </w:tc>
        <w:tc>
          <w:tcPr>
            <w:tcW w:w="1150" w:type="dxa"/>
            <w:shd w:val="clear" w:color="auto" w:fill="auto"/>
            <w:vAlign w:val="bottom"/>
          </w:tcPr>
          <w:p w14:paraId="6EC5B967"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154" w:type="dxa"/>
            <w:shd w:val="clear" w:color="auto" w:fill="auto"/>
            <w:vAlign w:val="bottom"/>
          </w:tcPr>
          <w:p w14:paraId="32668FF1"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2</w:t>
            </w:r>
          </w:p>
        </w:tc>
        <w:tc>
          <w:tcPr>
            <w:tcW w:w="1205" w:type="dxa"/>
            <w:shd w:val="clear" w:color="auto" w:fill="auto"/>
            <w:vAlign w:val="bottom"/>
          </w:tcPr>
          <w:p w14:paraId="23ACDD34"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4</w:t>
            </w:r>
          </w:p>
        </w:tc>
      </w:tr>
      <w:tr w:rsidR="009D4805" w:rsidRPr="009D4805" w14:paraId="551F28C5" w14:textId="77777777" w:rsidTr="009D4805">
        <w:tc>
          <w:tcPr>
            <w:tcW w:w="1337" w:type="dxa"/>
            <w:shd w:val="clear" w:color="auto" w:fill="auto"/>
          </w:tcPr>
          <w:p w14:paraId="05D79CA3"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left"/>
              <w:rPr>
                <w:b/>
                <w:bCs/>
                <w:sz w:val="18"/>
                <w:lang w:val="fr-FR"/>
              </w:rPr>
            </w:pPr>
            <w:r w:rsidRPr="009D4805">
              <w:rPr>
                <w:b/>
                <w:bCs/>
                <w:sz w:val="18"/>
                <w:lang w:val="fr-FR"/>
              </w:rPr>
              <w:t xml:space="preserve">Aleg </w:t>
            </w:r>
          </w:p>
        </w:tc>
        <w:tc>
          <w:tcPr>
            <w:tcW w:w="1197" w:type="dxa"/>
            <w:shd w:val="clear" w:color="auto" w:fill="auto"/>
            <w:vAlign w:val="bottom"/>
          </w:tcPr>
          <w:p w14:paraId="3BA0CBDE"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650</w:t>
            </w:r>
          </w:p>
        </w:tc>
        <w:tc>
          <w:tcPr>
            <w:tcW w:w="1141" w:type="dxa"/>
            <w:shd w:val="clear" w:color="auto" w:fill="auto"/>
            <w:vAlign w:val="bottom"/>
          </w:tcPr>
          <w:p w14:paraId="22B9D566"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385</w:t>
            </w:r>
          </w:p>
        </w:tc>
        <w:tc>
          <w:tcPr>
            <w:tcW w:w="1179" w:type="dxa"/>
            <w:shd w:val="clear" w:color="auto" w:fill="auto"/>
            <w:vAlign w:val="bottom"/>
          </w:tcPr>
          <w:p w14:paraId="4E3C640C"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31</w:t>
            </w:r>
          </w:p>
        </w:tc>
        <w:tc>
          <w:tcPr>
            <w:tcW w:w="1265" w:type="dxa"/>
            <w:shd w:val="clear" w:color="auto" w:fill="auto"/>
            <w:vAlign w:val="bottom"/>
          </w:tcPr>
          <w:p w14:paraId="7DD710D3"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354</w:t>
            </w:r>
          </w:p>
        </w:tc>
        <w:tc>
          <w:tcPr>
            <w:tcW w:w="1150" w:type="dxa"/>
            <w:shd w:val="clear" w:color="auto" w:fill="auto"/>
            <w:vAlign w:val="bottom"/>
          </w:tcPr>
          <w:p w14:paraId="3EAD6125"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154" w:type="dxa"/>
            <w:shd w:val="clear" w:color="auto" w:fill="auto"/>
            <w:vAlign w:val="bottom"/>
          </w:tcPr>
          <w:p w14:paraId="1C7490E6"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1</w:t>
            </w:r>
          </w:p>
        </w:tc>
        <w:tc>
          <w:tcPr>
            <w:tcW w:w="1205" w:type="dxa"/>
            <w:shd w:val="clear" w:color="auto" w:fill="auto"/>
            <w:vAlign w:val="bottom"/>
          </w:tcPr>
          <w:p w14:paraId="3EE793D5"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52</w:t>
            </w:r>
          </w:p>
        </w:tc>
      </w:tr>
      <w:tr w:rsidR="009D4805" w:rsidRPr="009D4805" w14:paraId="684DF3F6" w14:textId="77777777" w:rsidTr="009D4805">
        <w:tc>
          <w:tcPr>
            <w:tcW w:w="1337" w:type="dxa"/>
            <w:shd w:val="clear" w:color="auto" w:fill="auto"/>
          </w:tcPr>
          <w:p w14:paraId="276BF7F7"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left"/>
              <w:rPr>
                <w:b/>
                <w:bCs/>
                <w:sz w:val="18"/>
                <w:lang w:val="fr-FR"/>
              </w:rPr>
            </w:pPr>
            <w:r w:rsidRPr="009D4805">
              <w:rPr>
                <w:b/>
                <w:bCs/>
                <w:sz w:val="18"/>
                <w:lang w:val="fr-FR"/>
              </w:rPr>
              <w:t>Rosso</w:t>
            </w:r>
          </w:p>
        </w:tc>
        <w:tc>
          <w:tcPr>
            <w:tcW w:w="1197" w:type="dxa"/>
            <w:shd w:val="clear" w:color="auto" w:fill="auto"/>
            <w:vAlign w:val="bottom"/>
          </w:tcPr>
          <w:p w14:paraId="741495DF"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50</w:t>
            </w:r>
          </w:p>
        </w:tc>
        <w:tc>
          <w:tcPr>
            <w:tcW w:w="1141" w:type="dxa"/>
            <w:shd w:val="clear" w:color="auto" w:fill="auto"/>
            <w:vAlign w:val="bottom"/>
          </w:tcPr>
          <w:p w14:paraId="54C66F5E"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73</w:t>
            </w:r>
          </w:p>
        </w:tc>
        <w:tc>
          <w:tcPr>
            <w:tcW w:w="1179" w:type="dxa"/>
            <w:shd w:val="clear" w:color="auto" w:fill="auto"/>
            <w:vAlign w:val="bottom"/>
          </w:tcPr>
          <w:p w14:paraId="5BAB3D97"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66</w:t>
            </w:r>
          </w:p>
        </w:tc>
        <w:tc>
          <w:tcPr>
            <w:tcW w:w="1265" w:type="dxa"/>
            <w:shd w:val="clear" w:color="auto" w:fill="auto"/>
            <w:vAlign w:val="bottom"/>
          </w:tcPr>
          <w:p w14:paraId="5366BEE5"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7</w:t>
            </w:r>
          </w:p>
        </w:tc>
        <w:tc>
          <w:tcPr>
            <w:tcW w:w="1150" w:type="dxa"/>
            <w:shd w:val="clear" w:color="auto" w:fill="auto"/>
            <w:vAlign w:val="bottom"/>
          </w:tcPr>
          <w:p w14:paraId="27B62664"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154" w:type="dxa"/>
            <w:shd w:val="clear" w:color="auto" w:fill="auto"/>
            <w:vAlign w:val="bottom"/>
          </w:tcPr>
          <w:p w14:paraId="11EBA3F2"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205" w:type="dxa"/>
            <w:shd w:val="clear" w:color="auto" w:fill="auto"/>
            <w:vAlign w:val="bottom"/>
          </w:tcPr>
          <w:p w14:paraId="17FD37AF"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14</w:t>
            </w:r>
          </w:p>
        </w:tc>
      </w:tr>
      <w:tr w:rsidR="009D4805" w:rsidRPr="009D4805" w14:paraId="0E0FAAD2" w14:textId="77777777" w:rsidTr="009D4805">
        <w:tc>
          <w:tcPr>
            <w:tcW w:w="1337" w:type="dxa"/>
            <w:shd w:val="clear" w:color="auto" w:fill="auto"/>
          </w:tcPr>
          <w:p w14:paraId="119517D6"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left"/>
              <w:rPr>
                <w:b/>
                <w:bCs/>
                <w:sz w:val="18"/>
                <w:lang w:val="fr-FR"/>
              </w:rPr>
            </w:pPr>
            <w:r w:rsidRPr="009D4805">
              <w:rPr>
                <w:b/>
                <w:bCs/>
                <w:sz w:val="18"/>
                <w:lang w:val="fr-FR"/>
              </w:rPr>
              <w:t>Atar</w:t>
            </w:r>
          </w:p>
        </w:tc>
        <w:tc>
          <w:tcPr>
            <w:tcW w:w="1197" w:type="dxa"/>
            <w:shd w:val="clear" w:color="auto" w:fill="auto"/>
            <w:vAlign w:val="bottom"/>
          </w:tcPr>
          <w:p w14:paraId="1FC01CB3"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40</w:t>
            </w:r>
          </w:p>
        </w:tc>
        <w:tc>
          <w:tcPr>
            <w:tcW w:w="1141" w:type="dxa"/>
            <w:shd w:val="clear" w:color="auto" w:fill="auto"/>
            <w:vAlign w:val="bottom"/>
          </w:tcPr>
          <w:p w14:paraId="2819BC18"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8</w:t>
            </w:r>
          </w:p>
        </w:tc>
        <w:tc>
          <w:tcPr>
            <w:tcW w:w="1179" w:type="dxa"/>
            <w:shd w:val="clear" w:color="auto" w:fill="auto"/>
            <w:vAlign w:val="bottom"/>
          </w:tcPr>
          <w:p w14:paraId="7E51BFFA"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2</w:t>
            </w:r>
          </w:p>
        </w:tc>
        <w:tc>
          <w:tcPr>
            <w:tcW w:w="1265" w:type="dxa"/>
            <w:shd w:val="clear" w:color="auto" w:fill="auto"/>
            <w:vAlign w:val="bottom"/>
          </w:tcPr>
          <w:p w14:paraId="213EE32B"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6</w:t>
            </w:r>
          </w:p>
        </w:tc>
        <w:tc>
          <w:tcPr>
            <w:tcW w:w="1150" w:type="dxa"/>
            <w:shd w:val="clear" w:color="auto" w:fill="auto"/>
            <w:vAlign w:val="bottom"/>
          </w:tcPr>
          <w:p w14:paraId="049D9A27"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154" w:type="dxa"/>
            <w:shd w:val="clear" w:color="auto" w:fill="auto"/>
            <w:vAlign w:val="bottom"/>
          </w:tcPr>
          <w:p w14:paraId="2D2F801E"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205" w:type="dxa"/>
            <w:shd w:val="clear" w:color="auto" w:fill="auto"/>
            <w:vAlign w:val="bottom"/>
          </w:tcPr>
          <w:p w14:paraId="1252D059"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r>
      <w:tr w:rsidR="009D4805" w:rsidRPr="009D4805" w14:paraId="7180E9A6" w14:textId="77777777" w:rsidTr="009D4805">
        <w:tc>
          <w:tcPr>
            <w:tcW w:w="1337" w:type="dxa"/>
            <w:shd w:val="clear" w:color="auto" w:fill="auto"/>
          </w:tcPr>
          <w:p w14:paraId="0A18EE85"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left"/>
              <w:rPr>
                <w:b/>
                <w:bCs/>
                <w:sz w:val="18"/>
                <w:lang w:val="fr-FR"/>
              </w:rPr>
            </w:pPr>
            <w:r w:rsidRPr="009D4805">
              <w:rPr>
                <w:b/>
                <w:bCs/>
                <w:sz w:val="18"/>
                <w:lang w:val="fr-FR"/>
              </w:rPr>
              <w:t>Nouadhibou</w:t>
            </w:r>
          </w:p>
        </w:tc>
        <w:tc>
          <w:tcPr>
            <w:tcW w:w="1197" w:type="dxa"/>
            <w:shd w:val="clear" w:color="auto" w:fill="auto"/>
            <w:vAlign w:val="bottom"/>
          </w:tcPr>
          <w:p w14:paraId="79830894"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450</w:t>
            </w:r>
          </w:p>
        </w:tc>
        <w:tc>
          <w:tcPr>
            <w:tcW w:w="1141" w:type="dxa"/>
            <w:shd w:val="clear" w:color="auto" w:fill="auto"/>
            <w:vAlign w:val="bottom"/>
          </w:tcPr>
          <w:p w14:paraId="32ED12AC"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393</w:t>
            </w:r>
          </w:p>
        </w:tc>
        <w:tc>
          <w:tcPr>
            <w:tcW w:w="1179" w:type="dxa"/>
            <w:shd w:val="clear" w:color="auto" w:fill="auto"/>
            <w:vAlign w:val="bottom"/>
          </w:tcPr>
          <w:p w14:paraId="4BF22288"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151</w:t>
            </w:r>
          </w:p>
        </w:tc>
        <w:tc>
          <w:tcPr>
            <w:tcW w:w="1265" w:type="dxa"/>
            <w:shd w:val="clear" w:color="auto" w:fill="auto"/>
            <w:vAlign w:val="bottom"/>
          </w:tcPr>
          <w:p w14:paraId="23239147"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242</w:t>
            </w:r>
          </w:p>
        </w:tc>
        <w:tc>
          <w:tcPr>
            <w:tcW w:w="1150" w:type="dxa"/>
            <w:shd w:val="clear" w:color="auto" w:fill="auto"/>
            <w:vAlign w:val="bottom"/>
          </w:tcPr>
          <w:p w14:paraId="26890A6A"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16</w:t>
            </w:r>
          </w:p>
        </w:tc>
        <w:tc>
          <w:tcPr>
            <w:tcW w:w="1154" w:type="dxa"/>
            <w:shd w:val="clear" w:color="auto" w:fill="auto"/>
            <w:vAlign w:val="bottom"/>
          </w:tcPr>
          <w:p w14:paraId="72615221"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7</w:t>
            </w:r>
          </w:p>
        </w:tc>
        <w:tc>
          <w:tcPr>
            <w:tcW w:w="1205" w:type="dxa"/>
            <w:shd w:val="clear" w:color="auto" w:fill="auto"/>
            <w:vAlign w:val="bottom"/>
          </w:tcPr>
          <w:p w14:paraId="1A98C316"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102</w:t>
            </w:r>
          </w:p>
        </w:tc>
      </w:tr>
      <w:tr w:rsidR="009D4805" w:rsidRPr="009D4805" w14:paraId="4F86E0FA" w14:textId="77777777" w:rsidTr="009D4805">
        <w:tc>
          <w:tcPr>
            <w:tcW w:w="1337" w:type="dxa"/>
            <w:shd w:val="clear" w:color="auto" w:fill="auto"/>
          </w:tcPr>
          <w:p w14:paraId="79906A28"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left"/>
              <w:rPr>
                <w:b/>
                <w:bCs/>
                <w:sz w:val="18"/>
                <w:lang w:val="fr-FR"/>
              </w:rPr>
            </w:pPr>
            <w:proofErr w:type="spellStart"/>
            <w:r w:rsidRPr="009D4805">
              <w:rPr>
                <w:b/>
                <w:bCs/>
                <w:sz w:val="18"/>
                <w:lang w:val="fr-FR"/>
              </w:rPr>
              <w:t>Tidjikja</w:t>
            </w:r>
            <w:proofErr w:type="spellEnd"/>
          </w:p>
        </w:tc>
        <w:tc>
          <w:tcPr>
            <w:tcW w:w="1197" w:type="dxa"/>
            <w:shd w:val="clear" w:color="auto" w:fill="auto"/>
            <w:vAlign w:val="bottom"/>
          </w:tcPr>
          <w:p w14:paraId="34456D41"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40</w:t>
            </w:r>
          </w:p>
        </w:tc>
        <w:tc>
          <w:tcPr>
            <w:tcW w:w="1141" w:type="dxa"/>
            <w:shd w:val="clear" w:color="auto" w:fill="auto"/>
            <w:vAlign w:val="bottom"/>
          </w:tcPr>
          <w:p w14:paraId="667D1FAB"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11</w:t>
            </w:r>
          </w:p>
        </w:tc>
        <w:tc>
          <w:tcPr>
            <w:tcW w:w="1179" w:type="dxa"/>
            <w:shd w:val="clear" w:color="auto" w:fill="auto"/>
            <w:vAlign w:val="bottom"/>
          </w:tcPr>
          <w:p w14:paraId="6934C0C7"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11</w:t>
            </w:r>
          </w:p>
        </w:tc>
        <w:tc>
          <w:tcPr>
            <w:tcW w:w="1265" w:type="dxa"/>
            <w:shd w:val="clear" w:color="auto" w:fill="auto"/>
            <w:vAlign w:val="bottom"/>
          </w:tcPr>
          <w:p w14:paraId="27D49472"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150" w:type="dxa"/>
            <w:shd w:val="clear" w:color="auto" w:fill="auto"/>
            <w:vAlign w:val="bottom"/>
          </w:tcPr>
          <w:p w14:paraId="214FA073"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154" w:type="dxa"/>
            <w:shd w:val="clear" w:color="auto" w:fill="auto"/>
            <w:vAlign w:val="bottom"/>
          </w:tcPr>
          <w:p w14:paraId="06CB16C0"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3</w:t>
            </w:r>
          </w:p>
        </w:tc>
        <w:tc>
          <w:tcPr>
            <w:tcW w:w="1205" w:type="dxa"/>
            <w:shd w:val="clear" w:color="auto" w:fill="auto"/>
            <w:vAlign w:val="bottom"/>
          </w:tcPr>
          <w:p w14:paraId="3834755A"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r>
      <w:tr w:rsidR="009D4805" w:rsidRPr="009D4805" w14:paraId="2A6165D8" w14:textId="77777777" w:rsidTr="009D4805">
        <w:tc>
          <w:tcPr>
            <w:tcW w:w="1337" w:type="dxa"/>
            <w:shd w:val="clear" w:color="auto" w:fill="auto"/>
          </w:tcPr>
          <w:p w14:paraId="0471A426"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left"/>
              <w:rPr>
                <w:b/>
                <w:bCs/>
                <w:sz w:val="18"/>
                <w:lang w:val="fr-FR"/>
              </w:rPr>
            </w:pPr>
            <w:proofErr w:type="spellStart"/>
            <w:r w:rsidRPr="009D4805">
              <w:rPr>
                <w:b/>
                <w:bCs/>
                <w:sz w:val="18"/>
                <w:lang w:val="fr-FR"/>
              </w:rPr>
              <w:t>Nbeika</w:t>
            </w:r>
            <w:proofErr w:type="spellEnd"/>
          </w:p>
        </w:tc>
        <w:tc>
          <w:tcPr>
            <w:tcW w:w="1197" w:type="dxa"/>
            <w:shd w:val="clear" w:color="auto" w:fill="auto"/>
            <w:vAlign w:val="bottom"/>
          </w:tcPr>
          <w:p w14:paraId="16B30AAB"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900</w:t>
            </w:r>
          </w:p>
        </w:tc>
        <w:tc>
          <w:tcPr>
            <w:tcW w:w="1141" w:type="dxa"/>
            <w:shd w:val="clear" w:color="auto" w:fill="auto"/>
            <w:vAlign w:val="bottom"/>
          </w:tcPr>
          <w:p w14:paraId="6DACF2D2"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293</w:t>
            </w:r>
          </w:p>
        </w:tc>
        <w:tc>
          <w:tcPr>
            <w:tcW w:w="1179" w:type="dxa"/>
            <w:shd w:val="clear" w:color="auto" w:fill="auto"/>
            <w:vAlign w:val="bottom"/>
          </w:tcPr>
          <w:p w14:paraId="1EEC650B"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265" w:type="dxa"/>
            <w:shd w:val="clear" w:color="auto" w:fill="auto"/>
            <w:vAlign w:val="bottom"/>
          </w:tcPr>
          <w:p w14:paraId="6DED091F"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293</w:t>
            </w:r>
          </w:p>
        </w:tc>
        <w:tc>
          <w:tcPr>
            <w:tcW w:w="1150" w:type="dxa"/>
            <w:shd w:val="clear" w:color="auto" w:fill="auto"/>
            <w:vAlign w:val="bottom"/>
          </w:tcPr>
          <w:p w14:paraId="3983D7F5"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154" w:type="dxa"/>
            <w:shd w:val="clear" w:color="auto" w:fill="auto"/>
            <w:vAlign w:val="bottom"/>
          </w:tcPr>
          <w:p w14:paraId="1200A8D9"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205" w:type="dxa"/>
            <w:shd w:val="clear" w:color="auto" w:fill="auto"/>
            <w:vAlign w:val="bottom"/>
          </w:tcPr>
          <w:p w14:paraId="3E5A5450"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44</w:t>
            </w:r>
          </w:p>
        </w:tc>
      </w:tr>
      <w:tr w:rsidR="009D4805" w:rsidRPr="009D4805" w14:paraId="20401CE8" w14:textId="77777777" w:rsidTr="009D4805">
        <w:tc>
          <w:tcPr>
            <w:tcW w:w="1337" w:type="dxa"/>
            <w:shd w:val="clear" w:color="auto" w:fill="auto"/>
          </w:tcPr>
          <w:p w14:paraId="758CCEB5"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left"/>
              <w:rPr>
                <w:b/>
                <w:bCs/>
                <w:sz w:val="18"/>
                <w:lang w:val="fr-FR"/>
              </w:rPr>
            </w:pPr>
            <w:r w:rsidRPr="009D4805">
              <w:rPr>
                <w:b/>
                <w:bCs/>
                <w:sz w:val="18"/>
                <w:lang w:val="fr-FR"/>
              </w:rPr>
              <w:t>Sélibabi</w:t>
            </w:r>
          </w:p>
        </w:tc>
        <w:tc>
          <w:tcPr>
            <w:tcW w:w="1197" w:type="dxa"/>
            <w:shd w:val="clear" w:color="auto" w:fill="auto"/>
            <w:vAlign w:val="bottom"/>
          </w:tcPr>
          <w:p w14:paraId="35E2DB48"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40</w:t>
            </w:r>
          </w:p>
        </w:tc>
        <w:tc>
          <w:tcPr>
            <w:tcW w:w="1141" w:type="dxa"/>
            <w:shd w:val="clear" w:color="auto" w:fill="auto"/>
            <w:vAlign w:val="bottom"/>
          </w:tcPr>
          <w:p w14:paraId="5B0337CA"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45</w:t>
            </w:r>
          </w:p>
        </w:tc>
        <w:tc>
          <w:tcPr>
            <w:tcW w:w="1179" w:type="dxa"/>
            <w:shd w:val="clear" w:color="auto" w:fill="auto"/>
            <w:vAlign w:val="bottom"/>
          </w:tcPr>
          <w:p w14:paraId="25802A09"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17</w:t>
            </w:r>
          </w:p>
        </w:tc>
        <w:tc>
          <w:tcPr>
            <w:tcW w:w="1265" w:type="dxa"/>
            <w:shd w:val="clear" w:color="auto" w:fill="auto"/>
            <w:vAlign w:val="bottom"/>
          </w:tcPr>
          <w:p w14:paraId="40D95317"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28</w:t>
            </w:r>
          </w:p>
        </w:tc>
        <w:tc>
          <w:tcPr>
            <w:tcW w:w="1150" w:type="dxa"/>
            <w:shd w:val="clear" w:color="auto" w:fill="auto"/>
            <w:vAlign w:val="bottom"/>
          </w:tcPr>
          <w:p w14:paraId="6C557F8E"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154" w:type="dxa"/>
            <w:shd w:val="clear" w:color="auto" w:fill="auto"/>
            <w:vAlign w:val="bottom"/>
          </w:tcPr>
          <w:p w14:paraId="270B6180"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205" w:type="dxa"/>
            <w:shd w:val="clear" w:color="auto" w:fill="auto"/>
            <w:vAlign w:val="bottom"/>
          </w:tcPr>
          <w:p w14:paraId="7AA8292A"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7</w:t>
            </w:r>
          </w:p>
        </w:tc>
      </w:tr>
      <w:tr w:rsidR="009D4805" w:rsidRPr="009D4805" w14:paraId="3BFD3597" w14:textId="77777777" w:rsidTr="009D4805">
        <w:tc>
          <w:tcPr>
            <w:tcW w:w="1337" w:type="dxa"/>
            <w:shd w:val="clear" w:color="auto" w:fill="auto"/>
          </w:tcPr>
          <w:p w14:paraId="56A1B271"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left"/>
              <w:rPr>
                <w:b/>
                <w:bCs/>
                <w:sz w:val="18"/>
                <w:lang w:val="fr-FR"/>
              </w:rPr>
            </w:pPr>
            <w:proofErr w:type="spellStart"/>
            <w:r w:rsidRPr="009D4805">
              <w:rPr>
                <w:b/>
                <w:bCs/>
                <w:sz w:val="18"/>
                <w:lang w:val="fr-FR"/>
              </w:rPr>
              <w:t>Zouérate</w:t>
            </w:r>
            <w:proofErr w:type="spellEnd"/>
          </w:p>
        </w:tc>
        <w:tc>
          <w:tcPr>
            <w:tcW w:w="1197" w:type="dxa"/>
            <w:shd w:val="clear" w:color="auto" w:fill="auto"/>
            <w:vAlign w:val="bottom"/>
          </w:tcPr>
          <w:p w14:paraId="144781CE"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40</w:t>
            </w:r>
          </w:p>
        </w:tc>
        <w:tc>
          <w:tcPr>
            <w:tcW w:w="1141" w:type="dxa"/>
            <w:shd w:val="clear" w:color="auto" w:fill="auto"/>
            <w:vAlign w:val="bottom"/>
          </w:tcPr>
          <w:p w14:paraId="164B6CC4"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17</w:t>
            </w:r>
          </w:p>
        </w:tc>
        <w:tc>
          <w:tcPr>
            <w:tcW w:w="1179" w:type="dxa"/>
            <w:shd w:val="clear" w:color="auto" w:fill="auto"/>
            <w:vAlign w:val="bottom"/>
          </w:tcPr>
          <w:p w14:paraId="66986621"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8</w:t>
            </w:r>
          </w:p>
        </w:tc>
        <w:tc>
          <w:tcPr>
            <w:tcW w:w="1265" w:type="dxa"/>
            <w:shd w:val="clear" w:color="auto" w:fill="auto"/>
            <w:vAlign w:val="bottom"/>
          </w:tcPr>
          <w:p w14:paraId="7F92F266"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9</w:t>
            </w:r>
          </w:p>
        </w:tc>
        <w:tc>
          <w:tcPr>
            <w:tcW w:w="1150" w:type="dxa"/>
            <w:shd w:val="clear" w:color="auto" w:fill="auto"/>
            <w:vAlign w:val="bottom"/>
          </w:tcPr>
          <w:p w14:paraId="436A4145"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154" w:type="dxa"/>
            <w:shd w:val="clear" w:color="auto" w:fill="auto"/>
            <w:vAlign w:val="bottom"/>
          </w:tcPr>
          <w:p w14:paraId="5E56C49D"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205" w:type="dxa"/>
            <w:shd w:val="clear" w:color="auto" w:fill="auto"/>
            <w:vAlign w:val="bottom"/>
          </w:tcPr>
          <w:p w14:paraId="41C19EFD"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2</w:t>
            </w:r>
          </w:p>
        </w:tc>
      </w:tr>
      <w:tr w:rsidR="009D4805" w:rsidRPr="009D4805" w14:paraId="4182AAB2" w14:textId="77777777" w:rsidTr="009D4805">
        <w:tc>
          <w:tcPr>
            <w:tcW w:w="1337" w:type="dxa"/>
            <w:shd w:val="clear" w:color="auto" w:fill="auto"/>
          </w:tcPr>
          <w:p w14:paraId="7BFDA7FC"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left"/>
              <w:rPr>
                <w:b/>
                <w:bCs/>
                <w:sz w:val="18"/>
                <w:lang w:val="fr-FR"/>
              </w:rPr>
            </w:pPr>
            <w:proofErr w:type="spellStart"/>
            <w:r w:rsidRPr="009D4805">
              <w:rPr>
                <w:b/>
                <w:bCs/>
                <w:sz w:val="18"/>
                <w:lang w:val="fr-FR"/>
              </w:rPr>
              <w:t>Birmougrein</w:t>
            </w:r>
            <w:proofErr w:type="spellEnd"/>
            <w:r w:rsidRPr="009D4805">
              <w:rPr>
                <w:b/>
                <w:bCs/>
                <w:sz w:val="18"/>
                <w:lang w:val="fr-FR"/>
              </w:rPr>
              <w:t xml:space="preserve"> </w:t>
            </w:r>
          </w:p>
        </w:tc>
        <w:tc>
          <w:tcPr>
            <w:tcW w:w="1197" w:type="dxa"/>
            <w:shd w:val="clear" w:color="auto" w:fill="auto"/>
            <w:vAlign w:val="bottom"/>
          </w:tcPr>
          <w:p w14:paraId="4D226F59"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440</w:t>
            </w:r>
          </w:p>
        </w:tc>
        <w:tc>
          <w:tcPr>
            <w:tcW w:w="1141" w:type="dxa"/>
            <w:shd w:val="clear" w:color="auto" w:fill="auto"/>
            <w:vAlign w:val="bottom"/>
          </w:tcPr>
          <w:p w14:paraId="3D168C76"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179" w:type="dxa"/>
            <w:shd w:val="clear" w:color="auto" w:fill="auto"/>
            <w:vAlign w:val="bottom"/>
          </w:tcPr>
          <w:p w14:paraId="2517709F"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265" w:type="dxa"/>
            <w:shd w:val="clear" w:color="auto" w:fill="auto"/>
            <w:vAlign w:val="bottom"/>
          </w:tcPr>
          <w:p w14:paraId="0F4850DE"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150" w:type="dxa"/>
            <w:shd w:val="clear" w:color="auto" w:fill="auto"/>
            <w:vAlign w:val="bottom"/>
          </w:tcPr>
          <w:p w14:paraId="6453049A"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154" w:type="dxa"/>
            <w:shd w:val="clear" w:color="auto" w:fill="auto"/>
            <w:vAlign w:val="bottom"/>
          </w:tcPr>
          <w:p w14:paraId="5FE46B60"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205" w:type="dxa"/>
            <w:shd w:val="clear" w:color="auto" w:fill="auto"/>
            <w:vAlign w:val="bottom"/>
          </w:tcPr>
          <w:p w14:paraId="58F81D23"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r>
      <w:tr w:rsidR="009D4805" w:rsidRPr="009D4805" w14:paraId="0B32B8C2" w14:textId="77777777" w:rsidTr="009D4805">
        <w:tc>
          <w:tcPr>
            <w:tcW w:w="1337" w:type="dxa"/>
            <w:shd w:val="clear" w:color="auto" w:fill="auto"/>
          </w:tcPr>
          <w:p w14:paraId="4CDB467B"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left"/>
              <w:rPr>
                <w:b/>
                <w:bCs/>
                <w:sz w:val="18"/>
                <w:lang w:val="fr-FR"/>
              </w:rPr>
            </w:pPr>
            <w:r w:rsidRPr="009D4805">
              <w:rPr>
                <w:b/>
                <w:bCs/>
                <w:sz w:val="18"/>
                <w:lang w:val="fr-FR"/>
              </w:rPr>
              <w:t xml:space="preserve">Akjoujt </w:t>
            </w:r>
          </w:p>
        </w:tc>
        <w:tc>
          <w:tcPr>
            <w:tcW w:w="1197" w:type="dxa"/>
            <w:shd w:val="clear" w:color="auto" w:fill="auto"/>
            <w:vAlign w:val="bottom"/>
          </w:tcPr>
          <w:p w14:paraId="132BB208"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40</w:t>
            </w:r>
          </w:p>
        </w:tc>
        <w:tc>
          <w:tcPr>
            <w:tcW w:w="1141" w:type="dxa"/>
            <w:shd w:val="clear" w:color="auto" w:fill="auto"/>
            <w:vAlign w:val="bottom"/>
          </w:tcPr>
          <w:p w14:paraId="0E598C1D"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6</w:t>
            </w:r>
          </w:p>
        </w:tc>
        <w:tc>
          <w:tcPr>
            <w:tcW w:w="1179" w:type="dxa"/>
            <w:shd w:val="clear" w:color="auto" w:fill="auto"/>
            <w:vAlign w:val="bottom"/>
          </w:tcPr>
          <w:p w14:paraId="1C60F8A6"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1</w:t>
            </w:r>
          </w:p>
        </w:tc>
        <w:tc>
          <w:tcPr>
            <w:tcW w:w="1265" w:type="dxa"/>
            <w:shd w:val="clear" w:color="auto" w:fill="auto"/>
            <w:vAlign w:val="bottom"/>
          </w:tcPr>
          <w:p w14:paraId="4F2FB00D"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5</w:t>
            </w:r>
          </w:p>
        </w:tc>
        <w:tc>
          <w:tcPr>
            <w:tcW w:w="1150" w:type="dxa"/>
            <w:shd w:val="clear" w:color="auto" w:fill="auto"/>
            <w:vAlign w:val="bottom"/>
          </w:tcPr>
          <w:p w14:paraId="7381C1F4"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154" w:type="dxa"/>
            <w:shd w:val="clear" w:color="auto" w:fill="auto"/>
            <w:vAlign w:val="bottom"/>
          </w:tcPr>
          <w:p w14:paraId="53FAA8AC"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c>
          <w:tcPr>
            <w:tcW w:w="1205" w:type="dxa"/>
            <w:shd w:val="clear" w:color="auto" w:fill="auto"/>
            <w:vAlign w:val="bottom"/>
          </w:tcPr>
          <w:p w14:paraId="5225B237"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9D4805">
              <w:rPr>
                <w:sz w:val="18"/>
                <w:lang w:val="fr-FR"/>
              </w:rPr>
              <w:t>0</w:t>
            </w:r>
          </w:p>
        </w:tc>
      </w:tr>
      <w:tr w:rsidR="009D4805" w:rsidRPr="009D4805" w14:paraId="499E02D7" w14:textId="77777777" w:rsidTr="009D4805">
        <w:tc>
          <w:tcPr>
            <w:tcW w:w="1337" w:type="dxa"/>
            <w:tcBorders>
              <w:bottom w:val="single" w:sz="12" w:space="0" w:color="auto"/>
            </w:tcBorders>
            <w:shd w:val="clear" w:color="auto" w:fill="auto"/>
          </w:tcPr>
          <w:p w14:paraId="33E6969C"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left"/>
              <w:rPr>
                <w:b/>
                <w:bCs/>
                <w:sz w:val="18"/>
                <w:lang w:val="fr-FR"/>
              </w:rPr>
            </w:pPr>
            <w:r w:rsidRPr="009D4805">
              <w:rPr>
                <w:b/>
                <w:bCs/>
                <w:sz w:val="18"/>
                <w:lang w:val="fr-FR"/>
              </w:rPr>
              <w:t>TOTAUX</w:t>
            </w:r>
          </w:p>
        </w:tc>
        <w:tc>
          <w:tcPr>
            <w:tcW w:w="1197" w:type="dxa"/>
            <w:tcBorders>
              <w:bottom w:val="single" w:sz="12" w:space="0" w:color="auto"/>
            </w:tcBorders>
            <w:shd w:val="clear" w:color="auto" w:fill="auto"/>
            <w:vAlign w:val="bottom"/>
          </w:tcPr>
          <w:p w14:paraId="302CB7FD"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9D4805">
              <w:rPr>
                <w:b/>
                <w:bCs/>
                <w:sz w:val="18"/>
                <w:lang w:val="fr-FR"/>
              </w:rPr>
              <w:fldChar w:fldCharType="begin"/>
            </w:r>
            <w:r w:rsidRPr="009D4805">
              <w:rPr>
                <w:b/>
                <w:bCs/>
                <w:sz w:val="18"/>
                <w:lang w:val="fr-FR"/>
              </w:rPr>
              <w:instrText xml:space="preserve"> =SUM(ABOVE) </w:instrText>
            </w:r>
            <w:r w:rsidRPr="009D4805">
              <w:rPr>
                <w:b/>
                <w:bCs/>
                <w:sz w:val="18"/>
                <w:lang w:val="fr-FR"/>
              </w:rPr>
              <w:fldChar w:fldCharType="separate"/>
            </w:r>
            <w:r w:rsidRPr="009D4805">
              <w:rPr>
                <w:b/>
                <w:bCs/>
                <w:sz w:val="18"/>
                <w:lang w:val="fr-FR"/>
              </w:rPr>
              <w:t>4675</w:t>
            </w:r>
            <w:r w:rsidRPr="009D4805">
              <w:rPr>
                <w:sz w:val="18"/>
              </w:rPr>
              <w:fldChar w:fldCharType="end"/>
            </w:r>
          </w:p>
        </w:tc>
        <w:tc>
          <w:tcPr>
            <w:tcW w:w="1141" w:type="dxa"/>
            <w:tcBorders>
              <w:bottom w:val="single" w:sz="12" w:space="0" w:color="auto"/>
            </w:tcBorders>
            <w:shd w:val="clear" w:color="auto" w:fill="auto"/>
            <w:vAlign w:val="bottom"/>
          </w:tcPr>
          <w:p w14:paraId="3E9B2C2B"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9D4805">
              <w:rPr>
                <w:b/>
                <w:bCs/>
                <w:sz w:val="18"/>
                <w:lang w:val="fr-FR"/>
              </w:rPr>
              <w:fldChar w:fldCharType="begin"/>
            </w:r>
            <w:r w:rsidRPr="009D4805">
              <w:rPr>
                <w:b/>
                <w:bCs/>
                <w:sz w:val="18"/>
                <w:lang w:val="fr-FR"/>
              </w:rPr>
              <w:instrText xml:space="preserve"> =SUM(ABOVE) </w:instrText>
            </w:r>
            <w:r w:rsidRPr="009D4805">
              <w:rPr>
                <w:b/>
                <w:bCs/>
                <w:sz w:val="18"/>
                <w:lang w:val="fr-FR"/>
              </w:rPr>
              <w:fldChar w:fldCharType="separate"/>
            </w:r>
            <w:r w:rsidRPr="009D4805">
              <w:rPr>
                <w:b/>
                <w:bCs/>
                <w:sz w:val="18"/>
                <w:lang w:val="fr-FR"/>
              </w:rPr>
              <w:t>3145</w:t>
            </w:r>
            <w:r w:rsidRPr="009D4805">
              <w:rPr>
                <w:sz w:val="18"/>
              </w:rPr>
              <w:fldChar w:fldCharType="end"/>
            </w:r>
          </w:p>
        </w:tc>
        <w:tc>
          <w:tcPr>
            <w:tcW w:w="1179" w:type="dxa"/>
            <w:tcBorders>
              <w:bottom w:val="single" w:sz="12" w:space="0" w:color="auto"/>
            </w:tcBorders>
            <w:shd w:val="clear" w:color="auto" w:fill="auto"/>
            <w:vAlign w:val="bottom"/>
          </w:tcPr>
          <w:p w14:paraId="61FA3D7E"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9D4805">
              <w:rPr>
                <w:b/>
                <w:bCs/>
                <w:sz w:val="18"/>
                <w:lang w:val="fr-FR"/>
              </w:rPr>
              <w:fldChar w:fldCharType="begin"/>
            </w:r>
            <w:r w:rsidRPr="009D4805">
              <w:rPr>
                <w:b/>
                <w:bCs/>
                <w:sz w:val="18"/>
                <w:lang w:val="fr-FR"/>
              </w:rPr>
              <w:instrText xml:space="preserve"> =SUM(ABOVE) </w:instrText>
            </w:r>
            <w:r w:rsidRPr="009D4805">
              <w:rPr>
                <w:b/>
                <w:bCs/>
                <w:sz w:val="18"/>
                <w:lang w:val="fr-FR"/>
              </w:rPr>
              <w:fldChar w:fldCharType="separate"/>
            </w:r>
            <w:r w:rsidRPr="009D4805">
              <w:rPr>
                <w:b/>
                <w:bCs/>
                <w:sz w:val="18"/>
                <w:lang w:val="fr-FR"/>
              </w:rPr>
              <w:t>1573</w:t>
            </w:r>
            <w:r w:rsidRPr="009D4805">
              <w:rPr>
                <w:sz w:val="18"/>
              </w:rPr>
              <w:fldChar w:fldCharType="end"/>
            </w:r>
          </w:p>
        </w:tc>
        <w:tc>
          <w:tcPr>
            <w:tcW w:w="1265" w:type="dxa"/>
            <w:tcBorders>
              <w:bottom w:val="single" w:sz="12" w:space="0" w:color="auto"/>
            </w:tcBorders>
            <w:shd w:val="clear" w:color="auto" w:fill="auto"/>
            <w:vAlign w:val="bottom"/>
          </w:tcPr>
          <w:p w14:paraId="5815FCBD"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9D4805">
              <w:rPr>
                <w:b/>
                <w:bCs/>
                <w:sz w:val="18"/>
                <w:lang w:val="fr-FR"/>
              </w:rPr>
              <w:fldChar w:fldCharType="begin"/>
            </w:r>
            <w:r w:rsidRPr="009D4805">
              <w:rPr>
                <w:b/>
                <w:bCs/>
                <w:sz w:val="18"/>
                <w:lang w:val="fr-FR"/>
              </w:rPr>
              <w:instrText xml:space="preserve"> =SUM(ABOVE) </w:instrText>
            </w:r>
            <w:r w:rsidRPr="009D4805">
              <w:rPr>
                <w:b/>
                <w:bCs/>
                <w:sz w:val="18"/>
                <w:lang w:val="fr-FR"/>
              </w:rPr>
              <w:fldChar w:fldCharType="separate"/>
            </w:r>
            <w:r w:rsidRPr="009D4805">
              <w:rPr>
                <w:b/>
                <w:bCs/>
                <w:sz w:val="18"/>
                <w:lang w:val="fr-FR"/>
              </w:rPr>
              <w:t>1572</w:t>
            </w:r>
            <w:r w:rsidRPr="009D4805">
              <w:rPr>
                <w:sz w:val="18"/>
              </w:rPr>
              <w:fldChar w:fldCharType="end"/>
            </w:r>
          </w:p>
        </w:tc>
        <w:tc>
          <w:tcPr>
            <w:tcW w:w="1150" w:type="dxa"/>
            <w:tcBorders>
              <w:bottom w:val="single" w:sz="12" w:space="0" w:color="auto"/>
            </w:tcBorders>
            <w:shd w:val="clear" w:color="auto" w:fill="auto"/>
            <w:vAlign w:val="bottom"/>
          </w:tcPr>
          <w:p w14:paraId="5E8DC310"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9D4805">
              <w:rPr>
                <w:b/>
                <w:bCs/>
                <w:sz w:val="18"/>
                <w:lang w:val="fr-FR"/>
              </w:rPr>
              <w:fldChar w:fldCharType="begin"/>
            </w:r>
            <w:r w:rsidRPr="009D4805">
              <w:rPr>
                <w:b/>
                <w:bCs/>
                <w:sz w:val="18"/>
                <w:lang w:val="fr-FR"/>
              </w:rPr>
              <w:instrText xml:space="preserve"> =SUM(ABOVE) </w:instrText>
            </w:r>
            <w:r w:rsidRPr="009D4805">
              <w:rPr>
                <w:b/>
                <w:bCs/>
                <w:sz w:val="18"/>
                <w:lang w:val="fr-FR"/>
              </w:rPr>
              <w:fldChar w:fldCharType="separate"/>
            </w:r>
            <w:r w:rsidRPr="009D4805">
              <w:rPr>
                <w:b/>
                <w:bCs/>
                <w:sz w:val="18"/>
                <w:lang w:val="fr-FR"/>
              </w:rPr>
              <w:t>81</w:t>
            </w:r>
            <w:r w:rsidRPr="009D4805">
              <w:rPr>
                <w:sz w:val="18"/>
              </w:rPr>
              <w:fldChar w:fldCharType="end"/>
            </w:r>
          </w:p>
        </w:tc>
        <w:tc>
          <w:tcPr>
            <w:tcW w:w="1154" w:type="dxa"/>
            <w:tcBorders>
              <w:bottom w:val="single" w:sz="12" w:space="0" w:color="auto"/>
            </w:tcBorders>
            <w:shd w:val="clear" w:color="auto" w:fill="auto"/>
            <w:vAlign w:val="bottom"/>
          </w:tcPr>
          <w:p w14:paraId="7F8125EF"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9D4805">
              <w:rPr>
                <w:b/>
                <w:bCs/>
                <w:sz w:val="18"/>
                <w:lang w:val="fr-FR"/>
              </w:rPr>
              <w:fldChar w:fldCharType="begin"/>
            </w:r>
            <w:r w:rsidRPr="009D4805">
              <w:rPr>
                <w:b/>
                <w:bCs/>
                <w:sz w:val="18"/>
                <w:lang w:val="fr-FR"/>
              </w:rPr>
              <w:instrText xml:space="preserve"> =SUM(ABOVE) </w:instrText>
            </w:r>
            <w:r w:rsidRPr="009D4805">
              <w:rPr>
                <w:b/>
                <w:bCs/>
                <w:sz w:val="18"/>
                <w:lang w:val="fr-FR"/>
              </w:rPr>
              <w:fldChar w:fldCharType="separate"/>
            </w:r>
            <w:r w:rsidRPr="009D4805">
              <w:rPr>
                <w:b/>
                <w:bCs/>
                <w:sz w:val="18"/>
                <w:lang w:val="fr-FR"/>
              </w:rPr>
              <w:t>13</w:t>
            </w:r>
            <w:r w:rsidRPr="009D4805">
              <w:rPr>
                <w:sz w:val="18"/>
              </w:rPr>
              <w:fldChar w:fldCharType="end"/>
            </w:r>
          </w:p>
        </w:tc>
        <w:tc>
          <w:tcPr>
            <w:tcW w:w="1205" w:type="dxa"/>
            <w:tcBorders>
              <w:bottom w:val="single" w:sz="12" w:space="0" w:color="auto"/>
            </w:tcBorders>
            <w:shd w:val="clear" w:color="auto" w:fill="auto"/>
            <w:vAlign w:val="bottom"/>
          </w:tcPr>
          <w:p w14:paraId="18993BF6" w14:textId="77777777" w:rsidR="004608F0" w:rsidRPr="009D4805" w:rsidRDefault="004608F0" w:rsidP="009D4805">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9D4805">
              <w:rPr>
                <w:b/>
                <w:bCs/>
                <w:sz w:val="18"/>
                <w:lang w:val="fr-FR"/>
              </w:rPr>
              <w:fldChar w:fldCharType="begin"/>
            </w:r>
            <w:r w:rsidRPr="009D4805">
              <w:rPr>
                <w:b/>
                <w:bCs/>
                <w:sz w:val="18"/>
                <w:lang w:val="fr-FR"/>
              </w:rPr>
              <w:instrText xml:space="preserve"> =SUM(ABOVE) </w:instrText>
            </w:r>
            <w:r w:rsidRPr="009D4805">
              <w:rPr>
                <w:b/>
                <w:bCs/>
                <w:sz w:val="18"/>
                <w:lang w:val="fr-FR"/>
              </w:rPr>
              <w:fldChar w:fldCharType="separate"/>
            </w:r>
            <w:r w:rsidRPr="009D4805">
              <w:rPr>
                <w:b/>
                <w:bCs/>
                <w:sz w:val="18"/>
                <w:lang w:val="fr-FR"/>
              </w:rPr>
              <w:t>517</w:t>
            </w:r>
            <w:r w:rsidRPr="009D4805">
              <w:rPr>
                <w:sz w:val="18"/>
              </w:rPr>
              <w:fldChar w:fldCharType="end"/>
            </w:r>
          </w:p>
        </w:tc>
      </w:tr>
    </w:tbl>
    <w:p w14:paraId="4DDFCDF8" w14:textId="77777777" w:rsidR="004608F0" w:rsidRPr="004608F0" w:rsidRDefault="004608F0" w:rsidP="004608F0">
      <w:pPr>
        <w:pStyle w:val="SingleTxtG"/>
        <w:rPr>
          <w:lang w:val="fr-FR"/>
        </w:rPr>
      </w:pPr>
      <w:r w:rsidRPr="004608F0">
        <w:rPr>
          <w:lang w:val="fr-FR"/>
        </w:rPr>
        <w:t xml:space="preserve">Sources : DGARP au 03 juin 2025 </w:t>
      </w:r>
    </w:p>
    <w:p w14:paraId="1DED7119" w14:textId="77777777" w:rsidR="004608F0" w:rsidRPr="004608F0" w:rsidRDefault="004608F0" w:rsidP="00865803">
      <w:pPr>
        <w:pStyle w:val="SingleTxtG"/>
        <w:numPr>
          <w:ilvl w:val="0"/>
          <w:numId w:val="31"/>
        </w:numPr>
        <w:ind w:left="1134" w:firstLine="0"/>
        <w:rPr>
          <w:lang w:val="fr-FR"/>
        </w:rPr>
      </w:pPr>
      <w:r w:rsidRPr="004608F0">
        <w:rPr>
          <w:lang w:val="fr-FR"/>
        </w:rPr>
        <w:t>Statistiques d’occupation du centre d’accueil et de réinsertion des enfants en conflit avec la loi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60"/>
        <w:gridCol w:w="1040"/>
        <w:gridCol w:w="1084"/>
        <w:gridCol w:w="1025"/>
        <w:gridCol w:w="1099"/>
        <w:gridCol w:w="915"/>
        <w:gridCol w:w="1047"/>
      </w:tblGrid>
      <w:tr w:rsidR="00865803" w:rsidRPr="00865803" w14:paraId="094551B7" w14:textId="77777777" w:rsidTr="00865803">
        <w:trPr>
          <w:tblHeader/>
        </w:trPr>
        <w:tc>
          <w:tcPr>
            <w:tcW w:w="1517" w:type="dxa"/>
            <w:tcBorders>
              <w:top w:val="single" w:sz="4" w:space="0" w:color="auto"/>
              <w:bottom w:val="single" w:sz="12" w:space="0" w:color="auto"/>
            </w:tcBorders>
            <w:shd w:val="clear" w:color="auto" w:fill="auto"/>
            <w:vAlign w:val="bottom"/>
          </w:tcPr>
          <w:p w14:paraId="391882EE" w14:textId="77777777" w:rsidR="004608F0" w:rsidRPr="00865803" w:rsidRDefault="004608F0" w:rsidP="00865803">
            <w:pPr>
              <w:pStyle w:val="SingleTxtG"/>
              <w:tabs>
                <w:tab w:val="clear" w:pos="1701"/>
                <w:tab w:val="clear" w:pos="2268"/>
                <w:tab w:val="clear" w:pos="2835"/>
              </w:tabs>
              <w:suppressAutoHyphens w:val="0"/>
              <w:spacing w:before="80" w:after="80" w:line="200" w:lineRule="exact"/>
              <w:ind w:left="0" w:right="0"/>
              <w:jc w:val="left"/>
              <w:rPr>
                <w:bCs/>
                <w:i/>
                <w:sz w:val="16"/>
                <w:lang w:val="fr-FR"/>
              </w:rPr>
            </w:pPr>
            <w:proofErr w:type="spellStart"/>
            <w:r w:rsidRPr="00865803">
              <w:rPr>
                <w:bCs/>
                <w:i/>
                <w:sz w:val="16"/>
                <w:lang w:val="fr-FR"/>
              </w:rPr>
              <w:t>Etablissement</w:t>
            </w:r>
            <w:proofErr w:type="spellEnd"/>
          </w:p>
        </w:tc>
        <w:tc>
          <w:tcPr>
            <w:tcW w:w="1358" w:type="dxa"/>
            <w:tcBorders>
              <w:top w:val="single" w:sz="4" w:space="0" w:color="auto"/>
              <w:bottom w:val="single" w:sz="12" w:space="0" w:color="auto"/>
            </w:tcBorders>
            <w:shd w:val="clear" w:color="auto" w:fill="auto"/>
            <w:vAlign w:val="bottom"/>
          </w:tcPr>
          <w:p w14:paraId="7C63BCCC" w14:textId="77777777" w:rsidR="004608F0" w:rsidRPr="00865803" w:rsidRDefault="004608F0" w:rsidP="00865803">
            <w:pPr>
              <w:pStyle w:val="SingleTxtG"/>
              <w:tabs>
                <w:tab w:val="clear" w:pos="1701"/>
                <w:tab w:val="clear" w:pos="2268"/>
                <w:tab w:val="clear" w:pos="2835"/>
              </w:tabs>
              <w:suppressAutoHyphens w:val="0"/>
              <w:spacing w:before="80" w:after="80" w:line="200" w:lineRule="exact"/>
              <w:ind w:left="0" w:right="0"/>
              <w:jc w:val="right"/>
              <w:rPr>
                <w:bCs/>
                <w:i/>
                <w:sz w:val="16"/>
                <w:lang w:val="fr-FR"/>
              </w:rPr>
            </w:pPr>
            <w:r w:rsidRPr="00865803">
              <w:rPr>
                <w:bCs/>
                <w:i/>
                <w:sz w:val="16"/>
                <w:lang w:val="fr-FR"/>
              </w:rPr>
              <w:t>Capacités</w:t>
            </w:r>
          </w:p>
        </w:tc>
        <w:tc>
          <w:tcPr>
            <w:tcW w:w="1416" w:type="dxa"/>
            <w:tcBorders>
              <w:top w:val="single" w:sz="4" w:space="0" w:color="auto"/>
              <w:bottom w:val="single" w:sz="12" w:space="0" w:color="auto"/>
            </w:tcBorders>
            <w:shd w:val="clear" w:color="auto" w:fill="auto"/>
            <w:vAlign w:val="bottom"/>
          </w:tcPr>
          <w:p w14:paraId="194EE43C" w14:textId="77777777" w:rsidR="004608F0" w:rsidRPr="00865803" w:rsidRDefault="004608F0" w:rsidP="00865803">
            <w:pPr>
              <w:pStyle w:val="SingleTxtG"/>
              <w:tabs>
                <w:tab w:val="clear" w:pos="1701"/>
                <w:tab w:val="clear" w:pos="2268"/>
                <w:tab w:val="clear" w:pos="2835"/>
              </w:tabs>
              <w:suppressAutoHyphens w:val="0"/>
              <w:spacing w:before="80" w:after="80" w:line="200" w:lineRule="exact"/>
              <w:ind w:left="0" w:right="0"/>
              <w:jc w:val="right"/>
              <w:rPr>
                <w:bCs/>
                <w:i/>
                <w:sz w:val="16"/>
                <w:lang w:val="fr-FR"/>
              </w:rPr>
            </w:pPr>
            <w:r w:rsidRPr="00865803">
              <w:rPr>
                <w:bCs/>
                <w:i/>
                <w:sz w:val="16"/>
                <w:lang w:val="fr-FR"/>
              </w:rPr>
              <w:t xml:space="preserve">Placements </w:t>
            </w:r>
          </w:p>
        </w:tc>
        <w:tc>
          <w:tcPr>
            <w:tcW w:w="1339" w:type="dxa"/>
            <w:tcBorders>
              <w:top w:val="single" w:sz="4" w:space="0" w:color="auto"/>
              <w:bottom w:val="single" w:sz="12" w:space="0" w:color="auto"/>
            </w:tcBorders>
            <w:shd w:val="clear" w:color="auto" w:fill="auto"/>
            <w:vAlign w:val="bottom"/>
          </w:tcPr>
          <w:p w14:paraId="02968AAC" w14:textId="77777777" w:rsidR="004608F0" w:rsidRPr="00865803" w:rsidRDefault="004608F0" w:rsidP="00865803">
            <w:pPr>
              <w:pStyle w:val="SingleTxtG"/>
              <w:tabs>
                <w:tab w:val="clear" w:pos="1701"/>
                <w:tab w:val="clear" w:pos="2268"/>
                <w:tab w:val="clear" w:pos="2835"/>
              </w:tabs>
              <w:suppressAutoHyphens w:val="0"/>
              <w:spacing w:before="80" w:after="80" w:line="200" w:lineRule="exact"/>
              <w:ind w:left="0" w:right="0"/>
              <w:jc w:val="right"/>
              <w:rPr>
                <w:bCs/>
                <w:i/>
                <w:sz w:val="16"/>
                <w:lang w:val="fr-FR"/>
              </w:rPr>
            </w:pPr>
            <w:r w:rsidRPr="00865803">
              <w:rPr>
                <w:bCs/>
                <w:i/>
                <w:sz w:val="16"/>
                <w:lang w:val="fr-FR"/>
              </w:rPr>
              <w:t>Prévenus</w:t>
            </w:r>
          </w:p>
        </w:tc>
        <w:tc>
          <w:tcPr>
            <w:tcW w:w="1436" w:type="dxa"/>
            <w:tcBorders>
              <w:top w:val="single" w:sz="4" w:space="0" w:color="auto"/>
              <w:bottom w:val="single" w:sz="12" w:space="0" w:color="auto"/>
            </w:tcBorders>
            <w:shd w:val="clear" w:color="auto" w:fill="auto"/>
            <w:vAlign w:val="bottom"/>
          </w:tcPr>
          <w:p w14:paraId="645296CA" w14:textId="77777777" w:rsidR="004608F0" w:rsidRPr="00865803" w:rsidRDefault="004608F0" w:rsidP="00865803">
            <w:pPr>
              <w:pStyle w:val="SingleTxtG"/>
              <w:tabs>
                <w:tab w:val="clear" w:pos="1701"/>
                <w:tab w:val="clear" w:pos="2268"/>
                <w:tab w:val="clear" w:pos="2835"/>
              </w:tabs>
              <w:suppressAutoHyphens w:val="0"/>
              <w:spacing w:before="80" w:after="80" w:line="200" w:lineRule="exact"/>
              <w:ind w:left="0" w:right="0"/>
              <w:jc w:val="right"/>
              <w:rPr>
                <w:bCs/>
                <w:i/>
                <w:sz w:val="16"/>
                <w:lang w:val="fr-FR"/>
              </w:rPr>
            </w:pPr>
            <w:r w:rsidRPr="00865803">
              <w:rPr>
                <w:bCs/>
                <w:i/>
                <w:sz w:val="16"/>
                <w:lang w:val="fr-FR"/>
              </w:rPr>
              <w:t>Condamnés</w:t>
            </w:r>
          </w:p>
        </w:tc>
        <w:tc>
          <w:tcPr>
            <w:tcW w:w="1194" w:type="dxa"/>
            <w:tcBorders>
              <w:top w:val="single" w:sz="4" w:space="0" w:color="auto"/>
              <w:bottom w:val="single" w:sz="12" w:space="0" w:color="auto"/>
            </w:tcBorders>
            <w:shd w:val="clear" w:color="auto" w:fill="auto"/>
            <w:vAlign w:val="bottom"/>
          </w:tcPr>
          <w:p w14:paraId="4F6FA6F7" w14:textId="77777777" w:rsidR="004608F0" w:rsidRPr="00865803" w:rsidRDefault="004608F0" w:rsidP="00865803">
            <w:pPr>
              <w:pStyle w:val="SingleTxtG"/>
              <w:tabs>
                <w:tab w:val="clear" w:pos="1701"/>
                <w:tab w:val="clear" w:pos="2268"/>
                <w:tab w:val="clear" w:pos="2835"/>
              </w:tabs>
              <w:suppressAutoHyphens w:val="0"/>
              <w:spacing w:before="80" w:after="80" w:line="200" w:lineRule="exact"/>
              <w:ind w:left="0" w:right="0"/>
              <w:jc w:val="right"/>
              <w:rPr>
                <w:bCs/>
                <w:i/>
                <w:sz w:val="16"/>
                <w:lang w:val="fr-FR"/>
              </w:rPr>
            </w:pPr>
            <w:r w:rsidRPr="00865803">
              <w:rPr>
                <w:bCs/>
                <w:i/>
                <w:sz w:val="16"/>
                <w:lang w:val="fr-FR"/>
              </w:rPr>
              <w:t>Filles</w:t>
            </w:r>
          </w:p>
        </w:tc>
        <w:tc>
          <w:tcPr>
            <w:tcW w:w="1368" w:type="dxa"/>
            <w:tcBorders>
              <w:top w:val="single" w:sz="4" w:space="0" w:color="auto"/>
              <w:bottom w:val="single" w:sz="12" w:space="0" w:color="auto"/>
            </w:tcBorders>
            <w:shd w:val="clear" w:color="auto" w:fill="auto"/>
            <w:vAlign w:val="bottom"/>
          </w:tcPr>
          <w:p w14:paraId="09652B93" w14:textId="77777777" w:rsidR="004608F0" w:rsidRPr="00865803" w:rsidRDefault="004608F0" w:rsidP="00865803">
            <w:pPr>
              <w:pStyle w:val="SingleTxtG"/>
              <w:tabs>
                <w:tab w:val="clear" w:pos="1701"/>
                <w:tab w:val="clear" w:pos="2268"/>
                <w:tab w:val="clear" w:pos="2835"/>
              </w:tabs>
              <w:suppressAutoHyphens w:val="0"/>
              <w:spacing w:before="80" w:after="80" w:line="200" w:lineRule="exact"/>
              <w:ind w:left="0" w:right="0"/>
              <w:jc w:val="right"/>
              <w:rPr>
                <w:bCs/>
                <w:i/>
                <w:sz w:val="16"/>
                <w:lang w:val="fr-FR"/>
              </w:rPr>
            </w:pPr>
            <w:proofErr w:type="spellStart"/>
            <w:r w:rsidRPr="00865803">
              <w:rPr>
                <w:bCs/>
                <w:i/>
                <w:sz w:val="16"/>
                <w:lang w:val="fr-FR"/>
              </w:rPr>
              <w:t>Etrangers</w:t>
            </w:r>
            <w:proofErr w:type="spellEnd"/>
          </w:p>
        </w:tc>
      </w:tr>
      <w:tr w:rsidR="00865803" w:rsidRPr="00865803" w14:paraId="6BC1EB5F" w14:textId="77777777" w:rsidTr="00865803">
        <w:tc>
          <w:tcPr>
            <w:tcW w:w="1517" w:type="dxa"/>
            <w:tcBorders>
              <w:top w:val="single" w:sz="12" w:space="0" w:color="auto"/>
            </w:tcBorders>
            <w:shd w:val="clear" w:color="auto" w:fill="auto"/>
          </w:tcPr>
          <w:p w14:paraId="435C8C82"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left"/>
              <w:rPr>
                <w:b/>
                <w:bCs/>
                <w:sz w:val="18"/>
                <w:lang w:val="fr-FR"/>
              </w:rPr>
            </w:pPr>
            <w:proofErr w:type="spellStart"/>
            <w:r w:rsidRPr="00865803">
              <w:rPr>
                <w:b/>
                <w:bCs/>
                <w:sz w:val="18"/>
                <w:lang w:val="fr-FR"/>
              </w:rPr>
              <w:t>Carsec</w:t>
            </w:r>
            <w:proofErr w:type="spellEnd"/>
            <w:r w:rsidRPr="00865803">
              <w:rPr>
                <w:b/>
                <w:bCs/>
                <w:sz w:val="18"/>
                <w:lang w:val="fr-FR"/>
              </w:rPr>
              <w:t xml:space="preserve"> fermé </w:t>
            </w:r>
          </w:p>
        </w:tc>
        <w:tc>
          <w:tcPr>
            <w:tcW w:w="1358" w:type="dxa"/>
            <w:tcBorders>
              <w:top w:val="single" w:sz="12" w:space="0" w:color="auto"/>
            </w:tcBorders>
            <w:shd w:val="clear" w:color="auto" w:fill="auto"/>
            <w:vAlign w:val="bottom"/>
          </w:tcPr>
          <w:p w14:paraId="50872573"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65803">
              <w:rPr>
                <w:sz w:val="18"/>
                <w:lang w:val="fr-FR"/>
              </w:rPr>
              <w:t>120</w:t>
            </w:r>
          </w:p>
        </w:tc>
        <w:tc>
          <w:tcPr>
            <w:tcW w:w="1416" w:type="dxa"/>
            <w:tcBorders>
              <w:top w:val="single" w:sz="12" w:space="0" w:color="auto"/>
            </w:tcBorders>
            <w:shd w:val="clear" w:color="auto" w:fill="auto"/>
            <w:vAlign w:val="bottom"/>
          </w:tcPr>
          <w:p w14:paraId="6BB49EE4"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65803">
              <w:rPr>
                <w:sz w:val="18"/>
                <w:lang w:val="fr-FR"/>
              </w:rPr>
              <w:t>132</w:t>
            </w:r>
          </w:p>
        </w:tc>
        <w:tc>
          <w:tcPr>
            <w:tcW w:w="1339" w:type="dxa"/>
            <w:tcBorders>
              <w:top w:val="single" w:sz="12" w:space="0" w:color="auto"/>
            </w:tcBorders>
            <w:shd w:val="clear" w:color="auto" w:fill="auto"/>
            <w:vAlign w:val="bottom"/>
          </w:tcPr>
          <w:p w14:paraId="0B40832C"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65803">
              <w:rPr>
                <w:sz w:val="18"/>
                <w:lang w:val="fr-FR"/>
              </w:rPr>
              <w:t>85</w:t>
            </w:r>
          </w:p>
        </w:tc>
        <w:tc>
          <w:tcPr>
            <w:tcW w:w="1436" w:type="dxa"/>
            <w:tcBorders>
              <w:top w:val="single" w:sz="12" w:space="0" w:color="auto"/>
            </w:tcBorders>
            <w:shd w:val="clear" w:color="auto" w:fill="auto"/>
            <w:vAlign w:val="bottom"/>
          </w:tcPr>
          <w:p w14:paraId="44F4E9A7"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65803">
              <w:rPr>
                <w:sz w:val="18"/>
                <w:lang w:val="fr-FR"/>
              </w:rPr>
              <w:t>47</w:t>
            </w:r>
          </w:p>
        </w:tc>
        <w:tc>
          <w:tcPr>
            <w:tcW w:w="1194" w:type="dxa"/>
            <w:tcBorders>
              <w:top w:val="single" w:sz="12" w:space="0" w:color="auto"/>
            </w:tcBorders>
            <w:shd w:val="clear" w:color="auto" w:fill="auto"/>
            <w:vAlign w:val="bottom"/>
          </w:tcPr>
          <w:p w14:paraId="02B48E21"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65803">
              <w:rPr>
                <w:sz w:val="18"/>
                <w:lang w:val="fr-FR"/>
              </w:rPr>
              <w:t>0</w:t>
            </w:r>
          </w:p>
        </w:tc>
        <w:tc>
          <w:tcPr>
            <w:tcW w:w="1368" w:type="dxa"/>
            <w:tcBorders>
              <w:top w:val="single" w:sz="12" w:space="0" w:color="auto"/>
            </w:tcBorders>
            <w:shd w:val="clear" w:color="auto" w:fill="auto"/>
            <w:vAlign w:val="bottom"/>
          </w:tcPr>
          <w:p w14:paraId="63BD2F06"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65803">
              <w:rPr>
                <w:sz w:val="18"/>
                <w:lang w:val="fr-FR"/>
              </w:rPr>
              <w:t>3</w:t>
            </w:r>
          </w:p>
        </w:tc>
      </w:tr>
      <w:tr w:rsidR="00865803" w:rsidRPr="00865803" w14:paraId="1FEB9ED8" w14:textId="77777777" w:rsidTr="00865803">
        <w:tc>
          <w:tcPr>
            <w:tcW w:w="1517" w:type="dxa"/>
            <w:shd w:val="clear" w:color="auto" w:fill="auto"/>
          </w:tcPr>
          <w:p w14:paraId="096F8577"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left"/>
              <w:rPr>
                <w:b/>
                <w:bCs/>
                <w:sz w:val="18"/>
                <w:lang w:val="fr-FR"/>
              </w:rPr>
            </w:pPr>
            <w:proofErr w:type="spellStart"/>
            <w:r w:rsidRPr="00865803">
              <w:rPr>
                <w:b/>
                <w:bCs/>
                <w:sz w:val="18"/>
                <w:lang w:val="fr-FR"/>
              </w:rPr>
              <w:t>Carsec</w:t>
            </w:r>
            <w:proofErr w:type="spellEnd"/>
            <w:r w:rsidRPr="00865803">
              <w:rPr>
                <w:b/>
                <w:bCs/>
                <w:sz w:val="18"/>
                <w:lang w:val="fr-FR"/>
              </w:rPr>
              <w:t xml:space="preserve"> ouvert</w:t>
            </w:r>
          </w:p>
        </w:tc>
        <w:tc>
          <w:tcPr>
            <w:tcW w:w="1358" w:type="dxa"/>
            <w:shd w:val="clear" w:color="auto" w:fill="auto"/>
            <w:vAlign w:val="bottom"/>
          </w:tcPr>
          <w:p w14:paraId="165FD3B7"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65803">
              <w:rPr>
                <w:sz w:val="18"/>
                <w:lang w:val="fr-FR"/>
              </w:rPr>
              <w:t>60</w:t>
            </w:r>
          </w:p>
        </w:tc>
        <w:tc>
          <w:tcPr>
            <w:tcW w:w="1416" w:type="dxa"/>
            <w:shd w:val="clear" w:color="auto" w:fill="auto"/>
            <w:vAlign w:val="bottom"/>
          </w:tcPr>
          <w:p w14:paraId="7549D0C5"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65803">
              <w:rPr>
                <w:sz w:val="18"/>
                <w:lang w:val="fr-FR"/>
              </w:rPr>
              <w:t>46</w:t>
            </w:r>
          </w:p>
        </w:tc>
        <w:tc>
          <w:tcPr>
            <w:tcW w:w="1339" w:type="dxa"/>
            <w:shd w:val="clear" w:color="auto" w:fill="auto"/>
            <w:vAlign w:val="bottom"/>
          </w:tcPr>
          <w:p w14:paraId="2BDB05BC"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65803">
              <w:rPr>
                <w:sz w:val="18"/>
                <w:lang w:val="fr-FR"/>
              </w:rPr>
              <w:t>34</w:t>
            </w:r>
          </w:p>
        </w:tc>
        <w:tc>
          <w:tcPr>
            <w:tcW w:w="1436" w:type="dxa"/>
            <w:shd w:val="clear" w:color="auto" w:fill="auto"/>
            <w:vAlign w:val="bottom"/>
          </w:tcPr>
          <w:p w14:paraId="0C77D3FE"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65803">
              <w:rPr>
                <w:sz w:val="18"/>
                <w:lang w:val="fr-FR"/>
              </w:rPr>
              <w:t>12</w:t>
            </w:r>
          </w:p>
        </w:tc>
        <w:tc>
          <w:tcPr>
            <w:tcW w:w="1194" w:type="dxa"/>
            <w:shd w:val="clear" w:color="auto" w:fill="auto"/>
            <w:vAlign w:val="bottom"/>
          </w:tcPr>
          <w:p w14:paraId="6C0C70D1"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65803">
              <w:rPr>
                <w:sz w:val="18"/>
                <w:lang w:val="fr-FR"/>
              </w:rPr>
              <w:t>7</w:t>
            </w:r>
          </w:p>
        </w:tc>
        <w:tc>
          <w:tcPr>
            <w:tcW w:w="1368" w:type="dxa"/>
            <w:shd w:val="clear" w:color="auto" w:fill="auto"/>
            <w:vAlign w:val="bottom"/>
          </w:tcPr>
          <w:p w14:paraId="3450EEF3"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65803">
              <w:rPr>
                <w:sz w:val="18"/>
                <w:lang w:val="fr-FR"/>
              </w:rPr>
              <w:t>1</w:t>
            </w:r>
          </w:p>
        </w:tc>
      </w:tr>
      <w:tr w:rsidR="00865803" w:rsidRPr="00865803" w14:paraId="18AB62E2" w14:textId="77777777" w:rsidTr="00865803">
        <w:tc>
          <w:tcPr>
            <w:tcW w:w="1517" w:type="dxa"/>
            <w:shd w:val="clear" w:color="auto" w:fill="auto"/>
          </w:tcPr>
          <w:p w14:paraId="2D3991A5"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left"/>
              <w:rPr>
                <w:b/>
                <w:bCs/>
                <w:sz w:val="18"/>
                <w:lang w:val="fr-FR"/>
              </w:rPr>
            </w:pPr>
            <w:proofErr w:type="spellStart"/>
            <w:r w:rsidRPr="00865803">
              <w:rPr>
                <w:b/>
                <w:bCs/>
                <w:sz w:val="18"/>
                <w:lang w:val="fr-FR"/>
              </w:rPr>
              <w:t>Carsec</w:t>
            </w:r>
            <w:proofErr w:type="spellEnd"/>
            <w:r w:rsidRPr="00865803">
              <w:rPr>
                <w:b/>
                <w:bCs/>
                <w:sz w:val="18"/>
                <w:lang w:val="fr-FR"/>
              </w:rPr>
              <w:t xml:space="preserve"> </w:t>
            </w:r>
            <w:proofErr w:type="spellStart"/>
            <w:r w:rsidRPr="00865803">
              <w:rPr>
                <w:b/>
                <w:bCs/>
                <w:sz w:val="18"/>
                <w:lang w:val="fr-FR"/>
              </w:rPr>
              <w:t>Ndbou</w:t>
            </w:r>
            <w:proofErr w:type="spellEnd"/>
          </w:p>
        </w:tc>
        <w:tc>
          <w:tcPr>
            <w:tcW w:w="1358" w:type="dxa"/>
            <w:shd w:val="clear" w:color="auto" w:fill="auto"/>
            <w:vAlign w:val="bottom"/>
          </w:tcPr>
          <w:p w14:paraId="1495443B"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65803">
              <w:rPr>
                <w:sz w:val="18"/>
                <w:lang w:val="fr-FR"/>
              </w:rPr>
              <w:t>20</w:t>
            </w:r>
          </w:p>
        </w:tc>
        <w:tc>
          <w:tcPr>
            <w:tcW w:w="1416" w:type="dxa"/>
            <w:shd w:val="clear" w:color="auto" w:fill="auto"/>
            <w:vAlign w:val="bottom"/>
          </w:tcPr>
          <w:p w14:paraId="3D674461"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65803">
              <w:rPr>
                <w:sz w:val="18"/>
                <w:lang w:val="fr-FR"/>
              </w:rPr>
              <w:t>15</w:t>
            </w:r>
          </w:p>
        </w:tc>
        <w:tc>
          <w:tcPr>
            <w:tcW w:w="1339" w:type="dxa"/>
            <w:shd w:val="clear" w:color="auto" w:fill="auto"/>
            <w:vAlign w:val="bottom"/>
          </w:tcPr>
          <w:p w14:paraId="3DB718E0"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65803">
              <w:rPr>
                <w:sz w:val="18"/>
                <w:lang w:val="fr-FR"/>
              </w:rPr>
              <w:t>2</w:t>
            </w:r>
          </w:p>
        </w:tc>
        <w:tc>
          <w:tcPr>
            <w:tcW w:w="1436" w:type="dxa"/>
            <w:shd w:val="clear" w:color="auto" w:fill="auto"/>
            <w:vAlign w:val="bottom"/>
          </w:tcPr>
          <w:p w14:paraId="344228D6"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65803">
              <w:rPr>
                <w:sz w:val="18"/>
                <w:lang w:val="fr-FR"/>
              </w:rPr>
              <w:t>13</w:t>
            </w:r>
          </w:p>
        </w:tc>
        <w:tc>
          <w:tcPr>
            <w:tcW w:w="1194" w:type="dxa"/>
            <w:shd w:val="clear" w:color="auto" w:fill="auto"/>
            <w:vAlign w:val="bottom"/>
          </w:tcPr>
          <w:p w14:paraId="69255CF3"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65803">
              <w:rPr>
                <w:sz w:val="18"/>
                <w:lang w:val="fr-FR"/>
              </w:rPr>
              <w:t>0</w:t>
            </w:r>
          </w:p>
        </w:tc>
        <w:tc>
          <w:tcPr>
            <w:tcW w:w="1368" w:type="dxa"/>
            <w:shd w:val="clear" w:color="auto" w:fill="auto"/>
            <w:vAlign w:val="bottom"/>
          </w:tcPr>
          <w:p w14:paraId="596BD3DB"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65803">
              <w:rPr>
                <w:sz w:val="18"/>
                <w:lang w:val="fr-FR"/>
              </w:rPr>
              <w:t>0</w:t>
            </w:r>
          </w:p>
        </w:tc>
      </w:tr>
      <w:tr w:rsidR="00865803" w:rsidRPr="00865803" w14:paraId="44AB1387" w14:textId="77777777" w:rsidTr="00865803">
        <w:tc>
          <w:tcPr>
            <w:tcW w:w="1517" w:type="dxa"/>
            <w:shd w:val="clear" w:color="auto" w:fill="auto"/>
          </w:tcPr>
          <w:p w14:paraId="01FD4847"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left"/>
              <w:rPr>
                <w:b/>
                <w:bCs/>
                <w:sz w:val="18"/>
                <w:lang w:val="fr-FR"/>
              </w:rPr>
            </w:pPr>
            <w:proofErr w:type="spellStart"/>
            <w:r w:rsidRPr="00865803">
              <w:rPr>
                <w:b/>
                <w:bCs/>
                <w:sz w:val="18"/>
                <w:lang w:val="fr-FR"/>
              </w:rPr>
              <w:t>Carsec</w:t>
            </w:r>
            <w:proofErr w:type="spellEnd"/>
            <w:r w:rsidRPr="00865803">
              <w:rPr>
                <w:b/>
                <w:bCs/>
                <w:sz w:val="18"/>
                <w:lang w:val="fr-FR"/>
              </w:rPr>
              <w:t xml:space="preserve"> Kiffa</w:t>
            </w:r>
          </w:p>
        </w:tc>
        <w:tc>
          <w:tcPr>
            <w:tcW w:w="1358" w:type="dxa"/>
            <w:shd w:val="clear" w:color="auto" w:fill="auto"/>
            <w:vAlign w:val="bottom"/>
          </w:tcPr>
          <w:p w14:paraId="6CCA8CE7"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65803">
              <w:rPr>
                <w:sz w:val="18"/>
                <w:lang w:val="fr-FR"/>
              </w:rPr>
              <w:t>20</w:t>
            </w:r>
          </w:p>
        </w:tc>
        <w:tc>
          <w:tcPr>
            <w:tcW w:w="1416" w:type="dxa"/>
            <w:shd w:val="clear" w:color="auto" w:fill="auto"/>
            <w:vAlign w:val="bottom"/>
          </w:tcPr>
          <w:p w14:paraId="318C7434"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65803">
              <w:rPr>
                <w:sz w:val="18"/>
                <w:lang w:val="fr-FR"/>
              </w:rPr>
              <w:t>11</w:t>
            </w:r>
          </w:p>
        </w:tc>
        <w:tc>
          <w:tcPr>
            <w:tcW w:w="1339" w:type="dxa"/>
            <w:shd w:val="clear" w:color="auto" w:fill="auto"/>
            <w:vAlign w:val="bottom"/>
          </w:tcPr>
          <w:p w14:paraId="7452CA3A"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65803">
              <w:rPr>
                <w:sz w:val="18"/>
                <w:lang w:val="fr-FR"/>
              </w:rPr>
              <w:t>10</w:t>
            </w:r>
          </w:p>
        </w:tc>
        <w:tc>
          <w:tcPr>
            <w:tcW w:w="1436" w:type="dxa"/>
            <w:shd w:val="clear" w:color="auto" w:fill="auto"/>
            <w:vAlign w:val="bottom"/>
          </w:tcPr>
          <w:p w14:paraId="2724FD05"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65803">
              <w:rPr>
                <w:sz w:val="18"/>
                <w:lang w:val="fr-FR"/>
              </w:rPr>
              <w:t>1</w:t>
            </w:r>
          </w:p>
        </w:tc>
        <w:tc>
          <w:tcPr>
            <w:tcW w:w="1194" w:type="dxa"/>
            <w:shd w:val="clear" w:color="auto" w:fill="auto"/>
            <w:vAlign w:val="bottom"/>
          </w:tcPr>
          <w:p w14:paraId="510B7CA9"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65803">
              <w:rPr>
                <w:sz w:val="18"/>
                <w:lang w:val="fr-FR"/>
              </w:rPr>
              <w:t>0</w:t>
            </w:r>
          </w:p>
        </w:tc>
        <w:tc>
          <w:tcPr>
            <w:tcW w:w="1368" w:type="dxa"/>
            <w:shd w:val="clear" w:color="auto" w:fill="auto"/>
            <w:vAlign w:val="bottom"/>
          </w:tcPr>
          <w:p w14:paraId="40BA430D"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sz w:val="18"/>
                <w:lang w:val="fr-FR"/>
              </w:rPr>
            </w:pPr>
            <w:r w:rsidRPr="00865803">
              <w:rPr>
                <w:sz w:val="18"/>
                <w:lang w:val="fr-FR"/>
              </w:rPr>
              <w:t>0</w:t>
            </w:r>
          </w:p>
        </w:tc>
      </w:tr>
      <w:tr w:rsidR="00865803" w:rsidRPr="00865803" w14:paraId="3B7BCC29" w14:textId="77777777" w:rsidTr="00865803">
        <w:tc>
          <w:tcPr>
            <w:tcW w:w="1517" w:type="dxa"/>
            <w:tcBorders>
              <w:bottom w:val="single" w:sz="12" w:space="0" w:color="auto"/>
            </w:tcBorders>
            <w:shd w:val="clear" w:color="auto" w:fill="auto"/>
          </w:tcPr>
          <w:p w14:paraId="7218F8A8"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left"/>
              <w:rPr>
                <w:b/>
                <w:bCs/>
                <w:sz w:val="18"/>
                <w:lang w:val="fr-FR"/>
              </w:rPr>
            </w:pPr>
            <w:r w:rsidRPr="00865803">
              <w:rPr>
                <w:b/>
                <w:bCs/>
                <w:sz w:val="18"/>
                <w:lang w:val="fr-FR"/>
              </w:rPr>
              <w:t>TOTAUX</w:t>
            </w:r>
          </w:p>
        </w:tc>
        <w:tc>
          <w:tcPr>
            <w:tcW w:w="1358" w:type="dxa"/>
            <w:tcBorders>
              <w:bottom w:val="single" w:sz="12" w:space="0" w:color="auto"/>
            </w:tcBorders>
            <w:shd w:val="clear" w:color="auto" w:fill="auto"/>
            <w:vAlign w:val="bottom"/>
          </w:tcPr>
          <w:p w14:paraId="43084456"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865803">
              <w:rPr>
                <w:b/>
                <w:bCs/>
                <w:sz w:val="18"/>
                <w:lang w:val="fr-FR"/>
              </w:rPr>
              <w:fldChar w:fldCharType="begin"/>
            </w:r>
            <w:r w:rsidRPr="00865803">
              <w:rPr>
                <w:b/>
                <w:bCs/>
                <w:sz w:val="18"/>
                <w:lang w:val="fr-FR"/>
              </w:rPr>
              <w:instrText xml:space="preserve"> =SUM(ABOVE) </w:instrText>
            </w:r>
            <w:r w:rsidRPr="00865803">
              <w:rPr>
                <w:b/>
                <w:bCs/>
                <w:sz w:val="18"/>
                <w:lang w:val="fr-FR"/>
              </w:rPr>
              <w:fldChar w:fldCharType="separate"/>
            </w:r>
            <w:r w:rsidRPr="00865803">
              <w:rPr>
                <w:b/>
                <w:bCs/>
                <w:sz w:val="18"/>
                <w:lang w:val="fr-FR"/>
              </w:rPr>
              <w:t>220</w:t>
            </w:r>
            <w:r w:rsidRPr="00865803">
              <w:rPr>
                <w:sz w:val="18"/>
              </w:rPr>
              <w:fldChar w:fldCharType="end"/>
            </w:r>
          </w:p>
        </w:tc>
        <w:tc>
          <w:tcPr>
            <w:tcW w:w="1416" w:type="dxa"/>
            <w:tcBorders>
              <w:bottom w:val="single" w:sz="12" w:space="0" w:color="auto"/>
            </w:tcBorders>
            <w:shd w:val="clear" w:color="auto" w:fill="auto"/>
            <w:vAlign w:val="bottom"/>
          </w:tcPr>
          <w:p w14:paraId="2F326219"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865803">
              <w:rPr>
                <w:b/>
                <w:bCs/>
                <w:sz w:val="18"/>
                <w:lang w:val="fr-FR"/>
              </w:rPr>
              <w:fldChar w:fldCharType="begin"/>
            </w:r>
            <w:r w:rsidRPr="00865803">
              <w:rPr>
                <w:b/>
                <w:bCs/>
                <w:sz w:val="18"/>
                <w:lang w:val="fr-FR"/>
              </w:rPr>
              <w:instrText xml:space="preserve"> =SUM(ABOVE) </w:instrText>
            </w:r>
            <w:r w:rsidRPr="00865803">
              <w:rPr>
                <w:b/>
                <w:bCs/>
                <w:sz w:val="18"/>
                <w:lang w:val="fr-FR"/>
              </w:rPr>
              <w:fldChar w:fldCharType="separate"/>
            </w:r>
            <w:r w:rsidRPr="00865803">
              <w:rPr>
                <w:b/>
                <w:bCs/>
                <w:sz w:val="18"/>
                <w:lang w:val="fr-FR"/>
              </w:rPr>
              <w:t>204</w:t>
            </w:r>
            <w:r w:rsidRPr="00865803">
              <w:rPr>
                <w:sz w:val="18"/>
              </w:rPr>
              <w:fldChar w:fldCharType="end"/>
            </w:r>
          </w:p>
        </w:tc>
        <w:tc>
          <w:tcPr>
            <w:tcW w:w="1339" w:type="dxa"/>
            <w:tcBorders>
              <w:bottom w:val="single" w:sz="12" w:space="0" w:color="auto"/>
            </w:tcBorders>
            <w:shd w:val="clear" w:color="auto" w:fill="auto"/>
            <w:vAlign w:val="bottom"/>
          </w:tcPr>
          <w:p w14:paraId="3AEA1E2B"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865803">
              <w:rPr>
                <w:b/>
                <w:bCs/>
                <w:sz w:val="18"/>
                <w:lang w:val="fr-FR"/>
              </w:rPr>
              <w:fldChar w:fldCharType="begin"/>
            </w:r>
            <w:r w:rsidRPr="00865803">
              <w:rPr>
                <w:b/>
                <w:bCs/>
                <w:sz w:val="18"/>
                <w:lang w:val="fr-FR"/>
              </w:rPr>
              <w:instrText xml:space="preserve"> =SUM(ABOVE) </w:instrText>
            </w:r>
            <w:r w:rsidRPr="00865803">
              <w:rPr>
                <w:b/>
                <w:bCs/>
                <w:sz w:val="18"/>
                <w:lang w:val="fr-FR"/>
              </w:rPr>
              <w:fldChar w:fldCharType="separate"/>
            </w:r>
            <w:r w:rsidRPr="00865803">
              <w:rPr>
                <w:b/>
                <w:bCs/>
                <w:sz w:val="18"/>
                <w:lang w:val="fr-FR"/>
              </w:rPr>
              <w:t>131</w:t>
            </w:r>
            <w:r w:rsidRPr="00865803">
              <w:rPr>
                <w:sz w:val="18"/>
              </w:rPr>
              <w:fldChar w:fldCharType="end"/>
            </w:r>
          </w:p>
        </w:tc>
        <w:tc>
          <w:tcPr>
            <w:tcW w:w="1436" w:type="dxa"/>
            <w:tcBorders>
              <w:bottom w:val="single" w:sz="12" w:space="0" w:color="auto"/>
            </w:tcBorders>
            <w:shd w:val="clear" w:color="auto" w:fill="auto"/>
            <w:vAlign w:val="bottom"/>
          </w:tcPr>
          <w:p w14:paraId="42941D3B"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865803">
              <w:rPr>
                <w:b/>
                <w:bCs/>
                <w:sz w:val="18"/>
                <w:lang w:val="fr-FR"/>
              </w:rPr>
              <w:fldChar w:fldCharType="begin"/>
            </w:r>
            <w:r w:rsidRPr="00865803">
              <w:rPr>
                <w:b/>
                <w:bCs/>
                <w:sz w:val="18"/>
                <w:lang w:val="fr-FR"/>
              </w:rPr>
              <w:instrText xml:space="preserve"> =SUM(ABOVE) </w:instrText>
            </w:r>
            <w:r w:rsidRPr="00865803">
              <w:rPr>
                <w:b/>
                <w:bCs/>
                <w:sz w:val="18"/>
                <w:lang w:val="fr-FR"/>
              </w:rPr>
              <w:fldChar w:fldCharType="separate"/>
            </w:r>
            <w:r w:rsidRPr="00865803">
              <w:rPr>
                <w:b/>
                <w:bCs/>
                <w:sz w:val="18"/>
                <w:lang w:val="fr-FR"/>
              </w:rPr>
              <w:t>73</w:t>
            </w:r>
            <w:r w:rsidRPr="00865803">
              <w:rPr>
                <w:sz w:val="18"/>
              </w:rPr>
              <w:fldChar w:fldCharType="end"/>
            </w:r>
          </w:p>
        </w:tc>
        <w:tc>
          <w:tcPr>
            <w:tcW w:w="1194" w:type="dxa"/>
            <w:tcBorders>
              <w:bottom w:val="single" w:sz="12" w:space="0" w:color="auto"/>
            </w:tcBorders>
            <w:shd w:val="clear" w:color="auto" w:fill="auto"/>
            <w:vAlign w:val="bottom"/>
          </w:tcPr>
          <w:p w14:paraId="47323075"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865803">
              <w:rPr>
                <w:b/>
                <w:bCs/>
                <w:sz w:val="18"/>
                <w:lang w:val="fr-FR"/>
              </w:rPr>
              <w:fldChar w:fldCharType="begin"/>
            </w:r>
            <w:r w:rsidRPr="00865803">
              <w:rPr>
                <w:b/>
                <w:bCs/>
                <w:sz w:val="18"/>
                <w:lang w:val="fr-FR"/>
              </w:rPr>
              <w:instrText xml:space="preserve"> =SUM(ABOVE) </w:instrText>
            </w:r>
            <w:r w:rsidRPr="00865803">
              <w:rPr>
                <w:b/>
                <w:bCs/>
                <w:sz w:val="18"/>
                <w:lang w:val="fr-FR"/>
              </w:rPr>
              <w:fldChar w:fldCharType="separate"/>
            </w:r>
            <w:r w:rsidRPr="00865803">
              <w:rPr>
                <w:b/>
                <w:bCs/>
                <w:sz w:val="18"/>
                <w:lang w:val="fr-FR"/>
              </w:rPr>
              <w:t>7</w:t>
            </w:r>
            <w:r w:rsidRPr="00865803">
              <w:rPr>
                <w:sz w:val="18"/>
              </w:rPr>
              <w:fldChar w:fldCharType="end"/>
            </w:r>
          </w:p>
        </w:tc>
        <w:tc>
          <w:tcPr>
            <w:tcW w:w="1368" w:type="dxa"/>
            <w:tcBorders>
              <w:bottom w:val="single" w:sz="12" w:space="0" w:color="auto"/>
            </w:tcBorders>
            <w:shd w:val="clear" w:color="auto" w:fill="auto"/>
            <w:vAlign w:val="bottom"/>
          </w:tcPr>
          <w:p w14:paraId="6B79D20A" w14:textId="77777777" w:rsidR="004608F0" w:rsidRPr="00865803" w:rsidRDefault="004608F0" w:rsidP="00865803">
            <w:pPr>
              <w:pStyle w:val="SingleTxtG"/>
              <w:tabs>
                <w:tab w:val="clear" w:pos="1701"/>
                <w:tab w:val="clear" w:pos="2268"/>
                <w:tab w:val="clear" w:pos="2835"/>
              </w:tabs>
              <w:suppressAutoHyphens w:val="0"/>
              <w:spacing w:before="40" w:after="40" w:line="220" w:lineRule="exact"/>
              <w:ind w:left="0" w:right="0"/>
              <w:jc w:val="right"/>
              <w:rPr>
                <w:b/>
                <w:bCs/>
                <w:sz w:val="18"/>
                <w:lang w:val="fr-FR"/>
              </w:rPr>
            </w:pPr>
            <w:r w:rsidRPr="00865803">
              <w:rPr>
                <w:b/>
                <w:bCs/>
                <w:sz w:val="18"/>
                <w:lang w:val="fr-FR"/>
              </w:rPr>
              <w:fldChar w:fldCharType="begin"/>
            </w:r>
            <w:r w:rsidRPr="00865803">
              <w:rPr>
                <w:b/>
                <w:bCs/>
                <w:sz w:val="18"/>
                <w:lang w:val="fr-FR"/>
              </w:rPr>
              <w:instrText xml:space="preserve"> =SUM(ABOVE) </w:instrText>
            </w:r>
            <w:r w:rsidRPr="00865803">
              <w:rPr>
                <w:b/>
                <w:bCs/>
                <w:sz w:val="18"/>
                <w:lang w:val="fr-FR"/>
              </w:rPr>
              <w:fldChar w:fldCharType="separate"/>
            </w:r>
            <w:r w:rsidRPr="00865803">
              <w:rPr>
                <w:b/>
                <w:bCs/>
                <w:sz w:val="18"/>
                <w:lang w:val="fr-FR"/>
              </w:rPr>
              <w:t>4</w:t>
            </w:r>
            <w:r w:rsidRPr="00865803">
              <w:rPr>
                <w:sz w:val="18"/>
              </w:rPr>
              <w:fldChar w:fldCharType="end"/>
            </w:r>
          </w:p>
        </w:tc>
      </w:tr>
    </w:tbl>
    <w:p w14:paraId="1754048F" w14:textId="77777777" w:rsidR="004608F0" w:rsidRPr="004608F0" w:rsidRDefault="004608F0" w:rsidP="004608F0">
      <w:pPr>
        <w:pStyle w:val="SingleTxtG"/>
        <w:rPr>
          <w:lang w:val="fr-FR"/>
        </w:rPr>
      </w:pPr>
      <w:r w:rsidRPr="004608F0">
        <w:rPr>
          <w:lang w:val="fr-FR"/>
        </w:rPr>
        <w:t>Source : CARSEC au 20 mai 2025.</w:t>
      </w:r>
    </w:p>
    <w:p w14:paraId="0D3F9641" w14:textId="61FBFA72" w:rsidR="004608F0" w:rsidRPr="004608F0" w:rsidRDefault="00865803" w:rsidP="00865803">
      <w:pPr>
        <w:pStyle w:val="H23G"/>
      </w:pPr>
      <w:r>
        <w:tab/>
      </w:r>
      <w:r>
        <w:tab/>
      </w:r>
      <w:r w:rsidR="004608F0" w:rsidRPr="004608F0">
        <w:t>Décès et allégations de mauvais traitements en prison</w:t>
      </w:r>
    </w:p>
    <w:p w14:paraId="5B73E6D8" w14:textId="66AB0050" w:rsidR="004608F0" w:rsidRPr="004608F0" w:rsidRDefault="00865803" w:rsidP="00865803">
      <w:pPr>
        <w:pStyle w:val="H23G"/>
      </w:pPr>
      <w:r>
        <w:tab/>
      </w:r>
      <w:r>
        <w:tab/>
      </w:r>
      <w:r w:rsidR="004608F0" w:rsidRPr="004608F0">
        <w:t xml:space="preserve">Réponse au paragraphe 21 des observations finales </w:t>
      </w:r>
    </w:p>
    <w:p w14:paraId="086BE542" w14:textId="77777777" w:rsidR="004608F0" w:rsidRPr="004608F0" w:rsidRDefault="004608F0" w:rsidP="00865803">
      <w:pPr>
        <w:pStyle w:val="SingleTxtG"/>
        <w:numPr>
          <w:ilvl w:val="0"/>
          <w:numId w:val="31"/>
        </w:numPr>
        <w:ind w:left="1134" w:firstLine="0"/>
        <w:rPr>
          <w:lang w:val="fr-FR"/>
        </w:rPr>
      </w:pPr>
      <w:r w:rsidRPr="004608F0">
        <w:rPr>
          <w:lang w:val="fr-FR"/>
        </w:rPr>
        <w:t xml:space="preserve">Le décès en prison est considéré, aux termes des dispositions du décret n°70-153, fixant le régime des établissements pénitentiaires et de réinsertion, comme mort suspecte, et il est procédé en conséquence ainsi, comme il est indiqué à l’article 38 du CPP : </w:t>
      </w:r>
    </w:p>
    <w:p w14:paraId="2E46C0F6" w14:textId="77777777" w:rsidR="004608F0" w:rsidRPr="004608F0" w:rsidRDefault="004608F0" w:rsidP="00865803">
      <w:pPr>
        <w:pStyle w:val="SingleTxtG"/>
        <w:numPr>
          <w:ilvl w:val="0"/>
          <w:numId w:val="31"/>
        </w:numPr>
        <w:ind w:left="1134" w:firstLine="0"/>
        <w:rPr>
          <w:lang w:val="fr-FR"/>
        </w:rPr>
      </w:pPr>
      <w:r w:rsidRPr="004608F0">
        <w:rPr>
          <w:lang w:val="fr-FR"/>
        </w:rPr>
        <w:t xml:space="preserve">Le procureur de la République est informé immédiatement. Il se rend sur place, s’il le juge nécessaire et se fait assister par des personnes capables d’apprécier la nature des circonstances du décès. Il peut déléguer aux mêmes fins, un officier de police judiciaire. </w:t>
      </w:r>
    </w:p>
    <w:p w14:paraId="6B6568BE" w14:textId="77777777" w:rsidR="004608F0" w:rsidRPr="004608F0" w:rsidRDefault="004608F0" w:rsidP="00865803">
      <w:pPr>
        <w:pStyle w:val="SingleTxtG"/>
        <w:numPr>
          <w:ilvl w:val="0"/>
          <w:numId w:val="31"/>
        </w:numPr>
        <w:ind w:left="1134" w:firstLine="0"/>
        <w:rPr>
          <w:lang w:val="fr-FR"/>
        </w:rPr>
      </w:pPr>
      <w:r w:rsidRPr="004608F0">
        <w:rPr>
          <w:lang w:val="fr-FR"/>
        </w:rPr>
        <w:t xml:space="preserve">Le corps est transféré à la morgue, et la famille du défunt est immédiatement informée, si elle n’était pas au chevet du détenu comme dans les cas des hospitalisations. </w:t>
      </w:r>
    </w:p>
    <w:p w14:paraId="2C7036E3" w14:textId="77777777" w:rsidR="004608F0" w:rsidRPr="004608F0" w:rsidRDefault="004608F0" w:rsidP="00865803">
      <w:pPr>
        <w:pStyle w:val="SingleTxtG"/>
        <w:numPr>
          <w:ilvl w:val="0"/>
          <w:numId w:val="31"/>
        </w:numPr>
        <w:ind w:left="1134" w:firstLine="0"/>
        <w:rPr>
          <w:lang w:val="fr-FR"/>
        </w:rPr>
      </w:pPr>
      <w:r w:rsidRPr="004608F0">
        <w:rPr>
          <w:lang w:val="fr-FR"/>
        </w:rPr>
        <w:t xml:space="preserve">Le recours à l’autopsie n’est pas suffisamment répandu ni enraciné dans la culture de la société mauritanienne de tradition musulmane. L’autopsie ne peut dans ce cas être imposée aux ayants-droits du défunt qui, à défaut de signes ou suspicions évidentes, la rejettent catégoriquement pour des motifs traditionnels tenant souvent à une croyance de préserver l’intégrité et l’inviolabilité du corps du défunt. </w:t>
      </w:r>
    </w:p>
    <w:p w14:paraId="67F671A9" w14:textId="77777777" w:rsidR="004608F0" w:rsidRPr="004608F0" w:rsidRDefault="004608F0" w:rsidP="00865803">
      <w:pPr>
        <w:pStyle w:val="SingleTxtG"/>
        <w:numPr>
          <w:ilvl w:val="0"/>
          <w:numId w:val="31"/>
        </w:numPr>
        <w:ind w:left="1134" w:firstLine="0"/>
        <w:rPr>
          <w:lang w:val="fr-FR"/>
        </w:rPr>
      </w:pPr>
      <w:r w:rsidRPr="004608F0">
        <w:rPr>
          <w:lang w:val="fr-FR"/>
        </w:rPr>
        <w:t xml:space="preserve">En tout état de cause, tous les décès de détenus, que ce soit en prison ou au cours de leur internement en hôpitaux font l’objet systématiquement de constatation de la part du médecin légiste, qui en dresse rapport au ministère public. Si les ayants-droits du défunt, qui sont avisés en la circonstance de ce droit ; sollicitent l’autopsie, il y est donné suite favorable. </w:t>
      </w:r>
    </w:p>
    <w:p w14:paraId="7473605F" w14:textId="77777777" w:rsidR="004608F0" w:rsidRPr="004608F0" w:rsidRDefault="004608F0" w:rsidP="00865803">
      <w:pPr>
        <w:pStyle w:val="SingleTxtG"/>
        <w:numPr>
          <w:ilvl w:val="0"/>
          <w:numId w:val="31"/>
        </w:numPr>
        <w:ind w:left="1134" w:firstLine="0"/>
        <w:rPr>
          <w:lang w:val="fr-FR"/>
        </w:rPr>
      </w:pPr>
      <w:r w:rsidRPr="004608F0">
        <w:rPr>
          <w:lang w:val="fr-FR"/>
        </w:rPr>
        <w:t>a) Tous les actes allégués de violence, décès et mauvais traitements font immédiatement et rapidement l’objet d’enquêtes impartiales conformément aux mesures prises pour l’application de l’article 12.</w:t>
      </w:r>
    </w:p>
    <w:p w14:paraId="0944FFA5" w14:textId="0684EE5C" w:rsidR="004608F0" w:rsidRPr="004608F0" w:rsidRDefault="00236AC2" w:rsidP="00236AC2">
      <w:pPr>
        <w:pStyle w:val="H23G"/>
        <w:rPr>
          <w:lang w:val="fr-FR"/>
        </w:rPr>
      </w:pPr>
      <w:r>
        <w:rPr>
          <w:lang w:val="fr-FR"/>
        </w:rPr>
        <w:tab/>
      </w:r>
      <w:r>
        <w:rPr>
          <w:lang w:val="fr-FR"/>
        </w:rPr>
        <w:tab/>
      </w:r>
      <w:r w:rsidR="004608F0" w:rsidRPr="004608F0">
        <w:rPr>
          <w:lang w:val="fr-FR"/>
        </w:rPr>
        <w:t>Enquête en cas de suspicion sérieuse de torture</w:t>
      </w:r>
    </w:p>
    <w:p w14:paraId="37101C68" w14:textId="77777777" w:rsidR="004608F0" w:rsidRPr="004608F0" w:rsidRDefault="004608F0" w:rsidP="00865803">
      <w:pPr>
        <w:pStyle w:val="SingleTxtG"/>
        <w:numPr>
          <w:ilvl w:val="0"/>
          <w:numId w:val="31"/>
        </w:numPr>
        <w:ind w:left="1134" w:firstLine="0"/>
        <w:rPr>
          <w:lang w:val="fr-FR"/>
        </w:rPr>
      </w:pPr>
      <w:r w:rsidRPr="004608F0">
        <w:rPr>
          <w:lang w:val="fr-FR"/>
        </w:rPr>
        <w:t>b) et c)</w:t>
      </w:r>
      <w:r w:rsidRPr="004608F0">
        <w:rPr>
          <w:lang w:val="fr-FR"/>
        </w:rPr>
        <w:tab/>
        <w:t xml:space="preserve"> Les menottes et entraves ne sont utilisées que lorsque cela est nécessaire ; soit par mesure de précaution contre les évasions, pendant les transfèrements ou les extractions, ou exceptionnellement, lorsque les circonstances ne permettent pas d’assurer efficacement la garde d’un détenu d’une autre manière (article 53 décret 70-153). Toutefois, aucun lien ne doit être laissé à un détenu au moment de sa comparution devant une juridiction.</w:t>
      </w:r>
    </w:p>
    <w:p w14:paraId="001E95DB" w14:textId="77777777" w:rsidR="004608F0" w:rsidRPr="004608F0" w:rsidRDefault="004608F0" w:rsidP="00865803">
      <w:pPr>
        <w:pStyle w:val="SingleTxtG"/>
        <w:numPr>
          <w:ilvl w:val="0"/>
          <w:numId w:val="31"/>
        </w:numPr>
        <w:ind w:left="1134" w:firstLine="0"/>
        <w:rPr>
          <w:lang w:val="fr-FR"/>
        </w:rPr>
      </w:pPr>
      <w:r w:rsidRPr="004608F0">
        <w:rPr>
          <w:lang w:val="fr-FR"/>
        </w:rPr>
        <w:t>Dans tous les cas, le port de menottes et d’entraves à ces occasions se fait sous la responsabilité du chef d’escorte.</w:t>
      </w:r>
    </w:p>
    <w:p w14:paraId="30679E65" w14:textId="3A9C52A9" w:rsidR="004608F0" w:rsidRPr="004608F0" w:rsidRDefault="004608F0" w:rsidP="00865803">
      <w:pPr>
        <w:pStyle w:val="H23G"/>
        <w:rPr>
          <w:lang w:val="fr-BE"/>
        </w:rPr>
      </w:pPr>
      <w:r w:rsidRPr="004608F0">
        <w:tab/>
      </w:r>
      <w:r w:rsidR="00865803">
        <w:tab/>
      </w:r>
      <w:r w:rsidR="00865803">
        <w:tab/>
      </w:r>
      <w:r w:rsidRPr="004608F0">
        <w:rPr>
          <w:lang w:val="fr-BE"/>
        </w:rPr>
        <w:t>Régime disciplinaire</w:t>
      </w:r>
    </w:p>
    <w:p w14:paraId="12344623" w14:textId="3D89AEBD" w:rsidR="004608F0" w:rsidRPr="004608F0" w:rsidRDefault="00865803" w:rsidP="00865803">
      <w:pPr>
        <w:pStyle w:val="H23G"/>
      </w:pPr>
      <w:bookmarkStart w:id="0" w:name="_Hlk199836181"/>
      <w:r>
        <w:tab/>
      </w:r>
      <w:r>
        <w:tab/>
      </w:r>
      <w:r w:rsidR="004608F0" w:rsidRPr="004608F0">
        <w:t xml:space="preserve">Réponse au paragraphe 23 des observations finales </w:t>
      </w:r>
    </w:p>
    <w:bookmarkEnd w:id="0"/>
    <w:p w14:paraId="7A736C7A" w14:textId="77777777" w:rsidR="004608F0" w:rsidRPr="004608F0" w:rsidRDefault="004608F0" w:rsidP="00865803">
      <w:pPr>
        <w:pStyle w:val="SingleTxtG"/>
        <w:numPr>
          <w:ilvl w:val="0"/>
          <w:numId w:val="31"/>
        </w:numPr>
        <w:ind w:left="1134" w:firstLine="0"/>
        <w:rPr>
          <w:lang w:val="fr-FR"/>
        </w:rPr>
      </w:pPr>
      <w:r w:rsidRPr="004608F0">
        <w:rPr>
          <w:lang w:val="fr-FR"/>
        </w:rPr>
        <w:t xml:space="preserve">Le régime disciplinaire en détention relève du chef de l’établissement pénitentiaire sur proposition des éléments chargés de la surveillance de l’établissement et des détenus.   </w:t>
      </w:r>
    </w:p>
    <w:p w14:paraId="39157444" w14:textId="77777777" w:rsidR="004608F0" w:rsidRPr="004608F0" w:rsidRDefault="004608F0" w:rsidP="00865803">
      <w:pPr>
        <w:pStyle w:val="SingleTxtG"/>
        <w:numPr>
          <w:ilvl w:val="0"/>
          <w:numId w:val="31"/>
        </w:numPr>
        <w:ind w:left="1134" w:firstLine="0"/>
        <w:rPr>
          <w:lang w:val="fr-FR"/>
        </w:rPr>
      </w:pPr>
      <w:r w:rsidRPr="004608F0">
        <w:rPr>
          <w:lang w:val="fr-FR"/>
        </w:rPr>
        <w:t xml:space="preserve">Le système d’autogestion de chef cour, une pratique non </w:t>
      </w:r>
      <w:proofErr w:type="spellStart"/>
      <w:r w:rsidRPr="004608F0">
        <w:rPr>
          <w:lang w:val="fr-FR"/>
        </w:rPr>
        <w:t>règlementée</w:t>
      </w:r>
      <w:proofErr w:type="spellEnd"/>
      <w:r w:rsidRPr="004608F0">
        <w:rPr>
          <w:lang w:val="fr-FR"/>
        </w:rPr>
        <w:t xml:space="preserve"> tend désormais à disparaître dans toutes les prisons dont l’infrastructure permet une répartition équilibrée des détenus et leur classification. </w:t>
      </w:r>
    </w:p>
    <w:p w14:paraId="071A1692" w14:textId="77777777" w:rsidR="004608F0" w:rsidRPr="004608F0" w:rsidRDefault="004608F0" w:rsidP="00865803">
      <w:pPr>
        <w:pStyle w:val="SingleTxtG"/>
        <w:numPr>
          <w:ilvl w:val="0"/>
          <w:numId w:val="31"/>
        </w:numPr>
        <w:ind w:left="1134" w:firstLine="0"/>
        <w:rPr>
          <w:lang w:val="fr-FR"/>
        </w:rPr>
      </w:pPr>
      <w:r w:rsidRPr="004608F0">
        <w:rPr>
          <w:lang w:val="fr-FR"/>
        </w:rPr>
        <w:t>La constitution du corps de fonctionnaires de l’administration pénitentiaire est envisagée. L’avant-projet de loi y afférent est disponible. Il a fait l’objet d’un atelier de validation par les principaux partenaires et des membres de la société civile, avec l’appui de l’Office des Nations Unies contre la Drogue et le Crime (ONUDC).</w:t>
      </w:r>
    </w:p>
    <w:p w14:paraId="0EE0858E" w14:textId="77777777" w:rsidR="004608F0" w:rsidRPr="004608F0" w:rsidRDefault="004608F0" w:rsidP="00865803">
      <w:pPr>
        <w:pStyle w:val="SingleTxtG"/>
        <w:numPr>
          <w:ilvl w:val="0"/>
          <w:numId w:val="31"/>
        </w:numPr>
        <w:ind w:left="1134" w:firstLine="0"/>
        <w:rPr>
          <w:lang w:val="fr-FR"/>
        </w:rPr>
      </w:pPr>
      <w:r w:rsidRPr="004608F0">
        <w:rPr>
          <w:lang w:val="fr-FR"/>
        </w:rPr>
        <w:t xml:space="preserve">a) Aux termes de l’article 52 du décret n°98-078, le chef de l’établissement ne peut prononcer une punition de 15 jours, consécutifs. S’il estime que la punition est insuffisante il fait une proposition à l’administration centrale du ministère de la Justice qui apprécie l’opportunité d’une longue durée. Dans tous les cas et quel que soit la durée de la punition, le juge de l’exécution des peines en contrôle la régularité qu’il s’agisse de détention préventive ou de mesures disciplinaires conformément à l’article 638 du CCP. En outre, le détenu objet la mesure disciplinaire a le droit de faire recours auprès du juge d’exécution des peines contre une telle mesure. </w:t>
      </w:r>
      <w:proofErr w:type="spellStart"/>
      <w:r w:rsidRPr="004608F0">
        <w:rPr>
          <w:lang w:val="fr-FR"/>
        </w:rPr>
        <w:t>A</w:t>
      </w:r>
      <w:proofErr w:type="spellEnd"/>
      <w:r w:rsidRPr="004608F0">
        <w:rPr>
          <w:lang w:val="fr-FR"/>
        </w:rPr>
        <w:t xml:space="preserve"> cet effet, le chef de l’établissement a l’obligation de transmettre la demande au juge sans en contrôler le contenu.</w:t>
      </w:r>
    </w:p>
    <w:p w14:paraId="567059FF" w14:textId="77777777" w:rsidR="004608F0" w:rsidRPr="004608F0" w:rsidRDefault="004608F0" w:rsidP="00865803">
      <w:pPr>
        <w:pStyle w:val="SingleTxtG"/>
        <w:numPr>
          <w:ilvl w:val="0"/>
          <w:numId w:val="31"/>
        </w:numPr>
        <w:ind w:left="1134" w:firstLine="0"/>
        <w:rPr>
          <w:lang w:val="fr-FR"/>
        </w:rPr>
      </w:pPr>
      <w:r w:rsidRPr="004608F0">
        <w:rPr>
          <w:lang w:val="fr-FR"/>
        </w:rPr>
        <w:t xml:space="preserve">b), c) et d) Le juge de l’exécution des peines est chargé du contrôle de l’application de la législation relative aux établissements pénitentiaires, de la régularité de la détention ainsi que du respect des droits détenus et des mesures disciplinaires. Le déploiement de juges d’exécution des peines au niveau des tribunaux des wilayas va permettre un contrôle juridictionnel judicieux de l’application des mesures disciplinaires et des délais de détention préventive prolongée en milieu carcéral. Le Conseil supérieur de la magistrature lors de sa session de décembre 2024 a nommé des juges d’exécution des peines dans tous les tribunaux des wilayas. </w:t>
      </w:r>
    </w:p>
    <w:p w14:paraId="2F397B6E" w14:textId="5DFDB174" w:rsidR="004608F0" w:rsidRPr="004608F0" w:rsidRDefault="00865803" w:rsidP="00865803">
      <w:pPr>
        <w:pStyle w:val="H23G"/>
        <w:rPr>
          <w:lang w:val="fr-FR"/>
        </w:rPr>
      </w:pPr>
      <w:r>
        <w:tab/>
      </w:r>
      <w:r>
        <w:tab/>
      </w:r>
      <w:r w:rsidR="004608F0" w:rsidRPr="004608F0">
        <w:t xml:space="preserve">Actes d’intimidation, détentions arbitraires et </w:t>
      </w:r>
      <w:r w:rsidR="004608F0" w:rsidRPr="004608F0">
        <w:rPr>
          <w:lang w:val="fr-FR"/>
        </w:rPr>
        <w:t xml:space="preserve">obstacles à la coopération avec le Comité </w:t>
      </w:r>
      <w:r w:rsidR="004608F0" w:rsidRPr="004608F0">
        <w:t xml:space="preserve">à l’égard de défenseurs des droits de l’homme </w:t>
      </w:r>
    </w:p>
    <w:p w14:paraId="4B410519" w14:textId="1A6DA41B" w:rsidR="004608F0" w:rsidRPr="004608F0" w:rsidRDefault="00865803" w:rsidP="00865803">
      <w:pPr>
        <w:pStyle w:val="H23G"/>
        <w:rPr>
          <w:lang w:val="x-none"/>
        </w:rPr>
      </w:pPr>
      <w:bookmarkStart w:id="1" w:name="_Hlk199835188"/>
      <w:r>
        <w:rPr>
          <w:lang w:val="x-none"/>
        </w:rPr>
        <w:tab/>
      </w:r>
      <w:r>
        <w:rPr>
          <w:lang w:val="x-none"/>
        </w:rPr>
        <w:tab/>
      </w:r>
      <w:proofErr w:type="spellStart"/>
      <w:r w:rsidR="004608F0" w:rsidRPr="004608F0">
        <w:rPr>
          <w:lang w:val="x-none"/>
        </w:rPr>
        <w:t>Réponse</w:t>
      </w:r>
      <w:proofErr w:type="spellEnd"/>
      <w:r w:rsidR="004608F0" w:rsidRPr="004608F0">
        <w:rPr>
          <w:lang w:val="x-none"/>
        </w:rPr>
        <w:t xml:space="preserve"> au </w:t>
      </w:r>
      <w:proofErr w:type="spellStart"/>
      <w:r w:rsidR="004608F0" w:rsidRPr="004608F0">
        <w:rPr>
          <w:lang w:val="x-none"/>
        </w:rPr>
        <w:t>paragraphe</w:t>
      </w:r>
      <w:proofErr w:type="spellEnd"/>
      <w:r w:rsidR="004608F0" w:rsidRPr="004608F0">
        <w:rPr>
          <w:lang w:val="x-none"/>
        </w:rPr>
        <w:t xml:space="preserve"> 27 des observations finales </w:t>
      </w:r>
    </w:p>
    <w:bookmarkEnd w:id="1"/>
    <w:p w14:paraId="186D7DA1" w14:textId="77777777" w:rsidR="004608F0" w:rsidRPr="004608F0" w:rsidRDefault="004608F0" w:rsidP="00865803">
      <w:pPr>
        <w:pStyle w:val="SingleTxtG"/>
        <w:numPr>
          <w:ilvl w:val="0"/>
          <w:numId w:val="31"/>
        </w:numPr>
        <w:ind w:left="1134" w:firstLine="0"/>
        <w:rPr>
          <w:lang w:val="fr-FR"/>
        </w:rPr>
      </w:pPr>
      <w:r w:rsidRPr="004608F0">
        <w:rPr>
          <w:lang w:val="fr-FR"/>
        </w:rPr>
        <w:t>a) Le Gouvernement réaffirme son attachement à la protection des défenseurs des droits de l’homme et à la garantie de leur droit à mener des activités légitimes, dans le cadre du respect de la loi et des normes nationales et internationales relatives aux droits fondamentaux. À cet égard :</w:t>
      </w:r>
    </w:p>
    <w:p w14:paraId="3B795265" w14:textId="77777777" w:rsidR="004608F0" w:rsidRPr="004608F0" w:rsidRDefault="004608F0" w:rsidP="00865803">
      <w:pPr>
        <w:pStyle w:val="Bullet1G"/>
      </w:pPr>
      <w:r w:rsidRPr="004608F0">
        <w:t>Aucune arrestation ou poursuite n’est engagée du fait de l’exercice pacifique des libertés d’expression, d’association ou de réunion. Les autorités veillent à ce que les infractions pénales soient définies de manière claire et conforme au principe de légalité.</w:t>
      </w:r>
    </w:p>
    <w:p w14:paraId="385ABC6A" w14:textId="77777777" w:rsidR="004608F0" w:rsidRPr="004608F0" w:rsidRDefault="004608F0" w:rsidP="00865803">
      <w:pPr>
        <w:pStyle w:val="Bullet1G"/>
      </w:pPr>
      <w:r w:rsidRPr="004608F0">
        <w:rPr>
          <w:lang w:val="fr-FR"/>
        </w:rPr>
        <w:t>Le dialogue est maintenu avec les organisations de la société civile et les institutions nationales de droits de l’homme, en vue de garantir un environnement sûr et favorable à leur travail.</w:t>
      </w:r>
    </w:p>
    <w:p w14:paraId="0BFB128A" w14:textId="77777777" w:rsidR="004608F0" w:rsidRPr="004608F0" w:rsidRDefault="004608F0" w:rsidP="00865803">
      <w:pPr>
        <w:pStyle w:val="SingleTxtG"/>
        <w:numPr>
          <w:ilvl w:val="0"/>
          <w:numId w:val="31"/>
        </w:numPr>
        <w:ind w:left="1134" w:firstLine="0"/>
        <w:rPr>
          <w:lang w:val="fr-FR"/>
        </w:rPr>
      </w:pPr>
      <w:r w:rsidRPr="004608F0">
        <w:rPr>
          <w:lang w:val="fr-FR"/>
        </w:rPr>
        <w:t xml:space="preserve">c) Les autorités judiciaires ont reçu pour instruction d’ouvrir systématiquement des enquêtes chaque fois qu’un défenseur des droits de l’homme déclare avoir été victime de menaces ou d’agressions, et ce dans le strict respect des principes d’indépendance, d’impartialité et de célérité. Dans ce cadre les autorités ont examiné les faits signalés et, dans les cas où des éléments suffisants ont été réunis, des procédures judiciaires ont été engagées conformément à la loi. </w:t>
      </w:r>
    </w:p>
    <w:p w14:paraId="3A02FE6B" w14:textId="77777777" w:rsidR="004608F0" w:rsidRPr="004608F0" w:rsidRDefault="004608F0" w:rsidP="00865803">
      <w:pPr>
        <w:pStyle w:val="SingleTxtG"/>
        <w:numPr>
          <w:ilvl w:val="0"/>
          <w:numId w:val="31"/>
        </w:numPr>
        <w:ind w:left="1134" w:firstLine="0"/>
        <w:rPr>
          <w:lang w:val="fr-FR"/>
        </w:rPr>
      </w:pPr>
      <w:r w:rsidRPr="004608F0">
        <w:rPr>
          <w:lang w:val="fr-FR"/>
        </w:rPr>
        <w:t>En outre, des efforts sont en cours pour renforcer l’accès à des recours effectifs et à la réparation pour les victimes de violations. Le renforcement des capacités des services d’enquête, ainsi que la formation des magistrats, comprennent un volet spécifique sur la protection des défenseurs des droits de l’homme.</w:t>
      </w:r>
    </w:p>
    <w:p w14:paraId="1FE710E3" w14:textId="77777777" w:rsidR="004608F0" w:rsidRPr="004608F0" w:rsidRDefault="004608F0" w:rsidP="00865803">
      <w:pPr>
        <w:pStyle w:val="SingleTxtG"/>
        <w:numPr>
          <w:ilvl w:val="0"/>
          <w:numId w:val="31"/>
        </w:numPr>
        <w:ind w:left="1134" w:firstLine="0"/>
        <w:rPr>
          <w:lang w:val="fr-FR"/>
        </w:rPr>
      </w:pPr>
      <w:r w:rsidRPr="004608F0">
        <w:rPr>
          <w:lang w:val="fr-FR"/>
        </w:rPr>
        <w:t>La Mauritanie reste résolument engagée à faire respecter le droit de chacun à défendre les droits de l’homme, dans un climat de sécurité, de dignité et de liberté.</w:t>
      </w:r>
    </w:p>
    <w:p w14:paraId="7E7F88E9" w14:textId="77777777" w:rsidR="004608F0" w:rsidRPr="004608F0" w:rsidRDefault="004608F0" w:rsidP="00865803">
      <w:pPr>
        <w:pStyle w:val="SingleTxtG"/>
        <w:numPr>
          <w:ilvl w:val="0"/>
          <w:numId w:val="31"/>
        </w:numPr>
        <w:ind w:left="1134" w:firstLine="0"/>
        <w:rPr>
          <w:lang w:val="fr-FR"/>
        </w:rPr>
      </w:pPr>
      <w:r w:rsidRPr="004608F0">
        <w:rPr>
          <w:lang w:val="fr-FR"/>
        </w:rPr>
        <w:t>d) Aucun membre de la société civile n’a été inquiété pour sa collaboration avec n’importe quel organe de traité.</w:t>
      </w:r>
    </w:p>
    <w:p w14:paraId="7DB4588A" w14:textId="00E484FE" w:rsidR="004608F0" w:rsidRPr="004608F0" w:rsidRDefault="00865803" w:rsidP="00865803">
      <w:pPr>
        <w:pStyle w:val="H23G"/>
        <w:rPr>
          <w:lang w:val="fr-FR"/>
        </w:rPr>
      </w:pPr>
      <w:r>
        <w:rPr>
          <w:lang w:val="fr-FR"/>
        </w:rPr>
        <w:tab/>
      </w:r>
      <w:r>
        <w:rPr>
          <w:lang w:val="fr-FR"/>
        </w:rPr>
        <w:tab/>
      </w:r>
      <w:r w:rsidR="004608F0" w:rsidRPr="004608F0">
        <w:rPr>
          <w:lang w:val="fr-FR"/>
        </w:rPr>
        <w:t>Commission nationale des droits de l’homme</w:t>
      </w:r>
    </w:p>
    <w:p w14:paraId="0AB596C1" w14:textId="77777777" w:rsidR="004608F0" w:rsidRPr="004608F0" w:rsidRDefault="004608F0" w:rsidP="00865803">
      <w:pPr>
        <w:pStyle w:val="SingleTxtG"/>
        <w:numPr>
          <w:ilvl w:val="0"/>
          <w:numId w:val="31"/>
        </w:numPr>
        <w:ind w:left="1134" w:firstLine="0"/>
        <w:rPr>
          <w:lang w:val="fr-FR"/>
        </w:rPr>
      </w:pPr>
      <w:r w:rsidRPr="004608F0">
        <w:rPr>
          <w:lang w:val="fr-FR"/>
        </w:rPr>
        <w:t xml:space="preserve">Réponse au paragraphe 29 des observations finales </w:t>
      </w:r>
    </w:p>
    <w:p w14:paraId="73651DE3" w14:textId="77777777" w:rsidR="004608F0" w:rsidRPr="004608F0" w:rsidRDefault="004608F0" w:rsidP="00865803">
      <w:pPr>
        <w:pStyle w:val="SingleTxtG"/>
        <w:numPr>
          <w:ilvl w:val="0"/>
          <w:numId w:val="31"/>
        </w:numPr>
        <w:ind w:left="1134" w:firstLine="0"/>
        <w:rPr>
          <w:lang w:val="fr-FR"/>
        </w:rPr>
      </w:pPr>
      <w:r w:rsidRPr="004608F0">
        <w:rPr>
          <w:lang w:val="fr-FR"/>
        </w:rPr>
        <w:t>La Gouvernement attache une grande importance au renforcement du rôle et de l’indépendance de la Commission nationale des droits de l’homme (CNDH), conformément aux Principes de Paris et aux recommandations du Sous-comité d’accréditation de l’Alliance globale des institutions nationales des droits de l’homme.</w:t>
      </w:r>
    </w:p>
    <w:p w14:paraId="09387B04" w14:textId="77777777" w:rsidR="004608F0" w:rsidRPr="004608F0" w:rsidRDefault="004608F0" w:rsidP="00865803">
      <w:pPr>
        <w:pStyle w:val="SingleTxtG"/>
        <w:numPr>
          <w:ilvl w:val="0"/>
          <w:numId w:val="31"/>
        </w:numPr>
        <w:ind w:left="1134" w:firstLine="0"/>
        <w:rPr>
          <w:lang w:val="fr-FR"/>
        </w:rPr>
      </w:pPr>
      <w:r w:rsidRPr="004608F0">
        <w:rPr>
          <w:lang w:val="fr-FR"/>
        </w:rPr>
        <w:t>Plusieurs mesures d’ordre législatif et administratif ont été prises, depuis le dernier passage du Gouvernement devant le Comité, pour renforcer le mandat et l’autonomie de la CNDH.</w:t>
      </w:r>
    </w:p>
    <w:p w14:paraId="56D3EB25" w14:textId="77777777" w:rsidR="004608F0" w:rsidRPr="004608F0" w:rsidRDefault="004608F0" w:rsidP="00865803">
      <w:pPr>
        <w:pStyle w:val="SingleTxtG"/>
        <w:numPr>
          <w:ilvl w:val="0"/>
          <w:numId w:val="31"/>
        </w:numPr>
        <w:ind w:left="1134" w:firstLine="0"/>
        <w:rPr>
          <w:lang w:val="fr-FR"/>
        </w:rPr>
      </w:pPr>
      <w:r w:rsidRPr="004608F0">
        <w:rPr>
          <w:lang w:val="fr-FR"/>
        </w:rPr>
        <w:t xml:space="preserve">Par conséquent, la CNDH est aujourd’hui une institution constitutionnelle, consultative, indépendante et autonome à composition plurielle chargée du conseil, d’observation, d’alerte, de médiation et d’évaluation en matière de respect des droits de l’homme. </w:t>
      </w:r>
    </w:p>
    <w:p w14:paraId="1AF0C81B" w14:textId="77777777" w:rsidR="004608F0" w:rsidRPr="004608F0" w:rsidRDefault="004608F0" w:rsidP="00865803">
      <w:pPr>
        <w:pStyle w:val="SingleTxtG"/>
        <w:numPr>
          <w:ilvl w:val="0"/>
          <w:numId w:val="31"/>
        </w:numPr>
        <w:ind w:left="1134" w:firstLine="0"/>
        <w:rPr>
          <w:lang w:val="fr-FR"/>
        </w:rPr>
      </w:pPr>
      <w:r w:rsidRPr="004608F0">
        <w:rPr>
          <w:lang w:val="fr-FR"/>
        </w:rPr>
        <w:t xml:space="preserve">Elle jouit actuellement du Statut « A » de la GAHNRI conformément aux Principes de Paris. Son statut lui confère une plus grande indépendance et un champ d’investigation plus étendu ; la CNDH devient auprès des mécanismes internationaux des droits de l’homme un relais national et un élément central des systèmes de protection des droits de l’homme en Mauritanie. </w:t>
      </w:r>
    </w:p>
    <w:p w14:paraId="2239693C" w14:textId="77777777" w:rsidR="004608F0" w:rsidRPr="004608F0" w:rsidRDefault="004608F0" w:rsidP="00865803">
      <w:pPr>
        <w:pStyle w:val="SingleTxtG"/>
        <w:numPr>
          <w:ilvl w:val="0"/>
          <w:numId w:val="31"/>
        </w:numPr>
        <w:ind w:left="1134" w:firstLine="0"/>
        <w:rPr>
          <w:lang w:val="fr-FR"/>
        </w:rPr>
      </w:pPr>
      <w:r w:rsidRPr="004608F0">
        <w:rPr>
          <w:lang w:val="fr-FR"/>
        </w:rPr>
        <w:t>Elle dispose d’un budget autonome inscrit sur la loi des finances, d’un siège propre et de personnels permanents.</w:t>
      </w:r>
    </w:p>
    <w:p w14:paraId="0F86E9D5" w14:textId="77777777" w:rsidR="004608F0" w:rsidRPr="004608F0" w:rsidRDefault="004608F0" w:rsidP="00865803">
      <w:pPr>
        <w:pStyle w:val="SingleTxtG"/>
        <w:numPr>
          <w:ilvl w:val="0"/>
          <w:numId w:val="31"/>
        </w:numPr>
        <w:ind w:left="1134" w:firstLine="0"/>
        <w:rPr>
          <w:lang w:val="fr-FR"/>
        </w:rPr>
      </w:pPr>
      <w:r w:rsidRPr="004608F0">
        <w:rPr>
          <w:lang w:val="fr-FR"/>
        </w:rPr>
        <w:t>Le Gouvernement encourage activement la CNDH à jouer pleinement son rôle de mécanisme de suivi, d’alerte précoce et de recommandations sur les questions de droits de l’homme.</w:t>
      </w:r>
    </w:p>
    <w:p w14:paraId="45C54B59" w14:textId="395F88A6" w:rsidR="004608F0" w:rsidRPr="004608F0" w:rsidRDefault="00865803" w:rsidP="00865803">
      <w:pPr>
        <w:pStyle w:val="H23G"/>
        <w:rPr>
          <w:lang w:val="fr-FR"/>
        </w:rPr>
      </w:pPr>
      <w:r>
        <w:rPr>
          <w:lang w:val="fr-FR"/>
        </w:rPr>
        <w:tab/>
      </w:r>
      <w:r>
        <w:rPr>
          <w:lang w:val="fr-FR"/>
        </w:rPr>
        <w:tab/>
      </w:r>
      <w:r w:rsidR="004608F0" w:rsidRPr="004608F0">
        <w:rPr>
          <w:lang w:val="fr-FR"/>
        </w:rPr>
        <w:t>Mécanisme national de prévention de la torture</w:t>
      </w:r>
    </w:p>
    <w:p w14:paraId="3CE86D4C" w14:textId="1CC41781" w:rsidR="004608F0" w:rsidRPr="004608F0" w:rsidRDefault="00865803" w:rsidP="00865803">
      <w:pPr>
        <w:pStyle w:val="H23G"/>
      </w:pPr>
      <w:r>
        <w:tab/>
      </w:r>
      <w:r>
        <w:tab/>
      </w:r>
      <w:r w:rsidR="004608F0" w:rsidRPr="004608F0">
        <w:t xml:space="preserve">Réponse au paragraphe 31 des observations finales </w:t>
      </w:r>
    </w:p>
    <w:p w14:paraId="3BB5DFE4" w14:textId="77777777" w:rsidR="004608F0" w:rsidRPr="004608F0" w:rsidRDefault="004608F0" w:rsidP="00865803">
      <w:pPr>
        <w:pStyle w:val="SingleTxtG"/>
        <w:numPr>
          <w:ilvl w:val="0"/>
          <w:numId w:val="31"/>
        </w:numPr>
        <w:ind w:left="1134" w:firstLine="0"/>
        <w:rPr>
          <w:lang w:val="fr-FR"/>
        </w:rPr>
      </w:pPr>
      <w:r w:rsidRPr="004608F0">
        <w:rPr>
          <w:lang w:val="fr-FR"/>
        </w:rPr>
        <w:t>La Mauritanie réaffirme son attachement au mandat du Mécanisme national de prévention de la torture (MNP) en tant qu’organe indépendant de prévention, conformément au Protocole facultatif se rapportant à la Convention contre la torture. Des mesures concrètes sont prises pour répondre aux recommandations formulées par le Comité contre la torture et le Sous-Comité pour la prévention de la torture à l’issue de leur visite.</w:t>
      </w:r>
    </w:p>
    <w:p w14:paraId="4B5AFB27" w14:textId="77777777" w:rsidR="004608F0" w:rsidRPr="004608F0" w:rsidRDefault="004608F0" w:rsidP="00865803">
      <w:pPr>
        <w:pStyle w:val="SingleTxtG"/>
        <w:numPr>
          <w:ilvl w:val="0"/>
          <w:numId w:val="31"/>
        </w:numPr>
        <w:ind w:left="1134" w:firstLine="0"/>
        <w:rPr>
          <w:lang w:val="fr-FR"/>
        </w:rPr>
      </w:pPr>
      <w:r w:rsidRPr="004608F0">
        <w:rPr>
          <w:lang w:val="fr-FR"/>
        </w:rPr>
        <w:t>Le Gouvernement prévoit chaque année une subvention budgétaire au MNP, qui dispose déjà des moyens humains, logistiques et financiers nécessaires pour lui permettre de remplir efficacement son mandat, notamment la conduite de visites régulières et inopinées dans tous les lieux de privation de liberté à travers le territoire national.</w:t>
      </w:r>
    </w:p>
    <w:p w14:paraId="7C61F263" w14:textId="77777777" w:rsidR="004608F0" w:rsidRPr="004608F0" w:rsidRDefault="004608F0" w:rsidP="00865803">
      <w:pPr>
        <w:pStyle w:val="SingleTxtG"/>
        <w:numPr>
          <w:ilvl w:val="0"/>
          <w:numId w:val="31"/>
        </w:numPr>
        <w:ind w:left="1134" w:firstLine="0"/>
        <w:rPr>
          <w:lang w:val="fr-FR"/>
        </w:rPr>
      </w:pPr>
      <w:r w:rsidRPr="004608F0">
        <w:rPr>
          <w:lang w:val="fr-FR"/>
        </w:rPr>
        <w:t>Un dialogue continu est entretenu avec les partenaires techniques et financiers pour accompagner le processus de son renforcement.</w:t>
      </w:r>
    </w:p>
    <w:p w14:paraId="549CBD65" w14:textId="77777777" w:rsidR="004608F0" w:rsidRPr="004608F0" w:rsidRDefault="004608F0" w:rsidP="00865803">
      <w:pPr>
        <w:pStyle w:val="SingleTxtG"/>
        <w:numPr>
          <w:ilvl w:val="0"/>
          <w:numId w:val="31"/>
        </w:numPr>
        <w:ind w:left="1134" w:firstLine="0"/>
        <w:rPr>
          <w:lang w:val="fr-FR"/>
        </w:rPr>
      </w:pPr>
      <w:r w:rsidRPr="004608F0">
        <w:rPr>
          <w:lang w:val="fr-FR"/>
        </w:rPr>
        <w:t>Le Gouvernement réitère sa volonté de garantir un fonctionnement optimal du MNP, en conformité avec les standards du Protocole facultatif, et de faire de cet organe un pilier central dans la prévention de la torture et des mauvais traitements.</w:t>
      </w:r>
    </w:p>
    <w:p w14:paraId="1C1AA83B" w14:textId="5E30CDB6" w:rsidR="004608F0" w:rsidRPr="004608F0" w:rsidRDefault="004608F0" w:rsidP="00865803">
      <w:pPr>
        <w:pStyle w:val="H23G"/>
        <w:rPr>
          <w:lang w:val="fr-FR"/>
        </w:rPr>
      </w:pPr>
      <w:r w:rsidRPr="004608F0">
        <w:rPr>
          <w:lang w:val="fr-FR"/>
        </w:rPr>
        <w:tab/>
      </w:r>
      <w:r w:rsidR="00865803">
        <w:rPr>
          <w:lang w:val="fr-FR"/>
        </w:rPr>
        <w:tab/>
      </w:r>
      <w:r w:rsidR="00865803">
        <w:rPr>
          <w:lang w:val="fr-FR"/>
        </w:rPr>
        <w:tab/>
      </w:r>
      <w:r w:rsidRPr="004608F0">
        <w:rPr>
          <w:lang w:val="fr-FR"/>
        </w:rPr>
        <w:t>Usage excessif de la force par des agents de l’État</w:t>
      </w:r>
    </w:p>
    <w:p w14:paraId="45B49F6C" w14:textId="5DF16AB0" w:rsidR="004608F0" w:rsidRPr="004608F0" w:rsidRDefault="00865803" w:rsidP="00865803">
      <w:pPr>
        <w:pStyle w:val="H23G"/>
      </w:pPr>
      <w:r>
        <w:tab/>
      </w:r>
      <w:r>
        <w:tab/>
      </w:r>
      <w:r w:rsidR="004608F0" w:rsidRPr="004608F0">
        <w:t xml:space="preserve">Réponse au paragraphe 33 des observations finales </w:t>
      </w:r>
    </w:p>
    <w:p w14:paraId="3D54D0B8" w14:textId="77777777" w:rsidR="004608F0" w:rsidRPr="004608F0" w:rsidRDefault="004608F0" w:rsidP="00865803">
      <w:pPr>
        <w:pStyle w:val="SingleTxtG"/>
        <w:numPr>
          <w:ilvl w:val="0"/>
          <w:numId w:val="31"/>
        </w:numPr>
        <w:ind w:left="1134" w:firstLine="0"/>
        <w:rPr>
          <w:lang w:val="fr-FR"/>
        </w:rPr>
      </w:pPr>
      <w:r w:rsidRPr="004608F0">
        <w:rPr>
          <w:lang w:val="fr-FR"/>
        </w:rPr>
        <w:t>La Mauritanie attache une grande importance au respect des droits fondamentaux dans le cadre des opérations de maintien de l’ordre et de contrôle de l’immigration. Des efforts sont déployés à plusieurs niveaux pour garantir la conformité des pratiques nationales avec les normes internationales en matière de recours à la force et de protection contre la torture et les mauvais traitements.</w:t>
      </w:r>
    </w:p>
    <w:p w14:paraId="79D7FE8E" w14:textId="640C40AC" w:rsidR="004608F0" w:rsidRPr="004608F0" w:rsidRDefault="00865803" w:rsidP="00865803">
      <w:pPr>
        <w:pStyle w:val="H23G"/>
        <w:rPr>
          <w:lang w:val="fr-FR"/>
        </w:rPr>
      </w:pPr>
      <w:r>
        <w:rPr>
          <w:lang w:val="fr-FR"/>
        </w:rPr>
        <w:tab/>
      </w:r>
      <w:r>
        <w:rPr>
          <w:lang w:val="fr-FR"/>
        </w:rPr>
        <w:tab/>
      </w:r>
      <w:r w:rsidR="004608F0" w:rsidRPr="004608F0">
        <w:rPr>
          <w:lang w:val="fr-FR"/>
        </w:rPr>
        <w:t xml:space="preserve">Enquêtes, poursuites et réparation. </w:t>
      </w:r>
    </w:p>
    <w:p w14:paraId="6E4D7403" w14:textId="77777777" w:rsidR="004608F0" w:rsidRPr="004608F0" w:rsidRDefault="004608F0" w:rsidP="00865803">
      <w:pPr>
        <w:pStyle w:val="SingleTxtG"/>
        <w:numPr>
          <w:ilvl w:val="0"/>
          <w:numId w:val="31"/>
        </w:numPr>
        <w:ind w:left="1134" w:firstLine="0"/>
        <w:rPr>
          <w:lang w:val="fr-FR"/>
        </w:rPr>
      </w:pPr>
      <w:r w:rsidRPr="004608F0">
        <w:rPr>
          <w:lang w:val="fr-FR"/>
        </w:rPr>
        <w:t xml:space="preserve">Les autorités judiciaires sont systématiquement saisies des cas d’allégations d’usage excessif de la force, de torture, de mauvais traitements ou d’exécutions </w:t>
      </w:r>
      <w:proofErr w:type="spellStart"/>
      <w:r w:rsidRPr="004608F0">
        <w:rPr>
          <w:lang w:val="fr-FR"/>
        </w:rPr>
        <w:t>extrajudiciaires</w:t>
      </w:r>
      <w:proofErr w:type="spellEnd"/>
      <w:r w:rsidRPr="004608F0">
        <w:rPr>
          <w:lang w:val="fr-FR"/>
        </w:rPr>
        <w:t xml:space="preserve"> impliquant des agents de l’État.</w:t>
      </w:r>
    </w:p>
    <w:p w14:paraId="2C687C9F" w14:textId="77777777" w:rsidR="004608F0" w:rsidRPr="004608F0" w:rsidRDefault="004608F0" w:rsidP="00865803">
      <w:pPr>
        <w:pStyle w:val="SingleTxtG"/>
        <w:numPr>
          <w:ilvl w:val="0"/>
          <w:numId w:val="31"/>
        </w:numPr>
        <w:ind w:left="1134" w:firstLine="0"/>
        <w:rPr>
          <w:lang w:val="fr-FR"/>
        </w:rPr>
      </w:pPr>
      <w:r w:rsidRPr="004608F0">
        <w:rPr>
          <w:lang w:val="fr-FR"/>
        </w:rPr>
        <w:t>Des enquêtes impartiales sont ouvertes dès que des éléments sérieux sont portés à la connaissance des autorités, et des sanctions disciplinaires ou judiciaires sont prises à l’encontre des responsables reconnus coupables.</w:t>
      </w:r>
    </w:p>
    <w:p w14:paraId="3F819809" w14:textId="77777777" w:rsidR="004608F0" w:rsidRPr="004608F0" w:rsidRDefault="004608F0" w:rsidP="00865803">
      <w:pPr>
        <w:pStyle w:val="SingleTxtG"/>
        <w:numPr>
          <w:ilvl w:val="0"/>
          <w:numId w:val="31"/>
        </w:numPr>
        <w:ind w:left="1134" w:firstLine="0"/>
        <w:rPr>
          <w:lang w:val="fr-FR"/>
        </w:rPr>
      </w:pPr>
      <w:r w:rsidRPr="004608F0">
        <w:rPr>
          <w:lang w:val="fr-FR"/>
        </w:rPr>
        <w:t>Le parquet exerce un contrôle rigoureux sur les pratiques policières, et les victimes peuvent engager des recours judiciaires.</w:t>
      </w:r>
    </w:p>
    <w:p w14:paraId="69B2548E" w14:textId="77777777" w:rsidR="004608F0" w:rsidRPr="004608F0" w:rsidRDefault="004608F0" w:rsidP="00865803">
      <w:pPr>
        <w:pStyle w:val="SingleTxtG"/>
        <w:numPr>
          <w:ilvl w:val="0"/>
          <w:numId w:val="31"/>
        </w:numPr>
        <w:ind w:left="1134" w:firstLine="0"/>
        <w:rPr>
          <w:lang w:val="fr-FR"/>
        </w:rPr>
      </w:pPr>
      <w:r w:rsidRPr="004608F0">
        <w:rPr>
          <w:lang w:val="fr-FR"/>
        </w:rPr>
        <w:t>Un renforcement de l’accès à des mécanismes de réparation est en cours, notamment à travers les juridictions civiles compétentes et les dispositifs d’assistance aux victimes.</w:t>
      </w:r>
    </w:p>
    <w:p w14:paraId="7962A9C5" w14:textId="3F9BC166" w:rsidR="004608F0" w:rsidRPr="004608F0" w:rsidRDefault="00865803" w:rsidP="00865803">
      <w:pPr>
        <w:pStyle w:val="H23G"/>
      </w:pPr>
      <w:r>
        <w:tab/>
      </w:r>
      <w:r>
        <w:tab/>
      </w:r>
      <w:r w:rsidR="004608F0" w:rsidRPr="004608F0">
        <w:t>Révision des textes et conformité aux normes internationales</w:t>
      </w:r>
    </w:p>
    <w:p w14:paraId="5917D0C4" w14:textId="77777777" w:rsidR="004608F0" w:rsidRPr="004608F0" w:rsidRDefault="004608F0" w:rsidP="00865803">
      <w:pPr>
        <w:pStyle w:val="SingleTxtG"/>
        <w:numPr>
          <w:ilvl w:val="0"/>
          <w:numId w:val="31"/>
        </w:numPr>
        <w:ind w:left="1134" w:firstLine="0"/>
        <w:rPr>
          <w:lang w:val="fr-FR"/>
        </w:rPr>
      </w:pPr>
      <w:r w:rsidRPr="004608F0">
        <w:rPr>
          <w:lang w:val="fr-FR"/>
        </w:rPr>
        <w:t>La Mauritanie a entamé une révision des textes régissant l’usage de la force par les forces de sécurité intérieure, afin d’y intégrer pleinement les principes de légalité, de nécessité, de proportionnalité et de reddition de comptes.</w:t>
      </w:r>
    </w:p>
    <w:p w14:paraId="01B0E61E" w14:textId="77777777" w:rsidR="004608F0" w:rsidRPr="004608F0" w:rsidRDefault="004608F0" w:rsidP="00865803">
      <w:pPr>
        <w:pStyle w:val="SingleTxtG"/>
        <w:numPr>
          <w:ilvl w:val="0"/>
          <w:numId w:val="31"/>
        </w:numPr>
        <w:ind w:left="1134" w:firstLine="0"/>
        <w:rPr>
          <w:lang w:val="fr-FR"/>
        </w:rPr>
      </w:pPr>
      <w:r w:rsidRPr="004608F0">
        <w:rPr>
          <w:lang w:val="fr-FR"/>
        </w:rPr>
        <w:t>Les instructions opérationnelles et les règlements internes des forces de sécurités sont mis à jour pour mieux encadrer les interventions lors de manifestations et d’opérations de contrôle de l’immigration.</w:t>
      </w:r>
    </w:p>
    <w:p w14:paraId="7A78CA7C" w14:textId="77777777" w:rsidR="004608F0" w:rsidRPr="004608F0" w:rsidRDefault="004608F0" w:rsidP="00865803">
      <w:pPr>
        <w:pStyle w:val="SingleTxtG"/>
        <w:numPr>
          <w:ilvl w:val="0"/>
          <w:numId w:val="31"/>
        </w:numPr>
        <w:ind w:left="1134" w:firstLine="0"/>
        <w:rPr>
          <w:lang w:val="fr-FR"/>
        </w:rPr>
      </w:pPr>
      <w:r w:rsidRPr="004608F0">
        <w:rPr>
          <w:lang w:val="fr-FR"/>
        </w:rPr>
        <w:t>Des directives ministérielles ont été émises pour rappeler l’interdiction du recours excessif à la force et les responsabilités individuelles en cas de violations.</w:t>
      </w:r>
    </w:p>
    <w:p w14:paraId="06FD0318" w14:textId="0E164DB6" w:rsidR="004608F0" w:rsidRPr="004608F0" w:rsidRDefault="00E370C7" w:rsidP="00E370C7">
      <w:pPr>
        <w:pStyle w:val="H23G"/>
      </w:pPr>
      <w:r>
        <w:tab/>
      </w:r>
      <w:r>
        <w:tab/>
      </w:r>
      <w:r w:rsidR="004608F0" w:rsidRPr="004608F0">
        <w:t>Formation continue des forces de l’ordre</w:t>
      </w:r>
    </w:p>
    <w:p w14:paraId="336C667E" w14:textId="77777777" w:rsidR="004608F0" w:rsidRPr="004608F0" w:rsidRDefault="004608F0" w:rsidP="00E370C7">
      <w:pPr>
        <w:pStyle w:val="SingleTxtG"/>
        <w:numPr>
          <w:ilvl w:val="0"/>
          <w:numId w:val="31"/>
        </w:numPr>
        <w:ind w:left="1134" w:firstLine="0"/>
        <w:rPr>
          <w:lang w:val="fr-FR"/>
        </w:rPr>
      </w:pPr>
      <w:r w:rsidRPr="004608F0">
        <w:rPr>
          <w:lang w:val="fr-FR"/>
        </w:rPr>
        <w:t>Un accent particulier est mis sur la formation continue des forces de sécurité, en collaboration notamment avec le HCNUDH, à travers son projet de renforcement des capacités des forces de sécurité intérieure (FSI), financé par l’</w:t>
      </w:r>
      <w:hyperlink r:id="rId10" w:history="1">
        <w:r w:rsidRPr="004608F0">
          <w:rPr>
            <w:rStyle w:val="Hyperlink"/>
            <w:lang w:val="fr-FR"/>
          </w:rPr>
          <w:t>Union Européenne en Mauritanie</w:t>
        </w:r>
      </w:hyperlink>
      <w:r w:rsidRPr="004608F0">
        <w:rPr>
          <w:lang w:val="fr-FR"/>
        </w:rPr>
        <w:t>. Le projet vise généralement à renforcer la responsabilisation, la formation en droits humains, et à promouvoir des pratiques respectueuses des droits humains au sein des forces de sécurité.</w:t>
      </w:r>
    </w:p>
    <w:p w14:paraId="60A4C125" w14:textId="77777777" w:rsidR="004608F0" w:rsidRPr="004608F0" w:rsidRDefault="004608F0" w:rsidP="00E370C7">
      <w:pPr>
        <w:pStyle w:val="SingleTxtG"/>
        <w:numPr>
          <w:ilvl w:val="0"/>
          <w:numId w:val="31"/>
        </w:numPr>
        <w:ind w:left="1134" w:firstLine="0"/>
        <w:rPr>
          <w:lang w:val="fr-FR"/>
        </w:rPr>
      </w:pPr>
      <w:r w:rsidRPr="004608F0">
        <w:rPr>
          <w:lang w:val="fr-FR"/>
        </w:rPr>
        <w:t>Tous les agents, y compris ceux affectés aux opérations de maintien de l’ordre public et au contrôle migratoire, reçoivent des modules obligatoires sur l’usage proportionné de la force, la prévention de la torture et les droits des personnes arrêtées.</w:t>
      </w:r>
    </w:p>
    <w:p w14:paraId="2B928C53" w14:textId="77777777" w:rsidR="004608F0" w:rsidRPr="004608F0" w:rsidRDefault="004608F0" w:rsidP="00E370C7">
      <w:pPr>
        <w:pStyle w:val="SingleTxtG"/>
        <w:numPr>
          <w:ilvl w:val="0"/>
          <w:numId w:val="31"/>
        </w:numPr>
        <w:ind w:left="1134" w:firstLine="0"/>
        <w:rPr>
          <w:lang w:val="fr-FR"/>
        </w:rPr>
      </w:pPr>
      <w:r w:rsidRPr="004608F0">
        <w:rPr>
          <w:lang w:val="fr-FR"/>
        </w:rPr>
        <w:t>Les formations sont alignées sur les Principes de base des Nations Unies sur le recours à la force et l’utilisation des armes à feu par les responsables de l’application des lois.</w:t>
      </w:r>
    </w:p>
    <w:p w14:paraId="301E0480" w14:textId="77777777" w:rsidR="004608F0" w:rsidRPr="004608F0" w:rsidRDefault="004608F0" w:rsidP="00E370C7">
      <w:pPr>
        <w:pStyle w:val="SingleTxtG"/>
        <w:numPr>
          <w:ilvl w:val="0"/>
          <w:numId w:val="31"/>
        </w:numPr>
        <w:ind w:left="1134" w:firstLine="0"/>
        <w:rPr>
          <w:lang w:val="fr-FR"/>
        </w:rPr>
      </w:pPr>
      <w:r w:rsidRPr="004608F0">
        <w:rPr>
          <w:lang w:val="fr-FR"/>
        </w:rPr>
        <w:t>Des exercices pratiques et des simulations sont régulièrement organisés pour renforcer les réflexes professionnels et le respect des droits humains dans les situations de terrain.</w:t>
      </w:r>
    </w:p>
    <w:p w14:paraId="0A9F6CC2" w14:textId="63E09D09" w:rsidR="004608F0" w:rsidRPr="004608F0" w:rsidRDefault="00E370C7" w:rsidP="00E370C7">
      <w:pPr>
        <w:pStyle w:val="H23G"/>
        <w:rPr>
          <w:lang w:val="fr-FR"/>
        </w:rPr>
      </w:pPr>
      <w:r>
        <w:rPr>
          <w:lang w:val="fr-FR"/>
        </w:rPr>
        <w:tab/>
      </w:r>
      <w:r>
        <w:rPr>
          <w:lang w:val="fr-FR"/>
        </w:rPr>
        <w:tab/>
      </w:r>
      <w:r w:rsidR="004608F0" w:rsidRPr="004608F0">
        <w:rPr>
          <w:lang w:val="fr-FR"/>
        </w:rPr>
        <w:t xml:space="preserve">Peine de mort et </w:t>
      </w:r>
      <w:r w:rsidR="004608F0" w:rsidRPr="004608F0">
        <w:t>peines</w:t>
      </w:r>
      <w:r w:rsidR="004608F0" w:rsidRPr="004608F0">
        <w:rPr>
          <w:lang w:val="fr-FR"/>
        </w:rPr>
        <w:t xml:space="preserve"> corporelles</w:t>
      </w:r>
    </w:p>
    <w:p w14:paraId="211C022E" w14:textId="705FC9B1" w:rsidR="004608F0" w:rsidRPr="004608F0" w:rsidRDefault="00E370C7" w:rsidP="00E370C7">
      <w:pPr>
        <w:pStyle w:val="H23G"/>
        <w:rPr>
          <w:bCs/>
        </w:rPr>
      </w:pPr>
      <w:r>
        <w:rPr>
          <w:bCs/>
        </w:rPr>
        <w:tab/>
      </w:r>
      <w:r>
        <w:rPr>
          <w:bCs/>
        </w:rPr>
        <w:tab/>
      </w:r>
      <w:r w:rsidR="004608F0" w:rsidRPr="004608F0">
        <w:rPr>
          <w:bCs/>
        </w:rPr>
        <w:t xml:space="preserve">Réponse au paragraphe 35 des observations finales </w:t>
      </w:r>
    </w:p>
    <w:p w14:paraId="4A8C5EED" w14:textId="77777777" w:rsidR="004608F0" w:rsidRPr="004608F0" w:rsidRDefault="004608F0" w:rsidP="00E370C7">
      <w:pPr>
        <w:pStyle w:val="SingleTxtG"/>
        <w:numPr>
          <w:ilvl w:val="0"/>
          <w:numId w:val="31"/>
        </w:numPr>
        <w:ind w:left="1134" w:firstLine="0"/>
        <w:rPr>
          <w:lang w:val="fr-FR"/>
        </w:rPr>
      </w:pPr>
      <w:r w:rsidRPr="004608F0">
        <w:rPr>
          <w:lang w:val="fr-FR"/>
        </w:rPr>
        <w:t xml:space="preserve">Le pardon familial dans les cas de crimes de violences portant atteinte à l’intégrité physique, qui remplissent les conditions de </w:t>
      </w:r>
      <w:proofErr w:type="spellStart"/>
      <w:r w:rsidRPr="004608F0">
        <w:rPr>
          <w:lang w:val="fr-FR"/>
        </w:rPr>
        <w:t>Ghissass</w:t>
      </w:r>
      <w:proofErr w:type="spellEnd"/>
      <w:r w:rsidRPr="004608F0">
        <w:rPr>
          <w:lang w:val="fr-FR"/>
        </w:rPr>
        <w:t xml:space="preserve"> ou de Diya, est un principe que le droit musulman a recommandé. La charia étant l’unique source de droit en Mauritanie, ses prescriptions codifiés s’imposent et prévalent en toute matière.</w:t>
      </w:r>
    </w:p>
    <w:p w14:paraId="06227721" w14:textId="77777777" w:rsidR="004608F0" w:rsidRPr="004608F0" w:rsidRDefault="004608F0" w:rsidP="00E370C7">
      <w:pPr>
        <w:pStyle w:val="SingleTxtG"/>
        <w:numPr>
          <w:ilvl w:val="0"/>
          <w:numId w:val="31"/>
        </w:numPr>
        <w:ind w:left="1134" w:firstLine="0"/>
        <w:rPr>
          <w:lang w:val="fr-FR"/>
        </w:rPr>
      </w:pPr>
      <w:r w:rsidRPr="004608F0">
        <w:rPr>
          <w:lang w:val="fr-FR"/>
        </w:rPr>
        <w:t xml:space="preserve">Les condamnés à des peines privatives de liberté assortie d’un châtiment corporel sont immédiatement libérés à la fin de leur peine d’emprisonnement, conformément aux termes de la circulaire du procureur général près la Cour suprême relative aux modalités d’exécution des décisions judiciaires définitives relatives aux peines de mort par lapidation, de flagellation et d’amputation et conformément au moratoire de fait. Aucun détenu condamné à titre définitif à de telle peine ne se trouve actuellement maintenu en détention après avoir purgé sa peine privative de liberté.  </w:t>
      </w:r>
    </w:p>
    <w:p w14:paraId="7340D5F9" w14:textId="3F442CD3" w:rsidR="004608F0" w:rsidRPr="004608F0" w:rsidRDefault="00E370C7" w:rsidP="00E370C7">
      <w:pPr>
        <w:pStyle w:val="H23G"/>
      </w:pPr>
      <w:r>
        <w:tab/>
      </w:r>
      <w:r>
        <w:tab/>
      </w:r>
      <w:r w:rsidR="004608F0" w:rsidRPr="004608F0">
        <w:t xml:space="preserve">Réparation </w:t>
      </w:r>
      <w:r w:rsidR="004608F0" w:rsidRPr="004608F0">
        <w:tab/>
      </w:r>
    </w:p>
    <w:p w14:paraId="195D9903" w14:textId="67596B9E" w:rsidR="004608F0" w:rsidRPr="004608F0" w:rsidRDefault="00E370C7" w:rsidP="00E370C7">
      <w:pPr>
        <w:pStyle w:val="H23G"/>
        <w:rPr>
          <w:lang w:val="x-none"/>
        </w:rPr>
      </w:pPr>
      <w:r>
        <w:rPr>
          <w:lang w:val="x-none"/>
        </w:rPr>
        <w:tab/>
      </w:r>
      <w:r>
        <w:rPr>
          <w:lang w:val="x-none"/>
        </w:rPr>
        <w:tab/>
      </w:r>
      <w:proofErr w:type="spellStart"/>
      <w:r w:rsidR="004608F0" w:rsidRPr="004608F0">
        <w:rPr>
          <w:lang w:val="x-none"/>
        </w:rPr>
        <w:t>Réponse</w:t>
      </w:r>
      <w:proofErr w:type="spellEnd"/>
      <w:r w:rsidR="004608F0" w:rsidRPr="004608F0">
        <w:rPr>
          <w:lang w:val="x-none"/>
        </w:rPr>
        <w:t xml:space="preserve"> au </w:t>
      </w:r>
      <w:proofErr w:type="spellStart"/>
      <w:r w:rsidR="004608F0" w:rsidRPr="004608F0">
        <w:rPr>
          <w:lang w:val="x-none"/>
        </w:rPr>
        <w:t>paragraphe</w:t>
      </w:r>
      <w:proofErr w:type="spellEnd"/>
      <w:r w:rsidR="004608F0" w:rsidRPr="004608F0">
        <w:rPr>
          <w:lang w:val="x-none"/>
        </w:rPr>
        <w:t xml:space="preserve"> 37 des observations finales </w:t>
      </w:r>
    </w:p>
    <w:p w14:paraId="36C3BCC4" w14:textId="77777777" w:rsidR="004608F0" w:rsidRPr="004608F0" w:rsidRDefault="004608F0" w:rsidP="00E370C7">
      <w:pPr>
        <w:pStyle w:val="SingleTxtG"/>
        <w:numPr>
          <w:ilvl w:val="0"/>
          <w:numId w:val="31"/>
        </w:numPr>
        <w:ind w:left="1134" w:firstLine="0"/>
        <w:rPr>
          <w:lang w:val="fr-FR"/>
        </w:rPr>
      </w:pPr>
      <w:r w:rsidRPr="004608F0">
        <w:rPr>
          <w:lang w:val="fr-FR"/>
        </w:rPr>
        <w:t>La Direction Générale de la Sûreté Nationale s’est dotée désormais d’un un laboratoire national de police technique et scientifique qui relève de la direction de la police judiciaire. Le laboratoire assiste les enquêteurs en matière d’investigation en utilisant des techniques et procédés particuliers, notamment l’enquête d’environnement, le rapprochement judiciaire, le recoupement d’informations, le recueil de renseignement ou encore les relevés d’empreintes digitales et le moulage des traces (empreintes de pas ou traces de pneus).</w:t>
      </w:r>
    </w:p>
    <w:p w14:paraId="0E2D7948" w14:textId="4C1FBFAA" w:rsidR="004608F0" w:rsidRPr="004608F0" w:rsidRDefault="00E370C7" w:rsidP="00E370C7">
      <w:pPr>
        <w:pStyle w:val="H23G"/>
      </w:pPr>
      <w:r>
        <w:tab/>
      </w:r>
      <w:r>
        <w:tab/>
      </w:r>
      <w:r w:rsidR="004608F0" w:rsidRPr="004608F0">
        <w:t xml:space="preserve">Non-refoulement </w:t>
      </w:r>
    </w:p>
    <w:p w14:paraId="01927CFA" w14:textId="613A5BC2" w:rsidR="004608F0" w:rsidRPr="004608F0" w:rsidRDefault="00E370C7" w:rsidP="00E370C7">
      <w:pPr>
        <w:pStyle w:val="H23G"/>
        <w:rPr>
          <w:lang w:val="x-none"/>
        </w:rPr>
      </w:pPr>
      <w:r>
        <w:rPr>
          <w:lang w:val="x-none"/>
        </w:rPr>
        <w:tab/>
      </w:r>
      <w:r>
        <w:rPr>
          <w:lang w:val="x-none"/>
        </w:rPr>
        <w:tab/>
      </w:r>
      <w:proofErr w:type="spellStart"/>
      <w:r w:rsidR="004608F0" w:rsidRPr="004608F0">
        <w:rPr>
          <w:lang w:val="x-none"/>
        </w:rPr>
        <w:t>Réponse</w:t>
      </w:r>
      <w:proofErr w:type="spellEnd"/>
      <w:r w:rsidR="004608F0" w:rsidRPr="004608F0">
        <w:rPr>
          <w:lang w:val="x-none"/>
        </w:rPr>
        <w:t xml:space="preserve"> au </w:t>
      </w:r>
      <w:proofErr w:type="spellStart"/>
      <w:r w:rsidR="004608F0" w:rsidRPr="004608F0">
        <w:rPr>
          <w:lang w:val="x-none"/>
        </w:rPr>
        <w:t>paragraphe</w:t>
      </w:r>
      <w:proofErr w:type="spellEnd"/>
      <w:r w:rsidR="004608F0" w:rsidRPr="004608F0">
        <w:rPr>
          <w:lang w:val="x-none"/>
        </w:rPr>
        <w:t xml:space="preserve"> 39 des observations finales </w:t>
      </w:r>
    </w:p>
    <w:p w14:paraId="6BD130AD" w14:textId="77777777" w:rsidR="004608F0" w:rsidRPr="004608F0" w:rsidRDefault="004608F0" w:rsidP="00E370C7">
      <w:pPr>
        <w:pStyle w:val="SingleTxtG"/>
        <w:numPr>
          <w:ilvl w:val="0"/>
          <w:numId w:val="31"/>
        </w:numPr>
        <w:ind w:left="1134" w:firstLine="0"/>
        <w:rPr>
          <w:lang w:val="fr-FR"/>
        </w:rPr>
      </w:pPr>
      <w:r w:rsidRPr="004608F0">
        <w:rPr>
          <w:lang w:val="fr-FR"/>
        </w:rPr>
        <w:t>a) Le décret n° 2022-063 du 05 mai 2022 fixe les modalités d’application des conventions internationales relatives aux réfugiés, notamment la convention de Genève complétée par le protocole de 1967 et la convention de l’UA régissant les aspects propres aux problèmes des réfugiés en Afrique. Il pose également les modalités applicables aux personnes protégées. Ce texte définit la notion de réfugié et de personne à protéger et institue la commission nationale consultative sur les réfugiés et personnes à protéger. Placée auprès du ministre chargé de l’intérieur la commission a pour missions de donner un avis consultatif sur les demandes d’admission au statut de réfugié et au statut de personne à protéger et en général sur toute question relative aux réfugiés et aux personnes à protéger. Elle est de composition multisectorielle comprenant des représentants de tous les départements concernés</w:t>
      </w:r>
    </w:p>
    <w:p w14:paraId="53453CFB" w14:textId="77777777" w:rsidR="004608F0" w:rsidRPr="004608F0" w:rsidRDefault="004608F0" w:rsidP="00E370C7">
      <w:pPr>
        <w:pStyle w:val="SingleTxtG"/>
        <w:numPr>
          <w:ilvl w:val="0"/>
          <w:numId w:val="31"/>
        </w:numPr>
        <w:ind w:left="1134" w:firstLine="0"/>
        <w:rPr>
          <w:lang w:val="fr-FR"/>
        </w:rPr>
      </w:pPr>
      <w:r w:rsidRPr="004608F0">
        <w:rPr>
          <w:lang w:val="fr-FR"/>
        </w:rPr>
        <w:t>Le demandeur d’asile sur le territoire national peut bénéficier du statut de réfugié s’il relève du mandat du HCR ou s’il est reconnu par un acte du gouvernement mauritanien dans les conditions définies par ce décret.</w:t>
      </w:r>
    </w:p>
    <w:p w14:paraId="2241505D" w14:textId="77777777" w:rsidR="004608F0" w:rsidRPr="004608F0" w:rsidRDefault="004608F0" w:rsidP="00E370C7">
      <w:pPr>
        <w:pStyle w:val="SingleTxtG"/>
        <w:numPr>
          <w:ilvl w:val="0"/>
          <w:numId w:val="31"/>
        </w:numPr>
        <w:ind w:left="1134" w:firstLine="0"/>
        <w:rPr>
          <w:lang w:val="fr-FR"/>
        </w:rPr>
      </w:pPr>
      <w:r w:rsidRPr="004608F0">
        <w:rPr>
          <w:lang w:val="fr-FR"/>
        </w:rPr>
        <w:t xml:space="preserve">Le statut de réfugié est reconnu par arrêté du Ministre en charge de l’Intérieur, celui de personne à protéger est reconnu par arrêté conjoint des ministres en charge des Affaires </w:t>
      </w:r>
      <w:proofErr w:type="spellStart"/>
      <w:r w:rsidRPr="004608F0">
        <w:rPr>
          <w:lang w:val="fr-FR"/>
        </w:rPr>
        <w:t>Etrangères</w:t>
      </w:r>
      <w:proofErr w:type="spellEnd"/>
      <w:r w:rsidRPr="004608F0">
        <w:rPr>
          <w:lang w:val="fr-FR"/>
        </w:rPr>
        <w:t xml:space="preserve"> et de l’Intérieur. Enfin ce décret fixe les droits et obligations des réfugiés. </w:t>
      </w:r>
    </w:p>
    <w:p w14:paraId="3EB4B7D5" w14:textId="77777777" w:rsidR="004608F0" w:rsidRPr="004608F0" w:rsidRDefault="004608F0" w:rsidP="00E370C7">
      <w:pPr>
        <w:pStyle w:val="SingleTxtG"/>
        <w:numPr>
          <w:ilvl w:val="0"/>
          <w:numId w:val="31"/>
        </w:numPr>
        <w:ind w:left="1134" w:firstLine="0"/>
        <w:rPr>
          <w:lang w:val="fr-FR"/>
        </w:rPr>
      </w:pPr>
      <w:r w:rsidRPr="004608F0">
        <w:rPr>
          <w:lang w:val="fr-FR"/>
        </w:rPr>
        <w:t xml:space="preserve"> b) La Mauritanie, en tant que pays d’accueil et de transit de populations migrantes et réfugiées, réaffirme son engagement à respecter pleinement ses obligations internationales, notamment le principe de non-refoulement tel que garanti par la Convention de 1951 relative au statut des réfugiés et les instruments régionaux pertinents. Dans ce cadre :</w:t>
      </w:r>
    </w:p>
    <w:p w14:paraId="35FD3B20" w14:textId="77777777" w:rsidR="004608F0" w:rsidRPr="004608F0" w:rsidRDefault="004608F0" w:rsidP="005D3A98">
      <w:pPr>
        <w:pStyle w:val="Bullet1G"/>
        <w:rPr>
          <w:lang w:val="fr-FR"/>
        </w:rPr>
      </w:pPr>
      <w:r w:rsidRPr="004608F0">
        <w:rPr>
          <w:lang w:val="fr-FR"/>
        </w:rPr>
        <w:t>Des efforts ont été intensifiés pour renforcer les capacités des forces de sécurité, en particulier les policiers et les agents frontaliers, en matière de protection internationale, de procédures d’asile et de respect des droits des migrants et réfugiés.</w:t>
      </w:r>
    </w:p>
    <w:p w14:paraId="4ED1FECF" w14:textId="77777777" w:rsidR="004608F0" w:rsidRPr="004608F0" w:rsidRDefault="004608F0" w:rsidP="005D3A98">
      <w:pPr>
        <w:pStyle w:val="Bullet1G"/>
        <w:rPr>
          <w:lang w:val="fr-FR"/>
        </w:rPr>
      </w:pPr>
      <w:r w:rsidRPr="004608F0">
        <w:rPr>
          <w:lang w:val="fr-FR"/>
        </w:rPr>
        <w:t>Des sessions de formation sont organisées régulièrement par l’Instance Nationale de lutte contre la Traite des Personnes et le Trafic de Migrants, en partenariat avec l’OIM et d’autres partenaires, afin de familiariser les agents avec les principes fondamentaux de l’asile, les obligations de l’État en matière de non-refoulement, ainsi que les mécanismes d’identification et d’orientation des personnes en besoin de protection.</w:t>
      </w:r>
    </w:p>
    <w:p w14:paraId="69293046" w14:textId="77777777" w:rsidR="004608F0" w:rsidRPr="004608F0" w:rsidRDefault="004608F0" w:rsidP="005D3A98">
      <w:pPr>
        <w:pStyle w:val="Bullet1G"/>
        <w:rPr>
          <w:lang w:val="fr-FR"/>
        </w:rPr>
      </w:pPr>
      <w:r w:rsidRPr="004608F0">
        <w:rPr>
          <w:lang w:val="fr-FR"/>
        </w:rPr>
        <w:t>Un manuel de procédures à l’usage des agents chargés du contrôle aux frontières a été élaboré et diffusé, afin de normaliser les pratiques et de prévenir les expulsions arbitraires ou contraires aux normes internationales.</w:t>
      </w:r>
    </w:p>
    <w:p w14:paraId="6C2DEEE7" w14:textId="77777777" w:rsidR="004608F0" w:rsidRPr="004608F0" w:rsidRDefault="004608F0" w:rsidP="005D3A98">
      <w:pPr>
        <w:pStyle w:val="Bullet1G"/>
        <w:rPr>
          <w:lang w:val="fr-FR"/>
        </w:rPr>
      </w:pPr>
      <w:r w:rsidRPr="004608F0">
        <w:rPr>
          <w:lang w:val="fr-FR"/>
        </w:rPr>
        <w:t>La coordination entre les autorités administratives, les services de sécurité et les agences onusiennes a été renforcée pour assurer une gestion plus humaine, sécurisée et conforme aux droits fondamentaux des flux migratoires.</w:t>
      </w:r>
      <w:bookmarkStart w:id="2" w:name="_Hlk199833245"/>
    </w:p>
    <w:p w14:paraId="39330F53" w14:textId="77777777" w:rsidR="004608F0" w:rsidRPr="004608F0" w:rsidRDefault="004608F0" w:rsidP="005D3A98">
      <w:pPr>
        <w:pStyle w:val="SingleTxtG"/>
        <w:numPr>
          <w:ilvl w:val="0"/>
          <w:numId w:val="31"/>
        </w:numPr>
        <w:ind w:left="1134" w:firstLine="0"/>
        <w:rPr>
          <w:lang w:val="fr-FR"/>
        </w:rPr>
      </w:pPr>
      <w:r w:rsidRPr="004608F0">
        <w:rPr>
          <w:lang w:val="fr-FR"/>
        </w:rPr>
        <w:t>Ces efforts ont été couronnés par l’adoption de l’arrêté conjoint n°00590/2025 en date du 30/05/2025 portant sur les procédures opérationnelles standards relatives à la recherche, au sauvetage et à la prise en charge des migrants en mer. Conformément aux dispositions de l'article 3 nouveau de la loi n° 2024-038, du 8 octobre 2024, modifiant certaines dispositions de la loi n° 65-046 du 23 février 1965 portant dispositions pénales relatives au régime de l'immigration, Un arrêté fixe les procédures opérationnelles standard applicables au débarquement, à l'enregistrement et à la prise en charge des migrants secourus en mer et amenés sur le territoire national.</w:t>
      </w:r>
    </w:p>
    <w:p w14:paraId="76DFC348" w14:textId="45561CF6" w:rsidR="004608F0" w:rsidRPr="004608F0" w:rsidRDefault="005D3A98" w:rsidP="005D3A98">
      <w:pPr>
        <w:pStyle w:val="H1G"/>
        <w:rPr>
          <w:lang w:val="fr-FR"/>
        </w:rPr>
      </w:pPr>
      <w:r>
        <w:rPr>
          <w:lang w:val="fr-FR"/>
        </w:rPr>
        <w:tab/>
      </w:r>
      <w:r>
        <w:rPr>
          <w:lang w:val="fr-FR"/>
        </w:rPr>
        <w:tab/>
      </w:r>
      <w:r w:rsidR="005D7977" w:rsidRPr="004608F0">
        <w:rPr>
          <w:lang w:val="fr-FR"/>
        </w:rPr>
        <w:t>C</w:t>
      </w:r>
      <w:r w:rsidR="005D7977">
        <w:rPr>
          <w:lang w:val="fr-FR"/>
        </w:rPr>
        <w:t>onclusion</w:t>
      </w:r>
    </w:p>
    <w:p w14:paraId="0153A316" w14:textId="77777777" w:rsidR="004608F0" w:rsidRPr="004608F0" w:rsidRDefault="004608F0" w:rsidP="005D3A98">
      <w:pPr>
        <w:pStyle w:val="SingleTxtG"/>
        <w:numPr>
          <w:ilvl w:val="0"/>
          <w:numId w:val="31"/>
        </w:numPr>
        <w:ind w:left="1134" w:firstLine="0"/>
        <w:rPr>
          <w:lang w:val="fr-FR"/>
        </w:rPr>
      </w:pPr>
      <w:r w:rsidRPr="004608F0">
        <w:rPr>
          <w:lang w:val="fr-FR"/>
        </w:rPr>
        <w:t>La République islamique de Mauritanie, tient à exprimer à travers la soumission de ce rapport périodique sa ferme volonté à mettre en œuvre ses engagements conventionnels souscrits dans le cadre de la promotion et de la protection des droits humains et des libertés fondamentales.</w:t>
      </w:r>
    </w:p>
    <w:p w14:paraId="00A43546" w14:textId="77777777" w:rsidR="004608F0" w:rsidRDefault="004608F0" w:rsidP="005D3A98">
      <w:pPr>
        <w:pStyle w:val="SingleTxtG"/>
        <w:numPr>
          <w:ilvl w:val="0"/>
          <w:numId w:val="31"/>
        </w:numPr>
        <w:ind w:left="1134" w:firstLine="0"/>
        <w:rPr>
          <w:lang w:val="fr-FR"/>
        </w:rPr>
      </w:pPr>
      <w:r w:rsidRPr="004608F0">
        <w:rPr>
          <w:lang w:val="fr-FR"/>
        </w:rPr>
        <w:t xml:space="preserve">Elle réaffirme encore une fois son attachement aux idéaux et principes prescrits par la Convention contre la torture et reste disposée à poursuivre le dialogue constructif mené avec le Comité en vue d’une réelle jouissance des droits prévus par cet important instrument juridique international. </w:t>
      </w:r>
      <w:bookmarkEnd w:id="2"/>
    </w:p>
    <w:p w14:paraId="50DF550B" w14:textId="22CE71EC" w:rsidR="005D3A98" w:rsidRPr="005D3A98" w:rsidRDefault="005D3A98" w:rsidP="005D3A98">
      <w:pPr>
        <w:pStyle w:val="SingleTxtG"/>
        <w:spacing w:before="240" w:after="0"/>
        <w:ind w:left="0" w:right="0"/>
        <w:jc w:val="center"/>
        <w:rPr>
          <w:u w:val="single"/>
          <w:lang w:val="fr-FR"/>
        </w:rPr>
      </w:pPr>
      <w:r>
        <w:rPr>
          <w:u w:val="single"/>
          <w:lang w:val="fr-FR"/>
        </w:rPr>
        <w:tab/>
      </w:r>
      <w:r>
        <w:rPr>
          <w:u w:val="single"/>
          <w:lang w:val="fr-FR"/>
        </w:rPr>
        <w:tab/>
      </w:r>
      <w:r>
        <w:rPr>
          <w:u w:val="single"/>
          <w:lang w:val="fr-FR"/>
        </w:rPr>
        <w:tab/>
      </w:r>
    </w:p>
    <w:sectPr w:rsidR="005D3A98" w:rsidRPr="005D3A98">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90AC4" w14:textId="77777777" w:rsidR="00201ECD" w:rsidRDefault="00201ECD">
      <w:pPr>
        <w:spacing w:line="240" w:lineRule="auto"/>
      </w:pPr>
    </w:p>
  </w:endnote>
  <w:endnote w:type="continuationSeparator" w:id="0">
    <w:p w14:paraId="69D0D3DB" w14:textId="77777777" w:rsidR="00201ECD" w:rsidRDefault="00201ECD">
      <w:pPr>
        <w:pStyle w:val="Footer"/>
      </w:pPr>
    </w:p>
  </w:endnote>
  <w:endnote w:type="continuationNotice" w:id="1">
    <w:p w14:paraId="75412621" w14:textId="77777777" w:rsidR="00201ECD" w:rsidRDefault="00201EC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0B8E0" w14:textId="77777777" w:rsidR="00BE3C14" w:rsidRDefault="00643558">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9F6492">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F7C70" w14:textId="77777777" w:rsidR="00BE3C14" w:rsidRDefault="00B65306">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438AE" w14:textId="77777777" w:rsidR="00BE3C14" w:rsidRDefault="00643558">
    <w:pPr>
      <w:pStyle w:val="Footer"/>
      <w:spacing w:before="120"/>
      <w:rPr>
        <w:noProof/>
        <w:sz w:val="20"/>
        <w:lang w:eastAsia="fr-FR"/>
      </w:rPr>
    </w:pPr>
    <w:r>
      <w:rPr>
        <w:noProof/>
        <w:lang w:eastAsia="fr-CH"/>
      </w:rPr>
      <w:drawing>
        <wp:anchor distT="0" distB="0" distL="114300" distR="114300" simplePos="0" relativeHeight="251658240" behindDoc="0" locked="1" layoutInCell="1" allowOverlap="1" wp14:anchorId="4DB3B67D" wp14:editId="026CAD8F">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0D7539" w14:paraId="132EFC74" w14:textId="77777777">
      <w:tc>
        <w:tcPr>
          <w:tcW w:w="1848" w:type="dxa"/>
          <w:vAlign w:val="bottom"/>
        </w:tcPr>
        <w:p w14:paraId="04CF5490" w14:textId="77777777" w:rsidR="00BE3C14" w:rsidRDefault="00643558">
          <w:pPr>
            <w:spacing w:before="120" w:after="120" w:line="240" w:lineRule="auto"/>
            <w:jc w:val="right"/>
            <w:rPr>
              <w:sz w:val="16"/>
            </w:rPr>
          </w:pPr>
          <w:r>
            <w:rPr>
              <w:noProof/>
              <w:lang w:eastAsia="fr-CH"/>
            </w:rPr>
            <w:drawing>
              <wp:inline distT="0" distB="0" distL="0" distR="0" wp14:anchorId="1E4AF9C1" wp14:editId="3D5C1A70">
                <wp:extent cx="1104265" cy="233045"/>
                <wp:effectExtent l="0" t="0" r="635" b="0"/>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recycle_French"/>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104265" cy="233045"/>
                        </a:xfrm>
                        <a:prstGeom prst="rect">
                          <a:avLst/>
                        </a:prstGeom>
                        <a:noFill/>
                        <a:ln>
                          <a:noFill/>
                        </a:ln>
                      </pic:spPr>
                    </pic:pic>
                  </a:graphicData>
                </a:graphic>
              </wp:inline>
            </w:drawing>
          </w:r>
        </w:p>
      </w:tc>
      <w:tc>
        <w:tcPr>
          <w:tcW w:w="1274" w:type="dxa"/>
        </w:tcPr>
        <w:p w14:paraId="20EBDAA0" w14:textId="77777777" w:rsidR="00BE3C14" w:rsidRDefault="00BE3C14">
          <w:pPr>
            <w:spacing w:line="240" w:lineRule="auto"/>
            <w:jc w:val="right"/>
            <w:rPr>
              <w:sz w:val="16"/>
            </w:rPr>
          </w:pPr>
        </w:p>
      </w:tc>
    </w:tr>
  </w:tbl>
  <w:p w14:paraId="0C9796D5" w14:textId="77777777" w:rsidR="00BE3C14" w:rsidRDefault="00BE3C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6B9A7" w14:textId="77777777" w:rsidR="00201ECD" w:rsidRDefault="00201ECD">
      <w:pPr>
        <w:pStyle w:val="Footer"/>
        <w:tabs>
          <w:tab w:val="right" w:pos="2155"/>
        </w:tabs>
        <w:spacing w:after="80" w:line="240" w:lineRule="atLeast"/>
        <w:ind w:left="680"/>
        <w:rPr>
          <w:u w:val="single"/>
        </w:rPr>
      </w:pPr>
      <w:r>
        <w:rPr>
          <w:u w:val="single"/>
        </w:rPr>
        <w:tab/>
      </w:r>
    </w:p>
  </w:footnote>
  <w:footnote w:type="continuationSeparator" w:id="0">
    <w:p w14:paraId="78EBF752" w14:textId="77777777" w:rsidR="00201ECD" w:rsidRDefault="00201ECD">
      <w:pPr>
        <w:pStyle w:val="Footer"/>
        <w:tabs>
          <w:tab w:val="right" w:pos="2155"/>
        </w:tabs>
        <w:spacing w:after="80" w:line="240" w:lineRule="atLeast"/>
        <w:ind w:left="680"/>
        <w:rPr>
          <w:u w:val="single"/>
        </w:rPr>
      </w:pPr>
      <w:r>
        <w:rPr>
          <w:u w:val="single"/>
        </w:rPr>
        <w:tab/>
      </w:r>
    </w:p>
  </w:footnote>
  <w:footnote w:type="continuationNotice" w:id="1">
    <w:p w14:paraId="21DE6CC9" w14:textId="77777777" w:rsidR="00201ECD" w:rsidRDefault="00201ECD">
      <w:pPr>
        <w:spacing w:line="240" w:lineRule="auto"/>
        <w:rPr>
          <w:sz w:val="2"/>
          <w:szCs w:val="2"/>
        </w:rPr>
      </w:pPr>
    </w:p>
  </w:footnote>
  <w:footnote w:id="2">
    <w:p w14:paraId="116F0372" w14:textId="77777777" w:rsidR="00A07D3C" w:rsidRPr="005317D9" w:rsidRDefault="00643558" w:rsidP="00A07D3C">
      <w:pPr>
        <w:pStyle w:val="FootnoteText"/>
        <w:rPr>
          <w:sz w:val="20"/>
        </w:rPr>
      </w:pPr>
      <w:r>
        <w:tab/>
      </w:r>
      <w:r w:rsidRPr="007B0648">
        <w:rPr>
          <w:rStyle w:val="FootnoteReference"/>
          <w:sz w:val="20"/>
          <w:vertAlign w:val="baseline"/>
        </w:rPr>
        <w:t>*</w:t>
      </w:r>
      <w:r>
        <w:tab/>
        <w:t>La version originale du présent document n’a pas été revue par les services d’édition.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AF1046"/>
    <w:multiLevelType w:val="hybridMultilevel"/>
    <w:tmpl w:val="F03823CA"/>
    <w:lvl w:ilvl="0" w:tplc="19DA2BEC">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7D06A57"/>
    <w:multiLevelType w:val="hybridMultilevel"/>
    <w:tmpl w:val="AF34F2C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0C7B059A"/>
    <w:multiLevelType w:val="hybridMultilevel"/>
    <w:tmpl w:val="AA6EB37A"/>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0D954887"/>
    <w:multiLevelType w:val="hybridMultilevel"/>
    <w:tmpl w:val="12F6C24C"/>
    <w:lvl w:ilvl="0" w:tplc="DAFC96C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3B0B8EE" w:tentative="1">
      <w:start w:val="1"/>
      <w:numFmt w:val="lowerLetter"/>
      <w:lvlText w:val="%2."/>
      <w:lvlJc w:val="left"/>
      <w:pPr>
        <w:tabs>
          <w:tab w:val="num" w:pos="1440"/>
        </w:tabs>
        <w:ind w:left="1440" w:hanging="360"/>
      </w:pPr>
    </w:lvl>
    <w:lvl w:ilvl="2" w:tplc="00CA9E7A" w:tentative="1">
      <w:start w:val="1"/>
      <w:numFmt w:val="lowerRoman"/>
      <w:lvlText w:val="%3."/>
      <w:lvlJc w:val="right"/>
      <w:pPr>
        <w:tabs>
          <w:tab w:val="num" w:pos="2160"/>
        </w:tabs>
        <w:ind w:left="2160" w:hanging="180"/>
      </w:pPr>
    </w:lvl>
    <w:lvl w:ilvl="3" w:tplc="1DE09A4C" w:tentative="1">
      <w:start w:val="1"/>
      <w:numFmt w:val="decimal"/>
      <w:lvlText w:val="%4."/>
      <w:lvlJc w:val="left"/>
      <w:pPr>
        <w:tabs>
          <w:tab w:val="num" w:pos="2880"/>
        </w:tabs>
        <w:ind w:left="2880" w:hanging="360"/>
      </w:pPr>
    </w:lvl>
    <w:lvl w:ilvl="4" w:tplc="01C4FDFE" w:tentative="1">
      <w:start w:val="1"/>
      <w:numFmt w:val="lowerLetter"/>
      <w:lvlText w:val="%5."/>
      <w:lvlJc w:val="left"/>
      <w:pPr>
        <w:tabs>
          <w:tab w:val="num" w:pos="3600"/>
        </w:tabs>
        <w:ind w:left="3600" w:hanging="360"/>
      </w:pPr>
    </w:lvl>
    <w:lvl w:ilvl="5" w:tplc="82961306" w:tentative="1">
      <w:start w:val="1"/>
      <w:numFmt w:val="lowerRoman"/>
      <w:lvlText w:val="%6."/>
      <w:lvlJc w:val="right"/>
      <w:pPr>
        <w:tabs>
          <w:tab w:val="num" w:pos="4320"/>
        </w:tabs>
        <w:ind w:left="4320" w:hanging="180"/>
      </w:pPr>
    </w:lvl>
    <w:lvl w:ilvl="6" w:tplc="10864424" w:tentative="1">
      <w:start w:val="1"/>
      <w:numFmt w:val="decimal"/>
      <w:lvlText w:val="%7."/>
      <w:lvlJc w:val="left"/>
      <w:pPr>
        <w:tabs>
          <w:tab w:val="num" w:pos="5040"/>
        </w:tabs>
        <w:ind w:left="5040" w:hanging="360"/>
      </w:pPr>
    </w:lvl>
    <w:lvl w:ilvl="7" w:tplc="9B8857BE" w:tentative="1">
      <w:start w:val="1"/>
      <w:numFmt w:val="lowerLetter"/>
      <w:lvlText w:val="%8."/>
      <w:lvlJc w:val="left"/>
      <w:pPr>
        <w:tabs>
          <w:tab w:val="num" w:pos="5760"/>
        </w:tabs>
        <w:ind w:left="5760" w:hanging="360"/>
      </w:pPr>
    </w:lvl>
    <w:lvl w:ilvl="8" w:tplc="736C6E22" w:tentative="1">
      <w:start w:val="1"/>
      <w:numFmt w:val="lowerRoman"/>
      <w:lvlText w:val="%9."/>
      <w:lvlJc w:val="right"/>
      <w:pPr>
        <w:tabs>
          <w:tab w:val="num" w:pos="6480"/>
        </w:tabs>
        <w:ind w:left="6480" w:hanging="180"/>
      </w:pPr>
    </w:lvl>
  </w:abstractNum>
  <w:abstractNum w:abstractNumId="14" w15:restartNumberingAfterBreak="0">
    <w:nsid w:val="10AB1B41"/>
    <w:multiLevelType w:val="multilevel"/>
    <w:tmpl w:val="6AB2B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B90386"/>
    <w:multiLevelType w:val="hybridMultilevel"/>
    <w:tmpl w:val="91D28C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4372F0D"/>
    <w:multiLevelType w:val="hybridMultilevel"/>
    <w:tmpl w:val="67FEF314"/>
    <w:lvl w:ilvl="0" w:tplc="19DA2BEC">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184C4303"/>
    <w:multiLevelType w:val="hybridMultilevel"/>
    <w:tmpl w:val="7B1684CE"/>
    <w:lvl w:ilvl="0" w:tplc="2396B764">
      <w:start w:val="1"/>
      <w:numFmt w:val="bullet"/>
      <w:lvlText w:val=""/>
      <w:lvlJc w:val="right"/>
      <w:pPr>
        <w:ind w:left="720" w:hanging="360"/>
      </w:pPr>
      <w:rPr>
        <w:rFonts w:ascii="Symbol" w:hAnsi="Symbol" w:hint="default"/>
      </w:rPr>
    </w:lvl>
    <w:lvl w:ilvl="1" w:tplc="B92AF892">
      <w:numFmt w:val="bullet"/>
      <w:lvlText w:val="-"/>
      <w:lvlJc w:val="left"/>
      <w:pPr>
        <w:ind w:left="1440" w:hanging="360"/>
      </w:pPr>
      <w:rPr>
        <w:rFonts w:ascii="Times New Roman" w:eastAsia="Times New Roman" w:hAnsi="Times New Roman" w:cs="Times New Roman"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1CB044ED"/>
    <w:multiLevelType w:val="multilevel"/>
    <w:tmpl w:val="E814D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22C2AC7"/>
    <w:multiLevelType w:val="hybridMultilevel"/>
    <w:tmpl w:val="C308C2E4"/>
    <w:lvl w:ilvl="0" w:tplc="716A52E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6B74FC1"/>
    <w:multiLevelType w:val="hybridMultilevel"/>
    <w:tmpl w:val="AEAC9D5E"/>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1" w15:restartNumberingAfterBreak="0">
    <w:nsid w:val="3857246E"/>
    <w:multiLevelType w:val="multilevel"/>
    <w:tmpl w:val="71425092"/>
    <w:lvl w:ilvl="0">
      <w:start w:val="1"/>
      <w:numFmt w:val="bullet"/>
      <w:lvlText w:val=""/>
      <w:lvlJc w:val="left"/>
      <w:pPr>
        <w:tabs>
          <w:tab w:val="num" w:pos="3600"/>
        </w:tabs>
        <w:ind w:left="3600" w:hanging="360"/>
      </w:pPr>
      <w:rPr>
        <w:rFonts w:ascii="Symbol" w:hAnsi="Symbol" w:hint="default"/>
        <w:sz w:val="20"/>
      </w:rPr>
    </w:lvl>
    <w:lvl w:ilvl="1" w:tentative="1">
      <w:start w:val="1"/>
      <w:numFmt w:val="bullet"/>
      <w:lvlText w:val="o"/>
      <w:lvlJc w:val="left"/>
      <w:pPr>
        <w:tabs>
          <w:tab w:val="num" w:pos="4320"/>
        </w:tabs>
        <w:ind w:left="4320" w:hanging="360"/>
      </w:pPr>
      <w:rPr>
        <w:rFonts w:ascii="Courier New" w:hAnsi="Courier New" w:hint="default"/>
        <w:sz w:val="20"/>
      </w:rPr>
    </w:lvl>
    <w:lvl w:ilvl="2" w:tentative="1">
      <w:start w:val="1"/>
      <w:numFmt w:val="bullet"/>
      <w:lvlText w:val=""/>
      <w:lvlJc w:val="left"/>
      <w:pPr>
        <w:tabs>
          <w:tab w:val="num" w:pos="5040"/>
        </w:tabs>
        <w:ind w:left="5040" w:hanging="360"/>
      </w:pPr>
      <w:rPr>
        <w:rFonts w:ascii="Wingdings" w:hAnsi="Wingdings" w:hint="default"/>
        <w:sz w:val="20"/>
      </w:rPr>
    </w:lvl>
    <w:lvl w:ilvl="3" w:tentative="1">
      <w:start w:val="1"/>
      <w:numFmt w:val="bullet"/>
      <w:lvlText w:val=""/>
      <w:lvlJc w:val="left"/>
      <w:pPr>
        <w:tabs>
          <w:tab w:val="num" w:pos="5760"/>
        </w:tabs>
        <w:ind w:left="5760" w:hanging="360"/>
      </w:pPr>
      <w:rPr>
        <w:rFonts w:ascii="Wingdings" w:hAnsi="Wingdings" w:hint="default"/>
        <w:sz w:val="20"/>
      </w:rPr>
    </w:lvl>
    <w:lvl w:ilvl="4" w:tentative="1">
      <w:start w:val="1"/>
      <w:numFmt w:val="bullet"/>
      <w:lvlText w:val=""/>
      <w:lvlJc w:val="left"/>
      <w:pPr>
        <w:tabs>
          <w:tab w:val="num" w:pos="6480"/>
        </w:tabs>
        <w:ind w:left="6480" w:hanging="360"/>
      </w:pPr>
      <w:rPr>
        <w:rFonts w:ascii="Wingdings" w:hAnsi="Wingdings" w:hint="default"/>
        <w:sz w:val="20"/>
      </w:rPr>
    </w:lvl>
    <w:lvl w:ilvl="5" w:tentative="1">
      <w:start w:val="1"/>
      <w:numFmt w:val="bullet"/>
      <w:lvlText w:val=""/>
      <w:lvlJc w:val="left"/>
      <w:pPr>
        <w:tabs>
          <w:tab w:val="num" w:pos="7200"/>
        </w:tabs>
        <w:ind w:left="7200" w:hanging="360"/>
      </w:pPr>
      <w:rPr>
        <w:rFonts w:ascii="Wingdings" w:hAnsi="Wingdings" w:hint="default"/>
        <w:sz w:val="20"/>
      </w:rPr>
    </w:lvl>
    <w:lvl w:ilvl="6" w:tentative="1">
      <w:start w:val="1"/>
      <w:numFmt w:val="bullet"/>
      <w:lvlText w:val=""/>
      <w:lvlJc w:val="left"/>
      <w:pPr>
        <w:tabs>
          <w:tab w:val="num" w:pos="7920"/>
        </w:tabs>
        <w:ind w:left="7920" w:hanging="360"/>
      </w:pPr>
      <w:rPr>
        <w:rFonts w:ascii="Wingdings" w:hAnsi="Wingdings" w:hint="default"/>
        <w:sz w:val="20"/>
      </w:rPr>
    </w:lvl>
    <w:lvl w:ilvl="7" w:tentative="1">
      <w:start w:val="1"/>
      <w:numFmt w:val="bullet"/>
      <w:lvlText w:val=""/>
      <w:lvlJc w:val="left"/>
      <w:pPr>
        <w:tabs>
          <w:tab w:val="num" w:pos="8640"/>
        </w:tabs>
        <w:ind w:left="8640" w:hanging="360"/>
      </w:pPr>
      <w:rPr>
        <w:rFonts w:ascii="Wingdings" w:hAnsi="Wingdings" w:hint="default"/>
        <w:sz w:val="20"/>
      </w:rPr>
    </w:lvl>
    <w:lvl w:ilvl="8" w:tentative="1">
      <w:start w:val="1"/>
      <w:numFmt w:val="bullet"/>
      <w:lvlText w:val=""/>
      <w:lvlJc w:val="left"/>
      <w:pPr>
        <w:tabs>
          <w:tab w:val="num" w:pos="9360"/>
        </w:tabs>
        <w:ind w:left="9360" w:hanging="360"/>
      </w:pPr>
      <w:rPr>
        <w:rFonts w:ascii="Wingdings" w:hAnsi="Wingdings" w:hint="default"/>
        <w:sz w:val="20"/>
      </w:rPr>
    </w:lvl>
  </w:abstractNum>
  <w:abstractNum w:abstractNumId="22" w15:restartNumberingAfterBreak="0">
    <w:nsid w:val="3ACF4EB2"/>
    <w:multiLevelType w:val="hybridMultilevel"/>
    <w:tmpl w:val="3662999A"/>
    <w:lvl w:ilvl="0" w:tplc="5066ABD2">
      <w:start w:val="1"/>
      <w:numFmt w:val="bullet"/>
      <w:pStyle w:val="Bullet2G"/>
      <w:lvlText w:val="•"/>
      <w:lvlJc w:val="left"/>
      <w:pPr>
        <w:tabs>
          <w:tab w:val="num" w:pos="2268"/>
        </w:tabs>
        <w:ind w:left="2268" w:hanging="170"/>
      </w:pPr>
      <w:rPr>
        <w:rFonts w:ascii="Times New Roman" w:hAnsi="Times New Roman" w:cs="Times New Roman" w:hint="default"/>
      </w:rPr>
    </w:lvl>
    <w:lvl w:ilvl="1" w:tplc="2D5ECDAC" w:tentative="1">
      <w:start w:val="1"/>
      <w:numFmt w:val="bullet"/>
      <w:lvlText w:val="o"/>
      <w:lvlJc w:val="left"/>
      <w:pPr>
        <w:tabs>
          <w:tab w:val="num" w:pos="3708"/>
        </w:tabs>
        <w:ind w:left="3708" w:hanging="360"/>
      </w:pPr>
      <w:rPr>
        <w:rFonts w:ascii="Courier New" w:hAnsi="Courier New" w:hint="default"/>
      </w:rPr>
    </w:lvl>
    <w:lvl w:ilvl="2" w:tplc="D3A2A62A" w:tentative="1">
      <w:start w:val="1"/>
      <w:numFmt w:val="bullet"/>
      <w:lvlText w:val=""/>
      <w:lvlJc w:val="left"/>
      <w:pPr>
        <w:tabs>
          <w:tab w:val="num" w:pos="4428"/>
        </w:tabs>
        <w:ind w:left="4428" w:hanging="360"/>
      </w:pPr>
      <w:rPr>
        <w:rFonts w:ascii="Wingdings" w:hAnsi="Wingdings" w:hint="default"/>
      </w:rPr>
    </w:lvl>
    <w:lvl w:ilvl="3" w:tplc="3154BF96" w:tentative="1">
      <w:start w:val="1"/>
      <w:numFmt w:val="bullet"/>
      <w:lvlText w:val=""/>
      <w:lvlJc w:val="left"/>
      <w:pPr>
        <w:tabs>
          <w:tab w:val="num" w:pos="5148"/>
        </w:tabs>
        <w:ind w:left="5148" w:hanging="360"/>
      </w:pPr>
      <w:rPr>
        <w:rFonts w:ascii="Symbol" w:hAnsi="Symbol" w:hint="default"/>
      </w:rPr>
    </w:lvl>
    <w:lvl w:ilvl="4" w:tplc="925A2A0C" w:tentative="1">
      <w:start w:val="1"/>
      <w:numFmt w:val="bullet"/>
      <w:lvlText w:val="o"/>
      <w:lvlJc w:val="left"/>
      <w:pPr>
        <w:tabs>
          <w:tab w:val="num" w:pos="5868"/>
        </w:tabs>
        <w:ind w:left="5868" w:hanging="360"/>
      </w:pPr>
      <w:rPr>
        <w:rFonts w:ascii="Courier New" w:hAnsi="Courier New" w:hint="default"/>
      </w:rPr>
    </w:lvl>
    <w:lvl w:ilvl="5" w:tplc="6B4A85CE" w:tentative="1">
      <w:start w:val="1"/>
      <w:numFmt w:val="bullet"/>
      <w:lvlText w:val=""/>
      <w:lvlJc w:val="left"/>
      <w:pPr>
        <w:tabs>
          <w:tab w:val="num" w:pos="6588"/>
        </w:tabs>
        <w:ind w:left="6588" w:hanging="360"/>
      </w:pPr>
      <w:rPr>
        <w:rFonts w:ascii="Wingdings" w:hAnsi="Wingdings" w:hint="default"/>
      </w:rPr>
    </w:lvl>
    <w:lvl w:ilvl="6" w:tplc="A10CCD52" w:tentative="1">
      <w:start w:val="1"/>
      <w:numFmt w:val="bullet"/>
      <w:lvlText w:val=""/>
      <w:lvlJc w:val="left"/>
      <w:pPr>
        <w:tabs>
          <w:tab w:val="num" w:pos="7308"/>
        </w:tabs>
        <w:ind w:left="7308" w:hanging="360"/>
      </w:pPr>
      <w:rPr>
        <w:rFonts w:ascii="Symbol" w:hAnsi="Symbol" w:hint="default"/>
      </w:rPr>
    </w:lvl>
    <w:lvl w:ilvl="7" w:tplc="4DB8F682" w:tentative="1">
      <w:start w:val="1"/>
      <w:numFmt w:val="bullet"/>
      <w:lvlText w:val="o"/>
      <w:lvlJc w:val="left"/>
      <w:pPr>
        <w:tabs>
          <w:tab w:val="num" w:pos="8028"/>
        </w:tabs>
        <w:ind w:left="8028" w:hanging="360"/>
      </w:pPr>
      <w:rPr>
        <w:rFonts w:ascii="Courier New" w:hAnsi="Courier New" w:hint="default"/>
      </w:rPr>
    </w:lvl>
    <w:lvl w:ilvl="8" w:tplc="7E6EA766"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0966960"/>
    <w:multiLevelType w:val="hybridMultilevel"/>
    <w:tmpl w:val="889420E8"/>
    <w:lvl w:ilvl="0" w:tplc="2396B764">
      <w:start w:val="1"/>
      <w:numFmt w:val="bullet"/>
      <w:lvlText w:val=""/>
      <w:lvlJc w:val="righ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4BB01C8"/>
    <w:multiLevelType w:val="hybridMultilevel"/>
    <w:tmpl w:val="100C218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4D6B4F99"/>
    <w:multiLevelType w:val="hybridMultilevel"/>
    <w:tmpl w:val="D3C48E5E"/>
    <w:lvl w:ilvl="0" w:tplc="2396B764">
      <w:start w:val="1"/>
      <w:numFmt w:val="bullet"/>
      <w:lvlText w:val=""/>
      <w:lvlJc w:val="righ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BFF7D34"/>
    <w:multiLevelType w:val="hybridMultilevel"/>
    <w:tmpl w:val="DA86CC88"/>
    <w:lvl w:ilvl="0" w:tplc="4C363AFA">
      <w:start w:val="1"/>
      <w:numFmt w:val="upp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7" w15:restartNumberingAfterBreak="0">
    <w:nsid w:val="68AD07B2"/>
    <w:multiLevelType w:val="hybridMultilevel"/>
    <w:tmpl w:val="5D1450C0"/>
    <w:lvl w:ilvl="0" w:tplc="A01E4826">
      <w:start w:val="1"/>
      <w:numFmt w:val="bullet"/>
      <w:pStyle w:val="Bullet1G"/>
      <w:lvlText w:val="•"/>
      <w:lvlJc w:val="left"/>
      <w:pPr>
        <w:tabs>
          <w:tab w:val="num" w:pos="1701"/>
        </w:tabs>
        <w:ind w:left="1701" w:hanging="170"/>
      </w:pPr>
      <w:rPr>
        <w:rFonts w:ascii="Times New Roman" w:hAnsi="Times New Roman" w:cs="Times New Roman" w:hint="default"/>
      </w:rPr>
    </w:lvl>
    <w:lvl w:ilvl="1" w:tplc="591C1ECA" w:tentative="1">
      <w:start w:val="1"/>
      <w:numFmt w:val="bullet"/>
      <w:lvlText w:val="o"/>
      <w:lvlJc w:val="left"/>
      <w:pPr>
        <w:tabs>
          <w:tab w:val="num" w:pos="3141"/>
        </w:tabs>
        <w:ind w:left="3141" w:hanging="360"/>
      </w:pPr>
      <w:rPr>
        <w:rFonts w:ascii="Courier New" w:hAnsi="Courier New" w:hint="default"/>
      </w:rPr>
    </w:lvl>
    <w:lvl w:ilvl="2" w:tplc="7236F9EA" w:tentative="1">
      <w:start w:val="1"/>
      <w:numFmt w:val="bullet"/>
      <w:lvlText w:val=""/>
      <w:lvlJc w:val="left"/>
      <w:pPr>
        <w:tabs>
          <w:tab w:val="num" w:pos="3861"/>
        </w:tabs>
        <w:ind w:left="3861" w:hanging="360"/>
      </w:pPr>
      <w:rPr>
        <w:rFonts w:ascii="Wingdings" w:hAnsi="Wingdings" w:hint="default"/>
      </w:rPr>
    </w:lvl>
    <w:lvl w:ilvl="3" w:tplc="4D4E3E6E" w:tentative="1">
      <w:start w:val="1"/>
      <w:numFmt w:val="bullet"/>
      <w:lvlText w:val=""/>
      <w:lvlJc w:val="left"/>
      <w:pPr>
        <w:tabs>
          <w:tab w:val="num" w:pos="4581"/>
        </w:tabs>
        <w:ind w:left="4581" w:hanging="360"/>
      </w:pPr>
      <w:rPr>
        <w:rFonts w:ascii="Symbol" w:hAnsi="Symbol" w:hint="default"/>
      </w:rPr>
    </w:lvl>
    <w:lvl w:ilvl="4" w:tplc="6FE89886" w:tentative="1">
      <w:start w:val="1"/>
      <w:numFmt w:val="bullet"/>
      <w:lvlText w:val="o"/>
      <w:lvlJc w:val="left"/>
      <w:pPr>
        <w:tabs>
          <w:tab w:val="num" w:pos="5301"/>
        </w:tabs>
        <w:ind w:left="5301" w:hanging="360"/>
      </w:pPr>
      <w:rPr>
        <w:rFonts w:ascii="Courier New" w:hAnsi="Courier New" w:hint="default"/>
      </w:rPr>
    </w:lvl>
    <w:lvl w:ilvl="5" w:tplc="D9B0F3F4" w:tentative="1">
      <w:start w:val="1"/>
      <w:numFmt w:val="bullet"/>
      <w:lvlText w:val=""/>
      <w:lvlJc w:val="left"/>
      <w:pPr>
        <w:tabs>
          <w:tab w:val="num" w:pos="6021"/>
        </w:tabs>
        <w:ind w:left="6021" w:hanging="360"/>
      </w:pPr>
      <w:rPr>
        <w:rFonts w:ascii="Wingdings" w:hAnsi="Wingdings" w:hint="default"/>
      </w:rPr>
    </w:lvl>
    <w:lvl w:ilvl="6" w:tplc="A2422A1C" w:tentative="1">
      <w:start w:val="1"/>
      <w:numFmt w:val="bullet"/>
      <w:lvlText w:val=""/>
      <w:lvlJc w:val="left"/>
      <w:pPr>
        <w:tabs>
          <w:tab w:val="num" w:pos="6741"/>
        </w:tabs>
        <w:ind w:left="6741" w:hanging="360"/>
      </w:pPr>
      <w:rPr>
        <w:rFonts w:ascii="Symbol" w:hAnsi="Symbol" w:hint="default"/>
      </w:rPr>
    </w:lvl>
    <w:lvl w:ilvl="7" w:tplc="BBAAD778" w:tentative="1">
      <w:start w:val="1"/>
      <w:numFmt w:val="bullet"/>
      <w:lvlText w:val="o"/>
      <w:lvlJc w:val="left"/>
      <w:pPr>
        <w:tabs>
          <w:tab w:val="num" w:pos="7461"/>
        </w:tabs>
        <w:ind w:left="7461" w:hanging="360"/>
      </w:pPr>
      <w:rPr>
        <w:rFonts w:ascii="Courier New" w:hAnsi="Courier New" w:hint="default"/>
      </w:rPr>
    </w:lvl>
    <w:lvl w:ilvl="8" w:tplc="B8005224"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EF321CD"/>
    <w:multiLevelType w:val="hybridMultilevel"/>
    <w:tmpl w:val="F0DE136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F4957BD"/>
    <w:multiLevelType w:val="hybridMultilevel"/>
    <w:tmpl w:val="9E3E354C"/>
    <w:lvl w:ilvl="0" w:tplc="BE043312">
      <w:start w:val="1"/>
      <w:numFmt w:val="upperRoman"/>
      <w:lvlText w:val="%1."/>
      <w:lvlJc w:val="left"/>
      <w:pPr>
        <w:ind w:left="1800" w:hanging="72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num w:numId="1" w16cid:durableId="469056939">
    <w:abstractNumId w:val="27"/>
  </w:num>
  <w:num w:numId="2" w16cid:durableId="806244486">
    <w:abstractNumId w:val="22"/>
  </w:num>
  <w:num w:numId="3" w16cid:durableId="830027151">
    <w:abstractNumId w:val="13"/>
  </w:num>
  <w:num w:numId="4" w16cid:durableId="1314678546">
    <w:abstractNumId w:val="8"/>
  </w:num>
  <w:num w:numId="5" w16cid:durableId="1158034432">
    <w:abstractNumId w:val="3"/>
  </w:num>
  <w:num w:numId="6" w16cid:durableId="737216644">
    <w:abstractNumId w:val="2"/>
  </w:num>
  <w:num w:numId="7" w16cid:durableId="2031452065">
    <w:abstractNumId w:val="1"/>
  </w:num>
  <w:num w:numId="8" w16cid:durableId="637028081">
    <w:abstractNumId w:val="0"/>
  </w:num>
  <w:num w:numId="9" w16cid:durableId="1428651849">
    <w:abstractNumId w:val="9"/>
  </w:num>
  <w:num w:numId="10" w16cid:durableId="1301157698">
    <w:abstractNumId w:val="7"/>
  </w:num>
  <w:num w:numId="11" w16cid:durableId="1987120921">
    <w:abstractNumId w:val="6"/>
  </w:num>
  <w:num w:numId="12" w16cid:durableId="2100179131">
    <w:abstractNumId w:val="5"/>
  </w:num>
  <w:num w:numId="13" w16cid:durableId="1923564234">
    <w:abstractNumId w:val="4"/>
  </w:num>
  <w:num w:numId="14" w16cid:durableId="1485075984">
    <w:abstractNumId w:val="27"/>
  </w:num>
  <w:num w:numId="15" w16cid:durableId="664431920">
    <w:abstractNumId w:val="22"/>
  </w:num>
  <w:num w:numId="16" w16cid:durableId="107897841">
    <w:abstractNumId w:val="13"/>
  </w:num>
  <w:num w:numId="17" w16cid:durableId="838882729">
    <w:abstractNumId w:val="17"/>
  </w:num>
  <w:num w:numId="18" w16cid:durableId="103117884">
    <w:abstractNumId w:val="16"/>
  </w:num>
  <w:num w:numId="19" w16cid:durableId="600651907">
    <w:abstractNumId w:val="26"/>
  </w:num>
  <w:num w:numId="20" w16cid:durableId="911235429">
    <w:abstractNumId w:val="19"/>
  </w:num>
  <w:num w:numId="21" w16cid:durableId="1568689535">
    <w:abstractNumId w:val="18"/>
  </w:num>
  <w:num w:numId="22" w16cid:durableId="63190602">
    <w:abstractNumId w:val="10"/>
  </w:num>
  <w:num w:numId="23" w16cid:durableId="2123910711">
    <w:abstractNumId w:val="12"/>
  </w:num>
  <w:num w:numId="24" w16cid:durableId="1531650775">
    <w:abstractNumId w:val="23"/>
  </w:num>
  <w:num w:numId="25" w16cid:durableId="907154918">
    <w:abstractNumId w:val="25"/>
  </w:num>
  <w:num w:numId="26" w16cid:durableId="153302559">
    <w:abstractNumId w:val="11"/>
  </w:num>
  <w:num w:numId="27" w16cid:durableId="1947350766">
    <w:abstractNumId w:val="15"/>
  </w:num>
  <w:num w:numId="28" w16cid:durableId="539323641">
    <w:abstractNumId w:val="14"/>
  </w:num>
  <w:num w:numId="29" w16cid:durableId="720716059">
    <w:abstractNumId w:val="21"/>
  </w:num>
  <w:num w:numId="30" w16cid:durableId="1610743882">
    <w:abstractNumId w:val="24"/>
  </w:num>
  <w:num w:numId="31" w16cid:durableId="911814226">
    <w:abstractNumId w:val="20"/>
  </w:num>
  <w:num w:numId="32" w16cid:durableId="1239174121">
    <w:abstractNumId w:val="28"/>
  </w:num>
  <w:num w:numId="33" w16cid:durableId="106445408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3C14"/>
    <w:rsid w:val="00077525"/>
    <w:rsid w:val="000D7539"/>
    <w:rsid w:val="000F1836"/>
    <w:rsid w:val="000F2C2F"/>
    <w:rsid w:val="00130FB3"/>
    <w:rsid w:val="00177F05"/>
    <w:rsid w:val="001A4F50"/>
    <w:rsid w:val="001F0A2D"/>
    <w:rsid w:val="0020191D"/>
    <w:rsid w:val="00201ECD"/>
    <w:rsid w:val="00203413"/>
    <w:rsid w:val="00203C8D"/>
    <w:rsid w:val="002138AD"/>
    <w:rsid w:val="00236AC2"/>
    <w:rsid w:val="00243954"/>
    <w:rsid w:val="0029545C"/>
    <w:rsid w:val="003832BC"/>
    <w:rsid w:val="003B4D4E"/>
    <w:rsid w:val="003D2D74"/>
    <w:rsid w:val="003E6DC7"/>
    <w:rsid w:val="00434428"/>
    <w:rsid w:val="00434F1C"/>
    <w:rsid w:val="004608F0"/>
    <w:rsid w:val="00472C38"/>
    <w:rsid w:val="004B2534"/>
    <w:rsid w:val="005317D9"/>
    <w:rsid w:val="005B06D5"/>
    <w:rsid w:val="005D3A98"/>
    <w:rsid w:val="005D7977"/>
    <w:rsid w:val="00641CAE"/>
    <w:rsid w:val="00643558"/>
    <w:rsid w:val="00657A16"/>
    <w:rsid w:val="00694B72"/>
    <w:rsid w:val="006B043B"/>
    <w:rsid w:val="006C7198"/>
    <w:rsid w:val="00725E3C"/>
    <w:rsid w:val="007550B5"/>
    <w:rsid w:val="00763332"/>
    <w:rsid w:val="00781797"/>
    <w:rsid w:val="007B0648"/>
    <w:rsid w:val="007C3D27"/>
    <w:rsid w:val="00821C54"/>
    <w:rsid w:val="00856098"/>
    <w:rsid w:val="00865803"/>
    <w:rsid w:val="00905CF8"/>
    <w:rsid w:val="009265F3"/>
    <w:rsid w:val="009332B5"/>
    <w:rsid w:val="00934F13"/>
    <w:rsid w:val="009634B2"/>
    <w:rsid w:val="0098006A"/>
    <w:rsid w:val="00992932"/>
    <w:rsid w:val="009C1C0E"/>
    <w:rsid w:val="009D4805"/>
    <w:rsid w:val="009D5224"/>
    <w:rsid w:val="009F6492"/>
    <w:rsid w:val="00A02DD8"/>
    <w:rsid w:val="00A07D3C"/>
    <w:rsid w:val="00A13111"/>
    <w:rsid w:val="00A1609B"/>
    <w:rsid w:val="00A4343B"/>
    <w:rsid w:val="00B16A52"/>
    <w:rsid w:val="00B65306"/>
    <w:rsid w:val="00BA5282"/>
    <w:rsid w:val="00BC3D59"/>
    <w:rsid w:val="00BC639C"/>
    <w:rsid w:val="00BE3C14"/>
    <w:rsid w:val="00C44AEE"/>
    <w:rsid w:val="00C54E67"/>
    <w:rsid w:val="00CD7ECB"/>
    <w:rsid w:val="00CF7274"/>
    <w:rsid w:val="00D1384A"/>
    <w:rsid w:val="00D234CB"/>
    <w:rsid w:val="00D668D0"/>
    <w:rsid w:val="00D82F1A"/>
    <w:rsid w:val="00D9391F"/>
    <w:rsid w:val="00DE3B85"/>
    <w:rsid w:val="00E2724B"/>
    <w:rsid w:val="00E370C7"/>
    <w:rsid w:val="00E370CE"/>
    <w:rsid w:val="00E54531"/>
    <w:rsid w:val="00E76C04"/>
    <w:rsid w:val="00EA524F"/>
    <w:rsid w:val="00F34885"/>
    <w:rsid w:val="00FA2F7C"/>
    <w:rsid w:val="00FE2856"/>
    <w:rsid w:val="00FF71C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39ED35"/>
  <w15:docId w15:val="{33A15405-6717-4C07-94B6-3B6D9D6BB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unhideWhenUsed="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unhideWhenUsed="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C0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outlineLvl w:val="1"/>
    </w:pPr>
  </w:style>
  <w:style w:type="paragraph" w:styleId="Heading3">
    <w:name w:val="heading 3"/>
    <w:basedOn w:val="Normal"/>
    <w:next w:val="Normal"/>
    <w:link w:val="Heading3Char"/>
    <w:uiPriority w:val="9"/>
    <w:qFormat/>
    <w:pPr>
      <w:outlineLvl w:val="2"/>
    </w:pPr>
  </w:style>
  <w:style w:type="paragraph" w:styleId="Heading4">
    <w:name w:val="heading 4"/>
    <w:basedOn w:val="Normal"/>
    <w:next w:val="Normal"/>
    <w:link w:val="Heading4Char"/>
    <w:uiPriority w:val="9"/>
    <w:qFormat/>
    <w:pPr>
      <w:outlineLvl w:val="3"/>
    </w:pPr>
  </w:style>
  <w:style w:type="paragraph" w:styleId="Heading5">
    <w:name w:val="heading 5"/>
    <w:basedOn w:val="Normal"/>
    <w:next w:val="Normal"/>
    <w:link w:val="Heading5Char"/>
    <w:uiPriority w:val="9"/>
    <w:qFormat/>
    <w:pPr>
      <w:outlineLvl w:val="4"/>
    </w:pPr>
  </w:style>
  <w:style w:type="paragraph" w:styleId="Heading6">
    <w:name w:val="heading 6"/>
    <w:basedOn w:val="Normal"/>
    <w:next w:val="Normal"/>
    <w:link w:val="Heading6Char"/>
    <w:semiHidden/>
    <w:qFormat/>
    <w:pPr>
      <w:outlineLvl w:val="5"/>
    </w:pPr>
  </w:style>
  <w:style w:type="paragraph" w:styleId="Heading7">
    <w:name w:val="heading 7"/>
    <w:basedOn w:val="Normal"/>
    <w:next w:val="Normal"/>
    <w:link w:val="Heading7Char"/>
    <w:semiHidden/>
    <w:qFormat/>
    <w:pPr>
      <w:outlineLvl w:val="6"/>
    </w:pPr>
  </w:style>
  <w:style w:type="paragraph" w:styleId="Heading8">
    <w:name w:val="heading 8"/>
    <w:basedOn w:val="Normal"/>
    <w:next w:val="Normal"/>
    <w:link w:val="Heading8Char"/>
    <w:semiHidden/>
    <w:qFormat/>
    <w:pPr>
      <w:outlineLvl w:val="7"/>
    </w:pPr>
  </w:style>
  <w:style w:type="paragraph" w:styleId="Heading9">
    <w:name w:val="heading 9"/>
    <w:basedOn w:val="Normal"/>
    <w:next w:val="Normal"/>
    <w:link w:val="Heading9Char"/>
    <w:semiHidden/>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uiPriority w:val="99"/>
    <w:qFormat/>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rPr>
  </w:style>
  <w:style w:type="paragraph" w:styleId="Footer">
    <w:name w:val="footer"/>
    <w:aliases w:val="3_G"/>
    <w:basedOn w:val="Normal"/>
    <w:next w:val="Normal"/>
    <w:link w:val="FooterChar"/>
    <w:uiPriority w:val="99"/>
    <w:qFormat/>
    <w:pPr>
      <w:spacing w:line="240" w:lineRule="auto"/>
    </w:pPr>
    <w:rPr>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rPr>
  </w:style>
  <w:style w:type="paragraph" w:customStyle="1" w:styleId="HMG">
    <w:name w:val="_ H __M_G"/>
    <w:basedOn w:val="Normal"/>
    <w:next w:val="Normal"/>
    <w:qFormat/>
    <w:rsid w:val="00D9391F"/>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qFormat/>
    <w:rsid w:val="00D9391F"/>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D9391F"/>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D9391F"/>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D9391F"/>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D9391F"/>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821C54"/>
    <w:pPr>
      <w:tabs>
        <w:tab w:val="left" w:pos="1701"/>
        <w:tab w:val="left" w:pos="2268"/>
        <w:tab w:val="left" w:pos="2835"/>
      </w:tabs>
      <w:spacing w:after="120"/>
      <w:ind w:left="1134" w:right="1134"/>
      <w:jc w:val="both"/>
    </w:pPr>
    <w:rPr>
      <w:rFonts w:eastAsiaTheme="minorEastAsia"/>
      <w:lang w:eastAsia="zh-CN"/>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clear" w:pos="1701"/>
      </w:tabs>
      <w:spacing w:after="120"/>
      <w:ind w:right="1134"/>
      <w:jc w:val="both"/>
    </w:pPr>
  </w:style>
  <w:style w:type="character" w:styleId="FootnoteReference">
    <w:name w:val="footnote reference"/>
    <w:aliases w:val="4_G,ftref,Ref,de nota al pie,Footnote number, Car Char Char Char Char Char Char Char Char Car Char Car Char Char Char Char Char Car Car Car,16 Point,Superscript 6 Point"/>
    <w:basedOn w:val="DefaultParagraphFont"/>
    <w:uiPriority w:val="99"/>
    <w:qFormat/>
    <w:rPr>
      <w:rFonts w:ascii="Times New Roman" w:hAnsi="Times New Roman"/>
      <w:sz w:val="18"/>
      <w:vertAlign w:val="superscript"/>
      <w:lang w:val="fr-CH"/>
    </w:rPr>
  </w:style>
  <w:style w:type="character" w:styleId="EndnoteReference">
    <w:name w:val="endnote reference"/>
    <w:aliases w:val="1_G"/>
    <w:basedOn w:val="FootnoteReference"/>
    <w:qFormat/>
    <w:rPr>
      <w:rFonts w:ascii="Times New Roman" w:hAnsi="Times New Roman"/>
      <w:sz w:val="18"/>
      <w:vertAlign w:val="superscript"/>
      <w:lang w:val="fr-CH"/>
    </w:rPr>
  </w:style>
  <w:style w:type="table" w:styleId="TableGrid">
    <w:name w:val="Table Grid"/>
    <w:basedOn w:val="TableNormal"/>
    <w:uiPriority w:val="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Pr>
      <w:color w:val="0000FF"/>
      <w:u w:val="none"/>
    </w:rPr>
  </w:style>
  <w:style w:type="character" w:styleId="FollowedHyperlink">
    <w:name w:val="FollowedHyperlink"/>
    <w:basedOn w:val="DefaultParagraphFont"/>
    <w:unhideWhenUsed/>
    <w:rPr>
      <w:color w:val="0000FF"/>
      <w:u w:val="none"/>
    </w:rPr>
  </w:style>
  <w:style w:type="paragraph" w:styleId="FootnoteText">
    <w:name w:val="footnote text"/>
    <w:aliases w:val="5_G,ALTS FOOTNOTE,fn,ft,fn cafc,Footnote ak,Footnotes,single space,footnote text,Sharp - Footnote Text,Footnote Text - Sharp,Footnote Text Char1 Char Char Char,Footnote Text Char Char Char Char Char,f,FOOTNOT,Footnote"/>
    <w:basedOn w:val="Normal"/>
    <w:link w:val="FootnoteTextChar"/>
    <w:uiPriority w:val="99"/>
    <w:qFormat/>
    <w:pPr>
      <w:tabs>
        <w:tab w:val="right" w:pos="1021"/>
      </w:tabs>
      <w:spacing w:line="220" w:lineRule="exact"/>
      <w:ind w:left="1134" w:right="1134" w:hanging="1134"/>
    </w:pPr>
    <w:rPr>
      <w:sz w:val="18"/>
    </w:rPr>
  </w:style>
  <w:style w:type="character" w:customStyle="1" w:styleId="FootnoteTextChar">
    <w:name w:val="Footnote Text Char"/>
    <w:aliases w:val="5_G Char,ALTS FOOTNOTE Char1,fn Char1,ft Char1,fn cafc Char1,Footnote ak Char1,Footnotes Char1,single space Char1,footnote text Char1,Sharp - Footnote Text Char1,Footnote Text - Sharp Char1,Footnote Text Char1 Char Char Char Char"/>
    <w:basedOn w:val="DefaultParagraphFont"/>
    <w:link w:val="FootnoteText"/>
    <w:rPr>
      <w:rFonts w:ascii="Times New Roman" w:hAnsi="Times New Roman" w:cs="Times New Roman"/>
      <w:sz w:val="18"/>
      <w:szCs w:val="20"/>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rPr>
  </w:style>
  <w:style w:type="character" w:styleId="PageNumber">
    <w:name w:val="page number"/>
    <w:aliases w:val="7_G"/>
    <w:basedOn w:val="DefaultParagraphFont"/>
    <w:qFormat/>
    <w:rPr>
      <w:rFonts w:ascii="Times New Roman" w:hAnsi="Times New Roman"/>
      <w:b/>
      <w:sz w:val="18"/>
      <w:lang w:val="fr-CH"/>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uiPriority w:val="9"/>
    <w:rPr>
      <w:rFonts w:ascii="Times New Roman" w:hAnsi="Times New Roman" w:cs="Times New Roman"/>
      <w:sz w:val="20"/>
      <w:szCs w:val="20"/>
    </w:rPr>
  </w:style>
  <w:style w:type="character" w:customStyle="1" w:styleId="Heading5Char">
    <w:name w:val="Heading 5 Char"/>
    <w:basedOn w:val="DefaultParagraphFont"/>
    <w:link w:val="Heading5"/>
    <w:uiPriority w:val="9"/>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ng-binding">
    <w:name w:val="ng-binding"/>
    <w:basedOn w:val="DefaultParagraphFont"/>
    <w:rsid w:val="00A07D3C"/>
  </w:style>
  <w:style w:type="character" w:customStyle="1" w:styleId="ui-provider">
    <w:name w:val="ui-provider"/>
    <w:basedOn w:val="DefaultParagraphFont"/>
    <w:rsid w:val="00A07D3C"/>
  </w:style>
  <w:style w:type="character" w:customStyle="1" w:styleId="SingleTxtGChar">
    <w:name w:val="_ Single Txt_G Char"/>
    <w:link w:val="SingleTxtG"/>
    <w:rsid w:val="004608F0"/>
    <w:rPr>
      <w:rFonts w:ascii="Times New Roman" w:eastAsiaTheme="minorEastAsia" w:hAnsi="Times New Roman" w:cs="Times New Roman"/>
      <w:sz w:val="20"/>
      <w:szCs w:val="20"/>
      <w:lang w:eastAsia="zh-CN"/>
    </w:rPr>
  </w:style>
  <w:style w:type="paragraph" w:styleId="BodyText">
    <w:name w:val="Body Text"/>
    <w:basedOn w:val="Normal"/>
    <w:link w:val="BodyTextChar"/>
    <w:rsid w:val="004608F0"/>
    <w:pPr>
      <w:kinsoku/>
      <w:overflowPunct/>
      <w:autoSpaceDE/>
      <w:autoSpaceDN/>
      <w:adjustRightInd/>
      <w:snapToGrid/>
      <w:spacing w:after="120" w:line="240" w:lineRule="auto"/>
    </w:pPr>
    <w:rPr>
      <w:rFonts w:eastAsia="Times New Roman"/>
      <w:sz w:val="24"/>
      <w:szCs w:val="24"/>
      <w:lang w:val="fr-FR" w:eastAsia="ar-SA"/>
    </w:rPr>
  </w:style>
  <w:style w:type="character" w:customStyle="1" w:styleId="BodyTextChar">
    <w:name w:val="Body Text Char"/>
    <w:basedOn w:val="DefaultParagraphFont"/>
    <w:link w:val="BodyText"/>
    <w:rsid w:val="004608F0"/>
    <w:rPr>
      <w:rFonts w:ascii="Times New Roman" w:eastAsia="Times New Roman" w:hAnsi="Times New Roman" w:cs="Times New Roman"/>
      <w:sz w:val="24"/>
      <w:szCs w:val="24"/>
      <w:lang w:val="fr-FR" w:eastAsia="ar-SA"/>
    </w:rPr>
  </w:style>
  <w:style w:type="character" w:customStyle="1" w:styleId="H23GChar">
    <w:name w:val="_ H_2/3_G Char"/>
    <w:link w:val="H23G"/>
    <w:locked/>
    <w:rsid w:val="004608F0"/>
    <w:rPr>
      <w:rFonts w:ascii="Times New Roman" w:eastAsiaTheme="minorEastAsia" w:hAnsi="Times New Roman" w:cs="Times New Roman"/>
      <w:b/>
      <w:sz w:val="20"/>
      <w:szCs w:val="20"/>
      <w:lang w:eastAsia="zh-CN"/>
    </w:rPr>
  </w:style>
  <w:style w:type="paragraph" w:styleId="NoSpacing">
    <w:name w:val="No Spacing"/>
    <w:link w:val="NoSpacingChar"/>
    <w:uiPriority w:val="1"/>
    <w:qFormat/>
    <w:rsid w:val="004608F0"/>
    <w:pPr>
      <w:spacing w:after="0" w:line="240" w:lineRule="auto"/>
    </w:pPr>
    <w:rPr>
      <w:rFonts w:ascii="Calibri" w:eastAsia="Calibri" w:hAnsi="Calibri" w:cs="Times New Roman"/>
      <w:lang w:val="fr-FR"/>
    </w:rPr>
  </w:style>
  <w:style w:type="character" w:customStyle="1" w:styleId="FootnoteTextChar1">
    <w:name w:val="Footnote Text Char1"/>
    <w:aliases w:val="ALTS FOOTNOTE Char,fn Char,ft Char,fn cafc Char,Footnote ak Char,Footnotes Char,single space Char,footnote text Char,Sharp - Footnote Text Char,Footnote Text - Sharp Char,Footnote Text Char Char,f Char,FOOTNOT Char,Footnote Char"/>
    <w:basedOn w:val="DefaultParagraphFont"/>
    <w:uiPriority w:val="99"/>
    <w:rsid w:val="004608F0"/>
    <w:rPr>
      <w:rFonts w:ascii="Times New Roman" w:eastAsia="Times New Roman" w:hAnsi="Times New Roman" w:cs="Times New Roman"/>
      <w:sz w:val="20"/>
      <w:szCs w:val="20"/>
      <w:lang w:val="x-none" w:eastAsia="x-none"/>
    </w:rPr>
  </w:style>
  <w:style w:type="paragraph" w:styleId="ListParagraph">
    <w:name w:val="List Paragraph"/>
    <w:aliases w:val="List Paragraph (numbered (a)),Normal Italics,References,Bullets,ReferencesCxSpLast,Numbered List Paragraph,Medium Grid 1 - Accent 21,Liste 1,List Paragraph nowy,Colorful List - Accent 11,List Paragraph1,MCHIP_list paragraph,lp1,texte"/>
    <w:basedOn w:val="Normal"/>
    <w:link w:val="ListParagraphChar"/>
    <w:uiPriority w:val="34"/>
    <w:qFormat/>
    <w:rsid w:val="004608F0"/>
    <w:pPr>
      <w:suppressAutoHyphens w:val="0"/>
      <w:kinsoku/>
      <w:overflowPunct/>
      <w:autoSpaceDE/>
      <w:autoSpaceDN/>
      <w:adjustRightInd/>
      <w:snapToGrid/>
      <w:spacing w:after="200" w:line="276" w:lineRule="auto"/>
      <w:ind w:left="720"/>
      <w:contextualSpacing/>
    </w:pPr>
    <w:rPr>
      <w:rFonts w:ascii="Calibri" w:eastAsia="Calibri" w:hAnsi="Calibri"/>
      <w:sz w:val="22"/>
      <w:szCs w:val="22"/>
      <w:lang w:val="x-none"/>
    </w:rPr>
  </w:style>
  <w:style w:type="paragraph" w:styleId="Title">
    <w:name w:val="Title"/>
    <w:basedOn w:val="Normal"/>
    <w:link w:val="TitleChar"/>
    <w:qFormat/>
    <w:rsid w:val="004608F0"/>
    <w:pPr>
      <w:suppressAutoHyphens w:val="0"/>
      <w:kinsoku/>
      <w:overflowPunct/>
      <w:autoSpaceDE/>
      <w:autoSpaceDN/>
      <w:adjustRightInd/>
      <w:snapToGrid/>
      <w:spacing w:line="240" w:lineRule="auto"/>
      <w:jc w:val="center"/>
    </w:pPr>
    <w:rPr>
      <w:rFonts w:eastAsia="Times New Roman"/>
      <w:b/>
      <w:bCs/>
      <w:sz w:val="24"/>
      <w:szCs w:val="24"/>
      <w:lang w:val="x-none" w:eastAsia="x-none"/>
    </w:rPr>
  </w:style>
  <w:style w:type="character" w:customStyle="1" w:styleId="TitleChar">
    <w:name w:val="Title Char"/>
    <w:basedOn w:val="DefaultParagraphFont"/>
    <w:link w:val="Title"/>
    <w:rsid w:val="004608F0"/>
    <w:rPr>
      <w:rFonts w:ascii="Times New Roman" w:eastAsia="Times New Roman" w:hAnsi="Times New Roman" w:cs="Times New Roman"/>
      <w:b/>
      <w:bCs/>
      <w:sz w:val="24"/>
      <w:szCs w:val="24"/>
      <w:lang w:val="x-none" w:eastAsia="x-none"/>
    </w:rPr>
  </w:style>
  <w:style w:type="paragraph" w:customStyle="1" w:styleId="Listecouleur-Accent11">
    <w:name w:val="Liste couleur - Accent 11"/>
    <w:basedOn w:val="Normal"/>
    <w:uiPriority w:val="34"/>
    <w:qFormat/>
    <w:rsid w:val="004608F0"/>
    <w:pPr>
      <w:suppressAutoHyphens w:val="0"/>
      <w:kinsoku/>
      <w:overflowPunct/>
      <w:autoSpaceDE/>
      <w:autoSpaceDN/>
      <w:adjustRightInd/>
      <w:snapToGrid/>
      <w:spacing w:line="240" w:lineRule="auto"/>
      <w:ind w:left="720"/>
      <w:contextualSpacing/>
    </w:pPr>
    <w:rPr>
      <w:rFonts w:ascii="Cambria" w:eastAsia="MS Mincho" w:hAnsi="Cambria" w:cs="Arial"/>
      <w:sz w:val="24"/>
      <w:szCs w:val="24"/>
      <w:lang w:val="fr-FR"/>
    </w:rPr>
  </w:style>
  <w:style w:type="paragraph" w:customStyle="1" w:styleId="Paragraphedeliste1">
    <w:name w:val="Paragraphe de liste1"/>
    <w:basedOn w:val="Normal"/>
    <w:qFormat/>
    <w:rsid w:val="004608F0"/>
    <w:pPr>
      <w:suppressAutoHyphens w:val="0"/>
      <w:kinsoku/>
      <w:overflowPunct/>
      <w:autoSpaceDE/>
      <w:autoSpaceDN/>
      <w:adjustRightInd/>
      <w:snapToGrid/>
      <w:spacing w:after="200" w:line="276" w:lineRule="auto"/>
      <w:ind w:left="720"/>
    </w:pPr>
    <w:rPr>
      <w:rFonts w:ascii="Calibri" w:eastAsia="Times New Roman" w:hAnsi="Calibri" w:cs="Arial"/>
      <w:sz w:val="22"/>
      <w:szCs w:val="22"/>
      <w:lang w:val="fr-FR"/>
    </w:rPr>
  </w:style>
  <w:style w:type="character" w:customStyle="1" w:styleId="ListParagraphChar">
    <w:name w:val="List Paragraph Char"/>
    <w:aliases w:val="List Paragraph (numbered (a)) Char,Normal Italics Char,References Char,Bullets Char,ReferencesCxSpLast Char,Numbered List Paragraph Char,Medium Grid 1 - Accent 21 Char,Liste 1 Char,List Paragraph nowy Char,List Paragraph1 Char"/>
    <w:link w:val="ListParagraph"/>
    <w:uiPriority w:val="34"/>
    <w:rsid w:val="004608F0"/>
    <w:rPr>
      <w:rFonts w:ascii="Calibri" w:eastAsia="Calibri" w:hAnsi="Calibri" w:cs="Times New Roman"/>
      <w:lang w:val="x-none"/>
    </w:rPr>
  </w:style>
  <w:style w:type="character" w:customStyle="1" w:styleId="NoSpacingChar">
    <w:name w:val="No Spacing Char"/>
    <w:link w:val="NoSpacing"/>
    <w:uiPriority w:val="1"/>
    <w:locked/>
    <w:rsid w:val="004608F0"/>
    <w:rPr>
      <w:rFonts w:ascii="Calibri" w:eastAsia="Calibri" w:hAnsi="Calibri" w:cs="Times New Roman"/>
      <w:lang w:val="fr-FR"/>
    </w:rPr>
  </w:style>
  <w:style w:type="paragraph" w:customStyle="1" w:styleId="Sansinterligne1">
    <w:name w:val="Sans interligne1"/>
    <w:uiPriority w:val="1"/>
    <w:qFormat/>
    <w:rsid w:val="004608F0"/>
    <w:pPr>
      <w:spacing w:after="0" w:line="240" w:lineRule="auto"/>
    </w:pPr>
    <w:rPr>
      <w:rFonts w:ascii="Calibri" w:eastAsia="Calibri" w:hAnsi="Calibri" w:cs="Arial"/>
      <w:lang w:val="fr-FR"/>
    </w:rPr>
  </w:style>
  <w:style w:type="paragraph" w:styleId="CommentText">
    <w:name w:val="annotation text"/>
    <w:basedOn w:val="Normal"/>
    <w:link w:val="CommentTextChar"/>
    <w:unhideWhenUsed/>
    <w:rsid w:val="004608F0"/>
    <w:pPr>
      <w:suppressAutoHyphens w:val="0"/>
      <w:kinsoku/>
      <w:overflowPunct/>
      <w:autoSpaceDE/>
      <w:autoSpaceDN/>
      <w:adjustRightInd/>
      <w:snapToGrid/>
      <w:spacing w:after="200" w:line="240" w:lineRule="auto"/>
    </w:pPr>
    <w:rPr>
      <w:rFonts w:ascii="Calibri" w:eastAsia="Calibri" w:hAnsi="Calibri"/>
      <w:lang w:val="fr-FR" w:eastAsia="x-none"/>
    </w:rPr>
  </w:style>
  <w:style w:type="character" w:customStyle="1" w:styleId="CommentTextChar">
    <w:name w:val="Comment Text Char"/>
    <w:basedOn w:val="DefaultParagraphFont"/>
    <w:link w:val="CommentText"/>
    <w:rsid w:val="004608F0"/>
    <w:rPr>
      <w:rFonts w:ascii="Calibri" w:eastAsia="Calibri" w:hAnsi="Calibri" w:cs="Times New Roman"/>
      <w:sz w:val="20"/>
      <w:szCs w:val="20"/>
      <w:lang w:val="fr-FR" w:eastAsia="x-none"/>
    </w:rPr>
  </w:style>
  <w:style w:type="paragraph" w:styleId="Revision">
    <w:name w:val="Revision"/>
    <w:hidden/>
    <w:uiPriority w:val="99"/>
    <w:semiHidden/>
    <w:rsid w:val="004608F0"/>
    <w:pPr>
      <w:spacing w:after="0" w:line="240" w:lineRule="auto"/>
    </w:pPr>
    <w:rPr>
      <w:lang w:val="fr-FR"/>
    </w:rPr>
  </w:style>
  <w:style w:type="paragraph" w:styleId="NormalWeb">
    <w:name w:val="Normal (Web)"/>
    <w:basedOn w:val="Normal"/>
    <w:uiPriority w:val="99"/>
    <w:semiHidden/>
    <w:unhideWhenUsed/>
    <w:rsid w:val="004608F0"/>
    <w:pPr>
      <w:suppressAutoHyphens w:val="0"/>
      <w:kinsoku/>
      <w:overflowPunct/>
      <w:autoSpaceDE/>
      <w:autoSpaceDN/>
      <w:adjustRightInd/>
      <w:snapToGrid/>
      <w:spacing w:after="160" w:line="259" w:lineRule="auto"/>
    </w:pPr>
    <w:rPr>
      <w:sz w:val="24"/>
      <w:szCs w:val="24"/>
      <w:lang w:val="fr-FR"/>
    </w:rPr>
  </w:style>
  <w:style w:type="paragraph" w:customStyle="1" w:styleId="Default">
    <w:name w:val="Default"/>
    <w:rsid w:val="004608F0"/>
    <w:pPr>
      <w:autoSpaceDE w:val="0"/>
      <w:autoSpaceDN w:val="0"/>
      <w:adjustRightInd w:val="0"/>
      <w:spacing w:after="0" w:line="240" w:lineRule="auto"/>
    </w:pPr>
    <w:rPr>
      <w:rFonts w:ascii="Times New Roman" w:hAnsi="Times New Roman" w:cs="Times New Roman"/>
      <w:color w:val="000000"/>
      <w:sz w:val="24"/>
      <w:szCs w:val="24"/>
      <w:lang w:val="fr-FR"/>
    </w:rPr>
  </w:style>
  <w:style w:type="character" w:styleId="UnresolvedMention">
    <w:name w:val="Unresolved Mention"/>
    <w:basedOn w:val="DefaultParagraphFont"/>
    <w:uiPriority w:val="99"/>
    <w:semiHidden/>
    <w:unhideWhenUsed/>
    <w:rsid w:val="004608F0"/>
    <w:rPr>
      <w:color w:val="605E5C"/>
      <w:shd w:val="clear" w:color="auto" w:fill="E1DFDD"/>
    </w:rPr>
  </w:style>
  <w:style w:type="character" w:customStyle="1" w:styleId="H1GChar">
    <w:name w:val="_ H_1_G Char"/>
    <w:link w:val="H1G"/>
    <w:locked/>
    <w:rsid w:val="00BA5282"/>
    <w:rPr>
      <w:rFonts w:ascii="Times New Roman" w:eastAsiaTheme="minorEastAsia" w:hAnsi="Times New Roman" w:cs="Times New Roman"/>
      <w:b/>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4201437">
      <w:bodyDiv w:val="1"/>
      <w:marLeft w:val="0"/>
      <w:marRight w:val="0"/>
      <w:marTop w:val="0"/>
      <w:marBottom w:val="0"/>
      <w:divBdr>
        <w:top w:val="none" w:sz="0" w:space="0" w:color="auto"/>
        <w:left w:val="none" w:sz="0" w:space="0" w:color="auto"/>
        <w:bottom w:val="none" w:sz="0" w:space="0" w:color="auto"/>
        <w:right w:val="none" w:sz="0" w:space="0" w:color="auto"/>
      </w:divBdr>
    </w:div>
    <w:div w:id="1037584172">
      <w:bodyDiv w:val="1"/>
      <w:marLeft w:val="0"/>
      <w:marRight w:val="0"/>
      <w:marTop w:val="0"/>
      <w:marBottom w:val="0"/>
      <w:divBdr>
        <w:top w:val="none" w:sz="0" w:space="0" w:color="auto"/>
        <w:left w:val="none" w:sz="0" w:space="0" w:color="auto"/>
        <w:bottom w:val="none" w:sz="0" w:space="0" w:color="auto"/>
        <w:right w:val="none" w:sz="0" w:space="0" w:color="auto"/>
      </w:divBdr>
    </w:div>
    <w:div w:id="1138689150">
      <w:bodyDiv w:val="1"/>
      <w:marLeft w:val="0"/>
      <w:marRight w:val="0"/>
      <w:marTop w:val="0"/>
      <w:marBottom w:val="0"/>
      <w:divBdr>
        <w:top w:val="none" w:sz="0" w:space="0" w:color="auto"/>
        <w:left w:val="none" w:sz="0" w:space="0" w:color="auto"/>
        <w:bottom w:val="none" w:sz="0" w:space="0" w:color="auto"/>
        <w:right w:val="none" w:sz="0" w:space="0" w:color="auto"/>
      </w:divBdr>
    </w:div>
    <w:div w:id="206675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facebook.com/UEMauritanie?__cft__%5b0%5d=AZV8208uK0EvZP-gt2woZpm0TnCxtvab9aLQTladP9qz1ap8A6jc6w0a6U04dys5T3MbiuInXs8Btc0hILiB8fGWddHCA92iaBfaDuQbui8x5zk1npB--rYkJwjL3naHsoO_XJbjEZ0oJ2ByV07i6jvz3kpvPZ_4e_Tl101FGTWRxw&amp;__tn__=-%5dK-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8" ma:contentTypeDescription="Crée un document." ma:contentTypeScope="" ma:versionID="2788b176ada5b48f97d2a3e5b030145b">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b7682f99a0d9e0e0f19914f150de0b0b"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E7F3D8-7A9D-44DF-BE74-852571EA529A}">
  <ds:schemaRefs>
    <ds:schemaRef ds:uri="http://schemas.microsoft.com/sharepoint/v3/contenttype/forms"/>
  </ds:schemaRefs>
</ds:datastoreItem>
</file>

<file path=customXml/itemProps2.xml><?xml version="1.0" encoding="utf-8"?>
<ds:datastoreItem xmlns:ds="http://schemas.openxmlformats.org/officeDocument/2006/customXml" ds:itemID="{30DC42BC-EF67-4EF7-A9B7-CF0D4EFC1EDE}">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086CF1BC-61D1-4910-A12B-D60AFAFA26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9</TotalTime>
  <Pages>22</Pages>
  <Words>11570</Words>
  <Characters>65952</Characters>
  <Application>Microsoft Office Word</Application>
  <DocSecurity>0</DocSecurity>
  <Lines>549</Lines>
  <Paragraphs>154</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a/hthhhh</vt:lpstr>
      <vt:lpstr>a/hthhhh</vt:lpstr>
      <vt:lpstr>a/hthhhh</vt:lpstr>
    </vt:vector>
  </TitlesOfParts>
  <Company>DCM</Company>
  <LinksUpToDate>false</LinksUpToDate>
  <CharactersWithSpaces>77368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a/hthhhh</dc:title>
  <dc:creator>Gloria</dc:creator>
  <cp:lastModifiedBy>Bayarmaa Enkhtaivan</cp:lastModifiedBy>
  <cp:revision>11</cp:revision>
  <cp:lastPrinted>2017-02-27T14:31:00Z</cp:lastPrinted>
  <dcterms:created xsi:type="dcterms:W3CDTF">2025-07-17T08:30:00Z</dcterms:created>
  <dcterms:modified xsi:type="dcterms:W3CDTF">2025-07-21T15:01:00Z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de la Mauritanie</vt:lpwstr>
  </property>
  <property fmtid="{D5CDD505-2E9C-101B-9397-08002B2CF9AE}" pid="9" name="countw">
    <vt:lpwstr>Mauritanie</vt:lpwstr>
  </property>
  <property fmtid="{D5CDD505-2E9C-101B-9397-08002B2CF9AE}" pid="10" name="countwd">
    <vt:lpwstr>la Mauritanie</vt:lpwstr>
  </property>
  <property fmtid="{D5CDD505-2E9C-101B-9397-08002B2CF9AE}" pid="11" name="date">
    <vt:lpwstr>16 juillet 2025</vt:lpwstr>
  </property>
  <property fmtid="{D5CDD505-2E9C-101B-9397-08002B2CF9AE}" pid="12" name="Date-Generated">
    <vt:filetime>2025-07-14T11:14:59Z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français</vt:lpwstr>
  </property>
  <property fmtid="{D5CDD505-2E9C-101B-9397-08002B2CF9AE}" pid="21" name="Order">
    <vt:r8>185000</vt:r8>
  </property>
  <property fmtid="{D5CDD505-2E9C-101B-9397-08002B2CF9AE}" pid="22" name="Org">
    <vt:lpwstr>OHCHR</vt:lpwstr>
  </property>
  <property fmtid="{D5CDD505-2E9C-101B-9397-08002B2CF9AE}" pid="23" name="prep">
    <vt:lpwstr>troisième rapport périodique de la Mauritanie</vt:lpwstr>
  </property>
  <property fmtid="{D5CDD505-2E9C-101B-9397-08002B2CF9AE}" pid="24" name="preps">
    <vt:lpwstr>troisième rapport périodique de la Mauritanie</vt:lpwstr>
  </property>
  <property fmtid="{D5CDD505-2E9C-101B-9397-08002B2CF9AE}" pid="25" name="prepw">
    <vt:lpwstr>troisième rapport périodique</vt:lpwstr>
  </property>
  <property fmtid="{D5CDD505-2E9C-101B-9397-08002B2CF9AE}" pid="26" name="prepwc">
    <vt:lpwstr>Troisième rapport périodique </vt:lpwstr>
  </property>
  <property fmtid="{D5CDD505-2E9C-101B-9397-08002B2CF9AE}" pid="27" name="prepws">
    <vt:lpwstr>troisième rapport périodique</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C/MRT/3</vt:lpwstr>
  </property>
  <property fmtid="{D5CDD505-2E9C-101B-9397-08002B2CF9AE}" pid="33" name="symh">
    <vt:lpwstr>CAT/C/MRT/3</vt:lpwstr>
  </property>
  <property fmtid="{D5CDD505-2E9C-101B-9397-08002B2CF9AE}" pid="34" name="Title">
    <vt:lpwstr>CAT/C/MRT/3</vt:lpwstr>
  </property>
  <property fmtid="{D5CDD505-2E9C-101B-9397-08002B2CF9AE}" pid="35" name="tlang">
    <vt:lpwstr/>
  </property>
  <property fmtid="{D5CDD505-2E9C-101B-9397-08002B2CF9AE}" pid="36" name="virs">
    <vt:lpwstr>Anglais, espagnol et français seulement</vt:lpwstr>
  </property>
</Properties>
</file>