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E3FB2" w14:textId="22341B3B" w:rsidR="00446FE5" w:rsidRPr="00087E5B" w:rsidRDefault="00087E5B" w:rsidP="00087E5B">
      <w:pPr>
        <w:jc w:val="center"/>
        <w:rPr>
          <w:b/>
          <w:bCs/>
          <w:sz w:val="28"/>
          <w:szCs w:val="28"/>
          <w:u w:val="single"/>
          <w:lang w:val="en-US"/>
        </w:rPr>
      </w:pPr>
      <w:r w:rsidRPr="00087E5B">
        <w:rPr>
          <w:b/>
          <w:bCs/>
          <w:sz w:val="28"/>
          <w:szCs w:val="28"/>
          <w:u w:val="single"/>
          <w:lang w:val="en-US"/>
        </w:rPr>
        <w:t>Closing Statement-Independent Monitoring Mechanism-</w:t>
      </w:r>
      <w:r>
        <w:rPr>
          <w:b/>
          <w:bCs/>
          <w:sz w:val="28"/>
          <w:szCs w:val="28"/>
          <w:u w:val="single"/>
          <w:lang w:val="en-US"/>
        </w:rPr>
        <w:t xml:space="preserve">The </w:t>
      </w:r>
      <w:r w:rsidRPr="00087E5B">
        <w:rPr>
          <w:b/>
          <w:bCs/>
          <w:sz w:val="28"/>
          <w:szCs w:val="28"/>
          <w:u w:val="single"/>
          <w:lang w:val="en-US"/>
        </w:rPr>
        <w:t>European Union</w:t>
      </w:r>
    </w:p>
    <w:p w14:paraId="006B1847" w14:textId="77777777" w:rsidR="00087E5B" w:rsidRPr="00087E5B" w:rsidRDefault="00087E5B" w:rsidP="00087E5B">
      <w:pPr>
        <w:spacing w:before="120" w:after="120" w:line="360" w:lineRule="auto"/>
        <w:rPr>
          <w:sz w:val="24"/>
          <w:szCs w:val="24"/>
          <w:lang w:val="en-GB"/>
        </w:rPr>
      </w:pPr>
      <w:r w:rsidRPr="00087E5B">
        <w:rPr>
          <w:sz w:val="24"/>
          <w:szCs w:val="24"/>
          <w:lang w:val="en-GB"/>
        </w:rPr>
        <w:t xml:space="preserve">Honourable members of the CRPD </w:t>
      </w:r>
      <w:proofErr w:type="gramStart"/>
      <w:r w:rsidRPr="00087E5B">
        <w:rPr>
          <w:sz w:val="24"/>
          <w:szCs w:val="24"/>
          <w:lang w:val="en-GB"/>
        </w:rPr>
        <w:t>Committee,  esteemed</w:t>
      </w:r>
      <w:proofErr w:type="gramEnd"/>
      <w:r w:rsidRPr="00087E5B">
        <w:rPr>
          <w:sz w:val="24"/>
          <w:szCs w:val="24"/>
          <w:lang w:val="en-GB"/>
        </w:rPr>
        <w:t xml:space="preserve"> colleague from the European Commission</w:t>
      </w:r>
    </w:p>
    <w:p w14:paraId="278F1304" w14:textId="77777777" w:rsidR="00087E5B" w:rsidRPr="00087E5B" w:rsidRDefault="00087E5B" w:rsidP="00087E5B">
      <w:pPr>
        <w:spacing w:before="120" w:after="120" w:line="360" w:lineRule="auto"/>
        <w:rPr>
          <w:sz w:val="24"/>
          <w:szCs w:val="24"/>
          <w:lang w:val="en-GB"/>
        </w:rPr>
      </w:pPr>
      <w:r w:rsidRPr="00087E5B">
        <w:rPr>
          <w:sz w:val="24"/>
          <w:szCs w:val="24"/>
          <w:lang w:val="en-GB"/>
        </w:rPr>
        <w:t>Based on our expertise and evidence, but also on the discussion we had here over the last 3 days, we would like to offer some concluding observations. </w:t>
      </w:r>
    </w:p>
    <w:p w14:paraId="36D95546" w14:textId="77777777" w:rsidR="00087E5B" w:rsidRPr="00087E5B" w:rsidRDefault="00087E5B" w:rsidP="00087E5B">
      <w:pPr>
        <w:spacing w:before="120" w:after="120" w:line="360" w:lineRule="auto"/>
        <w:rPr>
          <w:sz w:val="24"/>
          <w:szCs w:val="24"/>
          <w:lang w:val="en-GB"/>
        </w:rPr>
      </w:pPr>
      <w:r w:rsidRPr="00087E5B">
        <w:rPr>
          <w:sz w:val="24"/>
          <w:szCs w:val="24"/>
          <w:lang w:val="en-GB"/>
        </w:rPr>
        <w:t xml:space="preserve">Without doubt, the EU has come a </w:t>
      </w:r>
      <w:r w:rsidRPr="00087E5B">
        <w:rPr>
          <w:sz w:val="24"/>
          <w:szCs w:val="24"/>
          <w:u w:val="single"/>
          <w:lang w:val="en-GB"/>
        </w:rPr>
        <w:t xml:space="preserve">long way </w:t>
      </w:r>
      <w:r w:rsidRPr="00087E5B">
        <w:rPr>
          <w:sz w:val="24"/>
          <w:szCs w:val="24"/>
          <w:lang w:val="en-GB"/>
        </w:rPr>
        <w:t xml:space="preserve">to protect the rights of the </w:t>
      </w:r>
      <w:r w:rsidRPr="00087E5B">
        <w:rPr>
          <w:sz w:val="24"/>
          <w:szCs w:val="24"/>
          <w:u w:val="single"/>
          <w:lang w:val="en-GB"/>
        </w:rPr>
        <w:t xml:space="preserve">over 100 </w:t>
      </w:r>
      <w:proofErr w:type="spellStart"/>
      <w:proofErr w:type="gramStart"/>
      <w:r w:rsidRPr="00087E5B">
        <w:rPr>
          <w:sz w:val="24"/>
          <w:szCs w:val="24"/>
          <w:u w:val="single"/>
          <w:lang w:val="en-GB"/>
        </w:rPr>
        <w:t>millions</w:t>
      </w:r>
      <w:proofErr w:type="spellEnd"/>
      <w:proofErr w:type="gramEnd"/>
      <w:r w:rsidRPr="00087E5B">
        <w:rPr>
          <w:sz w:val="24"/>
          <w:szCs w:val="24"/>
          <w:lang w:val="en-GB"/>
        </w:rPr>
        <w:t xml:space="preserve"> of persons with disabilities living in the EU. And indeed, the Commission’s Strategy for the Rights of Persons with Disabilities 2021-2030 is a </w:t>
      </w:r>
      <w:r w:rsidRPr="00087E5B">
        <w:rPr>
          <w:sz w:val="24"/>
          <w:szCs w:val="24"/>
          <w:u w:val="single"/>
          <w:lang w:val="en-GB"/>
        </w:rPr>
        <w:t>remarkable commitment</w:t>
      </w:r>
      <w:r w:rsidRPr="00087E5B">
        <w:rPr>
          <w:sz w:val="24"/>
          <w:szCs w:val="24"/>
          <w:lang w:val="en-GB"/>
        </w:rPr>
        <w:t xml:space="preserve"> to improve the situation of persons with disabilities in the EU.  </w:t>
      </w:r>
    </w:p>
    <w:p w14:paraId="4AA93515" w14:textId="77777777" w:rsidR="00087E5B" w:rsidRPr="00087E5B" w:rsidRDefault="00087E5B" w:rsidP="00087E5B">
      <w:pPr>
        <w:spacing w:before="120" w:after="120" w:line="360" w:lineRule="auto"/>
        <w:rPr>
          <w:sz w:val="24"/>
          <w:szCs w:val="24"/>
          <w:lang w:val="en-GB"/>
        </w:rPr>
      </w:pPr>
      <w:r w:rsidRPr="00087E5B">
        <w:rPr>
          <w:sz w:val="24"/>
          <w:szCs w:val="24"/>
          <w:lang w:val="en-GB"/>
        </w:rPr>
        <w:t>However, there is room for improvement.  </w:t>
      </w:r>
    </w:p>
    <w:p w14:paraId="58665645" w14:textId="77777777" w:rsidR="00087E5B" w:rsidRPr="00087E5B" w:rsidRDefault="00087E5B" w:rsidP="00087E5B">
      <w:pPr>
        <w:spacing w:before="120" w:after="120" w:line="360" w:lineRule="auto"/>
        <w:rPr>
          <w:sz w:val="24"/>
          <w:szCs w:val="24"/>
          <w:lang w:val="en-GB"/>
        </w:rPr>
      </w:pPr>
      <w:r w:rsidRPr="00087E5B">
        <w:rPr>
          <w:sz w:val="24"/>
          <w:szCs w:val="24"/>
          <w:lang w:val="en-GB"/>
        </w:rPr>
        <w:t xml:space="preserve">When the EU Council extended the EU Action Plan on Human Rights and Democracy to 2027, it reiterated that the “EU </w:t>
      </w:r>
      <w:r w:rsidRPr="00087E5B">
        <w:rPr>
          <w:sz w:val="24"/>
          <w:szCs w:val="24"/>
          <w:u w:val="single"/>
          <w:lang w:val="en-GB"/>
        </w:rPr>
        <w:t>seeks to lead by example by fulfilling its own obligations</w:t>
      </w:r>
      <w:r w:rsidRPr="00087E5B">
        <w:rPr>
          <w:sz w:val="24"/>
          <w:szCs w:val="24"/>
          <w:lang w:val="en-GB"/>
        </w:rPr>
        <w:t xml:space="preserve">”. Given that the CPRD is the only key international human rights Convention it has ratified, leading by example must mean </w:t>
      </w:r>
      <w:r w:rsidRPr="00087E5B">
        <w:rPr>
          <w:sz w:val="24"/>
          <w:szCs w:val="24"/>
          <w:u w:val="single"/>
          <w:lang w:val="en-GB"/>
        </w:rPr>
        <w:t>to do everything that is needed to fully and effectively implement the CRPD</w:t>
      </w:r>
      <w:r w:rsidRPr="00087E5B">
        <w:rPr>
          <w:sz w:val="24"/>
          <w:szCs w:val="24"/>
          <w:lang w:val="en-GB"/>
        </w:rPr>
        <w:t>. </w:t>
      </w:r>
    </w:p>
    <w:p w14:paraId="690887A1" w14:textId="77777777" w:rsidR="00087E5B" w:rsidRPr="00087E5B" w:rsidRDefault="00087E5B" w:rsidP="00087E5B">
      <w:pPr>
        <w:spacing w:before="120" w:after="120" w:line="360" w:lineRule="auto"/>
        <w:rPr>
          <w:sz w:val="24"/>
          <w:szCs w:val="24"/>
          <w:lang w:val="en-GB"/>
        </w:rPr>
      </w:pPr>
      <w:r w:rsidRPr="00087E5B">
        <w:rPr>
          <w:sz w:val="24"/>
          <w:szCs w:val="24"/>
          <w:lang w:val="en-GB"/>
        </w:rPr>
        <w:t xml:space="preserve">For that, we believe, the EU will need to deliver </w:t>
      </w:r>
      <w:r w:rsidRPr="00087E5B">
        <w:rPr>
          <w:sz w:val="24"/>
          <w:szCs w:val="24"/>
          <w:u w:val="single"/>
          <w:lang w:val="en-GB"/>
        </w:rPr>
        <w:t>more and better</w:t>
      </w:r>
      <w:r w:rsidRPr="00087E5B">
        <w:rPr>
          <w:sz w:val="24"/>
          <w:szCs w:val="24"/>
          <w:lang w:val="en-GB"/>
        </w:rPr>
        <w:t xml:space="preserve"> on 3 key points: discrimination mainstreaming; EU funding and monitoring. </w:t>
      </w:r>
    </w:p>
    <w:p w14:paraId="07482148" w14:textId="77777777" w:rsidR="00087E5B" w:rsidRPr="00087E5B" w:rsidRDefault="00087E5B" w:rsidP="00087E5B">
      <w:pPr>
        <w:spacing w:before="120" w:after="120" w:line="360" w:lineRule="auto"/>
        <w:rPr>
          <w:sz w:val="24"/>
          <w:szCs w:val="24"/>
          <w:lang w:val="en-GB"/>
        </w:rPr>
      </w:pPr>
      <w:proofErr w:type="gramStart"/>
      <w:r w:rsidRPr="00087E5B">
        <w:rPr>
          <w:sz w:val="24"/>
          <w:szCs w:val="24"/>
          <w:u w:val="single"/>
          <w:lang w:val="en-GB"/>
        </w:rPr>
        <w:t>Firstly</w:t>
      </w:r>
      <w:proofErr w:type="gramEnd"/>
      <w:r w:rsidRPr="00087E5B">
        <w:rPr>
          <w:sz w:val="24"/>
          <w:szCs w:val="24"/>
          <w:u w:val="single"/>
          <w:lang w:val="en-GB"/>
        </w:rPr>
        <w:t xml:space="preserve"> on discrimination.</w:t>
      </w:r>
      <w:r w:rsidRPr="00087E5B">
        <w:rPr>
          <w:sz w:val="24"/>
          <w:szCs w:val="24"/>
          <w:lang w:val="en-GB"/>
        </w:rPr>
        <w:t xml:space="preserve"> The fight against discrimination based on disability needs to be </w:t>
      </w:r>
      <w:r w:rsidRPr="00087E5B">
        <w:rPr>
          <w:sz w:val="24"/>
          <w:szCs w:val="24"/>
          <w:u w:val="single"/>
          <w:lang w:val="en-GB"/>
        </w:rPr>
        <w:t xml:space="preserve">proactively </w:t>
      </w:r>
      <w:r w:rsidRPr="00087E5B">
        <w:rPr>
          <w:sz w:val="24"/>
          <w:szCs w:val="24"/>
          <w:lang w:val="en-GB"/>
        </w:rPr>
        <w:t xml:space="preserve">mainstreamed in </w:t>
      </w:r>
      <w:r w:rsidRPr="00087E5B">
        <w:rPr>
          <w:sz w:val="24"/>
          <w:szCs w:val="24"/>
          <w:u w:val="single"/>
          <w:lang w:val="en-GB"/>
        </w:rPr>
        <w:t xml:space="preserve">all </w:t>
      </w:r>
      <w:r w:rsidRPr="00087E5B">
        <w:rPr>
          <w:sz w:val="24"/>
          <w:szCs w:val="24"/>
          <w:lang w:val="en-GB"/>
        </w:rPr>
        <w:t xml:space="preserve">EU law and policy making and in </w:t>
      </w:r>
      <w:r w:rsidRPr="00087E5B">
        <w:rPr>
          <w:sz w:val="24"/>
          <w:szCs w:val="24"/>
          <w:u w:val="single"/>
          <w:lang w:val="en-GB"/>
        </w:rPr>
        <w:t xml:space="preserve">all </w:t>
      </w:r>
      <w:r w:rsidRPr="00087E5B">
        <w:rPr>
          <w:sz w:val="24"/>
          <w:szCs w:val="24"/>
          <w:lang w:val="en-GB"/>
        </w:rPr>
        <w:t xml:space="preserve">EU institutions, bodies and agencies. In fact, this is not only required under the CRPD but also under EU primary law. It is important that the EU establishes the necessary administrative tools and procedures </w:t>
      </w:r>
      <w:r w:rsidRPr="00087E5B">
        <w:rPr>
          <w:sz w:val="24"/>
          <w:szCs w:val="24"/>
          <w:u w:val="single"/>
          <w:lang w:val="en-GB"/>
        </w:rPr>
        <w:t>in all institutions, bodies and agencies</w:t>
      </w:r>
      <w:r w:rsidRPr="00087E5B">
        <w:rPr>
          <w:sz w:val="24"/>
          <w:szCs w:val="24"/>
          <w:lang w:val="en-GB"/>
        </w:rPr>
        <w:t xml:space="preserve"> to turn mainstreaming </w:t>
      </w:r>
      <w:r w:rsidRPr="00087E5B">
        <w:rPr>
          <w:sz w:val="24"/>
          <w:szCs w:val="24"/>
          <w:u w:val="single"/>
          <w:lang w:val="en-GB"/>
        </w:rPr>
        <w:t>more fully from rhetoric to reality</w:t>
      </w:r>
      <w:r w:rsidRPr="00087E5B">
        <w:rPr>
          <w:sz w:val="24"/>
          <w:szCs w:val="24"/>
          <w:lang w:val="en-GB"/>
        </w:rPr>
        <w:t xml:space="preserve">.  To the same degree, it will be important that the EU upholds, in </w:t>
      </w:r>
      <w:r w:rsidRPr="00087E5B">
        <w:rPr>
          <w:sz w:val="24"/>
          <w:szCs w:val="24"/>
          <w:u w:val="single"/>
          <w:lang w:val="en-GB"/>
        </w:rPr>
        <w:t xml:space="preserve">all its </w:t>
      </w:r>
      <w:r w:rsidRPr="00087E5B">
        <w:rPr>
          <w:sz w:val="24"/>
          <w:szCs w:val="24"/>
          <w:lang w:val="en-GB"/>
        </w:rPr>
        <w:t>corners, the political will for such an encompassing and omnipresent mainstreaming.  </w:t>
      </w:r>
    </w:p>
    <w:p w14:paraId="753168F2" w14:textId="77777777" w:rsidR="00087E5B" w:rsidRPr="00087E5B" w:rsidRDefault="00087E5B" w:rsidP="00087E5B">
      <w:pPr>
        <w:spacing w:before="120" w:after="120" w:line="360" w:lineRule="auto"/>
        <w:rPr>
          <w:sz w:val="24"/>
          <w:szCs w:val="24"/>
          <w:lang w:val="en-GB"/>
        </w:rPr>
      </w:pPr>
      <w:r w:rsidRPr="00087E5B">
        <w:rPr>
          <w:sz w:val="24"/>
          <w:szCs w:val="24"/>
          <w:u w:val="single"/>
          <w:lang w:val="en-GB"/>
        </w:rPr>
        <w:t>Secondly, on EU funds</w:t>
      </w:r>
      <w:r w:rsidRPr="00087E5B">
        <w:rPr>
          <w:sz w:val="24"/>
          <w:szCs w:val="24"/>
          <w:lang w:val="en-GB"/>
        </w:rPr>
        <w:t xml:space="preserve">. The EU will have to ensure that all EU funding is spent in line with the </w:t>
      </w:r>
      <w:r w:rsidRPr="00087E5B">
        <w:rPr>
          <w:sz w:val="24"/>
          <w:szCs w:val="24"/>
          <w:u w:val="single"/>
          <w:lang w:val="en-GB"/>
        </w:rPr>
        <w:t>letter and spirit</w:t>
      </w:r>
      <w:r w:rsidRPr="00087E5B">
        <w:rPr>
          <w:sz w:val="24"/>
          <w:szCs w:val="24"/>
          <w:lang w:val="en-GB"/>
        </w:rPr>
        <w:t xml:space="preserve"> of the CRPD. The EU must ensure that its current system of CRPD conditionality under the Common Provision Regulation is </w:t>
      </w:r>
      <w:r w:rsidRPr="00087E5B">
        <w:rPr>
          <w:sz w:val="24"/>
          <w:szCs w:val="24"/>
          <w:u w:val="single"/>
          <w:lang w:val="en-GB"/>
        </w:rPr>
        <w:t>fully implemented in the daily practice</w:t>
      </w:r>
      <w:r w:rsidRPr="00087E5B">
        <w:rPr>
          <w:sz w:val="24"/>
          <w:szCs w:val="24"/>
          <w:lang w:val="en-GB"/>
        </w:rPr>
        <w:t xml:space="preserve"> of EU project funding, and that </w:t>
      </w:r>
      <w:r w:rsidRPr="00087E5B">
        <w:rPr>
          <w:sz w:val="24"/>
          <w:szCs w:val="24"/>
          <w:u w:val="single"/>
          <w:lang w:val="en-GB"/>
        </w:rPr>
        <w:t>human rights expertise</w:t>
      </w:r>
      <w:r w:rsidRPr="00087E5B">
        <w:rPr>
          <w:sz w:val="24"/>
          <w:szCs w:val="24"/>
          <w:lang w:val="en-GB"/>
        </w:rPr>
        <w:t xml:space="preserve"> is consulted as appropriate. In this regard, current gaps are seen most visibly in </w:t>
      </w:r>
      <w:proofErr w:type="gramStart"/>
      <w:r w:rsidRPr="00087E5B">
        <w:rPr>
          <w:sz w:val="24"/>
          <w:szCs w:val="24"/>
          <w:lang w:val="en-GB"/>
        </w:rPr>
        <w:t>the  context</w:t>
      </w:r>
      <w:proofErr w:type="gramEnd"/>
      <w:r w:rsidRPr="00087E5B">
        <w:rPr>
          <w:sz w:val="24"/>
          <w:szCs w:val="24"/>
          <w:lang w:val="en-GB"/>
        </w:rPr>
        <w:t xml:space="preserve"> of </w:t>
      </w:r>
      <w:r w:rsidRPr="00087E5B">
        <w:rPr>
          <w:sz w:val="24"/>
          <w:szCs w:val="24"/>
          <w:u w:val="single"/>
          <w:lang w:val="en-GB"/>
        </w:rPr>
        <w:t>independent living</w:t>
      </w:r>
      <w:r w:rsidRPr="00087E5B">
        <w:rPr>
          <w:sz w:val="24"/>
          <w:szCs w:val="24"/>
          <w:lang w:val="en-GB"/>
        </w:rPr>
        <w:t>. The EU must ensure that the current CRPD-conditionality is further developed and defended against any possible dilution in the upcoming negotiations on the Multiannual Financial Framework.  </w:t>
      </w:r>
    </w:p>
    <w:p w14:paraId="0394090C" w14:textId="77777777" w:rsidR="00087E5B" w:rsidRPr="00087E5B" w:rsidRDefault="00087E5B" w:rsidP="00087E5B">
      <w:pPr>
        <w:spacing w:before="120" w:after="120" w:line="360" w:lineRule="auto"/>
        <w:rPr>
          <w:sz w:val="24"/>
          <w:szCs w:val="24"/>
          <w:lang w:val="en-GB"/>
        </w:rPr>
      </w:pPr>
      <w:proofErr w:type="gramStart"/>
      <w:r w:rsidRPr="00087E5B">
        <w:rPr>
          <w:sz w:val="24"/>
          <w:szCs w:val="24"/>
          <w:u w:val="single"/>
          <w:lang w:val="en-GB"/>
        </w:rPr>
        <w:t>Last but not least</w:t>
      </w:r>
      <w:proofErr w:type="gramEnd"/>
      <w:r w:rsidRPr="00087E5B">
        <w:rPr>
          <w:sz w:val="24"/>
          <w:szCs w:val="24"/>
          <w:u w:val="single"/>
          <w:lang w:val="en-GB"/>
        </w:rPr>
        <w:t>: monitoring</w:t>
      </w:r>
      <w:r w:rsidRPr="00087E5B">
        <w:rPr>
          <w:sz w:val="24"/>
          <w:szCs w:val="24"/>
          <w:lang w:val="en-GB"/>
        </w:rPr>
        <w:t xml:space="preserve">. The EU must be self-confident enough and sufficiently committed to establish a proper monitoring framework that is </w:t>
      </w:r>
      <w:r w:rsidRPr="00087E5B">
        <w:rPr>
          <w:sz w:val="24"/>
          <w:szCs w:val="24"/>
          <w:u w:val="single"/>
          <w:lang w:val="en-GB"/>
        </w:rPr>
        <w:t>financially</w:t>
      </w:r>
      <w:r w:rsidRPr="00087E5B">
        <w:rPr>
          <w:sz w:val="24"/>
          <w:szCs w:val="24"/>
          <w:lang w:val="en-GB"/>
        </w:rPr>
        <w:t xml:space="preserve">, </w:t>
      </w:r>
      <w:r w:rsidRPr="00087E5B">
        <w:rPr>
          <w:sz w:val="24"/>
          <w:szCs w:val="24"/>
          <w:u w:val="single"/>
          <w:lang w:val="en-GB"/>
        </w:rPr>
        <w:t xml:space="preserve">structurally </w:t>
      </w:r>
      <w:r w:rsidRPr="00087E5B">
        <w:rPr>
          <w:sz w:val="24"/>
          <w:szCs w:val="24"/>
          <w:lang w:val="en-GB"/>
        </w:rPr>
        <w:t xml:space="preserve">and </w:t>
      </w:r>
      <w:r w:rsidRPr="00087E5B">
        <w:rPr>
          <w:sz w:val="24"/>
          <w:szCs w:val="24"/>
          <w:u w:val="single"/>
          <w:lang w:val="en-GB"/>
        </w:rPr>
        <w:t xml:space="preserve">legally </w:t>
      </w:r>
      <w:r w:rsidRPr="00087E5B">
        <w:rPr>
          <w:sz w:val="24"/>
          <w:szCs w:val="24"/>
          <w:lang w:val="en-GB"/>
        </w:rPr>
        <w:t xml:space="preserve">speaking so </w:t>
      </w:r>
      <w:r w:rsidRPr="00087E5B">
        <w:rPr>
          <w:sz w:val="24"/>
          <w:szCs w:val="24"/>
          <w:lang w:val="en-GB"/>
        </w:rPr>
        <w:lastRenderedPageBreak/>
        <w:t xml:space="preserve">equipped that it can </w:t>
      </w:r>
      <w:r w:rsidRPr="00087E5B">
        <w:rPr>
          <w:sz w:val="24"/>
          <w:szCs w:val="24"/>
          <w:u w:val="single"/>
          <w:lang w:val="en-GB"/>
        </w:rPr>
        <w:t>efficiently</w:t>
      </w:r>
      <w:r w:rsidRPr="00087E5B">
        <w:rPr>
          <w:sz w:val="24"/>
          <w:szCs w:val="24"/>
          <w:lang w:val="en-GB"/>
        </w:rPr>
        <w:t xml:space="preserve"> and fully </w:t>
      </w:r>
      <w:r w:rsidRPr="00087E5B">
        <w:rPr>
          <w:sz w:val="24"/>
          <w:szCs w:val="24"/>
          <w:u w:val="single"/>
          <w:lang w:val="en-GB"/>
        </w:rPr>
        <w:t>independently</w:t>
      </w:r>
      <w:r w:rsidRPr="00087E5B">
        <w:rPr>
          <w:sz w:val="24"/>
          <w:szCs w:val="24"/>
          <w:lang w:val="en-GB"/>
        </w:rPr>
        <w:t xml:space="preserve"> “promote, protect and monitor the implementation of the Convention” as required by Article 33 of the Convention. As we have said for almost 10 years now, the EU framework needs a proper legal basis, for without that </w:t>
      </w:r>
      <w:r w:rsidRPr="00087E5B">
        <w:rPr>
          <w:sz w:val="24"/>
          <w:szCs w:val="24"/>
          <w:u w:val="single"/>
          <w:lang w:val="en-GB"/>
        </w:rPr>
        <w:t>legitimacy and authority</w:t>
      </w:r>
      <w:r w:rsidRPr="00087E5B">
        <w:rPr>
          <w:sz w:val="24"/>
          <w:szCs w:val="24"/>
          <w:lang w:val="en-GB"/>
        </w:rPr>
        <w:t xml:space="preserve">, it will not have sufficient impact despite all our commitment here in the framework. </w:t>
      </w:r>
    </w:p>
    <w:p w14:paraId="612BD205" w14:textId="77777777" w:rsidR="00087E5B" w:rsidRPr="00087E5B" w:rsidRDefault="00087E5B" w:rsidP="00087E5B">
      <w:pPr>
        <w:spacing w:before="120" w:after="120" w:line="360" w:lineRule="auto"/>
        <w:rPr>
          <w:sz w:val="24"/>
          <w:szCs w:val="24"/>
          <w:lang w:val="en-GB"/>
        </w:rPr>
      </w:pPr>
      <w:r w:rsidRPr="00087E5B">
        <w:rPr>
          <w:sz w:val="24"/>
          <w:szCs w:val="24"/>
          <w:lang w:val="en-GB"/>
        </w:rPr>
        <w:t xml:space="preserve">What is needed are both the budget and the mandate to monitor the EU, both as an </w:t>
      </w:r>
      <w:r w:rsidRPr="00087E5B">
        <w:rPr>
          <w:sz w:val="24"/>
          <w:szCs w:val="24"/>
          <w:u w:val="single"/>
          <w:lang w:val="en-GB"/>
        </w:rPr>
        <w:t>employer and administration</w:t>
      </w:r>
      <w:r w:rsidRPr="00087E5B">
        <w:rPr>
          <w:sz w:val="24"/>
          <w:szCs w:val="24"/>
          <w:lang w:val="en-GB"/>
        </w:rPr>
        <w:t xml:space="preserve"> but also as </w:t>
      </w:r>
      <w:r w:rsidRPr="00087E5B">
        <w:rPr>
          <w:sz w:val="24"/>
          <w:szCs w:val="24"/>
          <w:u w:val="single"/>
          <w:lang w:val="en-GB"/>
        </w:rPr>
        <w:t xml:space="preserve">a law and </w:t>
      </w:r>
      <w:proofErr w:type="gramStart"/>
      <w:r w:rsidRPr="00087E5B">
        <w:rPr>
          <w:sz w:val="24"/>
          <w:szCs w:val="24"/>
          <w:u w:val="single"/>
          <w:lang w:val="en-GB"/>
        </w:rPr>
        <w:t>policy-maker</w:t>
      </w:r>
      <w:proofErr w:type="gramEnd"/>
      <w:r w:rsidRPr="00087E5B">
        <w:rPr>
          <w:sz w:val="24"/>
          <w:szCs w:val="24"/>
          <w:lang w:val="en-GB"/>
        </w:rPr>
        <w:t xml:space="preserve">. I think I can </w:t>
      </w:r>
      <w:r w:rsidRPr="00087E5B">
        <w:rPr>
          <w:sz w:val="24"/>
          <w:szCs w:val="24"/>
          <w:u w:val="single"/>
          <w:lang w:val="en-GB"/>
        </w:rPr>
        <w:t>speak here for both the EU Ombudsman</w:t>
      </w:r>
      <w:r w:rsidRPr="00087E5B">
        <w:rPr>
          <w:sz w:val="24"/>
          <w:szCs w:val="24"/>
          <w:lang w:val="en-GB"/>
        </w:rPr>
        <w:t xml:space="preserve"> and for ourselves at FRA, that we stand ready to fully implement this </w:t>
      </w:r>
      <w:r w:rsidRPr="00087E5B">
        <w:rPr>
          <w:sz w:val="24"/>
          <w:szCs w:val="24"/>
          <w:u w:val="single"/>
          <w:lang w:val="en-GB"/>
        </w:rPr>
        <w:t xml:space="preserve">double responsibility. </w:t>
      </w:r>
      <w:r w:rsidRPr="00087E5B">
        <w:rPr>
          <w:sz w:val="24"/>
          <w:szCs w:val="24"/>
          <w:lang w:val="en-GB"/>
        </w:rPr>
        <w:t> We want to this of course in very close cooperation with people with disabilities and their representative organisations, should the EU legislator provide us with the statutory footing to do so.   I think that I can speak for the entire current monitoring framework that we are more than happy to offer our advice to the EU legislator in that regard. </w:t>
      </w:r>
    </w:p>
    <w:p w14:paraId="5EAA0F3F" w14:textId="5C201D71" w:rsidR="00087E5B" w:rsidRPr="00087E5B" w:rsidRDefault="00087E5B" w:rsidP="00087E5B">
      <w:pPr>
        <w:suppressAutoHyphens/>
        <w:spacing w:before="240" w:line="240" w:lineRule="atLeast"/>
        <w:ind w:left="1134" w:right="1134"/>
        <w:jc w:val="center"/>
        <w:rPr>
          <w:u w:val="single"/>
          <w:lang w:val="en-GB"/>
        </w:rPr>
      </w:pPr>
      <w:r>
        <w:rPr>
          <w:u w:val="single"/>
          <w:lang w:val="en-GB"/>
        </w:rPr>
        <w:tab/>
      </w:r>
      <w:r>
        <w:rPr>
          <w:u w:val="single"/>
          <w:lang w:val="en-GB"/>
        </w:rPr>
        <w:tab/>
      </w:r>
      <w:r>
        <w:rPr>
          <w:u w:val="single"/>
          <w:lang w:val="en-GB"/>
        </w:rPr>
        <w:tab/>
      </w:r>
    </w:p>
    <w:sectPr w:rsidR="00087E5B" w:rsidRPr="00087E5B"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7E2BF" w14:textId="77777777" w:rsidR="00087E5B" w:rsidRDefault="00087E5B" w:rsidP="00F95C08"/>
  </w:endnote>
  <w:endnote w:type="continuationSeparator" w:id="0">
    <w:p w14:paraId="2D3AEDE2" w14:textId="77777777" w:rsidR="00087E5B" w:rsidRPr="00AC3823" w:rsidRDefault="00087E5B" w:rsidP="00AC3823">
      <w:pPr>
        <w:pStyle w:val="Footer"/>
      </w:pPr>
    </w:p>
  </w:endnote>
  <w:endnote w:type="continuationNotice" w:id="1">
    <w:p w14:paraId="3E4924FC" w14:textId="77777777" w:rsidR="00087E5B" w:rsidRDefault="00087E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9C2A1" w14:textId="77777777" w:rsidR="00087E5B" w:rsidRPr="00AC3823" w:rsidRDefault="00087E5B" w:rsidP="00AC3823">
      <w:pPr>
        <w:pStyle w:val="Footer"/>
        <w:tabs>
          <w:tab w:val="right" w:pos="2155"/>
        </w:tabs>
        <w:spacing w:after="80" w:line="240" w:lineRule="atLeast"/>
        <w:ind w:left="680"/>
        <w:rPr>
          <w:u w:val="single"/>
        </w:rPr>
      </w:pPr>
      <w:r>
        <w:rPr>
          <w:u w:val="single"/>
        </w:rPr>
        <w:tab/>
      </w:r>
    </w:p>
  </w:footnote>
  <w:footnote w:type="continuationSeparator" w:id="0">
    <w:p w14:paraId="43179CBE" w14:textId="77777777" w:rsidR="00087E5B" w:rsidRPr="00AC3823" w:rsidRDefault="00087E5B" w:rsidP="00AC3823">
      <w:pPr>
        <w:pStyle w:val="Footer"/>
        <w:tabs>
          <w:tab w:val="right" w:pos="2155"/>
        </w:tabs>
        <w:spacing w:after="80" w:line="240" w:lineRule="atLeast"/>
        <w:ind w:left="680"/>
        <w:rPr>
          <w:u w:val="single"/>
        </w:rPr>
      </w:pPr>
      <w:r>
        <w:rPr>
          <w:u w:val="single"/>
        </w:rPr>
        <w:tab/>
      </w:r>
    </w:p>
  </w:footnote>
  <w:footnote w:type="continuationNotice" w:id="1">
    <w:p w14:paraId="1991074A" w14:textId="77777777" w:rsidR="00087E5B" w:rsidRPr="00AC3823" w:rsidRDefault="00087E5B">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43225625">
    <w:abstractNumId w:val="13"/>
  </w:num>
  <w:num w:numId="2" w16cid:durableId="1591506473">
    <w:abstractNumId w:val="11"/>
  </w:num>
  <w:num w:numId="3" w16cid:durableId="742337988">
    <w:abstractNumId w:val="10"/>
  </w:num>
  <w:num w:numId="4" w16cid:durableId="1549492467">
    <w:abstractNumId w:val="8"/>
  </w:num>
  <w:num w:numId="5" w16cid:durableId="1042360625">
    <w:abstractNumId w:val="3"/>
  </w:num>
  <w:num w:numId="6" w16cid:durableId="2064210262">
    <w:abstractNumId w:val="2"/>
  </w:num>
  <w:num w:numId="7" w16cid:durableId="611131973">
    <w:abstractNumId w:val="1"/>
  </w:num>
  <w:num w:numId="8" w16cid:durableId="1037199613">
    <w:abstractNumId w:val="0"/>
  </w:num>
  <w:num w:numId="9" w16cid:durableId="1522469200">
    <w:abstractNumId w:val="9"/>
  </w:num>
  <w:num w:numId="10" w16cid:durableId="1382484405">
    <w:abstractNumId w:val="7"/>
  </w:num>
  <w:num w:numId="11" w16cid:durableId="1991327933">
    <w:abstractNumId w:val="6"/>
  </w:num>
  <w:num w:numId="12" w16cid:durableId="415515157">
    <w:abstractNumId w:val="5"/>
  </w:num>
  <w:num w:numId="13" w16cid:durableId="683941261">
    <w:abstractNumId w:val="4"/>
  </w:num>
  <w:num w:numId="14" w16cid:durableId="1101687723">
    <w:abstractNumId w:val="12"/>
  </w:num>
  <w:num w:numId="15" w16cid:durableId="4661632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E5B"/>
    <w:rsid w:val="00017F94"/>
    <w:rsid w:val="00023842"/>
    <w:rsid w:val="000334F9"/>
    <w:rsid w:val="0007796D"/>
    <w:rsid w:val="00087E5B"/>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A6588"/>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44954"/>
    <w:rsid w:val="00B55090"/>
    <w:rsid w:val="00B765F7"/>
    <w:rsid w:val="00BA0CA9"/>
    <w:rsid w:val="00BB3E59"/>
    <w:rsid w:val="00BE1F4C"/>
    <w:rsid w:val="00BE4745"/>
    <w:rsid w:val="00BF3C2C"/>
    <w:rsid w:val="00C02897"/>
    <w:rsid w:val="00CD30BE"/>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C0F6F"/>
  <w15:chartTrackingRefBased/>
  <w15:docId w15:val="{85457855-11D4-4D9F-BB4D-2F384B036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fr-CH"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Title">
    <w:name w:val="Title"/>
    <w:basedOn w:val="Normal"/>
    <w:next w:val="Normal"/>
    <w:link w:val="TitleChar"/>
    <w:uiPriority w:val="10"/>
    <w:semiHidden/>
    <w:qFormat/>
    <w:rsid w:val="00087E5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087E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semiHidden/>
    <w:qFormat/>
    <w:rsid w:val="00087E5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semiHidden/>
    <w:rsid w:val="00087E5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semiHidden/>
    <w:qFormat/>
    <w:rsid w:val="00087E5B"/>
    <w:pPr>
      <w:spacing w:before="160" w:after="160"/>
      <w:jc w:val="center"/>
    </w:pPr>
    <w:rPr>
      <w:i/>
      <w:iCs/>
      <w:color w:val="404040" w:themeColor="text1" w:themeTint="BF"/>
    </w:rPr>
  </w:style>
  <w:style w:type="character" w:customStyle="1" w:styleId="QuoteChar">
    <w:name w:val="Quote Char"/>
    <w:basedOn w:val="DefaultParagraphFont"/>
    <w:link w:val="Quote"/>
    <w:uiPriority w:val="29"/>
    <w:semiHidden/>
    <w:rsid w:val="00087E5B"/>
    <w:rPr>
      <w:i/>
      <w:iCs/>
      <w:color w:val="404040" w:themeColor="text1" w:themeTint="BF"/>
    </w:rPr>
  </w:style>
  <w:style w:type="paragraph" w:styleId="ListParagraph">
    <w:name w:val="List Paragraph"/>
    <w:basedOn w:val="Normal"/>
    <w:uiPriority w:val="34"/>
    <w:semiHidden/>
    <w:qFormat/>
    <w:rsid w:val="00087E5B"/>
    <w:pPr>
      <w:ind w:left="720"/>
      <w:contextualSpacing/>
    </w:pPr>
  </w:style>
  <w:style w:type="character" w:styleId="IntenseEmphasis">
    <w:name w:val="Intense Emphasis"/>
    <w:basedOn w:val="DefaultParagraphFont"/>
    <w:uiPriority w:val="21"/>
    <w:semiHidden/>
    <w:qFormat/>
    <w:rsid w:val="00087E5B"/>
    <w:rPr>
      <w:i/>
      <w:iCs/>
      <w:color w:val="365F91" w:themeColor="accent1" w:themeShade="BF"/>
    </w:rPr>
  </w:style>
  <w:style w:type="paragraph" w:styleId="IntenseQuote">
    <w:name w:val="Intense Quote"/>
    <w:basedOn w:val="Normal"/>
    <w:next w:val="Normal"/>
    <w:link w:val="IntenseQuoteChar"/>
    <w:uiPriority w:val="30"/>
    <w:semiHidden/>
    <w:qFormat/>
    <w:rsid w:val="00087E5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semiHidden/>
    <w:rsid w:val="00087E5B"/>
    <w:rPr>
      <w:i/>
      <w:iCs/>
      <w:color w:val="365F91" w:themeColor="accent1" w:themeShade="BF"/>
    </w:rPr>
  </w:style>
  <w:style w:type="character" w:styleId="IntenseReference">
    <w:name w:val="Intense Reference"/>
    <w:basedOn w:val="DefaultParagraphFont"/>
    <w:uiPriority w:val="32"/>
    <w:semiHidden/>
    <w:qFormat/>
    <w:rsid w:val="00087E5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737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2025-03-12T14:00:39+00:00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6CC5B31-E584-4C6C-B047-A79449D88DD2}"/>
</file>

<file path=customXml/itemProps2.xml><?xml version="1.0" encoding="utf-8"?>
<ds:datastoreItem xmlns:ds="http://schemas.openxmlformats.org/officeDocument/2006/customXml" ds:itemID="{178B4803-4AA1-4297-92EF-86F27C115C90}"/>
</file>

<file path=customXml/itemProps3.xml><?xml version="1.0" encoding="utf-8"?>
<ds:datastoreItem xmlns:ds="http://schemas.openxmlformats.org/officeDocument/2006/customXml" ds:itemID="{B0AA7AE6-055C-47C8-B432-442A460BF4C3}"/>
</file>

<file path=docProps/app.xml><?xml version="1.0" encoding="utf-8"?>
<Properties xmlns="http://schemas.openxmlformats.org/officeDocument/2006/extended-properties" xmlns:vt="http://schemas.openxmlformats.org/officeDocument/2006/docPropsVTypes">
  <Template>Normal</Template>
  <TotalTime>2</TotalTime>
  <Pages>2</Pages>
  <Words>550</Words>
  <Characters>3137</Characters>
  <Application>Microsoft Office Word</Application>
  <DocSecurity>0</DocSecurity>
  <Lines>26</Lines>
  <Paragraphs>7</Paragraphs>
  <ScaleCrop>false</ScaleCrop>
  <Company/>
  <LinksUpToDate>false</LinksUpToDate>
  <CharactersWithSpaces>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OUKO</dc:creator>
  <cp:keywords/>
  <dc:description/>
  <cp:lastModifiedBy>Robert OUKO</cp:lastModifiedBy>
  <cp:revision>1</cp:revision>
  <cp:lastPrinted>2014-05-14T10:59:00Z</cp:lastPrinted>
  <dcterms:created xsi:type="dcterms:W3CDTF">2025-03-12T13:58:00Z</dcterms:created>
  <dcterms:modified xsi:type="dcterms:W3CDTF">2025-03-12T14:00:00Z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