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762" w:rsidRPr="002533F7" w:rsidRDefault="00B94762" w:rsidP="005A13A9">
      <w:pPr>
        <w:tabs>
          <w:tab w:val="left" w:pos="4111"/>
        </w:tabs>
        <w:spacing w:before="120" w:after="240" w:line="360" w:lineRule="auto"/>
        <w:ind w:right="2930"/>
        <w:rPr>
          <w:b/>
          <w:sz w:val="24"/>
          <w:szCs w:val="24"/>
        </w:rPr>
      </w:pPr>
      <w:r w:rsidRPr="002533F7">
        <w:rPr>
          <w:b/>
          <w:sz w:val="24"/>
          <w:szCs w:val="24"/>
        </w:rPr>
        <w:t>Submission to</w:t>
      </w:r>
      <w:r w:rsidR="00B42B82" w:rsidRPr="002533F7">
        <w:rPr>
          <w:b/>
          <w:sz w:val="24"/>
          <w:szCs w:val="24"/>
        </w:rPr>
        <w:t xml:space="preserve"> t</w:t>
      </w:r>
      <w:r w:rsidRPr="002533F7">
        <w:rPr>
          <w:b/>
          <w:sz w:val="24"/>
          <w:szCs w:val="24"/>
        </w:rPr>
        <w:t>he 58</w:t>
      </w:r>
      <w:r w:rsidRPr="002533F7">
        <w:rPr>
          <w:b/>
          <w:sz w:val="24"/>
          <w:szCs w:val="24"/>
          <w:vertAlign w:val="superscript"/>
        </w:rPr>
        <w:t>th</w:t>
      </w:r>
      <w:r w:rsidRPr="002533F7">
        <w:rPr>
          <w:b/>
          <w:sz w:val="24"/>
          <w:szCs w:val="24"/>
        </w:rPr>
        <w:t xml:space="preserve"> session </w:t>
      </w:r>
      <w:r w:rsidR="009A4FD4" w:rsidRPr="002533F7">
        <w:rPr>
          <w:b/>
          <w:sz w:val="24"/>
          <w:szCs w:val="24"/>
        </w:rPr>
        <w:br/>
      </w:r>
      <w:r w:rsidRPr="002533F7">
        <w:rPr>
          <w:b/>
          <w:sz w:val="24"/>
          <w:szCs w:val="24"/>
        </w:rPr>
        <w:t>of the Committee on Economic, Social and Cultural Rights</w:t>
      </w:r>
    </w:p>
    <w:p w:rsidR="00D20C58" w:rsidRPr="002533F7" w:rsidRDefault="00B94762" w:rsidP="005A13A9">
      <w:pPr>
        <w:pStyle w:val="HChG"/>
        <w:pBdr>
          <w:top w:val="single" w:sz="4" w:space="1" w:color="auto"/>
          <w:bottom w:val="single" w:sz="4" w:space="1" w:color="auto"/>
        </w:pBdr>
        <w:spacing w:before="0" w:line="360" w:lineRule="auto"/>
        <w:ind w:left="0" w:right="2930" w:firstLine="0"/>
        <w:rPr>
          <w:sz w:val="24"/>
          <w:szCs w:val="24"/>
        </w:rPr>
      </w:pPr>
      <w:r w:rsidRPr="002533F7">
        <w:rPr>
          <w:sz w:val="24"/>
          <w:szCs w:val="24"/>
        </w:rPr>
        <w:t xml:space="preserve">Observations on the replies of the UK </w:t>
      </w:r>
      <w:r w:rsidR="00B42B82" w:rsidRPr="002533F7">
        <w:rPr>
          <w:sz w:val="24"/>
          <w:szCs w:val="24"/>
        </w:rPr>
        <w:t>G</w:t>
      </w:r>
      <w:r w:rsidRPr="002533F7">
        <w:rPr>
          <w:sz w:val="24"/>
          <w:szCs w:val="24"/>
        </w:rPr>
        <w:t xml:space="preserve">overnment to the CESCR List of Issues </w:t>
      </w:r>
    </w:p>
    <w:p w:rsidR="006017CA" w:rsidRPr="002533F7" w:rsidRDefault="006017CA" w:rsidP="005A13A9">
      <w:pPr>
        <w:spacing w:before="120" w:after="240" w:line="360" w:lineRule="auto"/>
        <w:jc w:val="both"/>
        <w:rPr>
          <w:b/>
          <w:sz w:val="24"/>
          <w:szCs w:val="24"/>
        </w:rPr>
      </w:pPr>
      <w:r w:rsidRPr="002533F7">
        <w:rPr>
          <w:b/>
          <w:sz w:val="24"/>
          <w:szCs w:val="24"/>
        </w:rPr>
        <w:t>Submission by UK trade unions UNISON and UNITE</w:t>
      </w:r>
    </w:p>
    <w:p w:rsidR="006017CA" w:rsidRPr="002533F7" w:rsidRDefault="006017CA" w:rsidP="005A13A9">
      <w:pPr>
        <w:spacing w:before="120" w:after="240" w:line="360" w:lineRule="auto"/>
        <w:jc w:val="both"/>
        <w:rPr>
          <w:b/>
          <w:sz w:val="24"/>
          <w:szCs w:val="24"/>
        </w:rPr>
      </w:pPr>
      <w:r w:rsidRPr="002533F7">
        <w:rPr>
          <w:b/>
          <w:sz w:val="24"/>
          <w:szCs w:val="24"/>
        </w:rPr>
        <w:t>April 2016</w:t>
      </w:r>
    </w:p>
    <w:p w:rsidR="00520374" w:rsidRPr="002533F7" w:rsidRDefault="00520374" w:rsidP="005A13A9">
      <w:pPr>
        <w:spacing w:before="120" w:after="240" w:line="360" w:lineRule="auto"/>
        <w:jc w:val="both"/>
        <w:rPr>
          <w:b/>
          <w:sz w:val="24"/>
          <w:szCs w:val="24"/>
        </w:rPr>
      </w:pPr>
    </w:p>
    <w:p w:rsidR="00FB5233" w:rsidRPr="002533F7" w:rsidRDefault="00FB5233" w:rsidP="005A13A9">
      <w:pPr>
        <w:spacing w:before="120" w:after="240" w:line="360" w:lineRule="auto"/>
        <w:jc w:val="both"/>
        <w:rPr>
          <w:b/>
          <w:sz w:val="24"/>
          <w:szCs w:val="24"/>
        </w:rPr>
      </w:pPr>
      <w:r w:rsidRPr="002533F7">
        <w:rPr>
          <w:b/>
          <w:sz w:val="24"/>
          <w:szCs w:val="24"/>
        </w:rPr>
        <w:t>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095"/>
      </w:tblGrid>
      <w:tr w:rsidR="00520374" w:rsidRPr="002533F7" w:rsidTr="00FB5233">
        <w:tc>
          <w:tcPr>
            <w:tcW w:w="2093" w:type="dxa"/>
          </w:tcPr>
          <w:p w:rsidR="00520374" w:rsidRPr="002533F7" w:rsidRDefault="00520374" w:rsidP="005A13A9">
            <w:pPr>
              <w:spacing w:after="240" w:line="360" w:lineRule="auto"/>
              <w:jc w:val="both"/>
              <w:rPr>
                <w:sz w:val="24"/>
                <w:szCs w:val="24"/>
              </w:rPr>
            </w:pPr>
            <w:r w:rsidRPr="002533F7">
              <w:rPr>
                <w:sz w:val="24"/>
                <w:szCs w:val="24"/>
              </w:rPr>
              <w:t>EHRC</w:t>
            </w:r>
          </w:p>
        </w:tc>
        <w:tc>
          <w:tcPr>
            <w:tcW w:w="6095" w:type="dxa"/>
          </w:tcPr>
          <w:p w:rsidR="00520374" w:rsidRPr="002533F7" w:rsidRDefault="00520374" w:rsidP="005A13A9">
            <w:pPr>
              <w:spacing w:after="240" w:line="360" w:lineRule="auto"/>
              <w:jc w:val="both"/>
              <w:rPr>
                <w:sz w:val="24"/>
                <w:szCs w:val="24"/>
              </w:rPr>
            </w:pPr>
            <w:r w:rsidRPr="002533F7">
              <w:rPr>
                <w:sz w:val="24"/>
                <w:szCs w:val="24"/>
              </w:rPr>
              <w:t>Equality and Human Rights Commission</w:t>
            </w:r>
          </w:p>
        </w:tc>
      </w:tr>
      <w:tr w:rsidR="00520374" w:rsidRPr="002533F7" w:rsidTr="00FB5233">
        <w:tc>
          <w:tcPr>
            <w:tcW w:w="2093" w:type="dxa"/>
          </w:tcPr>
          <w:p w:rsidR="00520374" w:rsidRPr="002533F7" w:rsidRDefault="00520374" w:rsidP="005A13A9">
            <w:pPr>
              <w:spacing w:after="240" w:line="360" w:lineRule="auto"/>
              <w:jc w:val="both"/>
              <w:rPr>
                <w:sz w:val="24"/>
                <w:szCs w:val="24"/>
              </w:rPr>
            </w:pPr>
            <w:r w:rsidRPr="002533F7">
              <w:rPr>
                <w:sz w:val="24"/>
                <w:szCs w:val="24"/>
              </w:rPr>
              <w:t>HRCS</w:t>
            </w:r>
          </w:p>
        </w:tc>
        <w:tc>
          <w:tcPr>
            <w:tcW w:w="6095" w:type="dxa"/>
          </w:tcPr>
          <w:p w:rsidR="00520374" w:rsidRPr="002533F7" w:rsidRDefault="00520374" w:rsidP="005A13A9">
            <w:pPr>
              <w:spacing w:after="240" w:line="360" w:lineRule="auto"/>
              <w:jc w:val="both"/>
              <w:rPr>
                <w:sz w:val="24"/>
                <w:szCs w:val="24"/>
              </w:rPr>
            </w:pPr>
            <w:r w:rsidRPr="002533F7">
              <w:rPr>
                <w:sz w:val="24"/>
                <w:szCs w:val="24"/>
              </w:rPr>
              <w:t>Human Rights Consortium Scotland</w:t>
            </w:r>
          </w:p>
        </w:tc>
      </w:tr>
      <w:tr w:rsidR="00520374" w:rsidRPr="002533F7" w:rsidTr="00FB5233">
        <w:tc>
          <w:tcPr>
            <w:tcW w:w="2093" w:type="dxa"/>
          </w:tcPr>
          <w:p w:rsidR="00520374" w:rsidRPr="002533F7" w:rsidRDefault="00520374" w:rsidP="005A13A9">
            <w:pPr>
              <w:spacing w:after="240" w:line="360" w:lineRule="auto"/>
              <w:jc w:val="both"/>
              <w:rPr>
                <w:sz w:val="24"/>
                <w:szCs w:val="24"/>
              </w:rPr>
            </w:pPr>
            <w:r w:rsidRPr="002533F7">
              <w:rPr>
                <w:sz w:val="24"/>
                <w:szCs w:val="24"/>
              </w:rPr>
              <w:t>ILO</w:t>
            </w:r>
          </w:p>
        </w:tc>
        <w:tc>
          <w:tcPr>
            <w:tcW w:w="6095" w:type="dxa"/>
          </w:tcPr>
          <w:p w:rsidR="00520374" w:rsidRPr="002533F7" w:rsidRDefault="00520374" w:rsidP="005A13A9">
            <w:pPr>
              <w:spacing w:after="240" w:line="360" w:lineRule="auto"/>
              <w:jc w:val="both"/>
              <w:rPr>
                <w:sz w:val="24"/>
                <w:szCs w:val="24"/>
              </w:rPr>
            </w:pPr>
            <w:r w:rsidRPr="002533F7">
              <w:rPr>
                <w:sz w:val="24"/>
                <w:szCs w:val="24"/>
              </w:rPr>
              <w:t xml:space="preserve">International Labor </w:t>
            </w:r>
            <w:r w:rsidR="0069465B" w:rsidRPr="002533F7">
              <w:rPr>
                <w:sz w:val="24"/>
                <w:szCs w:val="24"/>
              </w:rPr>
              <w:t>Organisation</w:t>
            </w:r>
          </w:p>
        </w:tc>
      </w:tr>
      <w:tr w:rsidR="00520374" w:rsidRPr="002533F7" w:rsidTr="00FB5233">
        <w:tc>
          <w:tcPr>
            <w:tcW w:w="2093" w:type="dxa"/>
          </w:tcPr>
          <w:p w:rsidR="00520374" w:rsidRPr="002533F7" w:rsidRDefault="00520374" w:rsidP="005A13A9">
            <w:pPr>
              <w:spacing w:after="240" w:line="360" w:lineRule="auto"/>
              <w:jc w:val="both"/>
              <w:rPr>
                <w:sz w:val="24"/>
                <w:szCs w:val="24"/>
              </w:rPr>
            </w:pPr>
            <w:r w:rsidRPr="002533F7">
              <w:rPr>
                <w:sz w:val="24"/>
                <w:szCs w:val="24"/>
              </w:rPr>
              <w:t>JCHR</w:t>
            </w:r>
          </w:p>
        </w:tc>
        <w:tc>
          <w:tcPr>
            <w:tcW w:w="6095" w:type="dxa"/>
          </w:tcPr>
          <w:p w:rsidR="00520374" w:rsidRPr="002533F7" w:rsidRDefault="00520374" w:rsidP="005A13A9">
            <w:pPr>
              <w:spacing w:after="240" w:line="360" w:lineRule="auto"/>
              <w:jc w:val="both"/>
              <w:rPr>
                <w:sz w:val="24"/>
                <w:szCs w:val="24"/>
              </w:rPr>
            </w:pPr>
            <w:r w:rsidRPr="002533F7">
              <w:rPr>
                <w:sz w:val="24"/>
                <w:szCs w:val="24"/>
              </w:rPr>
              <w:t>Parliamentary Joint Select Committee on Human Rights</w:t>
            </w:r>
          </w:p>
        </w:tc>
      </w:tr>
      <w:tr w:rsidR="00520374" w:rsidRPr="002533F7" w:rsidTr="00FB5233">
        <w:tc>
          <w:tcPr>
            <w:tcW w:w="2093" w:type="dxa"/>
          </w:tcPr>
          <w:p w:rsidR="00520374" w:rsidRPr="002533F7" w:rsidRDefault="00520374" w:rsidP="005A13A9">
            <w:pPr>
              <w:spacing w:after="240" w:line="360" w:lineRule="auto"/>
              <w:jc w:val="both"/>
              <w:rPr>
                <w:sz w:val="24"/>
                <w:szCs w:val="24"/>
              </w:rPr>
            </w:pPr>
            <w:r w:rsidRPr="002533F7">
              <w:rPr>
                <w:sz w:val="24"/>
                <w:szCs w:val="24"/>
              </w:rPr>
              <w:t>NHRI</w:t>
            </w:r>
          </w:p>
        </w:tc>
        <w:tc>
          <w:tcPr>
            <w:tcW w:w="6095" w:type="dxa"/>
          </w:tcPr>
          <w:p w:rsidR="00520374" w:rsidRPr="002533F7" w:rsidRDefault="00520374" w:rsidP="005A13A9">
            <w:pPr>
              <w:spacing w:after="240" w:line="360" w:lineRule="auto"/>
              <w:jc w:val="both"/>
              <w:rPr>
                <w:sz w:val="24"/>
                <w:szCs w:val="24"/>
              </w:rPr>
            </w:pPr>
            <w:r w:rsidRPr="002533F7">
              <w:rPr>
                <w:sz w:val="24"/>
                <w:szCs w:val="24"/>
              </w:rPr>
              <w:t>National Human Rights Institution</w:t>
            </w:r>
          </w:p>
        </w:tc>
      </w:tr>
      <w:tr w:rsidR="00A22B64" w:rsidRPr="002533F7" w:rsidTr="00FB5233">
        <w:tc>
          <w:tcPr>
            <w:tcW w:w="2093" w:type="dxa"/>
          </w:tcPr>
          <w:p w:rsidR="00A22B64" w:rsidRPr="002533F7" w:rsidRDefault="00A22B64" w:rsidP="005A13A9">
            <w:pPr>
              <w:spacing w:after="240" w:line="360" w:lineRule="auto"/>
              <w:jc w:val="both"/>
              <w:rPr>
                <w:sz w:val="24"/>
                <w:szCs w:val="24"/>
              </w:rPr>
            </w:pPr>
            <w:r>
              <w:rPr>
                <w:sz w:val="24"/>
                <w:szCs w:val="24"/>
              </w:rPr>
              <w:t>SG</w:t>
            </w:r>
          </w:p>
        </w:tc>
        <w:tc>
          <w:tcPr>
            <w:tcW w:w="6095" w:type="dxa"/>
          </w:tcPr>
          <w:p w:rsidR="00A22B64" w:rsidRPr="002533F7" w:rsidRDefault="00A22B64" w:rsidP="005A13A9">
            <w:pPr>
              <w:spacing w:after="240" w:line="360" w:lineRule="auto"/>
              <w:jc w:val="both"/>
              <w:rPr>
                <w:sz w:val="24"/>
                <w:szCs w:val="24"/>
              </w:rPr>
            </w:pPr>
            <w:r>
              <w:rPr>
                <w:sz w:val="24"/>
                <w:szCs w:val="24"/>
              </w:rPr>
              <w:t>Scottish Government</w:t>
            </w:r>
          </w:p>
        </w:tc>
      </w:tr>
      <w:tr w:rsidR="00520374" w:rsidRPr="002533F7" w:rsidTr="00FB5233">
        <w:tc>
          <w:tcPr>
            <w:tcW w:w="2093" w:type="dxa"/>
          </w:tcPr>
          <w:p w:rsidR="00520374" w:rsidRPr="002533F7" w:rsidRDefault="00520374" w:rsidP="005A13A9">
            <w:pPr>
              <w:spacing w:after="240" w:line="360" w:lineRule="auto"/>
              <w:jc w:val="both"/>
              <w:rPr>
                <w:sz w:val="24"/>
                <w:szCs w:val="24"/>
              </w:rPr>
            </w:pPr>
            <w:r w:rsidRPr="002533F7">
              <w:rPr>
                <w:sz w:val="24"/>
                <w:szCs w:val="24"/>
              </w:rPr>
              <w:t>STUC</w:t>
            </w:r>
          </w:p>
        </w:tc>
        <w:tc>
          <w:tcPr>
            <w:tcW w:w="6095" w:type="dxa"/>
          </w:tcPr>
          <w:p w:rsidR="00520374" w:rsidRPr="002533F7" w:rsidRDefault="00520374" w:rsidP="005A13A9">
            <w:pPr>
              <w:spacing w:after="240" w:line="360" w:lineRule="auto"/>
              <w:jc w:val="both"/>
              <w:rPr>
                <w:sz w:val="24"/>
                <w:szCs w:val="24"/>
              </w:rPr>
            </w:pPr>
            <w:r w:rsidRPr="002533F7">
              <w:rPr>
                <w:sz w:val="24"/>
                <w:szCs w:val="24"/>
              </w:rPr>
              <w:t>Scottish Trades Union Congress</w:t>
            </w:r>
          </w:p>
        </w:tc>
      </w:tr>
      <w:tr w:rsidR="00A22B64" w:rsidRPr="002533F7" w:rsidTr="00FB5233">
        <w:tc>
          <w:tcPr>
            <w:tcW w:w="2093" w:type="dxa"/>
          </w:tcPr>
          <w:p w:rsidR="00A22B64" w:rsidRPr="002533F7" w:rsidRDefault="00A22B64" w:rsidP="005A13A9">
            <w:pPr>
              <w:spacing w:after="240" w:line="360" w:lineRule="auto"/>
              <w:jc w:val="both"/>
              <w:rPr>
                <w:sz w:val="24"/>
                <w:szCs w:val="24"/>
              </w:rPr>
            </w:pPr>
            <w:r>
              <w:rPr>
                <w:sz w:val="24"/>
                <w:szCs w:val="24"/>
              </w:rPr>
              <w:t>TCA</w:t>
            </w:r>
          </w:p>
        </w:tc>
        <w:tc>
          <w:tcPr>
            <w:tcW w:w="6095" w:type="dxa"/>
          </w:tcPr>
          <w:p w:rsidR="00A22B64" w:rsidRPr="002533F7" w:rsidRDefault="00A22B64" w:rsidP="005A13A9">
            <w:pPr>
              <w:spacing w:after="240" w:line="360" w:lineRule="auto"/>
              <w:jc w:val="both"/>
              <w:rPr>
                <w:sz w:val="24"/>
                <w:szCs w:val="24"/>
              </w:rPr>
            </w:pPr>
            <w:r>
              <w:rPr>
                <w:sz w:val="24"/>
                <w:szCs w:val="24"/>
              </w:rPr>
              <w:t>The Consulting Association</w:t>
            </w:r>
          </w:p>
        </w:tc>
      </w:tr>
      <w:tr w:rsidR="00520374" w:rsidRPr="002533F7" w:rsidTr="00FB5233">
        <w:tc>
          <w:tcPr>
            <w:tcW w:w="2093" w:type="dxa"/>
          </w:tcPr>
          <w:p w:rsidR="00520374" w:rsidRPr="002533F7" w:rsidRDefault="00520374" w:rsidP="005A13A9">
            <w:pPr>
              <w:spacing w:after="240" w:line="360" w:lineRule="auto"/>
              <w:jc w:val="both"/>
              <w:rPr>
                <w:sz w:val="24"/>
                <w:szCs w:val="24"/>
              </w:rPr>
            </w:pPr>
            <w:r w:rsidRPr="002533F7">
              <w:rPr>
                <w:sz w:val="24"/>
                <w:szCs w:val="24"/>
              </w:rPr>
              <w:t>TUB</w:t>
            </w:r>
          </w:p>
        </w:tc>
        <w:tc>
          <w:tcPr>
            <w:tcW w:w="6095" w:type="dxa"/>
          </w:tcPr>
          <w:p w:rsidR="00520374" w:rsidRPr="002533F7" w:rsidRDefault="00520374" w:rsidP="005A13A9">
            <w:pPr>
              <w:spacing w:after="240" w:line="360" w:lineRule="auto"/>
              <w:jc w:val="both"/>
              <w:rPr>
                <w:sz w:val="24"/>
                <w:szCs w:val="24"/>
              </w:rPr>
            </w:pPr>
            <w:r w:rsidRPr="002533F7">
              <w:rPr>
                <w:sz w:val="24"/>
                <w:szCs w:val="24"/>
              </w:rPr>
              <w:t>Trade Union Bill 2015</w:t>
            </w:r>
          </w:p>
        </w:tc>
      </w:tr>
      <w:tr w:rsidR="00E903E3" w:rsidRPr="002533F7" w:rsidTr="00FB5233">
        <w:tc>
          <w:tcPr>
            <w:tcW w:w="2093" w:type="dxa"/>
          </w:tcPr>
          <w:p w:rsidR="00E903E3" w:rsidRPr="002533F7" w:rsidRDefault="00E903E3" w:rsidP="005A13A9">
            <w:pPr>
              <w:spacing w:after="240" w:line="360" w:lineRule="auto"/>
              <w:jc w:val="both"/>
              <w:rPr>
                <w:sz w:val="24"/>
                <w:szCs w:val="24"/>
              </w:rPr>
            </w:pPr>
            <w:proofErr w:type="spellStart"/>
            <w:r w:rsidRPr="002533F7">
              <w:rPr>
                <w:sz w:val="24"/>
                <w:szCs w:val="24"/>
              </w:rPr>
              <w:t>TULRCA</w:t>
            </w:r>
            <w:proofErr w:type="spellEnd"/>
          </w:p>
        </w:tc>
        <w:tc>
          <w:tcPr>
            <w:tcW w:w="6095" w:type="dxa"/>
          </w:tcPr>
          <w:p w:rsidR="00E903E3" w:rsidRPr="002533F7" w:rsidRDefault="00E903E3" w:rsidP="005A13A9">
            <w:pPr>
              <w:spacing w:after="240" w:line="360" w:lineRule="auto"/>
              <w:jc w:val="both"/>
              <w:rPr>
                <w:sz w:val="24"/>
                <w:szCs w:val="24"/>
              </w:rPr>
            </w:pPr>
            <w:r w:rsidRPr="002533F7">
              <w:rPr>
                <w:sz w:val="24"/>
                <w:szCs w:val="24"/>
              </w:rPr>
              <w:t>Trade Union Labour Relations (Consolidation) Act</w:t>
            </w:r>
          </w:p>
        </w:tc>
      </w:tr>
      <w:tr w:rsidR="00520374" w:rsidRPr="002533F7" w:rsidTr="00FB5233">
        <w:tc>
          <w:tcPr>
            <w:tcW w:w="2093" w:type="dxa"/>
          </w:tcPr>
          <w:p w:rsidR="00520374" w:rsidRPr="002533F7" w:rsidRDefault="00520374" w:rsidP="005A13A9">
            <w:pPr>
              <w:spacing w:after="240" w:line="360" w:lineRule="auto"/>
              <w:jc w:val="both"/>
              <w:rPr>
                <w:sz w:val="24"/>
                <w:szCs w:val="24"/>
              </w:rPr>
            </w:pPr>
            <w:proofErr w:type="spellStart"/>
            <w:r w:rsidRPr="002533F7">
              <w:rPr>
                <w:sz w:val="24"/>
                <w:szCs w:val="24"/>
              </w:rPr>
              <w:t>UKG</w:t>
            </w:r>
            <w:proofErr w:type="spellEnd"/>
          </w:p>
        </w:tc>
        <w:tc>
          <w:tcPr>
            <w:tcW w:w="6095" w:type="dxa"/>
          </w:tcPr>
          <w:p w:rsidR="00520374" w:rsidRPr="002533F7" w:rsidRDefault="00520374" w:rsidP="005A13A9">
            <w:pPr>
              <w:spacing w:after="240" w:line="360" w:lineRule="auto"/>
              <w:jc w:val="both"/>
              <w:rPr>
                <w:sz w:val="24"/>
                <w:szCs w:val="24"/>
              </w:rPr>
            </w:pPr>
            <w:r w:rsidRPr="002533F7">
              <w:rPr>
                <w:sz w:val="24"/>
                <w:szCs w:val="24"/>
              </w:rPr>
              <w:t>United Kingdom Government</w:t>
            </w:r>
          </w:p>
        </w:tc>
      </w:tr>
    </w:tbl>
    <w:p w:rsidR="00FB5233" w:rsidRPr="002533F7" w:rsidRDefault="00FB5233" w:rsidP="005A13A9">
      <w:pPr>
        <w:spacing w:before="120" w:after="240" w:line="360" w:lineRule="auto"/>
        <w:jc w:val="both"/>
        <w:rPr>
          <w:b/>
          <w:sz w:val="24"/>
          <w:szCs w:val="24"/>
        </w:rPr>
      </w:pPr>
    </w:p>
    <w:p w:rsidR="0069465B" w:rsidRPr="002533F7" w:rsidRDefault="0069465B" w:rsidP="005A13A9">
      <w:pPr>
        <w:suppressAutoHyphens w:val="0"/>
        <w:spacing w:after="200" w:line="360" w:lineRule="auto"/>
        <w:rPr>
          <w:sz w:val="24"/>
          <w:szCs w:val="24"/>
        </w:rPr>
      </w:pPr>
      <w:r w:rsidRPr="002533F7">
        <w:rPr>
          <w:sz w:val="24"/>
          <w:szCs w:val="24"/>
        </w:rPr>
        <w:br w:type="page"/>
      </w:r>
    </w:p>
    <w:p w:rsidR="00777E80" w:rsidRPr="002533F7" w:rsidRDefault="00B42B82" w:rsidP="005A13A9">
      <w:pPr>
        <w:spacing w:before="120" w:after="240" w:line="360" w:lineRule="auto"/>
        <w:jc w:val="both"/>
        <w:rPr>
          <w:sz w:val="24"/>
          <w:szCs w:val="24"/>
        </w:rPr>
      </w:pPr>
      <w:r w:rsidRPr="002533F7">
        <w:rPr>
          <w:sz w:val="24"/>
          <w:szCs w:val="24"/>
        </w:rPr>
        <w:lastRenderedPageBreak/>
        <w:t xml:space="preserve">UNISON and UNITE are </w:t>
      </w:r>
      <w:r w:rsidR="00E32CF0">
        <w:rPr>
          <w:sz w:val="24"/>
          <w:szCs w:val="24"/>
        </w:rPr>
        <w:t xml:space="preserve">two of </w:t>
      </w:r>
      <w:r w:rsidRPr="002533F7">
        <w:rPr>
          <w:sz w:val="24"/>
          <w:szCs w:val="24"/>
        </w:rPr>
        <w:t xml:space="preserve">the largest trade unions in the United Kingdom. As members of the Human Rights Consortium Scotland </w:t>
      </w:r>
      <w:r w:rsidR="00970CB3" w:rsidRPr="002533F7">
        <w:rPr>
          <w:sz w:val="24"/>
          <w:szCs w:val="24"/>
        </w:rPr>
        <w:t xml:space="preserve">(HRCS) </w:t>
      </w:r>
      <w:r w:rsidR="00D650A3" w:rsidRPr="002533F7">
        <w:rPr>
          <w:sz w:val="24"/>
          <w:szCs w:val="24"/>
        </w:rPr>
        <w:t>UNISON and UNITE</w:t>
      </w:r>
      <w:r w:rsidRPr="002533F7">
        <w:rPr>
          <w:sz w:val="24"/>
          <w:szCs w:val="24"/>
        </w:rPr>
        <w:t xml:space="preserve"> made submissions to the </w:t>
      </w:r>
      <w:r w:rsidR="00FB5233" w:rsidRPr="002533F7">
        <w:rPr>
          <w:sz w:val="24"/>
          <w:szCs w:val="24"/>
        </w:rPr>
        <w:t xml:space="preserve">Committee on Economic, Social and Cultural Rights (the Committee) </w:t>
      </w:r>
      <w:r w:rsidRPr="002533F7">
        <w:rPr>
          <w:sz w:val="24"/>
          <w:szCs w:val="24"/>
        </w:rPr>
        <w:t>in October 2015.</w:t>
      </w:r>
      <w:r w:rsidR="00777E80" w:rsidRPr="002533F7">
        <w:rPr>
          <w:rStyle w:val="FootnoteReference"/>
          <w:sz w:val="24"/>
          <w:szCs w:val="24"/>
        </w:rPr>
        <w:footnoteReference w:id="1"/>
      </w:r>
      <w:r w:rsidR="00777E80" w:rsidRPr="002533F7">
        <w:rPr>
          <w:sz w:val="24"/>
          <w:szCs w:val="24"/>
        </w:rPr>
        <w:t xml:space="preserve"> </w:t>
      </w:r>
      <w:r w:rsidRPr="002533F7">
        <w:rPr>
          <w:sz w:val="24"/>
          <w:szCs w:val="24"/>
        </w:rPr>
        <w:t xml:space="preserve">We are grateful for the opportunity to make this brief supplementary submission </w:t>
      </w:r>
      <w:r w:rsidR="00777E80" w:rsidRPr="002533F7">
        <w:rPr>
          <w:sz w:val="24"/>
          <w:szCs w:val="24"/>
        </w:rPr>
        <w:t xml:space="preserve">and to address </w:t>
      </w:r>
      <w:r w:rsidR="006017CA" w:rsidRPr="002533F7">
        <w:rPr>
          <w:sz w:val="24"/>
          <w:szCs w:val="24"/>
        </w:rPr>
        <w:t xml:space="preserve">two specific aspects of </w:t>
      </w:r>
      <w:r w:rsidR="00777E80" w:rsidRPr="002533F7">
        <w:rPr>
          <w:sz w:val="24"/>
          <w:szCs w:val="24"/>
        </w:rPr>
        <w:t xml:space="preserve">the United Kingdom </w:t>
      </w:r>
      <w:r w:rsidR="00DC1020" w:rsidRPr="002533F7">
        <w:rPr>
          <w:sz w:val="24"/>
          <w:szCs w:val="24"/>
        </w:rPr>
        <w:t>Government</w:t>
      </w:r>
      <w:r w:rsidR="00777E80" w:rsidRPr="002533F7">
        <w:rPr>
          <w:sz w:val="24"/>
          <w:szCs w:val="24"/>
        </w:rPr>
        <w:t xml:space="preserve"> (UKG) response to the list of issues.</w:t>
      </w:r>
    </w:p>
    <w:p w:rsidR="00B42B82" w:rsidRPr="002533F7" w:rsidRDefault="005D53C0" w:rsidP="005A13A9">
      <w:pPr>
        <w:spacing w:after="240" w:line="360" w:lineRule="auto"/>
        <w:jc w:val="both"/>
        <w:rPr>
          <w:sz w:val="24"/>
          <w:szCs w:val="24"/>
        </w:rPr>
      </w:pPr>
      <w:r w:rsidRPr="002533F7">
        <w:rPr>
          <w:b/>
          <w:sz w:val="24"/>
          <w:szCs w:val="24"/>
        </w:rPr>
        <w:t xml:space="preserve">1. </w:t>
      </w:r>
      <w:r w:rsidR="00B42B82" w:rsidRPr="002533F7">
        <w:rPr>
          <w:b/>
          <w:sz w:val="24"/>
          <w:szCs w:val="24"/>
        </w:rPr>
        <w:t xml:space="preserve">Human Rights Consortium Scotland Report and Submission to CESCR </w:t>
      </w:r>
      <w:r w:rsidR="00970CB3" w:rsidRPr="002533F7">
        <w:rPr>
          <w:b/>
          <w:sz w:val="24"/>
          <w:szCs w:val="24"/>
        </w:rPr>
        <w:t>Pre Sessional Working Group,</w:t>
      </w:r>
      <w:r w:rsidR="00B42B82" w:rsidRPr="002533F7">
        <w:rPr>
          <w:b/>
          <w:sz w:val="24"/>
          <w:szCs w:val="24"/>
        </w:rPr>
        <w:t xml:space="preserve"> October 2015</w:t>
      </w:r>
    </w:p>
    <w:p w:rsidR="00970CB3" w:rsidRPr="002533F7" w:rsidRDefault="00B42B82" w:rsidP="005A13A9">
      <w:pPr>
        <w:spacing w:after="240" w:line="360" w:lineRule="auto"/>
        <w:jc w:val="both"/>
        <w:rPr>
          <w:sz w:val="24"/>
          <w:szCs w:val="24"/>
        </w:rPr>
      </w:pPr>
      <w:r w:rsidRPr="002533F7">
        <w:rPr>
          <w:sz w:val="24"/>
          <w:szCs w:val="24"/>
        </w:rPr>
        <w:t xml:space="preserve">Human Rights Consortium Scotland (HRCS) is a consortium of civil society organisations in Scotland. HRCS submitted a report to the Sixth Periodic Review in September 2015 and made written and oral submissions at the </w:t>
      </w:r>
      <w:r w:rsidR="00FB5233" w:rsidRPr="002533F7">
        <w:rPr>
          <w:sz w:val="24"/>
          <w:szCs w:val="24"/>
        </w:rPr>
        <w:t>Committee</w:t>
      </w:r>
      <w:r w:rsidRPr="002533F7">
        <w:rPr>
          <w:sz w:val="24"/>
          <w:szCs w:val="24"/>
        </w:rPr>
        <w:t xml:space="preserve"> on 15 October 2015. </w:t>
      </w:r>
      <w:r w:rsidR="00970CB3" w:rsidRPr="002533F7">
        <w:rPr>
          <w:sz w:val="24"/>
          <w:szCs w:val="24"/>
        </w:rPr>
        <w:t>The HRCS paper addressed a</w:t>
      </w:r>
      <w:r w:rsidR="00660A4E" w:rsidRPr="002533F7">
        <w:rPr>
          <w:sz w:val="24"/>
          <w:szCs w:val="24"/>
        </w:rPr>
        <w:t xml:space="preserve"> number of trade union </w:t>
      </w:r>
      <w:r w:rsidR="00FB5233" w:rsidRPr="002533F7">
        <w:rPr>
          <w:sz w:val="24"/>
          <w:szCs w:val="24"/>
        </w:rPr>
        <w:t>concerns</w:t>
      </w:r>
      <w:r w:rsidR="00660A4E" w:rsidRPr="002533F7">
        <w:rPr>
          <w:sz w:val="24"/>
          <w:szCs w:val="24"/>
        </w:rPr>
        <w:t xml:space="preserve"> including the Trade Union Bill and the absence of effective measures to tackle the Blacklisting of trade union activists.</w:t>
      </w:r>
      <w:r w:rsidR="00D650A3" w:rsidRPr="002533F7">
        <w:rPr>
          <w:rStyle w:val="FootnoteReference"/>
          <w:sz w:val="24"/>
          <w:szCs w:val="24"/>
        </w:rPr>
        <w:footnoteReference w:id="2"/>
      </w:r>
    </w:p>
    <w:p w:rsidR="00970CB3" w:rsidRPr="002533F7" w:rsidRDefault="005D53C0" w:rsidP="005A13A9">
      <w:pPr>
        <w:spacing w:after="240" w:line="360" w:lineRule="auto"/>
        <w:jc w:val="both"/>
        <w:rPr>
          <w:b/>
          <w:sz w:val="24"/>
          <w:szCs w:val="24"/>
        </w:rPr>
      </w:pPr>
      <w:r w:rsidRPr="002533F7">
        <w:rPr>
          <w:b/>
          <w:sz w:val="24"/>
          <w:szCs w:val="24"/>
        </w:rPr>
        <w:t xml:space="preserve">2. </w:t>
      </w:r>
      <w:r w:rsidR="00970CB3" w:rsidRPr="002533F7">
        <w:rPr>
          <w:b/>
          <w:sz w:val="24"/>
          <w:szCs w:val="24"/>
        </w:rPr>
        <w:t>CESCR List of Issues October 2015</w:t>
      </w:r>
    </w:p>
    <w:p w:rsidR="00970CB3" w:rsidRPr="002533F7" w:rsidRDefault="00970CB3" w:rsidP="005A13A9">
      <w:pPr>
        <w:spacing w:after="240" w:line="360" w:lineRule="auto"/>
        <w:jc w:val="both"/>
        <w:rPr>
          <w:sz w:val="24"/>
          <w:szCs w:val="24"/>
        </w:rPr>
      </w:pPr>
      <w:r w:rsidRPr="002533F7">
        <w:rPr>
          <w:sz w:val="24"/>
          <w:szCs w:val="24"/>
        </w:rPr>
        <w:t xml:space="preserve">At paragraph 13 in the list of issues the </w:t>
      </w:r>
      <w:r w:rsidR="00FB5233" w:rsidRPr="002533F7">
        <w:rPr>
          <w:sz w:val="24"/>
          <w:szCs w:val="24"/>
        </w:rPr>
        <w:t>Committee</w:t>
      </w:r>
      <w:r w:rsidRPr="002533F7">
        <w:rPr>
          <w:sz w:val="24"/>
          <w:szCs w:val="24"/>
        </w:rPr>
        <w:t xml:space="preserve"> raised the following</w:t>
      </w:r>
      <w:r w:rsidR="006017CA" w:rsidRPr="002533F7">
        <w:rPr>
          <w:sz w:val="24"/>
          <w:szCs w:val="24"/>
        </w:rPr>
        <w:t xml:space="preserve"> </w:t>
      </w:r>
      <w:r w:rsidR="0069465B" w:rsidRPr="002533F7">
        <w:rPr>
          <w:sz w:val="24"/>
          <w:szCs w:val="24"/>
        </w:rPr>
        <w:t>points:</w:t>
      </w:r>
    </w:p>
    <w:p w:rsidR="00970CB3" w:rsidRPr="002533F7" w:rsidRDefault="00970CB3" w:rsidP="005A13A9">
      <w:pPr>
        <w:pStyle w:val="H1G"/>
        <w:spacing w:line="360" w:lineRule="auto"/>
        <w:jc w:val="both"/>
        <w:rPr>
          <w:rFonts w:eastAsia="SimSun"/>
          <w:szCs w:val="24"/>
        </w:rPr>
      </w:pPr>
      <w:r w:rsidRPr="002533F7">
        <w:rPr>
          <w:rFonts w:eastAsia="SimSun"/>
          <w:szCs w:val="24"/>
        </w:rPr>
        <w:t>Article 8 – Trade union rights</w:t>
      </w:r>
    </w:p>
    <w:p w:rsidR="006017CA" w:rsidRPr="002533F7" w:rsidRDefault="00970CB3" w:rsidP="005A13A9">
      <w:pPr>
        <w:pStyle w:val="SingleTxtG"/>
        <w:spacing w:after="240" w:line="360" w:lineRule="auto"/>
        <w:rPr>
          <w:sz w:val="24"/>
          <w:szCs w:val="24"/>
        </w:rPr>
      </w:pPr>
      <w:r w:rsidRPr="002533F7">
        <w:rPr>
          <w:sz w:val="24"/>
          <w:szCs w:val="24"/>
        </w:rPr>
        <w:t>13.</w:t>
      </w:r>
      <w:r w:rsidRPr="002533F7">
        <w:rPr>
          <w:sz w:val="24"/>
          <w:szCs w:val="24"/>
        </w:rPr>
        <w:tab/>
      </w:r>
      <w:r w:rsidR="00FB5233" w:rsidRPr="002533F7">
        <w:rPr>
          <w:sz w:val="24"/>
          <w:szCs w:val="24"/>
        </w:rPr>
        <w:t xml:space="preserve">  </w:t>
      </w:r>
      <w:r w:rsidRPr="002533F7">
        <w:rPr>
          <w:sz w:val="24"/>
          <w:szCs w:val="24"/>
        </w:rPr>
        <w:t>Please provide information on the measures adopted to effectively enforce the new regulation adopted to prevent the blacklisting of trade union members. Please also provide information on the adoption and content of the trade union bill and whether it contains any exemptions to the trade union rights contained in the Covenant.</w:t>
      </w:r>
      <w:r w:rsidR="0016569D" w:rsidRPr="002533F7">
        <w:rPr>
          <w:rStyle w:val="FootnoteReference"/>
          <w:sz w:val="24"/>
          <w:szCs w:val="24"/>
        </w:rPr>
        <w:footnoteReference w:id="3"/>
      </w:r>
    </w:p>
    <w:p w:rsidR="00970CB3" w:rsidRPr="002533F7" w:rsidRDefault="005D53C0" w:rsidP="005A13A9">
      <w:pPr>
        <w:spacing w:after="240" w:line="360" w:lineRule="auto"/>
        <w:jc w:val="both"/>
        <w:rPr>
          <w:b/>
          <w:sz w:val="24"/>
          <w:szCs w:val="24"/>
        </w:rPr>
      </w:pPr>
      <w:r w:rsidRPr="002533F7">
        <w:rPr>
          <w:b/>
          <w:sz w:val="24"/>
          <w:szCs w:val="24"/>
        </w:rPr>
        <w:t xml:space="preserve">3. </w:t>
      </w:r>
      <w:r w:rsidR="00970CB3" w:rsidRPr="002533F7">
        <w:rPr>
          <w:b/>
          <w:sz w:val="24"/>
          <w:szCs w:val="24"/>
        </w:rPr>
        <w:t xml:space="preserve">UKG Response to </w:t>
      </w:r>
      <w:r w:rsidR="0016569D" w:rsidRPr="002533F7">
        <w:rPr>
          <w:b/>
          <w:sz w:val="24"/>
          <w:szCs w:val="24"/>
        </w:rPr>
        <w:t>the CESCR List of Issues - s.59</w:t>
      </w:r>
      <w:r w:rsidR="00970CB3" w:rsidRPr="002533F7">
        <w:rPr>
          <w:b/>
          <w:sz w:val="24"/>
          <w:szCs w:val="24"/>
        </w:rPr>
        <w:t xml:space="preserve"> Trade Union Rights </w:t>
      </w:r>
    </w:p>
    <w:p w:rsidR="00970CB3" w:rsidRPr="002533F7" w:rsidRDefault="00970CB3" w:rsidP="005A13A9">
      <w:pPr>
        <w:spacing w:after="240" w:line="360" w:lineRule="auto"/>
        <w:jc w:val="both"/>
        <w:rPr>
          <w:sz w:val="24"/>
          <w:szCs w:val="24"/>
        </w:rPr>
      </w:pPr>
      <w:r w:rsidRPr="002533F7">
        <w:rPr>
          <w:sz w:val="24"/>
          <w:szCs w:val="24"/>
        </w:rPr>
        <w:t xml:space="preserve">At s.59 in the UKG response to the list of issues the UKG furnished </w:t>
      </w:r>
      <w:r w:rsidR="00FB5233" w:rsidRPr="002533F7">
        <w:rPr>
          <w:sz w:val="24"/>
          <w:szCs w:val="24"/>
        </w:rPr>
        <w:t>the Committee</w:t>
      </w:r>
      <w:r w:rsidRPr="002533F7">
        <w:rPr>
          <w:sz w:val="24"/>
          <w:szCs w:val="24"/>
        </w:rPr>
        <w:t xml:space="preserve"> with the following response:</w:t>
      </w:r>
    </w:p>
    <w:p w:rsidR="00085EDB" w:rsidRPr="002533F7" w:rsidRDefault="00085EDB" w:rsidP="005A13A9">
      <w:pPr>
        <w:pStyle w:val="SingleTxtG"/>
        <w:numPr>
          <w:ilvl w:val="0"/>
          <w:numId w:val="3"/>
        </w:numPr>
        <w:spacing w:after="240" w:line="360" w:lineRule="auto"/>
        <w:ind w:left="1134" w:firstLine="0"/>
        <w:rPr>
          <w:sz w:val="24"/>
          <w:szCs w:val="24"/>
        </w:rPr>
      </w:pPr>
      <w:r w:rsidRPr="002533F7">
        <w:rPr>
          <w:sz w:val="24"/>
          <w:szCs w:val="24"/>
        </w:rPr>
        <w:lastRenderedPageBreak/>
        <w:t xml:space="preserve">   The Employment Relations Act 1999 (Blacklists) Regulations 2010 make it illegal, subject to certain exemptions, to compile, use, sell or supply ‘prohibited lists’ (a blacklist). </w:t>
      </w:r>
      <w:proofErr w:type="gramStart"/>
      <w:r w:rsidRPr="002533F7">
        <w:rPr>
          <w:sz w:val="24"/>
          <w:szCs w:val="24"/>
        </w:rPr>
        <w:t>Individuals</w:t>
      </w:r>
      <w:proofErr w:type="gramEnd"/>
      <w:r w:rsidRPr="002533F7">
        <w:rPr>
          <w:sz w:val="24"/>
          <w:szCs w:val="24"/>
        </w:rPr>
        <w:t xml:space="preserve"> who believe they are being excluded from employment, or are treated less favourably because of a blacklist, should seek redress in the county courts in England and Wales, or Court of Session in Scotland. Other rights under the Regulations can be enforced in employment tribunals. </w:t>
      </w:r>
    </w:p>
    <w:p w:rsidR="00085EDB" w:rsidRPr="002533F7" w:rsidRDefault="00085EDB" w:rsidP="005A13A9">
      <w:pPr>
        <w:pStyle w:val="SingleTxtG"/>
        <w:numPr>
          <w:ilvl w:val="0"/>
          <w:numId w:val="3"/>
        </w:numPr>
        <w:spacing w:after="240" w:line="360" w:lineRule="auto"/>
        <w:ind w:left="1134" w:firstLine="0"/>
        <w:rPr>
          <w:sz w:val="24"/>
          <w:szCs w:val="24"/>
        </w:rPr>
      </w:pPr>
      <w:r w:rsidRPr="002533F7">
        <w:rPr>
          <w:sz w:val="24"/>
          <w:szCs w:val="24"/>
        </w:rPr>
        <w:t xml:space="preserve">   The Trade Union Bill is currently in its parliamentary proceedings.  The UKG is satisfied that the provisions of the Bill are entirely compatible with the ICESCR. The Trade Union and Labour Relations (Consolidation) Act 1992 prevents discrimination against trade union members in recruitment (s.137) and dismissal of employees (s.152) or workers (ss.145A, 145B, 146) for reasons relating to trade union membership. As there is nothing in the UK legislation that prevents workers joining unions, workers have the right to do so and any clause in an employment contract stating otherwise would be unenforceable in the UK.</w:t>
      </w:r>
    </w:p>
    <w:p w:rsidR="00085EDB" w:rsidRPr="002533F7" w:rsidRDefault="00085EDB" w:rsidP="005A13A9">
      <w:pPr>
        <w:pStyle w:val="SingleTxtG"/>
        <w:numPr>
          <w:ilvl w:val="0"/>
          <w:numId w:val="3"/>
        </w:numPr>
        <w:spacing w:after="240" w:line="360" w:lineRule="auto"/>
        <w:ind w:left="1134" w:firstLine="0"/>
        <w:rPr>
          <w:sz w:val="24"/>
          <w:szCs w:val="24"/>
        </w:rPr>
      </w:pPr>
      <w:r w:rsidRPr="002533F7">
        <w:rPr>
          <w:sz w:val="24"/>
          <w:szCs w:val="24"/>
        </w:rPr>
        <w:t xml:space="preserve">   Scotland. New regulations that take effect from April 2016 will make it a legal requirement that businesses which have been found by a court or tribunal to have blacklisted are excluded from bidding for public contracts.</w:t>
      </w:r>
      <w:r w:rsidRPr="002533F7">
        <w:rPr>
          <w:rStyle w:val="FootnoteReference"/>
          <w:sz w:val="24"/>
          <w:szCs w:val="24"/>
        </w:rPr>
        <w:footnoteReference w:id="4"/>
      </w:r>
    </w:p>
    <w:p w:rsidR="00970CB3" w:rsidRPr="002533F7" w:rsidRDefault="0016569D" w:rsidP="005A13A9">
      <w:pPr>
        <w:spacing w:after="240" w:line="360" w:lineRule="auto"/>
        <w:jc w:val="both"/>
        <w:rPr>
          <w:sz w:val="24"/>
          <w:szCs w:val="24"/>
        </w:rPr>
      </w:pPr>
      <w:r w:rsidRPr="002533F7">
        <w:rPr>
          <w:sz w:val="24"/>
          <w:szCs w:val="24"/>
        </w:rPr>
        <w:t>Rather than repeat arguments about ICESCR compliance, t</w:t>
      </w:r>
      <w:r w:rsidR="00970CB3" w:rsidRPr="002533F7">
        <w:rPr>
          <w:sz w:val="24"/>
          <w:szCs w:val="24"/>
        </w:rPr>
        <w:t xml:space="preserve">his paper challenges the </w:t>
      </w:r>
      <w:r w:rsidR="00F76F39" w:rsidRPr="002533F7">
        <w:rPr>
          <w:sz w:val="24"/>
          <w:szCs w:val="24"/>
        </w:rPr>
        <w:t>adequacy and competence</w:t>
      </w:r>
      <w:r w:rsidR="00970CB3" w:rsidRPr="002533F7">
        <w:rPr>
          <w:sz w:val="24"/>
          <w:szCs w:val="24"/>
        </w:rPr>
        <w:t xml:space="preserve"> of the UKG reply to the list of issues and updates the Committee on matters relating to the Trade Union Bill </w:t>
      </w:r>
      <w:r w:rsidR="00660A4E" w:rsidRPr="002533F7">
        <w:rPr>
          <w:sz w:val="24"/>
          <w:szCs w:val="24"/>
        </w:rPr>
        <w:t xml:space="preserve">(TUB) </w:t>
      </w:r>
      <w:r w:rsidR="00970CB3" w:rsidRPr="002533F7">
        <w:rPr>
          <w:sz w:val="24"/>
          <w:szCs w:val="24"/>
        </w:rPr>
        <w:t>and Blacklisting.</w:t>
      </w:r>
    </w:p>
    <w:p w:rsidR="006017CA" w:rsidRPr="002533F7" w:rsidRDefault="006017CA" w:rsidP="005A13A9">
      <w:pPr>
        <w:spacing w:after="240" w:line="360" w:lineRule="auto"/>
        <w:jc w:val="both"/>
        <w:rPr>
          <w:sz w:val="24"/>
          <w:szCs w:val="24"/>
        </w:rPr>
      </w:pPr>
      <w:r w:rsidRPr="002533F7">
        <w:rPr>
          <w:sz w:val="24"/>
          <w:szCs w:val="24"/>
        </w:rPr>
        <w:t>In summary, the UKG has failed to:</w:t>
      </w:r>
    </w:p>
    <w:p w:rsidR="006017CA" w:rsidRPr="002533F7" w:rsidRDefault="006017CA" w:rsidP="005A13A9">
      <w:pPr>
        <w:spacing w:after="240" w:line="360" w:lineRule="auto"/>
        <w:ind w:left="993" w:hanging="426"/>
        <w:jc w:val="both"/>
        <w:rPr>
          <w:sz w:val="24"/>
          <w:szCs w:val="24"/>
        </w:rPr>
      </w:pPr>
      <w:proofErr w:type="gramStart"/>
      <w:r w:rsidRPr="002533F7">
        <w:rPr>
          <w:sz w:val="24"/>
          <w:szCs w:val="24"/>
        </w:rPr>
        <w:t>a</w:t>
      </w:r>
      <w:proofErr w:type="gramEnd"/>
      <w:r w:rsidRPr="002533F7">
        <w:rPr>
          <w:sz w:val="24"/>
          <w:szCs w:val="24"/>
        </w:rPr>
        <w:t xml:space="preserve">. </w:t>
      </w:r>
      <w:r w:rsidRPr="002533F7">
        <w:rPr>
          <w:sz w:val="24"/>
          <w:szCs w:val="24"/>
        </w:rPr>
        <w:tab/>
        <w:t xml:space="preserve">address ICESCR exemptions </w:t>
      </w:r>
      <w:r w:rsidR="00FB5233" w:rsidRPr="002533F7">
        <w:rPr>
          <w:sz w:val="24"/>
          <w:szCs w:val="24"/>
        </w:rPr>
        <w:t xml:space="preserve">requested in the list of issues such as those </w:t>
      </w:r>
      <w:r w:rsidRPr="002533F7">
        <w:rPr>
          <w:sz w:val="24"/>
          <w:szCs w:val="24"/>
        </w:rPr>
        <w:t>highlighted by the ILO committee of experts</w:t>
      </w:r>
    </w:p>
    <w:p w:rsidR="006017CA" w:rsidRPr="002533F7" w:rsidRDefault="006017CA" w:rsidP="005A13A9">
      <w:pPr>
        <w:spacing w:after="240" w:line="360" w:lineRule="auto"/>
        <w:ind w:left="993" w:hanging="426"/>
        <w:jc w:val="both"/>
        <w:rPr>
          <w:sz w:val="24"/>
          <w:szCs w:val="24"/>
        </w:rPr>
      </w:pPr>
      <w:proofErr w:type="gramStart"/>
      <w:r w:rsidRPr="002533F7">
        <w:rPr>
          <w:sz w:val="24"/>
          <w:szCs w:val="24"/>
        </w:rPr>
        <w:lastRenderedPageBreak/>
        <w:t>b</w:t>
      </w:r>
      <w:proofErr w:type="gramEnd"/>
      <w:r w:rsidRPr="002533F7">
        <w:rPr>
          <w:sz w:val="24"/>
          <w:szCs w:val="24"/>
        </w:rPr>
        <w:t xml:space="preserve">. </w:t>
      </w:r>
      <w:r w:rsidRPr="002533F7">
        <w:rPr>
          <w:sz w:val="24"/>
          <w:szCs w:val="24"/>
        </w:rPr>
        <w:tab/>
        <w:t>address ICESCR exemptions highlighted during legislative scrutiny by the parliamentary Joint Committee on Human Rights (JCHR)</w:t>
      </w:r>
    </w:p>
    <w:p w:rsidR="006017CA" w:rsidRPr="002533F7" w:rsidRDefault="006017CA" w:rsidP="005A13A9">
      <w:pPr>
        <w:spacing w:after="240" w:line="360" w:lineRule="auto"/>
        <w:ind w:left="993" w:hanging="426"/>
        <w:jc w:val="both"/>
        <w:rPr>
          <w:sz w:val="24"/>
          <w:szCs w:val="24"/>
        </w:rPr>
      </w:pPr>
      <w:proofErr w:type="gramStart"/>
      <w:r w:rsidRPr="002533F7">
        <w:rPr>
          <w:sz w:val="24"/>
          <w:szCs w:val="24"/>
        </w:rPr>
        <w:t>c</w:t>
      </w:r>
      <w:proofErr w:type="gramEnd"/>
      <w:r w:rsidRPr="002533F7">
        <w:rPr>
          <w:sz w:val="24"/>
          <w:szCs w:val="24"/>
        </w:rPr>
        <w:t xml:space="preserve">. </w:t>
      </w:r>
      <w:r w:rsidRPr="002533F7">
        <w:rPr>
          <w:sz w:val="24"/>
          <w:szCs w:val="24"/>
        </w:rPr>
        <w:tab/>
        <w:t>failed to inform the committee of conflict on human rights compliance issues between the devolved Governments of the United Kingdom</w:t>
      </w:r>
    </w:p>
    <w:p w:rsidR="0069465B" w:rsidRPr="002533F7" w:rsidRDefault="006017CA" w:rsidP="005A13A9">
      <w:pPr>
        <w:spacing w:after="240" w:line="360" w:lineRule="auto"/>
        <w:ind w:left="993" w:hanging="426"/>
        <w:jc w:val="both"/>
        <w:rPr>
          <w:sz w:val="24"/>
          <w:szCs w:val="24"/>
        </w:rPr>
      </w:pPr>
      <w:proofErr w:type="gramStart"/>
      <w:r w:rsidRPr="002533F7">
        <w:rPr>
          <w:sz w:val="24"/>
          <w:szCs w:val="24"/>
        </w:rPr>
        <w:t>d</w:t>
      </w:r>
      <w:proofErr w:type="gramEnd"/>
      <w:r w:rsidRPr="002533F7">
        <w:rPr>
          <w:sz w:val="24"/>
          <w:szCs w:val="24"/>
        </w:rPr>
        <w:t xml:space="preserve">. </w:t>
      </w:r>
      <w:r w:rsidRPr="002533F7">
        <w:rPr>
          <w:sz w:val="24"/>
          <w:szCs w:val="24"/>
        </w:rPr>
        <w:tab/>
        <w:t>failed to respond adequately to enduring concerns about the UKG failure to tackle blacklisting of trade union members.</w:t>
      </w:r>
    </w:p>
    <w:p w:rsidR="00660A4E" w:rsidRPr="002533F7" w:rsidRDefault="005D53C0" w:rsidP="005A13A9">
      <w:pPr>
        <w:spacing w:after="240" w:line="360" w:lineRule="auto"/>
        <w:jc w:val="both"/>
        <w:rPr>
          <w:b/>
          <w:sz w:val="24"/>
          <w:szCs w:val="24"/>
        </w:rPr>
      </w:pPr>
      <w:r w:rsidRPr="002533F7">
        <w:rPr>
          <w:b/>
          <w:sz w:val="24"/>
          <w:szCs w:val="24"/>
        </w:rPr>
        <w:t xml:space="preserve">4. </w:t>
      </w:r>
      <w:r w:rsidR="00660A4E" w:rsidRPr="002533F7">
        <w:rPr>
          <w:b/>
          <w:sz w:val="24"/>
          <w:szCs w:val="24"/>
        </w:rPr>
        <w:t>The Trade Union Bill</w:t>
      </w:r>
    </w:p>
    <w:p w:rsidR="00660A4E" w:rsidRPr="002533F7" w:rsidRDefault="00660A4E" w:rsidP="005A13A9">
      <w:pPr>
        <w:spacing w:after="240" w:line="360" w:lineRule="auto"/>
        <w:jc w:val="both"/>
        <w:rPr>
          <w:sz w:val="24"/>
          <w:szCs w:val="24"/>
        </w:rPr>
      </w:pPr>
      <w:r w:rsidRPr="002533F7">
        <w:rPr>
          <w:sz w:val="24"/>
          <w:szCs w:val="24"/>
        </w:rPr>
        <w:t>The TUB was introduced in the House of Commons on 15 July 2015.</w:t>
      </w:r>
      <w:r w:rsidR="0016569D" w:rsidRPr="002533F7">
        <w:rPr>
          <w:rStyle w:val="EndnoteReference"/>
          <w:sz w:val="24"/>
          <w:szCs w:val="24"/>
        </w:rPr>
        <w:footnoteReference w:id="5"/>
      </w:r>
      <w:r w:rsidRPr="002533F7">
        <w:rPr>
          <w:sz w:val="24"/>
          <w:szCs w:val="24"/>
        </w:rPr>
        <w:t xml:space="preserve"> The Report Stage in the House of Lords adjourned on 16 March 2016 and resume</w:t>
      </w:r>
      <w:r w:rsidR="0062224A">
        <w:rPr>
          <w:sz w:val="24"/>
          <w:szCs w:val="24"/>
        </w:rPr>
        <w:t>d</w:t>
      </w:r>
      <w:r w:rsidRPr="002533F7">
        <w:rPr>
          <w:sz w:val="24"/>
          <w:szCs w:val="24"/>
        </w:rPr>
        <w:t xml:space="preserve"> on 19th April 2016. </w:t>
      </w:r>
      <w:r w:rsidR="0062224A">
        <w:rPr>
          <w:sz w:val="24"/>
          <w:szCs w:val="24"/>
        </w:rPr>
        <w:t>We are heartened by a concession on check-off which was gained within the House of Lords on 19</w:t>
      </w:r>
      <w:r w:rsidR="0062224A" w:rsidRPr="0062224A">
        <w:rPr>
          <w:sz w:val="24"/>
          <w:szCs w:val="24"/>
          <w:vertAlign w:val="superscript"/>
        </w:rPr>
        <w:t>th</w:t>
      </w:r>
      <w:r w:rsidR="0062224A">
        <w:rPr>
          <w:sz w:val="24"/>
          <w:szCs w:val="24"/>
        </w:rPr>
        <w:t xml:space="preserve"> April and we await the final detail of this.</w:t>
      </w:r>
    </w:p>
    <w:p w:rsidR="006017CA" w:rsidRPr="002533F7" w:rsidRDefault="005D53C0" w:rsidP="005A13A9">
      <w:pPr>
        <w:spacing w:after="240" w:line="360" w:lineRule="auto"/>
        <w:jc w:val="both"/>
        <w:rPr>
          <w:b/>
          <w:sz w:val="24"/>
          <w:szCs w:val="24"/>
        </w:rPr>
      </w:pPr>
      <w:r w:rsidRPr="002533F7">
        <w:rPr>
          <w:b/>
          <w:sz w:val="24"/>
          <w:szCs w:val="24"/>
        </w:rPr>
        <w:t>5. Human Rights Impact</w:t>
      </w:r>
    </w:p>
    <w:p w:rsidR="006017CA" w:rsidRPr="002533F7" w:rsidRDefault="006017CA" w:rsidP="005A13A9">
      <w:pPr>
        <w:spacing w:after="240" w:line="360" w:lineRule="auto"/>
        <w:jc w:val="both"/>
        <w:rPr>
          <w:sz w:val="24"/>
          <w:szCs w:val="24"/>
        </w:rPr>
      </w:pPr>
      <w:r w:rsidRPr="002533F7">
        <w:rPr>
          <w:sz w:val="24"/>
          <w:szCs w:val="24"/>
        </w:rPr>
        <w:t>The UKG published a memorandum on ECHR compliance on 30</w:t>
      </w:r>
      <w:r w:rsidRPr="002533F7">
        <w:rPr>
          <w:sz w:val="24"/>
          <w:szCs w:val="24"/>
          <w:vertAlign w:val="superscript"/>
        </w:rPr>
        <w:t>th</w:t>
      </w:r>
      <w:r w:rsidRPr="002533F7">
        <w:rPr>
          <w:sz w:val="24"/>
          <w:szCs w:val="24"/>
        </w:rPr>
        <w:t xml:space="preserve"> July and an updated memorandum on 8</w:t>
      </w:r>
      <w:r w:rsidRPr="002533F7">
        <w:rPr>
          <w:sz w:val="24"/>
          <w:szCs w:val="24"/>
          <w:vertAlign w:val="superscript"/>
        </w:rPr>
        <w:t>th</w:t>
      </w:r>
      <w:r w:rsidRPr="002533F7">
        <w:rPr>
          <w:sz w:val="24"/>
          <w:szCs w:val="24"/>
        </w:rPr>
        <w:t xml:space="preserve"> December.</w:t>
      </w:r>
      <w:r w:rsidRPr="002533F7">
        <w:rPr>
          <w:rStyle w:val="FootnoteReference"/>
          <w:sz w:val="24"/>
          <w:szCs w:val="24"/>
        </w:rPr>
        <w:footnoteReference w:id="6"/>
      </w:r>
      <w:r w:rsidRPr="002533F7">
        <w:rPr>
          <w:sz w:val="24"/>
          <w:szCs w:val="24"/>
        </w:rPr>
        <w:t xml:space="preserve"> Although the UKG accepts that various human rights obligations are engaged, the UKG position remains that the TUB complies with all international human rights obligations. This conclusion is disputed </w:t>
      </w:r>
      <w:r w:rsidR="008F0965" w:rsidRPr="002533F7">
        <w:rPr>
          <w:sz w:val="24"/>
          <w:szCs w:val="24"/>
        </w:rPr>
        <w:t xml:space="preserve">or questioned </w:t>
      </w:r>
      <w:r w:rsidRPr="002533F7">
        <w:rPr>
          <w:sz w:val="24"/>
          <w:szCs w:val="24"/>
        </w:rPr>
        <w:t>by the ILO Committee of Experts,</w:t>
      </w:r>
      <w:r w:rsidR="008F0965" w:rsidRPr="002533F7">
        <w:rPr>
          <w:rStyle w:val="FootnoteReference"/>
          <w:sz w:val="24"/>
          <w:szCs w:val="24"/>
        </w:rPr>
        <w:footnoteReference w:id="7"/>
      </w:r>
      <w:r w:rsidRPr="002533F7">
        <w:rPr>
          <w:sz w:val="24"/>
          <w:szCs w:val="24"/>
        </w:rPr>
        <w:t xml:space="preserve"> the parliamentary human rights scrutiny body JCHR,</w:t>
      </w:r>
      <w:r w:rsidR="008F0965" w:rsidRPr="002533F7">
        <w:rPr>
          <w:rStyle w:val="FootnoteReference"/>
          <w:sz w:val="24"/>
          <w:szCs w:val="24"/>
        </w:rPr>
        <w:footnoteReference w:id="8"/>
      </w:r>
      <w:r w:rsidRPr="002533F7">
        <w:rPr>
          <w:sz w:val="24"/>
          <w:szCs w:val="24"/>
        </w:rPr>
        <w:t xml:space="preserve"> the devolved Governments</w:t>
      </w:r>
      <w:r w:rsidR="008F0965" w:rsidRPr="002533F7">
        <w:rPr>
          <w:rStyle w:val="FootnoteReference"/>
          <w:sz w:val="24"/>
          <w:szCs w:val="24"/>
        </w:rPr>
        <w:footnoteReference w:id="9"/>
      </w:r>
      <w:r w:rsidRPr="002533F7">
        <w:rPr>
          <w:sz w:val="24"/>
          <w:szCs w:val="24"/>
        </w:rPr>
        <w:t xml:space="preserve"> and Parliaments</w:t>
      </w:r>
      <w:r w:rsidR="008F0965" w:rsidRPr="002533F7">
        <w:rPr>
          <w:rStyle w:val="FootnoteReference"/>
          <w:sz w:val="24"/>
          <w:szCs w:val="24"/>
        </w:rPr>
        <w:footnoteReference w:id="10"/>
      </w:r>
      <w:r w:rsidRPr="002533F7">
        <w:rPr>
          <w:sz w:val="24"/>
          <w:szCs w:val="24"/>
        </w:rPr>
        <w:t xml:space="preserve"> of Scotland and Wales, the </w:t>
      </w:r>
      <w:r w:rsidR="008F0965" w:rsidRPr="002533F7">
        <w:rPr>
          <w:sz w:val="24"/>
          <w:szCs w:val="24"/>
        </w:rPr>
        <w:t xml:space="preserve">leading </w:t>
      </w:r>
      <w:r w:rsidRPr="002533F7">
        <w:rPr>
          <w:sz w:val="24"/>
          <w:szCs w:val="24"/>
        </w:rPr>
        <w:t>NHRI</w:t>
      </w:r>
      <w:r w:rsidR="005D53C0" w:rsidRPr="002533F7">
        <w:rPr>
          <w:sz w:val="24"/>
          <w:szCs w:val="24"/>
        </w:rPr>
        <w:t>,</w:t>
      </w:r>
      <w:r w:rsidR="008F0965" w:rsidRPr="002533F7">
        <w:rPr>
          <w:rStyle w:val="FootnoteReference"/>
          <w:sz w:val="24"/>
          <w:szCs w:val="24"/>
        </w:rPr>
        <w:footnoteReference w:id="11"/>
      </w:r>
      <w:r w:rsidR="005D53C0" w:rsidRPr="002533F7">
        <w:rPr>
          <w:sz w:val="24"/>
          <w:szCs w:val="24"/>
        </w:rPr>
        <w:t xml:space="preserve"> </w:t>
      </w:r>
      <w:r w:rsidRPr="002533F7">
        <w:rPr>
          <w:sz w:val="24"/>
          <w:szCs w:val="24"/>
        </w:rPr>
        <w:t>a number of prominent civil society organisations</w:t>
      </w:r>
      <w:r w:rsidR="008F0965" w:rsidRPr="002533F7">
        <w:rPr>
          <w:rStyle w:val="FootnoteReference"/>
          <w:sz w:val="24"/>
          <w:szCs w:val="24"/>
        </w:rPr>
        <w:footnoteReference w:id="12"/>
      </w:r>
      <w:r w:rsidRPr="002533F7">
        <w:rPr>
          <w:sz w:val="24"/>
          <w:szCs w:val="24"/>
        </w:rPr>
        <w:t xml:space="preserve"> including</w:t>
      </w:r>
      <w:r w:rsidR="008F0965" w:rsidRPr="002533F7">
        <w:rPr>
          <w:sz w:val="24"/>
          <w:szCs w:val="24"/>
        </w:rPr>
        <w:t xml:space="preserve"> the Law Society of Scotland,</w:t>
      </w:r>
      <w:r w:rsidR="008F0965" w:rsidRPr="002533F7">
        <w:rPr>
          <w:rStyle w:val="FootnoteReference"/>
          <w:sz w:val="24"/>
          <w:szCs w:val="24"/>
        </w:rPr>
        <w:footnoteReference w:id="13"/>
      </w:r>
      <w:r w:rsidRPr="002533F7">
        <w:rPr>
          <w:sz w:val="24"/>
          <w:szCs w:val="24"/>
        </w:rPr>
        <w:t xml:space="preserve"> employer federations</w:t>
      </w:r>
      <w:r w:rsidR="008F0965" w:rsidRPr="002533F7">
        <w:rPr>
          <w:rStyle w:val="FootnoteReference"/>
          <w:sz w:val="24"/>
          <w:szCs w:val="24"/>
        </w:rPr>
        <w:footnoteReference w:id="14"/>
      </w:r>
      <w:r w:rsidRPr="002533F7">
        <w:rPr>
          <w:sz w:val="24"/>
          <w:szCs w:val="24"/>
        </w:rPr>
        <w:t xml:space="preserve"> and trade unions.</w:t>
      </w:r>
    </w:p>
    <w:p w:rsidR="006017CA" w:rsidRPr="002533F7" w:rsidRDefault="005D53C0" w:rsidP="005A13A9">
      <w:pPr>
        <w:spacing w:after="240" w:line="360" w:lineRule="auto"/>
        <w:jc w:val="both"/>
        <w:rPr>
          <w:b/>
          <w:sz w:val="24"/>
          <w:szCs w:val="24"/>
        </w:rPr>
      </w:pPr>
      <w:r w:rsidRPr="002533F7">
        <w:rPr>
          <w:b/>
          <w:sz w:val="24"/>
          <w:szCs w:val="24"/>
        </w:rPr>
        <w:t xml:space="preserve">6. </w:t>
      </w:r>
      <w:r w:rsidR="006017CA" w:rsidRPr="002533F7">
        <w:rPr>
          <w:b/>
          <w:sz w:val="24"/>
          <w:szCs w:val="24"/>
        </w:rPr>
        <w:t>ILO Committee of Experts</w:t>
      </w:r>
    </w:p>
    <w:p w:rsidR="006017CA" w:rsidRPr="002533F7" w:rsidRDefault="006017CA" w:rsidP="005A13A9">
      <w:pPr>
        <w:spacing w:after="240" w:line="360" w:lineRule="auto"/>
        <w:jc w:val="both"/>
        <w:rPr>
          <w:sz w:val="24"/>
          <w:szCs w:val="24"/>
        </w:rPr>
      </w:pPr>
      <w:proofErr w:type="gramStart"/>
      <w:r w:rsidRPr="002533F7">
        <w:rPr>
          <w:sz w:val="24"/>
          <w:szCs w:val="24"/>
        </w:rPr>
        <w:lastRenderedPageBreak/>
        <w:t>Having received extensive analysis of the human rights implications of the TU Bill the committee made the following conclusions and recommendations.</w:t>
      </w:r>
      <w:proofErr w:type="gramEnd"/>
      <w:r w:rsidR="0016569D" w:rsidRPr="002533F7">
        <w:rPr>
          <w:rStyle w:val="FootnoteReference"/>
          <w:sz w:val="24"/>
          <w:szCs w:val="24"/>
        </w:rPr>
        <w:footnoteReference w:id="15"/>
      </w:r>
    </w:p>
    <w:p w:rsidR="006017CA" w:rsidRPr="002533F7" w:rsidRDefault="006017CA" w:rsidP="005A13A9">
      <w:pPr>
        <w:spacing w:after="240" w:line="360" w:lineRule="auto"/>
        <w:jc w:val="both"/>
        <w:rPr>
          <w:sz w:val="24"/>
          <w:szCs w:val="24"/>
        </w:rPr>
      </w:pPr>
      <w:r w:rsidRPr="002533F7">
        <w:rPr>
          <w:sz w:val="24"/>
          <w:szCs w:val="24"/>
        </w:rPr>
        <w:t>In summary:</w:t>
      </w:r>
    </w:p>
    <w:p w:rsidR="006017CA" w:rsidRPr="002533F7" w:rsidRDefault="006017CA" w:rsidP="005A13A9">
      <w:pPr>
        <w:pStyle w:val="ListParagraph"/>
        <w:numPr>
          <w:ilvl w:val="0"/>
          <w:numId w:val="6"/>
        </w:numPr>
        <w:spacing w:after="240" w:line="360" w:lineRule="auto"/>
        <w:jc w:val="both"/>
        <w:rPr>
          <w:sz w:val="24"/>
          <w:szCs w:val="24"/>
        </w:rPr>
      </w:pPr>
      <w:r w:rsidRPr="002533F7">
        <w:rPr>
          <w:sz w:val="24"/>
          <w:szCs w:val="24"/>
        </w:rPr>
        <w:t>The ILO Committee of Experts has concluded that the 40 per cent threshold for ballots in important public service would constitute an obstacle to the right of workers’ organizations to carry out their activities without interference</w:t>
      </w:r>
    </w:p>
    <w:p w:rsidR="006017CA" w:rsidRPr="002533F7" w:rsidRDefault="006017CA" w:rsidP="005A13A9">
      <w:pPr>
        <w:pStyle w:val="ListParagraph"/>
        <w:numPr>
          <w:ilvl w:val="0"/>
          <w:numId w:val="6"/>
        </w:numPr>
        <w:spacing w:after="240" w:line="360" w:lineRule="auto"/>
        <w:jc w:val="both"/>
        <w:rPr>
          <w:sz w:val="24"/>
          <w:szCs w:val="24"/>
        </w:rPr>
      </w:pPr>
      <w:r w:rsidRPr="002533F7">
        <w:rPr>
          <w:sz w:val="24"/>
          <w:szCs w:val="24"/>
        </w:rPr>
        <w:t>The Committee noted that the range of services covered by the 40 per cent threshold well exceeded the ILO narrow definition of essential services, where restrictions on the right to strike may be permissible.</w:t>
      </w:r>
    </w:p>
    <w:p w:rsidR="006017CA" w:rsidRPr="002533F7" w:rsidRDefault="006017CA" w:rsidP="005A13A9">
      <w:pPr>
        <w:pStyle w:val="ListParagraph"/>
        <w:numPr>
          <w:ilvl w:val="0"/>
          <w:numId w:val="6"/>
        </w:numPr>
        <w:spacing w:after="240" w:line="360" w:lineRule="auto"/>
        <w:jc w:val="both"/>
        <w:rPr>
          <w:sz w:val="24"/>
          <w:szCs w:val="24"/>
        </w:rPr>
      </w:pPr>
      <w:r w:rsidRPr="002533F7">
        <w:rPr>
          <w:sz w:val="24"/>
          <w:szCs w:val="24"/>
        </w:rPr>
        <w:t>The Committee expressed particular concern that this restriction would apply to the entire primary and secondary education sector, as well as all transport services. The Committee “considers that such a restriction is likely to severely impede the right of these workers and their organizations to organize their activities in furtherance and defence of their occupational interests without interference.”</w:t>
      </w:r>
    </w:p>
    <w:p w:rsidR="006017CA" w:rsidRPr="002533F7" w:rsidRDefault="006017CA" w:rsidP="005A13A9">
      <w:pPr>
        <w:pStyle w:val="ListParagraph"/>
        <w:numPr>
          <w:ilvl w:val="0"/>
          <w:numId w:val="6"/>
        </w:numPr>
        <w:spacing w:after="240" w:line="360" w:lineRule="auto"/>
        <w:jc w:val="both"/>
        <w:rPr>
          <w:sz w:val="24"/>
          <w:szCs w:val="24"/>
        </w:rPr>
      </w:pPr>
      <w:r w:rsidRPr="002533F7">
        <w:rPr>
          <w:sz w:val="24"/>
          <w:szCs w:val="24"/>
        </w:rPr>
        <w:t>The Committee calle</w:t>
      </w:r>
      <w:r w:rsidR="005E7800">
        <w:rPr>
          <w:sz w:val="24"/>
          <w:szCs w:val="24"/>
        </w:rPr>
        <w:t>d on the government to modify</w:t>
      </w:r>
      <w:r w:rsidRPr="002533F7">
        <w:rPr>
          <w:sz w:val="24"/>
          <w:szCs w:val="24"/>
        </w:rPr>
        <w:t xml:space="preserve"> the Bill so as to ensure that the heightened requirement of support of 40 per cent of all workers does not apply to education and transport services.</w:t>
      </w:r>
    </w:p>
    <w:p w:rsidR="006017CA" w:rsidRPr="002533F7" w:rsidRDefault="006017CA" w:rsidP="005A13A9">
      <w:pPr>
        <w:pStyle w:val="ListParagraph"/>
        <w:numPr>
          <w:ilvl w:val="0"/>
          <w:numId w:val="6"/>
        </w:numPr>
        <w:spacing w:after="240" w:line="360" w:lineRule="auto"/>
        <w:jc w:val="both"/>
        <w:rPr>
          <w:sz w:val="24"/>
          <w:szCs w:val="24"/>
        </w:rPr>
      </w:pPr>
      <w:r w:rsidRPr="002533F7">
        <w:rPr>
          <w:sz w:val="24"/>
          <w:szCs w:val="24"/>
        </w:rPr>
        <w:t>The Committee has criticised the proposed removal of the ban on the use of agency workers during strikes. They have called on the government to review its proposals and emphasised that any restrictions must be limited to essential services.</w:t>
      </w:r>
    </w:p>
    <w:p w:rsidR="006017CA" w:rsidRPr="002533F7" w:rsidRDefault="006017CA" w:rsidP="005A13A9">
      <w:pPr>
        <w:pStyle w:val="ListParagraph"/>
        <w:numPr>
          <w:ilvl w:val="0"/>
          <w:numId w:val="6"/>
        </w:numPr>
        <w:spacing w:after="240" w:line="360" w:lineRule="auto"/>
        <w:jc w:val="both"/>
        <w:rPr>
          <w:sz w:val="24"/>
          <w:szCs w:val="24"/>
        </w:rPr>
      </w:pPr>
      <w:r w:rsidRPr="002533F7">
        <w:rPr>
          <w:sz w:val="24"/>
          <w:szCs w:val="24"/>
        </w:rPr>
        <w:t xml:space="preserve">The Committee has also called on the government to respond to TUC concerns, particularly in relation to their proposal to ban check-off in public services, the opt-in requirements for political fund contributions and new reporting requirements, the remaining provisions on picketing and the increased powers of the Certification Officer. </w:t>
      </w:r>
    </w:p>
    <w:p w:rsidR="006017CA" w:rsidRPr="002533F7" w:rsidRDefault="005D53C0" w:rsidP="005A13A9">
      <w:pPr>
        <w:spacing w:after="240" w:line="360" w:lineRule="auto"/>
        <w:jc w:val="both"/>
        <w:rPr>
          <w:b/>
          <w:sz w:val="24"/>
          <w:szCs w:val="24"/>
        </w:rPr>
      </w:pPr>
      <w:r w:rsidRPr="002533F7">
        <w:rPr>
          <w:b/>
          <w:sz w:val="24"/>
          <w:szCs w:val="24"/>
        </w:rPr>
        <w:t xml:space="preserve">7. </w:t>
      </w:r>
      <w:r w:rsidR="006017CA" w:rsidRPr="002533F7">
        <w:rPr>
          <w:b/>
          <w:sz w:val="24"/>
          <w:szCs w:val="24"/>
        </w:rPr>
        <w:t>Legislative Scrutiny by the UK Parliamentary Joint Committee on Human Rights</w:t>
      </w:r>
    </w:p>
    <w:p w:rsidR="006017CA" w:rsidRPr="002533F7" w:rsidRDefault="006017CA" w:rsidP="005A13A9">
      <w:pPr>
        <w:spacing w:after="240" w:line="360" w:lineRule="auto"/>
        <w:jc w:val="both"/>
        <w:rPr>
          <w:sz w:val="24"/>
          <w:szCs w:val="24"/>
        </w:rPr>
      </w:pPr>
      <w:r w:rsidRPr="002533F7">
        <w:rPr>
          <w:sz w:val="24"/>
          <w:szCs w:val="24"/>
        </w:rPr>
        <w:t xml:space="preserve">The JCHR is the key source of human rights scrutiny within the Westminster legislative process. Drawing its membership from both the House of Lords and House of Commons it </w:t>
      </w:r>
      <w:r w:rsidRPr="002533F7">
        <w:rPr>
          <w:sz w:val="24"/>
          <w:szCs w:val="24"/>
        </w:rPr>
        <w:lastRenderedPageBreak/>
        <w:t>has considerable judicial, legislative, political and campaigning expertise on human rights issues.</w:t>
      </w:r>
      <w:r w:rsidR="0016569D" w:rsidRPr="002533F7">
        <w:rPr>
          <w:rStyle w:val="FootnoteReference"/>
          <w:sz w:val="24"/>
          <w:szCs w:val="24"/>
        </w:rPr>
        <w:footnoteReference w:id="16"/>
      </w:r>
    </w:p>
    <w:p w:rsidR="006017CA" w:rsidRPr="002533F7" w:rsidRDefault="006017CA" w:rsidP="005A13A9">
      <w:pPr>
        <w:spacing w:after="240" w:line="360" w:lineRule="auto"/>
        <w:jc w:val="both"/>
        <w:rPr>
          <w:sz w:val="24"/>
          <w:szCs w:val="24"/>
        </w:rPr>
      </w:pPr>
      <w:r w:rsidRPr="002533F7">
        <w:rPr>
          <w:sz w:val="24"/>
          <w:szCs w:val="24"/>
        </w:rPr>
        <w:t>On 5 February 2016, the Joint Committee on Human Rights (JCHR) published a legislative scrutiny report on the Trade Union Bill, fully two months prior to the UKG response to the CESCR list of issues. The terms of the JCHR report suggest that UKG has further work to do to locate the TU Bill within the exemptions permitted by Article 8 of the convention.</w:t>
      </w:r>
      <w:r w:rsidR="0016569D" w:rsidRPr="002533F7">
        <w:rPr>
          <w:rStyle w:val="FootnoteReference"/>
          <w:sz w:val="24"/>
          <w:szCs w:val="24"/>
        </w:rPr>
        <w:footnoteReference w:id="17"/>
      </w:r>
    </w:p>
    <w:p w:rsidR="006017CA" w:rsidRPr="002533F7" w:rsidRDefault="006017CA" w:rsidP="005A13A9">
      <w:pPr>
        <w:spacing w:after="240" w:line="360" w:lineRule="auto"/>
        <w:jc w:val="both"/>
        <w:rPr>
          <w:sz w:val="24"/>
          <w:szCs w:val="24"/>
        </w:rPr>
      </w:pPr>
      <w:r w:rsidRPr="002533F7">
        <w:rPr>
          <w:sz w:val="24"/>
          <w:szCs w:val="24"/>
        </w:rPr>
        <w:t xml:space="preserve">Given the timing of the respective documents </w:t>
      </w:r>
      <w:bookmarkStart w:id="0" w:name="_GoBack"/>
      <w:bookmarkEnd w:id="0"/>
      <w:r w:rsidRPr="002533F7">
        <w:rPr>
          <w:sz w:val="24"/>
          <w:szCs w:val="24"/>
        </w:rPr>
        <w:t>and given the critical terms of the JCHR report it is of significant concern that the UKG made no reference to the JCHR scrutiny report in the UKG response to the list of issues.</w:t>
      </w:r>
    </w:p>
    <w:p w:rsidR="006017CA" w:rsidRPr="002533F7" w:rsidRDefault="005D53C0" w:rsidP="005A13A9">
      <w:pPr>
        <w:spacing w:after="240" w:line="360" w:lineRule="auto"/>
        <w:jc w:val="both"/>
        <w:rPr>
          <w:b/>
          <w:sz w:val="24"/>
          <w:szCs w:val="24"/>
        </w:rPr>
      </w:pPr>
      <w:r w:rsidRPr="002533F7">
        <w:rPr>
          <w:b/>
          <w:sz w:val="24"/>
          <w:szCs w:val="24"/>
        </w:rPr>
        <w:t xml:space="preserve">8. </w:t>
      </w:r>
      <w:r w:rsidR="006017CA" w:rsidRPr="002533F7">
        <w:rPr>
          <w:b/>
          <w:sz w:val="24"/>
          <w:szCs w:val="24"/>
        </w:rPr>
        <w:t>Key observations by the JCHR</w:t>
      </w:r>
    </w:p>
    <w:p w:rsidR="006017CA" w:rsidRPr="002533F7" w:rsidRDefault="006017CA" w:rsidP="005A13A9">
      <w:pPr>
        <w:spacing w:after="240" w:line="360" w:lineRule="auto"/>
        <w:jc w:val="both"/>
        <w:rPr>
          <w:b/>
          <w:sz w:val="24"/>
          <w:szCs w:val="24"/>
        </w:rPr>
      </w:pPr>
      <w:r w:rsidRPr="002533F7">
        <w:rPr>
          <w:b/>
          <w:sz w:val="24"/>
          <w:szCs w:val="24"/>
        </w:rPr>
        <w:t>a. Reliance on the Margin of Appreciation</w:t>
      </w:r>
    </w:p>
    <w:p w:rsidR="006017CA" w:rsidRPr="002533F7" w:rsidRDefault="006017CA" w:rsidP="005A13A9">
      <w:pPr>
        <w:spacing w:after="240" w:line="360" w:lineRule="auto"/>
        <w:jc w:val="both"/>
        <w:rPr>
          <w:sz w:val="24"/>
          <w:szCs w:val="24"/>
        </w:rPr>
      </w:pPr>
      <w:r w:rsidRPr="002533F7">
        <w:rPr>
          <w:sz w:val="24"/>
          <w:szCs w:val="24"/>
        </w:rPr>
        <w:t xml:space="preserve">The impact assessment on the TU Bill is set out in an ECHR Memorandum published </w:t>
      </w:r>
      <w:r w:rsidR="0016569D" w:rsidRPr="002533F7">
        <w:rPr>
          <w:sz w:val="24"/>
          <w:szCs w:val="24"/>
        </w:rPr>
        <w:t>30 July</w:t>
      </w:r>
      <w:r w:rsidRPr="002533F7">
        <w:rPr>
          <w:sz w:val="24"/>
          <w:szCs w:val="24"/>
        </w:rPr>
        <w:t xml:space="preserve"> 2015 and amended </w:t>
      </w:r>
      <w:r w:rsidR="0016569D" w:rsidRPr="002533F7">
        <w:rPr>
          <w:sz w:val="24"/>
          <w:szCs w:val="24"/>
        </w:rPr>
        <w:t>8 D</w:t>
      </w:r>
      <w:r w:rsidRPr="002533F7">
        <w:rPr>
          <w:sz w:val="24"/>
          <w:szCs w:val="24"/>
        </w:rPr>
        <w:t>ecember 2015.</w:t>
      </w:r>
      <w:r w:rsidR="0016569D" w:rsidRPr="002533F7">
        <w:rPr>
          <w:rStyle w:val="FootnoteReference"/>
          <w:sz w:val="24"/>
          <w:szCs w:val="24"/>
        </w:rPr>
        <w:footnoteReference w:id="18"/>
      </w:r>
      <w:r w:rsidRPr="002533F7">
        <w:rPr>
          <w:sz w:val="24"/>
          <w:szCs w:val="24"/>
        </w:rPr>
        <w:t xml:space="preserve"> Commenting on the </w:t>
      </w:r>
      <w:r w:rsidR="0016569D" w:rsidRPr="002533F7">
        <w:rPr>
          <w:sz w:val="24"/>
          <w:szCs w:val="24"/>
        </w:rPr>
        <w:t>Memorandum</w:t>
      </w:r>
      <w:r w:rsidRPr="002533F7">
        <w:rPr>
          <w:sz w:val="24"/>
          <w:szCs w:val="24"/>
        </w:rPr>
        <w:t xml:space="preserve"> and the UKG "statement of </w:t>
      </w:r>
      <w:r w:rsidR="0016569D" w:rsidRPr="002533F7">
        <w:rPr>
          <w:sz w:val="24"/>
          <w:szCs w:val="24"/>
        </w:rPr>
        <w:t>compatibility</w:t>
      </w:r>
      <w:r w:rsidRPr="002533F7">
        <w:rPr>
          <w:sz w:val="24"/>
          <w:szCs w:val="24"/>
        </w:rPr>
        <w:t>" the JCHR notes that the UKG relies heavily on the "margin of appreciation" afforded to state governments by the ECHR and the decisions of the European Court of Human Rights.</w:t>
      </w:r>
    </w:p>
    <w:p w:rsidR="006017CA" w:rsidRPr="002533F7" w:rsidRDefault="006017CA" w:rsidP="005A13A9">
      <w:pPr>
        <w:spacing w:after="240" w:line="360" w:lineRule="auto"/>
        <w:jc w:val="both"/>
        <w:rPr>
          <w:sz w:val="24"/>
          <w:szCs w:val="24"/>
        </w:rPr>
      </w:pPr>
      <w:r w:rsidRPr="002533F7">
        <w:rPr>
          <w:sz w:val="24"/>
          <w:szCs w:val="24"/>
        </w:rPr>
        <w:t>However, the committee said: “While the Government notes in its ECHR Memorandum that it should be allowed a ‘wide margin of appreciation’ in implementing its policy, it has</w:t>
      </w:r>
      <w:r w:rsidR="0016569D" w:rsidRPr="002533F7">
        <w:rPr>
          <w:sz w:val="24"/>
          <w:szCs w:val="24"/>
        </w:rPr>
        <w:t xml:space="preserve"> </w:t>
      </w:r>
      <w:r w:rsidRPr="002533F7">
        <w:rPr>
          <w:sz w:val="24"/>
          <w:szCs w:val="24"/>
        </w:rPr>
        <w:t>not acknowledged directly the fact that the Strasbourg case law also provides that: “if a legislative restriction strikes at the core of trade union activity, a lesser margin of appreciation is to be recognised to the national legislature.”</w:t>
      </w:r>
      <w:r w:rsidR="0016569D" w:rsidRPr="002533F7">
        <w:rPr>
          <w:rStyle w:val="FootnoteReference"/>
          <w:sz w:val="24"/>
          <w:szCs w:val="24"/>
        </w:rPr>
        <w:footnoteReference w:id="19"/>
      </w:r>
      <w:r w:rsidRPr="002533F7">
        <w:rPr>
          <w:sz w:val="24"/>
          <w:szCs w:val="24"/>
        </w:rPr>
        <w:t xml:space="preserve"> </w:t>
      </w:r>
    </w:p>
    <w:p w:rsidR="006017CA" w:rsidRPr="002533F7" w:rsidRDefault="006017CA" w:rsidP="005A13A9">
      <w:pPr>
        <w:spacing w:after="240" w:line="360" w:lineRule="auto"/>
        <w:jc w:val="both"/>
        <w:rPr>
          <w:b/>
          <w:sz w:val="24"/>
          <w:szCs w:val="24"/>
        </w:rPr>
      </w:pPr>
      <w:r w:rsidRPr="002533F7">
        <w:rPr>
          <w:b/>
          <w:sz w:val="24"/>
          <w:szCs w:val="24"/>
        </w:rPr>
        <w:t xml:space="preserve">b. Secondary Legislation &amp; Cumulative Impact, </w:t>
      </w:r>
    </w:p>
    <w:p w:rsidR="006017CA" w:rsidRPr="002533F7" w:rsidRDefault="006017CA" w:rsidP="005A13A9">
      <w:pPr>
        <w:spacing w:after="240" w:line="360" w:lineRule="auto"/>
        <w:jc w:val="both"/>
        <w:rPr>
          <w:sz w:val="24"/>
          <w:szCs w:val="24"/>
        </w:rPr>
      </w:pPr>
      <w:r w:rsidRPr="002533F7">
        <w:rPr>
          <w:sz w:val="24"/>
          <w:szCs w:val="24"/>
        </w:rPr>
        <w:t xml:space="preserve">The Committee concluded that the Trade Union Bill “raises a number of human rights concerns. Some of the relevant proposals, particularly those relating to ballot thresholds and facility time, will be introduced by way of secondary legislation. This makes an assessment of the legality and proportionality of these measures more difficult at this stage.” However, </w:t>
      </w:r>
      <w:r w:rsidRPr="002533F7">
        <w:rPr>
          <w:sz w:val="24"/>
          <w:szCs w:val="24"/>
        </w:rPr>
        <w:lastRenderedPageBreak/>
        <w:t>the Committee did not accept the government’s argument that each measure should be considered individually. Rather they concluded it would be important “to consider the accumulative impact of the Bill proposals on the right to strike.”</w:t>
      </w:r>
      <w:r w:rsidR="0016569D" w:rsidRPr="002533F7">
        <w:rPr>
          <w:rStyle w:val="FootnoteReference"/>
          <w:sz w:val="24"/>
          <w:szCs w:val="24"/>
        </w:rPr>
        <w:footnoteReference w:id="20"/>
      </w:r>
      <w:r w:rsidRPr="002533F7">
        <w:rPr>
          <w:sz w:val="24"/>
          <w:szCs w:val="24"/>
        </w:rPr>
        <w:t xml:space="preserve"> </w:t>
      </w:r>
    </w:p>
    <w:p w:rsidR="006017CA" w:rsidRPr="002533F7" w:rsidRDefault="006017CA" w:rsidP="005A13A9">
      <w:pPr>
        <w:spacing w:after="240" w:line="360" w:lineRule="auto"/>
        <w:jc w:val="both"/>
        <w:rPr>
          <w:sz w:val="24"/>
          <w:szCs w:val="24"/>
        </w:rPr>
      </w:pPr>
      <w:r w:rsidRPr="002533F7">
        <w:rPr>
          <w:sz w:val="24"/>
          <w:szCs w:val="24"/>
        </w:rPr>
        <w:t>Assuming that the Bill passes through its remaining stages, they stated that the Bill should be “a candidate for post-legislative scrutiny” once the accompanying regulations had been introduced.</w:t>
      </w:r>
    </w:p>
    <w:p w:rsidR="006017CA" w:rsidRPr="002533F7" w:rsidRDefault="006017CA" w:rsidP="005A13A9">
      <w:pPr>
        <w:spacing w:after="240" w:line="360" w:lineRule="auto"/>
        <w:jc w:val="both"/>
        <w:rPr>
          <w:b/>
          <w:sz w:val="24"/>
          <w:szCs w:val="24"/>
        </w:rPr>
      </w:pPr>
      <w:r w:rsidRPr="002533F7">
        <w:rPr>
          <w:b/>
          <w:sz w:val="24"/>
          <w:szCs w:val="24"/>
        </w:rPr>
        <w:t xml:space="preserve">c. Ballot thresholds in important public services </w:t>
      </w:r>
    </w:p>
    <w:p w:rsidR="006017CA" w:rsidRPr="002533F7" w:rsidRDefault="006017CA" w:rsidP="005A13A9">
      <w:pPr>
        <w:spacing w:after="240" w:line="360" w:lineRule="auto"/>
        <w:jc w:val="both"/>
        <w:rPr>
          <w:sz w:val="24"/>
          <w:szCs w:val="24"/>
        </w:rPr>
      </w:pPr>
      <w:r w:rsidRPr="002533F7">
        <w:rPr>
          <w:sz w:val="24"/>
          <w:szCs w:val="24"/>
        </w:rPr>
        <w:t>The JCHR has questioned whether the proposed scope for the 40 per cent threshold in important public service is compatible with human rights standards, and in particular the inclusion of education and transport services. The Committee concluded that:</w:t>
      </w:r>
    </w:p>
    <w:p w:rsidR="006017CA" w:rsidRPr="002533F7" w:rsidRDefault="006017CA" w:rsidP="005A13A9">
      <w:pPr>
        <w:spacing w:after="240" w:line="360" w:lineRule="auto"/>
        <w:jc w:val="both"/>
        <w:rPr>
          <w:sz w:val="24"/>
          <w:szCs w:val="24"/>
        </w:rPr>
      </w:pPr>
      <w:r w:rsidRPr="002533F7">
        <w:rPr>
          <w:sz w:val="24"/>
          <w:szCs w:val="24"/>
        </w:rPr>
        <w:t>“The human rights compatibility of any measures on ballot thresholds in important public services will depend upon whether the scope of the regulations used to implement the measure is proportionate and whether the Government provides an objective justification for the difference in treatment between workers delivering an important public service and other workers".</w:t>
      </w:r>
      <w:r w:rsidR="0016569D" w:rsidRPr="002533F7">
        <w:rPr>
          <w:rStyle w:val="FootnoteReference"/>
          <w:sz w:val="24"/>
          <w:szCs w:val="24"/>
        </w:rPr>
        <w:footnoteReference w:id="21"/>
      </w:r>
    </w:p>
    <w:p w:rsidR="006017CA" w:rsidRPr="002533F7" w:rsidRDefault="006017CA" w:rsidP="005A13A9">
      <w:pPr>
        <w:spacing w:after="240" w:line="360" w:lineRule="auto"/>
        <w:jc w:val="both"/>
        <w:rPr>
          <w:sz w:val="24"/>
          <w:szCs w:val="24"/>
        </w:rPr>
      </w:pPr>
      <w:r w:rsidRPr="002533F7">
        <w:rPr>
          <w:sz w:val="24"/>
          <w:szCs w:val="24"/>
        </w:rPr>
        <w:t>“We note only that the draft Regulations include both staff working in emergency services, such as: the health service, fire service, and border security;</w:t>
      </w:r>
      <w:r w:rsidR="0016569D" w:rsidRPr="002533F7">
        <w:rPr>
          <w:sz w:val="24"/>
          <w:szCs w:val="24"/>
        </w:rPr>
        <w:t xml:space="preserve"> </w:t>
      </w:r>
      <w:r w:rsidRPr="002533F7">
        <w:rPr>
          <w:sz w:val="24"/>
          <w:szCs w:val="24"/>
        </w:rPr>
        <w:t>and also teaching staff and a wide range of transport services (including buses and passenger railway services). Although strikes by these latter staff may cause serious inconvenience, it is not clear that they cause a serious risk of harm to the public.”</w:t>
      </w:r>
      <w:r w:rsidR="0016569D" w:rsidRPr="002533F7">
        <w:rPr>
          <w:rStyle w:val="FootnoteReference"/>
          <w:sz w:val="24"/>
          <w:szCs w:val="24"/>
        </w:rPr>
        <w:footnoteReference w:id="22"/>
      </w:r>
    </w:p>
    <w:p w:rsidR="006017CA" w:rsidRPr="002533F7" w:rsidRDefault="006017CA" w:rsidP="005A13A9">
      <w:pPr>
        <w:spacing w:after="240" w:line="360" w:lineRule="auto"/>
        <w:jc w:val="both"/>
        <w:rPr>
          <w:b/>
          <w:sz w:val="24"/>
          <w:szCs w:val="24"/>
        </w:rPr>
      </w:pPr>
      <w:r w:rsidRPr="002533F7">
        <w:rPr>
          <w:b/>
          <w:sz w:val="24"/>
          <w:szCs w:val="24"/>
        </w:rPr>
        <w:t>d. Check-off</w:t>
      </w:r>
    </w:p>
    <w:p w:rsidR="006017CA" w:rsidRPr="002533F7" w:rsidRDefault="006017CA" w:rsidP="005A13A9">
      <w:pPr>
        <w:spacing w:after="240" w:line="360" w:lineRule="auto"/>
        <w:jc w:val="both"/>
        <w:rPr>
          <w:sz w:val="24"/>
          <w:szCs w:val="24"/>
        </w:rPr>
      </w:pPr>
      <w:r w:rsidRPr="002533F7">
        <w:rPr>
          <w:sz w:val="24"/>
          <w:szCs w:val="24"/>
        </w:rPr>
        <w:t>The Committee took the view that to date the government has failed to justify its proposals to prohibit check-off facilities in the public sector thereby terminating the membership of the majority of trade union members in that sector. The Committee concluded:</w:t>
      </w:r>
    </w:p>
    <w:p w:rsidR="0062224A" w:rsidRDefault="006017CA" w:rsidP="005A13A9">
      <w:pPr>
        <w:spacing w:after="240" w:line="360" w:lineRule="auto"/>
        <w:jc w:val="both"/>
        <w:rPr>
          <w:sz w:val="24"/>
          <w:szCs w:val="24"/>
        </w:rPr>
      </w:pPr>
      <w:r w:rsidRPr="002533F7">
        <w:rPr>
          <w:sz w:val="24"/>
          <w:szCs w:val="24"/>
        </w:rPr>
        <w:t xml:space="preserve">“We draw to the attention of both Houses that Clause 14 of the Trade Union Bill, would, in some circumstances, remove from certain public sector workers a contractual right to have union subscriptions deducted from wages (known as check-off), which constitute </w:t>
      </w:r>
      <w:r w:rsidRPr="002533F7">
        <w:rPr>
          <w:sz w:val="24"/>
          <w:szCs w:val="24"/>
        </w:rPr>
        <w:lastRenderedPageBreak/>
        <w:t>“possessions” for the purposes of Article 1 Protocol 1. This might amount to differential treatment of trade union members in their enjoyment of the right to property, which requires the Government to demonstrate objective justification for the difference of treatment which, so far, the Government has not yet provided.”</w:t>
      </w:r>
      <w:r w:rsidR="0016569D" w:rsidRPr="002533F7">
        <w:rPr>
          <w:rStyle w:val="FootnoteReference"/>
          <w:sz w:val="24"/>
          <w:szCs w:val="24"/>
        </w:rPr>
        <w:footnoteReference w:id="23"/>
      </w:r>
      <w:r w:rsidRPr="002533F7">
        <w:rPr>
          <w:sz w:val="24"/>
          <w:szCs w:val="24"/>
        </w:rPr>
        <w:t xml:space="preserve"> </w:t>
      </w:r>
    </w:p>
    <w:p w:rsidR="006017CA" w:rsidRPr="0062224A" w:rsidRDefault="0062224A" w:rsidP="005A13A9">
      <w:pPr>
        <w:spacing w:after="240" w:line="360" w:lineRule="auto"/>
        <w:jc w:val="both"/>
        <w:rPr>
          <w:sz w:val="24"/>
          <w:szCs w:val="24"/>
        </w:rPr>
      </w:pPr>
      <w:r>
        <w:rPr>
          <w:sz w:val="24"/>
          <w:szCs w:val="24"/>
        </w:rPr>
        <w:t>As stated earlier, a concession was gained within the House of Lords</w:t>
      </w:r>
      <w:r w:rsidR="00DC256E">
        <w:rPr>
          <w:sz w:val="24"/>
          <w:szCs w:val="24"/>
        </w:rPr>
        <w:t xml:space="preserve"> with regards to check-off</w:t>
      </w:r>
      <w:r w:rsidRPr="0062224A">
        <w:rPr>
          <w:sz w:val="24"/>
          <w:szCs w:val="24"/>
        </w:rPr>
        <w:t xml:space="preserve">. </w:t>
      </w:r>
      <w:r w:rsidR="00DC256E">
        <w:rPr>
          <w:sz w:val="24"/>
          <w:szCs w:val="24"/>
          <w:shd w:val="clear" w:color="auto" w:fill="FFFFFF"/>
        </w:rPr>
        <w:t>The B</w:t>
      </w:r>
      <w:r w:rsidRPr="0062224A">
        <w:rPr>
          <w:sz w:val="24"/>
          <w:szCs w:val="24"/>
          <w:shd w:val="clear" w:color="auto" w:fill="FFFFFF"/>
        </w:rPr>
        <w:t>ill was in the Lords for the final day of the report stage</w:t>
      </w:r>
      <w:r>
        <w:rPr>
          <w:sz w:val="24"/>
          <w:szCs w:val="24"/>
          <w:shd w:val="clear" w:color="auto" w:fill="FFFFFF"/>
        </w:rPr>
        <w:t xml:space="preserve"> on 19</w:t>
      </w:r>
      <w:r w:rsidRPr="0062224A">
        <w:rPr>
          <w:sz w:val="24"/>
          <w:szCs w:val="24"/>
          <w:shd w:val="clear" w:color="auto" w:fill="FFFFFF"/>
          <w:vertAlign w:val="superscript"/>
        </w:rPr>
        <w:t>th</w:t>
      </w:r>
      <w:r>
        <w:rPr>
          <w:sz w:val="24"/>
          <w:szCs w:val="24"/>
          <w:shd w:val="clear" w:color="auto" w:fill="FFFFFF"/>
        </w:rPr>
        <w:t xml:space="preserve"> April 2016</w:t>
      </w:r>
      <w:r w:rsidRPr="0062224A">
        <w:rPr>
          <w:sz w:val="24"/>
          <w:szCs w:val="24"/>
          <w:shd w:val="clear" w:color="auto" w:fill="FFFFFF"/>
        </w:rPr>
        <w:t xml:space="preserve"> and a crossbench amendment to block the check-off ban gained significant support.</w:t>
      </w:r>
      <w:r>
        <w:rPr>
          <w:sz w:val="24"/>
          <w:szCs w:val="24"/>
          <w:shd w:val="clear" w:color="auto" w:fill="FFFFFF"/>
        </w:rPr>
        <w:t xml:space="preserve"> While the </w:t>
      </w:r>
      <w:proofErr w:type="spellStart"/>
      <w:r>
        <w:rPr>
          <w:sz w:val="24"/>
          <w:szCs w:val="24"/>
          <w:shd w:val="clear" w:color="auto" w:fill="FFFFFF"/>
        </w:rPr>
        <w:t>UKG</w:t>
      </w:r>
      <w:proofErr w:type="spellEnd"/>
      <w:r>
        <w:rPr>
          <w:sz w:val="24"/>
          <w:szCs w:val="24"/>
          <w:shd w:val="clear" w:color="auto" w:fill="FFFFFF"/>
        </w:rPr>
        <w:t xml:space="preserve"> conceded on the issue, they intend to put forward their own amendment and </w:t>
      </w:r>
      <w:r w:rsidR="00DC256E">
        <w:rPr>
          <w:sz w:val="24"/>
          <w:szCs w:val="24"/>
          <w:shd w:val="clear" w:color="auto" w:fill="FFFFFF"/>
        </w:rPr>
        <w:t xml:space="preserve">we </w:t>
      </w:r>
      <w:r>
        <w:rPr>
          <w:sz w:val="24"/>
          <w:szCs w:val="24"/>
          <w:shd w:val="clear" w:color="auto" w:fill="FFFFFF"/>
        </w:rPr>
        <w:t>await the final detail of this to see if this</w:t>
      </w:r>
      <w:r w:rsidR="00DC256E">
        <w:rPr>
          <w:sz w:val="24"/>
          <w:szCs w:val="24"/>
          <w:shd w:val="clear" w:color="auto" w:fill="FFFFFF"/>
        </w:rPr>
        <w:t xml:space="preserve"> is a small but significant victory</w:t>
      </w:r>
      <w:r>
        <w:rPr>
          <w:sz w:val="24"/>
          <w:szCs w:val="24"/>
          <w:shd w:val="clear" w:color="auto" w:fill="FFFFFF"/>
        </w:rPr>
        <w:t>.</w:t>
      </w:r>
    </w:p>
    <w:p w:rsidR="006017CA" w:rsidRPr="002533F7" w:rsidRDefault="006017CA" w:rsidP="005A13A9">
      <w:pPr>
        <w:spacing w:after="240" w:line="360" w:lineRule="auto"/>
        <w:jc w:val="both"/>
        <w:rPr>
          <w:b/>
          <w:sz w:val="24"/>
          <w:szCs w:val="24"/>
        </w:rPr>
      </w:pPr>
      <w:r w:rsidRPr="002533F7">
        <w:rPr>
          <w:b/>
          <w:sz w:val="24"/>
          <w:szCs w:val="24"/>
        </w:rPr>
        <w:t>e. Proposed cap on facility time for union workplace representatives</w:t>
      </w:r>
    </w:p>
    <w:p w:rsidR="006017CA" w:rsidRPr="002533F7" w:rsidRDefault="006017CA" w:rsidP="005A13A9">
      <w:pPr>
        <w:spacing w:after="240" w:line="360" w:lineRule="auto"/>
        <w:jc w:val="both"/>
        <w:rPr>
          <w:sz w:val="24"/>
          <w:szCs w:val="24"/>
        </w:rPr>
      </w:pPr>
      <w:r w:rsidRPr="002533F7">
        <w:rPr>
          <w:sz w:val="24"/>
          <w:szCs w:val="24"/>
        </w:rPr>
        <w:t>The Committee noted the fact that power of UKG to limit the facility time of individual workplace reps under cause 13 the Bill would be a “power of last resort”. It is unfortunate that the Government has not been able to provide any further detail of the extent of the perceived problem before seeking to take these powers. We welcome the Government’s commitment to provide a new impact assessment before any regulations are laid under this provision.”</w:t>
      </w:r>
      <w:r w:rsidR="0016569D" w:rsidRPr="002533F7">
        <w:rPr>
          <w:rStyle w:val="FootnoteReference"/>
          <w:sz w:val="24"/>
          <w:szCs w:val="24"/>
        </w:rPr>
        <w:footnoteReference w:id="24"/>
      </w:r>
    </w:p>
    <w:p w:rsidR="00976707" w:rsidRPr="002533F7" w:rsidRDefault="005D53C0" w:rsidP="005A13A9">
      <w:pPr>
        <w:spacing w:after="240" w:line="360" w:lineRule="auto"/>
        <w:jc w:val="both"/>
        <w:rPr>
          <w:b/>
          <w:sz w:val="24"/>
          <w:szCs w:val="24"/>
        </w:rPr>
      </w:pPr>
      <w:r w:rsidRPr="002533F7">
        <w:rPr>
          <w:b/>
          <w:sz w:val="24"/>
          <w:szCs w:val="24"/>
        </w:rPr>
        <w:t xml:space="preserve">9. </w:t>
      </w:r>
      <w:r w:rsidR="00FA10AD" w:rsidRPr="002533F7">
        <w:rPr>
          <w:b/>
          <w:sz w:val="24"/>
          <w:szCs w:val="24"/>
        </w:rPr>
        <w:t xml:space="preserve">Analysis of Exemptions as Requested </w:t>
      </w:r>
      <w:r w:rsidRPr="002533F7">
        <w:rPr>
          <w:b/>
          <w:sz w:val="24"/>
          <w:szCs w:val="24"/>
        </w:rPr>
        <w:t>in</w:t>
      </w:r>
      <w:r w:rsidR="00FA10AD" w:rsidRPr="002533F7">
        <w:rPr>
          <w:b/>
          <w:sz w:val="24"/>
          <w:szCs w:val="24"/>
        </w:rPr>
        <w:t xml:space="preserve"> the List of Issues</w:t>
      </w:r>
    </w:p>
    <w:p w:rsidR="00FA10AD" w:rsidRPr="002533F7" w:rsidRDefault="006017CA" w:rsidP="005A13A9">
      <w:pPr>
        <w:spacing w:after="240" w:line="360" w:lineRule="auto"/>
        <w:jc w:val="both"/>
        <w:rPr>
          <w:sz w:val="24"/>
          <w:szCs w:val="24"/>
        </w:rPr>
      </w:pPr>
      <w:r w:rsidRPr="002533F7">
        <w:rPr>
          <w:sz w:val="24"/>
          <w:szCs w:val="24"/>
        </w:rPr>
        <w:t xml:space="preserve">It may be the case that erosion of ICESCR rights is permitted to a degree to protect the rights and freedoms of others or on other permitted grounds. The point we stress in our submission is that, contrary to the request from the </w:t>
      </w:r>
      <w:r w:rsidR="00520374" w:rsidRPr="002533F7">
        <w:rPr>
          <w:sz w:val="24"/>
          <w:szCs w:val="24"/>
        </w:rPr>
        <w:t>Committee</w:t>
      </w:r>
      <w:r w:rsidRPr="002533F7">
        <w:rPr>
          <w:sz w:val="24"/>
          <w:szCs w:val="24"/>
        </w:rPr>
        <w:t xml:space="preserve"> the UKG has provided no analysis of which ICESCR rights are engaged, the exemptions required and the grounds upon which such exemptions might appropriately apply. </w:t>
      </w:r>
    </w:p>
    <w:p w:rsidR="00FA10AD" w:rsidRPr="002533F7" w:rsidRDefault="005D53C0" w:rsidP="005A13A9">
      <w:pPr>
        <w:spacing w:after="240" w:line="360" w:lineRule="auto"/>
        <w:jc w:val="both"/>
        <w:rPr>
          <w:b/>
          <w:sz w:val="24"/>
          <w:szCs w:val="24"/>
        </w:rPr>
      </w:pPr>
      <w:r w:rsidRPr="002533F7">
        <w:rPr>
          <w:b/>
          <w:sz w:val="24"/>
          <w:szCs w:val="24"/>
        </w:rPr>
        <w:t xml:space="preserve">a. </w:t>
      </w:r>
      <w:r w:rsidR="00FA10AD" w:rsidRPr="002533F7">
        <w:rPr>
          <w:b/>
          <w:sz w:val="24"/>
          <w:szCs w:val="24"/>
        </w:rPr>
        <w:t xml:space="preserve">UN Reporting Requirements </w:t>
      </w:r>
    </w:p>
    <w:p w:rsidR="00FA10AD" w:rsidRPr="002533F7" w:rsidRDefault="00FA10AD" w:rsidP="005A13A9">
      <w:pPr>
        <w:spacing w:after="240" w:line="360" w:lineRule="auto"/>
        <w:jc w:val="both"/>
        <w:rPr>
          <w:sz w:val="24"/>
          <w:szCs w:val="24"/>
        </w:rPr>
      </w:pPr>
      <w:r w:rsidRPr="002533F7">
        <w:rPr>
          <w:sz w:val="24"/>
          <w:szCs w:val="24"/>
        </w:rPr>
        <w:t>The general and specific reporting requirements of the UN are not onerous. In relation to CESCR Article 8 the guidance requires the following:</w:t>
      </w:r>
    </w:p>
    <w:p w:rsidR="00FA10AD" w:rsidRPr="002533F7" w:rsidRDefault="00FA10AD" w:rsidP="005A13A9">
      <w:pPr>
        <w:spacing w:after="240" w:line="360" w:lineRule="auto"/>
        <w:ind w:left="709"/>
        <w:jc w:val="both"/>
        <w:rPr>
          <w:sz w:val="24"/>
          <w:szCs w:val="24"/>
        </w:rPr>
      </w:pPr>
      <w:r w:rsidRPr="002533F7">
        <w:rPr>
          <w:sz w:val="24"/>
          <w:szCs w:val="24"/>
        </w:rPr>
        <w:t xml:space="preserve">24. </w:t>
      </w:r>
      <w:r w:rsidRPr="002533F7">
        <w:rPr>
          <w:sz w:val="24"/>
          <w:szCs w:val="24"/>
        </w:rPr>
        <w:tab/>
        <w:t>Indicate:</w:t>
      </w:r>
    </w:p>
    <w:p w:rsidR="00FA10AD" w:rsidRPr="002533F7" w:rsidRDefault="00FA10AD" w:rsidP="005A13A9">
      <w:pPr>
        <w:pStyle w:val="ListParagraph"/>
        <w:numPr>
          <w:ilvl w:val="0"/>
          <w:numId w:val="4"/>
        </w:numPr>
        <w:spacing w:after="240" w:line="360" w:lineRule="auto"/>
        <w:ind w:left="1843"/>
        <w:jc w:val="both"/>
        <w:rPr>
          <w:sz w:val="24"/>
          <w:szCs w:val="24"/>
        </w:rPr>
      </w:pPr>
      <w:r w:rsidRPr="002533F7">
        <w:rPr>
          <w:sz w:val="24"/>
          <w:szCs w:val="24"/>
        </w:rPr>
        <w:lastRenderedPageBreak/>
        <w:t xml:space="preserve">What substantive or formal conditions, if any, must be fulfilled to form or join the trade union of one’s </w:t>
      </w:r>
      <w:proofErr w:type="gramStart"/>
      <w:r w:rsidRPr="002533F7">
        <w:rPr>
          <w:sz w:val="24"/>
          <w:szCs w:val="24"/>
        </w:rPr>
        <w:t>choice.</w:t>
      </w:r>
      <w:proofErr w:type="gramEnd"/>
      <w:r w:rsidRPr="002533F7">
        <w:rPr>
          <w:sz w:val="24"/>
          <w:szCs w:val="24"/>
        </w:rPr>
        <w:t xml:space="preserve"> Also indicate whether there are any restrictions on the exercise of the right to form or join trade unions by workers, and how they have been applied in practice; and</w:t>
      </w:r>
    </w:p>
    <w:p w:rsidR="00FA10AD" w:rsidRPr="002533F7" w:rsidRDefault="00FA10AD" w:rsidP="005A13A9">
      <w:pPr>
        <w:pStyle w:val="ListParagraph"/>
        <w:numPr>
          <w:ilvl w:val="0"/>
          <w:numId w:val="4"/>
        </w:numPr>
        <w:spacing w:after="240" w:line="360" w:lineRule="auto"/>
        <w:ind w:left="1843"/>
        <w:jc w:val="both"/>
        <w:rPr>
          <w:sz w:val="24"/>
          <w:szCs w:val="24"/>
        </w:rPr>
      </w:pPr>
      <w:r w:rsidRPr="002533F7">
        <w:rPr>
          <w:sz w:val="24"/>
          <w:szCs w:val="24"/>
        </w:rPr>
        <w:t>How trade unions are guaranteed independence to organize their activities without interference, as well as to federate and join international trade union organizations, and the legal and de facto restrictions, if any, on the exercise of this right.</w:t>
      </w:r>
    </w:p>
    <w:p w:rsidR="00FA10AD" w:rsidRPr="002533F7" w:rsidRDefault="00FA10AD" w:rsidP="005A13A9">
      <w:pPr>
        <w:spacing w:after="240" w:line="360" w:lineRule="auto"/>
        <w:ind w:left="993" w:hanging="284"/>
        <w:jc w:val="both"/>
        <w:rPr>
          <w:sz w:val="24"/>
          <w:szCs w:val="24"/>
        </w:rPr>
      </w:pPr>
      <w:r w:rsidRPr="002533F7">
        <w:rPr>
          <w:sz w:val="24"/>
          <w:szCs w:val="24"/>
        </w:rPr>
        <w:t xml:space="preserve">25. </w:t>
      </w:r>
      <w:r w:rsidRPr="002533F7">
        <w:rPr>
          <w:sz w:val="24"/>
          <w:szCs w:val="24"/>
        </w:rPr>
        <w:tab/>
        <w:t xml:space="preserve">Provide information on collective bargaining mechanisms in the State party </w:t>
      </w:r>
      <w:r w:rsidR="00FB487C" w:rsidRPr="002533F7">
        <w:rPr>
          <w:sz w:val="24"/>
          <w:szCs w:val="24"/>
        </w:rPr>
        <w:tab/>
      </w:r>
      <w:r w:rsidRPr="002533F7">
        <w:rPr>
          <w:sz w:val="24"/>
          <w:szCs w:val="24"/>
        </w:rPr>
        <w:t>and their impact on labour rights.</w:t>
      </w:r>
    </w:p>
    <w:p w:rsidR="00FA10AD" w:rsidRPr="002533F7" w:rsidRDefault="00FA10AD" w:rsidP="005A13A9">
      <w:pPr>
        <w:spacing w:after="240" w:line="360" w:lineRule="auto"/>
        <w:ind w:left="709"/>
        <w:jc w:val="both"/>
        <w:rPr>
          <w:sz w:val="24"/>
          <w:szCs w:val="24"/>
        </w:rPr>
      </w:pPr>
      <w:r w:rsidRPr="002533F7">
        <w:rPr>
          <w:sz w:val="24"/>
          <w:szCs w:val="24"/>
        </w:rPr>
        <w:t xml:space="preserve">26. </w:t>
      </w:r>
      <w:r w:rsidRPr="002533F7">
        <w:rPr>
          <w:sz w:val="24"/>
          <w:szCs w:val="24"/>
        </w:rPr>
        <w:tab/>
        <w:t>Indicate:</w:t>
      </w:r>
    </w:p>
    <w:p w:rsidR="00FA10AD" w:rsidRPr="002533F7" w:rsidRDefault="00FA10AD" w:rsidP="005A13A9">
      <w:pPr>
        <w:spacing w:after="240" w:line="360" w:lineRule="auto"/>
        <w:ind w:left="1843" w:hanging="425"/>
        <w:jc w:val="both"/>
        <w:rPr>
          <w:sz w:val="24"/>
          <w:szCs w:val="24"/>
        </w:rPr>
      </w:pPr>
      <w:r w:rsidRPr="002533F7">
        <w:rPr>
          <w:sz w:val="24"/>
          <w:szCs w:val="24"/>
        </w:rPr>
        <w:t xml:space="preserve">(a) </w:t>
      </w:r>
      <w:r w:rsidRPr="002533F7">
        <w:rPr>
          <w:sz w:val="24"/>
          <w:szCs w:val="24"/>
        </w:rPr>
        <w:tab/>
        <w:t>Whether the right to strike is constitutionally or legally guaranteed and to what extent such guarantees are observed in practice;</w:t>
      </w:r>
    </w:p>
    <w:p w:rsidR="00FA10AD" w:rsidRPr="002533F7" w:rsidRDefault="00FA10AD" w:rsidP="005A13A9">
      <w:pPr>
        <w:spacing w:after="240" w:line="360" w:lineRule="auto"/>
        <w:ind w:left="1843" w:hanging="425"/>
        <w:jc w:val="both"/>
        <w:rPr>
          <w:sz w:val="24"/>
          <w:szCs w:val="24"/>
        </w:rPr>
      </w:pPr>
      <w:r w:rsidRPr="002533F7">
        <w:rPr>
          <w:sz w:val="24"/>
          <w:szCs w:val="24"/>
        </w:rPr>
        <w:t xml:space="preserve">(b) </w:t>
      </w:r>
      <w:r w:rsidRPr="002533F7">
        <w:rPr>
          <w:sz w:val="24"/>
          <w:szCs w:val="24"/>
        </w:rPr>
        <w:tab/>
        <w:t>Any restrictions on the right to strike in the public and private sectors and their application in practice; and</w:t>
      </w:r>
    </w:p>
    <w:p w:rsidR="00FA10AD" w:rsidRPr="002533F7" w:rsidRDefault="00FA10AD" w:rsidP="005A13A9">
      <w:pPr>
        <w:spacing w:after="240" w:line="360" w:lineRule="auto"/>
        <w:ind w:left="1843" w:hanging="425"/>
        <w:jc w:val="both"/>
        <w:rPr>
          <w:sz w:val="24"/>
          <w:szCs w:val="24"/>
        </w:rPr>
      </w:pPr>
      <w:r w:rsidRPr="002533F7">
        <w:rPr>
          <w:sz w:val="24"/>
          <w:szCs w:val="24"/>
        </w:rPr>
        <w:t xml:space="preserve">(c) </w:t>
      </w:r>
      <w:r w:rsidRPr="002533F7">
        <w:rPr>
          <w:sz w:val="24"/>
          <w:szCs w:val="24"/>
        </w:rPr>
        <w:tab/>
        <w:t>The definition of essential services for which strikes may be prohibited</w:t>
      </w:r>
      <w:r w:rsidR="0016569D" w:rsidRPr="002533F7">
        <w:rPr>
          <w:rStyle w:val="FootnoteReference"/>
          <w:sz w:val="24"/>
          <w:szCs w:val="24"/>
        </w:rPr>
        <w:footnoteReference w:id="25"/>
      </w:r>
    </w:p>
    <w:p w:rsidR="00FA10AD" w:rsidRPr="002533F7" w:rsidRDefault="00FA10AD" w:rsidP="005A13A9">
      <w:pPr>
        <w:spacing w:after="240" w:line="360" w:lineRule="auto"/>
        <w:jc w:val="both"/>
        <w:rPr>
          <w:sz w:val="24"/>
          <w:szCs w:val="24"/>
        </w:rPr>
      </w:pPr>
      <w:r w:rsidRPr="002533F7">
        <w:rPr>
          <w:sz w:val="24"/>
          <w:szCs w:val="24"/>
        </w:rPr>
        <w:t>It is clear that compliance with the UN reporting requires a more detailed analysis of the TU Bill when, among other things, membership arrangements are being prohibited by law and new restrictions on industrial action are being adopted.</w:t>
      </w:r>
      <w:r w:rsidR="00FB487C" w:rsidRPr="002533F7">
        <w:rPr>
          <w:sz w:val="24"/>
          <w:szCs w:val="24"/>
        </w:rPr>
        <w:t xml:space="preserve"> </w:t>
      </w:r>
    </w:p>
    <w:p w:rsidR="00FB487C" w:rsidRPr="002533F7" w:rsidRDefault="00FB487C" w:rsidP="005A13A9">
      <w:pPr>
        <w:spacing w:after="240" w:line="360" w:lineRule="auto"/>
        <w:jc w:val="both"/>
        <w:rPr>
          <w:sz w:val="24"/>
          <w:szCs w:val="24"/>
        </w:rPr>
      </w:pPr>
      <w:r w:rsidRPr="002533F7">
        <w:rPr>
          <w:sz w:val="24"/>
          <w:szCs w:val="24"/>
        </w:rPr>
        <w:t>The UKG response refers to the fact that the TUB is currently “in its parliamentary proceedings”. This is not an adequate explanation for the absence of an analysis of any requirement for ICESCR exemptions.</w:t>
      </w:r>
    </w:p>
    <w:p w:rsidR="00FB487C" w:rsidRPr="002533F7" w:rsidRDefault="00FB487C" w:rsidP="005A13A9">
      <w:pPr>
        <w:spacing w:after="240" w:line="360" w:lineRule="auto"/>
        <w:jc w:val="both"/>
        <w:rPr>
          <w:sz w:val="24"/>
          <w:szCs w:val="24"/>
        </w:rPr>
      </w:pPr>
      <w:r w:rsidRPr="002533F7">
        <w:rPr>
          <w:sz w:val="24"/>
          <w:szCs w:val="24"/>
        </w:rPr>
        <w:t>The UN’s harmonised reporting guidelines specifically provide for UN reporting as “an opportunity [for state parties] to take stock of the state of human rights protection within their jurisdiction for the purpose of policy planning and implementation”. (</w:t>
      </w:r>
      <w:proofErr w:type="gramStart"/>
      <w:r w:rsidRPr="002533F7">
        <w:rPr>
          <w:sz w:val="24"/>
          <w:szCs w:val="24"/>
        </w:rPr>
        <w:t>at</w:t>
      </w:r>
      <w:proofErr w:type="gramEnd"/>
      <w:r w:rsidRPr="002533F7">
        <w:rPr>
          <w:sz w:val="24"/>
          <w:szCs w:val="24"/>
        </w:rPr>
        <w:t xml:space="preserve"> page 7, para 9)</w:t>
      </w:r>
      <w:r w:rsidRPr="002533F7">
        <w:rPr>
          <w:rStyle w:val="FootnoteReference"/>
          <w:sz w:val="24"/>
          <w:szCs w:val="24"/>
        </w:rPr>
        <w:footnoteReference w:id="26"/>
      </w:r>
    </w:p>
    <w:p w:rsidR="005D53C0" w:rsidRPr="002533F7" w:rsidRDefault="005D53C0" w:rsidP="005A13A9">
      <w:pPr>
        <w:spacing w:after="240" w:line="360" w:lineRule="auto"/>
        <w:jc w:val="both"/>
        <w:rPr>
          <w:sz w:val="24"/>
          <w:szCs w:val="24"/>
        </w:rPr>
      </w:pPr>
      <w:r w:rsidRPr="002533F7">
        <w:rPr>
          <w:sz w:val="24"/>
          <w:szCs w:val="24"/>
        </w:rPr>
        <w:lastRenderedPageBreak/>
        <w:t>There is an overwhelming body of evidence and argument which suggests that ICESCR obligations are engaged and justification of exemptions is required. The committee's request for comment on exemptions is well founded and the absence of any response from the UKG requires an explanation.</w:t>
      </w:r>
    </w:p>
    <w:p w:rsidR="006017CA" w:rsidRPr="002533F7" w:rsidRDefault="005D53C0" w:rsidP="005A13A9">
      <w:pPr>
        <w:spacing w:after="240" w:line="360" w:lineRule="auto"/>
        <w:jc w:val="both"/>
        <w:rPr>
          <w:b/>
          <w:sz w:val="24"/>
          <w:szCs w:val="24"/>
        </w:rPr>
      </w:pPr>
      <w:r w:rsidRPr="002533F7">
        <w:rPr>
          <w:b/>
          <w:sz w:val="24"/>
          <w:szCs w:val="24"/>
        </w:rPr>
        <w:t xml:space="preserve">10. </w:t>
      </w:r>
      <w:r w:rsidR="006017CA" w:rsidRPr="002533F7">
        <w:rPr>
          <w:b/>
          <w:sz w:val="24"/>
          <w:szCs w:val="24"/>
        </w:rPr>
        <w:t>Incompetent Response – Absence of Inter-Government Consultation</w:t>
      </w:r>
    </w:p>
    <w:p w:rsidR="006017CA" w:rsidRPr="002533F7" w:rsidRDefault="006017CA" w:rsidP="005A13A9">
      <w:pPr>
        <w:spacing w:after="240" w:line="360" w:lineRule="auto"/>
        <w:jc w:val="both"/>
        <w:rPr>
          <w:sz w:val="24"/>
          <w:szCs w:val="24"/>
        </w:rPr>
      </w:pPr>
      <w:r w:rsidRPr="002533F7">
        <w:rPr>
          <w:sz w:val="24"/>
          <w:szCs w:val="24"/>
        </w:rPr>
        <w:t>The Common Core Document describes how the functions of Government are devolved to the four nations that make up the United Kingdom. All UKG reports to CESCR reflect the devolution of power within the UK with frequent references to variations in implementation and impact across the four nations. This is illustrated within s.59 of the UKG response to the list of issues where specific reference is made to Blacklisting in Scotland. The raises a question – why is there no specific reference to the impact of the TUB in Scotland?</w:t>
      </w:r>
    </w:p>
    <w:p w:rsidR="006017CA" w:rsidRPr="002533F7" w:rsidRDefault="006017CA" w:rsidP="005A13A9">
      <w:pPr>
        <w:spacing w:after="240" w:line="360" w:lineRule="auto"/>
        <w:jc w:val="both"/>
        <w:rPr>
          <w:sz w:val="24"/>
          <w:szCs w:val="24"/>
        </w:rPr>
      </w:pPr>
      <w:r w:rsidRPr="002533F7">
        <w:rPr>
          <w:sz w:val="24"/>
          <w:szCs w:val="24"/>
        </w:rPr>
        <w:t xml:space="preserve">The Scottish Government has significant devolved powers and responsibilities in relation to human rights. The impact of devolved human rights obligations on Scottish Government is unambiguous. The Scottish Government has “no power to make any subordinate </w:t>
      </w:r>
      <w:proofErr w:type="gramStart"/>
      <w:r w:rsidRPr="002533F7">
        <w:rPr>
          <w:sz w:val="24"/>
          <w:szCs w:val="24"/>
        </w:rPr>
        <w:t>legislation,</w:t>
      </w:r>
      <w:proofErr w:type="gramEnd"/>
      <w:r w:rsidRPr="002533F7">
        <w:rPr>
          <w:sz w:val="24"/>
          <w:szCs w:val="24"/>
        </w:rPr>
        <w:t xml:space="preserve"> </w:t>
      </w:r>
      <w:r w:rsidRPr="002533F7">
        <w:rPr>
          <w:b/>
          <w:sz w:val="24"/>
          <w:szCs w:val="24"/>
          <w:u w:val="single"/>
        </w:rPr>
        <w:t>or to do any other</w:t>
      </w:r>
      <w:r w:rsidRPr="002533F7">
        <w:rPr>
          <w:sz w:val="24"/>
          <w:szCs w:val="24"/>
        </w:rPr>
        <w:t xml:space="preserve"> act, so far as the legislation or act is incompatible with any of the Convention rights”.</w:t>
      </w:r>
      <w:r w:rsidRPr="002533F7">
        <w:rPr>
          <w:rStyle w:val="FootnoteReference"/>
          <w:sz w:val="24"/>
          <w:szCs w:val="24"/>
        </w:rPr>
        <w:footnoteReference w:id="27"/>
      </w:r>
      <w:r w:rsidRPr="002533F7">
        <w:rPr>
          <w:sz w:val="24"/>
          <w:szCs w:val="24"/>
        </w:rPr>
        <w:t xml:space="preserve"> If any measure within the TUB offends any ECHR obligation the Scottish Government has no power to abide by that requirement </w:t>
      </w:r>
      <w:r w:rsidR="00FB487C" w:rsidRPr="002533F7">
        <w:rPr>
          <w:sz w:val="24"/>
          <w:szCs w:val="24"/>
        </w:rPr>
        <w:t>of</w:t>
      </w:r>
      <w:r w:rsidRPr="002533F7">
        <w:rPr>
          <w:sz w:val="24"/>
          <w:szCs w:val="24"/>
        </w:rPr>
        <w:t xml:space="preserve"> the Trade Union Bill.</w:t>
      </w:r>
    </w:p>
    <w:p w:rsidR="006017CA" w:rsidRPr="002533F7" w:rsidRDefault="006017CA" w:rsidP="005A13A9">
      <w:pPr>
        <w:spacing w:after="240" w:line="360" w:lineRule="auto"/>
        <w:jc w:val="both"/>
        <w:rPr>
          <w:sz w:val="24"/>
          <w:szCs w:val="24"/>
        </w:rPr>
      </w:pPr>
      <w:r w:rsidRPr="002533F7">
        <w:rPr>
          <w:sz w:val="24"/>
          <w:szCs w:val="24"/>
        </w:rPr>
        <w:t xml:space="preserve">There is open disagreement between the Scottish Government and the UKG over the TUB. Many Members of the Scottish Parliament have quite appropriately indicated that they will not implement any measure of the TUB that offends ECHR rights. </w:t>
      </w:r>
    </w:p>
    <w:p w:rsidR="006017CA" w:rsidRPr="002533F7" w:rsidRDefault="006017CA" w:rsidP="005A13A9">
      <w:pPr>
        <w:spacing w:after="240" w:line="360" w:lineRule="auto"/>
        <w:jc w:val="both"/>
        <w:rPr>
          <w:sz w:val="24"/>
          <w:szCs w:val="24"/>
        </w:rPr>
      </w:pPr>
      <w:r w:rsidRPr="002533F7">
        <w:rPr>
          <w:sz w:val="24"/>
          <w:szCs w:val="24"/>
        </w:rPr>
        <w:t xml:space="preserve">In addition to enduring concerns about substantive rights, the UKG response is not procedurally competent. The issue of human rights compliance in Scotland remains unresolved and, given the degree to which human rights compliance has been devolved to Scotland, it is not competent for the UKG to report </w:t>
      </w:r>
      <w:r w:rsidR="00FB487C" w:rsidRPr="002533F7">
        <w:rPr>
          <w:sz w:val="24"/>
          <w:szCs w:val="24"/>
        </w:rPr>
        <w:t xml:space="preserve">to the </w:t>
      </w:r>
      <w:r w:rsidR="00520374" w:rsidRPr="002533F7">
        <w:rPr>
          <w:sz w:val="24"/>
          <w:szCs w:val="24"/>
        </w:rPr>
        <w:t>Committee</w:t>
      </w:r>
      <w:r w:rsidRPr="002533F7">
        <w:rPr>
          <w:sz w:val="24"/>
          <w:szCs w:val="24"/>
        </w:rPr>
        <w:t xml:space="preserve"> without reference to the position of the Scottish Government and Scottish Parliament.</w:t>
      </w:r>
    </w:p>
    <w:p w:rsidR="005D53C0" w:rsidRPr="002533F7" w:rsidRDefault="005D53C0" w:rsidP="005A13A9">
      <w:pPr>
        <w:spacing w:after="240" w:line="360" w:lineRule="auto"/>
        <w:jc w:val="both"/>
        <w:rPr>
          <w:b/>
          <w:sz w:val="24"/>
          <w:szCs w:val="24"/>
        </w:rPr>
      </w:pPr>
      <w:r w:rsidRPr="002533F7">
        <w:rPr>
          <w:b/>
          <w:sz w:val="24"/>
          <w:szCs w:val="24"/>
        </w:rPr>
        <w:t>11. Conclusion - Trade Union Bill</w:t>
      </w:r>
    </w:p>
    <w:p w:rsidR="005D53C0" w:rsidRPr="002533F7" w:rsidRDefault="005D53C0" w:rsidP="005A13A9">
      <w:pPr>
        <w:spacing w:after="240" w:line="360" w:lineRule="auto"/>
        <w:jc w:val="both"/>
        <w:rPr>
          <w:sz w:val="24"/>
          <w:szCs w:val="24"/>
        </w:rPr>
      </w:pPr>
      <w:r w:rsidRPr="002533F7">
        <w:rPr>
          <w:sz w:val="24"/>
          <w:szCs w:val="24"/>
        </w:rPr>
        <w:t xml:space="preserve">The UKG response to the list of issues is more than simply inadequate. The response illustrates a deliberate refusal to engage with the </w:t>
      </w:r>
      <w:r w:rsidR="00520374" w:rsidRPr="002533F7">
        <w:rPr>
          <w:sz w:val="24"/>
          <w:szCs w:val="24"/>
        </w:rPr>
        <w:t>Committee</w:t>
      </w:r>
      <w:r w:rsidRPr="002533F7">
        <w:rPr>
          <w:sz w:val="24"/>
          <w:szCs w:val="24"/>
        </w:rPr>
        <w:t xml:space="preserve"> on specific matters that are </w:t>
      </w:r>
      <w:r w:rsidRPr="002533F7">
        <w:rPr>
          <w:sz w:val="24"/>
          <w:szCs w:val="24"/>
        </w:rPr>
        <w:lastRenderedPageBreak/>
        <w:t>clearly within the competence of the committee, where adequate notice has been provided and UN guidance outlines the level of detail required by way of response.</w:t>
      </w:r>
    </w:p>
    <w:p w:rsidR="003C1A82" w:rsidRPr="002533F7" w:rsidRDefault="005D53C0" w:rsidP="005A13A9">
      <w:pPr>
        <w:spacing w:after="240" w:line="360" w:lineRule="auto"/>
        <w:jc w:val="both"/>
        <w:rPr>
          <w:sz w:val="24"/>
          <w:szCs w:val="24"/>
        </w:rPr>
      </w:pPr>
      <w:r w:rsidRPr="002533F7">
        <w:rPr>
          <w:sz w:val="24"/>
          <w:szCs w:val="24"/>
        </w:rPr>
        <w:t xml:space="preserve">Such a refusal to engage with a question raised by the </w:t>
      </w:r>
      <w:r w:rsidR="00520374" w:rsidRPr="002533F7">
        <w:rPr>
          <w:sz w:val="24"/>
          <w:szCs w:val="24"/>
        </w:rPr>
        <w:t>Committee</w:t>
      </w:r>
      <w:r w:rsidRPr="002533F7">
        <w:rPr>
          <w:sz w:val="24"/>
          <w:szCs w:val="24"/>
        </w:rPr>
        <w:t xml:space="preserve"> raises significant questions as to the extent to which the UKG displays due regard for the standing of the </w:t>
      </w:r>
      <w:r w:rsidR="00520374" w:rsidRPr="002533F7">
        <w:rPr>
          <w:sz w:val="24"/>
          <w:szCs w:val="24"/>
        </w:rPr>
        <w:t>Committee</w:t>
      </w:r>
      <w:r w:rsidRPr="002533F7">
        <w:rPr>
          <w:sz w:val="24"/>
          <w:szCs w:val="24"/>
        </w:rPr>
        <w:t xml:space="preserve"> and the requirements of the </w:t>
      </w:r>
      <w:r w:rsidR="00520374" w:rsidRPr="002533F7">
        <w:rPr>
          <w:sz w:val="24"/>
          <w:szCs w:val="24"/>
        </w:rPr>
        <w:t>covenant</w:t>
      </w:r>
      <w:r w:rsidRPr="002533F7">
        <w:rPr>
          <w:sz w:val="24"/>
          <w:szCs w:val="24"/>
        </w:rPr>
        <w:t xml:space="preserve">. </w:t>
      </w:r>
    </w:p>
    <w:p w:rsidR="005D53C0" w:rsidRPr="002533F7" w:rsidRDefault="005D53C0" w:rsidP="005A13A9">
      <w:pPr>
        <w:spacing w:after="240" w:line="360" w:lineRule="auto"/>
        <w:jc w:val="both"/>
        <w:rPr>
          <w:sz w:val="24"/>
          <w:szCs w:val="24"/>
        </w:rPr>
      </w:pPr>
      <w:r w:rsidRPr="002533F7">
        <w:rPr>
          <w:sz w:val="24"/>
          <w:szCs w:val="24"/>
        </w:rPr>
        <w:t>UNISON and UNITE respectfully suggest that this disregard for the covenant and the committee is addressed with the UKG delegation at the final review in June.</w:t>
      </w:r>
    </w:p>
    <w:p w:rsidR="0069465B" w:rsidRPr="002533F7" w:rsidRDefault="0069465B" w:rsidP="005A13A9">
      <w:pPr>
        <w:suppressAutoHyphens w:val="0"/>
        <w:spacing w:after="240" w:line="360" w:lineRule="auto"/>
        <w:rPr>
          <w:b/>
          <w:sz w:val="24"/>
          <w:szCs w:val="24"/>
        </w:rPr>
      </w:pPr>
      <w:r w:rsidRPr="002533F7">
        <w:rPr>
          <w:b/>
          <w:sz w:val="24"/>
          <w:szCs w:val="24"/>
        </w:rPr>
        <w:t>12. Blacklisting</w:t>
      </w:r>
    </w:p>
    <w:p w:rsidR="00B62583" w:rsidRPr="002533F7" w:rsidRDefault="00B62583" w:rsidP="00B62583">
      <w:pPr>
        <w:suppressAutoHyphens w:val="0"/>
        <w:spacing w:line="360" w:lineRule="auto"/>
        <w:jc w:val="both"/>
        <w:rPr>
          <w:rFonts w:eastAsiaTheme="minorHAnsi"/>
          <w:sz w:val="24"/>
          <w:szCs w:val="24"/>
        </w:rPr>
      </w:pPr>
      <w:r w:rsidRPr="002533F7">
        <w:rPr>
          <w:rFonts w:eastAsiaTheme="minorHAnsi"/>
          <w:color w:val="1F1F1F"/>
          <w:sz w:val="24"/>
          <w:szCs w:val="24"/>
          <w:shd w:val="clear" w:color="auto" w:fill="FFFFFF"/>
        </w:rPr>
        <w:t xml:space="preserve">Blacklisting is a clear breach of human rights and in particular </w:t>
      </w:r>
      <w:r w:rsidRPr="002533F7">
        <w:rPr>
          <w:rFonts w:eastAsiaTheme="minorHAnsi"/>
          <w:b/>
          <w:color w:val="1F1F1F"/>
          <w:sz w:val="24"/>
          <w:szCs w:val="24"/>
          <w:shd w:val="clear" w:color="auto" w:fill="FFFFFF"/>
        </w:rPr>
        <w:t>Articles 6.1 &amp; 6.2 Article 7(b) and Article 8.1 (a)</w:t>
      </w:r>
      <w:r w:rsidRPr="002533F7">
        <w:rPr>
          <w:rFonts w:eastAsiaTheme="minorHAnsi"/>
          <w:color w:val="1F1F1F"/>
          <w:sz w:val="24"/>
          <w:szCs w:val="24"/>
          <w:shd w:val="clear" w:color="auto" w:fill="FFFFFF"/>
        </w:rPr>
        <w:t xml:space="preserve">. Blacklisting occurs when workers are systematically denied gainful employment for a variety of reasons including trade union membership, political beliefs or raising health and safety concerns. This was the case for a number of workers whose names appeared on a list found in the offices of the Consulting Association (TCA) in 2009. TCA, which was funded by the construction industry, collated 3123 names supplied to them by construction companies, which were then supplied to other construction companies using TCA’s services. </w:t>
      </w:r>
      <w:r w:rsidRPr="002533F7">
        <w:rPr>
          <w:rFonts w:eastAsiaTheme="minorHAnsi"/>
          <w:sz w:val="24"/>
          <w:szCs w:val="24"/>
          <w:shd w:val="clear" w:color="auto" w:fill="FFFFFF"/>
        </w:rPr>
        <w:t>The worker had no idea their details were being checked and no way of seeing if the information held by TCA, was accurate. </w:t>
      </w:r>
      <w:r w:rsidRPr="002533F7">
        <w:rPr>
          <w:rFonts w:eastAsiaTheme="minorHAnsi"/>
          <w:sz w:val="24"/>
          <w:szCs w:val="24"/>
        </w:rPr>
        <w:t>Many of the workers blacklisted were denied work for decades due to their trade union involvement or for reporting health and safety concerns.</w:t>
      </w:r>
    </w:p>
    <w:p w:rsidR="00B62583" w:rsidRDefault="00B62583" w:rsidP="005A13A9">
      <w:pPr>
        <w:spacing w:after="120" w:line="360" w:lineRule="auto"/>
        <w:jc w:val="both"/>
        <w:rPr>
          <w:sz w:val="24"/>
          <w:szCs w:val="24"/>
        </w:rPr>
      </w:pPr>
    </w:p>
    <w:p w:rsidR="002533F7" w:rsidRPr="002533F7" w:rsidRDefault="002533F7" w:rsidP="005A13A9">
      <w:pPr>
        <w:spacing w:after="120" w:line="360" w:lineRule="auto"/>
        <w:jc w:val="both"/>
        <w:rPr>
          <w:sz w:val="24"/>
          <w:szCs w:val="24"/>
        </w:rPr>
      </w:pPr>
      <w:r w:rsidRPr="002533F7">
        <w:rPr>
          <w:sz w:val="24"/>
          <w:szCs w:val="24"/>
        </w:rPr>
        <w:t>In the UK Government (</w:t>
      </w:r>
      <w:proofErr w:type="spellStart"/>
      <w:r w:rsidRPr="002533F7">
        <w:rPr>
          <w:sz w:val="24"/>
          <w:szCs w:val="24"/>
        </w:rPr>
        <w:t>UKG</w:t>
      </w:r>
      <w:proofErr w:type="spellEnd"/>
      <w:r w:rsidRPr="002533F7">
        <w:rPr>
          <w:sz w:val="24"/>
          <w:szCs w:val="24"/>
        </w:rPr>
        <w:t xml:space="preserve">) response to the list of issues around blacklisting and specifically with reference to CESCR List of Issues Para. 13, </w:t>
      </w:r>
      <w:proofErr w:type="spellStart"/>
      <w:r w:rsidRPr="002533F7">
        <w:rPr>
          <w:sz w:val="24"/>
          <w:szCs w:val="24"/>
        </w:rPr>
        <w:t>s.58</w:t>
      </w:r>
      <w:proofErr w:type="spellEnd"/>
      <w:r w:rsidRPr="002533F7">
        <w:rPr>
          <w:sz w:val="24"/>
          <w:szCs w:val="24"/>
        </w:rPr>
        <w:t xml:space="preserve"> states:</w:t>
      </w:r>
    </w:p>
    <w:p w:rsidR="002533F7" w:rsidRPr="002533F7" w:rsidRDefault="002533F7" w:rsidP="00D669FF">
      <w:pPr>
        <w:spacing w:after="120" w:line="360" w:lineRule="auto"/>
        <w:ind w:left="567" w:right="521"/>
        <w:jc w:val="both"/>
        <w:rPr>
          <w:i/>
          <w:sz w:val="24"/>
          <w:szCs w:val="24"/>
        </w:rPr>
      </w:pPr>
      <w:r w:rsidRPr="002533F7">
        <w:rPr>
          <w:i/>
          <w:sz w:val="24"/>
          <w:szCs w:val="24"/>
        </w:rPr>
        <w:t xml:space="preserve">“The Employment Relations Act 1999 (Blacklists) Regulations 2010 make it illegal, subject to certain exemptions, to compile, use, sell or supply ‘prohibited lists’ (a blacklist). </w:t>
      </w:r>
      <w:proofErr w:type="gramStart"/>
      <w:r w:rsidRPr="002533F7">
        <w:rPr>
          <w:i/>
          <w:sz w:val="24"/>
          <w:szCs w:val="24"/>
        </w:rPr>
        <w:t>Individuals</w:t>
      </w:r>
      <w:proofErr w:type="gramEnd"/>
      <w:r w:rsidRPr="002533F7">
        <w:rPr>
          <w:i/>
          <w:sz w:val="24"/>
          <w:szCs w:val="24"/>
        </w:rPr>
        <w:t xml:space="preserve"> who believe they are being excluded from employment, or are treated less favourably because of a blacklist, should seek redress in the county courts in England and Wales, or Court of Session in Scotland. Other rights under the Regulations can be enforced in employment tribunals.”</w:t>
      </w:r>
    </w:p>
    <w:p w:rsidR="002533F7" w:rsidRPr="002533F7" w:rsidRDefault="002533F7" w:rsidP="005A13A9">
      <w:pPr>
        <w:spacing w:after="120" w:line="360" w:lineRule="auto"/>
        <w:jc w:val="both"/>
        <w:rPr>
          <w:sz w:val="24"/>
          <w:szCs w:val="24"/>
        </w:rPr>
      </w:pPr>
      <w:r w:rsidRPr="002533F7">
        <w:rPr>
          <w:sz w:val="24"/>
          <w:szCs w:val="24"/>
        </w:rPr>
        <w:lastRenderedPageBreak/>
        <w:t xml:space="preserve">While seeking redress using a legal route may be the case for some individuals, for many this route is prohibitive. Taking a case through the Court of Session in Scotland or through county courts in England or Wales is likely to put a costly financial burden on workers. Given that workers are seeking redress for being denied work due to blacklisting, then it may be that they do not have the finances to take recourse this way. </w:t>
      </w:r>
    </w:p>
    <w:p w:rsidR="002533F7" w:rsidRPr="002533F7" w:rsidRDefault="002533F7" w:rsidP="005A13A9">
      <w:pPr>
        <w:spacing w:after="120" w:line="360" w:lineRule="auto"/>
        <w:jc w:val="both"/>
        <w:rPr>
          <w:sz w:val="24"/>
          <w:szCs w:val="24"/>
        </w:rPr>
      </w:pPr>
      <w:r w:rsidRPr="002533F7">
        <w:rPr>
          <w:sz w:val="24"/>
          <w:szCs w:val="24"/>
        </w:rPr>
        <w:t xml:space="preserve">Moreover, many of the workers that were blacklisted are unable to seek redress through employment tribunal as, under current rules, they are not entitled to legal protection against blacklisting as they were employed through an agency, or by so-called ‘umbrella companies’. </w:t>
      </w:r>
      <w:r w:rsidRPr="002533F7">
        <w:rPr>
          <w:sz w:val="24"/>
          <w:szCs w:val="24"/>
          <w:vertAlign w:val="superscript"/>
        </w:rPr>
        <w:footnoteReference w:id="28"/>
      </w:r>
      <w:r w:rsidRPr="002533F7">
        <w:rPr>
          <w:sz w:val="24"/>
          <w:szCs w:val="24"/>
        </w:rPr>
        <w:t xml:space="preserve"> Under the Trade Union Labour Relations (Consolidation) Act 1992, (</w:t>
      </w:r>
      <w:proofErr w:type="spellStart"/>
      <w:r w:rsidRPr="002533F7">
        <w:rPr>
          <w:sz w:val="24"/>
          <w:szCs w:val="24"/>
        </w:rPr>
        <w:t>TULRCA</w:t>
      </w:r>
      <w:proofErr w:type="spellEnd"/>
      <w:r w:rsidRPr="002533F7">
        <w:rPr>
          <w:sz w:val="24"/>
          <w:szCs w:val="24"/>
        </w:rPr>
        <w:t xml:space="preserve">) the rights for ‘workers’ and ‘employees’ differ with workers having no rights to claim unfair dismissal. While laws exist to protect employees, the case remains that individuals employed by an agency or by an umbrella company are regarded as workers, and are therefore not covered and not able to take a claim to an employment tribunal.  </w:t>
      </w:r>
    </w:p>
    <w:p w:rsidR="002533F7" w:rsidRPr="002533F7" w:rsidRDefault="002533F7" w:rsidP="005A13A9">
      <w:pPr>
        <w:spacing w:after="120" w:line="360" w:lineRule="auto"/>
        <w:jc w:val="both"/>
        <w:rPr>
          <w:sz w:val="24"/>
          <w:szCs w:val="24"/>
        </w:rPr>
      </w:pPr>
      <w:r w:rsidRPr="002533F7">
        <w:rPr>
          <w:sz w:val="24"/>
          <w:szCs w:val="24"/>
        </w:rPr>
        <w:t xml:space="preserve">Under existing provisions, the onus is on the worker to prove they have been blacklisted. We would argue that the onus should be shifted to employers to prove that they have not blacklisted workers. One way to do this would be for companies to directly employ individuals that are known to have been blacklisted. </w:t>
      </w:r>
    </w:p>
    <w:p w:rsidR="002533F7" w:rsidRPr="002533F7" w:rsidRDefault="002533F7" w:rsidP="005A13A9">
      <w:pPr>
        <w:spacing w:after="120" w:line="360" w:lineRule="auto"/>
        <w:jc w:val="both"/>
        <w:rPr>
          <w:sz w:val="24"/>
          <w:szCs w:val="24"/>
        </w:rPr>
      </w:pPr>
      <w:r w:rsidRPr="002533F7">
        <w:rPr>
          <w:sz w:val="24"/>
          <w:szCs w:val="24"/>
        </w:rPr>
        <w:t xml:space="preserve">We believe these are sufficient grounds on which the CESCR should challenge the </w:t>
      </w:r>
      <w:proofErr w:type="spellStart"/>
      <w:r w:rsidRPr="002533F7">
        <w:rPr>
          <w:sz w:val="24"/>
          <w:szCs w:val="24"/>
        </w:rPr>
        <w:t>UKG</w:t>
      </w:r>
      <w:proofErr w:type="spellEnd"/>
      <w:r w:rsidRPr="002533F7">
        <w:rPr>
          <w:sz w:val="24"/>
          <w:szCs w:val="24"/>
        </w:rPr>
        <w:t>.</w:t>
      </w:r>
    </w:p>
    <w:p w:rsidR="002533F7" w:rsidRPr="002533F7" w:rsidRDefault="002533F7" w:rsidP="005A13A9">
      <w:pPr>
        <w:spacing w:after="120" w:line="360" w:lineRule="auto"/>
        <w:jc w:val="both"/>
        <w:rPr>
          <w:sz w:val="24"/>
          <w:szCs w:val="24"/>
        </w:rPr>
      </w:pPr>
      <w:proofErr w:type="gramStart"/>
      <w:r w:rsidRPr="002533F7">
        <w:rPr>
          <w:sz w:val="24"/>
          <w:szCs w:val="24"/>
        </w:rPr>
        <w:t>With regards to para.</w:t>
      </w:r>
      <w:proofErr w:type="gramEnd"/>
      <w:r w:rsidRPr="002533F7">
        <w:rPr>
          <w:sz w:val="24"/>
          <w:szCs w:val="24"/>
        </w:rPr>
        <w:t xml:space="preserve"> </w:t>
      </w:r>
      <w:proofErr w:type="gramStart"/>
      <w:r w:rsidRPr="002533F7">
        <w:rPr>
          <w:sz w:val="24"/>
          <w:szCs w:val="24"/>
        </w:rPr>
        <w:t>13 in respect of the Scottish Government (SG) guidance on blacklisting.</w:t>
      </w:r>
      <w:proofErr w:type="gramEnd"/>
      <w:r w:rsidRPr="002533F7">
        <w:rPr>
          <w:sz w:val="24"/>
          <w:szCs w:val="24"/>
        </w:rPr>
        <w:t xml:space="preserve"> The </w:t>
      </w:r>
      <w:proofErr w:type="spellStart"/>
      <w:r w:rsidRPr="002533F7">
        <w:rPr>
          <w:sz w:val="24"/>
          <w:szCs w:val="24"/>
        </w:rPr>
        <w:t>UKG</w:t>
      </w:r>
      <w:proofErr w:type="spellEnd"/>
      <w:r w:rsidRPr="002533F7">
        <w:rPr>
          <w:sz w:val="24"/>
          <w:szCs w:val="24"/>
        </w:rPr>
        <w:t xml:space="preserve"> goes on to state in their response to the List of Issues, </w:t>
      </w:r>
      <w:proofErr w:type="spellStart"/>
      <w:r w:rsidRPr="002533F7">
        <w:rPr>
          <w:sz w:val="24"/>
          <w:szCs w:val="24"/>
        </w:rPr>
        <w:t>s.60</w:t>
      </w:r>
      <w:proofErr w:type="spellEnd"/>
      <w:r w:rsidRPr="002533F7">
        <w:rPr>
          <w:sz w:val="24"/>
          <w:szCs w:val="24"/>
        </w:rPr>
        <w:t>:</w:t>
      </w:r>
    </w:p>
    <w:p w:rsidR="002533F7" w:rsidRPr="002533F7" w:rsidRDefault="002533F7" w:rsidP="005A13A9">
      <w:pPr>
        <w:spacing w:after="120" w:line="360" w:lineRule="auto"/>
        <w:jc w:val="both"/>
        <w:rPr>
          <w:i/>
          <w:sz w:val="24"/>
          <w:szCs w:val="24"/>
        </w:rPr>
      </w:pPr>
    </w:p>
    <w:p w:rsidR="002533F7" w:rsidRPr="002533F7" w:rsidRDefault="002533F7" w:rsidP="00612221">
      <w:pPr>
        <w:spacing w:after="120" w:line="360" w:lineRule="auto"/>
        <w:ind w:left="567" w:right="521"/>
        <w:jc w:val="both"/>
        <w:rPr>
          <w:i/>
          <w:sz w:val="24"/>
          <w:szCs w:val="24"/>
        </w:rPr>
      </w:pPr>
      <w:r w:rsidRPr="002533F7">
        <w:rPr>
          <w:i/>
          <w:sz w:val="24"/>
          <w:szCs w:val="24"/>
        </w:rPr>
        <w:lastRenderedPageBreak/>
        <w:t>“Scotland. New regulations that take effect from April 2016 will make it a legal requirement that businesses which have been found by a court or tribunal to have blacklisted are excluded from bidding for public contracts.”</w:t>
      </w:r>
    </w:p>
    <w:p w:rsidR="002533F7" w:rsidRPr="002533F7" w:rsidRDefault="002533F7" w:rsidP="005A13A9">
      <w:pPr>
        <w:suppressAutoHyphens w:val="0"/>
        <w:spacing w:before="100" w:beforeAutospacing="1" w:line="360" w:lineRule="auto"/>
        <w:jc w:val="both"/>
        <w:rPr>
          <w:rFonts w:eastAsiaTheme="minorHAnsi"/>
          <w:color w:val="1F1F1F"/>
          <w:sz w:val="24"/>
          <w:szCs w:val="24"/>
          <w:shd w:val="clear" w:color="auto" w:fill="FFFFFF"/>
        </w:rPr>
      </w:pPr>
      <w:r w:rsidRPr="002533F7">
        <w:rPr>
          <w:rFonts w:eastAsiaTheme="minorHAnsi"/>
          <w:color w:val="1F1F1F"/>
          <w:sz w:val="24"/>
          <w:szCs w:val="24"/>
          <w:shd w:val="clear" w:color="auto" w:fill="FFFFFF"/>
        </w:rPr>
        <w:t xml:space="preserve">The </w:t>
      </w:r>
      <w:proofErr w:type="spellStart"/>
      <w:r w:rsidRPr="002533F7">
        <w:rPr>
          <w:rFonts w:eastAsiaTheme="minorHAnsi"/>
          <w:color w:val="1F1F1F"/>
          <w:sz w:val="24"/>
          <w:szCs w:val="24"/>
          <w:shd w:val="clear" w:color="auto" w:fill="FFFFFF"/>
        </w:rPr>
        <w:t>UKG</w:t>
      </w:r>
      <w:proofErr w:type="spellEnd"/>
      <w:r w:rsidRPr="002533F7">
        <w:rPr>
          <w:rFonts w:eastAsiaTheme="minorHAnsi"/>
          <w:color w:val="1F1F1F"/>
          <w:sz w:val="24"/>
          <w:szCs w:val="24"/>
          <w:shd w:val="clear" w:color="auto" w:fill="FFFFFF"/>
        </w:rPr>
        <w:t xml:space="preserve"> response focuses on SG guidance which comes into force in April 2016. </w:t>
      </w:r>
    </w:p>
    <w:p w:rsidR="002533F7" w:rsidRPr="002533F7" w:rsidRDefault="002533F7" w:rsidP="005A13A9">
      <w:pPr>
        <w:suppressAutoHyphens w:val="0"/>
        <w:spacing w:before="100" w:beforeAutospacing="1" w:line="360" w:lineRule="auto"/>
        <w:jc w:val="both"/>
        <w:rPr>
          <w:rFonts w:eastAsiaTheme="minorHAnsi"/>
          <w:color w:val="1F1F1F"/>
          <w:sz w:val="24"/>
          <w:szCs w:val="24"/>
          <w:shd w:val="clear" w:color="auto" w:fill="FFFFFF"/>
        </w:rPr>
      </w:pPr>
      <w:r w:rsidRPr="002533F7">
        <w:rPr>
          <w:rFonts w:eastAsiaTheme="minorHAnsi"/>
          <w:color w:val="1F1F1F"/>
          <w:sz w:val="24"/>
          <w:szCs w:val="24"/>
          <w:shd w:val="clear" w:color="auto" w:fill="FFFFFF"/>
        </w:rPr>
        <w:t>Blacklisting –Breach of Articles 6.1 &amp; 6.2 and Article 8.1 (a) of ICESCR</w:t>
      </w:r>
    </w:p>
    <w:p w:rsidR="002533F7" w:rsidRPr="002533F7" w:rsidRDefault="002533F7" w:rsidP="005A13A9">
      <w:pPr>
        <w:suppressAutoHyphens w:val="0"/>
        <w:spacing w:before="100" w:beforeAutospacing="1" w:line="360" w:lineRule="auto"/>
        <w:jc w:val="both"/>
        <w:rPr>
          <w:rFonts w:eastAsiaTheme="minorHAnsi"/>
          <w:sz w:val="24"/>
          <w:szCs w:val="24"/>
          <w:shd w:val="clear" w:color="auto" w:fill="FFFFFF"/>
        </w:rPr>
      </w:pPr>
      <w:r w:rsidRPr="002533F7">
        <w:rPr>
          <w:rFonts w:eastAsiaTheme="minorHAnsi"/>
          <w:sz w:val="24"/>
          <w:szCs w:val="24"/>
          <w:shd w:val="clear" w:color="auto" w:fill="FFFFFF"/>
        </w:rPr>
        <w:t>The SG guidance referred to previously states:</w:t>
      </w:r>
    </w:p>
    <w:p w:rsidR="002533F7" w:rsidRPr="002533F7" w:rsidRDefault="002533F7" w:rsidP="005A13A9">
      <w:pPr>
        <w:suppressAutoHyphens w:val="0"/>
        <w:spacing w:line="360" w:lineRule="auto"/>
        <w:jc w:val="both"/>
        <w:rPr>
          <w:rFonts w:eastAsiaTheme="minorHAnsi"/>
          <w:i/>
          <w:sz w:val="24"/>
          <w:szCs w:val="24"/>
        </w:rPr>
      </w:pPr>
    </w:p>
    <w:p w:rsidR="002533F7" w:rsidRPr="002533F7" w:rsidRDefault="002533F7" w:rsidP="00612221">
      <w:pPr>
        <w:suppressAutoHyphens w:val="0"/>
        <w:spacing w:line="360" w:lineRule="auto"/>
        <w:ind w:left="567" w:right="521"/>
        <w:jc w:val="both"/>
        <w:rPr>
          <w:rFonts w:eastAsiaTheme="minorHAnsi"/>
          <w:i/>
          <w:sz w:val="24"/>
          <w:szCs w:val="24"/>
        </w:rPr>
      </w:pPr>
      <w:r w:rsidRPr="002533F7">
        <w:rPr>
          <w:rFonts w:eastAsiaTheme="minorHAnsi"/>
          <w:i/>
          <w:sz w:val="24"/>
          <w:szCs w:val="24"/>
        </w:rPr>
        <w:t>“Companies that are involved in ‘blacklisting’ will be excluded from bidding for public contracts… From 18 April 2016, it will be a legal requirement for public bodies to exclude businesses which are found to have breached the Blacklists Regulations 2010, or which have admitted to doing so.“</w:t>
      </w:r>
    </w:p>
    <w:p w:rsidR="002533F7" w:rsidRPr="002533F7" w:rsidRDefault="002533F7" w:rsidP="00612221">
      <w:pPr>
        <w:suppressAutoHyphens w:val="0"/>
        <w:spacing w:line="360" w:lineRule="auto"/>
        <w:ind w:left="567" w:right="521"/>
        <w:jc w:val="both"/>
        <w:rPr>
          <w:rFonts w:eastAsiaTheme="minorHAnsi"/>
          <w:i/>
          <w:sz w:val="24"/>
          <w:szCs w:val="24"/>
        </w:rPr>
      </w:pPr>
    </w:p>
    <w:p w:rsidR="002533F7" w:rsidRPr="002533F7" w:rsidRDefault="002533F7" w:rsidP="00612221">
      <w:pPr>
        <w:suppressAutoHyphens w:val="0"/>
        <w:spacing w:line="360" w:lineRule="auto"/>
        <w:ind w:left="567" w:right="521"/>
        <w:jc w:val="both"/>
        <w:rPr>
          <w:rFonts w:eastAsiaTheme="minorHAnsi"/>
          <w:i/>
          <w:sz w:val="24"/>
          <w:szCs w:val="24"/>
        </w:rPr>
      </w:pPr>
      <w:r w:rsidRPr="002533F7">
        <w:rPr>
          <w:rFonts w:eastAsiaTheme="minorHAnsi"/>
          <w:i/>
          <w:sz w:val="24"/>
          <w:szCs w:val="24"/>
        </w:rPr>
        <w:t xml:space="preserve">“This will remain in force until the business has taken appropriate remedial measures, or a period of three years has elapsed since the blacklisting occurred, which </w:t>
      </w:r>
      <w:proofErr w:type="gramStart"/>
      <w:r w:rsidRPr="002533F7">
        <w:rPr>
          <w:rFonts w:eastAsiaTheme="minorHAnsi"/>
          <w:i/>
          <w:sz w:val="24"/>
          <w:szCs w:val="24"/>
        </w:rPr>
        <w:t>is the maximum timescale</w:t>
      </w:r>
      <w:proofErr w:type="gramEnd"/>
      <w:r w:rsidRPr="002533F7">
        <w:rPr>
          <w:rFonts w:eastAsiaTheme="minorHAnsi"/>
          <w:i/>
          <w:sz w:val="24"/>
          <w:szCs w:val="24"/>
        </w:rPr>
        <w:t xml:space="preserve"> allowed under EU law.”</w:t>
      </w:r>
    </w:p>
    <w:p w:rsidR="002533F7" w:rsidRPr="002533F7" w:rsidRDefault="002533F7" w:rsidP="005A13A9">
      <w:pPr>
        <w:suppressAutoHyphens w:val="0"/>
        <w:spacing w:line="360" w:lineRule="auto"/>
        <w:jc w:val="both"/>
        <w:rPr>
          <w:rFonts w:eastAsiaTheme="minorHAnsi"/>
          <w:sz w:val="24"/>
          <w:szCs w:val="24"/>
          <w:shd w:val="clear" w:color="auto" w:fill="FFFFFF"/>
        </w:rPr>
      </w:pPr>
    </w:p>
    <w:p w:rsidR="002533F7" w:rsidRPr="002533F7" w:rsidRDefault="002533F7" w:rsidP="005A13A9">
      <w:pPr>
        <w:suppressAutoHyphens w:val="0"/>
        <w:spacing w:line="360" w:lineRule="auto"/>
        <w:jc w:val="both"/>
        <w:rPr>
          <w:rFonts w:eastAsiaTheme="minorHAnsi"/>
          <w:sz w:val="24"/>
          <w:szCs w:val="24"/>
          <w:shd w:val="clear" w:color="auto" w:fill="FFFFFF"/>
        </w:rPr>
      </w:pPr>
      <w:r w:rsidRPr="002533F7">
        <w:rPr>
          <w:rFonts w:eastAsiaTheme="minorHAnsi"/>
          <w:sz w:val="24"/>
          <w:szCs w:val="24"/>
          <w:shd w:val="clear" w:color="auto" w:fill="FFFFFF"/>
        </w:rPr>
        <w:t xml:space="preserve">Given the three year time period, companies that were named on TCA files, </w:t>
      </w:r>
      <w:r w:rsidR="00B62583">
        <w:rPr>
          <w:rFonts w:eastAsiaTheme="minorHAnsi"/>
          <w:sz w:val="24"/>
          <w:szCs w:val="24"/>
          <w:shd w:val="clear" w:color="auto" w:fill="FFFFFF"/>
        </w:rPr>
        <w:t>uncovered</w:t>
      </w:r>
      <w:r w:rsidRPr="002533F7">
        <w:rPr>
          <w:rFonts w:eastAsiaTheme="minorHAnsi"/>
          <w:sz w:val="24"/>
          <w:szCs w:val="24"/>
          <w:shd w:val="clear" w:color="auto" w:fill="FFFFFF"/>
        </w:rPr>
        <w:t xml:space="preserve"> in 2009, will now be </w:t>
      </w:r>
      <w:proofErr w:type="spellStart"/>
      <w:r w:rsidRPr="002533F7">
        <w:rPr>
          <w:rFonts w:eastAsiaTheme="minorHAnsi"/>
          <w:sz w:val="24"/>
          <w:szCs w:val="24"/>
          <w:shd w:val="clear" w:color="auto" w:fill="FFFFFF"/>
        </w:rPr>
        <w:t>outwith</w:t>
      </w:r>
      <w:proofErr w:type="spellEnd"/>
      <w:r w:rsidRPr="002533F7">
        <w:rPr>
          <w:rFonts w:eastAsiaTheme="minorHAnsi"/>
          <w:sz w:val="24"/>
          <w:szCs w:val="24"/>
          <w:shd w:val="clear" w:color="auto" w:fill="FFFFFF"/>
        </w:rPr>
        <w:t xml:space="preserve"> the timescale and will therefore be eligible for Government contracts. This is despite some companies continued denial</w:t>
      </w:r>
      <w:r w:rsidR="00B62583">
        <w:rPr>
          <w:rFonts w:eastAsiaTheme="minorHAnsi"/>
          <w:sz w:val="24"/>
          <w:szCs w:val="24"/>
          <w:shd w:val="clear" w:color="auto" w:fill="FFFFFF"/>
        </w:rPr>
        <w:t xml:space="preserve"> they blacklisted</w:t>
      </w:r>
      <w:r w:rsidRPr="002533F7">
        <w:rPr>
          <w:rFonts w:eastAsiaTheme="minorHAnsi"/>
          <w:sz w:val="24"/>
          <w:szCs w:val="24"/>
          <w:shd w:val="clear" w:color="auto" w:fill="FFFFFF"/>
        </w:rPr>
        <w:t xml:space="preserve">, refusal to take remedial action and in most cases to pay any suitable compensation. This timeframe also allows for the SG to fall </w:t>
      </w:r>
      <w:proofErr w:type="spellStart"/>
      <w:r w:rsidRPr="002533F7">
        <w:rPr>
          <w:rFonts w:eastAsiaTheme="minorHAnsi"/>
          <w:sz w:val="24"/>
          <w:szCs w:val="24"/>
          <w:shd w:val="clear" w:color="auto" w:fill="FFFFFF"/>
        </w:rPr>
        <w:t>outwith</w:t>
      </w:r>
      <w:proofErr w:type="spellEnd"/>
      <w:r w:rsidRPr="002533F7">
        <w:rPr>
          <w:rFonts w:eastAsiaTheme="minorHAnsi"/>
          <w:sz w:val="24"/>
          <w:szCs w:val="24"/>
          <w:shd w:val="clear" w:color="auto" w:fill="FFFFFF"/>
        </w:rPr>
        <w:t xml:space="preserve"> its breach of its own guidance.</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While the guidance may set out new obligations on companies, it remains the case that the SG has awarded contracts to companies known to have blacklisted workers and CESCR should seek to challenge this.</w:t>
      </w:r>
    </w:p>
    <w:p w:rsidR="002533F7" w:rsidRPr="002533F7" w:rsidRDefault="002533F7" w:rsidP="005A13A9">
      <w:pPr>
        <w:suppressAutoHyphens w:val="0"/>
        <w:spacing w:line="360" w:lineRule="auto"/>
        <w:jc w:val="both"/>
        <w:rPr>
          <w:rFonts w:eastAsiaTheme="minorHAnsi"/>
          <w:color w:val="1F1F1F"/>
          <w:sz w:val="24"/>
          <w:szCs w:val="24"/>
          <w:shd w:val="clear" w:color="auto" w:fill="FFFFFF"/>
        </w:rPr>
      </w:pPr>
    </w:p>
    <w:p w:rsidR="002533F7" w:rsidRPr="002533F7" w:rsidRDefault="002533F7" w:rsidP="005A13A9">
      <w:pPr>
        <w:suppressAutoHyphens w:val="0"/>
        <w:spacing w:line="360" w:lineRule="auto"/>
        <w:jc w:val="both"/>
        <w:rPr>
          <w:rFonts w:eastAsiaTheme="minorHAnsi"/>
          <w:color w:val="000000"/>
          <w:sz w:val="24"/>
          <w:szCs w:val="24"/>
        </w:rPr>
      </w:pPr>
      <w:r w:rsidRPr="002533F7">
        <w:rPr>
          <w:rFonts w:eastAsiaTheme="minorHAnsi"/>
          <w:sz w:val="24"/>
          <w:szCs w:val="24"/>
        </w:rPr>
        <w:t xml:space="preserve">The material change to the issues initially raised refer to a decision made in January 2016  by a UK High Court Judge who ordered 30 construction firms, including Balfour Beatty, Carillion and Kier Construction to disclose all relevant information related to blacklisting workers.  This followed from an ongoing legal action brought by Unite, UCATT and the GMB trade unions on behalf of 168 blacklisted workers which found that they had been blacklisted and resulted in these companies admitting their involvement. It was also found </w:t>
      </w:r>
      <w:r w:rsidRPr="002533F7">
        <w:rPr>
          <w:rFonts w:eastAsiaTheme="minorHAnsi"/>
          <w:sz w:val="24"/>
          <w:szCs w:val="24"/>
        </w:rPr>
        <w:lastRenderedPageBreak/>
        <w:t xml:space="preserve">that </w:t>
      </w:r>
      <w:r w:rsidRPr="002533F7">
        <w:rPr>
          <w:rFonts w:eastAsiaTheme="minorHAnsi"/>
          <w:color w:val="000000"/>
          <w:sz w:val="24"/>
          <w:szCs w:val="24"/>
        </w:rPr>
        <w:t xml:space="preserve">they infringed workers’ rights to confidentiality, privacy, reputation and latterly data protection. </w:t>
      </w:r>
    </w:p>
    <w:p w:rsidR="00B62583" w:rsidRDefault="00B62583" w:rsidP="00B62583">
      <w:pPr>
        <w:suppressAutoHyphens w:val="0"/>
        <w:spacing w:line="360" w:lineRule="auto"/>
        <w:jc w:val="both"/>
        <w:rPr>
          <w:rFonts w:eastAsiaTheme="minorHAnsi"/>
          <w:sz w:val="24"/>
          <w:szCs w:val="24"/>
        </w:rPr>
      </w:pPr>
    </w:p>
    <w:p w:rsidR="00B62583" w:rsidRPr="002533F7" w:rsidRDefault="00B62583" w:rsidP="00B62583">
      <w:pPr>
        <w:suppressAutoHyphens w:val="0"/>
        <w:spacing w:line="360" w:lineRule="auto"/>
        <w:jc w:val="both"/>
        <w:rPr>
          <w:rFonts w:eastAsiaTheme="minorHAnsi"/>
          <w:sz w:val="24"/>
          <w:szCs w:val="24"/>
        </w:rPr>
      </w:pPr>
      <w:r w:rsidRPr="002533F7">
        <w:rPr>
          <w:rFonts w:eastAsiaTheme="minorHAnsi"/>
          <w:sz w:val="24"/>
          <w:szCs w:val="24"/>
        </w:rPr>
        <w:t>Unite believes</w:t>
      </w:r>
      <w:r>
        <w:rPr>
          <w:rFonts w:eastAsiaTheme="minorHAnsi"/>
          <w:sz w:val="24"/>
          <w:szCs w:val="24"/>
        </w:rPr>
        <w:t xml:space="preserve"> therefore </w:t>
      </w:r>
      <w:r w:rsidRPr="002533F7">
        <w:rPr>
          <w:rFonts w:eastAsiaTheme="minorHAnsi"/>
          <w:sz w:val="24"/>
          <w:szCs w:val="24"/>
        </w:rPr>
        <w:t xml:space="preserve">that the SG is breaching Article 6 on the Right To Work, Article 7 on Safe and Healthy Working Conditions and Article 8 on the Right to Form and Join a Trade Union, by awarding public procurement contracts to companies that have blacklisted workers denying them their human rights as well as their rights under ILO Conventions 87 and 98. </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rPr>
          <w:rFonts w:eastAsiaTheme="minorHAnsi"/>
          <w:sz w:val="24"/>
          <w:szCs w:val="24"/>
        </w:rPr>
      </w:pPr>
      <w:r w:rsidRPr="002533F7">
        <w:rPr>
          <w:rFonts w:eastAsiaTheme="minorHAnsi"/>
          <w:sz w:val="24"/>
          <w:szCs w:val="24"/>
        </w:rPr>
        <w:t xml:space="preserve">The SG has denied that they have awarded procurement contracts to companies that have admitted involvement in blacklisting. The SG contend that Balfour Beatty Construction Limited bears no relation whatsoever to the Balfour Beatty Group. They contend a similar story for other construction companies. </w:t>
      </w:r>
      <w:r w:rsidRPr="002533F7">
        <w:rPr>
          <w:rFonts w:eastAsiaTheme="minorHAnsi"/>
          <w:sz w:val="24"/>
          <w:szCs w:val="24"/>
        </w:rPr>
        <w:br/>
      </w: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When challenged, the SG advised that the Scottish arm of these companies is a distinct and separate entity from their national counterparts; that is they are separate in every respect; ipso facto they have had no involvement in blacklisting.</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This is evident by the Parliamentary Question raised by Neil Findlay MSP on 24</w:t>
      </w:r>
      <w:r w:rsidRPr="002533F7">
        <w:rPr>
          <w:rFonts w:eastAsiaTheme="minorHAnsi"/>
          <w:sz w:val="24"/>
          <w:szCs w:val="24"/>
          <w:vertAlign w:val="superscript"/>
        </w:rPr>
        <w:t>th</w:t>
      </w:r>
      <w:r w:rsidRPr="002533F7">
        <w:rPr>
          <w:rFonts w:eastAsiaTheme="minorHAnsi"/>
          <w:sz w:val="24"/>
          <w:szCs w:val="24"/>
        </w:rPr>
        <w:t xml:space="preserve"> February 2016 when he asked the Scottish Government: </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612221">
      <w:pPr>
        <w:suppressAutoHyphens w:val="0"/>
        <w:spacing w:line="360" w:lineRule="auto"/>
        <w:ind w:left="567" w:right="521"/>
        <w:jc w:val="both"/>
        <w:rPr>
          <w:rFonts w:eastAsiaTheme="minorHAnsi"/>
          <w:sz w:val="24"/>
          <w:szCs w:val="24"/>
        </w:rPr>
      </w:pPr>
      <w:r w:rsidRPr="002533F7">
        <w:rPr>
          <w:rFonts w:eastAsiaTheme="minorHAnsi"/>
          <w:i/>
          <w:sz w:val="24"/>
          <w:szCs w:val="24"/>
        </w:rPr>
        <w:t>“How many public contracts it, and other public authorities, have awarded to subsidiary and associated companies of Balfour Beatty in each year since 2011.”</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To which the Minister, Keith Brown responded:</w:t>
      </w:r>
    </w:p>
    <w:p w:rsidR="002533F7" w:rsidRPr="002533F7" w:rsidRDefault="002533F7" w:rsidP="005A13A9">
      <w:pPr>
        <w:suppressAutoHyphens w:val="0"/>
        <w:spacing w:line="360" w:lineRule="auto"/>
        <w:jc w:val="both"/>
        <w:rPr>
          <w:rFonts w:eastAsiaTheme="minorHAnsi"/>
          <w:i/>
          <w:sz w:val="24"/>
          <w:szCs w:val="24"/>
        </w:rPr>
      </w:pPr>
    </w:p>
    <w:p w:rsidR="002533F7" w:rsidRPr="002533F7" w:rsidRDefault="002533F7" w:rsidP="00612221">
      <w:pPr>
        <w:suppressAutoHyphens w:val="0"/>
        <w:spacing w:line="360" w:lineRule="auto"/>
        <w:ind w:left="567" w:right="521"/>
        <w:jc w:val="both"/>
        <w:rPr>
          <w:rFonts w:eastAsiaTheme="minorHAnsi"/>
          <w:i/>
          <w:sz w:val="24"/>
          <w:szCs w:val="24"/>
        </w:rPr>
      </w:pPr>
      <w:r w:rsidRPr="002533F7">
        <w:rPr>
          <w:rFonts w:eastAsiaTheme="minorHAnsi"/>
          <w:i/>
          <w:sz w:val="24"/>
          <w:szCs w:val="24"/>
        </w:rPr>
        <w:t>“The Scottish Government has awarded one contract in 2011 to Balfour Beatty Construction Limited for the final fit out of the Scottish Crime Campus.”</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However the undernoted contracts are a small sample of contracts awarded via the public procurement process by the Scottish Government, to Balfour Beatty and other companies that have admitted blacklisting:</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numPr>
          <w:ilvl w:val="0"/>
          <w:numId w:val="7"/>
        </w:numPr>
        <w:suppressAutoHyphens w:val="0"/>
        <w:spacing w:after="200" w:line="360" w:lineRule="auto"/>
        <w:contextualSpacing/>
        <w:jc w:val="both"/>
        <w:rPr>
          <w:rFonts w:eastAsiaTheme="minorHAnsi"/>
          <w:sz w:val="24"/>
          <w:szCs w:val="24"/>
        </w:rPr>
      </w:pPr>
      <w:r w:rsidRPr="002533F7">
        <w:rPr>
          <w:rFonts w:eastAsiaTheme="minorHAnsi"/>
          <w:sz w:val="24"/>
          <w:szCs w:val="24"/>
        </w:rPr>
        <w:lastRenderedPageBreak/>
        <w:t xml:space="preserve">£255 million contract for Network Rail awarded in October 2014 to </w:t>
      </w:r>
      <w:proofErr w:type="spellStart"/>
      <w:r w:rsidRPr="002533F7">
        <w:rPr>
          <w:rFonts w:eastAsiaTheme="minorHAnsi"/>
          <w:sz w:val="24"/>
          <w:szCs w:val="24"/>
        </w:rPr>
        <w:t>Costain</w:t>
      </w:r>
      <w:proofErr w:type="spellEnd"/>
      <w:r w:rsidRPr="002533F7">
        <w:rPr>
          <w:rFonts w:eastAsiaTheme="minorHAnsi"/>
          <w:sz w:val="24"/>
          <w:szCs w:val="24"/>
        </w:rPr>
        <w:t xml:space="preserve"> </w:t>
      </w:r>
      <w:r w:rsidRPr="002533F7">
        <w:rPr>
          <w:rFonts w:eastAsiaTheme="minorHAnsi"/>
          <w:sz w:val="24"/>
          <w:szCs w:val="24"/>
          <w:vertAlign w:val="superscript"/>
        </w:rPr>
        <w:footnoteReference w:id="29"/>
      </w:r>
    </w:p>
    <w:p w:rsidR="002533F7" w:rsidRPr="002533F7" w:rsidRDefault="002533F7" w:rsidP="005A13A9">
      <w:pPr>
        <w:numPr>
          <w:ilvl w:val="0"/>
          <w:numId w:val="7"/>
        </w:numPr>
        <w:suppressAutoHyphens w:val="0"/>
        <w:spacing w:after="200" w:line="360" w:lineRule="auto"/>
        <w:contextualSpacing/>
        <w:jc w:val="both"/>
        <w:rPr>
          <w:rFonts w:eastAsiaTheme="minorHAnsi"/>
          <w:sz w:val="24"/>
          <w:szCs w:val="24"/>
        </w:rPr>
      </w:pPr>
      <w:r w:rsidRPr="002533F7">
        <w:rPr>
          <w:rFonts w:eastAsiaTheme="minorHAnsi"/>
          <w:sz w:val="24"/>
          <w:szCs w:val="24"/>
        </w:rPr>
        <w:t xml:space="preserve">£48 million contract for NHS Ayrshire and Arran awarded in June 2014 to Balfour Beatty </w:t>
      </w:r>
      <w:r w:rsidRPr="002533F7">
        <w:rPr>
          <w:rFonts w:eastAsiaTheme="minorHAnsi"/>
          <w:sz w:val="24"/>
          <w:szCs w:val="24"/>
          <w:vertAlign w:val="superscript"/>
        </w:rPr>
        <w:footnoteReference w:id="30"/>
      </w:r>
    </w:p>
    <w:p w:rsidR="002533F7" w:rsidRPr="002533F7" w:rsidRDefault="002533F7" w:rsidP="005A13A9">
      <w:pPr>
        <w:numPr>
          <w:ilvl w:val="0"/>
          <w:numId w:val="7"/>
        </w:numPr>
        <w:suppressAutoHyphens w:val="0"/>
        <w:spacing w:after="200" w:line="360" w:lineRule="auto"/>
        <w:contextualSpacing/>
        <w:jc w:val="both"/>
        <w:rPr>
          <w:rFonts w:eastAsiaTheme="minorHAnsi"/>
          <w:sz w:val="24"/>
          <w:szCs w:val="24"/>
        </w:rPr>
      </w:pPr>
      <w:r w:rsidRPr="002533F7">
        <w:rPr>
          <w:rFonts w:eastAsiaTheme="minorHAnsi"/>
          <w:sz w:val="24"/>
          <w:szCs w:val="24"/>
        </w:rPr>
        <w:t xml:space="preserve">£4.8 million contract for Fife Council awarded in March 2014 to Balfour Beatty (and others) </w:t>
      </w:r>
      <w:r w:rsidRPr="002533F7">
        <w:rPr>
          <w:rFonts w:eastAsiaTheme="minorHAnsi"/>
          <w:sz w:val="24"/>
          <w:szCs w:val="24"/>
          <w:vertAlign w:val="superscript"/>
        </w:rPr>
        <w:footnoteReference w:id="31"/>
      </w:r>
    </w:p>
    <w:p w:rsidR="002533F7" w:rsidRPr="002533F7" w:rsidRDefault="002533F7" w:rsidP="005A13A9">
      <w:pPr>
        <w:numPr>
          <w:ilvl w:val="0"/>
          <w:numId w:val="7"/>
        </w:numPr>
        <w:suppressAutoHyphens w:val="0"/>
        <w:spacing w:after="200" w:line="360" w:lineRule="auto"/>
        <w:contextualSpacing/>
        <w:jc w:val="both"/>
        <w:rPr>
          <w:rFonts w:eastAsiaTheme="minorHAnsi"/>
          <w:sz w:val="24"/>
          <w:szCs w:val="24"/>
        </w:rPr>
      </w:pPr>
      <w:r w:rsidRPr="002533F7">
        <w:rPr>
          <w:rFonts w:eastAsiaTheme="minorHAnsi"/>
          <w:sz w:val="24"/>
          <w:szCs w:val="24"/>
        </w:rPr>
        <w:t xml:space="preserve">£40 million contract East Ayrshire council awarded in September 2014 to Balfour Beatty </w:t>
      </w:r>
      <w:r w:rsidRPr="002533F7">
        <w:rPr>
          <w:rFonts w:eastAsiaTheme="minorHAnsi"/>
          <w:sz w:val="24"/>
          <w:szCs w:val="24"/>
          <w:vertAlign w:val="superscript"/>
        </w:rPr>
        <w:footnoteReference w:id="32"/>
      </w:r>
    </w:p>
    <w:p w:rsidR="002533F7" w:rsidRPr="002533F7" w:rsidRDefault="002533F7" w:rsidP="005A13A9">
      <w:pPr>
        <w:numPr>
          <w:ilvl w:val="0"/>
          <w:numId w:val="7"/>
        </w:numPr>
        <w:suppressAutoHyphens w:val="0"/>
        <w:spacing w:after="200" w:line="360" w:lineRule="auto"/>
        <w:contextualSpacing/>
        <w:jc w:val="both"/>
        <w:rPr>
          <w:rFonts w:eastAsiaTheme="minorHAnsi"/>
          <w:sz w:val="24"/>
          <w:szCs w:val="24"/>
        </w:rPr>
      </w:pPr>
      <w:r w:rsidRPr="002533F7">
        <w:rPr>
          <w:rFonts w:eastAsiaTheme="minorHAnsi"/>
          <w:sz w:val="24"/>
          <w:szCs w:val="24"/>
        </w:rPr>
        <w:t xml:space="preserve">£2.6 million contract for Scottish Prison Service awarded in December 2013 to Carillion </w:t>
      </w:r>
      <w:r w:rsidRPr="002533F7">
        <w:rPr>
          <w:rFonts w:eastAsiaTheme="minorHAnsi"/>
          <w:sz w:val="24"/>
          <w:szCs w:val="24"/>
          <w:vertAlign w:val="superscript"/>
        </w:rPr>
        <w:footnoteReference w:id="33"/>
      </w:r>
    </w:p>
    <w:p w:rsidR="002533F7" w:rsidRPr="002533F7" w:rsidRDefault="002533F7" w:rsidP="005A13A9">
      <w:pPr>
        <w:numPr>
          <w:ilvl w:val="0"/>
          <w:numId w:val="7"/>
        </w:numPr>
        <w:suppressAutoHyphens w:val="0"/>
        <w:spacing w:after="200" w:line="360" w:lineRule="auto"/>
        <w:contextualSpacing/>
        <w:jc w:val="both"/>
        <w:rPr>
          <w:rFonts w:eastAsiaTheme="minorHAnsi"/>
          <w:sz w:val="24"/>
          <w:szCs w:val="24"/>
        </w:rPr>
      </w:pPr>
      <w:r w:rsidRPr="002533F7">
        <w:rPr>
          <w:rFonts w:eastAsiaTheme="minorHAnsi"/>
          <w:sz w:val="24"/>
          <w:szCs w:val="24"/>
        </w:rPr>
        <w:t xml:space="preserve">£660 million contract for NHS Services Scotland awarded to Kier construction Limited/Balfour Beatty (and others) </w:t>
      </w:r>
      <w:r w:rsidRPr="002533F7">
        <w:rPr>
          <w:rFonts w:eastAsiaTheme="minorHAnsi"/>
          <w:sz w:val="24"/>
          <w:szCs w:val="24"/>
          <w:vertAlign w:val="superscript"/>
        </w:rPr>
        <w:footnoteReference w:id="34"/>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These companies were initially identified from the Consulting Association (TCA) files as blacklisting workers in 2009.</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In a sample of contracts awarded by the SG to companies known to have been involved in blacklisting through their membership of TCA, £1.5 billion of contracts were awarded over a 12 month period.</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rPr>
        <w:t>Despite the denial of the Scottish Government, Unite has uncovered information which clearly shows that Balfour Beatty Construction Limited is a full subsidiary of the Balfour Beatty Group. Indeed at least one Director is named as a Director on both the Subsidiary and the Group, showing a clear link.</w:t>
      </w:r>
    </w:p>
    <w:p w:rsidR="002533F7" w:rsidRPr="002533F7" w:rsidRDefault="002533F7" w:rsidP="005A13A9">
      <w:pPr>
        <w:suppressAutoHyphens w:val="0"/>
        <w:spacing w:line="360" w:lineRule="auto"/>
        <w:jc w:val="both"/>
        <w:rPr>
          <w:rFonts w:eastAsiaTheme="minorHAnsi"/>
          <w:sz w:val="24"/>
          <w:szCs w:val="24"/>
        </w:rPr>
      </w:pPr>
    </w:p>
    <w:p w:rsidR="002533F7" w:rsidRPr="002533F7" w:rsidRDefault="002533F7" w:rsidP="005A13A9">
      <w:pPr>
        <w:suppressAutoHyphens w:val="0"/>
        <w:spacing w:line="360" w:lineRule="auto"/>
        <w:jc w:val="both"/>
        <w:rPr>
          <w:rFonts w:eastAsiaTheme="minorHAnsi"/>
          <w:sz w:val="24"/>
          <w:szCs w:val="24"/>
          <w:shd w:val="clear" w:color="auto" w:fill="FFFFFF"/>
        </w:rPr>
      </w:pPr>
      <w:r w:rsidRPr="002533F7">
        <w:rPr>
          <w:rFonts w:eastAsiaTheme="minorHAnsi"/>
          <w:sz w:val="24"/>
          <w:szCs w:val="24"/>
        </w:rPr>
        <w:t>The blacklisting of workers was always suspected but was difficult to prove overwhelmingly. However not until the Information Commissioner Office raided the offices of TCA, previously the Economic League, did evidence emerge in the form of a list of blacklisted workers.</w:t>
      </w:r>
      <w:r w:rsidRPr="002533F7">
        <w:rPr>
          <w:rFonts w:eastAsiaTheme="minorHAnsi"/>
          <w:sz w:val="24"/>
          <w:szCs w:val="24"/>
          <w:shd w:val="clear" w:color="auto" w:fill="FFFFFF"/>
        </w:rPr>
        <w:t xml:space="preserve"> This proved a clear breach of the human rights of these workers did take place.  </w:t>
      </w:r>
      <w:r w:rsidRPr="002533F7">
        <w:rPr>
          <w:rFonts w:eastAsiaTheme="minorHAnsi"/>
          <w:sz w:val="24"/>
          <w:szCs w:val="24"/>
          <w:shd w:val="clear" w:color="auto" w:fill="FFFFFF"/>
        </w:rPr>
        <w:lastRenderedPageBreak/>
        <w:t xml:space="preserve">Despite the uncovering of this list, Unite believes there are others and that blacklisting continues today. </w:t>
      </w:r>
    </w:p>
    <w:p w:rsidR="002533F7" w:rsidRPr="002533F7" w:rsidRDefault="002533F7" w:rsidP="005A13A9">
      <w:pPr>
        <w:suppressAutoHyphens w:val="0"/>
        <w:spacing w:line="360" w:lineRule="auto"/>
        <w:jc w:val="both"/>
        <w:rPr>
          <w:rFonts w:eastAsiaTheme="minorHAnsi"/>
          <w:sz w:val="24"/>
          <w:szCs w:val="24"/>
          <w:shd w:val="clear" w:color="auto" w:fill="FFFFFF"/>
        </w:rPr>
      </w:pPr>
    </w:p>
    <w:p w:rsidR="002533F7" w:rsidRPr="002533F7" w:rsidRDefault="002533F7" w:rsidP="005A13A9">
      <w:pPr>
        <w:suppressAutoHyphens w:val="0"/>
        <w:spacing w:line="360" w:lineRule="auto"/>
        <w:jc w:val="both"/>
        <w:rPr>
          <w:rFonts w:eastAsiaTheme="minorHAnsi"/>
          <w:sz w:val="24"/>
          <w:szCs w:val="24"/>
          <w:shd w:val="clear" w:color="auto" w:fill="FFFFFF"/>
        </w:rPr>
      </w:pPr>
      <w:r w:rsidRPr="002533F7">
        <w:rPr>
          <w:rFonts w:eastAsiaTheme="minorHAnsi"/>
          <w:sz w:val="24"/>
          <w:szCs w:val="24"/>
          <w:shd w:val="clear" w:color="auto" w:fill="FFFFFF"/>
        </w:rPr>
        <w:t xml:space="preserve">Again this is difficult to prove.  However </w:t>
      </w:r>
      <w:r w:rsidR="00B62583">
        <w:rPr>
          <w:rFonts w:eastAsiaTheme="minorHAnsi"/>
          <w:sz w:val="24"/>
          <w:szCs w:val="24"/>
          <w:shd w:val="clear" w:color="auto" w:fill="FFFFFF"/>
        </w:rPr>
        <w:t>Unite has</w:t>
      </w:r>
      <w:r w:rsidRPr="002533F7">
        <w:rPr>
          <w:rFonts w:eastAsiaTheme="minorHAnsi"/>
          <w:sz w:val="24"/>
          <w:szCs w:val="24"/>
          <w:shd w:val="clear" w:color="auto" w:fill="FFFFFF"/>
        </w:rPr>
        <w:t xml:space="preserve"> anecdotal evidence that the practice is taking place in other industrial sectors, not only construction and includes the blacklisting of workers in the public sector. For this reason Unite would wish to see more robust adherence to the Scottish Government’s guidance on blacklisting including trade unions working with the government in the process.</w:t>
      </w:r>
    </w:p>
    <w:p w:rsidR="002533F7" w:rsidRPr="002533F7" w:rsidRDefault="002533F7" w:rsidP="005A13A9">
      <w:pPr>
        <w:suppressAutoHyphens w:val="0"/>
        <w:spacing w:line="360" w:lineRule="auto"/>
        <w:jc w:val="both"/>
        <w:rPr>
          <w:rFonts w:eastAsiaTheme="minorHAnsi"/>
          <w:sz w:val="24"/>
          <w:szCs w:val="24"/>
          <w:shd w:val="clear" w:color="auto" w:fill="FFFFFF"/>
        </w:rPr>
      </w:pPr>
    </w:p>
    <w:p w:rsidR="002533F7" w:rsidRPr="002533F7" w:rsidRDefault="002533F7" w:rsidP="005A13A9">
      <w:pPr>
        <w:suppressAutoHyphens w:val="0"/>
        <w:spacing w:line="360" w:lineRule="auto"/>
        <w:jc w:val="both"/>
        <w:rPr>
          <w:rFonts w:eastAsiaTheme="minorHAnsi"/>
          <w:sz w:val="24"/>
          <w:szCs w:val="24"/>
        </w:rPr>
      </w:pPr>
      <w:r w:rsidRPr="002533F7">
        <w:rPr>
          <w:rFonts w:eastAsiaTheme="minorHAnsi"/>
          <w:sz w:val="24"/>
          <w:szCs w:val="24"/>
          <w:shd w:val="clear" w:color="auto" w:fill="FFFFFF"/>
        </w:rPr>
        <w:t>Unite would wish ICESCR secretariat to consider this breach a priority and seek to challenge the SG. Scottish workers were disproportionately targeted on TCA files. Of the 3123 names on TCA files, 600 were from Scotland, which equates to around 19% of those identified. As Scotland’s population is only around 10% of the total UK population, this shows the disproportionate level of Scottish workers targeted. It is also the case that some of the information found on the files could only have come from the police or security services and it is therefore important to uncover any police involvement in blacklisting and how this information was supplied to TCA.</w:t>
      </w:r>
    </w:p>
    <w:p w:rsidR="002533F7" w:rsidRPr="002533F7" w:rsidRDefault="00B62583" w:rsidP="005A13A9">
      <w:pPr>
        <w:suppressAutoHyphens w:val="0"/>
        <w:spacing w:before="100" w:beforeAutospacing="1" w:line="360" w:lineRule="auto"/>
        <w:jc w:val="both"/>
        <w:rPr>
          <w:rFonts w:eastAsiaTheme="minorHAnsi"/>
          <w:color w:val="1F1F1F"/>
          <w:sz w:val="24"/>
          <w:szCs w:val="24"/>
          <w:shd w:val="clear" w:color="auto" w:fill="FFFFFF"/>
        </w:rPr>
      </w:pPr>
      <w:r>
        <w:rPr>
          <w:rFonts w:eastAsiaTheme="minorHAnsi"/>
          <w:color w:val="1F1F1F"/>
          <w:sz w:val="24"/>
          <w:szCs w:val="24"/>
          <w:shd w:val="clear" w:color="auto" w:fill="FFFFFF"/>
        </w:rPr>
        <w:t xml:space="preserve">With regards to SG guidance on blacklisting, </w:t>
      </w:r>
      <w:r w:rsidR="002533F7" w:rsidRPr="002533F7">
        <w:rPr>
          <w:rFonts w:eastAsiaTheme="minorHAnsi"/>
          <w:color w:val="1F1F1F"/>
          <w:sz w:val="24"/>
          <w:szCs w:val="24"/>
          <w:shd w:val="clear" w:color="auto" w:fill="FFFFFF"/>
        </w:rPr>
        <w:t xml:space="preserve">Unite believes it is wrong to place a timeframe on human right breaches. Companies which have blacklisted workers for any reason including political grounds, for trade union membership or for raising issues around health and safety, should be refused future procurement contracts and banned from the bidding process unless they admit their involvement, take suitable remedial action, paying adequate compensation and importantly employ workers previously blacklisted. </w:t>
      </w:r>
    </w:p>
    <w:p w:rsidR="002533F7" w:rsidRPr="002533F7" w:rsidRDefault="002533F7" w:rsidP="005A13A9">
      <w:pPr>
        <w:suppressAutoHyphens w:val="0"/>
        <w:spacing w:before="100" w:beforeAutospacing="1" w:line="360" w:lineRule="auto"/>
        <w:jc w:val="both"/>
        <w:rPr>
          <w:rFonts w:eastAsiaTheme="minorHAnsi"/>
          <w:color w:val="1F1F1F"/>
          <w:sz w:val="24"/>
          <w:szCs w:val="24"/>
          <w:shd w:val="clear" w:color="auto" w:fill="FFFFFF"/>
        </w:rPr>
      </w:pPr>
      <w:r w:rsidRPr="002533F7">
        <w:rPr>
          <w:rFonts w:eastAsiaTheme="minorHAnsi"/>
          <w:color w:val="1F1F1F"/>
          <w:sz w:val="24"/>
          <w:szCs w:val="24"/>
          <w:shd w:val="clear" w:color="auto" w:fill="FFFFFF"/>
        </w:rPr>
        <w:t xml:space="preserve">The </w:t>
      </w:r>
      <w:r w:rsidR="00B62583">
        <w:rPr>
          <w:rFonts w:eastAsiaTheme="minorHAnsi"/>
          <w:color w:val="1F1F1F"/>
          <w:sz w:val="24"/>
          <w:szCs w:val="24"/>
          <w:shd w:val="clear" w:color="auto" w:fill="FFFFFF"/>
        </w:rPr>
        <w:t xml:space="preserve">recent </w:t>
      </w:r>
      <w:r w:rsidRPr="002533F7">
        <w:rPr>
          <w:rFonts w:eastAsiaTheme="minorHAnsi"/>
          <w:color w:val="1F1F1F"/>
          <w:sz w:val="24"/>
          <w:szCs w:val="24"/>
          <w:shd w:val="clear" w:color="auto" w:fill="FFFFFF"/>
        </w:rPr>
        <w:t>decision made by Redcar and Cleveland Council in Yorkshire to withdraw a contract from Carillion due to its involvement in blacklisting construction workers shows that, with political will, it is possible to remove a blacklisting company from a contract.</w:t>
      </w:r>
      <w:r w:rsidR="00B62583">
        <w:rPr>
          <w:rStyle w:val="FootnoteReference"/>
          <w:rFonts w:eastAsiaTheme="minorHAnsi"/>
          <w:color w:val="1F1F1F"/>
          <w:szCs w:val="24"/>
          <w:shd w:val="clear" w:color="auto" w:fill="FFFFFF"/>
        </w:rPr>
        <w:footnoteReference w:id="35"/>
      </w:r>
    </w:p>
    <w:p w:rsidR="002533F7" w:rsidRPr="002533F7" w:rsidRDefault="002533F7" w:rsidP="005A13A9">
      <w:pPr>
        <w:shd w:val="clear" w:color="auto" w:fill="FFFFFF"/>
        <w:suppressAutoHyphens w:val="0"/>
        <w:spacing w:line="360" w:lineRule="auto"/>
        <w:textAlignment w:val="baseline"/>
        <w:rPr>
          <w:color w:val="5A5A5A"/>
          <w:sz w:val="24"/>
          <w:szCs w:val="24"/>
          <w:lang w:eastAsia="en-GB"/>
        </w:rPr>
      </w:pPr>
    </w:p>
    <w:p w:rsidR="002533F7" w:rsidRPr="002533F7" w:rsidRDefault="002533F7" w:rsidP="005A13A9">
      <w:pPr>
        <w:shd w:val="clear" w:color="auto" w:fill="FFFFFF"/>
        <w:suppressAutoHyphens w:val="0"/>
        <w:spacing w:line="360" w:lineRule="auto"/>
        <w:textAlignment w:val="baseline"/>
        <w:rPr>
          <w:sz w:val="24"/>
          <w:szCs w:val="24"/>
          <w:lang w:eastAsia="en-GB"/>
        </w:rPr>
      </w:pPr>
      <w:r w:rsidRPr="002533F7">
        <w:rPr>
          <w:sz w:val="24"/>
          <w:szCs w:val="24"/>
          <w:lang w:eastAsia="en-GB"/>
        </w:rPr>
        <w:t xml:space="preserve">Redcar and Cleveland Council will not now renew a £5 million highway services contract with blacklist operator Carillion which it has held since 2004.  Instead the work will be taken back “in house” and Carillion’s workers will become council employees. Moving the workers in-house is a welcome step and we would urge the SG to consider this position and remove </w:t>
      </w:r>
      <w:r w:rsidRPr="002533F7">
        <w:rPr>
          <w:sz w:val="24"/>
          <w:szCs w:val="24"/>
          <w:lang w:eastAsia="en-GB"/>
        </w:rPr>
        <w:lastRenderedPageBreak/>
        <w:t>blacklisting companies from contracts if they have refused to take remedial action, and to take the workers back in-house.</w:t>
      </w:r>
    </w:p>
    <w:p w:rsidR="002533F7" w:rsidRPr="002533F7" w:rsidRDefault="002533F7" w:rsidP="005A13A9">
      <w:pPr>
        <w:shd w:val="clear" w:color="auto" w:fill="FFFFFF"/>
        <w:suppressAutoHyphens w:val="0"/>
        <w:spacing w:line="360" w:lineRule="auto"/>
        <w:textAlignment w:val="baseline"/>
        <w:rPr>
          <w:rFonts w:eastAsiaTheme="minorHAnsi"/>
          <w:bCs/>
          <w:color w:val="000000"/>
          <w:sz w:val="24"/>
          <w:szCs w:val="24"/>
          <w:shd w:val="clear" w:color="auto" w:fill="FFFFFF"/>
        </w:rPr>
      </w:pPr>
    </w:p>
    <w:p w:rsidR="002533F7" w:rsidRPr="002533F7" w:rsidRDefault="002533F7" w:rsidP="005A13A9">
      <w:pPr>
        <w:shd w:val="clear" w:color="auto" w:fill="FFFFFF"/>
        <w:suppressAutoHyphens w:val="0"/>
        <w:spacing w:line="360" w:lineRule="auto"/>
        <w:textAlignment w:val="baseline"/>
        <w:rPr>
          <w:sz w:val="24"/>
          <w:szCs w:val="24"/>
          <w:lang w:eastAsia="en-GB"/>
        </w:rPr>
      </w:pPr>
      <w:r w:rsidRPr="002533F7">
        <w:rPr>
          <w:rFonts w:eastAsiaTheme="minorHAnsi"/>
          <w:bCs/>
          <w:color w:val="000000"/>
          <w:sz w:val="24"/>
          <w:szCs w:val="24"/>
          <w:shd w:val="clear" w:color="auto" w:fill="FFFFFF"/>
        </w:rPr>
        <w:t>A report published by the Scottish Affairs Select Committee at Westminster stated:</w:t>
      </w:r>
    </w:p>
    <w:p w:rsidR="002533F7" w:rsidRPr="002533F7" w:rsidRDefault="002533F7" w:rsidP="005A13A9">
      <w:pPr>
        <w:shd w:val="clear" w:color="auto" w:fill="FFFFFF"/>
        <w:suppressAutoHyphens w:val="0"/>
        <w:spacing w:line="360" w:lineRule="auto"/>
        <w:textAlignment w:val="baseline"/>
        <w:rPr>
          <w:rFonts w:eastAsiaTheme="minorHAnsi"/>
          <w:bCs/>
          <w:i/>
          <w:color w:val="000000"/>
          <w:sz w:val="24"/>
          <w:szCs w:val="24"/>
          <w:shd w:val="clear" w:color="auto" w:fill="FFFFFF"/>
        </w:rPr>
      </w:pPr>
    </w:p>
    <w:p w:rsidR="002533F7" w:rsidRPr="002533F7" w:rsidRDefault="002533F7" w:rsidP="00612221">
      <w:pPr>
        <w:shd w:val="clear" w:color="auto" w:fill="FFFFFF"/>
        <w:suppressAutoHyphens w:val="0"/>
        <w:spacing w:line="360" w:lineRule="auto"/>
        <w:ind w:left="567" w:right="521"/>
        <w:textAlignment w:val="baseline"/>
        <w:rPr>
          <w:i/>
          <w:sz w:val="24"/>
          <w:szCs w:val="24"/>
          <w:lang w:eastAsia="en-GB"/>
        </w:rPr>
      </w:pPr>
      <w:r w:rsidRPr="002533F7">
        <w:rPr>
          <w:rFonts w:eastAsiaTheme="minorHAnsi"/>
          <w:bCs/>
          <w:i/>
          <w:color w:val="000000"/>
          <w:sz w:val="24"/>
          <w:szCs w:val="24"/>
          <w:shd w:val="clear" w:color="auto" w:fill="FFFFFF"/>
        </w:rPr>
        <w:t xml:space="preserve">“Given the denial and duplicitous practices we have encountered on the part of many of the companies who were complicit in blacklisting, we have no confidence in the sector to neither self-cleanse on a voluntary basis </w:t>
      </w:r>
      <w:proofErr w:type="gramStart"/>
      <w:r w:rsidRPr="002533F7">
        <w:rPr>
          <w:rFonts w:eastAsiaTheme="minorHAnsi"/>
          <w:bCs/>
          <w:i/>
          <w:color w:val="000000"/>
          <w:sz w:val="24"/>
          <w:szCs w:val="24"/>
          <w:shd w:val="clear" w:color="auto" w:fill="FFFFFF"/>
        </w:rPr>
        <w:t>nor</w:t>
      </w:r>
      <w:proofErr w:type="gramEnd"/>
      <w:r w:rsidRPr="002533F7">
        <w:rPr>
          <w:rFonts w:eastAsiaTheme="minorHAnsi"/>
          <w:bCs/>
          <w:i/>
          <w:color w:val="000000"/>
          <w:sz w:val="24"/>
          <w:szCs w:val="24"/>
          <w:shd w:val="clear" w:color="auto" w:fill="FFFFFF"/>
        </w:rPr>
        <w:t xml:space="preserve"> to take sufficiently robust steps to eradicate the practice of blacklisting in the future. A voluntary code of conduct for pre-employment vetting in the construction company is insufficient. A statutory code of practice is required.” </w:t>
      </w:r>
      <w:r w:rsidRPr="002533F7">
        <w:rPr>
          <w:rFonts w:eastAsiaTheme="minorHAnsi"/>
          <w:bCs/>
          <w:i/>
          <w:color w:val="000000"/>
          <w:sz w:val="24"/>
          <w:szCs w:val="24"/>
          <w:shd w:val="clear" w:color="auto" w:fill="FFFFFF"/>
          <w:vertAlign w:val="superscript"/>
        </w:rPr>
        <w:footnoteReference w:id="36"/>
      </w:r>
    </w:p>
    <w:p w:rsidR="002533F7" w:rsidRDefault="002533F7" w:rsidP="005A13A9">
      <w:pPr>
        <w:suppressAutoHyphens w:val="0"/>
        <w:spacing w:before="100" w:beforeAutospacing="1" w:line="360" w:lineRule="auto"/>
        <w:jc w:val="both"/>
        <w:rPr>
          <w:rFonts w:eastAsiaTheme="minorHAnsi"/>
          <w:color w:val="1F1F1F"/>
          <w:sz w:val="24"/>
          <w:szCs w:val="24"/>
          <w:shd w:val="clear" w:color="auto" w:fill="FFFFFF"/>
        </w:rPr>
      </w:pPr>
      <w:r w:rsidRPr="002533F7">
        <w:rPr>
          <w:rFonts w:eastAsiaTheme="minorHAnsi"/>
          <w:color w:val="1F1F1F"/>
          <w:sz w:val="24"/>
          <w:szCs w:val="24"/>
          <w:shd w:val="clear" w:color="auto" w:fill="FFFFFF"/>
        </w:rPr>
        <w:t xml:space="preserve">We would further wish to see an independent Scottish public inquiry into blacklisting to allow blacklisted workers the opportunity to obtain answers and get to the truth about why their names were placed on TCA’s files; the level of police and security service involvement in surveillance and </w:t>
      </w:r>
      <w:r w:rsidR="00703B90">
        <w:rPr>
          <w:rFonts w:eastAsiaTheme="minorHAnsi"/>
          <w:color w:val="1F1F1F"/>
          <w:sz w:val="24"/>
          <w:szCs w:val="24"/>
          <w:shd w:val="clear" w:color="auto" w:fill="FFFFFF"/>
        </w:rPr>
        <w:t xml:space="preserve">the </w:t>
      </w:r>
      <w:r w:rsidRPr="002533F7">
        <w:rPr>
          <w:rFonts w:eastAsiaTheme="minorHAnsi"/>
          <w:color w:val="1F1F1F"/>
          <w:sz w:val="24"/>
          <w:szCs w:val="24"/>
          <w:shd w:val="clear" w:color="auto" w:fill="FFFFFF"/>
        </w:rPr>
        <w:t xml:space="preserve">supplying </w:t>
      </w:r>
      <w:r w:rsidR="00703B90">
        <w:rPr>
          <w:rFonts w:eastAsiaTheme="minorHAnsi"/>
          <w:color w:val="1F1F1F"/>
          <w:sz w:val="24"/>
          <w:szCs w:val="24"/>
          <w:shd w:val="clear" w:color="auto" w:fill="FFFFFF"/>
        </w:rPr>
        <w:t xml:space="preserve">of </w:t>
      </w:r>
      <w:r w:rsidRPr="002533F7">
        <w:rPr>
          <w:rFonts w:eastAsiaTheme="minorHAnsi"/>
          <w:color w:val="1F1F1F"/>
          <w:sz w:val="24"/>
          <w:szCs w:val="24"/>
          <w:shd w:val="clear" w:color="auto" w:fill="FFFFFF"/>
        </w:rPr>
        <w:t>information; to hear companies admit their part in the process and to obtain some form of justice for the torment and financial hardship they suffered due to the breach of their human rights.</w:t>
      </w:r>
    </w:p>
    <w:p w:rsidR="0095684D" w:rsidRPr="002533F7" w:rsidRDefault="0095684D" w:rsidP="005A13A9">
      <w:pPr>
        <w:suppressAutoHyphens w:val="0"/>
        <w:spacing w:before="100" w:beforeAutospacing="1" w:line="360" w:lineRule="auto"/>
        <w:jc w:val="both"/>
        <w:rPr>
          <w:rFonts w:eastAsiaTheme="minorHAnsi"/>
          <w:color w:val="1F1F1F"/>
          <w:sz w:val="24"/>
          <w:szCs w:val="24"/>
          <w:shd w:val="clear" w:color="auto" w:fill="FFFFFF"/>
        </w:rPr>
      </w:pPr>
    </w:p>
    <w:p w:rsidR="00660A4E" w:rsidRPr="002533F7" w:rsidRDefault="0095684D" w:rsidP="005A13A9">
      <w:pPr>
        <w:suppressAutoHyphens w:val="0"/>
        <w:spacing w:after="240" w:line="360" w:lineRule="auto"/>
        <w:rPr>
          <w:sz w:val="24"/>
          <w:szCs w:val="24"/>
        </w:rPr>
      </w:pPr>
      <w:r>
        <w:rPr>
          <w:sz w:val="24"/>
          <w:szCs w:val="24"/>
        </w:rPr>
        <w:t>End.</w:t>
      </w:r>
    </w:p>
    <w:sectPr w:rsidR="00660A4E" w:rsidRPr="002533F7" w:rsidSect="007E636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964" w:rsidRDefault="00444964" w:rsidP="00B94762">
      <w:pPr>
        <w:spacing w:line="240" w:lineRule="auto"/>
      </w:pPr>
      <w:r>
        <w:separator/>
      </w:r>
    </w:p>
  </w:endnote>
  <w:endnote w:type="continuationSeparator" w:id="0">
    <w:p w:rsidR="00444964" w:rsidRDefault="00444964" w:rsidP="00B947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1304161"/>
      <w:docPartObj>
        <w:docPartGallery w:val="Page Numbers (Bottom of Page)"/>
        <w:docPartUnique/>
      </w:docPartObj>
    </w:sdtPr>
    <w:sdtEndPr>
      <w:rPr>
        <w:noProof/>
      </w:rPr>
    </w:sdtEndPr>
    <w:sdtContent>
      <w:p w:rsidR="0069465B" w:rsidRDefault="0069465B">
        <w:pPr>
          <w:pStyle w:val="Footer"/>
          <w:jc w:val="right"/>
        </w:pPr>
        <w:r>
          <w:fldChar w:fldCharType="begin"/>
        </w:r>
        <w:r>
          <w:instrText xml:space="preserve"> PAGE   \* MERGEFORMAT </w:instrText>
        </w:r>
        <w:r>
          <w:fldChar w:fldCharType="separate"/>
        </w:r>
        <w:r w:rsidR="00611A46">
          <w:rPr>
            <w:noProof/>
          </w:rPr>
          <w:t>8</w:t>
        </w:r>
        <w:r>
          <w:rPr>
            <w:noProof/>
          </w:rPr>
          <w:fldChar w:fldCharType="end"/>
        </w:r>
      </w:p>
    </w:sdtContent>
  </w:sdt>
  <w:p w:rsidR="0069465B" w:rsidRDefault="006946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964" w:rsidRDefault="00444964" w:rsidP="00B94762">
      <w:pPr>
        <w:spacing w:line="240" w:lineRule="auto"/>
      </w:pPr>
      <w:r>
        <w:separator/>
      </w:r>
    </w:p>
  </w:footnote>
  <w:footnote w:type="continuationSeparator" w:id="0">
    <w:p w:rsidR="00444964" w:rsidRDefault="00444964" w:rsidP="00B94762">
      <w:pPr>
        <w:spacing w:line="240" w:lineRule="auto"/>
      </w:pPr>
      <w:r>
        <w:continuationSeparator/>
      </w:r>
    </w:p>
  </w:footnote>
  <w:footnote w:id="1">
    <w:p w:rsidR="00777E80" w:rsidRDefault="00777E80" w:rsidP="0016569D">
      <w:pPr>
        <w:pStyle w:val="FootnoteText"/>
        <w:ind w:right="-46"/>
      </w:pPr>
      <w:r>
        <w:rPr>
          <w:rStyle w:val="FootnoteReference"/>
        </w:rPr>
        <w:footnoteRef/>
      </w:r>
      <w:r>
        <w:t xml:space="preserve"> </w:t>
      </w:r>
      <w:hyperlink r:id="rId1" w:history="1">
        <w:r w:rsidR="00D650A3">
          <w:rPr>
            <w:rStyle w:val="Hyperlink"/>
          </w:rPr>
          <w:t>HRCS submission to ICESCR Sixth Periodic Review. Sept 2015</w:t>
        </w:r>
      </w:hyperlink>
      <w:r w:rsidR="00D650A3">
        <w:t xml:space="preserve"> </w:t>
      </w:r>
    </w:p>
  </w:footnote>
  <w:footnote w:id="2">
    <w:p w:rsidR="00D650A3" w:rsidRDefault="00D650A3">
      <w:pPr>
        <w:pStyle w:val="FootnoteText"/>
      </w:pPr>
      <w:r>
        <w:rPr>
          <w:rStyle w:val="FootnoteReference"/>
        </w:rPr>
        <w:footnoteRef/>
      </w:r>
      <w:r>
        <w:t xml:space="preserve"> </w:t>
      </w:r>
      <w:hyperlink r:id="rId2" w:history="1">
        <w:r>
          <w:rPr>
            <w:rStyle w:val="Hyperlink"/>
          </w:rPr>
          <w:t>HRCS submission to ICESCR Sixth Periodic Review. Sept 2015</w:t>
        </w:r>
      </w:hyperlink>
    </w:p>
  </w:footnote>
  <w:footnote w:id="3">
    <w:p w:rsidR="0016569D" w:rsidRDefault="0016569D" w:rsidP="0016569D">
      <w:pPr>
        <w:pStyle w:val="FootnoteText"/>
        <w:ind w:right="-46"/>
      </w:pPr>
      <w:r>
        <w:rPr>
          <w:rStyle w:val="FootnoteReference"/>
        </w:rPr>
        <w:footnoteRef/>
      </w:r>
      <w:r>
        <w:t xml:space="preserve"> </w:t>
      </w:r>
      <w:hyperlink r:id="rId3" w:history="1">
        <w:r>
          <w:rPr>
            <w:rStyle w:val="Hyperlink"/>
          </w:rPr>
          <w:t>CESCR List of issues in relation to the sixth periodic report of the United Kingdom of Great Britain and Northern Ireland</w:t>
        </w:r>
      </w:hyperlink>
      <w:r>
        <w:t xml:space="preserve"> </w:t>
      </w:r>
    </w:p>
  </w:footnote>
  <w:footnote w:id="4">
    <w:p w:rsidR="00085EDB" w:rsidRDefault="00085EDB">
      <w:pPr>
        <w:pStyle w:val="FootnoteText"/>
      </w:pPr>
      <w:r>
        <w:rPr>
          <w:rStyle w:val="FootnoteReference"/>
        </w:rPr>
        <w:footnoteRef/>
      </w:r>
      <w:r>
        <w:t xml:space="preserve"> </w:t>
      </w:r>
      <w:hyperlink r:id="rId4" w:history="1">
        <w:r w:rsidR="0016569D">
          <w:rPr>
            <w:rStyle w:val="Hyperlink"/>
          </w:rPr>
          <w:t>Replies of the United Kingdom of Great Britain and Northern Ireland to the list of issues</w:t>
        </w:r>
      </w:hyperlink>
    </w:p>
  </w:footnote>
  <w:footnote w:id="5">
    <w:p w:rsidR="0016569D" w:rsidRDefault="0016569D" w:rsidP="0016569D">
      <w:pPr>
        <w:pStyle w:val="FootnoteText"/>
        <w:tabs>
          <w:tab w:val="clear" w:pos="1021"/>
        </w:tabs>
        <w:ind w:left="0" w:firstLine="0"/>
      </w:pPr>
      <w:r>
        <w:rPr>
          <w:rStyle w:val="FootnoteReference"/>
        </w:rPr>
        <w:footnoteRef/>
      </w:r>
      <w:r>
        <w:t xml:space="preserve"> </w:t>
      </w:r>
      <w:hyperlink r:id="rId5" w:history="1">
        <w:r>
          <w:rPr>
            <w:rStyle w:val="Hyperlink"/>
          </w:rPr>
          <w:t>Trade Union Bill Explanatory Notes</w:t>
        </w:r>
      </w:hyperlink>
      <w:r>
        <w:t xml:space="preserve">. </w:t>
      </w:r>
    </w:p>
  </w:footnote>
  <w:footnote w:id="6">
    <w:p w:rsidR="006017CA" w:rsidRDefault="006017CA" w:rsidP="006017CA">
      <w:pPr>
        <w:pStyle w:val="FootnoteText"/>
      </w:pPr>
      <w:r>
        <w:rPr>
          <w:rStyle w:val="FootnoteReference"/>
        </w:rPr>
        <w:footnoteRef/>
      </w:r>
      <w:r>
        <w:t xml:space="preserve"> </w:t>
      </w:r>
      <w:hyperlink r:id="rId6" w:history="1">
        <w:r w:rsidR="0016569D">
          <w:rPr>
            <w:rStyle w:val="Hyperlink"/>
          </w:rPr>
          <w:t>UKG Human Rights Memorandum July 2015</w:t>
        </w:r>
      </w:hyperlink>
      <w:r>
        <w:t xml:space="preserve"> </w:t>
      </w:r>
    </w:p>
  </w:footnote>
  <w:footnote w:id="7">
    <w:p w:rsidR="008F0965" w:rsidRDefault="008F0965">
      <w:pPr>
        <w:pStyle w:val="FootnoteText"/>
      </w:pPr>
      <w:r>
        <w:rPr>
          <w:rStyle w:val="FootnoteReference"/>
        </w:rPr>
        <w:footnoteRef/>
      </w:r>
      <w:r>
        <w:t xml:space="preserve"> </w:t>
      </w:r>
      <w:hyperlink r:id="rId7" w:history="1">
        <w:r w:rsidRPr="0016569D">
          <w:rPr>
            <w:rStyle w:val="Hyperlink"/>
          </w:rPr>
          <w:t>Observation (CEACR) - adopted 2015, published 105th ILC session (2016)</w:t>
        </w:r>
      </w:hyperlink>
      <w:r>
        <w:t xml:space="preserve">   </w:t>
      </w:r>
    </w:p>
  </w:footnote>
  <w:footnote w:id="8">
    <w:p w:rsidR="008F0965" w:rsidRDefault="008F0965">
      <w:pPr>
        <w:pStyle w:val="FootnoteText"/>
      </w:pPr>
      <w:r>
        <w:rPr>
          <w:rStyle w:val="FootnoteReference"/>
        </w:rPr>
        <w:footnoteRef/>
      </w:r>
      <w:r>
        <w:t xml:space="preserve"> </w:t>
      </w:r>
      <w:hyperlink r:id="rId8" w:history="1">
        <w:r w:rsidRPr="0016569D">
          <w:rPr>
            <w:rStyle w:val="Hyperlink"/>
          </w:rPr>
          <w:t>JCHR Legislative Scrutiny: Trade Union Bill. February 2016</w:t>
        </w:r>
      </w:hyperlink>
    </w:p>
  </w:footnote>
  <w:footnote w:id="9">
    <w:p w:rsidR="008F0965" w:rsidRDefault="008F0965" w:rsidP="008F0965">
      <w:pPr>
        <w:pStyle w:val="FootnoteText"/>
      </w:pPr>
      <w:r>
        <w:rPr>
          <w:rStyle w:val="FootnoteReference"/>
        </w:rPr>
        <w:footnoteRef/>
      </w:r>
      <w:r>
        <w:t xml:space="preserve"> </w:t>
      </w:r>
      <w:hyperlink r:id="rId9" w:history="1">
        <w:r w:rsidRPr="008F0965">
          <w:rPr>
            <w:rStyle w:val="Hyperlink"/>
          </w:rPr>
          <w:t>Scottish Government Policy Memorandum January 2016</w:t>
        </w:r>
      </w:hyperlink>
    </w:p>
  </w:footnote>
  <w:footnote w:id="10">
    <w:p w:rsidR="008F0965" w:rsidRDefault="008F0965">
      <w:pPr>
        <w:pStyle w:val="FootnoteText"/>
      </w:pPr>
      <w:r>
        <w:rPr>
          <w:rStyle w:val="FootnoteReference"/>
        </w:rPr>
        <w:footnoteRef/>
      </w:r>
      <w:r>
        <w:t xml:space="preserve"> </w:t>
      </w:r>
      <w:hyperlink r:id="rId10" w:history="1">
        <w:r w:rsidRPr="008F0965">
          <w:rPr>
            <w:rStyle w:val="Hyperlink"/>
          </w:rPr>
          <w:t>1st Report, 2016 (Session 4): Report on the impact of the UK Government's Trade Union Bill in Scotland</w:t>
        </w:r>
      </w:hyperlink>
    </w:p>
  </w:footnote>
  <w:footnote w:id="11">
    <w:p w:rsidR="008F0965" w:rsidRDefault="008F0965">
      <w:pPr>
        <w:pStyle w:val="FootnoteText"/>
      </w:pPr>
      <w:r>
        <w:rPr>
          <w:rStyle w:val="FootnoteReference"/>
        </w:rPr>
        <w:footnoteRef/>
      </w:r>
      <w:r>
        <w:t xml:space="preserve"> </w:t>
      </w:r>
      <w:hyperlink r:id="rId11" w:history="1">
        <w:r w:rsidRPr="008F0965">
          <w:rPr>
            <w:rStyle w:val="Hyperlink"/>
          </w:rPr>
          <w:t>EHRC Trade Union Bill, House of Lords Briefing 10 February 2016</w:t>
        </w:r>
      </w:hyperlink>
    </w:p>
  </w:footnote>
  <w:footnote w:id="12">
    <w:p w:rsidR="008F0965" w:rsidRDefault="008F0965">
      <w:pPr>
        <w:pStyle w:val="FootnoteText"/>
      </w:pPr>
      <w:r>
        <w:rPr>
          <w:rStyle w:val="FootnoteReference"/>
        </w:rPr>
        <w:footnoteRef/>
      </w:r>
      <w:r>
        <w:t xml:space="preserve"> </w:t>
      </w:r>
      <w:hyperlink r:id="rId12" w:history="1">
        <w:r w:rsidRPr="008F0965">
          <w:rPr>
            <w:rStyle w:val="Hyperlink"/>
          </w:rPr>
          <w:t>Liberty - Parliamentary Briefing on the Trade Union Bill</w:t>
        </w:r>
      </w:hyperlink>
    </w:p>
  </w:footnote>
  <w:footnote w:id="13">
    <w:p w:rsidR="008F0965" w:rsidRDefault="008F0965">
      <w:pPr>
        <w:pStyle w:val="FootnoteText"/>
      </w:pPr>
      <w:r>
        <w:rPr>
          <w:rStyle w:val="FootnoteReference"/>
        </w:rPr>
        <w:footnoteRef/>
      </w:r>
      <w:r>
        <w:t xml:space="preserve"> </w:t>
      </w:r>
      <w:hyperlink r:id="rId13" w:history="1">
        <w:r w:rsidRPr="008F0965">
          <w:rPr>
            <w:rStyle w:val="Hyperlink"/>
          </w:rPr>
          <w:t>Law Society of Scotland Submission to Scottish Parliament, January 2016</w:t>
        </w:r>
      </w:hyperlink>
    </w:p>
  </w:footnote>
  <w:footnote w:id="14">
    <w:p w:rsidR="008F0965" w:rsidRDefault="008F0965">
      <w:pPr>
        <w:pStyle w:val="FootnoteText"/>
      </w:pPr>
      <w:r>
        <w:rPr>
          <w:rStyle w:val="FootnoteReference"/>
        </w:rPr>
        <w:footnoteRef/>
      </w:r>
      <w:r>
        <w:t xml:space="preserve"> </w:t>
      </w:r>
      <w:hyperlink r:id="rId14" w:history="1">
        <w:r w:rsidRPr="008F0965">
          <w:rPr>
            <w:rStyle w:val="Hyperlink"/>
          </w:rPr>
          <w:t>CoSLA "Standing shoulder to Shoulder with Scottish Trade Unions" 28 September 2015</w:t>
        </w:r>
      </w:hyperlink>
      <w:r>
        <w:t xml:space="preserve">  </w:t>
      </w:r>
    </w:p>
  </w:footnote>
  <w:footnote w:id="15">
    <w:p w:rsidR="0016569D" w:rsidRDefault="0016569D" w:rsidP="0016569D">
      <w:pPr>
        <w:pStyle w:val="FootnoteText"/>
      </w:pPr>
      <w:r>
        <w:rPr>
          <w:rStyle w:val="FootnoteReference"/>
        </w:rPr>
        <w:footnoteRef/>
      </w:r>
      <w:r>
        <w:t xml:space="preserve"> </w:t>
      </w:r>
      <w:hyperlink r:id="rId15" w:history="1">
        <w:r w:rsidRPr="0016569D">
          <w:rPr>
            <w:rStyle w:val="Hyperlink"/>
          </w:rPr>
          <w:t>Observation (CEACR) - adopted 2015, published 105th ILC session (2016)</w:t>
        </w:r>
      </w:hyperlink>
      <w:r>
        <w:t xml:space="preserve">   </w:t>
      </w:r>
    </w:p>
  </w:footnote>
  <w:footnote w:id="16">
    <w:p w:rsidR="0016569D" w:rsidRDefault="0016569D">
      <w:pPr>
        <w:pStyle w:val="FootnoteText"/>
      </w:pPr>
      <w:r>
        <w:rPr>
          <w:rStyle w:val="FootnoteReference"/>
        </w:rPr>
        <w:footnoteRef/>
      </w:r>
      <w:r>
        <w:t xml:space="preserve"> </w:t>
      </w:r>
      <w:hyperlink r:id="rId16" w:history="1">
        <w:r w:rsidRPr="0016569D">
          <w:rPr>
            <w:rStyle w:val="Hyperlink"/>
          </w:rPr>
          <w:t>UK Parliamentary Joint Committee on Human Rights</w:t>
        </w:r>
      </w:hyperlink>
    </w:p>
  </w:footnote>
  <w:footnote w:id="17">
    <w:p w:rsidR="0016569D" w:rsidRDefault="0016569D">
      <w:pPr>
        <w:pStyle w:val="FootnoteText"/>
      </w:pPr>
      <w:r>
        <w:rPr>
          <w:rStyle w:val="FootnoteReference"/>
        </w:rPr>
        <w:footnoteRef/>
      </w:r>
      <w:r>
        <w:t xml:space="preserve"> </w:t>
      </w:r>
      <w:hyperlink r:id="rId17" w:history="1">
        <w:r w:rsidRPr="0016569D">
          <w:rPr>
            <w:rStyle w:val="Hyperlink"/>
          </w:rPr>
          <w:t>JCHR Legislative Scrutiny: Trade Union Bill. February 2016</w:t>
        </w:r>
      </w:hyperlink>
    </w:p>
  </w:footnote>
  <w:footnote w:id="18">
    <w:p w:rsidR="0016569D" w:rsidRDefault="0016569D">
      <w:pPr>
        <w:pStyle w:val="FootnoteText"/>
      </w:pPr>
      <w:r>
        <w:rPr>
          <w:rStyle w:val="FootnoteReference"/>
        </w:rPr>
        <w:footnoteRef/>
      </w:r>
      <w:r>
        <w:t xml:space="preserve"> </w:t>
      </w:r>
      <w:hyperlink r:id="rId18" w:history="1">
        <w:r>
          <w:rPr>
            <w:rStyle w:val="Hyperlink"/>
          </w:rPr>
          <w:t>UKG Human Rights Memorandum July 2015</w:t>
        </w:r>
      </w:hyperlink>
      <w:r>
        <w:t xml:space="preserve"> </w:t>
      </w:r>
    </w:p>
  </w:footnote>
  <w:footnote w:id="19">
    <w:p w:rsidR="0016569D" w:rsidRDefault="0016569D">
      <w:pPr>
        <w:pStyle w:val="FootnoteText"/>
      </w:pPr>
      <w:r>
        <w:rPr>
          <w:rStyle w:val="FootnoteReference"/>
        </w:rPr>
        <w:footnoteRef/>
      </w:r>
      <w:r>
        <w:t xml:space="preserve"> page 6, para 15 </w:t>
      </w:r>
      <w:hyperlink r:id="rId19" w:history="1">
        <w:r w:rsidRPr="0016569D">
          <w:rPr>
            <w:rStyle w:val="Hyperlink"/>
          </w:rPr>
          <w:t>JCHR Legislative Scrutiny: Trade Union Bill. February 2016</w:t>
        </w:r>
      </w:hyperlink>
    </w:p>
  </w:footnote>
  <w:footnote w:id="20">
    <w:p w:rsidR="0016569D" w:rsidRDefault="0016569D">
      <w:pPr>
        <w:pStyle w:val="FootnoteText"/>
      </w:pPr>
      <w:r>
        <w:rPr>
          <w:rStyle w:val="FootnoteReference"/>
        </w:rPr>
        <w:footnoteRef/>
      </w:r>
      <w:r>
        <w:t xml:space="preserve"> page 6, para 19 </w:t>
      </w:r>
      <w:hyperlink r:id="rId20" w:history="1">
        <w:r w:rsidRPr="0016569D">
          <w:rPr>
            <w:rStyle w:val="Hyperlink"/>
          </w:rPr>
          <w:t>JCHR Legislative Scrutiny: Trade Union Bill. February 2016</w:t>
        </w:r>
      </w:hyperlink>
    </w:p>
  </w:footnote>
  <w:footnote w:id="21">
    <w:p w:rsidR="0016569D" w:rsidRDefault="0016569D">
      <w:pPr>
        <w:pStyle w:val="FootnoteText"/>
      </w:pPr>
      <w:r>
        <w:rPr>
          <w:rStyle w:val="FootnoteReference"/>
        </w:rPr>
        <w:footnoteRef/>
      </w:r>
      <w:r>
        <w:t xml:space="preserve"> page 8,para 28 </w:t>
      </w:r>
      <w:hyperlink r:id="rId21" w:history="1">
        <w:r w:rsidRPr="0016569D">
          <w:rPr>
            <w:rStyle w:val="Hyperlink"/>
          </w:rPr>
          <w:t>JCHR Legislative Scrutiny: Trade Union Bill. February 2016</w:t>
        </w:r>
      </w:hyperlink>
    </w:p>
  </w:footnote>
  <w:footnote w:id="22">
    <w:p w:rsidR="0016569D" w:rsidRDefault="0016569D">
      <w:pPr>
        <w:pStyle w:val="FootnoteText"/>
      </w:pPr>
      <w:r>
        <w:rPr>
          <w:rStyle w:val="FootnoteReference"/>
        </w:rPr>
        <w:footnoteRef/>
      </w:r>
      <w:r>
        <w:t xml:space="preserve"> page 8, para 30 </w:t>
      </w:r>
      <w:hyperlink r:id="rId22" w:history="1">
        <w:r w:rsidRPr="0016569D">
          <w:rPr>
            <w:rStyle w:val="Hyperlink"/>
          </w:rPr>
          <w:t>JCHR Legislative Scrutiny: Trade Union Bill. February 2016</w:t>
        </w:r>
      </w:hyperlink>
    </w:p>
  </w:footnote>
  <w:footnote w:id="23">
    <w:p w:rsidR="0016569D" w:rsidRDefault="0016569D">
      <w:pPr>
        <w:pStyle w:val="FootnoteText"/>
      </w:pPr>
      <w:r>
        <w:rPr>
          <w:rStyle w:val="FootnoteReference"/>
        </w:rPr>
        <w:footnoteRef/>
      </w:r>
      <w:r>
        <w:t xml:space="preserve"> page 10, para 37 </w:t>
      </w:r>
      <w:hyperlink r:id="rId23" w:history="1">
        <w:r w:rsidRPr="0016569D">
          <w:rPr>
            <w:rStyle w:val="Hyperlink"/>
          </w:rPr>
          <w:t>JCHR Legislative Scrutiny: Trade Union Bill. February 2016</w:t>
        </w:r>
      </w:hyperlink>
    </w:p>
  </w:footnote>
  <w:footnote w:id="24">
    <w:p w:rsidR="0016569D" w:rsidRDefault="0016569D">
      <w:pPr>
        <w:pStyle w:val="FootnoteText"/>
      </w:pPr>
      <w:r>
        <w:rPr>
          <w:rStyle w:val="FootnoteReference"/>
        </w:rPr>
        <w:footnoteRef/>
      </w:r>
      <w:r>
        <w:t xml:space="preserve"> page 12, para 34 </w:t>
      </w:r>
      <w:hyperlink r:id="rId24" w:history="1">
        <w:r w:rsidRPr="0016569D">
          <w:rPr>
            <w:rStyle w:val="Hyperlink"/>
          </w:rPr>
          <w:t>JCHR Legislative Scrutiny: Trade Union Bill. February 2016</w:t>
        </w:r>
      </w:hyperlink>
    </w:p>
  </w:footnote>
  <w:footnote w:id="25">
    <w:p w:rsidR="0016569D" w:rsidRDefault="0016569D" w:rsidP="0016569D">
      <w:pPr>
        <w:pStyle w:val="FootnoteText"/>
        <w:tabs>
          <w:tab w:val="clear" w:pos="1021"/>
          <w:tab w:val="right" w:pos="142"/>
        </w:tabs>
        <w:ind w:left="142" w:hanging="142"/>
      </w:pPr>
      <w:r>
        <w:rPr>
          <w:rStyle w:val="FootnoteReference"/>
        </w:rPr>
        <w:footnoteRef/>
      </w:r>
      <w:r>
        <w:t xml:space="preserve"> </w:t>
      </w:r>
      <w:r w:rsidR="005E24AD">
        <w:t xml:space="preserve">page 31, para 24-26: </w:t>
      </w:r>
      <w:hyperlink r:id="rId25" w:history="1">
        <w:r>
          <w:rPr>
            <w:rStyle w:val="Hyperlink"/>
          </w:rPr>
          <w:t xml:space="preserve">Harmonized guidelines on reporting under the international human rights treaties, including guidelines on a common core document and treaty-specific targeted documents </w:t>
        </w:r>
      </w:hyperlink>
      <w:r>
        <w:t xml:space="preserve"> </w:t>
      </w:r>
    </w:p>
  </w:footnote>
  <w:footnote w:id="26">
    <w:p w:rsidR="00FB487C" w:rsidRDefault="00FB487C" w:rsidP="00FB487C">
      <w:pPr>
        <w:pStyle w:val="FootnoteText"/>
        <w:tabs>
          <w:tab w:val="clear" w:pos="1021"/>
          <w:tab w:val="right" w:pos="142"/>
        </w:tabs>
        <w:ind w:left="142" w:hanging="142"/>
      </w:pPr>
      <w:r>
        <w:rPr>
          <w:rStyle w:val="FootnoteReference"/>
        </w:rPr>
        <w:footnoteRef/>
      </w:r>
      <w:r>
        <w:t xml:space="preserve"> </w:t>
      </w:r>
      <w:r w:rsidR="0016569D">
        <w:t xml:space="preserve">page 7, para 9: </w:t>
      </w:r>
      <w:hyperlink r:id="rId26" w:history="1">
        <w:r>
          <w:rPr>
            <w:rStyle w:val="Hyperlink"/>
          </w:rPr>
          <w:t xml:space="preserve">Harmonized guidelines on reporting under the international human rights treaties, including guidelines on a common core document and treaty-specific targeted documents </w:t>
        </w:r>
      </w:hyperlink>
      <w:r>
        <w:t xml:space="preserve"> </w:t>
      </w:r>
    </w:p>
  </w:footnote>
  <w:footnote w:id="27">
    <w:p w:rsidR="006017CA" w:rsidRDefault="006017CA" w:rsidP="006017CA">
      <w:pPr>
        <w:pStyle w:val="FootnoteText"/>
      </w:pPr>
      <w:r>
        <w:rPr>
          <w:rStyle w:val="FootnoteReference"/>
        </w:rPr>
        <w:footnoteRef/>
      </w:r>
      <w:r>
        <w:t xml:space="preserve"> </w:t>
      </w:r>
      <w:hyperlink r:id="rId27" w:history="1">
        <w:r>
          <w:rPr>
            <w:rStyle w:val="Hyperlink"/>
          </w:rPr>
          <w:t>s.57 Scotland Act 1998</w:t>
        </w:r>
      </w:hyperlink>
      <w:r>
        <w:t xml:space="preserve"> </w:t>
      </w:r>
    </w:p>
  </w:footnote>
  <w:footnote w:id="28">
    <w:p w:rsidR="002533F7" w:rsidRDefault="002533F7" w:rsidP="002533F7">
      <w:pPr>
        <w:pStyle w:val="FootnoteText"/>
      </w:pPr>
      <w:r>
        <w:rPr>
          <w:rStyle w:val="FootnoteReference"/>
        </w:rPr>
        <w:footnoteRef/>
      </w:r>
      <w:r>
        <w:t xml:space="preserve"> </w:t>
      </w:r>
      <w:r>
        <w:rPr>
          <w:rFonts w:ascii="Arial" w:hAnsi="Arial" w:cs="Arial"/>
          <w:b/>
          <w:bCs/>
          <w:i/>
          <w:iCs/>
          <w:color w:val="333333"/>
          <w:shd w:val="clear" w:color="auto" w:fill="FFFFFF"/>
        </w:rPr>
        <w:t>Smith v Carillion JM Limited</w:t>
      </w:r>
      <w:proofErr w:type="gramStart"/>
      <w:r>
        <w:rPr>
          <w:rStyle w:val="apple-converted-space"/>
          <w:rFonts w:ascii="Arial" w:hAnsi="Arial" w:cs="Arial"/>
          <w:color w:val="333333"/>
          <w:shd w:val="clear" w:color="auto" w:fill="FFFFFF"/>
        </w:rPr>
        <w:t>  -</w:t>
      </w:r>
      <w:proofErr w:type="gramEnd"/>
      <w:r>
        <w:rPr>
          <w:rStyle w:val="apple-converted-space"/>
          <w:rFonts w:ascii="Arial" w:hAnsi="Arial" w:cs="Arial"/>
          <w:color w:val="333333"/>
          <w:shd w:val="clear" w:color="auto" w:fill="FFFFFF"/>
        </w:rPr>
        <w:t xml:space="preserve"> </w:t>
      </w:r>
      <w:r>
        <w:rPr>
          <w:rFonts w:ascii="Arial" w:hAnsi="Arial" w:cs="Arial"/>
          <w:color w:val="333333"/>
          <w:shd w:val="clear" w:color="auto" w:fill="FFFFFF"/>
        </w:rPr>
        <w:t>Mr Smith was an agency worker. His services were supplied to John Mowlem &amp; Co Plc (as the Respondent was then known) by an agency (</w:t>
      </w:r>
      <w:proofErr w:type="spellStart"/>
      <w:r>
        <w:rPr>
          <w:rFonts w:ascii="Arial" w:hAnsi="Arial" w:cs="Arial"/>
          <w:color w:val="333333"/>
          <w:shd w:val="clear" w:color="auto" w:fill="FFFFFF"/>
        </w:rPr>
        <w:t>Chanton</w:t>
      </w:r>
      <w:proofErr w:type="spellEnd"/>
      <w:r>
        <w:rPr>
          <w:rFonts w:ascii="Arial" w:hAnsi="Arial" w:cs="Arial"/>
          <w:color w:val="333333"/>
          <w:shd w:val="clear" w:color="auto" w:fill="FFFFFF"/>
        </w:rPr>
        <w:t xml:space="preserve">). He admitted that he had a contract with the agency, though not a written contract, for the supply of his services to the agency. There was no express contract between Mr Smith and Mowlem, but he argued that there was an implied contract. Whilst it was admitted that this was not a contract of employment, it was alleged to be a "worker’s contract”. He contended that he had suffered detriment on the grounds of union activities and health and safety activities by virtue of Mowlem supplying information about him to an organisation which maintained a blacklist. At the time the information was supplied, </w:t>
      </w:r>
      <w:proofErr w:type="spellStart"/>
      <w:r>
        <w:rPr>
          <w:rFonts w:ascii="Arial" w:hAnsi="Arial" w:cs="Arial"/>
          <w:color w:val="333333"/>
          <w:shd w:val="clear" w:color="auto" w:fill="FFFFFF"/>
        </w:rPr>
        <w:t>s.146</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TULRCA</w:t>
      </w:r>
      <w:proofErr w:type="spellEnd"/>
      <w:r>
        <w:rPr>
          <w:rFonts w:ascii="Arial" w:hAnsi="Arial" w:cs="Arial"/>
          <w:color w:val="333333"/>
          <w:shd w:val="clear" w:color="auto" w:fill="FFFFFF"/>
        </w:rPr>
        <w:t xml:space="preserve"> 1992, </w:t>
      </w:r>
      <w:proofErr w:type="gramStart"/>
      <w:r>
        <w:rPr>
          <w:rFonts w:ascii="Arial" w:hAnsi="Arial" w:cs="Arial"/>
          <w:color w:val="333333"/>
          <w:shd w:val="clear" w:color="auto" w:fill="FFFFFF"/>
        </w:rPr>
        <w:t>which sets out the right not to be subjected to a detriment on grounds of union activities, only applied to employees.</w:t>
      </w:r>
      <w:proofErr w:type="gramEnd"/>
      <w:r>
        <w:rPr>
          <w:rFonts w:ascii="Arial" w:hAnsi="Arial" w:cs="Arial"/>
          <w:color w:val="333333"/>
          <w:shd w:val="clear" w:color="auto" w:fill="FFFFFF"/>
        </w:rPr>
        <w:t xml:space="preserve"> It was extended, non-retrospectively, to workers in 2004. The provisions concerning detriment on grounds of health and safety activities (</w:t>
      </w:r>
      <w:proofErr w:type="spellStart"/>
      <w:r>
        <w:rPr>
          <w:rFonts w:ascii="Arial" w:hAnsi="Arial" w:cs="Arial"/>
          <w:color w:val="333333"/>
          <w:shd w:val="clear" w:color="auto" w:fill="FFFFFF"/>
        </w:rPr>
        <w:t>s.44</w:t>
      </w:r>
      <w:proofErr w:type="spellEnd"/>
      <w:r>
        <w:rPr>
          <w:rFonts w:ascii="Arial" w:hAnsi="Arial" w:cs="Arial"/>
          <w:color w:val="333333"/>
          <w:shd w:val="clear" w:color="auto" w:fill="FFFFFF"/>
        </w:rPr>
        <w:t xml:space="preserve"> ERA) still only apply to employees. But he claimed that these provisions should be construed as extending to workers by virtue of the HRA, on the grounds that there would otherwise be non-complaint with Articles 8 and 11 of the European Convention of Human Rights. However, even to establish a worker relationship, the first step under the definition in the legislation was to establish a contract with Mowlem. </w:t>
      </w:r>
    </w:p>
  </w:footnote>
  <w:footnote w:id="29">
    <w:p w:rsidR="002533F7" w:rsidRDefault="002533F7" w:rsidP="002533F7">
      <w:pPr>
        <w:pStyle w:val="FootnoteText"/>
      </w:pPr>
      <w:r>
        <w:rPr>
          <w:rStyle w:val="FootnoteReference"/>
        </w:rPr>
        <w:footnoteRef/>
      </w:r>
      <w:r>
        <w:t xml:space="preserve"> </w:t>
      </w:r>
      <w:hyperlink r:id="rId28" w:history="1">
        <w:r w:rsidRPr="00312240">
          <w:rPr>
            <w:rStyle w:val="Hyperlink"/>
          </w:rPr>
          <w:t>http://ted.europa.eu/udl?uri=TED:NOTICE:386317-2014:TEXT:EN:HTML</w:t>
        </w:r>
      </w:hyperlink>
      <w:r>
        <w:t xml:space="preserve"> </w:t>
      </w:r>
    </w:p>
  </w:footnote>
  <w:footnote w:id="30">
    <w:p w:rsidR="002533F7" w:rsidRDefault="002533F7" w:rsidP="002533F7">
      <w:pPr>
        <w:pStyle w:val="FootnoteText"/>
      </w:pPr>
      <w:r>
        <w:rPr>
          <w:rStyle w:val="FootnoteReference"/>
        </w:rPr>
        <w:footnoteRef/>
      </w:r>
      <w:r>
        <w:t xml:space="preserve"> </w:t>
      </w:r>
      <w:hyperlink r:id="rId29" w:history="1">
        <w:r w:rsidRPr="00312240">
          <w:rPr>
            <w:rStyle w:val="Hyperlink"/>
          </w:rPr>
          <w:t>http://ted.europa.eu/udl?uri=TED:NOTICE:220229-2014:TEXT:EN:HTML</w:t>
        </w:r>
      </w:hyperlink>
      <w:r>
        <w:t xml:space="preserve"> </w:t>
      </w:r>
    </w:p>
  </w:footnote>
  <w:footnote w:id="31">
    <w:p w:rsidR="002533F7" w:rsidRDefault="002533F7" w:rsidP="002533F7">
      <w:pPr>
        <w:pStyle w:val="FootnoteText"/>
      </w:pPr>
      <w:r>
        <w:rPr>
          <w:rStyle w:val="FootnoteReference"/>
        </w:rPr>
        <w:footnoteRef/>
      </w:r>
      <w:r>
        <w:t xml:space="preserve"> </w:t>
      </w:r>
      <w:hyperlink r:id="rId30" w:history="1">
        <w:r w:rsidRPr="00312240">
          <w:rPr>
            <w:rStyle w:val="Hyperlink"/>
          </w:rPr>
          <w:t>http://ted.europa.eu/udl?uri=TED:NOTICE:258273-2014:TEXT:EN:HTML</w:t>
        </w:r>
      </w:hyperlink>
      <w:r>
        <w:t xml:space="preserve"> </w:t>
      </w:r>
    </w:p>
  </w:footnote>
  <w:footnote w:id="32">
    <w:p w:rsidR="002533F7" w:rsidRDefault="002533F7" w:rsidP="002533F7">
      <w:pPr>
        <w:pStyle w:val="FootnoteText"/>
      </w:pPr>
      <w:r>
        <w:rPr>
          <w:rStyle w:val="FootnoteReference"/>
        </w:rPr>
        <w:footnoteRef/>
      </w:r>
      <w:r>
        <w:t xml:space="preserve"> </w:t>
      </w:r>
      <w:hyperlink r:id="rId31" w:history="1">
        <w:r w:rsidRPr="00312240">
          <w:rPr>
            <w:rStyle w:val="Hyperlink"/>
          </w:rPr>
          <w:t>http://ted.europa.eu/udl?uri=TED:NOTICE:325582-2014:TEXT:EN:HTML</w:t>
        </w:r>
      </w:hyperlink>
      <w:r>
        <w:t xml:space="preserve"> </w:t>
      </w:r>
    </w:p>
  </w:footnote>
  <w:footnote w:id="33">
    <w:p w:rsidR="002533F7" w:rsidRDefault="002533F7" w:rsidP="002533F7">
      <w:pPr>
        <w:pStyle w:val="FootnoteText"/>
      </w:pPr>
      <w:r>
        <w:rPr>
          <w:rStyle w:val="FootnoteReference"/>
        </w:rPr>
        <w:footnoteRef/>
      </w:r>
      <w:r>
        <w:t xml:space="preserve"> </w:t>
      </w:r>
      <w:hyperlink r:id="rId32" w:history="1">
        <w:r w:rsidRPr="00312240">
          <w:rPr>
            <w:rStyle w:val="Hyperlink"/>
          </w:rPr>
          <w:t>http://ted.europa.eu/udl?uri=TED:NOTICE:42307-2014:TEXT:EN:HTML</w:t>
        </w:r>
      </w:hyperlink>
      <w:r>
        <w:t xml:space="preserve"> </w:t>
      </w:r>
    </w:p>
    <w:p w:rsidR="002533F7" w:rsidRDefault="002533F7" w:rsidP="002533F7">
      <w:pPr>
        <w:pStyle w:val="FootnoteText"/>
      </w:pPr>
    </w:p>
  </w:footnote>
  <w:footnote w:id="34">
    <w:p w:rsidR="002533F7" w:rsidRDefault="002533F7" w:rsidP="002533F7">
      <w:pPr>
        <w:pStyle w:val="FootnoteText"/>
      </w:pPr>
      <w:r>
        <w:rPr>
          <w:rStyle w:val="FootnoteReference"/>
        </w:rPr>
        <w:footnoteRef/>
      </w:r>
      <w:r>
        <w:t xml:space="preserve"> </w:t>
      </w:r>
      <w:hyperlink r:id="rId33" w:history="1">
        <w:r w:rsidRPr="00312240">
          <w:rPr>
            <w:rStyle w:val="Hyperlink"/>
          </w:rPr>
          <w:t>http://ted.europa.eu/udl?uri=TED:NOTICE:8896-2014:TEXT:EN:HTML</w:t>
        </w:r>
      </w:hyperlink>
      <w:r>
        <w:t xml:space="preserve"> </w:t>
      </w:r>
    </w:p>
  </w:footnote>
  <w:footnote w:id="35">
    <w:p w:rsidR="00B62583" w:rsidRDefault="00B62583" w:rsidP="00B62583">
      <w:pPr>
        <w:pStyle w:val="FootnoteText"/>
        <w:jc w:val="both"/>
      </w:pPr>
      <w:r>
        <w:rPr>
          <w:rStyle w:val="FootnoteReference"/>
        </w:rPr>
        <w:footnoteRef/>
      </w:r>
      <w:hyperlink r:id="rId34" w:anchor=".Vxi1itQrJMw" w:history="1">
        <w:r w:rsidRPr="00F04A87">
          <w:rPr>
            <w:rStyle w:val="Hyperlink"/>
          </w:rPr>
          <w:t>https://www.morningstaronline.co.uk/a-a93a-Yorkshire-council-tears-up-contract-with-Carillion#.Vxi1itQrJMw</w:t>
        </w:r>
      </w:hyperlink>
      <w:r>
        <w:t xml:space="preserve">  </w:t>
      </w:r>
    </w:p>
  </w:footnote>
  <w:footnote w:id="36">
    <w:p w:rsidR="002533F7" w:rsidRDefault="002533F7" w:rsidP="002533F7">
      <w:pPr>
        <w:pStyle w:val="FootnoteText"/>
      </w:pPr>
      <w:r>
        <w:rPr>
          <w:rStyle w:val="FootnoteReference"/>
        </w:rPr>
        <w:footnoteRef/>
      </w:r>
      <w:r>
        <w:t xml:space="preserve"> </w:t>
      </w:r>
      <w:hyperlink r:id="rId35" w:anchor="a10" w:history="1">
        <w:r w:rsidR="00B62583" w:rsidRPr="00F04A87">
          <w:rPr>
            <w:rStyle w:val="Hyperlink"/>
          </w:rPr>
          <w:t>http://www.publications.parliament.uk/pa/cm201415/cmselect/cmscotaf/272/27206.htm#a10</w:t>
        </w:r>
      </w:hyperlink>
      <w:r>
        <w:t xml:space="preserve"> (section 50)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D18"/>
    <w:multiLevelType w:val="hybridMultilevel"/>
    <w:tmpl w:val="1D34A874"/>
    <w:lvl w:ilvl="0" w:tplc="B4AA8490">
      <w:start w:val="1"/>
      <w:numFmt w:val="lowerLetter"/>
      <w:lvlText w:val="(%1)"/>
      <w:lvlJc w:val="left"/>
      <w:pPr>
        <w:ind w:left="1081" w:hanging="360"/>
      </w:pPr>
      <w:rPr>
        <w:rFonts w:hint="eastAsia"/>
      </w:rPr>
    </w:lvl>
    <w:lvl w:ilvl="1" w:tplc="08090019" w:tentative="1">
      <w:start w:val="1"/>
      <w:numFmt w:val="lowerLetter"/>
      <w:lvlText w:val="%2."/>
      <w:lvlJc w:val="left"/>
      <w:pPr>
        <w:ind w:left="1801" w:hanging="360"/>
      </w:pPr>
    </w:lvl>
    <w:lvl w:ilvl="2" w:tplc="0809001B" w:tentative="1">
      <w:start w:val="1"/>
      <w:numFmt w:val="lowerRoman"/>
      <w:lvlText w:val="%3."/>
      <w:lvlJc w:val="right"/>
      <w:pPr>
        <w:ind w:left="2521" w:hanging="180"/>
      </w:pPr>
    </w:lvl>
    <w:lvl w:ilvl="3" w:tplc="0809000F" w:tentative="1">
      <w:start w:val="1"/>
      <w:numFmt w:val="decimal"/>
      <w:lvlText w:val="%4."/>
      <w:lvlJc w:val="left"/>
      <w:pPr>
        <w:ind w:left="3241" w:hanging="360"/>
      </w:pPr>
    </w:lvl>
    <w:lvl w:ilvl="4" w:tplc="08090019" w:tentative="1">
      <w:start w:val="1"/>
      <w:numFmt w:val="lowerLetter"/>
      <w:lvlText w:val="%5."/>
      <w:lvlJc w:val="left"/>
      <w:pPr>
        <w:ind w:left="3961" w:hanging="360"/>
      </w:pPr>
    </w:lvl>
    <w:lvl w:ilvl="5" w:tplc="0809001B" w:tentative="1">
      <w:start w:val="1"/>
      <w:numFmt w:val="lowerRoman"/>
      <w:lvlText w:val="%6."/>
      <w:lvlJc w:val="right"/>
      <w:pPr>
        <w:ind w:left="4681" w:hanging="180"/>
      </w:pPr>
    </w:lvl>
    <w:lvl w:ilvl="6" w:tplc="0809000F" w:tentative="1">
      <w:start w:val="1"/>
      <w:numFmt w:val="decimal"/>
      <w:lvlText w:val="%7."/>
      <w:lvlJc w:val="left"/>
      <w:pPr>
        <w:ind w:left="5401" w:hanging="360"/>
      </w:pPr>
    </w:lvl>
    <w:lvl w:ilvl="7" w:tplc="08090019" w:tentative="1">
      <w:start w:val="1"/>
      <w:numFmt w:val="lowerLetter"/>
      <w:lvlText w:val="%8."/>
      <w:lvlJc w:val="left"/>
      <w:pPr>
        <w:ind w:left="6121" w:hanging="360"/>
      </w:pPr>
    </w:lvl>
    <w:lvl w:ilvl="8" w:tplc="0809001B" w:tentative="1">
      <w:start w:val="1"/>
      <w:numFmt w:val="lowerRoman"/>
      <w:lvlText w:val="%9."/>
      <w:lvlJc w:val="right"/>
      <w:pPr>
        <w:ind w:left="6841" w:hanging="180"/>
      </w:pPr>
    </w:lvl>
  </w:abstractNum>
  <w:abstractNum w:abstractNumId="1">
    <w:nsid w:val="06B04165"/>
    <w:multiLevelType w:val="hybridMultilevel"/>
    <w:tmpl w:val="FA9CF4C0"/>
    <w:lvl w:ilvl="0" w:tplc="1EDE9D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7F5A20"/>
    <w:multiLevelType w:val="hybridMultilevel"/>
    <w:tmpl w:val="5BDEC1BC"/>
    <w:lvl w:ilvl="0" w:tplc="267CE70C">
      <w:start w:val="58"/>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0137D2B"/>
    <w:multiLevelType w:val="hybridMultilevel"/>
    <w:tmpl w:val="4F5E5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8D251B"/>
    <w:multiLevelType w:val="multilevel"/>
    <w:tmpl w:val="7DB6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2595D42"/>
    <w:multiLevelType w:val="hybridMultilevel"/>
    <w:tmpl w:val="03C29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B7674A1"/>
    <w:multiLevelType w:val="hybridMultilevel"/>
    <w:tmpl w:val="32E627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762"/>
    <w:rsid w:val="00085EDB"/>
    <w:rsid w:val="000D766E"/>
    <w:rsid w:val="001444B4"/>
    <w:rsid w:val="0016569D"/>
    <w:rsid w:val="001C10A8"/>
    <w:rsid w:val="001F4E2A"/>
    <w:rsid w:val="002533F7"/>
    <w:rsid w:val="002775E8"/>
    <w:rsid w:val="002F4BAD"/>
    <w:rsid w:val="0033022B"/>
    <w:rsid w:val="003575C4"/>
    <w:rsid w:val="00392634"/>
    <w:rsid w:val="003B44C8"/>
    <w:rsid w:val="003C1A82"/>
    <w:rsid w:val="003D4FA3"/>
    <w:rsid w:val="0042783C"/>
    <w:rsid w:val="00444964"/>
    <w:rsid w:val="00475230"/>
    <w:rsid w:val="00504218"/>
    <w:rsid w:val="00507A3C"/>
    <w:rsid w:val="00520374"/>
    <w:rsid w:val="005A13A9"/>
    <w:rsid w:val="005D53C0"/>
    <w:rsid w:val="005E24AD"/>
    <w:rsid w:val="005E7800"/>
    <w:rsid w:val="006017CA"/>
    <w:rsid w:val="00611A46"/>
    <w:rsid w:val="00612221"/>
    <w:rsid w:val="0062224A"/>
    <w:rsid w:val="00660A4E"/>
    <w:rsid w:val="0068328B"/>
    <w:rsid w:val="0069465B"/>
    <w:rsid w:val="00703B90"/>
    <w:rsid w:val="007048C6"/>
    <w:rsid w:val="00777E80"/>
    <w:rsid w:val="007E6369"/>
    <w:rsid w:val="008047E9"/>
    <w:rsid w:val="00825625"/>
    <w:rsid w:val="0083501C"/>
    <w:rsid w:val="008F0965"/>
    <w:rsid w:val="008F1A3B"/>
    <w:rsid w:val="0095684D"/>
    <w:rsid w:val="00970CB3"/>
    <w:rsid w:val="00976707"/>
    <w:rsid w:val="00984DE2"/>
    <w:rsid w:val="00997C84"/>
    <w:rsid w:val="009A4FD4"/>
    <w:rsid w:val="009C13F0"/>
    <w:rsid w:val="00A10B62"/>
    <w:rsid w:val="00A22B64"/>
    <w:rsid w:val="00B42B82"/>
    <w:rsid w:val="00B62583"/>
    <w:rsid w:val="00B94762"/>
    <w:rsid w:val="00BF59A8"/>
    <w:rsid w:val="00C95F4B"/>
    <w:rsid w:val="00D20C58"/>
    <w:rsid w:val="00D650A3"/>
    <w:rsid w:val="00D669FF"/>
    <w:rsid w:val="00DC1020"/>
    <w:rsid w:val="00DC2545"/>
    <w:rsid w:val="00DC256E"/>
    <w:rsid w:val="00E32CF0"/>
    <w:rsid w:val="00E903E3"/>
    <w:rsid w:val="00EF00D6"/>
    <w:rsid w:val="00F76F39"/>
    <w:rsid w:val="00FA06B5"/>
    <w:rsid w:val="00FA10AD"/>
    <w:rsid w:val="00FB487C"/>
    <w:rsid w:val="00FB5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62"/>
    <w:pPr>
      <w:suppressAutoHyphens/>
      <w:spacing w:after="0" w:line="240" w:lineRule="atLeast"/>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B94762"/>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SUPERS,EN Footnote Reference,Footnote symbol,Footnote reference number,Footnote,Times 10 Point,Exposant 3 Point,Ref,de nota al pie,note TESI,stylish"/>
    <w:uiPriority w:val="99"/>
    <w:rsid w:val="00B94762"/>
    <w:rPr>
      <w:rFonts w:ascii="Times New Roman" w:hAnsi="Times New Roman"/>
      <w:sz w:val="18"/>
      <w:vertAlign w:val="superscript"/>
    </w:rPr>
  </w:style>
  <w:style w:type="paragraph" w:styleId="FootnoteText">
    <w:name w:val="footnote text"/>
    <w:aliases w:val="5_G,Footnote Text Char1,Footnote Text Char Char,Footnote Text Char Char Char,Footnote Text Char Char Char Char Char,Fo,Footnote Text Char Char Char Char Char Char,Footnote Text Char Char1,Footnote Text Char3 Char1 Char1,F"/>
    <w:basedOn w:val="Normal"/>
    <w:link w:val="FootnoteTextChar2"/>
    <w:uiPriority w:val="99"/>
    <w:rsid w:val="00B94762"/>
    <w:pPr>
      <w:tabs>
        <w:tab w:val="right" w:pos="1021"/>
      </w:tabs>
      <w:spacing w:line="220" w:lineRule="exact"/>
      <w:ind w:left="1134" w:right="1134" w:hanging="1134"/>
    </w:pPr>
    <w:rPr>
      <w:sz w:val="18"/>
    </w:rPr>
  </w:style>
  <w:style w:type="character" w:customStyle="1" w:styleId="FootnoteTextChar">
    <w:name w:val="Footnote Text Char"/>
    <w:basedOn w:val="DefaultParagraphFont"/>
    <w:uiPriority w:val="99"/>
    <w:semiHidden/>
    <w:rsid w:val="00B94762"/>
    <w:rPr>
      <w:rFonts w:ascii="Times New Roman" w:eastAsia="Times New Roman" w:hAnsi="Times New Roman" w:cs="Times New Roman"/>
      <w:sz w:val="20"/>
      <w:szCs w:val="20"/>
    </w:rPr>
  </w:style>
  <w:style w:type="paragraph" w:customStyle="1" w:styleId="H23G">
    <w:name w:val="_ H_2/3_G"/>
    <w:basedOn w:val="Normal"/>
    <w:next w:val="Normal"/>
    <w:rsid w:val="00B94762"/>
    <w:pPr>
      <w:keepNext/>
      <w:keepLines/>
      <w:tabs>
        <w:tab w:val="right" w:pos="851"/>
      </w:tabs>
      <w:spacing w:before="240" w:after="120" w:line="240" w:lineRule="exact"/>
      <w:ind w:left="1134" w:right="1134" w:hanging="1134"/>
    </w:pPr>
    <w:rPr>
      <w:b/>
    </w:rPr>
  </w:style>
  <w:style w:type="character" w:customStyle="1" w:styleId="FootnoteTextChar2">
    <w:name w:val="Footnote Text Char2"/>
    <w:aliases w:val="5_G Char,Footnote Text Char1 Char,Footnote Text Char Char Char1,Footnote Text Char Char Char Char,Footnote Text Char Char Char Char Char Char1,Fo Char,Footnote Text Char Char Char Char Char Char Char,Footnote Text Char Char1 Char"/>
    <w:link w:val="FootnoteText"/>
    <w:uiPriority w:val="99"/>
    <w:locked/>
    <w:rsid w:val="00B94762"/>
    <w:rPr>
      <w:rFonts w:ascii="Times New Roman" w:eastAsia="Times New Roman" w:hAnsi="Times New Roman" w:cs="Times New Roman"/>
      <w:sz w:val="18"/>
      <w:szCs w:val="20"/>
    </w:rPr>
  </w:style>
  <w:style w:type="paragraph" w:styleId="ListParagraph">
    <w:name w:val="List Paragraph"/>
    <w:basedOn w:val="Normal"/>
    <w:uiPriority w:val="34"/>
    <w:qFormat/>
    <w:rsid w:val="001C10A8"/>
    <w:pPr>
      <w:ind w:left="720"/>
      <w:contextualSpacing/>
    </w:pPr>
  </w:style>
  <w:style w:type="character" w:styleId="Hyperlink">
    <w:name w:val="Hyperlink"/>
    <w:basedOn w:val="DefaultParagraphFont"/>
    <w:uiPriority w:val="99"/>
    <w:unhideWhenUsed/>
    <w:rsid w:val="00DC1020"/>
    <w:rPr>
      <w:color w:val="0000FF" w:themeColor="hyperlink"/>
      <w:u w:val="single"/>
    </w:rPr>
  </w:style>
  <w:style w:type="character" w:styleId="Strong">
    <w:name w:val="Strong"/>
    <w:basedOn w:val="DefaultParagraphFont"/>
    <w:uiPriority w:val="22"/>
    <w:qFormat/>
    <w:rsid w:val="00C95F4B"/>
    <w:rPr>
      <w:b/>
      <w:bCs/>
    </w:rPr>
  </w:style>
  <w:style w:type="paragraph" w:customStyle="1" w:styleId="SingleTxtG">
    <w:name w:val="_ Single Txt_G"/>
    <w:basedOn w:val="Normal"/>
    <w:link w:val="SingleTxtGChar"/>
    <w:rsid w:val="00C95F4B"/>
    <w:pPr>
      <w:spacing w:after="120"/>
      <w:ind w:left="1134" w:right="1134"/>
      <w:jc w:val="both"/>
    </w:pPr>
  </w:style>
  <w:style w:type="paragraph" w:customStyle="1" w:styleId="H1G">
    <w:name w:val="_ H_1_G"/>
    <w:basedOn w:val="Normal"/>
    <w:next w:val="Normal"/>
    <w:link w:val="H1GChar"/>
    <w:rsid w:val="00C95F4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C95F4B"/>
    <w:rPr>
      <w:rFonts w:ascii="Times New Roman" w:eastAsia="Times New Roman" w:hAnsi="Times New Roman" w:cs="Times New Roman"/>
      <w:b/>
      <w:sz w:val="24"/>
      <w:szCs w:val="20"/>
    </w:rPr>
  </w:style>
  <w:style w:type="character" w:customStyle="1" w:styleId="SingleTxtGChar">
    <w:name w:val="_ Single Txt_G Char"/>
    <w:link w:val="SingleTxtG"/>
    <w:locked/>
    <w:rsid w:val="00C95F4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A10A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0AD"/>
    <w:rPr>
      <w:rFonts w:ascii="Tahoma" w:eastAsia="Times New Roman" w:hAnsi="Tahoma" w:cs="Tahoma"/>
      <w:sz w:val="16"/>
      <w:szCs w:val="16"/>
    </w:rPr>
  </w:style>
  <w:style w:type="character" w:styleId="EndnoteReference">
    <w:name w:val="endnote reference"/>
    <w:aliases w:val="1_G"/>
    <w:rsid w:val="00085EDB"/>
    <w:rPr>
      <w:rFonts w:ascii="Times New Roman" w:hAnsi="Times New Roman"/>
      <w:sz w:val="18"/>
      <w:vertAlign w:val="superscript"/>
    </w:rPr>
  </w:style>
  <w:style w:type="character" w:styleId="FollowedHyperlink">
    <w:name w:val="FollowedHyperlink"/>
    <w:basedOn w:val="DefaultParagraphFont"/>
    <w:uiPriority w:val="99"/>
    <w:semiHidden/>
    <w:unhideWhenUsed/>
    <w:rsid w:val="00085EDB"/>
    <w:rPr>
      <w:color w:val="800080" w:themeColor="followedHyperlink"/>
      <w:u w:val="single"/>
    </w:rPr>
  </w:style>
  <w:style w:type="paragraph" w:styleId="Header">
    <w:name w:val="header"/>
    <w:basedOn w:val="Normal"/>
    <w:link w:val="HeaderChar"/>
    <w:uiPriority w:val="99"/>
    <w:unhideWhenUsed/>
    <w:rsid w:val="00D650A3"/>
    <w:pPr>
      <w:tabs>
        <w:tab w:val="center" w:pos="4513"/>
        <w:tab w:val="right" w:pos="9026"/>
      </w:tabs>
      <w:spacing w:line="240" w:lineRule="auto"/>
    </w:pPr>
  </w:style>
  <w:style w:type="character" w:customStyle="1" w:styleId="HeaderChar">
    <w:name w:val="Header Char"/>
    <w:basedOn w:val="DefaultParagraphFont"/>
    <w:link w:val="Header"/>
    <w:uiPriority w:val="99"/>
    <w:rsid w:val="00D650A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D650A3"/>
    <w:pPr>
      <w:tabs>
        <w:tab w:val="center" w:pos="4513"/>
        <w:tab w:val="right" w:pos="9026"/>
      </w:tabs>
      <w:spacing w:line="240" w:lineRule="auto"/>
    </w:pPr>
  </w:style>
  <w:style w:type="character" w:customStyle="1" w:styleId="FooterChar">
    <w:name w:val="Footer Char"/>
    <w:basedOn w:val="DefaultParagraphFont"/>
    <w:link w:val="Footer"/>
    <w:uiPriority w:val="99"/>
    <w:rsid w:val="00D650A3"/>
    <w:rPr>
      <w:rFonts w:ascii="Times New Roman" w:eastAsia="Times New Roman" w:hAnsi="Times New Roman" w:cs="Times New Roman"/>
      <w:sz w:val="20"/>
      <w:szCs w:val="20"/>
    </w:rPr>
  </w:style>
  <w:style w:type="table" w:styleId="TableGrid">
    <w:name w:val="Table Grid"/>
    <w:basedOn w:val="TableNormal"/>
    <w:uiPriority w:val="59"/>
    <w:rsid w:val="00FB5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533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62"/>
    <w:pPr>
      <w:suppressAutoHyphens/>
      <w:spacing w:after="0" w:line="240" w:lineRule="atLeast"/>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B94762"/>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SUPERS,EN Footnote Reference,Footnote symbol,Footnote reference number,Footnote,Times 10 Point,Exposant 3 Point,Ref,de nota al pie,note TESI,stylish"/>
    <w:uiPriority w:val="99"/>
    <w:rsid w:val="00B94762"/>
    <w:rPr>
      <w:rFonts w:ascii="Times New Roman" w:hAnsi="Times New Roman"/>
      <w:sz w:val="18"/>
      <w:vertAlign w:val="superscript"/>
    </w:rPr>
  </w:style>
  <w:style w:type="paragraph" w:styleId="FootnoteText">
    <w:name w:val="footnote text"/>
    <w:aliases w:val="5_G,Footnote Text Char1,Footnote Text Char Char,Footnote Text Char Char Char,Footnote Text Char Char Char Char Char,Fo,Footnote Text Char Char Char Char Char Char,Footnote Text Char Char1,Footnote Text Char3 Char1 Char1,F"/>
    <w:basedOn w:val="Normal"/>
    <w:link w:val="FootnoteTextChar2"/>
    <w:uiPriority w:val="99"/>
    <w:rsid w:val="00B94762"/>
    <w:pPr>
      <w:tabs>
        <w:tab w:val="right" w:pos="1021"/>
      </w:tabs>
      <w:spacing w:line="220" w:lineRule="exact"/>
      <w:ind w:left="1134" w:right="1134" w:hanging="1134"/>
    </w:pPr>
    <w:rPr>
      <w:sz w:val="18"/>
    </w:rPr>
  </w:style>
  <w:style w:type="character" w:customStyle="1" w:styleId="FootnoteTextChar">
    <w:name w:val="Footnote Text Char"/>
    <w:basedOn w:val="DefaultParagraphFont"/>
    <w:uiPriority w:val="99"/>
    <w:semiHidden/>
    <w:rsid w:val="00B94762"/>
    <w:rPr>
      <w:rFonts w:ascii="Times New Roman" w:eastAsia="Times New Roman" w:hAnsi="Times New Roman" w:cs="Times New Roman"/>
      <w:sz w:val="20"/>
      <w:szCs w:val="20"/>
    </w:rPr>
  </w:style>
  <w:style w:type="paragraph" w:customStyle="1" w:styleId="H23G">
    <w:name w:val="_ H_2/3_G"/>
    <w:basedOn w:val="Normal"/>
    <w:next w:val="Normal"/>
    <w:rsid w:val="00B94762"/>
    <w:pPr>
      <w:keepNext/>
      <w:keepLines/>
      <w:tabs>
        <w:tab w:val="right" w:pos="851"/>
      </w:tabs>
      <w:spacing w:before="240" w:after="120" w:line="240" w:lineRule="exact"/>
      <w:ind w:left="1134" w:right="1134" w:hanging="1134"/>
    </w:pPr>
    <w:rPr>
      <w:b/>
    </w:rPr>
  </w:style>
  <w:style w:type="character" w:customStyle="1" w:styleId="FootnoteTextChar2">
    <w:name w:val="Footnote Text Char2"/>
    <w:aliases w:val="5_G Char,Footnote Text Char1 Char,Footnote Text Char Char Char1,Footnote Text Char Char Char Char,Footnote Text Char Char Char Char Char Char1,Fo Char,Footnote Text Char Char Char Char Char Char Char,Footnote Text Char Char1 Char"/>
    <w:link w:val="FootnoteText"/>
    <w:uiPriority w:val="99"/>
    <w:locked/>
    <w:rsid w:val="00B94762"/>
    <w:rPr>
      <w:rFonts w:ascii="Times New Roman" w:eastAsia="Times New Roman" w:hAnsi="Times New Roman" w:cs="Times New Roman"/>
      <w:sz w:val="18"/>
      <w:szCs w:val="20"/>
    </w:rPr>
  </w:style>
  <w:style w:type="paragraph" w:styleId="ListParagraph">
    <w:name w:val="List Paragraph"/>
    <w:basedOn w:val="Normal"/>
    <w:uiPriority w:val="34"/>
    <w:qFormat/>
    <w:rsid w:val="001C10A8"/>
    <w:pPr>
      <w:ind w:left="720"/>
      <w:contextualSpacing/>
    </w:pPr>
  </w:style>
  <w:style w:type="character" w:styleId="Hyperlink">
    <w:name w:val="Hyperlink"/>
    <w:basedOn w:val="DefaultParagraphFont"/>
    <w:uiPriority w:val="99"/>
    <w:unhideWhenUsed/>
    <w:rsid w:val="00DC1020"/>
    <w:rPr>
      <w:color w:val="0000FF" w:themeColor="hyperlink"/>
      <w:u w:val="single"/>
    </w:rPr>
  </w:style>
  <w:style w:type="character" w:styleId="Strong">
    <w:name w:val="Strong"/>
    <w:basedOn w:val="DefaultParagraphFont"/>
    <w:uiPriority w:val="22"/>
    <w:qFormat/>
    <w:rsid w:val="00C95F4B"/>
    <w:rPr>
      <w:b/>
      <w:bCs/>
    </w:rPr>
  </w:style>
  <w:style w:type="paragraph" w:customStyle="1" w:styleId="SingleTxtG">
    <w:name w:val="_ Single Txt_G"/>
    <w:basedOn w:val="Normal"/>
    <w:link w:val="SingleTxtGChar"/>
    <w:rsid w:val="00C95F4B"/>
    <w:pPr>
      <w:spacing w:after="120"/>
      <w:ind w:left="1134" w:right="1134"/>
      <w:jc w:val="both"/>
    </w:pPr>
  </w:style>
  <w:style w:type="paragraph" w:customStyle="1" w:styleId="H1G">
    <w:name w:val="_ H_1_G"/>
    <w:basedOn w:val="Normal"/>
    <w:next w:val="Normal"/>
    <w:link w:val="H1GChar"/>
    <w:rsid w:val="00C95F4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C95F4B"/>
    <w:rPr>
      <w:rFonts w:ascii="Times New Roman" w:eastAsia="Times New Roman" w:hAnsi="Times New Roman" w:cs="Times New Roman"/>
      <w:b/>
      <w:sz w:val="24"/>
      <w:szCs w:val="20"/>
    </w:rPr>
  </w:style>
  <w:style w:type="character" w:customStyle="1" w:styleId="SingleTxtGChar">
    <w:name w:val="_ Single Txt_G Char"/>
    <w:link w:val="SingleTxtG"/>
    <w:locked/>
    <w:rsid w:val="00C95F4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A10A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0AD"/>
    <w:rPr>
      <w:rFonts w:ascii="Tahoma" w:eastAsia="Times New Roman" w:hAnsi="Tahoma" w:cs="Tahoma"/>
      <w:sz w:val="16"/>
      <w:szCs w:val="16"/>
    </w:rPr>
  </w:style>
  <w:style w:type="character" w:styleId="EndnoteReference">
    <w:name w:val="endnote reference"/>
    <w:aliases w:val="1_G"/>
    <w:rsid w:val="00085EDB"/>
    <w:rPr>
      <w:rFonts w:ascii="Times New Roman" w:hAnsi="Times New Roman"/>
      <w:sz w:val="18"/>
      <w:vertAlign w:val="superscript"/>
    </w:rPr>
  </w:style>
  <w:style w:type="character" w:styleId="FollowedHyperlink">
    <w:name w:val="FollowedHyperlink"/>
    <w:basedOn w:val="DefaultParagraphFont"/>
    <w:uiPriority w:val="99"/>
    <w:semiHidden/>
    <w:unhideWhenUsed/>
    <w:rsid w:val="00085EDB"/>
    <w:rPr>
      <w:color w:val="800080" w:themeColor="followedHyperlink"/>
      <w:u w:val="single"/>
    </w:rPr>
  </w:style>
  <w:style w:type="paragraph" w:styleId="Header">
    <w:name w:val="header"/>
    <w:basedOn w:val="Normal"/>
    <w:link w:val="HeaderChar"/>
    <w:uiPriority w:val="99"/>
    <w:unhideWhenUsed/>
    <w:rsid w:val="00D650A3"/>
    <w:pPr>
      <w:tabs>
        <w:tab w:val="center" w:pos="4513"/>
        <w:tab w:val="right" w:pos="9026"/>
      </w:tabs>
      <w:spacing w:line="240" w:lineRule="auto"/>
    </w:pPr>
  </w:style>
  <w:style w:type="character" w:customStyle="1" w:styleId="HeaderChar">
    <w:name w:val="Header Char"/>
    <w:basedOn w:val="DefaultParagraphFont"/>
    <w:link w:val="Header"/>
    <w:uiPriority w:val="99"/>
    <w:rsid w:val="00D650A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D650A3"/>
    <w:pPr>
      <w:tabs>
        <w:tab w:val="center" w:pos="4513"/>
        <w:tab w:val="right" w:pos="9026"/>
      </w:tabs>
      <w:spacing w:line="240" w:lineRule="auto"/>
    </w:pPr>
  </w:style>
  <w:style w:type="character" w:customStyle="1" w:styleId="FooterChar">
    <w:name w:val="Footer Char"/>
    <w:basedOn w:val="DefaultParagraphFont"/>
    <w:link w:val="Footer"/>
    <w:uiPriority w:val="99"/>
    <w:rsid w:val="00D650A3"/>
    <w:rPr>
      <w:rFonts w:ascii="Times New Roman" w:eastAsia="Times New Roman" w:hAnsi="Times New Roman" w:cs="Times New Roman"/>
      <w:sz w:val="20"/>
      <w:szCs w:val="20"/>
    </w:rPr>
  </w:style>
  <w:style w:type="table" w:styleId="TableGrid">
    <w:name w:val="Table Grid"/>
    <w:basedOn w:val="TableNormal"/>
    <w:uiPriority w:val="59"/>
    <w:rsid w:val="00FB5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53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277531">
      <w:bodyDiv w:val="1"/>
      <w:marLeft w:val="0"/>
      <w:marRight w:val="0"/>
      <w:marTop w:val="0"/>
      <w:marBottom w:val="240"/>
      <w:divBdr>
        <w:top w:val="none" w:sz="0" w:space="0" w:color="auto"/>
        <w:left w:val="none" w:sz="0" w:space="0" w:color="auto"/>
        <w:bottom w:val="none" w:sz="0" w:space="0" w:color="auto"/>
        <w:right w:val="none" w:sz="0" w:space="0" w:color="auto"/>
      </w:divBdr>
      <w:divsChild>
        <w:div w:id="1337607643">
          <w:marLeft w:val="240"/>
          <w:marRight w:val="0"/>
          <w:marTop w:val="0"/>
          <w:marBottom w:val="0"/>
          <w:divBdr>
            <w:top w:val="none" w:sz="0" w:space="0" w:color="auto"/>
            <w:left w:val="none" w:sz="0" w:space="0" w:color="auto"/>
            <w:bottom w:val="none" w:sz="0" w:space="0" w:color="auto"/>
            <w:right w:val="none" w:sz="0" w:space="0" w:color="auto"/>
          </w:divBdr>
          <w:divsChild>
            <w:div w:id="465243669">
              <w:marLeft w:val="0"/>
              <w:marRight w:val="0"/>
              <w:marTop w:val="0"/>
              <w:marBottom w:val="0"/>
              <w:divBdr>
                <w:top w:val="none" w:sz="0" w:space="0" w:color="auto"/>
                <w:left w:val="none" w:sz="0" w:space="0" w:color="auto"/>
                <w:bottom w:val="none" w:sz="0" w:space="0" w:color="auto"/>
                <w:right w:val="none" w:sz="0" w:space="0" w:color="auto"/>
              </w:divBdr>
              <w:divsChild>
                <w:div w:id="1900247092">
                  <w:marLeft w:val="0"/>
                  <w:marRight w:val="0"/>
                  <w:marTop w:val="0"/>
                  <w:marBottom w:val="180"/>
                  <w:divBdr>
                    <w:top w:val="none" w:sz="0" w:space="0" w:color="auto"/>
                    <w:left w:val="none" w:sz="0" w:space="0" w:color="auto"/>
                    <w:bottom w:val="none" w:sz="0" w:space="0" w:color="auto"/>
                    <w:right w:val="none" w:sz="0" w:space="0" w:color="auto"/>
                  </w:divBdr>
                  <w:divsChild>
                    <w:div w:id="1542354501">
                      <w:marLeft w:val="0"/>
                      <w:marRight w:val="0"/>
                      <w:marTop w:val="0"/>
                      <w:marBottom w:val="0"/>
                      <w:divBdr>
                        <w:top w:val="none" w:sz="0" w:space="0" w:color="auto"/>
                        <w:left w:val="none" w:sz="0" w:space="0" w:color="auto"/>
                        <w:bottom w:val="none" w:sz="0" w:space="0" w:color="auto"/>
                        <w:right w:val="single" w:sz="4" w:space="5" w:color="CFCFCF"/>
                      </w:divBdr>
                      <w:divsChild>
                        <w:div w:id="12725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publications.parliament.uk/pa/jt201516/jtselect/jtrights/92/92.pdf" TargetMode="External"/><Relationship Id="rId13" Type="http://schemas.openxmlformats.org/officeDocument/2006/relationships/hyperlink" Target="http://www.scottish.parliament.uk/LawSocietySubmission.pdf%20" TargetMode="External"/><Relationship Id="rId18" Type="http://schemas.openxmlformats.org/officeDocument/2006/relationships/hyperlink" Target="https://www.gov.uk/government/publications/trade-union-bill-european-convention-on-human-rights-echr" TargetMode="External"/><Relationship Id="rId26" Type="http://schemas.openxmlformats.org/officeDocument/2006/relationships/hyperlink" Target="https://documents-dds-ny.un.org/doc/UNDOC/GEN/G05/422/26/PDF/G0542226.pdf?OpenElement" TargetMode="External"/><Relationship Id="rId3" Type="http://schemas.openxmlformats.org/officeDocument/2006/relationships/hyperlink" Target="http://docstore.ohchr.org/SelfServices/FilesHandler.ashx?enc=4slQ6QSmlBEDzFEovLCuW3XRinAE8KCBFoqOHNz%2fvuBbH3pVJGzXimm%2bGzxMXB3jtfF114YMvhpk1Yz%2bsChaV6gW5IwMqfRV81JKEbjEzFZR8OvjqNIqYW07M%2fqVUOvl" TargetMode="External"/><Relationship Id="rId21" Type="http://schemas.openxmlformats.org/officeDocument/2006/relationships/hyperlink" Target="http://www.publications.parliament.uk/pa/jt201516/jtselect/jtrights/92/92.pdf" TargetMode="External"/><Relationship Id="rId34" Type="http://schemas.openxmlformats.org/officeDocument/2006/relationships/hyperlink" Target="https://www.morningstaronline.co.uk/a-a93a-Yorkshire-council-tears-up-contract-with-Carillion" TargetMode="External"/><Relationship Id="rId7" Type="http://schemas.openxmlformats.org/officeDocument/2006/relationships/hyperlink" Target="http://www.ilo.org/dyn/normlex/en/f?p=NORMLEXPUB:13100:0::NO::P13100_COMMENT_ID:3255351" TargetMode="External"/><Relationship Id="rId12" Type="http://schemas.openxmlformats.org/officeDocument/2006/relationships/hyperlink" Target="https://www.liberty-human-rights.org.uk/sites/default/files/Liberty's%20briefing%20on%20the%20Trade%20Union%20Bill%20for%20Second%20Reading%20in%20the%20House%20of%20Commons%20(Sep%202015)_0.pdf" TargetMode="External"/><Relationship Id="rId17" Type="http://schemas.openxmlformats.org/officeDocument/2006/relationships/hyperlink" Target="http://www.publications.parliament.uk/pa/jt201516/jtselect/jtrights/92/92.pdf" TargetMode="External"/><Relationship Id="rId25" Type="http://schemas.openxmlformats.org/officeDocument/2006/relationships/hyperlink" Target="https://documents-dds-ny.un.org/doc/UNDOC/GEN/G05/422/26/PDF/G0542226.pdf?OpenElement" TargetMode="External"/><Relationship Id="rId33" Type="http://schemas.openxmlformats.org/officeDocument/2006/relationships/hyperlink" Target="http://ted.europa.eu/udl?uri=TED:NOTICE:8896-2014:TEXT:EN:HTML" TargetMode="External"/><Relationship Id="rId2" Type="http://schemas.openxmlformats.org/officeDocument/2006/relationships/hyperlink" Target="http://tbinternet.ohchr.org/_layouts/treatybodyexternal/Download.aspx?symbolno=INT%2fCESCR%2fICO%2fGBR%2f21712&amp;Lang=en" TargetMode="External"/><Relationship Id="rId16" Type="http://schemas.openxmlformats.org/officeDocument/2006/relationships/hyperlink" Target="http://www.parliament.uk/business/committees/committees-a-z/joint-select/human-rights-committee/" TargetMode="External"/><Relationship Id="rId20" Type="http://schemas.openxmlformats.org/officeDocument/2006/relationships/hyperlink" Target="http://www.publications.parliament.uk/pa/jt201516/jtselect/jtrights/92/92.pdf" TargetMode="External"/><Relationship Id="rId29" Type="http://schemas.openxmlformats.org/officeDocument/2006/relationships/hyperlink" Target="http://ted.europa.eu/udl?uri=TED:NOTICE:220229-2014:TEXT:EN:HTML" TargetMode="External"/><Relationship Id="rId1" Type="http://schemas.openxmlformats.org/officeDocument/2006/relationships/hyperlink" Target="http://tbinternet.ohchr.org/_layouts/treatybodyexternal/Download.aspx?symbolno=INT%2fCESCR%2fICO%2fGBR%2f21712&amp;Lang=en" TargetMode="External"/><Relationship Id="rId6" Type="http://schemas.openxmlformats.org/officeDocument/2006/relationships/hyperlink" Target="https://www.gov.uk/government/publications/trade-union-bill-european-convention-on-human-rights-echr" TargetMode="External"/><Relationship Id="rId11" Type="http://schemas.openxmlformats.org/officeDocument/2006/relationships/hyperlink" Target="http://acquiaehrcnumikocom.devcloud.acquia-sites.com/sites/default/files/uploads/parlimentary/TU%20Bill%20HoL%20Committee%20Clauses%209%20and%2015%20FINAL.pdf" TargetMode="External"/><Relationship Id="rId24" Type="http://schemas.openxmlformats.org/officeDocument/2006/relationships/hyperlink" Target="http://www.publications.parliament.uk/pa/jt201516/jtselect/jtrights/92/92.pdf" TargetMode="External"/><Relationship Id="rId32" Type="http://schemas.openxmlformats.org/officeDocument/2006/relationships/hyperlink" Target="http://ted.europa.eu/udl?uri=TED:NOTICE:42307-2014:TEXT:EN:HTML" TargetMode="External"/><Relationship Id="rId5" Type="http://schemas.openxmlformats.org/officeDocument/2006/relationships/hyperlink" Target="http://www.publications.parliament.uk/pa/bills/lbill/2015-2016/0074/lbill_2015-20160074_en_1.htm" TargetMode="External"/><Relationship Id="rId15" Type="http://schemas.openxmlformats.org/officeDocument/2006/relationships/hyperlink" Target="http://www.ilo.org/dyn/normlex/en/f?p=NORMLEXPUB:13100:0::NO::P13100_COMMENT_ID:3255351" TargetMode="External"/><Relationship Id="rId23" Type="http://schemas.openxmlformats.org/officeDocument/2006/relationships/hyperlink" Target="http://www.publications.parliament.uk/pa/jt201516/jtselect/jtrights/92/92.pdf" TargetMode="External"/><Relationship Id="rId28" Type="http://schemas.openxmlformats.org/officeDocument/2006/relationships/hyperlink" Target="http://ted.europa.eu/udl?uri=TED:NOTICE:386317-2014:TEXT:EN:HTML" TargetMode="External"/><Relationship Id="rId10" Type="http://schemas.openxmlformats.org/officeDocument/2006/relationships/hyperlink" Target="http://www.scottish.parliament.uk/parliamentarybusiness/CurrentCommittees/95587.aspx" TargetMode="External"/><Relationship Id="rId19" Type="http://schemas.openxmlformats.org/officeDocument/2006/relationships/hyperlink" Target="http://www.publications.parliament.uk/pa/jt201516/jtselect/jtrights/92/92.pdf" TargetMode="External"/><Relationship Id="rId31" Type="http://schemas.openxmlformats.org/officeDocument/2006/relationships/hyperlink" Target="http://ted.europa.eu/udl?uri=TED:NOTICE:325582-2014:TEXT:EN:HTML" TargetMode="External"/><Relationship Id="rId4" Type="http://schemas.openxmlformats.org/officeDocument/2006/relationships/hyperlink" Target="http://tbinternet.ohchr.org/_layouts/treatybodyexternal/Download.aspx?symbolno=E%2fC.12%2fGBR%2fQ%2f6%2fAdd.1&amp;Lang=en" TargetMode="External"/><Relationship Id="rId9" Type="http://schemas.openxmlformats.org/officeDocument/2006/relationships/hyperlink" Target="http://www.scottish.parliament.uk/20151211_TU_Bill_SG_Policy_Memo.pdf%20" TargetMode="External"/><Relationship Id="rId14" Type="http://schemas.openxmlformats.org/officeDocument/2006/relationships/hyperlink" Target="http://www.cosla.gov.uk/news/2015/09/standing-shoulder-shoulder-scottish-trade-unions" TargetMode="External"/><Relationship Id="rId22" Type="http://schemas.openxmlformats.org/officeDocument/2006/relationships/hyperlink" Target="http://www.publications.parliament.uk/pa/jt201516/jtselect/jtrights/92/92.pdf" TargetMode="External"/><Relationship Id="rId27" Type="http://schemas.openxmlformats.org/officeDocument/2006/relationships/hyperlink" Target="http://www.legislation.gov.uk/ukpga/1998/46/section/57" TargetMode="External"/><Relationship Id="rId30" Type="http://schemas.openxmlformats.org/officeDocument/2006/relationships/hyperlink" Target="http://ted.europa.eu/udl?uri=TED:NOTICE:258273-2014:TEXT:EN:HTML" TargetMode="External"/><Relationship Id="rId35" Type="http://schemas.openxmlformats.org/officeDocument/2006/relationships/hyperlink" Target="http://www.publications.parliament.uk/pa/cm201415/cmselect/cmscotaf/272/2720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7D5B14-D786-4515-90BD-11936C9EC757}"/>
</file>

<file path=customXml/itemProps2.xml><?xml version="1.0" encoding="utf-8"?>
<ds:datastoreItem xmlns:ds="http://schemas.openxmlformats.org/officeDocument/2006/customXml" ds:itemID="{34C40FE8-9EEE-4431-BE7B-B991FD2E52EB}"/>
</file>

<file path=customXml/itemProps3.xml><?xml version="1.0" encoding="utf-8"?>
<ds:datastoreItem xmlns:ds="http://schemas.openxmlformats.org/officeDocument/2006/customXml" ds:itemID="{0B54A1D4-3673-4838-B750-851C6A64EEB2}"/>
</file>

<file path=customXml/itemProps4.xml><?xml version="1.0" encoding="utf-8"?>
<ds:datastoreItem xmlns:ds="http://schemas.openxmlformats.org/officeDocument/2006/customXml" ds:itemID="{CC220A10-F84C-49AE-AC4D-35D40664C6F3}"/>
</file>

<file path=docProps/app.xml><?xml version="1.0" encoding="utf-8"?>
<Properties xmlns="http://schemas.openxmlformats.org/officeDocument/2006/extended-properties" xmlns:vt="http://schemas.openxmlformats.org/officeDocument/2006/docPropsVTypes">
  <Template>Normal</Template>
  <TotalTime>45</TotalTime>
  <Pages>17</Pages>
  <Words>4477</Words>
  <Characters>25519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UNISON</Company>
  <LinksUpToDate>false</LinksUpToDate>
  <CharactersWithSpaces>29937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peterh</dc:creator>
  <cp:lastModifiedBy>ictadmin</cp:lastModifiedBy>
  <cp:revision>17</cp:revision>
  <cp:lastPrinted>2016-04-21T10:59:00Z</cp:lastPrinted>
  <dcterms:created xsi:type="dcterms:W3CDTF">2016-04-21T10:52:00Z</dcterms:created>
  <dcterms:modified xsi:type="dcterms:W3CDTF">2016-04-26T09:19:00Z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