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6D29" w:rsidRPr="006A07F0" w:rsidRDefault="006A07F0" w:rsidP="006A07F0">
      <w:pPr>
        <w:jc w:val="center"/>
        <w:rPr>
          <w:rFonts w:asciiTheme="majorHAnsi" w:hAnsiTheme="majorHAnsi"/>
          <w:b/>
          <w:bCs/>
          <w:sz w:val="32"/>
          <w:szCs w:val="32"/>
        </w:rPr>
      </w:pPr>
      <w:bookmarkStart w:id="0" w:name="_GoBack"/>
      <w:bookmarkEnd w:id="0"/>
      <w:r w:rsidRPr="006A07F0">
        <w:rPr>
          <w:rFonts w:asciiTheme="majorHAnsi" w:hAnsiTheme="majorHAnsi"/>
          <w:b/>
          <w:bCs/>
          <w:sz w:val="32"/>
          <w:szCs w:val="32"/>
        </w:rPr>
        <w:t xml:space="preserve">Shadow / Parallel </w:t>
      </w:r>
      <w:r w:rsidR="00CF786E">
        <w:rPr>
          <w:rFonts w:asciiTheme="majorHAnsi" w:hAnsiTheme="majorHAnsi"/>
          <w:b/>
          <w:bCs/>
          <w:sz w:val="32"/>
          <w:szCs w:val="32"/>
        </w:rPr>
        <w:t>Report on the Impact of the Lack of H</w:t>
      </w:r>
      <w:r w:rsidRPr="006A07F0">
        <w:rPr>
          <w:rFonts w:asciiTheme="majorHAnsi" w:hAnsiTheme="majorHAnsi"/>
          <w:b/>
          <w:bCs/>
          <w:sz w:val="32"/>
          <w:szCs w:val="32"/>
        </w:rPr>
        <w:t>armonization of the Convention on the Rights of Persons with Disabilities and Palestinian Laws</w:t>
      </w:r>
    </w:p>
    <w:p w:rsidR="006A07F0" w:rsidRPr="006A07F0" w:rsidRDefault="006A07F0" w:rsidP="006A07F0">
      <w:pPr>
        <w:jc w:val="center"/>
        <w:rPr>
          <w:rFonts w:asciiTheme="majorHAnsi" w:hAnsiTheme="majorHAnsi"/>
          <w:sz w:val="32"/>
          <w:szCs w:val="32"/>
        </w:rPr>
      </w:pPr>
    </w:p>
    <w:p w:rsidR="006A07F0" w:rsidRPr="006A07F0" w:rsidRDefault="006A07F0" w:rsidP="006A07F0">
      <w:pPr>
        <w:jc w:val="center"/>
        <w:rPr>
          <w:rFonts w:asciiTheme="majorHAnsi" w:hAnsiTheme="majorHAnsi"/>
          <w:sz w:val="32"/>
          <w:szCs w:val="32"/>
        </w:rPr>
      </w:pPr>
    </w:p>
    <w:p w:rsidR="006A07F0" w:rsidRPr="006A07F0" w:rsidRDefault="006A07F0" w:rsidP="006A07F0">
      <w:pPr>
        <w:jc w:val="center"/>
        <w:rPr>
          <w:rFonts w:asciiTheme="majorHAnsi" w:hAnsiTheme="majorHAnsi"/>
          <w:b/>
          <w:bCs/>
          <w:sz w:val="32"/>
          <w:szCs w:val="32"/>
          <w:rtl/>
        </w:rPr>
      </w:pPr>
      <w:r w:rsidRPr="006A07F0">
        <w:rPr>
          <w:rFonts w:asciiTheme="majorHAnsi" w:hAnsiTheme="majorHAnsi"/>
          <w:b/>
          <w:bCs/>
          <w:sz w:val="32"/>
          <w:szCs w:val="32"/>
        </w:rPr>
        <w:t>Submitted to</w:t>
      </w:r>
      <w:r w:rsidRPr="006A07F0">
        <w:rPr>
          <w:rFonts w:asciiTheme="majorHAnsi" w:hAnsiTheme="majorHAnsi"/>
          <w:b/>
          <w:bCs/>
          <w:sz w:val="32"/>
          <w:szCs w:val="32"/>
          <w:rtl/>
        </w:rPr>
        <w:t>:</w:t>
      </w:r>
    </w:p>
    <w:p w:rsidR="006A07F0" w:rsidRDefault="006A07F0" w:rsidP="006A07F0">
      <w:pPr>
        <w:jc w:val="center"/>
        <w:rPr>
          <w:rFonts w:asciiTheme="majorHAnsi" w:hAnsiTheme="majorHAnsi"/>
          <w:sz w:val="32"/>
          <w:szCs w:val="32"/>
          <w:rtl/>
          <w:lang/>
        </w:rPr>
      </w:pPr>
      <w:r w:rsidRPr="006A07F0">
        <w:rPr>
          <w:rFonts w:asciiTheme="majorHAnsi" w:hAnsiTheme="majorHAnsi"/>
          <w:sz w:val="32"/>
          <w:szCs w:val="32"/>
        </w:rPr>
        <w:t xml:space="preserve"> the Committee on the Rights of Persons with Disabilities at the Session</w:t>
      </w:r>
      <w:r w:rsidRPr="006A07F0">
        <w:rPr>
          <w:rFonts w:asciiTheme="majorHAnsi" w:hAnsiTheme="majorHAnsi"/>
          <w:sz w:val="32"/>
          <w:szCs w:val="32"/>
          <w:rtl/>
        </w:rPr>
        <w:t xml:space="preserve"> </w:t>
      </w:r>
      <w:r w:rsidRPr="006A07F0">
        <w:rPr>
          <w:rFonts w:asciiTheme="majorHAnsi" w:hAnsiTheme="majorHAnsi"/>
          <w:sz w:val="32"/>
          <w:szCs w:val="32"/>
        </w:rPr>
        <w:t xml:space="preserve">February – March </w:t>
      </w:r>
      <w:r w:rsidR="00C80DD5">
        <w:rPr>
          <w:rFonts w:asciiTheme="majorHAnsi" w:hAnsiTheme="majorHAnsi"/>
          <w:sz w:val="32"/>
          <w:szCs w:val="32"/>
          <w:rtl/>
          <w:lang/>
        </w:rPr>
        <w:t>2023</w:t>
      </w:r>
    </w:p>
    <w:p w:rsidR="006A07F0" w:rsidRDefault="006A07F0" w:rsidP="006A07F0">
      <w:pPr>
        <w:jc w:val="center"/>
        <w:rPr>
          <w:rFonts w:asciiTheme="majorHAnsi" w:hAnsiTheme="majorHAnsi"/>
          <w:sz w:val="32"/>
          <w:szCs w:val="32"/>
          <w:rtl/>
        </w:rPr>
      </w:pPr>
    </w:p>
    <w:p w:rsidR="006A07F0" w:rsidRPr="006A07F0" w:rsidRDefault="006A07F0" w:rsidP="006A07F0">
      <w:pPr>
        <w:jc w:val="center"/>
        <w:rPr>
          <w:rFonts w:asciiTheme="majorHAnsi" w:hAnsiTheme="majorHAnsi"/>
          <w:b/>
          <w:bCs/>
          <w:sz w:val="32"/>
          <w:szCs w:val="32"/>
        </w:rPr>
      </w:pPr>
      <w:r w:rsidRPr="006A07F0">
        <w:rPr>
          <w:rFonts w:asciiTheme="majorHAnsi" w:hAnsiTheme="majorHAnsi"/>
          <w:b/>
          <w:bCs/>
          <w:sz w:val="32"/>
          <w:szCs w:val="32"/>
        </w:rPr>
        <w:t>Submitted by:</w:t>
      </w:r>
    </w:p>
    <w:p w:rsidR="006A07F0" w:rsidRPr="006A07F0" w:rsidRDefault="006A07F0" w:rsidP="006A07F0">
      <w:pPr>
        <w:jc w:val="center"/>
        <w:rPr>
          <w:rFonts w:asciiTheme="majorHAnsi" w:hAnsiTheme="majorHAnsi"/>
          <w:sz w:val="32"/>
          <w:szCs w:val="32"/>
        </w:rPr>
      </w:pPr>
      <w:r w:rsidRPr="006A07F0">
        <w:rPr>
          <w:rFonts w:asciiTheme="majorHAnsi" w:hAnsiTheme="majorHAnsi"/>
          <w:sz w:val="32"/>
          <w:szCs w:val="32"/>
        </w:rPr>
        <w:t>Palestinian Consultative Staff for Developing NGOs (PCS)</w:t>
      </w:r>
    </w:p>
    <w:p w:rsidR="006A07F0" w:rsidRPr="006A07F0" w:rsidRDefault="006A07F0" w:rsidP="006A07F0">
      <w:pPr>
        <w:jc w:val="center"/>
        <w:rPr>
          <w:rFonts w:asciiTheme="majorHAnsi" w:hAnsiTheme="majorHAnsi"/>
          <w:sz w:val="32"/>
          <w:szCs w:val="32"/>
        </w:rPr>
      </w:pPr>
      <w:r>
        <w:rPr>
          <w:rFonts w:asciiTheme="majorHAnsi" w:hAnsiTheme="majorHAnsi"/>
          <w:sz w:val="32"/>
          <w:szCs w:val="32"/>
        </w:rPr>
        <w:t>In Cooperation with Organizations of Persons with D</w:t>
      </w:r>
      <w:r w:rsidRPr="006A07F0">
        <w:rPr>
          <w:rFonts w:asciiTheme="majorHAnsi" w:hAnsiTheme="majorHAnsi"/>
          <w:sz w:val="32"/>
          <w:szCs w:val="32"/>
        </w:rPr>
        <w:t>isabilities in Palestine</w:t>
      </w:r>
    </w:p>
    <w:p w:rsidR="006A07F0" w:rsidRDefault="006A07F0" w:rsidP="006A07F0">
      <w:pPr>
        <w:jc w:val="center"/>
        <w:rPr>
          <w:rFonts w:asciiTheme="majorHAnsi" w:hAnsiTheme="majorHAnsi"/>
          <w:sz w:val="32"/>
          <w:szCs w:val="32"/>
          <w:rtl/>
        </w:rPr>
      </w:pPr>
    </w:p>
    <w:p w:rsidR="00B056B1" w:rsidRDefault="00B056B1" w:rsidP="006A07F0">
      <w:pPr>
        <w:jc w:val="center"/>
        <w:rPr>
          <w:rFonts w:asciiTheme="majorHAnsi" w:hAnsiTheme="majorHAnsi"/>
          <w:sz w:val="32"/>
          <w:szCs w:val="32"/>
          <w:rtl/>
        </w:rPr>
      </w:pPr>
    </w:p>
    <w:p w:rsidR="00B056B1" w:rsidRDefault="00B056B1" w:rsidP="006A07F0">
      <w:pPr>
        <w:jc w:val="center"/>
        <w:rPr>
          <w:rFonts w:asciiTheme="majorHAnsi" w:hAnsiTheme="majorHAnsi"/>
          <w:sz w:val="32"/>
          <w:szCs w:val="32"/>
          <w:rtl/>
        </w:rPr>
      </w:pPr>
    </w:p>
    <w:p w:rsidR="00B056B1" w:rsidRDefault="00B056B1" w:rsidP="006A07F0">
      <w:pPr>
        <w:jc w:val="center"/>
        <w:rPr>
          <w:rFonts w:asciiTheme="majorHAnsi" w:hAnsiTheme="majorHAnsi"/>
          <w:sz w:val="32"/>
          <w:szCs w:val="32"/>
          <w:rtl/>
        </w:rPr>
      </w:pPr>
    </w:p>
    <w:p w:rsidR="00B056B1" w:rsidRDefault="00B056B1" w:rsidP="006A07F0">
      <w:pPr>
        <w:jc w:val="center"/>
        <w:rPr>
          <w:rFonts w:asciiTheme="majorHAnsi" w:hAnsiTheme="majorHAnsi"/>
          <w:sz w:val="32"/>
          <w:szCs w:val="32"/>
          <w:rtl/>
        </w:rPr>
      </w:pPr>
    </w:p>
    <w:p w:rsidR="00B056B1" w:rsidRDefault="00B056B1" w:rsidP="006A07F0">
      <w:pPr>
        <w:jc w:val="center"/>
        <w:rPr>
          <w:rFonts w:asciiTheme="majorHAnsi" w:hAnsiTheme="majorHAnsi"/>
          <w:sz w:val="32"/>
          <w:szCs w:val="32"/>
        </w:rPr>
      </w:pPr>
    </w:p>
    <w:p w:rsidR="006A07F0" w:rsidRDefault="006A07F0" w:rsidP="006A07F0">
      <w:pPr>
        <w:jc w:val="center"/>
        <w:rPr>
          <w:rFonts w:asciiTheme="majorHAnsi" w:hAnsiTheme="majorHAnsi"/>
          <w:b/>
          <w:bCs/>
          <w:sz w:val="32"/>
          <w:szCs w:val="32"/>
          <w:rtl/>
        </w:rPr>
      </w:pPr>
    </w:p>
    <w:p w:rsidR="00B056B1" w:rsidRDefault="00B056B1" w:rsidP="006A07F0">
      <w:pPr>
        <w:jc w:val="center"/>
        <w:rPr>
          <w:rFonts w:asciiTheme="majorHAnsi" w:hAnsiTheme="majorHAnsi"/>
          <w:sz w:val="32"/>
          <w:szCs w:val="32"/>
          <w:lang w:val="de-DE"/>
        </w:rPr>
      </w:pPr>
    </w:p>
    <w:p w:rsidR="006A07F0" w:rsidRPr="006A07F0" w:rsidRDefault="006A07F0">
      <w:pPr>
        <w:pStyle w:val="TOCHeading"/>
      </w:pPr>
      <w:r w:rsidRPr="006A07F0">
        <w:t>Contents</w:t>
      </w:r>
    </w:p>
    <w:p w:rsidR="00CF786E" w:rsidRDefault="006A07F0" w:rsidP="00CF786E">
      <w:pPr>
        <w:pStyle w:val="TOC1"/>
        <w:rPr>
          <w:rFonts w:eastAsiaTheme="minorEastAsia"/>
          <w:noProof/>
        </w:rPr>
      </w:pPr>
      <w:r w:rsidRPr="006A07F0">
        <w:rPr>
          <w:rFonts w:asciiTheme="majorHAnsi" w:hAnsiTheme="majorHAnsi"/>
        </w:rPr>
        <w:fldChar w:fldCharType="begin"/>
      </w:r>
      <w:r w:rsidRPr="006A07F0">
        <w:rPr>
          <w:rFonts w:asciiTheme="majorHAnsi" w:hAnsiTheme="majorHAnsi"/>
        </w:rPr>
        <w:instrText xml:space="preserve"> TOC \o "1-3" \h \z \u </w:instrText>
      </w:r>
      <w:r w:rsidRPr="006A07F0">
        <w:rPr>
          <w:rFonts w:asciiTheme="majorHAnsi" w:hAnsiTheme="majorHAnsi"/>
        </w:rPr>
        <w:fldChar w:fldCharType="separate"/>
      </w:r>
      <w:hyperlink w:anchor="_Toc64718672" w:history="1">
        <w:r w:rsidR="00CF786E" w:rsidRPr="001D59B4">
          <w:rPr>
            <w:rStyle w:val="Hyperlink"/>
            <w:noProof/>
          </w:rPr>
          <w:t>About PCS:</w:t>
        </w:r>
        <w:r w:rsidR="00CF786E">
          <w:rPr>
            <w:noProof/>
            <w:webHidden/>
          </w:rPr>
          <w:tab/>
        </w:r>
        <w:r w:rsidR="00CF786E">
          <w:rPr>
            <w:noProof/>
            <w:webHidden/>
          </w:rPr>
          <w:fldChar w:fldCharType="begin"/>
        </w:r>
        <w:r w:rsidR="00CF786E">
          <w:rPr>
            <w:noProof/>
            <w:webHidden/>
          </w:rPr>
          <w:instrText xml:space="preserve"> PAGEREF _Toc64718672 \h </w:instrText>
        </w:r>
        <w:r w:rsidR="00CF786E">
          <w:rPr>
            <w:noProof/>
            <w:webHidden/>
          </w:rPr>
        </w:r>
        <w:r w:rsidR="00CF786E">
          <w:rPr>
            <w:noProof/>
            <w:webHidden/>
          </w:rPr>
          <w:fldChar w:fldCharType="separate"/>
        </w:r>
        <w:r w:rsidR="00A31511">
          <w:rPr>
            <w:noProof/>
            <w:webHidden/>
          </w:rPr>
          <w:t>3</w:t>
        </w:r>
        <w:r w:rsidR="00CF786E">
          <w:rPr>
            <w:noProof/>
            <w:webHidden/>
          </w:rPr>
          <w:fldChar w:fldCharType="end"/>
        </w:r>
      </w:hyperlink>
    </w:p>
    <w:p w:rsidR="00CF786E" w:rsidRDefault="00B8438B" w:rsidP="00CF786E">
      <w:pPr>
        <w:pStyle w:val="TOC1"/>
        <w:rPr>
          <w:rFonts w:eastAsiaTheme="minorEastAsia"/>
          <w:noProof/>
        </w:rPr>
      </w:pPr>
      <w:hyperlink w:anchor="_Toc64718673" w:history="1">
        <w:r w:rsidR="00CF786E" w:rsidRPr="001D59B4">
          <w:rPr>
            <w:rStyle w:val="Hyperlink"/>
            <w:noProof/>
          </w:rPr>
          <w:t>Introduction:</w:t>
        </w:r>
        <w:r w:rsidR="00CF786E">
          <w:rPr>
            <w:noProof/>
            <w:webHidden/>
          </w:rPr>
          <w:tab/>
        </w:r>
        <w:r w:rsidR="006C6BB3">
          <w:rPr>
            <w:noProof/>
            <w:webHidden/>
          </w:rPr>
          <w:t>4</w:t>
        </w:r>
      </w:hyperlink>
    </w:p>
    <w:p w:rsidR="00CF786E" w:rsidRDefault="00B8438B" w:rsidP="00CF786E">
      <w:pPr>
        <w:pStyle w:val="TOC1"/>
        <w:rPr>
          <w:rFonts w:eastAsiaTheme="minorEastAsia"/>
          <w:noProof/>
        </w:rPr>
      </w:pPr>
      <w:hyperlink w:anchor="_Toc64718674" w:history="1">
        <w:r w:rsidR="00CF786E" w:rsidRPr="001D59B4">
          <w:rPr>
            <w:rStyle w:val="Hyperlink"/>
            <w:noProof/>
          </w:rPr>
          <w:t>The Legal Environment for Persons with Disabilities:</w:t>
        </w:r>
        <w:r w:rsidR="00CF786E">
          <w:rPr>
            <w:noProof/>
            <w:webHidden/>
          </w:rPr>
          <w:tab/>
        </w:r>
        <w:r w:rsidR="00E40C25">
          <w:rPr>
            <w:noProof/>
            <w:webHidden/>
            <w:rtl/>
            <w:lang/>
          </w:rPr>
          <w:t>4</w:t>
        </w:r>
      </w:hyperlink>
    </w:p>
    <w:p w:rsidR="00CF786E" w:rsidRDefault="00B8438B" w:rsidP="00CF786E">
      <w:pPr>
        <w:pStyle w:val="TOC1"/>
        <w:rPr>
          <w:rFonts w:eastAsiaTheme="minorEastAsia"/>
          <w:noProof/>
        </w:rPr>
      </w:pPr>
      <w:hyperlink w:anchor="_Toc64718675" w:history="1">
        <w:r w:rsidR="00CF786E" w:rsidRPr="001D59B4">
          <w:rPr>
            <w:rStyle w:val="Hyperlink"/>
            <w:noProof/>
          </w:rPr>
          <w:t>The Impact of the Lack of Harmonization of the Convention on the Rights of Persons with Disabilities and Palestinian Laws on the Reality of the Rights of Persons with Disabilities in Palestine:</w:t>
        </w:r>
        <w:r w:rsidR="00CF786E">
          <w:rPr>
            <w:noProof/>
            <w:webHidden/>
          </w:rPr>
          <w:tab/>
        </w:r>
        <w:r w:rsidR="00E40C25">
          <w:rPr>
            <w:noProof/>
            <w:webHidden/>
            <w:rtl/>
            <w:lang/>
          </w:rPr>
          <w:t>5</w:t>
        </w:r>
      </w:hyperlink>
    </w:p>
    <w:p w:rsidR="00CF786E" w:rsidRDefault="00B8438B" w:rsidP="00CF786E">
      <w:pPr>
        <w:pStyle w:val="TOC1"/>
        <w:rPr>
          <w:rFonts w:eastAsiaTheme="minorEastAsia"/>
          <w:noProof/>
        </w:rPr>
      </w:pPr>
      <w:hyperlink w:anchor="_Toc64718676" w:history="1">
        <w:r w:rsidR="00CF786E" w:rsidRPr="001D59B4">
          <w:rPr>
            <w:rStyle w:val="Hyperlink"/>
            <w:noProof/>
          </w:rPr>
          <w:t>Challenges and Gaps Facing the Enforcement of the Rights of Persons with Disabilities According to the Palestinian Legislative System and the International Standards:</w:t>
        </w:r>
        <w:r w:rsidR="00CF786E">
          <w:rPr>
            <w:noProof/>
            <w:webHidden/>
          </w:rPr>
          <w:tab/>
        </w:r>
        <w:r w:rsidR="00E40C25">
          <w:rPr>
            <w:noProof/>
            <w:webHidden/>
            <w:rtl/>
            <w:lang/>
          </w:rPr>
          <w:t>8</w:t>
        </w:r>
      </w:hyperlink>
    </w:p>
    <w:p w:rsidR="00CF786E" w:rsidRDefault="00B8438B" w:rsidP="00CF786E">
      <w:pPr>
        <w:pStyle w:val="TOC1"/>
        <w:rPr>
          <w:rFonts w:eastAsiaTheme="minorEastAsia"/>
          <w:noProof/>
        </w:rPr>
      </w:pPr>
      <w:hyperlink w:anchor="_Toc64718677" w:history="1">
        <w:r w:rsidR="00CF786E" w:rsidRPr="001D59B4">
          <w:rPr>
            <w:rStyle w:val="Hyperlink"/>
            <w:noProof/>
          </w:rPr>
          <w:t>General Recommendations:</w:t>
        </w:r>
        <w:r w:rsidR="00CF786E">
          <w:rPr>
            <w:noProof/>
            <w:webHidden/>
          </w:rPr>
          <w:tab/>
        </w:r>
        <w:r w:rsidR="006C6BB3">
          <w:rPr>
            <w:noProof/>
            <w:webHidden/>
            <w:rtl/>
          </w:rPr>
          <w:t>1</w:t>
        </w:r>
        <w:r w:rsidR="00E40C25">
          <w:rPr>
            <w:noProof/>
            <w:webHidden/>
            <w:rtl/>
            <w:lang/>
          </w:rPr>
          <w:t>0</w:t>
        </w:r>
      </w:hyperlink>
    </w:p>
    <w:p w:rsidR="006A07F0" w:rsidRPr="006A07F0" w:rsidRDefault="006A07F0">
      <w:pPr>
        <w:rPr>
          <w:rFonts w:asciiTheme="majorHAnsi" w:hAnsiTheme="majorHAnsi"/>
        </w:rPr>
      </w:pPr>
      <w:r w:rsidRPr="006A07F0">
        <w:rPr>
          <w:rFonts w:asciiTheme="majorHAnsi" w:hAnsiTheme="majorHAnsi"/>
        </w:rPr>
        <w:fldChar w:fldCharType="end"/>
      </w:r>
    </w:p>
    <w:p w:rsidR="006A07F0" w:rsidRDefault="006A07F0" w:rsidP="006A07F0">
      <w:pPr>
        <w:rPr>
          <w:rFonts w:asciiTheme="majorHAnsi" w:hAnsiTheme="majorHAnsi"/>
          <w:szCs w:val="24"/>
        </w:rPr>
      </w:pPr>
    </w:p>
    <w:p w:rsidR="006A07F0" w:rsidRDefault="006A07F0">
      <w:pPr>
        <w:rPr>
          <w:rFonts w:asciiTheme="majorHAnsi" w:hAnsiTheme="majorHAnsi"/>
          <w:szCs w:val="24"/>
        </w:rPr>
      </w:pPr>
      <w:r>
        <w:rPr>
          <w:rFonts w:asciiTheme="majorHAnsi" w:hAnsiTheme="majorHAnsi"/>
          <w:szCs w:val="24"/>
        </w:rPr>
        <w:br w:type="page"/>
      </w:r>
    </w:p>
    <w:p w:rsidR="006A07F0" w:rsidRDefault="006A07F0" w:rsidP="006A07F0">
      <w:pPr>
        <w:pStyle w:val="Heading1"/>
      </w:pPr>
      <w:bookmarkStart w:id="1" w:name="_Toc64718672"/>
      <w:r>
        <w:lastRenderedPageBreak/>
        <w:t>About PCS:</w:t>
      </w:r>
      <w:bookmarkEnd w:id="1"/>
    </w:p>
    <w:p w:rsidR="00CF786E" w:rsidRDefault="00CF786E" w:rsidP="00232826">
      <w:pPr>
        <w:jc w:val="both"/>
      </w:pPr>
      <w:r>
        <w:t xml:space="preserve">The Palestinian Consultative Staff for Developing NGOs (PCS) is an independent non-governmental organization that aims to develop and empower Palestinian society towards promoting democracy, social justice, sustainable development and respect for human rights and the law. PCS provides its services without any discrimination </w:t>
      </w:r>
      <w:r w:rsidR="00A67779">
        <w:t>based on</w:t>
      </w:r>
      <w:r>
        <w:t xml:space="preserve"> religion, gender, or race.</w:t>
      </w:r>
    </w:p>
    <w:p w:rsidR="00CF786E" w:rsidRDefault="00CF786E" w:rsidP="00232826">
      <w:pPr>
        <w:jc w:val="both"/>
      </w:pPr>
      <w:r>
        <w:t xml:space="preserve">PCS was established in May 2005 after signing memoranda of understanding with member NGOs </w:t>
      </w:r>
      <w:r w:rsidR="00A67779">
        <w:t>to strengthen</w:t>
      </w:r>
      <w:r>
        <w:t xml:space="preserve"> cooperation and networking between various civil society organizations. Since then, it has evolved into one of the leading institutions, serving as a key link and reference framework for coordination between non-governmental organizations. PCS was officially registered in the Palestinian Ministry of Interior in December 2005, under the number-897-B.  </w:t>
      </w:r>
    </w:p>
    <w:p w:rsidR="00CF786E" w:rsidRDefault="00CF786E" w:rsidP="00232826">
      <w:pPr>
        <w:jc w:val="both"/>
      </w:pPr>
      <w:r>
        <w:t xml:space="preserve">“The Human Rights” program is one of the main programs in PCS, focusing on economic and social rights as a complement to the efforts of other institutions working on political rights.  Within it, PCS has established the only monitoring unit in Palestine specialized in the issues of persons with disabilities, funded by </w:t>
      </w:r>
      <w:r w:rsidR="00A67779">
        <w:t xml:space="preserve">the </w:t>
      </w:r>
      <w:r>
        <w:t>EU. It documents individual and collective complaints, monitor them, and follow-up with governmental and non-governmental entities, working to resolve them in the individual and collective frameworks. It also builds on them to change policies through multilateral dialogue with the government.</w:t>
      </w:r>
    </w:p>
    <w:p w:rsidR="00CF786E" w:rsidRDefault="00CF786E" w:rsidP="00232826">
      <w:pPr>
        <w:jc w:val="both"/>
      </w:pPr>
      <w:r>
        <w:t>In 2018, the unit expanded its scope of work to monitor and document violations related to the economic and social rights of vulnerable groups and to add new areas such as violations of women, education, youth and children. It reflects an urgent need associated with threats to the economic and social rights system in Palestine and the absence of protective policies for vulnerable groups and legislation.</w:t>
      </w:r>
    </w:p>
    <w:p w:rsidR="00CF786E" w:rsidRDefault="00CF786E" w:rsidP="00232826">
      <w:pPr>
        <w:jc w:val="both"/>
      </w:pPr>
      <w:r>
        <w:t>In 2018, 62 civil society organizations were working together to document and monitor violations.</w:t>
      </w:r>
    </w:p>
    <w:p w:rsidR="00CF786E" w:rsidRDefault="00CF786E" w:rsidP="00232826">
      <w:pPr>
        <w:jc w:val="both"/>
      </w:pPr>
      <w:r>
        <w:t>The programs also seek to promote and institutionalize social accountability in the local govern</w:t>
      </w:r>
      <w:r w:rsidR="00A67779">
        <w:t>ment</w:t>
      </w:r>
      <w:r>
        <w:t xml:space="preserve"> sector in partnership with German Cooperation (GIZ). Its work has so far included more than 20 local bodies.</w:t>
      </w:r>
    </w:p>
    <w:p w:rsidR="00CF786E" w:rsidRDefault="00CF786E" w:rsidP="00232826">
      <w:pPr>
        <w:jc w:val="both"/>
      </w:pPr>
      <w:r>
        <w:t xml:space="preserve">Within this program, PCS also targets young people with various programs, including the Arab Youth Voice Project, which has contributed to the development of the corresponding skills of young people in Jenin, and qualifies them to participate in national competitions and receive multiple titles. </w:t>
      </w:r>
      <w:r w:rsidR="00A67779">
        <w:t>Also</w:t>
      </w:r>
      <w:r>
        <w:t xml:space="preserve">, PCS is a member of </w:t>
      </w:r>
      <w:r w:rsidR="00A67779">
        <w:t xml:space="preserve">the </w:t>
      </w:r>
      <w:r>
        <w:t xml:space="preserve">Youth Network for Reform and Citizenship </w:t>
      </w:r>
      <w:r w:rsidR="00A67779">
        <w:t>to promote</w:t>
      </w:r>
      <w:r>
        <w:t xml:space="preserve"> the rights of young people, promoting human rights issues, and combating corruption in creative ways. </w:t>
      </w:r>
    </w:p>
    <w:p w:rsidR="00CF786E" w:rsidRDefault="00CF786E" w:rsidP="00232826">
      <w:pPr>
        <w:jc w:val="both"/>
      </w:pPr>
      <w:r>
        <w:t>In some phases, the program has been engaged in strengthening the role of community police in promoting access to justice and the rule of law through UNDP’s program (Sawaseya). It</w:t>
      </w:r>
      <w:r w:rsidR="00232826">
        <w:t xml:space="preserve"> was implemented in Jenin and Tu</w:t>
      </w:r>
      <w:r>
        <w:t>bas Governorates, in partnership with the Palestinian police.</w:t>
      </w:r>
    </w:p>
    <w:p w:rsidR="00CF786E" w:rsidRDefault="00CF786E" w:rsidP="00232826">
      <w:pPr>
        <w:jc w:val="both"/>
      </w:pPr>
      <w:r>
        <w:t>In 2019, PCS, in cooperation with NGOs associated with the implementation of the Sustainable Development Goals 2030, launched the coalition of sustainable development goals in Palestine. It is a civil society framework concerned with influencing the work of the Sustainable Development Goals by decision</w:t>
      </w:r>
      <w:r w:rsidR="00A67779">
        <w:t>-</w:t>
      </w:r>
      <w:r>
        <w:t>makers and duty holders, as well as networking and communicating with international parties related to the Sustainable Development Goals.</w:t>
      </w:r>
    </w:p>
    <w:p w:rsidR="006A07F0" w:rsidRDefault="00CF786E" w:rsidP="00232826">
      <w:pPr>
        <w:jc w:val="both"/>
      </w:pPr>
      <w:r>
        <w:t>In 2019, the Commission also obtained the page of an advisory member of the Human Rights Council's Social and Economic Rights Monitoring Committee.</w:t>
      </w:r>
    </w:p>
    <w:p w:rsidR="006A07F0" w:rsidRDefault="006A07F0" w:rsidP="00CF786E">
      <w:pPr>
        <w:pStyle w:val="Heading1"/>
        <w:jc w:val="both"/>
      </w:pPr>
      <w:bookmarkStart w:id="2" w:name="_Toc64718673"/>
      <w:r>
        <w:t>Introduction:</w:t>
      </w:r>
      <w:bookmarkEnd w:id="2"/>
    </w:p>
    <w:p w:rsidR="006A07F0" w:rsidRDefault="00232826" w:rsidP="00FC383F">
      <w:pPr>
        <w:jc w:val="both"/>
      </w:pPr>
      <w:r w:rsidRPr="00232826">
        <w:t>In 1999, the Palestinian Legislative Council issued the first Palestinian law on the rights of persons with disabilities. Then, the law was a step forward, in terms of form and content, compared to the laws issued in many Arab countries. In 2004, the implementing regulation was established, which represented an executive embodiment of several provisions of the law on persons with disabilities.</w:t>
      </w:r>
    </w:p>
    <w:p w:rsidR="00FC383F" w:rsidRDefault="00FC383F" w:rsidP="00FC383F">
      <w:pPr>
        <w:jc w:val="both"/>
      </w:pPr>
      <w:r w:rsidRPr="00FC383F">
        <w:t>The United Nations General Assembly adopted the Convention on the Rights of Persons with Disabilities in 2006. It came into force in 2008 and represented the first specialized and comprehensive international document that protects the rights of persons with disabilities and organizes those rights based on the human rights system approach.</w:t>
      </w:r>
      <w:r w:rsidR="009B1836" w:rsidRPr="009B1836">
        <w:t xml:space="preserve"> It also established multiple obligations on the ratifying countries. Moreover, the adoption of the Optional Protocol on the Rights of Persons with Disabilities by the General Assembly has made another paradigm shift in the protection, promotion, and empowerment of persons with disabilities.</w:t>
      </w:r>
    </w:p>
    <w:p w:rsidR="009B1836" w:rsidRDefault="004022D6" w:rsidP="00FC383F">
      <w:pPr>
        <w:jc w:val="both"/>
      </w:pPr>
      <w:r w:rsidRPr="004022D6">
        <w:t>Palestine signed the convention in 2014. Under it, it entails obligations and legislative, administrative, and executive measures on the state of Palestine, which necessitates transforming these obligations into best practices at the national level.</w:t>
      </w:r>
    </w:p>
    <w:p w:rsidR="004022D6" w:rsidRDefault="003E2823" w:rsidP="00FC383F">
      <w:pPr>
        <w:jc w:val="both"/>
      </w:pPr>
      <w:r w:rsidRPr="003E2823">
        <w:t>However, the Palestinian government didn't take further action in this regard. It didn't publish the convention in the official gazette or adopt its provisions in Palestinian legislations. Besides, its implementation in Palestine was accompanied by many challenges and obstacles, as the Palestinian judiciary and governmental institutions did not implement any of its provisions. Rather, the states were bragging about signing the convention without implementing it.</w:t>
      </w:r>
    </w:p>
    <w:p w:rsidR="003E2823" w:rsidRDefault="003E2823" w:rsidP="00FC383F">
      <w:pPr>
        <w:jc w:val="both"/>
      </w:pPr>
      <w:r w:rsidRPr="003E2823">
        <w:t>This report reflects the reality of persons with disabilities in Palestine in terms of the legal environment for the rights of persons with disabilities and the impact of Palestine's ratification of the Convention on the Rights of Persons with Disabilities. It also sheds light on the most prominent challenges that faced the enforcement of the convention in the State of Palestine.</w:t>
      </w:r>
    </w:p>
    <w:p w:rsidR="006A07F0" w:rsidRDefault="006A07F0" w:rsidP="00CF786E">
      <w:pPr>
        <w:pStyle w:val="Heading1"/>
        <w:jc w:val="both"/>
      </w:pPr>
      <w:bookmarkStart w:id="3" w:name="_Toc64718674"/>
      <w:r w:rsidRPr="006A07F0">
        <w:t>The Legal Environment for Persons with Disabilities</w:t>
      </w:r>
      <w:r>
        <w:t>:</w:t>
      </w:r>
      <w:bookmarkEnd w:id="3"/>
    </w:p>
    <w:p w:rsidR="006A07F0" w:rsidRDefault="00317882" w:rsidP="00317882">
      <w:pPr>
        <w:jc w:val="both"/>
      </w:pPr>
      <w:r w:rsidRPr="00317882">
        <w:t>Article (9) of the Palestinian Basic Law constituted the basic reference point in the adoption of the rights of persons with disabilities in Palestinian laws, legislations, and regulations. Article (2/10) of the same law came to affirm the immediate and advanced commitment to join any convention and treaty that preserves and protects human rights likewise. In 1999, the Palestinian Legislative Council issued the Law on the Rights of Persons with Disabilities, which was considered a rise to the protection of the rights of persons with disabilities in terms of form and content compared to the laws issued in several Arab countries. However, the issuance of implementing regulation of the law that explains and interprets its provisions was delayed until 2004.</w:t>
      </w:r>
    </w:p>
    <w:p w:rsidR="00317882" w:rsidRDefault="00317882" w:rsidP="00317882">
      <w:pPr>
        <w:jc w:val="both"/>
      </w:pPr>
      <w:r>
        <w:t>At the national level, t</w:t>
      </w:r>
      <w:r w:rsidRPr="00FC383F">
        <w:t>he United Nations General Assembly adopted the Convention on the Rights of Persons with Disabilities in 2006. It came into force in 2008 and represented the first specialized and comprehensive international document that protects the rights of persons with disabilities and organizes those rights based on the human rights system approach.</w:t>
      </w:r>
      <w:r w:rsidRPr="009B1836">
        <w:t xml:space="preserve"> It also established multiple obligations on the ratifying countries. Moreover, the adoption of the Optional Protocol on the Rights of Persons with Disabilities by the General Assembly has made another paradigm shift in the protection, promotion, and empowerment of persons with disabilities.</w:t>
      </w:r>
    </w:p>
    <w:p w:rsidR="006A07F0" w:rsidRDefault="00317882" w:rsidP="00A506BF">
      <w:pPr>
        <w:jc w:val="both"/>
      </w:pPr>
      <w:r w:rsidRPr="00317882">
        <w:t>Palestine is a signatory of many international conventions that preserve the rights and dignity of Palestinians, including the International Convention on the Rights of Persons with Disabilities in 2014. Under it, it entails obligations and legislative, administrative, and executive measures on the state of Palestine, which necessitates transforming these obligations into best practices at the national level.</w:t>
      </w:r>
    </w:p>
    <w:p w:rsidR="00A506BF" w:rsidRDefault="00A506BF" w:rsidP="00A506BF">
      <w:pPr>
        <w:jc w:val="both"/>
      </w:pPr>
      <w:r w:rsidRPr="00A506BF">
        <w:t>Palestinian National legislation grants persons with disabilities the rights and freedoms to which they're entitled. However, many of these rights are not enforced due to reasons, including the lack of financial resources or implementation mechanisms. Moreover, many rights have been adopted in regulations, instructions, and decisions contradicting what is stated in the comprehensive texts on persons with disabilities.</w:t>
      </w:r>
    </w:p>
    <w:p w:rsidR="00A506BF" w:rsidRDefault="003B44FE" w:rsidP="00A506BF">
      <w:pPr>
        <w:jc w:val="both"/>
      </w:pPr>
      <w:r w:rsidRPr="003B44FE">
        <w:t>The failure to realize the rights of persons with disabilities may be due to a weakness in the understanding and implementation of these rights by some official bodies responsible or the lack of follow-up and mentoring by persons with disabilities and their organizations. It could also be due to the ignorance of all parties of the existence of specific texts related to the rights of persons with disabilities and their families.</w:t>
      </w:r>
    </w:p>
    <w:p w:rsidR="00FB0879" w:rsidRDefault="00F96246" w:rsidP="00A67779">
      <w:pPr>
        <w:jc w:val="both"/>
        <w:rPr>
          <w:rtl/>
        </w:rPr>
      </w:pPr>
      <w:r w:rsidRPr="00F96246">
        <w:t>The lack of accountability remains one of the most critical problems hindering the realization of the rights of persons with disabilities. Although rights are established and enshrined, accountability within the Palestinian legal system is absent regarding its enforcement.</w:t>
      </w:r>
      <w:r w:rsidR="00F36E98">
        <w:t xml:space="preserve"> </w:t>
      </w:r>
    </w:p>
    <w:p w:rsidR="006A07F0" w:rsidRDefault="00CF786E" w:rsidP="00CF786E">
      <w:pPr>
        <w:pStyle w:val="Heading1"/>
        <w:jc w:val="both"/>
      </w:pPr>
      <w:bookmarkStart w:id="4" w:name="_Toc64718675"/>
      <w:r w:rsidRPr="00CF786E">
        <w:t>The Impact of the Lack of Harmonization of the Convention on the Rights of Persons with Disabilities and Palestinian Laws on the Reality of the Rights of Persons with Disabilities in Palestine</w:t>
      </w:r>
      <w:r>
        <w:t>:</w:t>
      </w:r>
      <w:bookmarkEnd w:id="4"/>
    </w:p>
    <w:p w:rsidR="00CF786E" w:rsidRDefault="000832C6" w:rsidP="000832C6">
      <w:pPr>
        <w:jc w:val="both"/>
      </w:pPr>
      <w:r w:rsidRPr="000832C6">
        <w:t>The adoption of the Convention on the Rights of Persons with Disabilities constituted an opportunity to discard the old legacy of laws and legislation in the State of Palestine. It is considered a step towards implementing the provisions of this convention and emphasizing the need to work in the future to harmonize and amend laws in line with the rights of persons with basic disabilities, such as equality and the prohibition of discrimination. The State of Palestine also works through its various institutions to eliminate the various forms of discrimination against persons with disabilities.</w:t>
      </w:r>
    </w:p>
    <w:p w:rsidR="008003E8" w:rsidRDefault="009679D3" w:rsidP="008003E8">
      <w:pPr>
        <w:jc w:val="both"/>
      </w:pPr>
      <w:r w:rsidRPr="009679D3">
        <w:t>In light of the wave of legislative amendments that the State of Palestine is working on in line with international conventions, and after reviewing the national laws and legislations that address the rights of persons with disabilities in the State of Palestine, it became clear that there is a national need to work on preparing a new national law for persons with disabilities that includes the definition of a person with a disability identical with the international human rights perspective on disability.</w:t>
      </w:r>
      <w:r>
        <w:t xml:space="preserve"> </w:t>
      </w:r>
      <w:r w:rsidRPr="009679D3">
        <w:t>In this regard, a new law for persons with disabilities is being prepared in line with the provisions of international law. It is based on the analysis of the International Convention on Persons with Disabilities in terms of its orientations, the most important provisions contained therein, and the conditions it sets, especially those related to policies and laws for persons with disabilities.</w:t>
      </w:r>
      <w:r>
        <w:t xml:space="preserve"> </w:t>
      </w:r>
      <w:r w:rsidR="008003E8">
        <w:t>Thus, t</w:t>
      </w:r>
      <w:r w:rsidR="008003E8" w:rsidRPr="008003E8">
        <w:t xml:space="preserve">he </w:t>
      </w:r>
      <w:r w:rsidR="008003E8">
        <w:t>convention</w:t>
      </w:r>
      <w:r w:rsidR="008003E8" w:rsidRPr="008003E8">
        <w:t xml:space="preserve"> constituted a </w:t>
      </w:r>
      <w:r w:rsidR="008003E8">
        <w:t>paradigm</w:t>
      </w:r>
      <w:r w:rsidR="008003E8" w:rsidRPr="008003E8">
        <w:t xml:space="preserve"> shift in the vision regarding the rights of persons with disabilities </w:t>
      </w:r>
      <w:r w:rsidR="008003E8">
        <w:t>introducing</w:t>
      </w:r>
      <w:r w:rsidR="008003E8" w:rsidRPr="008003E8">
        <w:t xml:space="preserve"> a rights orientation.</w:t>
      </w:r>
    </w:p>
    <w:p w:rsidR="008003E8" w:rsidRDefault="008003E8" w:rsidP="008003E8">
      <w:pPr>
        <w:jc w:val="both"/>
      </w:pPr>
      <w:r w:rsidRPr="008003E8">
        <w:t>In the last twenty-five years, the strong influence of the social model of disability and its importance in shaping international, regional, and national law and policies relating to persons with disabilities have been recognized.</w:t>
      </w:r>
      <w:r>
        <w:t xml:space="preserve"> </w:t>
      </w:r>
      <w:r w:rsidRPr="008003E8">
        <w:t>At the international level, the Convention on the Rights of Persons with Disabilities adopted the social model, which was an influential driver in the development of the Convention’s approach to human rights and the associated legal changes</w:t>
      </w:r>
      <w:r w:rsidR="004B7FF2">
        <w:rPr>
          <w:rStyle w:val="FootnoteReference"/>
        </w:rPr>
        <w:footnoteReference w:id="1"/>
      </w:r>
      <w:r w:rsidRPr="008003E8">
        <w:t>. The European Union also established its policies and laws with an early influence from the social model. Some countries developed their anti-discrimination laws in the 1990s, based on this model and its foundations, as is the case in Britain and America</w:t>
      </w:r>
      <w:r w:rsidR="004B7FF2">
        <w:rPr>
          <w:rStyle w:val="FootnoteReference"/>
        </w:rPr>
        <w:footnoteReference w:id="2"/>
      </w:r>
      <w:r w:rsidRPr="008003E8">
        <w:t>. Some Arab countries have adopted new laws for persons with disabilities, introducing the concepts of the social model to them and approximating these laws with the international convention, as is the case with the Jordanian law for persons with disabilities. Therefore, it is necessary to understand the vision on which the model is based, specifically in terms of what this social model is and what is its impact on the definition of disability, on disability terms, and then on laws and policies related to persons with disabilities.</w:t>
      </w:r>
    </w:p>
    <w:p w:rsidR="004B7FF2" w:rsidRDefault="004B7FF2" w:rsidP="008003E8">
      <w:pPr>
        <w:jc w:val="both"/>
      </w:pPr>
      <w:r w:rsidRPr="004B7FF2">
        <w:t>To harmonize the International Convention on the Rights of Persons with Disabilities and the existing laws and regulations in Palestine, the following steps should be taken:</w:t>
      </w:r>
    </w:p>
    <w:p w:rsidR="004B7FF2" w:rsidRDefault="00C77FFE" w:rsidP="00C77FFE">
      <w:pPr>
        <w:pStyle w:val="ListParagraph"/>
        <w:numPr>
          <w:ilvl w:val="0"/>
          <w:numId w:val="3"/>
        </w:numPr>
        <w:jc w:val="both"/>
      </w:pPr>
      <w:r w:rsidRPr="00C77FFE">
        <w:t>Proceeding with passing the draft law for persons with disabilities proposed by the Ministry of Social Development which was reviewed through this study, ensuring the legislative consensus between the obligations of the State of Palestine at the international level and what is enforceable in terms of texts at the national level. The draft law is fully consistent with international standards for the protection and promotion of the rights of persons with disabilities, as we mentioned above. It also promotes the rights approach and completely reluctant to the charitable or medical approach.</w:t>
      </w:r>
      <w:r>
        <w:t xml:space="preserve"> </w:t>
      </w:r>
      <w:r w:rsidRPr="00C77FFE">
        <w:t>Moreover, it grants further rights to the families of persons with disabilities. It also merged the approaches followed in the Jordanian and Egyptian laws, although the approach of the latter is much more preferable as it is deeply consistent with the international convention. Besides, it links the complex legal and legislative system responsible for regulating the rights of persons with disabilities in the different sectors, including the right to housing, mobility, marriage, construction, work, access, education, and health, with all incentives for the private sector and all the determinants of the public sector, with clear texts related to the penalties to be imposed in the event of breaching these obligations.</w:t>
      </w:r>
    </w:p>
    <w:p w:rsidR="00C77FFE" w:rsidRDefault="00C77FFE" w:rsidP="00C77FFE">
      <w:pPr>
        <w:pStyle w:val="ListParagraph"/>
        <w:numPr>
          <w:ilvl w:val="0"/>
          <w:numId w:val="3"/>
        </w:numPr>
        <w:jc w:val="both"/>
      </w:pPr>
      <w:r w:rsidRPr="00C77FFE">
        <w:t>Repealing all laws, regulations, instructions, and decisions in force in the State of Palestine that contradicts the obligations of the State of Palestine contained in the Convention on the Rights of Persons with Disabilities through a decision issued by the Council of Ministers in this regard until the proposed law is issued and enforced.</w:t>
      </w:r>
    </w:p>
    <w:p w:rsidR="00C77FFE" w:rsidRDefault="00C27F3E" w:rsidP="00C27F3E">
      <w:pPr>
        <w:pStyle w:val="ListParagraph"/>
        <w:numPr>
          <w:ilvl w:val="0"/>
          <w:numId w:val="3"/>
        </w:numPr>
        <w:jc w:val="both"/>
      </w:pPr>
      <w:r w:rsidRPr="00C27F3E">
        <w:t>Training public sector workers who work continuously with persons with disabilities on professional and legal grounds and come up with a unified interpretation through a unified procedure guide in all controversial issues that contradict the international convention. As a result, public sector workers would become more understanding of the rights of persons with disabilities instead of dealing with their files from a humanitarian standpoint.</w:t>
      </w:r>
    </w:p>
    <w:p w:rsidR="00C27F3E" w:rsidRDefault="00C27F3E" w:rsidP="00C27F3E">
      <w:pPr>
        <w:pStyle w:val="ListParagraph"/>
        <w:numPr>
          <w:ilvl w:val="0"/>
          <w:numId w:val="3"/>
        </w:numPr>
        <w:jc w:val="both"/>
      </w:pPr>
      <w:r w:rsidRPr="00C27F3E">
        <w:t>Interpretative and regulatory decisions must be made, especially those related to, for example, the size of the tax exemption that must be granted to the private sector if persons with disabilities are employed. Other interpretations should include the concept of tax exemption for persons with disabilities, especially those related to cars and assistive devices to eliminate the discrimination that occurred among the types of disabilities under the regulations and instructions in force.</w:t>
      </w:r>
    </w:p>
    <w:p w:rsidR="00C27F3E" w:rsidRDefault="00C27F3E" w:rsidP="00C27F3E">
      <w:pPr>
        <w:pStyle w:val="ListParagraph"/>
        <w:numPr>
          <w:ilvl w:val="0"/>
          <w:numId w:val="3"/>
        </w:numPr>
        <w:jc w:val="both"/>
      </w:pPr>
      <w:r w:rsidRPr="00C27F3E">
        <w:t>The necessity to engage the Constitutional Court in interpreting some of the legal texts contained in the Convention on the Rights of Persons with Disabilities, along with the discrimination practi</w:t>
      </w:r>
      <w:r w:rsidR="006C6BB3">
        <w:t>s</w:t>
      </w:r>
      <w:r w:rsidRPr="00C27F3E">
        <w:t>ed against persons with disabilities.</w:t>
      </w:r>
    </w:p>
    <w:p w:rsidR="00C27F3E" w:rsidRDefault="00C27F3E" w:rsidP="00C27F3E">
      <w:pPr>
        <w:pStyle w:val="ListParagraph"/>
        <w:numPr>
          <w:ilvl w:val="0"/>
          <w:numId w:val="3"/>
        </w:numPr>
        <w:jc w:val="both"/>
      </w:pPr>
      <w:r w:rsidRPr="00C27F3E">
        <w:t>Activating provisions related to the obligations of the State of Palestine as a signatory on the International Convention through a presidential decree mandating some administrative bodies to ensure the proper implementation of the convention, and the government may do so through a governmental decision and under what is stated in Article (33)</w:t>
      </w:r>
      <w:r w:rsidR="00C63354">
        <w:rPr>
          <w:rStyle w:val="FootnoteReference"/>
        </w:rPr>
        <w:footnoteReference w:id="3"/>
      </w:r>
      <w:r w:rsidRPr="00C27F3E">
        <w:t xml:space="preserve"> of the Convention on Rights People with disabilities.</w:t>
      </w:r>
    </w:p>
    <w:p w:rsidR="00C27F3E" w:rsidRDefault="00C27F3E" w:rsidP="00FA7741">
      <w:pPr>
        <w:pStyle w:val="ListParagraph"/>
        <w:numPr>
          <w:ilvl w:val="0"/>
          <w:numId w:val="3"/>
        </w:numPr>
        <w:jc w:val="both"/>
      </w:pPr>
      <w:r w:rsidRPr="00C27F3E">
        <w:t>A specialized national technical team must be formed to follow up on these issues, either through a governmental decision or through civil society organizations, to propose and transform these provisions into a workable framework that can be accomplished so that we can harmonize national legislation with the international obligations of the State of Palestine.</w:t>
      </w:r>
    </w:p>
    <w:p w:rsidR="00FA7741" w:rsidRDefault="00FA7741" w:rsidP="00FA7741">
      <w:pPr>
        <w:jc w:val="both"/>
      </w:pPr>
      <w:r>
        <w:t>Harmonizing between the current and the legally awaited needs time and effort that may extend for years, which may result in the erosion of the rights of persons with disabilities in Palestine so that it becomes difficult to restore or rebuild as the gap increases constantly, especially after the Corona pandemic. Also, priorities are emerging on a relief basis and not on a human rights basis, due to changing priorities of the government and even among disabled institutions and persons with disabilities themselves.</w:t>
      </w:r>
    </w:p>
    <w:p w:rsidR="008003E8" w:rsidRPr="008003E8" w:rsidRDefault="00FA7741" w:rsidP="00FA7741">
      <w:pPr>
        <w:jc w:val="both"/>
      </w:pPr>
      <w:r>
        <w:t>We have proposed the alignment path in this way so that we can overcome the Corona crisis and turn it into an opportunity to promote the rights of persons with disabilities and their families.</w:t>
      </w:r>
    </w:p>
    <w:p w:rsidR="00CF786E" w:rsidRDefault="00CF786E" w:rsidP="00CF786E"/>
    <w:p w:rsidR="00CF786E" w:rsidRDefault="00CF786E" w:rsidP="00DD20A5">
      <w:pPr>
        <w:pStyle w:val="Heading1"/>
        <w:jc w:val="both"/>
      </w:pPr>
      <w:bookmarkStart w:id="5" w:name="_Toc64718676"/>
      <w:r>
        <w:t>Challenges and Gaps Facing the Enforcement of the Rights of Persons with Disabilities A</w:t>
      </w:r>
      <w:r w:rsidRPr="00CF786E">
        <w:t>ccor</w:t>
      </w:r>
      <w:r>
        <w:t>ding to the Palestinian Legislative System and the International S</w:t>
      </w:r>
      <w:r w:rsidRPr="00CF786E">
        <w:t>tandards</w:t>
      </w:r>
      <w:r>
        <w:t>:</w:t>
      </w:r>
      <w:bookmarkEnd w:id="5"/>
    </w:p>
    <w:p w:rsidR="00CF786E" w:rsidRDefault="00DD20A5" w:rsidP="00DD20A5">
      <w:pPr>
        <w:jc w:val="both"/>
      </w:pPr>
      <w:r w:rsidRPr="00DD20A5">
        <w:t>The Palestinian legislative system has provided legal protection and equality for persons with disabilities. The Palestinian Disability law No 4 for the year 1999 also came to protect the families of persons with disabilities in basic areas. The problem remains the extent to which these rights are realized and enforced. The Palestinian National Authority redrafted texts of the Law in line with the reduction of the costs involved in enforcing these texts. If we want to review the gaps in the Palestinian national legislation to identify the challenges, then we see them summarized in the following axes:</w:t>
      </w:r>
    </w:p>
    <w:p w:rsidR="00DD20A5" w:rsidRDefault="00DD20A5" w:rsidP="00DD20A5">
      <w:pPr>
        <w:pStyle w:val="ListParagraph"/>
        <w:numPr>
          <w:ilvl w:val="0"/>
          <w:numId w:val="2"/>
        </w:numPr>
        <w:jc w:val="both"/>
      </w:pPr>
      <w:r w:rsidRPr="00DD20A5">
        <w:t>The absence of legislative harmony between the Palestinian Basic Law, especially Articles (9 and 26), and subsequent laws, regulations, instructions, and decisions issued by the official Palestinian authorities, that contradict the principle of equality and discrimination against persons with disabilities and others. Indeed, many regulations and decisions have made a distinction between persons with disabilities themselves.</w:t>
      </w:r>
    </w:p>
    <w:p w:rsidR="00DD20A5" w:rsidRDefault="00DD20A5" w:rsidP="00DD20A5">
      <w:pPr>
        <w:pStyle w:val="ListParagraph"/>
        <w:numPr>
          <w:ilvl w:val="0"/>
          <w:numId w:val="2"/>
        </w:numPr>
        <w:jc w:val="both"/>
      </w:pPr>
      <w:r w:rsidRPr="00DD20A5">
        <w:t>The Palestinian Disability law No 4 for the year 1999 took into account the international standards enforced at the time of its adoption by the Legislative Council. It also covered broad areas of rights, even if they came in the form of services. However, it was not enforced as stipulated. On the contrary, several articles have been reproduced differently from what is stated in the law for several other laws, such as the Civil Service Law and the regulations issued under it.</w:t>
      </w:r>
    </w:p>
    <w:p w:rsidR="00DD20A5" w:rsidRDefault="003D104C" w:rsidP="003D104C">
      <w:pPr>
        <w:pStyle w:val="ListParagraph"/>
        <w:numPr>
          <w:ilvl w:val="0"/>
          <w:numId w:val="2"/>
        </w:numPr>
        <w:jc w:val="both"/>
      </w:pPr>
      <w:r w:rsidRPr="003D104C">
        <w:t>The gaps appeared in the fields of health, finance, education, work, employment, adaptation, transportation, care, rehabilitation, and auxiliary tools, disability card, the definition of the disabled, and comprehensive political participation, where disability was linked to the illiterate.</w:t>
      </w:r>
    </w:p>
    <w:p w:rsidR="00B4322F" w:rsidRDefault="00B4322F" w:rsidP="00B4322F">
      <w:pPr>
        <w:pStyle w:val="ListParagraph"/>
        <w:numPr>
          <w:ilvl w:val="0"/>
          <w:numId w:val="2"/>
        </w:numPr>
        <w:jc w:val="both"/>
      </w:pPr>
      <w:r w:rsidRPr="00B4322F">
        <w:t>The absence of the right of persons with disabilities to marriage, social protection, comprehensive economic empowerment, integration, the inclusion of disability, clean environment, independent living, litigation, access to justice facilities, and the right to privacy from all laws, regulations, and decisions.</w:t>
      </w:r>
    </w:p>
    <w:p w:rsidR="00B4322F" w:rsidRDefault="00B4322F" w:rsidP="00B4322F">
      <w:pPr>
        <w:pStyle w:val="ListParagraph"/>
        <w:numPr>
          <w:ilvl w:val="0"/>
          <w:numId w:val="2"/>
        </w:numPr>
        <w:jc w:val="both"/>
      </w:pPr>
      <w:r w:rsidRPr="00B4322F">
        <w:t>All laws, regulations, and decisions focus mostly on the right to work and were contradicted even in this regard. The labo</w:t>
      </w:r>
      <w:r w:rsidR="006C6BB3">
        <w:t>u</w:t>
      </w:r>
      <w:r w:rsidRPr="00B4322F">
        <w:t>r and Disability Laws stated a percentage of at least 5% of the size of the workforce in the private and public sectors. The civil service and the implementing regulations stipulated the rate of 5% and did not mention at least 5%. Besides, many regulations that were issued did not refer to the percentage, such as the municipal employees' system or the system of vacant jobs as mentioned in the student loan system.</w:t>
      </w:r>
    </w:p>
    <w:p w:rsidR="003D104C" w:rsidRDefault="003D104C" w:rsidP="003D104C">
      <w:pPr>
        <w:pStyle w:val="ListParagraph"/>
        <w:numPr>
          <w:ilvl w:val="0"/>
          <w:numId w:val="2"/>
        </w:numPr>
        <w:jc w:val="both"/>
      </w:pPr>
      <w:r w:rsidRPr="003D104C">
        <w:t>The absence of some rights derived from the comprehensive and basic rights of all laws, regulations, and decisions, such as the right to free treatment by dentists, the right to entertainment for persons with mental disabilities, and the right to freedom of opinion, expression, and communication through digital services.</w:t>
      </w:r>
    </w:p>
    <w:p w:rsidR="003D104C" w:rsidRDefault="003D104C" w:rsidP="003D104C">
      <w:pPr>
        <w:pStyle w:val="ListParagraph"/>
        <w:numPr>
          <w:ilvl w:val="0"/>
          <w:numId w:val="2"/>
        </w:numPr>
        <w:jc w:val="both"/>
      </w:pPr>
      <w:r w:rsidRPr="003D104C">
        <w:t>The issue of persons with disabilities has not received special importance among the Palestinian executive authorities, in the absence of a political will.</w:t>
      </w:r>
    </w:p>
    <w:p w:rsidR="003D104C" w:rsidRDefault="003D104C" w:rsidP="003D104C">
      <w:pPr>
        <w:pStyle w:val="ListParagraph"/>
        <w:numPr>
          <w:ilvl w:val="0"/>
          <w:numId w:val="2"/>
        </w:numPr>
        <w:jc w:val="both"/>
      </w:pPr>
      <w:r w:rsidRPr="003D104C">
        <w:t xml:space="preserve">These rights have not been </w:t>
      </w:r>
      <w:r>
        <w:t>prioritized</w:t>
      </w:r>
      <w:r w:rsidRPr="003D104C">
        <w:t xml:space="preserve"> </w:t>
      </w:r>
      <w:r>
        <w:t xml:space="preserve">when making </w:t>
      </w:r>
      <w:r w:rsidRPr="003D104C">
        <w:t xml:space="preserve">service </w:t>
      </w:r>
      <w:r>
        <w:t>policies</w:t>
      </w:r>
      <w:r w:rsidRPr="003D104C">
        <w:t xml:space="preserve"> at the state level.</w:t>
      </w:r>
    </w:p>
    <w:p w:rsidR="003D104C" w:rsidRDefault="003D104C" w:rsidP="003D104C">
      <w:pPr>
        <w:pStyle w:val="ListParagraph"/>
        <w:numPr>
          <w:ilvl w:val="0"/>
          <w:numId w:val="2"/>
        </w:numPr>
        <w:jc w:val="both"/>
      </w:pPr>
      <w:r w:rsidRPr="003D104C">
        <w:t>Palestinian laws and regulations governing the work of Palestinian institutions did not guarantee the need for easy access to services for persons with disabilities of all needs.</w:t>
      </w:r>
    </w:p>
    <w:p w:rsidR="003D104C" w:rsidRDefault="003D104C" w:rsidP="003D104C">
      <w:pPr>
        <w:pStyle w:val="ListParagraph"/>
        <w:numPr>
          <w:ilvl w:val="0"/>
          <w:numId w:val="2"/>
        </w:numPr>
        <w:jc w:val="both"/>
      </w:pPr>
      <w:r w:rsidRPr="003D104C">
        <w:t>The lack of specialized technical staff to cover specific areas to implement this right for graduates with disabilities.</w:t>
      </w:r>
    </w:p>
    <w:p w:rsidR="003D104C" w:rsidRDefault="003D104C" w:rsidP="003D104C">
      <w:pPr>
        <w:pStyle w:val="ListParagraph"/>
        <w:numPr>
          <w:ilvl w:val="0"/>
          <w:numId w:val="2"/>
        </w:numPr>
        <w:jc w:val="both"/>
      </w:pPr>
      <w:r w:rsidRPr="003D104C">
        <w:t>Failure to approve the disability card and activate the Supreme Council for Persons with Disabilities.</w:t>
      </w:r>
    </w:p>
    <w:p w:rsidR="006C6BB3" w:rsidRDefault="003D104C" w:rsidP="00DA4DCF">
      <w:pPr>
        <w:pStyle w:val="ListParagraph"/>
        <w:numPr>
          <w:ilvl w:val="0"/>
          <w:numId w:val="2"/>
        </w:numPr>
        <w:jc w:val="both"/>
      </w:pPr>
      <w:r w:rsidRPr="003D104C">
        <w:t>There is no reliable and agreed-upon national classification system in Palestine yet regarding the type and percentage of disability, leading to great harm to persons with disabilities, especially on the level of type and size of services that they must receive.</w:t>
      </w:r>
    </w:p>
    <w:p w:rsidR="00CF786E" w:rsidRDefault="00CF786E" w:rsidP="00CF786E">
      <w:pPr>
        <w:pStyle w:val="Heading1"/>
      </w:pPr>
      <w:bookmarkStart w:id="6" w:name="_Toc64718677"/>
      <w:r>
        <w:t>General Recommendations:</w:t>
      </w:r>
      <w:bookmarkEnd w:id="6"/>
    </w:p>
    <w:p w:rsidR="003E0C04" w:rsidRDefault="003E0C04" w:rsidP="003E0C04">
      <w:pPr>
        <w:pStyle w:val="ListParagraph"/>
        <w:numPr>
          <w:ilvl w:val="0"/>
          <w:numId w:val="1"/>
        </w:numPr>
        <w:jc w:val="both"/>
      </w:pPr>
      <w:r>
        <w:t>The need to expedite the issuance of comprehensive national legislation to reformulate all the obligations and rights of persons with disabilities in line with Palestine's obligations at the international level and the specificity of the Palestinian situation.</w:t>
      </w:r>
    </w:p>
    <w:p w:rsidR="003E0C04" w:rsidRDefault="003E0C04" w:rsidP="003E0C04">
      <w:pPr>
        <w:pStyle w:val="ListParagraph"/>
        <w:numPr>
          <w:ilvl w:val="0"/>
          <w:numId w:val="1"/>
        </w:numPr>
        <w:jc w:val="both"/>
      </w:pPr>
      <w:r>
        <w:t>Harmonization of Palestinian legislation with the International Convention on the Rights of Persons with Disabilities.</w:t>
      </w:r>
    </w:p>
    <w:p w:rsidR="003E0C04" w:rsidRDefault="003E0C04" w:rsidP="003E0C04">
      <w:pPr>
        <w:pStyle w:val="ListParagraph"/>
        <w:numPr>
          <w:ilvl w:val="0"/>
          <w:numId w:val="1"/>
        </w:numPr>
        <w:jc w:val="both"/>
      </w:pPr>
      <w:r>
        <w:t>Urging the State of Palestine to fulfil its obligations under the Convention on the Rights of Persons with Disabilities.</w:t>
      </w:r>
    </w:p>
    <w:p w:rsidR="003E0C04" w:rsidRDefault="003E0C04" w:rsidP="003E0C04">
      <w:pPr>
        <w:pStyle w:val="ListParagraph"/>
        <w:numPr>
          <w:ilvl w:val="0"/>
          <w:numId w:val="1"/>
        </w:numPr>
        <w:jc w:val="both"/>
      </w:pPr>
      <w:r>
        <w:t>Forming a national coalition of institutions working with those with disabilities in Palestine to produce a comprehensive shadow report under the international mechanism and submit it to the Committee on the Rights of Persons with Disabilities.</w:t>
      </w:r>
    </w:p>
    <w:p w:rsidR="00CF786E" w:rsidRDefault="003E0C04" w:rsidP="003E0C04">
      <w:pPr>
        <w:pStyle w:val="ListParagraph"/>
        <w:numPr>
          <w:ilvl w:val="0"/>
          <w:numId w:val="1"/>
        </w:numPr>
        <w:jc w:val="both"/>
      </w:pPr>
      <w:r>
        <w:t>Working to find a national classification for disability in terms of (percentage and type of disability and the volume of services provided to persons with disabilities).</w:t>
      </w:r>
    </w:p>
    <w:p w:rsidR="006344CB" w:rsidRPr="006344CB" w:rsidRDefault="006344CB" w:rsidP="006344CB">
      <w:pPr>
        <w:pStyle w:val="ListParagraph"/>
        <w:numPr>
          <w:ilvl w:val="0"/>
          <w:numId w:val="1"/>
        </w:numPr>
        <w:jc w:val="both"/>
      </w:pPr>
      <w:r w:rsidRPr="006344CB">
        <w:rPr>
          <w:lang w:val="en"/>
        </w:rPr>
        <w:t>Forming a team to monitor the implementation of what has been agreed upon and to set a joint framework and methodology to review the implementation process. This approach is consistent with what is stated in the International Convention on the Rights of Persons with Disabilities, especially Article (33) thereof.</w:t>
      </w:r>
    </w:p>
    <w:p w:rsidR="006344CB" w:rsidRPr="00CF786E" w:rsidRDefault="006344CB" w:rsidP="006344CB">
      <w:pPr>
        <w:pStyle w:val="ListParagraph"/>
        <w:jc w:val="both"/>
      </w:pPr>
    </w:p>
    <w:sectPr w:rsidR="006344CB" w:rsidRPr="00CF786E" w:rsidSect="00CF786E">
      <w:footerReference w:type="default" r:id="rId8"/>
      <w:headerReference w:type="first" r:id="rId9"/>
      <w:pgSz w:w="12240" w:h="15840"/>
      <w:pgMar w:top="1440" w:right="1800" w:bottom="1440" w:left="180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38B" w:rsidRDefault="00B8438B" w:rsidP="00CF786E">
      <w:pPr>
        <w:spacing w:after="0" w:line="240" w:lineRule="auto"/>
      </w:pPr>
      <w:r>
        <w:separator/>
      </w:r>
    </w:p>
  </w:endnote>
  <w:endnote w:type="continuationSeparator" w:id="0">
    <w:p w:rsidR="00B8438B" w:rsidRDefault="00B8438B" w:rsidP="00CF7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779" w:rsidRDefault="00A67779">
    <w:pPr>
      <w:pStyle w:val="Footer"/>
      <w:jc w:val="center"/>
    </w:pPr>
    <w:r>
      <w:fldChar w:fldCharType="begin"/>
    </w:r>
    <w:r>
      <w:instrText xml:space="preserve"> PAGE   \* MERGEFORMAT </w:instrText>
    </w:r>
    <w:r>
      <w:fldChar w:fldCharType="separate"/>
    </w:r>
    <w:r w:rsidR="007C1EC2">
      <w:rPr>
        <w:noProof/>
      </w:rPr>
      <w:t>2</w:t>
    </w:r>
    <w:r>
      <w:fldChar w:fldCharType="end"/>
    </w:r>
  </w:p>
  <w:p w:rsidR="00A67779" w:rsidRDefault="00A67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38B" w:rsidRDefault="00B8438B" w:rsidP="00CF786E">
      <w:pPr>
        <w:spacing w:after="0" w:line="240" w:lineRule="auto"/>
      </w:pPr>
      <w:r>
        <w:separator/>
      </w:r>
    </w:p>
  </w:footnote>
  <w:footnote w:type="continuationSeparator" w:id="0">
    <w:p w:rsidR="00B8438B" w:rsidRDefault="00B8438B" w:rsidP="00CF786E">
      <w:pPr>
        <w:spacing w:after="0" w:line="240" w:lineRule="auto"/>
      </w:pPr>
      <w:r>
        <w:continuationSeparator/>
      </w:r>
    </w:p>
  </w:footnote>
  <w:footnote w:id="1">
    <w:p w:rsidR="00000000" w:rsidRDefault="00A67779" w:rsidP="004B7FF2">
      <w:pPr>
        <w:pStyle w:val="FootnoteText"/>
      </w:pPr>
      <w:r>
        <w:rPr>
          <w:rStyle w:val="FootnoteReference"/>
        </w:rPr>
        <w:footnoteRef/>
      </w:r>
      <w:r>
        <w:t xml:space="preserve"> </w:t>
      </w:r>
      <w:r w:rsidRPr="004B7FF2">
        <w:t xml:space="preserve">Kayess, Rosemary, and Phillip French. "Out of darkness into light? Introducing the Convention on the Rights of Persons with Disabilities." </w:t>
      </w:r>
      <w:r w:rsidRPr="004B7FF2">
        <w:rPr>
          <w:i/>
          <w:iCs/>
        </w:rPr>
        <w:t>Human rights law review</w:t>
      </w:r>
      <w:r w:rsidRPr="004B7FF2">
        <w:t xml:space="preserve"> 8, no. 1 (2008): 1-34</w:t>
      </w:r>
    </w:p>
  </w:footnote>
  <w:footnote w:id="2">
    <w:p w:rsidR="00000000" w:rsidRDefault="00A67779" w:rsidP="004B7FF2">
      <w:pPr>
        <w:pStyle w:val="FootnoteText"/>
      </w:pPr>
      <w:r>
        <w:rPr>
          <w:rStyle w:val="FootnoteReference"/>
        </w:rPr>
        <w:footnoteRef/>
      </w:r>
      <w:r>
        <w:t xml:space="preserve"> </w:t>
      </w:r>
      <w:r w:rsidRPr="004B7FF2">
        <w:t>Anna Lawon and Mark Priestley. “The social model of disability: questions for law and legal scholarship” In Blanck, Peter, and Eilion</w:t>
      </w:r>
      <w:r w:rsidRPr="004B7FF2">
        <w:rPr>
          <w:lang w:val="es-ES_tradnl"/>
        </w:rPr>
        <w:t>ó</w:t>
      </w:r>
      <w:r w:rsidRPr="004B7FF2">
        <w:t xml:space="preserve">ir Flynn , eds. Routledge handbook of disability law and human rights. Routledge, 2016. </w:t>
      </w:r>
    </w:p>
  </w:footnote>
  <w:footnote w:id="3">
    <w:p w:rsidR="00000000" w:rsidRDefault="00C63354">
      <w:pPr>
        <w:pStyle w:val="FootnoteText"/>
      </w:pPr>
      <w:r>
        <w:rPr>
          <w:rStyle w:val="FootnoteReference"/>
        </w:rPr>
        <w:footnoteRef/>
      </w:r>
      <w:r>
        <w:t xml:space="preserve">Article (33) of the Convention on Rights People with disabilities.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CCA" w:rsidRDefault="00B8438B">
    <w:pPr>
      <w:pStyle w:val="Header"/>
    </w:pPr>
    <w:r w:rsidRPr="00B8438B">
      <w:rPr>
        <w:noProof/>
        <w:lang w:val="en-GB" w:eastAsia="en-GB"/>
      </w:rPr>
      <w:drawing>
        <wp:inline distT="0" distB="0" distL="0" distR="0">
          <wp:extent cx="5232400" cy="1092200"/>
          <wp:effectExtent l="0" t="0" r="0" b="0"/>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24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731DD"/>
    <w:multiLevelType w:val="hybridMultilevel"/>
    <w:tmpl w:val="311EC52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FFF435B"/>
    <w:multiLevelType w:val="hybridMultilevel"/>
    <w:tmpl w:val="69B4A86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56DB5A0E"/>
    <w:multiLevelType w:val="hybridMultilevel"/>
    <w:tmpl w:val="3192027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C0MDUzMDEwtjCxMDRW0lEKTi0uzszPAykwqQUAdALXQCwAAAA="/>
  </w:docVars>
  <w:rsids>
    <w:rsidRoot w:val="006A07F0"/>
    <w:rsid w:val="000832C6"/>
    <w:rsid w:val="001D59B4"/>
    <w:rsid w:val="00223571"/>
    <w:rsid w:val="00232826"/>
    <w:rsid w:val="002F46C8"/>
    <w:rsid w:val="00317882"/>
    <w:rsid w:val="003308ED"/>
    <w:rsid w:val="00387CCA"/>
    <w:rsid w:val="003B44FE"/>
    <w:rsid w:val="003D104C"/>
    <w:rsid w:val="003E0C04"/>
    <w:rsid w:val="003E2823"/>
    <w:rsid w:val="004022D6"/>
    <w:rsid w:val="00453701"/>
    <w:rsid w:val="004B7FF2"/>
    <w:rsid w:val="00576D29"/>
    <w:rsid w:val="006344CB"/>
    <w:rsid w:val="006A07F0"/>
    <w:rsid w:val="006C6BB3"/>
    <w:rsid w:val="007C1EC2"/>
    <w:rsid w:val="008003E8"/>
    <w:rsid w:val="008830D8"/>
    <w:rsid w:val="009679D3"/>
    <w:rsid w:val="009B1836"/>
    <w:rsid w:val="00A31511"/>
    <w:rsid w:val="00A506BF"/>
    <w:rsid w:val="00A51364"/>
    <w:rsid w:val="00A6517C"/>
    <w:rsid w:val="00A67779"/>
    <w:rsid w:val="00B056B1"/>
    <w:rsid w:val="00B4322F"/>
    <w:rsid w:val="00B8438B"/>
    <w:rsid w:val="00C018E4"/>
    <w:rsid w:val="00C1525A"/>
    <w:rsid w:val="00C27F3E"/>
    <w:rsid w:val="00C63354"/>
    <w:rsid w:val="00C77FFE"/>
    <w:rsid w:val="00C80DD5"/>
    <w:rsid w:val="00C82450"/>
    <w:rsid w:val="00CF786E"/>
    <w:rsid w:val="00DA4DCF"/>
    <w:rsid w:val="00DD20A5"/>
    <w:rsid w:val="00DE52B3"/>
    <w:rsid w:val="00E40C25"/>
    <w:rsid w:val="00E56272"/>
    <w:rsid w:val="00EE086F"/>
    <w:rsid w:val="00F36E98"/>
    <w:rsid w:val="00F96246"/>
    <w:rsid w:val="00FA7741"/>
    <w:rsid w:val="00FB0879"/>
    <w:rsid w:val="00FC383F"/>
    <w:rsid w:val="00FC5C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26251D-2755-445D-BFCF-03C9F5CF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882"/>
    <w:rPr>
      <w:rFonts w:cs="Times New Roman"/>
      <w:sz w:val="24"/>
      <w:lang w:val="en-US" w:eastAsia="en-US"/>
    </w:rPr>
  </w:style>
  <w:style w:type="paragraph" w:styleId="Heading1">
    <w:name w:val="heading 1"/>
    <w:basedOn w:val="Normal"/>
    <w:next w:val="Normal"/>
    <w:link w:val="Heading1Char"/>
    <w:uiPriority w:val="9"/>
    <w:qFormat/>
    <w:rsid w:val="006A07F0"/>
    <w:pPr>
      <w:keepNext/>
      <w:keepLines/>
      <w:spacing w:before="480" w:after="0"/>
      <w:outlineLvl w:val="0"/>
    </w:pPr>
    <w:rPr>
      <w:rFonts w:asciiTheme="majorHAnsi" w:eastAsiaTheme="majorEastAsia" w:hAnsiTheme="majorHAns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Heading1"/>
    <w:next w:val="Normal"/>
    <w:uiPriority w:val="39"/>
    <w:semiHidden/>
    <w:unhideWhenUsed/>
    <w:qFormat/>
    <w:rsid w:val="006A07F0"/>
    <w:pPr>
      <w:outlineLvl w:val="9"/>
    </w:pPr>
    <w:rPr>
      <w:lang w:eastAsia="ja-JP"/>
    </w:rPr>
  </w:style>
  <w:style w:type="character" w:customStyle="1" w:styleId="Heading1Char">
    <w:name w:val="Heading 1 Char"/>
    <w:basedOn w:val="DefaultParagraphFont"/>
    <w:link w:val="Heading1"/>
    <w:uiPriority w:val="9"/>
    <w:locked/>
    <w:rsid w:val="006A07F0"/>
    <w:rPr>
      <w:rFonts w:asciiTheme="majorHAnsi" w:eastAsiaTheme="majorEastAsia" w:hAnsiTheme="majorHAnsi" w:cs="Times New Roman"/>
      <w:b/>
      <w:bCs/>
      <w:color w:val="365F91" w:themeColor="accent1" w:themeShade="BF"/>
      <w:sz w:val="28"/>
      <w:szCs w:val="28"/>
    </w:rPr>
  </w:style>
  <w:style w:type="paragraph" w:styleId="BalloonText">
    <w:name w:val="Balloon Text"/>
    <w:basedOn w:val="Normal"/>
    <w:link w:val="BalloonTextChar"/>
    <w:uiPriority w:val="99"/>
    <w:semiHidden/>
    <w:unhideWhenUsed/>
    <w:rsid w:val="006A07F0"/>
    <w:pPr>
      <w:spacing w:after="0" w:line="240" w:lineRule="auto"/>
    </w:pPr>
    <w:rPr>
      <w:rFonts w:ascii="Tahoma" w:hAnsi="Tahoma" w:cs="Tahoma"/>
      <w:sz w:val="16"/>
      <w:szCs w:val="16"/>
    </w:rPr>
  </w:style>
  <w:style w:type="paragraph" w:styleId="TOC1">
    <w:name w:val="toc 1"/>
    <w:basedOn w:val="Normal"/>
    <w:next w:val="Normal"/>
    <w:autoRedefine/>
    <w:uiPriority w:val="39"/>
    <w:unhideWhenUsed/>
    <w:rsid w:val="00CF786E"/>
    <w:pPr>
      <w:tabs>
        <w:tab w:val="right" w:leader="dot" w:pos="8630"/>
      </w:tabs>
      <w:spacing w:after="100"/>
      <w:jc w:val="both"/>
    </w:pPr>
  </w:style>
  <w:style w:type="character" w:customStyle="1" w:styleId="BalloonTextChar">
    <w:name w:val="Balloon Text Char"/>
    <w:basedOn w:val="DefaultParagraphFont"/>
    <w:link w:val="BalloonText"/>
    <w:uiPriority w:val="99"/>
    <w:semiHidden/>
    <w:locked/>
    <w:rsid w:val="006A07F0"/>
    <w:rPr>
      <w:rFonts w:ascii="Tahoma" w:hAnsi="Tahoma" w:cs="Tahoma"/>
      <w:sz w:val="16"/>
      <w:szCs w:val="16"/>
    </w:rPr>
  </w:style>
  <w:style w:type="character" w:styleId="Hyperlink">
    <w:name w:val="Hyperlink"/>
    <w:basedOn w:val="DefaultParagraphFont"/>
    <w:uiPriority w:val="99"/>
    <w:unhideWhenUsed/>
    <w:rsid w:val="006A07F0"/>
    <w:rPr>
      <w:rFonts w:cs="Times New Roman"/>
      <w:color w:val="0000FF" w:themeColor="hyperlink"/>
      <w:u w:val="single"/>
    </w:rPr>
  </w:style>
  <w:style w:type="paragraph" w:styleId="Header">
    <w:name w:val="header"/>
    <w:basedOn w:val="Normal"/>
    <w:link w:val="HeaderChar"/>
    <w:uiPriority w:val="99"/>
    <w:unhideWhenUsed/>
    <w:rsid w:val="00CF786E"/>
    <w:pPr>
      <w:tabs>
        <w:tab w:val="center" w:pos="4320"/>
        <w:tab w:val="right" w:pos="8640"/>
      </w:tabs>
      <w:spacing w:after="0" w:line="240" w:lineRule="auto"/>
    </w:pPr>
  </w:style>
  <w:style w:type="paragraph" w:styleId="Footer">
    <w:name w:val="footer"/>
    <w:basedOn w:val="Normal"/>
    <w:link w:val="FooterChar"/>
    <w:uiPriority w:val="99"/>
    <w:unhideWhenUsed/>
    <w:rsid w:val="00CF786E"/>
    <w:pPr>
      <w:tabs>
        <w:tab w:val="center" w:pos="4320"/>
        <w:tab w:val="right" w:pos="8640"/>
      </w:tabs>
      <w:spacing w:after="0" w:line="240" w:lineRule="auto"/>
    </w:pPr>
  </w:style>
  <w:style w:type="character" w:customStyle="1" w:styleId="HeaderChar">
    <w:name w:val="Header Char"/>
    <w:basedOn w:val="DefaultParagraphFont"/>
    <w:link w:val="Header"/>
    <w:uiPriority w:val="99"/>
    <w:locked/>
    <w:rsid w:val="00CF786E"/>
    <w:rPr>
      <w:rFonts w:cs="Times New Roman"/>
    </w:rPr>
  </w:style>
  <w:style w:type="character" w:styleId="CommentReference">
    <w:name w:val="annotation reference"/>
    <w:basedOn w:val="DefaultParagraphFont"/>
    <w:uiPriority w:val="99"/>
    <w:semiHidden/>
    <w:unhideWhenUsed/>
    <w:rsid w:val="00F96246"/>
    <w:rPr>
      <w:rFonts w:cs="Times New Roman"/>
      <w:sz w:val="16"/>
      <w:szCs w:val="16"/>
    </w:rPr>
  </w:style>
  <w:style w:type="character" w:customStyle="1" w:styleId="FooterChar">
    <w:name w:val="Footer Char"/>
    <w:basedOn w:val="DefaultParagraphFont"/>
    <w:link w:val="Footer"/>
    <w:uiPriority w:val="99"/>
    <w:locked/>
    <w:rsid w:val="00CF786E"/>
    <w:rPr>
      <w:rFonts w:cs="Times New Roman"/>
    </w:rPr>
  </w:style>
  <w:style w:type="paragraph" w:styleId="CommentText">
    <w:name w:val="annotation text"/>
    <w:basedOn w:val="Normal"/>
    <w:link w:val="CommentTextChar"/>
    <w:uiPriority w:val="99"/>
    <w:semiHidden/>
    <w:unhideWhenUsed/>
    <w:rsid w:val="00F96246"/>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sid w:val="00F96246"/>
    <w:rPr>
      <w:b/>
      <w:bCs/>
    </w:rPr>
  </w:style>
  <w:style w:type="character" w:customStyle="1" w:styleId="CommentTextChar">
    <w:name w:val="Comment Text Char"/>
    <w:basedOn w:val="DefaultParagraphFont"/>
    <w:link w:val="CommentText"/>
    <w:uiPriority w:val="99"/>
    <w:semiHidden/>
    <w:locked/>
    <w:rsid w:val="00F96246"/>
    <w:rPr>
      <w:rFonts w:cs="Times New Roman"/>
      <w:sz w:val="20"/>
      <w:szCs w:val="20"/>
    </w:rPr>
  </w:style>
  <w:style w:type="paragraph" w:styleId="ListParagraph">
    <w:name w:val="List Paragraph"/>
    <w:basedOn w:val="Normal"/>
    <w:uiPriority w:val="34"/>
    <w:qFormat/>
    <w:rsid w:val="003E0C04"/>
    <w:pPr>
      <w:ind w:left="720"/>
      <w:contextualSpacing/>
    </w:pPr>
  </w:style>
  <w:style w:type="character" w:customStyle="1" w:styleId="CommentSubjectChar">
    <w:name w:val="Comment Subject Char"/>
    <w:basedOn w:val="CommentTextChar"/>
    <w:link w:val="CommentSubject"/>
    <w:uiPriority w:val="99"/>
    <w:semiHidden/>
    <w:locked/>
    <w:rsid w:val="00F96246"/>
    <w:rPr>
      <w:rFonts w:cs="Times New Roman"/>
      <w:b/>
      <w:bCs/>
      <w:sz w:val="20"/>
      <w:szCs w:val="20"/>
    </w:rPr>
  </w:style>
  <w:style w:type="paragraph" w:styleId="FootnoteText">
    <w:name w:val="footnote text"/>
    <w:basedOn w:val="Normal"/>
    <w:link w:val="FootnoteTextChar"/>
    <w:uiPriority w:val="99"/>
    <w:semiHidden/>
    <w:unhideWhenUsed/>
    <w:rsid w:val="004B7FF2"/>
    <w:pPr>
      <w:spacing w:after="0" w:line="240" w:lineRule="auto"/>
    </w:pPr>
    <w:rPr>
      <w:sz w:val="20"/>
      <w:szCs w:val="20"/>
    </w:rPr>
  </w:style>
  <w:style w:type="character" w:styleId="FootnoteReference">
    <w:name w:val="footnote reference"/>
    <w:basedOn w:val="DefaultParagraphFont"/>
    <w:uiPriority w:val="99"/>
    <w:semiHidden/>
    <w:unhideWhenUsed/>
    <w:rsid w:val="004B7FF2"/>
    <w:rPr>
      <w:rFonts w:cs="Times New Roman"/>
      <w:vertAlign w:val="superscript"/>
    </w:rPr>
  </w:style>
  <w:style w:type="character" w:customStyle="1" w:styleId="FootnoteTextChar">
    <w:name w:val="Footnote Text Char"/>
    <w:basedOn w:val="DefaultParagraphFont"/>
    <w:link w:val="FootnoteText"/>
    <w:uiPriority w:val="99"/>
    <w:semiHidden/>
    <w:locked/>
    <w:rsid w:val="004B7FF2"/>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7726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B056F-A0E1-4341-A5CB-A9C7B671F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3393</Words>
  <Characters>19341</Characters>
  <Application>Microsoft Office Word</Application>
  <DocSecurity>4</DocSecurity>
  <Lines>161</Lines>
  <Paragraphs>45</Paragraphs>
  <ScaleCrop>false</ScaleCrop>
  <Company/>
  <LinksUpToDate>false</LinksUpToDate>
  <CharactersWithSpaces>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BisanCo</dc:creator>
  <cp:keywords/>
  <dc:description/>
  <cp:lastModifiedBy>OUKO Robert</cp:lastModifiedBy>
  <cp:revision>2</cp:revision>
  <cp:lastPrinted>2021-03-28T00:31:00Z</cp:lastPrinted>
  <dcterms:created xsi:type="dcterms:W3CDTF">2023-03-10T16:04:00Z</dcterms:created>
  <dcterms:modified xsi:type="dcterms:W3CDTF">2023-03-10T16:04:00Z</dcterms:modified>
</cp:coreProperties>
</file>