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46558" w14:paraId="75D27DEF" w14:textId="77777777">
        <w:trPr>
          <w:cantSplit/>
          <w:trHeight w:hRule="exact" w:val="851"/>
        </w:trPr>
        <w:tc>
          <w:tcPr>
            <w:tcW w:w="1276" w:type="dxa"/>
            <w:tcBorders>
              <w:bottom w:val="single" w:sz="4" w:space="0" w:color="auto"/>
            </w:tcBorders>
            <w:vAlign w:val="bottom"/>
          </w:tcPr>
          <w:p w14:paraId="7927D816" w14:textId="77777777" w:rsidR="001F39D5" w:rsidRDefault="001F39D5">
            <w:pPr>
              <w:spacing w:after="80"/>
            </w:pPr>
          </w:p>
        </w:tc>
        <w:tc>
          <w:tcPr>
            <w:tcW w:w="2268" w:type="dxa"/>
            <w:tcBorders>
              <w:bottom w:val="single" w:sz="4" w:space="0" w:color="auto"/>
            </w:tcBorders>
            <w:vAlign w:val="bottom"/>
          </w:tcPr>
          <w:p w14:paraId="0899C180" w14:textId="6BCB0FF3" w:rsidR="001F39D5" w:rsidRDefault="001F39D5">
            <w:pPr>
              <w:spacing w:after="80" w:line="300" w:lineRule="exact"/>
              <w:rPr>
                <w:b/>
                <w:sz w:val="24"/>
                <w:szCs w:val="24"/>
              </w:rPr>
            </w:pPr>
          </w:p>
        </w:tc>
        <w:tc>
          <w:tcPr>
            <w:tcW w:w="6095" w:type="dxa"/>
            <w:gridSpan w:val="2"/>
            <w:tcBorders>
              <w:bottom w:val="single" w:sz="4" w:space="0" w:color="auto"/>
            </w:tcBorders>
            <w:vAlign w:val="bottom"/>
          </w:tcPr>
          <w:p w14:paraId="0DA10892" w14:textId="2787184E" w:rsidR="001F39D5" w:rsidRDefault="001F39D5">
            <w:pPr>
              <w:suppressAutoHyphens w:val="0"/>
              <w:spacing w:after="20"/>
              <w:jc w:val="right"/>
            </w:pPr>
          </w:p>
        </w:tc>
      </w:tr>
      <w:tr w:rsidR="00E46558" w14:paraId="305841C1" w14:textId="77777777">
        <w:trPr>
          <w:cantSplit/>
          <w:trHeight w:hRule="exact" w:val="2835"/>
        </w:trPr>
        <w:tc>
          <w:tcPr>
            <w:tcW w:w="1276" w:type="dxa"/>
            <w:tcBorders>
              <w:top w:val="single" w:sz="4" w:space="0" w:color="auto"/>
              <w:bottom w:val="single" w:sz="12" w:space="0" w:color="auto"/>
            </w:tcBorders>
          </w:tcPr>
          <w:p w14:paraId="2736432B" w14:textId="5EF3E25F" w:rsidR="001F39D5" w:rsidRDefault="001F39D5">
            <w:pPr>
              <w:spacing w:before="120"/>
              <w:jc w:val="center"/>
            </w:pPr>
          </w:p>
        </w:tc>
        <w:tc>
          <w:tcPr>
            <w:tcW w:w="5528" w:type="dxa"/>
            <w:gridSpan w:val="2"/>
            <w:tcBorders>
              <w:top w:val="single" w:sz="4" w:space="0" w:color="auto"/>
              <w:bottom w:val="single" w:sz="12" w:space="0" w:color="auto"/>
            </w:tcBorders>
          </w:tcPr>
          <w:p w14:paraId="5F39B085" w14:textId="77777777" w:rsidR="001F39D5" w:rsidRDefault="001F39D5">
            <w:pPr>
              <w:spacing w:before="120" w:line="380" w:lineRule="exact"/>
            </w:pPr>
          </w:p>
          <w:p w14:paraId="52686F2C" w14:textId="77777777" w:rsidR="00E203F4" w:rsidRDefault="00E203F4">
            <w:pPr>
              <w:spacing w:before="120" w:line="380" w:lineRule="exact"/>
              <w:rPr>
                <w:b/>
                <w:sz w:val="34"/>
                <w:szCs w:val="34"/>
              </w:rPr>
            </w:pPr>
          </w:p>
          <w:p w14:paraId="67BBA083" w14:textId="6172E6CD" w:rsidR="001B6B8F" w:rsidRDefault="001B6B8F">
            <w:pPr>
              <w:spacing w:before="120" w:line="380" w:lineRule="exact"/>
            </w:pPr>
            <w:r w:rsidRPr="00387A84">
              <w:rPr>
                <w:b/>
                <w:sz w:val="34"/>
                <w:szCs w:val="34"/>
              </w:rPr>
              <w:t xml:space="preserve">VERSION AVANCÉE </w:t>
            </w:r>
          </w:p>
        </w:tc>
        <w:tc>
          <w:tcPr>
            <w:tcW w:w="2835" w:type="dxa"/>
            <w:tcBorders>
              <w:top w:val="single" w:sz="4" w:space="0" w:color="auto"/>
              <w:bottom w:val="single" w:sz="12" w:space="0" w:color="auto"/>
            </w:tcBorders>
          </w:tcPr>
          <w:p w14:paraId="0D4572A3" w14:textId="77777777" w:rsidR="001F39D5" w:rsidRDefault="001F39D5">
            <w:pPr>
              <w:suppressAutoHyphens w:val="0"/>
            </w:pPr>
          </w:p>
          <w:p w14:paraId="393138AE" w14:textId="2FE60CD5" w:rsidR="001F39D5" w:rsidRDefault="001F39D5">
            <w:pPr>
              <w:suppressAutoHyphens w:val="0"/>
            </w:pPr>
          </w:p>
        </w:tc>
      </w:tr>
    </w:tbl>
    <w:p w14:paraId="44DF5B16" w14:textId="77777777" w:rsidR="001F39D5" w:rsidRDefault="002D49BC">
      <w:pPr>
        <w:spacing w:before="120"/>
        <w:rPr>
          <w:b/>
          <w:sz w:val="24"/>
          <w:szCs w:val="24"/>
        </w:rPr>
      </w:pPr>
      <w:r>
        <w:rPr>
          <w:b/>
          <w:sz w:val="24"/>
          <w:szCs w:val="24"/>
        </w:rPr>
        <w:t>Comité contre la torture</w:t>
      </w:r>
    </w:p>
    <w:p w14:paraId="47B629E4" w14:textId="3D6EA028" w:rsidR="001F39D5" w:rsidRPr="00CF1F1D" w:rsidRDefault="002D49BC" w:rsidP="00963AE4">
      <w:pPr>
        <w:pStyle w:val="HMG"/>
      </w:pPr>
      <w:r>
        <w:rPr>
          <w:lang w:val="fr-FR"/>
        </w:rPr>
        <w:tab/>
      </w:r>
      <w:r>
        <w:rPr>
          <w:lang w:val="fr-FR"/>
        </w:rPr>
        <w:tab/>
      </w:r>
      <w:r>
        <w:t>Renseignements reçus d</w:t>
      </w:r>
      <w:r w:rsidR="003777CE">
        <w:t xml:space="preserve">e la Principauté du Monaco </w:t>
      </w:r>
      <w:r>
        <w:t>au sujet de la suite donnée aux</w:t>
      </w:r>
      <w:r w:rsidR="001D0C62">
        <w:t> </w:t>
      </w:r>
      <w:r>
        <w:t>observations finales</w:t>
      </w:r>
      <w:r w:rsidR="00710FED" w:rsidRPr="000D2D65">
        <w:t xml:space="preserve"> concernant </w:t>
      </w:r>
      <w:r w:rsidR="00710FED">
        <w:t xml:space="preserve">son </w:t>
      </w:r>
      <w:r w:rsidR="00FE5227">
        <w:t xml:space="preserve">septième </w:t>
      </w:r>
      <w:r w:rsidR="00E81D08">
        <w:t>rapport périodique</w:t>
      </w:r>
      <w:r>
        <w:rPr>
          <w:rStyle w:val="FootnoteReference"/>
          <w:b w:val="0"/>
          <w:sz w:val="20"/>
          <w:vertAlign w:val="baseline"/>
        </w:rPr>
        <w:footnoteReference w:customMarkFollows="1" w:id="2"/>
        <w:t>*</w:t>
      </w:r>
    </w:p>
    <w:p w14:paraId="3271F3EF" w14:textId="7769989D" w:rsidR="001F39D5" w:rsidRDefault="002D49BC">
      <w:pPr>
        <w:pStyle w:val="SingleTxtG"/>
        <w:jc w:val="right"/>
      </w:pPr>
      <w:r>
        <w:t>[Date de réception</w:t>
      </w:r>
      <w:r w:rsidR="00044A08">
        <w:t> </w:t>
      </w:r>
      <w:r>
        <w:t xml:space="preserve">: </w:t>
      </w:r>
      <w:r w:rsidR="008A6362">
        <w:t>30 avril 2026</w:t>
      </w:r>
      <w:r>
        <w:t>]</w:t>
      </w:r>
    </w:p>
    <w:p w14:paraId="3C0BEE28" w14:textId="6FA12660" w:rsidR="00B4691E" w:rsidRDefault="00B4691E">
      <w:pPr>
        <w:suppressAutoHyphens w:val="0"/>
        <w:kinsoku/>
        <w:overflowPunct/>
        <w:autoSpaceDE/>
        <w:autoSpaceDN/>
        <w:adjustRightInd/>
        <w:snapToGrid/>
        <w:spacing w:after="200" w:line="276" w:lineRule="auto"/>
        <w:rPr>
          <w:rFonts w:eastAsiaTheme="minorEastAsia"/>
          <w:lang w:val="fr-FR" w:eastAsia="zh-CN"/>
        </w:rPr>
      </w:pPr>
      <w:r>
        <w:rPr>
          <w:lang w:val="fr-FR"/>
        </w:rPr>
        <w:br w:type="page"/>
      </w:r>
    </w:p>
    <w:p w14:paraId="5659E8AC" w14:textId="4AAC3F10" w:rsidR="00C5256D" w:rsidRDefault="00C5256D" w:rsidP="00C5256D">
      <w:pPr>
        <w:pStyle w:val="HChG"/>
      </w:pPr>
      <w:r>
        <w:lastRenderedPageBreak/>
        <w:tab/>
      </w:r>
      <w:r>
        <w:tab/>
      </w:r>
      <w:r w:rsidRPr="00F45A1E">
        <w:t>Renseignements reçus de Monaco au sujet de la suite donnée aux</w:t>
      </w:r>
      <w:r>
        <w:t xml:space="preserve"> </w:t>
      </w:r>
      <w:r w:rsidRPr="00F45A1E">
        <w:t>observations finales</w:t>
      </w:r>
    </w:p>
    <w:p w14:paraId="7AD17206" w14:textId="5FCD7109" w:rsidR="00C5256D" w:rsidRPr="002233FF" w:rsidRDefault="00C5256D" w:rsidP="00C5256D">
      <w:pPr>
        <w:pStyle w:val="SingleTxtG"/>
      </w:pPr>
      <w:r>
        <w:t>1.</w:t>
      </w:r>
      <w:r>
        <w:tab/>
      </w:r>
      <w:r w:rsidRPr="000725E5">
        <w:t xml:space="preserve">Le </w:t>
      </w:r>
      <w:r w:rsidRPr="002233FF">
        <w:t xml:space="preserve">Comité contre la torture a examiné le septième rapport périodique de Monaco (CAT/C/MCO/7) à ses 2174e et 2177e séances (CAT/C/SR.2174 et 2177), les 8 et 9 avril 2025, et a adopté ses observations finales à sa 2198e séance, le 28 avril 2025. </w:t>
      </w:r>
    </w:p>
    <w:p w14:paraId="1E30429C" w14:textId="1917D0B4" w:rsidR="00C5256D" w:rsidRPr="002233FF" w:rsidRDefault="00C5256D" w:rsidP="00C5256D">
      <w:pPr>
        <w:pStyle w:val="SingleTxtG"/>
      </w:pPr>
      <w:r>
        <w:t>2.</w:t>
      </w:r>
      <w:r>
        <w:tab/>
      </w:r>
      <w:r w:rsidRPr="002233FF">
        <w:t xml:space="preserve">Le Comité a ainsi demandé à l’État </w:t>
      </w:r>
      <w:r>
        <w:t>P</w:t>
      </w:r>
      <w:r w:rsidRPr="002233FF">
        <w:t xml:space="preserve">artie de lui faire parvenir des renseignements sur la suite donnée aux recommandations formulées aux paragraphes 11, 23 et 25. </w:t>
      </w:r>
    </w:p>
    <w:p w14:paraId="64537E85" w14:textId="49EBCFCC" w:rsidR="00C5256D" w:rsidRPr="00BD4C24" w:rsidRDefault="00C5256D" w:rsidP="00C5256D">
      <w:pPr>
        <w:pStyle w:val="H1G"/>
      </w:pPr>
      <w:bookmarkStart w:id="0" w:name="_Hlk227758777"/>
      <w:r>
        <w:tab/>
      </w:r>
      <w:r>
        <w:tab/>
      </w:r>
      <w:r w:rsidRPr="00BD4C24">
        <w:t>Définition et incrimination de la torture</w:t>
      </w:r>
    </w:p>
    <w:p w14:paraId="31485668" w14:textId="0B2960EF" w:rsidR="00C5256D" w:rsidRDefault="003B2E1B" w:rsidP="003B2E1B">
      <w:pPr>
        <w:pStyle w:val="H1G"/>
      </w:pPr>
      <w:r>
        <w:tab/>
        <w:t xml:space="preserve">A. </w:t>
      </w:r>
      <w:r>
        <w:tab/>
      </w:r>
      <w:r w:rsidR="001F34ED">
        <w:t xml:space="preserve">Information relative </w:t>
      </w:r>
      <w:r w:rsidR="00F01E58">
        <w:t xml:space="preserve">au paragraphe 11 des observations finales </w:t>
      </w:r>
    </w:p>
    <w:p w14:paraId="3F27A4B4" w14:textId="035D1DE3" w:rsidR="00C5256D" w:rsidRDefault="000B1996" w:rsidP="00C5256D">
      <w:pPr>
        <w:pStyle w:val="SingleTxtG"/>
      </w:pPr>
      <w:r>
        <w:t>3.</w:t>
      </w:r>
      <w:r>
        <w:tab/>
      </w:r>
      <w:r w:rsidR="00C5256D">
        <w:t xml:space="preserve">S’appuyant sur les recommandations du Comité contre la Torture, les travaux ont diligemment été initiés en ce qui concerne l’introduction d’une définition de l’infraction de torture et les autres éléments visés au paragraphe 11 du document contenant les observations finales dudit Comité (CAT/C/MCO/CO/7). </w:t>
      </w:r>
    </w:p>
    <w:p w14:paraId="191008BA" w14:textId="173517C3" w:rsidR="00C5256D" w:rsidRDefault="003B2E1B" w:rsidP="003B2E1B">
      <w:pPr>
        <w:pStyle w:val="SingleTxtG"/>
      </w:pPr>
      <w:r>
        <w:t>4.</w:t>
      </w:r>
      <w:r>
        <w:tab/>
      </w:r>
      <w:r w:rsidR="00C5256D">
        <w:t xml:space="preserve">Sur la définition de l’infraction, un projet de rédaction d’un nouvel article du Code pénal a été formulé et se trouve à l’étude des Services compétents. Le libellé de ce nouvel article se fonde sur celui de l’article premier de la Convention. </w:t>
      </w:r>
    </w:p>
    <w:p w14:paraId="7D35A955" w14:textId="1A5D2082" w:rsidR="00C5256D" w:rsidRDefault="003B2E1B" w:rsidP="003B2E1B">
      <w:pPr>
        <w:pStyle w:val="SingleTxtG"/>
      </w:pPr>
      <w:r>
        <w:t>5.</w:t>
      </w:r>
      <w:r>
        <w:tab/>
      </w:r>
      <w:r w:rsidR="00C5256D">
        <w:t xml:space="preserve">En ce qui concerne l’extension de la portée de cette définition à toute personne qui tente de commettre des actes de tortures ou qui est complice de tels actes, le nouvel article du Code pénal, lu conjointement avec les articles 2 et 41 existants, permettra de satisfaire à cette demande. </w:t>
      </w:r>
    </w:p>
    <w:p w14:paraId="4B527ADF" w14:textId="1BE0CE42" w:rsidR="00C5256D" w:rsidRDefault="00B04479" w:rsidP="00B04479">
      <w:pPr>
        <w:pStyle w:val="SingleTxtG"/>
        <w:rPr>
          <w:color w:val="000000"/>
          <w:kern w:val="2"/>
          <w:szCs w:val="22"/>
          <w14:ligatures w14:val="standardContextual"/>
        </w:rPr>
      </w:pPr>
      <w:r>
        <w:t>6.</w:t>
      </w:r>
      <w:r>
        <w:tab/>
      </w:r>
      <w:r w:rsidR="00C5256D">
        <w:t xml:space="preserve">En effet, d’une part, l'article 2 du Code Pénal dispose que « </w:t>
      </w:r>
      <w:r w:rsidR="00C5256D" w:rsidRPr="00417DBF">
        <w:rPr>
          <w:i/>
          <w:iCs/>
        </w:rPr>
        <w:t xml:space="preserve">toute tentative de crime qui aura été manifestée par un </w:t>
      </w:r>
      <w:r w:rsidR="00C5256D" w:rsidRPr="00B04479">
        <w:t>commencement</w:t>
      </w:r>
      <w:r w:rsidR="00C5256D" w:rsidRPr="00417DBF">
        <w:rPr>
          <w:i/>
          <w:iCs/>
        </w:rPr>
        <w:t xml:space="preserve"> d'exécution, si elle </w:t>
      </w:r>
      <w:r w:rsidR="00C5256D">
        <w:rPr>
          <w:i/>
          <w:iCs/>
        </w:rPr>
        <w:t>n’</w:t>
      </w:r>
      <w:r w:rsidR="00C5256D" w:rsidRPr="00417DBF">
        <w:rPr>
          <w:i/>
          <w:iCs/>
        </w:rPr>
        <w:t xml:space="preserve">a été suspendue ou </w:t>
      </w:r>
      <w:r w:rsidR="00C5256D">
        <w:rPr>
          <w:i/>
          <w:iCs/>
        </w:rPr>
        <w:t>n’</w:t>
      </w:r>
      <w:r w:rsidR="00C5256D" w:rsidRPr="00417DBF">
        <w:rPr>
          <w:i/>
          <w:iCs/>
        </w:rPr>
        <w:t>a manqué son effet que par une circonstance indépendante de la volonté de son auteur, est considérée comme le crime même</w:t>
      </w:r>
      <w:r w:rsidR="00C5256D">
        <w:t xml:space="preserve"> » et, d’autre part, l'article 41 du même Code prévoit que « </w:t>
      </w:r>
      <w:r w:rsidR="00C5256D" w:rsidRPr="00417DBF">
        <w:rPr>
          <w:i/>
          <w:iCs/>
        </w:rPr>
        <w:t>les complices d'un crime ou d'un délit seront punis de la même peine que les auteurs de ces crime ou délit, sauf les cas où la loi en disposerait autrement</w:t>
      </w:r>
      <w:r w:rsidR="00C5256D">
        <w:t xml:space="preserve"> ». </w:t>
      </w:r>
      <w:r w:rsidR="00C5256D" w:rsidRPr="00417DBF">
        <w:rPr>
          <w:color w:val="000000"/>
          <w:kern w:val="2"/>
          <w:szCs w:val="22"/>
          <w14:ligatures w14:val="standardContextual"/>
        </w:rPr>
        <w:t xml:space="preserve">Il ressort </w:t>
      </w:r>
      <w:r w:rsidR="00C5256D">
        <w:rPr>
          <w:color w:val="000000"/>
          <w:kern w:val="2"/>
          <w:szCs w:val="22"/>
          <w14:ligatures w14:val="standardContextual"/>
        </w:rPr>
        <w:t>ainsi de ce</w:t>
      </w:r>
      <w:r w:rsidR="00C5256D" w:rsidRPr="00417DBF">
        <w:rPr>
          <w:color w:val="000000"/>
          <w:kern w:val="2"/>
          <w:szCs w:val="22"/>
          <w14:ligatures w14:val="standardContextual"/>
        </w:rPr>
        <w:t xml:space="preserve"> qui précède que la création d'une infraction de torture permettra de réprimer également comme auteurs du crime les personnes qui auront tenté de commettre un acte de torture de même que </w:t>
      </w:r>
      <w:r w:rsidR="00C5256D">
        <w:rPr>
          <w:color w:val="000000"/>
          <w:kern w:val="2"/>
          <w:szCs w:val="22"/>
          <w14:ligatures w14:val="standardContextual"/>
        </w:rPr>
        <w:t xml:space="preserve">les </w:t>
      </w:r>
      <w:r w:rsidR="00C5256D" w:rsidRPr="00417DBF">
        <w:rPr>
          <w:color w:val="000000"/>
          <w:kern w:val="2"/>
          <w:szCs w:val="22"/>
          <w14:ligatures w14:val="standardContextual"/>
        </w:rPr>
        <w:t>complices</w:t>
      </w:r>
      <w:r w:rsidR="00C5256D">
        <w:rPr>
          <w:color w:val="000000"/>
          <w:kern w:val="2"/>
          <w:szCs w:val="22"/>
          <w14:ligatures w14:val="standardContextual"/>
        </w:rPr>
        <w:t xml:space="preserve"> d’un tel acte,</w:t>
      </w:r>
      <w:r w:rsidR="00C5256D" w:rsidRPr="00417DBF">
        <w:rPr>
          <w:color w:val="000000"/>
          <w:kern w:val="2"/>
          <w:szCs w:val="22"/>
          <w14:ligatures w14:val="standardContextual"/>
        </w:rPr>
        <w:t xml:space="preserve"> conformément au libellé du paragraphe premier de l'article 4 de la Convention.</w:t>
      </w:r>
    </w:p>
    <w:p w14:paraId="69A83B2E" w14:textId="0F6D524D" w:rsidR="00C5256D" w:rsidRDefault="00B04479" w:rsidP="00B04479">
      <w:pPr>
        <w:pStyle w:val="SingleTxtG"/>
        <w:rPr>
          <w:color w:val="000000"/>
          <w:kern w:val="2"/>
          <w:szCs w:val="22"/>
          <w14:ligatures w14:val="standardContextual"/>
        </w:rPr>
      </w:pPr>
      <w:r>
        <w:t>7.</w:t>
      </w:r>
      <w:r>
        <w:tab/>
      </w:r>
      <w:r w:rsidR="00C5256D">
        <w:t xml:space="preserve">Par </w:t>
      </w:r>
      <w:r w:rsidR="00C5256D" w:rsidRPr="0074176A">
        <w:rPr>
          <w:color w:val="000000"/>
          <w:kern w:val="2"/>
          <w:szCs w:val="22"/>
          <w14:ligatures w14:val="standardContextual"/>
        </w:rPr>
        <w:t xml:space="preserve">ailleurs, il est dûment tenu compte, dans le projet de rédaction du nouvel article du Code pénal, de l’obligation de prévoir des peines appropriées qui prennent en considération la gravité de l’infraction concernée, </w:t>
      </w:r>
      <w:r w:rsidR="00C5256D" w:rsidRPr="00417DBF">
        <w:rPr>
          <w:color w:val="000000"/>
          <w:kern w:val="2"/>
          <w:szCs w:val="22"/>
          <w14:ligatures w14:val="standardContextual"/>
        </w:rPr>
        <w:t xml:space="preserve">conformément au libellé du </w:t>
      </w:r>
      <w:r w:rsidR="00C5256D">
        <w:rPr>
          <w:color w:val="000000"/>
          <w:kern w:val="2"/>
          <w:szCs w:val="22"/>
          <w14:ligatures w14:val="standardContextual"/>
        </w:rPr>
        <w:t xml:space="preserve">deuxième </w:t>
      </w:r>
      <w:r w:rsidR="00C5256D" w:rsidRPr="00417DBF">
        <w:rPr>
          <w:color w:val="000000"/>
          <w:kern w:val="2"/>
          <w:szCs w:val="22"/>
          <w14:ligatures w14:val="standardContextual"/>
        </w:rPr>
        <w:t>paragraphe de l'article 4 de la Convention.</w:t>
      </w:r>
    </w:p>
    <w:p w14:paraId="11013F8A" w14:textId="3BDA9A40" w:rsidR="00C5256D" w:rsidRPr="00F45A1E" w:rsidRDefault="00B04479" w:rsidP="00B04479">
      <w:pPr>
        <w:pStyle w:val="SingleTxtG"/>
      </w:pPr>
      <w:r>
        <w:t>8.</w:t>
      </w:r>
      <w:r>
        <w:tab/>
      </w:r>
      <w:r w:rsidR="00C5256D">
        <w:t xml:space="preserve">Enfin, en ce qui concerne l’introduction du régime d’imprescriptibilité, la réflexion globale actuellement menée inclut également cet aspect. </w:t>
      </w:r>
    </w:p>
    <w:bookmarkEnd w:id="0"/>
    <w:p w14:paraId="31FC9CC6" w14:textId="42E0BC03" w:rsidR="00C5256D" w:rsidRDefault="00B04479" w:rsidP="00B04479">
      <w:pPr>
        <w:pStyle w:val="H1G"/>
      </w:pPr>
      <w:r>
        <w:tab/>
      </w:r>
      <w:r>
        <w:tab/>
      </w:r>
      <w:r w:rsidR="00C5256D" w:rsidRPr="00BD4C24">
        <w:t>Incarcération extraterritoriale et suivi des conditions des détenus transférés</w:t>
      </w:r>
    </w:p>
    <w:p w14:paraId="5976ED3E" w14:textId="28AB7A8E" w:rsidR="00B04479" w:rsidRPr="00B04479" w:rsidRDefault="00B04479" w:rsidP="00B04479">
      <w:pPr>
        <w:pStyle w:val="H1G"/>
      </w:pPr>
      <w:r>
        <w:tab/>
        <w:t xml:space="preserve">B. </w:t>
      </w:r>
      <w:r>
        <w:tab/>
        <w:t>Information relative au paragraphe 23 des observations finales</w:t>
      </w:r>
    </w:p>
    <w:p w14:paraId="47D86094" w14:textId="090CAACF" w:rsidR="00C5256D" w:rsidRDefault="00B04479" w:rsidP="00B04479">
      <w:pPr>
        <w:pStyle w:val="SingleTxtG"/>
      </w:pPr>
      <w:r>
        <w:t>9.</w:t>
      </w:r>
      <w:r>
        <w:tab/>
      </w:r>
      <w:r w:rsidR="00C5256D" w:rsidRPr="00BD4C24">
        <w:t xml:space="preserve">À titre liminaire, il convient de rappeler que les transfèrements de personnes condamnées vers un établissement pénitentiaire français demeurent limités. Seuls deux transfèrements ont été réalisés vers la Maison d’arrêt de Nice en 2020, aucun en 2021, un en 2022, aucun en 2023, un en 2024 et un en 2025. </w:t>
      </w:r>
    </w:p>
    <w:p w14:paraId="52FDE6C8" w14:textId="77777777" w:rsidR="00C5256D" w:rsidRPr="00BD4C24" w:rsidRDefault="00C5256D" w:rsidP="00C5256D">
      <w:pPr>
        <w:pStyle w:val="NoSpacing"/>
        <w:jc w:val="both"/>
      </w:pPr>
    </w:p>
    <w:p w14:paraId="718B5866" w14:textId="18FB68D3" w:rsidR="00C5256D" w:rsidRDefault="00B04479" w:rsidP="00B04479">
      <w:pPr>
        <w:pStyle w:val="SingleTxtG"/>
      </w:pPr>
      <w:r>
        <w:t>10.</w:t>
      </w:r>
      <w:r>
        <w:tab/>
      </w:r>
      <w:r w:rsidR="00C5256D" w:rsidRPr="00BD4C24">
        <w:t>Jusqu</w:t>
      </w:r>
      <w:r w:rsidR="00C5256D">
        <w:t xml:space="preserve">e </w:t>
      </w:r>
      <w:r w:rsidR="00C5256D" w:rsidRPr="00BD4C24">
        <w:t>lors aucune peine prononcée par les juridictions monégasques n’est, en pratique, exécutée dans un autre État que la France.</w:t>
      </w:r>
    </w:p>
    <w:p w14:paraId="568D678C" w14:textId="3509EDD2" w:rsidR="00C5256D" w:rsidRDefault="00B04479" w:rsidP="00B04479">
      <w:pPr>
        <w:pStyle w:val="SingleTxtG"/>
      </w:pPr>
      <w:r>
        <w:t>11.</w:t>
      </w:r>
      <w:r>
        <w:tab/>
      </w:r>
      <w:r w:rsidR="00C5256D" w:rsidRPr="00BD4C24">
        <w:t>Ces transfèrements interviennent dans le cadre de la coopération existante entre la Principauté de Monaco et la France, et notamment dans le cadre de la Convention de voisinage franco-monégasque du 18 mai 1963. Ils concernent des personnes définitivement condamnées par les juridictions monégasques à une peine privative de liberté. En pratique, ils répondent à des considérations tenant à l’exécution effective de la peine restant à effectuer ainsi qu’au maintien des liens familiaux et sociaux de la personne condamnée.</w:t>
      </w:r>
    </w:p>
    <w:p w14:paraId="2F032750" w14:textId="5EAFB26D" w:rsidR="00C5256D" w:rsidRDefault="00B04479" w:rsidP="00B04479">
      <w:pPr>
        <w:pStyle w:val="SingleTxtG"/>
      </w:pPr>
      <w:r>
        <w:t>12.</w:t>
      </w:r>
      <w:r>
        <w:tab/>
      </w:r>
      <w:r w:rsidR="00C5256D" w:rsidRPr="00BD4C24">
        <w:t>La procédure de transfèrement peut être réalisée à la demande de la personne condamnée ou sur décision des autorités judiciaires monégasques après avoir recueilli son accord.</w:t>
      </w:r>
    </w:p>
    <w:p w14:paraId="775242B4" w14:textId="1842B33C" w:rsidR="00C5256D" w:rsidRDefault="00B04479" w:rsidP="00B04479">
      <w:pPr>
        <w:pStyle w:val="SingleTxtG"/>
      </w:pPr>
      <w:r>
        <w:t>13.</w:t>
      </w:r>
      <w:r>
        <w:tab/>
      </w:r>
      <w:proofErr w:type="spellStart"/>
      <w:r w:rsidR="00C5256D" w:rsidRPr="00BD4C24">
        <w:t>A</w:t>
      </w:r>
      <w:proofErr w:type="spellEnd"/>
      <w:r w:rsidR="00C5256D" w:rsidRPr="00BD4C24">
        <w:t xml:space="preserve"> ce jour, les transfèrements ont été effectués uniquement à la demande de la personne condamnée, de sorte que son consentement était acquis, sans avoir été formalisé par écrit. </w:t>
      </w:r>
    </w:p>
    <w:p w14:paraId="0C3D2A98" w14:textId="0EAD7241" w:rsidR="00C5256D" w:rsidRDefault="00B04479" w:rsidP="00B04479">
      <w:pPr>
        <w:pStyle w:val="SingleTxtG"/>
      </w:pPr>
      <w:r>
        <w:t>14.</w:t>
      </w:r>
      <w:r>
        <w:tab/>
      </w:r>
      <w:r w:rsidR="00C5256D" w:rsidRPr="00BD4C24">
        <w:t>Afin de renforcer la formalisation de cette pratique, la Direction des Services Judiciaires a élaboré un projet de circulaire relatif au recueil du consentement explicite des personnes définitivement condamnées et détenues à Monaco dans le cadre de leur transfèrement vers la France. Sa publication au Journal de Monaco est prévue dans les prochaines semaines.</w:t>
      </w:r>
    </w:p>
    <w:p w14:paraId="536B7EA4" w14:textId="06E9B64E" w:rsidR="00C5256D" w:rsidRDefault="00B04479" w:rsidP="00B04479">
      <w:pPr>
        <w:pStyle w:val="SingleTxtG"/>
      </w:pPr>
      <w:r>
        <w:t>15.</w:t>
      </w:r>
      <w:r>
        <w:tab/>
      </w:r>
      <w:r w:rsidR="00C5256D" w:rsidRPr="00BD4C24">
        <w:t>Cette circulaire prévoit l’utilisation obligatoire d’un formulaire écrit avant toute mise à exécution d’un transfèrement. Il permettra d’attester que la personne condamnée a été informée, dans une langue qu’elle comprend, de l’objet du transfèrement, de l’établissement pénitentiaire français susceptible de l’accueillir, des conséquences pratiques de la mesure, de la possibilité de consulter un avocat de son choix avant de se prononcer, ainsi que de la faculté de refuser le transfèrement.</w:t>
      </w:r>
    </w:p>
    <w:p w14:paraId="6277CB3E" w14:textId="0D7F33F3" w:rsidR="00C5256D" w:rsidRDefault="00B04479" w:rsidP="00B04479">
      <w:pPr>
        <w:pStyle w:val="SingleTxtG"/>
      </w:pPr>
      <w:r>
        <w:t>16.</w:t>
      </w:r>
      <w:r>
        <w:tab/>
      </w:r>
      <w:r w:rsidR="00C5256D" w:rsidRPr="00BD4C24">
        <w:t>Le formulaire signé sera versé au dossier pénitentiaire de la personne condamnée et une copie sera transmise à la Direction des Services Judiciaires, au Parquet Général, et, pour information et suivi, au Juge chargé de l’application des peines.</w:t>
      </w:r>
    </w:p>
    <w:p w14:paraId="71AD557B" w14:textId="405DEB4C" w:rsidR="00C5256D" w:rsidRDefault="00B04479" w:rsidP="00B04479">
      <w:pPr>
        <w:pStyle w:val="SingleTxtG"/>
      </w:pPr>
      <w:r>
        <w:t>17.</w:t>
      </w:r>
      <w:r>
        <w:tab/>
      </w:r>
      <w:r w:rsidR="00C5256D" w:rsidRPr="00BD4C24">
        <w:t>Cette mesure répond directement à la demande du Comité tendant à consacrer formellement, par un texte, la nécessité du consentement explicite des personnes condamnées à Monaco à leur transfèrement en France. Elle permettra également de renforcer la traçabilité de l’information délivrée à la personne concernée, de son accord ou de son refus, ainsi que des autorités informées de la mesure.</w:t>
      </w:r>
    </w:p>
    <w:p w14:paraId="41008915" w14:textId="23359A1F" w:rsidR="00C5256D" w:rsidRDefault="00B04479" w:rsidP="00B04479">
      <w:pPr>
        <w:pStyle w:val="SingleTxtG"/>
      </w:pPr>
      <w:r>
        <w:t>18.</w:t>
      </w:r>
      <w:r>
        <w:tab/>
      </w:r>
      <w:r w:rsidR="00C5256D" w:rsidRPr="00BD4C24">
        <w:t>Les autorités monégasques entendent, en outre, compléter cette mesure par la mise en place d’une fiche de suivi individualisée associant les autorités compétentes. Cette fiche aura vocation à mentionner, pour chaque personne transférée, la date du transfèrement, l’établissement pénitentiaire d’accueil, les coordonnées utiles du point de contact français, les éventuelles demandes formulées par la personne détenue, les incidents ou difficultés signalés et les suites données.</w:t>
      </w:r>
    </w:p>
    <w:p w14:paraId="7298C0F3" w14:textId="3224D38A" w:rsidR="00C5256D" w:rsidRDefault="00B04479" w:rsidP="00B04479">
      <w:pPr>
        <w:pStyle w:val="SingleTxtG"/>
      </w:pPr>
      <w:r>
        <w:t>19.</w:t>
      </w:r>
      <w:r>
        <w:tab/>
      </w:r>
      <w:r w:rsidR="00C5256D" w:rsidRPr="00BD4C24">
        <w:t>Cette évolution permettra de renforcer et faciliter un suivi individuel des personnes transférées. La Direction des Services Judiciaires solliciterait l’établissement pénitentiaire français d’accueil, afin qu’un point de contact administratif puisse être identifié. La désignation de ce dernier permettrait au juge chargé de l’application des peines, au Parquet Général ou à la Direction des Services Judiciaires de solliciter les informations utiles au suivi de l’exécution de la peine, notamment en cas d’incident grave, de difficulté particulière ou de signalement relatif aux conditions de détention.</w:t>
      </w:r>
    </w:p>
    <w:p w14:paraId="4D811044" w14:textId="0475383D" w:rsidR="00C5256D" w:rsidRDefault="00B04479" w:rsidP="00B04479">
      <w:pPr>
        <w:pStyle w:val="SingleTxtG"/>
      </w:pPr>
      <w:r>
        <w:t>20.</w:t>
      </w:r>
      <w:r>
        <w:tab/>
      </w:r>
      <w:r w:rsidR="00C5256D" w:rsidRPr="00BD4C24">
        <w:t>Enfin, une notice courte sera remise à la personne condamnée préalablement à son transfèrement, en complément du formulaire de consentement. Elle précisera les interlocuteurs pouvant être saisis en cas de difficulté relative aux conditions de détention, notamment l’avocat de la personne condamnée, le juge chargé de l’application des peines, le Greffe général, la Direction des Services Judiciaires, ainsi que les autorités françaises compétentes.</w:t>
      </w:r>
    </w:p>
    <w:p w14:paraId="6B59DF43" w14:textId="77777777" w:rsidR="00C5256D" w:rsidRPr="00BD4C24" w:rsidRDefault="00C5256D" w:rsidP="00C5256D">
      <w:pPr>
        <w:pStyle w:val="NoSpacing"/>
        <w:jc w:val="both"/>
      </w:pPr>
    </w:p>
    <w:p w14:paraId="71D6F005" w14:textId="217D2E59" w:rsidR="00C5256D" w:rsidRDefault="00B04479" w:rsidP="00B04479">
      <w:pPr>
        <w:pStyle w:val="SingleTxtG"/>
      </w:pPr>
      <w:r>
        <w:t>21.</w:t>
      </w:r>
      <w:r>
        <w:tab/>
      </w:r>
      <w:r w:rsidR="00C5256D" w:rsidRPr="00BD4C24">
        <w:t>Ces mesures ont pour objet de garantir que les personnes condamnées par les juridictions monégasques et exécutant leur peine en France puissent bénéficier d’un consentement formalisé, d’une information préalable claire, d’un accès effectif à un avocat de leur choix et d’un circuit identifié permettant de signaler toute difficulté relative à leurs conditions de détention.</w:t>
      </w:r>
    </w:p>
    <w:p w14:paraId="1606B50A" w14:textId="4204DFE4" w:rsidR="00C5256D" w:rsidRDefault="00B04479" w:rsidP="00B04479">
      <w:pPr>
        <w:pStyle w:val="SingleTxtG"/>
      </w:pPr>
      <w:r>
        <w:t>22.</w:t>
      </w:r>
      <w:r>
        <w:tab/>
      </w:r>
      <w:r w:rsidR="00C5256D" w:rsidRPr="00BD4C24">
        <w:t>Elles permettront également de mieux associer les autorités judiciaires monégasques compétentes au suivi de l’exécution de la peine lorsque celle-ci se poursuit sur le territoire français, sans remettre en cause la compétence des autorités françaises pour l’administration quotidienne de l’établissement pénitentiaire d’accueil.</w:t>
      </w:r>
    </w:p>
    <w:p w14:paraId="54408CE3" w14:textId="2349FBA9" w:rsidR="00C5256D" w:rsidRPr="00BD4C24" w:rsidRDefault="00B04479" w:rsidP="00B04479">
      <w:pPr>
        <w:pStyle w:val="SingleTxtG"/>
      </w:pPr>
      <w:r>
        <w:t>23.</w:t>
      </w:r>
      <w:r>
        <w:tab/>
      </w:r>
      <w:r w:rsidR="00C5256D" w:rsidRPr="00BD4C24">
        <w:t>Les autorités monégasques informeront le Comité des suites concrètes données à ce dispositif après l’entrée en vigueur de la circulaire précitée.</w:t>
      </w:r>
    </w:p>
    <w:p w14:paraId="3322A83D" w14:textId="2A490EA7" w:rsidR="00C5256D" w:rsidRDefault="00B04479" w:rsidP="00B04479">
      <w:pPr>
        <w:pStyle w:val="H1G"/>
      </w:pPr>
      <w:r>
        <w:tab/>
      </w:r>
      <w:r>
        <w:tab/>
      </w:r>
      <w:proofErr w:type="spellStart"/>
      <w:r w:rsidR="00C5256D" w:rsidRPr="00FB07BC">
        <w:t>Haut Commissariat</w:t>
      </w:r>
      <w:proofErr w:type="spellEnd"/>
      <w:r w:rsidR="00C5256D" w:rsidRPr="00FB07BC">
        <w:t xml:space="preserve"> à la protection des droits et à la médiation et surveillance des lieux de détention</w:t>
      </w:r>
    </w:p>
    <w:p w14:paraId="2108E644" w14:textId="271D6ABE" w:rsidR="00B04479" w:rsidRPr="00B04479" w:rsidRDefault="00A87C86" w:rsidP="00B04479">
      <w:pPr>
        <w:pStyle w:val="H1G"/>
      </w:pPr>
      <w:r>
        <w:tab/>
      </w:r>
      <w:r w:rsidR="00B03C87">
        <w:t>C.</w:t>
      </w:r>
      <w:r w:rsidR="00B03C87">
        <w:tab/>
      </w:r>
      <w:r w:rsidR="00B04479">
        <w:tab/>
        <w:t>Information relative au paragraphe 25 des observations finales</w:t>
      </w:r>
    </w:p>
    <w:p w14:paraId="7E6C7FB3" w14:textId="36C5434A" w:rsidR="00C5256D" w:rsidRDefault="00B04479" w:rsidP="00B04479">
      <w:pPr>
        <w:pStyle w:val="SingleTxtG"/>
        <w:rPr>
          <w:color w:val="212121"/>
        </w:rPr>
      </w:pPr>
      <w:r>
        <w:t>24.</w:t>
      </w:r>
      <w:r>
        <w:tab/>
      </w:r>
      <w:r w:rsidR="00C5256D">
        <w:t xml:space="preserve">L’année 2024 a marqué une étape significative dans le développement du </w:t>
      </w:r>
      <w:proofErr w:type="spellStart"/>
      <w:r w:rsidR="00C5256D">
        <w:t>Haut Commissariat</w:t>
      </w:r>
      <w:proofErr w:type="spellEnd"/>
      <w:r w:rsidR="00C5256D" w:rsidRPr="00D24530">
        <w:rPr>
          <w:color w:val="212121"/>
        </w:rPr>
        <w:t xml:space="preserve"> </w:t>
      </w:r>
      <w:r w:rsidR="00C5256D" w:rsidRPr="003C39C1">
        <w:rPr>
          <w:color w:val="212121"/>
        </w:rPr>
        <w:t xml:space="preserve">à la protection des droits </w:t>
      </w:r>
      <w:r w:rsidR="00C5256D" w:rsidRPr="00B04479">
        <w:t>et</w:t>
      </w:r>
      <w:r w:rsidR="00C5256D" w:rsidRPr="003C39C1">
        <w:rPr>
          <w:color w:val="212121"/>
        </w:rPr>
        <w:t xml:space="preserve"> à la médiation</w:t>
      </w:r>
      <w:r w:rsidR="00C5256D">
        <w:t>. En effet, dix années après le début de son fonctionnement</w:t>
      </w:r>
      <w:r w:rsidR="00C5256D">
        <w:rPr>
          <w:color w:val="212121"/>
        </w:rPr>
        <w:t>, l</w:t>
      </w:r>
      <w:r w:rsidR="00C5256D" w:rsidRPr="000725E5">
        <w:rPr>
          <w:color w:val="212121"/>
        </w:rPr>
        <w:t>’</w:t>
      </w:r>
      <w:r w:rsidR="00C5256D" w:rsidRPr="003C39C1">
        <w:rPr>
          <w:color w:val="212121"/>
        </w:rPr>
        <w:t>Ordonnance Souveraine n° 10.845 du 1</w:t>
      </w:r>
      <w:r w:rsidR="00C5256D" w:rsidRPr="00D24530">
        <w:rPr>
          <w:color w:val="212121"/>
          <w:vertAlign w:val="superscript"/>
        </w:rPr>
        <w:t>er</w:t>
      </w:r>
      <w:r w:rsidR="00C5256D" w:rsidRPr="003C39C1">
        <w:rPr>
          <w:color w:val="212121"/>
        </w:rPr>
        <w:t xml:space="preserve"> octobre 2024 a </w:t>
      </w:r>
      <w:r w:rsidR="00C5256D" w:rsidRPr="000725E5">
        <w:rPr>
          <w:color w:val="212121"/>
        </w:rPr>
        <w:t>remplacé l</w:t>
      </w:r>
      <w:r w:rsidR="00C5256D">
        <w:rPr>
          <w:color w:val="212121"/>
        </w:rPr>
        <w:t xml:space="preserve">a précédente </w:t>
      </w:r>
      <w:r w:rsidR="00C5256D" w:rsidRPr="000725E5">
        <w:rPr>
          <w:color w:val="212121"/>
        </w:rPr>
        <w:t xml:space="preserve">Ordonnance Souveraine </w:t>
      </w:r>
      <w:r w:rsidR="00C5256D">
        <w:rPr>
          <w:color w:val="212121"/>
        </w:rPr>
        <w:t>de</w:t>
      </w:r>
      <w:r w:rsidR="00C5256D" w:rsidRPr="000725E5">
        <w:rPr>
          <w:color w:val="212121"/>
        </w:rPr>
        <w:t xml:space="preserve"> 2013.</w:t>
      </w:r>
    </w:p>
    <w:p w14:paraId="7DACFFCE" w14:textId="253FC4EB" w:rsidR="00C5256D" w:rsidRPr="00D24530" w:rsidRDefault="00B04479" w:rsidP="00B04479">
      <w:pPr>
        <w:pStyle w:val="SingleTxtG"/>
        <w:rPr>
          <w:color w:val="212121"/>
        </w:rPr>
      </w:pPr>
      <w:r>
        <w:t>25.</w:t>
      </w:r>
      <w:r>
        <w:tab/>
      </w:r>
      <w:r w:rsidR="00C5256D">
        <w:t xml:space="preserve">Cela constitue l'aboutissement de plusieurs années de réflexion et de dialogue interinstitutionnel. Ce nouveau texte permet au </w:t>
      </w:r>
      <w:proofErr w:type="spellStart"/>
      <w:r w:rsidR="00C5256D">
        <w:t>Haut Commissariat</w:t>
      </w:r>
      <w:proofErr w:type="spellEnd"/>
      <w:r w:rsidR="00C5256D">
        <w:t xml:space="preserve"> de répondre pleinement aux exigences figurant dans les Principes de Venise et de Paris. Cette évolution lui a ainsi permis d'être admis en mai 2025 en qualité de membre associé du Réseau européen des Institutions Nationales de Droits de l'Homme (ENNHRI). Depuis lors, le </w:t>
      </w:r>
      <w:proofErr w:type="spellStart"/>
      <w:r w:rsidR="00C5256D">
        <w:t>Haut Commissariat</w:t>
      </w:r>
      <w:proofErr w:type="spellEnd"/>
      <w:r w:rsidR="00C5256D">
        <w:t xml:space="preserve"> participe aux travaux du réseau et a entamé le processus devant, à terme, lui permettre de devenir membre de l'Alliance Globale des Institutions Nationales des Droits de l'Homme (GANHRI).</w:t>
      </w:r>
    </w:p>
    <w:p w14:paraId="20584C2D" w14:textId="393EAA55" w:rsidR="00C5256D" w:rsidRDefault="00B04479" w:rsidP="00B04479">
      <w:pPr>
        <w:pStyle w:val="SingleTxtG"/>
        <w:rPr>
          <w:color w:val="212121"/>
        </w:rPr>
      </w:pPr>
      <w:r>
        <w:rPr>
          <w:color w:val="212121"/>
        </w:rPr>
        <w:t>26.</w:t>
      </w:r>
      <w:r>
        <w:rPr>
          <w:color w:val="212121"/>
        </w:rPr>
        <w:tab/>
      </w:r>
      <w:r w:rsidR="00C5256D" w:rsidRPr="000725E5">
        <w:rPr>
          <w:color w:val="212121"/>
        </w:rPr>
        <w:t xml:space="preserve">Le </w:t>
      </w:r>
      <w:proofErr w:type="spellStart"/>
      <w:r w:rsidR="00C5256D" w:rsidRPr="000725E5">
        <w:rPr>
          <w:color w:val="212121"/>
        </w:rPr>
        <w:t>Haut</w:t>
      </w:r>
      <w:r w:rsidR="00C5256D">
        <w:rPr>
          <w:color w:val="212121"/>
        </w:rPr>
        <w:t xml:space="preserve"> </w:t>
      </w:r>
      <w:r w:rsidR="00C5256D" w:rsidRPr="000725E5">
        <w:rPr>
          <w:color w:val="212121"/>
        </w:rPr>
        <w:t>Commissaire</w:t>
      </w:r>
      <w:proofErr w:type="spellEnd"/>
      <w:r w:rsidR="00C5256D" w:rsidRPr="000725E5">
        <w:rPr>
          <w:color w:val="212121"/>
        </w:rPr>
        <w:t xml:space="preserve"> est </w:t>
      </w:r>
      <w:r w:rsidR="00C5256D">
        <w:rPr>
          <w:color w:val="212121"/>
        </w:rPr>
        <w:t xml:space="preserve">notamment </w:t>
      </w:r>
      <w:r w:rsidR="00C5256D" w:rsidRPr="000725E5">
        <w:rPr>
          <w:color w:val="212121"/>
        </w:rPr>
        <w:t xml:space="preserve">chargé de protéger les droits et libertés des administrés dans le cadre de leurs </w:t>
      </w:r>
      <w:r w:rsidR="00C5256D" w:rsidRPr="00B04479">
        <w:t>relations</w:t>
      </w:r>
      <w:r w:rsidR="00C5256D" w:rsidRPr="000725E5">
        <w:rPr>
          <w:color w:val="212121"/>
        </w:rPr>
        <w:t xml:space="preserve"> avec les administrations et les établissements publics, </w:t>
      </w:r>
      <w:r w:rsidR="00C5256D">
        <w:rPr>
          <w:color w:val="212121"/>
        </w:rPr>
        <w:t xml:space="preserve">ainsi que </w:t>
      </w:r>
      <w:r w:rsidR="00C5256D" w:rsidRPr="000725E5">
        <w:rPr>
          <w:color w:val="212121"/>
        </w:rPr>
        <w:t xml:space="preserve">de lutter contre les discriminations directes ou indirectes, prohibées par la loi ou par un engagement international ratifié et rendu exécutoire par Monaco, </w:t>
      </w:r>
    </w:p>
    <w:p w14:paraId="20800626" w14:textId="7DDBA7AC" w:rsidR="00C5256D" w:rsidRDefault="00106807" w:rsidP="00106807">
      <w:pPr>
        <w:pStyle w:val="SingleTxtG"/>
      </w:pPr>
      <w:r>
        <w:t>27.</w:t>
      </w:r>
      <w:r>
        <w:tab/>
      </w:r>
      <w:r w:rsidR="00C5256D">
        <w:t>L</w:t>
      </w:r>
      <w:r w:rsidR="00C5256D" w:rsidRPr="000725E5">
        <w:t xml:space="preserve">e </w:t>
      </w:r>
      <w:proofErr w:type="spellStart"/>
      <w:r w:rsidR="00C5256D" w:rsidRPr="000725E5">
        <w:t>Haut Commissaire</w:t>
      </w:r>
      <w:proofErr w:type="spellEnd"/>
      <w:r w:rsidR="00C5256D" w:rsidRPr="000725E5">
        <w:t xml:space="preserve"> peut notamment être saisi, à titre amiable et gratuit par toute personne physique ou morale qui estime que ses droits et libertés ont été méconnus par certaines autorités ou par le fonctionnement d'un service relevant de l'une de ces autorités ou d'un établissement public</w:t>
      </w:r>
      <w:r w:rsidR="00C5256D">
        <w:t>, ainsi que</w:t>
      </w:r>
      <w:r w:rsidR="00C5256D" w:rsidRPr="000725E5">
        <w:t xml:space="preserve"> par toute personne physique ou morale estimant avoir, sur le territoire de la Principauté, été victime de discriminations directes ou indirectes, prohibées par la loi ou par un engagement international ratifié et rendu exécutoire par Monaco</w:t>
      </w:r>
      <w:r w:rsidR="00C5256D">
        <w:t>.</w:t>
      </w:r>
    </w:p>
    <w:p w14:paraId="33294F9E" w14:textId="29A1D414" w:rsidR="00C5256D" w:rsidRDefault="00106807" w:rsidP="00106807">
      <w:pPr>
        <w:pStyle w:val="SingleTxtG"/>
      </w:pPr>
      <w:r>
        <w:t>28.</w:t>
      </w:r>
      <w:r>
        <w:tab/>
      </w:r>
      <w:r w:rsidR="00C5256D" w:rsidRPr="00871534">
        <w:t xml:space="preserve">Depuis 2022, les détenus bénéficient de la possibilité de contacter directement par téléphone le </w:t>
      </w:r>
      <w:proofErr w:type="spellStart"/>
      <w:r w:rsidR="00C5256D" w:rsidRPr="00871534">
        <w:t>Haut</w:t>
      </w:r>
      <w:r w:rsidR="00C5256D">
        <w:t xml:space="preserve"> </w:t>
      </w:r>
      <w:r w:rsidR="00C5256D" w:rsidRPr="00871534">
        <w:t>Commissariat</w:t>
      </w:r>
      <w:proofErr w:type="spellEnd"/>
      <w:r w:rsidR="00C5256D" w:rsidRPr="00871534">
        <w:t xml:space="preserve"> et ce nouveau moyen de communication a été largement utilisé et permet souvent un premier contact rassurant pour les détenus. Cette nouvelle possibilité n’exclut en rien la saisine par écrit.</w:t>
      </w:r>
    </w:p>
    <w:p w14:paraId="7BFC6C4C" w14:textId="4F4CACBC" w:rsidR="00C5256D" w:rsidRDefault="00106807" w:rsidP="00106807">
      <w:pPr>
        <w:pStyle w:val="SingleTxtG"/>
      </w:pPr>
      <w:r>
        <w:t>29.</w:t>
      </w:r>
      <w:r>
        <w:tab/>
      </w:r>
      <w:r w:rsidR="00C5256D" w:rsidRPr="008418EE">
        <w:t xml:space="preserve">Dans le cadre de son nouveau statut, le </w:t>
      </w:r>
      <w:proofErr w:type="spellStart"/>
      <w:r w:rsidR="00C5256D" w:rsidRPr="008418EE">
        <w:t>Haut Commissariat</w:t>
      </w:r>
      <w:proofErr w:type="spellEnd"/>
      <w:r w:rsidR="00C5256D" w:rsidRPr="008418EE">
        <w:t xml:space="preserve"> à la </w:t>
      </w:r>
      <w:r w:rsidR="00C5256D">
        <w:t>p</w:t>
      </w:r>
      <w:r w:rsidR="00C5256D" w:rsidRPr="008418EE">
        <w:t xml:space="preserve">rotection des </w:t>
      </w:r>
      <w:r w:rsidR="00C5256D">
        <w:t>d</w:t>
      </w:r>
      <w:r w:rsidR="00C5256D" w:rsidRPr="008418EE">
        <w:t xml:space="preserve">roits et à la </w:t>
      </w:r>
      <w:r w:rsidR="00C5256D">
        <w:t>m</w:t>
      </w:r>
      <w:r w:rsidR="00C5256D" w:rsidRPr="008418EE">
        <w:t xml:space="preserve">édiation dispose désormais de la capacité d'auto-saisine, ce qui signifie qu'il est en mesure d'intervenir de sa propre initiative sur toute question à caractère général susceptible de porter atteinte aux droits et libertés. </w:t>
      </w:r>
    </w:p>
    <w:p w14:paraId="5C44ADAF" w14:textId="6F70A8E2" w:rsidR="00C5256D" w:rsidRPr="00D24530" w:rsidRDefault="00106807" w:rsidP="00106807">
      <w:pPr>
        <w:pStyle w:val="SingleTxtG"/>
      </w:pPr>
      <w:r>
        <w:t>30.</w:t>
      </w:r>
      <w:r>
        <w:tab/>
      </w:r>
      <w:r w:rsidR="00C5256D" w:rsidRPr="008418EE">
        <w:t xml:space="preserve">Le </w:t>
      </w:r>
      <w:proofErr w:type="spellStart"/>
      <w:r w:rsidR="00C5256D" w:rsidRPr="008418EE">
        <w:t>Haut Commissariat</w:t>
      </w:r>
      <w:proofErr w:type="spellEnd"/>
      <w:r w:rsidR="00C5256D" w:rsidRPr="008418EE">
        <w:t xml:space="preserve"> est également chargé de la promotion des droits, y compris des droits de l'</w:t>
      </w:r>
      <w:r w:rsidR="00C5256D">
        <w:t>e</w:t>
      </w:r>
      <w:r w:rsidR="00C5256D" w:rsidRPr="008418EE">
        <w:t>nfant</w:t>
      </w:r>
      <w:r w:rsidR="00C5256D">
        <w:t>. L</w:t>
      </w:r>
      <w:r w:rsidR="00C5256D" w:rsidRPr="008418EE">
        <w:t xml:space="preserve">es mineurs </w:t>
      </w:r>
      <w:r w:rsidR="00C5256D">
        <w:t>ont</w:t>
      </w:r>
      <w:r w:rsidR="00C5256D" w:rsidRPr="008418EE">
        <w:t xml:space="preserve"> la capacité de le saisir directement.</w:t>
      </w:r>
    </w:p>
    <w:p w14:paraId="01CD61C1" w14:textId="6A142836" w:rsidR="00C5256D" w:rsidRPr="000725E5" w:rsidRDefault="00106807" w:rsidP="00106807">
      <w:pPr>
        <w:pStyle w:val="SingleTxtG"/>
      </w:pPr>
      <w:r>
        <w:t>31.</w:t>
      </w:r>
      <w:r>
        <w:tab/>
      </w:r>
      <w:r w:rsidR="00C5256D" w:rsidRPr="000725E5">
        <w:t xml:space="preserve">L’Ordonnance Souveraine susvisée prévoit que le </w:t>
      </w:r>
      <w:proofErr w:type="spellStart"/>
      <w:r w:rsidR="00C5256D" w:rsidRPr="000725E5">
        <w:t>Haut Commissaire</w:t>
      </w:r>
      <w:proofErr w:type="spellEnd"/>
      <w:r w:rsidR="00C5256D" w:rsidRPr="000725E5">
        <w:t xml:space="preserve"> accomplit les missions qui lui sont dévolues avec neutralité, impartialité et de manière indépendante. Aussi, ne reçoit-il, dans le cadre de l'exercice de ces missions, notamment de la part du Ministre d'État, du Président du Conseil National, du Directeur des Services Judiciaires et du Maire, aucun ordre, instruction ou directive de quelque nature que ce soit.</w:t>
      </w:r>
      <w:r w:rsidR="00C5256D">
        <w:t xml:space="preserve"> </w:t>
      </w:r>
      <w:r w:rsidR="00C5256D" w:rsidRPr="000725E5">
        <w:t xml:space="preserve">Il est en outre précisé que les fonctions de </w:t>
      </w:r>
      <w:proofErr w:type="spellStart"/>
      <w:r w:rsidR="00C5256D" w:rsidRPr="000725E5">
        <w:t>Haut Commissaire</w:t>
      </w:r>
      <w:proofErr w:type="spellEnd"/>
      <w:r w:rsidR="00C5256D" w:rsidRPr="000725E5">
        <w:t xml:space="preserve"> sont incompatibles avec celles de Conseiller National, de Conseiller Communal, de membre du Conseil Économique, Social et Environnemental ainsi qu'avec l'exercice, à Monaco ou à l'étranger, de tout mandat électif à caractère politique, de toutes autres fonctions publiques ou de toute activité lucrative, professionnelle ou salariée.</w:t>
      </w:r>
    </w:p>
    <w:p w14:paraId="132A2278" w14:textId="5F5281F5" w:rsidR="00C5256D" w:rsidRDefault="00106807" w:rsidP="00106807">
      <w:pPr>
        <w:pStyle w:val="SingleTxtG"/>
      </w:pPr>
      <w:r>
        <w:t>32.</w:t>
      </w:r>
      <w:r>
        <w:tab/>
      </w:r>
      <w:r w:rsidR="00C5256D" w:rsidRPr="000725E5">
        <w:t xml:space="preserve">L'État assure au </w:t>
      </w:r>
      <w:proofErr w:type="spellStart"/>
      <w:r w:rsidR="00C5256D" w:rsidRPr="000725E5">
        <w:t>Haut</w:t>
      </w:r>
      <w:r w:rsidR="00C5256D">
        <w:t xml:space="preserve"> </w:t>
      </w:r>
      <w:r w:rsidR="00C5256D" w:rsidRPr="000725E5">
        <w:t>Commissaire</w:t>
      </w:r>
      <w:proofErr w:type="spellEnd"/>
      <w:r w:rsidR="00C5256D" w:rsidRPr="000725E5">
        <w:t xml:space="preserve"> ainsi qu'aux personnels placés sous son autorité, la protection contre les menaces, outrages, injures, diffamations ou attaques de toute nature dont ces derniers seraient l'objet lors de l'accomplissement de ses missions. De la même manière, l'État garantit au </w:t>
      </w:r>
      <w:proofErr w:type="spellStart"/>
      <w:r w:rsidR="00C5256D" w:rsidRPr="000725E5">
        <w:t>Haut Commissaire</w:t>
      </w:r>
      <w:proofErr w:type="spellEnd"/>
      <w:r w:rsidR="00C5256D" w:rsidRPr="000725E5">
        <w:t xml:space="preserve"> les moyens matériels d'exercice desdites missions. </w:t>
      </w:r>
    </w:p>
    <w:p w14:paraId="09F5F6DA" w14:textId="3D9DE090" w:rsidR="00C5256D" w:rsidRPr="008418EE" w:rsidRDefault="00106807" w:rsidP="00106807">
      <w:pPr>
        <w:pStyle w:val="SingleTxtG"/>
      </w:pPr>
      <w:r>
        <w:t>33.</w:t>
      </w:r>
      <w:r>
        <w:tab/>
      </w:r>
      <w:r w:rsidR="00C5256D" w:rsidRPr="008418EE">
        <w:t xml:space="preserve">S'agissant de l'inspection des lieux de privation de liberté, le </w:t>
      </w:r>
      <w:proofErr w:type="spellStart"/>
      <w:r w:rsidR="00C5256D" w:rsidRPr="008418EE">
        <w:t>Haut Commissariat</w:t>
      </w:r>
      <w:proofErr w:type="spellEnd"/>
      <w:r w:rsidR="00C5256D" w:rsidRPr="008418EE">
        <w:t xml:space="preserve"> rappelle qu'il y a libre accès et que les détenus peuvent également le contacter directement par téléphone. Lors des visites effectuées, les entretiens sont menés en toute confidentialité et sans limitation de durée.</w:t>
      </w:r>
    </w:p>
    <w:p w14:paraId="27CAF5BF" w14:textId="5E3B5DF0" w:rsidR="00C5256D" w:rsidRDefault="00106807" w:rsidP="00106807">
      <w:pPr>
        <w:pStyle w:val="SingleTxtG"/>
      </w:pPr>
      <w:r>
        <w:t>34.</w:t>
      </w:r>
      <w:r>
        <w:tab/>
      </w:r>
      <w:r w:rsidR="00C5256D" w:rsidRPr="008418EE">
        <w:t xml:space="preserve">Par ailleurs, plusieurs recommandations formulées par le </w:t>
      </w:r>
      <w:proofErr w:type="spellStart"/>
      <w:r w:rsidR="00C5256D" w:rsidRPr="008418EE">
        <w:t>Haut Commissariat</w:t>
      </w:r>
      <w:proofErr w:type="spellEnd"/>
      <w:r w:rsidR="00C5256D" w:rsidRPr="008418EE">
        <w:t xml:space="preserve"> en matière de conditions de détention ont été suivies d'effet au cours des dernières années</w:t>
      </w:r>
      <w:r w:rsidR="00C5256D">
        <w:t xml:space="preserve"> et sont présentées ci-après quelques exemples</w:t>
      </w:r>
      <w:r w:rsidR="00C5256D" w:rsidRPr="008418EE">
        <w:t>.</w:t>
      </w:r>
    </w:p>
    <w:p w14:paraId="7F07AF61" w14:textId="5E0E5CDA" w:rsidR="00C5256D" w:rsidRPr="008418EE" w:rsidRDefault="00B03C87" w:rsidP="00106807">
      <w:pPr>
        <w:pStyle w:val="SingleTxtG"/>
      </w:pPr>
      <w:r>
        <w:t>35.</w:t>
      </w:r>
      <w:r>
        <w:tab/>
      </w:r>
      <w:r w:rsidR="00C5256D">
        <w:t>Au sujet du</w:t>
      </w:r>
      <w:r w:rsidR="00C5256D" w:rsidRPr="008418EE">
        <w:t xml:space="preserve"> régime de fouille, le </w:t>
      </w:r>
      <w:proofErr w:type="spellStart"/>
      <w:r w:rsidR="00C5256D" w:rsidRPr="008418EE">
        <w:t>Haut Commissariat</w:t>
      </w:r>
      <w:proofErr w:type="spellEnd"/>
      <w:r w:rsidR="00C5256D" w:rsidRPr="008418EE">
        <w:t xml:space="preserve"> s'est félicité de la mise en service, en 2023, d'un scanner </w:t>
      </w:r>
      <w:r w:rsidR="00C5256D">
        <w:t xml:space="preserve">corporel </w:t>
      </w:r>
      <w:r w:rsidR="00C5256D" w:rsidRPr="008418EE">
        <w:t>à la Maison d'Arrêt</w:t>
      </w:r>
      <w:r w:rsidR="00C5256D">
        <w:t>, qui</w:t>
      </w:r>
      <w:r w:rsidR="00C5256D" w:rsidRPr="008418EE">
        <w:t xml:space="preserve"> permet de limiter les fouilles à corps</w:t>
      </w:r>
      <w:r w:rsidR="00C5256D">
        <w:t xml:space="preserve"> </w:t>
      </w:r>
      <w:r w:rsidR="00C5256D" w:rsidRPr="007726CD">
        <w:t>en rendant les fouilles moins intrusives</w:t>
      </w:r>
      <w:r w:rsidR="00C5256D" w:rsidRPr="008418EE">
        <w:t>.</w:t>
      </w:r>
      <w:r w:rsidR="00C5256D">
        <w:t xml:space="preserve"> En effet, </w:t>
      </w:r>
      <w:r w:rsidR="00C5256D" w:rsidRPr="007726CD">
        <w:t xml:space="preserve">plusieurs détenus avaient indiqué qu’ils préféraient renoncer à certaines démarches de soins (notamment consulter le médecin ou le psychiatre) pour ne pas avoir à subir une fouille à corps supplémentaire, ce qui pouvait naturellement s’avérer délétère pour leur santé. </w:t>
      </w:r>
    </w:p>
    <w:p w14:paraId="055C650B" w14:textId="41C718CE" w:rsidR="00C5256D" w:rsidRDefault="00B03C87" w:rsidP="00106807">
      <w:pPr>
        <w:pStyle w:val="SingleTxtG"/>
      </w:pPr>
      <w:r>
        <w:t>36.</w:t>
      </w:r>
      <w:r>
        <w:tab/>
      </w:r>
      <w:r w:rsidR="00C5256D" w:rsidRPr="00AF370A">
        <w:t>Par ailleurs, l</w:t>
      </w:r>
      <w:r w:rsidR="00C5256D" w:rsidRPr="009C2DD2">
        <w:t xml:space="preserve">e </w:t>
      </w:r>
      <w:proofErr w:type="spellStart"/>
      <w:r w:rsidR="00C5256D" w:rsidRPr="009C2DD2">
        <w:t>Haut Commissariat</w:t>
      </w:r>
      <w:proofErr w:type="spellEnd"/>
      <w:r w:rsidR="00C5256D" w:rsidRPr="009C2DD2">
        <w:t xml:space="preserve"> a recommandé,</w:t>
      </w:r>
      <w:r w:rsidR="00C5256D" w:rsidRPr="00AF370A">
        <w:t xml:space="preserve"> en 2023,</w:t>
      </w:r>
      <w:r w:rsidR="00C5256D" w:rsidRPr="009C2DD2">
        <w:t xml:space="preserve"> à la suite de plusieurs saisines individuelles, de considérer la période de détention comme une phase préparatoire à la réinsertion sociale</w:t>
      </w:r>
      <w:r w:rsidR="00C5256D" w:rsidRPr="00AF370A">
        <w:t xml:space="preserve">, en portant </w:t>
      </w:r>
      <w:r w:rsidR="00C5256D" w:rsidRPr="009C2DD2">
        <w:t xml:space="preserve">une attention particulière </w:t>
      </w:r>
      <w:r w:rsidR="00C5256D" w:rsidRPr="00AF370A">
        <w:t>aux</w:t>
      </w:r>
      <w:r w:rsidR="00C5256D" w:rsidRPr="009C2DD2">
        <w:t xml:space="preserve"> activités culturelles et sportives </w:t>
      </w:r>
      <w:r w:rsidR="00C5256D" w:rsidRPr="00AF370A">
        <w:t xml:space="preserve">ainsi qu’à </w:t>
      </w:r>
      <w:r w:rsidR="00C5256D" w:rsidRPr="009C2DD2">
        <w:t>une offre de formations professionnalisantes</w:t>
      </w:r>
      <w:r w:rsidR="00C5256D" w:rsidRPr="00AF370A">
        <w:t xml:space="preserve"> </w:t>
      </w:r>
      <w:r w:rsidR="00C5256D" w:rsidRPr="009C2DD2">
        <w:t>pour faciliter leur réinsertion.</w:t>
      </w:r>
      <w:r w:rsidR="00C5256D">
        <w:t xml:space="preserve"> En r</w:t>
      </w:r>
      <w:r w:rsidR="00C5256D" w:rsidRPr="009C2DD2">
        <w:t xml:space="preserve">éponse, des activités supplémentaires </w:t>
      </w:r>
      <w:r w:rsidR="00C5256D">
        <w:t>s</w:t>
      </w:r>
      <w:r w:rsidR="00C5256D" w:rsidRPr="00AF370A">
        <w:t xml:space="preserve">ont </w:t>
      </w:r>
      <w:r w:rsidR="00C5256D" w:rsidRPr="009C2DD2">
        <w:t>proposées, un coach de sport intervient de manière hebdomadaire</w:t>
      </w:r>
      <w:r w:rsidR="00C5256D" w:rsidRPr="00AF370A">
        <w:t xml:space="preserve"> et l</w:t>
      </w:r>
      <w:r w:rsidR="00C5256D" w:rsidRPr="009C2DD2">
        <w:t xml:space="preserve">es horaires de la bibliothèque </w:t>
      </w:r>
      <w:r w:rsidR="00C5256D" w:rsidRPr="00AF370A">
        <w:t>ont été</w:t>
      </w:r>
      <w:r w:rsidR="00C5256D" w:rsidRPr="009C2DD2">
        <w:t xml:space="preserve"> </w:t>
      </w:r>
      <w:r w:rsidR="00C5256D" w:rsidRPr="00AF370A">
        <w:t>adaptés</w:t>
      </w:r>
      <w:r w:rsidR="00C5256D" w:rsidRPr="009C2DD2">
        <w:t xml:space="preserve">. </w:t>
      </w:r>
    </w:p>
    <w:p w14:paraId="561247DD" w14:textId="1990577D" w:rsidR="00C5256D" w:rsidRPr="00AF370A" w:rsidRDefault="00B03C87" w:rsidP="00106807">
      <w:pPr>
        <w:pStyle w:val="SingleTxtG"/>
      </w:pPr>
      <w:r>
        <w:t>37.</w:t>
      </w:r>
      <w:r>
        <w:tab/>
      </w:r>
      <w:r w:rsidR="00C5256D">
        <w:t xml:space="preserve">Enfin, en 2024, </w:t>
      </w:r>
      <w:r w:rsidR="00C5256D" w:rsidRPr="00AF370A">
        <w:t xml:space="preserve">le </w:t>
      </w:r>
      <w:proofErr w:type="spellStart"/>
      <w:r w:rsidR="00C5256D" w:rsidRPr="00AF370A">
        <w:t>Haut Commissariat</w:t>
      </w:r>
      <w:proofErr w:type="spellEnd"/>
      <w:r w:rsidR="00C5256D" w:rsidRPr="00CD5267">
        <w:t xml:space="preserve"> a été </w:t>
      </w:r>
      <w:r w:rsidR="00C5256D" w:rsidRPr="00AF370A">
        <w:t>saisi par deux détenus au sujet de difficultés liées à la compréhension et à la communication des décisions de justice les concernant</w:t>
      </w:r>
      <w:r w:rsidR="00C5256D" w:rsidRPr="00CD5267">
        <w:t xml:space="preserve">, </w:t>
      </w:r>
      <w:r w:rsidR="00C5256D" w:rsidRPr="00AF370A">
        <w:t>qu'il s'agisse d'actes de jugement ou de correspondances apportant des réponses à leurs interrogations.</w:t>
      </w:r>
      <w:r w:rsidR="00C5256D" w:rsidRPr="00CD5267">
        <w:t xml:space="preserve"> Afin </w:t>
      </w:r>
      <w:r w:rsidR="00C5256D" w:rsidRPr="00AF370A">
        <w:t xml:space="preserve">de garantir la pleine compréhension des procédures dont ils font l'objet, le </w:t>
      </w:r>
      <w:proofErr w:type="spellStart"/>
      <w:r w:rsidR="00C5256D" w:rsidRPr="00AF370A">
        <w:t>Haut Commissariat</w:t>
      </w:r>
      <w:proofErr w:type="spellEnd"/>
      <w:r w:rsidR="00C5256D" w:rsidRPr="00AF370A">
        <w:t xml:space="preserve"> a recommandé la mise en place d'un mécanisme de traduction efficace, incluant notamment le recours régulier à des interprètes</w:t>
      </w:r>
      <w:r w:rsidR="00C5256D" w:rsidRPr="00CD5267">
        <w:t xml:space="preserve">, et </w:t>
      </w:r>
      <w:r w:rsidR="00C5256D" w:rsidRPr="00AF370A">
        <w:t>a constaté avec satisfaction que cette recommandation a été suivie d'effet, les services de la Maison d'arrêt ayant mise en place un dispositif reposant sur l'utilisation d'un logiciel de traduction.</w:t>
      </w:r>
    </w:p>
    <w:p w14:paraId="5A1FCB5F" w14:textId="47187CD0" w:rsidR="00C5256D" w:rsidRPr="000725E5" w:rsidRDefault="00B03C87" w:rsidP="00B03C87">
      <w:pPr>
        <w:pStyle w:val="H1G"/>
      </w:pPr>
      <w:r>
        <w:tab/>
      </w:r>
      <w:r>
        <w:tab/>
      </w:r>
      <w:r w:rsidR="00C5256D" w:rsidRPr="000725E5">
        <w:t xml:space="preserve">Autres recommandations </w:t>
      </w:r>
    </w:p>
    <w:p w14:paraId="10C9EB75" w14:textId="74E4C706" w:rsidR="00C5256D" w:rsidRDefault="00A87C86" w:rsidP="00B03C87">
      <w:pPr>
        <w:pStyle w:val="SingleTxtG"/>
      </w:pPr>
      <w:r>
        <w:t>38.</w:t>
      </w:r>
      <w:r>
        <w:tab/>
      </w:r>
      <w:proofErr w:type="spellStart"/>
      <w:r w:rsidR="00C5256D">
        <w:t>A</w:t>
      </w:r>
      <w:proofErr w:type="spellEnd"/>
      <w:r w:rsidR="00C5256D">
        <w:t xml:space="preserve"> l’égard d’autres recommandations formulées dans les observations finales du Comité, la Principauté apporte les éléments d’informations suivants. </w:t>
      </w:r>
    </w:p>
    <w:p w14:paraId="0A1A884A" w14:textId="0394985D" w:rsidR="00C5256D" w:rsidRDefault="00A87C86" w:rsidP="00A87C86">
      <w:pPr>
        <w:pStyle w:val="SingleTxtG"/>
      </w:pPr>
      <w:r>
        <w:t>39.</w:t>
      </w:r>
      <w:r>
        <w:tab/>
      </w:r>
      <w:r w:rsidR="00C5256D">
        <w:t>Au titre de la recommandation contenue au paragraphe n°9 relative au st</w:t>
      </w:r>
      <w:r w:rsidR="00C5256D" w:rsidRPr="002A38AE">
        <w:t xml:space="preserve">atut juridique et </w:t>
      </w:r>
      <w:r w:rsidR="00C5256D">
        <w:t>à l’</w:t>
      </w:r>
      <w:r w:rsidR="00C5256D" w:rsidRPr="002A38AE">
        <w:t>application nationale de la Convention</w:t>
      </w:r>
      <w:r w:rsidR="00C5256D">
        <w:t xml:space="preserve">, il convient de rappeler que dans la hiérarchie des normes en vigueur à Monaco, les conventions internationales priment les lois internes, même postérieures. Aussi, en cas de contradiction entre deux dispositions, celle issue de la norme la plus élevée doit recevoir application. Par conséquent, les </w:t>
      </w:r>
      <w:r w:rsidR="00C5256D" w:rsidRPr="00EC1530">
        <w:t xml:space="preserve">lois nationales sont interprétées et appliquées conformément aux obligations </w:t>
      </w:r>
      <w:r w:rsidR="00C5256D">
        <w:t xml:space="preserve">conventionnelles et les cours et tribunaux sont toujours tenus au respect des obligations conventionnelles. </w:t>
      </w:r>
    </w:p>
    <w:p w14:paraId="758AE106" w14:textId="3160D58A" w:rsidR="00C5256D" w:rsidRDefault="00A87C86" w:rsidP="00A87C86">
      <w:pPr>
        <w:pStyle w:val="SingleTxtG"/>
      </w:pPr>
      <w:r>
        <w:t>40.</w:t>
      </w:r>
      <w:r>
        <w:tab/>
      </w:r>
      <w:r w:rsidR="00C5256D">
        <w:t xml:space="preserve">En outre, les stipulations de la lettre a) de l'article 5 paraissent d'ores et déjà satisfaites en droit interne, puisque les tribunaux monégasques sont compétents pour </w:t>
      </w:r>
      <w:r w:rsidR="00C5256D">
        <w:rPr>
          <w:noProof/>
        </w:rPr>
        <w:drawing>
          <wp:inline distT="0" distB="0" distL="0" distR="0" wp14:anchorId="4CCC18E8" wp14:editId="4CE4688D">
            <wp:extent cx="3049" cy="3048"/>
            <wp:effectExtent l="0" t="0" r="0" b="0"/>
            <wp:docPr id="53843" name="Picture 53843"/>
            <wp:cNvGraphicFramePr/>
            <a:graphic xmlns:a="http://schemas.openxmlformats.org/drawingml/2006/main">
              <a:graphicData uri="http://schemas.openxmlformats.org/drawingml/2006/picture">
                <pic:pic xmlns:pic="http://schemas.openxmlformats.org/drawingml/2006/picture">
                  <pic:nvPicPr>
                    <pic:cNvPr id="53843" name="Picture 53843"/>
                    <pic:cNvPicPr/>
                  </pic:nvPicPr>
                  <pic:blipFill>
                    <a:blip r:embed="rId11"/>
                    <a:stretch>
                      <a:fillRect/>
                    </a:stretch>
                  </pic:blipFill>
                  <pic:spPr>
                    <a:xfrm>
                      <a:off x="0" y="0"/>
                      <a:ext cx="3049" cy="3048"/>
                    </a:xfrm>
                    <a:prstGeom prst="rect">
                      <a:avLst/>
                    </a:prstGeom>
                  </pic:spPr>
                </pic:pic>
              </a:graphicData>
            </a:graphic>
          </wp:inline>
        </w:drawing>
      </w:r>
      <w:r w:rsidR="00C5256D">
        <w:t xml:space="preserve">connaître de toute infraction de torture commise sur le territoire national ainsi qu'à bords des </w:t>
      </w:r>
      <w:r w:rsidR="00C5256D">
        <w:rPr>
          <w:noProof/>
        </w:rPr>
        <w:drawing>
          <wp:inline distT="0" distB="0" distL="0" distR="0" wp14:anchorId="718BD51E" wp14:editId="1C7BCF52">
            <wp:extent cx="3049" cy="3048"/>
            <wp:effectExtent l="0" t="0" r="0" b="0"/>
            <wp:docPr id="53844" name="Picture 53844"/>
            <wp:cNvGraphicFramePr/>
            <a:graphic xmlns:a="http://schemas.openxmlformats.org/drawingml/2006/main">
              <a:graphicData uri="http://schemas.openxmlformats.org/drawingml/2006/picture">
                <pic:pic xmlns:pic="http://schemas.openxmlformats.org/drawingml/2006/picture">
                  <pic:nvPicPr>
                    <pic:cNvPr id="53844" name="Picture 53844"/>
                    <pic:cNvPicPr/>
                  </pic:nvPicPr>
                  <pic:blipFill>
                    <a:blip r:embed="rId12"/>
                    <a:stretch>
                      <a:fillRect/>
                    </a:stretch>
                  </pic:blipFill>
                  <pic:spPr>
                    <a:xfrm>
                      <a:off x="0" y="0"/>
                      <a:ext cx="3049" cy="3048"/>
                    </a:xfrm>
                    <a:prstGeom prst="rect">
                      <a:avLst/>
                    </a:prstGeom>
                  </pic:spPr>
                </pic:pic>
              </a:graphicData>
            </a:graphic>
          </wp:inline>
        </w:drawing>
      </w:r>
      <w:r w:rsidR="00C5256D">
        <w:t xml:space="preserve">navires et aéronefs immatriculés en Principauté. En outre, les stipulations des lettres b) et c) sont également couvertes puisque la juridiction de Monaco est établie lorsque le responsable ou la victime est de nationalité monégasque. </w:t>
      </w:r>
    </w:p>
    <w:p w14:paraId="318D6BAD" w14:textId="276DA862" w:rsidR="00C5256D" w:rsidRDefault="00A87C86" w:rsidP="00A87C86">
      <w:pPr>
        <w:pStyle w:val="SingleTxtG"/>
        <w:rPr>
          <w:color w:val="000000"/>
          <w:kern w:val="2"/>
          <w:szCs w:val="22"/>
          <w14:ligatures w14:val="standardContextual"/>
        </w:rPr>
      </w:pPr>
      <w:r>
        <w:t>41.</w:t>
      </w:r>
      <w:r>
        <w:tab/>
      </w:r>
      <w:r w:rsidR="00C5256D">
        <w:t>Au titre de la recommandation contenue au paragraphe n°13 relative à l’in</w:t>
      </w:r>
      <w:r w:rsidR="00C5256D" w:rsidRPr="00EC1530">
        <w:t>terdiction absolue de la torture</w:t>
      </w:r>
      <w:r w:rsidR="00C5256D">
        <w:t xml:space="preserve">, </w:t>
      </w:r>
      <w:r w:rsidR="00C5256D" w:rsidRPr="00EC1530">
        <w:rPr>
          <w:color w:val="000000"/>
          <w:kern w:val="2"/>
          <w:szCs w:val="22"/>
          <w14:ligatures w14:val="standardContextual"/>
        </w:rPr>
        <w:t xml:space="preserve">celle-ci est consacrée à </w:t>
      </w:r>
      <w:r w:rsidR="00C5256D" w:rsidRPr="00A87C86">
        <w:t>l'article</w:t>
      </w:r>
      <w:r w:rsidR="00C5256D" w:rsidRPr="00EC1530">
        <w:rPr>
          <w:color w:val="000000"/>
          <w:kern w:val="2"/>
          <w:szCs w:val="22"/>
          <w14:ligatures w14:val="standardContextual"/>
        </w:rPr>
        <w:t xml:space="preserve"> 20 de la Constitution, lequel dispose que « </w:t>
      </w:r>
      <w:r w:rsidR="00C5256D" w:rsidRPr="00EC1530">
        <w:rPr>
          <w:i/>
          <w:iCs/>
          <w:color w:val="000000"/>
          <w:kern w:val="2"/>
          <w:szCs w:val="22"/>
          <w14:ligatures w14:val="standardContextual"/>
        </w:rPr>
        <w:t>nul ne peut être soumis à des traitements cruels, inhumains ou dégradants</w:t>
      </w:r>
      <w:r w:rsidR="00C5256D" w:rsidRPr="00EC1530">
        <w:rPr>
          <w:color w:val="000000"/>
          <w:kern w:val="2"/>
          <w:szCs w:val="22"/>
          <w14:ligatures w14:val="standardContextual"/>
        </w:rPr>
        <w:t xml:space="preserve"> ». Cette interdiction placée au plus haut degré de l'ordre juridique monégasque est explicite et ne permet aucune dérogation, y compris par la loi</w:t>
      </w:r>
      <w:r w:rsidR="00C5256D">
        <w:rPr>
          <w:color w:val="000000"/>
          <w:kern w:val="2"/>
          <w:szCs w:val="22"/>
          <w14:ligatures w14:val="standardContextual"/>
        </w:rPr>
        <w:t>. L</w:t>
      </w:r>
      <w:r w:rsidR="00C5256D" w:rsidRPr="00EC1530">
        <w:rPr>
          <w:color w:val="000000"/>
          <w:kern w:val="2"/>
          <w:szCs w:val="22"/>
          <w14:ligatures w14:val="standardContextual"/>
        </w:rPr>
        <w:t>es actes identifiés à de tels traitements compren</w:t>
      </w:r>
      <w:r w:rsidR="00C5256D">
        <w:rPr>
          <w:color w:val="000000"/>
          <w:kern w:val="2"/>
          <w:szCs w:val="22"/>
          <w14:ligatures w14:val="standardContextual"/>
        </w:rPr>
        <w:t>nent</w:t>
      </w:r>
      <w:r w:rsidR="00C5256D" w:rsidRPr="00EC1530">
        <w:rPr>
          <w:color w:val="000000"/>
          <w:kern w:val="2"/>
          <w:szCs w:val="22"/>
          <w14:ligatures w14:val="standardContextual"/>
        </w:rPr>
        <w:t xml:space="preserve"> évidemment la torture</w:t>
      </w:r>
      <w:r w:rsidR="00C5256D">
        <w:rPr>
          <w:color w:val="000000"/>
          <w:kern w:val="2"/>
          <w:szCs w:val="22"/>
          <w14:ligatures w14:val="standardContextual"/>
        </w:rPr>
        <w:t>.</w:t>
      </w:r>
    </w:p>
    <w:p w14:paraId="5C9DFA25" w14:textId="528AF076" w:rsidR="00C5256D" w:rsidRDefault="00A87C86" w:rsidP="00A87C86">
      <w:pPr>
        <w:pStyle w:val="SingleTxtG"/>
        <w:rPr>
          <w:color w:val="000000"/>
          <w:kern w:val="2"/>
          <w:szCs w:val="22"/>
          <w14:ligatures w14:val="standardContextual"/>
        </w:rPr>
      </w:pPr>
      <w:r>
        <w:t>42.</w:t>
      </w:r>
      <w:r>
        <w:tab/>
      </w:r>
      <w:r w:rsidR="00C5256D">
        <w:t xml:space="preserve">En outre, au titre de cette même recommandation, sur la question de la justification, il ressort d'une lecture combinée des </w:t>
      </w:r>
      <w:r w:rsidR="00C5256D">
        <w:rPr>
          <w:noProof/>
        </w:rPr>
        <w:drawing>
          <wp:inline distT="0" distB="0" distL="0" distR="0" wp14:anchorId="54CD3429" wp14:editId="5F56EBA6">
            <wp:extent cx="3049" cy="3048"/>
            <wp:effectExtent l="0" t="0" r="0" b="0"/>
            <wp:docPr id="63308" name="Picture 63308"/>
            <wp:cNvGraphicFramePr/>
            <a:graphic xmlns:a="http://schemas.openxmlformats.org/drawingml/2006/main">
              <a:graphicData uri="http://schemas.openxmlformats.org/drawingml/2006/picture">
                <pic:pic xmlns:pic="http://schemas.openxmlformats.org/drawingml/2006/picture">
                  <pic:nvPicPr>
                    <pic:cNvPr id="63308" name="Picture 63308"/>
                    <pic:cNvPicPr/>
                  </pic:nvPicPr>
                  <pic:blipFill>
                    <a:blip r:embed="rId13"/>
                    <a:stretch>
                      <a:fillRect/>
                    </a:stretch>
                  </pic:blipFill>
                  <pic:spPr>
                    <a:xfrm>
                      <a:off x="0" y="0"/>
                      <a:ext cx="3049" cy="3048"/>
                    </a:xfrm>
                    <a:prstGeom prst="rect">
                      <a:avLst/>
                    </a:prstGeom>
                  </pic:spPr>
                </pic:pic>
              </a:graphicData>
            </a:graphic>
          </wp:inline>
        </w:drawing>
      </w:r>
      <w:r w:rsidR="00C5256D">
        <w:t xml:space="preserve">articles 45 et 257 du Code pénal et de la Constitution que le </w:t>
      </w:r>
      <w:r w:rsidR="00C5256D" w:rsidRPr="008454F2">
        <w:rPr>
          <w:color w:val="000000"/>
          <w:kern w:val="2"/>
          <w:szCs w:val="22"/>
          <w14:ligatures w14:val="standardContextual"/>
        </w:rPr>
        <w:t xml:space="preserve">monégasque paraît d'ores et déjà faire obstacle à la </w:t>
      </w:r>
      <w:r w:rsidR="00C5256D" w:rsidRPr="008454F2">
        <w:rPr>
          <w:noProof/>
          <w:color w:val="000000"/>
          <w:kern w:val="2"/>
          <w:szCs w:val="22"/>
          <w14:ligatures w14:val="standardContextual"/>
        </w:rPr>
        <w:drawing>
          <wp:inline distT="0" distB="0" distL="0" distR="0" wp14:anchorId="249B2895" wp14:editId="6F709778">
            <wp:extent cx="3049" cy="3048"/>
            <wp:effectExtent l="0" t="0" r="0" b="0"/>
            <wp:docPr id="63309" name="Picture 63309"/>
            <wp:cNvGraphicFramePr/>
            <a:graphic xmlns:a="http://schemas.openxmlformats.org/drawingml/2006/main">
              <a:graphicData uri="http://schemas.openxmlformats.org/drawingml/2006/picture">
                <pic:pic xmlns:pic="http://schemas.openxmlformats.org/drawingml/2006/picture">
                  <pic:nvPicPr>
                    <pic:cNvPr id="63309" name="Picture 63309"/>
                    <pic:cNvPicPr/>
                  </pic:nvPicPr>
                  <pic:blipFill>
                    <a:blip r:embed="rId14"/>
                    <a:stretch>
                      <a:fillRect/>
                    </a:stretch>
                  </pic:blipFill>
                  <pic:spPr>
                    <a:xfrm>
                      <a:off x="0" y="0"/>
                      <a:ext cx="3049" cy="3048"/>
                    </a:xfrm>
                    <a:prstGeom prst="rect">
                      <a:avLst/>
                    </a:prstGeom>
                  </pic:spPr>
                </pic:pic>
              </a:graphicData>
            </a:graphic>
          </wp:inline>
        </w:drawing>
      </w:r>
      <w:r w:rsidR="00C5256D" w:rsidRPr="008454F2">
        <w:rPr>
          <w:color w:val="000000"/>
          <w:kern w:val="2"/>
          <w:szCs w:val="22"/>
          <w14:ligatures w14:val="standardContextual"/>
        </w:rPr>
        <w:t xml:space="preserve">justification </w:t>
      </w:r>
      <w:r w:rsidR="00C5256D">
        <w:t>des actes de torture</w:t>
      </w:r>
      <w:r w:rsidR="00C5256D" w:rsidRPr="008454F2">
        <w:rPr>
          <w:color w:val="000000"/>
          <w:kern w:val="2"/>
          <w:szCs w:val="22"/>
          <w14:ligatures w14:val="standardContextual"/>
        </w:rPr>
        <w:t xml:space="preserve"> des </w:t>
      </w:r>
      <w:r w:rsidR="00C5256D">
        <w:rPr>
          <w:color w:val="000000"/>
          <w:kern w:val="2"/>
          <w:szCs w:val="22"/>
          <w14:ligatures w14:val="standardContextual"/>
        </w:rPr>
        <w:t>tels actes</w:t>
      </w:r>
      <w:r w:rsidR="00C5256D" w:rsidRPr="008454F2">
        <w:rPr>
          <w:color w:val="000000"/>
          <w:kern w:val="2"/>
          <w:szCs w:val="22"/>
          <w14:ligatures w14:val="standardContextual"/>
        </w:rPr>
        <w:t>.</w:t>
      </w:r>
      <w:r w:rsidR="00C5256D">
        <w:rPr>
          <w:color w:val="000000"/>
          <w:kern w:val="2"/>
          <w:szCs w:val="22"/>
          <w14:ligatures w14:val="standardContextual"/>
        </w:rPr>
        <w:t xml:space="preserve"> De surcroît, sur la question du refus d’obéissance des subordonnés, </w:t>
      </w:r>
      <w:r w:rsidR="00C5256D" w:rsidRPr="008454F2">
        <w:rPr>
          <w:color w:val="000000"/>
          <w:kern w:val="2"/>
          <w:szCs w:val="22"/>
          <w14:ligatures w14:val="standardContextual"/>
        </w:rPr>
        <w:t>l'article 9 de la loi n</w:t>
      </w:r>
      <w:r w:rsidR="00C5256D" w:rsidRPr="008454F2">
        <w:rPr>
          <w:color w:val="000000"/>
          <w:kern w:val="2"/>
          <w:szCs w:val="22"/>
          <w:vertAlign w:val="superscript"/>
          <w14:ligatures w14:val="standardContextual"/>
        </w:rPr>
        <w:t xml:space="preserve">o </w:t>
      </w:r>
      <w:r w:rsidR="00C5256D" w:rsidRPr="008454F2">
        <w:rPr>
          <w:color w:val="000000"/>
          <w:kern w:val="2"/>
          <w:szCs w:val="22"/>
          <w14:ligatures w14:val="standardContextual"/>
        </w:rPr>
        <w:t xml:space="preserve">975 du 12 juillet 1975 portant statut des fonctionnaires de </w:t>
      </w:r>
      <w:r w:rsidR="00C5256D" w:rsidRPr="008454F2">
        <w:rPr>
          <w:noProof/>
          <w:color w:val="000000"/>
          <w:kern w:val="2"/>
          <w:szCs w:val="22"/>
          <w14:ligatures w14:val="standardContextual"/>
        </w:rPr>
        <w:drawing>
          <wp:inline distT="0" distB="0" distL="0" distR="0" wp14:anchorId="4D6FD167" wp14:editId="55C12B2B">
            <wp:extent cx="3049" cy="3048"/>
            <wp:effectExtent l="0" t="0" r="0" b="0"/>
            <wp:docPr id="66454" name="Picture 66454"/>
            <wp:cNvGraphicFramePr/>
            <a:graphic xmlns:a="http://schemas.openxmlformats.org/drawingml/2006/main">
              <a:graphicData uri="http://schemas.openxmlformats.org/drawingml/2006/picture">
                <pic:pic xmlns:pic="http://schemas.openxmlformats.org/drawingml/2006/picture">
                  <pic:nvPicPr>
                    <pic:cNvPr id="66454" name="Picture 66454"/>
                    <pic:cNvPicPr/>
                  </pic:nvPicPr>
                  <pic:blipFill>
                    <a:blip r:embed="rId15"/>
                    <a:stretch>
                      <a:fillRect/>
                    </a:stretch>
                  </pic:blipFill>
                  <pic:spPr>
                    <a:xfrm>
                      <a:off x="0" y="0"/>
                      <a:ext cx="3049" cy="3048"/>
                    </a:xfrm>
                    <a:prstGeom prst="rect">
                      <a:avLst/>
                    </a:prstGeom>
                  </pic:spPr>
                </pic:pic>
              </a:graphicData>
            </a:graphic>
          </wp:inline>
        </w:drawing>
      </w:r>
      <w:r w:rsidR="00C5256D" w:rsidRPr="008454F2">
        <w:rPr>
          <w:color w:val="000000"/>
          <w:kern w:val="2"/>
          <w:szCs w:val="22"/>
          <w14:ligatures w14:val="standardContextual"/>
        </w:rPr>
        <w:t xml:space="preserve">l'État, modifiée, supprime l'obligation d'obéissance hiérarchique en cas d'ordre « </w:t>
      </w:r>
      <w:r w:rsidR="00C5256D" w:rsidRPr="008454F2">
        <w:rPr>
          <w:i/>
          <w:iCs/>
          <w:color w:val="000000"/>
          <w:kern w:val="2"/>
          <w:szCs w:val="22"/>
          <w14:ligatures w14:val="standardContextual"/>
        </w:rPr>
        <w:t>manifestement illégal et de nature à compromettre gravement un intérêt public</w:t>
      </w:r>
      <w:r w:rsidR="00C5256D" w:rsidRPr="008454F2">
        <w:rPr>
          <w:color w:val="000000"/>
          <w:kern w:val="2"/>
          <w:szCs w:val="22"/>
          <w14:ligatures w14:val="standardContextual"/>
        </w:rPr>
        <w:t xml:space="preserve"> ».</w:t>
      </w:r>
      <w:r w:rsidR="00C5256D">
        <w:rPr>
          <w:color w:val="000000"/>
          <w:kern w:val="2"/>
          <w:szCs w:val="22"/>
          <w14:ligatures w14:val="standardContextual"/>
        </w:rPr>
        <w:t xml:space="preserve"> </w:t>
      </w:r>
    </w:p>
    <w:p w14:paraId="0E78F323" w14:textId="7D4B3EAF" w:rsidR="00C5256D" w:rsidRDefault="00A87C86" w:rsidP="00A87C86">
      <w:pPr>
        <w:pStyle w:val="SingleTxtG"/>
        <w:rPr>
          <w:color w:val="080808"/>
        </w:rPr>
      </w:pPr>
      <w:r>
        <w:t>43.</w:t>
      </w:r>
      <w:r>
        <w:tab/>
      </w:r>
      <w:r w:rsidR="00C5256D">
        <w:t>Au titre de la recommandation contenue au paragraphe n°17 relative aux garanties juridiques fondamentales, il convient de noter que l</w:t>
      </w:r>
      <w:r w:rsidR="00C5256D">
        <w:rPr>
          <w:color w:val="080808"/>
        </w:rPr>
        <w:t xml:space="preserve">es personnes placées en </w:t>
      </w:r>
      <w:r w:rsidR="00C5256D">
        <w:rPr>
          <w:color w:val="1A1A1A"/>
        </w:rPr>
        <w:t xml:space="preserve">rétention </w:t>
      </w:r>
      <w:r w:rsidR="00C5256D">
        <w:rPr>
          <w:color w:val="080808"/>
        </w:rPr>
        <w:t>bénéficient d'emblée de</w:t>
      </w:r>
      <w:r w:rsidR="00C5256D">
        <w:rPr>
          <w:color w:val="080808"/>
          <w:spacing w:val="-9"/>
        </w:rPr>
        <w:t xml:space="preserve"> </w:t>
      </w:r>
      <w:r w:rsidR="00C5256D">
        <w:rPr>
          <w:color w:val="080808"/>
        </w:rPr>
        <w:t>droits dont le respect est</w:t>
      </w:r>
      <w:r w:rsidR="00C5256D">
        <w:rPr>
          <w:color w:val="080808"/>
          <w:spacing w:val="-7"/>
        </w:rPr>
        <w:t xml:space="preserve"> </w:t>
      </w:r>
      <w:r w:rsidR="00C5256D">
        <w:rPr>
          <w:color w:val="080808"/>
        </w:rPr>
        <w:t>systématiquement</w:t>
      </w:r>
      <w:r w:rsidR="00C5256D">
        <w:rPr>
          <w:color w:val="080808"/>
          <w:spacing w:val="-8"/>
        </w:rPr>
        <w:t xml:space="preserve"> </w:t>
      </w:r>
      <w:r w:rsidR="00C5256D">
        <w:rPr>
          <w:color w:val="080808"/>
        </w:rPr>
        <w:t>observé. Parmi ces droits figure celui d’appeler un proche, un</w:t>
      </w:r>
      <w:r w:rsidR="00C5256D">
        <w:rPr>
          <w:color w:val="080808"/>
          <w:spacing w:val="-3"/>
        </w:rPr>
        <w:t xml:space="preserve"> </w:t>
      </w:r>
      <w:r w:rsidR="00C5256D">
        <w:rPr>
          <w:color w:val="080808"/>
        </w:rPr>
        <w:t>avocat ou un médecin. Ceci s'inscrit dans le sillon de précédentes recommandations et de l'application du droit, sachant qu’en outre,</w:t>
      </w:r>
      <w:r w:rsidR="00C5256D">
        <w:rPr>
          <w:color w:val="080808"/>
          <w:spacing w:val="-5"/>
        </w:rPr>
        <w:t xml:space="preserve"> </w:t>
      </w:r>
      <w:r w:rsidR="00C5256D">
        <w:rPr>
          <w:color w:val="080808"/>
        </w:rPr>
        <w:t>tout</w:t>
      </w:r>
      <w:r w:rsidR="00C5256D">
        <w:rPr>
          <w:color w:val="080808"/>
          <w:spacing w:val="-15"/>
        </w:rPr>
        <w:t xml:space="preserve"> </w:t>
      </w:r>
      <w:r w:rsidR="00C5256D">
        <w:rPr>
          <w:color w:val="080808"/>
        </w:rPr>
        <w:t xml:space="preserve">mauvais traitement et discrimination pourrait faire l'objet d'une plainte ou dénonciation, d'un recours auprès du </w:t>
      </w:r>
      <w:proofErr w:type="spellStart"/>
      <w:r w:rsidR="00C5256D">
        <w:rPr>
          <w:color w:val="080808"/>
        </w:rPr>
        <w:t>Haut Commissariat</w:t>
      </w:r>
      <w:proofErr w:type="spellEnd"/>
      <w:r w:rsidR="00C5256D">
        <w:rPr>
          <w:color w:val="080808"/>
        </w:rPr>
        <w:t xml:space="preserve"> aux droits et/ou d'une enquête interne de la part de l'Inspection Générale de la Direction</w:t>
      </w:r>
      <w:r w:rsidR="00C5256D">
        <w:rPr>
          <w:color w:val="080808"/>
          <w:spacing w:val="40"/>
        </w:rPr>
        <w:t xml:space="preserve"> </w:t>
      </w:r>
      <w:r w:rsidR="00C5256D">
        <w:rPr>
          <w:color w:val="080808"/>
        </w:rPr>
        <w:t>de la Sûreté Publique.</w:t>
      </w:r>
    </w:p>
    <w:p w14:paraId="11D707F9" w14:textId="12A09893" w:rsidR="00C5256D" w:rsidRDefault="00A87C86" w:rsidP="00A87C86">
      <w:pPr>
        <w:pStyle w:val="SingleTxtG"/>
        <w:rPr>
          <w:color w:val="000000"/>
          <w:kern w:val="2"/>
          <w:szCs w:val="22"/>
          <w14:ligatures w14:val="standardContextual"/>
        </w:rPr>
      </w:pPr>
      <w:r>
        <w:rPr>
          <w:color w:val="080808"/>
        </w:rPr>
        <w:t>44.</w:t>
      </w:r>
      <w:r>
        <w:rPr>
          <w:color w:val="080808"/>
        </w:rPr>
        <w:tab/>
      </w:r>
      <w:r w:rsidR="00C5256D">
        <w:rPr>
          <w:color w:val="080808"/>
        </w:rPr>
        <w:t xml:space="preserve">Au titre de la recommandation </w:t>
      </w:r>
      <w:r w:rsidR="00C5256D">
        <w:t xml:space="preserve">contenue au paragraphe </w:t>
      </w:r>
      <w:r w:rsidR="00C5256D">
        <w:rPr>
          <w:color w:val="080808"/>
        </w:rPr>
        <w:t xml:space="preserve">n°31 relative à l’irrecevabilité des preuves </w:t>
      </w:r>
      <w:r w:rsidR="00C5256D">
        <w:t>et l’interdiction d</w:t>
      </w:r>
      <w:r w:rsidR="00C5256D">
        <w:rPr>
          <w:color w:val="080808"/>
          <w:w w:val="105"/>
        </w:rPr>
        <w:t>'aveux</w:t>
      </w:r>
      <w:r w:rsidR="00C5256D">
        <w:rPr>
          <w:color w:val="080808"/>
          <w:spacing w:val="-1"/>
          <w:w w:val="105"/>
        </w:rPr>
        <w:t xml:space="preserve"> </w:t>
      </w:r>
      <w:r w:rsidR="00C5256D" w:rsidRPr="00A87C86">
        <w:rPr>
          <w:color w:val="080808"/>
        </w:rPr>
        <w:t>obtenus</w:t>
      </w:r>
      <w:r w:rsidR="00C5256D">
        <w:rPr>
          <w:color w:val="080808"/>
          <w:w w:val="105"/>
        </w:rPr>
        <w:t xml:space="preserve"> par</w:t>
      </w:r>
      <w:r w:rsidR="00C5256D">
        <w:rPr>
          <w:color w:val="080808"/>
          <w:spacing w:val="-7"/>
          <w:w w:val="105"/>
        </w:rPr>
        <w:t xml:space="preserve"> </w:t>
      </w:r>
      <w:r w:rsidR="00C5256D">
        <w:rPr>
          <w:color w:val="080808"/>
          <w:w w:val="105"/>
        </w:rPr>
        <w:t>la</w:t>
      </w:r>
      <w:r w:rsidR="00C5256D">
        <w:rPr>
          <w:color w:val="080808"/>
          <w:spacing w:val="-8"/>
          <w:w w:val="105"/>
        </w:rPr>
        <w:t xml:space="preserve"> </w:t>
      </w:r>
      <w:r w:rsidR="00C5256D">
        <w:rPr>
          <w:color w:val="1A1A1A"/>
          <w:w w:val="105"/>
        </w:rPr>
        <w:t xml:space="preserve">torture, </w:t>
      </w:r>
      <w:r w:rsidR="00C5256D">
        <w:rPr>
          <w:color w:val="080808"/>
          <w:w w:val="105"/>
        </w:rPr>
        <w:t>il</w:t>
      </w:r>
      <w:r w:rsidR="00C5256D">
        <w:rPr>
          <w:color w:val="080808"/>
          <w:spacing w:val="-16"/>
          <w:w w:val="105"/>
        </w:rPr>
        <w:t xml:space="preserve"> </w:t>
      </w:r>
      <w:r w:rsidR="00C5256D">
        <w:rPr>
          <w:color w:val="080808"/>
          <w:w w:val="105"/>
        </w:rPr>
        <w:t xml:space="preserve">convient de noter que tout acte de violence est strictement prohibé et de rappeler </w:t>
      </w:r>
      <w:r w:rsidR="00C5256D">
        <w:rPr>
          <w:color w:val="080808"/>
          <w:spacing w:val="-6"/>
          <w:w w:val="105"/>
        </w:rPr>
        <w:t>l</w:t>
      </w:r>
      <w:r w:rsidR="00C5256D">
        <w:rPr>
          <w:color w:val="080808"/>
          <w:w w:val="105"/>
        </w:rPr>
        <w:t>es règles d'ordre déontologique</w:t>
      </w:r>
      <w:r w:rsidR="00C5256D">
        <w:rPr>
          <w:color w:val="080808"/>
          <w:spacing w:val="-7"/>
          <w:w w:val="105"/>
        </w:rPr>
        <w:t xml:space="preserve"> </w:t>
      </w:r>
      <w:r w:rsidR="00C5256D">
        <w:rPr>
          <w:color w:val="080808"/>
          <w:w w:val="105"/>
        </w:rPr>
        <w:t>dans</w:t>
      </w:r>
      <w:r w:rsidR="00C5256D">
        <w:rPr>
          <w:color w:val="080808"/>
          <w:spacing w:val="-16"/>
          <w:w w:val="105"/>
        </w:rPr>
        <w:t xml:space="preserve"> </w:t>
      </w:r>
      <w:r w:rsidR="00C5256D">
        <w:rPr>
          <w:color w:val="080808"/>
          <w:w w:val="105"/>
        </w:rPr>
        <w:t>lesquelles</w:t>
      </w:r>
      <w:r w:rsidR="00C5256D">
        <w:rPr>
          <w:color w:val="080808"/>
          <w:spacing w:val="-15"/>
          <w:w w:val="105"/>
        </w:rPr>
        <w:t xml:space="preserve"> </w:t>
      </w:r>
      <w:r w:rsidR="00C5256D">
        <w:rPr>
          <w:color w:val="080808"/>
          <w:w w:val="105"/>
        </w:rPr>
        <w:t>s'inscrit</w:t>
      </w:r>
      <w:r w:rsidR="00C5256D">
        <w:rPr>
          <w:color w:val="080808"/>
          <w:spacing w:val="-16"/>
          <w:w w:val="105"/>
        </w:rPr>
        <w:t xml:space="preserve"> </w:t>
      </w:r>
      <w:r w:rsidR="00C5256D">
        <w:rPr>
          <w:color w:val="080808"/>
          <w:w w:val="105"/>
        </w:rPr>
        <w:t>le</w:t>
      </w:r>
      <w:r w:rsidR="00C5256D">
        <w:rPr>
          <w:color w:val="080808"/>
          <w:spacing w:val="-16"/>
          <w:w w:val="105"/>
        </w:rPr>
        <w:t xml:space="preserve"> </w:t>
      </w:r>
      <w:r w:rsidR="00C5256D">
        <w:rPr>
          <w:color w:val="080808"/>
          <w:w w:val="105"/>
        </w:rPr>
        <w:t>respect</w:t>
      </w:r>
      <w:r w:rsidR="00C5256D">
        <w:rPr>
          <w:color w:val="080808"/>
          <w:spacing w:val="-16"/>
          <w:w w:val="105"/>
        </w:rPr>
        <w:t xml:space="preserve"> </w:t>
      </w:r>
      <w:r w:rsidR="00C5256D">
        <w:rPr>
          <w:color w:val="080808"/>
          <w:w w:val="105"/>
        </w:rPr>
        <w:t>de</w:t>
      </w:r>
      <w:r w:rsidR="00C5256D">
        <w:rPr>
          <w:color w:val="080808"/>
          <w:spacing w:val="-17"/>
          <w:w w:val="105"/>
        </w:rPr>
        <w:t xml:space="preserve"> </w:t>
      </w:r>
      <w:r w:rsidR="00C5256D">
        <w:rPr>
          <w:color w:val="080808"/>
          <w:w w:val="105"/>
        </w:rPr>
        <w:t>toute</w:t>
      </w:r>
      <w:r w:rsidR="00C5256D">
        <w:rPr>
          <w:color w:val="080808"/>
          <w:spacing w:val="-15"/>
          <w:w w:val="105"/>
        </w:rPr>
        <w:t xml:space="preserve"> </w:t>
      </w:r>
      <w:r w:rsidR="00C5256D">
        <w:rPr>
          <w:color w:val="080808"/>
          <w:w w:val="105"/>
        </w:rPr>
        <w:t>personne</w:t>
      </w:r>
      <w:r w:rsidR="00C5256D">
        <w:rPr>
          <w:color w:val="080808"/>
          <w:spacing w:val="-16"/>
          <w:w w:val="105"/>
        </w:rPr>
        <w:t xml:space="preserve"> </w:t>
      </w:r>
      <w:r w:rsidR="00C5256D">
        <w:rPr>
          <w:color w:val="080808"/>
          <w:w w:val="105"/>
        </w:rPr>
        <w:t>et</w:t>
      </w:r>
      <w:r w:rsidR="00C5256D">
        <w:rPr>
          <w:color w:val="080808"/>
          <w:spacing w:val="-16"/>
          <w:w w:val="105"/>
        </w:rPr>
        <w:t xml:space="preserve"> </w:t>
      </w:r>
      <w:r w:rsidR="00C5256D">
        <w:rPr>
          <w:color w:val="080808"/>
          <w:w w:val="105"/>
        </w:rPr>
        <w:t>de</w:t>
      </w:r>
      <w:r w:rsidR="00C5256D">
        <w:rPr>
          <w:color w:val="080808"/>
          <w:spacing w:val="-16"/>
          <w:w w:val="105"/>
        </w:rPr>
        <w:t xml:space="preserve"> </w:t>
      </w:r>
      <w:r w:rsidR="00C5256D">
        <w:rPr>
          <w:color w:val="080808"/>
          <w:w w:val="105"/>
        </w:rPr>
        <w:t>ses</w:t>
      </w:r>
      <w:r w:rsidR="00C5256D">
        <w:rPr>
          <w:color w:val="080808"/>
          <w:spacing w:val="-15"/>
          <w:w w:val="105"/>
        </w:rPr>
        <w:t xml:space="preserve"> </w:t>
      </w:r>
      <w:r w:rsidR="00C5256D">
        <w:rPr>
          <w:color w:val="080808"/>
          <w:w w:val="105"/>
        </w:rPr>
        <w:t xml:space="preserve">droits. </w:t>
      </w:r>
      <w:r w:rsidR="00C5256D">
        <w:rPr>
          <w:color w:val="000000"/>
          <w:kern w:val="2"/>
          <w:szCs w:val="22"/>
          <w14:ligatures w14:val="standardContextual"/>
        </w:rPr>
        <w:t xml:space="preserve">En effet, </w:t>
      </w:r>
      <w:r w:rsidR="00C5256D" w:rsidRPr="00AE7596">
        <w:rPr>
          <w:color w:val="000000"/>
          <w:kern w:val="2"/>
          <w:szCs w:val="22"/>
          <w14:ligatures w14:val="standardContextual"/>
        </w:rPr>
        <w:t xml:space="preserve">il ressort des dispositions combinées des articles 20 de la Constitution, prohibant tout traitement cruel, inhumain ou dégradant, et du premier alinéa 60-4 du Code de procédure pénale, selon lequel </w:t>
      </w:r>
      <w:r w:rsidR="00C5256D">
        <w:rPr>
          <w:color w:val="000000"/>
          <w:kern w:val="2"/>
          <w:szCs w:val="22"/>
          <w14:ligatures w14:val="standardContextual"/>
        </w:rPr>
        <w:t>« </w:t>
      </w:r>
      <w:r w:rsidR="00C5256D" w:rsidRPr="000A2FAA">
        <w:rPr>
          <w:i/>
          <w:iCs/>
          <w:color w:val="000000"/>
          <w:kern w:val="2"/>
          <w:szCs w:val="22"/>
          <w14:ligatures w14:val="standardContextual"/>
        </w:rPr>
        <w:t>la</w:t>
      </w:r>
      <w:r w:rsidR="00C5256D" w:rsidRPr="00AE7596">
        <w:rPr>
          <w:i/>
          <w:iCs/>
          <w:color w:val="000000"/>
          <w:kern w:val="2"/>
          <w:szCs w:val="22"/>
          <w14:ligatures w14:val="standardContextual"/>
        </w:rPr>
        <w:t xml:space="preserve"> garde à vue doit être exécutée dans des conditions assurant le respect de la dignité de la personne</w:t>
      </w:r>
      <w:r w:rsidR="00C5256D" w:rsidRPr="00AE7596">
        <w:rPr>
          <w:color w:val="000000"/>
          <w:kern w:val="2"/>
          <w:szCs w:val="22"/>
          <w14:ligatures w14:val="standardContextual"/>
        </w:rPr>
        <w:t xml:space="preserve"> », que les moyens de torture sont strictement interdits pour l'obtention de preuves ou d'informations dans le cadre de mesures d'enquêt</w:t>
      </w:r>
      <w:r w:rsidR="00C5256D">
        <w:rPr>
          <w:color w:val="000000"/>
          <w:kern w:val="2"/>
          <w:szCs w:val="22"/>
          <w14:ligatures w14:val="standardContextual"/>
        </w:rPr>
        <w:t>e.</w:t>
      </w:r>
    </w:p>
    <w:p w14:paraId="144A2026" w14:textId="7775682C" w:rsidR="001F39D5" w:rsidRPr="00C43AA8" w:rsidRDefault="00A87C86" w:rsidP="00A87C86">
      <w:pPr>
        <w:pStyle w:val="SingleTxtG"/>
        <w:rPr>
          <w:lang w:val="fr-FR"/>
        </w:rPr>
      </w:pPr>
      <w:r>
        <w:rPr>
          <w:color w:val="000000"/>
          <w:kern w:val="2"/>
          <w:szCs w:val="22"/>
          <w14:ligatures w14:val="standardContextual"/>
        </w:rPr>
        <w:t>45.</w:t>
      </w:r>
      <w:r>
        <w:rPr>
          <w:color w:val="000000"/>
          <w:kern w:val="2"/>
          <w:szCs w:val="22"/>
          <w14:ligatures w14:val="standardContextual"/>
        </w:rPr>
        <w:tab/>
      </w:r>
      <w:r w:rsidR="00C5256D" w:rsidRPr="00C14BB7">
        <w:rPr>
          <w:color w:val="000000"/>
          <w:kern w:val="2"/>
          <w:szCs w:val="22"/>
          <w14:ligatures w14:val="standardContextual"/>
        </w:rPr>
        <w:t>Au titre de la recommandation contenue au paragraphe n°39, si la traite des personnes n'est pas érigée en infraction autonome par le Code pénal, son incrimination est néanmoins consacrée aux articles 8 et 9 de l'Ordonnance Souveraine n</w:t>
      </w:r>
      <w:r w:rsidR="00C5256D">
        <w:rPr>
          <w:color w:val="000000"/>
          <w:kern w:val="2"/>
          <w:szCs w:val="22"/>
          <w14:ligatures w14:val="standardContextual"/>
        </w:rPr>
        <w:t xml:space="preserve">° </w:t>
      </w:r>
      <w:r w:rsidR="00C5256D" w:rsidRPr="00C14BB7">
        <w:rPr>
          <w:color w:val="000000"/>
          <w:kern w:val="2"/>
          <w:szCs w:val="22"/>
          <w14:ligatures w14:val="standardContextual"/>
        </w:rPr>
        <w:t>605 du 1</w:t>
      </w:r>
      <w:r w:rsidR="00C5256D" w:rsidRPr="000A2FAA">
        <w:rPr>
          <w:color w:val="000000"/>
          <w:kern w:val="2"/>
          <w:szCs w:val="22"/>
          <w:vertAlign w:val="superscript"/>
          <w14:ligatures w14:val="standardContextual"/>
        </w:rPr>
        <w:t>er</w:t>
      </w:r>
      <w:r w:rsidR="00C5256D" w:rsidRPr="00C14BB7">
        <w:rPr>
          <w:color w:val="000000"/>
          <w:kern w:val="2"/>
          <w:szCs w:val="22"/>
          <w14:ligatures w14:val="standardContextual"/>
        </w:rPr>
        <w:t xml:space="preserve"> août 2006 portant application de la Convention des Nations Unies contre la criminalité transnationale organisée, de son Protocole additionnel visant à prévenir, réprimer et punir la traite des personnes, en particulier des femmes et des enfants, et de son Protocole additionnel contre le trafic illicite de migrants par terre, air et mer, adoptés à New York le 15 novembre 2000, modifiée. </w:t>
      </w:r>
      <w:r w:rsidR="00C5256D">
        <w:rPr>
          <w:color w:val="000000"/>
          <w:kern w:val="2"/>
          <w:szCs w:val="22"/>
          <w14:ligatures w14:val="standardContextual"/>
        </w:rPr>
        <w:t xml:space="preserve">De plus, </w:t>
      </w:r>
      <w:r w:rsidR="00C5256D" w:rsidRPr="00C14BB7">
        <w:rPr>
          <w:color w:val="000000"/>
          <w:kern w:val="2"/>
          <w:szCs w:val="22"/>
          <w14:ligatures w14:val="standardContextual"/>
        </w:rPr>
        <w:t>l'Ordonnance Souveraine n</w:t>
      </w:r>
      <w:r w:rsidR="00C5256D" w:rsidRPr="00C14BB7">
        <w:rPr>
          <w:color w:val="000000"/>
          <w:kern w:val="2"/>
          <w:szCs w:val="22"/>
          <w:vertAlign w:val="superscript"/>
          <w14:ligatures w14:val="standardContextual"/>
        </w:rPr>
        <w:t xml:space="preserve">o </w:t>
      </w:r>
      <w:r w:rsidR="00C5256D" w:rsidRPr="00C14BB7">
        <w:rPr>
          <w:color w:val="000000"/>
          <w:kern w:val="2"/>
          <w:szCs w:val="22"/>
          <w14:ligatures w14:val="standardContextual"/>
        </w:rPr>
        <w:t xml:space="preserve">9.966 du 30 juin 2023 a élargi le champ d'application </w:t>
      </w:r>
      <w:r w:rsidR="00C5256D">
        <w:rPr>
          <w:color w:val="000000"/>
          <w:kern w:val="2"/>
          <w:szCs w:val="22"/>
          <w14:ligatures w14:val="standardContextual"/>
        </w:rPr>
        <w:t>et</w:t>
      </w:r>
      <w:r w:rsidR="00C5256D" w:rsidRPr="00C14BB7">
        <w:rPr>
          <w:color w:val="000000"/>
          <w:kern w:val="2"/>
          <w:szCs w:val="22"/>
          <w14:ligatures w14:val="standardContextual"/>
        </w:rPr>
        <w:t xml:space="preserve"> supprim</w:t>
      </w:r>
      <w:r w:rsidR="00C5256D">
        <w:rPr>
          <w:color w:val="000000"/>
          <w:kern w:val="2"/>
          <w:szCs w:val="22"/>
          <w14:ligatures w14:val="standardContextual"/>
        </w:rPr>
        <w:t>é</w:t>
      </w:r>
      <w:r w:rsidR="00C5256D" w:rsidRPr="00C14BB7">
        <w:rPr>
          <w:color w:val="000000"/>
          <w:kern w:val="2"/>
          <w:szCs w:val="22"/>
          <w14:ligatures w14:val="standardContextual"/>
        </w:rPr>
        <w:t xml:space="preserve"> les conditions de caractère transnational et d'implication d'un groupe criminel organisé pour que l'infraction de traite soit constituée.</w:t>
      </w:r>
      <w:r w:rsidR="00C5256D" w:rsidRPr="00C14BB7">
        <w:t xml:space="preserve"> </w:t>
      </w:r>
      <w:r w:rsidR="00C5256D">
        <w:t>Par conséquent, il existe en droit monégasque une infraction autonome de traite des personnes et le fait que celle-ci ne soit pas reprise dans le Code pénal ne nuit nullement à sa validité ou à son applicabilité par les cours et tribunaux.</w:t>
      </w:r>
    </w:p>
    <w:p w14:paraId="43912D42" w14:textId="338220DB" w:rsidR="00C43AA8" w:rsidRPr="00C43AA8" w:rsidRDefault="00C43AA8" w:rsidP="00C43AA8">
      <w:pPr>
        <w:pStyle w:val="SingleTxtG"/>
        <w:spacing w:before="240" w:after="0"/>
        <w:jc w:val="center"/>
        <w:rPr>
          <w:u w:val="single"/>
          <w:lang w:val="fr-FR"/>
        </w:rPr>
      </w:pPr>
      <w:r>
        <w:rPr>
          <w:rFonts w:eastAsia="Times New Roman"/>
          <w:u w:val="single"/>
          <w:lang w:val="fr-FR"/>
        </w:rPr>
        <w:tab/>
      </w:r>
      <w:r>
        <w:rPr>
          <w:rFonts w:eastAsia="Times New Roman"/>
          <w:u w:val="single"/>
          <w:lang w:val="fr-FR"/>
        </w:rPr>
        <w:tab/>
      </w:r>
      <w:r>
        <w:rPr>
          <w:rFonts w:eastAsia="Times New Roman"/>
          <w:u w:val="single"/>
          <w:lang w:val="fr-FR"/>
        </w:rPr>
        <w:tab/>
      </w:r>
    </w:p>
    <w:sectPr w:rsidR="00C43AA8" w:rsidRPr="00C43AA8">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1BFE5" w14:textId="77777777" w:rsidR="00153CE2" w:rsidRDefault="00153CE2">
      <w:pPr>
        <w:spacing w:line="240" w:lineRule="auto"/>
      </w:pPr>
    </w:p>
  </w:endnote>
  <w:endnote w:type="continuationSeparator" w:id="0">
    <w:p w14:paraId="13F3DDE3" w14:textId="77777777" w:rsidR="00153CE2" w:rsidRDefault="00153CE2">
      <w:pPr>
        <w:pStyle w:val="Footer"/>
      </w:pPr>
    </w:p>
  </w:endnote>
  <w:endnote w:type="continuationNotice" w:id="1">
    <w:p w14:paraId="03C3BA68" w14:textId="77777777" w:rsidR="00153CE2" w:rsidRDefault="00153C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9878" w14:textId="77777777" w:rsidR="001F39D5" w:rsidRDefault="002D49B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D337A">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1526F" w14:textId="77777777" w:rsidR="001F39D5" w:rsidRDefault="0011474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0A4C" w14:textId="77777777" w:rsidR="001F39D5" w:rsidRDefault="002D49BC">
    <w:pPr>
      <w:pStyle w:val="Footer"/>
      <w:spacing w:before="120"/>
      <w:rPr>
        <w:noProof/>
        <w:sz w:val="20"/>
        <w:lang w:eastAsia="fr-FR"/>
      </w:rPr>
    </w:pPr>
    <w:r>
      <w:rPr>
        <w:noProof/>
        <w:lang w:eastAsia="fr-CH"/>
      </w:rPr>
      <w:drawing>
        <wp:anchor distT="0" distB="0" distL="114300" distR="114300" simplePos="0" relativeHeight="251658240" behindDoc="0" locked="1" layoutInCell="1" allowOverlap="1" wp14:anchorId="45675F37" wp14:editId="29BC952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46558" w14:paraId="0923220E" w14:textId="77777777">
      <w:tc>
        <w:tcPr>
          <w:tcW w:w="1848" w:type="dxa"/>
          <w:vAlign w:val="bottom"/>
        </w:tcPr>
        <w:p w14:paraId="2EBBF76D" w14:textId="77777777" w:rsidR="001F39D5" w:rsidRDefault="002D49BC">
          <w:pPr>
            <w:spacing w:before="120" w:after="120" w:line="240" w:lineRule="auto"/>
            <w:jc w:val="right"/>
            <w:rPr>
              <w:sz w:val="16"/>
            </w:rPr>
          </w:pPr>
          <w:r>
            <w:rPr>
              <w:noProof/>
              <w:lang w:eastAsia="fr-CH"/>
            </w:rPr>
            <w:drawing>
              <wp:inline distT="0" distB="0" distL="0" distR="0" wp14:anchorId="42B1C5CA" wp14:editId="38FDB611">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7C0FE723" w14:textId="77777777" w:rsidR="001F39D5" w:rsidRDefault="001F39D5">
          <w:pPr>
            <w:spacing w:line="240" w:lineRule="auto"/>
            <w:jc w:val="right"/>
            <w:rPr>
              <w:sz w:val="16"/>
            </w:rPr>
          </w:pPr>
        </w:p>
      </w:tc>
    </w:tr>
  </w:tbl>
  <w:p w14:paraId="23DE1BC6" w14:textId="77777777" w:rsidR="001F39D5" w:rsidRDefault="001F3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F8649" w14:textId="77777777" w:rsidR="00153CE2" w:rsidRDefault="00153CE2">
      <w:pPr>
        <w:pStyle w:val="Footer"/>
        <w:tabs>
          <w:tab w:val="right" w:pos="2155"/>
        </w:tabs>
        <w:spacing w:after="80" w:line="240" w:lineRule="atLeast"/>
        <w:ind w:left="680"/>
        <w:rPr>
          <w:u w:val="single"/>
        </w:rPr>
      </w:pPr>
      <w:r>
        <w:rPr>
          <w:u w:val="single"/>
        </w:rPr>
        <w:tab/>
      </w:r>
    </w:p>
  </w:footnote>
  <w:footnote w:type="continuationSeparator" w:id="0">
    <w:p w14:paraId="53FCEA9D" w14:textId="77777777" w:rsidR="00153CE2" w:rsidRDefault="00153CE2">
      <w:pPr>
        <w:pStyle w:val="Footer"/>
        <w:tabs>
          <w:tab w:val="right" w:pos="2155"/>
        </w:tabs>
        <w:spacing w:after="80" w:line="240" w:lineRule="atLeast"/>
        <w:ind w:left="680"/>
        <w:rPr>
          <w:u w:val="single"/>
        </w:rPr>
      </w:pPr>
      <w:r>
        <w:rPr>
          <w:u w:val="single"/>
        </w:rPr>
        <w:tab/>
      </w:r>
    </w:p>
  </w:footnote>
  <w:footnote w:type="continuationNotice" w:id="1">
    <w:p w14:paraId="201484DD" w14:textId="77777777" w:rsidR="00153CE2" w:rsidRDefault="00153CE2">
      <w:pPr>
        <w:spacing w:line="240" w:lineRule="auto"/>
        <w:rPr>
          <w:sz w:val="2"/>
          <w:szCs w:val="2"/>
        </w:rPr>
      </w:pPr>
    </w:p>
  </w:footnote>
  <w:footnote w:id="2">
    <w:p w14:paraId="783E824A" w14:textId="77777777" w:rsidR="00710FED" w:rsidRPr="00AE3BA2" w:rsidRDefault="002D49BC" w:rsidP="00710FED">
      <w:pPr>
        <w:pStyle w:val="FootnoteText"/>
      </w:pPr>
      <w:r>
        <w:tab/>
      </w:r>
      <w:r w:rsidRPr="000332BD">
        <w:rPr>
          <w:rStyle w:val="FootnoteReference"/>
          <w:sz w:val="20"/>
          <w:vertAlign w:val="baseline"/>
        </w:rPr>
        <w:t>*</w:t>
      </w:r>
      <w:r>
        <w:rPr>
          <w:sz w:val="20"/>
        </w:rPr>
        <w:tab/>
      </w:r>
      <w:r w:rsidRPr="001A5BA6">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482AC" w14:textId="77777777" w:rsidR="00C80CCB" w:rsidRDefault="00C80CCB" w:rsidP="00C80CCB">
    <w:pPr>
      <w:pStyle w:val="Header"/>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891E" w14:textId="323FD882" w:rsidR="001F39D5" w:rsidRDefault="001F39D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F5364F"/>
    <w:multiLevelType w:val="hybridMultilevel"/>
    <w:tmpl w:val="7C76320C"/>
    <w:lvl w:ilvl="0" w:tplc="4940AF6E">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2B2147D"/>
    <w:multiLevelType w:val="hybridMultilevel"/>
    <w:tmpl w:val="501E1ABC"/>
    <w:lvl w:ilvl="0" w:tplc="21A065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B16948"/>
    <w:multiLevelType w:val="hybridMultilevel"/>
    <w:tmpl w:val="8D102536"/>
    <w:lvl w:ilvl="0" w:tplc="09EE50B4">
      <w:start w:val="1"/>
      <w:numFmt w:val="upperRoman"/>
      <w:lvlText w:val="%1."/>
      <w:lvlJc w:val="left"/>
      <w:pPr>
        <w:ind w:left="1420" w:hanging="720"/>
      </w:pPr>
      <w:rPr>
        <w:rFonts w:eastAsiaTheme="minorHAnsi"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3" w15:restartNumberingAfterBreak="0">
    <w:nsid w:val="0D954887"/>
    <w:multiLevelType w:val="hybridMultilevel"/>
    <w:tmpl w:val="8F02DDF4"/>
    <w:lvl w:ilvl="0" w:tplc="15C21B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8FA3B06" w:tentative="1">
      <w:start w:val="1"/>
      <w:numFmt w:val="lowerLetter"/>
      <w:lvlText w:val="%2."/>
      <w:lvlJc w:val="left"/>
      <w:pPr>
        <w:tabs>
          <w:tab w:val="num" w:pos="1440"/>
        </w:tabs>
        <w:ind w:left="1440" w:hanging="360"/>
      </w:pPr>
    </w:lvl>
    <w:lvl w:ilvl="2" w:tplc="C7D0F15A" w:tentative="1">
      <w:start w:val="1"/>
      <w:numFmt w:val="lowerRoman"/>
      <w:lvlText w:val="%3."/>
      <w:lvlJc w:val="right"/>
      <w:pPr>
        <w:tabs>
          <w:tab w:val="num" w:pos="2160"/>
        </w:tabs>
        <w:ind w:left="2160" w:hanging="180"/>
      </w:pPr>
    </w:lvl>
    <w:lvl w:ilvl="3" w:tplc="B728042C" w:tentative="1">
      <w:start w:val="1"/>
      <w:numFmt w:val="decimal"/>
      <w:lvlText w:val="%4."/>
      <w:lvlJc w:val="left"/>
      <w:pPr>
        <w:tabs>
          <w:tab w:val="num" w:pos="2880"/>
        </w:tabs>
        <w:ind w:left="2880" w:hanging="360"/>
      </w:pPr>
    </w:lvl>
    <w:lvl w:ilvl="4" w:tplc="51CECFB6" w:tentative="1">
      <w:start w:val="1"/>
      <w:numFmt w:val="lowerLetter"/>
      <w:lvlText w:val="%5."/>
      <w:lvlJc w:val="left"/>
      <w:pPr>
        <w:tabs>
          <w:tab w:val="num" w:pos="3600"/>
        </w:tabs>
        <w:ind w:left="3600" w:hanging="360"/>
      </w:pPr>
    </w:lvl>
    <w:lvl w:ilvl="5" w:tplc="2508EEA4" w:tentative="1">
      <w:start w:val="1"/>
      <w:numFmt w:val="lowerRoman"/>
      <w:lvlText w:val="%6."/>
      <w:lvlJc w:val="right"/>
      <w:pPr>
        <w:tabs>
          <w:tab w:val="num" w:pos="4320"/>
        </w:tabs>
        <w:ind w:left="4320" w:hanging="180"/>
      </w:pPr>
    </w:lvl>
    <w:lvl w:ilvl="6" w:tplc="D09C902C" w:tentative="1">
      <w:start w:val="1"/>
      <w:numFmt w:val="decimal"/>
      <w:lvlText w:val="%7."/>
      <w:lvlJc w:val="left"/>
      <w:pPr>
        <w:tabs>
          <w:tab w:val="num" w:pos="5040"/>
        </w:tabs>
        <w:ind w:left="5040" w:hanging="360"/>
      </w:pPr>
    </w:lvl>
    <w:lvl w:ilvl="7" w:tplc="5BB0E444" w:tentative="1">
      <w:start w:val="1"/>
      <w:numFmt w:val="lowerLetter"/>
      <w:lvlText w:val="%8."/>
      <w:lvlJc w:val="left"/>
      <w:pPr>
        <w:tabs>
          <w:tab w:val="num" w:pos="5760"/>
        </w:tabs>
        <w:ind w:left="5760" w:hanging="360"/>
      </w:pPr>
    </w:lvl>
    <w:lvl w:ilvl="8" w:tplc="A1C823E8" w:tentative="1">
      <w:start w:val="1"/>
      <w:numFmt w:val="lowerRoman"/>
      <w:lvlText w:val="%9."/>
      <w:lvlJc w:val="right"/>
      <w:pPr>
        <w:tabs>
          <w:tab w:val="num" w:pos="6480"/>
        </w:tabs>
        <w:ind w:left="6480" w:hanging="180"/>
      </w:pPr>
    </w:lvl>
  </w:abstractNum>
  <w:abstractNum w:abstractNumId="14" w15:restartNumberingAfterBreak="0">
    <w:nsid w:val="202A2546"/>
    <w:multiLevelType w:val="hybridMultilevel"/>
    <w:tmpl w:val="48DEC824"/>
    <w:lvl w:ilvl="0" w:tplc="DA70B2D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4887C29"/>
    <w:multiLevelType w:val="hybridMultilevel"/>
    <w:tmpl w:val="03FE9A88"/>
    <w:lvl w:ilvl="0" w:tplc="4940AF6E">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AEE66106"/>
    <w:lvl w:ilvl="0" w:tplc="61685512">
      <w:start w:val="1"/>
      <w:numFmt w:val="bullet"/>
      <w:pStyle w:val="Bullet2G"/>
      <w:lvlText w:val="•"/>
      <w:lvlJc w:val="left"/>
      <w:pPr>
        <w:tabs>
          <w:tab w:val="num" w:pos="2268"/>
        </w:tabs>
        <w:ind w:left="2268" w:hanging="170"/>
      </w:pPr>
      <w:rPr>
        <w:rFonts w:ascii="Times New Roman" w:hAnsi="Times New Roman" w:cs="Times New Roman" w:hint="default"/>
      </w:rPr>
    </w:lvl>
    <w:lvl w:ilvl="1" w:tplc="07B61F04" w:tentative="1">
      <w:start w:val="1"/>
      <w:numFmt w:val="bullet"/>
      <w:lvlText w:val="o"/>
      <w:lvlJc w:val="left"/>
      <w:pPr>
        <w:tabs>
          <w:tab w:val="num" w:pos="3708"/>
        </w:tabs>
        <w:ind w:left="3708" w:hanging="360"/>
      </w:pPr>
      <w:rPr>
        <w:rFonts w:ascii="Courier New" w:hAnsi="Courier New" w:hint="default"/>
      </w:rPr>
    </w:lvl>
    <w:lvl w:ilvl="2" w:tplc="45EE30E2" w:tentative="1">
      <w:start w:val="1"/>
      <w:numFmt w:val="bullet"/>
      <w:lvlText w:val=""/>
      <w:lvlJc w:val="left"/>
      <w:pPr>
        <w:tabs>
          <w:tab w:val="num" w:pos="4428"/>
        </w:tabs>
        <w:ind w:left="4428" w:hanging="360"/>
      </w:pPr>
      <w:rPr>
        <w:rFonts w:ascii="Wingdings" w:hAnsi="Wingdings" w:hint="default"/>
      </w:rPr>
    </w:lvl>
    <w:lvl w:ilvl="3" w:tplc="A448F03E" w:tentative="1">
      <w:start w:val="1"/>
      <w:numFmt w:val="bullet"/>
      <w:lvlText w:val=""/>
      <w:lvlJc w:val="left"/>
      <w:pPr>
        <w:tabs>
          <w:tab w:val="num" w:pos="5148"/>
        </w:tabs>
        <w:ind w:left="5148" w:hanging="360"/>
      </w:pPr>
      <w:rPr>
        <w:rFonts w:ascii="Symbol" w:hAnsi="Symbol" w:hint="default"/>
      </w:rPr>
    </w:lvl>
    <w:lvl w:ilvl="4" w:tplc="357A0C8E" w:tentative="1">
      <w:start w:val="1"/>
      <w:numFmt w:val="bullet"/>
      <w:lvlText w:val="o"/>
      <w:lvlJc w:val="left"/>
      <w:pPr>
        <w:tabs>
          <w:tab w:val="num" w:pos="5868"/>
        </w:tabs>
        <w:ind w:left="5868" w:hanging="360"/>
      </w:pPr>
      <w:rPr>
        <w:rFonts w:ascii="Courier New" w:hAnsi="Courier New" w:hint="default"/>
      </w:rPr>
    </w:lvl>
    <w:lvl w:ilvl="5" w:tplc="E93419FC" w:tentative="1">
      <w:start w:val="1"/>
      <w:numFmt w:val="bullet"/>
      <w:lvlText w:val=""/>
      <w:lvlJc w:val="left"/>
      <w:pPr>
        <w:tabs>
          <w:tab w:val="num" w:pos="6588"/>
        </w:tabs>
        <w:ind w:left="6588" w:hanging="360"/>
      </w:pPr>
      <w:rPr>
        <w:rFonts w:ascii="Wingdings" w:hAnsi="Wingdings" w:hint="default"/>
      </w:rPr>
    </w:lvl>
    <w:lvl w:ilvl="6" w:tplc="4C282718" w:tentative="1">
      <w:start w:val="1"/>
      <w:numFmt w:val="bullet"/>
      <w:lvlText w:val=""/>
      <w:lvlJc w:val="left"/>
      <w:pPr>
        <w:tabs>
          <w:tab w:val="num" w:pos="7308"/>
        </w:tabs>
        <w:ind w:left="7308" w:hanging="360"/>
      </w:pPr>
      <w:rPr>
        <w:rFonts w:ascii="Symbol" w:hAnsi="Symbol" w:hint="default"/>
      </w:rPr>
    </w:lvl>
    <w:lvl w:ilvl="7" w:tplc="05D895AE" w:tentative="1">
      <w:start w:val="1"/>
      <w:numFmt w:val="bullet"/>
      <w:lvlText w:val="o"/>
      <w:lvlJc w:val="left"/>
      <w:pPr>
        <w:tabs>
          <w:tab w:val="num" w:pos="8028"/>
        </w:tabs>
        <w:ind w:left="8028" w:hanging="360"/>
      </w:pPr>
      <w:rPr>
        <w:rFonts w:ascii="Courier New" w:hAnsi="Courier New" w:hint="default"/>
      </w:rPr>
    </w:lvl>
    <w:lvl w:ilvl="8" w:tplc="C8307E8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9F461A1"/>
    <w:multiLevelType w:val="hybridMultilevel"/>
    <w:tmpl w:val="3FD8903E"/>
    <w:lvl w:ilvl="0" w:tplc="4940AF6E">
      <w:start w:val="1"/>
      <w:numFmt w:val="decimal"/>
      <w:lvlText w:val="%1."/>
      <w:lvlJc w:val="left"/>
      <w:pPr>
        <w:ind w:left="2574" w:hanging="360"/>
      </w:pPr>
      <w:rPr>
        <w:rFonts w:hint="default"/>
      </w:r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8" w15:restartNumberingAfterBreak="0">
    <w:nsid w:val="5F532B69"/>
    <w:multiLevelType w:val="hybridMultilevel"/>
    <w:tmpl w:val="AA449386"/>
    <w:lvl w:ilvl="0" w:tplc="93ACB3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94684B"/>
    <w:multiLevelType w:val="hybridMultilevel"/>
    <w:tmpl w:val="6770A20A"/>
    <w:lvl w:ilvl="0" w:tplc="DBE0E510">
      <w:start w:val="1"/>
      <w:numFmt w:val="upperLetter"/>
      <w:lvlText w:val="%1."/>
      <w:lvlJc w:val="left"/>
      <w:pPr>
        <w:ind w:left="1494" w:hanging="360"/>
      </w:pPr>
      <w:rPr>
        <w:rFonts w:hint="default"/>
        <w:sz w:val="24"/>
        <w:szCs w:val="24"/>
      </w:rPr>
    </w:lvl>
    <w:lvl w:ilvl="1" w:tplc="9EEC619C">
      <w:start w:val="1"/>
      <w:numFmt w:val="decimal"/>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8AD07B2"/>
    <w:multiLevelType w:val="hybridMultilevel"/>
    <w:tmpl w:val="CD0865AA"/>
    <w:lvl w:ilvl="0" w:tplc="84A646F2">
      <w:start w:val="1"/>
      <w:numFmt w:val="bullet"/>
      <w:pStyle w:val="Bullet1G"/>
      <w:lvlText w:val="•"/>
      <w:lvlJc w:val="left"/>
      <w:pPr>
        <w:tabs>
          <w:tab w:val="num" w:pos="1701"/>
        </w:tabs>
        <w:ind w:left="1701" w:hanging="170"/>
      </w:pPr>
      <w:rPr>
        <w:rFonts w:ascii="Times New Roman" w:hAnsi="Times New Roman" w:cs="Times New Roman" w:hint="default"/>
      </w:rPr>
    </w:lvl>
    <w:lvl w:ilvl="1" w:tplc="0C683F66" w:tentative="1">
      <w:start w:val="1"/>
      <w:numFmt w:val="bullet"/>
      <w:lvlText w:val="o"/>
      <w:lvlJc w:val="left"/>
      <w:pPr>
        <w:tabs>
          <w:tab w:val="num" w:pos="3141"/>
        </w:tabs>
        <w:ind w:left="3141" w:hanging="360"/>
      </w:pPr>
      <w:rPr>
        <w:rFonts w:ascii="Courier New" w:hAnsi="Courier New" w:hint="default"/>
      </w:rPr>
    </w:lvl>
    <w:lvl w:ilvl="2" w:tplc="77126868" w:tentative="1">
      <w:start w:val="1"/>
      <w:numFmt w:val="bullet"/>
      <w:lvlText w:val=""/>
      <w:lvlJc w:val="left"/>
      <w:pPr>
        <w:tabs>
          <w:tab w:val="num" w:pos="3861"/>
        </w:tabs>
        <w:ind w:left="3861" w:hanging="360"/>
      </w:pPr>
      <w:rPr>
        <w:rFonts w:ascii="Wingdings" w:hAnsi="Wingdings" w:hint="default"/>
      </w:rPr>
    </w:lvl>
    <w:lvl w:ilvl="3" w:tplc="F00C8538" w:tentative="1">
      <w:start w:val="1"/>
      <w:numFmt w:val="bullet"/>
      <w:lvlText w:val=""/>
      <w:lvlJc w:val="left"/>
      <w:pPr>
        <w:tabs>
          <w:tab w:val="num" w:pos="4581"/>
        </w:tabs>
        <w:ind w:left="4581" w:hanging="360"/>
      </w:pPr>
      <w:rPr>
        <w:rFonts w:ascii="Symbol" w:hAnsi="Symbol" w:hint="default"/>
      </w:rPr>
    </w:lvl>
    <w:lvl w:ilvl="4" w:tplc="165C31A4" w:tentative="1">
      <w:start w:val="1"/>
      <w:numFmt w:val="bullet"/>
      <w:lvlText w:val="o"/>
      <w:lvlJc w:val="left"/>
      <w:pPr>
        <w:tabs>
          <w:tab w:val="num" w:pos="5301"/>
        </w:tabs>
        <w:ind w:left="5301" w:hanging="360"/>
      </w:pPr>
      <w:rPr>
        <w:rFonts w:ascii="Courier New" w:hAnsi="Courier New" w:hint="default"/>
      </w:rPr>
    </w:lvl>
    <w:lvl w:ilvl="5" w:tplc="C0BA2FFA" w:tentative="1">
      <w:start w:val="1"/>
      <w:numFmt w:val="bullet"/>
      <w:lvlText w:val=""/>
      <w:lvlJc w:val="left"/>
      <w:pPr>
        <w:tabs>
          <w:tab w:val="num" w:pos="6021"/>
        </w:tabs>
        <w:ind w:left="6021" w:hanging="360"/>
      </w:pPr>
      <w:rPr>
        <w:rFonts w:ascii="Wingdings" w:hAnsi="Wingdings" w:hint="default"/>
      </w:rPr>
    </w:lvl>
    <w:lvl w:ilvl="6" w:tplc="0E868284" w:tentative="1">
      <w:start w:val="1"/>
      <w:numFmt w:val="bullet"/>
      <w:lvlText w:val=""/>
      <w:lvlJc w:val="left"/>
      <w:pPr>
        <w:tabs>
          <w:tab w:val="num" w:pos="6741"/>
        </w:tabs>
        <w:ind w:left="6741" w:hanging="360"/>
      </w:pPr>
      <w:rPr>
        <w:rFonts w:ascii="Symbol" w:hAnsi="Symbol" w:hint="default"/>
      </w:rPr>
    </w:lvl>
    <w:lvl w:ilvl="7" w:tplc="8D988068" w:tentative="1">
      <w:start w:val="1"/>
      <w:numFmt w:val="bullet"/>
      <w:lvlText w:val="o"/>
      <w:lvlJc w:val="left"/>
      <w:pPr>
        <w:tabs>
          <w:tab w:val="num" w:pos="7461"/>
        </w:tabs>
        <w:ind w:left="7461" w:hanging="360"/>
      </w:pPr>
      <w:rPr>
        <w:rFonts w:ascii="Courier New" w:hAnsi="Courier New" w:hint="default"/>
      </w:rPr>
    </w:lvl>
    <w:lvl w:ilvl="8" w:tplc="AD9270C4"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39E5487"/>
    <w:multiLevelType w:val="hybridMultilevel"/>
    <w:tmpl w:val="429CD430"/>
    <w:lvl w:ilvl="0" w:tplc="FFFFFFFF">
      <w:start w:val="1"/>
      <w:numFmt w:val="decimal"/>
      <w:lvlText w:val="%1."/>
      <w:lvlJc w:val="left"/>
      <w:pPr>
        <w:ind w:left="1854" w:hanging="360"/>
      </w:pPr>
      <w:rPr>
        <w:rFonts w:hint="default"/>
      </w:rPr>
    </w:lvl>
    <w:lvl w:ilvl="1" w:tplc="4940AF6E">
      <w:start w:val="1"/>
      <w:numFmt w:val="decimal"/>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757727F5"/>
    <w:multiLevelType w:val="hybridMultilevel"/>
    <w:tmpl w:val="0966D71E"/>
    <w:lvl w:ilvl="0" w:tplc="0D9EEA7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3D3C98"/>
    <w:multiLevelType w:val="hybridMultilevel"/>
    <w:tmpl w:val="7C705F2C"/>
    <w:lvl w:ilvl="0" w:tplc="752C8C1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674064629">
    <w:abstractNumId w:val="20"/>
  </w:num>
  <w:num w:numId="2" w16cid:durableId="507673699">
    <w:abstractNumId w:val="16"/>
  </w:num>
  <w:num w:numId="3" w16cid:durableId="822548244">
    <w:abstractNumId w:val="13"/>
  </w:num>
  <w:num w:numId="4" w16cid:durableId="8216044">
    <w:abstractNumId w:val="8"/>
  </w:num>
  <w:num w:numId="5" w16cid:durableId="1684623917">
    <w:abstractNumId w:val="3"/>
  </w:num>
  <w:num w:numId="6" w16cid:durableId="205727657">
    <w:abstractNumId w:val="2"/>
  </w:num>
  <w:num w:numId="7" w16cid:durableId="869033199">
    <w:abstractNumId w:val="1"/>
  </w:num>
  <w:num w:numId="8" w16cid:durableId="1080519425">
    <w:abstractNumId w:val="0"/>
  </w:num>
  <w:num w:numId="9" w16cid:durableId="2019649079">
    <w:abstractNumId w:val="9"/>
  </w:num>
  <w:num w:numId="10" w16cid:durableId="961613223">
    <w:abstractNumId w:val="7"/>
  </w:num>
  <w:num w:numId="11" w16cid:durableId="617302593">
    <w:abstractNumId w:val="6"/>
  </w:num>
  <w:num w:numId="12" w16cid:durableId="547299266">
    <w:abstractNumId w:val="5"/>
  </w:num>
  <w:num w:numId="13" w16cid:durableId="729573627">
    <w:abstractNumId w:val="4"/>
  </w:num>
  <w:num w:numId="14" w16cid:durableId="1059791020">
    <w:abstractNumId w:val="20"/>
  </w:num>
  <w:num w:numId="15" w16cid:durableId="1637565362">
    <w:abstractNumId w:val="16"/>
  </w:num>
  <w:num w:numId="16" w16cid:durableId="36466273">
    <w:abstractNumId w:val="13"/>
  </w:num>
  <w:num w:numId="17" w16cid:durableId="1894847171">
    <w:abstractNumId w:val="12"/>
  </w:num>
  <w:num w:numId="18" w16cid:durableId="1387408753">
    <w:abstractNumId w:val="22"/>
  </w:num>
  <w:num w:numId="19" w16cid:durableId="956564953">
    <w:abstractNumId w:val="11"/>
  </w:num>
  <w:num w:numId="20" w16cid:durableId="553858726">
    <w:abstractNumId w:val="18"/>
  </w:num>
  <w:num w:numId="21" w16cid:durableId="317731794">
    <w:abstractNumId w:val="19"/>
  </w:num>
  <w:num w:numId="22" w16cid:durableId="1265456332">
    <w:abstractNumId w:val="14"/>
  </w:num>
  <w:num w:numId="23" w16cid:durableId="1862890384">
    <w:abstractNumId w:val="23"/>
  </w:num>
  <w:num w:numId="24" w16cid:durableId="473375085">
    <w:abstractNumId w:val="10"/>
  </w:num>
  <w:num w:numId="25" w16cid:durableId="404842837">
    <w:abstractNumId w:val="21"/>
  </w:num>
  <w:num w:numId="26" w16cid:durableId="1127892630">
    <w:abstractNumId w:val="15"/>
  </w:num>
  <w:num w:numId="27" w16cid:durableId="611937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D5"/>
    <w:rsid w:val="00006BF0"/>
    <w:rsid w:val="000332BD"/>
    <w:rsid w:val="00034384"/>
    <w:rsid w:val="00044A08"/>
    <w:rsid w:val="00064D87"/>
    <w:rsid w:val="000731CB"/>
    <w:rsid w:val="00074AF4"/>
    <w:rsid w:val="000B1996"/>
    <w:rsid w:val="000D2D65"/>
    <w:rsid w:val="000F29FE"/>
    <w:rsid w:val="00106807"/>
    <w:rsid w:val="00114746"/>
    <w:rsid w:val="00153CE2"/>
    <w:rsid w:val="00165A6A"/>
    <w:rsid w:val="001858C1"/>
    <w:rsid w:val="001A5BA6"/>
    <w:rsid w:val="001B6B8F"/>
    <w:rsid w:val="001B7890"/>
    <w:rsid w:val="001D0C62"/>
    <w:rsid w:val="001E4E34"/>
    <w:rsid w:val="001F34ED"/>
    <w:rsid w:val="001F39D5"/>
    <w:rsid w:val="00214575"/>
    <w:rsid w:val="002D49BC"/>
    <w:rsid w:val="0032351D"/>
    <w:rsid w:val="0032401D"/>
    <w:rsid w:val="00336480"/>
    <w:rsid w:val="00346E72"/>
    <w:rsid w:val="003473C5"/>
    <w:rsid w:val="00361C89"/>
    <w:rsid w:val="003777CE"/>
    <w:rsid w:val="00387DC7"/>
    <w:rsid w:val="00391305"/>
    <w:rsid w:val="003A41D3"/>
    <w:rsid w:val="003B2E1B"/>
    <w:rsid w:val="0041236D"/>
    <w:rsid w:val="00413B66"/>
    <w:rsid w:val="004365C3"/>
    <w:rsid w:val="004914E3"/>
    <w:rsid w:val="004C2E75"/>
    <w:rsid w:val="004C36D1"/>
    <w:rsid w:val="004C61EA"/>
    <w:rsid w:val="004C6E26"/>
    <w:rsid w:val="005572D2"/>
    <w:rsid w:val="00580ED1"/>
    <w:rsid w:val="005A554D"/>
    <w:rsid w:val="005C09B0"/>
    <w:rsid w:val="005E1C46"/>
    <w:rsid w:val="005F6115"/>
    <w:rsid w:val="00621AD4"/>
    <w:rsid w:val="0062750C"/>
    <w:rsid w:val="00641ADE"/>
    <w:rsid w:val="006F16D4"/>
    <w:rsid w:val="00707284"/>
    <w:rsid w:val="00710FED"/>
    <w:rsid w:val="0071593D"/>
    <w:rsid w:val="00780E90"/>
    <w:rsid w:val="007C465A"/>
    <w:rsid w:val="007E38B3"/>
    <w:rsid w:val="0088491A"/>
    <w:rsid w:val="008A6362"/>
    <w:rsid w:val="008B4285"/>
    <w:rsid w:val="008F7603"/>
    <w:rsid w:val="0091038D"/>
    <w:rsid w:val="00937BAB"/>
    <w:rsid w:val="00963AE4"/>
    <w:rsid w:val="00987072"/>
    <w:rsid w:val="009C3E38"/>
    <w:rsid w:val="009D73DA"/>
    <w:rsid w:val="00A526B5"/>
    <w:rsid w:val="00A70D9D"/>
    <w:rsid w:val="00A87C86"/>
    <w:rsid w:val="00AB2551"/>
    <w:rsid w:val="00AD337A"/>
    <w:rsid w:val="00AE3BA2"/>
    <w:rsid w:val="00B03C87"/>
    <w:rsid w:val="00B04479"/>
    <w:rsid w:val="00B3294B"/>
    <w:rsid w:val="00B417B4"/>
    <w:rsid w:val="00B4216B"/>
    <w:rsid w:val="00B4691E"/>
    <w:rsid w:val="00B62818"/>
    <w:rsid w:val="00B62B60"/>
    <w:rsid w:val="00BF57BE"/>
    <w:rsid w:val="00C05B72"/>
    <w:rsid w:val="00C43AA8"/>
    <w:rsid w:val="00C5256D"/>
    <w:rsid w:val="00C6708A"/>
    <w:rsid w:val="00C741C7"/>
    <w:rsid w:val="00C80CCB"/>
    <w:rsid w:val="00C97105"/>
    <w:rsid w:val="00CD449C"/>
    <w:rsid w:val="00CF1F1D"/>
    <w:rsid w:val="00CF6404"/>
    <w:rsid w:val="00D303EF"/>
    <w:rsid w:val="00D972F9"/>
    <w:rsid w:val="00DA1DAE"/>
    <w:rsid w:val="00E203F4"/>
    <w:rsid w:val="00E46558"/>
    <w:rsid w:val="00E81D08"/>
    <w:rsid w:val="00EE5E31"/>
    <w:rsid w:val="00EF5AAF"/>
    <w:rsid w:val="00F01E58"/>
    <w:rsid w:val="00F70AA3"/>
    <w:rsid w:val="00FE52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C9AE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9B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outlineLvl w:val="1"/>
    </w:pPr>
  </w:style>
  <w:style w:type="paragraph" w:styleId="Heading3">
    <w:name w:val="heading 3"/>
    <w:basedOn w:val="Normal"/>
    <w:next w:val="Normal"/>
    <w:link w:val="Heading3Char"/>
    <w:semiHidden/>
    <w:qFormat/>
    <w:pPr>
      <w:outlineLvl w:val="2"/>
    </w:pPr>
  </w:style>
  <w:style w:type="paragraph" w:styleId="Heading4">
    <w:name w:val="heading 4"/>
    <w:basedOn w:val="Normal"/>
    <w:next w:val="Normal"/>
    <w:link w:val="Heading4Char"/>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rPr>
  </w:style>
  <w:style w:type="paragraph" w:styleId="Footer">
    <w:name w:val="footer"/>
    <w:aliases w:val="3_G"/>
    <w:basedOn w:val="Normal"/>
    <w:next w:val="Normal"/>
    <w:link w:val="FooterChar"/>
    <w:qFormat/>
    <w:pPr>
      <w:spacing w:line="240" w:lineRule="auto"/>
    </w:pPr>
    <w:rPr>
      <w:sz w:val="16"/>
    </w:rPr>
  </w:style>
  <w:style w:type="character" w:customStyle="1" w:styleId="FooterChar">
    <w:name w:val="Footer Char"/>
    <w:aliases w:val="3_G Char"/>
    <w:basedOn w:val="DefaultParagraphFont"/>
    <w:link w:val="Footer"/>
    <w:rPr>
      <w:rFonts w:ascii="Times New Roman" w:hAnsi="Times New Roman" w:cs="Times New Roman"/>
      <w:sz w:val="16"/>
      <w:szCs w:val="20"/>
    </w:rPr>
  </w:style>
  <w:style w:type="paragraph" w:customStyle="1" w:styleId="HMG">
    <w:name w:val="_ H __M_G"/>
    <w:basedOn w:val="Normal"/>
    <w:next w:val="Normal"/>
    <w:qFormat/>
    <w:rsid w:val="00641AD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41AD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41AD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41AD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41AD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41AD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B3294B"/>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FootnoteReference">
    <w:name w:val="footnote reference"/>
    <w:aliases w:val="4_G"/>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ListParagraph">
    <w:name w:val="List Paragraph"/>
    <w:basedOn w:val="Normal"/>
    <w:uiPriority w:val="34"/>
    <w:qFormat/>
    <w:rsid w:val="00C05B72"/>
    <w:pPr>
      <w:suppressAutoHyphens w:val="0"/>
      <w:kinsoku/>
      <w:overflowPunct/>
      <w:autoSpaceDE/>
      <w:autoSpaceDN/>
      <w:adjustRightInd/>
      <w:snapToGrid/>
      <w:spacing w:line="240" w:lineRule="auto"/>
      <w:ind w:left="720"/>
      <w:contextualSpacing/>
    </w:pPr>
    <w:rPr>
      <w:sz w:val="24"/>
      <w:szCs w:val="24"/>
      <w:lang w:val="en-US"/>
    </w:rPr>
  </w:style>
  <w:style w:type="character" w:styleId="UnresolvedMention">
    <w:name w:val="Unresolved Mention"/>
    <w:basedOn w:val="DefaultParagraphFont"/>
    <w:uiPriority w:val="99"/>
    <w:semiHidden/>
    <w:unhideWhenUsed/>
    <w:rsid w:val="00937BAB"/>
    <w:rPr>
      <w:color w:val="605E5C"/>
      <w:shd w:val="clear" w:color="auto" w:fill="E1DFDD"/>
    </w:rPr>
  </w:style>
  <w:style w:type="paragraph" w:styleId="NoSpacing">
    <w:name w:val="No Spacing"/>
    <w:uiPriority w:val="1"/>
    <w:qFormat/>
    <w:rsid w:val="00C5256D"/>
    <w:pPr>
      <w:spacing w:after="0" w:line="240" w:lineRule="auto"/>
    </w:pPr>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2025-10-06T20:05:54+00:00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2025-10-06T20:05:54+00:00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2025-10-06T20:05:54+00:00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0FC289-160C-44E9-8BA1-3B4BB105596E}">
  <ds:schemaRefs>
    <ds:schemaRef ds:uri="http://schemas.openxmlformats.org/officeDocument/2006/bibliography"/>
  </ds:schemaRefs>
</ds:datastoreItem>
</file>

<file path=customXml/itemProps2.xml><?xml version="1.0" encoding="utf-8"?>
<ds:datastoreItem xmlns:ds="http://schemas.openxmlformats.org/officeDocument/2006/customXml" ds:itemID="{45599D31-F906-4F2A-9C47-39E02771EA65}">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3.xml><?xml version="1.0" encoding="utf-8"?>
<ds:datastoreItem xmlns:ds="http://schemas.openxmlformats.org/officeDocument/2006/customXml" ds:itemID="{06B45B90-7BAF-47FD-9318-5A029219A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6560F1-E715-4F30-A452-AA97D5BFD808}">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6</Pages>
  <Words>2938</Words>
  <Characters>16748</Characters>
  <Application>Microsoft Office Word</Application>
  <DocSecurity>0</DocSecurity>
  <Lines>139</Lines>
  <Paragraphs>39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a/hthhhh</vt:lpstr>
      <vt:lpstr>a/hthhhh</vt:lpstr>
    </vt:vector>
  </TitlesOfParts>
  <Company>DCM</Company>
  <LinksUpToDate>false</LinksUpToDate>
  <CharactersWithSpaces>19647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CAT/C/LUX/FCO/8</dc:title>
  <dc:creator>Gloria</dc:creator>
  <cp:lastModifiedBy>Denise D''Aniello</cp:lastModifiedBy>
  <cp:revision>7</cp:revision>
  <cp:lastPrinted>2017-02-27T14:31:00Z</cp:lastPrinted>
  <dcterms:created xsi:type="dcterms:W3CDTF">2026-06-04T14:59:00Z</dcterms:created>
  <dcterms:modified xsi:type="dcterms:W3CDTF">2026-06-04T15:09:00Z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du Luxembourg</vt:lpwstr>
  </property>
  <property fmtid="{D5CDD505-2E9C-101B-9397-08002B2CF9AE}" pid="9" name="countw">
    <vt:lpwstr>Luxembourg</vt:lpwstr>
  </property>
  <property fmtid="{D5CDD505-2E9C-101B-9397-08002B2CF9AE}" pid="10" name="countwd">
    <vt:lpwstr>le Luxembourg</vt:lpwstr>
  </property>
  <property fmtid="{D5CDD505-2E9C-101B-9397-08002B2CF9AE}" pid="11" name="date">
    <vt:lpwstr>1ᵉʳ octobre 2024</vt:lpwstr>
  </property>
  <property fmtid="{D5CDD505-2E9C-101B-9397-08002B2CF9AE}" pid="12" name="Date-Generated">
    <vt:filetime>2024-10-14T13:46:07Z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186200</vt:r8>
  </property>
  <property fmtid="{D5CDD505-2E9C-101B-9397-08002B2CF9AE}" pid="22" name="Org">
    <vt:lpwstr>OHCHR</vt:lpwstr>
  </property>
  <property fmtid="{D5CDD505-2E9C-101B-9397-08002B2CF9AE}" pid="23" name="prep">
    <vt:lpwstr>huitième rapport périodique du Luxembourg</vt:lpwstr>
  </property>
  <property fmtid="{D5CDD505-2E9C-101B-9397-08002B2CF9AE}" pid="24" name="preps">
    <vt:lpwstr>huitième rapport périodique du Luxembourg</vt:lpwstr>
  </property>
  <property fmtid="{D5CDD505-2E9C-101B-9397-08002B2CF9AE}" pid="25" name="prepw">
    <vt:lpwstr>huitième rapport périodique</vt:lpwstr>
  </property>
  <property fmtid="{D5CDD505-2E9C-101B-9397-08002B2CF9AE}" pid="26" name="prepwc">
    <vt:lpwstr>Huitième rapport périodique </vt:lpwstr>
  </property>
  <property fmtid="{D5CDD505-2E9C-101B-9397-08002B2CF9AE}" pid="27" name="prepws">
    <vt:lpwstr>huitième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C/LUX/FCO/8</vt:lpwstr>
  </property>
  <property fmtid="{D5CDD505-2E9C-101B-9397-08002B2CF9AE}" pid="33" name="symh">
    <vt:lpwstr>CAT/C/LUX/FCO/8</vt:lpwstr>
  </property>
  <property fmtid="{D5CDD505-2E9C-101B-9397-08002B2CF9AE}" pid="34" name="Title">
    <vt:lpwstr>CAT/C/LUX/FCO/8</vt:lpwstr>
  </property>
  <property fmtid="{D5CDD505-2E9C-101B-9397-08002B2CF9AE}" pid="35" name="tlang">
    <vt:lpwstr/>
  </property>
  <property fmtid="{D5CDD505-2E9C-101B-9397-08002B2CF9AE}" pid="36" name="virs">
    <vt:lpwstr>Anglais, espagnol et français seulement</vt:lpwstr>
  </property>
</Properties>
</file>