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93497" w14:textId="77777777" w:rsidR="002313BE" w:rsidRDefault="00747EFE" w:rsidP="00800BEC">
      <w:pPr>
        <w:jc w:val="center"/>
      </w:pPr>
      <w:r>
        <w:rPr>
          <w:noProof/>
        </w:rPr>
        <w:drawing>
          <wp:inline distT="0" distB="0" distL="0" distR="0" wp14:anchorId="174BFC22" wp14:editId="591460AB">
            <wp:extent cx="4242391" cy="16303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ILTF Full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51352" cy="1633773"/>
                    </a:xfrm>
                    <a:prstGeom prst="rect">
                      <a:avLst/>
                    </a:prstGeom>
                  </pic:spPr>
                </pic:pic>
              </a:graphicData>
            </a:graphic>
          </wp:inline>
        </w:drawing>
      </w:r>
    </w:p>
    <w:p w14:paraId="3143455F" w14:textId="77777777" w:rsidR="002313BE" w:rsidRDefault="002313BE"/>
    <w:p w14:paraId="03D667CE" w14:textId="77777777" w:rsidR="00537D7B" w:rsidRDefault="00036C35" w:rsidP="002313BE">
      <w:pPr>
        <w:jc w:val="center"/>
      </w:pPr>
      <w:r w:rsidRPr="00036C35">
        <w:t>For consideration by the United Nations Human Rights Committee</w:t>
      </w:r>
      <w:r w:rsidR="00537D7B">
        <w:t xml:space="preserve"> at the</w:t>
      </w:r>
    </w:p>
    <w:p w14:paraId="18AB6280" w14:textId="61D8D71B" w:rsidR="00036C35" w:rsidRDefault="00036C35" w:rsidP="002313BE">
      <w:pPr>
        <w:jc w:val="center"/>
      </w:pPr>
      <w:r w:rsidRPr="00036C35">
        <w:t>144th Session, held in Geneva 23 June – 25 July 2025</w:t>
      </w:r>
    </w:p>
    <w:p w14:paraId="786D409D" w14:textId="72BEB179" w:rsidR="002313BE" w:rsidRPr="00C103D7" w:rsidRDefault="00747EFE" w:rsidP="002313BE">
      <w:pPr>
        <w:jc w:val="center"/>
      </w:pPr>
      <w:r w:rsidRPr="00C103D7">
        <w:t>Submitted on</w:t>
      </w:r>
      <w:r w:rsidR="00FE272E" w:rsidRPr="00C103D7">
        <w:t xml:space="preserve"> </w:t>
      </w:r>
      <w:r w:rsidR="002B754C">
        <w:t xml:space="preserve">May </w:t>
      </w:r>
      <w:r w:rsidR="00001975" w:rsidRPr="00C103D7">
        <w:t>2</w:t>
      </w:r>
      <w:r w:rsidR="002B754C">
        <w:t>6</w:t>
      </w:r>
      <w:r w:rsidR="00FE272E" w:rsidRPr="00C103D7">
        <w:t xml:space="preserve">, 2025 </w:t>
      </w:r>
    </w:p>
    <w:p w14:paraId="58836B4E" w14:textId="77777777" w:rsidR="002313BE" w:rsidRPr="00C103D7" w:rsidRDefault="00747EFE" w:rsidP="00800BEC">
      <w:pPr>
        <w:pStyle w:val="ListParagraph"/>
        <w:numPr>
          <w:ilvl w:val="0"/>
          <w:numId w:val="2"/>
        </w:numPr>
        <w:rPr>
          <w:b/>
          <w:bCs/>
          <w:sz w:val="20"/>
          <w:szCs w:val="20"/>
        </w:rPr>
      </w:pPr>
      <w:r w:rsidRPr="00C103D7">
        <w:rPr>
          <w:b/>
          <w:bCs/>
          <w:sz w:val="20"/>
          <w:szCs w:val="20"/>
        </w:rPr>
        <w:t>Authors</w:t>
      </w:r>
    </w:p>
    <w:p w14:paraId="44B883A0" w14:textId="68724CDD" w:rsidR="00800BEC" w:rsidRPr="00C103D7" w:rsidRDefault="00747EFE">
      <w:pPr>
        <w:rPr>
          <w:sz w:val="20"/>
          <w:szCs w:val="20"/>
        </w:rPr>
      </w:pPr>
      <w:r w:rsidRPr="00C103D7">
        <w:rPr>
          <w:sz w:val="20"/>
          <w:szCs w:val="20"/>
        </w:rPr>
        <w:t>The Wrongful Conviction International Law Task Force (WCILTF) is a global coalition of law professors, attorneys</w:t>
      </w:r>
      <w:r w:rsidR="004D227A" w:rsidRPr="00C103D7">
        <w:rPr>
          <w:sz w:val="20"/>
          <w:szCs w:val="20"/>
        </w:rPr>
        <w:t>,</w:t>
      </w:r>
      <w:r w:rsidRPr="00C103D7">
        <w:rPr>
          <w:sz w:val="20"/>
          <w:szCs w:val="20"/>
        </w:rPr>
        <w:t xml:space="preserve"> and activists w</w:t>
      </w:r>
      <w:r w:rsidR="000C5219" w:rsidRPr="00C103D7">
        <w:rPr>
          <w:sz w:val="20"/>
          <w:szCs w:val="20"/>
        </w:rPr>
        <w:t>orking together</w:t>
      </w:r>
      <w:r w:rsidRPr="00C103D7">
        <w:rPr>
          <w:sz w:val="20"/>
          <w:szCs w:val="20"/>
        </w:rPr>
        <w:t xml:space="preserve"> to fill the “Innocence Gap” in international law.  The WCILTF is supported by a pro bono legal team at the international law firm Proskauer Rose (www.proskauer.com/) located in New York City.</w:t>
      </w:r>
    </w:p>
    <w:p w14:paraId="759E675D" w14:textId="13250DF6" w:rsidR="002313BE" w:rsidRPr="00C103D7" w:rsidRDefault="00747EFE">
      <w:pPr>
        <w:rPr>
          <w:sz w:val="20"/>
          <w:szCs w:val="20"/>
        </w:rPr>
      </w:pPr>
      <w:r w:rsidRPr="00C103D7">
        <w:rPr>
          <w:sz w:val="20"/>
          <w:szCs w:val="20"/>
        </w:rPr>
        <w:t xml:space="preserve">In the past twenty-five years, wrongful conviction of the innocent has emerged as a major problem in criminal justice systems around the world.  Research indicates that the problem has always existed but has only come to light in recent decades due </w:t>
      </w:r>
      <w:r w:rsidR="00800BEC" w:rsidRPr="00C103D7">
        <w:rPr>
          <w:sz w:val="20"/>
          <w:szCs w:val="20"/>
        </w:rPr>
        <w:t>to forensic advancements</w:t>
      </w:r>
      <w:r w:rsidR="004D227A" w:rsidRPr="00C103D7">
        <w:rPr>
          <w:sz w:val="20"/>
          <w:szCs w:val="20"/>
        </w:rPr>
        <w:t xml:space="preserve"> a</w:t>
      </w:r>
      <w:r w:rsidR="00800BEC" w:rsidRPr="00C103D7">
        <w:rPr>
          <w:sz w:val="20"/>
          <w:szCs w:val="20"/>
        </w:rPr>
        <w:t>llowing for</w:t>
      </w:r>
      <w:r w:rsidRPr="00C103D7">
        <w:rPr>
          <w:sz w:val="20"/>
          <w:szCs w:val="20"/>
        </w:rPr>
        <w:t xml:space="preserve"> </w:t>
      </w:r>
      <w:r w:rsidR="000C5219" w:rsidRPr="00C103D7">
        <w:rPr>
          <w:sz w:val="20"/>
          <w:szCs w:val="20"/>
        </w:rPr>
        <w:t>post-conviction</w:t>
      </w:r>
      <w:r w:rsidRPr="00C103D7">
        <w:rPr>
          <w:sz w:val="20"/>
          <w:szCs w:val="20"/>
        </w:rPr>
        <w:t xml:space="preserve"> DNA testing of crime scene evidence.  Wrongful convictions occur because of human limitations in investigation and evidence collection, such as memory weaknesses</w:t>
      </w:r>
      <w:r w:rsidR="000C5219" w:rsidRPr="00C103D7">
        <w:rPr>
          <w:sz w:val="20"/>
          <w:szCs w:val="20"/>
        </w:rPr>
        <w:t xml:space="preserve"> and malleability</w:t>
      </w:r>
      <w:r w:rsidRPr="00C103D7">
        <w:rPr>
          <w:sz w:val="20"/>
          <w:szCs w:val="20"/>
        </w:rPr>
        <w:t xml:space="preserve"> (leading to misidentifications by eyewitnesses), unreliable or faulty forensic evidence, false confessions, confirmation bias or tunnel vision on behalf of investigators, inadequate defense lawyering, and many other human problems.  Thus, wrongful convictions exist in all legal systems around the world, as all </w:t>
      </w:r>
      <w:r w:rsidR="000C5219" w:rsidRPr="00C103D7">
        <w:rPr>
          <w:sz w:val="20"/>
          <w:szCs w:val="20"/>
        </w:rPr>
        <w:t>nations</w:t>
      </w:r>
      <w:r w:rsidRPr="00C103D7">
        <w:rPr>
          <w:sz w:val="20"/>
          <w:szCs w:val="20"/>
        </w:rPr>
        <w:t xml:space="preserve"> use the same types of evidence and investigation techniques regardless of</w:t>
      </w:r>
      <w:r w:rsidR="000C5219" w:rsidRPr="00C103D7">
        <w:rPr>
          <w:sz w:val="20"/>
          <w:szCs w:val="20"/>
        </w:rPr>
        <w:t xml:space="preserve"> the</w:t>
      </w:r>
      <w:r w:rsidRPr="00C103D7">
        <w:rPr>
          <w:sz w:val="20"/>
          <w:szCs w:val="20"/>
        </w:rPr>
        <w:t xml:space="preserve"> precise legal procedures</w:t>
      </w:r>
      <w:r w:rsidR="000C5219" w:rsidRPr="00C103D7">
        <w:rPr>
          <w:sz w:val="20"/>
          <w:szCs w:val="20"/>
        </w:rPr>
        <w:t xml:space="preserve"> employed</w:t>
      </w:r>
      <w:r w:rsidRPr="00C103D7">
        <w:rPr>
          <w:sz w:val="20"/>
          <w:szCs w:val="20"/>
        </w:rPr>
        <w:t xml:space="preserve"> in the</w:t>
      </w:r>
      <w:r w:rsidR="000C5219" w:rsidRPr="00C103D7">
        <w:rPr>
          <w:sz w:val="20"/>
          <w:szCs w:val="20"/>
        </w:rPr>
        <w:t>ir</w:t>
      </w:r>
      <w:r w:rsidRPr="00C103D7">
        <w:rPr>
          <w:sz w:val="20"/>
          <w:szCs w:val="20"/>
        </w:rPr>
        <w:t xml:space="preserve"> courtroom</w:t>
      </w:r>
      <w:r w:rsidR="000C5219" w:rsidRPr="00C103D7">
        <w:rPr>
          <w:sz w:val="20"/>
          <w:szCs w:val="20"/>
        </w:rPr>
        <w:t>s</w:t>
      </w:r>
      <w:r w:rsidRPr="00C103D7">
        <w:rPr>
          <w:sz w:val="20"/>
          <w:szCs w:val="20"/>
        </w:rPr>
        <w:t xml:space="preserve">.  </w:t>
      </w:r>
    </w:p>
    <w:p w14:paraId="58F05D9C" w14:textId="1A7E1098" w:rsidR="000C5219" w:rsidRPr="00C103D7" w:rsidRDefault="00747EFE">
      <w:pPr>
        <w:rPr>
          <w:sz w:val="20"/>
          <w:szCs w:val="20"/>
        </w:rPr>
      </w:pPr>
      <w:r w:rsidRPr="00C103D7">
        <w:rPr>
          <w:sz w:val="20"/>
          <w:szCs w:val="20"/>
        </w:rPr>
        <w:t>NGOs called “Innocence Projects” have sprung up around the globe to combat this problem, and now entire networks of innocence projects exist in Asia, Europe, North America</w:t>
      </w:r>
      <w:r w:rsidR="004D227A" w:rsidRPr="00C103D7">
        <w:rPr>
          <w:sz w:val="20"/>
          <w:szCs w:val="20"/>
        </w:rPr>
        <w:t>,</w:t>
      </w:r>
      <w:r w:rsidRPr="00C103D7">
        <w:rPr>
          <w:sz w:val="20"/>
          <w:szCs w:val="20"/>
        </w:rPr>
        <w:t xml:space="preserve"> and South America.  Innocence Projects are often housed at law schools and are operated by law professors and law students.  In one member state, </w:t>
      </w:r>
      <w:r w:rsidR="00EB0CCD">
        <w:rPr>
          <w:sz w:val="20"/>
          <w:szCs w:val="20"/>
        </w:rPr>
        <w:t xml:space="preserve">the U.S. </w:t>
      </w:r>
      <w:r w:rsidRPr="00C103D7">
        <w:rPr>
          <w:sz w:val="20"/>
          <w:szCs w:val="20"/>
        </w:rPr>
        <w:t>for example, more than 3,</w:t>
      </w:r>
      <w:r w:rsidR="00EB0CCD">
        <w:rPr>
          <w:sz w:val="20"/>
          <w:szCs w:val="20"/>
        </w:rPr>
        <w:t>600</w:t>
      </w:r>
      <w:r w:rsidRPr="00C103D7">
        <w:rPr>
          <w:sz w:val="20"/>
          <w:szCs w:val="20"/>
        </w:rPr>
        <w:t xml:space="preserve"> innocent people have been released from prison in recent years due to the work of NGOs like Innocence Projects.</w:t>
      </w:r>
      <w:r w:rsidR="00EB0CCD">
        <w:rPr>
          <w:sz w:val="20"/>
          <w:szCs w:val="20"/>
        </w:rPr>
        <w:t xml:space="preserve">  See </w:t>
      </w:r>
      <w:hyperlink r:id="rId11" w:history="1">
        <w:r w:rsidR="00EB0CCD" w:rsidRPr="00AD3F98">
          <w:rPr>
            <w:rStyle w:val="Hyperlink"/>
            <w:sz w:val="20"/>
            <w:szCs w:val="20"/>
          </w:rPr>
          <w:t xml:space="preserve">https://www.law.umich.edu/special/exoneration/Pages/about.aspx </w:t>
        </w:r>
      </w:hyperlink>
      <w:r w:rsidR="00EB0CCD">
        <w:rPr>
          <w:sz w:val="20"/>
          <w:szCs w:val="20"/>
        </w:rPr>
        <w:t>.</w:t>
      </w:r>
      <w:r w:rsidRPr="00C103D7">
        <w:rPr>
          <w:sz w:val="20"/>
          <w:szCs w:val="20"/>
        </w:rPr>
        <w:t xml:space="preserve"> </w:t>
      </w:r>
      <w:r w:rsidR="00EB0CCD">
        <w:rPr>
          <w:sz w:val="20"/>
          <w:szCs w:val="20"/>
        </w:rPr>
        <w:t>Manu, additional e</w:t>
      </w:r>
      <w:r w:rsidRPr="00C103D7">
        <w:rPr>
          <w:sz w:val="20"/>
          <w:szCs w:val="20"/>
        </w:rPr>
        <w:t xml:space="preserve">xonerations of the innocent have occurred across the globe in the past three decades.  </w:t>
      </w:r>
    </w:p>
    <w:p w14:paraId="1844090F" w14:textId="57570AE5" w:rsidR="002313BE" w:rsidRPr="00C103D7" w:rsidRDefault="00747EFE">
      <w:pPr>
        <w:rPr>
          <w:sz w:val="20"/>
          <w:szCs w:val="20"/>
        </w:rPr>
      </w:pPr>
      <w:r w:rsidRPr="00C103D7">
        <w:rPr>
          <w:sz w:val="20"/>
          <w:szCs w:val="20"/>
        </w:rPr>
        <w:t xml:space="preserve">For a brief video overview of the global problem of wrongful convictions and the efforts of Innocence Projects to combat the problem, please view: </w:t>
      </w:r>
      <w:hyperlink r:id="rId12" w:history="1">
        <w:r w:rsidRPr="00C103D7">
          <w:rPr>
            <w:rStyle w:val="Hyperlink"/>
            <w:sz w:val="20"/>
            <w:szCs w:val="20"/>
          </w:rPr>
          <w:t>https://youtu.be/jMATkuFaRU8?si=fO0wXGhPr-oCyhBA</w:t>
        </w:r>
      </w:hyperlink>
    </w:p>
    <w:p w14:paraId="051C40B2" w14:textId="64EA07D7" w:rsidR="002313BE" w:rsidRPr="00C103D7" w:rsidRDefault="00747EFE">
      <w:pPr>
        <w:rPr>
          <w:sz w:val="20"/>
          <w:szCs w:val="20"/>
        </w:rPr>
      </w:pPr>
      <w:r w:rsidRPr="00C103D7">
        <w:rPr>
          <w:sz w:val="20"/>
          <w:szCs w:val="20"/>
        </w:rPr>
        <w:t xml:space="preserve">As the innocence movement has developed a global presence in recent years, it has become apparent to legal scholars that an “Innocence Gap” exists in international law.  The WCILTF formed to combat this </w:t>
      </w:r>
      <w:proofErr w:type="spellStart"/>
      <w:r w:rsidR="00994A12">
        <w:rPr>
          <w:sz w:val="20"/>
          <w:szCs w:val="20"/>
        </w:rPr>
        <w:lastRenderedPageBreak/>
        <w:t>viet</w:t>
      </w:r>
      <w:r w:rsidRPr="00C103D7">
        <w:rPr>
          <w:sz w:val="20"/>
          <w:szCs w:val="20"/>
        </w:rPr>
        <w:t>problem</w:t>
      </w:r>
      <w:proofErr w:type="spellEnd"/>
      <w:r w:rsidRPr="00C103D7">
        <w:rPr>
          <w:sz w:val="20"/>
          <w:szCs w:val="20"/>
        </w:rPr>
        <w:t xml:space="preserve"> and help fill the Innocence Gap.  The WCILTF is comprised of more than twenty-five law professors and Innocence Project leaders from across Asia, Europe, North America and South America.</w:t>
      </w:r>
    </w:p>
    <w:p w14:paraId="6F47D429" w14:textId="77777777" w:rsidR="000C5219" w:rsidRPr="00C103D7" w:rsidRDefault="00747EFE" w:rsidP="00800BEC">
      <w:pPr>
        <w:pStyle w:val="ListParagraph"/>
        <w:numPr>
          <w:ilvl w:val="0"/>
          <w:numId w:val="2"/>
        </w:numPr>
        <w:rPr>
          <w:b/>
          <w:bCs/>
          <w:sz w:val="20"/>
          <w:szCs w:val="20"/>
        </w:rPr>
      </w:pPr>
      <w:r w:rsidRPr="00C103D7">
        <w:rPr>
          <w:b/>
          <w:bCs/>
          <w:sz w:val="20"/>
          <w:szCs w:val="20"/>
        </w:rPr>
        <w:t>Filling the Innocence Gap</w:t>
      </w:r>
    </w:p>
    <w:p w14:paraId="1AAF877A" w14:textId="2CA8E2DE" w:rsidR="003A19BF" w:rsidRPr="00C103D7" w:rsidRDefault="00747EFE">
      <w:pPr>
        <w:rPr>
          <w:sz w:val="20"/>
          <w:szCs w:val="20"/>
        </w:rPr>
      </w:pPr>
      <w:r w:rsidRPr="00C103D7">
        <w:rPr>
          <w:sz w:val="20"/>
          <w:szCs w:val="20"/>
        </w:rPr>
        <w:tab/>
      </w:r>
      <w:r w:rsidR="001113EC" w:rsidRPr="001113EC">
        <w:rPr>
          <w:sz w:val="20"/>
          <w:szCs w:val="20"/>
        </w:rPr>
        <w:t xml:space="preserve">International law frameworks largely predate our recognition of wrongful convictions, creating what I call an "innocence gap" in human rights jurisprudence. Only recently has the UN Human Rights Committee begun retrofitting existing rights to address this issue. </w:t>
      </w:r>
      <w:r w:rsidRPr="00C103D7">
        <w:rPr>
          <w:sz w:val="20"/>
          <w:szCs w:val="20"/>
        </w:rPr>
        <w:t xml:space="preserve">  For example, in </w:t>
      </w:r>
      <w:proofErr w:type="spellStart"/>
      <w:r w:rsidRPr="00C103D7">
        <w:rPr>
          <w:i/>
          <w:iCs/>
          <w:sz w:val="20"/>
          <w:szCs w:val="20"/>
        </w:rPr>
        <w:t>Abdiev</w:t>
      </w:r>
      <w:proofErr w:type="spellEnd"/>
      <w:r w:rsidRPr="00C103D7">
        <w:rPr>
          <w:i/>
          <w:iCs/>
          <w:sz w:val="20"/>
          <w:szCs w:val="20"/>
        </w:rPr>
        <w:t xml:space="preserve"> v. Kazakhstan</w:t>
      </w:r>
      <w:r w:rsidRPr="00C103D7">
        <w:rPr>
          <w:sz w:val="20"/>
          <w:szCs w:val="20"/>
        </w:rPr>
        <w:t xml:space="preserve">, 2023, the HRC stated that </w:t>
      </w:r>
      <w:r w:rsidRPr="00C103D7">
        <w:rPr>
          <w:b/>
          <w:bCs/>
          <w:i/>
          <w:iCs/>
          <w:sz w:val="20"/>
          <w:szCs w:val="20"/>
        </w:rPr>
        <w:t xml:space="preserve">the right of incarcerated persons to re-open a criminal case </w:t>
      </w:r>
      <w:proofErr w:type="gramStart"/>
      <w:r w:rsidRPr="00C103D7">
        <w:rPr>
          <w:b/>
          <w:bCs/>
          <w:i/>
          <w:iCs/>
          <w:sz w:val="20"/>
          <w:szCs w:val="20"/>
        </w:rPr>
        <w:t>in order to</w:t>
      </w:r>
      <w:proofErr w:type="gramEnd"/>
      <w:r w:rsidRPr="00C103D7">
        <w:rPr>
          <w:b/>
          <w:bCs/>
          <w:i/>
          <w:iCs/>
          <w:sz w:val="20"/>
          <w:szCs w:val="20"/>
        </w:rPr>
        <w:t xml:space="preserve"> present new evidence of innocence after conviction and appeal have concluded, </w:t>
      </w:r>
      <w:proofErr w:type="gramStart"/>
      <w:r w:rsidRPr="00C103D7">
        <w:rPr>
          <w:b/>
          <w:bCs/>
          <w:i/>
          <w:iCs/>
          <w:sz w:val="20"/>
          <w:szCs w:val="20"/>
        </w:rPr>
        <w:t>in order to</w:t>
      </w:r>
      <w:proofErr w:type="gramEnd"/>
      <w:r w:rsidRPr="00C103D7">
        <w:rPr>
          <w:b/>
          <w:bCs/>
          <w:i/>
          <w:iCs/>
          <w:sz w:val="20"/>
          <w:szCs w:val="20"/>
        </w:rPr>
        <w:t xml:space="preserve"> achieve exoneration and freedom, is essential to the right to a fair trial under Article 14(1) of the ICCPR</w:t>
      </w:r>
      <w:r w:rsidRPr="00C103D7">
        <w:rPr>
          <w:sz w:val="20"/>
          <w:szCs w:val="20"/>
        </w:rPr>
        <w:t xml:space="preserve">.  Similarly, on October 3, 2023, in Concluding Observations on the Fifth Periodic Report of the Republic of Korea, the HRC observed that South Korea should “provide adequate legal and financial assistance to enable individuals sentenced to death to </w:t>
      </w:r>
      <w:r w:rsidRPr="00C103D7">
        <w:rPr>
          <w:b/>
          <w:bCs/>
          <w:i/>
          <w:iCs/>
          <w:sz w:val="20"/>
          <w:szCs w:val="20"/>
        </w:rPr>
        <w:t>re-examine convictions on the basis of newly discovered evidence, including new DNA evidence</w:t>
      </w:r>
      <w:r w:rsidR="00BD70CE">
        <w:rPr>
          <w:b/>
          <w:bCs/>
          <w:i/>
          <w:iCs/>
          <w:sz w:val="20"/>
          <w:szCs w:val="20"/>
        </w:rPr>
        <w:t>”</w:t>
      </w:r>
      <w:r w:rsidRPr="00C103D7">
        <w:rPr>
          <w:sz w:val="20"/>
          <w:szCs w:val="20"/>
        </w:rPr>
        <w:t xml:space="preserve">.  </w:t>
      </w:r>
    </w:p>
    <w:p w14:paraId="3EBBEB9F" w14:textId="00596F50" w:rsidR="000C3A5E" w:rsidRPr="00C103D7" w:rsidRDefault="000C3A5E" w:rsidP="000C3A5E">
      <w:pPr>
        <w:ind w:firstLine="360"/>
        <w:rPr>
          <w:sz w:val="20"/>
          <w:szCs w:val="20"/>
          <w:lang w:val="en-GB"/>
        </w:rPr>
      </w:pPr>
      <w:r w:rsidRPr="00C103D7">
        <w:rPr>
          <w:sz w:val="20"/>
          <w:szCs w:val="20"/>
          <w:lang w:val="en-GB"/>
        </w:rPr>
        <w:t>Likewise, on July 25, 2024, in Concluding Observations on the Second Periodic Report of Maldives, the HRC expressed concern “about the lack of information on the existence of a procedure enabling individuals sentenced to death to seek a review of their convictions and sentences based on newly discovered evidence of their innocence, including new DNA evidence, and, if wrongfully convicted, to provide them with compensation</w:t>
      </w:r>
      <w:r>
        <w:rPr>
          <w:sz w:val="20"/>
          <w:szCs w:val="20"/>
          <w:lang w:val="en-GB"/>
        </w:rPr>
        <w:t>”</w:t>
      </w:r>
      <w:r w:rsidRPr="00C103D7">
        <w:rPr>
          <w:sz w:val="20"/>
          <w:szCs w:val="20"/>
          <w:lang w:val="en-GB"/>
        </w:rPr>
        <w:t xml:space="preserve">.  The HRC recommended that Maldives take all necessary measures to ensure that “death sentence can be reviewed based on </w:t>
      </w:r>
      <w:r w:rsidRPr="00C103D7">
        <w:rPr>
          <w:b/>
          <w:bCs/>
          <w:i/>
          <w:iCs/>
          <w:sz w:val="20"/>
          <w:szCs w:val="20"/>
          <w:lang w:val="en-GB"/>
        </w:rPr>
        <w:t>newly discovered evidence of their innocence,</w:t>
      </w:r>
      <w:r w:rsidRPr="00C103D7">
        <w:rPr>
          <w:sz w:val="20"/>
          <w:szCs w:val="20"/>
          <w:lang w:val="en-GB"/>
        </w:rPr>
        <w:t xml:space="preserve"> including new DNA evidence, adequate legal and financial assistance is provided to enable this review and,</w:t>
      </w:r>
      <w:r w:rsidRPr="00C103D7">
        <w:rPr>
          <w:b/>
          <w:bCs/>
          <w:i/>
          <w:iCs/>
          <w:sz w:val="20"/>
          <w:szCs w:val="20"/>
          <w:lang w:val="en-GB"/>
        </w:rPr>
        <w:t xml:space="preserve"> if wrongfully convicted, individuals have access to effective remedies</w:t>
      </w:r>
      <w:r w:rsidRPr="00C103D7">
        <w:rPr>
          <w:sz w:val="20"/>
          <w:szCs w:val="20"/>
          <w:lang w:val="en-GB"/>
        </w:rPr>
        <w:t xml:space="preserve">, including compensation” para. 28(e).  </w:t>
      </w:r>
      <w:r w:rsidRPr="00C103D7">
        <w:rPr>
          <w:i/>
          <w:iCs/>
          <w:sz w:val="20"/>
          <w:szCs w:val="20"/>
          <w:lang w:val="en-GB"/>
        </w:rPr>
        <w:t>See</w:t>
      </w:r>
      <w:r w:rsidRPr="00C103D7">
        <w:rPr>
          <w:sz w:val="20"/>
          <w:szCs w:val="20"/>
          <w:lang w:val="en-GB"/>
        </w:rPr>
        <w:t xml:space="preserve"> Brandon Garrett, Laurence Helfer, and Jayne Huckerby, </w:t>
      </w:r>
      <w:r w:rsidRPr="00C103D7">
        <w:rPr>
          <w:i/>
          <w:iCs/>
          <w:sz w:val="20"/>
          <w:szCs w:val="20"/>
          <w:lang w:val="en-GB"/>
        </w:rPr>
        <w:t>Closing International Law’s Innocence Gap</w:t>
      </w:r>
      <w:r w:rsidRPr="00C103D7">
        <w:rPr>
          <w:sz w:val="20"/>
          <w:szCs w:val="20"/>
          <w:lang w:val="en-GB"/>
        </w:rPr>
        <w:t xml:space="preserve">, S. Cal. L. Rev. 95 (2021), available at: </w:t>
      </w:r>
      <w:hyperlink r:id="rId13" w:history="1">
        <w:r w:rsidRPr="00C103D7">
          <w:rPr>
            <w:rStyle w:val="Hyperlink"/>
            <w:sz w:val="20"/>
            <w:szCs w:val="20"/>
            <w:lang w:val="en-GB"/>
          </w:rPr>
          <w:t>https://papers.ssrn.com/sol3/papers.cfm?abstract_id=3803518#</w:t>
        </w:r>
      </w:hyperlink>
    </w:p>
    <w:p w14:paraId="18633B57" w14:textId="462D1ABC" w:rsidR="00097E72" w:rsidRPr="00C103D7" w:rsidRDefault="00E05820" w:rsidP="00775F2D">
      <w:pPr>
        <w:pStyle w:val="ListParagraph"/>
        <w:numPr>
          <w:ilvl w:val="0"/>
          <w:numId w:val="2"/>
        </w:numPr>
        <w:rPr>
          <w:b/>
          <w:bCs/>
          <w:sz w:val="20"/>
          <w:szCs w:val="20"/>
          <w:lang w:val="en-GB"/>
        </w:rPr>
      </w:pPr>
      <w:r w:rsidRPr="00C103D7">
        <w:rPr>
          <w:b/>
          <w:bCs/>
          <w:sz w:val="20"/>
          <w:szCs w:val="20"/>
          <w:lang w:val="en-GB"/>
        </w:rPr>
        <w:t xml:space="preserve">Issues with the </w:t>
      </w:r>
      <w:r w:rsidR="00747EFE" w:rsidRPr="00C103D7">
        <w:rPr>
          <w:b/>
          <w:bCs/>
          <w:sz w:val="20"/>
          <w:szCs w:val="20"/>
          <w:lang w:val="en-GB"/>
        </w:rPr>
        <w:t xml:space="preserve">Rights of Innocent Incarcerated Persons in </w:t>
      </w:r>
      <w:r w:rsidR="00E13C5C">
        <w:rPr>
          <w:b/>
          <w:bCs/>
          <w:sz w:val="20"/>
          <w:szCs w:val="20"/>
          <w:lang w:val="en-GB"/>
        </w:rPr>
        <w:t>Viet Nam</w:t>
      </w:r>
      <w:r w:rsidR="008447E6" w:rsidRPr="00C103D7">
        <w:rPr>
          <w:b/>
          <w:bCs/>
          <w:sz w:val="20"/>
          <w:szCs w:val="20"/>
          <w:lang w:val="en-GB"/>
        </w:rPr>
        <w:t xml:space="preserve"> </w:t>
      </w:r>
      <w:r w:rsidR="00747EFE" w:rsidRPr="00C103D7">
        <w:rPr>
          <w:sz w:val="20"/>
          <w:szCs w:val="20"/>
          <w:lang w:val="en-GB"/>
        </w:rPr>
        <w:t xml:space="preserve"> </w:t>
      </w:r>
    </w:p>
    <w:p w14:paraId="5BE77804" w14:textId="77777777" w:rsidR="003F4232" w:rsidRPr="00E02063" w:rsidRDefault="003F4232" w:rsidP="003F4232">
      <w:pPr>
        <w:spacing w:before="100" w:beforeAutospacing="1" w:after="100" w:afterAutospacing="1" w:line="240" w:lineRule="auto"/>
        <w:jc w:val="both"/>
        <w:outlineLvl w:val="2"/>
        <w:rPr>
          <w:rFonts w:asciiTheme="majorHAnsi" w:hAnsiTheme="majorHAnsi" w:cs="Times New Roman"/>
          <w:color w:val="000000"/>
          <w:sz w:val="20"/>
          <w:szCs w:val="20"/>
        </w:rPr>
      </w:pPr>
      <w:r w:rsidRPr="00E02063">
        <w:rPr>
          <w:rFonts w:asciiTheme="majorHAnsi" w:hAnsiTheme="majorHAnsi" w:cs="Times New Roman"/>
          <w:color w:val="000000"/>
          <w:sz w:val="20"/>
          <w:szCs w:val="20"/>
        </w:rPr>
        <w:t>Vietnam’s legal framework includes some provisions relevant to post-conviction review, but the overall landscape for addressing wrongful convictions remains limited. There is a striking lack of academic analysis and transparency regarding how Vietnam handles miscarriages of justice (Li et al., 2022).</w:t>
      </w:r>
      <w:r w:rsidRPr="003F4232">
        <w:rPr>
          <w:rFonts w:asciiTheme="majorHAnsi" w:hAnsiTheme="majorHAnsi" w:cs="Times New Roman"/>
          <w:color w:val="000000"/>
          <w:sz w:val="20"/>
          <w:szCs w:val="20"/>
        </w:rPr>
        <w:t xml:space="preserve"> </w:t>
      </w:r>
      <w:r w:rsidRPr="00E02063">
        <w:rPr>
          <w:rFonts w:asciiTheme="majorHAnsi" w:hAnsiTheme="majorHAnsi" w:cs="Times New Roman"/>
          <w:color w:val="000000"/>
          <w:sz w:val="20"/>
          <w:szCs w:val="20"/>
        </w:rPr>
        <w:t>This absence of information makes it difficult to determine whether Vietnam is meeting its obligations under the International Covenant on Civil and Political Rights (ICCPR), particularly in relation to the right to life (Article 6), the prohibition of torture (Article 7), and the right to a fair trial (Article 14).</w:t>
      </w:r>
    </w:p>
    <w:p w14:paraId="59F416FB" w14:textId="77777777" w:rsidR="003F4232" w:rsidRPr="003F4232" w:rsidRDefault="003F4232" w:rsidP="003F4232">
      <w:pPr>
        <w:spacing w:before="100" w:beforeAutospacing="1" w:after="100" w:afterAutospacing="1" w:line="240" w:lineRule="auto"/>
        <w:outlineLvl w:val="2"/>
        <w:rPr>
          <w:rFonts w:asciiTheme="majorHAnsi" w:hAnsiTheme="majorHAnsi" w:cs="Times New Roman"/>
          <w:color w:val="000000"/>
          <w:sz w:val="20"/>
          <w:szCs w:val="20"/>
        </w:rPr>
      </w:pPr>
      <w:r w:rsidRPr="00E02063">
        <w:rPr>
          <w:rFonts w:asciiTheme="majorHAnsi" w:hAnsiTheme="majorHAnsi" w:cs="Times New Roman"/>
          <w:color w:val="000000"/>
          <w:sz w:val="20"/>
          <w:szCs w:val="20"/>
        </w:rPr>
        <w:t>The following summary highlights a non-exhaustive list of key areas of concern. The review comprises:</w:t>
      </w:r>
    </w:p>
    <w:p w14:paraId="042279BF" w14:textId="77777777" w:rsidR="003F4232" w:rsidRPr="003F4232" w:rsidRDefault="003F4232" w:rsidP="003F4232">
      <w:pPr>
        <w:pStyle w:val="ListParagraph"/>
        <w:numPr>
          <w:ilvl w:val="0"/>
          <w:numId w:val="7"/>
        </w:numPr>
        <w:spacing w:before="100" w:beforeAutospacing="1" w:after="100" w:afterAutospacing="1" w:line="240" w:lineRule="auto"/>
        <w:outlineLvl w:val="2"/>
        <w:rPr>
          <w:rFonts w:asciiTheme="majorHAnsi" w:hAnsiTheme="majorHAnsi" w:cs="Times New Roman"/>
          <w:color w:val="000000"/>
          <w:sz w:val="20"/>
          <w:szCs w:val="20"/>
        </w:rPr>
      </w:pPr>
      <w:r w:rsidRPr="003F4232">
        <w:rPr>
          <w:rFonts w:asciiTheme="majorHAnsi" w:hAnsiTheme="majorHAnsi" w:cs="Times New Roman"/>
          <w:color w:val="000000"/>
          <w:sz w:val="20"/>
          <w:szCs w:val="20"/>
        </w:rPr>
        <w:t>The Fourth Periodic Report submitted by Vietnam under Article 40 of the Covenant, received on 3 April 2023 (the “First Report”</w:t>
      </w:r>
      <w:proofErr w:type="gramStart"/>
      <w:r w:rsidRPr="003F4232">
        <w:rPr>
          <w:rFonts w:asciiTheme="majorHAnsi" w:hAnsiTheme="majorHAnsi" w:cs="Times New Roman"/>
          <w:color w:val="000000"/>
          <w:sz w:val="20"/>
          <w:szCs w:val="20"/>
        </w:rPr>
        <w:t>);</w:t>
      </w:r>
      <w:proofErr w:type="gramEnd"/>
    </w:p>
    <w:p w14:paraId="39A550B4" w14:textId="77777777" w:rsidR="003F4232" w:rsidRPr="003F4232" w:rsidRDefault="003F4232" w:rsidP="003F4232">
      <w:pPr>
        <w:pStyle w:val="ListParagraph"/>
        <w:numPr>
          <w:ilvl w:val="0"/>
          <w:numId w:val="7"/>
        </w:numPr>
        <w:spacing w:before="100" w:beforeAutospacing="1" w:after="100" w:afterAutospacing="1" w:line="240" w:lineRule="auto"/>
        <w:outlineLvl w:val="2"/>
        <w:rPr>
          <w:rFonts w:asciiTheme="majorHAnsi" w:hAnsiTheme="majorHAnsi" w:cs="Times New Roman"/>
          <w:color w:val="000000"/>
          <w:sz w:val="20"/>
          <w:szCs w:val="20"/>
        </w:rPr>
      </w:pPr>
      <w:r w:rsidRPr="003F4232">
        <w:rPr>
          <w:rFonts w:asciiTheme="majorHAnsi" w:hAnsiTheme="majorHAnsi" w:cs="Times New Roman"/>
          <w:color w:val="000000"/>
          <w:sz w:val="20"/>
          <w:szCs w:val="20"/>
        </w:rPr>
        <w:t>Vietnam’s Replies to the List of Issues in relation to its Fourth Periodic Report, received on 19 December 2024 (the “Second Report”); and</w:t>
      </w:r>
    </w:p>
    <w:p w14:paraId="1615EBB3" w14:textId="77777777" w:rsidR="003F4232" w:rsidRPr="003F4232" w:rsidRDefault="003F4232" w:rsidP="003F4232">
      <w:pPr>
        <w:pStyle w:val="ListParagraph"/>
        <w:numPr>
          <w:ilvl w:val="0"/>
          <w:numId w:val="7"/>
        </w:numPr>
        <w:spacing w:before="100" w:beforeAutospacing="1" w:after="100" w:afterAutospacing="1" w:line="240" w:lineRule="auto"/>
        <w:outlineLvl w:val="2"/>
        <w:rPr>
          <w:rFonts w:asciiTheme="majorHAnsi" w:hAnsiTheme="majorHAnsi" w:cs="Times New Roman"/>
          <w:color w:val="000000"/>
          <w:sz w:val="20"/>
          <w:szCs w:val="20"/>
        </w:rPr>
      </w:pPr>
      <w:r w:rsidRPr="003F4232">
        <w:rPr>
          <w:rFonts w:asciiTheme="majorHAnsi" w:hAnsiTheme="majorHAnsi" w:cs="Times New Roman"/>
          <w:color w:val="000000"/>
          <w:sz w:val="20"/>
          <w:szCs w:val="20"/>
        </w:rPr>
        <w:t>A supplementary desktop review of academic literature using databases such as Scopus, JSTOR, and Google Scholar, as well as generative AI tools to identify additional sources and research gaps.</w:t>
      </w:r>
    </w:p>
    <w:p w14:paraId="61FFF17D" w14:textId="77777777" w:rsidR="003F4232" w:rsidRPr="00E02063" w:rsidRDefault="003F4232" w:rsidP="003F4232">
      <w:pPr>
        <w:spacing w:before="100" w:beforeAutospacing="1" w:after="100" w:afterAutospacing="1" w:line="240" w:lineRule="auto"/>
        <w:jc w:val="both"/>
        <w:outlineLvl w:val="2"/>
        <w:rPr>
          <w:rFonts w:asciiTheme="majorHAnsi" w:hAnsiTheme="majorHAnsi" w:cs="Times New Roman"/>
          <w:color w:val="000000"/>
          <w:sz w:val="20"/>
          <w:szCs w:val="20"/>
        </w:rPr>
      </w:pPr>
      <w:r w:rsidRPr="00E02063">
        <w:rPr>
          <w:rFonts w:asciiTheme="majorHAnsi" w:hAnsiTheme="majorHAnsi" w:cs="Times New Roman"/>
          <w:color w:val="000000"/>
          <w:sz w:val="20"/>
          <w:szCs w:val="20"/>
        </w:rPr>
        <w:t>The articles referred to below correspond to provisions of the ICCPR.</w:t>
      </w:r>
    </w:p>
    <w:p w14:paraId="32E042D8" w14:textId="77777777" w:rsidR="003F4232" w:rsidRPr="003F4232" w:rsidRDefault="003F4232" w:rsidP="003F4232">
      <w:pPr>
        <w:spacing w:after="0" w:line="240" w:lineRule="auto"/>
        <w:rPr>
          <w:rFonts w:asciiTheme="majorHAnsi" w:eastAsia="Times New Roman" w:hAnsiTheme="majorHAnsi" w:cs="Times New Roman"/>
          <w:b/>
          <w:bCs/>
          <w:color w:val="000000"/>
          <w:kern w:val="0"/>
          <w:sz w:val="20"/>
          <w:szCs w:val="20"/>
          <w:lang w:eastAsia="en-GB"/>
          <w14:ligatures w14:val="none"/>
        </w:rPr>
      </w:pPr>
      <w:r w:rsidRPr="003F4232">
        <w:rPr>
          <w:rFonts w:asciiTheme="majorHAnsi" w:eastAsia="Times New Roman" w:hAnsiTheme="majorHAnsi" w:cs="Times New Roman"/>
          <w:b/>
          <w:bCs/>
          <w:color w:val="000000"/>
          <w:kern w:val="0"/>
          <w:sz w:val="20"/>
          <w:szCs w:val="20"/>
          <w:lang w:eastAsia="en-GB"/>
          <w14:ligatures w14:val="none"/>
        </w:rPr>
        <w:t>Criminal Appeals Process</w:t>
      </w:r>
    </w:p>
    <w:p w14:paraId="60712AAA" w14:textId="77777777" w:rsidR="003F4232" w:rsidRPr="003F4232" w:rsidRDefault="003F4232" w:rsidP="003F4232">
      <w:pPr>
        <w:spacing w:line="240" w:lineRule="auto"/>
        <w:jc w:val="both"/>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The Vietnamese Criminal Procedure Code includes limited provisions for challenging criminal convictions once a verdict is final. Article 331 allows for appeals, but in serious cases</w:t>
      </w:r>
      <w:r w:rsidRPr="003F4232">
        <w:rPr>
          <w:rFonts w:asciiTheme="majorHAnsi" w:eastAsia="Times New Roman" w:hAnsiTheme="majorHAnsi" w:cs="Times New Roman"/>
          <w:color w:val="000000"/>
          <w:kern w:val="0"/>
          <w:sz w:val="20"/>
          <w:szCs w:val="20"/>
          <w:lang w:eastAsia="en-GB"/>
          <w14:ligatures w14:val="none"/>
        </w:rPr>
        <w:t xml:space="preserve">, </w:t>
      </w:r>
      <w:r w:rsidRPr="00E02063">
        <w:rPr>
          <w:rFonts w:asciiTheme="majorHAnsi" w:eastAsia="Times New Roman" w:hAnsiTheme="majorHAnsi" w:cs="Times New Roman"/>
          <w:color w:val="000000"/>
          <w:kern w:val="0"/>
          <w:sz w:val="20"/>
          <w:szCs w:val="20"/>
          <w:lang w:eastAsia="en-GB"/>
          <w14:ligatures w14:val="none"/>
        </w:rPr>
        <w:t>especially those resulting in a death sentence</w:t>
      </w:r>
      <w:r w:rsidRPr="003F4232">
        <w:rPr>
          <w:rFonts w:asciiTheme="majorHAnsi" w:eastAsia="Times New Roman" w:hAnsiTheme="majorHAnsi" w:cs="Times New Roman"/>
          <w:color w:val="000000"/>
          <w:kern w:val="0"/>
          <w:sz w:val="20"/>
          <w:szCs w:val="20"/>
          <w:lang w:eastAsia="en-GB"/>
          <w14:ligatures w14:val="none"/>
        </w:rPr>
        <w:t xml:space="preserve">, </w:t>
      </w:r>
      <w:r w:rsidRPr="00E02063">
        <w:rPr>
          <w:rFonts w:asciiTheme="majorHAnsi" w:eastAsia="Times New Roman" w:hAnsiTheme="majorHAnsi" w:cs="Times New Roman"/>
          <w:color w:val="000000"/>
          <w:kern w:val="0"/>
          <w:sz w:val="20"/>
          <w:szCs w:val="20"/>
          <w:lang w:eastAsia="en-GB"/>
          <w14:ligatures w14:val="none"/>
        </w:rPr>
        <w:t xml:space="preserve">options become far more constrained. Under Article 258, once a death sentence becomes legally binding, the case </w:t>
      </w:r>
      <w:r w:rsidRPr="00E02063">
        <w:rPr>
          <w:rFonts w:asciiTheme="majorHAnsi" w:eastAsia="Times New Roman" w:hAnsiTheme="majorHAnsi" w:cs="Times New Roman"/>
          <w:color w:val="000000"/>
          <w:kern w:val="0"/>
          <w:sz w:val="20"/>
          <w:szCs w:val="20"/>
          <w:lang w:eastAsia="en-GB"/>
          <w14:ligatures w14:val="none"/>
        </w:rPr>
        <w:lastRenderedPageBreak/>
        <w:t>file is reviewed by the President of the Supreme People’s Court and the Chairman of the Supreme People’s Procuracy. They have two months to decide whether to lodge a protest through cassation or reopening procedures. Meanwhile, the convict may submit a petition for clemency to the State President within seven days. If no protest is filed and clemency is denied, the execution proceeds.</w:t>
      </w:r>
    </w:p>
    <w:p w14:paraId="707E9F8F" w14:textId="77777777" w:rsidR="003F4232" w:rsidRPr="003F4232" w:rsidRDefault="003F4232" w:rsidP="003F4232">
      <w:pPr>
        <w:spacing w:line="240" w:lineRule="auto"/>
        <w:jc w:val="both"/>
        <w:rPr>
          <w:rFonts w:asciiTheme="majorHAnsi" w:eastAsia="Times New Roman" w:hAnsiTheme="majorHAnsi" w:cs="Times New Roman"/>
          <w:color w:val="000000"/>
          <w:kern w:val="0"/>
          <w:sz w:val="20"/>
          <w:szCs w:val="20"/>
          <w:lang w:eastAsia="en-GB"/>
          <w14:ligatures w14:val="none"/>
        </w:rPr>
      </w:pPr>
    </w:p>
    <w:p w14:paraId="44BC2F0E" w14:textId="77777777" w:rsidR="003F4232" w:rsidRPr="003F4232" w:rsidRDefault="003F4232" w:rsidP="003F4232">
      <w:pPr>
        <w:spacing w:line="240" w:lineRule="auto"/>
        <w:jc w:val="both"/>
        <w:rPr>
          <w:rStyle w:val="Heading1Char"/>
          <w:rFonts w:cs="Times New Roman"/>
          <w:color w:val="000000"/>
          <w:sz w:val="20"/>
          <w:szCs w:val="20"/>
        </w:rPr>
      </w:pPr>
      <w:r w:rsidRPr="003F4232">
        <w:rPr>
          <w:rFonts w:asciiTheme="majorHAnsi" w:hAnsiTheme="majorHAnsi" w:cs="Times New Roman"/>
          <w:color w:val="000000"/>
          <w:sz w:val="20"/>
          <w:szCs w:val="20"/>
        </w:rPr>
        <w:t>We have significant concerns regarding the appeal process, specifically the “</w:t>
      </w:r>
      <w:r w:rsidRPr="003F4232">
        <w:rPr>
          <w:rFonts w:asciiTheme="majorHAnsi" w:hAnsiTheme="majorHAnsi" w:cs="Times New Roman"/>
          <w:i/>
          <w:iCs/>
          <w:color w:val="000000"/>
          <w:sz w:val="20"/>
          <w:szCs w:val="20"/>
        </w:rPr>
        <w:t>7-day time limit, starting from the date that the death judgment takes effect, during which the convicted person is entitled to file a request for commutation and/or clemency with the State President.”</w:t>
      </w:r>
      <w:r w:rsidRPr="003F4232">
        <w:rPr>
          <w:rFonts w:asciiTheme="majorHAnsi" w:hAnsiTheme="majorHAnsi" w:cs="Times New Roman"/>
          <w:color w:val="000000"/>
          <w:sz w:val="20"/>
          <w:szCs w:val="20"/>
        </w:rPr>
        <w:t xml:space="preserve"> While this quote is from the First Report, we note that the Second Report maintains a consistent position.</w:t>
      </w:r>
      <w:r w:rsidRPr="003F4232">
        <w:rPr>
          <w:rStyle w:val="Heading1Char"/>
          <w:rFonts w:cs="Times New Roman"/>
          <w:color w:val="000000"/>
          <w:sz w:val="20"/>
          <w:szCs w:val="20"/>
        </w:rPr>
        <w:t xml:space="preserve"> </w:t>
      </w:r>
    </w:p>
    <w:p w14:paraId="0265FA8A" w14:textId="77777777" w:rsidR="003F4232" w:rsidRPr="003F4232" w:rsidRDefault="003F4232" w:rsidP="003F4232">
      <w:pPr>
        <w:spacing w:line="240" w:lineRule="auto"/>
        <w:jc w:val="both"/>
        <w:rPr>
          <w:rStyle w:val="Heading1Char"/>
          <w:rFonts w:cs="Times New Roman"/>
          <w:color w:val="000000"/>
          <w:sz w:val="20"/>
          <w:szCs w:val="20"/>
        </w:rPr>
      </w:pPr>
    </w:p>
    <w:p w14:paraId="1D493A6E" w14:textId="77777777" w:rsidR="003F4232" w:rsidRPr="003F4232" w:rsidRDefault="003F4232" w:rsidP="003F4232">
      <w:pPr>
        <w:spacing w:line="240" w:lineRule="auto"/>
        <w:jc w:val="both"/>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This is an extremely short time frame for an individual</w:t>
      </w:r>
      <w:r w:rsidRPr="003F4232">
        <w:rPr>
          <w:rFonts w:asciiTheme="majorHAnsi" w:eastAsia="Times New Roman" w:hAnsiTheme="majorHAnsi" w:cs="Times New Roman"/>
          <w:color w:val="000000"/>
          <w:kern w:val="0"/>
          <w:sz w:val="20"/>
          <w:szCs w:val="20"/>
          <w:lang w:eastAsia="en-GB"/>
          <w14:ligatures w14:val="none"/>
        </w:rPr>
        <w:t xml:space="preserve">, </w:t>
      </w:r>
      <w:r w:rsidRPr="00E02063">
        <w:rPr>
          <w:rFonts w:asciiTheme="majorHAnsi" w:eastAsia="Times New Roman" w:hAnsiTheme="majorHAnsi" w:cs="Times New Roman"/>
          <w:color w:val="000000"/>
          <w:kern w:val="0"/>
          <w:sz w:val="20"/>
          <w:szCs w:val="20"/>
          <w:lang w:eastAsia="en-GB"/>
          <w14:ligatures w14:val="none"/>
        </w:rPr>
        <w:t>likely in a heightened state of stress and trauma</w:t>
      </w:r>
      <w:r w:rsidRPr="003F4232">
        <w:rPr>
          <w:rFonts w:asciiTheme="majorHAnsi" w:eastAsia="Times New Roman" w:hAnsiTheme="majorHAnsi" w:cs="Times New Roman"/>
          <w:color w:val="000000"/>
          <w:kern w:val="0"/>
          <w:sz w:val="20"/>
          <w:szCs w:val="20"/>
          <w:lang w:eastAsia="en-GB"/>
          <w14:ligatures w14:val="none"/>
        </w:rPr>
        <w:t xml:space="preserve">, </w:t>
      </w:r>
      <w:r w:rsidRPr="00E02063">
        <w:rPr>
          <w:rFonts w:asciiTheme="majorHAnsi" w:eastAsia="Times New Roman" w:hAnsiTheme="majorHAnsi" w:cs="Times New Roman"/>
          <w:color w:val="000000"/>
          <w:kern w:val="0"/>
          <w:sz w:val="20"/>
          <w:szCs w:val="20"/>
          <w:lang w:eastAsia="en-GB"/>
          <w14:ligatures w14:val="none"/>
        </w:rPr>
        <w:t>to access legal services and the necessary support to lodge an appeal. It therefore presents a near-impossible barrier for those seeking to challenge wrongful convictions where the death penalty has been applied. This rigid timeframe clashes with the reality of overstretched legal aid services (see our concerns below), a situation likely exacerbated in rural areas, and the complex, time-consuming work required to identify and gather supporting documentation. It constitutes a procedural trap that risks perpetuating injustice for those wrongly accused.</w:t>
      </w:r>
    </w:p>
    <w:p w14:paraId="1D534D94" w14:textId="77777777" w:rsidR="003F4232" w:rsidRPr="00E02063" w:rsidRDefault="003F4232" w:rsidP="003F4232">
      <w:pPr>
        <w:spacing w:after="0" w:line="240" w:lineRule="auto"/>
        <w:jc w:val="both"/>
        <w:rPr>
          <w:rFonts w:asciiTheme="majorHAnsi" w:eastAsia="Times New Roman" w:hAnsiTheme="majorHAnsi" w:cs="Times New Roman"/>
          <w:color w:val="000000"/>
          <w:kern w:val="0"/>
          <w:sz w:val="20"/>
          <w:szCs w:val="20"/>
          <w:lang w:eastAsia="en-GB"/>
          <w14:ligatures w14:val="none"/>
        </w:rPr>
      </w:pPr>
    </w:p>
    <w:p w14:paraId="1FD3F96A" w14:textId="77777777" w:rsidR="003F4232" w:rsidRPr="003F4232" w:rsidRDefault="003F4232" w:rsidP="003F4232">
      <w:pPr>
        <w:spacing w:line="240" w:lineRule="auto"/>
        <w:jc w:val="both"/>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Furthermore, the fact that the appeal route lies with the State President renders the process inherently political, opaque, and discretionary, rather than grounded in transparent judicial procedures. Our concern is further heightened by Viet</w:t>
      </w:r>
      <w:r w:rsidRPr="003F4232">
        <w:rPr>
          <w:rFonts w:asciiTheme="majorHAnsi" w:eastAsia="Times New Roman" w:hAnsiTheme="majorHAnsi" w:cs="Times New Roman"/>
          <w:color w:val="000000"/>
          <w:kern w:val="0"/>
          <w:sz w:val="20"/>
          <w:szCs w:val="20"/>
          <w:lang w:eastAsia="en-GB"/>
          <w14:ligatures w14:val="none"/>
        </w:rPr>
        <w:t>n</w:t>
      </w:r>
      <w:r w:rsidRPr="00E02063">
        <w:rPr>
          <w:rFonts w:asciiTheme="majorHAnsi" w:eastAsia="Times New Roman" w:hAnsiTheme="majorHAnsi" w:cs="Times New Roman"/>
          <w:color w:val="000000"/>
          <w:kern w:val="0"/>
          <w:sz w:val="20"/>
          <w:szCs w:val="20"/>
          <w:lang w:eastAsia="en-GB"/>
          <w14:ligatures w14:val="none"/>
        </w:rPr>
        <w:t>am’s own admission that it only has “draft proposals” under development to “improve mechanisms to prevent, deter, and handle undue interference in judicial activities,” “establish systems for judicial oversight over legislative and executive agencies,” and “enhance the efficiency of simplified judicial procedures and integrate non-judicial methods of dispute resolution” (Second Report).</w:t>
      </w:r>
    </w:p>
    <w:p w14:paraId="22141866" w14:textId="77777777" w:rsidR="003F4232" w:rsidRPr="00E02063" w:rsidRDefault="003F4232" w:rsidP="003F4232">
      <w:pPr>
        <w:spacing w:after="0" w:line="240" w:lineRule="auto"/>
        <w:jc w:val="both"/>
        <w:rPr>
          <w:rFonts w:asciiTheme="majorHAnsi" w:eastAsia="Times New Roman" w:hAnsiTheme="majorHAnsi" w:cs="Times New Roman"/>
          <w:color w:val="000000"/>
          <w:kern w:val="0"/>
          <w:sz w:val="20"/>
          <w:szCs w:val="20"/>
          <w:lang w:eastAsia="en-GB"/>
          <w14:ligatures w14:val="none"/>
        </w:rPr>
      </w:pPr>
    </w:p>
    <w:p w14:paraId="77F8C011" w14:textId="77777777" w:rsidR="003F4232" w:rsidRPr="00E02063" w:rsidRDefault="003F4232" w:rsidP="003F4232">
      <w:pPr>
        <w:spacing w:after="0" w:line="240" w:lineRule="auto"/>
        <w:jc w:val="both"/>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Overall, both the limited time frame and the appeal route for a death judgment significantly undermine access to justice for individuals seeking to overturn wrongful convictions.</w:t>
      </w:r>
    </w:p>
    <w:p w14:paraId="1CED432A" w14:textId="77777777" w:rsidR="003F4232" w:rsidRPr="00E02063" w:rsidRDefault="003F4232" w:rsidP="003F4232">
      <w:pPr>
        <w:spacing w:line="240" w:lineRule="auto"/>
        <w:jc w:val="both"/>
        <w:rPr>
          <w:rFonts w:asciiTheme="majorHAnsi" w:eastAsia="Times New Roman" w:hAnsiTheme="majorHAnsi" w:cs="Times New Roman"/>
          <w:color w:val="000000"/>
          <w:kern w:val="0"/>
          <w:sz w:val="20"/>
          <w:szCs w:val="20"/>
          <w:lang w:eastAsia="en-GB"/>
          <w14:ligatures w14:val="none"/>
        </w:rPr>
      </w:pPr>
    </w:p>
    <w:p w14:paraId="553666D1" w14:textId="77777777" w:rsidR="003F4232" w:rsidRPr="003F4232" w:rsidRDefault="003F4232" w:rsidP="003F4232">
      <w:pPr>
        <w:spacing w:line="240" w:lineRule="auto"/>
        <w:jc w:val="both"/>
        <w:rPr>
          <w:rFonts w:asciiTheme="majorHAnsi" w:eastAsia="Times New Roman" w:hAnsiTheme="majorHAnsi" w:cs="Times New Roman"/>
          <w:color w:val="000000"/>
          <w:kern w:val="0"/>
          <w:sz w:val="20"/>
          <w:szCs w:val="20"/>
          <w:lang w:eastAsia="en-GB"/>
          <w14:ligatures w14:val="none"/>
        </w:rPr>
      </w:pPr>
    </w:p>
    <w:p w14:paraId="2313417C" w14:textId="77777777" w:rsidR="003F4232" w:rsidRPr="003F4232" w:rsidRDefault="003F4232" w:rsidP="003F4232">
      <w:pPr>
        <w:spacing w:after="0" w:line="240" w:lineRule="auto"/>
        <w:rPr>
          <w:rFonts w:asciiTheme="majorHAnsi" w:eastAsia="Times New Roman" w:hAnsiTheme="majorHAnsi" w:cs="Times New Roman"/>
          <w:b/>
          <w:bCs/>
          <w:color w:val="000000"/>
          <w:kern w:val="0"/>
          <w:sz w:val="20"/>
          <w:szCs w:val="20"/>
          <w:lang w:eastAsia="en-GB"/>
          <w14:ligatures w14:val="none"/>
        </w:rPr>
      </w:pPr>
      <w:r w:rsidRPr="00E02063">
        <w:rPr>
          <w:rFonts w:asciiTheme="majorHAnsi" w:eastAsia="Times New Roman" w:hAnsiTheme="majorHAnsi" w:cs="Times New Roman"/>
          <w:b/>
          <w:bCs/>
          <w:color w:val="000000"/>
          <w:kern w:val="0"/>
          <w:sz w:val="20"/>
          <w:szCs w:val="20"/>
          <w:lang w:eastAsia="en-GB"/>
          <w14:ligatures w14:val="none"/>
        </w:rPr>
        <w:t>The Death Penalty and Risk of Miscarriage of Justice</w:t>
      </w:r>
    </w:p>
    <w:p w14:paraId="34C3F88E" w14:textId="77777777" w:rsidR="003F4232" w:rsidRPr="003F4232" w:rsidRDefault="003F4232" w:rsidP="003F4232">
      <w:pPr>
        <w:spacing w:line="240" w:lineRule="auto"/>
        <w:jc w:val="both"/>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We note and welcome Viet</w:t>
      </w:r>
      <w:r w:rsidRPr="003F4232">
        <w:rPr>
          <w:rFonts w:asciiTheme="majorHAnsi" w:eastAsia="Times New Roman" w:hAnsiTheme="majorHAnsi" w:cs="Times New Roman"/>
          <w:color w:val="000000"/>
          <w:kern w:val="0"/>
          <w:sz w:val="20"/>
          <w:szCs w:val="20"/>
          <w:lang w:eastAsia="en-GB"/>
          <w14:ligatures w14:val="none"/>
        </w:rPr>
        <w:t>n</w:t>
      </w:r>
      <w:r w:rsidRPr="00E02063">
        <w:rPr>
          <w:rFonts w:asciiTheme="majorHAnsi" w:eastAsia="Times New Roman" w:hAnsiTheme="majorHAnsi" w:cs="Times New Roman"/>
          <w:color w:val="000000"/>
          <w:kern w:val="0"/>
          <w:sz w:val="20"/>
          <w:szCs w:val="20"/>
          <w:lang w:eastAsia="en-GB"/>
          <w14:ligatures w14:val="none"/>
        </w:rPr>
        <w:t>am’s commitment to reducing the application of the death penalty as part of a long-term and humanitarian policy. We also welcome the recognition in the First Report that the death penalty is considered “the last resort and applies to a very few extremely serious crimes.” At the time of the First Report, the number of crimes subject to the death penalty had reportedly been reduced from 44 to 18.</w:t>
      </w:r>
    </w:p>
    <w:p w14:paraId="5D233680" w14:textId="77777777" w:rsidR="003F4232" w:rsidRPr="00E02063" w:rsidRDefault="003F4232" w:rsidP="003F4232">
      <w:pPr>
        <w:spacing w:after="0" w:line="240" w:lineRule="auto"/>
        <w:jc w:val="both"/>
        <w:rPr>
          <w:rFonts w:asciiTheme="majorHAnsi" w:eastAsia="Times New Roman" w:hAnsiTheme="majorHAnsi" w:cs="Times New Roman"/>
          <w:color w:val="000000"/>
          <w:kern w:val="0"/>
          <w:sz w:val="20"/>
          <w:szCs w:val="20"/>
          <w:lang w:eastAsia="en-GB"/>
          <w14:ligatures w14:val="none"/>
        </w:rPr>
      </w:pPr>
    </w:p>
    <w:p w14:paraId="2AEEC151" w14:textId="77777777" w:rsidR="003F4232" w:rsidRPr="00E02063" w:rsidRDefault="003F4232" w:rsidP="003F4232">
      <w:pPr>
        <w:spacing w:after="0" w:line="240" w:lineRule="auto"/>
        <w:jc w:val="both"/>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While this reduction is a positive step, we strongly advocate for the complete abolition of the death penalty and consider 18 crimes to still represent a significant number for which this punishment remains applicable. We encourage continued review and challenge of its use</w:t>
      </w:r>
      <w:r w:rsidRPr="003F4232">
        <w:rPr>
          <w:rFonts w:asciiTheme="majorHAnsi" w:eastAsia="Times New Roman" w:hAnsiTheme="majorHAnsi" w:cs="Times New Roman"/>
          <w:color w:val="000000"/>
          <w:kern w:val="0"/>
          <w:sz w:val="20"/>
          <w:szCs w:val="20"/>
          <w:lang w:eastAsia="en-GB"/>
          <w14:ligatures w14:val="none"/>
        </w:rPr>
        <w:t xml:space="preserve">, </w:t>
      </w:r>
      <w:r w:rsidRPr="00E02063">
        <w:rPr>
          <w:rFonts w:asciiTheme="majorHAnsi" w:eastAsia="Times New Roman" w:hAnsiTheme="majorHAnsi" w:cs="Times New Roman"/>
          <w:color w:val="000000"/>
          <w:kern w:val="0"/>
          <w:sz w:val="20"/>
          <w:szCs w:val="20"/>
          <w:lang w:eastAsia="en-GB"/>
          <w14:ligatures w14:val="none"/>
        </w:rPr>
        <w:t>ultimately leading to the abolition of the death penalty for these remaining crimes.</w:t>
      </w:r>
    </w:p>
    <w:p w14:paraId="247AFAB9" w14:textId="77777777" w:rsidR="003F4232" w:rsidRPr="003F4232" w:rsidRDefault="003F4232" w:rsidP="003F4232">
      <w:pPr>
        <w:spacing w:line="240" w:lineRule="auto"/>
        <w:jc w:val="both"/>
        <w:rPr>
          <w:rFonts w:asciiTheme="majorHAnsi" w:eastAsia="Times New Roman" w:hAnsiTheme="majorHAnsi" w:cs="Times New Roman"/>
          <w:b/>
          <w:bCs/>
          <w:color w:val="000000"/>
          <w:kern w:val="0"/>
          <w:sz w:val="20"/>
          <w:szCs w:val="20"/>
          <w:lang w:eastAsia="en-GB"/>
          <w14:ligatures w14:val="none"/>
        </w:rPr>
      </w:pPr>
    </w:p>
    <w:p w14:paraId="1CF14AD3" w14:textId="77777777" w:rsidR="003F4232" w:rsidRPr="003F4232" w:rsidRDefault="003F4232" w:rsidP="003F4232">
      <w:pPr>
        <w:jc w:val="both"/>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While the government claims this punishment is reserved for “extremely serious” offences, the opaque and constrained nature of appeals undermines procedural safeguards. This concern is exemplified by the case of Ho Duy Hai, in which a coerced confession and conflicting forensic evidence were disregarded by the courts. Despite substantial public outcry and a rare petition by the Supreme People’s Procuracy, the Supreme People’s Court upheld the conviction and death sentence, illustrating a profound institutional resistance to revisiting flawed judgments.</w:t>
      </w:r>
    </w:p>
    <w:p w14:paraId="6FD03C4B" w14:textId="77777777" w:rsidR="003F4232" w:rsidRPr="003F4232" w:rsidRDefault="003F4232" w:rsidP="003F4232">
      <w:pPr>
        <w:jc w:val="both"/>
        <w:rPr>
          <w:rFonts w:asciiTheme="majorHAnsi" w:eastAsia="Times New Roman" w:hAnsiTheme="majorHAnsi" w:cs="Times New Roman"/>
          <w:color w:val="000000"/>
          <w:kern w:val="0"/>
          <w:sz w:val="20"/>
          <w:szCs w:val="20"/>
          <w:lang w:eastAsia="en-GB"/>
          <w14:ligatures w14:val="none"/>
        </w:rPr>
      </w:pPr>
    </w:p>
    <w:p w14:paraId="22A5F991" w14:textId="77777777" w:rsidR="003F4232" w:rsidRPr="003F4232" w:rsidRDefault="003F4232" w:rsidP="003F4232">
      <w:pPr>
        <w:jc w:val="both"/>
        <w:rPr>
          <w:rFonts w:asciiTheme="majorHAnsi" w:eastAsia="Times New Roman" w:hAnsiTheme="majorHAnsi" w:cs="Times New Roman"/>
          <w:color w:val="000000"/>
          <w:kern w:val="0"/>
          <w:sz w:val="20"/>
          <w:szCs w:val="20"/>
          <w:lang w:eastAsia="en-GB"/>
          <w14:ligatures w14:val="none"/>
        </w:rPr>
      </w:pPr>
      <w:r w:rsidRPr="003F4232">
        <w:rPr>
          <w:rFonts w:asciiTheme="majorHAnsi" w:eastAsia="Times New Roman" w:hAnsiTheme="majorHAnsi" w:cs="Times New Roman"/>
          <w:color w:val="000000"/>
          <w:kern w:val="0"/>
          <w:sz w:val="20"/>
          <w:szCs w:val="20"/>
          <w:lang w:eastAsia="en-GB"/>
          <w14:ligatures w14:val="none"/>
        </w:rPr>
        <w:t xml:space="preserve">The </w:t>
      </w:r>
      <w:proofErr w:type="gramStart"/>
      <w:r w:rsidRPr="003F4232">
        <w:rPr>
          <w:rFonts w:asciiTheme="majorHAnsi" w:eastAsia="Times New Roman" w:hAnsiTheme="majorHAnsi" w:cs="Times New Roman"/>
          <w:color w:val="000000"/>
          <w:kern w:val="0"/>
          <w:sz w:val="20"/>
          <w:szCs w:val="20"/>
          <w:lang w:eastAsia="en-GB"/>
          <w14:ligatures w14:val="none"/>
        </w:rPr>
        <w:t>aforementioned case</w:t>
      </w:r>
      <w:proofErr w:type="gramEnd"/>
      <w:r w:rsidRPr="003F4232">
        <w:rPr>
          <w:rFonts w:asciiTheme="majorHAnsi" w:eastAsia="Times New Roman" w:hAnsiTheme="majorHAnsi" w:cs="Times New Roman"/>
          <w:color w:val="000000"/>
          <w:kern w:val="0"/>
          <w:sz w:val="20"/>
          <w:szCs w:val="20"/>
          <w:lang w:eastAsia="en-GB"/>
          <w14:ligatures w14:val="none"/>
        </w:rPr>
        <w:t>, amongst others,</w:t>
      </w:r>
      <w:r w:rsidRPr="003F4232">
        <w:rPr>
          <w:rStyle w:val="FootnoteReference"/>
          <w:rFonts w:asciiTheme="majorHAnsi" w:eastAsia="Times New Roman" w:hAnsiTheme="majorHAnsi" w:cs="Times New Roman"/>
          <w:color w:val="000000"/>
          <w:kern w:val="0"/>
          <w:sz w:val="20"/>
          <w:szCs w:val="20"/>
          <w:lang w:eastAsia="en-GB"/>
          <w14:ligatures w14:val="none"/>
        </w:rPr>
        <w:footnoteReference w:id="1"/>
      </w:r>
      <w:r w:rsidRPr="003F4232">
        <w:rPr>
          <w:rFonts w:asciiTheme="majorHAnsi" w:eastAsia="Times New Roman" w:hAnsiTheme="majorHAnsi" w:cs="Times New Roman"/>
          <w:color w:val="000000"/>
          <w:kern w:val="0"/>
          <w:sz w:val="20"/>
          <w:szCs w:val="20"/>
          <w:lang w:eastAsia="en-GB"/>
          <w14:ligatures w14:val="none"/>
        </w:rPr>
        <w:t xml:space="preserve"> raises concerns over Vietnam’s failure to follow the presumption of innocence, enshrined in the 1988 Criminal Procedure Code – ‘no one shall be possibly found guilty and subject to punishment before the conviction of the court takes effect’ (Article 10). </w:t>
      </w:r>
    </w:p>
    <w:p w14:paraId="5463EDF1" w14:textId="77777777" w:rsidR="003F4232" w:rsidRPr="003F4232" w:rsidRDefault="003F4232" w:rsidP="003F4232">
      <w:pPr>
        <w:jc w:val="both"/>
        <w:rPr>
          <w:rFonts w:asciiTheme="majorHAnsi" w:eastAsia="Times New Roman" w:hAnsiTheme="majorHAnsi" w:cs="Times New Roman"/>
          <w:color w:val="000000"/>
          <w:kern w:val="0"/>
          <w:sz w:val="20"/>
          <w:szCs w:val="20"/>
          <w:lang w:eastAsia="en-GB"/>
          <w14:ligatures w14:val="none"/>
        </w:rPr>
      </w:pPr>
    </w:p>
    <w:p w14:paraId="18AC0E38" w14:textId="77777777" w:rsidR="003F4232" w:rsidRPr="003F4232" w:rsidRDefault="003F4232" w:rsidP="003F4232">
      <w:pPr>
        <w:spacing w:line="240" w:lineRule="auto"/>
        <w:jc w:val="both"/>
        <w:rPr>
          <w:rFonts w:asciiTheme="majorHAnsi" w:eastAsia="Times New Roman" w:hAnsiTheme="majorHAnsi" w:cs="Times New Roman"/>
          <w:color w:val="000000"/>
          <w:kern w:val="0"/>
          <w:sz w:val="20"/>
          <w:szCs w:val="20"/>
          <w:lang w:eastAsia="en-GB"/>
          <w14:ligatures w14:val="none"/>
        </w:rPr>
      </w:pPr>
      <w:r w:rsidRPr="003F4232">
        <w:rPr>
          <w:rFonts w:asciiTheme="majorHAnsi" w:eastAsia="Times New Roman" w:hAnsiTheme="majorHAnsi" w:cs="Times New Roman"/>
          <w:color w:val="000000"/>
          <w:kern w:val="0"/>
          <w:sz w:val="20"/>
          <w:szCs w:val="20"/>
          <w:lang w:eastAsia="en-GB"/>
          <w14:ligatures w14:val="none"/>
        </w:rPr>
        <w:t>Furthermore, th</w:t>
      </w:r>
      <w:r w:rsidRPr="00E02063">
        <w:rPr>
          <w:rFonts w:asciiTheme="majorHAnsi" w:eastAsia="Times New Roman" w:hAnsiTheme="majorHAnsi" w:cs="Times New Roman"/>
          <w:color w:val="000000"/>
          <w:kern w:val="0"/>
          <w:sz w:val="20"/>
          <w:szCs w:val="20"/>
          <w:lang w:eastAsia="en-GB"/>
          <w14:ligatures w14:val="none"/>
        </w:rPr>
        <w:t>e lack of disciplinary consequences for law enforcement or judicial misconduct in such cases further erodes public confidence. There is no evidence of investigations into coerced confessions or procedural violations, nor of reforms designed to prevent recurrence. In such an environment, where fair trial violations are systemic and post-conviction review is weak, the risk of executing an innocent person is unacceptably high.</w:t>
      </w:r>
    </w:p>
    <w:p w14:paraId="1BAA41C1" w14:textId="77777777" w:rsidR="003F4232" w:rsidRPr="00E02063" w:rsidRDefault="003F4232" w:rsidP="003F4232">
      <w:pPr>
        <w:spacing w:after="0" w:line="240" w:lineRule="auto"/>
        <w:jc w:val="both"/>
        <w:rPr>
          <w:rFonts w:asciiTheme="majorHAnsi" w:eastAsia="Times New Roman" w:hAnsiTheme="majorHAnsi" w:cs="Times New Roman"/>
          <w:color w:val="000000"/>
          <w:kern w:val="0"/>
          <w:sz w:val="20"/>
          <w:szCs w:val="20"/>
          <w:lang w:eastAsia="en-GB"/>
          <w14:ligatures w14:val="none"/>
        </w:rPr>
      </w:pPr>
    </w:p>
    <w:p w14:paraId="6DA9408F" w14:textId="77777777" w:rsidR="003F4232" w:rsidRPr="00E02063" w:rsidRDefault="003F4232" w:rsidP="003F4232">
      <w:pPr>
        <w:spacing w:after="0" w:line="240" w:lineRule="auto"/>
        <w:jc w:val="both"/>
        <w:rPr>
          <w:rFonts w:asciiTheme="majorHAnsi" w:eastAsia="Times New Roman" w:hAnsiTheme="majorHAnsi" w:cs="Times New Roman"/>
          <w:b/>
          <w:bCs/>
          <w:color w:val="000000"/>
          <w:kern w:val="0"/>
          <w:sz w:val="20"/>
          <w:szCs w:val="20"/>
          <w:lang w:eastAsia="en-GB"/>
          <w14:ligatures w14:val="none"/>
        </w:rPr>
      </w:pPr>
      <w:r w:rsidRPr="00E02063">
        <w:rPr>
          <w:rFonts w:asciiTheme="majorHAnsi" w:eastAsia="Times New Roman" w:hAnsiTheme="majorHAnsi" w:cs="Times New Roman"/>
          <w:b/>
          <w:bCs/>
          <w:color w:val="000000"/>
          <w:kern w:val="0"/>
          <w:sz w:val="20"/>
          <w:szCs w:val="20"/>
          <w:lang w:eastAsia="en-GB"/>
          <w14:ligatures w14:val="none"/>
        </w:rPr>
        <w:t>Disclosure, Evidence, and Procedural Safeguards</w:t>
      </w:r>
    </w:p>
    <w:p w14:paraId="111E97AD" w14:textId="77777777" w:rsidR="003F4232" w:rsidRPr="003F4232" w:rsidRDefault="003F4232" w:rsidP="003F4232">
      <w:pPr>
        <w:spacing w:line="240" w:lineRule="auto"/>
        <w:jc w:val="both"/>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 xml:space="preserve">Vietnamese law fails to provide basic post-conviction safeguards found in many other legal systems. </w:t>
      </w:r>
      <w:r w:rsidRPr="003F4232">
        <w:rPr>
          <w:rFonts w:asciiTheme="majorHAnsi" w:eastAsia="Times New Roman" w:hAnsiTheme="majorHAnsi" w:cs="Times New Roman"/>
          <w:color w:val="000000"/>
          <w:kern w:val="0"/>
          <w:sz w:val="20"/>
          <w:szCs w:val="20"/>
          <w:lang w:eastAsia="en-GB"/>
          <w14:ligatures w14:val="none"/>
        </w:rPr>
        <w:t>As per our review, t</w:t>
      </w:r>
      <w:r w:rsidRPr="00E02063">
        <w:rPr>
          <w:rFonts w:asciiTheme="majorHAnsi" w:eastAsia="Times New Roman" w:hAnsiTheme="majorHAnsi" w:cs="Times New Roman"/>
          <w:color w:val="000000"/>
          <w:kern w:val="0"/>
          <w:sz w:val="20"/>
          <w:szCs w:val="20"/>
          <w:lang w:eastAsia="en-GB"/>
          <w14:ligatures w14:val="none"/>
        </w:rPr>
        <w:t>here is no statutory right to DNA testing, no obligation for the prosecution to disclose exculpatory evidence before trial, and no law mandating the preservation of crime scene evidence. Nor are police required to record interrogations or follow standard identification procedures. This lack of transparency and accountability gravely hinders wrongfully convicted individuals</w:t>
      </w:r>
      <w:r w:rsidRPr="003F4232">
        <w:rPr>
          <w:rFonts w:asciiTheme="majorHAnsi" w:eastAsia="Times New Roman" w:hAnsiTheme="majorHAnsi" w:cs="Times New Roman"/>
          <w:color w:val="000000"/>
          <w:kern w:val="0"/>
          <w:sz w:val="20"/>
          <w:szCs w:val="20"/>
          <w:lang w:eastAsia="en-GB"/>
          <w14:ligatures w14:val="none"/>
        </w:rPr>
        <w:t xml:space="preserve">, </w:t>
      </w:r>
      <w:r w:rsidRPr="00E02063">
        <w:rPr>
          <w:rFonts w:asciiTheme="majorHAnsi" w:eastAsia="Times New Roman" w:hAnsiTheme="majorHAnsi" w:cs="Times New Roman"/>
          <w:color w:val="000000"/>
          <w:kern w:val="0"/>
          <w:sz w:val="20"/>
          <w:szCs w:val="20"/>
          <w:lang w:eastAsia="en-GB"/>
          <w14:ligatures w14:val="none"/>
        </w:rPr>
        <w:t>particularly those on death row</w:t>
      </w:r>
      <w:r w:rsidRPr="003F4232">
        <w:rPr>
          <w:rFonts w:asciiTheme="majorHAnsi" w:eastAsia="Times New Roman" w:hAnsiTheme="majorHAnsi" w:cs="Times New Roman"/>
          <w:color w:val="000000"/>
          <w:kern w:val="0"/>
          <w:sz w:val="20"/>
          <w:szCs w:val="20"/>
          <w:lang w:eastAsia="en-GB"/>
          <w14:ligatures w14:val="none"/>
        </w:rPr>
        <w:t xml:space="preserve">, </w:t>
      </w:r>
      <w:r w:rsidRPr="00E02063">
        <w:rPr>
          <w:rFonts w:asciiTheme="majorHAnsi" w:eastAsia="Times New Roman" w:hAnsiTheme="majorHAnsi" w:cs="Times New Roman"/>
          <w:color w:val="000000"/>
          <w:kern w:val="0"/>
          <w:sz w:val="20"/>
          <w:szCs w:val="20"/>
          <w:lang w:eastAsia="en-GB"/>
          <w14:ligatures w14:val="none"/>
        </w:rPr>
        <w:t>from challenging their convictions through new evidence or independent review.</w:t>
      </w:r>
    </w:p>
    <w:p w14:paraId="5DAD86B6" w14:textId="77777777" w:rsidR="003F4232" w:rsidRPr="00E02063" w:rsidRDefault="003F4232" w:rsidP="003F4232">
      <w:pPr>
        <w:spacing w:after="0" w:line="240" w:lineRule="auto"/>
        <w:jc w:val="both"/>
        <w:rPr>
          <w:rFonts w:asciiTheme="majorHAnsi" w:eastAsia="Times New Roman" w:hAnsiTheme="majorHAnsi" w:cs="Times New Roman"/>
          <w:b/>
          <w:bCs/>
          <w:color w:val="000000"/>
          <w:kern w:val="0"/>
          <w:sz w:val="20"/>
          <w:szCs w:val="20"/>
          <w:lang w:eastAsia="en-GB"/>
          <w14:ligatures w14:val="none"/>
        </w:rPr>
      </w:pPr>
    </w:p>
    <w:p w14:paraId="6515DD2A" w14:textId="77777777" w:rsidR="003F4232" w:rsidRPr="003F4232" w:rsidRDefault="003F4232" w:rsidP="003F4232">
      <w:pPr>
        <w:spacing w:line="240" w:lineRule="auto"/>
        <w:jc w:val="both"/>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 xml:space="preserve">Moreover, Vietnam lacks a legal mechanism that guarantees public or </w:t>
      </w:r>
      <w:proofErr w:type="spellStart"/>
      <w:r w:rsidRPr="00E02063">
        <w:rPr>
          <w:rFonts w:asciiTheme="majorHAnsi" w:eastAsia="Times New Roman" w:hAnsiTheme="majorHAnsi" w:cs="Times New Roman"/>
          <w:color w:val="000000"/>
          <w:kern w:val="0"/>
          <w:sz w:val="20"/>
          <w:szCs w:val="20"/>
          <w:lang w:eastAsia="en-GB"/>
          <w14:ligatures w14:val="none"/>
        </w:rPr>
        <w:t>defence</w:t>
      </w:r>
      <w:proofErr w:type="spellEnd"/>
      <w:r w:rsidRPr="00E02063">
        <w:rPr>
          <w:rFonts w:asciiTheme="majorHAnsi" w:eastAsia="Times New Roman" w:hAnsiTheme="majorHAnsi" w:cs="Times New Roman"/>
          <w:color w:val="000000"/>
          <w:kern w:val="0"/>
          <w:sz w:val="20"/>
          <w:szCs w:val="20"/>
          <w:lang w:eastAsia="en-GB"/>
          <w14:ligatures w14:val="none"/>
        </w:rPr>
        <w:t xml:space="preserve"> access to case files after conviction, making post-conviction investigation nearly impossible. These shortcomings not only raise concerns about fairness and due process but also stand in violation of Articles 14 and 6.</w:t>
      </w:r>
    </w:p>
    <w:p w14:paraId="12D2876D" w14:textId="77777777" w:rsidR="003F4232" w:rsidRPr="00E02063" w:rsidRDefault="003F4232" w:rsidP="003F4232">
      <w:pPr>
        <w:spacing w:after="0" w:line="240" w:lineRule="auto"/>
        <w:rPr>
          <w:rFonts w:asciiTheme="majorHAnsi" w:eastAsia="Times New Roman" w:hAnsiTheme="majorHAnsi" w:cs="Times New Roman"/>
          <w:b/>
          <w:bCs/>
          <w:color w:val="000000"/>
          <w:kern w:val="0"/>
          <w:sz w:val="20"/>
          <w:szCs w:val="20"/>
          <w:lang w:eastAsia="en-GB"/>
          <w14:ligatures w14:val="none"/>
        </w:rPr>
      </w:pPr>
    </w:p>
    <w:p w14:paraId="572914A3" w14:textId="77777777" w:rsidR="003F4232" w:rsidRDefault="003F4232" w:rsidP="003F4232">
      <w:pPr>
        <w:spacing w:after="0" w:line="240" w:lineRule="auto"/>
        <w:rPr>
          <w:rFonts w:asciiTheme="majorHAnsi" w:eastAsia="Times New Roman" w:hAnsiTheme="majorHAnsi" w:cs="Times New Roman"/>
          <w:b/>
          <w:bCs/>
          <w:color w:val="000000"/>
          <w:kern w:val="0"/>
          <w:sz w:val="20"/>
          <w:szCs w:val="20"/>
          <w:lang w:eastAsia="en-GB"/>
          <w14:ligatures w14:val="none"/>
        </w:rPr>
      </w:pPr>
      <w:r w:rsidRPr="00E02063">
        <w:rPr>
          <w:rFonts w:asciiTheme="majorHAnsi" w:eastAsia="Times New Roman" w:hAnsiTheme="majorHAnsi" w:cs="Times New Roman"/>
          <w:b/>
          <w:bCs/>
          <w:color w:val="000000"/>
          <w:kern w:val="0"/>
          <w:sz w:val="20"/>
          <w:szCs w:val="20"/>
          <w:lang w:eastAsia="en-GB"/>
          <w14:ligatures w14:val="none"/>
        </w:rPr>
        <w:t>Legal Aid and Access to Justice</w:t>
      </w:r>
    </w:p>
    <w:p w14:paraId="32F4428C" w14:textId="5A3C522B" w:rsidR="003F4232" w:rsidRPr="003F4232" w:rsidRDefault="003F4232" w:rsidP="003F4232">
      <w:pPr>
        <w:spacing w:line="240" w:lineRule="auto"/>
        <w:rPr>
          <w:rFonts w:asciiTheme="majorHAnsi" w:eastAsia="Times New Roman" w:hAnsiTheme="majorHAnsi" w:cs="Times New Roman"/>
          <w:b/>
          <w:bCs/>
          <w:color w:val="000000"/>
          <w:kern w:val="0"/>
          <w:sz w:val="20"/>
          <w:szCs w:val="20"/>
          <w:lang w:eastAsia="en-GB"/>
          <w14:ligatures w14:val="none"/>
        </w:rPr>
      </w:pPr>
      <w:r w:rsidRPr="003F4232">
        <w:rPr>
          <w:rStyle w:val="s11"/>
          <w:rFonts w:asciiTheme="majorHAnsi" w:hAnsiTheme="majorHAnsi" w:cs="Times New Roman"/>
          <w:color w:val="000000"/>
          <w:sz w:val="20"/>
          <w:szCs w:val="20"/>
        </w:rPr>
        <w:t>We welcome Viet</w:t>
      </w:r>
      <w:r w:rsidRPr="003F4232">
        <w:rPr>
          <w:rStyle w:val="s11"/>
          <w:rFonts w:asciiTheme="majorHAnsi" w:eastAsiaTheme="majorEastAsia" w:hAnsiTheme="majorHAnsi" w:cs="Times New Roman"/>
          <w:color w:val="000000"/>
          <w:sz w:val="20"/>
          <w:szCs w:val="20"/>
        </w:rPr>
        <w:t>n</w:t>
      </w:r>
      <w:r w:rsidRPr="003F4232">
        <w:rPr>
          <w:rStyle w:val="s11"/>
          <w:rFonts w:asciiTheme="majorHAnsi" w:hAnsiTheme="majorHAnsi" w:cs="Times New Roman"/>
          <w:color w:val="000000"/>
          <w:sz w:val="20"/>
          <w:szCs w:val="20"/>
        </w:rPr>
        <w:t>am’s statement that it has issued and effectively implemented two national programs for the provision of legal aid during court trials and criminal investigations. The Second Report notes that in 2023, 38,371 legal aid cases were received, of which 33,013 were completed</w:t>
      </w:r>
      <w:r w:rsidRPr="003F4232">
        <w:rPr>
          <w:rStyle w:val="s11"/>
          <w:rFonts w:asciiTheme="majorHAnsi" w:eastAsiaTheme="majorEastAsia" w:hAnsiTheme="majorHAnsi" w:cs="Times New Roman"/>
          <w:color w:val="000000"/>
          <w:sz w:val="20"/>
          <w:szCs w:val="20"/>
        </w:rPr>
        <w:t xml:space="preserve">, </w:t>
      </w:r>
      <w:r w:rsidRPr="003F4232">
        <w:rPr>
          <w:rStyle w:val="s11"/>
          <w:rFonts w:asciiTheme="majorHAnsi" w:hAnsiTheme="majorHAnsi" w:cs="Times New Roman"/>
          <w:color w:val="000000"/>
          <w:sz w:val="20"/>
          <w:szCs w:val="20"/>
        </w:rPr>
        <w:t>benefiting the same number of individuals. This represents a 19% increase compared to 2022. Of these, 25,506 cases involved litigation, accounting for 77% of the total</w:t>
      </w:r>
      <w:r w:rsidRPr="003F4232">
        <w:rPr>
          <w:rStyle w:val="apple-converted-space"/>
          <w:rFonts w:asciiTheme="majorHAnsi" w:hAnsiTheme="majorHAnsi" w:cs="Times New Roman"/>
          <w:color w:val="000000"/>
          <w:sz w:val="20"/>
          <w:szCs w:val="20"/>
        </w:rPr>
        <w:t> </w:t>
      </w:r>
      <w:r w:rsidRPr="003F4232">
        <w:rPr>
          <w:rStyle w:val="s11"/>
          <w:rFonts w:asciiTheme="majorHAnsi" w:hAnsiTheme="majorHAnsi" w:cs="Times New Roman"/>
          <w:color w:val="000000"/>
          <w:sz w:val="20"/>
          <w:szCs w:val="20"/>
        </w:rPr>
        <w:t>and also</w:t>
      </w:r>
      <w:r w:rsidRPr="003F4232">
        <w:rPr>
          <w:rStyle w:val="apple-converted-space"/>
          <w:rFonts w:asciiTheme="majorHAnsi" w:hAnsiTheme="majorHAnsi" w:cs="Times New Roman"/>
          <w:color w:val="000000"/>
          <w:sz w:val="20"/>
          <w:szCs w:val="20"/>
        </w:rPr>
        <w:t> </w:t>
      </w:r>
      <w:r w:rsidRPr="003F4232">
        <w:rPr>
          <w:rStyle w:val="s11"/>
          <w:rFonts w:asciiTheme="majorHAnsi" w:hAnsiTheme="majorHAnsi" w:cs="Times New Roman"/>
          <w:color w:val="000000"/>
          <w:sz w:val="20"/>
          <w:szCs w:val="20"/>
        </w:rPr>
        <w:t>reflecting a 19% increase from 2022.</w:t>
      </w:r>
    </w:p>
    <w:p w14:paraId="5FA9CE9F" w14:textId="77777777" w:rsidR="003F4232" w:rsidRPr="003F4232" w:rsidRDefault="003F4232" w:rsidP="003F4232">
      <w:pPr>
        <w:pStyle w:val="s12"/>
        <w:spacing w:before="0" w:beforeAutospacing="0" w:after="180" w:afterAutospacing="0"/>
        <w:jc w:val="both"/>
        <w:rPr>
          <w:rFonts w:asciiTheme="majorHAnsi" w:hAnsiTheme="majorHAnsi"/>
          <w:color w:val="000000"/>
          <w:sz w:val="20"/>
          <w:szCs w:val="20"/>
        </w:rPr>
      </w:pPr>
      <w:r w:rsidRPr="003F4232">
        <w:rPr>
          <w:rStyle w:val="s11"/>
          <w:rFonts w:asciiTheme="majorHAnsi" w:eastAsiaTheme="majorEastAsia" w:hAnsiTheme="majorHAnsi"/>
          <w:color w:val="000000"/>
          <w:sz w:val="20"/>
          <w:szCs w:val="20"/>
        </w:rPr>
        <w:t>However, this significant 19% rise in completed legal aid cases in 2023 does not align with the much smaller increase in the number of lawyers and collaborators under contract with Legal Aid</w:t>
      </w:r>
      <w:r w:rsidRPr="003F4232">
        <w:rPr>
          <w:rStyle w:val="apple-converted-space"/>
          <w:rFonts w:asciiTheme="majorHAnsi" w:eastAsiaTheme="majorEastAsia" w:hAnsiTheme="majorHAnsi"/>
          <w:color w:val="000000"/>
          <w:sz w:val="20"/>
          <w:szCs w:val="20"/>
        </w:rPr>
        <w:t> </w:t>
      </w:r>
      <w:r w:rsidRPr="003F4232">
        <w:rPr>
          <w:rStyle w:val="s11"/>
          <w:rFonts w:asciiTheme="majorHAnsi" w:eastAsiaTheme="majorEastAsia" w:hAnsiTheme="majorHAnsi"/>
          <w:color w:val="000000"/>
          <w:sz w:val="20"/>
          <w:szCs w:val="20"/>
        </w:rPr>
        <w:t>Centres, which rose only from 1,310 in 2019 to 1,356 in 2022—a 3.51% increase. Notably, this number</w:t>
      </w:r>
      <w:r w:rsidRPr="003F4232">
        <w:rPr>
          <w:rStyle w:val="apple-converted-space"/>
          <w:rFonts w:asciiTheme="majorHAnsi" w:eastAsiaTheme="majorEastAsia" w:hAnsiTheme="majorHAnsi"/>
          <w:color w:val="000000"/>
          <w:sz w:val="20"/>
          <w:szCs w:val="20"/>
        </w:rPr>
        <w:t> </w:t>
      </w:r>
      <w:r w:rsidRPr="003F4232">
        <w:rPr>
          <w:rStyle w:val="s11"/>
          <w:rFonts w:asciiTheme="majorHAnsi" w:eastAsiaTheme="majorEastAsia" w:hAnsiTheme="majorHAnsi"/>
          <w:color w:val="000000"/>
          <w:sz w:val="20"/>
          <w:szCs w:val="20"/>
        </w:rPr>
        <w:t>actually declined</w:t>
      </w:r>
      <w:r w:rsidRPr="003F4232">
        <w:rPr>
          <w:rStyle w:val="apple-converted-space"/>
          <w:rFonts w:asciiTheme="majorHAnsi" w:eastAsiaTheme="majorEastAsia" w:hAnsiTheme="majorHAnsi"/>
          <w:color w:val="000000"/>
          <w:sz w:val="20"/>
          <w:szCs w:val="20"/>
        </w:rPr>
        <w:t> </w:t>
      </w:r>
      <w:r w:rsidRPr="003F4232">
        <w:rPr>
          <w:rStyle w:val="s11"/>
          <w:rFonts w:asciiTheme="majorHAnsi" w:eastAsiaTheme="majorEastAsia" w:hAnsiTheme="majorHAnsi"/>
          <w:color w:val="000000"/>
          <w:sz w:val="20"/>
          <w:szCs w:val="20"/>
        </w:rPr>
        <w:t>slightly from 1,367 in 2021 (First Report).</w:t>
      </w:r>
    </w:p>
    <w:p w14:paraId="10689AD5" w14:textId="77777777" w:rsidR="003F4232" w:rsidRPr="003F4232" w:rsidRDefault="003F4232" w:rsidP="003F4232">
      <w:pPr>
        <w:pStyle w:val="s12"/>
        <w:spacing w:before="0" w:beforeAutospacing="0" w:after="180" w:afterAutospacing="0"/>
        <w:jc w:val="both"/>
        <w:rPr>
          <w:rFonts w:asciiTheme="majorHAnsi" w:hAnsiTheme="majorHAnsi"/>
          <w:color w:val="000000"/>
          <w:sz w:val="20"/>
          <w:szCs w:val="20"/>
        </w:rPr>
      </w:pPr>
      <w:r w:rsidRPr="003F4232">
        <w:rPr>
          <w:rStyle w:val="s11"/>
          <w:rFonts w:asciiTheme="majorHAnsi" w:eastAsiaTheme="majorEastAsia" w:hAnsiTheme="majorHAnsi"/>
          <w:color w:val="000000"/>
          <w:sz w:val="20"/>
          <w:szCs w:val="20"/>
        </w:rPr>
        <w:t>Given the high poverty rates in Viet Nam—including 16.5% in ethnic minority and mountainous regions (Second Report)—we have serious concerns that the right to legal representation, which is vital in any justice system and particularly for post-conviction challenges, remains scarce and is unable to keep pace with the growing demand for legal aid services.</w:t>
      </w:r>
    </w:p>
    <w:p w14:paraId="18089487" w14:textId="77777777" w:rsidR="003F4232" w:rsidRPr="00E02063" w:rsidRDefault="003F4232" w:rsidP="003F4232">
      <w:pPr>
        <w:spacing w:after="0" w:line="240" w:lineRule="auto"/>
        <w:rPr>
          <w:rFonts w:asciiTheme="majorHAnsi" w:eastAsia="Times New Roman" w:hAnsiTheme="majorHAnsi" w:cs="Times New Roman"/>
          <w:b/>
          <w:bCs/>
          <w:color w:val="000000"/>
          <w:kern w:val="0"/>
          <w:sz w:val="20"/>
          <w:szCs w:val="20"/>
          <w:lang w:eastAsia="en-GB"/>
          <w14:ligatures w14:val="none"/>
        </w:rPr>
      </w:pPr>
    </w:p>
    <w:p w14:paraId="1C36CCE5" w14:textId="77777777" w:rsidR="003F4232" w:rsidRPr="00E02063" w:rsidRDefault="003F4232" w:rsidP="003F4232">
      <w:pPr>
        <w:spacing w:after="0" w:line="240" w:lineRule="auto"/>
        <w:rPr>
          <w:rFonts w:asciiTheme="majorHAnsi" w:eastAsia="Times New Roman" w:hAnsiTheme="majorHAnsi" w:cs="Times New Roman"/>
          <w:b/>
          <w:bCs/>
          <w:color w:val="000000"/>
          <w:kern w:val="0"/>
          <w:sz w:val="20"/>
          <w:szCs w:val="20"/>
          <w:lang w:eastAsia="en-GB"/>
          <w14:ligatures w14:val="none"/>
        </w:rPr>
      </w:pPr>
      <w:r w:rsidRPr="00E02063">
        <w:rPr>
          <w:rFonts w:asciiTheme="majorHAnsi" w:eastAsia="Times New Roman" w:hAnsiTheme="majorHAnsi" w:cs="Times New Roman"/>
          <w:b/>
          <w:bCs/>
          <w:color w:val="000000"/>
          <w:kern w:val="0"/>
          <w:sz w:val="20"/>
          <w:szCs w:val="20"/>
          <w:lang w:eastAsia="en-GB"/>
          <w14:ligatures w14:val="none"/>
        </w:rPr>
        <w:t>Children and Vulnerable Groups</w:t>
      </w:r>
    </w:p>
    <w:p w14:paraId="7D5F3C76" w14:textId="77777777" w:rsidR="003F4232" w:rsidRPr="003F4232" w:rsidRDefault="003F4232" w:rsidP="003F4232">
      <w:pPr>
        <w:spacing w:line="240" w:lineRule="auto"/>
        <w:jc w:val="both"/>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Vietnam has issued Circular No. 43/2021/TT-BCA to guide law enforcement in handling cases involving persons under 18 years old. While this is a welcome step, it is not enshrined in law. Between 2019 and 2022, over 13,000 children and nearly 16,000 adolescents received legal aid. These numbers underscore the urgency of elevating protections for minors into binding legislation, ensuring vulnerable groups have adequate access to justice both pre- and post-conviction.</w:t>
      </w:r>
    </w:p>
    <w:p w14:paraId="499F81D0" w14:textId="77777777" w:rsidR="003F4232" w:rsidRPr="00E02063" w:rsidRDefault="003F4232" w:rsidP="003F4232">
      <w:pPr>
        <w:spacing w:after="0" w:line="240" w:lineRule="auto"/>
        <w:jc w:val="both"/>
        <w:rPr>
          <w:rFonts w:asciiTheme="majorHAnsi" w:eastAsia="Times New Roman" w:hAnsiTheme="majorHAnsi" w:cs="Times New Roman"/>
          <w:color w:val="000000"/>
          <w:kern w:val="0"/>
          <w:sz w:val="20"/>
          <w:szCs w:val="20"/>
          <w:lang w:eastAsia="en-GB"/>
          <w14:ligatures w14:val="none"/>
        </w:rPr>
      </w:pPr>
    </w:p>
    <w:p w14:paraId="0743E7A6" w14:textId="77777777" w:rsidR="003F4232" w:rsidRPr="00E02063" w:rsidRDefault="003F4232" w:rsidP="003F4232">
      <w:pPr>
        <w:spacing w:after="0" w:line="240" w:lineRule="auto"/>
        <w:jc w:val="both"/>
        <w:rPr>
          <w:rFonts w:asciiTheme="majorHAnsi" w:eastAsia="Times New Roman" w:hAnsiTheme="majorHAnsi" w:cs="Times New Roman"/>
          <w:b/>
          <w:bCs/>
          <w:color w:val="000000"/>
          <w:kern w:val="0"/>
          <w:sz w:val="20"/>
          <w:szCs w:val="20"/>
          <w:lang w:eastAsia="en-GB"/>
          <w14:ligatures w14:val="none"/>
        </w:rPr>
      </w:pPr>
      <w:r w:rsidRPr="00E02063">
        <w:rPr>
          <w:rFonts w:asciiTheme="majorHAnsi" w:eastAsia="Times New Roman" w:hAnsiTheme="majorHAnsi" w:cs="Times New Roman"/>
          <w:b/>
          <w:bCs/>
          <w:color w:val="000000"/>
          <w:kern w:val="0"/>
          <w:sz w:val="20"/>
          <w:szCs w:val="20"/>
          <w:lang w:eastAsia="en-GB"/>
          <w14:ligatures w14:val="none"/>
        </w:rPr>
        <w:t>Recognition and Compensation for Wrongful Convictions</w:t>
      </w:r>
    </w:p>
    <w:p w14:paraId="531A9209" w14:textId="77777777" w:rsidR="003F4232" w:rsidRPr="003F4232" w:rsidRDefault="003F4232" w:rsidP="003F4232">
      <w:pPr>
        <w:jc w:val="both"/>
        <w:rPr>
          <w:rFonts w:asciiTheme="majorHAnsi" w:eastAsia="Times New Roman" w:hAnsiTheme="majorHAnsi" w:cs="Times New Roman"/>
          <w:color w:val="000000"/>
          <w:kern w:val="0"/>
          <w:sz w:val="20"/>
          <w:szCs w:val="20"/>
          <w:lang w:eastAsia="en-GB"/>
          <w14:ligatures w14:val="none"/>
        </w:rPr>
      </w:pPr>
      <w:r w:rsidRPr="003F4232">
        <w:rPr>
          <w:rFonts w:asciiTheme="majorHAnsi" w:eastAsia="Times New Roman" w:hAnsiTheme="majorHAnsi" w:cs="Times New Roman"/>
          <w:color w:val="000000"/>
          <w:kern w:val="0"/>
          <w:sz w:val="20"/>
          <w:szCs w:val="20"/>
          <w:lang w:eastAsia="en-GB"/>
          <w14:ligatures w14:val="none"/>
        </w:rPr>
        <w:t xml:space="preserve">The 2013 Constitution of Vietnam stipulates: ‘A person who is illegally arrested, detained, imprisoned, investigated, prosecuted, tried or has his or her sentence executed has the right to compensation for the material and mental damages and to have his or her </w:t>
      </w:r>
      <w:proofErr w:type="spellStart"/>
      <w:r w:rsidRPr="003F4232">
        <w:rPr>
          <w:rFonts w:asciiTheme="majorHAnsi" w:eastAsia="Times New Roman" w:hAnsiTheme="majorHAnsi" w:cs="Times New Roman"/>
          <w:color w:val="000000"/>
          <w:kern w:val="0"/>
          <w:sz w:val="20"/>
          <w:szCs w:val="20"/>
          <w:lang w:eastAsia="en-GB"/>
          <w14:ligatures w14:val="none"/>
        </w:rPr>
        <w:t>honour</w:t>
      </w:r>
      <w:proofErr w:type="spellEnd"/>
      <w:r w:rsidRPr="003F4232">
        <w:rPr>
          <w:rFonts w:asciiTheme="majorHAnsi" w:eastAsia="Times New Roman" w:hAnsiTheme="majorHAnsi" w:cs="Times New Roman"/>
          <w:color w:val="000000"/>
          <w:kern w:val="0"/>
          <w:sz w:val="20"/>
          <w:szCs w:val="20"/>
          <w:lang w:eastAsia="en-GB"/>
          <w14:ligatures w14:val="none"/>
        </w:rPr>
        <w:t xml:space="preserve"> restored’ (Clause 5, Article 31).  </w:t>
      </w:r>
      <w:r w:rsidRPr="00E02063">
        <w:rPr>
          <w:rFonts w:asciiTheme="majorHAnsi" w:eastAsia="Times New Roman" w:hAnsiTheme="majorHAnsi" w:cs="Times New Roman"/>
          <w:color w:val="000000"/>
          <w:kern w:val="0"/>
          <w:sz w:val="20"/>
          <w:szCs w:val="20"/>
          <w:lang w:eastAsia="en-GB"/>
          <w14:ligatures w14:val="none"/>
        </w:rPr>
        <w:t xml:space="preserve">The Law on State Compensation Liability (2017) provides a legal framework for compensating wrongfully convicted individuals. </w:t>
      </w:r>
    </w:p>
    <w:p w14:paraId="3D614F18" w14:textId="77777777" w:rsidR="003F4232" w:rsidRPr="003F4232" w:rsidRDefault="003F4232" w:rsidP="003F4232">
      <w:pPr>
        <w:jc w:val="both"/>
        <w:rPr>
          <w:rFonts w:asciiTheme="majorHAnsi" w:eastAsia="Times New Roman" w:hAnsiTheme="majorHAnsi" w:cs="Times New Roman"/>
          <w:color w:val="000000"/>
          <w:kern w:val="0"/>
          <w:sz w:val="20"/>
          <w:szCs w:val="20"/>
          <w:lang w:eastAsia="en-GB"/>
          <w14:ligatures w14:val="none"/>
        </w:rPr>
      </w:pPr>
    </w:p>
    <w:p w14:paraId="59240DCE" w14:textId="77777777" w:rsidR="003F4232" w:rsidRPr="00E02063" w:rsidRDefault="003F4232" w:rsidP="003F4232">
      <w:pPr>
        <w:spacing w:after="0" w:line="240" w:lineRule="auto"/>
        <w:jc w:val="both"/>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However, the process is fraught with procedural complexity, limited transparency, and bureaucratic hurdles. Claimants must first obtain a formal declaration of innocence</w:t>
      </w:r>
      <w:r w:rsidRPr="003F4232">
        <w:rPr>
          <w:rFonts w:asciiTheme="majorHAnsi" w:eastAsia="Times New Roman" w:hAnsiTheme="majorHAnsi" w:cs="Times New Roman"/>
          <w:color w:val="000000"/>
          <w:kern w:val="0"/>
          <w:sz w:val="20"/>
          <w:szCs w:val="20"/>
          <w:lang w:eastAsia="en-GB"/>
          <w14:ligatures w14:val="none"/>
        </w:rPr>
        <w:t xml:space="preserve">, </w:t>
      </w:r>
      <w:r w:rsidRPr="00E02063">
        <w:rPr>
          <w:rFonts w:asciiTheme="majorHAnsi" w:eastAsia="Times New Roman" w:hAnsiTheme="majorHAnsi" w:cs="Times New Roman"/>
          <w:color w:val="000000"/>
          <w:kern w:val="0"/>
          <w:sz w:val="20"/>
          <w:szCs w:val="20"/>
          <w:lang w:eastAsia="en-GB"/>
          <w14:ligatures w14:val="none"/>
        </w:rPr>
        <w:t xml:space="preserve">no small feat in a system resistant to revisiting </w:t>
      </w:r>
      <w:proofErr w:type="gramStart"/>
      <w:r w:rsidRPr="003F4232">
        <w:rPr>
          <w:rFonts w:asciiTheme="majorHAnsi" w:eastAsia="Times New Roman" w:hAnsiTheme="majorHAnsi" w:cs="Times New Roman"/>
          <w:color w:val="000000"/>
          <w:kern w:val="0"/>
          <w:sz w:val="20"/>
          <w:szCs w:val="20"/>
          <w:lang w:eastAsia="en-GB"/>
          <w14:ligatures w14:val="none"/>
        </w:rPr>
        <w:t>convictions, and</w:t>
      </w:r>
      <w:proofErr w:type="gramEnd"/>
      <w:r w:rsidRPr="00E02063">
        <w:rPr>
          <w:rFonts w:asciiTheme="majorHAnsi" w:eastAsia="Times New Roman" w:hAnsiTheme="majorHAnsi" w:cs="Times New Roman"/>
          <w:color w:val="000000"/>
          <w:kern w:val="0"/>
          <w:sz w:val="20"/>
          <w:szCs w:val="20"/>
          <w:lang w:eastAsia="en-GB"/>
          <w14:ligatures w14:val="none"/>
        </w:rPr>
        <w:t xml:space="preserve"> pursue their claim within tight deadlines</w:t>
      </w:r>
      <w:r w:rsidRPr="003F4232">
        <w:rPr>
          <w:rFonts w:asciiTheme="majorHAnsi" w:eastAsia="Times New Roman" w:hAnsiTheme="majorHAnsi" w:cs="Times New Roman"/>
          <w:color w:val="000000"/>
          <w:kern w:val="0"/>
          <w:sz w:val="20"/>
          <w:szCs w:val="20"/>
          <w:lang w:eastAsia="en-GB"/>
          <w14:ligatures w14:val="none"/>
        </w:rPr>
        <w:t xml:space="preserve"> (Truc &amp; Hung, 2024).</w:t>
      </w:r>
      <w:r w:rsidRPr="00E02063">
        <w:rPr>
          <w:rFonts w:asciiTheme="majorHAnsi" w:eastAsia="Times New Roman" w:hAnsiTheme="majorHAnsi" w:cs="Times New Roman"/>
          <w:color w:val="000000"/>
          <w:kern w:val="0"/>
          <w:sz w:val="20"/>
          <w:szCs w:val="20"/>
          <w:lang w:eastAsia="en-GB"/>
          <w14:ligatures w14:val="none"/>
        </w:rPr>
        <w:t xml:space="preserve"> There are no clear standards for awarding damages, and successful claims remain rare. As a result, Vietnam falls short of its obligations under Article 14(6), which requires accessible and effective compensation mechanisms for miscarriages of justice.</w:t>
      </w:r>
    </w:p>
    <w:p w14:paraId="5732799E" w14:textId="77777777" w:rsidR="003F4232" w:rsidRPr="003F4232" w:rsidRDefault="003F4232" w:rsidP="003F4232">
      <w:pPr>
        <w:spacing w:line="240" w:lineRule="auto"/>
        <w:rPr>
          <w:rFonts w:asciiTheme="majorHAnsi" w:eastAsia="Times New Roman" w:hAnsiTheme="majorHAnsi" w:cs="Times New Roman"/>
          <w:b/>
          <w:bCs/>
          <w:color w:val="000000"/>
          <w:kern w:val="0"/>
          <w:sz w:val="20"/>
          <w:szCs w:val="20"/>
          <w:lang w:eastAsia="en-GB"/>
          <w14:ligatures w14:val="none"/>
        </w:rPr>
      </w:pPr>
    </w:p>
    <w:p w14:paraId="46707DD0" w14:textId="77777777" w:rsidR="003F4232" w:rsidRPr="00E02063" w:rsidRDefault="003F4232" w:rsidP="003F4232">
      <w:pPr>
        <w:spacing w:after="0" w:line="240" w:lineRule="auto"/>
        <w:rPr>
          <w:rFonts w:asciiTheme="majorHAnsi" w:eastAsia="Times New Roman" w:hAnsiTheme="majorHAnsi" w:cs="Times New Roman"/>
          <w:b/>
          <w:bCs/>
          <w:color w:val="000000"/>
          <w:kern w:val="0"/>
          <w:sz w:val="20"/>
          <w:szCs w:val="20"/>
          <w:lang w:eastAsia="en-GB"/>
          <w14:ligatures w14:val="none"/>
        </w:rPr>
      </w:pPr>
      <w:r w:rsidRPr="00E02063">
        <w:rPr>
          <w:rFonts w:asciiTheme="majorHAnsi" w:eastAsia="Times New Roman" w:hAnsiTheme="majorHAnsi" w:cs="Times New Roman"/>
          <w:b/>
          <w:bCs/>
          <w:color w:val="000000"/>
          <w:kern w:val="0"/>
          <w:sz w:val="20"/>
          <w:szCs w:val="20"/>
          <w:lang w:eastAsia="en-GB"/>
          <w14:ligatures w14:val="none"/>
        </w:rPr>
        <w:t>Recommendations</w:t>
      </w:r>
    </w:p>
    <w:p w14:paraId="64975F1D" w14:textId="77777777" w:rsidR="003F4232" w:rsidRPr="00E02063" w:rsidRDefault="003F4232" w:rsidP="003F4232">
      <w:pPr>
        <w:spacing w:after="0" w:line="240" w:lineRule="auto"/>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To strengthen its commitment to justice and human rights, Vietnam should:</w:t>
      </w:r>
    </w:p>
    <w:p w14:paraId="1E28D17A" w14:textId="77777777" w:rsidR="003F4232" w:rsidRPr="00E02063" w:rsidRDefault="003F4232" w:rsidP="003F4232">
      <w:pPr>
        <w:numPr>
          <w:ilvl w:val="0"/>
          <w:numId w:val="6"/>
        </w:numPr>
        <w:spacing w:after="0" w:line="240" w:lineRule="auto"/>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Abolish the death penalty, or at a minimum:</w:t>
      </w:r>
    </w:p>
    <w:p w14:paraId="1EF8E50D" w14:textId="77777777" w:rsidR="003F4232" w:rsidRPr="00E02063" w:rsidRDefault="003F4232" w:rsidP="003F4232">
      <w:pPr>
        <w:numPr>
          <w:ilvl w:val="1"/>
          <w:numId w:val="6"/>
        </w:numPr>
        <w:spacing w:after="0" w:line="240" w:lineRule="auto"/>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 xml:space="preserve">Reduce the number of applicable </w:t>
      </w:r>
      <w:proofErr w:type="gramStart"/>
      <w:r w:rsidRPr="00E02063">
        <w:rPr>
          <w:rFonts w:asciiTheme="majorHAnsi" w:eastAsia="Times New Roman" w:hAnsiTheme="majorHAnsi" w:cs="Times New Roman"/>
          <w:color w:val="000000"/>
          <w:kern w:val="0"/>
          <w:sz w:val="20"/>
          <w:szCs w:val="20"/>
          <w:lang w:eastAsia="en-GB"/>
          <w14:ligatures w14:val="none"/>
        </w:rPr>
        <w:t>crimes</w:t>
      </w:r>
      <w:r w:rsidRPr="003F4232">
        <w:rPr>
          <w:rFonts w:asciiTheme="majorHAnsi" w:eastAsia="Times New Roman" w:hAnsiTheme="majorHAnsi" w:cs="Times New Roman"/>
          <w:color w:val="000000"/>
          <w:kern w:val="0"/>
          <w:sz w:val="20"/>
          <w:szCs w:val="20"/>
          <w:lang w:eastAsia="en-GB"/>
          <w14:ligatures w14:val="none"/>
        </w:rPr>
        <w:t>;</w:t>
      </w:r>
      <w:proofErr w:type="gramEnd"/>
    </w:p>
    <w:p w14:paraId="4D77F23F" w14:textId="77777777" w:rsidR="003F4232" w:rsidRPr="00E02063" w:rsidRDefault="003F4232" w:rsidP="003F4232">
      <w:pPr>
        <w:numPr>
          <w:ilvl w:val="1"/>
          <w:numId w:val="6"/>
        </w:numPr>
        <w:spacing w:after="0" w:line="240" w:lineRule="auto"/>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 xml:space="preserve">Extend the seven-day appeal window following a death </w:t>
      </w:r>
      <w:proofErr w:type="gramStart"/>
      <w:r w:rsidRPr="00E02063">
        <w:rPr>
          <w:rFonts w:asciiTheme="majorHAnsi" w:eastAsia="Times New Roman" w:hAnsiTheme="majorHAnsi" w:cs="Times New Roman"/>
          <w:color w:val="000000"/>
          <w:kern w:val="0"/>
          <w:sz w:val="20"/>
          <w:szCs w:val="20"/>
          <w:lang w:eastAsia="en-GB"/>
          <w14:ligatures w14:val="none"/>
        </w:rPr>
        <w:t>sentenc</w:t>
      </w:r>
      <w:r w:rsidRPr="003F4232">
        <w:rPr>
          <w:rFonts w:asciiTheme="majorHAnsi" w:eastAsia="Times New Roman" w:hAnsiTheme="majorHAnsi" w:cs="Times New Roman"/>
          <w:color w:val="000000"/>
          <w:kern w:val="0"/>
          <w:sz w:val="20"/>
          <w:szCs w:val="20"/>
          <w:lang w:eastAsia="en-GB"/>
          <w14:ligatures w14:val="none"/>
        </w:rPr>
        <w:t>e;</w:t>
      </w:r>
      <w:proofErr w:type="gramEnd"/>
    </w:p>
    <w:p w14:paraId="0D954284" w14:textId="77777777" w:rsidR="003F4232" w:rsidRPr="00E02063" w:rsidRDefault="003F4232" w:rsidP="003F4232">
      <w:pPr>
        <w:numPr>
          <w:ilvl w:val="1"/>
          <w:numId w:val="6"/>
        </w:numPr>
        <w:spacing w:after="0" w:line="240" w:lineRule="auto"/>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Establish judicial</w:t>
      </w:r>
      <w:r w:rsidRPr="003F4232">
        <w:rPr>
          <w:rFonts w:asciiTheme="majorHAnsi" w:eastAsia="Times New Roman" w:hAnsiTheme="majorHAnsi" w:cs="Times New Roman"/>
          <w:color w:val="000000"/>
          <w:kern w:val="0"/>
          <w:sz w:val="20"/>
          <w:szCs w:val="20"/>
          <w:lang w:eastAsia="en-GB"/>
          <w14:ligatures w14:val="none"/>
        </w:rPr>
        <w:t xml:space="preserve">, </w:t>
      </w:r>
      <w:r w:rsidRPr="00E02063">
        <w:rPr>
          <w:rFonts w:asciiTheme="majorHAnsi" w:eastAsia="Times New Roman" w:hAnsiTheme="majorHAnsi" w:cs="Times New Roman"/>
          <w:color w:val="000000"/>
          <w:kern w:val="0"/>
          <w:sz w:val="20"/>
          <w:szCs w:val="20"/>
          <w:lang w:eastAsia="en-GB"/>
          <w14:ligatures w14:val="none"/>
        </w:rPr>
        <w:t>not political</w:t>
      </w:r>
      <w:r w:rsidRPr="003F4232">
        <w:rPr>
          <w:rFonts w:asciiTheme="majorHAnsi" w:eastAsia="Times New Roman" w:hAnsiTheme="majorHAnsi" w:cs="Times New Roman"/>
          <w:color w:val="000000"/>
          <w:kern w:val="0"/>
          <w:sz w:val="20"/>
          <w:szCs w:val="20"/>
          <w:lang w:eastAsia="en-GB"/>
          <w14:ligatures w14:val="none"/>
        </w:rPr>
        <w:t xml:space="preserve">, </w:t>
      </w:r>
      <w:r w:rsidRPr="00E02063">
        <w:rPr>
          <w:rFonts w:asciiTheme="majorHAnsi" w:eastAsia="Times New Roman" w:hAnsiTheme="majorHAnsi" w:cs="Times New Roman"/>
          <w:color w:val="000000"/>
          <w:kern w:val="0"/>
          <w:sz w:val="20"/>
          <w:szCs w:val="20"/>
          <w:lang w:eastAsia="en-GB"/>
          <w14:ligatures w14:val="none"/>
        </w:rPr>
        <w:t>review mechanisms for capital cases.</w:t>
      </w:r>
    </w:p>
    <w:p w14:paraId="32257D73" w14:textId="77777777" w:rsidR="003F4232" w:rsidRPr="00E02063" w:rsidRDefault="003F4232" w:rsidP="003F4232">
      <w:pPr>
        <w:numPr>
          <w:ilvl w:val="0"/>
          <w:numId w:val="6"/>
        </w:numPr>
        <w:spacing w:after="0" w:line="240" w:lineRule="auto"/>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Enhance access to legal aid by increasing the number of legal aid lawyers and ensuring equitable access across all regions.</w:t>
      </w:r>
    </w:p>
    <w:p w14:paraId="634A60CB" w14:textId="77777777" w:rsidR="003F4232" w:rsidRPr="00E02063" w:rsidRDefault="003F4232" w:rsidP="003F4232">
      <w:pPr>
        <w:numPr>
          <w:ilvl w:val="0"/>
          <w:numId w:val="6"/>
        </w:numPr>
        <w:spacing w:after="0" w:line="240" w:lineRule="auto"/>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Guarantee procedural safeguards, including:</w:t>
      </w:r>
    </w:p>
    <w:p w14:paraId="3770388B" w14:textId="77777777" w:rsidR="003F4232" w:rsidRPr="00E02063" w:rsidRDefault="003F4232" w:rsidP="003F4232">
      <w:pPr>
        <w:numPr>
          <w:ilvl w:val="1"/>
          <w:numId w:val="6"/>
        </w:numPr>
        <w:spacing w:after="0" w:line="240" w:lineRule="auto"/>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 xml:space="preserve">The right to post-conviction DNA </w:t>
      </w:r>
      <w:proofErr w:type="gramStart"/>
      <w:r w:rsidRPr="00E02063">
        <w:rPr>
          <w:rFonts w:asciiTheme="majorHAnsi" w:eastAsia="Times New Roman" w:hAnsiTheme="majorHAnsi" w:cs="Times New Roman"/>
          <w:color w:val="000000"/>
          <w:kern w:val="0"/>
          <w:sz w:val="20"/>
          <w:szCs w:val="20"/>
          <w:lang w:eastAsia="en-GB"/>
          <w14:ligatures w14:val="none"/>
        </w:rPr>
        <w:t>testing</w:t>
      </w:r>
      <w:r w:rsidRPr="003F4232">
        <w:rPr>
          <w:rFonts w:asciiTheme="majorHAnsi" w:eastAsia="Times New Roman" w:hAnsiTheme="majorHAnsi" w:cs="Times New Roman"/>
          <w:color w:val="000000"/>
          <w:kern w:val="0"/>
          <w:sz w:val="20"/>
          <w:szCs w:val="20"/>
          <w:lang w:eastAsia="en-GB"/>
          <w14:ligatures w14:val="none"/>
        </w:rPr>
        <w:t>;</w:t>
      </w:r>
      <w:proofErr w:type="gramEnd"/>
    </w:p>
    <w:p w14:paraId="6735FC71" w14:textId="77777777" w:rsidR="003F4232" w:rsidRPr="00E02063" w:rsidRDefault="003F4232" w:rsidP="003F4232">
      <w:pPr>
        <w:numPr>
          <w:ilvl w:val="1"/>
          <w:numId w:val="6"/>
        </w:numPr>
        <w:spacing w:after="0" w:line="240" w:lineRule="auto"/>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 xml:space="preserve">Mandatory disclosure of exculpatory </w:t>
      </w:r>
      <w:proofErr w:type="gramStart"/>
      <w:r w:rsidRPr="00E02063">
        <w:rPr>
          <w:rFonts w:asciiTheme="majorHAnsi" w:eastAsia="Times New Roman" w:hAnsiTheme="majorHAnsi" w:cs="Times New Roman"/>
          <w:color w:val="000000"/>
          <w:kern w:val="0"/>
          <w:sz w:val="20"/>
          <w:szCs w:val="20"/>
          <w:lang w:eastAsia="en-GB"/>
          <w14:ligatures w14:val="none"/>
        </w:rPr>
        <w:t>evidence;</w:t>
      </w:r>
      <w:proofErr w:type="gramEnd"/>
    </w:p>
    <w:p w14:paraId="1D2273FD" w14:textId="77777777" w:rsidR="003F4232" w:rsidRPr="00E02063" w:rsidRDefault="003F4232" w:rsidP="003F4232">
      <w:pPr>
        <w:numPr>
          <w:ilvl w:val="1"/>
          <w:numId w:val="6"/>
        </w:numPr>
        <w:spacing w:after="0" w:line="240" w:lineRule="auto"/>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 xml:space="preserve">Preservation of case evidence and recording of </w:t>
      </w:r>
      <w:proofErr w:type="gramStart"/>
      <w:r w:rsidRPr="00E02063">
        <w:rPr>
          <w:rFonts w:asciiTheme="majorHAnsi" w:eastAsia="Times New Roman" w:hAnsiTheme="majorHAnsi" w:cs="Times New Roman"/>
          <w:color w:val="000000"/>
          <w:kern w:val="0"/>
          <w:sz w:val="20"/>
          <w:szCs w:val="20"/>
          <w:lang w:eastAsia="en-GB"/>
          <w14:ligatures w14:val="none"/>
        </w:rPr>
        <w:t>interrogations;</w:t>
      </w:r>
      <w:proofErr w:type="gramEnd"/>
    </w:p>
    <w:p w14:paraId="4DC86AD4" w14:textId="77777777" w:rsidR="003F4232" w:rsidRPr="00E02063" w:rsidRDefault="003F4232" w:rsidP="003F4232">
      <w:pPr>
        <w:numPr>
          <w:ilvl w:val="1"/>
          <w:numId w:val="6"/>
        </w:numPr>
        <w:spacing w:after="0" w:line="240" w:lineRule="auto"/>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Independent oversight for misconduct and coercion.</w:t>
      </w:r>
    </w:p>
    <w:p w14:paraId="1CB73084" w14:textId="77777777" w:rsidR="003F4232" w:rsidRPr="00E02063" w:rsidRDefault="003F4232" w:rsidP="003F4232">
      <w:pPr>
        <w:numPr>
          <w:ilvl w:val="0"/>
          <w:numId w:val="6"/>
        </w:numPr>
        <w:spacing w:after="0" w:line="240" w:lineRule="auto"/>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Enact legal protections for children and vulnerable groups, moving beyond circulars to codified rights in law.</w:t>
      </w:r>
    </w:p>
    <w:p w14:paraId="3ACD0834" w14:textId="77777777" w:rsidR="003F4232" w:rsidRPr="00E02063" w:rsidRDefault="003F4232" w:rsidP="003F4232">
      <w:pPr>
        <w:numPr>
          <w:ilvl w:val="0"/>
          <w:numId w:val="6"/>
        </w:numPr>
        <w:spacing w:after="0" w:line="240" w:lineRule="auto"/>
        <w:rPr>
          <w:rFonts w:asciiTheme="majorHAnsi" w:eastAsia="Times New Roman" w:hAnsiTheme="majorHAnsi" w:cs="Times New Roman"/>
          <w:color w:val="000000"/>
          <w:kern w:val="0"/>
          <w:sz w:val="20"/>
          <w:szCs w:val="20"/>
          <w:lang w:eastAsia="en-GB"/>
          <w14:ligatures w14:val="none"/>
        </w:rPr>
      </w:pPr>
      <w:r w:rsidRPr="00E02063">
        <w:rPr>
          <w:rFonts w:asciiTheme="majorHAnsi" w:eastAsia="Times New Roman" w:hAnsiTheme="majorHAnsi" w:cs="Times New Roman"/>
          <w:color w:val="000000"/>
          <w:kern w:val="0"/>
          <w:sz w:val="20"/>
          <w:szCs w:val="20"/>
          <w:lang w:eastAsia="en-GB"/>
          <w14:ligatures w14:val="none"/>
        </w:rPr>
        <w:t>Reform and streamline the compensation process for wrongful convictions, ensuring it is accessible, timely, and fair.</w:t>
      </w:r>
    </w:p>
    <w:p w14:paraId="013A7243" w14:textId="77777777" w:rsidR="003F4232" w:rsidRPr="003F4232" w:rsidRDefault="003F4232" w:rsidP="003F4232">
      <w:pPr>
        <w:rPr>
          <w:rFonts w:asciiTheme="majorHAnsi" w:hAnsiTheme="majorHAnsi"/>
          <w:sz w:val="20"/>
          <w:szCs w:val="20"/>
        </w:rPr>
      </w:pPr>
    </w:p>
    <w:p w14:paraId="3A3E129D" w14:textId="77777777" w:rsidR="003F4232" w:rsidRPr="003F4232" w:rsidRDefault="003F4232" w:rsidP="003F4232">
      <w:pPr>
        <w:rPr>
          <w:rFonts w:asciiTheme="majorHAnsi" w:hAnsiTheme="majorHAnsi" w:cs="Times New Roman"/>
          <w:b/>
          <w:bCs/>
          <w:sz w:val="20"/>
          <w:szCs w:val="20"/>
        </w:rPr>
      </w:pPr>
      <w:r w:rsidRPr="003F4232">
        <w:rPr>
          <w:rFonts w:asciiTheme="majorHAnsi" w:hAnsiTheme="majorHAnsi" w:cs="Times New Roman"/>
          <w:b/>
          <w:bCs/>
          <w:sz w:val="20"/>
          <w:szCs w:val="20"/>
        </w:rPr>
        <w:t>References</w:t>
      </w:r>
    </w:p>
    <w:p w14:paraId="561F1960" w14:textId="77D0766E" w:rsidR="003F4232" w:rsidRPr="003F4232" w:rsidRDefault="003F4232" w:rsidP="003F4232">
      <w:pPr>
        <w:jc w:val="both"/>
        <w:rPr>
          <w:rFonts w:asciiTheme="majorHAnsi" w:hAnsiTheme="majorHAnsi" w:cs="Times New Roman"/>
          <w:sz w:val="20"/>
          <w:szCs w:val="20"/>
        </w:rPr>
      </w:pPr>
      <w:r w:rsidRPr="003F4232">
        <w:rPr>
          <w:rFonts w:asciiTheme="majorHAnsi" w:hAnsiTheme="majorHAnsi" w:cs="Times New Roman"/>
          <w:sz w:val="20"/>
          <w:szCs w:val="20"/>
        </w:rPr>
        <w:t xml:space="preserve">Lan Chi Le and Others (2022) ‘Understanding Causes for Wrongful Convictions in Vietnam: A View from the Top and the Bottom of the Iceberg’, </w:t>
      </w:r>
      <w:r w:rsidRPr="003F4232">
        <w:rPr>
          <w:rFonts w:asciiTheme="majorHAnsi" w:hAnsiTheme="majorHAnsi" w:cs="Times New Roman"/>
          <w:i/>
          <w:iCs/>
          <w:sz w:val="20"/>
          <w:szCs w:val="20"/>
        </w:rPr>
        <w:t xml:space="preserve">Asian Journal of Criminology, </w:t>
      </w:r>
      <w:r w:rsidRPr="003F4232">
        <w:rPr>
          <w:rFonts w:asciiTheme="majorHAnsi" w:hAnsiTheme="majorHAnsi" w:cs="Times New Roman"/>
          <w:sz w:val="20"/>
          <w:szCs w:val="20"/>
        </w:rPr>
        <w:t xml:space="preserve">17(1), 55-73. </w:t>
      </w:r>
    </w:p>
    <w:p w14:paraId="021D6D97" w14:textId="77777777" w:rsidR="003F4232" w:rsidRPr="003F4232" w:rsidRDefault="003F4232" w:rsidP="003F4232">
      <w:pPr>
        <w:jc w:val="both"/>
        <w:rPr>
          <w:rFonts w:asciiTheme="majorHAnsi" w:hAnsiTheme="majorHAnsi" w:cs="Times New Roman"/>
          <w:i/>
          <w:iCs/>
          <w:sz w:val="20"/>
          <w:szCs w:val="20"/>
        </w:rPr>
      </w:pPr>
      <w:r w:rsidRPr="003F4232">
        <w:rPr>
          <w:rFonts w:asciiTheme="majorHAnsi" w:hAnsiTheme="majorHAnsi" w:cs="Times New Roman"/>
          <w:sz w:val="20"/>
          <w:szCs w:val="20"/>
        </w:rPr>
        <w:t xml:space="preserve">Huynh Trung Truc and </w:t>
      </w:r>
      <w:proofErr w:type="spellStart"/>
      <w:r w:rsidRPr="003F4232">
        <w:rPr>
          <w:rFonts w:asciiTheme="majorHAnsi" w:hAnsiTheme="majorHAnsi" w:cs="Times New Roman"/>
          <w:sz w:val="20"/>
          <w:szCs w:val="20"/>
        </w:rPr>
        <w:t>NguyenVinh</w:t>
      </w:r>
      <w:proofErr w:type="spellEnd"/>
      <w:r w:rsidRPr="003F4232">
        <w:rPr>
          <w:rFonts w:asciiTheme="majorHAnsi" w:hAnsiTheme="majorHAnsi" w:cs="Times New Roman"/>
          <w:sz w:val="20"/>
          <w:szCs w:val="20"/>
        </w:rPr>
        <w:t xml:space="preserve"> Hung (2024) ‘Implementing the Principle of Compensation for the Wrongfully Convicted Persons in Vietnamese Criminal Proceedings’, </w:t>
      </w:r>
      <w:r w:rsidRPr="003F4232">
        <w:rPr>
          <w:rFonts w:asciiTheme="majorHAnsi" w:hAnsiTheme="majorHAnsi" w:cs="Times New Roman"/>
          <w:i/>
          <w:iCs/>
          <w:sz w:val="20"/>
          <w:szCs w:val="20"/>
        </w:rPr>
        <w:t xml:space="preserve">American Journal of Science Education Research, </w:t>
      </w:r>
      <w:r w:rsidRPr="003F4232">
        <w:rPr>
          <w:rFonts w:asciiTheme="majorHAnsi" w:hAnsiTheme="majorHAnsi" w:cs="Times New Roman"/>
          <w:sz w:val="20"/>
          <w:szCs w:val="20"/>
        </w:rPr>
        <w:t xml:space="preserve">3(12), 1-7. </w:t>
      </w:r>
      <w:r w:rsidRPr="003F4232">
        <w:rPr>
          <w:rFonts w:asciiTheme="majorHAnsi" w:hAnsiTheme="majorHAnsi" w:cs="Times New Roman"/>
          <w:i/>
          <w:iCs/>
          <w:sz w:val="20"/>
          <w:szCs w:val="20"/>
        </w:rPr>
        <w:t xml:space="preserve"> </w:t>
      </w:r>
    </w:p>
    <w:p w14:paraId="3E01FB0B" w14:textId="77777777" w:rsidR="003F4232" w:rsidRDefault="003F4232" w:rsidP="003F4232">
      <w:pPr>
        <w:rPr>
          <w:i/>
          <w:iCs/>
        </w:rPr>
      </w:pPr>
    </w:p>
    <w:p w14:paraId="3B50A30F" w14:textId="77777777" w:rsidR="003F4232" w:rsidRDefault="003F4232" w:rsidP="003F4232">
      <w:pPr>
        <w:rPr>
          <w:i/>
          <w:iCs/>
        </w:rPr>
      </w:pPr>
    </w:p>
    <w:p w14:paraId="704F9922" w14:textId="77777777" w:rsidR="003F4232" w:rsidRDefault="003F4232" w:rsidP="003F4232">
      <w:pPr>
        <w:rPr>
          <w:i/>
          <w:iCs/>
        </w:rPr>
      </w:pPr>
    </w:p>
    <w:p w14:paraId="35498558" w14:textId="77777777" w:rsidR="003F4232" w:rsidRDefault="003F4232" w:rsidP="003F4232">
      <w:pPr>
        <w:rPr>
          <w:i/>
          <w:iCs/>
        </w:rPr>
      </w:pPr>
    </w:p>
    <w:p w14:paraId="57F76B6D" w14:textId="77777777" w:rsidR="003F4232" w:rsidRDefault="003F4232" w:rsidP="003F4232">
      <w:pPr>
        <w:rPr>
          <w:i/>
          <w:iCs/>
        </w:rPr>
      </w:pPr>
    </w:p>
    <w:p w14:paraId="5DDEE339" w14:textId="77777777" w:rsidR="003F4232" w:rsidRPr="00E02063" w:rsidRDefault="003F4232" w:rsidP="003F4232">
      <w:pPr>
        <w:rPr>
          <w:i/>
          <w:iCs/>
        </w:rPr>
      </w:pPr>
    </w:p>
    <w:p w14:paraId="59840A8E" w14:textId="3B9A751F" w:rsidR="003A19BF" w:rsidRPr="00C103D7" w:rsidRDefault="003A19BF" w:rsidP="003A19BF">
      <w:pPr>
        <w:spacing w:after="0" w:line="240" w:lineRule="auto"/>
        <w:rPr>
          <w:sz w:val="20"/>
          <w:szCs w:val="20"/>
        </w:rPr>
      </w:pPr>
      <w:r w:rsidRPr="00C103D7">
        <w:rPr>
          <w:sz w:val="20"/>
          <w:szCs w:val="20"/>
        </w:rPr>
        <w:t>This document created by the following members of the WCILTF:</w:t>
      </w:r>
    </w:p>
    <w:p w14:paraId="42C18F66" w14:textId="77777777" w:rsidR="003A19BF" w:rsidRPr="00C103D7" w:rsidRDefault="003A19BF" w:rsidP="003A19BF">
      <w:pPr>
        <w:spacing w:after="0" w:line="240" w:lineRule="auto"/>
        <w:rPr>
          <w:sz w:val="20"/>
          <w:szCs w:val="20"/>
        </w:rPr>
      </w:pPr>
    </w:p>
    <w:p w14:paraId="58C459AE" w14:textId="65F18FC9" w:rsidR="00A760D4" w:rsidRPr="00C103D7" w:rsidRDefault="003A19BF" w:rsidP="003A19BF">
      <w:pPr>
        <w:spacing w:after="0" w:line="240" w:lineRule="auto"/>
        <w:rPr>
          <w:sz w:val="20"/>
          <w:szCs w:val="20"/>
        </w:rPr>
      </w:pPr>
      <w:r w:rsidRPr="00C103D7">
        <w:rPr>
          <w:sz w:val="20"/>
          <w:szCs w:val="20"/>
        </w:rPr>
        <w:t>Rachel Lowe</w:t>
      </w:r>
      <w:r w:rsidR="00B70731">
        <w:rPr>
          <w:sz w:val="20"/>
          <w:szCs w:val="20"/>
        </w:rPr>
        <w:tab/>
      </w:r>
      <w:r w:rsidR="00B70731">
        <w:rPr>
          <w:sz w:val="20"/>
          <w:szCs w:val="20"/>
        </w:rPr>
        <w:tab/>
      </w:r>
      <w:r w:rsidR="00B70731">
        <w:rPr>
          <w:sz w:val="20"/>
          <w:szCs w:val="20"/>
        </w:rPr>
        <w:tab/>
      </w:r>
      <w:r w:rsidR="00B70731">
        <w:rPr>
          <w:sz w:val="20"/>
          <w:szCs w:val="20"/>
        </w:rPr>
        <w:tab/>
      </w:r>
      <w:r w:rsidR="00B70731">
        <w:rPr>
          <w:sz w:val="20"/>
          <w:szCs w:val="20"/>
        </w:rPr>
        <w:tab/>
      </w:r>
      <w:r w:rsidR="00B70731">
        <w:rPr>
          <w:sz w:val="20"/>
          <w:szCs w:val="20"/>
        </w:rPr>
        <w:tab/>
      </w:r>
      <w:r w:rsidR="003F4232">
        <w:rPr>
          <w:sz w:val="20"/>
          <w:szCs w:val="20"/>
        </w:rPr>
        <w:t>Nicola Campbell</w:t>
      </w:r>
      <w:r w:rsidR="008569E1">
        <w:rPr>
          <w:sz w:val="20"/>
          <w:szCs w:val="20"/>
        </w:rPr>
        <w:t xml:space="preserve"> </w:t>
      </w:r>
    </w:p>
    <w:p w14:paraId="12CFA987" w14:textId="22053E4C" w:rsidR="003A19BF" w:rsidRPr="00C103D7" w:rsidRDefault="003A19BF" w:rsidP="003A19BF">
      <w:pPr>
        <w:spacing w:after="0" w:line="240" w:lineRule="auto"/>
        <w:rPr>
          <w:sz w:val="20"/>
          <w:szCs w:val="20"/>
        </w:rPr>
      </w:pPr>
      <w:r w:rsidRPr="00C103D7">
        <w:rPr>
          <w:sz w:val="20"/>
          <w:szCs w:val="20"/>
        </w:rPr>
        <w:t>Special Regulatory Counsel</w:t>
      </w:r>
      <w:r w:rsidR="00B70731">
        <w:rPr>
          <w:sz w:val="20"/>
          <w:szCs w:val="20"/>
        </w:rPr>
        <w:tab/>
      </w:r>
      <w:r w:rsidR="00B70731">
        <w:rPr>
          <w:sz w:val="20"/>
          <w:szCs w:val="20"/>
        </w:rPr>
        <w:tab/>
      </w:r>
      <w:r w:rsidR="00B70731">
        <w:rPr>
          <w:sz w:val="20"/>
          <w:szCs w:val="20"/>
        </w:rPr>
        <w:tab/>
      </w:r>
      <w:r w:rsidR="00B70731">
        <w:rPr>
          <w:sz w:val="20"/>
          <w:szCs w:val="20"/>
        </w:rPr>
        <w:tab/>
      </w:r>
      <w:r w:rsidR="003F4232">
        <w:rPr>
          <w:sz w:val="20"/>
          <w:szCs w:val="20"/>
        </w:rPr>
        <w:t>Lecturer in Law</w:t>
      </w:r>
      <w:r w:rsidR="008569E1">
        <w:rPr>
          <w:sz w:val="20"/>
          <w:szCs w:val="20"/>
        </w:rPr>
        <w:t xml:space="preserve"> </w:t>
      </w:r>
    </w:p>
    <w:p w14:paraId="118D3D81" w14:textId="297B44A4" w:rsidR="00A760D4" w:rsidRPr="003F4232" w:rsidRDefault="00A760D4" w:rsidP="003A19BF">
      <w:pPr>
        <w:spacing w:after="0" w:line="240" w:lineRule="auto"/>
        <w:rPr>
          <w:sz w:val="20"/>
          <w:szCs w:val="20"/>
        </w:rPr>
      </w:pPr>
      <w:r w:rsidRPr="00C103D7">
        <w:rPr>
          <w:sz w:val="20"/>
          <w:szCs w:val="20"/>
        </w:rPr>
        <w:t>Proskauer</w:t>
      </w:r>
      <w:r w:rsidR="00B70731">
        <w:rPr>
          <w:sz w:val="20"/>
          <w:szCs w:val="20"/>
        </w:rPr>
        <w:tab/>
      </w:r>
      <w:r w:rsidR="00B70731">
        <w:rPr>
          <w:sz w:val="20"/>
          <w:szCs w:val="20"/>
        </w:rPr>
        <w:tab/>
      </w:r>
      <w:r w:rsidR="00B70731">
        <w:rPr>
          <w:sz w:val="20"/>
          <w:szCs w:val="20"/>
        </w:rPr>
        <w:tab/>
      </w:r>
      <w:r w:rsidR="00B70731">
        <w:rPr>
          <w:sz w:val="20"/>
          <w:szCs w:val="20"/>
        </w:rPr>
        <w:tab/>
      </w:r>
      <w:r w:rsidR="00B70731">
        <w:rPr>
          <w:sz w:val="20"/>
          <w:szCs w:val="20"/>
        </w:rPr>
        <w:tab/>
      </w:r>
      <w:r w:rsidR="00B70731">
        <w:rPr>
          <w:sz w:val="20"/>
          <w:szCs w:val="20"/>
        </w:rPr>
        <w:tab/>
      </w:r>
      <w:r w:rsidR="008569E1" w:rsidRPr="003F4232">
        <w:rPr>
          <w:sz w:val="20"/>
          <w:szCs w:val="20"/>
        </w:rPr>
        <w:t xml:space="preserve">University of </w:t>
      </w:r>
      <w:r w:rsidR="003F4232" w:rsidRPr="003F4232">
        <w:rPr>
          <w:sz w:val="20"/>
          <w:szCs w:val="20"/>
        </w:rPr>
        <w:t>Westminster</w:t>
      </w:r>
    </w:p>
    <w:p w14:paraId="43A74ECC" w14:textId="68491A05" w:rsidR="003A19BF" w:rsidRPr="003F4232" w:rsidRDefault="00C103D7" w:rsidP="008569E1">
      <w:pPr>
        <w:tabs>
          <w:tab w:val="left" w:pos="720"/>
          <w:tab w:val="left" w:pos="1440"/>
          <w:tab w:val="left" w:pos="2160"/>
          <w:tab w:val="left" w:pos="2880"/>
          <w:tab w:val="left" w:pos="3600"/>
          <w:tab w:val="left" w:pos="4320"/>
          <w:tab w:val="left" w:pos="5040"/>
          <w:tab w:val="left" w:pos="5445"/>
        </w:tabs>
        <w:spacing w:after="0" w:line="240" w:lineRule="auto"/>
        <w:rPr>
          <w:sz w:val="20"/>
          <w:szCs w:val="20"/>
        </w:rPr>
      </w:pPr>
      <w:hyperlink r:id="rId14" w:history="1">
        <w:r w:rsidRPr="003F4232">
          <w:rPr>
            <w:rStyle w:val="Hyperlink"/>
            <w:color w:val="4C94D8" w:themeColor="text2" w:themeTint="80"/>
            <w:sz w:val="20"/>
            <w:szCs w:val="20"/>
          </w:rPr>
          <w:t>rlowe@proskauer.com</w:t>
        </w:r>
      </w:hyperlink>
      <w:r w:rsidRPr="003F4232">
        <w:rPr>
          <w:color w:val="4C94D8" w:themeColor="text2" w:themeTint="80"/>
          <w:sz w:val="20"/>
          <w:szCs w:val="20"/>
        </w:rPr>
        <w:t xml:space="preserve"> </w:t>
      </w:r>
      <w:r w:rsidR="00B70731" w:rsidRPr="003F4232">
        <w:rPr>
          <w:color w:val="4C94D8" w:themeColor="text2" w:themeTint="80"/>
          <w:sz w:val="20"/>
          <w:szCs w:val="20"/>
        </w:rPr>
        <w:tab/>
      </w:r>
      <w:r w:rsidR="00B70731" w:rsidRPr="003F4232">
        <w:rPr>
          <w:color w:val="4C94D8" w:themeColor="text2" w:themeTint="80"/>
          <w:sz w:val="20"/>
          <w:szCs w:val="20"/>
        </w:rPr>
        <w:tab/>
      </w:r>
      <w:r w:rsidR="00B70731" w:rsidRPr="003F4232">
        <w:rPr>
          <w:color w:val="4C94D8" w:themeColor="text2" w:themeTint="80"/>
          <w:sz w:val="20"/>
          <w:szCs w:val="20"/>
        </w:rPr>
        <w:tab/>
      </w:r>
      <w:r w:rsidR="00B70731" w:rsidRPr="003F4232">
        <w:rPr>
          <w:color w:val="4C94D8" w:themeColor="text2" w:themeTint="80"/>
          <w:sz w:val="20"/>
          <w:szCs w:val="20"/>
        </w:rPr>
        <w:tab/>
      </w:r>
      <w:r w:rsidR="00B70731" w:rsidRPr="003F4232">
        <w:rPr>
          <w:color w:val="4C94D8" w:themeColor="text2" w:themeTint="80"/>
          <w:sz w:val="20"/>
          <w:szCs w:val="20"/>
        </w:rPr>
        <w:tab/>
      </w:r>
      <w:hyperlink r:id="rId15" w:history="1">
        <w:r w:rsidR="003F4232" w:rsidRPr="00D60337">
          <w:rPr>
            <w:rStyle w:val="Hyperlink"/>
            <w:sz w:val="20"/>
            <w:szCs w:val="20"/>
          </w:rPr>
          <w:t>n.campbell1@westminster.ac.uk</w:t>
        </w:r>
      </w:hyperlink>
      <w:r w:rsidR="003F4232">
        <w:rPr>
          <w:sz w:val="20"/>
          <w:szCs w:val="20"/>
        </w:rPr>
        <w:t xml:space="preserve"> </w:t>
      </w:r>
    </w:p>
    <w:p w14:paraId="4E1EF5CE" w14:textId="4AA1AA0B" w:rsidR="003A19BF" w:rsidRDefault="00B70731" w:rsidP="003A19BF">
      <w:pPr>
        <w:spacing w:after="0" w:line="240" w:lineRule="auto"/>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29F263DF" w14:textId="77777777" w:rsidR="00B70731" w:rsidRPr="00C103D7" w:rsidRDefault="00B70731" w:rsidP="003A19BF">
      <w:pPr>
        <w:spacing w:after="0" w:line="240" w:lineRule="auto"/>
        <w:rPr>
          <w:sz w:val="20"/>
          <w:szCs w:val="20"/>
        </w:rPr>
      </w:pPr>
    </w:p>
    <w:p w14:paraId="05AB769B" w14:textId="77777777" w:rsidR="002313BE" w:rsidRPr="00C103D7" w:rsidRDefault="00747EFE">
      <w:pPr>
        <w:rPr>
          <w:sz w:val="20"/>
          <w:szCs w:val="20"/>
        </w:rPr>
      </w:pPr>
      <w:r w:rsidRPr="00C103D7">
        <w:rPr>
          <w:sz w:val="20"/>
          <w:szCs w:val="20"/>
        </w:rPr>
        <w:t xml:space="preserve">To </w:t>
      </w:r>
      <w:r w:rsidR="00800BEC" w:rsidRPr="00C103D7">
        <w:rPr>
          <w:sz w:val="20"/>
          <w:szCs w:val="20"/>
        </w:rPr>
        <w:t>contact</w:t>
      </w:r>
      <w:r w:rsidRPr="00C103D7">
        <w:rPr>
          <w:sz w:val="20"/>
          <w:szCs w:val="20"/>
        </w:rPr>
        <w:t xml:space="preserve"> the WCILTF</w:t>
      </w:r>
      <w:r w:rsidR="00800BEC" w:rsidRPr="00C103D7">
        <w:rPr>
          <w:sz w:val="20"/>
          <w:szCs w:val="20"/>
        </w:rPr>
        <w:t xml:space="preserve"> generally</w:t>
      </w:r>
      <w:r w:rsidRPr="00C103D7">
        <w:rPr>
          <w:sz w:val="20"/>
          <w:szCs w:val="20"/>
        </w:rPr>
        <w:t>, please email:</w:t>
      </w:r>
    </w:p>
    <w:p w14:paraId="1DF1D6BA" w14:textId="4410BDF2" w:rsidR="000C5219" w:rsidRPr="00C103D7" w:rsidRDefault="00747EFE">
      <w:pPr>
        <w:rPr>
          <w:sz w:val="20"/>
          <w:szCs w:val="20"/>
        </w:rPr>
      </w:pPr>
      <w:r w:rsidRPr="00C103D7">
        <w:rPr>
          <w:sz w:val="20"/>
          <w:szCs w:val="20"/>
        </w:rPr>
        <w:t>Prof. dr. </w:t>
      </w:r>
      <w:proofErr w:type="spellStart"/>
      <w:r w:rsidRPr="00C103D7">
        <w:rPr>
          <w:sz w:val="20"/>
          <w:szCs w:val="20"/>
        </w:rPr>
        <w:t>mr.</w:t>
      </w:r>
      <w:proofErr w:type="spellEnd"/>
      <w:r w:rsidRPr="00C103D7">
        <w:rPr>
          <w:sz w:val="20"/>
          <w:szCs w:val="20"/>
        </w:rPr>
        <w:t> G.J. Alexander </w:t>
      </w:r>
      <w:proofErr w:type="spellStart"/>
      <w:r w:rsidRPr="00C103D7">
        <w:rPr>
          <w:sz w:val="20"/>
          <w:szCs w:val="20"/>
        </w:rPr>
        <w:t>Knoops</w:t>
      </w:r>
      <w:proofErr w:type="spellEnd"/>
      <w:r w:rsidRPr="00C103D7">
        <w:rPr>
          <w:sz w:val="20"/>
          <w:szCs w:val="20"/>
        </w:rPr>
        <w:t xml:space="preserve">.                           </w:t>
      </w:r>
      <w:r w:rsidRPr="00C103D7">
        <w:rPr>
          <w:sz w:val="20"/>
          <w:szCs w:val="20"/>
        </w:rPr>
        <w:tab/>
      </w:r>
      <w:r w:rsidR="00C103D7">
        <w:rPr>
          <w:sz w:val="20"/>
          <w:szCs w:val="20"/>
        </w:rPr>
        <w:tab/>
      </w:r>
      <w:r w:rsidRPr="00C103D7">
        <w:rPr>
          <w:sz w:val="20"/>
          <w:szCs w:val="20"/>
        </w:rPr>
        <w:t>Professor Mark Godsey</w:t>
      </w:r>
      <w:r w:rsidRPr="00C103D7">
        <w:rPr>
          <w:sz w:val="20"/>
          <w:szCs w:val="20"/>
        </w:rPr>
        <w:br/>
        <w:t>Advocaat/Attorney at law</w:t>
      </w:r>
      <w:r w:rsidRPr="00C103D7">
        <w:rPr>
          <w:sz w:val="20"/>
          <w:szCs w:val="20"/>
        </w:rPr>
        <w:tab/>
      </w:r>
      <w:r w:rsidRPr="00C103D7">
        <w:rPr>
          <w:sz w:val="20"/>
          <w:szCs w:val="20"/>
        </w:rPr>
        <w:tab/>
      </w:r>
      <w:r w:rsidRPr="00C103D7">
        <w:rPr>
          <w:sz w:val="20"/>
          <w:szCs w:val="20"/>
        </w:rPr>
        <w:tab/>
        <w:t xml:space="preserve">           </w:t>
      </w:r>
      <w:r w:rsidRPr="00C103D7">
        <w:rPr>
          <w:sz w:val="20"/>
          <w:szCs w:val="20"/>
        </w:rPr>
        <w:tab/>
      </w:r>
      <w:r w:rsidR="00C103D7">
        <w:rPr>
          <w:sz w:val="20"/>
          <w:szCs w:val="20"/>
        </w:rPr>
        <w:tab/>
      </w:r>
      <w:r w:rsidRPr="00C103D7">
        <w:rPr>
          <w:sz w:val="20"/>
          <w:szCs w:val="20"/>
        </w:rPr>
        <w:t>University of Cincinnati College of Law</w:t>
      </w:r>
      <w:r w:rsidRPr="00C103D7">
        <w:rPr>
          <w:sz w:val="20"/>
          <w:szCs w:val="20"/>
        </w:rPr>
        <w:br/>
        <w:t>Professor Politics of International Law</w:t>
      </w:r>
      <w:r w:rsidRPr="00C103D7">
        <w:rPr>
          <w:sz w:val="20"/>
          <w:szCs w:val="20"/>
        </w:rPr>
        <w:tab/>
        <w:t xml:space="preserve">           </w:t>
      </w:r>
      <w:r w:rsidRPr="00C103D7">
        <w:rPr>
          <w:sz w:val="20"/>
          <w:szCs w:val="20"/>
        </w:rPr>
        <w:tab/>
      </w:r>
      <w:r w:rsidR="00001975" w:rsidRPr="00C103D7">
        <w:rPr>
          <w:sz w:val="20"/>
          <w:szCs w:val="20"/>
        </w:rPr>
        <w:tab/>
      </w:r>
      <w:r w:rsidRPr="00C103D7">
        <w:rPr>
          <w:sz w:val="20"/>
          <w:szCs w:val="20"/>
        </w:rPr>
        <w:t>Director, Ohio Innocence Project</w:t>
      </w:r>
    </w:p>
    <w:p w14:paraId="61C75CCF" w14:textId="0A016157" w:rsidR="000C5219" w:rsidRPr="00C103D7" w:rsidRDefault="000C5219">
      <w:pPr>
        <w:rPr>
          <w:sz w:val="20"/>
          <w:szCs w:val="20"/>
        </w:rPr>
      </w:pPr>
      <w:hyperlink r:id="rId16" w:history="1">
        <w:r w:rsidRPr="00C103D7">
          <w:rPr>
            <w:rStyle w:val="Hyperlink"/>
            <w:color w:val="4C94D8" w:themeColor="text2" w:themeTint="80"/>
            <w:sz w:val="20"/>
            <w:szCs w:val="20"/>
          </w:rPr>
          <w:t>alex@knoopsadvocaten.nl</w:t>
        </w:r>
      </w:hyperlink>
      <w:r w:rsidRPr="00C103D7">
        <w:rPr>
          <w:sz w:val="20"/>
          <w:szCs w:val="20"/>
        </w:rPr>
        <w:tab/>
      </w:r>
      <w:r w:rsidRPr="00C103D7">
        <w:rPr>
          <w:sz w:val="20"/>
          <w:szCs w:val="20"/>
        </w:rPr>
        <w:tab/>
      </w:r>
      <w:r w:rsidRPr="00C103D7">
        <w:rPr>
          <w:sz w:val="20"/>
          <w:szCs w:val="20"/>
        </w:rPr>
        <w:tab/>
      </w:r>
      <w:r w:rsidRPr="00C103D7">
        <w:rPr>
          <w:sz w:val="20"/>
          <w:szCs w:val="20"/>
        </w:rPr>
        <w:tab/>
      </w:r>
      <w:hyperlink r:id="rId17" w:history="1">
        <w:r w:rsidR="00051994" w:rsidRPr="00C103D7">
          <w:rPr>
            <w:rStyle w:val="Hyperlink"/>
            <w:color w:val="4C94D8" w:themeColor="text2" w:themeTint="80"/>
            <w:sz w:val="20"/>
            <w:szCs w:val="20"/>
          </w:rPr>
          <w:t>markgodsey@gmail.com</w:t>
        </w:r>
      </w:hyperlink>
      <w:r w:rsidR="00051994" w:rsidRPr="00C103D7">
        <w:rPr>
          <w:color w:val="4C94D8" w:themeColor="text2" w:themeTint="80"/>
          <w:sz w:val="20"/>
          <w:szCs w:val="20"/>
        </w:rPr>
        <w:t xml:space="preserve"> </w:t>
      </w:r>
    </w:p>
    <w:p w14:paraId="384056BA" w14:textId="77777777" w:rsidR="000C5219" w:rsidRPr="00C103D7" w:rsidRDefault="000C5219">
      <w:pPr>
        <w:rPr>
          <w:sz w:val="20"/>
          <w:szCs w:val="20"/>
        </w:rPr>
      </w:pPr>
    </w:p>
    <w:sectPr w:rsidR="000C5219" w:rsidRPr="00C103D7" w:rsidSect="000C5219">
      <w:footerReference w:type="even" r:id="rId18"/>
      <w:footerReference w:type="default" r:id="rId19"/>
      <w:footerReference w:type="firs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F4830" w14:textId="77777777" w:rsidR="00C25C83" w:rsidRDefault="00C25C83">
      <w:pPr>
        <w:spacing w:after="0" w:line="240" w:lineRule="auto"/>
      </w:pPr>
      <w:r>
        <w:separator/>
      </w:r>
    </w:p>
  </w:endnote>
  <w:endnote w:type="continuationSeparator" w:id="0">
    <w:p w14:paraId="67021874" w14:textId="77777777" w:rsidR="00C25C83" w:rsidRDefault="00C25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7619746"/>
      <w:docPartObj>
        <w:docPartGallery w:val="Page Numbers (Bottom of Page)"/>
        <w:docPartUnique/>
      </w:docPartObj>
    </w:sdtPr>
    <w:sdtEndPr>
      <w:rPr>
        <w:rStyle w:val="PageNumber"/>
      </w:rPr>
    </w:sdtEndPr>
    <w:sdtContent>
      <w:p w14:paraId="00F6DF6E" w14:textId="77777777" w:rsidR="000C5219" w:rsidRDefault="00747EFE"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9E63270" w14:textId="77777777" w:rsidR="000C5219" w:rsidRDefault="000C5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8667112"/>
      <w:docPartObj>
        <w:docPartGallery w:val="Page Numbers (Bottom of Page)"/>
        <w:docPartUnique/>
      </w:docPartObj>
    </w:sdtPr>
    <w:sdtEndPr>
      <w:rPr>
        <w:rStyle w:val="PageNumber"/>
      </w:rPr>
    </w:sdtEndPr>
    <w:sdtContent>
      <w:p w14:paraId="705EE24F" w14:textId="77777777" w:rsidR="000C5219" w:rsidRDefault="00747EFE"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96723DC" w14:textId="77777777" w:rsidR="0075310F" w:rsidRDefault="0075310F">
    <w:pPr>
      <w:pStyle w:val="Footer"/>
    </w:pPr>
  </w:p>
  <w:p w14:paraId="031CF3F1" w14:textId="207F6C24" w:rsidR="008D1B03" w:rsidRPr="003F4232" w:rsidRDefault="0075310F" w:rsidP="0075310F">
    <w:pPr>
      <w:pStyle w:val="Footer"/>
      <w:rPr>
        <w:rFonts w:ascii="Arial" w:hAnsi="Arial" w:cs="Arial"/>
        <w:noProof/>
        <w:sz w:val="17"/>
      </w:rPr>
    </w:pPr>
    <w:r>
      <w:rPr>
        <w:rFonts w:ascii="Arial" w:hAnsi="Arial" w:cs="Arial"/>
        <w:sz w:val="17"/>
      </w:rPr>
      <w:fldChar w:fldCharType="begin"/>
    </w:r>
    <w:r>
      <w:rPr>
        <w:rFonts w:ascii="Arial" w:hAnsi="Arial" w:cs="Arial"/>
        <w:sz w:val="17"/>
      </w:rPr>
      <w:instrText xml:space="preserve"> </w:instrText>
    </w:r>
    <w:r w:rsidRPr="0075310F">
      <w:rPr>
        <w:rFonts w:ascii="Arial" w:hAnsi="Arial" w:cs="Arial"/>
        <w:sz w:val="17"/>
      </w:rPr>
      <w:instrText>IF "</w:instrText>
    </w:r>
    <w:r w:rsidRPr="0075310F">
      <w:rPr>
        <w:rFonts w:ascii="Arial" w:hAnsi="Arial" w:cs="Arial"/>
        <w:sz w:val="17"/>
      </w:rPr>
      <w:fldChar w:fldCharType="begin"/>
    </w:r>
    <w:r w:rsidRPr="0075310F">
      <w:rPr>
        <w:rFonts w:ascii="Arial" w:hAnsi="Arial" w:cs="Arial"/>
        <w:sz w:val="17"/>
      </w:rPr>
      <w:instrText xml:space="preserve"> DOCVARIABLE "SWDocIDLocation" </w:instrText>
    </w:r>
    <w:r w:rsidRPr="0075310F">
      <w:rPr>
        <w:rFonts w:ascii="Arial" w:hAnsi="Arial" w:cs="Arial"/>
        <w:sz w:val="17"/>
      </w:rPr>
      <w:fldChar w:fldCharType="separate"/>
    </w:r>
    <w:r w:rsidR="00A61A94">
      <w:rPr>
        <w:rFonts w:ascii="Arial" w:hAnsi="Arial" w:cs="Arial"/>
        <w:sz w:val="17"/>
      </w:rPr>
      <w:instrText>1</w:instrText>
    </w:r>
    <w:r w:rsidRPr="0075310F">
      <w:rPr>
        <w:rFonts w:ascii="Arial" w:hAnsi="Arial" w:cs="Arial"/>
        <w:sz w:val="17"/>
      </w:rPr>
      <w:fldChar w:fldCharType="end"/>
    </w:r>
    <w:r w:rsidRPr="0075310F">
      <w:rPr>
        <w:rFonts w:ascii="Arial" w:hAnsi="Arial" w:cs="Arial"/>
        <w:sz w:val="17"/>
      </w:rPr>
      <w:instrText>" = "1" "</w:instrText>
    </w:r>
    <w:r w:rsidRPr="0075310F">
      <w:rPr>
        <w:rFonts w:ascii="Arial" w:hAnsi="Arial" w:cs="Arial"/>
        <w:sz w:val="17"/>
      </w:rPr>
      <w:fldChar w:fldCharType="begin"/>
    </w:r>
    <w:r w:rsidRPr="0075310F">
      <w:rPr>
        <w:rFonts w:ascii="Arial" w:hAnsi="Arial" w:cs="Arial"/>
        <w:sz w:val="17"/>
      </w:rPr>
      <w:instrText xml:space="preserve"> DOCPROPERTY "SWDocID" </w:instrText>
    </w:r>
    <w:r w:rsidRPr="0075310F">
      <w:rPr>
        <w:rFonts w:ascii="Arial" w:hAnsi="Arial" w:cs="Arial"/>
        <w:sz w:val="17"/>
      </w:rPr>
      <w:fldChar w:fldCharType="separate"/>
    </w:r>
    <w:r w:rsidR="00A61A94">
      <w:rPr>
        <w:rFonts w:ascii="Arial" w:hAnsi="Arial" w:cs="Arial"/>
        <w:sz w:val="17"/>
      </w:rPr>
      <w:instrText>12047/90390-000 CURRENT/152234198v1</w:instrText>
    </w:r>
    <w:r w:rsidR="00A61A94">
      <w:rPr>
        <w:rFonts w:ascii="Arial" w:hAnsi="Arial" w:cs="Arial"/>
        <w:sz w:val="17"/>
      </w:rPr>
      <w:tab/>
    </w:r>
    <w:r w:rsidR="00A61A94">
      <w:rPr>
        <w:rFonts w:ascii="Arial" w:hAnsi="Arial" w:cs="Arial"/>
        <w:sz w:val="17"/>
      </w:rPr>
      <w:tab/>
      <w:instrText>04/11/2025 2:22 PM</w:instrText>
    </w:r>
    <w:r w:rsidRPr="0075310F">
      <w:rPr>
        <w:rFonts w:ascii="Arial" w:hAnsi="Arial" w:cs="Arial"/>
        <w:sz w:val="17"/>
      </w:rPr>
      <w:fldChar w:fldCharType="end"/>
    </w:r>
    <w:r w:rsidRPr="0075310F">
      <w:rPr>
        <w:rFonts w:ascii="Arial" w:hAnsi="Arial" w:cs="Arial"/>
        <w:sz w:val="17"/>
      </w:rPr>
      <w:instrText>" ""</w:instrText>
    </w:r>
    <w:r>
      <w:rPr>
        <w:rFonts w:ascii="Arial" w:hAnsi="Arial" w:cs="Arial"/>
        <w:sz w:val="17"/>
      </w:rPr>
      <w:instrText xml:space="preserve"> </w:instrText>
    </w:r>
    <w:r>
      <w:rPr>
        <w:rFonts w:ascii="Arial" w:hAnsi="Arial" w:cs="Arial"/>
        <w:sz w:val="17"/>
      </w:rPr>
      <w:fldChar w:fldCharType="separate"/>
    </w:r>
    <w:r w:rsidR="00A61A94">
      <w:rPr>
        <w:rFonts w:ascii="Arial" w:hAnsi="Arial" w:cs="Arial"/>
        <w:noProof/>
        <w:sz w:val="17"/>
      </w:rPr>
      <w:t>12047/90390-000 CURRENT/152234198v1</w:t>
    </w:r>
    <w:r w:rsidR="00A61A94">
      <w:rPr>
        <w:rFonts w:ascii="Arial" w:hAnsi="Arial" w:cs="Arial"/>
        <w:noProof/>
        <w:sz w:val="17"/>
      </w:rPr>
      <w:tab/>
    </w:r>
    <w:r w:rsidR="00A61A94">
      <w:rPr>
        <w:rFonts w:ascii="Arial" w:hAnsi="Arial" w:cs="Arial"/>
        <w:noProof/>
        <w:sz w:val="17"/>
      </w:rPr>
      <w:tab/>
      <w:t>0</w:t>
    </w:r>
    <w:r w:rsidR="003F4232">
      <w:rPr>
        <w:rFonts w:ascii="Arial" w:hAnsi="Arial" w:cs="Arial"/>
        <w:noProof/>
        <w:sz w:val="17"/>
      </w:rPr>
      <w:t>5</w:t>
    </w:r>
    <w:r w:rsidR="00A61A94">
      <w:rPr>
        <w:rFonts w:ascii="Arial" w:hAnsi="Arial" w:cs="Arial"/>
        <w:noProof/>
        <w:sz w:val="17"/>
      </w:rPr>
      <w:t>/</w:t>
    </w:r>
    <w:r w:rsidR="003F4232">
      <w:rPr>
        <w:rFonts w:ascii="Arial" w:hAnsi="Arial" w:cs="Arial"/>
        <w:noProof/>
        <w:sz w:val="17"/>
      </w:rPr>
      <w:t>31</w:t>
    </w:r>
    <w:r w:rsidR="00A61A94">
      <w:rPr>
        <w:rFonts w:ascii="Arial" w:hAnsi="Arial" w:cs="Arial"/>
        <w:noProof/>
        <w:sz w:val="17"/>
      </w:rPr>
      <w:t xml:space="preserve">/2025 </w:t>
    </w:r>
    <w:r w:rsidR="003F4232">
      <w:rPr>
        <w:rFonts w:ascii="Arial" w:hAnsi="Arial" w:cs="Arial"/>
        <w:noProof/>
        <w:sz w:val="17"/>
      </w:rPr>
      <w:t>09</w:t>
    </w:r>
    <w:r w:rsidR="00A61A94">
      <w:rPr>
        <w:rFonts w:ascii="Arial" w:hAnsi="Arial" w:cs="Arial"/>
        <w:noProof/>
        <w:sz w:val="17"/>
      </w:rPr>
      <w:t>:</w:t>
    </w:r>
    <w:r w:rsidR="003F4232">
      <w:rPr>
        <w:rFonts w:ascii="Arial" w:hAnsi="Arial" w:cs="Arial"/>
        <w:noProof/>
        <w:sz w:val="17"/>
      </w:rPr>
      <w:t>52</w:t>
    </w:r>
    <w:r w:rsidR="00A61A94">
      <w:rPr>
        <w:rFonts w:ascii="Arial" w:hAnsi="Arial" w:cs="Arial"/>
        <w:noProof/>
        <w:sz w:val="17"/>
      </w:rPr>
      <w:t xml:space="preserve"> PM</w:t>
    </w:r>
    <w:r>
      <w:rPr>
        <w:rFonts w:ascii="Arial" w:hAnsi="Arial" w:cs="Arial"/>
        <w:sz w:val="17"/>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7BB81" w14:textId="77777777" w:rsidR="008D1B03" w:rsidRDefault="008D1B03">
    <w:pPr>
      <w:pStyle w:val="Footer"/>
    </w:pPr>
  </w:p>
  <w:p w14:paraId="2F7FB3E7" w14:textId="6B6E4B7E" w:rsidR="0075310F" w:rsidRDefault="00747EFE" w:rsidP="008D1B03">
    <w:pPr>
      <w:pStyle w:val="Footer"/>
      <w:rPr>
        <w:rFonts w:ascii="Arial" w:hAnsi="Arial" w:cs="Arial"/>
        <w:sz w:val="17"/>
      </w:rPr>
    </w:pPr>
    <w:r>
      <w:rPr>
        <w:rFonts w:ascii="Arial" w:hAnsi="Arial" w:cs="Arial"/>
        <w:sz w:val="17"/>
      </w:rPr>
      <w:fldChar w:fldCharType="begin"/>
    </w:r>
    <w:r>
      <w:rPr>
        <w:rFonts w:ascii="Arial" w:hAnsi="Arial" w:cs="Arial"/>
        <w:sz w:val="17"/>
      </w:rPr>
      <w:instrText xml:space="preserve"> </w:instrText>
    </w:r>
    <w:r w:rsidRPr="008D1B03">
      <w:rPr>
        <w:rFonts w:ascii="Arial" w:hAnsi="Arial" w:cs="Arial"/>
        <w:sz w:val="17"/>
      </w:rPr>
      <w:instrText>IF "1" = "1" "11892/89999-588 CURRENT/149702064v2</w:instrText>
    </w:r>
    <w:r w:rsidRPr="008D1B03">
      <w:rPr>
        <w:rFonts w:ascii="Arial" w:hAnsi="Arial" w:cs="Arial"/>
        <w:sz w:val="17"/>
      </w:rPr>
      <w:tab/>
    </w:r>
    <w:r w:rsidRPr="008D1B03">
      <w:rPr>
        <w:rFonts w:ascii="Arial" w:hAnsi="Arial" w:cs="Arial"/>
        <w:sz w:val="17"/>
      </w:rPr>
      <w:tab/>
      <w:instrText>12/31/2024 3:22 PM" ""</w:instrText>
    </w:r>
    <w:r>
      <w:rPr>
        <w:rFonts w:ascii="Arial" w:hAnsi="Arial" w:cs="Arial"/>
        <w:sz w:val="17"/>
      </w:rPr>
      <w:instrText xml:space="preserve"> </w:instrText>
    </w:r>
    <w:r>
      <w:rPr>
        <w:rFonts w:ascii="Arial" w:hAnsi="Arial" w:cs="Arial"/>
        <w:sz w:val="17"/>
      </w:rPr>
      <w:fldChar w:fldCharType="separate"/>
    </w:r>
    <w:r w:rsidR="00994A12" w:rsidRPr="008D1B03">
      <w:rPr>
        <w:rFonts w:ascii="Arial" w:hAnsi="Arial" w:cs="Arial"/>
        <w:noProof/>
        <w:sz w:val="17"/>
      </w:rPr>
      <w:t>11892/89999-588 CURRENT/149702064v2</w:t>
    </w:r>
    <w:r w:rsidR="00994A12" w:rsidRPr="008D1B03">
      <w:rPr>
        <w:rFonts w:ascii="Arial" w:hAnsi="Arial" w:cs="Arial"/>
        <w:noProof/>
        <w:sz w:val="17"/>
      </w:rPr>
      <w:tab/>
    </w:r>
    <w:r w:rsidR="00994A12" w:rsidRPr="008D1B03">
      <w:rPr>
        <w:rFonts w:ascii="Arial" w:hAnsi="Arial" w:cs="Arial"/>
        <w:noProof/>
        <w:sz w:val="17"/>
      </w:rPr>
      <w:tab/>
      <w:t>12/31/2024 3:22 PM</w:t>
    </w:r>
    <w:r>
      <w:rPr>
        <w:rFonts w:ascii="Arial" w:hAnsi="Arial" w:cs="Arial"/>
        <w:sz w:val="17"/>
      </w:rPr>
      <w:fldChar w:fldCharType="end"/>
    </w:r>
  </w:p>
  <w:p w14:paraId="51210307" w14:textId="6BF3EB84" w:rsidR="008D1B03" w:rsidRDefault="0075310F" w:rsidP="0075310F">
    <w:pPr>
      <w:pStyle w:val="Footer"/>
    </w:pPr>
    <w:r>
      <w:rPr>
        <w:rFonts w:ascii="Arial" w:hAnsi="Arial" w:cs="Arial"/>
        <w:sz w:val="17"/>
      </w:rPr>
      <w:fldChar w:fldCharType="begin"/>
    </w:r>
    <w:r>
      <w:rPr>
        <w:rFonts w:ascii="Arial" w:hAnsi="Arial" w:cs="Arial"/>
        <w:sz w:val="17"/>
      </w:rPr>
      <w:instrText xml:space="preserve"> </w:instrText>
    </w:r>
    <w:r w:rsidRPr="0075310F">
      <w:rPr>
        <w:rFonts w:ascii="Arial" w:hAnsi="Arial" w:cs="Arial"/>
        <w:sz w:val="17"/>
      </w:rPr>
      <w:instrText>IF "</w:instrText>
    </w:r>
    <w:r w:rsidRPr="0075310F">
      <w:rPr>
        <w:rFonts w:ascii="Arial" w:hAnsi="Arial" w:cs="Arial"/>
        <w:sz w:val="17"/>
      </w:rPr>
      <w:fldChar w:fldCharType="begin"/>
    </w:r>
    <w:r w:rsidRPr="0075310F">
      <w:rPr>
        <w:rFonts w:ascii="Arial" w:hAnsi="Arial" w:cs="Arial"/>
        <w:sz w:val="17"/>
      </w:rPr>
      <w:instrText xml:space="preserve"> DOCVARIABLE "SWDocIDLocation" </w:instrText>
    </w:r>
    <w:r w:rsidRPr="0075310F">
      <w:rPr>
        <w:rFonts w:ascii="Arial" w:hAnsi="Arial" w:cs="Arial"/>
        <w:sz w:val="17"/>
      </w:rPr>
      <w:fldChar w:fldCharType="separate"/>
    </w:r>
    <w:r w:rsidR="00A61A94">
      <w:rPr>
        <w:rFonts w:ascii="Arial" w:hAnsi="Arial" w:cs="Arial"/>
        <w:sz w:val="17"/>
      </w:rPr>
      <w:instrText>1</w:instrText>
    </w:r>
    <w:r w:rsidRPr="0075310F">
      <w:rPr>
        <w:rFonts w:ascii="Arial" w:hAnsi="Arial" w:cs="Arial"/>
        <w:sz w:val="17"/>
      </w:rPr>
      <w:fldChar w:fldCharType="end"/>
    </w:r>
    <w:r w:rsidRPr="0075310F">
      <w:rPr>
        <w:rFonts w:ascii="Arial" w:hAnsi="Arial" w:cs="Arial"/>
        <w:sz w:val="17"/>
      </w:rPr>
      <w:instrText>" = "1" "</w:instrText>
    </w:r>
    <w:r w:rsidRPr="0075310F">
      <w:rPr>
        <w:rFonts w:ascii="Arial" w:hAnsi="Arial" w:cs="Arial"/>
        <w:sz w:val="17"/>
      </w:rPr>
      <w:fldChar w:fldCharType="begin"/>
    </w:r>
    <w:r w:rsidRPr="0075310F">
      <w:rPr>
        <w:rFonts w:ascii="Arial" w:hAnsi="Arial" w:cs="Arial"/>
        <w:sz w:val="17"/>
      </w:rPr>
      <w:instrText xml:space="preserve"> DOCPROPERTY "SWDocID" </w:instrText>
    </w:r>
    <w:r w:rsidRPr="0075310F">
      <w:rPr>
        <w:rFonts w:ascii="Arial" w:hAnsi="Arial" w:cs="Arial"/>
        <w:sz w:val="17"/>
      </w:rPr>
      <w:fldChar w:fldCharType="separate"/>
    </w:r>
    <w:r w:rsidR="00A61A94">
      <w:rPr>
        <w:rFonts w:ascii="Arial" w:hAnsi="Arial" w:cs="Arial"/>
        <w:sz w:val="17"/>
      </w:rPr>
      <w:instrText>12047/90390-000 CURRENT/152234198v1</w:instrText>
    </w:r>
    <w:r w:rsidR="00A61A94">
      <w:rPr>
        <w:rFonts w:ascii="Arial" w:hAnsi="Arial" w:cs="Arial"/>
        <w:sz w:val="17"/>
      </w:rPr>
      <w:tab/>
    </w:r>
    <w:r w:rsidR="00A61A94">
      <w:rPr>
        <w:rFonts w:ascii="Arial" w:hAnsi="Arial" w:cs="Arial"/>
        <w:sz w:val="17"/>
      </w:rPr>
      <w:tab/>
      <w:instrText>04/11/2025 2:22 PM</w:instrText>
    </w:r>
    <w:r w:rsidRPr="0075310F">
      <w:rPr>
        <w:rFonts w:ascii="Arial" w:hAnsi="Arial" w:cs="Arial"/>
        <w:sz w:val="17"/>
      </w:rPr>
      <w:fldChar w:fldCharType="end"/>
    </w:r>
    <w:r w:rsidRPr="0075310F">
      <w:rPr>
        <w:rFonts w:ascii="Arial" w:hAnsi="Arial" w:cs="Arial"/>
        <w:sz w:val="17"/>
      </w:rPr>
      <w:instrText>" ""</w:instrText>
    </w:r>
    <w:r>
      <w:rPr>
        <w:rFonts w:ascii="Arial" w:hAnsi="Arial" w:cs="Arial"/>
        <w:sz w:val="17"/>
      </w:rPr>
      <w:instrText xml:space="preserve"> </w:instrText>
    </w:r>
    <w:r>
      <w:rPr>
        <w:rFonts w:ascii="Arial" w:hAnsi="Arial" w:cs="Arial"/>
        <w:sz w:val="17"/>
      </w:rPr>
      <w:fldChar w:fldCharType="separate"/>
    </w:r>
    <w:r w:rsidR="00A61A94">
      <w:rPr>
        <w:rFonts w:ascii="Arial" w:hAnsi="Arial" w:cs="Arial"/>
        <w:noProof/>
        <w:sz w:val="17"/>
      </w:rPr>
      <w:t>12047/90390-000 CURRENT/152234198v1</w:t>
    </w:r>
    <w:r w:rsidR="00A61A94">
      <w:rPr>
        <w:rFonts w:ascii="Arial" w:hAnsi="Arial" w:cs="Arial"/>
        <w:noProof/>
        <w:sz w:val="17"/>
      </w:rPr>
      <w:tab/>
    </w:r>
    <w:r w:rsidR="00A61A94">
      <w:rPr>
        <w:rFonts w:ascii="Arial" w:hAnsi="Arial" w:cs="Arial"/>
        <w:noProof/>
        <w:sz w:val="17"/>
      </w:rPr>
      <w:tab/>
      <w:t>04/11/2025 2:22 PM</w:t>
    </w:r>
    <w:r>
      <w:rPr>
        <w:rFonts w:ascii="Arial" w:hAnsi="Arial" w:cs="Arial"/>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EB42D" w14:textId="77777777" w:rsidR="00C25C83" w:rsidRDefault="00C25C83">
      <w:pPr>
        <w:spacing w:after="0" w:line="240" w:lineRule="auto"/>
      </w:pPr>
      <w:r>
        <w:separator/>
      </w:r>
    </w:p>
  </w:footnote>
  <w:footnote w:type="continuationSeparator" w:id="0">
    <w:p w14:paraId="606510B7" w14:textId="77777777" w:rsidR="00C25C83" w:rsidRDefault="00C25C83">
      <w:pPr>
        <w:spacing w:after="0" w:line="240" w:lineRule="auto"/>
      </w:pPr>
      <w:r>
        <w:continuationSeparator/>
      </w:r>
    </w:p>
  </w:footnote>
  <w:footnote w:id="1">
    <w:p w14:paraId="6D08AFE2" w14:textId="77777777" w:rsidR="003F4232" w:rsidRPr="003F4232" w:rsidRDefault="003F4232" w:rsidP="003F4232">
      <w:pPr>
        <w:pStyle w:val="FootnoteText"/>
        <w:rPr>
          <w:rFonts w:asciiTheme="majorHAnsi" w:hAnsiTheme="majorHAnsi"/>
        </w:rPr>
      </w:pPr>
      <w:r w:rsidRPr="003F4232">
        <w:rPr>
          <w:rStyle w:val="FootnoteReference"/>
          <w:rFonts w:asciiTheme="majorHAnsi" w:hAnsiTheme="majorHAnsi"/>
        </w:rPr>
        <w:footnoteRef/>
      </w:r>
      <w:r w:rsidRPr="003F4232">
        <w:rPr>
          <w:rFonts w:asciiTheme="majorHAnsi" w:hAnsiTheme="majorHAnsi"/>
        </w:rPr>
        <w:t xml:space="preserve"> Nguyen Hong Ngoc Anh; Han Duc Long; Huynh Van Nen; Nguyen Thanh Chan.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05F8B"/>
    <w:multiLevelType w:val="hybridMultilevel"/>
    <w:tmpl w:val="BDDE6848"/>
    <w:lvl w:ilvl="0" w:tplc="8A3EE12E">
      <w:start w:val="1"/>
      <w:numFmt w:val="decimal"/>
      <w:lvlText w:val="%1."/>
      <w:lvlJc w:val="left"/>
      <w:pPr>
        <w:ind w:left="720" w:hanging="360"/>
      </w:pPr>
      <w:rPr>
        <w:rFonts w:hint="default"/>
      </w:rPr>
    </w:lvl>
    <w:lvl w:ilvl="1" w:tplc="46104A38" w:tentative="1">
      <w:start w:val="1"/>
      <w:numFmt w:val="lowerLetter"/>
      <w:lvlText w:val="%2."/>
      <w:lvlJc w:val="left"/>
      <w:pPr>
        <w:ind w:left="1440" w:hanging="360"/>
      </w:pPr>
    </w:lvl>
    <w:lvl w:ilvl="2" w:tplc="931ACA52" w:tentative="1">
      <w:start w:val="1"/>
      <w:numFmt w:val="lowerRoman"/>
      <w:lvlText w:val="%3."/>
      <w:lvlJc w:val="right"/>
      <w:pPr>
        <w:ind w:left="2160" w:hanging="180"/>
      </w:pPr>
    </w:lvl>
    <w:lvl w:ilvl="3" w:tplc="6720C4B0" w:tentative="1">
      <w:start w:val="1"/>
      <w:numFmt w:val="decimal"/>
      <w:lvlText w:val="%4."/>
      <w:lvlJc w:val="left"/>
      <w:pPr>
        <w:ind w:left="2880" w:hanging="360"/>
      </w:pPr>
    </w:lvl>
    <w:lvl w:ilvl="4" w:tplc="344A4382" w:tentative="1">
      <w:start w:val="1"/>
      <w:numFmt w:val="lowerLetter"/>
      <w:lvlText w:val="%5."/>
      <w:lvlJc w:val="left"/>
      <w:pPr>
        <w:ind w:left="3600" w:hanging="360"/>
      </w:pPr>
    </w:lvl>
    <w:lvl w:ilvl="5" w:tplc="1E2E29F6" w:tentative="1">
      <w:start w:val="1"/>
      <w:numFmt w:val="lowerRoman"/>
      <w:lvlText w:val="%6."/>
      <w:lvlJc w:val="right"/>
      <w:pPr>
        <w:ind w:left="4320" w:hanging="180"/>
      </w:pPr>
    </w:lvl>
    <w:lvl w:ilvl="6" w:tplc="1B3E76FE" w:tentative="1">
      <w:start w:val="1"/>
      <w:numFmt w:val="decimal"/>
      <w:lvlText w:val="%7."/>
      <w:lvlJc w:val="left"/>
      <w:pPr>
        <w:ind w:left="5040" w:hanging="360"/>
      </w:pPr>
    </w:lvl>
    <w:lvl w:ilvl="7" w:tplc="93629F30" w:tentative="1">
      <w:start w:val="1"/>
      <w:numFmt w:val="lowerLetter"/>
      <w:lvlText w:val="%8."/>
      <w:lvlJc w:val="left"/>
      <w:pPr>
        <w:ind w:left="5760" w:hanging="360"/>
      </w:pPr>
    </w:lvl>
    <w:lvl w:ilvl="8" w:tplc="748EE5E6" w:tentative="1">
      <w:start w:val="1"/>
      <w:numFmt w:val="lowerRoman"/>
      <w:lvlText w:val="%9."/>
      <w:lvlJc w:val="right"/>
      <w:pPr>
        <w:ind w:left="6480" w:hanging="180"/>
      </w:pPr>
    </w:lvl>
  </w:abstractNum>
  <w:abstractNum w:abstractNumId="1" w15:restartNumberingAfterBreak="0">
    <w:nsid w:val="292B1C72"/>
    <w:multiLevelType w:val="hybridMultilevel"/>
    <w:tmpl w:val="DE26E83A"/>
    <w:lvl w:ilvl="0" w:tplc="DDAEE502">
      <w:start w:val="1"/>
      <w:numFmt w:val="upperRoman"/>
      <w:lvlText w:val="%1."/>
      <w:lvlJc w:val="left"/>
      <w:pPr>
        <w:ind w:left="1080" w:hanging="720"/>
      </w:pPr>
      <w:rPr>
        <w:rFonts w:hint="default"/>
      </w:rPr>
    </w:lvl>
    <w:lvl w:ilvl="1" w:tplc="119AB7BA" w:tentative="1">
      <w:start w:val="1"/>
      <w:numFmt w:val="lowerLetter"/>
      <w:lvlText w:val="%2."/>
      <w:lvlJc w:val="left"/>
      <w:pPr>
        <w:ind w:left="1440" w:hanging="360"/>
      </w:pPr>
    </w:lvl>
    <w:lvl w:ilvl="2" w:tplc="0688E7BE" w:tentative="1">
      <w:start w:val="1"/>
      <w:numFmt w:val="lowerRoman"/>
      <w:lvlText w:val="%3."/>
      <w:lvlJc w:val="right"/>
      <w:pPr>
        <w:ind w:left="2160" w:hanging="180"/>
      </w:pPr>
    </w:lvl>
    <w:lvl w:ilvl="3" w:tplc="EEB06430" w:tentative="1">
      <w:start w:val="1"/>
      <w:numFmt w:val="decimal"/>
      <w:lvlText w:val="%4."/>
      <w:lvlJc w:val="left"/>
      <w:pPr>
        <w:ind w:left="2880" w:hanging="360"/>
      </w:pPr>
    </w:lvl>
    <w:lvl w:ilvl="4" w:tplc="0234FD9A" w:tentative="1">
      <w:start w:val="1"/>
      <w:numFmt w:val="lowerLetter"/>
      <w:lvlText w:val="%5."/>
      <w:lvlJc w:val="left"/>
      <w:pPr>
        <w:ind w:left="3600" w:hanging="360"/>
      </w:pPr>
    </w:lvl>
    <w:lvl w:ilvl="5" w:tplc="91EC8EE4" w:tentative="1">
      <w:start w:val="1"/>
      <w:numFmt w:val="lowerRoman"/>
      <w:lvlText w:val="%6."/>
      <w:lvlJc w:val="right"/>
      <w:pPr>
        <w:ind w:left="4320" w:hanging="180"/>
      </w:pPr>
    </w:lvl>
    <w:lvl w:ilvl="6" w:tplc="3D182704" w:tentative="1">
      <w:start w:val="1"/>
      <w:numFmt w:val="decimal"/>
      <w:lvlText w:val="%7."/>
      <w:lvlJc w:val="left"/>
      <w:pPr>
        <w:ind w:left="5040" w:hanging="360"/>
      </w:pPr>
    </w:lvl>
    <w:lvl w:ilvl="7" w:tplc="48346C60" w:tentative="1">
      <w:start w:val="1"/>
      <w:numFmt w:val="lowerLetter"/>
      <w:lvlText w:val="%8."/>
      <w:lvlJc w:val="left"/>
      <w:pPr>
        <w:ind w:left="5760" w:hanging="360"/>
      </w:pPr>
    </w:lvl>
    <w:lvl w:ilvl="8" w:tplc="12B2BA9C" w:tentative="1">
      <w:start w:val="1"/>
      <w:numFmt w:val="lowerRoman"/>
      <w:lvlText w:val="%9."/>
      <w:lvlJc w:val="right"/>
      <w:pPr>
        <w:ind w:left="6480" w:hanging="180"/>
      </w:pPr>
    </w:lvl>
  </w:abstractNum>
  <w:abstractNum w:abstractNumId="2" w15:restartNumberingAfterBreak="0">
    <w:nsid w:val="3037782B"/>
    <w:multiLevelType w:val="multilevel"/>
    <w:tmpl w:val="C3D8C3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1538FA"/>
    <w:multiLevelType w:val="hybridMultilevel"/>
    <w:tmpl w:val="DE6A0872"/>
    <w:lvl w:ilvl="0" w:tplc="DB760024">
      <w:start w:val="9"/>
      <w:numFmt w:val="bullet"/>
      <w:lvlText w:val="-"/>
      <w:lvlJc w:val="left"/>
      <w:pPr>
        <w:ind w:left="720" w:hanging="360"/>
      </w:pPr>
      <w:rPr>
        <w:rFonts w:ascii="Aptos" w:eastAsia="Times New Roman" w:hAnsi="Apto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970D53"/>
    <w:multiLevelType w:val="hybridMultilevel"/>
    <w:tmpl w:val="7F7C4738"/>
    <w:lvl w:ilvl="0" w:tplc="41F6F2D6">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3D041D"/>
    <w:multiLevelType w:val="hybridMultilevel"/>
    <w:tmpl w:val="F9B2E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A741D6"/>
    <w:multiLevelType w:val="hybridMultilevel"/>
    <w:tmpl w:val="10E4368E"/>
    <w:lvl w:ilvl="0" w:tplc="128856CC">
      <w:start w:val="1"/>
      <w:numFmt w:val="decimal"/>
      <w:lvlText w:val="%1."/>
      <w:lvlJc w:val="left"/>
      <w:pPr>
        <w:ind w:left="720" w:hanging="360"/>
      </w:pPr>
      <w:rPr>
        <w:rFonts w:hint="default"/>
      </w:rPr>
    </w:lvl>
    <w:lvl w:ilvl="1" w:tplc="4D588552">
      <w:start w:val="1"/>
      <w:numFmt w:val="lowerLetter"/>
      <w:lvlText w:val="%2."/>
      <w:lvlJc w:val="left"/>
      <w:pPr>
        <w:ind w:left="1440" w:hanging="360"/>
      </w:pPr>
    </w:lvl>
    <w:lvl w:ilvl="2" w:tplc="05D4DB5E">
      <w:start w:val="1"/>
      <w:numFmt w:val="lowerRoman"/>
      <w:lvlText w:val="%3."/>
      <w:lvlJc w:val="right"/>
      <w:pPr>
        <w:ind w:left="2160" w:hanging="180"/>
      </w:pPr>
    </w:lvl>
    <w:lvl w:ilvl="3" w:tplc="655E65CE" w:tentative="1">
      <w:start w:val="1"/>
      <w:numFmt w:val="decimal"/>
      <w:lvlText w:val="%4."/>
      <w:lvlJc w:val="left"/>
      <w:pPr>
        <w:ind w:left="2880" w:hanging="360"/>
      </w:pPr>
    </w:lvl>
    <w:lvl w:ilvl="4" w:tplc="1AA698A8" w:tentative="1">
      <w:start w:val="1"/>
      <w:numFmt w:val="lowerLetter"/>
      <w:lvlText w:val="%5."/>
      <w:lvlJc w:val="left"/>
      <w:pPr>
        <w:ind w:left="3600" w:hanging="360"/>
      </w:pPr>
    </w:lvl>
    <w:lvl w:ilvl="5" w:tplc="06ECDE0C" w:tentative="1">
      <w:start w:val="1"/>
      <w:numFmt w:val="lowerRoman"/>
      <w:lvlText w:val="%6."/>
      <w:lvlJc w:val="right"/>
      <w:pPr>
        <w:ind w:left="4320" w:hanging="180"/>
      </w:pPr>
    </w:lvl>
    <w:lvl w:ilvl="6" w:tplc="0BDEB7B2" w:tentative="1">
      <w:start w:val="1"/>
      <w:numFmt w:val="decimal"/>
      <w:lvlText w:val="%7."/>
      <w:lvlJc w:val="left"/>
      <w:pPr>
        <w:ind w:left="5040" w:hanging="360"/>
      </w:pPr>
    </w:lvl>
    <w:lvl w:ilvl="7" w:tplc="BFF2624C" w:tentative="1">
      <w:start w:val="1"/>
      <w:numFmt w:val="lowerLetter"/>
      <w:lvlText w:val="%8."/>
      <w:lvlJc w:val="left"/>
      <w:pPr>
        <w:ind w:left="5760" w:hanging="360"/>
      </w:pPr>
    </w:lvl>
    <w:lvl w:ilvl="8" w:tplc="52E47260" w:tentative="1">
      <w:start w:val="1"/>
      <w:numFmt w:val="lowerRoman"/>
      <w:lvlText w:val="%9."/>
      <w:lvlJc w:val="right"/>
      <w:pPr>
        <w:ind w:left="6480" w:hanging="180"/>
      </w:pPr>
    </w:lvl>
  </w:abstractNum>
  <w:num w:numId="1" w16cid:durableId="1605841250">
    <w:abstractNumId w:val="6"/>
  </w:num>
  <w:num w:numId="2" w16cid:durableId="592861222">
    <w:abstractNumId w:val="1"/>
  </w:num>
  <w:num w:numId="3" w16cid:durableId="2060782294">
    <w:abstractNumId w:val="0"/>
  </w:num>
  <w:num w:numId="4" w16cid:durableId="166527108">
    <w:abstractNumId w:val="3"/>
  </w:num>
  <w:num w:numId="5" w16cid:durableId="2104720057">
    <w:abstractNumId w:val="5"/>
  </w:num>
  <w:num w:numId="6" w16cid:durableId="1588421115">
    <w:abstractNumId w:val="2"/>
  </w:num>
  <w:num w:numId="7" w16cid:durableId="19878536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WDocIDLayout" w:val="10002"/>
    <w:docVar w:name="SWDocIDLocation" w:val="1"/>
  </w:docVars>
  <w:rsids>
    <w:rsidRoot w:val="002313BE"/>
    <w:rsid w:val="00001975"/>
    <w:rsid w:val="000276D8"/>
    <w:rsid w:val="00030E6C"/>
    <w:rsid w:val="00036C35"/>
    <w:rsid w:val="0004400C"/>
    <w:rsid w:val="00047674"/>
    <w:rsid w:val="00051994"/>
    <w:rsid w:val="000608DB"/>
    <w:rsid w:val="00067E96"/>
    <w:rsid w:val="00073D26"/>
    <w:rsid w:val="000928F0"/>
    <w:rsid w:val="00094054"/>
    <w:rsid w:val="00097E72"/>
    <w:rsid w:val="000B281E"/>
    <w:rsid w:val="000C3A5E"/>
    <w:rsid w:val="000C5219"/>
    <w:rsid w:val="000E5FD3"/>
    <w:rsid w:val="000F3986"/>
    <w:rsid w:val="00110325"/>
    <w:rsid w:val="001113EC"/>
    <w:rsid w:val="001144C6"/>
    <w:rsid w:val="00132B94"/>
    <w:rsid w:val="00134176"/>
    <w:rsid w:val="00136311"/>
    <w:rsid w:val="00162612"/>
    <w:rsid w:val="0017453F"/>
    <w:rsid w:val="00192567"/>
    <w:rsid w:val="001A43A6"/>
    <w:rsid w:val="001B29E4"/>
    <w:rsid w:val="001B4EAA"/>
    <w:rsid w:val="001C2CCB"/>
    <w:rsid w:val="001C2E2B"/>
    <w:rsid w:val="001C4D75"/>
    <w:rsid w:val="001D5481"/>
    <w:rsid w:val="001D5B55"/>
    <w:rsid w:val="00201457"/>
    <w:rsid w:val="002301C1"/>
    <w:rsid w:val="002313BE"/>
    <w:rsid w:val="00250EF2"/>
    <w:rsid w:val="00253A8E"/>
    <w:rsid w:val="00260B92"/>
    <w:rsid w:val="00270BBC"/>
    <w:rsid w:val="00284980"/>
    <w:rsid w:val="00286AC8"/>
    <w:rsid w:val="00294F83"/>
    <w:rsid w:val="002A29B2"/>
    <w:rsid w:val="002B0AF7"/>
    <w:rsid w:val="002B754C"/>
    <w:rsid w:val="002F5B5F"/>
    <w:rsid w:val="00331549"/>
    <w:rsid w:val="00352F69"/>
    <w:rsid w:val="003541BD"/>
    <w:rsid w:val="00355A58"/>
    <w:rsid w:val="00371179"/>
    <w:rsid w:val="0038332D"/>
    <w:rsid w:val="003836FA"/>
    <w:rsid w:val="00385645"/>
    <w:rsid w:val="003A19BF"/>
    <w:rsid w:val="003C49B6"/>
    <w:rsid w:val="003E1FB6"/>
    <w:rsid w:val="003F4232"/>
    <w:rsid w:val="004058D1"/>
    <w:rsid w:val="0040745F"/>
    <w:rsid w:val="00415BA4"/>
    <w:rsid w:val="00420568"/>
    <w:rsid w:val="00430D5C"/>
    <w:rsid w:val="004447EC"/>
    <w:rsid w:val="00446E61"/>
    <w:rsid w:val="0045094F"/>
    <w:rsid w:val="004772A6"/>
    <w:rsid w:val="004777D1"/>
    <w:rsid w:val="004D000A"/>
    <w:rsid w:val="004D227A"/>
    <w:rsid w:val="004D68AB"/>
    <w:rsid w:val="004E55CE"/>
    <w:rsid w:val="005036AB"/>
    <w:rsid w:val="00524A60"/>
    <w:rsid w:val="0052503A"/>
    <w:rsid w:val="00525E80"/>
    <w:rsid w:val="00530D8D"/>
    <w:rsid w:val="00537D7B"/>
    <w:rsid w:val="00552518"/>
    <w:rsid w:val="0055452B"/>
    <w:rsid w:val="005547E5"/>
    <w:rsid w:val="00575FD6"/>
    <w:rsid w:val="00577E95"/>
    <w:rsid w:val="005A5BCE"/>
    <w:rsid w:val="005A7FAA"/>
    <w:rsid w:val="005D1707"/>
    <w:rsid w:val="005D2359"/>
    <w:rsid w:val="005E2A9D"/>
    <w:rsid w:val="00611C62"/>
    <w:rsid w:val="00622D6E"/>
    <w:rsid w:val="00626DD3"/>
    <w:rsid w:val="00655B47"/>
    <w:rsid w:val="00671975"/>
    <w:rsid w:val="00676A70"/>
    <w:rsid w:val="006B012A"/>
    <w:rsid w:val="00744661"/>
    <w:rsid w:val="00747EFE"/>
    <w:rsid w:val="0075310F"/>
    <w:rsid w:val="00754C37"/>
    <w:rsid w:val="00771DF1"/>
    <w:rsid w:val="00775F2D"/>
    <w:rsid w:val="00780882"/>
    <w:rsid w:val="00791357"/>
    <w:rsid w:val="00797147"/>
    <w:rsid w:val="00797FDD"/>
    <w:rsid w:val="007C01D4"/>
    <w:rsid w:val="007C68B3"/>
    <w:rsid w:val="007D135E"/>
    <w:rsid w:val="007D3675"/>
    <w:rsid w:val="00800BEC"/>
    <w:rsid w:val="00801CC5"/>
    <w:rsid w:val="00806364"/>
    <w:rsid w:val="0081486A"/>
    <w:rsid w:val="0082104D"/>
    <w:rsid w:val="008321B4"/>
    <w:rsid w:val="00836E91"/>
    <w:rsid w:val="008447E6"/>
    <w:rsid w:val="008569E1"/>
    <w:rsid w:val="00857488"/>
    <w:rsid w:val="00857E7D"/>
    <w:rsid w:val="00860392"/>
    <w:rsid w:val="0088215E"/>
    <w:rsid w:val="00897D6D"/>
    <w:rsid w:val="008B1DE6"/>
    <w:rsid w:val="008B2B3D"/>
    <w:rsid w:val="008B7BF8"/>
    <w:rsid w:val="008B7EE3"/>
    <w:rsid w:val="008B7FA0"/>
    <w:rsid w:val="008D1B03"/>
    <w:rsid w:val="008D3130"/>
    <w:rsid w:val="008D7911"/>
    <w:rsid w:val="008F1B28"/>
    <w:rsid w:val="008F26A9"/>
    <w:rsid w:val="00906FE6"/>
    <w:rsid w:val="0093572A"/>
    <w:rsid w:val="00953087"/>
    <w:rsid w:val="009728B9"/>
    <w:rsid w:val="00986751"/>
    <w:rsid w:val="009926A0"/>
    <w:rsid w:val="00994A12"/>
    <w:rsid w:val="009B4CB2"/>
    <w:rsid w:val="009E7873"/>
    <w:rsid w:val="009F06D8"/>
    <w:rsid w:val="00A333B0"/>
    <w:rsid w:val="00A606CC"/>
    <w:rsid w:val="00A61A94"/>
    <w:rsid w:val="00A760D4"/>
    <w:rsid w:val="00A906D5"/>
    <w:rsid w:val="00AA1829"/>
    <w:rsid w:val="00B1654B"/>
    <w:rsid w:val="00B203E8"/>
    <w:rsid w:val="00B37214"/>
    <w:rsid w:val="00B40357"/>
    <w:rsid w:val="00B40CA4"/>
    <w:rsid w:val="00B41374"/>
    <w:rsid w:val="00B42F90"/>
    <w:rsid w:val="00B70731"/>
    <w:rsid w:val="00B807A1"/>
    <w:rsid w:val="00B90D4F"/>
    <w:rsid w:val="00BA5B95"/>
    <w:rsid w:val="00BB7E4E"/>
    <w:rsid w:val="00BC5953"/>
    <w:rsid w:val="00BC74E4"/>
    <w:rsid w:val="00BD66B2"/>
    <w:rsid w:val="00BD70CE"/>
    <w:rsid w:val="00BE027A"/>
    <w:rsid w:val="00BE62B9"/>
    <w:rsid w:val="00BE7311"/>
    <w:rsid w:val="00BF7A85"/>
    <w:rsid w:val="00C103D7"/>
    <w:rsid w:val="00C25C83"/>
    <w:rsid w:val="00C55963"/>
    <w:rsid w:val="00C8273B"/>
    <w:rsid w:val="00C907C0"/>
    <w:rsid w:val="00D1182C"/>
    <w:rsid w:val="00D20BCC"/>
    <w:rsid w:val="00D45F73"/>
    <w:rsid w:val="00D65DFC"/>
    <w:rsid w:val="00D6778E"/>
    <w:rsid w:val="00D77578"/>
    <w:rsid w:val="00D948BB"/>
    <w:rsid w:val="00DD36B5"/>
    <w:rsid w:val="00E02F59"/>
    <w:rsid w:val="00E05820"/>
    <w:rsid w:val="00E13C5C"/>
    <w:rsid w:val="00E459E2"/>
    <w:rsid w:val="00E61BAF"/>
    <w:rsid w:val="00E76A92"/>
    <w:rsid w:val="00EA1D11"/>
    <w:rsid w:val="00EA49D3"/>
    <w:rsid w:val="00EB0CCD"/>
    <w:rsid w:val="00EB1A14"/>
    <w:rsid w:val="00EC70B6"/>
    <w:rsid w:val="00EE574B"/>
    <w:rsid w:val="00EF5ACB"/>
    <w:rsid w:val="00F14C77"/>
    <w:rsid w:val="00F16460"/>
    <w:rsid w:val="00F25321"/>
    <w:rsid w:val="00F31528"/>
    <w:rsid w:val="00F502E3"/>
    <w:rsid w:val="00F576E0"/>
    <w:rsid w:val="00F720B5"/>
    <w:rsid w:val="00F82811"/>
    <w:rsid w:val="00F8632F"/>
    <w:rsid w:val="00F949D9"/>
    <w:rsid w:val="00FB3313"/>
    <w:rsid w:val="00FE272E"/>
    <w:rsid w:val="00FE40F3"/>
    <w:rsid w:val="00FE756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285B28"/>
  <w15:chartTrackingRefBased/>
  <w15:docId w15:val="{29F3DDB9-5823-CF40-BAD3-1F020D22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3BE"/>
    <w:rPr>
      <w:rFonts w:eastAsiaTheme="majorEastAsia" w:cstheme="majorBidi"/>
      <w:color w:val="272727" w:themeColor="text1" w:themeTint="D8"/>
    </w:rPr>
  </w:style>
  <w:style w:type="paragraph" w:styleId="Title">
    <w:name w:val="Title"/>
    <w:basedOn w:val="Normal"/>
    <w:next w:val="Normal"/>
    <w:link w:val="TitleChar"/>
    <w:uiPriority w:val="10"/>
    <w:qFormat/>
    <w:rsid w:val="00231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3BE"/>
    <w:pPr>
      <w:spacing w:before="160"/>
      <w:jc w:val="center"/>
    </w:pPr>
    <w:rPr>
      <w:i/>
      <w:iCs/>
      <w:color w:val="404040" w:themeColor="text1" w:themeTint="BF"/>
    </w:rPr>
  </w:style>
  <w:style w:type="character" w:customStyle="1" w:styleId="QuoteChar">
    <w:name w:val="Quote Char"/>
    <w:basedOn w:val="DefaultParagraphFont"/>
    <w:link w:val="Quote"/>
    <w:uiPriority w:val="29"/>
    <w:rsid w:val="002313BE"/>
    <w:rPr>
      <w:i/>
      <w:iCs/>
      <w:color w:val="404040" w:themeColor="text1" w:themeTint="BF"/>
    </w:rPr>
  </w:style>
  <w:style w:type="paragraph" w:styleId="ListParagraph">
    <w:name w:val="List Paragraph"/>
    <w:basedOn w:val="Normal"/>
    <w:uiPriority w:val="34"/>
    <w:qFormat/>
    <w:rsid w:val="002313BE"/>
    <w:pPr>
      <w:ind w:left="720"/>
      <w:contextualSpacing/>
    </w:pPr>
  </w:style>
  <w:style w:type="character" w:styleId="IntenseEmphasis">
    <w:name w:val="Intense Emphasis"/>
    <w:basedOn w:val="DefaultParagraphFont"/>
    <w:uiPriority w:val="21"/>
    <w:qFormat/>
    <w:rsid w:val="002313BE"/>
    <w:rPr>
      <w:i/>
      <w:iCs/>
      <w:color w:val="0F4761" w:themeColor="accent1" w:themeShade="BF"/>
    </w:rPr>
  </w:style>
  <w:style w:type="paragraph" w:styleId="IntenseQuote">
    <w:name w:val="Intense Quote"/>
    <w:basedOn w:val="Normal"/>
    <w:next w:val="Normal"/>
    <w:link w:val="IntenseQuoteChar"/>
    <w:uiPriority w:val="30"/>
    <w:qFormat/>
    <w:rsid w:val="00231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3BE"/>
    <w:rPr>
      <w:i/>
      <w:iCs/>
      <w:color w:val="0F4761" w:themeColor="accent1" w:themeShade="BF"/>
    </w:rPr>
  </w:style>
  <w:style w:type="character" w:styleId="IntenseReference">
    <w:name w:val="Intense Reference"/>
    <w:basedOn w:val="DefaultParagraphFont"/>
    <w:uiPriority w:val="32"/>
    <w:qFormat/>
    <w:rsid w:val="002313BE"/>
    <w:rPr>
      <w:b/>
      <w:bCs/>
      <w:smallCaps/>
      <w:color w:val="0F4761" w:themeColor="accent1" w:themeShade="BF"/>
      <w:spacing w:val="5"/>
    </w:rPr>
  </w:style>
  <w:style w:type="paragraph" w:styleId="Footer">
    <w:name w:val="footer"/>
    <w:basedOn w:val="Normal"/>
    <w:link w:val="FooterChar"/>
    <w:uiPriority w:val="99"/>
    <w:unhideWhenUsed/>
    <w:rsid w:val="000C5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219"/>
  </w:style>
  <w:style w:type="character" w:styleId="PageNumber">
    <w:name w:val="page number"/>
    <w:basedOn w:val="DefaultParagraphFont"/>
    <w:uiPriority w:val="99"/>
    <w:semiHidden/>
    <w:unhideWhenUsed/>
    <w:rsid w:val="000C5219"/>
  </w:style>
  <w:style w:type="character" w:styleId="Hyperlink">
    <w:name w:val="Hyperlink"/>
    <w:basedOn w:val="DefaultParagraphFont"/>
    <w:unhideWhenUsed/>
    <w:rsid w:val="000C5219"/>
    <w:rPr>
      <w:color w:val="467886" w:themeColor="hyperlink"/>
      <w:u w:val="single"/>
    </w:rPr>
  </w:style>
  <w:style w:type="character" w:styleId="UnresolvedMention">
    <w:name w:val="Unresolved Mention"/>
    <w:basedOn w:val="DefaultParagraphFont"/>
    <w:uiPriority w:val="99"/>
    <w:semiHidden/>
    <w:unhideWhenUsed/>
    <w:rsid w:val="000C5219"/>
    <w:rPr>
      <w:color w:val="605E5C"/>
      <w:shd w:val="clear" w:color="auto" w:fill="E1DFDD"/>
    </w:rPr>
  </w:style>
  <w:style w:type="paragraph" w:styleId="Header">
    <w:name w:val="header"/>
    <w:basedOn w:val="Normal"/>
    <w:link w:val="HeaderChar"/>
    <w:uiPriority w:val="99"/>
    <w:unhideWhenUsed/>
    <w:rsid w:val="008D1B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1B03"/>
  </w:style>
  <w:style w:type="character" w:styleId="CommentReference">
    <w:name w:val="annotation reference"/>
    <w:basedOn w:val="DefaultParagraphFont"/>
    <w:semiHidden/>
    <w:unhideWhenUsed/>
    <w:rsid w:val="00F502E3"/>
    <w:rPr>
      <w:sz w:val="16"/>
      <w:szCs w:val="16"/>
    </w:rPr>
  </w:style>
  <w:style w:type="paragraph" w:styleId="CommentText">
    <w:name w:val="annotation text"/>
    <w:basedOn w:val="Normal"/>
    <w:link w:val="CommentTextChar"/>
    <w:unhideWhenUsed/>
    <w:rsid w:val="00F502E3"/>
    <w:pPr>
      <w:spacing w:line="240" w:lineRule="auto"/>
    </w:pPr>
    <w:rPr>
      <w:sz w:val="20"/>
      <w:szCs w:val="20"/>
    </w:rPr>
  </w:style>
  <w:style w:type="character" w:customStyle="1" w:styleId="CommentTextChar">
    <w:name w:val="Comment Text Char"/>
    <w:basedOn w:val="DefaultParagraphFont"/>
    <w:link w:val="CommentText"/>
    <w:rsid w:val="00F502E3"/>
    <w:rPr>
      <w:sz w:val="20"/>
      <w:szCs w:val="20"/>
    </w:rPr>
  </w:style>
  <w:style w:type="paragraph" w:styleId="CommentSubject">
    <w:name w:val="annotation subject"/>
    <w:basedOn w:val="CommentText"/>
    <w:next w:val="CommentText"/>
    <w:link w:val="CommentSubjectChar"/>
    <w:uiPriority w:val="99"/>
    <w:semiHidden/>
    <w:unhideWhenUsed/>
    <w:rsid w:val="00F502E3"/>
    <w:rPr>
      <w:b/>
      <w:bCs/>
    </w:rPr>
  </w:style>
  <w:style w:type="character" w:customStyle="1" w:styleId="CommentSubjectChar">
    <w:name w:val="Comment Subject Char"/>
    <w:basedOn w:val="CommentTextChar"/>
    <w:link w:val="CommentSubject"/>
    <w:uiPriority w:val="99"/>
    <w:semiHidden/>
    <w:rsid w:val="00F502E3"/>
    <w:rPr>
      <w:b/>
      <w:bCs/>
      <w:sz w:val="20"/>
      <w:szCs w:val="20"/>
    </w:rPr>
  </w:style>
  <w:style w:type="paragraph" w:styleId="BodyText">
    <w:name w:val="Body Text"/>
    <w:basedOn w:val="Normal"/>
    <w:link w:val="BodyTextChar"/>
    <w:rsid w:val="00094054"/>
    <w:pPr>
      <w:spacing w:after="240" w:line="240" w:lineRule="auto"/>
      <w:jc w:val="both"/>
    </w:pPr>
    <w:rPr>
      <w:rFonts w:ascii="Times New Roman" w:eastAsia="Times New Roman" w:hAnsi="Times New Roman" w:cs="Times New Roman"/>
      <w:kern w:val="0"/>
      <w:sz w:val="22"/>
      <w:szCs w:val="20"/>
      <w14:ligatures w14:val="none"/>
    </w:rPr>
  </w:style>
  <w:style w:type="character" w:customStyle="1" w:styleId="BodyTextChar">
    <w:name w:val="Body Text Char"/>
    <w:basedOn w:val="DefaultParagraphFont"/>
    <w:link w:val="BodyText"/>
    <w:rsid w:val="00094054"/>
    <w:rPr>
      <w:rFonts w:ascii="Times New Roman" w:eastAsia="Times New Roman" w:hAnsi="Times New Roman" w:cs="Times New Roman"/>
      <w:kern w:val="0"/>
      <w:sz w:val="22"/>
      <w:szCs w:val="20"/>
      <w14:ligatures w14:val="none"/>
    </w:rPr>
  </w:style>
  <w:style w:type="paragraph" w:styleId="FootnoteText">
    <w:name w:val="footnote text"/>
    <w:basedOn w:val="Normal"/>
    <w:link w:val="FootnoteTextChar"/>
    <w:uiPriority w:val="99"/>
    <w:semiHidden/>
    <w:rsid w:val="00094054"/>
    <w:pPr>
      <w:spacing w:after="100" w:line="240" w:lineRule="auto"/>
      <w:ind w:left="360" w:hanging="360"/>
      <w:jc w:val="both"/>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semiHidden/>
    <w:rsid w:val="00094054"/>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rsid w:val="00094054"/>
    <w:rPr>
      <w:vertAlign w:val="superscript"/>
    </w:rPr>
  </w:style>
  <w:style w:type="character" w:styleId="FollowedHyperlink">
    <w:name w:val="FollowedHyperlink"/>
    <w:basedOn w:val="DefaultParagraphFont"/>
    <w:uiPriority w:val="99"/>
    <w:semiHidden/>
    <w:unhideWhenUsed/>
    <w:rsid w:val="006B012A"/>
    <w:rPr>
      <w:color w:val="96607D" w:themeColor="followedHyperlink"/>
      <w:u w:val="single"/>
    </w:rPr>
  </w:style>
  <w:style w:type="paragraph" w:styleId="Revision">
    <w:name w:val="Revision"/>
    <w:hidden/>
    <w:uiPriority w:val="99"/>
    <w:semiHidden/>
    <w:rsid w:val="00C8273B"/>
    <w:pPr>
      <w:spacing w:after="0" w:line="240" w:lineRule="auto"/>
    </w:pPr>
  </w:style>
  <w:style w:type="character" w:styleId="Strong">
    <w:name w:val="Strong"/>
    <w:basedOn w:val="DefaultParagraphFont"/>
    <w:uiPriority w:val="22"/>
    <w:qFormat/>
    <w:rsid w:val="0040745F"/>
    <w:rPr>
      <w:b/>
      <w:bCs/>
    </w:rPr>
  </w:style>
  <w:style w:type="character" w:customStyle="1" w:styleId="apple-converted-space">
    <w:name w:val="apple-converted-space"/>
    <w:basedOn w:val="DefaultParagraphFont"/>
    <w:rsid w:val="003F4232"/>
  </w:style>
  <w:style w:type="paragraph" w:customStyle="1" w:styleId="s12">
    <w:name w:val="s12"/>
    <w:basedOn w:val="Normal"/>
    <w:rsid w:val="003F4232"/>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s11">
    <w:name w:val="s11"/>
    <w:basedOn w:val="DefaultParagraphFont"/>
    <w:rsid w:val="003F4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815993">
      <w:bodyDiv w:val="1"/>
      <w:marLeft w:val="0"/>
      <w:marRight w:val="0"/>
      <w:marTop w:val="0"/>
      <w:marBottom w:val="0"/>
      <w:divBdr>
        <w:top w:val="none" w:sz="0" w:space="0" w:color="auto"/>
        <w:left w:val="none" w:sz="0" w:space="0" w:color="auto"/>
        <w:bottom w:val="none" w:sz="0" w:space="0" w:color="auto"/>
        <w:right w:val="none" w:sz="0" w:space="0" w:color="auto"/>
      </w:divBdr>
    </w:div>
    <w:div w:id="553810162">
      <w:bodyDiv w:val="1"/>
      <w:marLeft w:val="0"/>
      <w:marRight w:val="0"/>
      <w:marTop w:val="0"/>
      <w:marBottom w:val="0"/>
      <w:divBdr>
        <w:top w:val="none" w:sz="0" w:space="0" w:color="auto"/>
        <w:left w:val="none" w:sz="0" w:space="0" w:color="auto"/>
        <w:bottom w:val="none" w:sz="0" w:space="0" w:color="auto"/>
        <w:right w:val="none" w:sz="0" w:space="0" w:color="auto"/>
      </w:divBdr>
    </w:div>
    <w:div w:id="666136676">
      <w:bodyDiv w:val="1"/>
      <w:marLeft w:val="0"/>
      <w:marRight w:val="0"/>
      <w:marTop w:val="0"/>
      <w:marBottom w:val="0"/>
      <w:divBdr>
        <w:top w:val="none" w:sz="0" w:space="0" w:color="auto"/>
        <w:left w:val="none" w:sz="0" w:space="0" w:color="auto"/>
        <w:bottom w:val="none" w:sz="0" w:space="0" w:color="auto"/>
        <w:right w:val="none" w:sz="0" w:space="0" w:color="auto"/>
      </w:divBdr>
    </w:div>
    <w:div w:id="700864490">
      <w:bodyDiv w:val="1"/>
      <w:marLeft w:val="0"/>
      <w:marRight w:val="0"/>
      <w:marTop w:val="0"/>
      <w:marBottom w:val="0"/>
      <w:divBdr>
        <w:top w:val="none" w:sz="0" w:space="0" w:color="auto"/>
        <w:left w:val="none" w:sz="0" w:space="0" w:color="auto"/>
        <w:bottom w:val="none" w:sz="0" w:space="0" w:color="auto"/>
        <w:right w:val="none" w:sz="0" w:space="0" w:color="auto"/>
      </w:divBdr>
    </w:div>
    <w:div w:id="737553722">
      <w:bodyDiv w:val="1"/>
      <w:marLeft w:val="0"/>
      <w:marRight w:val="0"/>
      <w:marTop w:val="0"/>
      <w:marBottom w:val="0"/>
      <w:divBdr>
        <w:top w:val="none" w:sz="0" w:space="0" w:color="auto"/>
        <w:left w:val="none" w:sz="0" w:space="0" w:color="auto"/>
        <w:bottom w:val="none" w:sz="0" w:space="0" w:color="auto"/>
        <w:right w:val="none" w:sz="0" w:space="0" w:color="auto"/>
      </w:divBdr>
    </w:div>
    <w:div w:id="1008144042">
      <w:bodyDiv w:val="1"/>
      <w:marLeft w:val="0"/>
      <w:marRight w:val="0"/>
      <w:marTop w:val="0"/>
      <w:marBottom w:val="0"/>
      <w:divBdr>
        <w:top w:val="none" w:sz="0" w:space="0" w:color="auto"/>
        <w:left w:val="none" w:sz="0" w:space="0" w:color="auto"/>
        <w:bottom w:val="none" w:sz="0" w:space="0" w:color="auto"/>
        <w:right w:val="none" w:sz="0" w:space="0" w:color="auto"/>
      </w:divBdr>
    </w:div>
    <w:div w:id="1238398132">
      <w:bodyDiv w:val="1"/>
      <w:marLeft w:val="0"/>
      <w:marRight w:val="0"/>
      <w:marTop w:val="0"/>
      <w:marBottom w:val="0"/>
      <w:divBdr>
        <w:top w:val="none" w:sz="0" w:space="0" w:color="auto"/>
        <w:left w:val="none" w:sz="0" w:space="0" w:color="auto"/>
        <w:bottom w:val="none" w:sz="0" w:space="0" w:color="auto"/>
        <w:right w:val="none" w:sz="0" w:space="0" w:color="auto"/>
      </w:divBdr>
      <w:divsChild>
        <w:div w:id="1830440111">
          <w:marLeft w:val="0"/>
          <w:marRight w:val="0"/>
          <w:marTop w:val="0"/>
          <w:marBottom w:val="0"/>
          <w:divBdr>
            <w:top w:val="none" w:sz="0" w:space="0" w:color="auto"/>
            <w:left w:val="none" w:sz="0" w:space="0" w:color="auto"/>
            <w:bottom w:val="none" w:sz="0" w:space="0" w:color="auto"/>
            <w:right w:val="none" w:sz="0" w:space="0" w:color="auto"/>
          </w:divBdr>
        </w:div>
        <w:div w:id="1695765147">
          <w:marLeft w:val="0"/>
          <w:marRight w:val="0"/>
          <w:marTop w:val="0"/>
          <w:marBottom w:val="0"/>
          <w:divBdr>
            <w:top w:val="none" w:sz="0" w:space="0" w:color="auto"/>
            <w:left w:val="none" w:sz="0" w:space="0" w:color="auto"/>
            <w:bottom w:val="none" w:sz="0" w:space="0" w:color="auto"/>
            <w:right w:val="none" w:sz="0" w:space="0" w:color="auto"/>
          </w:divBdr>
        </w:div>
        <w:div w:id="736591112">
          <w:marLeft w:val="0"/>
          <w:marRight w:val="0"/>
          <w:marTop w:val="0"/>
          <w:marBottom w:val="0"/>
          <w:divBdr>
            <w:top w:val="none" w:sz="0" w:space="0" w:color="auto"/>
            <w:left w:val="none" w:sz="0" w:space="0" w:color="auto"/>
            <w:bottom w:val="none" w:sz="0" w:space="0" w:color="auto"/>
            <w:right w:val="none" w:sz="0" w:space="0" w:color="auto"/>
          </w:divBdr>
        </w:div>
        <w:div w:id="1259482314">
          <w:marLeft w:val="0"/>
          <w:marRight w:val="0"/>
          <w:marTop w:val="0"/>
          <w:marBottom w:val="0"/>
          <w:divBdr>
            <w:top w:val="none" w:sz="0" w:space="0" w:color="auto"/>
            <w:left w:val="none" w:sz="0" w:space="0" w:color="auto"/>
            <w:bottom w:val="none" w:sz="0" w:space="0" w:color="auto"/>
            <w:right w:val="none" w:sz="0" w:space="0" w:color="auto"/>
          </w:divBdr>
        </w:div>
      </w:divsChild>
    </w:div>
    <w:div w:id="1375813027">
      <w:bodyDiv w:val="1"/>
      <w:marLeft w:val="0"/>
      <w:marRight w:val="0"/>
      <w:marTop w:val="0"/>
      <w:marBottom w:val="0"/>
      <w:divBdr>
        <w:top w:val="none" w:sz="0" w:space="0" w:color="auto"/>
        <w:left w:val="none" w:sz="0" w:space="0" w:color="auto"/>
        <w:bottom w:val="none" w:sz="0" w:space="0" w:color="auto"/>
        <w:right w:val="none" w:sz="0" w:space="0" w:color="auto"/>
      </w:divBdr>
      <w:divsChild>
        <w:div w:id="1530222860">
          <w:marLeft w:val="0"/>
          <w:marRight w:val="0"/>
          <w:marTop w:val="0"/>
          <w:marBottom w:val="0"/>
          <w:divBdr>
            <w:top w:val="none" w:sz="0" w:space="0" w:color="auto"/>
            <w:left w:val="none" w:sz="0" w:space="0" w:color="auto"/>
            <w:bottom w:val="none" w:sz="0" w:space="0" w:color="auto"/>
            <w:right w:val="none" w:sz="0" w:space="0" w:color="auto"/>
          </w:divBdr>
          <w:divsChild>
            <w:div w:id="887229116">
              <w:marLeft w:val="0"/>
              <w:marRight w:val="0"/>
              <w:marTop w:val="0"/>
              <w:marBottom w:val="0"/>
              <w:divBdr>
                <w:top w:val="none" w:sz="0" w:space="0" w:color="auto"/>
                <w:left w:val="none" w:sz="0" w:space="0" w:color="auto"/>
                <w:bottom w:val="none" w:sz="0" w:space="0" w:color="auto"/>
                <w:right w:val="none" w:sz="0" w:space="0" w:color="auto"/>
              </w:divBdr>
              <w:divsChild>
                <w:div w:id="1301419771">
                  <w:marLeft w:val="0"/>
                  <w:marRight w:val="0"/>
                  <w:marTop w:val="0"/>
                  <w:marBottom w:val="0"/>
                  <w:divBdr>
                    <w:top w:val="none" w:sz="0" w:space="0" w:color="auto"/>
                    <w:left w:val="none" w:sz="0" w:space="0" w:color="auto"/>
                    <w:bottom w:val="none" w:sz="0" w:space="0" w:color="auto"/>
                    <w:right w:val="none" w:sz="0" w:space="0" w:color="auto"/>
                  </w:divBdr>
                  <w:divsChild>
                    <w:div w:id="156487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515170">
      <w:bodyDiv w:val="1"/>
      <w:marLeft w:val="0"/>
      <w:marRight w:val="0"/>
      <w:marTop w:val="0"/>
      <w:marBottom w:val="0"/>
      <w:divBdr>
        <w:top w:val="none" w:sz="0" w:space="0" w:color="auto"/>
        <w:left w:val="none" w:sz="0" w:space="0" w:color="auto"/>
        <w:bottom w:val="none" w:sz="0" w:space="0" w:color="auto"/>
        <w:right w:val="none" w:sz="0" w:space="0" w:color="auto"/>
      </w:divBdr>
    </w:div>
    <w:div w:id="1493793981">
      <w:bodyDiv w:val="1"/>
      <w:marLeft w:val="0"/>
      <w:marRight w:val="0"/>
      <w:marTop w:val="0"/>
      <w:marBottom w:val="0"/>
      <w:divBdr>
        <w:top w:val="none" w:sz="0" w:space="0" w:color="auto"/>
        <w:left w:val="none" w:sz="0" w:space="0" w:color="auto"/>
        <w:bottom w:val="none" w:sz="0" w:space="0" w:color="auto"/>
        <w:right w:val="none" w:sz="0" w:space="0" w:color="auto"/>
      </w:divBdr>
    </w:div>
    <w:div w:id="1673602701">
      <w:bodyDiv w:val="1"/>
      <w:marLeft w:val="0"/>
      <w:marRight w:val="0"/>
      <w:marTop w:val="0"/>
      <w:marBottom w:val="0"/>
      <w:divBdr>
        <w:top w:val="none" w:sz="0" w:space="0" w:color="auto"/>
        <w:left w:val="none" w:sz="0" w:space="0" w:color="auto"/>
        <w:bottom w:val="none" w:sz="0" w:space="0" w:color="auto"/>
        <w:right w:val="none" w:sz="0" w:space="0" w:color="auto"/>
      </w:divBdr>
      <w:divsChild>
        <w:div w:id="975140053">
          <w:marLeft w:val="0"/>
          <w:marRight w:val="0"/>
          <w:marTop w:val="0"/>
          <w:marBottom w:val="0"/>
          <w:divBdr>
            <w:top w:val="none" w:sz="0" w:space="0" w:color="auto"/>
            <w:left w:val="none" w:sz="0" w:space="0" w:color="auto"/>
            <w:bottom w:val="none" w:sz="0" w:space="0" w:color="auto"/>
            <w:right w:val="none" w:sz="0" w:space="0" w:color="auto"/>
          </w:divBdr>
        </w:div>
        <w:div w:id="760681755">
          <w:marLeft w:val="0"/>
          <w:marRight w:val="0"/>
          <w:marTop w:val="0"/>
          <w:marBottom w:val="0"/>
          <w:divBdr>
            <w:top w:val="none" w:sz="0" w:space="0" w:color="auto"/>
            <w:left w:val="none" w:sz="0" w:space="0" w:color="auto"/>
            <w:bottom w:val="none" w:sz="0" w:space="0" w:color="auto"/>
            <w:right w:val="none" w:sz="0" w:space="0" w:color="auto"/>
          </w:divBdr>
        </w:div>
        <w:div w:id="1248267525">
          <w:marLeft w:val="0"/>
          <w:marRight w:val="0"/>
          <w:marTop w:val="0"/>
          <w:marBottom w:val="0"/>
          <w:divBdr>
            <w:top w:val="none" w:sz="0" w:space="0" w:color="auto"/>
            <w:left w:val="none" w:sz="0" w:space="0" w:color="auto"/>
            <w:bottom w:val="none" w:sz="0" w:space="0" w:color="auto"/>
            <w:right w:val="none" w:sz="0" w:space="0" w:color="auto"/>
          </w:divBdr>
        </w:div>
        <w:div w:id="108359223">
          <w:marLeft w:val="0"/>
          <w:marRight w:val="0"/>
          <w:marTop w:val="0"/>
          <w:marBottom w:val="0"/>
          <w:divBdr>
            <w:top w:val="none" w:sz="0" w:space="0" w:color="auto"/>
            <w:left w:val="none" w:sz="0" w:space="0" w:color="auto"/>
            <w:bottom w:val="none" w:sz="0" w:space="0" w:color="auto"/>
            <w:right w:val="none" w:sz="0" w:space="0" w:color="auto"/>
          </w:divBdr>
        </w:div>
      </w:divsChild>
    </w:div>
    <w:div w:id="1798912310">
      <w:bodyDiv w:val="1"/>
      <w:marLeft w:val="0"/>
      <w:marRight w:val="0"/>
      <w:marTop w:val="0"/>
      <w:marBottom w:val="0"/>
      <w:divBdr>
        <w:top w:val="none" w:sz="0" w:space="0" w:color="auto"/>
        <w:left w:val="none" w:sz="0" w:space="0" w:color="auto"/>
        <w:bottom w:val="none" w:sz="0" w:space="0" w:color="auto"/>
        <w:right w:val="none" w:sz="0" w:space="0" w:color="auto"/>
      </w:divBdr>
    </w:div>
    <w:div w:id="1921669834">
      <w:bodyDiv w:val="1"/>
      <w:marLeft w:val="0"/>
      <w:marRight w:val="0"/>
      <w:marTop w:val="0"/>
      <w:marBottom w:val="0"/>
      <w:divBdr>
        <w:top w:val="none" w:sz="0" w:space="0" w:color="auto"/>
        <w:left w:val="none" w:sz="0" w:space="0" w:color="auto"/>
        <w:bottom w:val="none" w:sz="0" w:space="0" w:color="auto"/>
        <w:right w:val="none" w:sz="0" w:space="0" w:color="auto"/>
      </w:divBdr>
    </w:div>
    <w:div w:id="20361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apers.ssrn.com/sol3/papers.cfm?abstract_id=3803518"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youtu.be/jMATkuFaRU8?si=fO0wXGhPr-oCyhBA" TargetMode="External"/><Relationship Id="rId17" Type="http://schemas.openxmlformats.org/officeDocument/2006/relationships/hyperlink" Target="mailto:markgodsey@gmail.com" TargetMode="External"/><Relationship Id="rId2" Type="http://schemas.openxmlformats.org/officeDocument/2006/relationships/customXml" Target="../customXml/item2.xml"/><Relationship Id="rId16" Type="http://schemas.openxmlformats.org/officeDocument/2006/relationships/hyperlink" Target="mailto:alex@knoopsadvocaten.nl"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aw.umich.edu/special/exoneration/Pages/about.aspx%20" TargetMode="External"/><Relationship Id="rId5" Type="http://schemas.openxmlformats.org/officeDocument/2006/relationships/styles" Target="styles.xml"/><Relationship Id="rId15" Type="http://schemas.openxmlformats.org/officeDocument/2006/relationships/hyperlink" Target="mailto:n.campbell1@westminster.ac.uk"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rlowe@proskauer.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2025-06-03T23:00:50+00:00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5734BC-5ACB-4BA1-81E0-3277175301CD}">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s>
</ds:datastoreItem>
</file>

<file path=customXml/itemProps2.xml><?xml version="1.0" encoding="utf-8"?>
<ds:datastoreItem xmlns:ds="http://schemas.openxmlformats.org/officeDocument/2006/customXml" ds:itemID="{268291FA-E5F7-4B62-9D9F-CC020AB691C9}">
  <ds:schemaRefs>
    <ds:schemaRef ds:uri="http://schemas.microsoft.com/sharepoint/v3/contenttype/forms"/>
  </ds:schemaRefs>
</ds:datastoreItem>
</file>

<file path=customXml/itemProps3.xml><?xml version="1.0" encoding="utf-8"?>
<ds:datastoreItem xmlns:ds="http://schemas.openxmlformats.org/officeDocument/2006/customXml" ds:itemID="{5B62A571-2B74-451E-A9AE-91F0A67525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2511</Words>
  <Characters>14318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Lowe, Rachel E.</dc:creator>
  <cp:lastModifiedBy>Cherry Balmaceda</cp:lastModifiedBy>
  <cp:revision>3</cp:revision>
  <dcterms:created xsi:type="dcterms:W3CDTF">2025-06-02T19:56:00Z</dcterms:created>
  <dcterms:modified xsi:type="dcterms:W3CDTF">2025-06-04T12:33:00Z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WDocID">
    <vt:lpwstr>12047/90390-000 CURRENT/152234198v1		04/11/2025 2:22 PM</vt:lpwstr>
  </property>
  <property fmtid="{D5CDD505-2E9C-101B-9397-08002B2CF9AE}" pid="3" name="ContentTypeId">
    <vt:lpwstr>0x0101004100868408537B4FA2A9FA4AC7F0070F</vt:lpwstr>
  </property>
  <property fmtid="{D5CDD505-2E9C-101B-9397-08002B2CF9AE}" pid="4" name="MediaServiceImageTags">
    <vt:lpwstr/>
  </property>
</Properties>
</file>