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FA1B21" w14:textId="1C5EDE26" w:rsidR="00D66A2A" w:rsidRPr="00DD5AF0" w:rsidRDefault="00DD5AF0" w:rsidP="00DD5AF0">
      <w:pPr>
        <w:jc w:val="center"/>
        <w:rPr>
          <w:b/>
          <w:bCs/>
          <w:sz w:val="24"/>
          <w:szCs w:val="24"/>
        </w:rPr>
      </w:pPr>
      <w:r w:rsidRPr="00DD5AF0">
        <w:rPr>
          <w:b/>
          <w:bCs/>
          <w:sz w:val="24"/>
          <w:szCs w:val="24"/>
          <w:lang w:val="es-ES"/>
        </w:rPr>
        <w:t xml:space="preserve">Informe </w:t>
      </w:r>
      <w:r w:rsidRPr="00DD5AF0">
        <w:rPr>
          <w:b/>
          <w:bCs/>
          <w:sz w:val="24"/>
          <w:szCs w:val="24"/>
        </w:rPr>
        <w:t>Comité de Trabajadores Migrantes de la</w:t>
      </w:r>
      <w:r w:rsidR="006779A9">
        <w:rPr>
          <w:b/>
          <w:bCs/>
          <w:sz w:val="24"/>
          <w:szCs w:val="24"/>
        </w:rPr>
        <w:t xml:space="preserve">s Naciones Unidas </w:t>
      </w:r>
    </w:p>
    <w:p w14:paraId="1A665F8C" w14:textId="6295C435" w:rsidR="00DD5AF0" w:rsidRDefault="000A4927" w:rsidP="00DD5AF0">
      <w:pPr>
        <w:jc w:val="both"/>
        <w:rPr>
          <w:b/>
          <w:bCs/>
        </w:rPr>
      </w:pPr>
      <w:r>
        <w:rPr>
          <w:b/>
          <w:bCs/>
        </w:rPr>
        <w:t xml:space="preserve">1. </w:t>
      </w:r>
      <w:r w:rsidR="00362C9F">
        <w:rPr>
          <w:b/>
          <w:bCs/>
        </w:rPr>
        <w:t>Gestión</w:t>
      </w:r>
      <w:r w:rsidR="001004B8">
        <w:rPr>
          <w:b/>
          <w:bCs/>
        </w:rPr>
        <w:t xml:space="preserve"> de </w:t>
      </w:r>
      <w:r w:rsidR="00362C9F">
        <w:rPr>
          <w:b/>
          <w:bCs/>
        </w:rPr>
        <w:t xml:space="preserve">las </w:t>
      </w:r>
      <w:r w:rsidR="00DD5AF0">
        <w:rPr>
          <w:b/>
          <w:bCs/>
        </w:rPr>
        <w:t>Frontera</w:t>
      </w:r>
      <w:r w:rsidR="001004B8">
        <w:rPr>
          <w:b/>
          <w:bCs/>
        </w:rPr>
        <w:t>s</w:t>
      </w:r>
    </w:p>
    <w:p w14:paraId="470B0C5E" w14:textId="7540BFC9" w:rsidR="00DA1FAD" w:rsidRDefault="000A4927" w:rsidP="00DD5AF0">
      <w:pPr>
        <w:jc w:val="both"/>
      </w:pPr>
      <w:r>
        <w:t xml:space="preserve">El acceso al territorio se ha visto restringido por </w:t>
      </w:r>
      <w:r w:rsidR="00CB3010">
        <w:t>diversos factores. Por un lado, desde febrero del 2023</w:t>
      </w:r>
      <w:r>
        <w:t xml:space="preserve"> se dispuso</w:t>
      </w:r>
      <w:r w:rsidR="00DB689F">
        <w:t xml:space="preserve"> </w:t>
      </w:r>
      <w:r>
        <w:t xml:space="preserve">el resguardo de la frontera con las </w:t>
      </w:r>
      <w:r w:rsidR="008A3A6A">
        <w:t>F</w:t>
      </w:r>
      <w:r>
        <w:t xml:space="preserve">uerzas </w:t>
      </w:r>
      <w:r w:rsidR="008A3A6A">
        <w:t>A</w:t>
      </w:r>
      <w:r>
        <w:t>rmadas</w:t>
      </w:r>
      <w:r w:rsidR="00CB3010">
        <w:t xml:space="preserve"> en la frontera norte del país. A los militares se las ha</w:t>
      </w:r>
      <w:r w:rsidR="00F94526">
        <w:t xml:space="preserve"> otorga</w:t>
      </w:r>
      <w:r w:rsidR="00CB3010">
        <w:t>do</w:t>
      </w:r>
      <w:r>
        <w:t xml:space="preserve"> facultades de control</w:t>
      </w:r>
      <w:r w:rsidR="00CB3010">
        <w:t>,</w:t>
      </w:r>
      <w:r w:rsidR="00D94DE8">
        <w:t xml:space="preserve"> </w:t>
      </w:r>
      <w:r>
        <w:t>identificación</w:t>
      </w:r>
      <w:r w:rsidR="00D94DE8">
        <w:t xml:space="preserve">, </w:t>
      </w:r>
      <w:r w:rsidR="008A3A6A">
        <w:t xml:space="preserve">registro y </w:t>
      </w:r>
      <w:r w:rsidR="00D94DE8">
        <w:t>detención</w:t>
      </w:r>
      <w:r w:rsidR="008A3A6A">
        <w:t xml:space="preserve"> de </w:t>
      </w:r>
      <w:r>
        <w:t xml:space="preserve">las personas que intenten </w:t>
      </w:r>
      <w:r w:rsidR="00F94526">
        <w:t>ingresar</w:t>
      </w:r>
      <w:r>
        <w:t xml:space="preserve"> al territorio</w:t>
      </w:r>
      <w:r w:rsidR="008A3A6A">
        <w:t xml:space="preserve"> conforme lo establecido en los decretos </w:t>
      </w:r>
      <w:r w:rsidR="00CB3010">
        <w:t xml:space="preserve">habilitantes de esta </w:t>
      </w:r>
      <w:r w:rsidR="008A3A6A">
        <w:t>medida</w:t>
      </w:r>
      <w:r w:rsidR="00CB3010">
        <w:t>, lo que</w:t>
      </w:r>
      <w:r w:rsidR="008A3A6A">
        <w:t xml:space="preserve"> tiene como objetivo ejercer un control migratorio atendidas las características geográficas de las fronteras y el aumento de los índices de criminalidad en el área</w:t>
      </w:r>
      <w:r w:rsidR="00E644B4">
        <w:rPr>
          <w:rStyle w:val="FootnoteReference"/>
        </w:rPr>
        <w:footnoteReference w:id="1"/>
      </w:r>
      <w:r w:rsidR="00DB689F">
        <w:t xml:space="preserve">. </w:t>
      </w:r>
    </w:p>
    <w:p w14:paraId="77FEA78E" w14:textId="1255B919" w:rsidR="000A4927" w:rsidRDefault="00C45651" w:rsidP="00DD5AF0">
      <w:pPr>
        <w:jc w:val="both"/>
      </w:pPr>
      <w:r>
        <w:t>Si bien no es posible determinar el número de personas que han ingresado por paso no habilitado (IPNH)</w:t>
      </w:r>
      <w:r w:rsidR="00CB3010">
        <w:t xml:space="preserve"> ya que las cifras oficiales solo incluyen a las personas que se han auto denunciado o a las que policía o militares han podido identificar</w:t>
      </w:r>
      <w:r>
        <w:t>, se estima que e</w:t>
      </w:r>
      <w:r w:rsidR="00DA1FAD">
        <w:t xml:space="preserve">n el último tiempo </w:t>
      </w:r>
      <w:r w:rsidR="00BC7E66">
        <w:t xml:space="preserve">ha habido </w:t>
      </w:r>
      <w:r w:rsidR="00DA1FAD">
        <w:t xml:space="preserve">un </w:t>
      </w:r>
      <w:r w:rsidR="000A4927">
        <w:t xml:space="preserve">aumento de ingresos por </w:t>
      </w:r>
      <w:r w:rsidR="00DA1FAD">
        <w:t xml:space="preserve">vías irregulares </w:t>
      </w:r>
      <w:r w:rsidR="000A4927">
        <w:t>al país</w:t>
      </w:r>
      <w:r w:rsidR="00CB3010">
        <w:t>. Esta afirmación se funda</w:t>
      </w:r>
      <w:r w:rsidR="000A4927">
        <w:t xml:space="preserve"> </w:t>
      </w:r>
      <w:r>
        <w:t>en los registros administrativos que documentan las denuncias de ingreso por paso no habilitado y el número de declaraciones voluntarias de ingreso por paso no habilitado</w:t>
      </w:r>
      <w:r w:rsidR="00CB3010">
        <w:t xml:space="preserve"> hechas por personas extranjeras ante la policía de investigaciones</w:t>
      </w:r>
      <w:r>
        <w:t>.</w:t>
      </w:r>
      <w:r w:rsidR="00CB3010">
        <w:t xml:space="preserve"> De acuerdo a tales registros, </w:t>
      </w:r>
      <w:r w:rsidR="00DA1FAD">
        <w:t xml:space="preserve">en el último tiempo </w:t>
      </w:r>
      <w:r w:rsidR="00CB3010">
        <w:t xml:space="preserve">los ingresos por pasos no habilitados </w:t>
      </w:r>
      <w:r>
        <w:t>ha</w:t>
      </w:r>
      <w:r w:rsidR="00CB3010">
        <w:t>n</w:t>
      </w:r>
      <w:r>
        <w:t xml:space="preserve"> </w:t>
      </w:r>
      <w:r w:rsidR="00DA1FAD" w:rsidRPr="00DA1FAD">
        <w:rPr>
          <w:lang w:val="es"/>
        </w:rPr>
        <w:t xml:space="preserve">aumentado de </w:t>
      </w:r>
      <w:r w:rsidR="00DA1FAD" w:rsidRPr="00CB3010">
        <w:rPr>
          <w:b/>
          <w:bCs/>
          <w:lang w:val="es"/>
        </w:rPr>
        <w:t>16.848</w:t>
      </w:r>
      <w:r w:rsidR="00DA1FAD" w:rsidRPr="00DA1FAD">
        <w:rPr>
          <w:lang w:val="es"/>
        </w:rPr>
        <w:t xml:space="preserve"> casos registrados en el año 2020 a </w:t>
      </w:r>
      <w:r w:rsidR="00DA1FAD" w:rsidRPr="00CB3010">
        <w:rPr>
          <w:b/>
          <w:bCs/>
          <w:lang w:val="es"/>
        </w:rPr>
        <w:t>56.586</w:t>
      </w:r>
      <w:r w:rsidR="00DA1FAD" w:rsidRPr="00DA1FAD">
        <w:rPr>
          <w:lang w:val="es"/>
        </w:rPr>
        <w:t xml:space="preserve"> en el año 2021</w:t>
      </w:r>
      <w:r>
        <w:rPr>
          <w:lang w:val="es"/>
        </w:rPr>
        <w:t xml:space="preserve">, con una leve disminución a </w:t>
      </w:r>
      <w:r w:rsidRPr="00CB3010">
        <w:rPr>
          <w:b/>
          <w:bCs/>
          <w:lang w:val="es"/>
        </w:rPr>
        <w:t>53.875</w:t>
      </w:r>
      <w:r w:rsidR="00E15691">
        <w:rPr>
          <w:lang w:val="es"/>
        </w:rPr>
        <w:t xml:space="preserve"> </w:t>
      </w:r>
      <w:r>
        <w:rPr>
          <w:lang w:val="es"/>
        </w:rPr>
        <w:t>en 2022</w:t>
      </w:r>
      <w:r w:rsidR="00017EB2">
        <w:rPr>
          <w:lang w:val="es"/>
        </w:rPr>
        <w:t xml:space="preserve">. </w:t>
      </w:r>
      <w:r w:rsidR="00DA1FAD" w:rsidRPr="00DA1FAD">
        <w:rPr>
          <w:lang w:val="es"/>
        </w:rPr>
        <w:t>Analizando en detalle los flujos de ingreso por pasos no habilitados, las cuatro nacionalidades más prevalentes en los registros son Venezuela, Bolivia, Colombia y Haití, las cuales agrupan un 93% de los IPNH registrados entre 2019 y 2022</w:t>
      </w:r>
      <w:r w:rsidR="00D94DE8">
        <w:rPr>
          <w:rStyle w:val="FootnoteReference"/>
          <w:lang w:val="es"/>
        </w:rPr>
        <w:footnoteReference w:id="2"/>
      </w:r>
      <w:r w:rsidR="00D94DE8">
        <w:rPr>
          <w:lang w:val="es"/>
        </w:rPr>
        <w:t>.</w:t>
      </w:r>
    </w:p>
    <w:p w14:paraId="5532675F" w14:textId="048C2097" w:rsidR="00A13E02" w:rsidRDefault="00017EB2" w:rsidP="00A13E02">
      <w:pPr>
        <w:jc w:val="both"/>
      </w:pPr>
      <w:r>
        <w:t xml:space="preserve">Además de la presencia de Fuerzas Armadas en la frontera, otra medida para controlar el ingreso </w:t>
      </w:r>
      <w:r w:rsidR="00BE1C35">
        <w:t>al</w:t>
      </w:r>
      <w:r>
        <w:t xml:space="preserve"> país </w:t>
      </w:r>
      <w:r w:rsidR="007B502A">
        <w:t xml:space="preserve">son las reconducciones como un mecanismo de expulsión </w:t>
      </w:r>
      <w:r w:rsidR="00CB3010">
        <w:t xml:space="preserve">abreviada </w:t>
      </w:r>
      <w:r w:rsidR="007B502A">
        <w:t xml:space="preserve">en frontera </w:t>
      </w:r>
      <w:r w:rsidR="0065653B">
        <w:t>introducid</w:t>
      </w:r>
      <w:r w:rsidR="007B502A">
        <w:t>o</w:t>
      </w:r>
      <w:r w:rsidR="0065653B">
        <w:t xml:space="preserve"> en la nueva Ley de Migración y Extranjería</w:t>
      </w:r>
      <w:r w:rsidR="00CB3010">
        <w:t xml:space="preserve"> (Ley 21.325)</w:t>
      </w:r>
      <w:r w:rsidR="0065653B">
        <w:t xml:space="preserve"> </w:t>
      </w:r>
      <w:r w:rsidR="00CB3010">
        <w:t>qu</w:t>
      </w:r>
      <w:r w:rsidR="0065653B">
        <w:t>e implica el retorno de la persona al punto de ingreso en la frontera</w:t>
      </w:r>
      <w:r w:rsidR="0065653B">
        <w:rPr>
          <w:rStyle w:val="FootnoteReference"/>
        </w:rPr>
        <w:footnoteReference w:id="3"/>
      </w:r>
      <w:r w:rsidR="0065653B">
        <w:t xml:space="preserve">. </w:t>
      </w:r>
      <w:r w:rsidR="0062517C">
        <w:t>Tal medida, s</w:t>
      </w:r>
      <w:r w:rsidR="0062517C" w:rsidRPr="0062517C">
        <w:t xml:space="preserve">egún el artículo 131, </w:t>
      </w:r>
      <w:r w:rsidR="0062517C">
        <w:t>es aplicable a</w:t>
      </w:r>
      <w:r w:rsidR="0062517C" w:rsidRPr="0062517C">
        <w:t xml:space="preserve">l extranjero/a que ingrese al país mientras se encuentre vigente la resolución que ordenó su expulsión, abandono o prohibición de ingreso al territorio nacional será reembarcado de inmediato o devuelto a su país de origen o de procedencia en el más breve plazo y sin necesidad que se dicte una nueva resolución. </w:t>
      </w:r>
    </w:p>
    <w:p w14:paraId="75DECC66" w14:textId="0E57A8F1" w:rsidR="00DE440A" w:rsidRDefault="00274F31" w:rsidP="00A13E02">
      <w:pPr>
        <w:jc w:val="both"/>
      </w:pPr>
      <w:r>
        <w:t>Asimismo,</w:t>
      </w:r>
      <w:r w:rsidR="00D707AB">
        <w:t xml:space="preserve"> </w:t>
      </w:r>
      <w:r>
        <w:t xml:space="preserve">el extranjero que sea sorprendido intentando ingresar al territorio nacional eludiendo el control migratorio, ya sea por pasos habilitados o no </w:t>
      </w:r>
      <w:r w:rsidR="00D707AB">
        <w:t xml:space="preserve">o </w:t>
      </w:r>
      <w:r>
        <w:t xml:space="preserve">valiéndose de </w:t>
      </w:r>
      <w:r w:rsidR="00D707AB">
        <w:t>documentos falsificados</w:t>
      </w:r>
      <w:r>
        <w:t>, adulterados o expedidos a nombre de otra persona, previa acreditación de su identidad</w:t>
      </w:r>
      <w:r w:rsidR="007B502A" w:rsidRPr="007B502A">
        <w:t xml:space="preserve"> </w:t>
      </w:r>
      <w:r w:rsidR="007B502A">
        <w:t xml:space="preserve">será </w:t>
      </w:r>
      <w:r w:rsidR="007B502A">
        <w:lastRenderedPageBreak/>
        <w:t>inmediatamente reembarcado o reconducido a la frontera, según corresponda, debiendo en este último caso informar a la autoridad</w:t>
      </w:r>
      <w:r w:rsidR="00A13E02">
        <w:t xml:space="preserve"> contralora del país vecino colindante al paso fronterizo por el cual se intentó el ingreso y estableciéndose a su respecto una prohibición de ingreso provisoria de seis meses. Pese al establecimiento de esta nueva figura sancionatoria, ha sido muy difícil que tales reconducciones se concreten por falta de acuerdos con los países fronterizos </w:t>
      </w:r>
      <w:r w:rsidR="00436449">
        <w:t xml:space="preserve">como </w:t>
      </w:r>
      <w:r w:rsidR="00A13E02">
        <w:t>Perú y Bolivia.</w:t>
      </w:r>
    </w:p>
    <w:p w14:paraId="22E8A5CD" w14:textId="36348C13" w:rsidR="00F712C6" w:rsidRDefault="00F712C6" w:rsidP="00F712C6">
      <w:pPr>
        <w:jc w:val="both"/>
      </w:pPr>
      <w:r>
        <w:t xml:space="preserve">En estos procesos se contemplan ciertas garantías tales como </w:t>
      </w:r>
      <w:r w:rsidRPr="00F712C6">
        <w:t>1) Derecho a recurrir, pero solo desde el exterior; 2) Derecho a ser oído por la autoridad contralora previo a la ejecución de la medida; 3) Derecho a ser informado del procedimiento de reconducción o reembarco al que será sometido y los recursos procedentes contra el mismo; 4) Derecho a comunicarse con sus familiares que se encuentren dentro del territorio nacional</w:t>
      </w:r>
      <w:r>
        <w:t xml:space="preserve"> y </w:t>
      </w:r>
      <w:r w:rsidRPr="00F712C6">
        <w:t>5) Derecho a contar con un intérprete.</w:t>
      </w:r>
      <w:r w:rsidR="0062517C">
        <w:t xml:space="preserve"> Sin embargo,</w:t>
      </w:r>
      <w:r>
        <w:t xml:space="preserve"> </w:t>
      </w:r>
      <w:r w:rsidR="0062517C">
        <w:t>s</w:t>
      </w:r>
      <w:r>
        <w:t>e observa con preocupación la falta de capacitación y de orientación que tiene el personal policial en frontera</w:t>
      </w:r>
      <w:r w:rsidR="0062517C">
        <w:t xml:space="preserve"> para cumplir con tales derechos</w:t>
      </w:r>
      <w:r>
        <w:t xml:space="preserve">, lo que hace que en casos que hemos llevado como organización que estos derechos no puedan ser ejercidos adecuadamente y por ende no encuentren </w:t>
      </w:r>
      <w:r w:rsidR="0062517C">
        <w:t>protección</w:t>
      </w:r>
      <w:r>
        <w:t xml:space="preserve"> en la práctica. </w:t>
      </w:r>
    </w:p>
    <w:p w14:paraId="522D80C3" w14:textId="5000007A" w:rsidR="00F712C6" w:rsidRDefault="00F712C6" w:rsidP="00F712C6">
      <w:pPr>
        <w:jc w:val="both"/>
      </w:pPr>
      <w:r>
        <w:t xml:space="preserve">Esta falta de formación adecuada se relaciona también con el riesgo de que no se pueda identificar en el trato con personas en frontera casos </w:t>
      </w:r>
      <w:r w:rsidR="0062517C">
        <w:t xml:space="preserve">que requieran protección internacional, como casos de </w:t>
      </w:r>
      <w:r>
        <w:t xml:space="preserve">refugio o indicios de que las personas hayan sido víctimas de delitos </w:t>
      </w:r>
      <w:r w:rsidR="0062517C">
        <w:t>de</w:t>
      </w:r>
      <w:r>
        <w:t xml:space="preserve"> trata y tráfico</w:t>
      </w:r>
      <w:r w:rsidR="0062517C">
        <w:t xml:space="preserve"> ilícito de migrantes</w:t>
      </w:r>
      <w:r>
        <w:t xml:space="preserve">. Eso podría derivar en la infracción del principio de no devolución. </w:t>
      </w:r>
    </w:p>
    <w:p w14:paraId="2388A6B1" w14:textId="2DA213B5" w:rsidR="00017EB2" w:rsidRDefault="00F712C6" w:rsidP="00DD5AF0">
      <w:pPr>
        <w:jc w:val="both"/>
      </w:pPr>
      <w:r>
        <w:t>Lo anterior resulta especialmente preocupante en el debate público en Chile, en el que hay una constante criminalización de la migración</w:t>
      </w:r>
      <w:r w:rsidR="0062517C">
        <w:t xml:space="preserve"> irregular</w:t>
      </w:r>
      <w:r>
        <w:t xml:space="preserve"> que ha derivado en la presentación de diversos proyectos de ley por parlamentarios en </w:t>
      </w:r>
      <w:r w:rsidR="0062517C">
        <w:t>flexibilizar la aplicación de medidas de reconducción y expulsión</w:t>
      </w:r>
      <w:r>
        <w:t>. Específicamente en materia de reconducción, ampliando rango de reconducciones, plazos para materializar reconducciones y expulsiones y de inmediata reconducción en caso de delitos flagrantes.</w:t>
      </w:r>
    </w:p>
    <w:p w14:paraId="5A6E7B33" w14:textId="6BDFB705" w:rsidR="0062517C" w:rsidRPr="00F94526" w:rsidRDefault="0062517C" w:rsidP="0062517C">
      <w:pPr>
        <w:jc w:val="both"/>
      </w:pPr>
      <w:r>
        <w:t xml:space="preserve">Esto da cuenta, a que, contrario a lo que se ha recomendado por el Comité en cuanto a la recomendación: h) </w:t>
      </w:r>
      <w:r w:rsidRPr="0062517C">
        <w:rPr>
          <w:i/>
          <w:iCs/>
        </w:rPr>
        <w:t>La protección de refugiados, personas con necesidad de protección complementaria y otras personas con necesidad de protección internacional</w:t>
      </w:r>
      <w:r>
        <w:t xml:space="preserve">, así como, de aprobarse los proyectos de ley sobre tipificación del delito de ingreso por paso no habilitado, se use la detención como medida directa en casos de migración irregular. </w:t>
      </w:r>
    </w:p>
    <w:p w14:paraId="7A4B5601" w14:textId="748B96E6" w:rsidR="00DD5AF0" w:rsidRDefault="005D2563" w:rsidP="00DD5AF0">
      <w:pPr>
        <w:jc w:val="both"/>
        <w:rPr>
          <w:b/>
          <w:bCs/>
        </w:rPr>
      </w:pPr>
      <w:r>
        <w:rPr>
          <w:b/>
          <w:bCs/>
        </w:rPr>
        <w:t xml:space="preserve">2. </w:t>
      </w:r>
      <w:r w:rsidR="00DD5AF0">
        <w:rPr>
          <w:b/>
          <w:bCs/>
        </w:rPr>
        <w:t xml:space="preserve">Regularización </w:t>
      </w:r>
    </w:p>
    <w:p w14:paraId="0CBDA959" w14:textId="6C22BD02" w:rsidR="0062517C" w:rsidRDefault="000D0226" w:rsidP="00DD5AF0">
      <w:pPr>
        <w:jc w:val="both"/>
      </w:pPr>
      <w:r>
        <w:t xml:space="preserve">Respecto de la regularización </w:t>
      </w:r>
      <w:r w:rsidR="0062517C">
        <w:t xml:space="preserve">es importante hacer presente dos cuestiones, </w:t>
      </w:r>
      <w:r w:rsidR="00CC3E2B">
        <w:t>que,</w:t>
      </w:r>
      <w:r w:rsidR="0062517C">
        <w:t xml:space="preserve"> desde nuestra experiencia como organización, han provocado un preocupante aumento de la migración irregular en Chile.</w:t>
      </w:r>
    </w:p>
    <w:p w14:paraId="48DA0879" w14:textId="77777777" w:rsidR="00CC3E2B" w:rsidRDefault="0062517C" w:rsidP="00DD5AF0">
      <w:pPr>
        <w:jc w:val="both"/>
      </w:pPr>
      <w:r>
        <w:t>Por un l</w:t>
      </w:r>
      <w:r w:rsidR="00CC3E2B">
        <w:t xml:space="preserve">ado, la progresiva exigencia de visas consulares a países con crecientes flujos migratorios hacia Chile, que ha causado un aumento de los ingresos clandestinos de parte de esos grupos. </w:t>
      </w:r>
    </w:p>
    <w:p w14:paraId="261DE280" w14:textId="6BF3F2B1" w:rsidR="0062517C" w:rsidRDefault="00CC3E2B" w:rsidP="00DD5AF0">
      <w:pPr>
        <w:jc w:val="both"/>
      </w:pPr>
      <w:r w:rsidRPr="00CC3E2B">
        <w:lastRenderedPageBreak/>
        <w:t xml:space="preserve">Por medio del Decreto Supremo </w:t>
      </w:r>
      <w:proofErr w:type="spellStart"/>
      <w:r w:rsidRPr="00CC3E2B">
        <w:t>N°</w:t>
      </w:r>
      <w:proofErr w:type="spellEnd"/>
      <w:r w:rsidRPr="00CC3E2B">
        <w:t xml:space="preserve"> 776, del Ministerio del Interior y Seguridad Pública, de 9 de abril de 2018 (publicado el 17 de abril de 2018), el Ejecutivo </w:t>
      </w:r>
      <w:r>
        <w:t>dispuso</w:t>
      </w:r>
      <w:r w:rsidRPr="00CC3E2B">
        <w:t xml:space="preserve"> que los nacionales de Haití que deseen ingresar al país con fines de turismo deben contar con una visa consular previamente aprobada.</w:t>
      </w:r>
      <w:r>
        <w:t xml:space="preserve"> Esto vino a contrarrestar la realidad de muchos haitianos que ingresaban (como la mayoría de las personas de la región) con sus documentos de identidad como turistas sin requerir trámites previos. </w:t>
      </w:r>
    </w:p>
    <w:p w14:paraId="3FE93E2A" w14:textId="0AFCBA02" w:rsidR="00CC3E2B" w:rsidRDefault="00CC3E2B" w:rsidP="00DD5AF0">
      <w:pPr>
        <w:jc w:val="both"/>
      </w:pPr>
      <w:r>
        <w:t xml:space="preserve">Luego, se incluyó en esa exigencia a Venezuela (sumándose a Haití, y a países que ya exigían eso previamente, como Cuba y República Dominicana). </w:t>
      </w:r>
      <w:r w:rsidRPr="00CC3E2B">
        <w:t>Con fecha 22 de junio de 2019 se publicó en el Diario Oficial el Decreto N°237 que “Establece Visto Consular de Turismo a nacionales de la República Bolivariana de Venezuela”.</w:t>
      </w:r>
    </w:p>
    <w:p w14:paraId="02879B24" w14:textId="346EBA94" w:rsidR="00CC3E2B" w:rsidRDefault="00CC3E2B" w:rsidP="00DD5AF0">
      <w:pPr>
        <w:jc w:val="both"/>
      </w:pPr>
      <w:r>
        <w:t>Si se mira exclusivamente el ejemplo del caso venezolano, s</w:t>
      </w:r>
      <w:r w:rsidRPr="00CC3E2B">
        <w:t>i el 2018, solo 101 personas desde Venezuela habían ingresado por paso no habilitado, el 2019, lo hicieron 3.333</w:t>
      </w:r>
      <w:r>
        <w:t xml:space="preserve"> personas, de acuerdo a datos solicitados por nuestra organización al gobierno, vía transparencia. </w:t>
      </w:r>
    </w:p>
    <w:p w14:paraId="591FF440" w14:textId="39EA152A" w:rsidR="00CC3E2B" w:rsidRDefault="00CC3E2B" w:rsidP="00DD5AF0">
      <w:pPr>
        <w:jc w:val="both"/>
      </w:pPr>
      <w:r>
        <w:t>Una segunda medida a considerar es que a partir de la vigencia de la Ley 21.325 (febrero de 2022) ya no se puede cambiar de status migratorio dentro del territorio chileno (salvo casos muy excepcionales con vínculo familiar directo en el país). Esto quiere decir que alguien que ingresa como turista, consigue un trabajo, y quiere cambiar a visa laboral, debe salir del país a concluir dicho proceso.</w:t>
      </w:r>
    </w:p>
    <w:p w14:paraId="140E8555" w14:textId="57E0D3E8" w:rsidR="007A6929" w:rsidRDefault="007A6929" w:rsidP="00DD5AF0">
      <w:pPr>
        <w:jc w:val="both"/>
      </w:pPr>
      <w:r>
        <w:t>Solo quienes califiquen para</w:t>
      </w:r>
      <w:r w:rsidRPr="007A6929">
        <w:t xml:space="preserve"> un permiso de reunificación familiar</w:t>
      </w:r>
      <w:r>
        <w:t xml:space="preserve"> por vínculo familiar directo con chileno o residente definitivo pueden hacer el cambio de status en Chile. Dicho permiso es</w:t>
      </w:r>
      <w:r w:rsidRPr="007A6929">
        <w:t xml:space="preserve"> prorrogable, mientras se mantenga el vínculo con la persona de nacionalidad chilena o persona con residencia definitiva. Este visado es posible solicitarlo estando fuera de Chile o dentro del territorio, </w:t>
      </w:r>
      <w:r>
        <w:t xml:space="preserve">y </w:t>
      </w:r>
      <w:r w:rsidRPr="007A6929">
        <w:t xml:space="preserve">una de sus características es que permite desempeñar actividades lícitas remuneradas. </w:t>
      </w:r>
    </w:p>
    <w:p w14:paraId="3DA080D3" w14:textId="2E18D683" w:rsidR="00CC3E2B" w:rsidRDefault="00CC3E2B" w:rsidP="00DD5AF0">
      <w:pPr>
        <w:jc w:val="both"/>
      </w:pPr>
      <w:r>
        <w:t>Frente a sanciones muy estrictas aplicables a los ingresos clandestinos (que hacen prácticamente imposible la obtención de una visa), desde el gobierno no hay anuncios de nuevos procesos de regularización.</w:t>
      </w:r>
    </w:p>
    <w:p w14:paraId="2A88B0F1" w14:textId="6BFDB7BF" w:rsidR="00C47DA3" w:rsidRDefault="00CC3E2B" w:rsidP="00DD5AF0">
      <w:pPr>
        <w:jc w:val="both"/>
      </w:pPr>
      <w:r>
        <w:t>E</w:t>
      </w:r>
      <w:r w:rsidR="000D0226">
        <w:t xml:space="preserve">l último proceso </w:t>
      </w:r>
      <w:r>
        <w:t xml:space="preserve">de regularización </w:t>
      </w:r>
      <w:r w:rsidR="000D0226">
        <w:t>extraordinario se llevó a cabo en abril del 2021</w:t>
      </w:r>
      <w:r w:rsidR="002C1074">
        <w:t xml:space="preserve">, en el </w:t>
      </w:r>
      <w:r w:rsidR="00DE4B61">
        <w:t>que</w:t>
      </w:r>
      <w:r w:rsidR="002C1074">
        <w:t xml:space="preserve"> se otorgaron </w:t>
      </w:r>
      <w:r w:rsidR="002C1074" w:rsidRPr="00CC3E2B">
        <w:rPr>
          <w:b/>
          <w:bCs/>
        </w:rPr>
        <w:t>210.639</w:t>
      </w:r>
      <w:r w:rsidR="002C1074">
        <w:t xml:space="preserve"> permisos de residencia temporal</w:t>
      </w:r>
      <w:r w:rsidR="00DE4B61">
        <w:t xml:space="preserve">, de los que las personas de nacionalidad venezolana fueron las </w:t>
      </w:r>
      <w:r>
        <w:t>más beneficiadas</w:t>
      </w:r>
      <w:r w:rsidR="00E15691">
        <w:t xml:space="preserve">, seguidos de </w:t>
      </w:r>
      <w:r w:rsidR="007B502A">
        <w:t xml:space="preserve">persona de nacionalidad colombiana y peruana. Respecto de solicitudes que se encontraban pendientes al finalizar </w:t>
      </w:r>
      <w:r w:rsidR="007B502A" w:rsidRPr="007B502A">
        <w:t>el proceso de regularización extraordinaria, hasta el 31 de diciembre de 2022, sólo un 7% se enc</w:t>
      </w:r>
      <w:r w:rsidR="005D2563">
        <w:t>ontraba</w:t>
      </w:r>
      <w:r w:rsidR="007B502A" w:rsidRPr="007B502A">
        <w:t xml:space="preserve"> sin resolver, lo que equivale a 14.276.</w:t>
      </w:r>
      <w:r>
        <w:t xml:space="preserve"> Sin embargo, es importante destacar que</w:t>
      </w:r>
      <w:r w:rsidR="007A6929">
        <w:t>,</w:t>
      </w:r>
      <w:r>
        <w:t xml:space="preserve"> para participar de este proceso, se requería acreditar ingreso por paso habilitado. </w:t>
      </w:r>
      <w:r w:rsidR="007A6929" w:rsidRPr="007A6929">
        <w:rPr>
          <w:u w:val="single"/>
        </w:rPr>
        <w:t>Esto se traduce en una deuda en avanzar en regularización de trabajadores migrantes</w:t>
      </w:r>
      <w:r w:rsidR="007A6929">
        <w:t xml:space="preserve">. </w:t>
      </w:r>
    </w:p>
    <w:p w14:paraId="7D2365EA" w14:textId="59DE364A" w:rsidR="00A204D2" w:rsidRDefault="00FF1F22" w:rsidP="007A6929">
      <w:pPr>
        <w:jc w:val="both"/>
      </w:pPr>
      <w:r>
        <w:t xml:space="preserve">Una medida positiva anunciada en la Política Nacional de Migraciones </w:t>
      </w:r>
      <w:r w:rsidRPr="00FF1F22">
        <w:t xml:space="preserve">es el refuerzo de la tramitación de solicitudes de permisos de residencia pendientes, </w:t>
      </w:r>
      <w:r>
        <w:t>pues</w:t>
      </w:r>
      <w:r w:rsidRPr="00FF1F22">
        <w:t xml:space="preserve"> el rezago de tales solicitudes ha tenido </w:t>
      </w:r>
      <w:r>
        <w:t>efectos considerables</w:t>
      </w:r>
      <w:r w:rsidRPr="00FF1F22">
        <w:t xml:space="preserve"> en los proyectos personales de personas migrantes y refugiadas</w:t>
      </w:r>
      <w:r>
        <w:t xml:space="preserve"> y </w:t>
      </w:r>
      <w:r w:rsidRPr="00FF1F22">
        <w:lastRenderedPageBreak/>
        <w:t>ha causado un progresivo aumento de acciones judiciales</w:t>
      </w:r>
      <w:r>
        <w:t xml:space="preserve">. </w:t>
      </w:r>
      <w:r w:rsidR="007A6929">
        <w:t xml:space="preserve">Sin embargo, la política pública se enfoca exclusivamente, en materia de migración laboral, en trabajadores migrantes en situación regular. </w:t>
      </w:r>
    </w:p>
    <w:p w14:paraId="67472716" w14:textId="77777777" w:rsidR="007A6929" w:rsidRDefault="00E70053" w:rsidP="00E70053">
      <w:pPr>
        <w:spacing w:after="0"/>
        <w:jc w:val="both"/>
      </w:pPr>
      <w:r>
        <w:t>Recientemente</w:t>
      </w:r>
      <w:r w:rsidR="00C47DA3">
        <w:t xml:space="preserve"> el 14 de junio de 2023 se publicó la resolución exenta N°25.425 del Servicio Nacional de Migraciones, que dispuso un proceso de empadronamiento biométrico de personas extranjeras que hayan ingresado al país por paso no habilitado o eludiendo el control migratorio y se encuentren en el territorio nacional de manera irregular. En cuanto a la finalidad del proceso, la norma señala:</w:t>
      </w:r>
      <w:r w:rsidR="005572E4">
        <w:t xml:space="preserve"> </w:t>
      </w:r>
      <w:r w:rsidR="00C47DA3">
        <w:t>“</w:t>
      </w:r>
      <w:r w:rsidR="00C47DA3" w:rsidRPr="007A6929">
        <w:rPr>
          <w:i/>
          <w:iCs/>
        </w:rPr>
        <w:t>Concluido el proceso de Empadronamiento Biométrico, el Servicio Nacional de Migraciones utilizará la base de datos recolectada para su incorporación en el Registro Nacional de Extranjeros y, la evaluación, diseño y ejecución de políticas públicas en materia migratoria, en concordancia con los objetivos de la Política Nacional de Migración y Extranjería</w:t>
      </w:r>
      <w:r w:rsidR="00C47DA3">
        <w:t>”.</w:t>
      </w:r>
    </w:p>
    <w:p w14:paraId="71D56BFF" w14:textId="290F8D59" w:rsidR="00C47DA3" w:rsidRDefault="00C47DA3" w:rsidP="00E70053">
      <w:pPr>
        <w:spacing w:after="0"/>
        <w:jc w:val="both"/>
      </w:pPr>
      <w:r>
        <w:t xml:space="preserve">Sin embargo, el 6 de julio de 2023 el Gobierno presentó la Política Nacional Migratoria, en cuya versión ejecutiva se contempla que, </w:t>
      </w:r>
      <w:r w:rsidR="007A6929">
        <w:t>u</w:t>
      </w:r>
      <w:r>
        <w:t>na vez concluido el proceso de empadronamiento y con los antecedentes que éste entregue, se definirán modalidades condicionadas de regularización, de acuerdo a lo establecido por la ley y a los criterios definidos en la Política Nacional de Migración</w:t>
      </w:r>
      <w:r w:rsidR="00E70053">
        <w:rPr>
          <w:rStyle w:val="FootnoteReference"/>
        </w:rPr>
        <w:footnoteReference w:id="4"/>
      </w:r>
      <w:r>
        <w:t>. El empadronamiento de una persona no se traducirá en la regularización de su situación migratoria sino solamente en el cumplimiento de uno de los varios requisitos que se exigirán para acceder a esa posibilidad.</w:t>
      </w:r>
      <w:r w:rsidR="007A6929">
        <w:t xml:space="preserve"> </w:t>
      </w:r>
    </w:p>
    <w:p w14:paraId="41E5F014" w14:textId="77777777" w:rsidR="007A6929" w:rsidRDefault="007A6929" w:rsidP="00E70053">
      <w:pPr>
        <w:spacing w:after="0"/>
        <w:jc w:val="both"/>
      </w:pPr>
    </w:p>
    <w:p w14:paraId="5ABC373A" w14:textId="4C11FD3C" w:rsidR="007A6929" w:rsidRDefault="00C47DA3" w:rsidP="00AE0045">
      <w:pPr>
        <w:jc w:val="both"/>
      </w:pPr>
      <w:r>
        <w:t>En consecuencia, quienes se sometan al proceso de empadronamiento lo harán sin tener conocimiento de los requisitos que posteriormente serán exigidos para acceder a la regularización m</w:t>
      </w:r>
      <w:r w:rsidR="00AE0045">
        <w:t xml:space="preserve">igratoria. </w:t>
      </w:r>
      <w:r w:rsidR="007A6929">
        <w:t xml:space="preserve">Además, desde nuestro trabajo territorial hemos podido observar como personas que han solicitado empadronarse, terminan detenidas por contar con órdenes expulsiones pendientes, muchas sin tener conocimiento de tales órdenes. </w:t>
      </w:r>
    </w:p>
    <w:p w14:paraId="2EA7913B" w14:textId="44EEE08A" w:rsidR="00AE0045" w:rsidRDefault="00AE0045" w:rsidP="00AE0045">
      <w:pPr>
        <w:jc w:val="both"/>
      </w:pPr>
      <w:r>
        <w:t>Es importante hacer presente las dificultades que enfrentan personas</w:t>
      </w:r>
      <w:r w:rsidR="007A6929">
        <w:t xml:space="preserve"> que sí califican para regularizarse,</w:t>
      </w:r>
      <w:r>
        <w:t xml:space="preserve"> por la excesiva demora en la tramitación de tales solicitudes, </w:t>
      </w:r>
      <w:r w:rsidR="007A6929">
        <w:t xml:space="preserve">y </w:t>
      </w:r>
      <w:r>
        <w:t>lo complejo que resulta acceder a documentación o certificados oficiales del país de origen para ciudadanos haitianos y venezolanos</w:t>
      </w:r>
      <w:r w:rsidR="007A6929">
        <w:t>, lo que también obstaculiza su regularización</w:t>
      </w:r>
      <w:r>
        <w:t xml:space="preserve">. </w:t>
      </w:r>
    </w:p>
    <w:p w14:paraId="525CB3CB" w14:textId="2E80C24F" w:rsidR="00390E38" w:rsidRDefault="00390E38" w:rsidP="00DD5AF0">
      <w:pPr>
        <w:jc w:val="both"/>
        <w:rPr>
          <w:b/>
          <w:bCs/>
        </w:rPr>
      </w:pPr>
      <w:r>
        <w:rPr>
          <w:b/>
          <w:bCs/>
        </w:rPr>
        <w:t xml:space="preserve">4. Protección Internacional </w:t>
      </w:r>
      <w:r w:rsidR="00D34138">
        <w:rPr>
          <w:b/>
          <w:bCs/>
        </w:rPr>
        <w:t>por razones humanitarias</w:t>
      </w:r>
    </w:p>
    <w:p w14:paraId="7DA7CAFF" w14:textId="394FF664" w:rsidR="00E4690C" w:rsidRDefault="002E35A9" w:rsidP="0079744A">
      <w:pPr>
        <w:jc w:val="both"/>
      </w:pPr>
      <w:r>
        <w:t>La Ley de Migración y Extranjería incorpora vías para el ingreso</w:t>
      </w:r>
      <w:r w:rsidR="0079744A">
        <w:t xml:space="preserve"> </w:t>
      </w:r>
      <w:r w:rsidR="0079744A" w:rsidRPr="0079744A">
        <w:t xml:space="preserve">y permanencia en casos particulares asociados a la vulnerabilidad y necesidad de protección de la persona en situación de movilidad humana. En </w:t>
      </w:r>
      <w:r w:rsidR="0079744A">
        <w:t>este sentido</w:t>
      </w:r>
      <w:r w:rsidR="0079744A" w:rsidRPr="0079744A">
        <w:t xml:space="preserve"> </w:t>
      </w:r>
      <w:r w:rsidR="00E4690C">
        <w:t xml:space="preserve">a </w:t>
      </w:r>
      <w:r w:rsidR="00E4690C" w:rsidRPr="0079744A">
        <w:t>través del decreto N°177 dictado en mayo del 2022,</w:t>
      </w:r>
      <w:r w:rsidR="00E4690C">
        <w:t xml:space="preserve"> </w:t>
      </w:r>
      <w:r w:rsidR="0079744A" w:rsidRPr="0079744A">
        <w:t>se establece</w:t>
      </w:r>
      <w:r w:rsidR="0079744A">
        <w:t xml:space="preserve">n </w:t>
      </w:r>
      <w:r w:rsidR="0079744A" w:rsidRPr="0079744A">
        <w:t xml:space="preserve">cinco </w:t>
      </w:r>
      <w:r w:rsidR="00E4690C">
        <w:t xml:space="preserve">categorías de </w:t>
      </w:r>
      <w:r w:rsidR="0079744A" w:rsidRPr="0079744A">
        <w:t>visados humanitarios</w:t>
      </w:r>
      <w:r w:rsidR="0079744A">
        <w:t xml:space="preserve"> que tienen como objetivo ampliar las oportunidades de regularización y otorgarles acceso a servicios sociales. Los visados son para personas víctimas de trata, víctimas de violencia intrafamiliar, mujeres embarazadas, víctimas de tráfico y niños, niñas y adolescentes</w:t>
      </w:r>
      <w:r w:rsidR="00E4690C">
        <w:t xml:space="preserve">. </w:t>
      </w:r>
    </w:p>
    <w:tbl>
      <w:tblPr>
        <w:tblW w:w="8300" w:type="dxa"/>
        <w:jc w:val="center"/>
        <w:tblCellMar>
          <w:left w:w="70" w:type="dxa"/>
          <w:right w:w="70" w:type="dxa"/>
        </w:tblCellMar>
        <w:tblLook w:val="04A0" w:firstRow="1" w:lastRow="0" w:firstColumn="1" w:lastColumn="0" w:noHBand="0" w:noVBand="1"/>
      </w:tblPr>
      <w:tblGrid>
        <w:gridCol w:w="1200"/>
        <w:gridCol w:w="1420"/>
        <w:gridCol w:w="1420"/>
        <w:gridCol w:w="1420"/>
        <w:gridCol w:w="1420"/>
        <w:gridCol w:w="1420"/>
      </w:tblGrid>
      <w:tr w:rsidR="003D2A75" w:rsidRPr="003D2A75" w14:paraId="2EB360DF" w14:textId="77777777" w:rsidTr="003D2A75">
        <w:trPr>
          <w:trHeight w:val="630"/>
          <w:jc w:val="center"/>
        </w:trPr>
        <w:tc>
          <w:tcPr>
            <w:tcW w:w="1200" w:type="dxa"/>
            <w:tcBorders>
              <w:top w:val="nil"/>
              <w:left w:val="nil"/>
              <w:bottom w:val="nil"/>
              <w:right w:val="nil"/>
            </w:tcBorders>
            <w:shd w:val="clear" w:color="auto" w:fill="auto"/>
            <w:noWrap/>
            <w:vAlign w:val="bottom"/>
            <w:hideMark/>
          </w:tcPr>
          <w:p w14:paraId="5CEEF228" w14:textId="77777777" w:rsidR="003D2A75" w:rsidRPr="003D2A75" w:rsidRDefault="003D2A75" w:rsidP="003D2A75">
            <w:pPr>
              <w:spacing w:after="0" w:line="240" w:lineRule="auto"/>
              <w:rPr>
                <w:rFonts w:ascii="Times New Roman" w:eastAsia="Times New Roman" w:hAnsi="Times New Roman" w:cs="Times New Roman"/>
                <w:kern w:val="0"/>
                <w:sz w:val="24"/>
                <w:szCs w:val="24"/>
                <w:lang w:eastAsia="es-CL"/>
                <w14:ligatures w14:val="none"/>
              </w:rPr>
            </w:pPr>
          </w:p>
        </w:tc>
        <w:tc>
          <w:tcPr>
            <w:tcW w:w="7100"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14:paraId="55CCD926" w14:textId="77777777" w:rsidR="003D2A75" w:rsidRPr="003D2A75" w:rsidRDefault="003D2A75" w:rsidP="003D2A75">
            <w:pPr>
              <w:spacing w:after="0" w:line="240" w:lineRule="auto"/>
              <w:jc w:val="center"/>
              <w:rPr>
                <w:rFonts w:ascii="Cambria" w:eastAsia="Times New Roman" w:hAnsi="Cambria" w:cs="Calibri"/>
                <w:b/>
                <w:bCs/>
                <w:color w:val="000000"/>
                <w:kern w:val="0"/>
                <w:sz w:val="18"/>
                <w:szCs w:val="18"/>
                <w:lang w:eastAsia="es-CL"/>
                <w14:ligatures w14:val="none"/>
              </w:rPr>
            </w:pPr>
            <w:r w:rsidRPr="003D2A75">
              <w:rPr>
                <w:rFonts w:ascii="Cambria" w:eastAsia="Times New Roman" w:hAnsi="Cambria" w:cs="Calibri"/>
                <w:b/>
                <w:bCs/>
                <w:color w:val="000000"/>
                <w:kern w:val="0"/>
                <w:sz w:val="18"/>
                <w:szCs w:val="18"/>
                <w:lang w:eastAsia="es-CL"/>
                <w14:ligatures w14:val="none"/>
              </w:rPr>
              <w:t xml:space="preserve"> Permisos de Residencia Temporal por razones humanitarias otorgados entre 2022 y junio 2023</w:t>
            </w:r>
          </w:p>
        </w:tc>
      </w:tr>
      <w:tr w:rsidR="003D2A75" w:rsidRPr="003D2A75" w14:paraId="2A290CB6" w14:textId="77777777" w:rsidTr="003D2A75">
        <w:trPr>
          <w:trHeight w:val="930"/>
          <w:jc w:val="center"/>
        </w:trPr>
        <w:tc>
          <w:tcPr>
            <w:tcW w:w="1200" w:type="dxa"/>
            <w:tcBorders>
              <w:top w:val="nil"/>
              <w:left w:val="nil"/>
              <w:bottom w:val="nil"/>
              <w:right w:val="nil"/>
            </w:tcBorders>
            <w:shd w:val="clear" w:color="auto" w:fill="auto"/>
            <w:vAlign w:val="center"/>
            <w:hideMark/>
          </w:tcPr>
          <w:p w14:paraId="32980B3A" w14:textId="77777777" w:rsidR="003D2A75" w:rsidRPr="003D2A75" w:rsidRDefault="003D2A75" w:rsidP="003D2A75">
            <w:pPr>
              <w:spacing w:after="0" w:line="240" w:lineRule="auto"/>
              <w:jc w:val="center"/>
              <w:rPr>
                <w:rFonts w:ascii="Cambria" w:eastAsia="Times New Roman" w:hAnsi="Cambria" w:cs="Calibri"/>
                <w:b/>
                <w:bCs/>
                <w:color w:val="000000"/>
                <w:kern w:val="0"/>
                <w:sz w:val="18"/>
                <w:szCs w:val="18"/>
                <w:lang w:eastAsia="es-CL"/>
                <w14:ligatures w14:val="none"/>
              </w:rPr>
            </w:pPr>
          </w:p>
        </w:tc>
        <w:tc>
          <w:tcPr>
            <w:tcW w:w="1420" w:type="dxa"/>
            <w:tcBorders>
              <w:top w:val="nil"/>
              <w:left w:val="single" w:sz="8" w:space="0" w:color="auto"/>
              <w:bottom w:val="single" w:sz="8" w:space="0" w:color="auto"/>
              <w:right w:val="single" w:sz="8" w:space="0" w:color="auto"/>
            </w:tcBorders>
            <w:shd w:val="clear" w:color="000000" w:fill="FCE4D6"/>
            <w:vAlign w:val="center"/>
            <w:hideMark/>
          </w:tcPr>
          <w:p w14:paraId="0DF37D1A" w14:textId="77777777" w:rsidR="003D2A75" w:rsidRPr="003D2A75" w:rsidRDefault="003D2A75" w:rsidP="003D2A75">
            <w:pPr>
              <w:spacing w:after="0" w:line="240" w:lineRule="auto"/>
              <w:jc w:val="center"/>
              <w:rPr>
                <w:rFonts w:ascii="Cambria" w:eastAsia="Times New Roman" w:hAnsi="Cambria" w:cs="Calibri"/>
                <w:b/>
                <w:bCs/>
                <w:color w:val="000000"/>
                <w:kern w:val="0"/>
                <w:sz w:val="18"/>
                <w:szCs w:val="18"/>
                <w:lang w:eastAsia="es-CL"/>
                <w14:ligatures w14:val="none"/>
              </w:rPr>
            </w:pPr>
            <w:r w:rsidRPr="003D2A75">
              <w:rPr>
                <w:rFonts w:ascii="Cambria" w:eastAsia="Times New Roman" w:hAnsi="Cambria" w:cs="Calibri"/>
                <w:b/>
                <w:bCs/>
                <w:color w:val="000000"/>
                <w:kern w:val="0"/>
                <w:sz w:val="18"/>
                <w:szCs w:val="18"/>
                <w:lang w:eastAsia="es-CL"/>
                <w14:ligatures w14:val="none"/>
              </w:rPr>
              <w:t>Víctimas de Trata de personas</w:t>
            </w:r>
          </w:p>
        </w:tc>
        <w:tc>
          <w:tcPr>
            <w:tcW w:w="1420" w:type="dxa"/>
            <w:tcBorders>
              <w:top w:val="nil"/>
              <w:left w:val="nil"/>
              <w:bottom w:val="single" w:sz="8" w:space="0" w:color="auto"/>
              <w:right w:val="single" w:sz="8" w:space="0" w:color="000000"/>
            </w:tcBorders>
            <w:shd w:val="clear" w:color="000000" w:fill="FCE4D6"/>
            <w:vAlign w:val="center"/>
            <w:hideMark/>
          </w:tcPr>
          <w:p w14:paraId="5112F76E" w14:textId="13607070" w:rsidR="003D2A75" w:rsidRPr="003D2A75" w:rsidRDefault="003D2A75" w:rsidP="003D2A75">
            <w:pPr>
              <w:spacing w:after="0" w:line="240" w:lineRule="auto"/>
              <w:jc w:val="center"/>
              <w:rPr>
                <w:rFonts w:ascii="Cambria" w:eastAsia="Times New Roman" w:hAnsi="Cambria" w:cs="Calibri"/>
                <w:b/>
                <w:bCs/>
                <w:color w:val="000000"/>
                <w:kern w:val="0"/>
                <w:sz w:val="18"/>
                <w:szCs w:val="18"/>
                <w:lang w:eastAsia="es-CL"/>
                <w14:ligatures w14:val="none"/>
              </w:rPr>
            </w:pPr>
            <w:r w:rsidRPr="003D2A75">
              <w:rPr>
                <w:rFonts w:ascii="Cambria" w:eastAsia="Times New Roman" w:hAnsi="Cambria" w:cs="Calibri"/>
                <w:b/>
                <w:bCs/>
                <w:color w:val="000000"/>
                <w:kern w:val="0"/>
                <w:sz w:val="18"/>
                <w:szCs w:val="18"/>
                <w:lang w:eastAsia="es-CL"/>
                <w14:ligatures w14:val="none"/>
              </w:rPr>
              <w:t xml:space="preserve">Víctimas de </w:t>
            </w:r>
            <w:r w:rsidR="00F56D14" w:rsidRPr="003D2A75">
              <w:rPr>
                <w:rFonts w:ascii="Cambria" w:eastAsia="Times New Roman" w:hAnsi="Cambria" w:cs="Calibri"/>
                <w:b/>
                <w:bCs/>
                <w:color w:val="000000"/>
                <w:kern w:val="0"/>
                <w:sz w:val="18"/>
                <w:szCs w:val="18"/>
                <w:lang w:eastAsia="es-CL"/>
                <w14:ligatures w14:val="none"/>
              </w:rPr>
              <w:t>Tráfico</w:t>
            </w:r>
            <w:r w:rsidRPr="003D2A75">
              <w:rPr>
                <w:rFonts w:ascii="Cambria" w:eastAsia="Times New Roman" w:hAnsi="Cambria" w:cs="Calibri"/>
                <w:b/>
                <w:bCs/>
                <w:color w:val="000000"/>
                <w:kern w:val="0"/>
                <w:sz w:val="18"/>
                <w:szCs w:val="18"/>
                <w:lang w:eastAsia="es-CL"/>
                <w14:ligatures w14:val="none"/>
              </w:rPr>
              <w:t xml:space="preserve"> ilícito de migrantes</w:t>
            </w:r>
          </w:p>
        </w:tc>
        <w:tc>
          <w:tcPr>
            <w:tcW w:w="1420" w:type="dxa"/>
            <w:tcBorders>
              <w:top w:val="nil"/>
              <w:left w:val="nil"/>
              <w:bottom w:val="single" w:sz="8" w:space="0" w:color="auto"/>
              <w:right w:val="single" w:sz="8" w:space="0" w:color="000000"/>
            </w:tcBorders>
            <w:shd w:val="clear" w:color="000000" w:fill="FCE4D6"/>
            <w:vAlign w:val="center"/>
            <w:hideMark/>
          </w:tcPr>
          <w:p w14:paraId="5FAB1E83" w14:textId="77777777" w:rsidR="003D2A75" w:rsidRPr="003D2A75" w:rsidRDefault="003D2A75" w:rsidP="003D2A75">
            <w:pPr>
              <w:spacing w:after="0" w:line="240" w:lineRule="auto"/>
              <w:jc w:val="center"/>
              <w:rPr>
                <w:rFonts w:ascii="Cambria" w:eastAsia="Times New Roman" w:hAnsi="Cambria" w:cs="Calibri"/>
                <w:b/>
                <w:bCs/>
                <w:color w:val="000000"/>
                <w:kern w:val="0"/>
                <w:sz w:val="18"/>
                <w:szCs w:val="18"/>
                <w:lang w:eastAsia="es-CL"/>
                <w14:ligatures w14:val="none"/>
              </w:rPr>
            </w:pPr>
            <w:r w:rsidRPr="003D2A75">
              <w:rPr>
                <w:rFonts w:ascii="Cambria" w:eastAsia="Times New Roman" w:hAnsi="Cambria" w:cs="Calibri"/>
                <w:b/>
                <w:bCs/>
                <w:color w:val="000000"/>
                <w:kern w:val="0"/>
                <w:sz w:val="18"/>
                <w:szCs w:val="18"/>
                <w:lang w:eastAsia="es-CL"/>
                <w14:ligatures w14:val="none"/>
              </w:rPr>
              <w:t>Víctimas de violencia intrafamiliar o de género</w:t>
            </w:r>
          </w:p>
        </w:tc>
        <w:tc>
          <w:tcPr>
            <w:tcW w:w="1420" w:type="dxa"/>
            <w:tcBorders>
              <w:top w:val="nil"/>
              <w:left w:val="nil"/>
              <w:bottom w:val="single" w:sz="8" w:space="0" w:color="auto"/>
              <w:right w:val="single" w:sz="8" w:space="0" w:color="000000"/>
            </w:tcBorders>
            <w:shd w:val="clear" w:color="000000" w:fill="FCE4D6"/>
            <w:vAlign w:val="center"/>
            <w:hideMark/>
          </w:tcPr>
          <w:p w14:paraId="42BE627A" w14:textId="77777777" w:rsidR="003D2A75" w:rsidRPr="003D2A75" w:rsidRDefault="003D2A75" w:rsidP="003D2A75">
            <w:pPr>
              <w:spacing w:after="0" w:line="240" w:lineRule="auto"/>
              <w:jc w:val="center"/>
              <w:rPr>
                <w:rFonts w:ascii="Cambria" w:eastAsia="Times New Roman" w:hAnsi="Cambria" w:cs="Calibri"/>
                <w:b/>
                <w:bCs/>
                <w:color w:val="000000"/>
                <w:kern w:val="0"/>
                <w:sz w:val="18"/>
                <w:szCs w:val="18"/>
                <w:lang w:eastAsia="es-CL"/>
                <w14:ligatures w14:val="none"/>
              </w:rPr>
            </w:pPr>
            <w:r w:rsidRPr="003D2A75">
              <w:rPr>
                <w:rFonts w:ascii="Cambria" w:eastAsia="Times New Roman" w:hAnsi="Cambria" w:cs="Calibri"/>
                <w:b/>
                <w:bCs/>
                <w:color w:val="000000"/>
                <w:kern w:val="0"/>
                <w:sz w:val="18"/>
                <w:szCs w:val="18"/>
                <w:lang w:eastAsia="es-CL"/>
                <w14:ligatures w14:val="none"/>
              </w:rPr>
              <w:t>Mujeres en situación de embarazo</w:t>
            </w:r>
          </w:p>
        </w:tc>
        <w:tc>
          <w:tcPr>
            <w:tcW w:w="1420" w:type="dxa"/>
            <w:tcBorders>
              <w:top w:val="nil"/>
              <w:left w:val="nil"/>
              <w:bottom w:val="single" w:sz="8" w:space="0" w:color="auto"/>
              <w:right w:val="single" w:sz="8" w:space="0" w:color="auto"/>
            </w:tcBorders>
            <w:shd w:val="clear" w:color="000000" w:fill="FCE4D6"/>
            <w:vAlign w:val="center"/>
            <w:hideMark/>
          </w:tcPr>
          <w:p w14:paraId="1CD4C8D3" w14:textId="77777777" w:rsidR="003D2A75" w:rsidRPr="003D2A75" w:rsidRDefault="003D2A75" w:rsidP="003D2A75">
            <w:pPr>
              <w:spacing w:after="0" w:line="240" w:lineRule="auto"/>
              <w:jc w:val="center"/>
              <w:rPr>
                <w:rFonts w:ascii="Cambria" w:eastAsia="Times New Roman" w:hAnsi="Cambria" w:cs="Calibri"/>
                <w:b/>
                <w:bCs/>
                <w:color w:val="000000"/>
                <w:kern w:val="0"/>
                <w:sz w:val="18"/>
                <w:szCs w:val="18"/>
                <w:lang w:eastAsia="es-CL"/>
                <w14:ligatures w14:val="none"/>
              </w:rPr>
            </w:pPr>
            <w:r w:rsidRPr="003D2A75">
              <w:rPr>
                <w:rFonts w:ascii="Cambria" w:eastAsia="Times New Roman" w:hAnsi="Cambria" w:cs="Calibri"/>
                <w:b/>
                <w:bCs/>
                <w:color w:val="000000"/>
                <w:kern w:val="0"/>
                <w:sz w:val="18"/>
                <w:szCs w:val="18"/>
                <w:lang w:eastAsia="es-CL"/>
                <w14:ligatures w14:val="none"/>
              </w:rPr>
              <w:t>Para niños, niñas y adolescentes</w:t>
            </w:r>
          </w:p>
        </w:tc>
      </w:tr>
      <w:tr w:rsidR="003D2A75" w:rsidRPr="003D2A75" w14:paraId="052C660C" w14:textId="77777777" w:rsidTr="003D2A75">
        <w:trPr>
          <w:trHeight w:val="300"/>
          <w:jc w:val="center"/>
        </w:trPr>
        <w:tc>
          <w:tcPr>
            <w:tcW w:w="1200" w:type="dxa"/>
            <w:tcBorders>
              <w:top w:val="single" w:sz="8" w:space="0" w:color="auto"/>
              <w:left w:val="single" w:sz="8" w:space="0" w:color="auto"/>
              <w:bottom w:val="single" w:sz="8" w:space="0" w:color="auto"/>
              <w:right w:val="single" w:sz="8" w:space="0" w:color="auto"/>
            </w:tcBorders>
            <w:shd w:val="clear" w:color="000000" w:fill="FFE699"/>
            <w:vAlign w:val="center"/>
            <w:hideMark/>
          </w:tcPr>
          <w:p w14:paraId="03D97597" w14:textId="77777777" w:rsidR="003D2A75" w:rsidRPr="003D2A75" w:rsidRDefault="003D2A75" w:rsidP="003D2A75">
            <w:pPr>
              <w:spacing w:after="0" w:line="240" w:lineRule="auto"/>
              <w:jc w:val="center"/>
              <w:rPr>
                <w:rFonts w:ascii="Cambria" w:eastAsia="Times New Roman" w:hAnsi="Cambria" w:cs="Calibri"/>
                <w:b/>
                <w:bCs/>
                <w:color w:val="000000"/>
                <w:kern w:val="0"/>
                <w:sz w:val="18"/>
                <w:szCs w:val="18"/>
                <w:lang w:eastAsia="es-CL"/>
                <w14:ligatures w14:val="none"/>
              </w:rPr>
            </w:pPr>
            <w:r w:rsidRPr="003D2A75">
              <w:rPr>
                <w:rFonts w:ascii="Cambria" w:eastAsia="Times New Roman" w:hAnsi="Cambria" w:cs="Calibri"/>
                <w:b/>
                <w:bCs/>
                <w:color w:val="000000"/>
                <w:kern w:val="0"/>
                <w:sz w:val="18"/>
                <w:szCs w:val="18"/>
                <w:lang w:eastAsia="es-CL"/>
                <w14:ligatures w14:val="none"/>
              </w:rPr>
              <w:t>2022</w:t>
            </w:r>
          </w:p>
        </w:tc>
        <w:tc>
          <w:tcPr>
            <w:tcW w:w="1420" w:type="dxa"/>
            <w:tcBorders>
              <w:top w:val="nil"/>
              <w:left w:val="nil"/>
              <w:bottom w:val="single" w:sz="8" w:space="0" w:color="000000"/>
              <w:right w:val="single" w:sz="8" w:space="0" w:color="000000"/>
            </w:tcBorders>
            <w:shd w:val="clear" w:color="000000" w:fill="FFE699"/>
            <w:vAlign w:val="center"/>
            <w:hideMark/>
          </w:tcPr>
          <w:p w14:paraId="4880E2AB" w14:textId="77777777" w:rsidR="003D2A75" w:rsidRPr="003D2A75" w:rsidRDefault="003D2A75" w:rsidP="003D2A75">
            <w:pPr>
              <w:spacing w:after="0" w:line="240" w:lineRule="auto"/>
              <w:jc w:val="center"/>
              <w:rPr>
                <w:rFonts w:ascii="Cambria" w:eastAsia="Times New Roman" w:hAnsi="Cambria" w:cs="Calibri"/>
                <w:color w:val="000000"/>
                <w:kern w:val="0"/>
                <w:sz w:val="18"/>
                <w:szCs w:val="18"/>
                <w:lang w:eastAsia="es-CL"/>
                <w14:ligatures w14:val="none"/>
              </w:rPr>
            </w:pPr>
            <w:r w:rsidRPr="003D2A75">
              <w:rPr>
                <w:rFonts w:ascii="Cambria" w:eastAsia="Times New Roman" w:hAnsi="Cambria" w:cs="Calibri"/>
                <w:color w:val="000000"/>
                <w:kern w:val="0"/>
                <w:sz w:val="18"/>
                <w:szCs w:val="18"/>
                <w:lang w:eastAsia="es-CL"/>
                <w14:ligatures w14:val="none"/>
              </w:rPr>
              <w:t>17</w:t>
            </w:r>
          </w:p>
        </w:tc>
        <w:tc>
          <w:tcPr>
            <w:tcW w:w="1420" w:type="dxa"/>
            <w:tcBorders>
              <w:top w:val="nil"/>
              <w:left w:val="nil"/>
              <w:bottom w:val="single" w:sz="8" w:space="0" w:color="000000"/>
              <w:right w:val="single" w:sz="8" w:space="0" w:color="000000"/>
            </w:tcBorders>
            <w:shd w:val="clear" w:color="000000" w:fill="FFE699"/>
            <w:vAlign w:val="center"/>
            <w:hideMark/>
          </w:tcPr>
          <w:p w14:paraId="13849889" w14:textId="77777777" w:rsidR="003D2A75" w:rsidRPr="003D2A75" w:rsidRDefault="003D2A75" w:rsidP="003D2A75">
            <w:pPr>
              <w:spacing w:after="0" w:line="240" w:lineRule="auto"/>
              <w:jc w:val="center"/>
              <w:rPr>
                <w:rFonts w:ascii="Cambria" w:eastAsia="Times New Roman" w:hAnsi="Cambria" w:cs="Calibri"/>
                <w:color w:val="000000"/>
                <w:kern w:val="0"/>
                <w:sz w:val="18"/>
                <w:szCs w:val="18"/>
                <w:lang w:eastAsia="es-CL"/>
                <w14:ligatures w14:val="none"/>
              </w:rPr>
            </w:pPr>
            <w:r w:rsidRPr="003D2A75">
              <w:rPr>
                <w:rFonts w:ascii="Cambria" w:eastAsia="Times New Roman" w:hAnsi="Cambria" w:cs="Calibri"/>
                <w:color w:val="000000"/>
                <w:kern w:val="0"/>
                <w:sz w:val="18"/>
                <w:szCs w:val="18"/>
                <w:lang w:eastAsia="es-CL"/>
                <w14:ligatures w14:val="none"/>
              </w:rPr>
              <w:t>4</w:t>
            </w:r>
          </w:p>
        </w:tc>
        <w:tc>
          <w:tcPr>
            <w:tcW w:w="1420" w:type="dxa"/>
            <w:tcBorders>
              <w:top w:val="nil"/>
              <w:left w:val="nil"/>
              <w:bottom w:val="single" w:sz="8" w:space="0" w:color="000000"/>
              <w:right w:val="single" w:sz="8" w:space="0" w:color="000000"/>
            </w:tcBorders>
            <w:shd w:val="clear" w:color="000000" w:fill="FFE699"/>
            <w:vAlign w:val="center"/>
            <w:hideMark/>
          </w:tcPr>
          <w:p w14:paraId="60DC6E26" w14:textId="77777777" w:rsidR="003D2A75" w:rsidRPr="003D2A75" w:rsidRDefault="003D2A75" w:rsidP="003D2A75">
            <w:pPr>
              <w:spacing w:after="0" w:line="240" w:lineRule="auto"/>
              <w:jc w:val="center"/>
              <w:rPr>
                <w:rFonts w:ascii="Cambria" w:eastAsia="Times New Roman" w:hAnsi="Cambria" w:cs="Calibri"/>
                <w:color w:val="000000"/>
                <w:kern w:val="0"/>
                <w:sz w:val="18"/>
                <w:szCs w:val="18"/>
                <w:lang w:eastAsia="es-CL"/>
                <w14:ligatures w14:val="none"/>
              </w:rPr>
            </w:pPr>
            <w:r w:rsidRPr="003D2A75">
              <w:rPr>
                <w:rFonts w:ascii="Cambria" w:eastAsia="Times New Roman" w:hAnsi="Cambria" w:cs="Calibri"/>
                <w:color w:val="000000"/>
                <w:kern w:val="0"/>
                <w:sz w:val="18"/>
                <w:szCs w:val="18"/>
                <w:lang w:eastAsia="es-CL"/>
                <w14:ligatures w14:val="none"/>
              </w:rPr>
              <w:t>1</w:t>
            </w:r>
          </w:p>
        </w:tc>
        <w:tc>
          <w:tcPr>
            <w:tcW w:w="1420" w:type="dxa"/>
            <w:tcBorders>
              <w:top w:val="nil"/>
              <w:left w:val="nil"/>
              <w:bottom w:val="single" w:sz="8" w:space="0" w:color="000000"/>
              <w:right w:val="single" w:sz="8" w:space="0" w:color="000000"/>
            </w:tcBorders>
            <w:shd w:val="clear" w:color="000000" w:fill="FFE699"/>
            <w:vAlign w:val="center"/>
            <w:hideMark/>
          </w:tcPr>
          <w:p w14:paraId="037A925B" w14:textId="77777777" w:rsidR="003D2A75" w:rsidRPr="003D2A75" w:rsidRDefault="003D2A75" w:rsidP="003D2A75">
            <w:pPr>
              <w:spacing w:after="0" w:line="240" w:lineRule="auto"/>
              <w:jc w:val="center"/>
              <w:rPr>
                <w:rFonts w:ascii="Cambria" w:eastAsia="Times New Roman" w:hAnsi="Cambria" w:cs="Calibri"/>
                <w:color w:val="000000"/>
                <w:kern w:val="0"/>
                <w:sz w:val="18"/>
                <w:szCs w:val="18"/>
                <w:lang w:eastAsia="es-CL"/>
                <w14:ligatures w14:val="none"/>
              </w:rPr>
            </w:pPr>
            <w:r w:rsidRPr="003D2A75">
              <w:rPr>
                <w:rFonts w:ascii="Cambria" w:eastAsia="Times New Roman" w:hAnsi="Cambria" w:cs="Calibri"/>
                <w:color w:val="000000"/>
                <w:kern w:val="0"/>
                <w:sz w:val="18"/>
                <w:szCs w:val="18"/>
                <w:lang w:eastAsia="es-CL"/>
                <w14:ligatures w14:val="none"/>
              </w:rPr>
              <w:t>77</w:t>
            </w:r>
          </w:p>
        </w:tc>
        <w:tc>
          <w:tcPr>
            <w:tcW w:w="1420" w:type="dxa"/>
            <w:tcBorders>
              <w:top w:val="nil"/>
              <w:left w:val="nil"/>
              <w:bottom w:val="single" w:sz="8" w:space="0" w:color="000000"/>
              <w:right w:val="single" w:sz="8" w:space="0" w:color="000000"/>
            </w:tcBorders>
            <w:shd w:val="clear" w:color="000000" w:fill="FFE699"/>
            <w:vAlign w:val="center"/>
            <w:hideMark/>
          </w:tcPr>
          <w:p w14:paraId="104D6BC7" w14:textId="77777777" w:rsidR="003D2A75" w:rsidRPr="003D2A75" w:rsidRDefault="003D2A75" w:rsidP="003D2A75">
            <w:pPr>
              <w:spacing w:after="0" w:line="240" w:lineRule="auto"/>
              <w:jc w:val="center"/>
              <w:rPr>
                <w:rFonts w:ascii="Cambria" w:eastAsia="Times New Roman" w:hAnsi="Cambria" w:cs="Calibri"/>
                <w:color w:val="000000"/>
                <w:kern w:val="0"/>
                <w:sz w:val="18"/>
                <w:szCs w:val="18"/>
                <w:lang w:eastAsia="es-CL"/>
                <w14:ligatures w14:val="none"/>
              </w:rPr>
            </w:pPr>
            <w:r w:rsidRPr="003D2A75">
              <w:rPr>
                <w:rFonts w:ascii="Cambria" w:eastAsia="Times New Roman" w:hAnsi="Cambria" w:cs="Calibri"/>
                <w:color w:val="000000"/>
                <w:kern w:val="0"/>
                <w:sz w:val="18"/>
                <w:szCs w:val="18"/>
                <w:lang w:eastAsia="es-CL"/>
                <w14:ligatures w14:val="none"/>
              </w:rPr>
              <w:t>10.945</w:t>
            </w:r>
          </w:p>
        </w:tc>
      </w:tr>
      <w:tr w:rsidR="003D2A75" w:rsidRPr="003D2A75" w14:paraId="6537B842" w14:textId="77777777" w:rsidTr="003D2A75">
        <w:trPr>
          <w:trHeight w:val="300"/>
          <w:jc w:val="center"/>
        </w:trPr>
        <w:tc>
          <w:tcPr>
            <w:tcW w:w="1200" w:type="dxa"/>
            <w:tcBorders>
              <w:top w:val="nil"/>
              <w:left w:val="single" w:sz="8" w:space="0" w:color="000000"/>
              <w:bottom w:val="nil"/>
              <w:right w:val="single" w:sz="8" w:space="0" w:color="000000"/>
            </w:tcBorders>
            <w:shd w:val="clear" w:color="000000" w:fill="FFE699"/>
            <w:vAlign w:val="center"/>
            <w:hideMark/>
          </w:tcPr>
          <w:p w14:paraId="1353890B" w14:textId="77777777" w:rsidR="003D2A75" w:rsidRPr="003D2A75" w:rsidRDefault="003D2A75" w:rsidP="003D2A75">
            <w:pPr>
              <w:spacing w:after="0" w:line="240" w:lineRule="auto"/>
              <w:jc w:val="center"/>
              <w:rPr>
                <w:rFonts w:ascii="Cambria" w:eastAsia="Times New Roman" w:hAnsi="Cambria" w:cs="Calibri"/>
                <w:b/>
                <w:bCs/>
                <w:color w:val="000000"/>
                <w:kern w:val="0"/>
                <w:sz w:val="18"/>
                <w:szCs w:val="18"/>
                <w:lang w:eastAsia="es-CL"/>
                <w14:ligatures w14:val="none"/>
              </w:rPr>
            </w:pPr>
            <w:r w:rsidRPr="003D2A75">
              <w:rPr>
                <w:rFonts w:ascii="Cambria" w:eastAsia="Times New Roman" w:hAnsi="Cambria" w:cs="Calibri"/>
                <w:b/>
                <w:bCs/>
                <w:color w:val="000000"/>
                <w:kern w:val="0"/>
                <w:sz w:val="18"/>
                <w:szCs w:val="18"/>
                <w:lang w:eastAsia="es-CL"/>
                <w14:ligatures w14:val="none"/>
              </w:rPr>
              <w:t>2023</w:t>
            </w:r>
          </w:p>
        </w:tc>
        <w:tc>
          <w:tcPr>
            <w:tcW w:w="1420" w:type="dxa"/>
            <w:tcBorders>
              <w:top w:val="single" w:sz="8" w:space="0" w:color="CCCCCC"/>
              <w:left w:val="nil"/>
              <w:bottom w:val="nil"/>
              <w:right w:val="single" w:sz="8" w:space="0" w:color="000000"/>
            </w:tcBorders>
            <w:shd w:val="clear" w:color="000000" w:fill="FFE699"/>
            <w:vAlign w:val="center"/>
            <w:hideMark/>
          </w:tcPr>
          <w:p w14:paraId="06BD24B2" w14:textId="77777777" w:rsidR="003D2A75" w:rsidRPr="003D2A75" w:rsidRDefault="003D2A75" w:rsidP="003D2A75">
            <w:pPr>
              <w:spacing w:after="0" w:line="240" w:lineRule="auto"/>
              <w:jc w:val="center"/>
              <w:rPr>
                <w:rFonts w:ascii="Cambria" w:eastAsia="Times New Roman" w:hAnsi="Cambria" w:cs="Calibri"/>
                <w:color w:val="000000"/>
                <w:kern w:val="0"/>
                <w:sz w:val="18"/>
                <w:szCs w:val="18"/>
                <w:lang w:eastAsia="es-CL"/>
                <w14:ligatures w14:val="none"/>
              </w:rPr>
            </w:pPr>
            <w:r w:rsidRPr="003D2A75">
              <w:rPr>
                <w:rFonts w:ascii="Cambria" w:eastAsia="Times New Roman" w:hAnsi="Cambria" w:cs="Calibri"/>
                <w:color w:val="000000"/>
                <w:kern w:val="0"/>
                <w:sz w:val="18"/>
                <w:szCs w:val="18"/>
                <w:lang w:eastAsia="es-CL"/>
                <w14:ligatures w14:val="none"/>
              </w:rPr>
              <w:t>6</w:t>
            </w:r>
          </w:p>
        </w:tc>
        <w:tc>
          <w:tcPr>
            <w:tcW w:w="1420" w:type="dxa"/>
            <w:tcBorders>
              <w:top w:val="single" w:sz="8" w:space="0" w:color="CCCCCC"/>
              <w:left w:val="nil"/>
              <w:bottom w:val="nil"/>
              <w:right w:val="single" w:sz="8" w:space="0" w:color="000000"/>
            </w:tcBorders>
            <w:shd w:val="clear" w:color="000000" w:fill="FFE699"/>
            <w:vAlign w:val="center"/>
            <w:hideMark/>
          </w:tcPr>
          <w:p w14:paraId="21356EE6" w14:textId="77777777" w:rsidR="003D2A75" w:rsidRPr="003D2A75" w:rsidRDefault="003D2A75" w:rsidP="003D2A75">
            <w:pPr>
              <w:spacing w:after="0" w:line="240" w:lineRule="auto"/>
              <w:jc w:val="center"/>
              <w:rPr>
                <w:rFonts w:ascii="Cambria" w:eastAsia="Times New Roman" w:hAnsi="Cambria" w:cs="Calibri"/>
                <w:color w:val="000000"/>
                <w:kern w:val="0"/>
                <w:sz w:val="18"/>
                <w:szCs w:val="18"/>
                <w:lang w:eastAsia="es-CL"/>
                <w14:ligatures w14:val="none"/>
              </w:rPr>
            </w:pPr>
            <w:r w:rsidRPr="003D2A75">
              <w:rPr>
                <w:rFonts w:ascii="Cambria" w:eastAsia="Times New Roman" w:hAnsi="Cambria" w:cs="Calibri"/>
                <w:color w:val="000000"/>
                <w:kern w:val="0"/>
                <w:sz w:val="18"/>
                <w:szCs w:val="18"/>
                <w:lang w:eastAsia="es-CL"/>
                <w14:ligatures w14:val="none"/>
              </w:rPr>
              <w:t>0</w:t>
            </w:r>
          </w:p>
        </w:tc>
        <w:tc>
          <w:tcPr>
            <w:tcW w:w="1420" w:type="dxa"/>
            <w:tcBorders>
              <w:top w:val="single" w:sz="8" w:space="0" w:color="CCCCCC"/>
              <w:left w:val="nil"/>
              <w:bottom w:val="nil"/>
              <w:right w:val="single" w:sz="8" w:space="0" w:color="000000"/>
            </w:tcBorders>
            <w:shd w:val="clear" w:color="000000" w:fill="FFE699"/>
            <w:vAlign w:val="center"/>
            <w:hideMark/>
          </w:tcPr>
          <w:p w14:paraId="19EC23CE" w14:textId="77777777" w:rsidR="003D2A75" w:rsidRPr="003D2A75" w:rsidRDefault="003D2A75" w:rsidP="003D2A75">
            <w:pPr>
              <w:spacing w:after="0" w:line="240" w:lineRule="auto"/>
              <w:jc w:val="center"/>
              <w:rPr>
                <w:rFonts w:ascii="Cambria" w:eastAsia="Times New Roman" w:hAnsi="Cambria" w:cs="Calibri"/>
                <w:color w:val="000000"/>
                <w:kern w:val="0"/>
                <w:sz w:val="18"/>
                <w:szCs w:val="18"/>
                <w:lang w:eastAsia="es-CL"/>
                <w14:ligatures w14:val="none"/>
              </w:rPr>
            </w:pPr>
            <w:r w:rsidRPr="003D2A75">
              <w:rPr>
                <w:rFonts w:ascii="Cambria" w:eastAsia="Times New Roman" w:hAnsi="Cambria" w:cs="Calibri"/>
                <w:color w:val="000000"/>
                <w:kern w:val="0"/>
                <w:sz w:val="18"/>
                <w:szCs w:val="18"/>
                <w:lang w:eastAsia="es-CL"/>
                <w14:ligatures w14:val="none"/>
              </w:rPr>
              <w:t>0</w:t>
            </w:r>
          </w:p>
        </w:tc>
        <w:tc>
          <w:tcPr>
            <w:tcW w:w="1420" w:type="dxa"/>
            <w:tcBorders>
              <w:top w:val="single" w:sz="8" w:space="0" w:color="CCCCCC"/>
              <w:left w:val="nil"/>
              <w:bottom w:val="nil"/>
              <w:right w:val="single" w:sz="8" w:space="0" w:color="000000"/>
            </w:tcBorders>
            <w:shd w:val="clear" w:color="000000" w:fill="FFE699"/>
            <w:vAlign w:val="center"/>
            <w:hideMark/>
          </w:tcPr>
          <w:p w14:paraId="13265CCC" w14:textId="77777777" w:rsidR="003D2A75" w:rsidRPr="003D2A75" w:rsidRDefault="003D2A75" w:rsidP="003D2A75">
            <w:pPr>
              <w:spacing w:after="0" w:line="240" w:lineRule="auto"/>
              <w:jc w:val="center"/>
              <w:rPr>
                <w:rFonts w:ascii="Cambria" w:eastAsia="Times New Roman" w:hAnsi="Cambria" w:cs="Calibri"/>
                <w:color w:val="000000"/>
                <w:kern w:val="0"/>
                <w:sz w:val="18"/>
                <w:szCs w:val="18"/>
                <w:lang w:eastAsia="es-CL"/>
                <w14:ligatures w14:val="none"/>
              </w:rPr>
            </w:pPr>
            <w:r w:rsidRPr="003D2A75">
              <w:rPr>
                <w:rFonts w:ascii="Cambria" w:eastAsia="Times New Roman" w:hAnsi="Cambria" w:cs="Calibri"/>
                <w:color w:val="000000"/>
                <w:kern w:val="0"/>
                <w:sz w:val="18"/>
                <w:szCs w:val="18"/>
                <w:lang w:eastAsia="es-CL"/>
                <w14:ligatures w14:val="none"/>
              </w:rPr>
              <w:t>267</w:t>
            </w:r>
          </w:p>
        </w:tc>
        <w:tc>
          <w:tcPr>
            <w:tcW w:w="1420" w:type="dxa"/>
            <w:tcBorders>
              <w:top w:val="single" w:sz="8" w:space="0" w:color="CCCCCC"/>
              <w:left w:val="nil"/>
              <w:bottom w:val="nil"/>
              <w:right w:val="single" w:sz="8" w:space="0" w:color="000000"/>
            </w:tcBorders>
            <w:shd w:val="clear" w:color="000000" w:fill="FFE699"/>
            <w:vAlign w:val="center"/>
            <w:hideMark/>
          </w:tcPr>
          <w:p w14:paraId="41C2B21C" w14:textId="77777777" w:rsidR="003D2A75" w:rsidRPr="003D2A75" w:rsidRDefault="003D2A75" w:rsidP="003D2A75">
            <w:pPr>
              <w:spacing w:after="0" w:line="240" w:lineRule="auto"/>
              <w:jc w:val="center"/>
              <w:rPr>
                <w:rFonts w:ascii="Cambria" w:eastAsia="Times New Roman" w:hAnsi="Cambria" w:cs="Calibri"/>
                <w:color w:val="000000"/>
                <w:kern w:val="0"/>
                <w:sz w:val="18"/>
                <w:szCs w:val="18"/>
                <w:lang w:eastAsia="es-CL"/>
                <w14:ligatures w14:val="none"/>
              </w:rPr>
            </w:pPr>
            <w:r w:rsidRPr="003D2A75">
              <w:rPr>
                <w:rFonts w:ascii="Cambria" w:eastAsia="Times New Roman" w:hAnsi="Cambria" w:cs="Calibri"/>
                <w:color w:val="000000"/>
                <w:kern w:val="0"/>
                <w:sz w:val="18"/>
                <w:szCs w:val="18"/>
                <w:lang w:eastAsia="es-CL"/>
                <w14:ligatures w14:val="none"/>
              </w:rPr>
              <w:t>12.073</w:t>
            </w:r>
          </w:p>
        </w:tc>
      </w:tr>
      <w:tr w:rsidR="003D2A75" w:rsidRPr="003D2A75" w14:paraId="21034C6C" w14:textId="77777777" w:rsidTr="003D2A75">
        <w:trPr>
          <w:trHeight w:val="300"/>
          <w:jc w:val="center"/>
        </w:trPr>
        <w:tc>
          <w:tcPr>
            <w:tcW w:w="1200" w:type="dxa"/>
            <w:tcBorders>
              <w:top w:val="single" w:sz="8" w:space="0" w:color="auto"/>
              <w:left w:val="single" w:sz="8" w:space="0" w:color="auto"/>
              <w:bottom w:val="single" w:sz="8" w:space="0" w:color="auto"/>
              <w:right w:val="single" w:sz="8" w:space="0" w:color="000000"/>
            </w:tcBorders>
            <w:shd w:val="clear" w:color="000000" w:fill="BDD7EE"/>
            <w:vAlign w:val="center"/>
            <w:hideMark/>
          </w:tcPr>
          <w:p w14:paraId="25A49EE2" w14:textId="77777777" w:rsidR="003D2A75" w:rsidRPr="003D2A75" w:rsidRDefault="003D2A75" w:rsidP="003D2A75">
            <w:pPr>
              <w:spacing w:after="0" w:line="240" w:lineRule="auto"/>
              <w:jc w:val="center"/>
              <w:rPr>
                <w:rFonts w:ascii="Cambria" w:eastAsia="Times New Roman" w:hAnsi="Cambria" w:cs="Calibri"/>
                <w:b/>
                <w:bCs/>
                <w:color w:val="000000"/>
                <w:kern w:val="0"/>
                <w:sz w:val="18"/>
                <w:szCs w:val="18"/>
                <w:lang w:eastAsia="es-CL"/>
                <w14:ligatures w14:val="none"/>
              </w:rPr>
            </w:pPr>
            <w:r w:rsidRPr="003D2A75">
              <w:rPr>
                <w:rFonts w:ascii="Cambria" w:eastAsia="Times New Roman" w:hAnsi="Cambria" w:cs="Calibri"/>
                <w:b/>
                <w:bCs/>
                <w:color w:val="000000"/>
                <w:kern w:val="0"/>
                <w:sz w:val="18"/>
                <w:szCs w:val="18"/>
                <w:lang w:eastAsia="es-CL"/>
                <w14:ligatures w14:val="none"/>
              </w:rPr>
              <w:t xml:space="preserve">Total </w:t>
            </w:r>
          </w:p>
        </w:tc>
        <w:tc>
          <w:tcPr>
            <w:tcW w:w="1420" w:type="dxa"/>
            <w:tcBorders>
              <w:top w:val="single" w:sz="8" w:space="0" w:color="auto"/>
              <w:left w:val="nil"/>
              <w:bottom w:val="single" w:sz="8" w:space="0" w:color="auto"/>
              <w:right w:val="single" w:sz="8" w:space="0" w:color="000000"/>
            </w:tcBorders>
            <w:shd w:val="clear" w:color="000000" w:fill="BDD7EE"/>
            <w:vAlign w:val="center"/>
            <w:hideMark/>
          </w:tcPr>
          <w:p w14:paraId="377014F3" w14:textId="77777777" w:rsidR="003D2A75" w:rsidRPr="003D2A75" w:rsidRDefault="003D2A75" w:rsidP="003D2A75">
            <w:pPr>
              <w:spacing w:after="0" w:line="240" w:lineRule="auto"/>
              <w:jc w:val="center"/>
              <w:rPr>
                <w:rFonts w:ascii="Cambria" w:eastAsia="Times New Roman" w:hAnsi="Cambria" w:cs="Calibri"/>
                <w:color w:val="000000"/>
                <w:kern w:val="0"/>
                <w:sz w:val="18"/>
                <w:szCs w:val="18"/>
                <w:lang w:eastAsia="es-CL"/>
                <w14:ligatures w14:val="none"/>
              </w:rPr>
            </w:pPr>
            <w:r w:rsidRPr="003D2A75">
              <w:rPr>
                <w:rFonts w:ascii="Cambria" w:eastAsia="Times New Roman" w:hAnsi="Cambria" w:cs="Calibri"/>
                <w:color w:val="000000"/>
                <w:kern w:val="0"/>
                <w:sz w:val="18"/>
                <w:szCs w:val="18"/>
                <w:lang w:eastAsia="es-CL"/>
                <w14:ligatures w14:val="none"/>
              </w:rPr>
              <w:t>23</w:t>
            </w:r>
          </w:p>
        </w:tc>
        <w:tc>
          <w:tcPr>
            <w:tcW w:w="1420" w:type="dxa"/>
            <w:tcBorders>
              <w:top w:val="single" w:sz="8" w:space="0" w:color="auto"/>
              <w:left w:val="nil"/>
              <w:bottom w:val="single" w:sz="8" w:space="0" w:color="auto"/>
              <w:right w:val="single" w:sz="8" w:space="0" w:color="000000"/>
            </w:tcBorders>
            <w:shd w:val="clear" w:color="000000" w:fill="BDD7EE"/>
            <w:vAlign w:val="center"/>
            <w:hideMark/>
          </w:tcPr>
          <w:p w14:paraId="61E087BD" w14:textId="77777777" w:rsidR="003D2A75" w:rsidRPr="003D2A75" w:rsidRDefault="003D2A75" w:rsidP="003D2A75">
            <w:pPr>
              <w:spacing w:after="0" w:line="240" w:lineRule="auto"/>
              <w:jc w:val="center"/>
              <w:rPr>
                <w:rFonts w:ascii="Cambria" w:eastAsia="Times New Roman" w:hAnsi="Cambria" w:cs="Calibri"/>
                <w:color w:val="000000"/>
                <w:kern w:val="0"/>
                <w:sz w:val="18"/>
                <w:szCs w:val="18"/>
                <w:lang w:eastAsia="es-CL"/>
                <w14:ligatures w14:val="none"/>
              </w:rPr>
            </w:pPr>
            <w:r w:rsidRPr="003D2A75">
              <w:rPr>
                <w:rFonts w:ascii="Cambria" w:eastAsia="Times New Roman" w:hAnsi="Cambria" w:cs="Calibri"/>
                <w:color w:val="000000"/>
                <w:kern w:val="0"/>
                <w:sz w:val="18"/>
                <w:szCs w:val="18"/>
                <w:lang w:eastAsia="es-CL"/>
                <w14:ligatures w14:val="none"/>
              </w:rPr>
              <w:t>4</w:t>
            </w:r>
          </w:p>
        </w:tc>
        <w:tc>
          <w:tcPr>
            <w:tcW w:w="1420" w:type="dxa"/>
            <w:tcBorders>
              <w:top w:val="single" w:sz="8" w:space="0" w:color="auto"/>
              <w:left w:val="nil"/>
              <w:bottom w:val="single" w:sz="8" w:space="0" w:color="auto"/>
              <w:right w:val="single" w:sz="8" w:space="0" w:color="000000"/>
            </w:tcBorders>
            <w:shd w:val="clear" w:color="000000" w:fill="BDD7EE"/>
            <w:vAlign w:val="center"/>
            <w:hideMark/>
          </w:tcPr>
          <w:p w14:paraId="7DC45937" w14:textId="77777777" w:rsidR="003D2A75" w:rsidRPr="003D2A75" w:rsidRDefault="003D2A75" w:rsidP="003D2A75">
            <w:pPr>
              <w:spacing w:after="0" w:line="240" w:lineRule="auto"/>
              <w:jc w:val="center"/>
              <w:rPr>
                <w:rFonts w:ascii="Cambria" w:eastAsia="Times New Roman" w:hAnsi="Cambria" w:cs="Calibri"/>
                <w:color w:val="000000"/>
                <w:kern w:val="0"/>
                <w:sz w:val="18"/>
                <w:szCs w:val="18"/>
                <w:lang w:eastAsia="es-CL"/>
                <w14:ligatures w14:val="none"/>
              </w:rPr>
            </w:pPr>
            <w:r w:rsidRPr="003D2A75">
              <w:rPr>
                <w:rFonts w:ascii="Cambria" w:eastAsia="Times New Roman" w:hAnsi="Cambria" w:cs="Calibri"/>
                <w:color w:val="000000"/>
                <w:kern w:val="0"/>
                <w:sz w:val="18"/>
                <w:szCs w:val="18"/>
                <w:lang w:eastAsia="es-CL"/>
                <w14:ligatures w14:val="none"/>
              </w:rPr>
              <w:t>1</w:t>
            </w:r>
          </w:p>
        </w:tc>
        <w:tc>
          <w:tcPr>
            <w:tcW w:w="1420" w:type="dxa"/>
            <w:tcBorders>
              <w:top w:val="single" w:sz="8" w:space="0" w:color="auto"/>
              <w:left w:val="nil"/>
              <w:bottom w:val="single" w:sz="8" w:space="0" w:color="auto"/>
              <w:right w:val="single" w:sz="8" w:space="0" w:color="000000"/>
            </w:tcBorders>
            <w:shd w:val="clear" w:color="000000" w:fill="BDD7EE"/>
            <w:vAlign w:val="center"/>
            <w:hideMark/>
          </w:tcPr>
          <w:p w14:paraId="709F80F9" w14:textId="77777777" w:rsidR="003D2A75" w:rsidRPr="003D2A75" w:rsidRDefault="003D2A75" w:rsidP="003D2A75">
            <w:pPr>
              <w:spacing w:after="0" w:line="240" w:lineRule="auto"/>
              <w:jc w:val="center"/>
              <w:rPr>
                <w:rFonts w:ascii="Cambria" w:eastAsia="Times New Roman" w:hAnsi="Cambria" w:cs="Calibri"/>
                <w:color w:val="000000"/>
                <w:kern w:val="0"/>
                <w:sz w:val="18"/>
                <w:szCs w:val="18"/>
                <w:lang w:eastAsia="es-CL"/>
                <w14:ligatures w14:val="none"/>
              </w:rPr>
            </w:pPr>
            <w:r w:rsidRPr="003D2A75">
              <w:rPr>
                <w:rFonts w:ascii="Cambria" w:eastAsia="Times New Roman" w:hAnsi="Cambria" w:cs="Calibri"/>
                <w:color w:val="000000"/>
                <w:kern w:val="0"/>
                <w:sz w:val="18"/>
                <w:szCs w:val="18"/>
                <w:lang w:eastAsia="es-CL"/>
                <w14:ligatures w14:val="none"/>
              </w:rPr>
              <w:t>344</w:t>
            </w:r>
          </w:p>
        </w:tc>
        <w:tc>
          <w:tcPr>
            <w:tcW w:w="1420" w:type="dxa"/>
            <w:tcBorders>
              <w:top w:val="single" w:sz="8" w:space="0" w:color="auto"/>
              <w:left w:val="nil"/>
              <w:bottom w:val="single" w:sz="8" w:space="0" w:color="auto"/>
              <w:right w:val="single" w:sz="8" w:space="0" w:color="auto"/>
            </w:tcBorders>
            <w:shd w:val="clear" w:color="000000" w:fill="BDD7EE"/>
            <w:vAlign w:val="center"/>
            <w:hideMark/>
          </w:tcPr>
          <w:p w14:paraId="3223C32C" w14:textId="77777777" w:rsidR="003D2A75" w:rsidRPr="003D2A75" w:rsidRDefault="003D2A75" w:rsidP="003D2A75">
            <w:pPr>
              <w:spacing w:after="0" w:line="240" w:lineRule="auto"/>
              <w:jc w:val="center"/>
              <w:rPr>
                <w:rFonts w:ascii="Cambria" w:eastAsia="Times New Roman" w:hAnsi="Cambria" w:cs="Calibri"/>
                <w:color w:val="000000"/>
                <w:kern w:val="0"/>
                <w:sz w:val="18"/>
                <w:szCs w:val="18"/>
                <w:lang w:eastAsia="es-CL"/>
                <w14:ligatures w14:val="none"/>
              </w:rPr>
            </w:pPr>
            <w:r w:rsidRPr="003D2A75">
              <w:rPr>
                <w:rFonts w:ascii="Cambria" w:eastAsia="Times New Roman" w:hAnsi="Cambria" w:cs="Calibri"/>
                <w:color w:val="000000"/>
                <w:kern w:val="0"/>
                <w:sz w:val="18"/>
                <w:szCs w:val="18"/>
                <w:lang w:eastAsia="es-CL"/>
                <w14:ligatures w14:val="none"/>
              </w:rPr>
              <w:t>23.018</w:t>
            </w:r>
          </w:p>
        </w:tc>
      </w:tr>
      <w:tr w:rsidR="003D2A75" w:rsidRPr="003D2A75" w14:paraId="4FCD5C4B" w14:textId="77777777" w:rsidTr="003D2A75">
        <w:trPr>
          <w:trHeight w:val="460"/>
          <w:jc w:val="center"/>
        </w:trPr>
        <w:tc>
          <w:tcPr>
            <w:tcW w:w="830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697921F" w14:textId="77777777" w:rsidR="003D2A75" w:rsidRPr="003D2A75" w:rsidRDefault="003D2A75" w:rsidP="003D2A75">
            <w:pPr>
              <w:spacing w:after="0" w:line="240" w:lineRule="auto"/>
              <w:jc w:val="center"/>
              <w:rPr>
                <w:rFonts w:ascii="Cambria" w:eastAsia="Times New Roman" w:hAnsi="Cambria" w:cs="Calibri"/>
                <w:color w:val="000000"/>
                <w:kern w:val="0"/>
                <w:sz w:val="18"/>
                <w:szCs w:val="18"/>
                <w:lang w:eastAsia="es-CL"/>
                <w14:ligatures w14:val="none"/>
              </w:rPr>
            </w:pPr>
            <w:r w:rsidRPr="003D2A75">
              <w:rPr>
                <w:rFonts w:ascii="Cambria" w:eastAsia="Times New Roman" w:hAnsi="Cambria" w:cs="Calibri"/>
                <w:color w:val="000000"/>
                <w:kern w:val="0"/>
                <w:sz w:val="18"/>
                <w:szCs w:val="18"/>
                <w:lang w:eastAsia="es-CL"/>
                <w14:ligatures w14:val="none"/>
              </w:rPr>
              <w:t>Fuente: Datos obtenidos por Ley de Transparencia desde el Servicio Nacional de Migraciones AB099T0036907.</w:t>
            </w:r>
          </w:p>
        </w:tc>
      </w:tr>
    </w:tbl>
    <w:p w14:paraId="7059B748" w14:textId="09AC32B0" w:rsidR="002E35A9" w:rsidRDefault="002E35A9" w:rsidP="00DD5AF0">
      <w:pPr>
        <w:jc w:val="both"/>
      </w:pPr>
    </w:p>
    <w:p w14:paraId="592D4AD7" w14:textId="48EE3C18" w:rsidR="00AE0045" w:rsidRDefault="00AE0045" w:rsidP="00AE0045">
      <w:pPr>
        <w:jc w:val="both"/>
      </w:pPr>
      <w:r>
        <w:t xml:space="preserve">Se </w:t>
      </w:r>
      <w:r w:rsidR="00A13DD4">
        <w:t>destaca</w:t>
      </w:r>
      <w:r>
        <w:t xml:space="preserve"> el avance en protección de infancia migrante. Sin embargo, hay una situación preocupante respecto de niños y niñas venezolanos y haitianos y las dificultades para recopilar los documentos que se les solicita para la solicitud de dicha visa</w:t>
      </w:r>
      <w:r w:rsidR="007A6929">
        <w:t>, lo que los ha marginado de tal protección</w:t>
      </w:r>
      <w:r>
        <w:t xml:space="preserve">. </w:t>
      </w:r>
    </w:p>
    <w:p w14:paraId="4FBCE465" w14:textId="5B44020E" w:rsidR="00AE0045" w:rsidRDefault="00AE0045" w:rsidP="00AE0045">
      <w:pPr>
        <w:jc w:val="both"/>
      </w:pPr>
      <w:r>
        <w:t>A su vez, varios de estos permisos podrían ayudar en la regularización de muchas personas, pero en su implementación hay dificultades de acceso ya que se les exige evidenciar su categoría de víctimas</w:t>
      </w:r>
      <w:r w:rsidR="007A6929">
        <w:t xml:space="preserve"> de delito</w:t>
      </w:r>
      <w:r>
        <w:t xml:space="preserve"> en etapas avanzadas del proceso penal, o, en el caso de la visa para embarazadas, deben haber ingresado por paso habilitado. </w:t>
      </w:r>
      <w:r w:rsidR="007A6929">
        <w:t xml:space="preserve">Esto ha desaprovechado el potencial de dichas herramientas para avanzar en la regularización y protección de tales grupos. </w:t>
      </w:r>
    </w:p>
    <w:p w14:paraId="7989BCEF" w14:textId="03AB1BF1" w:rsidR="00390E38" w:rsidRDefault="00390E38" w:rsidP="00DD5AF0">
      <w:pPr>
        <w:jc w:val="both"/>
        <w:rPr>
          <w:b/>
          <w:bCs/>
        </w:rPr>
      </w:pPr>
      <w:r>
        <w:rPr>
          <w:b/>
          <w:bCs/>
        </w:rPr>
        <w:t xml:space="preserve">5. Refugio </w:t>
      </w:r>
      <w:r w:rsidR="000A4C05">
        <w:rPr>
          <w:b/>
          <w:bCs/>
        </w:rPr>
        <w:t xml:space="preserve">y Protección Complementaria </w:t>
      </w:r>
    </w:p>
    <w:p w14:paraId="5625A554" w14:textId="5C153252" w:rsidR="00AE0045" w:rsidRPr="00AE0045" w:rsidRDefault="00AE0045" w:rsidP="00AE0045">
      <w:pPr>
        <w:jc w:val="both"/>
      </w:pPr>
      <w:r w:rsidRPr="00AE0045">
        <w:t xml:space="preserve">En esta materia, el Estado de Chile está en falta con sus compromisos internacionales. Pese a una ley de poco más de diez años de antigüedad, muy progresista, se han establecido en la práctica muchas dificultades para acceder al formulario que permite ingresar al procedimiento lo que derivó en una sobre judicialización y sobrecarga de las Cortes. En ese contexto en mayo de este año </w:t>
      </w:r>
      <w:r>
        <w:t>(</w:t>
      </w:r>
      <w:r w:rsidRPr="00AE0045">
        <w:t>previa solicitud de la Corte Suprema) el Servicio Nacional de Migraciones (SERMIG) estableció en un manual</w:t>
      </w:r>
      <w:r w:rsidR="007A6929">
        <w:t xml:space="preserve"> que indica un protocolo para acceder al procedimiento de reconocimiento de la condición de refugiado</w:t>
      </w:r>
      <w:r w:rsidR="00F56D14">
        <w:rPr>
          <w:rStyle w:val="FootnoteReference"/>
        </w:rPr>
        <w:footnoteReference w:id="5"/>
      </w:r>
      <w:r w:rsidRPr="00AE0045">
        <w:t xml:space="preserve">. </w:t>
      </w:r>
    </w:p>
    <w:p w14:paraId="3126C5E1" w14:textId="65C1D253" w:rsidR="00F56D14" w:rsidRDefault="00AE0045" w:rsidP="00AE0045">
      <w:pPr>
        <w:jc w:val="both"/>
      </w:pPr>
      <w:r>
        <w:t>L</w:t>
      </w:r>
      <w:r w:rsidRPr="00AE0045">
        <w:t xml:space="preserve">a regulación al acceso al procedimiento para determinación de la condición de refugiado </w:t>
      </w:r>
      <w:r w:rsidR="007A6929">
        <w:t xml:space="preserve">ha resultado en </w:t>
      </w:r>
      <w:r w:rsidRPr="00AE0045">
        <w:t>un mecanismo preliminar de facto. A su vez, se ha presentado un proyecto de ley para legalizar dicha etapa preliminar que no les permitiría a las personas solicitantes acceder a una visa en dicha fase</w:t>
      </w:r>
      <w:r w:rsidR="007A6929">
        <w:t xml:space="preserve"> previa</w:t>
      </w:r>
      <w:r w:rsidRPr="00AE0045">
        <w:t>, a diferencia del procedimiento actual en que una vez formalizada la solicitud es posible acceder a una visa temporal</w:t>
      </w:r>
      <w:r w:rsidR="007A6929">
        <w:t xml:space="preserve"> que permite desarrollar actividades laborales</w:t>
      </w:r>
      <w:r w:rsidRPr="00AE0045">
        <w:t xml:space="preserve">. </w:t>
      </w:r>
      <w:r w:rsidR="00E32DCA">
        <w:t xml:space="preserve">En dicho proyecto, también se propone, que las personas solo puedan ser solicitantes de refugio si es Chile el primer país seguro al que llegan, y un plazo muy breve para solicitar refugio a nivel comparado, de </w:t>
      </w:r>
      <w:r w:rsidR="00E32DCA">
        <w:lastRenderedPageBreak/>
        <w:t>diez días desde el ingreso al territorio. De aprobarse dicho proyecto de ley, es muy preocupante lo que sucederá con el ya bajísimo número de reconocimiento de casos de refugio.</w:t>
      </w:r>
    </w:p>
    <w:p w14:paraId="2828ED28" w14:textId="6554D633" w:rsidR="00AE0045" w:rsidRDefault="00AE0045" w:rsidP="00AE0045">
      <w:pPr>
        <w:jc w:val="both"/>
      </w:pPr>
      <w:r>
        <w:t xml:space="preserve">La histórica exclusión de acceso a los mecanismos de protección internacional se traduce en cifras concretas: en el período entre 2010 y 2022, </w:t>
      </w:r>
      <w:r w:rsidRPr="007A6929">
        <w:rPr>
          <w:b/>
          <w:bCs/>
        </w:rPr>
        <w:t>de un total de 26</w:t>
      </w:r>
      <w:r w:rsidR="00F56D14" w:rsidRPr="007A6929">
        <w:rPr>
          <w:b/>
          <w:bCs/>
        </w:rPr>
        <w:t>.</w:t>
      </w:r>
      <w:r w:rsidRPr="007A6929">
        <w:rPr>
          <w:b/>
          <w:bCs/>
        </w:rPr>
        <w:t>985 solicitudes</w:t>
      </w:r>
      <w:r>
        <w:t xml:space="preserve"> de refugio</w:t>
      </w:r>
      <w:r w:rsidR="00F56D14">
        <w:t xml:space="preserve"> formalizadas</w:t>
      </w:r>
      <w:r>
        <w:t xml:space="preserve">, solo </w:t>
      </w:r>
      <w:r w:rsidRPr="007A6929">
        <w:rPr>
          <w:b/>
          <w:bCs/>
        </w:rPr>
        <w:t>se reconoció la condición de refugiado a 714 personas (2,8%)</w:t>
      </w:r>
      <w:r w:rsidR="00F56D14">
        <w:rPr>
          <w:rStyle w:val="FootnoteReference"/>
        </w:rPr>
        <w:footnoteReference w:id="6"/>
      </w:r>
      <w:r>
        <w:t xml:space="preserve">. </w:t>
      </w:r>
    </w:p>
    <w:p w14:paraId="3614D8A1" w14:textId="77777777" w:rsidR="00872442" w:rsidRDefault="00BF03E6" w:rsidP="00DC4CA2">
      <w:pPr>
        <w:jc w:val="both"/>
      </w:pPr>
      <w:r>
        <w:t xml:space="preserve">Atendido el bajo reconocimiento de la condición de refugiado resulta especialmente preocupante que </w:t>
      </w:r>
      <w:r w:rsidR="00DA2C5C">
        <w:t>aún no se dicte el decreto que especificará la tramitación de la protección complementaria</w:t>
      </w:r>
      <w:r w:rsidR="00872442">
        <w:t>, visa a la que puede acceder todo aquel al que se le ha rechazado su solicitud de refugio</w:t>
      </w:r>
      <w:r w:rsidR="00DA2C5C">
        <w:t xml:space="preserve">. </w:t>
      </w:r>
    </w:p>
    <w:p w14:paraId="273537EA" w14:textId="662CCEA5" w:rsidR="00AE0045" w:rsidRPr="00AE0045" w:rsidRDefault="00DA2C5C" w:rsidP="00DC4CA2">
      <w:pPr>
        <w:jc w:val="both"/>
      </w:pPr>
      <w:r>
        <w:t xml:space="preserve">Si bien la Ley 21.325 </w:t>
      </w:r>
      <w:r w:rsidR="00581A67">
        <w:t xml:space="preserve">establece lo esencial </w:t>
      </w:r>
      <w:r>
        <w:t>señala</w:t>
      </w:r>
      <w:r w:rsidR="00581A67">
        <w:t xml:space="preserve">ndo </w:t>
      </w:r>
      <w:r>
        <w:t xml:space="preserve">que </w:t>
      </w:r>
      <w:r w:rsidR="00581A67">
        <w:t xml:space="preserve">se otorgará protección complementaria a quienes no les sea reconocida la calidad de refugiado, se establece una remisión a la Política Nacional de Migraciones la cual </w:t>
      </w:r>
      <w:r w:rsidR="00CC09F9">
        <w:t>se encuentra pendiente de aprobación por la Contraloría General de la República</w:t>
      </w:r>
      <w:r w:rsidR="00E32DCA">
        <w:t xml:space="preserve"> pese a que el mandato de elaborarla es desde hace más de un año</w:t>
      </w:r>
      <w:r w:rsidR="00581A67">
        <w:t xml:space="preserve">. </w:t>
      </w:r>
      <w:r w:rsidR="00DC4CA2">
        <w:t xml:space="preserve">La urgencia de que se pueda otorgar protección complementaria en un contexto de crisis humanitaria regional no ha sido </w:t>
      </w:r>
      <w:r w:rsidR="00E32DCA">
        <w:t>abordada</w:t>
      </w:r>
      <w:r w:rsidR="00DC4CA2">
        <w:t xml:space="preserve"> por </w:t>
      </w:r>
      <w:r w:rsidR="00E32DCA">
        <w:t xml:space="preserve">Chile. </w:t>
      </w:r>
    </w:p>
    <w:p w14:paraId="2C97FEDD" w14:textId="43181638" w:rsidR="008A29E3" w:rsidRDefault="008A29E3" w:rsidP="00DD5AF0">
      <w:pPr>
        <w:jc w:val="both"/>
        <w:rPr>
          <w:b/>
          <w:bCs/>
        </w:rPr>
      </w:pPr>
      <w:r>
        <w:rPr>
          <w:b/>
          <w:bCs/>
        </w:rPr>
        <w:t>6. Detenciones y Expulsiones</w:t>
      </w:r>
    </w:p>
    <w:p w14:paraId="341E122F" w14:textId="765FB361" w:rsidR="00E32DCA" w:rsidRDefault="008A29E3" w:rsidP="00DD5AF0">
      <w:pPr>
        <w:jc w:val="both"/>
      </w:pPr>
      <w:r>
        <w:t>En agosto del presente año se aprobó modificar en la Constitución</w:t>
      </w:r>
      <w:r w:rsidR="00E32DCA">
        <w:t xml:space="preserve"> chilena, y, como consecuencia,</w:t>
      </w:r>
      <w:r>
        <w:t xml:space="preserve"> en la ley</w:t>
      </w:r>
      <w:r w:rsidR="00E32DCA">
        <w:t>,</w:t>
      </w:r>
      <w:r>
        <w:t xml:space="preserve"> el plazo de detención de personas extranjeras para materializar las expulsiones administrativas, ampliándolo de 48 horas a 5 días corridos máximo. </w:t>
      </w:r>
      <w:r w:rsidR="00E32DCA">
        <w:t>Esto es una clara discriminación en limitar la libertad personal de las personas, ya que, un ciudadano chileno solo puede ser detenido por 48 horas.</w:t>
      </w:r>
    </w:p>
    <w:p w14:paraId="7FCA6D26" w14:textId="4CF46BAB" w:rsidR="000C79F4" w:rsidRDefault="00E32DCA" w:rsidP="00DD5AF0">
      <w:pPr>
        <w:jc w:val="both"/>
      </w:pPr>
      <w:r>
        <w:t>El</w:t>
      </w:r>
      <w:r w:rsidR="00F8160E">
        <w:t xml:space="preserve"> objetivo </w:t>
      </w:r>
      <w:r>
        <w:t xml:space="preserve">argüido de aprobar esto, fue el </w:t>
      </w:r>
      <w:r w:rsidR="00F8160E">
        <w:t>de agilizar y hacer más eficiente el proceso de expulsiones que tiene como antecedente el contexto de criminali</w:t>
      </w:r>
      <w:r w:rsidR="0047373C">
        <w:t>zación</w:t>
      </w:r>
      <w:r w:rsidR="00F8160E">
        <w:t xml:space="preserve"> </w:t>
      </w:r>
      <w:r>
        <w:t>de la migración en Chile</w:t>
      </w:r>
      <w:r w:rsidR="00F8160E">
        <w:t xml:space="preserve">. </w:t>
      </w:r>
      <w:r w:rsidR="00D4171D">
        <w:t xml:space="preserve">En ese sentido resulta preocupante </w:t>
      </w:r>
      <w:r w:rsidR="000C79F4">
        <w:t>no solo</w:t>
      </w:r>
      <w:r w:rsidR="00D4171D">
        <w:t xml:space="preserve"> la extensión del plazo</w:t>
      </w:r>
      <w:r w:rsidR="000C79F4">
        <w:t xml:space="preserve"> sino también como </w:t>
      </w:r>
      <w:r w:rsidR="00D4171D">
        <w:t xml:space="preserve">el debate público ha llevado a considerar la expulsión como primera medida </w:t>
      </w:r>
      <w:r w:rsidR="000C79F4">
        <w:t xml:space="preserve">sancionatoria </w:t>
      </w:r>
      <w:r w:rsidR="00D4171D">
        <w:t>en muchos casos, sin considerar otras alternativas que puedan ser menos gravosas</w:t>
      </w:r>
      <w:r>
        <w:t xml:space="preserve"> y sin reconocer la necesidad de priorización ante el hecho de que resulta imposible expulsar a todo migrante en situación irregular</w:t>
      </w:r>
      <w:r w:rsidR="00D4171D">
        <w:t xml:space="preserve">. </w:t>
      </w:r>
    </w:p>
    <w:p w14:paraId="606AB9A9" w14:textId="77777777" w:rsidR="00E32DCA" w:rsidRDefault="00E32DCA" w:rsidP="00DD5AF0">
      <w:pPr>
        <w:jc w:val="both"/>
      </w:pPr>
    </w:p>
    <w:p w14:paraId="2AA30B35" w14:textId="77777777" w:rsidR="00E32DCA" w:rsidRDefault="00E32DCA" w:rsidP="00DD5AF0">
      <w:pPr>
        <w:jc w:val="both"/>
      </w:pPr>
    </w:p>
    <w:p w14:paraId="15085639" w14:textId="77777777" w:rsidR="00E32DCA" w:rsidRDefault="00E32DCA" w:rsidP="00DD5AF0">
      <w:pPr>
        <w:jc w:val="both"/>
      </w:pPr>
    </w:p>
    <w:p w14:paraId="6EE91EA8" w14:textId="77777777" w:rsidR="00E32DCA" w:rsidRDefault="00E32DCA" w:rsidP="00DD5AF0">
      <w:pPr>
        <w:jc w:val="both"/>
      </w:pPr>
    </w:p>
    <w:p w14:paraId="3291D069" w14:textId="77777777" w:rsidR="00E32DCA" w:rsidRDefault="00E32DCA" w:rsidP="00DD5AF0">
      <w:pPr>
        <w:jc w:val="both"/>
      </w:pPr>
    </w:p>
    <w:tbl>
      <w:tblPr>
        <w:tblW w:w="5440" w:type="dxa"/>
        <w:jc w:val="center"/>
        <w:tblCellMar>
          <w:left w:w="70" w:type="dxa"/>
          <w:right w:w="70" w:type="dxa"/>
        </w:tblCellMar>
        <w:tblLook w:val="04A0" w:firstRow="1" w:lastRow="0" w:firstColumn="1" w:lastColumn="0" w:noHBand="0" w:noVBand="1"/>
      </w:tblPr>
      <w:tblGrid>
        <w:gridCol w:w="1200"/>
        <w:gridCol w:w="1780"/>
        <w:gridCol w:w="1260"/>
        <w:gridCol w:w="1200"/>
      </w:tblGrid>
      <w:tr w:rsidR="00F8160E" w:rsidRPr="00F8160E" w14:paraId="79D9638B" w14:textId="77777777" w:rsidTr="00F8160E">
        <w:trPr>
          <w:trHeight w:val="300"/>
          <w:jc w:val="center"/>
        </w:trPr>
        <w:tc>
          <w:tcPr>
            <w:tcW w:w="1200" w:type="dxa"/>
            <w:tcBorders>
              <w:top w:val="nil"/>
              <w:left w:val="nil"/>
              <w:bottom w:val="nil"/>
              <w:right w:val="nil"/>
            </w:tcBorders>
            <w:shd w:val="clear" w:color="auto" w:fill="auto"/>
            <w:vAlign w:val="center"/>
            <w:hideMark/>
          </w:tcPr>
          <w:p w14:paraId="14E159DE" w14:textId="77777777" w:rsidR="00F8160E" w:rsidRPr="00F8160E" w:rsidRDefault="00F8160E" w:rsidP="00F8160E">
            <w:pPr>
              <w:spacing w:after="0" w:line="240" w:lineRule="auto"/>
              <w:rPr>
                <w:rFonts w:ascii="Times New Roman" w:eastAsia="Times New Roman" w:hAnsi="Times New Roman" w:cs="Times New Roman"/>
                <w:kern w:val="0"/>
                <w:sz w:val="24"/>
                <w:szCs w:val="24"/>
                <w:lang w:eastAsia="es-CL"/>
                <w14:ligatures w14:val="none"/>
              </w:rPr>
            </w:pPr>
          </w:p>
        </w:tc>
        <w:tc>
          <w:tcPr>
            <w:tcW w:w="4240" w:type="dxa"/>
            <w:gridSpan w:val="3"/>
            <w:tcBorders>
              <w:top w:val="single" w:sz="8" w:space="0" w:color="auto"/>
              <w:left w:val="single" w:sz="8" w:space="0" w:color="auto"/>
              <w:bottom w:val="single" w:sz="8" w:space="0" w:color="000000"/>
              <w:right w:val="single" w:sz="8" w:space="0" w:color="000000"/>
            </w:tcBorders>
            <w:shd w:val="clear" w:color="000000" w:fill="FFFFFF"/>
            <w:vAlign w:val="center"/>
            <w:hideMark/>
          </w:tcPr>
          <w:p w14:paraId="244157FE" w14:textId="77777777" w:rsidR="00F8160E" w:rsidRPr="00F8160E" w:rsidRDefault="00F8160E" w:rsidP="00F8160E">
            <w:pPr>
              <w:spacing w:after="0" w:line="240" w:lineRule="auto"/>
              <w:jc w:val="center"/>
              <w:rPr>
                <w:rFonts w:ascii="Cambria" w:eastAsia="Times New Roman" w:hAnsi="Cambria" w:cs="Calibri"/>
                <w:kern w:val="0"/>
                <w:lang w:eastAsia="es-CL"/>
                <w14:ligatures w14:val="none"/>
              </w:rPr>
            </w:pPr>
            <w:r w:rsidRPr="00F8160E">
              <w:rPr>
                <w:rFonts w:ascii="Cambria" w:eastAsia="Times New Roman" w:hAnsi="Cambria" w:cs="Calibri"/>
                <w:kern w:val="0"/>
                <w:lang w:eastAsia="es-CL"/>
                <w14:ligatures w14:val="none"/>
              </w:rPr>
              <w:t xml:space="preserve">Órdenes de Expulsión </w:t>
            </w:r>
          </w:p>
        </w:tc>
      </w:tr>
      <w:tr w:rsidR="00F8160E" w:rsidRPr="00F8160E" w14:paraId="13DCC6FE" w14:textId="77777777" w:rsidTr="00F8160E">
        <w:trPr>
          <w:trHeight w:val="570"/>
          <w:jc w:val="center"/>
        </w:trPr>
        <w:tc>
          <w:tcPr>
            <w:tcW w:w="1200" w:type="dxa"/>
            <w:tcBorders>
              <w:top w:val="nil"/>
              <w:left w:val="nil"/>
              <w:bottom w:val="nil"/>
              <w:right w:val="nil"/>
            </w:tcBorders>
            <w:shd w:val="clear" w:color="auto" w:fill="auto"/>
            <w:vAlign w:val="center"/>
            <w:hideMark/>
          </w:tcPr>
          <w:p w14:paraId="23CCB526" w14:textId="77777777" w:rsidR="00F8160E" w:rsidRPr="00F8160E" w:rsidRDefault="00F8160E" w:rsidP="00F8160E">
            <w:pPr>
              <w:spacing w:after="0" w:line="240" w:lineRule="auto"/>
              <w:jc w:val="center"/>
              <w:rPr>
                <w:rFonts w:ascii="Cambria" w:eastAsia="Times New Roman" w:hAnsi="Cambria" w:cs="Calibri"/>
                <w:kern w:val="0"/>
                <w:lang w:eastAsia="es-CL"/>
                <w14:ligatures w14:val="none"/>
              </w:rPr>
            </w:pPr>
          </w:p>
        </w:tc>
        <w:tc>
          <w:tcPr>
            <w:tcW w:w="1780" w:type="dxa"/>
            <w:tcBorders>
              <w:top w:val="single" w:sz="8" w:space="0" w:color="CCCCCC"/>
              <w:left w:val="single" w:sz="8" w:space="0" w:color="auto"/>
              <w:bottom w:val="single" w:sz="8" w:space="0" w:color="auto"/>
              <w:right w:val="single" w:sz="8" w:space="0" w:color="000000"/>
            </w:tcBorders>
            <w:shd w:val="clear" w:color="000000" w:fill="FCE4D6"/>
            <w:vAlign w:val="center"/>
            <w:hideMark/>
          </w:tcPr>
          <w:p w14:paraId="7F4E2AC6" w14:textId="77777777" w:rsidR="00F8160E" w:rsidRPr="00F8160E" w:rsidRDefault="00F8160E" w:rsidP="00F8160E">
            <w:pPr>
              <w:spacing w:after="0" w:line="240" w:lineRule="auto"/>
              <w:jc w:val="center"/>
              <w:rPr>
                <w:rFonts w:ascii="Cambria" w:eastAsia="Times New Roman" w:hAnsi="Cambria" w:cs="Calibri"/>
                <w:b/>
                <w:bCs/>
                <w:kern w:val="0"/>
                <w:lang w:eastAsia="es-CL"/>
                <w14:ligatures w14:val="none"/>
              </w:rPr>
            </w:pPr>
            <w:r w:rsidRPr="00F8160E">
              <w:rPr>
                <w:rFonts w:ascii="Cambria" w:eastAsia="Times New Roman" w:hAnsi="Cambria" w:cs="Calibri"/>
                <w:b/>
                <w:bCs/>
                <w:kern w:val="0"/>
                <w:lang w:eastAsia="es-CL"/>
                <w14:ligatures w14:val="none"/>
              </w:rPr>
              <w:t>Administrativas</w:t>
            </w:r>
          </w:p>
        </w:tc>
        <w:tc>
          <w:tcPr>
            <w:tcW w:w="1260" w:type="dxa"/>
            <w:tcBorders>
              <w:top w:val="single" w:sz="8" w:space="0" w:color="CCCCCC"/>
              <w:left w:val="single" w:sz="8" w:space="0" w:color="CCCCCC"/>
              <w:bottom w:val="single" w:sz="8" w:space="0" w:color="auto"/>
              <w:right w:val="single" w:sz="8" w:space="0" w:color="000000"/>
            </w:tcBorders>
            <w:shd w:val="clear" w:color="000000" w:fill="FCE4D6"/>
            <w:vAlign w:val="center"/>
            <w:hideMark/>
          </w:tcPr>
          <w:p w14:paraId="74CBE211" w14:textId="77777777" w:rsidR="00F8160E" w:rsidRPr="00F8160E" w:rsidRDefault="00F8160E" w:rsidP="00F8160E">
            <w:pPr>
              <w:spacing w:after="0" w:line="240" w:lineRule="auto"/>
              <w:jc w:val="center"/>
              <w:rPr>
                <w:rFonts w:ascii="Cambria" w:eastAsia="Times New Roman" w:hAnsi="Cambria" w:cs="Calibri"/>
                <w:b/>
                <w:bCs/>
                <w:kern w:val="0"/>
                <w:lang w:eastAsia="es-CL"/>
                <w14:ligatures w14:val="none"/>
              </w:rPr>
            </w:pPr>
            <w:r w:rsidRPr="00F8160E">
              <w:rPr>
                <w:rFonts w:ascii="Cambria" w:eastAsia="Times New Roman" w:hAnsi="Cambria" w:cs="Calibri"/>
                <w:b/>
                <w:bCs/>
                <w:kern w:val="0"/>
                <w:lang w:eastAsia="es-CL"/>
                <w14:ligatures w14:val="none"/>
              </w:rPr>
              <w:t>Judiciales</w:t>
            </w:r>
          </w:p>
        </w:tc>
        <w:tc>
          <w:tcPr>
            <w:tcW w:w="1200" w:type="dxa"/>
            <w:tcBorders>
              <w:top w:val="single" w:sz="8" w:space="0" w:color="CCCCCC"/>
              <w:left w:val="single" w:sz="8" w:space="0" w:color="CCCCCC"/>
              <w:bottom w:val="single" w:sz="8" w:space="0" w:color="auto"/>
              <w:right w:val="single" w:sz="8" w:space="0" w:color="auto"/>
            </w:tcBorders>
            <w:shd w:val="clear" w:color="000000" w:fill="F8CBAD"/>
            <w:vAlign w:val="center"/>
            <w:hideMark/>
          </w:tcPr>
          <w:p w14:paraId="4CAC94FF" w14:textId="77777777" w:rsidR="00F8160E" w:rsidRPr="00F8160E" w:rsidRDefault="00F8160E" w:rsidP="00F8160E">
            <w:pPr>
              <w:spacing w:after="0" w:line="240" w:lineRule="auto"/>
              <w:jc w:val="center"/>
              <w:rPr>
                <w:rFonts w:ascii="Cambria" w:eastAsia="Times New Roman" w:hAnsi="Cambria" w:cs="Calibri"/>
                <w:b/>
                <w:bCs/>
                <w:kern w:val="0"/>
                <w:lang w:eastAsia="es-CL"/>
                <w14:ligatures w14:val="none"/>
              </w:rPr>
            </w:pPr>
            <w:r w:rsidRPr="00F8160E">
              <w:rPr>
                <w:rFonts w:ascii="Cambria" w:eastAsia="Times New Roman" w:hAnsi="Cambria" w:cs="Calibri"/>
                <w:b/>
                <w:bCs/>
                <w:kern w:val="0"/>
                <w:lang w:eastAsia="es-CL"/>
                <w14:ligatures w14:val="none"/>
              </w:rPr>
              <w:t>Total</w:t>
            </w:r>
          </w:p>
        </w:tc>
      </w:tr>
      <w:tr w:rsidR="00F8160E" w:rsidRPr="00F8160E" w14:paraId="69DB36CA" w14:textId="77777777" w:rsidTr="00F8160E">
        <w:trPr>
          <w:trHeight w:val="300"/>
          <w:jc w:val="center"/>
        </w:trPr>
        <w:tc>
          <w:tcPr>
            <w:tcW w:w="1200" w:type="dxa"/>
            <w:tcBorders>
              <w:top w:val="single" w:sz="8" w:space="0" w:color="auto"/>
              <w:left w:val="single" w:sz="8" w:space="0" w:color="auto"/>
              <w:bottom w:val="single" w:sz="8" w:space="0" w:color="auto"/>
              <w:right w:val="single" w:sz="8" w:space="0" w:color="auto"/>
            </w:tcBorders>
            <w:shd w:val="clear" w:color="000000" w:fill="DDEBF7"/>
            <w:vAlign w:val="center"/>
            <w:hideMark/>
          </w:tcPr>
          <w:p w14:paraId="17CAB546"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2013</w:t>
            </w:r>
          </w:p>
        </w:tc>
        <w:tc>
          <w:tcPr>
            <w:tcW w:w="1780" w:type="dxa"/>
            <w:tcBorders>
              <w:top w:val="nil"/>
              <w:left w:val="nil"/>
              <w:bottom w:val="single" w:sz="8" w:space="0" w:color="000000"/>
              <w:right w:val="single" w:sz="8" w:space="0" w:color="000000"/>
            </w:tcBorders>
            <w:shd w:val="clear" w:color="auto" w:fill="auto"/>
            <w:vAlign w:val="center"/>
            <w:hideMark/>
          </w:tcPr>
          <w:p w14:paraId="5698FE58"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2.067</w:t>
            </w:r>
          </w:p>
        </w:tc>
        <w:tc>
          <w:tcPr>
            <w:tcW w:w="1260" w:type="dxa"/>
            <w:tcBorders>
              <w:top w:val="nil"/>
              <w:left w:val="single" w:sz="8" w:space="0" w:color="CCCCCC"/>
              <w:bottom w:val="single" w:sz="8" w:space="0" w:color="000000"/>
              <w:right w:val="single" w:sz="8" w:space="0" w:color="000000"/>
            </w:tcBorders>
            <w:shd w:val="clear" w:color="auto" w:fill="auto"/>
            <w:vAlign w:val="center"/>
            <w:hideMark/>
          </w:tcPr>
          <w:p w14:paraId="46624D7C"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345</w:t>
            </w:r>
          </w:p>
        </w:tc>
        <w:tc>
          <w:tcPr>
            <w:tcW w:w="1200" w:type="dxa"/>
            <w:tcBorders>
              <w:top w:val="nil"/>
              <w:left w:val="single" w:sz="8" w:space="0" w:color="CCCCCC"/>
              <w:bottom w:val="single" w:sz="8" w:space="0" w:color="000000"/>
              <w:right w:val="single" w:sz="8" w:space="0" w:color="000000"/>
            </w:tcBorders>
            <w:shd w:val="clear" w:color="auto" w:fill="auto"/>
            <w:vAlign w:val="center"/>
            <w:hideMark/>
          </w:tcPr>
          <w:p w14:paraId="44436DE1"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2.412</w:t>
            </w:r>
          </w:p>
        </w:tc>
      </w:tr>
      <w:tr w:rsidR="00F8160E" w:rsidRPr="00F8160E" w14:paraId="6E3BA9C5" w14:textId="77777777" w:rsidTr="00F8160E">
        <w:trPr>
          <w:trHeight w:val="300"/>
          <w:jc w:val="center"/>
        </w:trPr>
        <w:tc>
          <w:tcPr>
            <w:tcW w:w="1200" w:type="dxa"/>
            <w:tcBorders>
              <w:top w:val="nil"/>
              <w:left w:val="single" w:sz="8" w:space="0" w:color="000000"/>
              <w:bottom w:val="single" w:sz="8" w:space="0" w:color="000000"/>
              <w:right w:val="single" w:sz="8" w:space="0" w:color="000000"/>
            </w:tcBorders>
            <w:shd w:val="clear" w:color="000000" w:fill="DDEBF7"/>
            <w:vAlign w:val="center"/>
            <w:hideMark/>
          </w:tcPr>
          <w:p w14:paraId="19D1CC5C"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2014</w:t>
            </w:r>
          </w:p>
        </w:tc>
        <w:tc>
          <w:tcPr>
            <w:tcW w:w="178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2099AB42"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2.463</w:t>
            </w:r>
          </w:p>
        </w:tc>
        <w:tc>
          <w:tcPr>
            <w:tcW w:w="126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424BC18B"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661</w:t>
            </w:r>
          </w:p>
        </w:tc>
        <w:tc>
          <w:tcPr>
            <w:tcW w:w="120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6F4CBEAB"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3.124</w:t>
            </w:r>
          </w:p>
        </w:tc>
      </w:tr>
      <w:tr w:rsidR="00F8160E" w:rsidRPr="00F8160E" w14:paraId="67E66947" w14:textId="77777777" w:rsidTr="00F8160E">
        <w:trPr>
          <w:trHeight w:val="300"/>
          <w:jc w:val="center"/>
        </w:trPr>
        <w:tc>
          <w:tcPr>
            <w:tcW w:w="1200" w:type="dxa"/>
            <w:tcBorders>
              <w:top w:val="single" w:sz="8" w:space="0" w:color="CCCCCC"/>
              <w:left w:val="single" w:sz="8" w:space="0" w:color="000000"/>
              <w:bottom w:val="single" w:sz="8" w:space="0" w:color="000000"/>
              <w:right w:val="single" w:sz="8" w:space="0" w:color="000000"/>
            </w:tcBorders>
            <w:shd w:val="clear" w:color="000000" w:fill="DDEBF7"/>
            <w:vAlign w:val="center"/>
            <w:hideMark/>
          </w:tcPr>
          <w:p w14:paraId="01ECC9F4"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2015</w:t>
            </w:r>
          </w:p>
        </w:tc>
        <w:tc>
          <w:tcPr>
            <w:tcW w:w="178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740C51F4"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2.180</w:t>
            </w:r>
          </w:p>
        </w:tc>
        <w:tc>
          <w:tcPr>
            <w:tcW w:w="126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17B10651"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1.035</w:t>
            </w:r>
          </w:p>
        </w:tc>
        <w:tc>
          <w:tcPr>
            <w:tcW w:w="120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7D4C019A"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3.215</w:t>
            </w:r>
          </w:p>
        </w:tc>
      </w:tr>
      <w:tr w:rsidR="00F8160E" w:rsidRPr="00F8160E" w14:paraId="31F1BAB1" w14:textId="77777777" w:rsidTr="00F8160E">
        <w:trPr>
          <w:trHeight w:val="300"/>
          <w:jc w:val="center"/>
        </w:trPr>
        <w:tc>
          <w:tcPr>
            <w:tcW w:w="1200" w:type="dxa"/>
            <w:tcBorders>
              <w:top w:val="single" w:sz="8" w:space="0" w:color="CCCCCC"/>
              <w:left w:val="single" w:sz="8" w:space="0" w:color="000000"/>
              <w:bottom w:val="single" w:sz="8" w:space="0" w:color="000000"/>
              <w:right w:val="single" w:sz="8" w:space="0" w:color="000000"/>
            </w:tcBorders>
            <w:shd w:val="clear" w:color="000000" w:fill="DDEBF7"/>
            <w:vAlign w:val="center"/>
            <w:hideMark/>
          </w:tcPr>
          <w:p w14:paraId="0D61BE36"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2016</w:t>
            </w:r>
          </w:p>
        </w:tc>
        <w:tc>
          <w:tcPr>
            <w:tcW w:w="178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79CAC2EE"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2.536</w:t>
            </w:r>
          </w:p>
        </w:tc>
        <w:tc>
          <w:tcPr>
            <w:tcW w:w="126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72A50FD5"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905</w:t>
            </w:r>
          </w:p>
        </w:tc>
        <w:tc>
          <w:tcPr>
            <w:tcW w:w="120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415D4375"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3.441</w:t>
            </w:r>
          </w:p>
        </w:tc>
      </w:tr>
      <w:tr w:rsidR="00F8160E" w:rsidRPr="00F8160E" w14:paraId="0741DFCB" w14:textId="77777777" w:rsidTr="00F8160E">
        <w:trPr>
          <w:trHeight w:val="300"/>
          <w:jc w:val="center"/>
        </w:trPr>
        <w:tc>
          <w:tcPr>
            <w:tcW w:w="1200" w:type="dxa"/>
            <w:tcBorders>
              <w:top w:val="single" w:sz="8" w:space="0" w:color="CCCCCC"/>
              <w:left w:val="single" w:sz="8" w:space="0" w:color="000000"/>
              <w:bottom w:val="single" w:sz="8" w:space="0" w:color="000000"/>
              <w:right w:val="single" w:sz="8" w:space="0" w:color="000000"/>
            </w:tcBorders>
            <w:shd w:val="clear" w:color="000000" w:fill="DDEBF7"/>
            <w:vAlign w:val="center"/>
            <w:hideMark/>
          </w:tcPr>
          <w:p w14:paraId="2193F451"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2017</w:t>
            </w:r>
          </w:p>
        </w:tc>
        <w:tc>
          <w:tcPr>
            <w:tcW w:w="178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44107D00"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2.951</w:t>
            </w:r>
          </w:p>
        </w:tc>
        <w:tc>
          <w:tcPr>
            <w:tcW w:w="126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47983DF8"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1.551</w:t>
            </w:r>
          </w:p>
        </w:tc>
        <w:tc>
          <w:tcPr>
            <w:tcW w:w="120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368E2C2F"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4.502</w:t>
            </w:r>
          </w:p>
        </w:tc>
      </w:tr>
      <w:tr w:rsidR="00F8160E" w:rsidRPr="00F8160E" w14:paraId="01931A0C" w14:textId="77777777" w:rsidTr="00F8160E">
        <w:trPr>
          <w:trHeight w:val="300"/>
          <w:jc w:val="center"/>
        </w:trPr>
        <w:tc>
          <w:tcPr>
            <w:tcW w:w="1200" w:type="dxa"/>
            <w:tcBorders>
              <w:top w:val="single" w:sz="8" w:space="0" w:color="CCCCCC"/>
              <w:left w:val="single" w:sz="8" w:space="0" w:color="000000"/>
              <w:bottom w:val="single" w:sz="8" w:space="0" w:color="000000"/>
              <w:right w:val="single" w:sz="8" w:space="0" w:color="000000"/>
            </w:tcBorders>
            <w:shd w:val="clear" w:color="000000" w:fill="DDEBF7"/>
            <w:vAlign w:val="center"/>
            <w:hideMark/>
          </w:tcPr>
          <w:p w14:paraId="053324A0"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2018</w:t>
            </w:r>
          </w:p>
        </w:tc>
        <w:tc>
          <w:tcPr>
            <w:tcW w:w="178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1610B23E"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3.307</w:t>
            </w:r>
          </w:p>
        </w:tc>
        <w:tc>
          <w:tcPr>
            <w:tcW w:w="126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1992BD22"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1.788</w:t>
            </w:r>
          </w:p>
        </w:tc>
        <w:tc>
          <w:tcPr>
            <w:tcW w:w="120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2D6E7534"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5.095</w:t>
            </w:r>
          </w:p>
        </w:tc>
      </w:tr>
      <w:tr w:rsidR="00F8160E" w:rsidRPr="00F8160E" w14:paraId="7C696F47" w14:textId="77777777" w:rsidTr="00F8160E">
        <w:trPr>
          <w:trHeight w:val="300"/>
          <w:jc w:val="center"/>
        </w:trPr>
        <w:tc>
          <w:tcPr>
            <w:tcW w:w="1200" w:type="dxa"/>
            <w:tcBorders>
              <w:top w:val="single" w:sz="8" w:space="0" w:color="CCCCCC"/>
              <w:left w:val="single" w:sz="8" w:space="0" w:color="000000"/>
              <w:bottom w:val="single" w:sz="8" w:space="0" w:color="000000"/>
              <w:right w:val="single" w:sz="8" w:space="0" w:color="000000"/>
            </w:tcBorders>
            <w:shd w:val="clear" w:color="000000" w:fill="DDEBF7"/>
            <w:vAlign w:val="center"/>
            <w:hideMark/>
          </w:tcPr>
          <w:p w14:paraId="035ADCC9"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2019</w:t>
            </w:r>
          </w:p>
        </w:tc>
        <w:tc>
          <w:tcPr>
            <w:tcW w:w="178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4FD4B4C1"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6.702</w:t>
            </w:r>
          </w:p>
        </w:tc>
        <w:tc>
          <w:tcPr>
            <w:tcW w:w="126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2E273C1F"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1.743</w:t>
            </w:r>
          </w:p>
        </w:tc>
        <w:tc>
          <w:tcPr>
            <w:tcW w:w="120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323A29FC"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8.445</w:t>
            </w:r>
          </w:p>
        </w:tc>
      </w:tr>
      <w:tr w:rsidR="00F8160E" w:rsidRPr="00F8160E" w14:paraId="1CCA739C" w14:textId="77777777" w:rsidTr="00F8160E">
        <w:trPr>
          <w:trHeight w:val="300"/>
          <w:jc w:val="center"/>
        </w:trPr>
        <w:tc>
          <w:tcPr>
            <w:tcW w:w="1200" w:type="dxa"/>
            <w:tcBorders>
              <w:top w:val="single" w:sz="8" w:space="0" w:color="CCCCCC"/>
              <w:left w:val="single" w:sz="8" w:space="0" w:color="000000"/>
              <w:bottom w:val="single" w:sz="8" w:space="0" w:color="000000"/>
              <w:right w:val="single" w:sz="8" w:space="0" w:color="000000"/>
            </w:tcBorders>
            <w:shd w:val="clear" w:color="000000" w:fill="DDEBF7"/>
            <w:vAlign w:val="center"/>
            <w:hideMark/>
          </w:tcPr>
          <w:p w14:paraId="73DEE29D"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2020</w:t>
            </w:r>
          </w:p>
        </w:tc>
        <w:tc>
          <w:tcPr>
            <w:tcW w:w="178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48A8898F"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3.963</w:t>
            </w:r>
          </w:p>
        </w:tc>
        <w:tc>
          <w:tcPr>
            <w:tcW w:w="126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04B21BC7"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1.222</w:t>
            </w:r>
          </w:p>
        </w:tc>
        <w:tc>
          <w:tcPr>
            <w:tcW w:w="120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3FE05931"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5.185</w:t>
            </w:r>
          </w:p>
        </w:tc>
      </w:tr>
      <w:tr w:rsidR="00F8160E" w:rsidRPr="00F8160E" w14:paraId="11BCA89A" w14:textId="77777777" w:rsidTr="00F8160E">
        <w:trPr>
          <w:trHeight w:val="300"/>
          <w:jc w:val="center"/>
        </w:trPr>
        <w:tc>
          <w:tcPr>
            <w:tcW w:w="1200" w:type="dxa"/>
            <w:tcBorders>
              <w:top w:val="single" w:sz="8" w:space="0" w:color="CCCCCC"/>
              <w:left w:val="single" w:sz="8" w:space="0" w:color="000000"/>
              <w:bottom w:val="single" w:sz="8" w:space="0" w:color="000000"/>
              <w:right w:val="single" w:sz="8" w:space="0" w:color="000000"/>
            </w:tcBorders>
            <w:shd w:val="clear" w:color="000000" w:fill="DDEBF7"/>
            <w:vAlign w:val="center"/>
            <w:hideMark/>
          </w:tcPr>
          <w:p w14:paraId="1DC1F41A"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2021</w:t>
            </w:r>
          </w:p>
        </w:tc>
        <w:tc>
          <w:tcPr>
            <w:tcW w:w="1780" w:type="dxa"/>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34BE4769"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6.889</w:t>
            </w:r>
          </w:p>
        </w:tc>
        <w:tc>
          <w:tcPr>
            <w:tcW w:w="1260" w:type="dxa"/>
            <w:tcBorders>
              <w:top w:val="single" w:sz="8" w:space="0" w:color="CCCCCC"/>
              <w:left w:val="single" w:sz="8" w:space="0" w:color="CCCCCC"/>
              <w:bottom w:val="nil"/>
              <w:right w:val="single" w:sz="8" w:space="0" w:color="000000"/>
            </w:tcBorders>
            <w:shd w:val="clear" w:color="auto" w:fill="auto"/>
            <w:vAlign w:val="center"/>
            <w:hideMark/>
          </w:tcPr>
          <w:p w14:paraId="02C6694E"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755</w:t>
            </w:r>
          </w:p>
        </w:tc>
        <w:tc>
          <w:tcPr>
            <w:tcW w:w="1200" w:type="dxa"/>
            <w:tcBorders>
              <w:top w:val="single" w:sz="8" w:space="0" w:color="CCCCCC"/>
              <w:left w:val="single" w:sz="8" w:space="0" w:color="CCCCCC"/>
              <w:bottom w:val="nil"/>
              <w:right w:val="single" w:sz="8" w:space="0" w:color="000000"/>
            </w:tcBorders>
            <w:shd w:val="clear" w:color="auto" w:fill="auto"/>
            <w:vAlign w:val="center"/>
            <w:hideMark/>
          </w:tcPr>
          <w:p w14:paraId="10C286DE"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7.644</w:t>
            </w:r>
          </w:p>
        </w:tc>
      </w:tr>
      <w:tr w:rsidR="00F8160E" w:rsidRPr="00F8160E" w14:paraId="24D226D3" w14:textId="77777777" w:rsidTr="00F8160E">
        <w:trPr>
          <w:trHeight w:val="300"/>
          <w:jc w:val="center"/>
        </w:trPr>
        <w:tc>
          <w:tcPr>
            <w:tcW w:w="1200" w:type="dxa"/>
            <w:tcBorders>
              <w:top w:val="single" w:sz="8" w:space="0" w:color="CCCCCC"/>
              <w:left w:val="single" w:sz="8" w:space="0" w:color="000000"/>
              <w:bottom w:val="nil"/>
              <w:right w:val="single" w:sz="8" w:space="0" w:color="000000"/>
            </w:tcBorders>
            <w:shd w:val="clear" w:color="000000" w:fill="DDEBF7"/>
            <w:vAlign w:val="center"/>
            <w:hideMark/>
          </w:tcPr>
          <w:p w14:paraId="0D9CDE09"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2022</w:t>
            </w:r>
          </w:p>
        </w:tc>
        <w:tc>
          <w:tcPr>
            <w:tcW w:w="1780" w:type="dxa"/>
            <w:tcBorders>
              <w:top w:val="single" w:sz="8" w:space="0" w:color="CCCCCC"/>
              <w:left w:val="single" w:sz="8" w:space="0" w:color="CCCCCC"/>
              <w:bottom w:val="nil"/>
              <w:right w:val="nil"/>
            </w:tcBorders>
            <w:shd w:val="clear" w:color="auto" w:fill="auto"/>
            <w:vAlign w:val="center"/>
            <w:hideMark/>
          </w:tcPr>
          <w:p w14:paraId="55FEBAB0"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911</w:t>
            </w:r>
          </w:p>
        </w:tc>
        <w:tc>
          <w:tcPr>
            <w:tcW w:w="1260" w:type="dxa"/>
            <w:tcBorders>
              <w:top w:val="single" w:sz="8" w:space="0" w:color="auto"/>
              <w:left w:val="single" w:sz="8" w:space="0" w:color="auto"/>
              <w:bottom w:val="nil"/>
              <w:right w:val="single" w:sz="8" w:space="0" w:color="000000"/>
            </w:tcBorders>
            <w:shd w:val="clear" w:color="auto" w:fill="auto"/>
            <w:vAlign w:val="center"/>
            <w:hideMark/>
          </w:tcPr>
          <w:p w14:paraId="284CCD5A" w14:textId="77777777" w:rsidR="00F8160E" w:rsidRPr="00F8160E" w:rsidRDefault="00F8160E" w:rsidP="00F8160E">
            <w:pPr>
              <w:spacing w:after="0" w:line="240" w:lineRule="auto"/>
              <w:jc w:val="center"/>
              <w:rPr>
                <w:rFonts w:ascii="Cambria" w:eastAsia="Times New Roman" w:hAnsi="Cambria" w:cs="Calibri"/>
                <w:color w:val="000000"/>
                <w:kern w:val="0"/>
                <w:lang w:eastAsia="es-CL"/>
                <w14:ligatures w14:val="none"/>
              </w:rPr>
            </w:pPr>
            <w:r w:rsidRPr="00F8160E">
              <w:rPr>
                <w:rFonts w:ascii="Cambria" w:eastAsia="Times New Roman" w:hAnsi="Cambria" w:cs="Calibri"/>
                <w:color w:val="000000"/>
                <w:kern w:val="0"/>
                <w:lang w:eastAsia="es-CL"/>
                <w14:ligatures w14:val="none"/>
              </w:rPr>
              <w:t>1.220</w:t>
            </w:r>
          </w:p>
        </w:tc>
        <w:tc>
          <w:tcPr>
            <w:tcW w:w="1200" w:type="dxa"/>
            <w:tcBorders>
              <w:top w:val="single" w:sz="8" w:space="0" w:color="auto"/>
              <w:left w:val="single" w:sz="8" w:space="0" w:color="CCCCCC"/>
              <w:bottom w:val="nil"/>
              <w:right w:val="single" w:sz="8" w:space="0" w:color="auto"/>
            </w:tcBorders>
            <w:shd w:val="clear" w:color="auto" w:fill="auto"/>
            <w:vAlign w:val="center"/>
            <w:hideMark/>
          </w:tcPr>
          <w:p w14:paraId="256EC040"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2.131</w:t>
            </w:r>
          </w:p>
        </w:tc>
      </w:tr>
      <w:tr w:rsidR="00F8160E" w:rsidRPr="00F8160E" w14:paraId="45EB5CFC" w14:textId="77777777" w:rsidTr="00F8160E">
        <w:trPr>
          <w:trHeight w:val="300"/>
          <w:jc w:val="center"/>
        </w:trPr>
        <w:tc>
          <w:tcPr>
            <w:tcW w:w="1200" w:type="dxa"/>
            <w:tcBorders>
              <w:top w:val="single" w:sz="8" w:space="0" w:color="auto"/>
              <w:left w:val="single" w:sz="8" w:space="0" w:color="auto"/>
              <w:bottom w:val="single" w:sz="8" w:space="0" w:color="auto"/>
              <w:right w:val="nil"/>
            </w:tcBorders>
            <w:shd w:val="clear" w:color="000000" w:fill="FFF2CC"/>
            <w:vAlign w:val="center"/>
            <w:hideMark/>
          </w:tcPr>
          <w:p w14:paraId="2D2842BF"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 xml:space="preserve">Total </w:t>
            </w:r>
          </w:p>
        </w:tc>
        <w:tc>
          <w:tcPr>
            <w:tcW w:w="1780" w:type="dxa"/>
            <w:tcBorders>
              <w:top w:val="single" w:sz="8" w:space="0" w:color="auto"/>
              <w:left w:val="single" w:sz="8" w:space="0" w:color="auto"/>
              <w:bottom w:val="single" w:sz="8" w:space="0" w:color="auto"/>
              <w:right w:val="single" w:sz="8" w:space="0" w:color="auto"/>
            </w:tcBorders>
            <w:shd w:val="clear" w:color="000000" w:fill="FFF2CC"/>
            <w:vAlign w:val="center"/>
            <w:hideMark/>
          </w:tcPr>
          <w:p w14:paraId="7C9567E8"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33.969</w:t>
            </w:r>
          </w:p>
        </w:tc>
        <w:tc>
          <w:tcPr>
            <w:tcW w:w="1260" w:type="dxa"/>
            <w:tcBorders>
              <w:top w:val="single" w:sz="8" w:space="0" w:color="auto"/>
              <w:left w:val="nil"/>
              <w:bottom w:val="single" w:sz="8" w:space="0" w:color="auto"/>
              <w:right w:val="single" w:sz="8" w:space="0" w:color="auto"/>
            </w:tcBorders>
            <w:shd w:val="clear" w:color="000000" w:fill="FFF2CC"/>
            <w:vAlign w:val="center"/>
            <w:hideMark/>
          </w:tcPr>
          <w:p w14:paraId="0AC03D46"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11.225</w:t>
            </w:r>
          </w:p>
        </w:tc>
        <w:tc>
          <w:tcPr>
            <w:tcW w:w="1200" w:type="dxa"/>
            <w:tcBorders>
              <w:top w:val="single" w:sz="8" w:space="0" w:color="auto"/>
              <w:left w:val="nil"/>
              <w:bottom w:val="single" w:sz="8" w:space="0" w:color="auto"/>
              <w:right w:val="single" w:sz="8" w:space="0" w:color="auto"/>
            </w:tcBorders>
            <w:shd w:val="clear" w:color="000000" w:fill="FFF2CC"/>
            <w:vAlign w:val="center"/>
            <w:hideMark/>
          </w:tcPr>
          <w:p w14:paraId="0BFB6200" w14:textId="77777777" w:rsidR="00F8160E" w:rsidRPr="00F8160E" w:rsidRDefault="00F8160E" w:rsidP="00F8160E">
            <w:pPr>
              <w:spacing w:after="0" w:line="240" w:lineRule="auto"/>
              <w:jc w:val="center"/>
              <w:rPr>
                <w:rFonts w:ascii="Cambria" w:eastAsia="Times New Roman" w:hAnsi="Cambria" w:cs="Calibri"/>
                <w:b/>
                <w:bCs/>
                <w:color w:val="000000"/>
                <w:kern w:val="0"/>
                <w:lang w:eastAsia="es-CL"/>
                <w14:ligatures w14:val="none"/>
              </w:rPr>
            </w:pPr>
            <w:r w:rsidRPr="00F8160E">
              <w:rPr>
                <w:rFonts w:ascii="Cambria" w:eastAsia="Times New Roman" w:hAnsi="Cambria" w:cs="Calibri"/>
                <w:b/>
                <w:bCs/>
                <w:color w:val="000000"/>
                <w:kern w:val="0"/>
                <w:lang w:eastAsia="es-CL"/>
                <w14:ligatures w14:val="none"/>
              </w:rPr>
              <w:t>45.194</w:t>
            </w:r>
          </w:p>
        </w:tc>
      </w:tr>
    </w:tbl>
    <w:p w14:paraId="462963CD" w14:textId="77777777" w:rsidR="00D519DC" w:rsidRDefault="00D519DC" w:rsidP="00DD5AF0">
      <w:pPr>
        <w:jc w:val="both"/>
      </w:pPr>
    </w:p>
    <w:p w14:paraId="06914468" w14:textId="73532561" w:rsidR="008A29E3" w:rsidRDefault="00F8160E" w:rsidP="00DD5AF0">
      <w:pPr>
        <w:jc w:val="both"/>
      </w:pPr>
      <w:r w:rsidRPr="00F8160E">
        <w:t xml:space="preserve">Se observa con preocupación </w:t>
      </w:r>
      <w:r w:rsidR="00E32DCA" w:rsidRPr="00F8160E">
        <w:t>que,</w:t>
      </w:r>
      <w:r w:rsidRPr="00F8160E">
        <w:t xml:space="preserve"> en el marco de</w:t>
      </w:r>
      <w:r>
        <w:t>l proceso constitucional</w:t>
      </w:r>
      <w:r w:rsidR="00E32DCA">
        <w:t xml:space="preserve"> en curso en el país,</w:t>
      </w:r>
      <w:r>
        <w:t xml:space="preserve"> se ha propuesto una norma </w:t>
      </w:r>
      <w:r w:rsidR="008D4B9F">
        <w:t xml:space="preserve">constitucional </w:t>
      </w:r>
      <w:r>
        <w:t>que establezca</w:t>
      </w:r>
      <w:r w:rsidR="0047373C">
        <w:t xml:space="preserve"> que la ley regulará</w:t>
      </w:r>
      <w:r>
        <w:t xml:space="preserve"> la expulsión en el menor tiempo posible </w:t>
      </w:r>
      <w:r w:rsidR="0047373C">
        <w:t xml:space="preserve">de extranjeros que hayan ingresado de forma clandestina o que hayan cumplido pena efectiva por crímenes o simples delitos procurando que cumplan la pena en su país de origen. </w:t>
      </w:r>
    </w:p>
    <w:p w14:paraId="2F36D504" w14:textId="04986F78" w:rsidR="00A40265" w:rsidRDefault="00A40265" w:rsidP="00DD5AF0">
      <w:pPr>
        <w:jc w:val="both"/>
      </w:pPr>
      <w:r>
        <w:t>En el ámbito de detenciones resulta preocupante</w:t>
      </w:r>
      <w:r w:rsidR="00E32DCA">
        <w:t xml:space="preserve"> en materia de debido proceso</w:t>
      </w:r>
      <w:r>
        <w:t xml:space="preserve"> la instauración del “</w:t>
      </w:r>
      <w:r w:rsidR="00B744D6" w:rsidRPr="00E32DCA">
        <w:rPr>
          <w:i/>
          <w:iCs/>
        </w:rPr>
        <w:t>C</w:t>
      </w:r>
      <w:r w:rsidRPr="00E32DCA">
        <w:rPr>
          <w:i/>
          <w:iCs/>
        </w:rPr>
        <w:t xml:space="preserve">riterio </w:t>
      </w:r>
      <w:r w:rsidR="00B744D6" w:rsidRPr="00E32DCA">
        <w:rPr>
          <w:i/>
          <w:iCs/>
        </w:rPr>
        <w:t>V</w:t>
      </w:r>
      <w:r w:rsidRPr="00E32DCA">
        <w:rPr>
          <w:i/>
          <w:iCs/>
        </w:rPr>
        <w:t>alencia</w:t>
      </w:r>
      <w:r>
        <w:t xml:space="preserve">” </w:t>
      </w:r>
      <w:r w:rsidR="00E32DCA">
        <w:t xml:space="preserve">(ya que fue propuesto por el fiscal nacional Ángel Valencia) </w:t>
      </w:r>
      <w:r w:rsidR="00B744D6">
        <w:t>que</w:t>
      </w:r>
      <w:r w:rsidR="00E32DCA">
        <w:t xml:space="preserve"> incluye en casos de que una</w:t>
      </w:r>
      <w:r w:rsidR="00B744D6">
        <w:t xml:space="preserve"> persona extranjera</w:t>
      </w:r>
      <w:r w:rsidR="00E32DCA">
        <w:t xml:space="preserve"> no pueda acreditar su identidad (con documentos reconocidos por Chile)</w:t>
      </w:r>
      <w:r w:rsidR="00B744D6">
        <w:t xml:space="preserve"> qued</w:t>
      </w:r>
      <w:r w:rsidR="00E32DCA">
        <w:t>e</w:t>
      </w:r>
      <w:r w:rsidR="00B744D6">
        <w:t xml:space="preserve"> en prisión preventiva,</w:t>
      </w:r>
      <w:r w:rsidR="00E32DCA">
        <w:t xml:space="preserve"> independiente de si el delito cometido es más o menos grave. Esto también resulta discriminatorio con respecto al uso de una medida cautelar que debe ser de </w:t>
      </w:r>
      <w:r w:rsidR="00E32DCA">
        <w:rPr>
          <w:i/>
          <w:iCs/>
        </w:rPr>
        <w:t>última ratio</w:t>
      </w:r>
      <w:r w:rsidR="00E32DCA">
        <w:t xml:space="preserve">, y que debiera responder a criterios de </w:t>
      </w:r>
      <w:r w:rsidR="00B744D6">
        <w:t xml:space="preserve">proporcionalidad. </w:t>
      </w:r>
    </w:p>
    <w:p w14:paraId="0286AE8F" w14:textId="4BB9A2D4" w:rsidR="00F8160E" w:rsidRDefault="00D4171D" w:rsidP="00DD5AF0">
      <w:pPr>
        <w:jc w:val="both"/>
      </w:pPr>
      <w:r>
        <w:t xml:space="preserve">Respecto de personas </w:t>
      </w:r>
      <w:r w:rsidR="0086422C">
        <w:t xml:space="preserve">migrantes </w:t>
      </w:r>
      <w:r>
        <w:t xml:space="preserve">que se encuentran </w:t>
      </w:r>
      <w:r w:rsidR="00D7075C">
        <w:t>en condiciones de detención</w:t>
      </w:r>
      <w:r w:rsidR="0086422C">
        <w:t xml:space="preserve"> o </w:t>
      </w:r>
      <w:r>
        <w:t>privadas de libertad resulta preocupante que en el último tiempo se ha negado a familia</w:t>
      </w:r>
      <w:r w:rsidR="0086422C">
        <w:t xml:space="preserve">res realizar visitas en los centros penitenciarios fundado en la mala calidad de la identificación e incluso se ha exigido como requisito la cédula de identidad chilena para ello, </w:t>
      </w:r>
      <w:r w:rsidR="000A4C05">
        <w:t xml:space="preserve">un actuar que vulneraría </w:t>
      </w:r>
      <w:r w:rsidR="0086422C">
        <w:t>lo establecido en el artículo 17 de la Convención</w:t>
      </w:r>
      <w:r w:rsidR="0086422C">
        <w:rPr>
          <w:rStyle w:val="FootnoteReference"/>
        </w:rPr>
        <w:footnoteReference w:id="7"/>
      </w:r>
      <w:r w:rsidR="0086422C">
        <w:t xml:space="preserve">. </w:t>
      </w:r>
      <w:r w:rsidR="00C57E6A">
        <w:t xml:space="preserve"> Se discrimina también a extranjeros que han delinquido en Chile de acceder a la eliminación de sus antecedentes penales si no cuentan con documento de identidad emitido por Chile. </w:t>
      </w:r>
    </w:p>
    <w:p w14:paraId="0E824630" w14:textId="5B5B4EDA" w:rsidR="008B7E83" w:rsidRDefault="008B7E83" w:rsidP="00DD5AF0">
      <w:pPr>
        <w:jc w:val="both"/>
        <w:rPr>
          <w:b/>
          <w:bCs/>
        </w:rPr>
      </w:pPr>
      <w:r>
        <w:rPr>
          <w:b/>
          <w:bCs/>
        </w:rPr>
        <w:t xml:space="preserve">7. Acceso a Derechos </w:t>
      </w:r>
    </w:p>
    <w:p w14:paraId="72E9F3D8" w14:textId="4C8D822F" w:rsidR="00D519DC" w:rsidRDefault="00D519DC" w:rsidP="00DD5AF0">
      <w:pPr>
        <w:jc w:val="both"/>
      </w:pPr>
      <w:r>
        <w:lastRenderedPageBreak/>
        <w:t xml:space="preserve">El derecho a la educación está garantizado por el Estado de Chile a todos los niños, niñas o adolescentes independiente de su situación migratoria, </w:t>
      </w:r>
      <w:r w:rsidR="008F4A07">
        <w:t xml:space="preserve">para ello se dispuso un identificador provisorio escolar (IPE), sin embargo, actualmente pese a la implementación del visado para NNA se observa que aún hay muchos que no cuentan con cédula de identidad o RUN. </w:t>
      </w:r>
      <w:r w:rsidR="00D4171D">
        <w:t xml:space="preserve">A su vez respecto de la educación superior </w:t>
      </w:r>
      <w:r>
        <w:t>se</w:t>
      </w:r>
      <w:r w:rsidR="008F4A07">
        <w:t xml:space="preserve"> contempla el derecho a acceder a instituciones de educación superior en igualdad de condiciones que los nacionales</w:t>
      </w:r>
      <w:r w:rsidR="00C57E6A">
        <w:t xml:space="preserve">, pero tal igualdad no está asegurada a nivel de financiamiento. </w:t>
      </w:r>
    </w:p>
    <w:p w14:paraId="04CC7620" w14:textId="5FF170DC" w:rsidR="00D4171D" w:rsidRDefault="00D4171D" w:rsidP="00DD5AF0">
      <w:pPr>
        <w:jc w:val="both"/>
      </w:pPr>
      <w:r>
        <w:t xml:space="preserve">En materias de salud </w:t>
      </w:r>
      <w:r w:rsidR="00DE2769">
        <w:t>las personas migrantes pueden acceder al sistema de salud público independiente de su situación migratoria en las mismas condiciones que los nacionales. Para garantizar aquello se han dispuesto medidas tales como atención médica para mujeres durante el embarazo, parto y hasta doce meses luego del parto; prestaciones necesarias para NNA hasta los 18 años; casos de urgencia médica en las que solo se puede cobrar si la persona afectada declara que puede pagar la prestación recibida y otras prestaciones de salud pública relacionadas a métodos de regulación de fertilidad, vacunación, atención de enfermedades transmisibles</w:t>
      </w:r>
      <w:r w:rsidR="00DE2769">
        <w:rPr>
          <w:rStyle w:val="FootnoteReference"/>
        </w:rPr>
        <w:footnoteReference w:id="8"/>
      </w:r>
      <w:r w:rsidR="00DE2769">
        <w:t xml:space="preserve">.  </w:t>
      </w:r>
    </w:p>
    <w:p w14:paraId="40DB731D" w14:textId="5479BF23" w:rsidR="00091996" w:rsidRDefault="00091996" w:rsidP="00DD5AF0">
      <w:pPr>
        <w:jc w:val="both"/>
        <w:rPr>
          <w:b/>
          <w:bCs/>
        </w:rPr>
      </w:pPr>
      <w:r w:rsidRPr="00091996">
        <w:rPr>
          <w:b/>
          <w:bCs/>
        </w:rPr>
        <w:t xml:space="preserve">8. Integración Laboral </w:t>
      </w:r>
    </w:p>
    <w:p w14:paraId="3FA861E3" w14:textId="77777777" w:rsidR="00EB1CB0" w:rsidRDefault="00EB1CB0" w:rsidP="00EB1CB0">
      <w:pPr>
        <w:jc w:val="both"/>
      </w:pPr>
      <w:r>
        <w:t xml:space="preserve">El decreto N°177 establece los permisos de trabajo, para ejercer actividades lícitas remuneradas, para trabajadores de temporada y un permiso de oportunidades laborales, este último limitado a lo que señale la Política Nacional de Migraciones. </w:t>
      </w:r>
    </w:p>
    <w:p w14:paraId="48FBB3A5" w14:textId="51224FF8" w:rsidR="000F448A" w:rsidRDefault="00EB1CB0" w:rsidP="000F448A">
      <w:pPr>
        <w:jc w:val="both"/>
      </w:pPr>
      <w:r>
        <w:t>De esta manera se</w:t>
      </w:r>
      <w:r w:rsidR="00611040" w:rsidRPr="00611040">
        <w:t xml:space="preserve"> observa como un primer desafío el contar con un permiso de residencia que permita acceder a un trabajo, pues la nueva legislación migratoria </w:t>
      </w:r>
      <w:r w:rsidR="00015378">
        <w:t>establece que las solicitudes de residencia deben realizarse desde el extranjero</w:t>
      </w:r>
      <w:r w:rsidR="003C2B45">
        <w:t xml:space="preserve"> lo que en particular es muy difícil para personas de Cuba, Haití o Venezuela,</w:t>
      </w:r>
      <w:r w:rsidR="00C57E6A">
        <w:t xml:space="preserve"> a quienes en muchos casos urge salir de su país de origen por motivaciones mixtas.</w:t>
      </w:r>
      <w:r w:rsidR="00015378">
        <w:t xml:space="preserve"> </w:t>
      </w:r>
      <w:r w:rsidR="00C57E6A">
        <w:t>A</w:t>
      </w:r>
      <w:r w:rsidR="003C2B45">
        <w:t>demás</w:t>
      </w:r>
      <w:r w:rsidR="00C57E6A">
        <w:t>, tal como se indicaba previamente,</w:t>
      </w:r>
      <w:r w:rsidR="003C2B45">
        <w:t xml:space="preserve"> </w:t>
      </w:r>
      <w:r w:rsidR="00611040">
        <w:t>no</w:t>
      </w:r>
      <w:r w:rsidR="003C2B45">
        <w:t xml:space="preserve"> se</w:t>
      </w:r>
      <w:r w:rsidR="00611040">
        <w:t xml:space="preserve"> contempla la posibilidad de realizar un cambio de categoría</w:t>
      </w:r>
      <w:r w:rsidR="00C57E6A">
        <w:t xml:space="preserve"> migratoria,</w:t>
      </w:r>
      <w:r w:rsidR="00611040">
        <w:t xml:space="preserve"> por </w:t>
      </w:r>
      <w:r w:rsidR="00C57E6A">
        <w:t>ejemplo,</w:t>
      </w:r>
      <w:r w:rsidR="00611040">
        <w:t xml:space="preserve"> de turismo a laboral</w:t>
      </w:r>
      <w:r>
        <w:t xml:space="preserve"> </w:t>
      </w:r>
      <w:r w:rsidR="00C57E6A">
        <w:t xml:space="preserve">en el territorio chileno, </w:t>
      </w:r>
      <w:r>
        <w:t xml:space="preserve">siendo </w:t>
      </w:r>
      <w:r w:rsidR="00F816D5">
        <w:t>otro factor que influye respecto de personas que se encuentran trabajando formalmente</w:t>
      </w:r>
      <w:r w:rsidR="00C57E6A">
        <w:t xml:space="preserve"> el miedo de tener que salir una vez que han logrado ingresar al país. </w:t>
      </w:r>
    </w:p>
    <w:p w14:paraId="61AACE4C" w14:textId="77777777" w:rsidR="00C57E6A" w:rsidRDefault="000F448A" w:rsidP="00DD5AF0">
      <w:pPr>
        <w:jc w:val="both"/>
      </w:pPr>
      <w:r>
        <w:t>Otro gran obstáculo</w:t>
      </w:r>
      <w:r w:rsidR="00C57E6A">
        <w:t xml:space="preserve"> que</w:t>
      </w:r>
      <w:r>
        <w:t xml:space="preserve"> se observa e</w:t>
      </w:r>
      <w:r w:rsidR="00C57E6A">
        <w:t>s las dificultades para obtener</w:t>
      </w:r>
      <w:r>
        <w:t xml:space="preserve"> el reconocimiento de títulos extranjeros</w:t>
      </w:r>
      <w:r w:rsidR="00C57E6A">
        <w:t xml:space="preserve">, </w:t>
      </w:r>
      <w:r>
        <w:t>lo que tiene como consecuencia la imposibilidad de validar los estudios y ejercer su profesión</w:t>
      </w:r>
      <w:r w:rsidR="00C57E6A">
        <w:t>, precarizando la estabilidad laboral de muchas personas</w:t>
      </w:r>
      <w:r>
        <w:t xml:space="preserve">. </w:t>
      </w:r>
    </w:p>
    <w:p w14:paraId="473EC752" w14:textId="09677972" w:rsidR="00F816D5" w:rsidRDefault="000F448A" w:rsidP="00DD5AF0">
      <w:pPr>
        <w:jc w:val="both"/>
      </w:pPr>
      <w:r>
        <w:t>Por otro lado, hay empleadores que buscan generar cupos de empleo inclusivos, sin embargo, no hay una forma establecida para reconocer certificados de discapacidad emitidos en el extranjero. Esto tiene como consecuencia que el mercado laboral no pueda aprovechar el capital humano que representa la población migrante.</w:t>
      </w:r>
    </w:p>
    <w:p w14:paraId="5DECF12A" w14:textId="0D5A32D6" w:rsidR="00307F50" w:rsidRPr="00307F50" w:rsidRDefault="00307F50" w:rsidP="00307F50">
      <w:pPr>
        <w:jc w:val="center"/>
        <w:rPr>
          <w:sz w:val="20"/>
          <w:szCs w:val="20"/>
        </w:rPr>
      </w:pPr>
      <w:r w:rsidRPr="00307F50">
        <w:rPr>
          <w:sz w:val="20"/>
          <w:szCs w:val="20"/>
        </w:rPr>
        <w:t>Tasas de desocupación migrante desagregada por género</w:t>
      </w:r>
    </w:p>
    <w:p w14:paraId="0A002157" w14:textId="22F36142" w:rsidR="00307F50" w:rsidRDefault="00307F50" w:rsidP="00307F50">
      <w:pPr>
        <w:jc w:val="center"/>
      </w:pPr>
      <w:r>
        <w:rPr>
          <w:rFonts w:ascii="Cambria" w:hAnsi="Cambria"/>
          <w:i/>
          <w:iCs/>
          <w:noProof/>
          <w:color w:val="000000"/>
          <w:bdr w:val="none" w:sz="0" w:space="0" w:color="auto" w:frame="1"/>
        </w:rPr>
        <w:lastRenderedPageBreak/>
        <w:drawing>
          <wp:inline distT="0" distB="0" distL="0" distR="0" wp14:anchorId="6DE6E1A3" wp14:editId="1C40F261">
            <wp:extent cx="3324188" cy="1660254"/>
            <wp:effectExtent l="0" t="0" r="0" b="0"/>
            <wp:docPr id="3" name="Imagen 2"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Gráfico, Gráfico de barras&#10;&#10;Descripción generada automá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6236" cy="1676261"/>
                    </a:xfrm>
                    <a:prstGeom prst="rect">
                      <a:avLst/>
                    </a:prstGeom>
                    <a:noFill/>
                    <a:ln>
                      <a:noFill/>
                    </a:ln>
                  </pic:spPr>
                </pic:pic>
              </a:graphicData>
            </a:graphic>
          </wp:inline>
        </w:drawing>
      </w:r>
    </w:p>
    <w:p w14:paraId="6386CFDE" w14:textId="7E785510" w:rsidR="00307F50" w:rsidRPr="00307F50" w:rsidRDefault="00307F50" w:rsidP="00307F50">
      <w:pPr>
        <w:jc w:val="center"/>
        <w:rPr>
          <w:sz w:val="16"/>
          <w:szCs w:val="16"/>
        </w:rPr>
      </w:pPr>
      <w:r w:rsidRPr="00307F50">
        <w:rPr>
          <w:sz w:val="16"/>
          <w:szCs w:val="16"/>
        </w:rPr>
        <w:t>Fuente: Elaboración propia (2023) a partir de datos de ENE Anualizada</w:t>
      </w:r>
      <w:r w:rsidR="000F448A">
        <w:rPr>
          <w:sz w:val="16"/>
          <w:szCs w:val="16"/>
        </w:rPr>
        <w:t>.</w:t>
      </w:r>
    </w:p>
    <w:p w14:paraId="3FFF5302" w14:textId="41205356" w:rsidR="000F448A" w:rsidRDefault="00307F50" w:rsidP="003C2B45">
      <w:pPr>
        <w:jc w:val="both"/>
      </w:pPr>
      <w:r>
        <w:t xml:space="preserve">Desde un enfoque </w:t>
      </w:r>
      <w:r w:rsidR="00757C15">
        <w:t>de género</w:t>
      </w:r>
      <w:r>
        <w:t xml:space="preserve">, se han observado </w:t>
      </w:r>
      <w:r w:rsidRPr="00307F50">
        <w:t>diferencias tanto en la estructura de los hogares como en la jornada laboral de las personas migrantes. Las mujeres migrantes tienden a tener una proporción más alta de hogares monoparentales y a trabajar a tiempo parcial cuando hay menores en el hogar, lo que podría estar relacionado con la carga de las responsabilidades de labores de cuidado.</w:t>
      </w:r>
    </w:p>
    <w:p w14:paraId="690AAF34" w14:textId="06FBA073" w:rsidR="000F448A" w:rsidRPr="000F448A" w:rsidRDefault="000F448A" w:rsidP="000F448A">
      <w:pPr>
        <w:jc w:val="center"/>
        <w:rPr>
          <w:sz w:val="20"/>
          <w:szCs w:val="20"/>
        </w:rPr>
      </w:pPr>
      <w:r w:rsidRPr="000F448A">
        <w:rPr>
          <w:sz w:val="20"/>
          <w:szCs w:val="20"/>
        </w:rPr>
        <w:t>Tasas de Ocupación Informal</w:t>
      </w:r>
    </w:p>
    <w:p w14:paraId="0761E364" w14:textId="77777777" w:rsidR="000F448A" w:rsidRDefault="000F448A" w:rsidP="000F448A">
      <w:pPr>
        <w:jc w:val="center"/>
      </w:pPr>
      <w:r>
        <w:rPr>
          <w:rFonts w:ascii="Cambria" w:hAnsi="Cambria"/>
          <w:noProof/>
          <w:color w:val="000000"/>
          <w:bdr w:val="none" w:sz="0" w:space="0" w:color="auto" w:frame="1"/>
        </w:rPr>
        <w:drawing>
          <wp:inline distT="0" distB="0" distL="0" distR="0" wp14:anchorId="3A96DDDE" wp14:editId="5ED14227">
            <wp:extent cx="4008900" cy="2002231"/>
            <wp:effectExtent l="0" t="0" r="0" b="0"/>
            <wp:docPr id="5" name="Imagen 4"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descr="Gráfico, Gráfico de barras&#10;&#10;Descripción generada automáticamen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31056" cy="2013297"/>
                    </a:xfrm>
                    <a:prstGeom prst="rect">
                      <a:avLst/>
                    </a:prstGeom>
                    <a:noFill/>
                    <a:ln>
                      <a:noFill/>
                    </a:ln>
                  </pic:spPr>
                </pic:pic>
              </a:graphicData>
            </a:graphic>
          </wp:inline>
        </w:drawing>
      </w:r>
    </w:p>
    <w:p w14:paraId="1AE20B2A" w14:textId="515D2C46" w:rsidR="000F448A" w:rsidRPr="000F448A" w:rsidRDefault="000F448A" w:rsidP="000F448A">
      <w:pPr>
        <w:jc w:val="center"/>
      </w:pPr>
      <w:r w:rsidRPr="000F448A">
        <w:rPr>
          <w:rFonts w:cstheme="minorHAnsi"/>
          <w:color w:val="000000"/>
          <w:sz w:val="16"/>
          <w:szCs w:val="16"/>
        </w:rPr>
        <w:t>Fuente: Elaboración propia (2023) a partir de datos de ENE Anualizada</w:t>
      </w:r>
      <w:r>
        <w:rPr>
          <w:rFonts w:cstheme="minorHAnsi"/>
          <w:color w:val="000000"/>
          <w:sz w:val="16"/>
          <w:szCs w:val="16"/>
        </w:rPr>
        <w:t>.</w:t>
      </w:r>
    </w:p>
    <w:p w14:paraId="754E879D" w14:textId="77777777" w:rsidR="000F448A" w:rsidRDefault="000F448A" w:rsidP="00DD5AF0">
      <w:pPr>
        <w:jc w:val="both"/>
        <w:rPr>
          <w:rFonts w:ascii="Cambria" w:hAnsi="Cambria"/>
          <w:color w:val="000000"/>
          <w:sz w:val="18"/>
          <w:szCs w:val="18"/>
        </w:rPr>
      </w:pPr>
    </w:p>
    <w:p w14:paraId="5842DFFE" w14:textId="0CDBF435" w:rsidR="008D4B9F" w:rsidRDefault="00436449" w:rsidP="00DD5AF0">
      <w:pPr>
        <w:jc w:val="both"/>
        <w:rPr>
          <w:rFonts w:cstheme="minorHAnsi"/>
          <w:color w:val="000000"/>
        </w:rPr>
      </w:pPr>
      <w:r>
        <w:rPr>
          <w:rFonts w:cstheme="minorHAnsi"/>
          <w:color w:val="000000"/>
        </w:rPr>
        <w:t>L</w:t>
      </w:r>
      <w:r w:rsidR="000F448A" w:rsidRPr="000F448A">
        <w:rPr>
          <w:rFonts w:cstheme="minorHAnsi"/>
          <w:color w:val="000000"/>
        </w:rPr>
        <w:t>os desafíos que enfrenta hoy la población migrante en Chile en el acceso al mercado laboral nacional implican un mayor riesgo de precariedad y mayores necesidades económicas al no poder utilizar el tiempo y el capital humano disponible en un empleo remunerado. Asimismo, estos desafíos afectan de manera semejante a hombres y mujeres migrantes, sin embargo, en todos los casos las mujeres son quienes reciben el impacto negativo de forma más clara. Esto indica que la brecha de género es un elemento importante al evaluar las medidas a tomar para incorporar a la población migrante en el mercado laboral chileno</w:t>
      </w:r>
      <w:r w:rsidR="008D4B9F">
        <w:rPr>
          <w:rFonts w:cstheme="minorHAnsi"/>
          <w:color w:val="000000"/>
        </w:rPr>
        <w:t xml:space="preserve"> </w:t>
      </w:r>
      <w:r w:rsidR="000F448A" w:rsidRPr="000F448A">
        <w:rPr>
          <w:rFonts w:cstheme="minorHAnsi"/>
          <w:color w:val="000000"/>
        </w:rPr>
        <w:t>para asegurar el bienestar no solo de personas adultas migrante</w:t>
      </w:r>
      <w:r w:rsidR="008D4B9F">
        <w:rPr>
          <w:rFonts w:cstheme="minorHAnsi"/>
          <w:color w:val="000000"/>
        </w:rPr>
        <w:t>s</w:t>
      </w:r>
      <w:r w:rsidR="000F448A" w:rsidRPr="000F448A">
        <w:rPr>
          <w:rFonts w:cstheme="minorHAnsi"/>
          <w:color w:val="000000"/>
        </w:rPr>
        <w:t>, sino también de niños, niñas, adolescentes y personas mayores que componen los grupos familiares que llegan a Chile en la búsqueda de mejores oportunidades.</w:t>
      </w:r>
    </w:p>
    <w:p w14:paraId="1F4ACC4D" w14:textId="5BC8FE26" w:rsidR="000F448A" w:rsidRPr="00436449" w:rsidRDefault="00FF1F22" w:rsidP="00DD5AF0">
      <w:pPr>
        <w:jc w:val="both"/>
        <w:rPr>
          <w:rFonts w:cstheme="minorHAnsi"/>
          <w:color w:val="000000"/>
        </w:rPr>
      </w:pPr>
      <w:r>
        <w:rPr>
          <w:rFonts w:cstheme="minorHAnsi"/>
          <w:color w:val="000000"/>
        </w:rPr>
        <w:lastRenderedPageBreak/>
        <w:t>La Política Nacional de Migraciones dentro de sus medidas contempla crear una</w:t>
      </w:r>
      <w:r w:rsidRPr="00FF1F22">
        <w:rPr>
          <w:rFonts w:cstheme="minorHAnsi"/>
          <w:color w:val="000000"/>
        </w:rPr>
        <w:t xml:space="preserve"> “Plataforma de Empleabilidad para Migrantes” </w:t>
      </w:r>
      <w:r>
        <w:rPr>
          <w:rFonts w:cstheme="minorHAnsi"/>
          <w:color w:val="000000"/>
        </w:rPr>
        <w:t>vinculada a</w:t>
      </w:r>
      <w:r w:rsidRPr="00FF1F22">
        <w:rPr>
          <w:rFonts w:cstheme="minorHAnsi"/>
          <w:color w:val="000000"/>
        </w:rPr>
        <w:t xml:space="preserve"> la Bolsa Nacional de Empleo, perteneciente al Ministerio del Trabajo y Previsión Social, con </w:t>
      </w:r>
      <w:r>
        <w:rPr>
          <w:rFonts w:cstheme="minorHAnsi"/>
          <w:color w:val="000000"/>
        </w:rPr>
        <w:t>un</w:t>
      </w:r>
      <w:r w:rsidRPr="00FF1F22">
        <w:rPr>
          <w:rFonts w:cstheme="minorHAnsi"/>
          <w:color w:val="000000"/>
        </w:rPr>
        <w:t xml:space="preserve"> sistema de solicitud de permisos de residencias (SIMPLE), perteneciente al Servicio Nacional de Migraciones. </w:t>
      </w:r>
      <w:r w:rsidR="00466DB1">
        <w:rPr>
          <w:rFonts w:cstheme="minorHAnsi"/>
          <w:color w:val="000000"/>
        </w:rPr>
        <w:t>Así, l</w:t>
      </w:r>
      <w:r w:rsidRPr="00FF1F22">
        <w:rPr>
          <w:rFonts w:cstheme="minorHAnsi"/>
          <w:color w:val="000000"/>
        </w:rPr>
        <w:t>as personas con ánimo de residencia en Chile podrán solicitar un permiso de residencia desde el extranjero y, a su vez, por medio del sistema SIMPLE, tendrán la posibilidad de postular a una oferta de empleo formal que haya sido previamente publicada en la Bolsa Nacional de Empleo. El desarrollo buscará priorizar aquellas ofertas no cubiertas por trabajadores nacionales y que son consideradas de difícil cobertura.</w:t>
      </w:r>
    </w:p>
    <w:p w14:paraId="55C6A72B" w14:textId="4E67BCE0" w:rsidR="00612648" w:rsidRPr="00C86BAB" w:rsidRDefault="00C86BAB" w:rsidP="00DD5AF0">
      <w:pPr>
        <w:jc w:val="both"/>
        <w:rPr>
          <w:b/>
          <w:bCs/>
        </w:rPr>
      </w:pPr>
      <w:r w:rsidRPr="00C86BAB">
        <w:rPr>
          <w:b/>
          <w:bCs/>
        </w:rPr>
        <w:t xml:space="preserve">9. Conclusiones </w:t>
      </w:r>
    </w:p>
    <w:p w14:paraId="0C71560C" w14:textId="543C2D27" w:rsidR="00C57E6A" w:rsidRDefault="00C57E6A" w:rsidP="00DD5AF0">
      <w:pPr>
        <w:jc w:val="both"/>
      </w:pPr>
      <w:r>
        <w:t xml:space="preserve">Como organización tenemos diversas preocupaciones sobre como el Estado de Chile sigue gestionando la migración. Por un lado, observamos que no se cumple el compromiso con </w:t>
      </w:r>
      <w:r w:rsidR="00A40265">
        <w:t xml:space="preserve">migración, segura, ordenada y regular, </w:t>
      </w:r>
      <w:r>
        <w:t xml:space="preserve">ya que el debate de seguridad se restringe exclusivamente a medidas de expulsión, y no a la protección de las personas que viene a nuestro país. A su vez, no hay avances, sino retrocesos en medidas que permitan regularizar a población en situación migratoria irregular. </w:t>
      </w:r>
    </w:p>
    <w:p w14:paraId="68C92713" w14:textId="79818509" w:rsidR="00612648" w:rsidRPr="00436449" w:rsidRDefault="00C57E6A" w:rsidP="00DD5AF0">
      <w:pPr>
        <w:jc w:val="both"/>
      </w:pPr>
      <w:r>
        <w:t>El</w:t>
      </w:r>
      <w:r w:rsidR="00A40265">
        <w:t xml:space="preserve"> contexto </w:t>
      </w:r>
      <w:r w:rsidR="001912CA">
        <w:t xml:space="preserve">general </w:t>
      </w:r>
      <w:r w:rsidR="00A40265">
        <w:t xml:space="preserve">actual </w:t>
      </w:r>
      <w:r w:rsidR="001912CA">
        <w:t xml:space="preserve">en el país </w:t>
      </w:r>
      <w:r w:rsidR="00A40265">
        <w:t xml:space="preserve">se ha tornado cada vez más </w:t>
      </w:r>
      <w:r>
        <w:t>hostil hacia la movilidad humana,</w:t>
      </w:r>
      <w:r w:rsidR="00A40265">
        <w:t xml:space="preserve"> </w:t>
      </w:r>
      <w:r w:rsidR="0049605C">
        <w:t xml:space="preserve">y </w:t>
      </w:r>
      <w:r>
        <w:t xml:space="preserve">han permeado visiones de </w:t>
      </w:r>
      <w:r w:rsidR="00533AFA">
        <w:t>criminalización</w:t>
      </w:r>
      <w:r>
        <w:t xml:space="preserve"> de la migración. Frente a este contexto se hace urgente que el Estado de Chile avance hacia medidas de integración de la población migrante, donde la regularización resulta una herramienta fundamental</w:t>
      </w:r>
      <w:r w:rsidR="001912CA">
        <w:t xml:space="preserve">. </w:t>
      </w:r>
      <w:permStart w:id="1711015197" w:edGrp="everyone"/>
      <w:permEnd w:id="1711015197"/>
    </w:p>
    <w:p w14:paraId="25768E86" w14:textId="77777777" w:rsidR="00612648" w:rsidRDefault="00612648" w:rsidP="00DD5AF0">
      <w:pPr>
        <w:jc w:val="both"/>
        <w:rPr>
          <w:b/>
          <w:bCs/>
        </w:rPr>
      </w:pPr>
    </w:p>
    <w:p w14:paraId="3A90886C" w14:textId="77777777" w:rsidR="00612648" w:rsidRDefault="00612648" w:rsidP="00DD5AF0">
      <w:pPr>
        <w:jc w:val="both"/>
        <w:rPr>
          <w:b/>
          <w:bCs/>
        </w:rPr>
      </w:pPr>
    </w:p>
    <w:p w14:paraId="6B9B3A29" w14:textId="77777777" w:rsidR="00612648" w:rsidRDefault="00612648" w:rsidP="00DD5AF0">
      <w:pPr>
        <w:jc w:val="both"/>
        <w:rPr>
          <w:b/>
          <w:bCs/>
        </w:rPr>
      </w:pPr>
    </w:p>
    <w:p w14:paraId="203F04FE" w14:textId="77777777" w:rsidR="00612648" w:rsidRDefault="00612648" w:rsidP="00DD5AF0">
      <w:pPr>
        <w:jc w:val="both"/>
        <w:rPr>
          <w:b/>
          <w:bCs/>
        </w:rPr>
      </w:pPr>
    </w:p>
    <w:p w14:paraId="5CB7C75B" w14:textId="77777777" w:rsidR="00612648" w:rsidRDefault="00612648" w:rsidP="00DD5AF0">
      <w:pPr>
        <w:jc w:val="both"/>
        <w:rPr>
          <w:b/>
          <w:bCs/>
        </w:rPr>
      </w:pPr>
    </w:p>
    <w:p w14:paraId="1BBF610C" w14:textId="77777777" w:rsidR="00612648" w:rsidRDefault="00612648" w:rsidP="00DD5AF0">
      <w:pPr>
        <w:jc w:val="both"/>
        <w:rPr>
          <w:b/>
          <w:bCs/>
        </w:rPr>
      </w:pPr>
    </w:p>
    <w:p w14:paraId="0881970C" w14:textId="77777777" w:rsidR="00612648" w:rsidRDefault="00612648" w:rsidP="00DD5AF0">
      <w:pPr>
        <w:jc w:val="both"/>
        <w:rPr>
          <w:b/>
          <w:bCs/>
        </w:rPr>
      </w:pPr>
    </w:p>
    <w:p w14:paraId="4F87A217" w14:textId="77777777" w:rsidR="00DE498F" w:rsidRDefault="00DE498F" w:rsidP="00DD5AF0">
      <w:pPr>
        <w:jc w:val="both"/>
        <w:rPr>
          <w:b/>
          <w:bCs/>
        </w:rPr>
      </w:pPr>
    </w:p>
    <w:p w14:paraId="53E7E53A" w14:textId="77777777" w:rsidR="00DD5AF0" w:rsidRPr="00DD5AF0" w:rsidRDefault="00DD5AF0">
      <w:pPr>
        <w:jc w:val="both"/>
        <w:rPr>
          <w:b/>
          <w:bCs/>
          <w:lang w:val="es-ES"/>
        </w:rPr>
      </w:pPr>
    </w:p>
    <w:sectPr w:rsidR="00DD5AF0" w:rsidRPr="00DD5AF0">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C122F8" w14:textId="77777777" w:rsidR="00EA467A" w:rsidRDefault="00EA467A" w:rsidP="00E644B4">
      <w:pPr>
        <w:spacing w:after="0" w:line="240" w:lineRule="auto"/>
      </w:pPr>
      <w:r>
        <w:separator/>
      </w:r>
    </w:p>
  </w:endnote>
  <w:endnote w:type="continuationSeparator" w:id="0">
    <w:p w14:paraId="34681380" w14:textId="77777777" w:rsidR="00EA467A" w:rsidRDefault="00EA467A" w:rsidP="00E64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067736" w14:textId="77777777" w:rsidR="00EA467A" w:rsidRDefault="00EA467A" w:rsidP="00E644B4">
      <w:pPr>
        <w:spacing w:after="0" w:line="240" w:lineRule="auto"/>
      </w:pPr>
      <w:r>
        <w:separator/>
      </w:r>
    </w:p>
  </w:footnote>
  <w:footnote w:type="continuationSeparator" w:id="0">
    <w:p w14:paraId="1A49FCEB" w14:textId="77777777" w:rsidR="00EA467A" w:rsidRDefault="00EA467A" w:rsidP="00E644B4">
      <w:pPr>
        <w:spacing w:after="0" w:line="240" w:lineRule="auto"/>
      </w:pPr>
      <w:r>
        <w:continuationSeparator/>
      </w:r>
    </w:p>
  </w:footnote>
  <w:footnote w:id="1">
    <w:p w14:paraId="4D4F8AE9" w14:textId="31BAD6D2" w:rsidR="00411D0F" w:rsidRPr="00411D0F" w:rsidRDefault="00E644B4" w:rsidP="00017EB2">
      <w:pPr>
        <w:pStyle w:val="FootnoteText"/>
        <w:jc w:val="both"/>
      </w:pPr>
      <w:r>
        <w:rPr>
          <w:rStyle w:val="FootnoteReference"/>
        </w:rPr>
        <w:footnoteRef/>
      </w:r>
      <w:r>
        <w:t xml:space="preserve"> </w:t>
      </w:r>
      <w:r w:rsidR="00FC16A5" w:rsidRPr="00D707AB">
        <w:rPr>
          <w:sz w:val="18"/>
          <w:szCs w:val="18"/>
        </w:rPr>
        <w:t>D</w:t>
      </w:r>
      <w:r w:rsidR="00411D0F" w:rsidRPr="00D707AB">
        <w:rPr>
          <w:sz w:val="18"/>
          <w:szCs w:val="18"/>
        </w:rPr>
        <w:t xml:space="preserve">ecreto con Fuerza de Ley </w:t>
      </w:r>
      <w:r w:rsidR="00FC16A5" w:rsidRPr="00D707AB">
        <w:rPr>
          <w:sz w:val="18"/>
          <w:szCs w:val="18"/>
        </w:rPr>
        <w:t>N°1</w:t>
      </w:r>
      <w:r w:rsidR="00D707AB">
        <w:rPr>
          <w:sz w:val="18"/>
          <w:szCs w:val="18"/>
        </w:rPr>
        <w:t xml:space="preserve">, </w:t>
      </w:r>
      <w:r w:rsidR="00411D0F" w:rsidRPr="00D707AB">
        <w:rPr>
          <w:sz w:val="18"/>
          <w:szCs w:val="18"/>
        </w:rPr>
        <w:t xml:space="preserve">Ministerio del Interior y Seguridad Pública. 20 de febrero de 2023. Disponible en: </w:t>
      </w:r>
      <w:hyperlink r:id="rId1" w:history="1">
        <w:r w:rsidR="00411D0F" w:rsidRPr="00D707AB">
          <w:rPr>
            <w:rStyle w:val="Hyperlink"/>
            <w:sz w:val="18"/>
            <w:szCs w:val="18"/>
          </w:rPr>
          <w:t>https://www.bcn.cl/leychile/navegar?i=1189483</w:t>
        </w:r>
      </w:hyperlink>
      <w:r w:rsidR="00411D0F" w:rsidRPr="00D707AB">
        <w:rPr>
          <w:sz w:val="18"/>
          <w:szCs w:val="18"/>
        </w:rPr>
        <w:t xml:space="preserve"> ; Decreto N°78. Ministerio del Interior y Seguridad Pública. 24 de febrero de 2023. Disponible en: </w:t>
      </w:r>
      <w:hyperlink r:id="rId2" w:history="1">
        <w:r w:rsidR="00411D0F" w:rsidRPr="00D707AB">
          <w:rPr>
            <w:rStyle w:val="Hyperlink"/>
            <w:sz w:val="18"/>
            <w:szCs w:val="18"/>
          </w:rPr>
          <w:t>https://www.bcn.cl/leychile/navegar?idNorma=1189669</w:t>
        </w:r>
      </w:hyperlink>
      <w:r w:rsidR="00411D0F">
        <w:t xml:space="preserve"> </w:t>
      </w:r>
    </w:p>
  </w:footnote>
  <w:footnote w:id="2">
    <w:p w14:paraId="03CA6F8B" w14:textId="77777777" w:rsidR="00017EB2" w:rsidRPr="00D707AB" w:rsidRDefault="00D94DE8" w:rsidP="00017EB2">
      <w:pPr>
        <w:pStyle w:val="FootnoteText"/>
        <w:jc w:val="both"/>
        <w:rPr>
          <w:sz w:val="18"/>
          <w:szCs w:val="18"/>
        </w:rPr>
      </w:pPr>
      <w:r>
        <w:rPr>
          <w:rStyle w:val="FootnoteReference"/>
        </w:rPr>
        <w:footnoteRef/>
      </w:r>
      <w:r>
        <w:t xml:space="preserve"> </w:t>
      </w:r>
      <w:r w:rsidRPr="00D707AB">
        <w:rPr>
          <w:sz w:val="18"/>
          <w:szCs w:val="18"/>
        </w:rPr>
        <w:t xml:space="preserve">Servicio Jesuita a Migrantes, SJM (2023). </w:t>
      </w:r>
      <w:r w:rsidRPr="00D707AB">
        <w:rPr>
          <w:i/>
          <w:iCs/>
          <w:sz w:val="18"/>
          <w:szCs w:val="18"/>
        </w:rPr>
        <w:t>Anuario de estadísticas migratorias</w:t>
      </w:r>
      <w:r w:rsidRPr="00D707AB">
        <w:rPr>
          <w:sz w:val="18"/>
          <w:szCs w:val="18"/>
        </w:rPr>
        <w:t xml:space="preserve">: Movilidad Humana en Chile: ¿Cómo avanzamos hacia una migración ordenada, segura y </w:t>
      </w:r>
      <w:proofErr w:type="gramStart"/>
      <w:r w:rsidRPr="00D707AB">
        <w:rPr>
          <w:sz w:val="18"/>
          <w:szCs w:val="18"/>
        </w:rPr>
        <w:t>regular?.</w:t>
      </w:r>
      <w:proofErr w:type="gramEnd"/>
      <w:r w:rsidRPr="00D707AB">
        <w:rPr>
          <w:sz w:val="18"/>
          <w:szCs w:val="18"/>
        </w:rPr>
        <w:t xml:space="preserve"> Santiago, Chile. P. 13. </w:t>
      </w:r>
    </w:p>
    <w:p w14:paraId="41CEA7BF" w14:textId="5D85793C" w:rsidR="00D94DE8" w:rsidRPr="00411D0F" w:rsidRDefault="00017EB2" w:rsidP="00017EB2">
      <w:pPr>
        <w:pStyle w:val="FootnoteText"/>
        <w:jc w:val="both"/>
        <w:rPr>
          <w:lang w:val="es-ES"/>
        </w:rPr>
      </w:pPr>
      <w:r w:rsidRPr="00D707AB">
        <w:rPr>
          <w:sz w:val="18"/>
          <w:szCs w:val="18"/>
        </w:rPr>
        <w:t>Nota: Los registros de ingreso por pasos no habilitados entregados por PDI se construyen a partir de los registros administrativos de operativos y declaraciones voluntarias de ingreso por paso no habilitado, por lo tanto, no se tienen registros de niños, niñas y adolescentes o de las personas que no hayan sido registradas por PDI.</w:t>
      </w:r>
    </w:p>
  </w:footnote>
  <w:footnote w:id="3">
    <w:p w14:paraId="316906B3" w14:textId="77777777" w:rsidR="0065653B" w:rsidRPr="00D707AB" w:rsidRDefault="0065653B" w:rsidP="0065653B">
      <w:pPr>
        <w:pStyle w:val="FootnoteText"/>
        <w:rPr>
          <w:lang w:val="es-ES"/>
        </w:rPr>
      </w:pPr>
      <w:r>
        <w:rPr>
          <w:rStyle w:val="FootnoteReference"/>
        </w:rPr>
        <w:footnoteRef/>
      </w:r>
      <w:r>
        <w:t xml:space="preserve"> </w:t>
      </w:r>
      <w:r w:rsidRPr="00F30ABD">
        <w:rPr>
          <w:sz w:val="18"/>
          <w:szCs w:val="18"/>
        </w:rPr>
        <w:t>Artículo 131</w:t>
      </w:r>
      <w:r>
        <w:rPr>
          <w:sz w:val="18"/>
          <w:szCs w:val="18"/>
        </w:rPr>
        <w:t>.</w:t>
      </w:r>
      <w:r>
        <w:t xml:space="preserve"> </w:t>
      </w:r>
      <w:r w:rsidRPr="00D707AB">
        <w:rPr>
          <w:sz w:val="18"/>
          <w:szCs w:val="18"/>
          <w:lang w:val="es-ES"/>
        </w:rPr>
        <w:t>Ley de Migración y Extranjería N°21.325,</w:t>
      </w:r>
      <w:r>
        <w:rPr>
          <w:lang w:val="es-ES"/>
        </w:rPr>
        <w:t xml:space="preserve"> </w:t>
      </w:r>
      <w:r w:rsidRPr="00F30ABD">
        <w:rPr>
          <w:sz w:val="18"/>
          <w:szCs w:val="18"/>
          <w:lang w:val="es-ES"/>
        </w:rPr>
        <w:t>Ministerio del interior y Seguridad Pública</w:t>
      </w:r>
      <w:r>
        <w:rPr>
          <w:lang w:val="es-ES"/>
        </w:rPr>
        <w:t xml:space="preserve">. </w:t>
      </w:r>
      <w:r w:rsidRPr="00F30ABD">
        <w:rPr>
          <w:sz w:val="18"/>
          <w:szCs w:val="18"/>
          <w:lang w:val="es-ES"/>
        </w:rPr>
        <w:t>12 de febrero de 2022.</w:t>
      </w:r>
      <w:r>
        <w:rPr>
          <w:lang w:val="es-ES"/>
        </w:rPr>
        <w:t xml:space="preserve"> </w:t>
      </w:r>
      <w:r w:rsidRPr="00F30ABD">
        <w:rPr>
          <w:sz w:val="18"/>
          <w:szCs w:val="18"/>
          <w:lang w:val="es-ES"/>
        </w:rPr>
        <w:t xml:space="preserve">Disponible en: </w:t>
      </w:r>
      <w:hyperlink r:id="rId3" w:history="1">
        <w:r w:rsidRPr="00F30ABD">
          <w:rPr>
            <w:rStyle w:val="Hyperlink"/>
            <w:sz w:val="18"/>
            <w:szCs w:val="18"/>
            <w:lang w:val="es-ES"/>
          </w:rPr>
          <w:t>https://www.bcn.cl/leychile/navegar?idNorma=1158549</w:t>
        </w:r>
      </w:hyperlink>
      <w:r w:rsidRPr="00F30ABD">
        <w:rPr>
          <w:sz w:val="18"/>
          <w:szCs w:val="18"/>
          <w:lang w:val="es-ES"/>
        </w:rPr>
        <w:t xml:space="preserve"> </w:t>
      </w:r>
    </w:p>
  </w:footnote>
  <w:footnote w:id="4">
    <w:p w14:paraId="24C7F5AF" w14:textId="69466E2C" w:rsidR="00E70053" w:rsidRPr="00E70053" w:rsidRDefault="00E70053">
      <w:pPr>
        <w:pStyle w:val="FootnoteText"/>
        <w:rPr>
          <w:lang w:val="es-ES"/>
        </w:rPr>
      </w:pPr>
      <w:r>
        <w:rPr>
          <w:rStyle w:val="FootnoteReference"/>
        </w:rPr>
        <w:footnoteRef/>
      </w:r>
      <w:r>
        <w:t xml:space="preserve"> </w:t>
      </w:r>
      <w:r>
        <w:rPr>
          <w:lang w:val="es-ES"/>
        </w:rPr>
        <w:t xml:space="preserve">Política Nacional de Migraciones, Ministerio del Interior y Seguridad Pública (versión ejecutiva, 2023). Disponible en: </w:t>
      </w:r>
      <w:hyperlink r:id="rId4" w:history="1">
        <w:r w:rsidRPr="00C97CB4">
          <w:rPr>
            <w:rStyle w:val="Hyperlink"/>
            <w:lang w:val="es-ES"/>
          </w:rPr>
          <w:t>https://serviciomigraciones.cl/wp-content/uploads/2023/07/PNM-VERSION-EJECUTIVA.pdf</w:t>
        </w:r>
      </w:hyperlink>
      <w:r>
        <w:rPr>
          <w:lang w:val="es-ES"/>
        </w:rPr>
        <w:t xml:space="preserve"> </w:t>
      </w:r>
    </w:p>
  </w:footnote>
  <w:footnote w:id="5">
    <w:p w14:paraId="5C9D7CFC" w14:textId="5C7C2B18" w:rsidR="00F56D14" w:rsidRPr="00655F61" w:rsidRDefault="00F56D14">
      <w:pPr>
        <w:pStyle w:val="FootnoteText"/>
        <w:rPr>
          <w:sz w:val="18"/>
          <w:szCs w:val="18"/>
          <w:lang w:val="es-ES"/>
        </w:rPr>
      </w:pPr>
      <w:r>
        <w:rPr>
          <w:rStyle w:val="FootnoteReference"/>
        </w:rPr>
        <w:footnoteRef/>
      </w:r>
      <w:r>
        <w:t xml:space="preserve"> </w:t>
      </w:r>
      <w:r w:rsidR="00655F61" w:rsidRPr="00655F61">
        <w:rPr>
          <w:sz w:val="18"/>
          <w:szCs w:val="18"/>
        </w:rPr>
        <w:t xml:space="preserve">Resolución Exenta N°21.726, Servicio Nacional de Migraciones (2023).  </w:t>
      </w:r>
    </w:p>
  </w:footnote>
  <w:footnote w:id="6">
    <w:p w14:paraId="18FFF0A5" w14:textId="52B6BFBD" w:rsidR="00F56D14" w:rsidRPr="00F56D14" w:rsidRDefault="00F56D14" w:rsidP="00BF03E6">
      <w:pPr>
        <w:pStyle w:val="FootnoteText"/>
        <w:jc w:val="both"/>
        <w:rPr>
          <w:lang w:val="es-ES"/>
        </w:rPr>
      </w:pPr>
      <w:r>
        <w:rPr>
          <w:rStyle w:val="FootnoteReference"/>
        </w:rPr>
        <w:footnoteRef/>
      </w:r>
      <w:r>
        <w:t xml:space="preserve"> </w:t>
      </w:r>
      <w:r w:rsidRPr="00BF03E6">
        <w:rPr>
          <w:sz w:val="18"/>
          <w:szCs w:val="18"/>
        </w:rPr>
        <w:t xml:space="preserve">Servicio Jesuita a Migrantes, SJM (2023). </w:t>
      </w:r>
      <w:r w:rsidRPr="00BF03E6">
        <w:rPr>
          <w:i/>
          <w:iCs/>
          <w:sz w:val="18"/>
          <w:szCs w:val="18"/>
        </w:rPr>
        <w:t>Anuario de estadísticas migratorias</w:t>
      </w:r>
      <w:r w:rsidRPr="00BF03E6">
        <w:rPr>
          <w:sz w:val="18"/>
          <w:szCs w:val="18"/>
        </w:rPr>
        <w:t xml:space="preserve">: Movilidad Humana en Chile: ¿Cómo avanzamos hacia una migración ordenada, segura y </w:t>
      </w:r>
      <w:proofErr w:type="gramStart"/>
      <w:r w:rsidRPr="00BF03E6">
        <w:rPr>
          <w:sz w:val="18"/>
          <w:szCs w:val="18"/>
        </w:rPr>
        <w:t>regular?.</w:t>
      </w:r>
      <w:proofErr w:type="gramEnd"/>
      <w:r w:rsidRPr="00BF03E6">
        <w:rPr>
          <w:sz w:val="18"/>
          <w:szCs w:val="18"/>
        </w:rPr>
        <w:t xml:space="preserve"> Santiago, Chile. P.28.</w:t>
      </w:r>
    </w:p>
  </w:footnote>
  <w:footnote w:id="7">
    <w:p w14:paraId="302B30D0" w14:textId="524C2CE2" w:rsidR="0086422C" w:rsidRPr="0086422C" w:rsidRDefault="0086422C">
      <w:pPr>
        <w:pStyle w:val="FootnoteText"/>
        <w:rPr>
          <w:lang w:val="es-ES"/>
        </w:rPr>
      </w:pPr>
      <w:r>
        <w:rPr>
          <w:rStyle w:val="FootnoteReference"/>
        </w:rPr>
        <w:footnoteRef/>
      </w:r>
      <w:r>
        <w:t xml:space="preserve"> Comité para la Prevención de la Tortura, </w:t>
      </w:r>
      <w:r w:rsidRPr="001E077B">
        <w:rPr>
          <w:i/>
          <w:iCs/>
        </w:rPr>
        <w:t>“El derecho a las visitas en las cárceles de Chile: Un compromiso con los derechos humanos”</w:t>
      </w:r>
      <w:r>
        <w:t xml:space="preserve">. 2023. Disponible en: </w:t>
      </w:r>
      <w:hyperlink r:id="rId5" w:history="1">
        <w:r w:rsidRPr="00C97CB4">
          <w:rPr>
            <w:rStyle w:val="Hyperlink"/>
          </w:rPr>
          <w:t>https://mnpt.cl/2023/10/25/el-derecho-a-las-visitas-en-las-carceles-de-chile-un-compromiso-con-los-derechos-humanos/</w:t>
        </w:r>
      </w:hyperlink>
      <w:r>
        <w:t xml:space="preserve"> </w:t>
      </w:r>
    </w:p>
  </w:footnote>
  <w:footnote w:id="8">
    <w:p w14:paraId="4C839F82" w14:textId="238EB1F4" w:rsidR="00DE2769" w:rsidRPr="00DE2769" w:rsidRDefault="00DE2769">
      <w:pPr>
        <w:pStyle w:val="FootnoteText"/>
        <w:rPr>
          <w:lang w:val="es-ES"/>
        </w:rPr>
      </w:pPr>
      <w:r>
        <w:rPr>
          <w:rStyle w:val="FootnoteReference"/>
        </w:rPr>
        <w:footnoteRef/>
      </w:r>
      <w:r>
        <w:t xml:space="preserve"> </w:t>
      </w:r>
      <w:r>
        <w:rPr>
          <w:lang w:val="es-ES"/>
        </w:rPr>
        <w:t xml:space="preserve">Circular A 15 N°6, Ministerio de Salud, 2015.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C10DC" w14:textId="556EB6A5" w:rsidR="00A13DD4" w:rsidRDefault="00A13DD4" w:rsidP="00A13DD4">
    <w:pPr>
      <w:pStyle w:val="Header"/>
      <w:jc w:val="right"/>
    </w:pPr>
    <w:r w:rsidRPr="00A13DD4">
      <w:rPr>
        <w:rFonts w:ascii="Arial" w:eastAsia="Arial" w:hAnsi="Arial" w:cs="Arial"/>
        <w:noProof/>
        <w:kern w:val="0"/>
        <w:lang w:val="es"/>
        <w14:ligatures w14:val="none"/>
      </w:rPr>
      <w:drawing>
        <wp:inline distT="0" distB="0" distL="0" distR="0" wp14:anchorId="23B0C79E" wp14:editId="4FE6B4B7">
          <wp:extent cx="1097280" cy="1115695"/>
          <wp:effectExtent l="0" t="0" r="7620" b="8255"/>
          <wp:docPr id="1" name="Picture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111569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E072F"/>
    <w:multiLevelType w:val="hybridMultilevel"/>
    <w:tmpl w:val="892837BE"/>
    <w:lvl w:ilvl="0" w:tplc="7C68373C">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25A73C90"/>
    <w:multiLevelType w:val="multilevel"/>
    <w:tmpl w:val="5AE0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23006A"/>
    <w:multiLevelType w:val="hybridMultilevel"/>
    <w:tmpl w:val="11C05D8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371D0532"/>
    <w:multiLevelType w:val="hybridMultilevel"/>
    <w:tmpl w:val="79BA76AE"/>
    <w:lvl w:ilvl="0" w:tplc="3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zjukBOJvKHMZaLxRJ+RZ47sdmpIPjxApAP+dcjjJl/+CYAFxC7PUdwPKaZCWLv1qR/kX+bpbdDteSfzL+C4AMg==" w:salt="1hWR5at4Kccs8wCcvDOkH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AF0"/>
    <w:rsid w:val="000135D9"/>
    <w:rsid w:val="00015378"/>
    <w:rsid w:val="00017EB2"/>
    <w:rsid w:val="00032B25"/>
    <w:rsid w:val="00091996"/>
    <w:rsid w:val="000A4927"/>
    <w:rsid w:val="000A4C05"/>
    <w:rsid w:val="000C79F4"/>
    <w:rsid w:val="000D0226"/>
    <w:rsid w:val="000D5802"/>
    <w:rsid w:val="000F448A"/>
    <w:rsid w:val="001004B8"/>
    <w:rsid w:val="00102E5C"/>
    <w:rsid w:val="001912CA"/>
    <w:rsid w:val="00191445"/>
    <w:rsid w:val="00191ADB"/>
    <w:rsid w:val="001E077B"/>
    <w:rsid w:val="00200053"/>
    <w:rsid w:val="002008FC"/>
    <w:rsid w:val="0022712C"/>
    <w:rsid w:val="00251177"/>
    <w:rsid w:val="00274F31"/>
    <w:rsid w:val="002A66FD"/>
    <w:rsid w:val="002C1074"/>
    <w:rsid w:val="002E35A9"/>
    <w:rsid w:val="002E57DD"/>
    <w:rsid w:val="00307F50"/>
    <w:rsid w:val="00362C9F"/>
    <w:rsid w:val="00390E38"/>
    <w:rsid w:val="003B5783"/>
    <w:rsid w:val="003C2B45"/>
    <w:rsid w:val="003D2A75"/>
    <w:rsid w:val="00411D0F"/>
    <w:rsid w:val="00431349"/>
    <w:rsid w:val="00436449"/>
    <w:rsid w:val="00461A6A"/>
    <w:rsid w:val="00466DB1"/>
    <w:rsid w:val="0047373C"/>
    <w:rsid w:val="00481C06"/>
    <w:rsid w:val="00482FD6"/>
    <w:rsid w:val="0049605C"/>
    <w:rsid w:val="004A4B9D"/>
    <w:rsid w:val="004C14C7"/>
    <w:rsid w:val="004D0C10"/>
    <w:rsid w:val="00533AFA"/>
    <w:rsid w:val="00554F71"/>
    <w:rsid w:val="005572E4"/>
    <w:rsid w:val="00581A67"/>
    <w:rsid w:val="00587054"/>
    <w:rsid w:val="005D2563"/>
    <w:rsid w:val="005E1313"/>
    <w:rsid w:val="005F2DB6"/>
    <w:rsid w:val="00611040"/>
    <w:rsid w:val="00612648"/>
    <w:rsid w:val="0062517C"/>
    <w:rsid w:val="00655F61"/>
    <w:rsid w:val="0065653B"/>
    <w:rsid w:val="006779A9"/>
    <w:rsid w:val="00681A7E"/>
    <w:rsid w:val="00757C15"/>
    <w:rsid w:val="00790708"/>
    <w:rsid w:val="0079744A"/>
    <w:rsid w:val="007A6929"/>
    <w:rsid w:val="007B502A"/>
    <w:rsid w:val="007F5346"/>
    <w:rsid w:val="00817375"/>
    <w:rsid w:val="0086422C"/>
    <w:rsid w:val="00872442"/>
    <w:rsid w:val="00881B06"/>
    <w:rsid w:val="008A29E3"/>
    <w:rsid w:val="008A3A6A"/>
    <w:rsid w:val="008B69F6"/>
    <w:rsid w:val="008B7E83"/>
    <w:rsid w:val="008D4B9F"/>
    <w:rsid w:val="008F4A07"/>
    <w:rsid w:val="009421B9"/>
    <w:rsid w:val="00971CCC"/>
    <w:rsid w:val="009A743F"/>
    <w:rsid w:val="00A1368F"/>
    <w:rsid w:val="00A13DD4"/>
    <w:rsid w:val="00A13E02"/>
    <w:rsid w:val="00A16332"/>
    <w:rsid w:val="00A204D2"/>
    <w:rsid w:val="00A40265"/>
    <w:rsid w:val="00A50AA6"/>
    <w:rsid w:val="00A8251C"/>
    <w:rsid w:val="00AE0045"/>
    <w:rsid w:val="00B744D6"/>
    <w:rsid w:val="00BA78D3"/>
    <w:rsid w:val="00BC7E66"/>
    <w:rsid w:val="00BE1C35"/>
    <w:rsid w:val="00BF03E6"/>
    <w:rsid w:val="00C45651"/>
    <w:rsid w:val="00C47DA3"/>
    <w:rsid w:val="00C57E6A"/>
    <w:rsid w:val="00C86BAB"/>
    <w:rsid w:val="00CB3010"/>
    <w:rsid w:val="00CC09F9"/>
    <w:rsid w:val="00CC3E2B"/>
    <w:rsid w:val="00CD579D"/>
    <w:rsid w:val="00D33E1F"/>
    <w:rsid w:val="00D34138"/>
    <w:rsid w:val="00D4171D"/>
    <w:rsid w:val="00D519DC"/>
    <w:rsid w:val="00D53FC4"/>
    <w:rsid w:val="00D66A2A"/>
    <w:rsid w:val="00D7075C"/>
    <w:rsid w:val="00D707AB"/>
    <w:rsid w:val="00D94DE8"/>
    <w:rsid w:val="00D96E6E"/>
    <w:rsid w:val="00DA1FAD"/>
    <w:rsid w:val="00DA2C5C"/>
    <w:rsid w:val="00DB689F"/>
    <w:rsid w:val="00DC4CA2"/>
    <w:rsid w:val="00DD3C74"/>
    <w:rsid w:val="00DD5AF0"/>
    <w:rsid w:val="00DE2769"/>
    <w:rsid w:val="00DE440A"/>
    <w:rsid w:val="00DE498F"/>
    <w:rsid w:val="00DE4B61"/>
    <w:rsid w:val="00E15691"/>
    <w:rsid w:val="00E32DCA"/>
    <w:rsid w:val="00E4507D"/>
    <w:rsid w:val="00E4690C"/>
    <w:rsid w:val="00E644B4"/>
    <w:rsid w:val="00E70053"/>
    <w:rsid w:val="00EA467A"/>
    <w:rsid w:val="00EB1CB0"/>
    <w:rsid w:val="00F30ABD"/>
    <w:rsid w:val="00F530AE"/>
    <w:rsid w:val="00F56D14"/>
    <w:rsid w:val="00F712C6"/>
    <w:rsid w:val="00F8160E"/>
    <w:rsid w:val="00F816D5"/>
    <w:rsid w:val="00F86B7F"/>
    <w:rsid w:val="00F912FD"/>
    <w:rsid w:val="00F94526"/>
    <w:rsid w:val="00FC16A5"/>
    <w:rsid w:val="00FF1F2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423CD"/>
  <w15:chartTrackingRefBased/>
  <w15:docId w15:val="{5997CE27-2B89-4908-9EC6-E28C85A12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644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44B4"/>
    <w:rPr>
      <w:sz w:val="20"/>
      <w:szCs w:val="20"/>
    </w:rPr>
  </w:style>
  <w:style w:type="character" w:styleId="FootnoteReference">
    <w:name w:val="footnote reference"/>
    <w:basedOn w:val="DefaultParagraphFont"/>
    <w:uiPriority w:val="99"/>
    <w:semiHidden/>
    <w:unhideWhenUsed/>
    <w:rsid w:val="00E644B4"/>
    <w:rPr>
      <w:vertAlign w:val="superscript"/>
    </w:rPr>
  </w:style>
  <w:style w:type="character" w:styleId="Hyperlink">
    <w:name w:val="Hyperlink"/>
    <w:basedOn w:val="DefaultParagraphFont"/>
    <w:uiPriority w:val="99"/>
    <w:unhideWhenUsed/>
    <w:rsid w:val="00411D0F"/>
    <w:rPr>
      <w:color w:val="0563C1" w:themeColor="hyperlink"/>
      <w:u w:val="single"/>
    </w:rPr>
  </w:style>
  <w:style w:type="character" w:styleId="UnresolvedMention">
    <w:name w:val="Unresolved Mention"/>
    <w:basedOn w:val="DefaultParagraphFont"/>
    <w:uiPriority w:val="99"/>
    <w:semiHidden/>
    <w:unhideWhenUsed/>
    <w:rsid w:val="00411D0F"/>
    <w:rPr>
      <w:color w:val="605E5C"/>
      <w:shd w:val="clear" w:color="auto" w:fill="E1DFDD"/>
    </w:rPr>
  </w:style>
  <w:style w:type="character" w:styleId="CommentReference">
    <w:name w:val="annotation reference"/>
    <w:basedOn w:val="DefaultParagraphFont"/>
    <w:uiPriority w:val="99"/>
    <w:semiHidden/>
    <w:unhideWhenUsed/>
    <w:rsid w:val="00554F71"/>
    <w:rPr>
      <w:sz w:val="16"/>
      <w:szCs w:val="16"/>
    </w:rPr>
  </w:style>
  <w:style w:type="paragraph" w:styleId="CommentText">
    <w:name w:val="annotation text"/>
    <w:basedOn w:val="Normal"/>
    <w:link w:val="CommentTextChar"/>
    <w:uiPriority w:val="99"/>
    <w:unhideWhenUsed/>
    <w:rsid w:val="00554F71"/>
    <w:pPr>
      <w:spacing w:line="240" w:lineRule="auto"/>
    </w:pPr>
    <w:rPr>
      <w:sz w:val="20"/>
      <w:szCs w:val="20"/>
    </w:rPr>
  </w:style>
  <w:style w:type="character" w:customStyle="1" w:styleId="CommentTextChar">
    <w:name w:val="Comment Text Char"/>
    <w:basedOn w:val="DefaultParagraphFont"/>
    <w:link w:val="CommentText"/>
    <w:uiPriority w:val="99"/>
    <w:rsid w:val="00554F71"/>
    <w:rPr>
      <w:sz w:val="20"/>
      <w:szCs w:val="20"/>
    </w:rPr>
  </w:style>
  <w:style w:type="paragraph" w:styleId="CommentSubject">
    <w:name w:val="annotation subject"/>
    <w:basedOn w:val="CommentText"/>
    <w:next w:val="CommentText"/>
    <w:link w:val="CommentSubjectChar"/>
    <w:uiPriority w:val="99"/>
    <w:semiHidden/>
    <w:unhideWhenUsed/>
    <w:rsid w:val="00554F71"/>
    <w:rPr>
      <w:b/>
      <w:bCs/>
    </w:rPr>
  </w:style>
  <w:style w:type="character" w:customStyle="1" w:styleId="CommentSubjectChar">
    <w:name w:val="Comment Subject Char"/>
    <w:basedOn w:val="CommentTextChar"/>
    <w:link w:val="CommentSubject"/>
    <w:uiPriority w:val="99"/>
    <w:semiHidden/>
    <w:rsid w:val="00554F71"/>
    <w:rPr>
      <w:b/>
      <w:bCs/>
      <w:sz w:val="20"/>
      <w:szCs w:val="20"/>
    </w:rPr>
  </w:style>
  <w:style w:type="table" w:styleId="TableGrid">
    <w:name w:val="Table Grid"/>
    <w:basedOn w:val="TableNormal"/>
    <w:uiPriority w:val="39"/>
    <w:rsid w:val="005D25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690C"/>
    <w:pPr>
      <w:tabs>
        <w:tab w:val="center" w:pos="4419"/>
        <w:tab w:val="right" w:pos="8838"/>
      </w:tabs>
      <w:spacing w:after="0" w:line="240" w:lineRule="auto"/>
    </w:pPr>
  </w:style>
  <w:style w:type="character" w:customStyle="1" w:styleId="HeaderChar">
    <w:name w:val="Header Char"/>
    <w:basedOn w:val="DefaultParagraphFont"/>
    <w:link w:val="Header"/>
    <w:uiPriority w:val="99"/>
    <w:rsid w:val="00E4690C"/>
  </w:style>
  <w:style w:type="paragraph" w:styleId="Footer">
    <w:name w:val="footer"/>
    <w:basedOn w:val="Normal"/>
    <w:link w:val="FooterChar"/>
    <w:uiPriority w:val="99"/>
    <w:unhideWhenUsed/>
    <w:rsid w:val="00E4690C"/>
    <w:pPr>
      <w:tabs>
        <w:tab w:val="center" w:pos="4419"/>
        <w:tab w:val="right" w:pos="8838"/>
      </w:tabs>
      <w:spacing w:after="0" w:line="240" w:lineRule="auto"/>
    </w:pPr>
  </w:style>
  <w:style w:type="character" w:customStyle="1" w:styleId="FooterChar">
    <w:name w:val="Footer Char"/>
    <w:basedOn w:val="DefaultParagraphFont"/>
    <w:link w:val="Footer"/>
    <w:uiPriority w:val="99"/>
    <w:rsid w:val="00E4690C"/>
  </w:style>
  <w:style w:type="paragraph" w:styleId="ListParagraph">
    <w:name w:val="List Paragraph"/>
    <w:basedOn w:val="Normal"/>
    <w:uiPriority w:val="34"/>
    <w:qFormat/>
    <w:rsid w:val="005572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585428">
      <w:bodyDiv w:val="1"/>
      <w:marLeft w:val="0"/>
      <w:marRight w:val="0"/>
      <w:marTop w:val="0"/>
      <w:marBottom w:val="0"/>
      <w:divBdr>
        <w:top w:val="none" w:sz="0" w:space="0" w:color="auto"/>
        <w:left w:val="none" w:sz="0" w:space="0" w:color="auto"/>
        <w:bottom w:val="none" w:sz="0" w:space="0" w:color="auto"/>
        <w:right w:val="none" w:sz="0" w:space="0" w:color="auto"/>
      </w:divBdr>
    </w:div>
    <w:div w:id="71465019">
      <w:bodyDiv w:val="1"/>
      <w:marLeft w:val="0"/>
      <w:marRight w:val="0"/>
      <w:marTop w:val="0"/>
      <w:marBottom w:val="0"/>
      <w:divBdr>
        <w:top w:val="none" w:sz="0" w:space="0" w:color="auto"/>
        <w:left w:val="none" w:sz="0" w:space="0" w:color="auto"/>
        <w:bottom w:val="none" w:sz="0" w:space="0" w:color="auto"/>
        <w:right w:val="none" w:sz="0" w:space="0" w:color="auto"/>
      </w:divBdr>
    </w:div>
    <w:div w:id="327556508">
      <w:bodyDiv w:val="1"/>
      <w:marLeft w:val="0"/>
      <w:marRight w:val="0"/>
      <w:marTop w:val="0"/>
      <w:marBottom w:val="0"/>
      <w:divBdr>
        <w:top w:val="none" w:sz="0" w:space="0" w:color="auto"/>
        <w:left w:val="none" w:sz="0" w:space="0" w:color="auto"/>
        <w:bottom w:val="none" w:sz="0" w:space="0" w:color="auto"/>
        <w:right w:val="none" w:sz="0" w:space="0" w:color="auto"/>
      </w:divBdr>
    </w:div>
    <w:div w:id="343285006">
      <w:bodyDiv w:val="1"/>
      <w:marLeft w:val="0"/>
      <w:marRight w:val="0"/>
      <w:marTop w:val="0"/>
      <w:marBottom w:val="0"/>
      <w:divBdr>
        <w:top w:val="none" w:sz="0" w:space="0" w:color="auto"/>
        <w:left w:val="none" w:sz="0" w:space="0" w:color="auto"/>
        <w:bottom w:val="none" w:sz="0" w:space="0" w:color="auto"/>
        <w:right w:val="none" w:sz="0" w:space="0" w:color="auto"/>
      </w:divBdr>
    </w:div>
    <w:div w:id="814298593">
      <w:bodyDiv w:val="1"/>
      <w:marLeft w:val="0"/>
      <w:marRight w:val="0"/>
      <w:marTop w:val="0"/>
      <w:marBottom w:val="0"/>
      <w:divBdr>
        <w:top w:val="none" w:sz="0" w:space="0" w:color="auto"/>
        <w:left w:val="none" w:sz="0" w:space="0" w:color="auto"/>
        <w:bottom w:val="none" w:sz="0" w:space="0" w:color="auto"/>
        <w:right w:val="none" w:sz="0" w:space="0" w:color="auto"/>
      </w:divBdr>
    </w:div>
    <w:div w:id="846596791">
      <w:bodyDiv w:val="1"/>
      <w:marLeft w:val="0"/>
      <w:marRight w:val="0"/>
      <w:marTop w:val="0"/>
      <w:marBottom w:val="0"/>
      <w:divBdr>
        <w:top w:val="none" w:sz="0" w:space="0" w:color="auto"/>
        <w:left w:val="none" w:sz="0" w:space="0" w:color="auto"/>
        <w:bottom w:val="none" w:sz="0" w:space="0" w:color="auto"/>
        <w:right w:val="none" w:sz="0" w:space="0" w:color="auto"/>
      </w:divBdr>
    </w:div>
    <w:div w:id="1033699537">
      <w:bodyDiv w:val="1"/>
      <w:marLeft w:val="0"/>
      <w:marRight w:val="0"/>
      <w:marTop w:val="0"/>
      <w:marBottom w:val="0"/>
      <w:divBdr>
        <w:top w:val="none" w:sz="0" w:space="0" w:color="auto"/>
        <w:left w:val="none" w:sz="0" w:space="0" w:color="auto"/>
        <w:bottom w:val="none" w:sz="0" w:space="0" w:color="auto"/>
        <w:right w:val="none" w:sz="0" w:space="0" w:color="auto"/>
      </w:divBdr>
      <w:divsChild>
        <w:div w:id="1231043700">
          <w:marLeft w:val="0"/>
          <w:marRight w:val="0"/>
          <w:marTop w:val="0"/>
          <w:marBottom w:val="0"/>
          <w:divBdr>
            <w:top w:val="none" w:sz="0" w:space="0" w:color="auto"/>
            <w:left w:val="none" w:sz="0" w:space="0" w:color="auto"/>
            <w:bottom w:val="none" w:sz="0" w:space="0" w:color="auto"/>
            <w:right w:val="none" w:sz="0" w:space="0" w:color="auto"/>
          </w:divBdr>
        </w:div>
      </w:divsChild>
    </w:div>
    <w:div w:id="1345861811">
      <w:bodyDiv w:val="1"/>
      <w:marLeft w:val="0"/>
      <w:marRight w:val="0"/>
      <w:marTop w:val="0"/>
      <w:marBottom w:val="0"/>
      <w:divBdr>
        <w:top w:val="none" w:sz="0" w:space="0" w:color="auto"/>
        <w:left w:val="none" w:sz="0" w:space="0" w:color="auto"/>
        <w:bottom w:val="none" w:sz="0" w:space="0" w:color="auto"/>
        <w:right w:val="none" w:sz="0" w:space="0" w:color="auto"/>
      </w:divBdr>
    </w:div>
    <w:div w:id="1899197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bcn.cl/leychile/navegar?idNorma=1158549" TargetMode="External"/><Relationship Id="rId2" Type="http://schemas.openxmlformats.org/officeDocument/2006/relationships/hyperlink" Target="https://www.bcn.cl/leychile/navegar?idNorma=1189669" TargetMode="External"/><Relationship Id="rId1" Type="http://schemas.openxmlformats.org/officeDocument/2006/relationships/hyperlink" Target="https://www.bcn.cl/leychile/navegar?i=1189483" TargetMode="External"/><Relationship Id="rId5" Type="http://schemas.openxmlformats.org/officeDocument/2006/relationships/hyperlink" Target="https://mnpt.cl/2023/10/25/el-derecho-a-las-visitas-en-las-carceles-de-chile-un-compromiso-con-los-derechos-humanos/" TargetMode="External"/><Relationship Id="rId4" Type="http://schemas.openxmlformats.org/officeDocument/2006/relationships/hyperlink" Target="https://serviciomigraciones.cl/wp-content/uploads/2023/07/PNM-VERSION-EJECUTIV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3A396-DEF8-4A2F-8FB7-FA2B3C706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3650</Words>
  <Characters>20809</Characters>
  <Application>Microsoft Office Word</Application>
  <DocSecurity>8</DocSecurity>
  <Lines>173</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Conchita DelaCorte</dc:creator>
  <cp:keywords/>
  <dc:description/>
  <cp:lastModifiedBy>FLECHE Isabelle</cp:lastModifiedBy>
  <cp:revision>3</cp:revision>
  <cp:lastPrinted>2023-10-27T15:07:00Z</cp:lastPrinted>
  <dcterms:created xsi:type="dcterms:W3CDTF">2023-10-27T15:08:00Z</dcterms:created>
  <dcterms:modified xsi:type="dcterms:W3CDTF">2023-11-14T16:15:00Z</dcterms:modified>
</cp:coreProperties>
</file>