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07724" w14:textId="0304A6E5" w:rsidR="00BD3559" w:rsidRDefault="727B65DB" w:rsidP="4FC27832">
      <w:pPr>
        <w:jc w:val="center"/>
        <w:rPr>
          <w:rFonts w:ascii="Times New Roman" w:eastAsia="Times New Roman" w:hAnsi="Times New Roman" w:cs="Times New Roman"/>
          <w:b/>
          <w:bCs/>
          <w:lang w:val="en-US"/>
        </w:rPr>
      </w:pPr>
      <w:r w:rsidRPr="4FC27832">
        <w:rPr>
          <w:rFonts w:ascii="Times New Roman" w:eastAsia="Times New Roman" w:hAnsi="Times New Roman" w:cs="Times New Roman"/>
          <w:b/>
          <w:bCs/>
          <w:lang w:val="en-US"/>
        </w:rPr>
        <w:t>Federal Public Defenders Office of Brazil (DPU) - Additional Information regarding the document "Replies of Brazil to the list of issues in relation to its combined fifth to seventh reports</w:t>
      </w:r>
    </w:p>
    <w:p w14:paraId="27534F85" w14:textId="56A4D30C" w:rsidR="69A4FEAC" w:rsidRDefault="69A4FEAC" w:rsidP="4FC27832">
      <w:pPr>
        <w:jc w:val="center"/>
        <w:rPr>
          <w:rFonts w:ascii="Times New Roman" w:eastAsia="Times New Roman" w:hAnsi="Times New Roman" w:cs="Times New Roman"/>
          <w:lang w:val="en-US"/>
        </w:rPr>
      </w:pPr>
      <w:r w:rsidRPr="4FC27832">
        <w:rPr>
          <w:rFonts w:ascii="Times New Roman" w:eastAsia="Times New Roman" w:hAnsi="Times New Roman" w:cs="Times New Roman"/>
          <w:lang w:val="en-US"/>
        </w:rPr>
        <w:t xml:space="preserve">Brasília, April 14, 2025. </w:t>
      </w:r>
    </w:p>
    <w:p w14:paraId="005EA43B" w14:textId="37D46A7B" w:rsidR="4FC27832" w:rsidRDefault="4FC27832" w:rsidP="4FC27832">
      <w:pPr>
        <w:jc w:val="center"/>
        <w:rPr>
          <w:rFonts w:ascii="Times New Roman" w:eastAsia="Times New Roman" w:hAnsi="Times New Roman" w:cs="Times New Roman"/>
          <w:b/>
          <w:bCs/>
          <w:lang w:val="en-US"/>
        </w:rPr>
      </w:pPr>
    </w:p>
    <w:p w14:paraId="03483E9A" w14:textId="0199C548" w:rsidR="5BF04C5F" w:rsidRDefault="5BF04C5F" w:rsidP="4FC27832">
      <w:pPr>
        <w:spacing w:line="360" w:lineRule="auto"/>
        <w:jc w:val="both"/>
        <w:rPr>
          <w:rFonts w:ascii="Times New Roman" w:eastAsia="Times New Roman" w:hAnsi="Times New Roman" w:cs="Times New Roman"/>
          <w:b/>
          <w:bCs/>
          <w:u w:val="single"/>
          <w:lang w:val="en-US"/>
        </w:rPr>
      </w:pPr>
      <w:r w:rsidRPr="4FC27832">
        <w:rPr>
          <w:rFonts w:ascii="Times New Roman" w:eastAsia="Times New Roman" w:hAnsi="Times New Roman" w:cs="Times New Roman"/>
          <w:b/>
          <w:bCs/>
          <w:u w:val="single"/>
          <w:lang w:val="en-US"/>
        </w:rPr>
        <w:t xml:space="preserve">Contributions of the Advisers to the </w:t>
      </w:r>
      <w:r w:rsidR="3541DA4A" w:rsidRPr="4FC27832">
        <w:rPr>
          <w:rFonts w:ascii="Times New Roman" w:eastAsia="Times New Roman" w:hAnsi="Times New Roman" w:cs="Times New Roman"/>
          <w:b/>
          <w:bCs/>
          <w:u w:val="single"/>
          <w:lang w:val="en-US"/>
        </w:rPr>
        <w:t xml:space="preserve">Federal Public </w:t>
      </w:r>
      <w:proofErr w:type="spellStart"/>
      <w:r w:rsidR="3541DA4A" w:rsidRPr="4FC27832">
        <w:rPr>
          <w:rFonts w:ascii="Times New Roman" w:eastAsia="Times New Roman" w:hAnsi="Times New Roman" w:cs="Times New Roman"/>
          <w:b/>
          <w:bCs/>
          <w:u w:val="single"/>
          <w:lang w:val="en-US"/>
        </w:rPr>
        <w:t>Subdefender</w:t>
      </w:r>
      <w:proofErr w:type="spellEnd"/>
      <w:r w:rsidRPr="4FC27832">
        <w:rPr>
          <w:rFonts w:ascii="Times New Roman" w:eastAsia="Times New Roman" w:hAnsi="Times New Roman" w:cs="Times New Roman"/>
          <w:b/>
          <w:bCs/>
          <w:u w:val="single"/>
          <w:lang w:val="en-US"/>
        </w:rPr>
        <w:t xml:space="preserve"> </w:t>
      </w:r>
      <w:r w:rsidR="38B195BD" w:rsidRPr="4FC27832">
        <w:rPr>
          <w:rFonts w:ascii="Times New Roman" w:eastAsia="Times New Roman" w:hAnsi="Times New Roman" w:cs="Times New Roman"/>
          <w:b/>
          <w:bCs/>
          <w:u w:val="single"/>
          <w:lang w:val="en-US"/>
        </w:rPr>
        <w:t>General</w:t>
      </w:r>
      <w:r w:rsidRPr="4FC27832">
        <w:rPr>
          <w:rFonts w:ascii="Times New Roman" w:eastAsia="Times New Roman" w:hAnsi="Times New Roman" w:cs="Times New Roman"/>
          <w:b/>
          <w:bCs/>
          <w:u w:val="single"/>
          <w:lang w:val="en-US"/>
        </w:rPr>
        <w:t>- International Advisory Office (AINT-DPU)</w:t>
      </w:r>
    </w:p>
    <w:p w14:paraId="5FF50A60" w14:textId="07B7A3FC" w:rsidR="3795C62F" w:rsidRDefault="3795C62F" w:rsidP="4FC27832">
      <w:pPr>
        <w:spacing w:line="360" w:lineRule="auto"/>
        <w:ind w:firstLine="708"/>
        <w:jc w:val="both"/>
        <w:rPr>
          <w:rFonts w:ascii="Times New Roman" w:eastAsia="Times New Roman" w:hAnsi="Times New Roman" w:cs="Times New Roman"/>
          <w:b/>
          <w:bCs/>
          <w:lang w:val="en-US"/>
        </w:rPr>
      </w:pPr>
      <w:r w:rsidRPr="4FC27832">
        <w:rPr>
          <w:rFonts w:ascii="Times New Roman" w:eastAsia="Times New Roman" w:hAnsi="Times New Roman" w:cs="Times New Roman"/>
          <w:lang w:val="en-US"/>
        </w:rPr>
        <w:t>In response to Part I, paragraph 2(f) of the State report, we express serious concern over the Brazilian State’s failure to acknowledge the constitutional mandate and practical contributions of the Federal Public Defenders’ Office (</w:t>
      </w:r>
      <w:proofErr w:type="spellStart"/>
      <w:r w:rsidRPr="4FC27832">
        <w:rPr>
          <w:rFonts w:ascii="Times New Roman" w:eastAsia="Times New Roman" w:hAnsi="Times New Roman" w:cs="Times New Roman"/>
          <w:lang w:val="en-US"/>
        </w:rPr>
        <w:t>Defensoria</w:t>
      </w:r>
      <w:proofErr w:type="spellEnd"/>
      <w:r w:rsidRPr="4FC27832">
        <w:rPr>
          <w:rFonts w:ascii="Times New Roman" w:eastAsia="Times New Roman" w:hAnsi="Times New Roman" w:cs="Times New Roman"/>
          <w:lang w:val="en-US"/>
        </w:rPr>
        <w:t xml:space="preserve"> Pública da </w:t>
      </w:r>
      <w:proofErr w:type="spellStart"/>
      <w:r w:rsidRPr="4FC27832">
        <w:rPr>
          <w:rFonts w:ascii="Times New Roman" w:eastAsia="Times New Roman" w:hAnsi="Times New Roman" w:cs="Times New Roman"/>
          <w:lang w:val="en-US"/>
        </w:rPr>
        <w:t>União</w:t>
      </w:r>
      <w:proofErr w:type="spellEnd"/>
      <w:r w:rsidRPr="4FC27832">
        <w:rPr>
          <w:rFonts w:ascii="Times New Roman" w:eastAsia="Times New Roman" w:hAnsi="Times New Roman" w:cs="Times New Roman"/>
          <w:lang w:val="en-US"/>
        </w:rPr>
        <w:t xml:space="preserve"> – DPU) as Brazil’s principal human rights monitoring institution. The DPU is the only independent body in the country with a constitutional mandate to promote and protect human rights, acting as both an expression and an instrument of Brazil’s democratic regime and the rule of law. It plays a critical role in defending vulnerable populations and ensuring broad, effective access to justice, as established in Article 134 of the 1988 Federal Constitution. Within the scope of this report, we present substantial evidence of the DPU’s actions in promoting the rights of children - a commitment that extends to numerous other groups, as documented in specific reports submitted to various treaty bodies. </w:t>
      </w:r>
    </w:p>
    <w:p w14:paraId="47AFE6FA" w14:textId="4810FE00" w:rsidR="3795C62F" w:rsidRDefault="3795C62F" w:rsidP="4FC27832">
      <w:pPr>
        <w:spacing w:line="360" w:lineRule="auto"/>
        <w:ind w:firstLine="708"/>
        <w:jc w:val="both"/>
      </w:pPr>
      <w:r w:rsidRPr="4FC27832">
        <w:rPr>
          <w:rFonts w:ascii="Times New Roman" w:eastAsia="Times New Roman" w:hAnsi="Times New Roman" w:cs="Times New Roman"/>
          <w:lang w:val="en-US"/>
        </w:rPr>
        <w:t>By presenting the National Human Rights Council (CNDH) and the National Council for the Rights of Children and Adolescents (CONANDA) as compliant with the Paris Principles and eligible for NHRI status, the State demonstrates a misunderstanding of Brazil’s institutional structure and a misreading of the Paris Principles, as endorsed by UN General Assembly Resolution 48/134 (1993). The institutions mentioned by the State’s report lack the autonomy, budget, independence, and structural capacity required of a National Human Rights Institution.</w:t>
      </w:r>
    </w:p>
    <w:p w14:paraId="0CB007C5" w14:textId="4B049D6F" w:rsidR="3795C62F" w:rsidRDefault="3795C62F" w:rsidP="4FC27832">
      <w:pPr>
        <w:spacing w:line="360" w:lineRule="auto"/>
        <w:ind w:firstLine="708"/>
        <w:jc w:val="both"/>
      </w:pPr>
      <w:r w:rsidRPr="4FC27832">
        <w:rPr>
          <w:rFonts w:ascii="Times New Roman" w:eastAsia="Times New Roman" w:hAnsi="Times New Roman" w:cs="Times New Roman"/>
          <w:lang w:val="en-US"/>
        </w:rPr>
        <w:t xml:space="preserve">The need to establish a recognized NHRI in Brazil is urgent, particularly under the scope of children’s rights. The DPU is actively pursuing accreditation for a role it already fulfills in practice, both domestically and internationally. Since 2020, the DPU has consistently participated in RINDHCA assemblies, GANHRI meetings (since 2024), and key UN forums such as the Forum on Business and Human Rights and the Forum on Minorities. It has also </w:t>
      </w:r>
      <w:r w:rsidRPr="4FC27832">
        <w:rPr>
          <w:rFonts w:ascii="Times New Roman" w:eastAsia="Times New Roman" w:hAnsi="Times New Roman" w:cs="Times New Roman"/>
          <w:lang w:val="en-US"/>
        </w:rPr>
        <w:lastRenderedPageBreak/>
        <w:t xml:space="preserve">represented Brazil in events hosted by other NHRIs and the Inter-American Court of Human Rights, reinforcing its role within the Inter-American Human Rights System. </w:t>
      </w:r>
    </w:p>
    <w:p w14:paraId="4E7F16FB" w14:textId="433FCD40" w:rsidR="3795C62F" w:rsidRDefault="3795C62F" w:rsidP="4FC27832">
      <w:pPr>
        <w:spacing w:line="360" w:lineRule="auto"/>
        <w:ind w:firstLine="708"/>
        <w:jc w:val="both"/>
      </w:pPr>
      <w:r w:rsidRPr="4FC27832">
        <w:rPr>
          <w:rFonts w:ascii="Times New Roman" w:eastAsia="Times New Roman" w:hAnsi="Times New Roman" w:cs="Times New Roman"/>
          <w:lang w:val="en-US"/>
        </w:rPr>
        <w:t xml:space="preserve">The DPU carries out the core functions of an NHRI and has submitted extensive documentation to the OHCHR demonstrating compliance with the Paris Principles. It is currently leading a significant legislative reform project in partnership with the OHCHR and the Equal Rights, Trust, and is also developing a Guide of Recommendations and Climate Justice Goals for COP 30 in collaboration with regional NHRIs. Both initiatives address urgent human rights concerns, particularly the rights of children and adolescents, in recognition of the fundamental importance of a clean and healthy environment for future generations. The DPU also implements a range of actions focused on particularly vulnerable groups of children, including Indigenous, </w:t>
      </w:r>
      <w:proofErr w:type="spellStart"/>
      <w:r w:rsidRPr="4FC27832">
        <w:rPr>
          <w:rFonts w:ascii="Times New Roman" w:eastAsia="Times New Roman" w:hAnsi="Times New Roman" w:cs="Times New Roman"/>
          <w:lang w:val="en-US"/>
        </w:rPr>
        <w:t>Quilombola</w:t>
      </w:r>
      <w:proofErr w:type="spellEnd"/>
      <w:r w:rsidRPr="4FC27832">
        <w:rPr>
          <w:rFonts w:ascii="Times New Roman" w:eastAsia="Times New Roman" w:hAnsi="Times New Roman" w:cs="Times New Roman"/>
          <w:lang w:val="en-US"/>
        </w:rPr>
        <w:t>, and children of African descent, ensuring that their specific needs are reflected in its human rights work.</w:t>
      </w:r>
    </w:p>
    <w:p w14:paraId="122DDB1B" w14:textId="545FD9F9" w:rsidR="3795C62F" w:rsidRDefault="3795C62F" w:rsidP="4FC27832">
      <w:pPr>
        <w:spacing w:line="360" w:lineRule="auto"/>
        <w:ind w:firstLine="708"/>
        <w:jc w:val="both"/>
      </w:pPr>
      <w:r w:rsidRPr="4FC27832">
        <w:rPr>
          <w:rFonts w:ascii="Times New Roman" w:eastAsia="Times New Roman" w:hAnsi="Times New Roman" w:cs="Times New Roman"/>
          <w:lang w:val="en-US"/>
        </w:rPr>
        <w:t xml:space="preserve">It is important to reaffirm that the DPU is the only Brazilian institution that fully meets the Paris Principles. It has the autonomy, mandate, resources, pluralism, and investigative powers required. Other institutions do not meet these criteria, including those necessary to monitor matters addressed in this report, such as the relevant issues before the Committee on the Rights of the Child. </w:t>
      </w:r>
    </w:p>
    <w:p w14:paraId="3CFA8A29" w14:textId="3AFAA657" w:rsidR="3795C62F" w:rsidRDefault="3795C62F" w:rsidP="4FC27832">
      <w:pPr>
        <w:spacing w:line="360" w:lineRule="auto"/>
        <w:ind w:firstLine="708"/>
        <w:jc w:val="both"/>
      </w:pPr>
      <w:r w:rsidRPr="4FC27832">
        <w:rPr>
          <w:rFonts w:ascii="Times New Roman" w:eastAsia="Times New Roman" w:hAnsi="Times New Roman" w:cs="Times New Roman"/>
          <w:lang w:val="en-US"/>
        </w:rPr>
        <w:t>Accrediting the DPU would formalize its existing role, strengthen Brazil’s engagement in the international human rights system, and contribute to the regional NHRI framework. Postponing this process risks leaving Brazil without an accredited NHRI for the foreseeable future, undermining national and international coordination. While the DPU will continue fulfilling NHRI functions, formal recognition is necessary to ensure legitimacy and international alignment. In short, all stakeholders stand to lose - including the mentioned councils and other institutions that, despite their efforts, lack the structure to meet NHRI standards.</w:t>
      </w:r>
    </w:p>
    <w:p w14:paraId="45B29038" w14:textId="2029DA2B" w:rsidR="3795C62F" w:rsidRDefault="3795C62F" w:rsidP="4FC27832">
      <w:pPr>
        <w:spacing w:line="360" w:lineRule="auto"/>
        <w:ind w:firstLine="708"/>
        <w:jc w:val="both"/>
      </w:pPr>
      <w:r w:rsidRPr="4FC27832">
        <w:rPr>
          <w:rFonts w:ascii="Times New Roman" w:eastAsia="Times New Roman" w:hAnsi="Times New Roman" w:cs="Times New Roman"/>
          <w:lang w:val="en-US"/>
        </w:rPr>
        <w:t xml:space="preserve">Given the prospect of potential institutional or administrative changes, further delay in accreditation would be unwise. Time is needed to consolidate the DPU’s role and capacity within the global NHRI system. The DPU has already demonstrated its performance, through active participation in RINDHCA, GANHRI, and UN mechanisms; representation in InterAmerican Court discussions; and membership in key networks such as FIO, IOI, AGOL, </w:t>
      </w:r>
      <w:r w:rsidRPr="4FC27832">
        <w:rPr>
          <w:rFonts w:ascii="Times New Roman" w:eastAsia="Times New Roman" w:hAnsi="Times New Roman" w:cs="Times New Roman"/>
          <w:lang w:val="en-US"/>
        </w:rPr>
        <w:lastRenderedPageBreak/>
        <w:t>ILO, and the CPLP Network. Moreover, the DPU maintains ongoing and constructive collaboration with the National Human Rights Council and the National Council for the Rights of Children and Adolescents (</w:t>
      </w:r>
      <w:proofErr w:type="spellStart"/>
      <w:r w:rsidRPr="4FC27832">
        <w:rPr>
          <w:rFonts w:ascii="Times New Roman" w:eastAsia="Times New Roman" w:hAnsi="Times New Roman" w:cs="Times New Roman"/>
          <w:lang w:val="en-US"/>
        </w:rPr>
        <w:t>Conanda</w:t>
      </w:r>
      <w:proofErr w:type="spellEnd"/>
      <w:r w:rsidRPr="4FC27832">
        <w:rPr>
          <w:rFonts w:ascii="Times New Roman" w:eastAsia="Times New Roman" w:hAnsi="Times New Roman" w:cs="Times New Roman"/>
          <w:lang w:val="en-US"/>
        </w:rPr>
        <w:t xml:space="preserve">), as well as with numerous other state bodies and civil society organizations, particularly on matters directly relevant to this report. </w:t>
      </w:r>
    </w:p>
    <w:p w14:paraId="22D6EAE1" w14:textId="4E33281F" w:rsidR="3795C62F" w:rsidRDefault="3795C62F" w:rsidP="4FC27832">
      <w:pPr>
        <w:spacing w:line="360" w:lineRule="auto"/>
        <w:ind w:firstLine="708"/>
        <w:jc w:val="both"/>
      </w:pPr>
      <w:r w:rsidRPr="4FC27832">
        <w:rPr>
          <w:rFonts w:ascii="Times New Roman" w:eastAsia="Times New Roman" w:hAnsi="Times New Roman" w:cs="Times New Roman"/>
          <w:lang w:val="en-US"/>
        </w:rPr>
        <w:t xml:space="preserve">The DPU issues reports, provides recommendations, conducts investigations, and monitors national legislation in light of international standards. It fulfills all Paris Principles requirements outlined in UN Resolution 48/134 (1993) and is legally empowered under Supplementary Law No. 80/1994 to requisition information and carry out investigations. GANHRI accreditation would formalize this work and reinforce global rights protection. Other Brazilian institutions expressing interest in accreditation fall short in crucial areas such as resources, mandate, independence, and pluralism. There is no indication that these shortcomings will be resolved </w:t>
      </w:r>
      <w:bookmarkStart w:id="0" w:name="_Int_kW5cAF7i"/>
      <w:r w:rsidRPr="4FC27832">
        <w:rPr>
          <w:rFonts w:ascii="Times New Roman" w:eastAsia="Times New Roman" w:hAnsi="Times New Roman" w:cs="Times New Roman"/>
          <w:lang w:val="en-US"/>
        </w:rPr>
        <w:t>in the near future</w:t>
      </w:r>
      <w:bookmarkEnd w:id="0"/>
      <w:r w:rsidRPr="4FC27832">
        <w:rPr>
          <w:rFonts w:ascii="Times New Roman" w:eastAsia="Times New Roman" w:hAnsi="Times New Roman" w:cs="Times New Roman"/>
          <w:lang w:val="en-US"/>
        </w:rPr>
        <w:t>.</w:t>
      </w:r>
    </w:p>
    <w:p w14:paraId="0363B425" w14:textId="23754B0F" w:rsidR="2A68C3E3" w:rsidRDefault="2A68C3E3" w:rsidP="4FC27832">
      <w:pPr>
        <w:spacing w:line="360" w:lineRule="auto"/>
        <w:ind w:firstLine="708"/>
        <w:jc w:val="both"/>
      </w:pPr>
      <w:r w:rsidRPr="4FC27832">
        <w:rPr>
          <w:rFonts w:ascii="Times New Roman" w:eastAsia="Times New Roman" w:hAnsi="Times New Roman" w:cs="Times New Roman"/>
          <w:lang w:val="en-US"/>
        </w:rPr>
        <w:t xml:space="preserve">In a global context marked by disinvestment, institutional weakening, regressive legislation, and the politicization of human rights systems, Brazil urgently needs a strong and credible NHRI. The DPU has earned this credibility through years of institutional dedication and the necessary legislative framework to perform this role. </w:t>
      </w:r>
    </w:p>
    <w:p w14:paraId="50FE5E46" w14:textId="739E39FA" w:rsidR="2A68C3E3" w:rsidRDefault="2A68C3E3" w:rsidP="4FC27832">
      <w:pPr>
        <w:spacing w:line="360" w:lineRule="auto"/>
        <w:ind w:firstLine="708"/>
        <w:jc w:val="both"/>
      </w:pPr>
      <w:r w:rsidRPr="4FC27832">
        <w:rPr>
          <w:rFonts w:ascii="Times New Roman" w:eastAsia="Times New Roman" w:hAnsi="Times New Roman" w:cs="Times New Roman"/>
          <w:lang w:val="en-US"/>
        </w:rPr>
        <w:t xml:space="preserve">With 75 branches and nearly 5,000 staff members across Brazil, the DPU operates 16 thematic working groups and a national network addressing key rights areas: children and adolescents, LGBTQIA+ communities, women, Indigenous peoples, traditional communities, older persons, persons with disabilities, and the fight against racism and discrimination, among other areas. </w:t>
      </w:r>
    </w:p>
    <w:p w14:paraId="070AC432" w14:textId="4DAC6F8F" w:rsidR="2A68C3E3" w:rsidRDefault="2A68C3E3" w:rsidP="4FC27832">
      <w:pPr>
        <w:spacing w:line="360" w:lineRule="auto"/>
        <w:ind w:firstLine="708"/>
        <w:jc w:val="both"/>
      </w:pPr>
      <w:r w:rsidRPr="4FC27832">
        <w:rPr>
          <w:rFonts w:ascii="Times New Roman" w:eastAsia="Times New Roman" w:hAnsi="Times New Roman" w:cs="Times New Roman"/>
          <w:lang w:val="en-US"/>
        </w:rPr>
        <w:t xml:space="preserve">In partnership with the OHCHR, the DPU has delivered targeted human rights training, including sessions on "The International System of Human Rights" and "Human Rights of Indigenous Peoples." It has also supported and facilitated visits by UN Special Rapporteurs— on Torture and on Freedom of Peaceful Assembly and Association - and contributed to their reports. </w:t>
      </w:r>
    </w:p>
    <w:p w14:paraId="2F0E674E" w14:textId="60CE754E" w:rsidR="2A68C3E3" w:rsidRDefault="2A68C3E3" w:rsidP="4FC27832">
      <w:pPr>
        <w:spacing w:line="360" w:lineRule="auto"/>
        <w:ind w:firstLine="708"/>
        <w:jc w:val="both"/>
        <w:rPr>
          <w:rFonts w:ascii="Times New Roman" w:eastAsia="Times New Roman" w:hAnsi="Times New Roman" w:cs="Times New Roman"/>
          <w:b/>
          <w:bCs/>
          <w:lang w:val="en-US"/>
        </w:rPr>
      </w:pPr>
      <w:r w:rsidRPr="4FC27832">
        <w:rPr>
          <w:rFonts w:ascii="Times New Roman" w:eastAsia="Times New Roman" w:hAnsi="Times New Roman" w:cs="Times New Roman"/>
          <w:lang w:val="en-US"/>
        </w:rPr>
        <w:t xml:space="preserve">Accrediting the DPU as Brazil’s NHRI must not be postponed any further. The DPU is ready, qualified, and committed. We respectfully urge the Brazilian State to support a timely </w:t>
      </w:r>
      <w:r w:rsidRPr="4FC27832">
        <w:rPr>
          <w:rFonts w:ascii="Times New Roman" w:eastAsia="Times New Roman" w:hAnsi="Times New Roman" w:cs="Times New Roman"/>
          <w:lang w:val="en-US"/>
        </w:rPr>
        <w:lastRenderedPageBreak/>
        <w:t>resolution that reflects the DPU’s longstanding contributions and its essential role in the global human rights architecture</w:t>
      </w:r>
      <w:r w:rsidR="0D9602D2" w:rsidRPr="4FC27832">
        <w:rPr>
          <w:rFonts w:ascii="Times New Roman" w:eastAsia="Times New Roman" w:hAnsi="Times New Roman" w:cs="Times New Roman"/>
          <w:lang w:val="en-US"/>
        </w:rPr>
        <w:t>.</w:t>
      </w:r>
    </w:p>
    <w:p w14:paraId="702AE320" w14:textId="5EA22498" w:rsidR="7B3FDBE1" w:rsidRDefault="7B3FDBE1" w:rsidP="4FC27832">
      <w:pPr>
        <w:spacing w:line="360" w:lineRule="auto"/>
        <w:jc w:val="both"/>
        <w:rPr>
          <w:rFonts w:ascii="Times New Roman" w:eastAsia="Times New Roman" w:hAnsi="Times New Roman" w:cs="Times New Roman"/>
          <w:lang w:val="en-US"/>
        </w:rPr>
      </w:pPr>
      <w:r w:rsidRPr="4FC27832">
        <w:rPr>
          <w:rFonts w:ascii="Times New Roman" w:eastAsia="Times New Roman" w:hAnsi="Times New Roman" w:cs="Times New Roman"/>
          <w:b/>
          <w:bCs/>
          <w:u w:val="single"/>
          <w:lang w:val="en-US"/>
        </w:rPr>
        <w:t>Contributions of the</w:t>
      </w:r>
      <w:r w:rsidR="00530C81" w:rsidRPr="4FC27832">
        <w:rPr>
          <w:rFonts w:ascii="Times New Roman" w:eastAsia="Times New Roman" w:hAnsi="Times New Roman" w:cs="Times New Roman"/>
          <w:b/>
          <w:bCs/>
          <w:u w:val="single"/>
          <w:lang w:val="en-US"/>
        </w:rPr>
        <w:t xml:space="preserve"> </w:t>
      </w:r>
      <w:r w:rsidR="6A2BA719" w:rsidRPr="4FC27832">
        <w:rPr>
          <w:rFonts w:ascii="Times New Roman" w:eastAsia="Times New Roman" w:hAnsi="Times New Roman" w:cs="Times New Roman"/>
          <w:b/>
          <w:bCs/>
          <w:color w:val="000000" w:themeColor="text1"/>
          <w:u w:val="single"/>
          <w:lang w:val="en-US"/>
        </w:rPr>
        <w:t>Health Working Group (GTS)</w:t>
      </w:r>
    </w:p>
    <w:p w14:paraId="335815B3" w14:textId="178144B5"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The Federal Public Defenders’ Office (DPU), through its Health Working Group (GTS), having participated in the Pre-Session held in September 2024, and in view of the responses provided by the Brazilian State to the inquiries made by the Committee on the Rights of the Child (CRC) regarding the Convention on the Rights of the Child and its Optional Protocols, in the best interests of Brazilian children and adolescents, particularly those in situations of heightened vulnerability, deems it necessary to make the following observations:</w:t>
      </w:r>
    </w:p>
    <w:p w14:paraId="4C0F0A45" w14:textId="1A3418F5" w:rsidR="6717F380" w:rsidRDefault="6717F380" w:rsidP="4FC27832">
      <w:pPr>
        <w:spacing w:before="360" w:after="240"/>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 xml:space="preserve">Comments to Reply to paragraph(s) 3 and 4 of the </w:t>
      </w:r>
      <w:bookmarkStart w:id="1" w:name="_Int_WmQ0nCmw"/>
      <w:r w:rsidRPr="4FC27832">
        <w:rPr>
          <w:rFonts w:ascii="Times New Roman" w:eastAsia="Times New Roman" w:hAnsi="Times New Roman" w:cs="Times New Roman"/>
          <w:color w:val="000000" w:themeColor="text1"/>
          <w:lang w:val="en-US"/>
        </w:rPr>
        <w:t>list</w:t>
      </w:r>
      <w:bookmarkEnd w:id="1"/>
      <w:r w:rsidRPr="4FC27832">
        <w:rPr>
          <w:rFonts w:ascii="Times New Roman" w:eastAsia="Times New Roman" w:hAnsi="Times New Roman" w:cs="Times New Roman"/>
          <w:color w:val="000000" w:themeColor="text1"/>
          <w:lang w:val="en-US"/>
        </w:rPr>
        <w:t xml:space="preserve"> of issues:</w:t>
      </w:r>
    </w:p>
    <w:p w14:paraId="42C87783" w14:textId="6D063A7C"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When questioned about "</w:t>
      </w:r>
      <w:r w:rsidRPr="4FC27832">
        <w:rPr>
          <w:rFonts w:ascii="Times New Roman" w:eastAsia="Times New Roman" w:hAnsi="Times New Roman" w:cs="Times New Roman"/>
          <w:i/>
          <w:iCs/>
          <w:color w:val="000000" w:themeColor="text1"/>
          <w:lang w:val="en-US"/>
        </w:rPr>
        <w:t xml:space="preserve">initiatives and </w:t>
      </w:r>
      <w:proofErr w:type="spellStart"/>
      <w:r w:rsidRPr="4FC27832">
        <w:rPr>
          <w:rFonts w:ascii="Times New Roman" w:eastAsia="Times New Roman" w:hAnsi="Times New Roman" w:cs="Times New Roman"/>
          <w:i/>
          <w:iCs/>
          <w:color w:val="000000" w:themeColor="text1"/>
          <w:lang w:val="en-US"/>
        </w:rPr>
        <w:t>programmes</w:t>
      </w:r>
      <w:proofErr w:type="spellEnd"/>
      <w:r w:rsidRPr="4FC27832">
        <w:rPr>
          <w:rFonts w:ascii="Times New Roman" w:eastAsia="Times New Roman" w:hAnsi="Times New Roman" w:cs="Times New Roman"/>
          <w:i/>
          <w:iCs/>
          <w:color w:val="000000" w:themeColor="text1"/>
          <w:lang w:val="en-US"/>
        </w:rPr>
        <w:t xml:space="preserve"> to prevent and combat homophobia, xenophobia, transphobia, and racism against children at schools and in society</w:t>
      </w:r>
      <w:r w:rsidRPr="4FC27832">
        <w:rPr>
          <w:rFonts w:ascii="Times New Roman" w:eastAsia="Times New Roman" w:hAnsi="Times New Roman" w:cs="Times New Roman"/>
          <w:color w:val="000000" w:themeColor="text1"/>
          <w:lang w:val="en-US"/>
        </w:rPr>
        <w:t>", as well as about "</w:t>
      </w:r>
      <w:r w:rsidRPr="4FC27832">
        <w:rPr>
          <w:rFonts w:ascii="Times New Roman" w:eastAsia="Times New Roman" w:hAnsi="Times New Roman" w:cs="Times New Roman"/>
          <w:i/>
          <w:iCs/>
          <w:color w:val="000000" w:themeColor="text1"/>
          <w:lang w:val="en-US"/>
        </w:rPr>
        <w:t>measures taken to ensure universal birth registration, including specific measures for children in vulnerable situations and those in remote areas</w:t>
      </w:r>
      <w:r w:rsidRPr="4FC27832">
        <w:rPr>
          <w:rFonts w:ascii="Times New Roman" w:eastAsia="Times New Roman" w:hAnsi="Times New Roman" w:cs="Times New Roman"/>
          <w:color w:val="000000" w:themeColor="text1"/>
          <w:lang w:val="en-US"/>
        </w:rPr>
        <w:t>", the responses provided by the Brazilian State—as also noted in other answers—were vague, superficial, and ineffective. This is particularly concerning given the large number of affected individuals and the severity of the risks that require effective action.</w:t>
      </w:r>
    </w:p>
    <w:p w14:paraId="51C2D041" w14:textId="338F667D"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 xml:space="preserve">In relation to Paragraph 3, the Brazilian State mentioned educational and training </w:t>
      </w:r>
      <w:proofErr w:type="spellStart"/>
      <w:r w:rsidRPr="4FC27832">
        <w:rPr>
          <w:rFonts w:ascii="Times New Roman" w:eastAsia="Times New Roman" w:hAnsi="Times New Roman" w:cs="Times New Roman"/>
          <w:color w:val="000000" w:themeColor="text1"/>
          <w:lang w:val="en-US"/>
        </w:rPr>
        <w:t>programmes</w:t>
      </w:r>
      <w:proofErr w:type="spellEnd"/>
      <w:r w:rsidRPr="4FC27832">
        <w:rPr>
          <w:rFonts w:ascii="Times New Roman" w:eastAsia="Times New Roman" w:hAnsi="Times New Roman" w:cs="Times New Roman"/>
          <w:color w:val="000000" w:themeColor="text1"/>
          <w:lang w:val="en-US"/>
        </w:rPr>
        <w:t xml:space="preserve"> designed to address school bullying, sexual abuse, and to combat racist, homophobic, transphobic, and xenophobic attitudes within educational settings. These efforts reportedly resulted in 135 lectures, distributed as follows: 89 for adolescents, 18 for family members, 16 for teachers, and 12 for other stakeholders.</w:t>
      </w:r>
    </w:p>
    <w:p w14:paraId="02241B78" w14:textId="7DD5A5C1" w:rsidR="6717F380" w:rsidRDefault="5D0B50EE" w:rsidP="4FC27832">
      <w:pPr>
        <w:spacing w:after="165" w:line="360" w:lineRule="auto"/>
        <w:ind w:firstLine="709"/>
        <w:jc w:val="both"/>
      </w:pPr>
      <w:r w:rsidRPr="5D0B50EE">
        <w:rPr>
          <w:rFonts w:ascii="Times New Roman" w:eastAsia="Times New Roman" w:hAnsi="Times New Roman" w:cs="Times New Roman"/>
          <w:color w:val="000000" w:themeColor="text1"/>
          <w:lang w:val="en-US"/>
        </w:rPr>
        <w:t xml:space="preserve">With regard to Paragraph 4, reference was made to the </w:t>
      </w:r>
      <w:r w:rsidRPr="5D0B50EE">
        <w:rPr>
          <w:rFonts w:ascii="Times New Roman" w:eastAsia="Times New Roman" w:hAnsi="Times New Roman" w:cs="Times New Roman"/>
          <w:i/>
          <w:iCs/>
          <w:color w:val="000000" w:themeColor="text1"/>
          <w:lang w:val="en-US"/>
        </w:rPr>
        <w:t xml:space="preserve">National Commitment to Eradicate </w:t>
      </w:r>
      <w:proofErr w:type="spellStart"/>
      <w:r w:rsidRPr="5D0B50EE">
        <w:rPr>
          <w:rFonts w:ascii="Times New Roman" w:eastAsia="Times New Roman" w:hAnsi="Times New Roman" w:cs="Times New Roman"/>
          <w:i/>
          <w:iCs/>
          <w:color w:val="000000" w:themeColor="text1"/>
          <w:lang w:val="en-US"/>
        </w:rPr>
        <w:t>Underregistration</w:t>
      </w:r>
      <w:proofErr w:type="spellEnd"/>
      <w:r w:rsidRPr="5D0B50EE">
        <w:rPr>
          <w:rFonts w:ascii="Times New Roman" w:eastAsia="Times New Roman" w:hAnsi="Times New Roman" w:cs="Times New Roman"/>
          <w:color w:val="000000" w:themeColor="text1"/>
          <w:lang w:val="en-US"/>
        </w:rPr>
        <w:t xml:space="preserve"> (Decree No. 10.063/2019) and 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aimed at providing birth documentation for indigenous children. However, no numerical data was provided to support these claims.</w:t>
      </w:r>
    </w:p>
    <w:p w14:paraId="2819CE63" w14:textId="1BE4A11D"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 xml:space="preserve">There is still no mention of any initiatives aimed at combating xenophobia or ensuring the protection of migrant children. In 2022 alone, data from the 6th Report and Panel of the </w:t>
      </w:r>
      <w:r w:rsidRPr="4FC27832">
        <w:rPr>
          <w:rFonts w:ascii="Times New Roman" w:eastAsia="Times New Roman" w:hAnsi="Times New Roman" w:cs="Times New Roman"/>
          <w:color w:val="000000" w:themeColor="text1"/>
          <w:lang w:val="en-US"/>
        </w:rPr>
        <w:lastRenderedPageBreak/>
        <w:t xml:space="preserve">DPU's </w:t>
      </w:r>
      <w:proofErr w:type="spellStart"/>
      <w:r w:rsidRPr="4FC27832">
        <w:rPr>
          <w:rFonts w:ascii="Times New Roman" w:eastAsia="Times New Roman" w:hAnsi="Times New Roman" w:cs="Times New Roman"/>
          <w:i/>
          <w:iCs/>
          <w:color w:val="000000" w:themeColor="text1"/>
          <w:lang w:val="en-US"/>
        </w:rPr>
        <w:t>Pacaraima</w:t>
      </w:r>
      <w:proofErr w:type="spellEnd"/>
      <w:r w:rsidRPr="4FC27832">
        <w:rPr>
          <w:rFonts w:ascii="Times New Roman" w:eastAsia="Times New Roman" w:hAnsi="Times New Roman" w:cs="Times New Roman"/>
          <w:i/>
          <w:iCs/>
          <w:color w:val="000000" w:themeColor="text1"/>
          <w:lang w:val="en-US"/>
        </w:rPr>
        <w:t xml:space="preserve"> Mission</w:t>
      </w:r>
      <w:r w:rsidRPr="4FC27832">
        <w:rPr>
          <w:rFonts w:ascii="Times New Roman" w:eastAsia="Times New Roman" w:hAnsi="Times New Roman" w:cs="Times New Roman"/>
          <w:color w:val="000000" w:themeColor="text1"/>
          <w:lang w:val="en-US"/>
        </w:rPr>
        <w:t xml:space="preserve"> on refugee, asylum-seeking, and migrant children—already cited in this Office’s Written Statement—indicated the presence of 4,091 undocumented children and adolescents, either separated from their families or unaccompanied, at the Brazil-Venezuela border in </w:t>
      </w:r>
      <w:proofErr w:type="spellStart"/>
      <w:r w:rsidRPr="4FC27832">
        <w:rPr>
          <w:rFonts w:ascii="Times New Roman" w:eastAsia="Times New Roman" w:hAnsi="Times New Roman" w:cs="Times New Roman"/>
          <w:color w:val="000000" w:themeColor="text1"/>
          <w:lang w:val="en-US"/>
        </w:rPr>
        <w:t>Pacaraima</w:t>
      </w:r>
      <w:proofErr w:type="spellEnd"/>
      <w:r w:rsidRPr="4FC27832">
        <w:rPr>
          <w:rFonts w:ascii="Times New Roman" w:eastAsia="Times New Roman" w:hAnsi="Times New Roman" w:cs="Times New Roman"/>
          <w:color w:val="000000" w:themeColor="text1"/>
          <w:lang w:val="en-US"/>
        </w:rPr>
        <w:t xml:space="preserve"> (State of Roraima), including Indigenous children, of whom 51% were girls. In the second half of the past year, there was a 191% increase in the number of unaccompanied minors, of whom 66% were girls</w:t>
      </w:r>
      <w:hyperlink r:id="rId6" w:anchor="_ftn1">
        <w:r w:rsidRPr="4FC27832">
          <w:rPr>
            <w:rStyle w:val="Hyperlink"/>
            <w:rFonts w:ascii="Times New Roman" w:eastAsia="Times New Roman" w:hAnsi="Times New Roman" w:cs="Times New Roman"/>
            <w:color w:val="0563C1"/>
            <w:vertAlign w:val="superscript"/>
            <w:lang w:val="en-US"/>
          </w:rPr>
          <w:t>[1]</w:t>
        </w:r>
      </w:hyperlink>
      <w:r w:rsidRPr="4FC27832">
        <w:rPr>
          <w:rFonts w:ascii="Times New Roman" w:eastAsia="Times New Roman" w:hAnsi="Times New Roman" w:cs="Times New Roman"/>
          <w:color w:val="000000" w:themeColor="text1"/>
          <w:lang w:val="en-US"/>
        </w:rPr>
        <w:t>.</w:t>
      </w:r>
    </w:p>
    <w:p w14:paraId="50493C8F" w14:textId="626F585A"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t>Suggested Recommendation</w:t>
      </w:r>
      <w:r w:rsidRPr="4FC27832">
        <w:rPr>
          <w:rFonts w:ascii="Times New Roman" w:eastAsia="Times New Roman" w:hAnsi="Times New Roman" w:cs="Times New Roman"/>
          <w:color w:val="000000" w:themeColor="text1"/>
          <w:lang w:val="en-US"/>
        </w:rPr>
        <w:t xml:space="preserve">: Ensure the broadening and continuity of </w:t>
      </w:r>
      <w:proofErr w:type="spellStart"/>
      <w:r w:rsidRPr="4FC27832">
        <w:rPr>
          <w:rFonts w:ascii="Times New Roman" w:eastAsia="Times New Roman" w:hAnsi="Times New Roman" w:cs="Times New Roman"/>
          <w:color w:val="000000" w:themeColor="text1"/>
          <w:lang w:val="en-US"/>
        </w:rPr>
        <w:t>programmes</w:t>
      </w:r>
      <w:proofErr w:type="spellEnd"/>
      <w:r w:rsidRPr="4FC27832">
        <w:rPr>
          <w:rFonts w:ascii="Times New Roman" w:eastAsia="Times New Roman" w:hAnsi="Times New Roman" w:cs="Times New Roman"/>
          <w:color w:val="000000" w:themeColor="text1"/>
          <w:lang w:val="en-US"/>
        </w:rPr>
        <w:t xml:space="preserve"> aimed at combating these forms of violence and protecting these particularly vulnerable groups, thereby ensuring improved conditions for the physical, mental, emotional, and social well-being of children—particularly Indigenous, </w:t>
      </w:r>
      <w:proofErr w:type="spellStart"/>
      <w:r w:rsidRPr="4FC27832">
        <w:rPr>
          <w:rFonts w:ascii="Times New Roman" w:eastAsia="Times New Roman" w:hAnsi="Times New Roman" w:cs="Times New Roman"/>
          <w:color w:val="000000" w:themeColor="text1"/>
          <w:lang w:val="en-US"/>
        </w:rPr>
        <w:t>Quilombola</w:t>
      </w:r>
      <w:proofErr w:type="spellEnd"/>
      <w:r w:rsidRPr="4FC27832">
        <w:rPr>
          <w:rFonts w:ascii="Times New Roman" w:eastAsia="Times New Roman" w:hAnsi="Times New Roman" w:cs="Times New Roman"/>
          <w:color w:val="000000" w:themeColor="text1"/>
          <w:lang w:val="en-US"/>
        </w:rPr>
        <w:t>, migrant, and refugee children. Additionally, it is essential to provide greater transparency and clarity in relation to registration data, thereby facilitating these children’s access to their rights.</w:t>
      </w:r>
    </w:p>
    <w:p w14:paraId="69D0A70E" w14:textId="58336CDA" w:rsidR="6717F380" w:rsidRDefault="6717F380" w:rsidP="4FC27832">
      <w:pPr>
        <w:spacing w:before="360" w:after="240"/>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to Reply to paragraph 5 (a) of the list of issues</w:t>
      </w:r>
    </w:p>
    <w:p w14:paraId="6A9A6B09" w14:textId="39CE5063"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In its response to this item, the Brazilian State refers, among other measures aimed at strengthening the child protection system, to the following: “</w:t>
      </w:r>
      <w:r w:rsidRPr="4FC27832">
        <w:rPr>
          <w:rFonts w:ascii="Times New Roman" w:eastAsia="Times New Roman" w:hAnsi="Times New Roman" w:cs="Times New Roman"/>
          <w:i/>
          <w:iCs/>
          <w:color w:val="000000" w:themeColor="text1"/>
          <w:lang w:val="en-US"/>
        </w:rPr>
        <w:t xml:space="preserve">The State Public Defenders' Offices have expanded </w:t>
      </w:r>
      <w:r w:rsidR="64E2BB33" w:rsidRPr="4FC27832">
        <w:rPr>
          <w:rFonts w:ascii="Times New Roman" w:eastAsia="Times New Roman" w:hAnsi="Times New Roman" w:cs="Times New Roman"/>
          <w:i/>
          <w:iCs/>
          <w:color w:val="000000" w:themeColor="text1"/>
          <w:lang w:val="en-US"/>
        </w:rPr>
        <w:t>Specialized</w:t>
      </w:r>
      <w:r w:rsidRPr="4FC27832">
        <w:rPr>
          <w:rFonts w:ascii="Times New Roman" w:eastAsia="Times New Roman" w:hAnsi="Times New Roman" w:cs="Times New Roman"/>
          <w:i/>
          <w:iCs/>
          <w:color w:val="000000" w:themeColor="text1"/>
          <w:lang w:val="en-US"/>
        </w:rPr>
        <w:t xml:space="preserve"> </w:t>
      </w:r>
      <w:r w:rsidR="4ACA5E6E" w:rsidRPr="4FC27832">
        <w:rPr>
          <w:rFonts w:ascii="Times New Roman" w:eastAsia="Times New Roman" w:hAnsi="Times New Roman" w:cs="Times New Roman"/>
          <w:i/>
          <w:iCs/>
          <w:color w:val="000000" w:themeColor="text1"/>
          <w:lang w:val="en-US"/>
        </w:rPr>
        <w:t>Centers</w:t>
      </w:r>
      <w:r w:rsidRPr="4FC27832">
        <w:rPr>
          <w:rFonts w:ascii="Times New Roman" w:eastAsia="Times New Roman" w:hAnsi="Times New Roman" w:cs="Times New Roman"/>
          <w:i/>
          <w:iCs/>
          <w:color w:val="000000" w:themeColor="text1"/>
          <w:lang w:val="en-US"/>
        </w:rPr>
        <w:t xml:space="preserve"> for Child and Adolescent Rights to address collective demands while ensuring dedicated Public Defenders' Offices for children and youth cases. These offices provide judicial and extrajudicial representation, advocating for strategic child protection issues</w:t>
      </w:r>
      <w:r w:rsidRPr="4FC27832">
        <w:rPr>
          <w:rFonts w:ascii="Times New Roman" w:eastAsia="Times New Roman" w:hAnsi="Times New Roman" w:cs="Times New Roman"/>
          <w:color w:val="000000" w:themeColor="text1"/>
          <w:lang w:val="en-US"/>
        </w:rPr>
        <w:t>.”</w:t>
      </w:r>
    </w:p>
    <w:p w14:paraId="71909F4F" w14:textId="6586FD9B"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However, it fails to acknowledge the glaring insufficiency of the Public Defenders' Offices across the country. Notably, in the case of the Federal Public Defenders' Office, coverage currently extends to less than 30% of judicial districts, with significant structural deficiencies hindering compliance with the constitutional mandate set forth in Article 98 of the Transitional Provisions Act of the 1988 Federal Constitution. This article, introduced by Constitutional Amendment No. 80 of 2014, established that the institution should achieve full coverage across all judicial districts in Brazil within eight years. More than ten years have elapsed since its enactment, yet this provision remains unimplemented, primarily due to budgetary constraints.</w:t>
      </w:r>
    </w:p>
    <w:p w14:paraId="64D63627" w14:textId="47D12344"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lastRenderedPageBreak/>
        <w:t>Suggested Recommendation:</w:t>
      </w:r>
      <w:r w:rsidRPr="4FC27832">
        <w:rPr>
          <w:rFonts w:ascii="Times New Roman" w:eastAsia="Times New Roman" w:hAnsi="Times New Roman" w:cs="Times New Roman"/>
          <w:color w:val="000000" w:themeColor="text1"/>
          <w:lang w:val="en-US"/>
        </w:rPr>
        <w:t xml:space="preserve"> Strengthen, expand, and adequately structure the Public Defenders’ Offices, including their support staff, in view of their </w:t>
      </w:r>
      <w:r w:rsidR="0D4F19E0" w:rsidRPr="4FC27832">
        <w:rPr>
          <w:rFonts w:ascii="Times New Roman" w:eastAsia="Times New Roman" w:hAnsi="Times New Roman" w:cs="Times New Roman"/>
          <w:color w:val="000000" w:themeColor="text1"/>
          <w:lang w:val="en-US"/>
        </w:rPr>
        <w:t>recognized</w:t>
      </w:r>
      <w:r w:rsidRPr="4FC27832">
        <w:rPr>
          <w:rFonts w:ascii="Times New Roman" w:eastAsia="Times New Roman" w:hAnsi="Times New Roman" w:cs="Times New Roman"/>
          <w:color w:val="000000" w:themeColor="text1"/>
          <w:lang w:val="en-US"/>
        </w:rPr>
        <w:t xml:space="preserve"> importance as essential institutions for the protection of human rights, including the rights of children and adolescents.</w:t>
      </w:r>
    </w:p>
    <w:p w14:paraId="1664E521" w14:textId="4B7F3F59" w:rsidR="6717F380" w:rsidRDefault="6717F380" w:rsidP="4FC27832">
      <w:pPr>
        <w:spacing w:before="360" w:after="240"/>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to Reply to paragraph 5 (b) of the list of issues</w:t>
      </w:r>
    </w:p>
    <w:p w14:paraId="45CA42F2" w14:textId="485AD8ED" w:rsidR="6717F380" w:rsidRDefault="6717F380" w:rsidP="4FC27832">
      <w:pPr>
        <w:spacing w:after="165" w:line="360" w:lineRule="auto"/>
        <w:jc w:val="both"/>
      </w:pPr>
      <w:r w:rsidRPr="4FC27832">
        <w:rPr>
          <w:rFonts w:ascii="Times New Roman" w:eastAsia="Times New Roman" w:hAnsi="Times New Roman" w:cs="Times New Roman"/>
          <w:color w:val="000000" w:themeColor="text1"/>
          <w:lang w:val="en-US"/>
        </w:rPr>
        <w:t xml:space="preserve">With regard to the inquiry about the implementation of Law No. 14.344/2022 and the establishment of reference </w:t>
      </w:r>
      <w:proofErr w:type="spellStart"/>
      <w:r w:rsidRPr="4FC27832">
        <w:rPr>
          <w:rFonts w:ascii="Times New Roman" w:eastAsia="Times New Roman" w:hAnsi="Times New Roman" w:cs="Times New Roman"/>
          <w:color w:val="000000" w:themeColor="text1"/>
          <w:lang w:val="en-US"/>
        </w:rPr>
        <w:t>centres</w:t>
      </w:r>
      <w:proofErr w:type="spellEnd"/>
      <w:r w:rsidRPr="4FC27832">
        <w:rPr>
          <w:rFonts w:ascii="Times New Roman" w:eastAsia="Times New Roman" w:hAnsi="Times New Roman" w:cs="Times New Roman"/>
          <w:color w:val="000000" w:themeColor="text1"/>
          <w:lang w:val="en-US"/>
        </w:rPr>
        <w:t xml:space="preserve"> for reducing domestic violence, it is worth highlighting that a significant measure could be adopted at the international level.</w:t>
      </w:r>
    </w:p>
    <w:p w14:paraId="689EC5C6" w14:textId="75974744"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This issue has already been the subject of internal debate before the Federal Supreme Court (STF) in Direct Actions of Unconstitutionality (</w:t>
      </w:r>
      <w:proofErr w:type="spellStart"/>
      <w:r w:rsidRPr="4FC27832">
        <w:rPr>
          <w:rFonts w:ascii="Times New Roman" w:eastAsia="Times New Roman" w:hAnsi="Times New Roman" w:cs="Times New Roman"/>
          <w:color w:val="000000" w:themeColor="text1"/>
          <w:lang w:val="en-US"/>
        </w:rPr>
        <w:t>ADIn</w:t>
      </w:r>
      <w:proofErr w:type="spellEnd"/>
      <w:r w:rsidRPr="4FC27832">
        <w:rPr>
          <w:rFonts w:ascii="Times New Roman" w:eastAsia="Times New Roman" w:hAnsi="Times New Roman" w:cs="Times New Roman"/>
          <w:color w:val="000000" w:themeColor="text1"/>
          <w:lang w:val="en-US"/>
        </w:rPr>
        <w:t>) No. 4245 and 7686, as well as in Resolution No. 449/22 of the National Council of Justice (CNJ). These actions challenge Article 13(b) of the Hague Convention, which limits the exception to the immediate return of abducted children or adolescents solely to cases where the minor has been directly subjected to violence. It has been proposed that this exception should also apply in circumstances where violence is perpetrated against the mother, thereby preventing the immediate return of the child or adolescent in such cases as well.</w:t>
      </w:r>
    </w:p>
    <w:p w14:paraId="672EB769" w14:textId="602B3073"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t>Suggested Recommendation:</w:t>
      </w:r>
      <w:r w:rsidRPr="4FC27832">
        <w:rPr>
          <w:rFonts w:ascii="Times New Roman" w:eastAsia="Times New Roman" w:hAnsi="Times New Roman" w:cs="Times New Roman"/>
          <w:color w:val="000000" w:themeColor="text1"/>
          <w:lang w:val="en-US"/>
        </w:rPr>
        <w:t xml:space="preserve"> It is recommended that, in light of the aforementioned internal developments, the Brazilian State adopt national and international measures to ensure that the removal of a child or adolescent occurring within the previous year is not deemed unlawful, and consequently, that immediate return is not ordered, in situations where domestic violence has been committed against the parent (particularly the mother), even if the violence was not directed inflicted upon the child.</w:t>
      </w:r>
    </w:p>
    <w:p w14:paraId="7B9C00D6" w14:textId="5479251E" w:rsidR="6717F380" w:rsidRDefault="6717F380" w:rsidP="4FC27832">
      <w:pPr>
        <w:spacing w:before="360" w:after="240"/>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to Reply to paragraph 6 of the list of issues</w:t>
      </w:r>
    </w:p>
    <w:p w14:paraId="4F0474D7" w14:textId="1B6E6C91" w:rsidR="6717F380" w:rsidRDefault="6717F380" w:rsidP="4FC27832">
      <w:pPr>
        <w:spacing w:after="165" w:line="360" w:lineRule="auto"/>
        <w:jc w:val="both"/>
      </w:pPr>
      <w:r w:rsidRPr="4FC27832">
        <w:rPr>
          <w:rFonts w:ascii="Times New Roman" w:eastAsia="Times New Roman" w:hAnsi="Times New Roman" w:cs="Times New Roman"/>
          <w:color w:val="000000" w:themeColor="text1"/>
          <w:lang w:val="en-US"/>
        </w:rPr>
        <w:t xml:space="preserve">Regarding the progress made in reducing the number of children deprived of a family environment and placed in institutions, another aspect equally warrants attention, as it reveals a situation that place the country at odds with the care recommendations of the Convention. This concerns a factor that may ultimately contribute to the breakdown of the family </w:t>
      </w:r>
      <w:r w:rsidRPr="4FC27832">
        <w:rPr>
          <w:rFonts w:ascii="Times New Roman" w:eastAsia="Times New Roman" w:hAnsi="Times New Roman" w:cs="Times New Roman"/>
          <w:color w:val="000000" w:themeColor="text1"/>
          <w:lang w:val="en-US"/>
        </w:rPr>
        <w:lastRenderedPageBreak/>
        <w:t>environment, driving many children and adolescents into institutional care, homelessness, or even into situations of criminality.</w:t>
      </w:r>
    </w:p>
    <w:p w14:paraId="3417F56B" w14:textId="7C26D9B0"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 xml:space="preserve">This factor pertains to the manner in which the social security benefit </w:t>
      </w:r>
      <w:proofErr w:type="spellStart"/>
      <w:r w:rsidRPr="4FC27832">
        <w:rPr>
          <w:rFonts w:ascii="Times New Roman" w:eastAsia="Times New Roman" w:hAnsi="Times New Roman" w:cs="Times New Roman"/>
          <w:i/>
          <w:iCs/>
          <w:color w:val="000000" w:themeColor="text1"/>
          <w:lang w:val="en-US"/>
        </w:rPr>
        <w:t>Auxílio-reclusão</w:t>
      </w:r>
      <w:proofErr w:type="spellEnd"/>
      <w:r w:rsidRPr="4FC27832">
        <w:rPr>
          <w:rFonts w:ascii="Times New Roman" w:eastAsia="Times New Roman" w:hAnsi="Times New Roman" w:cs="Times New Roman"/>
          <w:color w:val="000000" w:themeColor="text1"/>
          <w:lang w:val="en-US"/>
        </w:rPr>
        <w:t xml:space="preserve"> is structured in Brazil. Pursuant to Art. 80 of Law 8213/91, the </w:t>
      </w:r>
      <w:proofErr w:type="spellStart"/>
      <w:r w:rsidRPr="4FC27832">
        <w:rPr>
          <w:rFonts w:ascii="Times New Roman" w:eastAsia="Times New Roman" w:hAnsi="Times New Roman" w:cs="Times New Roman"/>
          <w:i/>
          <w:iCs/>
          <w:color w:val="000000" w:themeColor="text1"/>
          <w:lang w:val="en-US"/>
        </w:rPr>
        <w:t>Auxílio</w:t>
      </w:r>
      <w:proofErr w:type="spellEnd"/>
      <w:r w:rsidRPr="4FC27832">
        <w:rPr>
          <w:rFonts w:ascii="Times New Roman" w:eastAsia="Times New Roman" w:hAnsi="Times New Roman" w:cs="Times New Roman"/>
          <w:i/>
          <w:iCs/>
          <w:color w:val="000000" w:themeColor="text1"/>
          <w:lang w:val="en-US"/>
        </w:rPr>
        <w:t xml:space="preserve"> </w:t>
      </w:r>
      <w:proofErr w:type="spellStart"/>
      <w:r w:rsidRPr="4FC27832">
        <w:rPr>
          <w:rFonts w:ascii="Times New Roman" w:eastAsia="Times New Roman" w:hAnsi="Times New Roman" w:cs="Times New Roman"/>
          <w:i/>
          <w:iCs/>
          <w:color w:val="000000" w:themeColor="text1"/>
          <w:lang w:val="en-US"/>
        </w:rPr>
        <w:t>reclusão</w:t>
      </w:r>
      <w:proofErr w:type="spellEnd"/>
      <w:r w:rsidRPr="4FC27832">
        <w:rPr>
          <w:rFonts w:ascii="Times New Roman" w:eastAsia="Times New Roman" w:hAnsi="Times New Roman" w:cs="Times New Roman"/>
          <w:color w:val="000000" w:themeColor="text1"/>
          <w:lang w:val="en-US"/>
        </w:rPr>
        <w:t xml:space="preserve"> is a benefit granted “to the dependents of a low-income insured individual who has been imprisoned under a closed regime and who does not receive wages from an employer nor benefits such as sick leave, survivor’s pension, maternity pay, retirement, or a service permanence allowance.” To qualify for this benefit, the decisive criteria is the income of the imprisoned individual, which must not exceed an average of</w:t>
      </w:r>
      <w:r w:rsidRPr="4FC27832">
        <w:rPr>
          <w:rFonts w:ascii="Times New Roman" w:eastAsia="Times New Roman" w:hAnsi="Times New Roman" w:cs="Times New Roman"/>
          <w:b/>
          <w:bCs/>
          <w:color w:val="000000" w:themeColor="text1"/>
          <w:lang w:val="en-US"/>
        </w:rPr>
        <w:t xml:space="preserve"> </w:t>
      </w:r>
      <w:r w:rsidRPr="4FC27832">
        <w:rPr>
          <w:rFonts w:ascii="Times New Roman" w:eastAsia="Times New Roman" w:hAnsi="Times New Roman" w:cs="Times New Roman"/>
          <w:color w:val="000000" w:themeColor="text1"/>
          <w:lang w:val="en-US"/>
        </w:rPr>
        <w:t>BRL 1,906.04 (one thousand, nine hundred and six reais and four centavos) over the twelve months preceding imprisonment, as established for the year 2025.</w:t>
      </w:r>
    </w:p>
    <w:p w14:paraId="31D5203F" w14:textId="1A850B3D"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It should be noted, however, that the income assessed for the granting of this benefit refers exclusively to that of the imprisoned insured individual, with no consideration given to the income or financial circumstances of the dependents for whom the benefit is intended. Consequently, with the removal of the original provider from the family environment, and without any assessment of the actual financial situation of those left responsible for the children’s care, children may find themselves in a situation of extreme vulnerability following the imprisonment of one or both parents. They may be left without any financial support solely because the imprisoned individual's prior income exceeded the eligibility threshold—even if the children themselves, or their current caregiver, have no income whatsoever.</w:t>
      </w:r>
    </w:p>
    <w:p w14:paraId="69A7DC13" w14:textId="274FF8F7" w:rsidR="6717F380" w:rsidRDefault="6717F380" w:rsidP="4FC27832">
      <w:pPr>
        <w:spacing w:after="165" w:line="360" w:lineRule="auto"/>
        <w:jc w:val="both"/>
      </w:pPr>
      <w:r w:rsidRPr="4FC27832">
        <w:rPr>
          <w:rFonts w:ascii="Times New Roman" w:eastAsia="Times New Roman" w:hAnsi="Times New Roman" w:cs="Times New Roman"/>
          <w:color w:val="000000" w:themeColor="text1"/>
          <w:lang w:val="en-US"/>
        </w:rPr>
        <w:t>Such a provision infringes Item 26 of the Convention on the Rights of the Child, which establishes that: “2. The benefits should, where appropriate, be granted, taking into account the resources and the circumstances of the child and persons having responsibility for the maintenance of the child, as well as any other consideration relevant to an application for benefits made by or on behalf of the child.”</w:t>
      </w:r>
    </w:p>
    <w:p w14:paraId="13F7722B" w14:textId="3EBC60E0" w:rsidR="6717F380" w:rsidRDefault="6717F380" w:rsidP="4FC27832">
      <w:pPr>
        <w:spacing w:after="165" w:line="360" w:lineRule="auto"/>
        <w:ind w:firstLine="709"/>
        <w:jc w:val="both"/>
      </w:pPr>
      <w:r w:rsidRPr="4FC27832">
        <w:rPr>
          <w:rFonts w:ascii="Times New Roman" w:eastAsia="Times New Roman" w:hAnsi="Times New Roman" w:cs="Times New Roman"/>
          <w:color w:val="000000" w:themeColor="text1"/>
          <w:lang w:val="en-US"/>
        </w:rPr>
        <w:t xml:space="preserve">It is worth noting, in this regard, that international human rights instruments incorporated into the domestic legal framework hold, if not constitutional, at least </w:t>
      </w:r>
      <w:proofErr w:type="spellStart"/>
      <w:r w:rsidRPr="4FC27832">
        <w:rPr>
          <w:rFonts w:ascii="Times New Roman" w:eastAsia="Times New Roman" w:hAnsi="Times New Roman" w:cs="Times New Roman"/>
          <w:color w:val="000000" w:themeColor="text1"/>
          <w:lang w:val="en-US"/>
        </w:rPr>
        <w:t>supralegal</w:t>
      </w:r>
      <w:proofErr w:type="spellEnd"/>
      <w:r w:rsidRPr="4FC27832">
        <w:rPr>
          <w:rFonts w:ascii="Times New Roman" w:eastAsia="Times New Roman" w:hAnsi="Times New Roman" w:cs="Times New Roman"/>
          <w:color w:val="000000" w:themeColor="text1"/>
          <w:lang w:val="en-US"/>
        </w:rPr>
        <w:t xml:space="preserve"> status—as is the case of the Convention under consideration. Legislative adjustment is therefore required to ensure the necessary </w:t>
      </w:r>
      <w:r w:rsidR="64A1AD1A" w:rsidRPr="4FC27832">
        <w:rPr>
          <w:rFonts w:ascii="Times New Roman" w:eastAsia="Times New Roman" w:hAnsi="Times New Roman" w:cs="Times New Roman"/>
          <w:color w:val="000000" w:themeColor="text1"/>
          <w:lang w:val="en-US"/>
        </w:rPr>
        <w:t>harmonization</w:t>
      </w:r>
      <w:r w:rsidRPr="4FC27832">
        <w:rPr>
          <w:rFonts w:ascii="Times New Roman" w:eastAsia="Times New Roman" w:hAnsi="Times New Roman" w:cs="Times New Roman"/>
          <w:color w:val="000000" w:themeColor="text1"/>
          <w:lang w:val="en-US"/>
        </w:rPr>
        <w:t xml:space="preserve"> with Brazil’s international human rights obligations.</w:t>
      </w:r>
    </w:p>
    <w:p w14:paraId="3266204C" w14:textId="25049F30"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lastRenderedPageBreak/>
        <w:t>Suggested Recommendation</w:t>
      </w:r>
      <w:r w:rsidRPr="4FC27832">
        <w:rPr>
          <w:rFonts w:ascii="Times New Roman" w:eastAsia="Times New Roman" w:hAnsi="Times New Roman" w:cs="Times New Roman"/>
          <w:color w:val="000000" w:themeColor="text1"/>
          <w:lang w:val="en-US"/>
        </w:rPr>
        <w:t xml:space="preserve">: Amendment of the legal provisions governing </w:t>
      </w:r>
      <w:proofErr w:type="spellStart"/>
      <w:r w:rsidRPr="4FC27832">
        <w:rPr>
          <w:rFonts w:ascii="Times New Roman" w:eastAsia="Times New Roman" w:hAnsi="Times New Roman" w:cs="Times New Roman"/>
          <w:i/>
          <w:iCs/>
          <w:color w:val="000000" w:themeColor="text1"/>
          <w:lang w:val="en-US"/>
        </w:rPr>
        <w:t>Auxílio-reclusão</w:t>
      </w:r>
      <w:proofErr w:type="spellEnd"/>
      <w:r w:rsidRPr="4FC27832">
        <w:rPr>
          <w:rFonts w:ascii="Times New Roman" w:eastAsia="Times New Roman" w:hAnsi="Times New Roman" w:cs="Times New Roman"/>
          <w:color w:val="000000" w:themeColor="text1"/>
          <w:lang w:val="en-US"/>
        </w:rPr>
        <w:t xml:space="preserve"> in Brazil (Articles 25 and 80 of Law 8213/91 and related regulations), so that its eligibility for the benefit is determined based on the income and financial situation of the dependents, rather than that of the imprisoned insured person—particularly where dependent children or adolescents are involved. In such cases, the income of the individual responsible for the child's care during the provider’s imprisonment should be duly considered, in line with the recommendations of the Convention on the Rights of the Child.</w:t>
      </w:r>
    </w:p>
    <w:p w14:paraId="2D1DE811" w14:textId="65EDED7D" w:rsidR="6717F380" w:rsidRDefault="6717F380" w:rsidP="4FC27832">
      <w:pPr>
        <w:spacing w:before="360" w:after="240"/>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to Reply to paragraph 8 (a) of the list of issues</w:t>
      </w:r>
    </w:p>
    <w:p w14:paraId="247480F9" w14:textId="4CC2B801" w:rsidR="6717F380" w:rsidRDefault="6717F380" w:rsidP="4FC27832">
      <w:pPr>
        <w:spacing w:after="165" w:line="360" w:lineRule="auto"/>
        <w:ind w:firstLine="708"/>
        <w:jc w:val="both"/>
      </w:pPr>
      <w:r w:rsidRPr="4FC27832">
        <w:rPr>
          <w:rFonts w:ascii="Times New Roman" w:eastAsia="Times New Roman" w:hAnsi="Times New Roman" w:cs="Times New Roman"/>
          <w:color w:val="000000" w:themeColor="text1"/>
          <w:lang w:val="en-US"/>
        </w:rPr>
        <w:t xml:space="preserve">In response to the question concerning “(a) Measures taken to increase investment in existing </w:t>
      </w:r>
      <w:proofErr w:type="spellStart"/>
      <w:r w:rsidRPr="4FC27832">
        <w:rPr>
          <w:rFonts w:ascii="Times New Roman" w:eastAsia="Times New Roman" w:hAnsi="Times New Roman" w:cs="Times New Roman"/>
          <w:color w:val="000000" w:themeColor="text1"/>
          <w:lang w:val="en-US"/>
        </w:rPr>
        <w:t>programmes</w:t>
      </w:r>
      <w:proofErr w:type="spellEnd"/>
      <w:r w:rsidRPr="4FC27832">
        <w:rPr>
          <w:rFonts w:ascii="Times New Roman" w:eastAsia="Times New Roman" w:hAnsi="Times New Roman" w:cs="Times New Roman"/>
          <w:color w:val="000000" w:themeColor="text1"/>
          <w:lang w:val="en-US"/>
        </w:rPr>
        <w:t xml:space="preserve"> aimed at improving the coverage and quality of health services, including vaccination,” Brazil highlighted that</w:t>
      </w:r>
    </w:p>
    <w:p w14:paraId="3D24A437" w14:textId="314D63D7" w:rsidR="6717F380" w:rsidRDefault="6717F380" w:rsidP="4FC27832">
      <w:pPr>
        <w:spacing w:after="165" w:line="253" w:lineRule="auto"/>
        <w:ind w:left="2265"/>
        <w:jc w:val="both"/>
      </w:pPr>
      <w:r w:rsidRPr="4FC27832">
        <w:rPr>
          <w:rFonts w:ascii="Times New Roman" w:eastAsia="Times New Roman" w:hAnsi="Times New Roman" w:cs="Times New Roman"/>
          <w:color w:val="000000" w:themeColor="text1"/>
          <w:sz w:val="22"/>
          <w:szCs w:val="22"/>
          <w:lang w:val="en-US"/>
        </w:rPr>
        <w:t xml:space="preserve">The National Immunization Program (PNI) provides 47 </w:t>
      </w:r>
      <w:proofErr w:type="spellStart"/>
      <w:r w:rsidRPr="4FC27832">
        <w:rPr>
          <w:rFonts w:ascii="Times New Roman" w:eastAsia="Times New Roman" w:hAnsi="Times New Roman" w:cs="Times New Roman"/>
          <w:color w:val="000000" w:themeColor="text1"/>
          <w:sz w:val="22"/>
          <w:szCs w:val="22"/>
          <w:lang w:val="en-US"/>
        </w:rPr>
        <w:t>immunobiologicals</w:t>
      </w:r>
      <w:proofErr w:type="spellEnd"/>
      <w:r w:rsidRPr="4FC27832">
        <w:rPr>
          <w:rFonts w:ascii="Times New Roman" w:eastAsia="Times New Roman" w:hAnsi="Times New Roman" w:cs="Times New Roman"/>
          <w:color w:val="000000" w:themeColor="text1"/>
          <w:sz w:val="22"/>
          <w:szCs w:val="22"/>
          <w:lang w:val="en-US"/>
        </w:rPr>
        <w:t>, including 30 vaccines, ensuring coverage across all life stages, with special strategies for vulnerable populations. Brazil maintains its leadership in disease elimination, with measles elimination recertified (2024), rubella controlled since 2015, and polio eradication sustained since 1994. The country also leads in meningitis control and has a pioneering public dengue vaccination program. The National Vaccination Movement continues to promote immunization through public awareness campaigns.</w:t>
      </w:r>
    </w:p>
    <w:p w14:paraId="7E79F490" w14:textId="0B643856" w:rsidR="6717F380" w:rsidRDefault="6717F380" w:rsidP="4FC27832">
      <w:pPr>
        <w:spacing w:after="165" w:line="360" w:lineRule="auto"/>
        <w:ind w:firstLine="708"/>
        <w:jc w:val="both"/>
      </w:pPr>
      <w:r w:rsidRPr="4FC27832">
        <w:rPr>
          <w:rFonts w:ascii="Times New Roman" w:eastAsia="Times New Roman" w:hAnsi="Times New Roman" w:cs="Times New Roman"/>
          <w:color w:val="000000" w:themeColor="text1"/>
          <w:lang w:val="en-US"/>
        </w:rPr>
        <w:t>However, since the pandemic, childhood vaccination coverage has once again become a pressing public health concern</w:t>
      </w:r>
      <w:hyperlink r:id="rId7" w:anchor="_ftn2">
        <w:r w:rsidRPr="4FC27832">
          <w:rPr>
            <w:rStyle w:val="Hyperlink"/>
            <w:rFonts w:ascii="Times New Roman" w:eastAsia="Times New Roman" w:hAnsi="Times New Roman" w:cs="Times New Roman"/>
            <w:color w:val="0563C1"/>
            <w:vertAlign w:val="superscript"/>
            <w:lang w:val="en-US"/>
          </w:rPr>
          <w:t>[2]</w:t>
        </w:r>
      </w:hyperlink>
      <w:hyperlink r:id="rId8" w:anchor="_ftn3">
        <w:r w:rsidRPr="4FC27832">
          <w:rPr>
            <w:rStyle w:val="Hyperlink"/>
            <w:rFonts w:ascii="Times New Roman" w:eastAsia="Times New Roman" w:hAnsi="Times New Roman" w:cs="Times New Roman"/>
            <w:color w:val="0563C1"/>
            <w:vertAlign w:val="superscript"/>
            <w:lang w:val="en-US"/>
          </w:rPr>
          <w:t>[3]</w:t>
        </w:r>
      </w:hyperlink>
      <w:r w:rsidRPr="4FC27832">
        <w:rPr>
          <w:rFonts w:ascii="Times New Roman" w:eastAsia="Times New Roman" w:hAnsi="Times New Roman" w:cs="Times New Roman"/>
          <w:color w:val="000000" w:themeColor="text1"/>
          <w:lang w:val="en-US"/>
        </w:rPr>
        <w:t>, requiring a deeper analysis of the public policies implemented by the State—particularly in light of the absence of a national strategy to combat fake news, which proliferated during the COVID-19 pandemic. Such disinformation discouraged vaccine uptake and exposed children and adolescents to preventable diseases</w:t>
      </w:r>
      <w:hyperlink r:id="rId9" w:anchor="_ftn4">
        <w:r w:rsidRPr="4FC27832">
          <w:rPr>
            <w:rStyle w:val="Hyperlink"/>
            <w:rFonts w:ascii="Times New Roman" w:eastAsia="Times New Roman" w:hAnsi="Times New Roman" w:cs="Times New Roman"/>
            <w:color w:val="000000" w:themeColor="text1"/>
            <w:vertAlign w:val="superscript"/>
            <w:lang w:val="en-US"/>
          </w:rPr>
          <w:t>[4]</w:t>
        </w:r>
      </w:hyperlink>
      <w:r w:rsidRPr="4FC27832">
        <w:rPr>
          <w:rFonts w:ascii="Times New Roman" w:eastAsia="Times New Roman" w:hAnsi="Times New Roman" w:cs="Times New Roman"/>
          <w:color w:val="000000" w:themeColor="text1"/>
          <w:lang w:val="en-US"/>
        </w:rPr>
        <w:t>, including sexually transmitted infections.</w:t>
      </w:r>
    </w:p>
    <w:p w14:paraId="226F5D12" w14:textId="6B0B6883"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t>Suggested Recommendation:</w:t>
      </w:r>
      <w:r w:rsidRPr="4FC27832">
        <w:rPr>
          <w:rFonts w:ascii="Times New Roman" w:eastAsia="Times New Roman" w:hAnsi="Times New Roman" w:cs="Times New Roman"/>
          <w:color w:val="000000" w:themeColor="text1"/>
          <w:lang w:val="en-US"/>
        </w:rPr>
        <w:t xml:space="preserve"> Intensify vaccination campaigns, public awareness initiatives, and actions to encourage adherence to </w:t>
      </w:r>
      <w:r w:rsidR="0007B2BD" w:rsidRPr="4FC27832">
        <w:rPr>
          <w:rFonts w:ascii="Times New Roman" w:eastAsia="Times New Roman" w:hAnsi="Times New Roman" w:cs="Times New Roman"/>
          <w:color w:val="000000" w:themeColor="text1"/>
          <w:lang w:val="en-US"/>
        </w:rPr>
        <w:t>immunization</w:t>
      </w:r>
      <w:r w:rsidRPr="4FC27832">
        <w:rPr>
          <w:rFonts w:ascii="Times New Roman" w:eastAsia="Times New Roman" w:hAnsi="Times New Roman" w:cs="Times New Roman"/>
          <w:color w:val="000000" w:themeColor="text1"/>
          <w:lang w:val="en-US"/>
        </w:rPr>
        <w:t xml:space="preserve"> </w:t>
      </w:r>
      <w:proofErr w:type="spellStart"/>
      <w:r w:rsidRPr="4FC27832">
        <w:rPr>
          <w:rFonts w:ascii="Times New Roman" w:eastAsia="Times New Roman" w:hAnsi="Times New Roman" w:cs="Times New Roman"/>
          <w:color w:val="000000" w:themeColor="text1"/>
          <w:lang w:val="en-US"/>
        </w:rPr>
        <w:t>programmes</w:t>
      </w:r>
      <w:proofErr w:type="spellEnd"/>
      <w:r w:rsidRPr="4FC27832">
        <w:rPr>
          <w:rFonts w:ascii="Times New Roman" w:eastAsia="Times New Roman" w:hAnsi="Times New Roman" w:cs="Times New Roman"/>
          <w:color w:val="000000" w:themeColor="text1"/>
          <w:lang w:val="en-US"/>
        </w:rPr>
        <w:t xml:space="preserve">. Additionally, strengthen mechanisms to prevent and combat fake news, particularly when such content targets public health interventions or </w:t>
      </w:r>
      <w:proofErr w:type="spellStart"/>
      <w:r w:rsidRPr="4FC27832">
        <w:rPr>
          <w:rFonts w:ascii="Times New Roman" w:eastAsia="Times New Roman" w:hAnsi="Times New Roman" w:cs="Times New Roman"/>
          <w:color w:val="000000" w:themeColor="text1"/>
          <w:lang w:val="en-US"/>
        </w:rPr>
        <w:t>jeopardises</w:t>
      </w:r>
      <w:proofErr w:type="spellEnd"/>
      <w:r w:rsidRPr="4FC27832">
        <w:rPr>
          <w:rFonts w:ascii="Times New Roman" w:eastAsia="Times New Roman" w:hAnsi="Times New Roman" w:cs="Times New Roman"/>
          <w:color w:val="000000" w:themeColor="text1"/>
          <w:lang w:val="en-US"/>
        </w:rPr>
        <w:t xml:space="preserve"> the protection of the rights and best interests of children and adolescents.</w:t>
      </w:r>
    </w:p>
    <w:p w14:paraId="30BA3AE8" w14:textId="4CE087D8" w:rsidR="6717F380" w:rsidRDefault="6717F380" w:rsidP="4FC27832">
      <w:pPr>
        <w:spacing w:before="360" w:after="240" w:line="360" w:lineRule="auto"/>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to Reply to paragraph 8 (d) of the list of issues</w:t>
      </w:r>
    </w:p>
    <w:p w14:paraId="79CDD54A" w14:textId="18D1A355"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lastRenderedPageBreak/>
        <w:t xml:space="preserve">Regarding measures for the </w:t>
      </w:r>
      <w:proofErr w:type="spellStart"/>
      <w:r w:rsidRPr="4FC27832">
        <w:rPr>
          <w:rFonts w:ascii="Times New Roman" w:eastAsia="Times New Roman" w:hAnsi="Times New Roman" w:cs="Times New Roman"/>
          <w:color w:val="000000" w:themeColor="text1"/>
          <w:lang w:val="en-US"/>
        </w:rPr>
        <w:t>decriminalisation</w:t>
      </w:r>
      <w:proofErr w:type="spellEnd"/>
      <w:r w:rsidRPr="4FC27832">
        <w:rPr>
          <w:rFonts w:ascii="Times New Roman" w:eastAsia="Times New Roman" w:hAnsi="Times New Roman" w:cs="Times New Roman"/>
          <w:color w:val="000000" w:themeColor="text1"/>
          <w:lang w:val="en-US"/>
        </w:rPr>
        <w:t xml:space="preserve"> of abortion and the guarantee of access to safe abortion services and post-abortion care, the Brazilian State referred to Resolution No. 258/24 of the National Council for the Rights of Children and Adolescents (CONANDA), as well as to initiatives adopted by a State-level Public Defenders' Office aimed at promoting adoption and educational measures to prevent adolescent pregnancy.</w:t>
      </w:r>
    </w:p>
    <w:p w14:paraId="6E4A65DC" w14:textId="69F31CF4"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While the aforementioned Resolution constitutes an important instrument in this area, its implementation has faced significant challenges in practice, particularly due to the absence of effective referral mechanisms enabling prompt and discreet access for underage victims of violence to pregnancy termination services. Indeed, CONANDA itself recently consulted the Federal Public Defenders' Office (DPU) on possible measures to ensure the implementation of the Resolution—a responsibility which, nevertheless, primarily lies with state-level health authorities.</w:t>
      </w:r>
    </w:p>
    <w:p w14:paraId="01BB1E4C" w14:textId="7B913C8C" w:rsidR="6717F380" w:rsidRDefault="6717F380" w:rsidP="4FC27832">
      <w:pPr>
        <w:spacing w:after="165" w:line="360" w:lineRule="auto"/>
        <w:jc w:val="both"/>
      </w:pPr>
      <w:r w:rsidRPr="4FC27832">
        <w:rPr>
          <w:rFonts w:ascii="Times New Roman" w:eastAsia="Times New Roman" w:hAnsi="Times New Roman" w:cs="Times New Roman"/>
          <w:color w:val="000000" w:themeColor="text1"/>
          <w:u w:val="single"/>
          <w:lang w:val="en-US"/>
        </w:rPr>
        <w:t>Suggested Recommendation</w:t>
      </w:r>
      <w:r w:rsidRPr="4FC27832">
        <w:rPr>
          <w:rFonts w:ascii="Times New Roman" w:eastAsia="Times New Roman" w:hAnsi="Times New Roman" w:cs="Times New Roman"/>
          <w:color w:val="000000" w:themeColor="text1"/>
          <w:lang w:val="en-US"/>
        </w:rPr>
        <w:t>:</w:t>
      </w:r>
      <w:r w:rsidRPr="4FC27832">
        <w:rPr>
          <w:rFonts w:ascii="Times New Roman" w:eastAsia="Times New Roman" w:hAnsi="Times New Roman" w:cs="Times New Roman"/>
          <w:b/>
          <w:bCs/>
          <w:color w:val="000000" w:themeColor="text1"/>
          <w:lang w:val="en-US"/>
        </w:rPr>
        <w:t xml:space="preserve"> </w:t>
      </w:r>
      <w:r w:rsidRPr="4FC27832">
        <w:rPr>
          <w:rFonts w:ascii="Times New Roman" w:eastAsia="Times New Roman" w:hAnsi="Times New Roman" w:cs="Times New Roman"/>
          <w:color w:val="000000" w:themeColor="text1"/>
          <w:lang w:val="en-US"/>
        </w:rPr>
        <w:t xml:space="preserve">a) Strengthening of public policies aimed at ensuring effective access and referral mechanisms for minors and their families who meet the requirements laid down in the aforementioned Resolution regarding the legal termination of pregnancy in cases of minors who are victims of violence; b) Broader dissemination of information on the </w:t>
      </w:r>
      <w:proofErr w:type="spellStart"/>
      <w:r w:rsidRPr="4FC27832">
        <w:rPr>
          <w:rFonts w:ascii="Times New Roman" w:eastAsia="Times New Roman" w:hAnsi="Times New Roman" w:cs="Times New Roman"/>
          <w:color w:val="000000" w:themeColor="text1"/>
          <w:lang w:val="en-US"/>
        </w:rPr>
        <w:t>specialised</w:t>
      </w:r>
      <w:proofErr w:type="spellEnd"/>
      <w:r w:rsidRPr="4FC27832">
        <w:rPr>
          <w:rFonts w:ascii="Times New Roman" w:eastAsia="Times New Roman" w:hAnsi="Times New Roman" w:cs="Times New Roman"/>
          <w:color w:val="000000" w:themeColor="text1"/>
          <w:lang w:val="en-US"/>
        </w:rPr>
        <w:t xml:space="preserve"> healthcare facilities available to assist minors who are victims of violence; c) Provision of appropriate psychological support to victims during and after medical care, so as to prevent </w:t>
      </w:r>
      <w:proofErr w:type="spellStart"/>
      <w:r w:rsidRPr="4FC27832">
        <w:rPr>
          <w:rFonts w:ascii="Times New Roman" w:eastAsia="Times New Roman" w:hAnsi="Times New Roman" w:cs="Times New Roman"/>
          <w:color w:val="000000" w:themeColor="text1"/>
          <w:lang w:val="en-US"/>
        </w:rPr>
        <w:t>revictimisation</w:t>
      </w:r>
      <w:proofErr w:type="spellEnd"/>
      <w:r w:rsidRPr="4FC27832">
        <w:rPr>
          <w:rFonts w:ascii="Times New Roman" w:eastAsia="Times New Roman" w:hAnsi="Times New Roman" w:cs="Times New Roman"/>
          <w:color w:val="000000" w:themeColor="text1"/>
          <w:lang w:val="en-US"/>
        </w:rPr>
        <w:t xml:space="preserve"> or the exposure of minors who have become pregnant as a result of actual or presumed sexual violence.</w:t>
      </w:r>
    </w:p>
    <w:p w14:paraId="2BC48669" w14:textId="46B2F900" w:rsidR="6717F380" w:rsidRDefault="6717F380" w:rsidP="4FC27832">
      <w:pPr>
        <w:spacing w:before="360" w:after="240" w:line="360" w:lineRule="auto"/>
        <w:ind w:right="1140"/>
        <w:jc w:val="both"/>
        <w:rPr>
          <w:rFonts w:ascii="Times New Roman" w:eastAsia="Times New Roman" w:hAnsi="Times New Roman" w:cs="Times New Roman"/>
          <w:color w:val="000000" w:themeColor="text1"/>
          <w:lang w:val="en-US"/>
        </w:rPr>
      </w:pPr>
      <w:r w:rsidRPr="4FC27832">
        <w:rPr>
          <w:rFonts w:ascii="Times New Roman" w:eastAsia="Times New Roman" w:hAnsi="Times New Roman" w:cs="Times New Roman"/>
          <w:color w:val="000000" w:themeColor="text1"/>
          <w:lang w:val="en-US"/>
        </w:rPr>
        <w:t>Comments do Reply to paragraph(s) 8 (f), (g), (h) and (</w:t>
      </w:r>
      <w:proofErr w:type="spellStart"/>
      <w:r w:rsidRPr="4FC27832">
        <w:rPr>
          <w:rFonts w:ascii="Times New Roman" w:eastAsia="Times New Roman" w:hAnsi="Times New Roman" w:cs="Times New Roman"/>
          <w:color w:val="000000" w:themeColor="text1"/>
          <w:lang w:val="en-US"/>
        </w:rPr>
        <w:t>i</w:t>
      </w:r>
      <w:proofErr w:type="spellEnd"/>
      <w:r w:rsidRPr="4FC27832">
        <w:rPr>
          <w:rFonts w:ascii="Times New Roman" w:eastAsia="Times New Roman" w:hAnsi="Times New Roman" w:cs="Times New Roman"/>
          <w:color w:val="000000" w:themeColor="text1"/>
          <w:lang w:val="en-US"/>
        </w:rPr>
        <w:t>) of the list of issues</w:t>
      </w:r>
    </w:p>
    <w:p w14:paraId="559F1E72" w14:textId="4184C3A4" w:rsidR="6717F380" w:rsidRDefault="6717F380" w:rsidP="4FC27832">
      <w:pPr>
        <w:spacing w:after="165" w:line="360" w:lineRule="auto"/>
        <w:ind w:firstLine="708"/>
        <w:jc w:val="both"/>
      </w:pPr>
      <w:r w:rsidRPr="4FC27832">
        <w:rPr>
          <w:rFonts w:ascii="Times New Roman" w:eastAsia="Times New Roman" w:hAnsi="Times New Roman" w:cs="Times New Roman"/>
          <w:color w:val="000000" w:themeColor="text1"/>
          <w:lang w:val="en-US"/>
        </w:rPr>
        <w:t>With regard to mental health care for children and adolescents, including those with Autism Spectrum Disorder (ASD), substance abuse issues, and exposure to digital threats, recent Law No. 15,100/2025 introduced restrictions on the use of portable electronic devices—such as cell phones, tablets, and video game consoles—within basic education schools across the national territory. In its response, the Brazilian State also referred to the existence of “</w:t>
      </w:r>
      <w:r w:rsidRPr="4FC27832">
        <w:rPr>
          <w:rFonts w:ascii="Calibri" w:eastAsia="Calibri" w:hAnsi="Calibri" w:cs="Calibri"/>
          <w:color w:val="000000" w:themeColor="text1"/>
          <w:sz w:val="22"/>
          <w:szCs w:val="22"/>
          <w:lang w:val="en-US"/>
        </w:rPr>
        <w:t xml:space="preserve">324 </w:t>
      </w:r>
      <w:r w:rsidRPr="4FC27832">
        <w:rPr>
          <w:rFonts w:ascii="Times New Roman" w:eastAsia="Times New Roman" w:hAnsi="Times New Roman" w:cs="Times New Roman"/>
          <w:color w:val="000000" w:themeColor="text1"/>
          <w:lang w:val="en-US"/>
        </w:rPr>
        <w:t xml:space="preserve">Child Psychosocial Care </w:t>
      </w:r>
      <w:proofErr w:type="spellStart"/>
      <w:r w:rsidRPr="4FC27832">
        <w:rPr>
          <w:rFonts w:ascii="Times New Roman" w:eastAsia="Times New Roman" w:hAnsi="Times New Roman" w:cs="Times New Roman"/>
          <w:color w:val="000000" w:themeColor="text1"/>
          <w:lang w:val="en-US"/>
        </w:rPr>
        <w:t>Centres</w:t>
      </w:r>
      <w:proofErr w:type="spellEnd"/>
      <w:r w:rsidRPr="4FC27832">
        <w:rPr>
          <w:rFonts w:ascii="Times New Roman" w:eastAsia="Times New Roman" w:hAnsi="Times New Roman" w:cs="Times New Roman"/>
          <w:color w:val="000000" w:themeColor="text1"/>
          <w:lang w:val="en-US"/>
        </w:rPr>
        <w:t xml:space="preserve"> (CAPS I) and 1,522 Type 1 Psychosocial Care </w:t>
      </w:r>
      <w:proofErr w:type="spellStart"/>
      <w:r w:rsidRPr="4FC27832">
        <w:rPr>
          <w:rFonts w:ascii="Times New Roman" w:eastAsia="Times New Roman" w:hAnsi="Times New Roman" w:cs="Times New Roman"/>
          <w:color w:val="000000" w:themeColor="text1"/>
          <w:lang w:val="en-US"/>
        </w:rPr>
        <w:t>Centres</w:t>
      </w:r>
      <w:proofErr w:type="spellEnd"/>
      <w:r w:rsidRPr="4FC27832">
        <w:rPr>
          <w:rFonts w:ascii="Times New Roman" w:eastAsia="Times New Roman" w:hAnsi="Times New Roman" w:cs="Times New Roman"/>
          <w:color w:val="000000" w:themeColor="text1"/>
          <w:lang w:val="en-US"/>
        </w:rPr>
        <w:t xml:space="preserve"> (CAPS) </w:t>
      </w:r>
      <w:proofErr w:type="spellStart"/>
      <w:r w:rsidRPr="4FC27832">
        <w:rPr>
          <w:rFonts w:ascii="Times New Roman" w:eastAsia="Times New Roman" w:hAnsi="Times New Roman" w:cs="Times New Roman"/>
          <w:color w:val="000000" w:themeColor="text1"/>
          <w:lang w:val="en-US"/>
        </w:rPr>
        <w:t>specialised</w:t>
      </w:r>
      <w:proofErr w:type="spellEnd"/>
      <w:r w:rsidRPr="4FC27832">
        <w:rPr>
          <w:rFonts w:ascii="Times New Roman" w:eastAsia="Times New Roman" w:hAnsi="Times New Roman" w:cs="Times New Roman"/>
          <w:color w:val="000000" w:themeColor="text1"/>
          <w:lang w:val="en-US"/>
        </w:rPr>
        <w:t xml:space="preserve"> in treating severe psychological distress related to alcohol and drug use”</w:t>
      </w:r>
    </w:p>
    <w:p w14:paraId="1E62518E" w14:textId="72936694"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lastRenderedPageBreak/>
        <w:t xml:space="preserve">In practice, however, the availability of psychological and therapeutic mental health support within the Unified Health System (SUS) remains limited, with an insufficient number of Psychosocial Care Networks (RAPS) and Psychosocial Care </w:t>
      </w:r>
      <w:proofErr w:type="spellStart"/>
      <w:r w:rsidRPr="4FC27832">
        <w:rPr>
          <w:rFonts w:ascii="Times New Roman" w:eastAsia="Times New Roman" w:hAnsi="Times New Roman" w:cs="Times New Roman"/>
          <w:color w:val="000000" w:themeColor="text1"/>
          <w:lang w:val="en-US"/>
        </w:rPr>
        <w:t>Centres</w:t>
      </w:r>
      <w:proofErr w:type="spellEnd"/>
      <w:r w:rsidRPr="4FC27832">
        <w:rPr>
          <w:rFonts w:ascii="Times New Roman" w:eastAsia="Times New Roman" w:hAnsi="Times New Roman" w:cs="Times New Roman"/>
          <w:color w:val="000000" w:themeColor="text1"/>
          <w:lang w:val="en-US"/>
        </w:rPr>
        <w:t xml:space="preserve"> (CAPS) to meet the demands arising from the psychiatric </w:t>
      </w:r>
      <w:proofErr w:type="spellStart"/>
      <w:r w:rsidRPr="4FC27832">
        <w:rPr>
          <w:rFonts w:ascii="Times New Roman" w:eastAsia="Times New Roman" w:hAnsi="Times New Roman" w:cs="Times New Roman"/>
          <w:color w:val="000000" w:themeColor="text1"/>
          <w:lang w:val="en-US"/>
        </w:rPr>
        <w:t>deinstitutionalisation</w:t>
      </w:r>
      <w:proofErr w:type="spellEnd"/>
      <w:r w:rsidRPr="4FC27832">
        <w:rPr>
          <w:rFonts w:ascii="Times New Roman" w:eastAsia="Times New Roman" w:hAnsi="Times New Roman" w:cs="Times New Roman"/>
          <w:color w:val="000000" w:themeColor="text1"/>
          <w:lang w:val="en-US"/>
        </w:rPr>
        <w:t xml:space="preserve"> project.</w:t>
      </w:r>
    </w:p>
    <w:p w14:paraId="454D4BDC" w14:textId="0A3AB0CC"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The State’s responses also refer to CONANDA Resolution No. 249/2024, which prohibits “placing children in therapeutic communities, ensuring family and community-based care as the primary response.” While this measure is consistent with international human rights standards, it fails to acknowledge that the lack of adequate alternatives often places an excessive burden on families. It also exposes children and adolescents who are victims of substance abuse to further harm, as they are frequently returned—before having fully recovered—to the same environments where they were previously exposed to risk.</w:t>
      </w:r>
    </w:p>
    <w:p w14:paraId="7930964A" w14:textId="19E49F2A"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 xml:space="preserve">In this regard, the Report of the Working Group established under CONAD Resolution No. 10/2024, which developed a Plan containing Proposed Guidelines for the </w:t>
      </w:r>
      <w:proofErr w:type="spellStart"/>
      <w:r w:rsidRPr="4FC27832">
        <w:rPr>
          <w:rFonts w:ascii="Times New Roman" w:eastAsia="Times New Roman" w:hAnsi="Times New Roman" w:cs="Times New Roman"/>
          <w:color w:val="000000" w:themeColor="text1"/>
          <w:lang w:val="en-US"/>
        </w:rPr>
        <w:t>Deinstitutionalisation</w:t>
      </w:r>
      <w:proofErr w:type="spellEnd"/>
      <w:r w:rsidRPr="4FC27832">
        <w:rPr>
          <w:rFonts w:ascii="Times New Roman" w:eastAsia="Times New Roman" w:hAnsi="Times New Roman" w:cs="Times New Roman"/>
          <w:color w:val="000000" w:themeColor="text1"/>
          <w:lang w:val="en-US"/>
        </w:rPr>
        <w:t xml:space="preserve"> of Adolescents Sheltered in Therapeutic Communities, recommends, as a fundamental measure, "the expansion of community-based care services classified under Social Assistance and Health, focusing on the specific needs of each territory and/or administrative health and social assistance regions, using a strategy of implementing services through consortia, ensuring adequate care in accordance with the child and adolescent care policy established in the country."</w:t>
      </w:r>
    </w:p>
    <w:p w14:paraId="17BC3B25" w14:textId="2940754E"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Finally, concerning children and adolescents with Autism Spectrum Disorder (ASD), difficulties in accessing complementary therapies through the Unified Health System (SUS), due to extensive waiting lists, undermines the critical window for effective intervention aimed at their full social inclusion—a goal that often depends directly on the timeliness and efficiency of the support measures provided. It is therefore necessary to implement the provisions of Article 23 of the Convention on the Rights of the Child, which establishes that:</w:t>
      </w:r>
    </w:p>
    <w:p w14:paraId="19748741" w14:textId="2EE44017" w:rsidR="4FC27832" w:rsidRDefault="4FC27832" w:rsidP="4FC27832">
      <w:pPr>
        <w:spacing w:after="165" w:line="360" w:lineRule="auto"/>
        <w:ind w:firstLine="720"/>
        <w:jc w:val="both"/>
        <w:rPr>
          <w:rFonts w:ascii="Times New Roman" w:eastAsia="Times New Roman" w:hAnsi="Times New Roman" w:cs="Times New Roman"/>
          <w:color w:val="000000" w:themeColor="text1"/>
          <w:lang w:val="en-US"/>
        </w:rPr>
      </w:pPr>
    </w:p>
    <w:p w14:paraId="70B86E08" w14:textId="15E430A1" w:rsidR="6717F380" w:rsidRDefault="6717F380" w:rsidP="4FC27832">
      <w:pPr>
        <w:spacing w:after="165" w:line="240" w:lineRule="auto"/>
        <w:ind w:left="2265"/>
        <w:jc w:val="both"/>
      </w:pPr>
      <w:r w:rsidRPr="4FC27832">
        <w:rPr>
          <w:rFonts w:ascii="Times New Roman" w:eastAsia="Times New Roman" w:hAnsi="Times New Roman" w:cs="Times New Roman"/>
          <w:color w:val="000000" w:themeColor="text1"/>
          <w:sz w:val="22"/>
          <w:szCs w:val="22"/>
          <w:lang w:val="en-US"/>
        </w:rPr>
        <w:t>1. States Parties recognize that a mentally or physically disabled child should enjoy a full and decent life, in conditions that ensure dignity, promote self-reliance, and facilitate the child's active participation in the community.</w:t>
      </w:r>
    </w:p>
    <w:p w14:paraId="2A81A213" w14:textId="4E41F4A4" w:rsidR="6717F380" w:rsidRDefault="6717F380" w:rsidP="4FC27832">
      <w:pPr>
        <w:spacing w:after="165" w:line="240" w:lineRule="auto"/>
        <w:ind w:left="2265"/>
        <w:jc w:val="both"/>
      </w:pPr>
      <w:r w:rsidRPr="4FC27832">
        <w:rPr>
          <w:rFonts w:ascii="Times New Roman" w:eastAsia="Times New Roman" w:hAnsi="Times New Roman" w:cs="Times New Roman"/>
          <w:color w:val="000000" w:themeColor="text1"/>
          <w:sz w:val="22"/>
          <w:szCs w:val="22"/>
          <w:lang w:val="en-US"/>
        </w:rPr>
        <w:lastRenderedPageBreak/>
        <w:t>2. 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child's condition and to the circumstances of the parents or others caring for the child.</w:t>
      </w:r>
    </w:p>
    <w:p w14:paraId="5762EA56" w14:textId="4065DEA6" w:rsidR="6717F380" w:rsidRDefault="6717F380" w:rsidP="4FC27832">
      <w:pPr>
        <w:spacing w:after="165" w:line="240" w:lineRule="auto"/>
        <w:ind w:left="2265"/>
        <w:jc w:val="both"/>
      </w:pPr>
      <w:r w:rsidRPr="4FC27832">
        <w:rPr>
          <w:rFonts w:ascii="Times New Roman" w:eastAsia="Times New Roman" w:hAnsi="Times New Roman" w:cs="Times New Roman"/>
          <w:color w:val="000000" w:themeColor="text1"/>
          <w:sz w:val="22"/>
          <w:szCs w:val="22"/>
          <w:lang w:val="en-US"/>
        </w:rPr>
        <w:t>3. 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child's achieving the fullest possible social integration and individual development, including his or her cultural and spiritual development.</w:t>
      </w:r>
    </w:p>
    <w:p w14:paraId="79413CB4" w14:textId="37C08F1B" w:rsidR="6717F380" w:rsidRDefault="6717F380" w:rsidP="4FC27832">
      <w:pPr>
        <w:spacing w:after="165" w:line="360" w:lineRule="auto"/>
        <w:ind w:firstLine="720"/>
        <w:jc w:val="both"/>
      </w:pPr>
      <w:r w:rsidRPr="4FC27832">
        <w:rPr>
          <w:rFonts w:ascii="Times New Roman" w:eastAsia="Times New Roman" w:hAnsi="Times New Roman" w:cs="Times New Roman"/>
          <w:color w:val="000000" w:themeColor="text1"/>
          <w:lang w:val="en-US"/>
        </w:rPr>
        <w:t>It should also be noted that the State’s response provides absolute numbers of units and interventions; however, these figures alone do not demonstrate whether existing needs are actually being met, as they are not accompanied by data regarding the number of children and adolescents requiring these services, the installed service capacity, or the reasonable waiting time for accessing appropriate treatment.</w:t>
      </w:r>
    </w:p>
    <w:p w14:paraId="7DF9AE6C" w14:textId="7F7E3825" w:rsidR="6717F380" w:rsidRDefault="5D0B50EE" w:rsidP="4FC27832">
      <w:pPr>
        <w:spacing w:after="165" w:line="360" w:lineRule="auto"/>
        <w:jc w:val="both"/>
      </w:pPr>
      <w:r w:rsidRPr="5D0B50EE">
        <w:rPr>
          <w:rFonts w:ascii="Times New Roman" w:eastAsia="Times New Roman" w:hAnsi="Times New Roman" w:cs="Times New Roman"/>
          <w:color w:val="000000" w:themeColor="text1"/>
          <w:u w:val="single"/>
          <w:lang w:val="en-US"/>
        </w:rPr>
        <w:t>Suggested Recommendation:</w:t>
      </w:r>
      <w:r w:rsidRPr="5D0B50EE">
        <w:rPr>
          <w:rFonts w:ascii="Times New Roman" w:eastAsia="Times New Roman" w:hAnsi="Times New Roman" w:cs="Times New Roman"/>
          <w:color w:val="000000" w:themeColor="text1"/>
          <w:lang w:val="en-US"/>
        </w:rPr>
        <w:t xml:space="preserve"> Improve the structure, coverage, and resources of the Psychosocial Care Networks and </w:t>
      </w:r>
      <w:proofErr w:type="spellStart"/>
      <w:r w:rsidRPr="5D0B50EE">
        <w:rPr>
          <w:rFonts w:ascii="Times New Roman" w:eastAsia="Times New Roman" w:hAnsi="Times New Roman" w:cs="Times New Roman"/>
          <w:color w:val="000000" w:themeColor="text1"/>
          <w:lang w:val="en-US"/>
        </w:rPr>
        <w:t>Centres</w:t>
      </w:r>
      <w:proofErr w:type="spellEnd"/>
      <w:r w:rsidRPr="5D0B50EE">
        <w:rPr>
          <w:rFonts w:ascii="Times New Roman" w:eastAsia="Times New Roman" w:hAnsi="Times New Roman" w:cs="Times New Roman"/>
          <w:color w:val="000000" w:themeColor="text1"/>
          <w:lang w:val="en-US"/>
        </w:rPr>
        <w:t xml:space="preserve"> (RAPS and CAPS), with particular emphasis on services for children and adolescents, ensuring age-appropriate care in the monitoring, prevention, and treatment of substance abuse. Furthermore, expedite the availability of adjuvant therapies for children and adolescents with Autism Spectrum Disorder (ASD) and other mental health conditions through the Unified Health System (SUS), ensuring equitable access in all regions of the country.</w:t>
      </w:r>
    </w:p>
    <w:p w14:paraId="61CDA622" w14:textId="658D8165" w:rsidR="4FC27832" w:rsidRDefault="4FC27832" w:rsidP="4FC27832">
      <w:pPr>
        <w:spacing w:line="360" w:lineRule="auto"/>
        <w:ind w:firstLine="708"/>
        <w:jc w:val="both"/>
        <w:rPr>
          <w:rFonts w:ascii="Times New Roman" w:eastAsia="Times New Roman" w:hAnsi="Times New Roman" w:cs="Times New Roman"/>
          <w:lang w:val="en-US"/>
        </w:rPr>
      </w:pPr>
    </w:p>
    <w:p w14:paraId="60EA4C11" w14:textId="73360258" w:rsidR="4FC27832" w:rsidRDefault="4FC27832" w:rsidP="4FC27832">
      <w:pPr>
        <w:spacing w:line="360" w:lineRule="auto"/>
        <w:ind w:firstLine="708"/>
        <w:jc w:val="both"/>
        <w:rPr>
          <w:rFonts w:ascii="Times New Roman" w:eastAsia="Times New Roman" w:hAnsi="Times New Roman" w:cs="Times New Roman"/>
          <w:lang w:val="en-US"/>
        </w:rPr>
      </w:pPr>
    </w:p>
    <w:p w14:paraId="3A33DE8C" w14:textId="779E1A4E" w:rsidR="4FC27832" w:rsidRDefault="4FC27832" w:rsidP="4FC27832">
      <w:pPr>
        <w:spacing w:line="360" w:lineRule="auto"/>
        <w:ind w:firstLine="708"/>
        <w:jc w:val="both"/>
        <w:rPr>
          <w:rFonts w:ascii="Times New Roman" w:eastAsia="Times New Roman" w:hAnsi="Times New Roman" w:cs="Times New Roman"/>
          <w:lang w:val="en-US"/>
        </w:rPr>
      </w:pPr>
    </w:p>
    <w:p w14:paraId="3CBFCC6B" w14:textId="5EDF944A" w:rsidR="4FC27832" w:rsidRDefault="4FC27832" w:rsidP="4FC27832">
      <w:pPr>
        <w:spacing w:line="360" w:lineRule="auto"/>
        <w:ind w:firstLine="708"/>
        <w:jc w:val="both"/>
        <w:rPr>
          <w:rFonts w:ascii="Times New Roman" w:eastAsia="Times New Roman" w:hAnsi="Times New Roman" w:cs="Times New Roman"/>
          <w:lang w:val="en-US"/>
        </w:rPr>
      </w:pPr>
    </w:p>
    <w:p w14:paraId="431A7182" w14:textId="149AF121" w:rsidR="4FC27832" w:rsidRDefault="4FC27832" w:rsidP="4FC27832">
      <w:pPr>
        <w:spacing w:line="360" w:lineRule="auto"/>
        <w:ind w:firstLine="708"/>
        <w:jc w:val="both"/>
        <w:rPr>
          <w:rFonts w:ascii="Times New Roman" w:eastAsia="Times New Roman" w:hAnsi="Times New Roman" w:cs="Times New Roman"/>
          <w:lang w:val="en-US"/>
        </w:rPr>
      </w:pPr>
    </w:p>
    <w:p w14:paraId="371A6C60" w14:textId="3B3A4D99" w:rsidR="4FC27832" w:rsidRDefault="4FC27832" w:rsidP="4FC27832">
      <w:pPr>
        <w:spacing w:line="360" w:lineRule="auto"/>
        <w:ind w:firstLine="708"/>
        <w:jc w:val="both"/>
        <w:rPr>
          <w:rFonts w:ascii="Times New Roman" w:eastAsia="Times New Roman" w:hAnsi="Times New Roman" w:cs="Times New Roman"/>
          <w:lang w:val="en-US"/>
        </w:rPr>
      </w:pPr>
    </w:p>
    <w:p w14:paraId="59B2BBB3" w14:textId="27349B61" w:rsidR="5D0B50EE" w:rsidRDefault="5D0B50EE" w:rsidP="5D0B50EE">
      <w:pPr>
        <w:spacing w:line="360" w:lineRule="auto"/>
        <w:jc w:val="both"/>
        <w:rPr>
          <w:rFonts w:ascii="Times New Roman" w:eastAsia="Times New Roman" w:hAnsi="Times New Roman" w:cs="Times New Roman"/>
          <w:color w:val="FF0000"/>
          <w:lang w:val="en-US"/>
        </w:rPr>
      </w:pPr>
      <w:r w:rsidRPr="5D0B50EE">
        <w:rPr>
          <w:rFonts w:ascii="Times New Roman" w:eastAsia="Times New Roman" w:hAnsi="Times New Roman" w:cs="Times New Roman"/>
          <w:b/>
          <w:bCs/>
          <w:u w:val="single"/>
          <w:lang w:val="en-US"/>
        </w:rPr>
        <w:lastRenderedPageBreak/>
        <w:t>Contributions of the Working Group for the Assistance of Older Persons and Persons with Disabilities (GTPID)</w:t>
      </w:r>
    </w:p>
    <w:p w14:paraId="7347B436" w14:textId="3DDB62BB" w:rsidR="5D0B50EE" w:rsidRDefault="5D0B50EE" w:rsidP="5D0B50EE">
      <w:pPr>
        <w:spacing w:before="240" w:after="165" w:line="360" w:lineRule="auto"/>
        <w:jc w:val="both"/>
      </w:pPr>
      <w:r w:rsidRPr="5D0B50EE">
        <w:rPr>
          <w:rFonts w:ascii="Times New Roman" w:eastAsia="Times New Roman" w:hAnsi="Times New Roman" w:cs="Times New Roman"/>
          <w:b/>
          <w:bCs/>
          <w:color w:val="000000" w:themeColor="text1"/>
          <w:lang w:val="en-US"/>
        </w:rPr>
        <w:t>1. Introduction</w:t>
      </w:r>
    </w:p>
    <w:p w14:paraId="1386ADB4" w14:textId="49752C10"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This document presents the contribution of the Working Group for the Assistance of Older Persons and Persons with Disabilities (GTPID) of the Federal Public Defenders’ Office (DPU) regarding the implementation of the International Convention on the Rights of the Child, adopted by the United Nations General Assembly in 1989 and ratified by 196 countries, including Brazil.</w:t>
      </w:r>
    </w:p>
    <w:p w14:paraId="14913DCC" w14:textId="691B45ED"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Following the initial contributions submitted by the DPU and other institutions, the UN Committee on the Rights of the Child issued a list of questions addressed to the Brazilian State, with the aim of </w:t>
      </w:r>
      <w:proofErr w:type="spellStart"/>
      <w:r w:rsidRPr="5D0B50EE">
        <w:rPr>
          <w:rFonts w:ascii="Times New Roman" w:eastAsia="Times New Roman" w:hAnsi="Times New Roman" w:cs="Times New Roman"/>
          <w:color w:val="000000" w:themeColor="text1"/>
          <w:lang w:val="en-US"/>
        </w:rPr>
        <w:t>analysing</w:t>
      </w:r>
      <w:proofErr w:type="spellEnd"/>
      <w:r w:rsidRPr="5D0B50EE">
        <w:rPr>
          <w:rFonts w:ascii="Times New Roman" w:eastAsia="Times New Roman" w:hAnsi="Times New Roman" w:cs="Times New Roman"/>
          <w:color w:val="000000" w:themeColor="text1"/>
          <w:lang w:val="en-US"/>
        </w:rPr>
        <w:t xml:space="preserve"> the implementation of the Convention within the Brazilian national legal framework and the applicability of its provisions.</w:t>
      </w:r>
    </w:p>
    <w:p w14:paraId="055E5AA1" w14:textId="00D67FAF"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Considering the institutional mission of the DPU and the specific focus of the GTPID, the present submission will address the </w:t>
      </w:r>
      <w:r w:rsidRPr="5D0B50EE">
        <w:rPr>
          <w:rFonts w:ascii="Times New Roman" w:eastAsia="Times New Roman" w:hAnsi="Times New Roman" w:cs="Times New Roman"/>
          <w:b/>
          <w:bCs/>
          <w:color w:val="000000" w:themeColor="text1"/>
          <w:lang w:val="en-US"/>
        </w:rPr>
        <w:t>rights of children with disabilities living in low-income families.</w:t>
      </w:r>
      <w:r w:rsidRPr="5D0B50EE">
        <w:rPr>
          <w:rFonts w:ascii="Times New Roman" w:eastAsia="Times New Roman" w:hAnsi="Times New Roman" w:cs="Times New Roman"/>
          <w:color w:val="000000" w:themeColor="text1"/>
          <w:lang w:val="en-US"/>
        </w:rPr>
        <w:t xml:space="preserve"> Particular attention will be given to public policies implemented by the Brazilian State within the framework of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as well as in the context of the floods in the state of Rio Grande do Sul.</w:t>
      </w:r>
    </w:p>
    <w:p w14:paraId="1EB12293" w14:textId="59693D7E" w:rsidR="5D0B50EE" w:rsidRDefault="5D0B50EE" w:rsidP="5D0B50EE">
      <w:pPr>
        <w:spacing w:before="240" w:after="165" w:line="360" w:lineRule="auto"/>
        <w:ind w:firstLine="567"/>
        <w:jc w:val="both"/>
        <w:rPr>
          <w:rFonts w:ascii="Times New Roman" w:eastAsia="Times New Roman" w:hAnsi="Times New Roman" w:cs="Times New Roman"/>
          <w:color w:val="000000" w:themeColor="text1"/>
          <w:lang w:val="en-US"/>
        </w:rPr>
      </w:pPr>
    </w:p>
    <w:p w14:paraId="2E96D2A9" w14:textId="15B7B775" w:rsidR="5D0B50EE" w:rsidRDefault="5D0B50EE" w:rsidP="6277BF9C">
      <w:pPr>
        <w:spacing w:before="240" w:after="165" w:line="360" w:lineRule="auto"/>
        <w:jc w:val="both"/>
      </w:pPr>
      <w:r w:rsidRPr="6277BF9C">
        <w:rPr>
          <w:rFonts w:ascii="Times New Roman" w:eastAsia="Times New Roman" w:hAnsi="Times New Roman" w:cs="Times New Roman"/>
          <w:b/>
          <w:bCs/>
          <w:color w:val="000000" w:themeColor="text1"/>
          <w:lang w:val="en-US"/>
        </w:rPr>
        <w:t>2. Access to basic income by families with children in poverty reduction actions (item 9-a)</w:t>
      </w:r>
      <w:r w:rsidR="361051F7" w:rsidRPr="6277BF9C">
        <w:rPr>
          <w:rFonts w:ascii="Times New Roman" w:eastAsia="Times New Roman" w:hAnsi="Times New Roman" w:cs="Times New Roman"/>
          <w:b/>
          <w:bCs/>
          <w:color w:val="000000" w:themeColor="text1"/>
          <w:lang w:val="en-US"/>
        </w:rPr>
        <w:t xml:space="preserve"> </w:t>
      </w:r>
      <w:r w:rsidRPr="6277BF9C">
        <w:rPr>
          <w:rFonts w:ascii="Times New Roman" w:eastAsia="Times New Roman" w:hAnsi="Times New Roman" w:cs="Times New Roman"/>
          <w:color w:val="000000" w:themeColor="text1"/>
          <w:lang w:val="en-US"/>
        </w:rPr>
        <w:t xml:space="preserve">In its reply, the Brazilian State mentioned actions to combat child </w:t>
      </w:r>
      <w:proofErr w:type="spellStart"/>
      <w:r w:rsidRPr="6277BF9C">
        <w:rPr>
          <w:rFonts w:ascii="Times New Roman" w:eastAsia="Times New Roman" w:hAnsi="Times New Roman" w:cs="Times New Roman"/>
          <w:color w:val="000000" w:themeColor="text1"/>
          <w:lang w:val="en-US"/>
        </w:rPr>
        <w:t>labour</w:t>
      </w:r>
      <w:proofErr w:type="spellEnd"/>
      <w:r w:rsidRPr="6277BF9C">
        <w:rPr>
          <w:rFonts w:ascii="Times New Roman" w:eastAsia="Times New Roman" w:hAnsi="Times New Roman" w:cs="Times New Roman"/>
          <w:color w:val="000000" w:themeColor="text1"/>
          <w:lang w:val="en-US"/>
        </w:rPr>
        <w:t xml:space="preserve">—defined as </w:t>
      </w:r>
      <w:proofErr w:type="spellStart"/>
      <w:r w:rsidRPr="6277BF9C">
        <w:rPr>
          <w:rFonts w:ascii="Times New Roman" w:eastAsia="Times New Roman" w:hAnsi="Times New Roman" w:cs="Times New Roman"/>
          <w:color w:val="000000" w:themeColor="text1"/>
          <w:lang w:val="en-US"/>
        </w:rPr>
        <w:t>labour</w:t>
      </w:r>
      <w:proofErr w:type="spellEnd"/>
      <w:r w:rsidRPr="6277BF9C">
        <w:rPr>
          <w:rFonts w:ascii="Times New Roman" w:eastAsia="Times New Roman" w:hAnsi="Times New Roman" w:cs="Times New Roman"/>
          <w:color w:val="000000" w:themeColor="text1"/>
          <w:lang w:val="en-US"/>
        </w:rPr>
        <w:t xml:space="preserve"> performed by children under the age of 14, with work permitted thereafter only in the form of apprenticeships—as well as policies aimed at implementing the right to a family basic income (Article 6 of the Federal Constitution), particularly through the Bolsa Família </w:t>
      </w:r>
      <w:proofErr w:type="spellStart"/>
      <w:r w:rsidRPr="6277BF9C">
        <w:rPr>
          <w:rFonts w:ascii="Times New Roman" w:eastAsia="Times New Roman" w:hAnsi="Times New Roman" w:cs="Times New Roman"/>
          <w:color w:val="000000" w:themeColor="text1"/>
          <w:lang w:val="en-US"/>
        </w:rPr>
        <w:t>Programme</w:t>
      </w:r>
      <w:proofErr w:type="spellEnd"/>
      <w:r w:rsidRPr="6277BF9C">
        <w:rPr>
          <w:rFonts w:ascii="Times New Roman" w:eastAsia="Times New Roman" w:hAnsi="Times New Roman" w:cs="Times New Roman"/>
          <w:color w:val="000000" w:themeColor="text1"/>
          <w:lang w:val="en-US"/>
        </w:rPr>
        <w:t xml:space="preserve"> (PBF).</w:t>
      </w:r>
    </w:p>
    <w:p w14:paraId="78DFF9B2" w14:textId="2F27705B"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(re)established by Law No. 14.601/2023, is a public policy of direct income transfer, with the main objectives of eradicating hunger; contributing to breaking the intergenerational cycle of poverty; and promoting the development and social </w:t>
      </w:r>
      <w:r w:rsidRPr="5D0B50EE">
        <w:rPr>
          <w:rFonts w:ascii="Times New Roman" w:eastAsia="Times New Roman" w:hAnsi="Times New Roman" w:cs="Times New Roman"/>
          <w:color w:val="000000" w:themeColor="text1"/>
          <w:lang w:val="en-US"/>
        </w:rPr>
        <w:lastRenderedPageBreak/>
        <w:t xml:space="preserve">protection of families, with special attention to children and adolescents. However, it is important to underscore that the current design of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presents certain obstacles to the full implementation of the provisions of the Convention.</w:t>
      </w:r>
    </w:p>
    <w:p w14:paraId="5F4C9D96" w14:textId="090250DA"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Pursuant to Law No. 14.601/2023, eligibility for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requires, among other criteria: a per capita household income of less than BRL 218.00 (two hundred eighteen reais), and an updated registration in the Federal Government’s Unified Registry for Social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w:t>
      </w:r>
      <w:proofErr w:type="spellStart"/>
      <w:r w:rsidRPr="5D0B50EE">
        <w:rPr>
          <w:rFonts w:ascii="Times New Roman" w:eastAsia="Times New Roman" w:hAnsi="Times New Roman" w:cs="Times New Roman"/>
          <w:color w:val="000000" w:themeColor="text1"/>
          <w:lang w:val="en-US"/>
        </w:rPr>
        <w:t>Cadastro</w:t>
      </w:r>
      <w:proofErr w:type="spellEnd"/>
      <w:r w:rsidRPr="5D0B50EE">
        <w:rPr>
          <w:rFonts w:ascii="Times New Roman" w:eastAsia="Times New Roman" w:hAnsi="Times New Roman" w:cs="Times New Roman"/>
          <w:color w:val="000000" w:themeColor="text1"/>
          <w:lang w:val="en-US"/>
        </w:rPr>
        <w:t xml:space="preserve"> </w:t>
      </w:r>
      <w:proofErr w:type="spellStart"/>
      <w:r w:rsidRPr="5D0B50EE">
        <w:rPr>
          <w:rFonts w:ascii="Times New Roman" w:eastAsia="Times New Roman" w:hAnsi="Times New Roman" w:cs="Times New Roman"/>
          <w:color w:val="000000" w:themeColor="text1"/>
          <w:lang w:val="en-US"/>
        </w:rPr>
        <w:t>Único</w:t>
      </w:r>
      <w:proofErr w:type="spellEnd"/>
      <w:r w:rsidRPr="5D0B50EE">
        <w:rPr>
          <w:rFonts w:ascii="Times New Roman" w:eastAsia="Times New Roman" w:hAnsi="Times New Roman" w:cs="Times New Roman"/>
          <w:color w:val="000000" w:themeColor="text1"/>
          <w:lang w:val="en-US"/>
        </w:rPr>
        <w:t xml:space="preserve"> – </w:t>
      </w: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w:t>
      </w:r>
    </w:p>
    <w:p w14:paraId="71B943D5" w14:textId="698C7832" w:rsidR="5D0B50EE" w:rsidRDefault="5D0B50EE" w:rsidP="5D0B50EE">
      <w:pPr>
        <w:spacing w:before="240" w:after="165" w:line="360" w:lineRule="auto"/>
        <w:ind w:firstLine="567"/>
        <w:jc w:val="both"/>
      </w:pP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 regulated by Decree No. 11,016/2022, is a registry system created to collect and compile information on families to implement public policies targeting low-income populations (defined as those with a per capita monthly income of up to half the minimum wage). Its objective is to foster improvements in the living conditions of these populations, pursuant to Articles 2 and its Paragraphs 2 and 3, and Article 5, Item II, of Decree No. 11,016/2022.</w:t>
      </w:r>
    </w:p>
    <w:p w14:paraId="168809B3" w14:textId="325A7109"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Among other information, </w:t>
      </w: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 xml:space="preserve"> collects data on the socioeconomic characteristics of family groups, including specific fields to indicate whether any member has a disability, to specify its type, and to report any need for third-party assistance in daily living activities. The image below, extracted from the CECAD 2.0 system, illustrate this feature:</w:t>
      </w:r>
    </w:p>
    <w:p w14:paraId="0328FB6A" w14:textId="68789526" w:rsidR="5D0B50EE" w:rsidRDefault="5D0B50EE" w:rsidP="5D0B50EE">
      <w:pPr>
        <w:spacing w:before="240" w:after="165" w:line="257" w:lineRule="auto"/>
        <w:ind w:firstLine="567"/>
        <w:jc w:val="both"/>
        <w:rPr>
          <w:rFonts w:ascii="Times New Roman" w:eastAsia="Times New Roman" w:hAnsi="Times New Roman" w:cs="Times New Roman"/>
          <w:color w:val="000000" w:themeColor="text1"/>
          <w:lang w:val="en-US"/>
        </w:rPr>
      </w:pP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345"/>
        <w:gridCol w:w="8325"/>
        <w:gridCol w:w="345"/>
      </w:tblGrid>
      <w:tr w:rsidR="5D0B50EE" w14:paraId="262A5A65" w14:textId="77777777" w:rsidTr="5D0B50EE">
        <w:trPr>
          <w:trHeight w:val="5130"/>
        </w:trPr>
        <w:tc>
          <w:tcPr>
            <w:tcW w:w="345" w:type="dxa"/>
          </w:tcPr>
          <w:p w14:paraId="7A1AA253" w14:textId="31A656DB" w:rsidR="5D0B50EE" w:rsidRDefault="5D0B50EE" w:rsidP="5D0B50EE">
            <w:pPr>
              <w:rPr>
                <w:rFonts w:ascii="Times New Roman" w:eastAsia="Times New Roman" w:hAnsi="Times New Roman" w:cs="Times New Roman"/>
                <w:color w:val="000000" w:themeColor="text1"/>
                <w:lang w:val="en-US"/>
              </w:rPr>
            </w:pPr>
          </w:p>
        </w:tc>
        <w:tc>
          <w:tcPr>
            <w:tcW w:w="8325" w:type="dxa"/>
          </w:tcPr>
          <w:p w14:paraId="7DE9AD9E" w14:textId="09AF3C90" w:rsidR="5D0B50EE" w:rsidRDefault="5D0B50EE" w:rsidP="5D0B50EE">
            <w:pPr>
              <w:jc w:val="center"/>
            </w:pPr>
            <w:r>
              <w:rPr>
                <w:noProof/>
              </w:rPr>
              <w:drawing>
                <wp:inline distT="0" distB="0" distL="0" distR="0" wp14:anchorId="255431E1" wp14:editId="459F9CE4">
                  <wp:extent cx="3256883" cy="3925864"/>
                  <wp:effectExtent l="0" t="0" r="0" b="0"/>
                  <wp:docPr id="1673648219" name="Picture 16736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56883" cy="3925864"/>
                          </a:xfrm>
                          <a:prstGeom prst="rect">
                            <a:avLst/>
                          </a:prstGeom>
                        </pic:spPr>
                      </pic:pic>
                    </a:graphicData>
                  </a:graphic>
                </wp:inline>
              </w:drawing>
            </w:r>
          </w:p>
        </w:tc>
        <w:tc>
          <w:tcPr>
            <w:tcW w:w="345" w:type="dxa"/>
          </w:tcPr>
          <w:p w14:paraId="2FE0E18A" w14:textId="077968F4" w:rsidR="5D0B50EE" w:rsidRDefault="5D0B50EE" w:rsidP="5D0B50EE">
            <w:pPr>
              <w:rPr>
                <w:rFonts w:ascii="Times New Roman" w:eastAsia="Times New Roman" w:hAnsi="Times New Roman" w:cs="Times New Roman"/>
                <w:color w:val="000000" w:themeColor="text1"/>
                <w:lang w:val="en-US"/>
              </w:rPr>
            </w:pPr>
          </w:p>
        </w:tc>
      </w:tr>
    </w:tbl>
    <w:p w14:paraId="12972EDA" w14:textId="64744548"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Based on the data collected, it becomes possible to develop and improve public policies directed at addressing the living conditions of these groups. Published data from </w:t>
      </w: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 xml:space="preserve"> indicate that approximately 13% of the more than 27 million families enrolled in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include persons with disabilities¹:</w:t>
      </w:r>
    </w:p>
    <w:p w14:paraId="50658C90" w14:textId="049B0BFF"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However, although </w:t>
      </w: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 xml:space="preserve"> provides a specific field for identifying families that include persons with disabilities, these families are not included among the priority groups for enrolment in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and receiving its financial benefits.</w:t>
      </w:r>
    </w:p>
    <w:p w14:paraId="49BA1910" w14:textId="67C014F0"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Articles 11 and 13 of MDS Ordinance No. 897/2023 list the priority groups and selection criteria for participation in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w:t>
      </w:r>
    </w:p>
    <w:p w14:paraId="2C91C82E" w14:textId="6D028C49" w:rsidR="5D0B50EE" w:rsidRDefault="5D0B50EE" w:rsidP="5D0B50EE">
      <w:pPr>
        <w:spacing w:before="240" w:after="165"/>
        <w:ind w:firstLine="567"/>
        <w:jc w:val="both"/>
      </w:pPr>
      <w:r w:rsidRPr="5D0B50EE">
        <w:rPr>
          <w:rFonts w:ascii="Times New Roman" w:eastAsia="Times New Roman" w:hAnsi="Times New Roman" w:cs="Times New Roman"/>
          <w:color w:val="000000" w:themeColor="text1"/>
          <w:lang w:val="en-US"/>
        </w:rPr>
        <w:t xml:space="preserve"> </w:t>
      </w:r>
    </w:p>
    <w:p w14:paraId="43F2B2D7" w14:textId="37990FD1"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Article 11. Families eligible for the Bolsa Família </w:t>
      </w:r>
      <w:proofErr w:type="spellStart"/>
      <w:r w:rsidRPr="5D0B50EE">
        <w:rPr>
          <w:rFonts w:ascii="Times New Roman" w:eastAsia="Times New Roman" w:hAnsi="Times New Roman" w:cs="Times New Roman"/>
          <w:i/>
          <w:iCs/>
          <w:color w:val="000000" w:themeColor="text1"/>
          <w:sz w:val="20"/>
          <w:szCs w:val="20"/>
          <w:lang w:val="en-US"/>
        </w:rPr>
        <w:t>Programme</w:t>
      </w:r>
      <w:proofErr w:type="spellEnd"/>
      <w:r w:rsidRPr="5D0B50EE">
        <w:rPr>
          <w:rFonts w:ascii="Times New Roman" w:eastAsia="Times New Roman" w:hAnsi="Times New Roman" w:cs="Times New Roman"/>
          <w:i/>
          <w:iCs/>
          <w:color w:val="000000" w:themeColor="text1"/>
          <w:sz w:val="20"/>
          <w:szCs w:val="20"/>
          <w:lang w:val="en-US"/>
        </w:rPr>
        <w:t xml:space="preserve"> (PBF) may be classified into the following categories in order to identify those facing the greatest social vulnerability, based on the information recorded in </w:t>
      </w:r>
      <w:proofErr w:type="spellStart"/>
      <w:r w:rsidRPr="5D0B50EE">
        <w:rPr>
          <w:rFonts w:ascii="Times New Roman" w:eastAsia="Times New Roman" w:hAnsi="Times New Roman" w:cs="Times New Roman"/>
          <w:i/>
          <w:iCs/>
          <w:color w:val="000000" w:themeColor="text1"/>
          <w:sz w:val="20"/>
          <w:szCs w:val="20"/>
          <w:lang w:val="en-US"/>
        </w:rPr>
        <w:t>CadÚnico</w:t>
      </w:r>
      <w:proofErr w:type="spellEnd"/>
      <w:r w:rsidRPr="5D0B50EE">
        <w:rPr>
          <w:rFonts w:ascii="Times New Roman" w:eastAsia="Times New Roman" w:hAnsi="Times New Roman" w:cs="Times New Roman"/>
          <w:i/>
          <w:iCs/>
          <w:color w:val="000000" w:themeColor="text1"/>
          <w:sz w:val="20"/>
          <w:szCs w:val="20"/>
          <w:lang w:val="en-US"/>
        </w:rPr>
        <w:t>:</w:t>
      </w:r>
    </w:p>
    <w:p w14:paraId="249F781B" w14:textId="4FEA483E"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I – families with members involved in child </w:t>
      </w:r>
      <w:proofErr w:type="spellStart"/>
      <w:r w:rsidRPr="5D0B50EE">
        <w:rPr>
          <w:rFonts w:ascii="Times New Roman" w:eastAsia="Times New Roman" w:hAnsi="Times New Roman" w:cs="Times New Roman"/>
          <w:i/>
          <w:iCs/>
          <w:color w:val="000000" w:themeColor="text1"/>
          <w:sz w:val="20"/>
          <w:szCs w:val="20"/>
          <w:lang w:val="en-US"/>
        </w:rPr>
        <w:t>labour</w:t>
      </w:r>
      <w:proofErr w:type="spellEnd"/>
      <w:r w:rsidRPr="5D0B50EE">
        <w:rPr>
          <w:rFonts w:ascii="Times New Roman" w:eastAsia="Times New Roman" w:hAnsi="Times New Roman" w:cs="Times New Roman"/>
          <w:i/>
          <w:iCs/>
          <w:color w:val="000000" w:themeColor="text1"/>
          <w:sz w:val="20"/>
          <w:szCs w:val="20"/>
          <w:lang w:val="en-US"/>
        </w:rPr>
        <w:t>;</w:t>
      </w:r>
    </w:p>
    <w:p w14:paraId="3E45B4EC" w14:textId="445AF9FA"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II – families with members rescued from modern slavery;</w:t>
      </w:r>
    </w:p>
    <w:p w14:paraId="24064C7B" w14:textId="4AC60815"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III – </w:t>
      </w:r>
      <w:proofErr w:type="spellStart"/>
      <w:r w:rsidRPr="5D0B50EE">
        <w:rPr>
          <w:rFonts w:ascii="Times New Roman" w:eastAsia="Times New Roman" w:hAnsi="Times New Roman" w:cs="Times New Roman"/>
          <w:i/>
          <w:iCs/>
          <w:color w:val="000000" w:themeColor="text1"/>
          <w:sz w:val="20"/>
          <w:szCs w:val="20"/>
          <w:lang w:val="en-US"/>
        </w:rPr>
        <w:t>Quilombola</w:t>
      </w:r>
      <w:proofErr w:type="spellEnd"/>
      <w:r w:rsidRPr="5D0B50EE">
        <w:rPr>
          <w:rFonts w:ascii="Times New Roman" w:eastAsia="Times New Roman" w:hAnsi="Times New Roman" w:cs="Times New Roman"/>
          <w:i/>
          <w:iCs/>
          <w:color w:val="000000" w:themeColor="text1"/>
          <w:sz w:val="20"/>
          <w:szCs w:val="20"/>
          <w:lang w:val="en-US"/>
        </w:rPr>
        <w:t xml:space="preserve"> families;</w:t>
      </w:r>
    </w:p>
    <w:p w14:paraId="480DD7C5" w14:textId="1A56396E"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lastRenderedPageBreak/>
        <w:t>IV – Indigenous families;</w:t>
      </w:r>
    </w:p>
    <w:p w14:paraId="0548B9ED" w14:textId="3004A1AD"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V – families with recyclable material collectors.</w:t>
      </w:r>
    </w:p>
    <w:p w14:paraId="4E79CA49" w14:textId="5AC8539F" w:rsidR="5D0B50EE" w:rsidRDefault="5D0B50EE" w:rsidP="5D0B50EE">
      <w:pPr>
        <w:spacing w:after="0"/>
        <w:ind w:left="1695"/>
        <w:jc w:val="both"/>
        <w:rPr>
          <w:rFonts w:ascii="Times New Roman" w:eastAsia="Times New Roman" w:hAnsi="Times New Roman" w:cs="Times New Roman"/>
          <w:color w:val="000000" w:themeColor="text1"/>
          <w:sz w:val="20"/>
          <w:szCs w:val="20"/>
          <w:lang w:val="en-US"/>
        </w:rPr>
      </w:pPr>
      <w:r w:rsidRPr="5D0B50EE">
        <w:rPr>
          <w:rFonts w:ascii="Times New Roman" w:eastAsia="Times New Roman" w:hAnsi="Times New Roman" w:cs="Times New Roman"/>
          <w:color w:val="000000" w:themeColor="text1"/>
          <w:sz w:val="20"/>
          <w:szCs w:val="20"/>
          <w:lang w:val="en-US"/>
        </w:rPr>
        <w:t xml:space="preserve"> </w:t>
      </w:r>
    </w:p>
    <w:p w14:paraId="5C2E253C" w14:textId="673762AC"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Article 13. The selection of families shall take place in the following successive stages:</w:t>
      </w:r>
    </w:p>
    <w:p w14:paraId="253DBB40" w14:textId="5FD56691"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I – selection of families mentioned in Article 11;</w:t>
      </w:r>
    </w:p>
    <w:p w14:paraId="610448C3" w14:textId="17B87962"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II – ranking of municipalities based on the Bolsa Família </w:t>
      </w:r>
      <w:proofErr w:type="spellStart"/>
      <w:r w:rsidRPr="5D0B50EE">
        <w:rPr>
          <w:rFonts w:ascii="Times New Roman" w:eastAsia="Times New Roman" w:hAnsi="Times New Roman" w:cs="Times New Roman"/>
          <w:i/>
          <w:iCs/>
          <w:color w:val="000000" w:themeColor="text1"/>
          <w:sz w:val="20"/>
          <w:szCs w:val="20"/>
          <w:lang w:val="en-US"/>
        </w:rPr>
        <w:t>Programme</w:t>
      </w:r>
      <w:proofErr w:type="spellEnd"/>
      <w:r w:rsidRPr="5D0B50EE">
        <w:rPr>
          <w:rFonts w:ascii="Times New Roman" w:eastAsia="Times New Roman" w:hAnsi="Times New Roman" w:cs="Times New Roman"/>
          <w:i/>
          <w:iCs/>
          <w:color w:val="000000" w:themeColor="text1"/>
          <w:sz w:val="20"/>
          <w:szCs w:val="20"/>
          <w:lang w:val="en-US"/>
        </w:rPr>
        <w:t xml:space="preserve"> (PBF) coverage rate, from the lowest to the highest;</w:t>
      </w:r>
    </w:p>
    <w:p w14:paraId="11A0074E" w14:textId="519F57E2"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III – ranking of eligible families within each municipality, applying the following successive criteria:</w:t>
      </w:r>
    </w:p>
    <w:p w14:paraId="6020BD86" w14:textId="2DC6C0F6" w:rsidR="5D0B50EE" w:rsidRDefault="5D0B50EE" w:rsidP="5D0B50EE">
      <w:pPr>
        <w:spacing w:after="0" w:line="257" w:lineRule="auto"/>
        <w:ind w:left="2055" w:hanging="360"/>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a) lowest monthly per capita household income;</w:t>
      </w:r>
    </w:p>
    <w:p w14:paraId="1B6D0367" w14:textId="195E8269" w:rsidR="5D0B50EE" w:rsidRDefault="5D0B50EE" w:rsidP="5D0B50EE">
      <w:pPr>
        <w:spacing w:after="0" w:line="257" w:lineRule="auto"/>
        <w:ind w:left="2055" w:hanging="360"/>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b) highest number of members under 18 years of age; and</w:t>
      </w:r>
    </w:p>
    <w:p w14:paraId="3093C309" w14:textId="20A7EF18" w:rsidR="5D0B50EE" w:rsidRDefault="5D0B50EE" w:rsidP="5D0B50EE">
      <w:pPr>
        <w:spacing w:after="0" w:line="257" w:lineRule="auto"/>
        <w:ind w:left="2055" w:hanging="360"/>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c) families that have remained continuously eligible for the longest period.</w:t>
      </w:r>
    </w:p>
    <w:p w14:paraId="33A98858" w14:textId="788487F4"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IV – selection of the families referred to in Item III, </w:t>
      </w:r>
      <w:proofErr w:type="spellStart"/>
      <w:r w:rsidRPr="5D0B50EE">
        <w:rPr>
          <w:rFonts w:ascii="Times New Roman" w:eastAsia="Times New Roman" w:hAnsi="Times New Roman" w:cs="Times New Roman"/>
          <w:i/>
          <w:iCs/>
          <w:color w:val="000000" w:themeColor="text1"/>
          <w:sz w:val="20"/>
          <w:szCs w:val="20"/>
          <w:lang w:val="en-US"/>
        </w:rPr>
        <w:t>prioritising</w:t>
      </w:r>
      <w:proofErr w:type="spellEnd"/>
      <w:r w:rsidRPr="5D0B50EE">
        <w:rPr>
          <w:rFonts w:ascii="Times New Roman" w:eastAsia="Times New Roman" w:hAnsi="Times New Roman" w:cs="Times New Roman"/>
          <w:i/>
          <w:iCs/>
          <w:color w:val="000000" w:themeColor="text1"/>
          <w:sz w:val="20"/>
          <w:szCs w:val="20"/>
          <w:lang w:val="en-US"/>
        </w:rPr>
        <w:t xml:space="preserve"> those residing in municipalities with the lowest PBF coverage rate, as set out in Item II, subject to budgetary availability.</w:t>
      </w:r>
    </w:p>
    <w:p w14:paraId="69479991" w14:textId="1C2AA851"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 xml:space="preserve">Paragraph 1. It is within the competence of </w:t>
      </w:r>
      <w:proofErr w:type="spellStart"/>
      <w:r w:rsidRPr="5D0B50EE">
        <w:rPr>
          <w:rFonts w:ascii="Times New Roman" w:eastAsia="Times New Roman" w:hAnsi="Times New Roman" w:cs="Times New Roman"/>
          <w:i/>
          <w:iCs/>
          <w:color w:val="000000" w:themeColor="text1"/>
          <w:sz w:val="20"/>
          <w:szCs w:val="20"/>
          <w:lang w:val="en-US"/>
        </w:rPr>
        <w:t>Senarc</w:t>
      </w:r>
      <w:proofErr w:type="spellEnd"/>
      <w:r w:rsidRPr="5D0B50EE">
        <w:rPr>
          <w:rFonts w:ascii="Times New Roman" w:eastAsia="Times New Roman" w:hAnsi="Times New Roman" w:cs="Times New Roman"/>
          <w:i/>
          <w:iCs/>
          <w:color w:val="000000" w:themeColor="text1"/>
          <w:sz w:val="20"/>
          <w:szCs w:val="20"/>
          <w:lang w:val="en-US"/>
        </w:rPr>
        <w:t xml:space="preserve"> to define other </w:t>
      </w:r>
      <w:proofErr w:type="spellStart"/>
      <w:r w:rsidRPr="5D0B50EE">
        <w:rPr>
          <w:rFonts w:ascii="Times New Roman" w:eastAsia="Times New Roman" w:hAnsi="Times New Roman" w:cs="Times New Roman"/>
          <w:i/>
          <w:iCs/>
          <w:color w:val="000000" w:themeColor="text1"/>
          <w:sz w:val="20"/>
          <w:szCs w:val="20"/>
          <w:lang w:val="en-US"/>
        </w:rPr>
        <w:t>prioritisation</w:t>
      </w:r>
      <w:proofErr w:type="spellEnd"/>
      <w:r w:rsidRPr="5D0B50EE">
        <w:rPr>
          <w:rFonts w:ascii="Times New Roman" w:eastAsia="Times New Roman" w:hAnsi="Times New Roman" w:cs="Times New Roman"/>
          <w:i/>
          <w:iCs/>
          <w:color w:val="000000" w:themeColor="text1"/>
          <w:sz w:val="20"/>
          <w:szCs w:val="20"/>
          <w:lang w:val="en-US"/>
        </w:rPr>
        <w:t xml:space="preserve"> parameters.</w:t>
      </w:r>
    </w:p>
    <w:p w14:paraId="3372B07A" w14:textId="40CCB1FA" w:rsidR="5D0B50EE" w:rsidRDefault="5D0B50EE" w:rsidP="5D0B50EE">
      <w:pPr>
        <w:spacing w:after="0"/>
        <w:ind w:left="1695"/>
        <w:jc w:val="both"/>
      </w:pPr>
      <w:r w:rsidRPr="5D0B50EE">
        <w:rPr>
          <w:rFonts w:ascii="Times New Roman" w:eastAsia="Times New Roman" w:hAnsi="Times New Roman" w:cs="Times New Roman"/>
          <w:color w:val="000000" w:themeColor="text1"/>
          <w:lang w:val="en-US"/>
        </w:rPr>
        <w:t xml:space="preserve"> </w:t>
      </w:r>
    </w:p>
    <w:p w14:paraId="31E4DDCD" w14:textId="4544FF1A"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It may be observed that </w:t>
      </w:r>
      <w:r w:rsidRPr="5D0B50EE">
        <w:rPr>
          <w:rFonts w:ascii="Times New Roman" w:eastAsia="Times New Roman" w:hAnsi="Times New Roman" w:cs="Times New Roman"/>
          <w:b/>
          <w:bCs/>
          <w:color w:val="000000" w:themeColor="text1"/>
          <w:lang w:val="en-US"/>
        </w:rPr>
        <w:t xml:space="preserve">there is no provision ensuring priority access for </w:t>
      </w:r>
      <w:bookmarkStart w:id="2" w:name="_Int_gYS28eic"/>
      <w:r w:rsidRPr="5D0B50EE">
        <w:rPr>
          <w:rFonts w:ascii="Times New Roman" w:eastAsia="Times New Roman" w:hAnsi="Times New Roman" w:cs="Times New Roman"/>
          <w:b/>
          <w:bCs/>
          <w:color w:val="000000" w:themeColor="text1"/>
          <w:lang w:val="en-US"/>
        </w:rPr>
        <w:t>families with persons</w:t>
      </w:r>
      <w:bookmarkEnd w:id="2"/>
      <w:r w:rsidRPr="5D0B50EE">
        <w:rPr>
          <w:rFonts w:ascii="Times New Roman" w:eastAsia="Times New Roman" w:hAnsi="Times New Roman" w:cs="Times New Roman"/>
          <w:b/>
          <w:bCs/>
          <w:color w:val="000000" w:themeColor="text1"/>
          <w:lang w:val="en-US"/>
        </w:rPr>
        <w:t xml:space="preserve"> with disabilities to the basic income provided under the Bolsa Família </w:t>
      </w:r>
      <w:proofErr w:type="spellStart"/>
      <w:r w:rsidRPr="5D0B50EE">
        <w:rPr>
          <w:rFonts w:ascii="Times New Roman" w:eastAsia="Times New Roman" w:hAnsi="Times New Roman" w:cs="Times New Roman"/>
          <w:b/>
          <w:bCs/>
          <w:color w:val="000000" w:themeColor="text1"/>
          <w:lang w:val="en-US"/>
        </w:rPr>
        <w:t>Programme</w:t>
      </w:r>
      <w:proofErr w:type="spellEnd"/>
      <w:r w:rsidRPr="5D0B50EE">
        <w:rPr>
          <w:rFonts w:ascii="Times New Roman" w:eastAsia="Times New Roman" w:hAnsi="Times New Roman" w:cs="Times New Roman"/>
          <w:b/>
          <w:bCs/>
          <w:color w:val="000000" w:themeColor="text1"/>
          <w:lang w:val="en-US"/>
        </w:rPr>
        <w:t>.</w:t>
      </w:r>
    </w:p>
    <w:p w14:paraId="51F16DBD" w14:textId="74506987"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This absence of priority contravenes the Brazilian Law on the Rights of Persons with Disabilities (Law No. 13,146/2015), insofar as Article 8 establishes that priority shall be given to promoting the fundamental rights of persons with disabilities, as enshrined in the Federal Constitution and in the Convention on the Rights of Persons with Disabilities (New York Convention), ratified by Brazil in March 2007 and enacted by Decree No. 6,949/2009, with constitutional status pursuant to Article 5, Paragraph 3, of the 1988 Federal Constitution (CF/88). Among these rights are the right to food and the right to a basic income, both of which are objectives of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w:t>
      </w:r>
    </w:p>
    <w:p w14:paraId="5EF0E2C4" w14:textId="2E2A22C3"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Another obstacle to the access of persons with disabilities to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arises from the inclusion, in the calculation of household per capita income for eligibility purposes, of the monthly assistance benefit granted to persons with disabilities—the Continuous Cash Benefit (BPC), as provided for in Article 203, Item V, of the 1988 Federal Constitution and Law No. 8,742/1997.</w:t>
      </w:r>
    </w:p>
    <w:p w14:paraId="575BD7FC" w14:textId="499D7C29"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The BPC (Continuous Cash Benefit) is a social assistance benefit in the amount of one minimum wage, granted on a monthly basis to persons with disabilities or older adults aged 65 or over who lack the means to support themselves or to have such support provided by their </w:t>
      </w:r>
      <w:r w:rsidRPr="5D0B50EE">
        <w:rPr>
          <w:rFonts w:ascii="Times New Roman" w:eastAsia="Times New Roman" w:hAnsi="Times New Roman" w:cs="Times New Roman"/>
          <w:color w:val="000000" w:themeColor="text1"/>
          <w:lang w:val="en-US"/>
        </w:rPr>
        <w:lastRenderedPageBreak/>
        <w:t xml:space="preserve">families. From the wording of Article 203, Item V, of the 1988 Federal Constitution, it is clear that the benefit is granted </w:t>
      </w:r>
      <w:r w:rsidRPr="5D0B50EE">
        <w:rPr>
          <w:rFonts w:ascii="Times New Roman" w:eastAsia="Times New Roman" w:hAnsi="Times New Roman" w:cs="Times New Roman"/>
          <w:b/>
          <w:bCs/>
          <w:color w:val="000000" w:themeColor="text1"/>
          <w:lang w:val="en-US"/>
        </w:rPr>
        <w:t>exclusively to the individual</w:t>
      </w:r>
      <w:r w:rsidRPr="5D0B50EE">
        <w:rPr>
          <w:rFonts w:ascii="Times New Roman" w:eastAsia="Times New Roman" w:hAnsi="Times New Roman" w:cs="Times New Roman"/>
          <w:color w:val="000000" w:themeColor="text1"/>
          <w:lang w:val="en-US"/>
        </w:rPr>
        <w:t>—</w:t>
      </w:r>
      <w:r w:rsidRPr="5D0B50EE">
        <w:rPr>
          <w:rFonts w:ascii="Times New Roman" w:eastAsia="Times New Roman" w:hAnsi="Times New Roman" w:cs="Times New Roman"/>
          <w:b/>
          <w:bCs/>
          <w:color w:val="000000" w:themeColor="text1"/>
          <w:lang w:val="en-US"/>
        </w:rPr>
        <w:t>and not to the family unit</w:t>
      </w:r>
      <w:r w:rsidRPr="5D0B50EE">
        <w:rPr>
          <w:rFonts w:ascii="Times New Roman" w:eastAsia="Times New Roman" w:hAnsi="Times New Roman" w:cs="Times New Roman"/>
          <w:color w:val="000000" w:themeColor="text1"/>
          <w:lang w:val="en-US"/>
        </w:rPr>
        <w:t xml:space="preserve">—upon fulfilment of the legal criteria, thereby reflecting its </w:t>
      </w:r>
      <w:r w:rsidRPr="5D0B50EE">
        <w:rPr>
          <w:rFonts w:ascii="Times New Roman" w:eastAsia="Times New Roman" w:hAnsi="Times New Roman" w:cs="Times New Roman"/>
          <w:b/>
          <w:bCs/>
          <w:color w:val="000000" w:themeColor="text1"/>
          <w:lang w:val="en-US"/>
        </w:rPr>
        <w:t>strictly personal nature</w:t>
      </w:r>
      <w:r w:rsidRPr="5D0B50EE">
        <w:rPr>
          <w:rFonts w:ascii="Times New Roman" w:eastAsia="Times New Roman" w:hAnsi="Times New Roman" w:cs="Times New Roman"/>
          <w:color w:val="000000" w:themeColor="text1"/>
          <w:lang w:val="en-US"/>
        </w:rPr>
        <w:t xml:space="preserve"> and its direct link to the beneficiary’s condition of disability or age.</w:t>
      </w:r>
    </w:p>
    <w:p w14:paraId="6D6C2230" w14:textId="7FD59531"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In this sense,</w:t>
      </w:r>
      <w:r w:rsidRPr="5D0B50EE">
        <w:rPr>
          <w:rFonts w:ascii="Times New Roman" w:eastAsia="Times New Roman" w:hAnsi="Times New Roman" w:cs="Times New Roman"/>
          <w:b/>
          <w:bCs/>
          <w:color w:val="000000" w:themeColor="text1"/>
          <w:lang w:val="en-US"/>
        </w:rPr>
        <w:t xml:space="preserve"> the child with a disability is entitled to this strictly personal and non-transferable benefit to support improvements in their quality of life and development</w:t>
      </w:r>
      <w:r w:rsidRPr="5D0B50EE">
        <w:rPr>
          <w:rFonts w:ascii="Times New Roman" w:eastAsia="Times New Roman" w:hAnsi="Times New Roman" w:cs="Times New Roman"/>
          <w:color w:val="000000" w:themeColor="text1"/>
          <w:lang w:val="en-US"/>
        </w:rPr>
        <w:t xml:space="preserve">. The inclusion of this benefit in the calculation of household income effectively compels the division of a personal benefit among all family members of a child with a disability, solely on the grounds of the family's economic vulnerability. In considering the BPC as part of the household income, its specific and individual purpose is disregarded, with the potential consequence of excluding other family members from access to complementary social assistance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such as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w:t>
      </w:r>
    </w:p>
    <w:p w14:paraId="4CF5E178" w14:textId="0B352F4E"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In essence, by including the BPC in the calculation household income for the purposes of eligibility under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(Article 4, Paragraph 2, of Law No. 14,601/2023), the Brazilian State has distorted the purpose of this benefit, treating it as income intended for the entire household rather than a personal benefit granted exclusively to the person with a disability.</w:t>
      </w:r>
    </w:p>
    <w:p w14:paraId="3A34C8DB" w14:textId="60D5CDE4"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By establishing, in Article 4, Paragraph 2, of Law No. 14,601/2023, that income from a benefit received by a person with disability shall be considered in calculating per capita household income, the Brazilian State acts in direct contradiction to the provisions of the Convention on the Rights of Persons with Disabilities. As a result, where the remaining household members do not meet the eligibility criteria for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the child with a disability is effectively required to share their individual assistance benefit in order to support the entire family. In other words, the Brazilian State acts inconsistently, inasmuch as it </w:t>
      </w:r>
      <w:proofErr w:type="spellStart"/>
      <w:r w:rsidRPr="5D0B50EE">
        <w:rPr>
          <w:rFonts w:ascii="Times New Roman" w:eastAsia="Times New Roman" w:hAnsi="Times New Roman" w:cs="Times New Roman"/>
          <w:color w:val="000000" w:themeColor="text1"/>
          <w:lang w:val="en-US"/>
        </w:rPr>
        <w:t>recognises</w:t>
      </w:r>
      <w:proofErr w:type="spellEnd"/>
      <w:r w:rsidRPr="5D0B50EE">
        <w:rPr>
          <w:rFonts w:ascii="Times New Roman" w:eastAsia="Times New Roman" w:hAnsi="Times New Roman" w:cs="Times New Roman"/>
          <w:color w:val="000000" w:themeColor="text1"/>
          <w:lang w:val="en-US"/>
        </w:rPr>
        <w:t xml:space="preserve"> the vulnerability of the person with a disability, granting them the BPC, while simultaneously restricting access by their family—equally vulnerable—to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due to the receipt of the BPC by the person with a disability.</w:t>
      </w:r>
    </w:p>
    <w:p w14:paraId="2D7F8082" w14:textId="5D5BDD75"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In this same context, Article 4, Paragraph 3 of Law No. 14,601/2023 introduced a new provision </w:t>
      </w:r>
      <w:proofErr w:type="spellStart"/>
      <w:r w:rsidRPr="5D0B50EE">
        <w:rPr>
          <w:rFonts w:ascii="Times New Roman" w:eastAsia="Times New Roman" w:hAnsi="Times New Roman" w:cs="Times New Roman"/>
          <w:color w:val="000000" w:themeColor="text1"/>
          <w:lang w:val="en-US"/>
        </w:rPr>
        <w:t>authorising</w:t>
      </w:r>
      <w:proofErr w:type="spellEnd"/>
      <w:r w:rsidRPr="5D0B50EE">
        <w:rPr>
          <w:rFonts w:ascii="Times New Roman" w:eastAsia="Times New Roman" w:hAnsi="Times New Roman" w:cs="Times New Roman"/>
          <w:color w:val="000000" w:themeColor="text1"/>
          <w:lang w:val="en-US"/>
        </w:rPr>
        <w:t xml:space="preserve"> the Executive Branch to define percentage ranges of the BPC received </w:t>
      </w:r>
      <w:r w:rsidRPr="5D0B50EE">
        <w:rPr>
          <w:rFonts w:ascii="Times New Roman" w:eastAsia="Times New Roman" w:hAnsi="Times New Roman" w:cs="Times New Roman"/>
          <w:color w:val="000000" w:themeColor="text1"/>
          <w:lang w:val="en-US"/>
        </w:rPr>
        <w:lastRenderedPageBreak/>
        <w:t xml:space="preserve">by persons with disabilities that may be disregarded when calculating monthly per capita household income for eligibility purposes under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However, in the absence of regulation by the Executive Branch, the Federal Public Defenders’ Office (DPU) issued Recommendation No. 6698052 - DPGU/DNDH on 14 December 2023. As of this date, no regulation has been enacted.</w:t>
      </w:r>
    </w:p>
    <w:p w14:paraId="7C65FB0A" w14:textId="1FB9833D"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As a result of this omission, the Brazilian State continues to consider the full amount of the BPC when determining eligibility for the Bolsa Família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regardless of the degree of the beneficiary’s disability, to the clear detriment of families that include a child with a disability.</w:t>
      </w:r>
    </w:p>
    <w:p w14:paraId="21C40835" w14:textId="55991A93" w:rsidR="5D0B50EE" w:rsidRDefault="5D0B50EE" w:rsidP="5D0B50EE">
      <w:pPr>
        <w:spacing w:before="240" w:after="165" w:line="360" w:lineRule="auto"/>
        <w:ind w:firstLine="567"/>
        <w:jc w:val="both"/>
      </w:pPr>
      <w:r w:rsidRPr="5D0B50EE">
        <w:rPr>
          <w:rFonts w:ascii="Times New Roman" w:eastAsia="Times New Roman" w:hAnsi="Times New Roman" w:cs="Times New Roman"/>
          <w:color w:val="000000" w:themeColor="text1"/>
          <w:lang w:val="en-US"/>
        </w:rPr>
        <w:t xml:space="preserve">It is thus acknowledged that the Brazilian State has implemented measures aimed at combating poverty and social inequality through income transfer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which seek to enhance the dignity and quality of life of persons with disabilities, with positive results since their inception. Nevertheless, as regards the rights of children with disabilities specifically, it is observed that the current structure of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has hindered the access of their families to the right to a basic income. This state of affairs also infringes the provisions of Article 26 of the International Convention on the Rights of the Child, which is under review by the international body in the present procedure:</w:t>
      </w:r>
    </w:p>
    <w:p w14:paraId="12E570A0" w14:textId="16F11651" w:rsidR="5D0B50EE" w:rsidRDefault="5D0B50EE" w:rsidP="5D0B50EE">
      <w:pPr>
        <w:spacing w:before="240" w:after="165" w:line="257" w:lineRule="auto"/>
        <w:ind w:firstLine="567"/>
        <w:jc w:val="both"/>
        <w:rPr>
          <w:rFonts w:ascii="Times New Roman" w:eastAsia="Times New Roman" w:hAnsi="Times New Roman" w:cs="Times New Roman"/>
          <w:color w:val="000000" w:themeColor="text1"/>
          <w:lang w:val="en-US"/>
        </w:rPr>
      </w:pPr>
    </w:p>
    <w:p w14:paraId="096ED600" w14:textId="569C106F"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Article 26.</w:t>
      </w:r>
    </w:p>
    <w:p w14:paraId="492BB9C7" w14:textId="31F0B686"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1. States Parties shall recognize for every child the right to benefit from social security, including social insurance, and shall take the necessary measures to achieve the full realization of this right in accordance with their national law.</w:t>
      </w:r>
    </w:p>
    <w:p w14:paraId="7FA25347" w14:textId="57962FAA"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2. The benefits should, where appropriate, be granted, taking into account the resources and the circumstances of the child and persons having responsibility for the maintenance of the child, as well as any other consideration relevant to an application for benefits made by or on behalf of the child.</w:t>
      </w:r>
    </w:p>
    <w:p w14:paraId="27CEC58B" w14:textId="5DB6C62A" w:rsidR="5D0B50EE" w:rsidRDefault="5D0B50EE" w:rsidP="5D0B50EE">
      <w:pPr>
        <w:spacing w:after="0"/>
        <w:ind w:left="1695"/>
        <w:jc w:val="both"/>
      </w:pPr>
      <w:r w:rsidRPr="5D0B50EE">
        <w:rPr>
          <w:rFonts w:ascii="Times New Roman" w:eastAsia="Times New Roman" w:hAnsi="Times New Roman" w:cs="Times New Roman"/>
          <w:color w:val="000000" w:themeColor="text1"/>
          <w:lang w:val="en-US"/>
        </w:rPr>
        <w:t xml:space="preserve"> </w:t>
      </w:r>
    </w:p>
    <w:p w14:paraId="4744BF8F" w14:textId="58DE159C" w:rsidR="5D0B50EE" w:rsidRDefault="5D0B50EE" w:rsidP="5D0B50EE">
      <w:pPr>
        <w:spacing w:before="240"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Accordingly, it may be inferred that social assistance in Brazil still fails to adequately guarantee the rights granted to children with disabilities under the International Convention on the Rights of the Child, particularly in view of: (</w:t>
      </w:r>
      <w:proofErr w:type="spellStart"/>
      <w:r w:rsidRPr="5D0B50EE">
        <w:rPr>
          <w:rFonts w:ascii="Times New Roman" w:eastAsia="Times New Roman" w:hAnsi="Times New Roman" w:cs="Times New Roman"/>
          <w:lang w:val="en-US"/>
        </w:rPr>
        <w:t>i</w:t>
      </w:r>
      <w:proofErr w:type="spellEnd"/>
      <w:r w:rsidRPr="5D0B50EE">
        <w:rPr>
          <w:rFonts w:ascii="Times New Roman" w:eastAsia="Times New Roman" w:hAnsi="Times New Roman" w:cs="Times New Roman"/>
          <w:lang w:val="en-US"/>
        </w:rPr>
        <w:t xml:space="preserve">) the absence of any provision ensuring priority access for families with children with disabilities to the Bolsa Família </w:t>
      </w:r>
      <w:proofErr w:type="spellStart"/>
      <w:r w:rsidRPr="5D0B50EE">
        <w:rPr>
          <w:rFonts w:ascii="Times New Roman" w:eastAsia="Times New Roman" w:hAnsi="Times New Roman" w:cs="Times New Roman"/>
          <w:lang w:val="en-US"/>
        </w:rPr>
        <w:t>Programme</w:t>
      </w:r>
      <w:proofErr w:type="spellEnd"/>
      <w:r w:rsidRPr="5D0B50EE">
        <w:rPr>
          <w:rFonts w:ascii="Times New Roman" w:eastAsia="Times New Roman" w:hAnsi="Times New Roman" w:cs="Times New Roman"/>
          <w:lang w:val="en-US"/>
        </w:rPr>
        <w:t xml:space="preserve">; and </w:t>
      </w:r>
      <w:r w:rsidRPr="5D0B50EE">
        <w:rPr>
          <w:rFonts w:ascii="Times New Roman" w:eastAsia="Times New Roman" w:hAnsi="Times New Roman" w:cs="Times New Roman"/>
          <w:lang w:val="en-US"/>
        </w:rPr>
        <w:lastRenderedPageBreak/>
        <w:t xml:space="preserve">(ii) the fact that the receipt of the BPC by the child may result in the exclusion of their family from the </w:t>
      </w:r>
      <w:proofErr w:type="spellStart"/>
      <w:r w:rsidRPr="5D0B50EE">
        <w:rPr>
          <w:rFonts w:ascii="Times New Roman" w:eastAsia="Times New Roman" w:hAnsi="Times New Roman" w:cs="Times New Roman"/>
          <w:lang w:val="en-US"/>
        </w:rPr>
        <w:t>Programme</w:t>
      </w:r>
      <w:proofErr w:type="spellEnd"/>
      <w:r w:rsidRPr="5D0B50EE">
        <w:rPr>
          <w:rFonts w:ascii="Times New Roman" w:eastAsia="Times New Roman" w:hAnsi="Times New Roman" w:cs="Times New Roman"/>
          <w:lang w:val="en-US"/>
        </w:rPr>
        <w:t>.</w:t>
      </w:r>
    </w:p>
    <w:p w14:paraId="5BAA3224" w14:textId="05C652EF" w:rsidR="5D0B50EE" w:rsidRDefault="5D0B50EE" w:rsidP="5D0B50EE">
      <w:pPr>
        <w:spacing w:after="165" w:line="360" w:lineRule="auto"/>
        <w:jc w:val="both"/>
        <w:rPr>
          <w:rFonts w:ascii="Times New Roman" w:eastAsia="Times New Roman" w:hAnsi="Times New Roman" w:cs="Times New Roman"/>
          <w:b/>
          <w:bCs/>
          <w:lang w:val="en-US"/>
        </w:rPr>
      </w:pPr>
      <w:r w:rsidRPr="5D0B50EE">
        <w:rPr>
          <w:rFonts w:ascii="Times New Roman" w:eastAsia="Times New Roman" w:hAnsi="Times New Roman" w:cs="Times New Roman"/>
          <w:b/>
          <w:bCs/>
          <w:lang w:val="en-US"/>
        </w:rPr>
        <w:t>3. Protection of children during natural disasters, such as those occurred in the 2024 floods in the State of Rio Grande do Sul (item 10-a)</w:t>
      </w:r>
    </w:p>
    <w:p w14:paraId="6F093217" w14:textId="48CE4D64" w:rsidR="5D0B50EE" w:rsidRDefault="5D0B50EE" w:rsidP="5D0B50EE">
      <w:pPr>
        <w:spacing w:before="240" w:after="240"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Between May and June 2024, hundreds of municipalities in the State of Rio Grande do Sul were affected by extreme weather events that resulted in severe flooding, forcing many families to abandon their homes.</w:t>
      </w:r>
    </w:p>
    <w:p w14:paraId="2AF8B68A" w14:textId="3669CC40" w:rsidR="5D0B50EE" w:rsidRDefault="5D0B50EE" w:rsidP="5D0B50EE">
      <w:pPr>
        <w:spacing w:before="240" w:after="240"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When questioned about the measures adopted in this context, the Brazilian State, in summary, referred to certain initiatives aimed at assisting affected families, but fail to provide further details regarding specific actions targeting children and adolescents.</w:t>
      </w:r>
    </w:p>
    <w:p w14:paraId="062C4795" w14:textId="1D6671CE" w:rsidR="5D0B50EE" w:rsidRDefault="5D0B50EE" w:rsidP="5D0B50EE">
      <w:pPr>
        <w:spacing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While the existence of general measures to respond to such circumstances is acknowledged, the experience of this climate-related disaster exposed a number of shortcomings and failures to observe rescue protocols and to ensure appropriate shelter conditions, particularly in relation to the specific needs of children with disabilities.</w:t>
      </w:r>
    </w:p>
    <w:p w14:paraId="49796A82" w14:textId="4CCE3E4C" w:rsidR="5D0B50EE" w:rsidRDefault="5D0B50EE" w:rsidP="5D0B50EE">
      <w:pPr>
        <w:spacing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The United Nations 2030 Agenda for Sustainable Development Goals sets out measures to be adopted by States to prevent and mitigate the impacts of disasters caused by water-related natural hazards. In this regard, Goal 11 provides as follows:</w:t>
      </w:r>
    </w:p>
    <w:p w14:paraId="405E9FD2" w14:textId="5219309B"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“Make cities and human settlements inclusive, safe, resilient and sustainable.”</w:t>
      </w:r>
    </w:p>
    <w:p w14:paraId="2566CAAA" w14:textId="5C3C455E"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w:t>
      </w:r>
    </w:p>
    <w:p w14:paraId="6405586C" w14:textId="04A7203F" w:rsidR="5D0B50EE" w:rsidRDefault="5D0B50EE" w:rsidP="5D0B50EE">
      <w:pPr>
        <w:spacing w:after="0"/>
        <w:ind w:firstLine="708"/>
        <w:jc w:val="both"/>
      </w:pPr>
      <w:r w:rsidRPr="5D0B50EE">
        <w:rPr>
          <w:rFonts w:ascii="Times New Roman" w:eastAsia="Times New Roman" w:hAnsi="Times New Roman" w:cs="Times New Roman"/>
          <w:color w:val="000000" w:themeColor="text1"/>
          <w:lang w:val="en-US"/>
        </w:rPr>
        <w:t xml:space="preserve"> </w:t>
      </w:r>
    </w:p>
    <w:p w14:paraId="7DBF3C9F" w14:textId="2D44AA12" w:rsidR="5D0B50EE" w:rsidRDefault="5D0B50EE" w:rsidP="5D0B50EE">
      <w:pPr>
        <w:spacing w:after="0" w:line="360" w:lineRule="auto"/>
        <w:ind w:firstLine="705"/>
        <w:jc w:val="both"/>
      </w:pPr>
      <w:r w:rsidRPr="5D0B50EE">
        <w:rPr>
          <w:rFonts w:ascii="Times New Roman" w:eastAsia="Times New Roman" w:hAnsi="Times New Roman" w:cs="Times New Roman"/>
          <w:color w:val="000000" w:themeColor="text1"/>
          <w:lang w:val="en-US"/>
        </w:rPr>
        <w:t>More specifically, Target 11.5 establishes that, by 2030, States must:</w:t>
      </w:r>
    </w:p>
    <w:p w14:paraId="7517CA42" w14:textId="24B06D29" w:rsidR="5D0B50EE" w:rsidRDefault="5D0B50EE" w:rsidP="5D0B50EE">
      <w:pPr>
        <w:spacing w:after="0"/>
        <w:ind w:left="705"/>
        <w:jc w:val="both"/>
      </w:pPr>
      <w:r w:rsidRPr="5D0B50EE">
        <w:rPr>
          <w:rFonts w:ascii="Times New Roman" w:eastAsia="Times New Roman" w:hAnsi="Times New Roman" w:cs="Times New Roman"/>
          <w:color w:val="000000" w:themeColor="text1"/>
          <w:lang w:val="en-US"/>
        </w:rPr>
        <w:t xml:space="preserve"> </w:t>
      </w:r>
    </w:p>
    <w:p w14:paraId="03C2F8BE" w14:textId="72422831" w:rsidR="5D0B50EE" w:rsidRDefault="5D0B50EE" w:rsidP="5D0B50EE">
      <w:pPr>
        <w:spacing w:after="0" w:line="257" w:lineRule="auto"/>
        <w:ind w:left="1695"/>
        <w:jc w:val="both"/>
        <w:rPr>
          <w:rFonts w:ascii="Times New Roman" w:eastAsia="Times New Roman" w:hAnsi="Times New Roman" w:cs="Times New Roman"/>
          <w:i/>
          <w:iCs/>
          <w:color w:val="000000" w:themeColor="text1"/>
          <w:sz w:val="20"/>
          <w:szCs w:val="20"/>
          <w:lang w:val="en-US"/>
        </w:rPr>
      </w:pPr>
      <w:r w:rsidRPr="5D0B50EE">
        <w:rPr>
          <w:rFonts w:ascii="Times New Roman" w:eastAsia="Times New Roman" w:hAnsi="Times New Roman" w:cs="Times New Roman"/>
          <w:i/>
          <w:iCs/>
          <w:color w:val="000000" w:themeColor="text1"/>
          <w:sz w:val="20"/>
          <w:szCs w:val="20"/>
          <w:lang w:val="en-US"/>
        </w:rPr>
        <w:t>"Significantly reduce the number of deaths and the number of people affected and substantially decrease the direct economic losses relative to global gross domestic product caused by disasters, including water-related disasters, with a focus on protecting the poor and people in vulnerable situations.”</w:t>
      </w:r>
    </w:p>
    <w:p w14:paraId="0D6A0E03" w14:textId="51C10695" w:rsidR="5D0B50EE" w:rsidRDefault="5D0B50EE" w:rsidP="5D0B50EE">
      <w:pPr>
        <w:spacing w:before="240"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However, in the context of the catastrophe that struck the state of Rio Grande do Sul, it appears that this objective was not adequately achieved, as evidenced by both official statistics and contemporary media reports. Data released by the local government during the most critical period of the emergency—between 10 May and 10 June 2024—indicated that persons with </w:t>
      </w:r>
      <w:r w:rsidRPr="5D0B50EE">
        <w:rPr>
          <w:rFonts w:ascii="Times New Roman" w:eastAsia="Times New Roman" w:hAnsi="Times New Roman" w:cs="Times New Roman"/>
          <w:lang w:val="en-US"/>
        </w:rPr>
        <w:lastRenderedPageBreak/>
        <w:t>disabilities accounted for approximately 3% of the total number of individuals sheltered in the 981 shelters² operating at the time.</w:t>
      </w:r>
    </w:p>
    <w:p w14:paraId="04C183D8" w14:textId="73BB9951" w:rsidR="5D0B50EE" w:rsidRDefault="5D0B50EE" w:rsidP="5D0B50EE">
      <w:pPr>
        <w:spacing w:before="240"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It is also worth noting that the affected state has a significant proportion of persons with disabilities, who account for nearly 10% of its total population, according to data from the Brazilian Institute of Geography and Statistics (IBGE)³.</w:t>
      </w:r>
    </w:p>
    <w:p w14:paraId="657321CE" w14:textId="25F8EFD5" w:rsidR="5D0B50EE" w:rsidRDefault="5D0B50EE" w:rsidP="5D0B50EE">
      <w:pPr>
        <w:spacing w:before="240"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Nevertheless, it is noted that the collected data lack further detail, particularly due to the absence of precise information regarding the number of children with disabilities accommodated in shelters, as well as concerning the availability of support measures to meet their specific needs</w:t>
      </w:r>
      <w:r w:rsidRPr="5D0B50EE">
        <w:rPr>
          <w:rFonts w:ascii="Times New Roman" w:eastAsia="Times New Roman" w:hAnsi="Times New Roman" w:cs="Times New Roman"/>
          <w:vertAlign w:val="superscript"/>
          <w:lang w:val="en-US"/>
        </w:rPr>
        <w:t>4</w:t>
      </w:r>
      <w:r w:rsidRPr="5D0B50EE">
        <w:rPr>
          <w:rFonts w:ascii="Times New Roman" w:eastAsia="Times New Roman" w:hAnsi="Times New Roman" w:cs="Times New Roman"/>
          <w:lang w:val="en-US"/>
        </w:rPr>
        <w:t>:</w:t>
      </w:r>
    </w:p>
    <w:p w14:paraId="56B17BFE" w14:textId="2DE05C48" w:rsidR="5D0B50EE" w:rsidRDefault="5D0B50EE" w:rsidP="5D0B50EE">
      <w:pPr>
        <w:spacing w:before="240" w:after="165" w:line="257" w:lineRule="auto"/>
        <w:ind w:firstLine="567"/>
        <w:jc w:val="both"/>
      </w:pP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345"/>
        <w:gridCol w:w="8310"/>
        <w:gridCol w:w="360"/>
      </w:tblGrid>
      <w:tr w:rsidR="5D0B50EE" w14:paraId="6618E4C9" w14:textId="77777777" w:rsidTr="5D0B50EE">
        <w:trPr>
          <w:trHeight w:val="4140"/>
        </w:trPr>
        <w:tc>
          <w:tcPr>
            <w:tcW w:w="345" w:type="dxa"/>
          </w:tcPr>
          <w:p w14:paraId="7BE29467" w14:textId="01D35439" w:rsidR="5D0B50EE" w:rsidRDefault="5D0B50EE" w:rsidP="5D0B50EE"/>
        </w:tc>
        <w:tc>
          <w:tcPr>
            <w:tcW w:w="8310" w:type="dxa"/>
          </w:tcPr>
          <w:p w14:paraId="40411E72" w14:textId="73C78A65" w:rsidR="5D0B50EE" w:rsidRDefault="5D0B50EE" w:rsidP="5D0B50EE">
            <w:pPr>
              <w:jc w:val="center"/>
            </w:pPr>
            <w:r>
              <w:rPr>
                <w:noProof/>
              </w:rPr>
              <w:drawing>
                <wp:inline distT="0" distB="0" distL="0" distR="0" wp14:anchorId="11D9FBA7" wp14:editId="1A90601A">
                  <wp:extent cx="4854245" cy="2518959"/>
                  <wp:effectExtent l="0" t="0" r="0" b="0"/>
                  <wp:docPr id="1811165364" name="Picture 181116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854245" cy="2518959"/>
                          </a:xfrm>
                          <a:prstGeom prst="rect">
                            <a:avLst/>
                          </a:prstGeom>
                        </pic:spPr>
                      </pic:pic>
                    </a:graphicData>
                  </a:graphic>
                </wp:inline>
              </w:drawing>
            </w:r>
          </w:p>
        </w:tc>
        <w:tc>
          <w:tcPr>
            <w:tcW w:w="360" w:type="dxa"/>
          </w:tcPr>
          <w:p w14:paraId="116D6172" w14:textId="29026324" w:rsidR="5D0B50EE" w:rsidRDefault="5D0B50EE" w:rsidP="5D0B50EE"/>
        </w:tc>
      </w:tr>
    </w:tbl>
    <w:p w14:paraId="49EB8A4A" w14:textId="2D0551C9" w:rsidR="5D0B50EE" w:rsidRDefault="5D0B50EE" w:rsidP="5D0B50EE">
      <w:pPr>
        <w:spacing w:before="240" w:after="165"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There is no indication that measures were adopted during the reception of affected individuals to ensure the protection of children with disabilities, such as the provision of trained professionals to offer </w:t>
      </w:r>
      <w:proofErr w:type="spellStart"/>
      <w:r w:rsidRPr="5D0B50EE">
        <w:rPr>
          <w:rFonts w:ascii="Times New Roman" w:eastAsia="Times New Roman" w:hAnsi="Times New Roman" w:cs="Times New Roman"/>
          <w:lang w:val="en-US"/>
        </w:rPr>
        <w:t>specialised</w:t>
      </w:r>
      <w:proofErr w:type="spellEnd"/>
      <w:r w:rsidRPr="5D0B50EE">
        <w:rPr>
          <w:rFonts w:ascii="Times New Roman" w:eastAsia="Times New Roman" w:hAnsi="Times New Roman" w:cs="Times New Roman"/>
          <w:lang w:val="en-US"/>
        </w:rPr>
        <w:t xml:space="preserve"> support, the availability of recreational activities tailored to their needs, or the establishment of dedicated spaces for the reception of children with Autism Spectrum Disorder or other non-visible disabilities.</w:t>
      </w:r>
    </w:p>
    <w:p w14:paraId="239A0F88" w14:textId="101F8F7A" w:rsidR="5D0B50EE" w:rsidRDefault="5D0B50EE" w:rsidP="5D0B50EE">
      <w:pPr>
        <w:spacing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Moreover, the websites provided by the Government do not include accurate information regarding the number of shelters dedicated to supporting children with disabilities, although it is known that there was an insufficient number of such shelters5. Experiences observed in </w:t>
      </w:r>
      <w:proofErr w:type="spellStart"/>
      <w:r w:rsidRPr="5D0B50EE">
        <w:rPr>
          <w:rFonts w:ascii="Times New Roman" w:eastAsia="Times New Roman" w:hAnsi="Times New Roman" w:cs="Times New Roman"/>
          <w:lang w:val="en-US"/>
        </w:rPr>
        <w:lastRenderedPageBreak/>
        <w:t>specialised</w:t>
      </w:r>
      <w:proofErr w:type="spellEnd"/>
      <w:r w:rsidRPr="5D0B50EE">
        <w:rPr>
          <w:rFonts w:ascii="Times New Roman" w:eastAsia="Times New Roman" w:hAnsi="Times New Roman" w:cs="Times New Roman"/>
          <w:lang w:val="en-US"/>
        </w:rPr>
        <w:t xml:space="preserve"> shelters, which offered accommodation for families including children with disabilities, should serve as a model for futural responses to disasters, ensuring the provision of appropriate social, educational, and psychological assistance. </w:t>
      </w:r>
    </w:p>
    <w:p w14:paraId="1A4EE3C4" w14:textId="29356FBD" w:rsidR="5D0B50EE" w:rsidRDefault="5D0B50EE" w:rsidP="5D0B50EE">
      <w:pPr>
        <w:spacing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While efforts to safeguard the health and physical integrity of persons with disabilities in the context of the floods are acknowledged—as exemplified by the establishment of the Disque 100 helpline, as duly noted by the Brazilian State—it is observed that, in practice, many of the emergency measures adopted fell short of the necessary standards for the protection of the rights of children, particularly those with disabilities. </w:t>
      </w:r>
    </w:p>
    <w:p w14:paraId="67EFCEAD" w14:textId="6120D6F8" w:rsidR="5D0B50EE" w:rsidRDefault="5D0B50EE" w:rsidP="5D0B50EE">
      <w:pPr>
        <w:spacing w:line="360" w:lineRule="auto"/>
        <w:ind w:firstLine="567"/>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Accordingly, due observance of the provisions set out in Articles 3 and 26 of the International Convention on the Rights of the Child was not verified in the actions adopted by several entities of the Public Authorities in the State of Rio Grande do Sul, particularly with regard to the lack of appropriate spaces for accommodating children with disabilities, whether within regular shelters or in </w:t>
      </w:r>
      <w:proofErr w:type="spellStart"/>
      <w:r w:rsidRPr="5D0B50EE">
        <w:rPr>
          <w:rFonts w:ascii="Times New Roman" w:eastAsia="Times New Roman" w:hAnsi="Times New Roman" w:cs="Times New Roman"/>
          <w:lang w:val="en-US"/>
        </w:rPr>
        <w:t>specialised</w:t>
      </w:r>
      <w:proofErr w:type="spellEnd"/>
      <w:r w:rsidRPr="5D0B50EE">
        <w:rPr>
          <w:rFonts w:ascii="Times New Roman" w:eastAsia="Times New Roman" w:hAnsi="Times New Roman" w:cs="Times New Roman"/>
          <w:lang w:val="en-US"/>
        </w:rPr>
        <w:t xml:space="preserve"> facilities. </w:t>
      </w:r>
    </w:p>
    <w:p w14:paraId="657BBEB8" w14:textId="6CD396AC" w:rsidR="5D0B50EE" w:rsidRDefault="5D0B50EE" w:rsidP="5D0B50EE">
      <w:pPr>
        <w:spacing w:line="360" w:lineRule="auto"/>
        <w:jc w:val="both"/>
        <w:rPr>
          <w:rFonts w:ascii="Times New Roman" w:eastAsia="Times New Roman" w:hAnsi="Times New Roman" w:cs="Times New Roman"/>
          <w:b/>
          <w:bCs/>
          <w:lang w:val="en-US"/>
        </w:rPr>
      </w:pPr>
      <w:r w:rsidRPr="5D0B50EE">
        <w:rPr>
          <w:rFonts w:ascii="Times New Roman" w:eastAsia="Times New Roman" w:hAnsi="Times New Roman" w:cs="Times New Roman"/>
          <w:b/>
          <w:bCs/>
          <w:lang w:val="en-US"/>
        </w:rPr>
        <w:t xml:space="preserve">4. Recommendations to the Brazilian State </w:t>
      </w:r>
    </w:p>
    <w:p w14:paraId="514861A2" w14:textId="6A3E12FA" w:rsidR="5D0B50EE" w:rsidRDefault="5D0B50EE" w:rsidP="5D0B50EE">
      <w:pPr>
        <w:spacing w:line="360" w:lineRule="auto"/>
        <w:ind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Considering the foregoing, we respectfully suggest that the Committee recommend to the Brazilian State the following measures: </w:t>
      </w:r>
    </w:p>
    <w:p w14:paraId="6EDB1D4F" w14:textId="174911C5" w:rsidR="5D0B50EE" w:rsidRDefault="5D0B50EE" w:rsidP="5D0B50EE">
      <w:pPr>
        <w:spacing w:line="360" w:lineRule="auto"/>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a) To include families with children with disabilities among the priority groups for eligibility under the Bolsa Família </w:t>
      </w:r>
      <w:proofErr w:type="spellStart"/>
      <w:r w:rsidRPr="5D0B50EE">
        <w:rPr>
          <w:rFonts w:ascii="Times New Roman" w:eastAsia="Times New Roman" w:hAnsi="Times New Roman" w:cs="Times New Roman"/>
          <w:lang w:val="en-US"/>
        </w:rPr>
        <w:t>Programme</w:t>
      </w:r>
      <w:proofErr w:type="spellEnd"/>
      <w:r w:rsidRPr="5D0B50EE">
        <w:rPr>
          <w:rFonts w:ascii="Times New Roman" w:eastAsia="Times New Roman" w:hAnsi="Times New Roman" w:cs="Times New Roman"/>
          <w:lang w:val="en-US"/>
        </w:rPr>
        <w:t xml:space="preserve">; </w:t>
      </w:r>
    </w:p>
    <w:p w14:paraId="47BB5B7B" w14:textId="4D1D99EF" w:rsidR="5D0B50EE" w:rsidRDefault="5D0B50EE" w:rsidP="5D0B50EE">
      <w:pPr>
        <w:spacing w:line="360" w:lineRule="auto"/>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b) To refrain from including the amounts received by persons with disabilities under the Continuous Cash Benefit (BPC) when calculating the monthly per capita income for the purpose of determining eligibility for the Bolsa Família </w:t>
      </w:r>
      <w:proofErr w:type="spellStart"/>
      <w:r w:rsidRPr="5D0B50EE">
        <w:rPr>
          <w:rFonts w:ascii="Times New Roman" w:eastAsia="Times New Roman" w:hAnsi="Times New Roman" w:cs="Times New Roman"/>
          <w:lang w:val="en-US"/>
        </w:rPr>
        <w:t>Programme</w:t>
      </w:r>
      <w:proofErr w:type="spellEnd"/>
      <w:r w:rsidRPr="5D0B50EE">
        <w:rPr>
          <w:rFonts w:ascii="Times New Roman" w:eastAsia="Times New Roman" w:hAnsi="Times New Roman" w:cs="Times New Roman"/>
          <w:lang w:val="en-US"/>
        </w:rPr>
        <w:t xml:space="preserve">; </w:t>
      </w:r>
    </w:p>
    <w:p w14:paraId="49471364" w14:textId="6B3FD089" w:rsidR="5D0B50EE" w:rsidRDefault="5D0B50EE" w:rsidP="5D0B50EE">
      <w:pPr>
        <w:spacing w:line="360" w:lineRule="auto"/>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c) To provide multidisciplinary teams and accessible facilities within </w:t>
      </w:r>
      <w:proofErr w:type="spellStart"/>
      <w:r w:rsidRPr="5D0B50EE">
        <w:rPr>
          <w:rFonts w:ascii="Times New Roman" w:eastAsia="Times New Roman" w:hAnsi="Times New Roman" w:cs="Times New Roman"/>
          <w:lang w:val="en-US"/>
        </w:rPr>
        <w:t>specialised</w:t>
      </w:r>
      <w:proofErr w:type="spellEnd"/>
      <w:r w:rsidRPr="5D0B50EE">
        <w:rPr>
          <w:rFonts w:ascii="Times New Roman" w:eastAsia="Times New Roman" w:hAnsi="Times New Roman" w:cs="Times New Roman"/>
          <w:lang w:val="en-US"/>
        </w:rPr>
        <w:t xml:space="preserve"> shelters to accommodate children with disabilities and their families during periods of disaster or, where this is not feasible, to promote the establishment of specialized spaces within regular shelters to provide adequate accommodation and care.</w:t>
      </w:r>
    </w:p>
    <w:p w14:paraId="5476C908" w14:textId="7D19F107" w:rsidR="5D0B50EE" w:rsidRDefault="5D0B50EE" w:rsidP="5D0B50EE">
      <w:pPr>
        <w:spacing w:line="360" w:lineRule="auto"/>
        <w:jc w:val="both"/>
        <w:rPr>
          <w:rFonts w:ascii="Times New Roman" w:eastAsia="Times New Roman" w:hAnsi="Times New Roman" w:cs="Times New Roman"/>
          <w:lang w:val="en-US"/>
        </w:rPr>
      </w:pPr>
    </w:p>
    <w:p w14:paraId="44679B23" w14:textId="66A53D9B" w:rsidR="5D0B50EE" w:rsidRDefault="5D0B50EE" w:rsidP="5D0B50EE">
      <w:pPr>
        <w:spacing w:line="360" w:lineRule="auto"/>
        <w:jc w:val="both"/>
        <w:rPr>
          <w:rFonts w:ascii="Times New Roman" w:eastAsia="Times New Roman" w:hAnsi="Times New Roman" w:cs="Times New Roman"/>
          <w:color w:val="FF0000"/>
          <w:lang w:val="en-US"/>
        </w:rPr>
      </w:pPr>
      <w:r w:rsidRPr="5D0B50EE">
        <w:rPr>
          <w:rFonts w:ascii="Times New Roman" w:eastAsia="Times New Roman" w:hAnsi="Times New Roman" w:cs="Times New Roman"/>
          <w:b/>
          <w:bCs/>
          <w:u w:val="single"/>
          <w:lang w:val="en-US"/>
        </w:rPr>
        <w:t>Contributions of the Working Group on Assistance and Protection of Victims of Human Trafficking (GTTP)</w:t>
      </w:r>
    </w:p>
    <w:p w14:paraId="5FCC01BA" w14:textId="3BA493B9"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lastRenderedPageBreak/>
        <w:t>The Federal Public Defender's Office (DPU), through its Working Group on Assistance and Protection of Victims of Human Trafficking (GTTP), concerning the International Convention on the Rights of the Child – hereafter referred to as the Child Convention - and its Optional Protocols, acting in the best interest of Brazilian children and adolescents involved, anyhow, in human trafficking, and considering</w:t>
      </w:r>
    </w:p>
    <w:p w14:paraId="3D8FC155" w14:textId="71575B0D"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(a) articles 19 (1)(2), 32(1), 34, 35, 36 and 39 of the Child Convention and</w:t>
      </w:r>
    </w:p>
    <w:p w14:paraId="0FDAB861" w14:textId="05A41306"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(b) items 5(e)(f), 8(h), 14, and 22 from the List of Issues</w:t>
      </w:r>
    </w:p>
    <w:p w14:paraId="4E727B52" w14:textId="399E180F"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acknowledges the crucial importance of examining and discussing issues related to children's assistance as both direct and indirect victims of human trafficking, including instances where they are exploited to facilitate human trafficking activities. In this regard, the GTTP emphasizes the need to underscore several key pieces of information, as outlined below:</w:t>
      </w:r>
    </w:p>
    <w:p w14:paraId="3804A444" w14:textId="75BA100B"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Brazil operates under civil law, and its legal framework provides children with special protections. The Brazilian Constitution explicitly affirms children's social rights.</w:t>
      </w:r>
    </w:p>
    <w:p w14:paraId="3973CE86" w14:textId="5DC2D8D5"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Federal statute 8069/90, known as the Children Statute, ensures the complete protection of children, emphasizing that they should be prioritized in receiving support and services in all situations. This includes access to public services, involvement in state policy formulation and execution, and the allocation of public resources for their protection. Additionally, the statute prohibits arresting or criminalizing individuals under 18 for actions labeled as crimes. In response to these situations, the Children Statute outlines procedures that are better suited to their age and adhere to child protection principles.</w:t>
      </w:r>
    </w:p>
    <w:p w14:paraId="5509F904" w14:textId="7D199386"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Moreover, Brazil has specific courts dedicated solely to judicial matters involving children.</w:t>
      </w:r>
    </w:p>
    <w:p w14:paraId="203487D4" w14:textId="182221F6"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Additionally, the Brazilian Criminal Statute specifies that penalties should be heightened when the victim is a child. In cases of human trafficking, which carries a sentence of 4 to 8 years in prison, the Criminal Statute indicates that these penalties can be increased by one-third to half if the victim is under 18 years old.</w:t>
      </w:r>
    </w:p>
    <w:p w14:paraId="78BF5D78" w14:textId="7EB77D5C"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Additionally, children require heightened protection in risky situations. Trauma can severely impact their personal development, and this must be considered in any scenario </w:t>
      </w:r>
      <w:r w:rsidRPr="5D0B50EE">
        <w:rPr>
          <w:rFonts w:ascii="Times New Roman" w:eastAsia="Times New Roman" w:hAnsi="Times New Roman" w:cs="Times New Roman"/>
          <w:lang w:val="en-US"/>
        </w:rPr>
        <w:lastRenderedPageBreak/>
        <w:t>involving a child. Victims of human trafficking, especially those subjected to violence, require specialized care.</w:t>
      </w:r>
    </w:p>
    <w:p w14:paraId="45BE3A1D" w14:textId="76F40CF4"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Given the above, it is crucial to highlight various issues concerning the unique vulnerability of children. Recommendations will follow each of the subsequent points.</w:t>
      </w:r>
    </w:p>
    <w:p w14:paraId="22F446AB" w14:textId="19462D80"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The first topic addresses the safeguarding of children who testify against criminals and criminal organizations. Typical witness protection programs often fall short for these individuals. Therefore, specific protective measures are essential, such as involving the entire family in the program and ensuring essential rights appropriate for children. These rights include the continuation of their education, opportunities for social interaction - especially with peers- recreational activities, and more.</w:t>
      </w:r>
    </w:p>
    <w:p w14:paraId="1C856879" w14:textId="6796F79C" w:rsidR="5D0B50EE" w:rsidRDefault="5D0B50EE" w:rsidP="5D0B50EE">
      <w:pPr>
        <w:spacing w:before="120" w:after="120" w:line="360" w:lineRule="auto"/>
        <w:ind w:left="120" w:right="120"/>
        <w:jc w:val="both"/>
        <w:rPr>
          <w:rFonts w:ascii="Times New Roman" w:eastAsia="Times New Roman" w:hAnsi="Times New Roman" w:cs="Times New Roman"/>
          <w:b/>
          <w:bCs/>
          <w:u w:val="single"/>
          <w:lang w:val="en-US"/>
        </w:rPr>
      </w:pPr>
    </w:p>
    <w:p w14:paraId="4AAE9C78" w14:textId="38F1F945"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b/>
          <w:bCs/>
          <w:u w:val="single"/>
          <w:lang w:val="en-US"/>
        </w:rPr>
        <w:t>Recommendation</w:t>
      </w:r>
      <w:r w:rsidRPr="5D0B50EE">
        <w:rPr>
          <w:rFonts w:ascii="Times New Roman" w:eastAsia="Times New Roman" w:hAnsi="Times New Roman" w:cs="Times New Roman"/>
          <w:lang w:val="en-US"/>
        </w:rPr>
        <w:t>: The State should ensure that its witness protection programs address the unique needs of children, offering mechanisms that support their ongoing development and preserve lasting connections with their families.</w:t>
      </w:r>
    </w:p>
    <w:p w14:paraId="63EA4D75" w14:textId="1CB633B8" w:rsidR="5D0B50EE" w:rsidRDefault="5D0B50EE" w:rsidP="5D0B50EE">
      <w:pPr>
        <w:spacing w:before="120" w:after="120" w:line="360" w:lineRule="auto"/>
        <w:ind w:left="120" w:right="120" w:firstLine="1699"/>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 </w:t>
      </w:r>
    </w:p>
    <w:p w14:paraId="12835763" w14:textId="547F4BD6"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Secondly, it is vital to recognize that children, while inherently vulnerable, may also belong to other marginalized groups, such as Indigenous peoples. Therefore, they require an additional layer of protection that addresses the specific needs and care of these groups. When it comes to migrant children, it is crucial to communicate with them in their native language to ensure they can fully understand and express themselves. Additionally, we must ensure streamlined migration processes that allow children and their families to remain in environments where their rights are upheld and their safety is guaranteed.</w:t>
      </w:r>
    </w:p>
    <w:p w14:paraId="7AC32989" w14:textId="1BA8A51C" w:rsidR="5D0B50EE" w:rsidRDefault="5D0B50EE" w:rsidP="5D0B50EE">
      <w:pPr>
        <w:spacing w:before="120" w:after="120" w:line="360" w:lineRule="auto"/>
        <w:ind w:left="120" w:right="120"/>
        <w:jc w:val="both"/>
        <w:rPr>
          <w:rFonts w:ascii="Times New Roman" w:eastAsia="Times New Roman" w:hAnsi="Times New Roman" w:cs="Times New Roman"/>
          <w:b/>
          <w:bCs/>
          <w:u w:val="single"/>
          <w:lang w:val="en-US"/>
        </w:rPr>
      </w:pPr>
    </w:p>
    <w:p w14:paraId="35E3BE37" w14:textId="5EFEE512"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b/>
          <w:bCs/>
          <w:u w:val="single"/>
          <w:lang w:val="en-US"/>
        </w:rPr>
        <w:t>Recommendation</w:t>
      </w:r>
      <w:r w:rsidRPr="5D0B50EE">
        <w:rPr>
          <w:rFonts w:ascii="Times New Roman" w:eastAsia="Times New Roman" w:hAnsi="Times New Roman" w:cs="Times New Roman"/>
          <w:lang w:val="en-US"/>
        </w:rPr>
        <w:t>: The State needs to recognize that children, besides being particularly vulnerable, may also be part of other at-risk groups and necessitate targeted protections that cater to their unique needs.</w:t>
      </w:r>
    </w:p>
    <w:p w14:paraId="328573FC" w14:textId="0606D8AE"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Thirdly, it is imperative to safeguard the identities of child victims of human trafficking, thus preventing public scrutiny and further re-victimization. In this context, all </w:t>
      </w:r>
      <w:r w:rsidRPr="5D0B50EE">
        <w:rPr>
          <w:rFonts w:ascii="Times New Roman" w:eastAsia="Times New Roman" w:hAnsi="Times New Roman" w:cs="Times New Roman"/>
          <w:lang w:val="en-US"/>
        </w:rPr>
        <w:lastRenderedPageBreak/>
        <w:t>procedures that may lead to the identification of a child as a victim of human trafficking must be conducted under a seal of confidentiality.</w:t>
      </w:r>
    </w:p>
    <w:p w14:paraId="7F3CF6B3" w14:textId="4D7E0148" w:rsidR="5D0B50EE" w:rsidRDefault="5D0B50EE" w:rsidP="5D0B50EE">
      <w:pPr>
        <w:spacing w:before="120" w:after="120" w:line="360" w:lineRule="auto"/>
        <w:ind w:left="120" w:right="120"/>
        <w:jc w:val="both"/>
        <w:rPr>
          <w:rFonts w:ascii="Times New Roman" w:eastAsia="Times New Roman" w:hAnsi="Times New Roman" w:cs="Times New Roman"/>
          <w:b/>
          <w:bCs/>
          <w:u w:val="single"/>
          <w:lang w:val="en-US"/>
        </w:rPr>
      </w:pPr>
    </w:p>
    <w:p w14:paraId="06B3D666" w14:textId="616A148C"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b/>
          <w:bCs/>
          <w:u w:val="single"/>
          <w:lang w:val="en-US"/>
        </w:rPr>
        <w:t>Recommendation</w:t>
      </w:r>
      <w:r w:rsidRPr="5D0B50EE">
        <w:rPr>
          <w:rFonts w:ascii="Times New Roman" w:eastAsia="Times New Roman" w:hAnsi="Times New Roman" w:cs="Times New Roman"/>
          <w:lang w:val="en-US"/>
        </w:rPr>
        <w:t>: The State must ensure that the identities of children and their families are protected in all processes related to their status as victims or witnesses of human trafficking.</w:t>
      </w:r>
    </w:p>
    <w:p w14:paraId="0B5E448D" w14:textId="646E9DD1"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In fourth place, it is important to emphasize that children may also be considered indirect victims of human trafficking. This circumstance occurs when the victims are individuals closely related to the child, particularly parents and siblings. In such instances, children endure the repercussions directly and, consequently, should receive the same level of protection as if they were direct victims.</w:t>
      </w:r>
    </w:p>
    <w:p w14:paraId="3C7FA616" w14:textId="46E387F5" w:rsidR="5D0B50EE" w:rsidRDefault="5D0B50EE" w:rsidP="5D0B50EE">
      <w:pPr>
        <w:spacing w:before="120" w:after="120" w:line="360" w:lineRule="auto"/>
        <w:ind w:left="120" w:right="120" w:firstLine="1699"/>
        <w:jc w:val="both"/>
        <w:rPr>
          <w:rFonts w:ascii="Times New Roman" w:eastAsia="Times New Roman" w:hAnsi="Times New Roman" w:cs="Times New Roman"/>
          <w:b/>
          <w:bCs/>
          <w:u w:val="single"/>
          <w:lang w:val="en-US"/>
        </w:rPr>
      </w:pPr>
    </w:p>
    <w:p w14:paraId="7B8D7C25" w14:textId="3EBF0282"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b/>
          <w:bCs/>
          <w:u w:val="single"/>
          <w:lang w:val="en-US"/>
        </w:rPr>
        <w:t>Recommendation</w:t>
      </w:r>
      <w:r w:rsidRPr="5D0B50EE">
        <w:rPr>
          <w:rFonts w:ascii="Times New Roman" w:eastAsia="Times New Roman" w:hAnsi="Times New Roman" w:cs="Times New Roman"/>
          <w:lang w:val="en-US"/>
        </w:rPr>
        <w:t>: Children who are indirect victims of human trafficking shall receive the same protections given to direct victims.</w:t>
      </w:r>
    </w:p>
    <w:p w14:paraId="7FDE309F" w14:textId="70D98CA1" w:rsidR="5D0B50EE" w:rsidRDefault="5D0B50EE" w:rsidP="5D0B50EE">
      <w:pPr>
        <w:spacing w:before="120" w:after="120" w:line="360" w:lineRule="auto"/>
        <w:ind w:left="120" w:right="120" w:firstLine="1699"/>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 xml:space="preserve"> </w:t>
      </w:r>
    </w:p>
    <w:p w14:paraId="5F4B252F" w14:textId="0B152D2A" w:rsidR="5D0B50EE" w:rsidRDefault="5D0B50EE" w:rsidP="5D0B50EE">
      <w:pPr>
        <w:spacing w:before="120" w:after="120" w:line="360" w:lineRule="auto"/>
        <w:ind w:left="120" w:right="120" w:firstLine="708"/>
        <w:jc w:val="both"/>
        <w:rPr>
          <w:rFonts w:ascii="Times New Roman" w:eastAsia="Times New Roman" w:hAnsi="Times New Roman" w:cs="Times New Roman"/>
          <w:lang w:val="en-US"/>
        </w:rPr>
      </w:pPr>
      <w:r w:rsidRPr="5D0B50EE">
        <w:rPr>
          <w:rFonts w:ascii="Times New Roman" w:eastAsia="Times New Roman" w:hAnsi="Times New Roman" w:cs="Times New Roman"/>
          <w:lang w:val="en-US"/>
        </w:rPr>
        <w:t>Ultimately, it is imperative that the State identify methods to furnish children and their families with complimentary legal representation and psychological support, thereby ensuring the protection of their rights and facilitating a proper recovery.</w:t>
      </w:r>
    </w:p>
    <w:p w14:paraId="4D89BD7D" w14:textId="042F4B5E" w:rsidR="5D0B50EE" w:rsidRDefault="5D0B50EE" w:rsidP="5D0B50EE">
      <w:pPr>
        <w:spacing w:before="120" w:after="120" w:line="360" w:lineRule="auto"/>
        <w:ind w:left="120" w:right="120" w:firstLine="1699"/>
        <w:jc w:val="both"/>
        <w:rPr>
          <w:rFonts w:ascii="Times New Roman" w:eastAsia="Times New Roman" w:hAnsi="Times New Roman" w:cs="Times New Roman"/>
          <w:b/>
          <w:bCs/>
          <w:u w:val="single"/>
          <w:lang w:val="en-US"/>
        </w:rPr>
      </w:pPr>
    </w:p>
    <w:p w14:paraId="6A06261E" w14:textId="36860CD0" w:rsidR="5D0B50EE" w:rsidRDefault="5D0B50EE" w:rsidP="5D0B50EE">
      <w:pPr>
        <w:spacing w:before="120" w:after="120" w:line="360" w:lineRule="auto"/>
        <w:ind w:left="120" w:right="120"/>
        <w:jc w:val="both"/>
        <w:rPr>
          <w:rFonts w:ascii="Times New Roman" w:eastAsia="Times New Roman" w:hAnsi="Times New Roman" w:cs="Times New Roman"/>
          <w:lang w:val="en-US"/>
        </w:rPr>
      </w:pPr>
      <w:r w:rsidRPr="5D0B50EE">
        <w:rPr>
          <w:rFonts w:ascii="Times New Roman" w:eastAsia="Times New Roman" w:hAnsi="Times New Roman" w:cs="Times New Roman"/>
          <w:b/>
          <w:bCs/>
          <w:u w:val="single"/>
          <w:lang w:val="en-US"/>
        </w:rPr>
        <w:t>Recommendation</w:t>
      </w:r>
      <w:r w:rsidRPr="5D0B50EE">
        <w:rPr>
          <w:rFonts w:ascii="Times New Roman" w:eastAsia="Times New Roman" w:hAnsi="Times New Roman" w:cs="Times New Roman"/>
          <w:lang w:val="en-US"/>
        </w:rPr>
        <w:t>: The State, at all levels, should allocate significantly more funding for the Public Defender Services, which are independent public institutions responsible for providing absolutely free assistance and legal representation to vulnerable groups and can reach the entire national territory. The State should also collaborate with legally recognized public or private institutions to provide children with completely free psychological support and social assistance.</w:t>
      </w:r>
    </w:p>
    <w:p w14:paraId="1A13084C" w14:textId="57EAFC9E" w:rsidR="5D0B50EE" w:rsidRDefault="5D0B50EE" w:rsidP="5D0B50EE">
      <w:pPr>
        <w:spacing w:before="120" w:after="120" w:line="360" w:lineRule="auto"/>
        <w:ind w:right="120"/>
        <w:jc w:val="both"/>
        <w:rPr>
          <w:rFonts w:ascii="Times New Roman" w:eastAsia="Times New Roman" w:hAnsi="Times New Roman" w:cs="Times New Roman"/>
          <w:lang w:val="en-US"/>
        </w:rPr>
      </w:pPr>
    </w:p>
    <w:p w14:paraId="074E9EEA" w14:textId="70363AB5" w:rsidR="64912F7C" w:rsidRDefault="5D0B50EE" w:rsidP="5D0B50EE">
      <w:pPr>
        <w:spacing w:line="360" w:lineRule="auto"/>
        <w:jc w:val="both"/>
        <w:rPr>
          <w:rFonts w:ascii="Times New Roman" w:eastAsia="Times New Roman" w:hAnsi="Times New Roman" w:cs="Times New Roman"/>
          <w:color w:val="FF0000"/>
          <w:lang w:val="en-US"/>
        </w:rPr>
      </w:pPr>
      <w:r w:rsidRPr="5D0B50EE">
        <w:rPr>
          <w:rFonts w:ascii="Times New Roman" w:eastAsia="Times New Roman" w:hAnsi="Times New Roman" w:cs="Times New Roman"/>
          <w:b/>
          <w:bCs/>
          <w:u w:val="single"/>
          <w:lang w:val="en-US"/>
        </w:rPr>
        <w:t>Contributions of the Working Group for the Assistance of People Experiencing Homelessness (GTR).</w:t>
      </w:r>
    </w:p>
    <w:p w14:paraId="4A0C8B43" w14:textId="0665B50A"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lastRenderedPageBreak/>
        <w:t xml:space="preserve">Children and adolescents experiencing homelessness constitute a highly vulnerable population group, frequently subjected to multiple forms of discrimination and violence. The Non-Compliance with Fundamental Precept Action (ADPF) No. 976 </w:t>
      </w:r>
      <w:proofErr w:type="spellStart"/>
      <w:r w:rsidRPr="5D0B50EE">
        <w:rPr>
          <w:rFonts w:ascii="Times New Roman" w:eastAsia="Times New Roman" w:hAnsi="Times New Roman" w:cs="Times New Roman"/>
          <w:color w:val="000000" w:themeColor="text1"/>
          <w:lang w:val="en-US"/>
        </w:rPr>
        <w:t>recognised</w:t>
      </w:r>
      <w:proofErr w:type="spellEnd"/>
      <w:r w:rsidRPr="5D0B50EE">
        <w:rPr>
          <w:rFonts w:ascii="Times New Roman" w:eastAsia="Times New Roman" w:hAnsi="Times New Roman" w:cs="Times New Roman"/>
          <w:color w:val="000000" w:themeColor="text1"/>
          <w:lang w:val="en-US"/>
        </w:rPr>
        <w:t xml:space="preserve"> the existence of an unconstitutional state of affairs concerning individuals experiencing homelessness in Brazil, </w:t>
      </w:r>
      <w:proofErr w:type="spellStart"/>
      <w:r w:rsidRPr="5D0B50EE">
        <w:rPr>
          <w:rFonts w:ascii="Times New Roman" w:eastAsia="Times New Roman" w:hAnsi="Times New Roman" w:cs="Times New Roman"/>
          <w:color w:val="000000" w:themeColor="text1"/>
          <w:lang w:val="en-US"/>
        </w:rPr>
        <w:t>characterised</w:t>
      </w:r>
      <w:proofErr w:type="spellEnd"/>
      <w:r w:rsidRPr="5D0B50EE">
        <w:rPr>
          <w:rFonts w:ascii="Times New Roman" w:eastAsia="Times New Roman" w:hAnsi="Times New Roman" w:cs="Times New Roman"/>
          <w:color w:val="000000" w:themeColor="text1"/>
          <w:lang w:val="en-US"/>
        </w:rPr>
        <w:t xml:space="preserve"> by social exclusion, inadequate public policies, and the absence of minimum guarantees for a dignified life.</w:t>
      </w:r>
    </w:p>
    <w:p w14:paraId="6861E9D4" w14:textId="430BE084"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Due to the lack of systematic data mapping and collection, the number of children and adolescents experiencing homelessness may only be estimated on the basis of registrations for access to the Unified Registry for Social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w:t>
      </w:r>
      <w:proofErr w:type="spellStart"/>
      <w:r w:rsidRPr="5D0B50EE">
        <w:rPr>
          <w:rFonts w:ascii="Times New Roman" w:eastAsia="Times New Roman" w:hAnsi="Times New Roman" w:cs="Times New Roman"/>
          <w:color w:val="000000" w:themeColor="text1"/>
          <w:lang w:val="en-US"/>
        </w:rPr>
        <w:t>CadÚnico</w:t>
      </w:r>
      <w:proofErr w:type="spellEnd"/>
      <w:r w:rsidRPr="5D0B50EE">
        <w:rPr>
          <w:rFonts w:ascii="Times New Roman" w:eastAsia="Times New Roman" w:hAnsi="Times New Roman" w:cs="Times New Roman"/>
          <w:color w:val="000000" w:themeColor="text1"/>
          <w:lang w:val="en-US"/>
        </w:rPr>
        <w:t xml:space="preserve">). In 2025, the </w:t>
      </w:r>
      <w:proofErr w:type="spellStart"/>
      <w:r w:rsidRPr="5D0B50EE">
        <w:rPr>
          <w:rFonts w:ascii="Times New Roman" w:eastAsia="Times New Roman" w:hAnsi="Times New Roman" w:cs="Times New Roman"/>
          <w:color w:val="000000" w:themeColor="text1"/>
          <w:lang w:val="en-US"/>
        </w:rPr>
        <w:t>Cecad</w:t>
      </w:r>
      <w:proofErr w:type="spellEnd"/>
      <w:r w:rsidRPr="5D0B50EE">
        <w:rPr>
          <w:rFonts w:ascii="Times New Roman" w:eastAsia="Times New Roman" w:hAnsi="Times New Roman" w:cs="Times New Roman"/>
          <w:color w:val="000000" w:themeColor="text1"/>
          <w:lang w:val="en-US"/>
        </w:rPr>
        <w:t xml:space="preserve"> 2.0 platform indicated that over 9,000 children and adolescents in Brazil were experiencing homelessness, based on calculations of registered individuals aged 0 to 17 years.</w:t>
      </w:r>
    </w:p>
    <w:p w14:paraId="4E5911CE" w14:textId="4BEC03CB" w:rsidR="4FC27832" w:rsidRDefault="4FC27832" w:rsidP="5D0B50EE">
      <w:pPr>
        <w:spacing w:after="165" w:line="257" w:lineRule="auto"/>
        <w:ind w:firstLine="708"/>
        <w:jc w:val="both"/>
      </w:pPr>
    </w:p>
    <w:tbl>
      <w:tblPr>
        <w:tblStyle w:val="TableGrid"/>
        <w:tblW w:w="0" w:type="auto"/>
        <w:jc w:val="center"/>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9128"/>
      </w:tblGrid>
      <w:tr w:rsidR="5D0B50EE" w14:paraId="0E55F3DD" w14:textId="77777777" w:rsidTr="5D0B50EE">
        <w:trPr>
          <w:trHeight w:val="2415"/>
          <w:jc w:val="center"/>
        </w:trPr>
        <w:tc>
          <w:tcPr>
            <w:tcW w:w="9128" w:type="dxa"/>
          </w:tcPr>
          <w:p w14:paraId="7892560D" w14:textId="3C1E8382" w:rsidR="5D0B50EE" w:rsidRDefault="5D0B50EE">
            <w:r>
              <w:rPr>
                <w:noProof/>
              </w:rPr>
              <w:drawing>
                <wp:inline distT="0" distB="0" distL="0" distR="0" wp14:anchorId="1BBC55DD" wp14:editId="08598994">
                  <wp:extent cx="5332286" cy="1401438"/>
                  <wp:effectExtent l="0" t="0" r="0" b="0"/>
                  <wp:docPr id="2029849399" name="Picture 2029849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332286" cy="1401438"/>
                          </a:xfrm>
                          <a:prstGeom prst="rect">
                            <a:avLst/>
                          </a:prstGeom>
                        </pic:spPr>
                      </pic:pic>
                    </a:graphicData>
                  </a:graphic>
                </wp:inline>
              </w:drawing>
            </w:r>
          </w:p>
        </w:tc>
      </w:tr>
    </w:tbl>
    <w:p w14:paraId="72BFDE2C" w14:textId="33CCD67C"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Furthermore, barriers to accessing education and the need to contribute financially to their own subsistence often lead children and adolescents to engage in child </w:t>
      </w:r>
      <w:proofErr w:type="spellStart"/>
      <w:r w:rsidRPr="5D0B50EE">
        <w:rPr>
          <w:rFonts w:ascii="Times New Roman" w:eastAsia="Times New Roman" w:hAnsi="Times New Roman" w:cs="Times New Roman"/>
          <w:color w:val="000000" w:themeColor="text1"/>
          <w:lang w:val="en-US"/>
        </w:rPr>
        <w:t>labour</w:t>
      </w:r>
      <w:proofErr w:type="spellEnd"/>
      <w:r w:rsidRPr="5D0B50EE">
        <w:rPr>
          <w:rFonts w:ascii="Times New Roman" w:eastAsia="Times New Roman" w:hAnsi="Times New Roman" w:cs="Times New Roman"/>
          <w:color w:val="000000" w:themeColor="text1"/>
          <w:lang w:val="en-US"/>
        </w:rPr>
        <w:t xml:space="preserve">, whether in the formal or informal sectors. This situation is particularly prevalent among black and brown children. The Brazilian Institute of Geography and Statistics (IBGE) collected data on this phenomenon through sampling in 2023, providing an overview of the current state of child </w:t>
      </w:r>
      <w:proofErr w:type="spellStart"/>
      <w:r w:rsidRPr="5D0B50EE">
        <w:rPr>
          <w:rFonts w:ascii="Times New Roman" w:eastAsia="Times New Roman" w:hAnsi="Times New Roman" w:cs="Times New Roman"/>
          <w:color w:val="000000" w:themeColor="text1"/>
          <w:lang w:val="en-US"/>
        </w:rPr>
        <w:t>labour</w:t>
      </w:r>
      <w:proofErr w:type="spellEnd"/>
      <w:r w:rsidRPr="5D0B50EE">
        <w:rPr>
          <w:rFonts w:ascii="Times New Roman" w:eastAsia="Times New Roman" w:hAnsi="Times New Roman" w:cs="Times New Roman"/>
          <w:color w:val="000000" w:themeColor="text1"/>
          <w:lang w:val="en-US"/>
        </w:rPr>
        <w:t xml:space="preserve"> in Brazil:</w:t>
      </w:r>
    </w:p>
    <w:tbl>
      <w:tblPr>
        <w:tblStyle w:val="TableGrid"/>
        <w:tblW w:w="0" w:type="auto"/>
        <w:jc w:val="center"/>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9015"/>
      </w:tblGrid>
      <w:tr w:rsidR="5D0B50EE" w14:paraId="0A447659" w14:textId="77777777" w:rsidTr="5D0B50EE">
        <w:trPr>
          <w:trHeight w:val="300"/>
          <w:jc w:val="center"/>
        </w:trPr>
        <w:tc>
          <w:tcPr>
            <w:tcW w:w="9015" w:type="dxa"/>
          </w:tcPr>
          <w:p w14:paraId="5866648B" w14:textId="79157023" w:rsidR="5D0B50EE" w:rsidRDefault="5D0B50EE">
            <w:r>
              <w:rPr>
                <w:noProof/>
              </w:rPr>
              <w:drawing>
                <wp:inline distT="0" distB="0" distL="0" distR="0" wp14:anchorId="25804125" wp14:editId="79F5625F">
                  <wp:extent cx="5266563" cy="1419872"/>
                  <wp:effectExtent l="0" t="0" r="0" b="0"/>
                  <wp:docPr id="1191242558" name="Picture 119124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266563" cy="1419872"/>
                          </a:xfrm>
                          <a:prstGeom prst="rect">
                            <a:avLst/>
                          </a:prstGeom>
                        </pic:spPr>
                      </pic:pic>
                    </a:graphicData>
                  </a:graphic>
                </wp:inline>
              </w:drawing>
            </w:r>
          </w:p>
        </w:tc>
      </w:tr>
    </w:tbl>
    <w:p w14:paraId="76C9DCC9" w14:textId="1EA62E27" w:rsidR="4FC27832" w:rsidRDefault="4FC27832" w:rsidP="5D0B50EE">
      <w:pPr>
        <w:spacing w:after="165" w:line="257" w:lineRule="auto"/>
        <w:ind w:firstLine="708"/>
        <w:jc w:val="both"/>
        <w:rPr>
          <w:rFonts w:ascii="Calibri" w:eastAsia="Calibri" w:hAnsi="Calibri" w:cs="Calibri"/>
          <w:color w:val="000000" w:themeColor="text1"/>
          <w:lang w:val="en-US"/>
        </w:rPr>
      </w:pPr>
    </w:p>
    <w:p w14:paraId="1A9B8EC9" w14:textId="008D530B"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lastRenderedPageBreak/>
        <w:t xml:space="preserve">Although the Child and Adolescent Statute (Law 8,069/90) prohibits discrimination (Article 5) and establishes measures to be adopted in cases of suspected violence (Article 13 </w:t>
      </w:r>
      <w:r w:rsidRPr="5D0B50EE">
        <w:rPr>
          <w:rFonts w:ascii="Times New Roman" w:eastAsia="Times New Roman" w:hAnsi="Times New Roman" w:cs="Times New Roman"/>
          <w:i/>
          <w:iCs/>
          <w:color w:val="000000" w:themeColor="text1"/>
          <w:lang w:val="en-US"/>
        </w:rPr>
        <w:t>et seq.</w:t>
      </w:r>
      <w:r w:rsidRPr="5D0B50EE">
        <w:rPr>
          <w:rFonts w:ascii="Times New Roman" w:eastAsia="Times New Roman" w:hAnsi="Times New Roman" w:cs="Times New Roman"/>
          <w:color w:val="000000" w:themeColor="text1"/>
          <w:lang w:val="en-US"/>
        </w:rPr>
        <w:t xml:space="preserve">), it still lacks effective rules for the protection and </w:t>
      </w:r>
      <w:proofErr w:type="spellStart"/>
      <w:r w:rsidRPr="5D0B50EE">
        <w:rPr>
          <w:rFonts w:ascii="Times New Roman" w:eastAsia="Times New Roman" w:hAnsi="Times New Roman" w:cs="Times New Roman"/>
          <w:color w:val="000000" w:themeColor="text1"/>
          <w:lang w:val="en-US"/>
        </w:rPr>
        <w:t>defence</w:t>
      </w:r>
      <w:proofErr w:type="spellEnd"/>
      <w:r w:rsidRPr="5D0B50EE">
        <w:rPr>
          <w:rFonts w:ascii="Times New Roman" w:eastAsia="Times New Roman" w:hAnsi="Times New Roman" w:cs="Times New Roman"/>
          <w:color w:val="000000" w:themeColor="text1"/>
          <w:lang w:val="en-US"/>
        </w:rPr>
        <w:t xml:space="preserve"> of children and adolescents experiencing homelessness, taking into account their particular needs. In this context, Resolution No. 40 of 13 October 2020, issued by the National Human Rights Council (CNDH), provides fundamental guidelines, including the following legal framework:</w:t>
      </w:r>
    </w:p>
    <w:p w14:paraId="28B8E1E0" w14:textId="43319B41" w:rsidR="4FC27832" w:rsidRDefault="5D0B50EE" w:rsidP="5D0B50EE">
      <w:pPr>
        <w:spacing w:before="165" w:after="165" w:line="240" w:lineRule="auto"/>
        <w:ind w:left="1350"/>
        <w:jc w:val="both"/>
        <w:rPr>
          <w:rFonts w:ascii="Times New Roman" w:eastAsia="Times New Roman" w:hAnsi="Times New Roman" w:cs="Times New Roman"/>
          <w:color w:val="404040" w:themeColor="text1" w:themeTint="BF"/>
          <w:sz w:val="20"/>
          <w:szCs w:val="20"/>
          <w:lang w:val="en-US"/>
        </w:rPr>
      </w:pPr>
      <w:r w:rsidRPr="5D0B50EE">
        <w:rPr>
          <w:rFonts w:ascii="Times New Roman" w:eastAsia="Times New Roman" w:hAnsi="Times New Roman" w:cs="Times New Roman"/>
          <w:color w:val="404040" w:themeColor="text1" w:themeTint="BF"/>
          <w:sz w:val="20"/>
          <w:szCs w:val="20"/>
          <w:lang w:val="en-US"/>
        </w:rPr>
        <w:t xml:space="preserve">Article 1. Paragraph 2. Children and adolescents experiencing homelessness are those individuals in the process of development whose rights have been violated, and who </w:t>
      </w:r>
      <w:proofErr w:type="spellStart"/>
      <w:r w:rsidRPr="5D0B50EE">
        <w:rPr>
          <w:rFonts w:ascii="Times New Roman" w:eastAsia="Times New Roman" w:hAnsi="Times New Roman" w:cs="Times New Roman"/>
          <w:color w:val="404040" w:themeColor="text1" w:themeTint="BF"/>
          <w:sz w:val="20"/>
          <w:szCs w:val="20"/>
          <w:lang w:val="en-US"/>
        </w:rPr>
        <w:t>utilise</w:t>
      </w:r>
      <w:proofErr w:type="spellEnd"/>
      <w:r w:rsidRPr="5D0B50EE">
        <w:rPr>
          <w:rFonts w:ascii="Times New Roman" w:eastAsia="Times New Roman" w:hAnsi="Times New Roman" w:cs="Times New Roman"/>
          <w:color w:val="404040" w:themeColor="text1" w:themeTint="BF"/>
          <w:sz w:val="20"/>
          <w:szCs w:val="20"/>
          <w:lang w:val="en-US"/>
        </w:rPr>
        <w:t xml:space="preserve"> public spaces and/or degraded areas for housing or survival, whether permanently or intermittently. These individuals are in situations of vulnerability and/or personal and social risk due to the breakdown or fragility of family and community bonds, primarily in conditions of poverty or extreme poverty, with limited access to and/or permanence in public policies. These individuals are </w:t>
      </w:r>
      <w:proofErr w:type="spellStart"/>
      <w:r w:rsidRPr="5D0B50EE">
        <w:rPr>
          <w:rFonts w:ascii="Times New Roman" w:eastAsia="Times New Roman" w:hAnsi="Times New Roman" w:cs="Times New Roman"/>
          <w:color w:val="404040" w:themeColor="text1" w:themeTint="BF"/>
          <w:sz w:val="20"/>
          <w:szCs w:val="20"/>
          <w:lang w:val="en-US"/>
        </w:rPr>
        <w:t>characterised</w:t>
      </w:r>
      <w:proofErr w:type="spellEnd"/>
      <w:r w:rsidRPr="5D0B50EE">
        <w:rPr>
          <w:rFonts w:ascii="Times New Roman" w:eastAsia="Times New Roman" w:hAnsi="Times New Roman" w:cs="Times New Roman"/>
          <w:color w:val="404040" w:themeColor="text1" w:themeTint="BF"/>
          <w:sz w:val="20"/>
          <w:szCs w:val="20"/>
          <w:lang w:val="en-US"/>
        </w:rPr>
        <w:t xml:space="preserve"> by their heterogeneity in terms of gender, sexual orientation, gender identity, ethnic-racial background, religion, age, territoriality, nationality, political orientation, disability, among other factors.</w:t>
      </w:r>
    </w:p>
    <w:p w14:paraId="50513957" w14:textId="352F78B5"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Care for children and adolescents experiencing homelessness must be provided by a multidisciplinary and </w:t>
      </w:r>
      <w:proofErr w:type="spellStart"/>
      <w:r w:rsidRPr="5D0B50EE">
        <w:rPr>
          <w:rFonts w:ascii="Times New Roman" w:eastAsia="Times New Roman" w:hAnsi="Times New Roman" w:cs="Times New Roman"/>
          <w:color w:val="000000" w:themeColor="text1"/>
          <w:lang w:val="en-US"/>
        </w:rPr>
        <w:t>specialised</w:t>
      </w:r>
      <w:proofErr w:type="spellEnd"/>
      <w:r w:rsidRPr="5D0B50EE">
        <w:rPr>
          <w:rFonts w:ascii="Times New Roman" w:eastAsia="Times New Roman" w:hAnsi="Times New Roman" w:cs="Times New Roman"/>
          <w:color w:val="000000" w:themeColor="text1"/>
          <w:lang w:val="en-US"/>
        </w:rPr>
        <w:t xml:space="preserve"> team, in a coordinated and inter-institutional manner, involving shelter services, </w:t>
      </w:r>
      <w:proofErr w:type="spellStart"/>
      <w:r w:rsidRPr="5D0B50EE">
        <w:rPr>
          <w:rFonts w:ascii="Times New Roman" w:eastAsia="Times New Roman" w:hAnsi="Times New Roman" w:cs="Times New Roman"/>
          <w:color w:val="000000" w:themeColor="text1"/>
          <w:lang w:val="en-US"/>
        </w:rPr>
        <w:t>Specialised</w:t>
      </w:r>
      <w:proofErr w:type="spellEnd"/>
      <w:r w:rsidRPr="5D0B50EE">
        <w:rPr>
          <w:rFonts w:ascii="Times New Roman" w:eastAsia="Times New Roman" w:hAnsi="Times New Roman" w:cs="Times New Roman"/>
          <w:color w:val="000000" w:themeColor="text1"/>
          <w:lang w:val="en-US"/>
        </w:rPr>
        <w:t xml:space="preserve"> Social Assistance Reference </w:t>
      </w:r>
      <w:proofErr w:type="spellStart"/>
      <w:r w:rsidRPr="5D0B50EE">
        <w:rPr>
          <w:rFonts w:ascii="Times New Roman" w:eastAsia="Times New Roman" w:hAnsi="Times New Roman" w:cs="Times New Roman"/>
          <w:color w:val="000000" w:themeColor="text1"/>
          <w:lang w:val="en-US"/>
        </w:rPr>
        <w:t>Centres</w:t>
      </w:r>
      <w:proofErr w:type="spellEnd"/>
      <w:r w:rsidRPr="5D0B50EE">
        <w:rPr>
          <w:rFonts w:ascii="Times New Roman" w:eastAsia="Times New Roman" w:hAnsi="Times New Roman" w:cs="Times New Roman"/>
          <w:color w:val="000000" w:themeColor="text1"/>
          <w:lang w:val="en-US"/>
        </w:rPr>
        <w:t xml:space="preserve"> (CREAS), Guardianship Councils, schools, primary healthcare units (SUS), and other bodies of the justice system. Furthermore, access to education and healthcare for homeless children and adolescents must be </w:t>
      </w:r>
      <w:proofErr w:type="spellStart"/>
      <w:r w:rsidRPr="5D0B50EE">
        <w:rPr>
          <w:rFonts w:ascii="Times New Roman" w:eastAsia="Times New Roman" w:hAnsi="Times New Roman" w:cs="Times New Roman"/>
          <w:color w:val="000000" w:themeColor="text1"/>
          <w:lang w:val="en-US"/>
        </w:rPr>
        <w:t>prioritised</w:t>
      </w:r>
      <w:proofErr w:type="spellEnd"/>
      <w:r w:rsidRPr="5D0B50EE">
        <w:rPr>
          <w:rFonts w:ascii="Times New Roman" w:eastAsia="Times New Roman" w:hAnsi="Times New Roman" w:cs="Times New Roman"/>
          <w:color w:val="000000" w:themeColor="text1"/>
          <w:lang w:val="en-US"/>
        </w:rPr>
        <w:t xml:space="preserve"> and facilitated, including through the relaxation of requirements concerning civil documentation and proof of residence.</w:t>
      </w:r>
    </w:p>
    <w:p w14:paraId="3E2E1179" w14:textId="256D2D6A"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It is essential to underscore the importance of preserving the family unit—even when parents themselves are experiencing homelessness—and ensuring that the voice of the child is heard, with decisions guided by the principle of the best interest of the child. In this regard, CNDH Resolution No. 40/2020 provides the following:</w:t>
      </w:r>
    </w:p>
    <w:p w14:paraId="656D2A7B" w14:textId="533F72FC" w:rsidR="4FC27832" w:rsidRDefault="5D0B50EE" w:rsidP="5D0B50EE">
      <w:pPr>
        <w:spacing w:before="165" w:after="165" w:line="240" w:lineRule="auto"/>
        <w:ind w:left="1350"/>
        <w:jc w:val="both"/>
        <w:rPr>
          <w:rFonts w:ascii="Times New Roman" w:eastAsia="Times New Roman" w:hAnsi="Times New Roman" w:cs="Times New Roman"/>
          <w:color w:val="404040" w:themeColor="text1" w:themeTint="BF"/>
          <w:sz w:val="20"/>
          <w:szCs w:val="20"/>
          <w:lang w:val="en-US"/>
        </w:rPr>
      </w:pPr>
      <w:r w:rsidRPr="5D0B50EE">
        <w:rPr>
          <w:rFonts w:ascii="Times New Roman" w:eastAsia="Times New Roman" w:hAnsi="Times New Roman" w:cs="Times New Roman"/>
          <w:color w:val="404040" w:themeColor="text1" w:themeTint="BF"/>
          <w:sz w:val="20"/>
          <w:szCs w:val="20"/>
          <w:lang w:val="en-US"/>
        </w:rPr>
        <w:t xml:space="preserve">Article 128. The State must guarantee the necessary material conditions, such as housing and income, as well as </w:t>
      </w:r>
      <w:proofErr w:type="spellStart"/>
      <w:r w:rsidRPr="5D0B50EE">
        <w:rPr>
          <w:rFonts w:ascii="Times New Roman" w:eastAsia="Times New Roman" w:hAnsi="Times New Roman" w:cs="Times New Roman"/>
          <w:color w:val="404040" w:themeColor="text1" w:themeTint="BF"/>
          <w:sz w:val="20"/>
          <w:szCs w:val="20"/>
          <w:lang w:val="en-US"/>
        </w:rPr>
        <w:t>specialised</w:t>
      </w:r>
      <w:proofErr w:type="spellEnd"/>
      <w:r w:rsidRPr="5D0B50EE">
        <w:rPr>
          <w:rFonts w:ascii="Times New Roman" w:eastAsia="Times New Roman" w:hAnsi="Times New Roman" w:cs="Times New Roman"/>
          <w:color w:val="404040" w:themeColor="text1" w:themeTint="BF"/>
          <w:sz w:val="20"/>
          <w:szCs w:val="20"/>
          <w:lang w:val="en-US"/>
        </w:rPr>
        <w:t xml:space="preserve"> social and psychological support, to enable adult and adolescent women experiencing homelessness to retain custody of their children, in observance of the right to family and community life and the best interests of the child.</w:t>
      </w:r>
    </w:p>
    <w:p w14:paraId="5EABB574" w14:textId="3C502C6F" w:rsidR="4FC27832" w:rsidRDefault="5D0B50EE" w:rsidP="5D0B50EE">
      <w:pPr>
        <w:spacing w:before="165" w:after="165" w:line="240" w:lineRule="auto"/>
        <w:ind w:left="1350"/>
        <w:jc w:val="both"/>
        <w:rPr>
          <w:rFonts w:ascii="Times New Roman" w:eastAsia="Times New Roman" w:hAnsi="Times New Roman" w:cs="Times New Roman"/>
          <w:color w:val="404040" w:themeColor="text1" w:themeTint="BF"/>
          <w:sz w:val="20"/>
          <w:szCs w:val="20"/>
          <w:lang w:val="en-US"/>
        </w:rPr>
      </w:pPr>
      <w:r w:rsidRPr="5D0B50EE">
        <w:rPr>
          <w:rFonts w:ascii="Times New Roman" w:eastAsia="Times New Roman" w:hAnsi="Times New Roman" w:cs="Times New Roman"/>
          <w:color w:val="404040" w:themeColor="text1" w:themeTint="BF"/>
          <w:sz w:val="20"/>
          <w:szCs w:val="20"/>
          <w:lang w:val="en-US"/>
        </w:rPr>
        <w:t>Paragraph 1. The mere fact of experiencing homelessness shall not, in itself, constitute grounds for the removal of children from their mothers.</w:t>
      </w:r>
    </w:p>
    <w:p w14:paraId="2C11F8B8" w14:textId="606F569A" w:rsidR="4FC27832" w:rsidRDefault="5D0B50EE" w:rsidP="5D0B50EE">
      <w:pPr>
        <w:spacing w:before="165" w:after="165" w:line="240" w:lineRule="auto"/>
        <w:ind w:left="1350"/>
        <w:jc w:val="both"/>
        <w:rPr>
          <w:rFonts w:ascii="Times New Roman" w:eastAsia="Times New Roman" w:hAnsi="Times New Roman" w:cs="Times New Roman"/>
          <w:color w:val="404040" w:themeColor="text1" w:themeTint="BF"/>
          <w:sz w:val="20"/>
          <w:szCs w:val="20"/>
          <w:lang w:val="en-US"/>
        </w:rPr>
      </w:pPr>
      <w:r w:rsidRPr="5D0B50EE">
        <w:rPr>
          <w:rFonts w:ascii="Times New Roman" w:eastAsia="Times New Roman" w:hAnsi="Times New Roman" w:cs="Times New Roman"/>
          <w:color w:val="404040" w:themeColor="text1" w:themeTint="BF"/>
          <w:sz w:val="20"/>
          <w:szCs w:val="20"/>
          <w:lang w:val="en-US"/>
        </w:rPr>
        <w:t>Paragraph 2. The best interests of the child must always be linked to the right to family and community life, and measures aimed at enabling the child to remain with their parents or extended family must take precedence.</w:t>
      </w:r>
    </w:p>
    <w:p w14:paraId="6316629B" w14:textId="6B41A257" w:rsidR="4FC27832" w:rsidRDefault="5D0B50EE" w:rsidP="5D0B50EE">
      <w:pPr>
        <w:spacing w:before="165" w:after="165" w:line="240" w:lineRule="auto"/>
        <w:ind w:left="1350"/>
        <w:jc w:val="both"/>
        <w:rPr>
          <w:rFonts w:ascii="Times New Roman" w:eastAsia="Times New Roman" w:hAnsi="Times New Roman" w:cs="Times New Roman"/>
          <w:color w:val="404040" w:themeColor="text1" w:themeTint="BF"/>
          <w:sz w:val="20"/>
          <w:szCs w:val="20"/>
          <w:lang w:val="en-US"/>
        </w:rPr>
      </w:pPr>
      <w:r w:rsidRPr="5D0B50EE">
        <w:rPr>
          <w:rFonts w:ascii="Times New Roman" w:eastAsia="Times New Roman" w:hAnsi="Times New Roman" w:cs="Times New Roman"/>
          <w:color w:val="404040" w:themeColor="text1" w:themeTint="BF"/>
          <w:sz w:val="20"/>
          <w:szCs w:val="20"/>
          <w:lang w:val="en-US"/>
        </w:rPr>
        <w:t>Paragraph 3. The guarantee of the rights of women experiencing homelessness shall not be in conflict with the rights of children and adolescents experiencing homelessness.</w:t>
      </w:r>
    </w:p>
    <w:p w14:paraId="3DEE9A7F" w14:textId="747852BB"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lastRenderedPageBreak/>
        <w:t>Thus, Brazil continues to face significant challenges in ensuring the effective protection of children and adolescents experiencing homelessness. In this regard, the Working Group on the Assistance of Persons Experiencing Homelessness (GTR) presents the following recommendations:</w:t>
      </w:r>
    </w:p>
    <w:p w14:paraId="5E7CE7D5" w14:textId="02871C10" w:rsidR="4FC27832" w:rsidRDefault="5D0B50EE" w:rsidP="5D0B50EE">
      <w:pPr>
        <w:spacing w:after="165" w:line="360" w:lineRule="auto"/>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1. Expansion and strengthening of shelter networks and of mechanisms for protection and prevention, in order to proactively identify and support children and adolescents experiencing homelessness who are subjected to any form of violence, discrimination, or child </w:t>
      </w:r>
      <w:proofErr w:type="spellStart"/>
      <w:r w:rsidRPr="5D0B50EE">
        <w:rPr>
          <w:rFonts w:ascii="Times New Roman" w:eastAsia="Times New Roman" w:hAnsi="Times New Roman" w:cs="Times New Roman"/>
          <w:color w:val="000000" w:themeColor="text1"/>
          <w:lang w:val="en-US"/>
        </w:rPr>
        <w:t>labour</w:t>
      </w:r>
      <w:proofErr w:type="spellEnd"/>
      <w:r w:rsidRPr="5D0B50EE">
        <w:rPr>
          <w:rFonts w:ascii="Times New Roman" w:eastAsia="Times New Roman" w:hAnsi="Times New Roman" w:cs="Times New Roman"/>
          <w:color w:val="000000" w:themeColor="text1"/>
          <w:lang w:val="en-US"/>
        </w:rPr>
        <w:t>;</w:t>
      </w:r>
    </w:p>
    <w:p w14:paraId="7198B4EF" w14:textId="3352A5FF" w:rsidR="4FC27832" w:rsidRDefault="5D0B50EE" w:rsidP="5D0B50EE">
      <w:pPr>
        <w:spacing w:after="165" w:line="360" w:lineRule="auto"/>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2. Creation of </w:t>
      </w:r>
      <w:proofErr w:type="spellStart"/>
      <w:r w:rsidRPr="5D0B50EE">
        <w:rPr>
          <w:rFonts w:ascii="Times New Roman" w:eastAsia="Times New Roman" w:hAnsi="Times New Roman" w:cs="Times New Roman"/>
          <w:color w:val="000000" w:themeColor="text1"/>
          <w:lang w:val="en-US"/>
        </w:rPr>
        <w:t>prioritised</w:t>
      </w:r>
      <w:proofErr w:type="spellEnd"/>
      <w:r w:rsidRPr="5D0B50EE">
        <w:rPr>
          <w:rFonts w:ascii="Times New Roman" w:eastAsia="Times New Roman" w:hAnsi="Times New Roman" w:cs="Times New Roman"/>
          <w:color w:val="000000" w:themeColor="text1"/>
          <w:lang w:val="en-US"/>
        </w:rPr>
        <w:t>, de-</w:t>
      </w:r>
      <w:proofErr w:type="spellStart"/>
      <w:r w:rsidRPr="5D0B50EE">
        <w:rPr>
          <w:rFonts w:ascii="Times New Roman" w:eastAsia="Times New Roman" w:hAnsi="Times New Roman" w:cs="Times New Roman"/>
          <w:color w:val="000000" w:themeColor="text1"/>
          <w:lang w:val="en-US"/>
        </w:rPr>
        <w:t>bureaucratised</w:t>
      </w:r>
      <w:proofErr w:type="spellEnd"/>
      <w:r w:rsidRPr="5D0B50EE">
        <w:rPr>
          <w:rFonts w:ascii="Times New Roman" w:eastAsia="Times New Roman" w:hAnsi="Times New Roman" w:cs="Times New Roman"/>
          <w:color w:val="000000" w:themeColor="text1"/>
          <w:lang w:val="en-US"/>
        </w:rPr>
        <w:t xml:space="preserve">, and </w:t>
      </w:r>
      <w:proofErr w:type="spellStart"/>
      <w:r w:rsidRPr="5D0B50EE">
        <w:rPr>
          <w:rFonts w:ascii="Times New Roman" w:eastAsia="Times New Roman" w:hAnsi="Times New Roman" w:cs="Times New Roman"/>
          <w:color w:val="000000" w:themeColor="text1"/>
          <w:lang w:val="en-US"/>
        </w:rPr>
        <w:t>humanised</w:t>
      </w:r>
      <w:proofErr w:type="spellEnd"/>
      <w:r w:rsidRPr="5D0B50EE">
        <w:rPr>
          <w:rFonts w:ascii="Times New Roman" w:eastAsia="Times New Roman" w:hAnsi="Times New Roman" w:cs="Times New Roman"/>
          <w:color w:val="000000" w:themeColor="text1"/>
          <w:lang w:val="en-US"/>
        </w:rPr>
        <w:t xml:space="preserve"> procedures to assist homeless families within the areas of social assistance, health, education, and justice;</w:t>
      </w:r>
    </w:p>
    <w:p w14:paraId="46B44FA7" w14:textId="27816090" w:rsidR="4FC27832" w:rsidRDefault="5D0B50EE" w:rsidP="5D0B50EE">
      <w:pPr>
        <w:spacing w:after="165" w:line="360" w:lineRule="auto"/>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3. Adoption of measures to promote family preservation, whenever possible and in accordance with the best interests of the child or adolescent;</w:t>
      </w:r>
    </w:p>
    <w:p w14:paraId="3189BC39" w14:textId="5B4E39A3" w:rsidR="4FC27832" w:rsidRDefault="5D0B50EE" w:rsidP="5D0B50EE">
      <w:pPr>
        <w:spacing w:after="165" w:line="360" w:lineRule="auto"/>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4. Facilitation of access to essential public services for children and adolescents, regardless of the absence of civil documentation or proof of fixed residence, including when unaccompanied by a parent or guardian.</w:t>
      </w:r>
    </w:p>
    <w:p w14:paraId="21919346" w14:textId="420C7136" w:rsidR="4FC27832" w:rsidRDefault="4FC27832" w:rsidP="4FC27832">
      <w:pPr>
        <w:spacing w:line="360" w:lineRule="auto"/>
        <w:jc w:val="both"/>
        <w:rPr>
          <w:rFonts w:ascii="Times New Roman" w:eastAsia="Times New Roman" w:hAnsi="Times New Roman" w:cs="Times New Roman"/>
          <w:b/>
          <w:bCs/>
          <w:lang w:val="en-US"/>
        </w:rPr>
      </w:pPr>
    </w:p>
    <w:p w14:paraId="0D8BD025" w14:textId="54EA5931" w:rsidR="64912F7C" w:rsidRDefault="5D0B50EE" w:rsidP="5D0B50EE">
      <w:pPr>
        <w:spacing w:line="360" w:lineRule="auto"/>
        <w:jc w:val="both"/>
        <w:rPr>
          <w:rFonts w:ascii="Times New Roman" w:eastAsia="Times New Roman" w:hAnsi="Times New Roman" w:cs="Times New Roman"/>
          <w:color w:val="FF0000"/>
          <w:lang w:val="en-US"/>
        </w:rPr>
      </w:pPr>
      <w:r w:rsidRPr="5D0B50EE">
        <w:rPr>
          <w:rFonts w:ascii="Times New Roman" w:eastAsia="Times New Roman" w:hAnsi="Times New Roman" w:cs="Times New Roman"/>
          <w:b/>
          <w:bCs/>
          <w:u w:val="single"/>
          <w:lang w:val="en-US"/>
        </w:rPr>
        <w:t>Contributions of the Advisory Office for Special Projects and Partnerships</w:t>
      </w:r>
    </w:p>
    <w:p w14:paraId="51842A2C" w14:textId="5D43D2F5"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w:t>
      </w:r>
      <w:r w:rsidRPr="5D0B50EE">
        <w:rPr>
          <w:rFonts w:ascii="Times New Roman" w:eastAsia="Times New Roman" w:hAnsi="Times New Roman" w:cs="Times New Roman"/>
          <w:i/>
          <w:iCs/>
          <w:color w:val="000000" w:themeColor="text1"/>
          <w:lang w:val="en-US"/>
        </w:rPr>
        <w:t>Caravan of Rights in the Reconstruction of Rio Grande do Sul</w:t>
      </w:r>
      <w:r w:rsidRPr="5D0B50EE">
        <w:rPr>
          <w:rFonts w:ascii="Times New Roman" w:eastAsia="Times New Roman" w:hAnsi="Times New Roman" w:cs="Times New Roman"/>
          <w:color w:val="000000" w:themeColor="text1"/>
          <w:lang w:val="en-US"/>
        </w:rPr>
        <w:t xml:space="preserve">” was established by the Federal Public Defenders’ Office (DPU) with the purpose of strengthening the provision of full and free legal assistance to residents of municipalities in the state of Rio Grande do Sul affected by the 2024 floods. In pursuit of this objective,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adopted the following strategies:</w:t>
      </w:r>
    </w:p>
    <w:p w14:paraId="7B5759FD" w14:textId="1540D1A5" w:rsidR="4FC27832" w:rsidRDefault="5D0B50EE" w:rsidP="5D0B50EE">
      <w:pPr>
        <w:spacing w:after="0" w:line="360" w:lineRule="auto"/>
        <w:ind w:left="720" w:hanging="360"/>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1. the implementation of a centralized virtual assistance channel for the affected population, made available through the DPU Citizen app and WhatsApp;</w:t>
      </w:r>
    </w:p>
    <w:p w14:paraId="02FBF6FC" w14:textId="22BA3F0C" w:rsidR="4FC27832" w:rsidRDefault="5D0B50EE" w:rsidP="5D0B50EE">
      <w:pPr>
        <w:spacing w:after="165" w:line="360" w:lineRule="auto"/>
        <w:ind w:left="720" w:hanging="360"/>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2. The execution of 90 missions in the most severely affected locations in order to reach those in need in a proactive manner, 15 of which were carried out in affected Indigenous and </w:t>
      </w:r>
      <w:proofErr w:type="spellStart"/>
      <w:r w:rsidRPr="5D0B50EE">
        <w:rPr>
          <w:rFonts w:ascii="Times New Roman" w:eastAsia="Times New Roman" w:hAnsi="Times New Roman" w:cs="Times New Roman"/>
          <w:color w:val="000000" w:themeColor="text1"/>
          <w:lang w:val="en-US"/>
        </w:rPr>
        <w:t>Quilombola</w:t>
      </w:r>
      <w:proofErr w:type="spellEnd"/>
      <w:r w:rsidRPr="5D0B50EE">
        <w:rPr>
          <w:rFonts w:ascii="Times New Roman" w:eastAsia="Times New Roman" w:hAnsi="Times New Roman" w:cs="Times New Roman"/>
          <w:color w:val="000000" w:themeColor="text1"/>
          <w:lang w:val="en-US"/>
        </w:rPr>
        <w:t xml:space="preserve"> communities affected by the disaster.</w:t>
      </w:r>
    </w:p>
    <w:p w14:paraId="2B5BA62C" w14:textId="465513DF"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Although the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strategy was not specifically aimed at children, it is evident that the results achieved—by benefiting families—also extended to children within those </w:t>
      </w:r>
      <w:r w:rsidRPr="5D0B50EE">
        <w:rPr>
          <w:rFonts w:ascii="Times New Roman" w:eastAsia="Times New Roman" w:hAnsi="Times New Roman" w:cs="Times New Roman"/>
          <w:color w:val="000000" w:themeColor="text1"/>
          <w:lang w:val="en-US"/>
        </w:rPr>
        <w:lastRenderedPageBreak/>
        <w:t xml:space="preserve">family units. Regarding the </w:t>
      </w:r>
      <w:proofErr w:type="spellStart"/>
      <w:r w:rsidRPr="5D0B50EE">
        <w:rPr>
          <w:rFonts w:ascii="Times New Roman" w:eastAsia="Times New Roman" w:hAnsi="Times New Roman" w:cs="Times New Roman"/>
          <w:color w:val="000000" w:themeColor="text1"/>
          <w:lang w:val="en-US"/>
        </w:rPr>
        <w:t>programme’s</w:t>
      </w:r>
      <w:proofErr w:type="spellEnd"/>
      <w:r w:rsidRPr="5D0B50EE">
        <w:rPr>
          <w:rFonts w:ascii="Times New Roman" w:eastAsia="Times New Roman" w:hAnsi="Times New Roman" w:cs="Times New Roman"/>
          <w:color w:val="000000" w:themeColor="text1"/>
          <w:lang w:val="en-US"/>
        </w:rPr>
        <w:t xml:space="preserve"> outcomes, the DPU carried out 32,640 initial consultations, 21,591 follow-up consultations, and 6,934 psychosocial consultations. Notably, 13,870 (66.05%) of the individuals assisted were women. This data highlights the gender dimension present in situations of social and economic vulnerability during emergencies, indicating that women—often responsible for family care and household management—may be more likely to seek institutional support in times of crisis.</w:t>
      </w:r>
    </w:p>
    <w:p w14:paraId="153335A6" w14:textId="6CAC21B6"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It is important to note that the overwhelming majority of services provided were related to the </w:t>
      </w:r>
      <w:r w:rsidRPr="5D0B50EE">
        <w:rPr>
          <w:rFonts w:ascii="Times New Roman" w:eastAsia="Times New Roman" w:hAnsi="Times New Roman" w:cs="Times New Roman"/>
          <w:i/>
          <w:iCs/>
          <w:color w:val="000000" w:themeColor="text1"/>
          <w:lang w:val="en-US"/>
        </w:rPr>
        <w:t>Reconstruction Aid</w:t>
      </w:r>
      <w:r w:rsidRPr="5D0B50EE">
        <w:rPr>
          <w:rFonts w:ascii="Times New Roman" w:eastAsia="Times New Roman" w:hAnsi="Times New Roman" w:cs="Times New Roman"/>
          <w:color w:val="000000" w:themeColor="text1"/>
          <w:lang w:val="en-US"/>
        </w:rPr>
        <w:t>, a benefit created by the Federal Government through Provisional Measure No. 1,221, aimed at families residing in areas affected by the floods. In addition, there were benefits instituted by the government of the state of Rio Grande do Sul, likewise intended to support those affected by the disaster, amounting to BRL 5,100.00. The range of issues addressed in the follow-up services demonstrates the breadth and significance of the DPU’s role in supporting vulnerable populations in emergency contexts.</w:t>
      </w:r>
    </w:p>
    <w:p w14:paraId="1AD9031B" w14:textId="7397D37F"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5D0B50EE">
        <w:rPr>
          <w:rFonts w:ascii="Times New Roman" w:eastAsia="Times New Roman" w:hAnsi="Times New Roman" w:cs="Times New Roman"/>
          <w:color w:val="000000" w:themeColor="text1"/>
          <w:lang w:val="en-US"/>
        </w:rPr>
        <w:t xml:space="preserve">Furthermore, although income was not a criterion for accessing assistance under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more than half of those assisted had a low </w:t>
      </w:r>
      <w:r w:rsidRPr="5D0B50EE">
        <w:rPr>
          <w:rFonts w:ascii="Times New Roman" w:eastAsia="Times New Roman" w:hAnsi="Times New Roman" w:cs="Times New Roman"/>
          <w:b/>
          <w:bCs/>
          <w:color w:val="000000" w:themeColor="text1"/>
          <w:lang w:val="en-US"/>
        </w:rPr>
        <w:t>per capita</w:t>
      </w:r>
      <w:r w:rsidRPr="5D0B50EE">
        <w:rPr>
          <w:rFonts w:ascii="Times New Roman" w:eastAsia="Times New Roman" w:hAnsi="Times New Roman" w:cs="Times New Roman"/>
          <w:color w:val="000000" w:themeColor="text1"/>
          <w:lang w:val="en-US"/>
        </w:rPr>
        <w:t xml:space="preserve"> income (up to BRL 651.00). It is well known that, in situations of financial vulnerability, children are often among those most affected, facing risks such as malnutrition, lack of access to quality education, and increased exposure to exploitation and abuse. In this regard, it is essential to highlight the importance of the </w:t>
      </w:r>
      <w:proofErr w:type="spellStart"/>
      <w:r w:rsidRPr="5D0B50EE">
        <w:rPr>
          <w:rFonts w:ascii="Times New Roman" w:eastAsia="Times New Roman" w:hAnsi="Times New Roman" w:cs="Times New Roman"/>
          <w:color w:val="000000" w:themeColor="text1"/>
          <w:lang w:val="en-US"/>
        </w:rPr>
        <w:t>programme</w:t>
      </w:r>
      <w:proofErr w:type="spellEnd"/>
      <w:r w:rsidRPr="5D0B50EE">
        <w:rPr>
          <w:rFonts w:ascii="Times New Roman" w:eastAsia="Times New Roman" w:hAnsi="Times New Roman" w:cs="Times New Roman"/>
          <w:color w:val="000000" w:themeColor="text1"/>
          <w:lang w:val="en-US"/>
        </w:rPr>
        <w:t xml:space="preserve"> for the most socioeconomically vulnerable segments of the population and to underscore the relevance of the DPU as an institutional actor committed to the promotion of social justice.</w:t>
      </w:r>
    </w:p>
    <w:p w14:paraId="318F90E8" w14:textId="48CB6711" w:rsidR="4FC27832" w:rsidRDefault="5D0B50EE" w:rsidP="5D0B50EE">
      <w:pPr>
        <w:spacing w:after="165" w:line="360" w:lineRule="auto"/>
        <w:ind w:firstLine="708"/>
        <w:jc w:val="both"/>
        <w:rPr>
          <w:rFonts w:ascii="Times New Roman" w:eastAsia="Times New Roman" w:hAnsi="Times New Roman" w:cs="Times New Roman"/>
          <w:color w:val="000000" w:themeColor="text1"/>
          <w:lang w:val="en-US"/>
        </w:rPr>
      </w:pPr>
      <w:r w:rsidRPr="6277BF9C">
        <w:rPr>
          <w:rFonts w:ascii="Times New Roman" w:eastAsia="Times New Roman" w:hAnsi="Times New Roman" w:cs="Times New Roman"/>
          <w:color w:val="000000" w:themeColor="text1"/>
          <w:lang w:val="en-US"/>
        </w:rPr>
        <w:t>By supporting families in addressing their legal and social needs, the DPU contributes to mitigating risk factors that may compromise the well-being of children. Moreover, the DPU’s role as a promoter of social justice strengthens the social protection network, which is fundamental to ensuring that children’s rights are respected and protected.</w:t>
      </w:r>
    </w:p>
    <w:p w14:paraId="66BAD36A" w14:textId="4C6BA829" w:rsidR="6277BF9C" w:rsidRDefault="6277BF9C" w:rsidP="6277BF9C">
      <w:pPr>
        <w:spacing w:after="165" w:line="360" w:lineRule="auto"/>
        <w:ind w:firstLine="708"/>
        <w:jc w:val="both"/>
        <w:rPr>
          <w:rFonts w:ascii="Times New Roman" w:eastAsia="Times New Roman" w:hAnsi="Times New Roman" w:cs="Times New Roman"/>
          <w:color w:val="000000" w:themeColor="text1"/>
          <w:lang w:val="en-US"/>
        </w:rPr>
      </w:pPr>
    </w:p>
    <w:p w14:paraId="68674EC0" w14:textId="58E4B3DC" w:rsidR="37192F85" w:rsidRDefault="37192F85" w:rsidP="6277BF9C">
      <w:pPr>
        <w:spacing w:after="165" w:line="360" w:lineRule="auto"/>
        <w:ind w:firstLine="708"/>
        <w:jc w:val="both"/>
        <w:rPr>
          <w:rFonts w:ascii="Times New Roman" w:eastAsia="Times New Roman" w:hAnsi="Times New Roman" w:cs="Times New Roman"/>
          <w:color w:val="000000" w:themeColor="text1"/>
          <w:lang w:val="en-US"/>
        </w:rPr>
      </w:pPr>
      <w:r w:rsidRPr="6277BF9C">
        <w:rPr>
          <w:rFonts w:ascii="Times New Roman" w:eastAsia="Times New Roman" w:hAnsi="Times New Roman" w:cs="Times New Roman"/>
          <w:color w:val="000000" w:themeColor="text1"/>
          <w:lang w:val="en-US"/>
        </w:rPr>
        <w:t>_____________________________________________________________________</w:t>
      </w:r>
    </w:p>
    <w:p w14:paraId="4775BBFF" w14:textId="5BEE098A" w:rsidR="6277BF9C" w:rsidRDefault="6277BF9C" w:rsidP="6277BF9C">
      <w:pPr>
        <w:spacing w:after="165" w:line="360" w:lineRule="auto"/>
        <w:ind w:firstLine="708"/>
        <w:jc w:val="both"/>
        <w:rPr>
          <w:rFonts w:ascii="Times New Roman" w:eastAsia="Times New Roman" w:hAnsi="Times New Roman" w:cs="Times New Roman"/>
          <w:color w:val="000000" w:themeColor="text1"/>
          <w:lang w:val="en-US"/>
        </w:rPr>
      </w:pPr>
    </w:p>
    <w:p w14:paraId="79120801" w14:textId="05104621" w:rsidR="6277BF9C" w:rsidRDefault="6277BF9C" w:rsidP="6277BF9C">
      <w:pPr>
        <w:spacing w:after="165" w:line="360" w:lineRule="auto"/>
        <w:ind w:firstLine="708"/>
        <w:jc w:val="both"/>
        <w:rPr>
          <w:rFonts w:ascii="Times New Roman" w:eastAsia="Times New Roman" w:hAnsi="Times New Roman" w:cs="Times New Roman"/>
          <w:color w:val="000000" w:themeColor="text1"/>
          <w:lang w:val="en-US"/>
        </w:rPr>
      </w:pPr>
    </w:p>
    <w:p w14:paraId="22527F54" w14:textId="18ABF4D2" w:rsidR="6277BF9C" w:rsidRDefault="6277BF9C" w:rsidP="6277BF9C">
      <w:pPr>
        <w:spacing w:after="165" w:line="360" w:lineRule="auto"/>
        <w:ind w:firstLine="708"/>
        <w:jc w:val="both"/>
        <w:rPr>
          <w:rFonts w:ascii="Times New Roman" w:eastAsia="Times New Roman" w:hAnsi="Times New Roman" w:cs="Times New Roman"/>
          <w:color w:val="000000" w:themeColor="text1"/>
          <w:lang w:val="en-US"/>
        </w:rPr>
      </w:pPr>
    </w:p>
    <w:p w14:paraId="57D2840B" w14:textId="0314D1BC" w:rsidR="6277BF9C" w:rsidRDefault="6277BF9C" w:rsidP="6277BF9C">
      <w:pPr>
        <w:spacing w:after="165" w:line="360" w:lineRule="auto"/>
        <w:ind w:firstLine="708"/>
        <w:jc w:val="both"/>
        <w:rPr>
          <w:rFonts w:ascii="Times New Roman" w:eastAsia="Times New Roman" w:hAnsi="Times New Roman" w:cs="Times New Roman"/>
          <w:color w:val="000000" w:themeColor="text1"/>
          <w:lang w:val="en-US"/>
        </w:rPr>
      </w:pPr>
    </w:p>
    <w:sectPr w:rsidR="6277BF9C">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F353" w14:textId="77777777" w:rsidR="00773141" w:rsidRDefault="00773141">
      <w:pPr>
        <w:spacing w:after="0" w:line="240" w:lineRule="auto"/>
      </w:pPr>
      <w:r>
        <w:separator/>
      </w:r>
    </w:p>
  </w:endnote>
  <w:endnote w:type="continuationSeparator" w:id="0">
    <w:p w14:paraId="659767CD" w14:textId="77777777" w:rsidR="00773141" w:rsidRDefault="00773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C27832" w14:paraId="7CEB6472" w14:textId="77777777" w:rsidTr="4FC27832">
      <w:trPr>
        <w:trHeight w:val="300"/>
      </w:trPr>
      <w:tc>
        <w:tcPr>
          <w:tcW w:w="3005" w:type="dxa"/>
        </w:tcPr>
        <w:p w14:paraId="42E06FDC" w14:textId="276C9233" w:rsidR="4FC27832" w:rsidRDefault="4FC27832" w:rsidP="4FC27832">
          <w:pPr>
            <w:pStyle w:val="Header"/>
            <w:ind w:left="-115"/>
          </w:pPr>
        </w:p>
      </w:tc>
      <w:tc>
        <w:tcPr>
          <w:tcW w:w="3005" w:type="dxa"/>
        </w:tcPr>
        <w:p w14:paraId="1C45F896" w14:textId="2BC8CD90" w:rsidR="4FC27832" w:rsidRDefault="4FC27832" w:rsidP="4FC27832">
          <w:pPr>
            <w:pStyle w:val="Header"/>
            <w:jc w:val="center"/>
          </w:pPr>
        </w:p>
      </w:tc>
      <w:tc>
        <w:tcPr>
          <w:tcW w:w="3005" w:type="dxa"/>
        </w:tcPr>
        <w:p w14:paraId="64290AED" w14:textId="69BB9169" w:rsidR="4FC27832" w:rsidRDefault="4FC27832" w:rsidP="4FC27832">
          <w:pPr>
            <w:pStyle w:val="Header"/>
            <w:ind w:right="-115"/>
            <w:jc w:val="right"/>
          </w:pPr>
        </w:p>
      </w:tc>
    </w:tr>
  </w:tbl>
  <w:p w14:paraId="75FF15A9" w14:textId="0385A27E" w:rsidR="4FC27832" w:rsidRDefault="4FC27832" w:rsidP="4FC27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FB65" w14:textId="77777777" w:rsidR="00773141" w:rsidRDefault="00773141">
      <w:pPr>
        <w:spacing w:after="0" w:line="240" w:lineRule="auto"/>
      </w:pPr>
      <w:r>
        <w:separator/>
      </w:r>
    </w:p>
  </w:footnote>
  <w:footnote w:type="continuationSeparator" w:id="0">
    <w:p w14:paraId="7545D205" w14:textId="77777777" w:rsidR="00773141" w:rsidRDefault="00773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975"/>
      <w:gridCol w:w="7125"/>
      <w:gridCol w:w="915"/>
    </w:tblGrid>
    <w:tr w:rsidR="4FC27832" w14:paraId="04F64988" w14:textId="77777777" w:rsidTr="4FC27832">
      <w:trPr>
        <w:trHeight w:val="300"/>
      </w:trPr>
      <w:tc>
        <w:tcPr>
          <w:tcW w:w="975" w:type="dxa"/>
        </w:tcPr>
        <w:p w14:paraId="522ED9B3" w14:textId="7BBD075A" w:rsidR="4FC27832" w:rsidRDefault="4FC27832" w:rsidP="4FC27832">
          <w:pPr>
            <w:pStyle w:val="Header"/>
            <w:ind w:left="-115"/>
          </w:pPr>
        </w:p>
      </w:tc>
      <w:tc>
        <w:tcPr>
          <w:tcW w:w="7125" w:type="dxa"/>
        </w:tcPr>
        <w:p w14:paraId="745C361B" w14:textId="6C5B85C3" w:rsidR="4FC27832" w:rsidRDefault="4FC27832" w:rsidP="4FC27832">
          <w:pPr>
            <w:jc w:val="center"/>
          </w:pPr>
          <w:r>
            <w:rPr>
              <w:noProof/>
            </w:rPr>
            <w:drawing>
              <wp:inline distT="0" distB="0" distL="0" distR="0" wp14:anchorId="40D1305A" wp14:editId="17666877">
                <wp:extent cx="1765984" cy="745858"/>
                <wp:effectExtent l="0" t="0" r="0" b="0"/>
                <wp:docPr id="903644931" name="Picture 90364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65984" cy="745858"/>
                        </a:xfrm>
                        <a:prstGeom prst="rect">
                          <a:avLst/>
                        </a:prstGeom>
                      </pic:spPr>
                    </pic:pic>
                  </a:graphicData>
                </a:graphic>
              </wp:inline>
            </w:drawing>
          </w:r>
        </w:p>
      </w:tc>
      <w:tc>
        <w:tcPr>
          <w:tcW w:w="915" w:type="dxa"/>
        </w:tcPr>
        <w:p w14:paraId="77C88B80" w14:textId="3BA03B00" w:rsidR="4FC27832" w:rsidRDefault="4FC27832" w:rsidP="4FC27832">
          <w:pPr>
            <w:pStyle w:val="Header"/>
            <w:ind w:right="-115"/>
            <w:jc w:val="right"/>
          </w:pPr>
        </w:p>
      </w:tc>
    </w:tr>
  </w:tbl>
  <w:p w14:paraId="6A6879B7" w14:textId="1645DEED" w:rsidR="4FC27832" w:rsidRDefault="4FC27832" w:rsidP="4FC27832">
    <w:pPr>
      <w:pStyle w:val="Header"/>
    </w:pPr>
  </w:p>
</w:hdr>
</file>

<file path=word/intelligence2.xml><?xml version="1.0" encoding="utf-8"?>
<int2:intelligence xmlns:int2="http://schemas.microsoft.com/office/intelligence/2020/intelligence" xmlns:oel="http://schemas.microsoft.com/office/2019/extlst">
  <int2:observations>
    <int2:textHash int2:hashCode="MyiGOuDCesIGls" int2:id="XABq6CZ6">
      <int2:state int2:value="Rejected" int2:type="AugLoop_Text_Critique"/>
    </int2:textHash>
    <int2:textHash int2:hashCode="J7DJhZSPj0fEqY" int2:id="LSjUU8u7">
      <int2:state int2:value="Rejected" int2:type="AugLoop_Text_Critique"/>
    </int2:textHash>
    <int2:textHash int2:hashCode="5JA3sS8B4KHvGB" int2:id="cUgwThrd">
      <int2:state int2:value="Rejected" int2:type="AugLoop_Text_Critique"/>
    </int2:textHash>
    <int2:textHash int2:hashCode="VpbBD9Y7Yg/+Rz" int2:id="I2L0BqNM">
      <int2:state int2:value="Rejected" int2:type="AugLoop_Text_Critique"/>
    </int2:textHash>
    <int2:textHash int2:hashCode="8LTZ8KejK/eOkE" int2:id="FjrVzhgl">
      <int2:state int2:value="Rejected" int2:type="AugLoop_Text_Critique"/>
    </int2:textHash>
    <int2:textHash int2:hashCode="dNl2TIW3Rejzos" int2:id="r4p8WbsC">
      <int2:state int2:value="Rejected" int2:type="AugLoop_Text_Critique"/>
    </int2:textHash>
    <int2:textHash int2:hashCode="d6kUw1d5CZfRW3" int2:id="ksQQGuX0">
      <int2:state int2:value="Rejected" int2:type="AugLoop_Text_Critique"/>
    </int2:textHash>
    <int2:textHash int2:hashCode="dTMYk25FDKaJFW" int2:id="bCJVG6Y6">
      <int2:state int2:value="Rejected" int2:type="AugLoop_Text_Critique"/>
    </int2:textHash>
    <int2:textHash int2:hashCode="GjBmCT5BKSRfbr" int2:id="nEV3QdDT">
      <int2:state int2:value="Rejected" int2:type="AugLoop_Text_Critique"/>
    </int2:textHash>
    <int2:textHash int2:hashCode="a/5zvfVsRRA62w" int2:id="IVuhVi1X">
      <int2:state int2:value="Rejected" int2:type="AugLoop_Text_Critique"/>
    </int2:textHash>
    <int2:textHash int2:hashCode="4xq5Y7E9/Q7OOY" int2:id="RamDP0sE">
      <int2:state int2:value="Rejected" int2:type="AugLoop_Text_Critique"/>
    </int2:textHash>
    <int2:textHash int2:hashCode="g+z3FUeg0QVwn7" int2:id="Ptp1Sbs8">
      <int2:state int2:value="Rejected" int2:type="AugLoop_Text_Critique"/>
    </int2:textHash>
    <int2:textHash int2:hashCode="b2ba90TYWvoxCX" int2:id="Mfs5aaTM">
      <int2:state int2:value="Rejected" int2:type="AugLoop_Text_Critique"/>
    </int2:textHash>
    <int2:textHash int2:hashCode="ni8UUdXdlt6RIo" int2:id="EIuS2U2r">
      <int2:state int2:value="Rejected" int2:type="AugLoop_Text_Critique"/>
    </int2:textHash>
    <int2:textHash int2:hashCode="wi2A+vZDzDpcbR" int2:id="HaImpkh8">
      <int2:state int2:value="Rejected" int2:type="AugLoop_Text_Critique"/>
    </int2:textHash>
    <int2:textHash int2:hashCode="OrtZNwJC/JiGrS" int2:id="EnjEDox9">
      <int2:state int2:value="Rejected" int2:type="AugLoop_Text_Critique"/>
    </int2:textHash>
    <int2:bookmark int2:bookmarkName="_Int_gYS28eic" int2:invalidationBookmarkName="" int2:hashCode="ppTLZut1qOxWho" int2:id="STimlzop">
      <int2:state int2:value="Rejected" int2:type="AugLoop_Text_Critique"/>
    </int2:bookmark>
    <int2:bookmark int2:bookmarkName="_Int_WmQ0nCmw" int2:invalidationBookmarkName="" int2:hashCode="OLYr5L3apWYcfW" int2:id="eRLLc5Ui">
      <int2:state int2:value="Rejected" int2:type="AugLoop_Text_Critique"/>
    </int2:bookmark>
    <int2:bookmark int2:bookmarkName="_Int_kW5cAF7i" int2:invalidationBookmarkName="" int2:hashCode="A5r7UjOonCryc9" int2:id="cIUaIZ7h">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DA3033"/>
    <w:rsid w:val="0007B2BD"/>
    <w:rsid w:val="00530C81"/>
    <w:rsid w:val="00531CD0"/>
    <w:rsid w:val="00763C5C"/>
    <w:rsid w:val="00773141"/>
    <w:rsid w:val="00BD3559"/>
    <w:rsid w:val="033F416E"/>
    <w:rsid w:val="061D1EDD"/>
    <w:rsid w:val="06EAC328"/>
    <w:rsid w:val="0D185DC6"/>
    <w:rsid w:val="0D4F19E0"/>
    <w:rsid w:val="0D9602D2"/>
    <w:rsid w:val="131B7E52"/>
    <w:rsid w:val="14166579"/>
    <w:rsid w:val="149C7B9E"/>
    <w:rsid w:val="14E9E993"/>
    <w:rsid w:val="1543E828"/>
    <w:rsid w:val="18E1F72B"/>
    <w:rsid w:val="18EA06E3"/>
    <w:rsid w:val="2041368A"/>
    <w:rsid w:val="2087641F"/>
    <w:rsid w:val="22805964"/>
    <w:rsid w:val="22CF39AD"/>
    <w:rsid w:val="23BFBA44"/>
    <w:rsid w:val="27254675"/>
    <w:rsid w:val="2A68C3E3"/>
    <w:rsid w:val="2B96D819"/>
    <w:rsid w:val="2C310425"/>
    <w:rsid w:val="2EA9C24A"/>
    <w:rsid w:val="3170EEF1"/>
    <w:rsid w:val="34652EFE"/>
    <w:rsid w:val="3541DA4A"/>
    <w:rsid w:val="361051F7"/>
    <w:rsid w:val="37192F85"/>
    <w:rsid w:val="3735DE81"/>
    <w:rsid w:val="3795C62F"/>
    <w:rsid w:val="38B195BD"/>
    <w:rsid w:val="3B69D274"/>
    <w:rsid w:val="3CF84D96"/>
    <w:rsid w:val="3D6F1E59"/>
    <w:rsid w:val="3EB7C25D"/>
    <w:rsid w:val="47DECAAE"/>
    <w:rsid w:val="490E522B"/>
    <w:rsid w:val="4ACA5E6E"/>
    <w:rsid w:val="4DC05288"/>
    <w:rsid w:val="4FC27832"/>
    <w:rsid w:val="508269FF"/>
    <w:rsid w:val="56DA5748"/>
    <w:rsid w:val="57DA3033"/>
    <w:rsid w:val="58EB4EAD"/>
    <w:rsid w:val="5A304341"/>
    <w:rsid w:val="5BF04C5F"/>
    <w:rsid w:val="5C22EB45"/>
    <w:rsid w:val="5D0B50EE"/>
    <w:rsid w:val="605A4965"/>
    <w:rsid w:val="62120D8A"/>
    <w:rsid w:val="6277BF9C"/>
    <w:rsid w:val="64912F7C"/>
    <w:rsid w:val="64A1AD1A"/>
    <w:rsid w:val="64E2BB33"/>
    <w:rsid w:val="6717F380"/>
    <w:rsid w:val="67280DBB"/>
    <w:rsid w:val="69A4FEAC"/>
    <w:rsid w:val="6A2BA719"/>
    <w:rsid w:val="6C8B70BD"/>
    <w:rsid w:val="6FB15B87"/>
    <w:rsid w:val="727B65DB"/>
    <w:rsid w:val="73293CC8"/>
    <w:rsid w:val="7B3FDBE1"/>
    <w:rsid w:val="7FA6DD1F"/>
    <w:rsid w:val="7FCBC161"/>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A3033"/>
  <w15:chartTrackingRefBased/>
  <w15:docId w15:val="{9E8B4709-421D-4CB0-AFF4-25503229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FC27832"/>
    <w:rPr>
      <w:color w:val="467886"/>
      <w:u w:val="single"/>
    </w:rPr>
  </w:style>
  <w:style w:type="paragraph" w:styleId="Header">
    <w:name w:val="header"/>
    <w:basedOn w:val="Normal"/>
    <w:uiPriority w:val="99"/>
    <w:unhideWhenUsed/>
    <w:rsid w:val="4FC27832"/>
    <w:pPr>
      <w:tabs>
        <w:tab w:val="center" w:pos="4680"/>
        <w:tab w:val="right" w:pos="9360"/>
      </w:tabs>
      <w:spacing w:after="0" w:line="240" w:lineRule="auto"/>
    </w:pPr>
  </w:style>
  <w:style w:type="paragraph" w:styleId="Footer">
    <w:name w:val="footer"/>
    <w:basedOn w:val="Normal"/>
    <w:uiPriority w:val="99"/>
    <w:unhideWhenUsed/>
    <w:rsid w:val="4FC2783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i.dpu.def.br/sei/controlador.php?acao=documento_visualizar&amp;acao_origem=procedimento_visualizar&amp;id_documento=10000008483267&amp;arvore=1&amp;infra_sistema=100000100&amp;infra_unidade_atual=110000923&amp;infra_hash=7422109ceab4520f6db895cbe96dd6706a11f7c3597aeddfcc9730a00b2e2ce2" TargetMode="External"/><Relationship Id="rId13" Type="http://schemas.openxmlformats.org/officeDocument/2006/relationships/image" Target="media/image4.png"/><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sei.dpu.def.br/sei/controlador.php?acao=documento_visualizar&amp;acao_origem=procedimento_visualizar&amp;id_documento=10000008483267&amp;arvore=1&amp;infra_sistema=100000100&amp;infra_unidade_atual=110000923&amp;infra_hash=7422109ceab4520f6db895cbe96dd6706a11f7c3597aeddfcc9730a00b2e2ce2"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ei.dpu.def.br/sei/controlador.php?acao=documento_visualizar&amp;acao_origem=procedimento_visualizar&amp;id_documento=10000008483267&amp;arvore=1&amp;infra_sistema=100000100&amp;infra_unidade_atual=110000923&amp;infra_hash=7422109ceab4520f6db895cbe96dd6706a11f7c3597aeddfcc9730a00b2e2ce2"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sei.dpu.def.br/sei/controlador.php?acao=documento_visualizar&amp;acao_origem=procedimento_visualizar&amp;id_documento=10000008483267&amp;arvore=1&amp;infra_sistema=100000100&amp;infra_unidade_atual=110000923&amp;infra_hash=7422109ceab4520f6db895cbe96dd6706a11f7c3597aeddfcc9730a00b2e2ce2"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8774</Words>
  <Characters>50013</Characters>
  <Application>Microsoft Office Word</Application>
  <DocSecurity>0</DocSecurity>
  <Lines>416</Lines>
  <Paragraphs>117</Paragraphs>
  <ScaleCrop>false</ScaleCrop>
  <Company/>
  <LinksUpToDate>false</LinksUpToDate>
  <CharactersWithSpaces>58670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Milena Ferreira Rodrigues</dc:creator>
  <cp:keywords/>
  <dc:description/>
  <cp:lastModifiedBy>James Boit</cp:lastModifiedBy>
  <cp:revision>2</cp:revision>
  <dcterms:created xsi:type="dcterms:W3CDTF">2025-05-05T09:57:00Z</dcterms:created>
  <dcterms:modified xsi:type="dcterms:W3CDTF">2025-05-05T09:57:00Z</dcterms:modified>
</cp:coreProperties>
</file>