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pPr>
      <w:r w:rsidDel="00000000" w:rsidR="00000000" w:rsidRPr="00000000">
        <w:rPr>
          <w:rtl w:val="0"/>
        </w:rPr>
      </w:r>
    </w:p>
    <w:tbl>
      <w:tblPr>
        <w:tblStyle w:val="Table1"/>
        <w:tblW w:w="7320.0" w:type="dxa"/>
        <w:jc w:val="left"/>
        <w:tblInd w:w="-7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20"/>
        <w:tblGridChange w:id="0">
          <w:tblGrid>
            <w:gridCol w:w="7320"/>
          </w:tblGrid>
        </w:tblGridChange>
      </w:tblGrid>
      <w:tr>
        <w:trPr>
          <w:cantSplit w:val="0"/>
          <w:trHeight w:val="1350" w:hRule="atLeast"/>
          <w:tblHeader w:val="0"/>
        </w:trPr>
        <w:tc>
          <w:tcPr>
            <w:tcBorders>
              <w:top w:color="000000" w:space="0" w:sz="0" w:val="nil"/>
              <w:left w:color="5b9bd5" w:space="0" w:sz="10" w:val="single"/>
              <w:bottom w:color="000000" w:space="0" w:sz="0" w:val="nil"/>
              <w:right w:color="000000" w:space="0" w:sz="0" w:val="nil"/>
            </w:tcBorders>
            <w:tcMar>
              <w:top w:w="220.0" w:type="dxa"/>
              <w:left w:w="120.0" w:type="dxa"/>
              <w:bottom w:w="220.0" w:type="dxa"/>
              <w:right w:w="120.0" w:type="dxa"/>
            </w:tcMar>
            <w:vAlign w:val="top"/>
          </w:tcPr>
          <w:p w:rsidR="00000000" w:rsidDel="00000000" w:rsidP="00000000" w:rsidRDefault="00000000" w:rsidRPr="00000000" w14:paraId="00000002">
            <w:pPr>
              <w:jc w:val="center"/>
              <w:rPr>
                <w:b w:val="1"/>
                <w:color w:val="002060"/>
                <w:sz w:val="40"/>
                <w:szCs w:val="40"/>
              </w:rPr>
            </w:pPr>
            <w:r w:rsidDel="00000000" w:rsidR="00000000" w:rsidRPr="00000000">
              <w:rPr>
                <w:b w:val="1"/>
                <w:color w:val="002060"/>
                <w:sz w:val="40"/>
                <w:szCs w:val="40"/>
                <w:rtl w:val="0"/>
              </w:rPr>
              <w:t xml:space="preserve">INFORME ALTERNATIVO ACTUALIZADO 2023</w:t>
            </w:r>
          </w:p>
          <w:p w:rsidR="00000000" w:rsidDel="00000000" w:rsidP="00000000" w:rsidRDefault="00000000" w:rsidRPr="00000000" w14:paraId="00000003">
            <w:pPr>
              <w:jc w:val="center"/>
              <w:rPr>
                <w:b w:val="1"/>
                <w:color w:val="002060"/>
                <w:sz w:val="40"/>
                <w:szCs w:val="40"/>
              </w:rPr>
            </w:pPr>
            <w:r w:rsidDel="00000000" w:rsidR="00000000" w:rsidRPr="00000000">
              <w:rPr>
                <w:b w:val="1"/>
                <w:color w:val="002060"/>
                <w:sz w:val="40"/>
                <w:szCs w:val="40"/>
                <w:rtl w:val="0"/>
              </w:rPr>
              <w:t xml:space="preserve">CEDAW, Guatemala</w:t>
            </w:r>
          </w:p>
        </w:tc>
      </w:tr>
      <w:tr>
        <w:trPr>
          <w:cantSplit w:val="0"/>
          <w:trHeight w:val="3945" w:hRule="atLeast"/>
          <w:tblHeader w:val="0"/>
        </w:trPr>
        <w:tc>
          <w:tcPr>
            <w:tcBorders>
              <w:top w:color="000000" w:space="0" w:sz="0" w:val="nil"/>
              <w:left w:color="5b9bd5" w:space="0" w:sz="10" w:val="single"/>
              <w:bottom w:color="000000" w:space="0" w:sz="0" w:val="nil"/>
              <w:right w:color="000000" w:space="0" w:sz="0" w:val="nil"/>
            </w:tcBorders>
            <w:tcMar>
              <w:top w:w="0.0" w:type="dxa"/>
              <w:left w:w="140.0" w:type="dxa"/>
              <w:bottom w:w="0.0" w:type="dxa"/>
              <w:right w:w="120.0" w:type="dxa"/>
            </w:tcMar>
            <w:vAlign w:val="top"/>
          </w:tcPr>
          <w:p w:rsidR="00000000" w:rsidDel="00000000" w:rsidP="00000000" w:rsidRDefault="00000000" w:rsidRPr="00000000" w14:paraId="00000004">
            <w:pPr>
              <w:spacing w:line="216" w:lineRule="auto"/>
              <w:jc w:val="center"/>
              <w:rPr>
                <w:b w:val="1"/>
                <w:color w:val="002060"/>
                <w:sz w:val="60"/>
                <w:szCs w:val="60"/>
              </w:rPr>
            </w:pPr>
            <w:r w:rsidDel="00000000" w:rsidR="00000000" w:rsidRPr="00000000">
              <w:rPr>
                <w:b w:val="1"/>
                <w:color w:val="002060"/>
                <w:sz w:val="60"/>
                <w:szCs w:val="60"/>
                <w:rtl w:val="0"/>
              </w:rPr>
              <w:t xml:space="preserve">MUJERES RURALES</w:t>
            </w:r>
          </w:p>
          <w:p w:rsidR="00000000" w:rsidDel="00000000" w:rsidP="00000000" w:rsidRDefault="00000000" w:rsidRPr="00000000" w14:paraId="00000005">
            <w:pPr>
              <w:spacing w:line="216" w:lineRule="auto"/>
              <w:jc w:val="center"/>
              <w:rPr>
                <w:b w:val="1"/>
                <w:color w:val="002060"/>
                <w:sz w:val="54"/>
                <w:szCs w:val="54"/>
              </w:rPr>
            </w:pPr>
            <w:r w:rsidDel="00000000" w:rsidR="00000000" w:rsidRPr="00000000">
              <w:rPr>
                <w:b w:val="1"/>
                <w:color w:val="002060"/>
                <w:sz w:val="54"/>
                <w:szCs w:val="54"/>
                <w:rtl w:val="0"/>
              </w:rPr>
              <w:t xml:space="preserve">Acceso a tierra,</w:t>
            </w:r>
          </w:p>
          <w:p w:rsidR="00000000" w:rsidDel="00000000" w:rsidP="00000000" w:rsidRDefault="00000000" w:rsidRPr="00000000" w14:paraId="00000006">
            <w:pPr>
              <w:spacing w:line="216" w:lineRule="auto"/>
              <w:jc w:val="center"/>
              <w:rPr>
                <w:b w:val="1"/>
                <w:color w:val="002060"/>
                <w:sz w:val="54"/>
                <w:szCs w:val="54"/>
              </w:rPr>
            </w:pPr>
            <w:r w:rsidDel="00000000" w:rsidR="00000000" w:rsidRPr="00000000">
              <w:rPr>
                <w:b w:val="1"/>
                <w:color w:val="002060"/>
                <w:sz w:val="54"/>
                <w:szCs w:val="54"/>
                <w:rtl w:val="0"/>
              </w:rPr>
              <w:t xml:space="preserve">presupuesto para el desarrollo,</w:t>
            </w:r>
          </w:p>
          <w:p w:rsidR="00000000" w:rsidDel="00000000" w:rsidP="00000000" w:rsidRDefault="00000000" w:rsidRPr="00000000" w14:paraId="00000007">
            <w:pPr>
              <w:spacing w:line="216" w:lineRule="auto"/>
              <w:jc w:val="center"/>
              <w:rPr>
                <w:b w:val="1"/>
                <w:color w:val="002060"/>
                <w:sz w:val="54"/>
                <w:szCs w:val="54"/>
              </w:rPr>
            </w:pPr>
            <w:r w:rsidDel="00000000" w:rsidR="00000000" w:rsidRPr="00000000">
              <w:rPr>
                <w:b w:val="1"/>
                <w:color w:val="002060"/>
                <w:sz w:val="54"/>
                <w:szCs w:val="54"/>
                <w:rtl w:val="0"/>
              </w:rPr>
              <w:t xml:space="preserve">participación en espacios de decisión,  </w:t>
            </w:r>
          </w:p>
          <w:p w:rsidR="00000000" w:rsidDel="00000000" w:rsidP="00000000" w:rsidRDefault="00000000" w:rsidRPr="00000000" w14:paraId="00000008">
            <w:pPr>
              <w:spacing w:line="216" w:lineRule="auto"/>
              <w:jc w:val="center"/>
              <w:rPr>
                <w:b w:val="1"/>
                <w:color w:val="002060"/>
                <w:sz w:val="54"/>
                <w:szCs w:val="54"/>
              </w:rPr>
            </w:pPr>
            <w:r w:rsidDel="00000000" w:rsidR="00000000" w:rsidRPr="00000000">
              <w:rPr>
                <w:b w:val="1"/>
                <w:color w:val="002060"/>
                <w:sz w:val="54"/>
                <w:szCs w:val="54"/>
                <w:rtl w:val="0"/>
              </w:rPr>
              <w:t xml:space="preserve">criminalización y acceso a la Justicia de defensoras</w:t>
            </w:r>
          </w:p>
          <w:p w:rsidR="00000000" w:rsidDel="00000000" w:rsidP="00000000" w:rsidRDefault="00000000" w:rsidRPr="00000000" w14:paraId="00000009">
            <w:pPr>
              <w:spacing w:line="216" w:lineRule="auto"/>
              <w:jc w:val="center"/>
              <w:rPr>
                <w:b w:val="1"/>
                <w:color w:val="002060"/>
                <w:sz w:val="54"/>
                <w:szCs w:val="54"/>
              </w:rPr>
            </w:pPr>
            <w:r w:rsidDel="00000000" w:rsidR="00000000" w:rsidRPr="00000000">
              <w:rPr>
                <w:rtl w:val="0"/>
              </w:rPr>
            </w:r>
          </w:p>
        </w:tc>
      </w:tr>
    </w:tbl>
    <w:p w:rsidR="00000000" w:rsidDel="00000000" w:rsidP="00000000" w:rsidRDefault="00000000" w:rsidRPr="00000000" w14:paraId="0000000A">
      <w:pPr>
        <w:spacing w:after="240" w:before="240" w:lineRule="auto"/>
        <w:rPr/>
      </w:pPr>
      <w:r w:rsidDel="00000000" w:rsidR="00000000" w:rsidRPr="00000000">
        <w:rPr/>
        <w:drawing>
          <wp:inline distB="114300" distT="114300" distL="114300" distR="114300">
            <wp:extent cx="5461450" cy="2967038"/>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461450" cy="2967038"/>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spacing w:after="240" w:before="240" w:lineRule="auto"/>
        <w:jc w:val="both"/>
        <w:rPr>
          <w:b w:val="1"/>
          <w:sz w:val="24"/>
          <w:szCs w:val="24"/>
        </w:rPr>
      </w:pPr>
      <w:r w:rsidDel="00000000" w:rsidR="00000000" w:rsidRPr="00000000">
        <w:rPr>
          <w:b w:val="1"/>
          <w:sz w:val="24"/>
          <w:szCs w:val="24"/>
          <w:rtl w:val="0"/>
        </w:rPr>
        <w:t xml:space="preserve">Presentación</w:t>
      </w:r>
    </w:p>
    <w:p w:rsidR="00000000" w:rsidDel="00000000" w:rsidP="00000000" w:rsidRDefault="00000000" w:rsidRPr="00000000" w14:paraId="0000000C">
      <w:pPr>
        <w:spacing w:after="240" w:before="24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 1982 Guatemala ratificó la Convención sobre la Eliminación de todas las Formas de Discriminación contra la Mujer. Las brechas de desigualdad social y de género en lugar de bajar aumentan y la discriminación contra las mujeres, mujeres rurales, indígenas, campesinas en Guatemala sigue siendo un problema histórico estructural. Las mujeres siguen enfrentando prácticas y actitudes de exclusión y restricción para el acceso a la tierra, presupuesto para el desarrollo de las mujeres, las familias, comunidades y los diversos territorios.  Existe una baja participación en los espacios de decisión, pero, además, son perseguidas, criminalizadas y judicializadas por la defensa de los territorios y bienes naturales, por ejercer el derecho a defender derechos. Esta práctica se aplica a todos los defensores de derechos, pero en el caso particular de las Mujeres Rurales, las condiciones de vida se ven más afectadas por estos hechos.</w:t>
      </w:r>
    </w:p>
    <w:p w:rsidR="00000000" w:rsidDel="00000000" w:rsidP="00000000" w:rsidRDefault="00000000" w:rsidRPr="00000000" w14:paraId="0000000D">
      <w:pPr>
        <w:spacing w:after="240" w:before="24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 diciembre del año 2021 el Estado de Guatemala presentó el X informe periódico en virtud del artículo 18 de la Convención. Posteriormente, el 3 de noviembre de 2022 se llevó a cabo la sesión de trabajo para la conformación de la lista de cuestiones y preguntas de parte del Comité al Estado guatemalteco. El Estado brindó respuesta a dichos requerimientos a principios de 2023. Dentro de sus respuestas no se evidencia aún claridad en temas de acceso a la tierra de mujeres rurales, participación efectiva y criminalización a mujeres defensoras de la tierra y el territorio</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Es por ello que desde las organizaciones campesinas y de mujeres rurales e indígenas se decidió actualizar el informe alternativo que se presentó el año pasado para la sesión 85 de trabajo, haciendo énfasis sobre tres temas que fueron determinados como relevantes desde el Comité y que fueron respondidos en distintas medidas desde el Estado.</w:t>
      </w:r>
      <w:r w:rsidDel="00000000" w:rsidR="00000000" w:rsidRPr="00000000">
        <w:rPr>
          <w:rtl w:val="0"/>
        </w:rPr>
      </w:r>
    </w:p>
    <w:p w:rsidR="00000000" w:rsidDel="00000000" w:rsidP="00000000" w:rsidRDefault="00000000" w:rsidRPr="00000000" w14:paraId="0000000E">
      <w:pPr>
        <w:spacing w:after="240" w:before="24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 informe es representativo de la realidad de las mujeres rurales e indígenas de Guatemala, pues parte de datos recolectados revisados y analizados de informes, estadísticas oficiales del país, del Índice de Gobernanza de la Tierra – LANDex  y con los aportes pasados y actualizados de diversas organizaciones de mujeres rurales: Mamá Maquín, Asociación de Mujeres Tejiendo Fuerzas por el Buen Vivir -</w:t>
      </w:r>
      <w:r w:rsidDel="00000000" w:rsidR="00000000" w:rsidRPr="00000000">
        <w:rPr>
          <w:rFonts w:ascii="Times New Roman" w:cs="Times New Roman" w:eastAsia="Times New Roman" w:hAnsi="Times New Roman"/>
          <w:rtl w:val="0"/>
        </w:rPr>
        <w:t xml:space="preserve">ASOMTEVI</w:t>
      </w:r>
      <w:r w:rsidDel="00000000" w:rsidR="00000000" w:rsidRPr="00000000">
        <w:rPr>
          <w:rFonts w:ascii="Times New Roman" w:cs="Times New Roman" w:eastAsia="Times New Roman" w:hAnsi="Times New Roman"/>
          <w:rtl w:val="0"/>
        </w:rPr>
        <w:t xml:space="preserve">-, Comité Campesino del Altiplano -CCDA-, Comité de Desarrollo Campesino -CODECA-, Unión Verapacense de Organizaciones Campesinas -UVOC-,  Plataforma </w:t>
      </w:r>
      <w:r w:rsidDel="00000000" w:rsidR="00000000" w:rsidRPr="00000000">
        <w:rPr>
          <w:rFonts w:ascii="Times New Roman" w:cs="Times New Roman" w:eastAsia="Times New Roman" w:hAnsi="Times New Roman"/>
          <w:rtl w:val="0"/>
        </w:rPr>
        <w:t xml:space="preserve">LeyDem</w:t>
      </w:r>
      <w:r w:rsidDel="00000000" w:rsidR="00000000" w:rsidRPr="00000000">
        <w:rPr>
          <w:rFonts w:ascii="Times New Roman" w:cs="Times New Roman" w:eastAsia="Times New Roman" w:hAnsi="Times New Roman"/>
          <w:rtl w:val="0"/>
        </w:rPr>
        <w:t xml:space="preserve">, Central de Organizaciones Campesinas </w:t>
      </w:r>
      <w:r w:rsidDel="00000000" w:rsidR="00000000" w:rsidRPr="00000000">
        <w:rPr>
          <w:rFonts w:ascii="Times New Roman" w:cs="Times New Roman" w:eastAsia="Times New Roman" w:hAnsi="Times New Roman"/>
          <w:rtl w:val="0"/>
        </w:rPr>
        <w:t xml:space="preserve">Chorti</w:t>
      </w:r>
      <w:r w:rsidDel="00000000" w:rsidR="00000000" w:rsidRPr="00000000">
        <w:rPr>
          <w:rFonts w:ascii="Times New Roman" w:cs="Times New Roman" w:eastAsia="Times New Roman" w:hAnsi="Times New Roman"/>
          <w:rtl w:val="0"/>
        </w:rPr>
        <w:t xml:space="preserve">´ Nuevo Día, Coordinación de ONG y Cooperativas -CONGCOOP-</w:t>
      </w:r>
      <w:r w:rsidDel="00000000" w:rsidR="00000000" w:rsidRPr="00000000">
        <w:rPr>
          <w:rFonts w:ascii="Times New Roman" w:cs="Times New Roman" w:eastAsia="Times New Roman" w:hAnsi="Times New Roman"/>
          <w:rtl w:val="0"/>
        </w:rPr>
        <w:t xml:space="preserve">. En comparación al anterior informe presentado, el actual documento solo se enfoca en tres temas, a saber: acceso a la tierra de mujeres rurales, participación y criminalización por ser temas que desde la perspectiva de las organizaciones no han sido abordados satisfactoriamente en las respuestas del Estado a lo solicitado por el Comité.</w:t>
      </w:r>
    </w:p>
    <w:p w:rsidR="00000000" w:rsidDel="00000000" w:rsidP="00000000" w:rsidRDefault="00000000" w:rsidRPr="00000000" w14:paraId="0000000F">
      <w:pPr>
        <w:spacing w:after="240" w:before="24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Estado de Guatemala debe cumplir con los compromisos para garantizar la eliminación de toda forma de discriminación contra las mujeres; las brechas de desigualdad social, de género y etarias se complejizan para las mujeres de los pueblos Maya, Xinka, Garifuna, Afrodescendientes, mestizas, campesinas, rurales porque las políticas y los programas orientados a superar los altos niveles de pobreza y extrema pobreza son insuficientes, con alcance limitado o en algunos territorios inexistentes. El porcentaje de mujeres que se beneficia es muy bajo a pesar de ser más de la mitad de la población. </w:t>
      </w:r>
    </w:p>
    <w:p w:rsidR="00000000" w:rsidDel="00000000" w:rsidP="00000000" w:rsidRDefault="00000000" w:rsidRPr="00000000" w14:paraId="00000010">
      <w:pPr>
        <w:spacing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after="240" w:before="240"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spacing w:after="240" w:before="24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Introducción</w:t>
      </w:r>
    </w:p>
    <w:p w:rsidR="00000000" w:rsidDel="00000000" w:rsidP="00000000" w:rsidRDefault="00000000" w:rsidRPr="00000000" w14:paraId="00000013">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Acceso a la tierra, participación de las mujeres rurales y criminalización hacia las mujeres</w:t>
      </w:r>
    </w:p>
    <w:p w:rsidR="00000000" w:rsidDel="00000000" w:rsidP="00000000" w:rsidRDefault="00000000" w:rsidRPr="00000000" w14:paraId="0000001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51.5% (7,679,190) de la población guatemalteca son mujeres, el 48.5% (14,901,286 habitantes), son hombres, el 68% de la población es joven, menor de 30 años. La ENCOVI 2014 (Encuesta de Condiciones de Vida), reflejó que la población rural es el 51.52%. </w:t>
      </w:r>
    </w:p>
    <w:p w:rsidR="00000000" w:rsidDel="00000000" w:rsidP="00000000" w:rsidRDefault="00000000" w:rsidRPr="00000000" w14:paraId="0000001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falta de acceso a la tierra y otros medios para la producción de alimentos e ingresos para satisfacer necesidades básicas continúa siendo una de las causas más profundas de la desigualdad y discriminación hacia las mujeres. Uno de los principales problemas que enfrentan las mujeres es el sistema patriarcal que no genera las condiciones para que las mujeres puedan ser propietarias de la tierra, ni los recursos necesarios para producirla ya que no se valora su rol en la economía local o nacional, ni se les reconoce como sujetas de derechos.</w:t>
      </w:r>
    </w:p>
    <w:p w:rsidR="00000000" w:rsidDel="00000000" w:rsidP="00000000" w:rsidRDefault="00000000" w:rsidRPr="00000000" w14:paraId="0000001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Los efectos de la falta de tierra para cultivo, vivienda, desarrollo de las mujeres, conlleva a la migración o a la adaptación de otras formas de búsqueda de recursos para cubrir sus necesidades, el número de mujeres desempleadas en relación a los hombres es un indicador de desigualdad, asimismo el salario de las mujeres continúa siendo menor al de los hombres, teniendo como consecuencia que las mujeres migren de sus territorios hacia las áreas urbanas a ofrecer su fuerza de trabajo en servicios domésticos o bien su ingreso a la economía informal sin salario, sin prestaciones, ni seguro social.</w:t>
      </w:r>
    </w:p>
    <w:p w:rsidR="00000000" w:rsidDel="00000000" w:rsidP="00000000" w:rsidRDefault="00000000" w:rsidRPr="00000000" w14:paraId="0000001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Estado de Guatemala, sigue ausente en la generación de condiciones técnicas, tecnológicas, económicas y financieras para las mujeres; a la fecha no se cuenta con programas específicos para el desarrollo de las mujeres, pese a que se han asignado recursos económicos, según el presupuesto general de ingresos y egresos de la nación. Sin embargo, éstos no se ven reflejados en políticas, programas o planes en los cuales las beneficiarias directas sean las mujeres rurales, indígenas y campesinas.</w:t>
      </w:r>
    </w:p>
    <w:p w:rsidR="00000000" w:rsidDel="00000000" w:rsidP="00000000" w:rsidRDefault="00000000" w:rsidRPr="00000000" w14:paraId="0000001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hay paridad </w:t>
      </w:r>
      <w:r w:rsidDel="00000000" w:rsidR="00000000" w:rsidRPr="00000000">
        <w:rPr>
          <w:rFonts w:ascii="Times New Roman" w:cs="Times New Roman" w:eastAsia="Times New Roman" w:hAnsi="Times New Roman"/>
          <w:rtl w:val="0"/>
        </w:rPr>
        <w:t xml:space="preserve">y</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alternabilidad </w:t>
      </w:r>
      <w:r w:rsidDel="00000000" w:rsidR="00000000" w:rsidRPr="00000000">
        <w:rPr>
          <w:rFonts w:ascii="Times New Roman" w:cs="Times New Roman" w:eastAsia="Times New Roman" w:hAnsi="Times New Roman"/>
          <w:rtl w:val="0"/>
        </w:rPr>
        <w:t xml:space="preserve">en espacios de toma de decisión ni para optar a puestos públicos en donde se promueva la participación en igualdad de condiciones y oportunidades.  Por eso, la participación de las mujeres en los espacios de decisión sigue siendo muy baja. Las mujeres llegan a participar en los espacios de decisión con asignación de los roles tradicionales, sin poder de decisión, pese a que son las mujeres, quienes más participan en las actividades comunitarias para defender los derechos y territorio.</w:t>
      </w:r>
    </w:p>
    <w:p w:rsidR="00000000" w:rsidDel="00000000" w:rsidP="00000000" w:rsidRDefault="00000000" w:rsidRPr="00000000" w14:paraId="0000001E">
      <w:pPr>
        <w:spacing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spacing w:after="240" w:before="240" w:line="276"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Acceso a la tierra de m</w:t>
      </w:r>
      <w:r w:rsidDel="00000000" w:rsidR="00000000" w:rsidRPr="00000000">
        <w:rPr>
          <w:rFonts w:ascii="Times New Roman" w:cs="Times New Roman" w:eastAsia="Times New Roman" w:hAnsi="Times New Roman"/>
          <w:b w:val="1"/>
          <w:rtl w:val="0"/>
        </w:rPr>
        <w:t xml:space="preserve">ujeres rurales, mayas, garífunas, xinkas, afrodescendientes y mestizas</w:t>
      </w:r>
    </w:p>
    <w:p w:rsidR="00000000" w:rsidDel="00000000" w:rsidP="00000000" w:rsidRDefault="00000000" w:rsidRPr="00000000" w14:paraId="00000020">
      <w:pPr>
        <w:spacing w:after="240" w:before="240" w:line="276"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i w:val="1"/>
          <w:rtl w:val="0"/>
        </w:rPr>
        <w:t xml:space="preserve">Disponibilidad de información sobre acceso a la tierra</w:t>
      </w:r>
      <w:r w:rsidDel="00000000" w:rsidR="00000000" w:rsidRPr="00000000">
        <w:rPr>
          <w:rFonts w:ascii="Times New Roman" w:cs="Times New Roman" w:eastAsia="Times New Roman" w:hAnsi="Times New Roman"/>
          <w:b w:val="1"/>
          <w:rtl w:val="0"/>
        </w:rPr>
        <w:t xml:space="preserve"> </w:t>
      </w:r>
      <w:r w:rsidDel="00000000" w:rsidR="00000000" w:rsidRPr="00000000">
        <w:rPr>
          <w:rtl w:val="0"/>
        </w:rPr>
      </w:r>
    </w:p>
    <w:p w:rsidR="00000000" w:rsidDel="00000000" w:rsidP="00000000" w:rsidRDefault="00000000" w:rsidRPr="00000000" w14:paraId="00000021">
      <w:pPr>
        <w:numPr>
          <w:ilvl w:val="0"/>
          <w:numId w:val="1"/>
        </w:numPr>
        <w:spacing w:after="0" w:afterAutospacing="0" w:before="24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El Comité CEDAW dentro de su lista de cuestiones y preguntas al Estado, le solicitó - en su numeral 17. a) - indicar las medidas adoptadas para mejorar el acceso de las mujeres y niñas del medio rural a servicios básicos como los medios de empoderamiento y la tierra. El Estado en su respuesta, en el numeral 115 hace la única mención al tema de tierras, facilitando información sobre los </w:t>
      </w:r>
      <w:r w:rsidDel="00000000" w:rsidR="00000000" w:rsidRPr="00000000">
        <w:rPr>
          <w:rFonts w:ascii="Times New Roman" w:cs="Times New Roman" w:eastAsia="Times New Roman" w:hAnsi="Times New Roman"/>
          <w:b w:val="1"/>
          <w:rtl w:val="0"/>
        </w:rPr>
        <w:t xml:space="preserve">hogares </w:t>
      </w:r>
      <w:r w:rsidDel="00000000" w:rsidR="00000000" w:rsidRPr="00000000">
        <w:rPr>
          <w:rFonts w:ascii="Times New Roman" w:cs="Times New Roman" w:eastAsia="Times New Roman" w:hAnsi="Times New Roman"/>
          <w:rtl w:val="0"/>
        </w:rPr>
        <w:t xml:space="preserve">beneficiados a partir del accionar del Fondo de Tierras, sin especificar o desagregar por </w:t>
      </w:r>
      <w:r w:rsidDel="00000000" w:rsidR="00000000" w:rsidRPr="00000000">
        <w:rPr>
          <w:rFonts w:ascii="Times New Roman" w:cs="Times New Roman" w:eastAsia="Times New Roman" w:hAnsi="Times New Roman"/>
          <w:rtl w:val="0"/>
        </w:rPr>
        <w:t xml:space="preserve">sexo</w:t>
      </w:r>
      <w:r w:rsidDel="00000000" w:rsidR="00000000" w:rsidRPr="00000000">
        <w:rPr>
          <w:rFonts w:ascii="Times New Roman" w:cs="Times New Roman" w:eastAsia="Times New Roman" w:hAnsi="Times New Roman"/>
          <w:rtl w:val="0"/>
        </w:rPr>
        <w:t xml:space="preserve"> la información.</w:t>
        <w:br w:type="textWrapping"/>
      </w:r>
    </w:p>
    <w:p w:rsidR="00000000" w:rsidDel="00000000" w:rsidP="00000000" w:rsidRDefault="00000000" w:rsidRPr="00000000" w14:paraId="00000022">
      <w:pPr>
        <w:numPr>
          <w:ilvl w:val="0"/>
          <w:numId w:val="1"/>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La respuesta del Estado evidencia que no se cuenta con información reciente ni desagregada por sexo en lo que se refiere al acceso a la tierra. El último Censo Nacional Agropecuario en Gutemala data de 2003 y no cuenta con información desagregada por sexo y mucho menos por </w:t>
      </w:r>
      <w:r w:rsidDel="00000000" w:rsidR="00000000" w:rsidRPr="00000000">
        <w:rPr>
          <w:rFonts w:ascii="Times New Roman" w:cs="Times New Roman" w:eastAsia="Times New Roman" w:hAnsi="Times New Roman"/>
          <w:rtl w:val="0"/>
        </w:rPr>
        <w:t xml:space="preserve">pueblo</w:t>
      </w:r>
      <w:r w:rsidDel="00000000" w:rsidR="00000000" w:rsidRPr="00000000">
        <w:rPr>
          <w:rFonts w:ascii="Times New Roman" w:cs="Times New Roman" w:eastAsia="Times New Roman" w:hAnsi="Times New Roman"/>
          <w:rtl w:val="0"/>
        </w:rPr>
        <w:t xml:space="preserve">, que dé cuenta sobre quién tiene el poder sobre los medios productivos. </w:t>
        <w:br w:type="textWrapping"/>
      </w:r>
    </w:p>
    <w:p w:rsidR="00000000" w:rsidDel="00000000" w:rsidP="00000000" w:rsidRDefault="00000000" w:rsidRPr="00000000" w14:paraId="00000023">
      <w:pPr>
        <w:numPr>
          <w:ilvl w:val="0"/>
          <w:numId w:val="1"/>
        </w:numPr>
        <w:spacing w:after="0" w:afterAutospacing="0" w:before="0" w:beforeAutospacing="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porcentaje de mujeres participantes en programas de acceso a tierra ha sido limitado a través de la historia, desde la Colonia no se les ha permitido tener derecho a los pueblos originarios, campesinos principalmente mujeres, sino lo contrario han sido víctimas de despojo sistemático, en el programa del Instituto Nacional de Transformación Agraria INTA de 1962 – 1996 solo el 8% de los títulos de propiedad fueron otorgados a mujeres productoras, en la fundación del centavo en 1984 el 1% y en el periodo de 1998 a 2014 en el programa de Acceso a Tierras del Fondo de Tierras solo el 10.76%. (Castillo Huertas, 2015).</w:t>
        <w:br w:type="textWrapping"/>
      </w:r>
    </w:p>
    <w:p w:rsidR="00000000" w:rsidDel="00000000" w:rsidP="00000000" w:rsidRDefault="00000000" w:rsidRPr="00000000" w14:paraId="00000024">
      <w:pPr>
        <w:numPr>
          <w:ilvl w:val="0"/>
          <w:numId w:val="1"/>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La información disponible muestra que del total de hogares en el país (3.35 millones de hogares), el 45.6% se ubican en el área rural y del total de hogares el 30% tiene por lo menos un productor o productora agropecuario; 167,097 hogares no poseen tierra</w:t>
      </w:r>
      <w:r w:rsidDel="00000000" w:rsidR="00000000" w:rsidRPr="00000000">
        <w:rPr>
          <w:rFonts w:ascii="Times New Roman" w:cs="Times New Roman" w:eastAsia="Times New Roman" w:hAnsi="Times New Roman"/>
          <w:vertAlign w:val="superscript"/>
        </w:rPr>
        <w:footnoteReference w:customMarkFollows="0" w:id="0"/>
      </w:r>
      <w:r w:rsidDel="00000000" w:rsidR="00000000" w:rsidRPr="00000000">
        <w:rPr>
          <w:rFonts w:ascii="Times New Roman" w:cs="Times New Roman" w:eastAsia="Times New Roman" w:hAnsi="Times New Roman"/>
          <w:rtl w:val="0"/>
        </w:rPr>
        <w:t xml:space="preserve">; el 72% viven en condición de pobreza general; el 30% en pobreza extrema; el 60% pertenece a un pueblo indígena; y el 7% tiene como jefatura a una mujer, de acuerdo con datos de la Encuesta Nacional de Agricultura ENA 2019-202</w:t>
      </w:r>
      <w:r w:rsidDel="00000000" w:rsidR="00000000" w:rsidRPr="00000000">
        <w:rPr>
          <w:rFonts w:ascii="Times New Roman" w:cs="Times New Roman" w:eastAsia="Times New Roman" w:hAnsi="Times New Roman"/>
          <w:color w:val="ff0000"/>
          <w:rtl w:val="0"/>
        </w:rPr>
        <w:t xml:space="preserve">0</w:t>
      </w:r>
      <w:r w:rsidDel="00000000" w:rsidR="00000000" w:rsidRPr="00000000">
        <w:rPr>
          <w:rFonts w:ascii="Times New Roman" w:cs="Times New Roman" w:eastAsia="Times New Roman" w:hAnsi="Times New Roman"/>
          <w:rtl w:val="0"/>
        </w:rPr>
        <w:t xml:space="preserve">. Desde las expresiones organizativas de mujeres y sociedad civil, se han presentado propuestas para mejorar la información relacionada al acceso de la tierra para las mujeres, sin embargo, no se cuenta con avances significativos que den muestra por parte de la institucionalidad pública. </w:t>
        <w:br w:type="textWrapping"/>
      </w:r>
    </w:p>
    <w:p w:rsidR="00000000" w:rsidDel="00000000" w:rsidP="00000000" w:rsidRDefault="00000000" w:rsidRPr="00000000" w14:paraId="00000025">
      <w:pPr>
        <w:numPr>
          <w:ilvl w:val="0"/>
          <w:numId w:val="1"/>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 pesar de la limitada información oficial, otras iniciativas de datos evidencian situaciones preocupantes frente al acceso y seguridad de la tenencia de la tierra de las mujeres rurales en Guatemala. Teniendo en cuenta los resultados de las encuestas aplicadas en espacios rurales de la primera ola de recolección de Prindex</w:t>
      </w:r>
      <w:r w:rsidDel="00000000" w:rsidR="00000000" w:rsidRPr="00000000">
        <w:rPr>
          <w:rFonts w:ascii="Times New Roman" w:cs="Times New Roman" w:eastAsia="Times New Roman" w:hAnsi="Times New Roman"/>
          <w:vertAlign w:val="superscript"/>
        </w:rPr>
        <w:footnoteReference w:customMarkFollows="0" w:id="1"/>
      </w:r>
      <w:r w:rsidDel="00000000" w:rsidR="00000000" w:rsidRPr="00000000">
        <w:rPr>
          <w:rFonts w:ascii="Times New Roman" w:cs="Times New Roman" w:eastAsia="Times New Roman" w:hAnsi="Times New Roman"/>
          <w:rtl w:val="0"/>
        </w:rPr>
        <w:t xml:space="preserve">, en las áreas rurales, las mujeres tienen un 5,5% menos de probabilidad de poseer algún tipo de documentación y se sienten menos seguras que los hombres.</w:t>
        <w:br w:type="textWrapping"/>
      </w:r>
    </w:p>
    <w:p w:rsidR="00000000" w:rsidDel="00000000" w:rsidP="00000000" w:rsidRDefault="00000000" w:rsidRPr="00000000" w14:paraId="00000026">
      <w:pPr>
        <w:numPr>
          <w:ilvl w:val="0"/>
          <w:numId w:val="1"/>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De acuerdo con datos de Prindex, las mujeres que viven en tierras comunitarias (mujeres indígenas y afrodescendientes) son quienes tienen una percepción de menor seguridad, con sólo un 35% de seguridad percibida.</w:t>
        <w:br w:type="textWrapping"/>
      </w:r>
    </w:p>
    <w:p w:rsidR="00000000" w:rsidDel="00000000" w:rsidP="00000000" w:rsidRDefault="00000000" w:rsidRPr="00000000" w14:paraId="00000027">
      <w:pPr>
        <w:numPr>
          <w:ilvl w:val="0"/>
          <w:numId w:val="1"/>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LANDex, la herramienta de monitoreo de la gobernanza de la tierra centrada en las personas de la International Land Coalition</w:t>
      </w:r>
      <w:r w:rsidDel="00000000" w:rsidR="00000000" w:rsidRPr="00000000">
        <w:rPr>
          <w:rFonts w:ascii="Times New Roman" w:cs="Times New Roman" w:eastAsia="Times New Roman" w:hAnsi="Times New Roman"/>
          <w:vertAlign w:val="superscript"/>
        </w:rPr>
        <w:footnoteReference w:customMarkFollows="0" w:id="2"/>
      </w:r>
      <w:r w:rsidDel="00000000" w:rsidR="00000000" w:rsidRPr="00000000">
        <w:rPr>
          <w:rFonts w:ascii="Times New Roman" w:cs="Times New Roman" w:eastAsia="Times New Roman" w:hAnsi="Times New Roman"/>
          <w:rtl w:val="0"/>
        </w:rPr>
        <w:t xml:space="preserve"> estableció que de acuerdo con datos del Programa de Agricultura Familiar para el Fortalecimiento de la Economía Campesina en Guatemala hay 1’299.377 agricultores familiares, de los cuales de acuerdo con el SIPSE (julio de 2021) 546 personas han recibido apoyo financiero y de estas solo 150 eran  mujeres (27.47%).</w:t>
        <w:br w:type="textWrapping"/>
      </w:r>
    </w:p>
    <w:p w:rsidR="00000000" w:rsidDel="00000000" w:rsidP="00000000" w:rsidRDefault="00000000" w:rsidRPr="00000000" w14:paraId="00000028">
      <w:pPr>
        <w:numPr>
          <w:ilvl w:val="0"/>
          <w:numId w:val="1"/>
        </w:numPr>
        <w:spacing w:after="24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De acuerdo con la base de datos oficial de ODS, para 2015 solo el 26% de los habitantes rurales contaban con documentación sobre sus tierras, de ellos el 36.4% eran hombres y el 14% mujeres. Del resto no se tiene datos sobre su sexo.</w:t>
      </w:r>
    </w:p>
    <w:p w:rsidR="00000000" w:rsidDel="00000000" w:rsidP="00000000" w:rsidRDefault="00000000" w:rsidRPr="00000000" w14:paraId="00000029">
      <w:pPr>
        <w:spacing w:after="240" w:before="240" w:line="276" w:lineRule="auto"/>
        <w:ind w:left="0" w:firstLine="0"/>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Posibilidades de mejora institucional para el acceso efectivo a tierras</w:t>
      </w:r>
    </w:p>
    <w:p w:rsidR="00000000" w:rsidDel="00000000" w:rsidP="00000000" w:rsidRDefault="00000000" w:rsidRPr="00000000" w14:paraId="0000002A">
      <w:pPr>
        <w:numPr>
          <w:ilvl w:val="0"/>
          <w:numId w:val="1"/>
        </w:numPr>
        <w:spacing w:after="0" w:afterAutospacing="0" w:before="24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Fondo de Tierras, ha destinado los recursos económicos</w:t>
      </w:r>
      <w:r w:rsidDel="00000000" w:rsidR="00000000" w:rsidRPr="00000000">
        <w:rPr>
          <w:rFonts w:ascii="Times New Roman" w:cs="Times New Roman" w:eastAsia="Times New Roman" w:hAnsi="Times New Roman"/>
          <w:vertAlign w:val="superscript"/>
        </w:rPr>
        <w:footnoteReference w:customMarkFollows="0" w:id="3"/>
      </w:r>
      <w:r w:rsidDel="00000000" w:rsidR="00000000" w:rsidRPr="00000000">
        <w:rPr>
          <w:rFonts w:ascii="Times New Roman" w:cs="Times New Roman" w:eastAsia="Times New Roman" w:hAnsi="Times New Roman"/>
          <w:rtl w:val="0"/>
        </w:rPr>
        <w:t xml:space="preserve"> en mayor porcentaje al arrendamiento de tierras teniendo una serie de limitaciones: este es otorgado únicamente por uno a dos años, puesto que dan en arrendamiento tierras improductivas y abandonadas, y cuando son mejoradas son arrebatadas por los finqueros. Las mujeres rurales han demandado tierra por la vía de la tenencia y la certeza jurídica. La situación de las mujeres rurales para el acceso a la tierra continúa siendo un problema estructural</w:t>
      </w:r>
      <w:r w:rsidDel="00000000" w:rsidR="00000000" w:rsidRPr="00000000">
        <w:rPr>
          <w:rFonts w:ascii="Times New Roman" w:cs="Times New Roman" w:eastAsia="Times New Roman" w:hAnsi="Times New Roman"/>
          <w:vertAlign w:val="superscript"/>
        </w:rPr>
        <w:footnoteReference w:customMarkFollows="0" w:id="4"/>
      </w:r>
      <w:r w:rsidDel="00000000" w:rsidR="00000000" w:rsidRPr="00000000">
        <w:rPr>
          <w:rFonts w:ascii="Times New Roman" w:cs="Times New Roman" w:eastAsia="Times New Roman" w:hAnsi="Times New Roman"/>
          <w:rtl w:val="0"/>
        </w:rPr>
        <w:t xml:space="preserve">. </w:t>
        <w:br w:type="textWrapping"/>
      </w:r>
    </w:p>
    <w:p w:rsidR="00000000" w:rsidDel="00000000" w:rsidP="00000000" w:rsidRDefault="00000000" w:rsidRPr="00000000" w14:paraId="0000002B">
      <w:pPr>
        <w:numPr>
          <w:ilvl w:val="0"/>
          <w:numId w:val="1"/>
        </w:numPr>
        <w:spacing w:after="0" w:afterAutospacing="0" w:before="0" w:beforeAutospacing="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Los requerimientos para acceder a tierras para las mujeres son de carácter discriminatorio, pues </w:t>
      </w:r>
      <w:r w:rsidDel="00000000" w:rsidR="00000000" w:rsidRPr="00000000">
        <w:rPr>
          <w:rFonts w:ascii="Times New Roman" w:cs="Times New Roman" w:eastAsia="Times New Roman" w:hAnsi="Times New Roman"/>
          <w:rtl w:val="0"/>
        </w:rPr>
        <w:t xml:space="preserve">las mujeres que logran finalizar estudios a nivel diversificado son excluidas de los programas de acceso a la tierra, porque entre los requisitos impuestos por las entidades gubernamentales, se indica que estos programas se dirigen a personas sin mayores niveles de escolaridad. Las mujeres han luchado por ser propietarias de las tierras gestionadas, sin embargo, sólo en algunos casos, se ha facilitado el acceso a la tierra a mujeres viudas o mujeres jefas de hogar. Para las madres solteras, y mujeres sin relación monoparental ha sido más complicado, ya que por no tener hijos o tener un solo hijo, no se les considera beneficiarias de los programas institucionales ni cooperativistas. Además, se tiene la creencia de que las mujeres no tienen  las capacidades adecuadas para mantener y reproducir las tierras.</w:t>
        <w:br w:type="textWrapping"/>
      </w:r>
    </w:p>
    <w:p w:rsidR="00000000" w:rsidDel="00000000" w:rsidP="00000000" w:rsidRDefault="00000000" w:rsidRPr="00000000" w14:paraId="0000002C">
      <w:pPr>
        <w:numPr>
          <w:ilvl w:val="0"/>
          <w:numId w:val="1"/>
        </w:numPr>
        <w:spacing w:after="0" w:afterAutospacing="0" w:before="0" w:beforeAutospacing="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Las mujeres han indicado que luego de las gestiones colectivas en la institucionalidad pública las proporciones de tierra son distribuidas con desigualdad, por ejemplo, a las mujeres se le asigna dos cuerdas</w:t>
      </w:r>
      <w:r w:rsidDel="00000000" w:rsidR="00000000" w:rsidRPr="00000000">
        <w:rPr>
          <w:rFonts w:ascii="Times New Roman" w:cs="Times New Roman" w:eastAsia="Times New Roman" w:hAnsi="Times New Roman"/>
          <w:vertAlign w:val="superscript"/>
        </w:rPr>
        <w:footnoteReference w:customMarkFollows="0" w:id="5"/>
      </w:r>
      <w:r w:rsidDel="00000000" w:rsidR="00000000" w:rsidRPr="00000000">
        <w:rPr>
          <w:rFonts w:ascii="Times New Roman" w:cs="Times New Roman" w:eastAsia="Times New Roman" w:hAnsi="Times New Roman"/>
          <w:rtl w:val="0"/>
        </w:rPr>
        <w:t xml:space="preserve">, mientras que a los hombres una </w:t>
      </w:r>
      <w:r w:rsidDel="00000000" w:rsidR="00000000" w:rsidRPr="00000000">
        <w:rPr>
          <w:rFonts w:ascii="Times New Roman" w:cs="Times New Roman" w:eastAsia="Times New Roman" w:hAnsi="Times New Roman"/>
          <w:rtl w:val="0"/>
        </w:rPr>
        <w:t xml:space="preserve">manzana que es</w:t>
      </w:r>
      <w:r w:rsidDel="00000000" w:rsidR="00000000" w:rsidRPr="00000000">
        <w:rPr>
          <w:rFonts w:ascii="Times New Roman" w:cs="Times New Roman" w:eastAsia="Times New Roman" w:hAnsi="Times New Roman"/>
          <w:rtl w:val="0"/>
        </w:rPr>
        <w:t xml:space="preserve"> igual a cinco cuerdas. las mujeres priorizan la siembra de hortalizas. En ese sentido, se puede evidenciar que las mujeres aportan a la economía de cuidados, o sea, no remunerada y que continúa sin ser visibilizada; pese a no percibir un salario, sostienen a sus familias con la producción de alimentos y la crianza de animales de patio.</w:t>
      </w:r>
    </w:p>
    <w:p w:rsidR="00000000" w:rsidDel="00000000" w:rsidP="00000000" w:rsidRDefault="00000000" w:rsidRPr="00000000" w14:paraId="0000002D">
      <w:pPr>
        <w:numPr>
          <w:ilvl w:val="0"/>
          <w:numId w:val="1"/>
        </w:numPr>
        <w:spacing w:after="0" w:afterAutospacing="0" w:before="0" w:beforeAutospacing="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rtl w:val="0"/>
        </w:rPr>
        <w:t xml:space="preserve">Las mujeres involucradas en las actividades agrícolas suelen no tener un pago por su trabajo, se considera que </w:t>
      </w:r>
      <w:r w:rsidDel="00000000" w:rsidR="00000000" w:rsidRPr="00000000">
        <w:rPr>
          <w:rFonts w:ascii="Times New Roman" w:cs="Times New Roman" w:eastAsia="Times New Roman" w:hAnsi="Times New Roman"/>
          <w:color w:val="222222"/>
          <w:rtl w:val="0"/>
        </w:rPr>
        <w:t xml:space="preserve">son “apoyo”. Mientras que en el caso de las mujeres que sí perciben ingresos por su trabajo, estos representan un promedio de Q1,026.00 mensuales, 12.01% menos que los ingresos que perciben los hombres. </w:t>
      </w:r>
      <w:r w:rsidDel="00000000" w:rsidR="00000000" w:rsidRPr="00000000">
        <w:rPr>
          <w:rFonts w:ascii="Times New Roman" w:cs="Times New Roman" w:eastAsia="Times New Roman" w:hAnsi="Times New Roman"/>
          <w:color w:val="222222"/>
          <w:rtl w:val="0"/>
        </w:rPr>
        <w:t xml:space="preserve">Sin embargo, en las estadísticas oficiales se reconoce que solamente el 5%</w:t>
      </w:r>
      <w:r w:rsidDel="00000000" w:rsidR="00000000" w:rsidRPr="00000000">
        <w:rPr>
          <w:rFonts w:ascii="Times New Roman" w:cs="Times New Roman" w:eastAsia="Times New Roman" w:hAnsi="Times New Roman"/>
          <w:color w:val="222222"/>
          <w:vertAlign w:val="superscript"/>
        </w:rPr>
        <w:footnoteReference w:customMarkFollows="0" w:id="6"/>
      </w:r>
      <w:r w:rsidDel="00000000" w:rsidR="00000000" w:rsidRPr="00000000">
        <w:rPr>
          <w:rFonts w:ascii="Times New Roman" w:cs="Times New Roman" w:eastAsia="Times New Roman" w:hAnsi="Times New Roman"/>
          <w:color w:val="222222"/>
          <w:rtl w:val="0"/>
        </w:rPr>
        <w:t xml:space="preserve"> </w:t>
      </w:r>
      <w:r w:rsidDel="00000000" w:rsidR="00000000" w:rsidRPr="00000000">
        <w:rPr>
          <w:rFonts w:ascii="Times New Roman" w:cs="Times New Roman" w:eastAsia="Times New Roman" w:hAnsi="Times New Roman"/>
          <w:color w:val="222222"/>
          <w:rtl w:val="0"/>
        </w:rPr>
        <w:t xml:space="preserve">de las mujeres de la PEA se dedican a las actividades agrícolas; invisibilizando el aporte de las mujeres a la agricultura</w:t>
      </w:r>
      <w:r w:rsidDel="00000000" w:rsidR="00000000" w:rsidRPr="00000000">
        <w:rPr>
          <w:rFonts w:ascii="Times New Roman" w:cs="Times New Roman" w:eastAsia="Times New Roman" w:hAnsi="Times New Roman"/>
          <w:color w:val="222222"/>
          <w:highlight w:val="white"/>
          <w:rtl w:val="0"/>
        </w:rPr>
        <w:t xml:space="preserve">, y a las actividades agrícolas que producen alimentos, reflejándose en la poca o nula inversión a proyectos productivos dirigidos a las mujeres rurales, mayas, xinkas, garífunas, afrodescendientes y mestizas.</w:t>
      </w:r>
      <w:r w:rsidDel="00000000" w:rsidR="00000000" w:rsidRPr="00000000">
        <w:rPr>
          <w:rFonts w:ascii="Times New Roman" w:cs="Times New Roman" w:eastAsia="Times New Roman" w:hAnsi="Times New Roman"/>
          <w:i w:val="1"/>
          <w:rtl w:val="0"/>
        </w:rPr>
        <w:br w:type="textWrapping"/>
      </w:r>
      <w:r w:rsidDel="00000000" w:rsidR="00000000" w:rsidRPr="00000000">
        <w:rPr>
          <w:rtl w:val="0"/>
        </w:rPr>
      </w:r>
    </w:p>
    <w:p w:rsidR="00000000" w:rsidDel="00000000" w:rsidP="00000000" w:rsidRDefault="00000000" w:rsidRPr="00000000" w14:paraId="0000002E">
      <w:pPr>
        <w:numPr>
          <w:ilvl w:val="0"/>
          <w:numId w:val="1"/>
        </w:numPr>
        <w:spacing w:after="0" w:afterAutospacing="0" w:before="0" w:beforeAutospacing="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pensamiento conservador de quienes representan al Fondo de Tierras limita avances, en la actualidad las mujeres han quedado excluidas de los programas del FONTIERRAS frente a las ideas de que, las mujeres al ser propietarias de la tierra, estarían atentando el poder de los hombres dentro de las familias, mientras no existan políticas contundentes para el acceso a la tierra se seguirá sosteniendo el sistema patriarcal. </w:t>
        <w:br w:type="textWrapping"/>
      </w:r>
    </w:p>
    <w:p w:rsidR="00000000" w:rsidDel="00000000" w:rsidP="00000000" w:rsidRDefault="00000000" w:rsidRPr="00000000" w14:paraId="0000002F">
      <w:pPr>
        <w:numPr>
          <w:ilvl w:val="0"/>
          <w:numId w:val="1"/>
        </w:numPr>
        <w:spacing w:after="0" w:afterAutospacing="0" w:before="0" w:beforeAutospacing="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El presupuesto público debe contar con informes que visualicen cuánto de éste se vincula al presupuesto con enfoque de género. De acuerdo al Clasificador Presupuestario con Enfoque de Género CPEG, que monitorea el avance de la Política Nacional de Promoción y Desarrollo Integral de la Mujer, el presupuesto de la nación en el 2018 (Q78,391.49 millones) representó el 5.87%, en el 2019 (Q88,327.55 millones) el 5.85%, para el año 2020 (Q107,760.72 millones) el 4.52%, en el 2021 (Q107,521.46 millones) el 5</w:t>
      </w:r>
      <w:r w:rsidDel="00000000" w:rsidR="00000000" w:rsidRPr="00000000">
        <w:rPr>
          <w:rFonts w:ascii="Times New Roman" w:cs="Times New Roman" w:eastAsia="Times New Roman" w:hAnsi="Times New Roman"/>
          <w:color w:val="222222"/>
          <w:highlight w:val="white"/>
          <w:rtl w:val="0"/>
        </w:rPr>
        <w:t xml:space="preserve">.21%, y, al primer cuatrimestre 2022 (Q110,637.30 millones) solamente el 2.09</w:t>
      </w:r>
      <w:r w:rsidDel="00000000" w:rsidR="00000000" w:rsidRPr="00000000">
        <w:rPr>
          <w:rFonts w:ascii="Times New Roman" w:cs="Times New Roman" w:eastAsia="Times New Roman" w:hAnsi="Times New Roman"/>
          <w:color w:val="222222"/>
          <w:highlight w:val="white"/>
          <w:vertAlign w:val="superscript"/>
        </w:rPr>
        <w:footnoteReference w:customMarkFollows="0" w:id="7"/>
      </w:r>
      <w:r w:rsidDel="00000000" w:rsidR="00000000" w:rsidRPr="00000000">
        <w:rPr>
          <w:rFonts w:ascii="Times New Roman" w:cs="Times New Roman" w:eastAsia="Times New Roman" w:hAnsi="Times New Roman"/>
          <w:color w:val="222222"/>
          <w:highlight w:val="white"/>
          <w:rtl w:val="0"/>
        </w:rPr>
        <w:t xml:space="preserve">. Lo anterior demuestra que el presupuesto vinculado al CPEG es pequeño e insuficiente para atender problemáticas profundas como el acceso a la tierra, acceso a medios de producción o apoyos para mercados de las mujeres rurales, campesinas e indígenas.  Estos presupuestos no </w:t>
      </w:r>
      <w:r w:rsidDel="00000000" w:rsidR="00000000" w:rsidRPr="00000000">
        <w:rPr>
          <w:rFonts w:ascii="Times New Roman" w:cs="Times New Roman" w:eastAsia="Times New Roman" w:hAnsi="Times New Roman"/>
          <w:color w:val="222222"/>
          <w:rtl w:val="0"/>
        </w:rPr>
        <w:t xml:space="preserve">son visibles en las comunidades, las mujeres en los territorios manifiestan la ausencia de apoyo del MAGA.</w:t>
        <w:br w:type="textWrapping"/>
      </w:r>
    </w:p>
    <w:p w:rsidR="00000000" w:rsidDel="00000000" w:rsidP="00000000" w:rsidRDefault="00000000" w:rsidRPr="00000000" w14:paraId="00000030">
      <w:pPr>
        <w:numPr>
          <w:ilvl w:val="0"/>
          <w:numId w:val="1"/>
        </w:numPr>
        <w:spacing w:after="240" w:before="0" w:beforeAutospacing="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propuesta Ley de Desarrollo Económico para las mujeres fue presentada en el 2018 por diversas organizaciones de mujeres rurales, campesinas, e indígenas, sumándose una serie de organizaciones sociales. La principal demanda es la aprobación de presupuestos públicos para la ejecución de proyectos productivos, con énfasis en las mujeres con mayor grado de vulnerabilidad.</w:t>
      </w:r>
      <w:r w:rsidDel="00000000" w:rsidR="00000000" w:rsidRPr="00000000">
        <w:rPr>
          <w:rFonts w:ascii="Times New Roman" w:cs="Times New Roman" w:eastAsia="Times New Roman" w:hAnsi="Times New Roman"/>
          <w:rtl w:val="0"/>
        </w:rPr>
        <w:t xml:space="preserve"> La propuesta debe ser conocida en tres lecturas por el pleno del Congreso de la República. Al 31 de agosto de 2023, a pesar de las constantes solicitudes, </w:t>
      </w:r>
      <w:r w:rsidDel="00000000" w:rsidR="00000000" w:rsidRPr="00000000">
        <w:rPr>
          <w:rFonts w:ascii="Times New Roman" w:cs="Times New Roman" w:eastAsia="Times New Roman" w:hAnsi="Times New Roman"/>
          <w:rtl w:val="0"/>
        </w:rPr>
        <w:t xml:space="preserve">está pendiente </w:t>
      </w:r>
      <w:r w:rsidDel="00000000" w:rsidR="00000000" w:rsidRPr="00000000">
        <w:rPr>
          <w:rFonts w:ascii="Times New Roman" w:cs="Times New Roman" w:eastAsia="Times New Roman" w:hAnsi="Times New Roman"/>
          <w:rtl w:val="0"/>
        </w:rPr>
        <w:t xml:space="preserve">ser agendada</w:t>
      </w:r>
      <w:r w:rsidDel="00000000" w:rsidR="00000000" w:rsidRPr="00000000">
        <w:rPr>
          <w:rFonts w:ascii="Times New Roman" w:cs="Times New Roman" w:eastAsia="Times New Roman" w:hAnsi="Times New Roman"/>
          <w:rtl w:val="0"/>
        </w:rPr>
        <w:t xml:space="preserve"> en el Congreso para segunda lectura.</w:t>
        <w:br w:type="textWrapping"/>
      </w:r>
    </w:p>
    <w:p w:rsidR="00000000" w:rsidDel="00000000" w:rsidP="00000000" w:rsidRDefault="00000000" w:rsidRPr="00000000" w14:paraId="00000031">
      <w:pPr>
        <w:spacing w:after="240" w:before="240" w:line="276"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Participación</w:t>
      </w:r>
      <w:r w:rsidDel="00000000" w:rsidR="00000000" w:rsidRPr="00000000">
        <w:rPr>
          <w:rFonts w:ascii="Times New Roman" w:cs="Times New Roman" w:eastAsia="Times New Roman" w:hAnsi="Times New Roman"/>
          <w:b w:val="1"/>
          <w:rtl w:val="0"/>
        </w:rPr>
        <w:t xml:space="preserve"> de las </w:t>
      </w:r>
      <w:r w:rsidDel="00000000" w:rsidR="00000000" w:rsidRPr="00000000">
        <w:rPr>
          <w:rFonts w:ascii="Times New Roman" w:cs="Times New Roman" w:eastAsia="Times New Roman" w:hAnsi="Times New Roman"/>
          <w:b w:val="1"/>
          <w:rtl w:val="0"/>
        </w:rPr>
        <w:t xml:space="preserve">mujeres </w:t>
      </w:r>
      <w:r w:rsidDel="00000000" w:rsidR="00000000" w:rsidRPr="00000000">
        <w:rPr>
          <w:rFonts w:ascii="Times New Roman" w:cs="Times New Roman" w:eastAsia="Times New Roman" w:hAnsi="Times New Roman"/>
          <w:b w:val="1"/>
          <w:rtl w:val="0"/>
        </w:rPr>
        <w:t xml:space="preserve">r</w:t>
      </w:r>
      <w:r w:rsidDel="00000000" w:rsidR="00000000" w:rsidRPr="00000000">
        <w:rPr>
          <w:rFonts w:ascii="Times New Roman" w:cs="Times New Roman" w:eastAsia="Times New Roman" w:hAnsi="Times New Roman"/>
          <w:b w:val="1"/>
          <w:rtl w:val="0"/>
        </w:rPr>
        <w:t xml:space="preserve">urales</w:t>
      </w:r>
      <w:r w:rsidDel="00000000" w:rsidR="00000000" w:rsidRPr="00000000">
        <w:rPr>
          <w:rFonts w:ascii="Times New Roman" w:cs="Times New Roman" w:eastAsia="Times New Roman" w:hAnsi="Times New Roman"/>
          <w:b w:val="1"/>
          <w:rtl w:val="0"/>
        </w:rPr>
        <w:t xml:space="preserve">,</w:t>
      </w:r>
      <w:r w:rsidDel="00000000" w:rsidR="00000000" w:rsidRPr="00000000">
        <w:rPr>
          <w:rFonts w:ascii="Times New Roman" w:cs="Times New Roman" w:eastAsia="Times New Roman" w:hAnsi="Times New Roman"/>
          <w:b w:val="1"/>
          <w:rtl w:val="0"/>
        </w:rPr>
        <w:t xml:space="preserve"> mayas, garífunas, xinkas, afrodescendientes y mestizas </w:t>
      </w:r>
      <w:r w:rsidDel="00000000" w:rsidR="00000000" w:rsidRPr="00000000">
        <w:rPr>
          <w:rFonts w:ascii="Times New Roman" w:cs="Times New Roman" w:eastAsia="Times New Roman" w:hAnsi="Times New Roman"/>
          <w:b w:val="1"/>
          <w:rtl w:val="0"/>
        </w:rPr>
        <w:t xml:space="preserve">en espacio de toma de decisión</w:t>
      </w:r>
      <w:r w:rsidDel="00000000" w:rsidR="00000000" w:rsidRPr="00000000">
        <w:rPr>
          <w:rtl w:val="0"/>
        </w:rPr>
      </w:r>
    </w:p>
    <w:p w:rsidR="00000000" w:rsidDel="00000000" w:rsidP="00000000" w:rsidRDefault="00000000" w:rsidRPr="00000000" w14:paraId="00000032">
      <w:pPr>
        <w:numPr>
          <w:ilvl w:val="0"/>
          <w:numId w:val="1"/>
        </w:numPr>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Sobre la participación en la vida política y pública de las mujeres, e</w:t>
      </w:r>
      <w:r w:rsidDel="00000000" w:rsidR="00000000" w:rsidRPr="00000000">
        <w:rPr>
          <w:rFonts w:ascii="Times New Roman" w:cs="Times New Roman" w:eastAsia="Times New Roman" w:hAnsi="Times New Roman"/>
          <w:rtl w:val="0"/>
        </w:rPr>
        <w:t xml:space="preserve">l Comité CEDAW en el inciso 13 de su lista de cuestiones y preguntas al Estado, le solicitó tomar medidas dirigidas a generar cambios en la situación de infrarrepresentación de las mujeres en los cargos electos, en el Gabinete y en los puestos decisorios del poder ejecutivo y del legislativo. El Estado en su respuesta al Comité, en los numerales 81, 82 y 83, hace mención a medidas que son insuficientes con relación a aumentar para lograr las recomendaciones dadas por el Comité. </w:t>
      </w:r>
    </w:p>
    <w:p w:rsidR="00000000" w:rsidDel="00000000" w:rsidP="00000000" w:rsidRDefault="00000000" w:rsidRPr="00000000" w14:paraId="00000033">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numPr>
          <w:ilvl w:val="0"/>
          <w:numId w:val="1"/>
        </w:numPr>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Un ejemplo de ello, es la </w:t>
      </w:r>
      <w:r w:rsidDel="00000000" w:rsidR="00000000" w:rsidRPr="00000000">
        <w:rPr>
          <w:rFonts w:ascii="Times New Roman" w:cs="Times New Roman" w:eastAsia="Times New Roman" w:hAnsi="Times New Roman"/>
          <w:rtl w:val="0"/>
        </w:rPr>
        <w:t xml:space="preserve">Iniciativa de Ley número 5893 presentada en abril de 2021, que pretende reformar la Ley Electoral y de Partidos Políticos para incluir temas relacionados con la paridad, alternancia y representación de los pueblos indígenas -mencionada por el Estado en sus respuestas en el numeral 83- pero que no ha logrado ningún avance legislativo</w:t>
      </w:r>
      <w:r w:rsidDel="00000000" w:rsidR="00000000" w:rsidRPr="00000000">
        <w:rPr>
          <w:rFonts w:ascii="Times New Roman" w:cs="Times New Roman" w:eastAsia="Times New Roman" w:hAnsi="Times New Roman"/>
          <w:vertAlign w:val="superscript"/>
        </w:rPr>
        <w:footnoteReference w:customMarkFollows="0" w:id="8"/>
      </w:r>
      <w:r w:rsidDel="00000000" w:rsidR="00000000" w:rsidRPr="00000000">
        <w:rPr>
          <w:rFonts w:ascii="Times New Roman" w:cs="Times New Roman" w:eastAsia="Times New Roman" w:hAnsi="Times New Roman"/>
          <w:rtl w:val="0"/>
        </w:rPr>
        <w:t xml:space="preserve">. Los resultados de las recientes elecciones evidencian la persistencia de las brechas de género en la ocupación de cargos en espacios de toma de decisión: de 340 municipios que tiene el país sólo 10 alcaldías fueron ocupadas por mujeres, de ellas, solo una mujer es indígena. De 160 diputaciones sólo 32 son mujeres y de ellas sólo 1 es mujer indígena. </w:t>
      </w:r>
    </w:p>
    <w:p w:rsidR="00000000" w:rsidDel="00000000" w:rsidP="00000000" w:rsidRDefault="00000000" w:rsidRPr="00000000" w14:paraId="00000035">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Pocas mujeres son las que llegan a postular a cargos públicos, y si lo hacen, difícilmente serán electas. Existe una instrumentalización de las mujeres durante la coyuntura preelectoral y electoral, con el fin de inscribir listas y lograr la candidatura de un partido, pero cuando los políticos llegan al poder no dan seguimiento a los ofrecimientos, no cumplen con sus responsabilidades. Según datos del INE</w:t>
      </w:r>
      <w:r w:rsidDel="00000000" w:rsidR="00000000" w:rsidRPr="00000000">
        <w:rPr>
          <w:rFonts w:ascii="Times New Roman" w:cs="Times New Roman" w:eastAsia="Times New Roman" w:hAnsi="Times New Roman"/>
          <w:i w:val="1"/>
          <w:rtl w:val="0"/>
        </w:rPr>
        <w:t xml:space="preserve">“La participación en algún grupo, organización o asociación, siguen siendo los hombres los que han tenido mayor participación a lo largo del tiempo”</w:t>
      </w:r>
      <w:r w:rsidDel="00000000" w:rsidR="00000000" w:rsidRPr="00000000">
        <w:rPr>
          <w:rFonts w:ascii="Times New Roman" w:cs="Times New Roman" w:eastAsia="Times New Roman" w:hAnsi="Times New Roman"/>
          <w:i w:val="1"/>
          <w:vertAlign w:val="superscript"/>
        </w:rPr>
        <w:footnoteReference w:customMarkFollows="0" w:id="9"/>
      </w:r>
      <w:r w:rsidDel="00000000" w:rsidR="00000000" w:rsidRPr="00000000">
        <w:rPr>
          <w:rFonts w:ascii="Times New Roman" w:cs="Times New Roman" w:eastAsia="Times New Roman" w:hAnsi="Times New Roman"/>
          <w:i w:val="1"/>
          <w:rtl w:val="0"/>
        </w:rPr>
        <w:t xml:space="preserve">.</w:t>
      </w:r>
      <w:r w:rsidDel="00000000" w:rsidR="00000000" w:rsidRPr="00000000">
        <w:rPr>
          <w:rFonts w:ascii="Times New Roman" w:cs="Times New Roman" w:eastAsia="Times New Roman" w:hAnsi="Times New Roman"/>
          <w:i w:val="1"/>
          <w:rtl w:val="0"/>
        </w:rPr>
        <w:br w:type="textWrapping"/>
      </w:r>
      <w:r w:rsidDel="00000000" w:rsidR="00000000" w:rsidRPr="00000000">
        <w:rPr>
          <w:rtl w:val="0"/>
        </w:rPr>
      </w:r>
    </w:p>
    <w:p w:rsidR="00000000" w:rsidDel="00000000" w:rsidP="00000000" w:rsidRDefault="00000000" w:rsidRPr="00000000" w14:paraId="00000037">
      <w:pPr>
        <w:numPr>
          <w:ilvl w:val="0"/>
          <w:numId w:val="1"/>
        </w:numPr>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Así mismo, en su respuesta, el Estado no responde sobre ninguna medida para generar cambios en la mejorar la representación de las mujeres en cargos públicos. La representación de las mujeres en puestos de poder estatal es mínima. Solo 1 de los 14 ministerios en el Organismo Ejecutivo está dirigido por una mujer. De las 13 magistraturas en la Corte Suprema de Justicia del Organismo Judicial, sólo hay 5 mujeres titulares.</w:t>
      </w:r>
      <w:r w:rsidDel="00000000" w:rsidR="00000000" w:rsidRPr="00000000">
        <w:rPr>
          <w:rFonts w:ascii="Times New Roman" w:cs="Times New Roman" w:eastAsia="Times New Roman" w:hAnsi="Times New Roman"/>
          <w:vertAlign w:val="superscript"/>
        </w:rPr>
        <w:footnoteReference w:customMarkFollows="0" w:id="10"/>
      </w:r>
      <w:r w:rsidDel="00000000" w:rsidR="00000000" w:rsidRPr="00000000">
        <w:rPr>
          <w:rFonts w:ascii="Times New Roman" w:cs="Times New Roman" w:eastAsia="Times New Roman" w:hAnsi="Times New Roman"/>
          <w:rtl w:val="0"/>
        </w:rPr>
        <w:t xml:space="preserve"> En el año 2022 se registró un descenso en el número de mujeres magistradas en el Organismo Judicial: 58 mujeres en las Cortes de Apelaciones (en el 2021 fueron 78) y 5 mujeres en la corte Suprema de justicia (en el 2021 fueron 8). En las Elecciones Generales 2023 tan solo el 20% de los cargos a diputación fueron para mujeres.</w:t>
      </w:r>
      <w:r w:rsidDel="00000000" w:rsidR="00000000" w:rsidRPr="00000000">
        <w:rPr>
          <w:rFonts w:ascii="Times New Roman" w:cs="Times New Roman" w:eastAsia="Times New Roman" w:hAnsi="Times New Roman"/>
          <w:vertAlign w:val="superscript"/>
        </w:rPr>
        <w:footnoteReference w:customMarkFollows="0" w:id="11"/>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8">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9">
      <w:pPr>
        <w:numPr>
          <w:ilvl w:val="0"/>
          <w:numId w:val="1"/>
        </w:numPr>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La limitada participación de las mujeres en la esfera pública, ya sea en cargos por nombramiento o elección popular,  es un indicador de la discriminación que se ejerce sobre las mujeres, mas aún si son </w:t>
      </w:r>
      <w:r w:rsidDel="00000000" w:rsidR="00000000" w:rsidRPr="00000000">
        <w:rPr>
          <w:rFonts w:ascii="Times New Roman" w:cs="Times New Roman" w:eastAsia="Times New Roman" w:hAnsi="Times New Roman"/>
          <w:rtl w:val="0"/>
        </w:rPr>
        <w:t xml:space="preserve">mayas, garífunas, xinkas, afrodescendientes y mestizas</w:t>
      </w:r>
      <w:r w:rsidDel="00000000" w:rsidR="00000000" w:rsidRPr="00000000">
        <w:rPr>
          <w:rFonts w:ascii="Times New Roman" w:cs="Times New Roman" w:eastAsia="Times New Roman" w:hAnsi="Times New Roman"/>
          <w:rtl w:val="0"/>
        </w:rPr>
        <w:t xml:space="preserve">, y de la desigualdad que existe en el país entre hombres y mujeres. Esto se ve reforzado por la falta de normas que garanticen la democratización de los espacios de participación y toma de decisiones, en favor de las mujeres. En esta situación, son los hombres en cargos de poder y con mayor status los que reproducen los prejuicios y los estereotipos hacia las mujeres, y quienes ejercen mayor discriminación de género en el espacio público. </w:t>
      </w:r>
    </w:p>
    <w:p w:rsidR="00000000" w:rsidDel="00000000" w:rsidP="00000000" w:rsidRDefault="00000000" w:rsidRPr="00000000" w14:paraId="0000003A">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B">
      <w:pPr>
        <w:numPr>
          <w:ilvl w:val="0"/>
          <w:numId w:val="1"/>
        </w:numPr>
        <w:ind w:left="720" w:hanging="36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En el inciso 13 b) de su lista de preguntas y cuestiones, el Comité señala que se tomen medidas para </w:t>
      </w:r>
      <w:r w:rsidDel="00000000" w:rsidR="00000000" w:rsidRPr="00000000">
        <w:rPr>
          <w:rFonts w:ascii="Times New Roman" w:cs="Times New Roman" w:eastAsia="Times New Roman" w:hAnsi="Times New Roman"/>
          <w:i w:val="1"/>
          <w:highlight w:val="white"/>
          <w:rtl w:val="0"/>
        </w:rPr>
        <w:t xml:space="preserve">“...promover a mujeres en los puestos de liderazgo de los partidos políticos y en el seno de sus comunidades”.</w:t>
      </w:r>
      <w:r w:rsidDel="00000000" w:rsidR="00000000" w:rsidRPr="00000000">
        <w:rPr>
          <w:rFonts w:ascii="Times New Roman" w:cs="Times New Roman" w:eastAsia="Times New Roman" w:hAnsi="Times New Roman"/>
          <w:highlight w:val="white"/>
          <w:rtl w:val="0"/>
        </w:rPr>
        <w:t xml:space="preserve"> Sin embargo, más allá de los procesos de capacitación que el Estado señala que ha realizado en el numeral 82, no se ha tomado ninguna medida para fortalecer la participación de las mujeres en los principales espacios comunales y locales, como son los que hacen parte del Sistema Nacional de Consejos de Desarrollo, que son clave para ser parte de las decisiones sobre del desarrollo a nivel local. </w:t>
      </w:r>
    </w:p>
    <w:p w:rsidR="00000000" w:rsidDel="00000000" w:rsidP="00000000" w:rsidRDefault="00000000" w:rsidRPr="00000000" w14:paraId="0000003C">
      <w:pPr>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D">
      <w:pPr>
        <w:numPr>
          <w:ilvl w:val="0"/>
          <w:numId w:val="1"/>
        </w:numPr>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Han pasado 26 años desde que en los Acuerdos de Paz se estableció la promoción de la participación de las mujeres a través del C</w:t>
      </w:r>
      <w:r w:rsidDel="00000000" w:rsidR="00000000" w:rsidRPr="00000000">
        <w:rPr>
          <w:rFonts w:ascii="Times New Roman" w:cs="Times New Roman" w:eastAsia="Times New Roman" w:hAnsi="Times New Roman"/>
          <w:rtl w:val="0"/>
        </w:rPr>
        <w:t xml:space="preserve">OCODE</w:t>
      </w:r>
      <w:r w:rsidDel="00000000" w:rsidR="00000000" w:rsidRPr="00000000">
        <w:rPr>
          <w:rFonts w:ascii="Times New Roman" w:cs="Times New Roman" w:eastAsia="Times New Roman" w:hAnsi="Times New Roman"/>
          <w:rtl w:val="0"/>
        </w:rPr>
        <w:t xml:space="preserve"> a nivel comunitario, el COMUDE a nivel municipal y el CODEDE a nivel departamental. Estos espacios se crearon para favorecer que la ciudadanía, y en particular las mujeres, pudieran participar en la planificación democrática del desarrollo, presentando propuestas y decidiendo prioridades a nivel local, municipal, regional y nacional, y velar por el bien común. Sin embargo, estos espacios se han convertido en lugares donde prevalecen intereses particulares y proclives a la cooptación política, y las mujeres siguen teniendo una limitada participación. La participación de mujeres, mujeres rurales e indígenas en los Sistema de Consejo de Desarrollo Urbano y Rural es baja. </w:t>
      </w:r>
      <w:r w:rsidDel="00000000" w:rsidR="00000000" w:rsidRPr="00000000">
        <w:rPr>
          <w:rFonts w:ascii="Times New Roman" w:cs="Times New Roman" w:eastAsia="Times New Roman" w:hAnsi="Times New Roman"/>
          <w:rtl w:val="0"/>
        </w:rPr>
        <w:t xml:space="preserve">En los COCODES, de un total de participación de 13,836 personas, solamente el 13% corresponde a las mujeres; en los COMUDES, de 15,414 personas, el 24% son mujeres; en el CODEDE, de 1,449 personas, el 23% son mujeres y en el CONADUR, de 48 de participantes sólo el 13% son mujeres</w:t>
      </w:r>
      <w:r w:rsidDel="00000000" w:rsidR="00000000" w:rsidRPr="00000000">
        <w:rPr>
          <w:rFonts w:ascii="Times New Roman" w:cs="Times New Roman" w:eastAsia="Times New Roman" w:hAnsi="Times New Roman"/>
          <w:vertAlign w:val="superscript"/>
        </w:rPr>
        <w:footnoteReference w:customMarkFollows="0" w:id="12"/>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highlight w:val="white"/>
          <w:rtl w:val="0"/>
        </w:rPr>
        <w:t xml:space="preserve"> Las voces y </w:t>
      </w:r>
      <w:r w:rsidDel="00000000" w:rsidR="00000000" w:rsidRPr="00000000">
        <w:rPr>
          <w:rFonts w:ascii="Times New Roman" w:cs="Times New Roman" w:eastAsia="Times New Roman" w:hAnsi="Times New Roman"/>
          <w:rtl w:val="0"/>
        </w:rPr>
        <w:t xml:space="preserve">propuestas de las mujeres que logran participar en estos espacios se ven restringidas por el machismo, el racismo y el clasismo de la sociedad. Ello impide que sean escuchadas y que se tomen en cuenta las condiciones que limitan y afectan su participación, como es la necesidad de contar con recursos económicos para movilizarse y cubrir otras necesidades básicas que les permitan dejar sus ocupaciones y participar de manera efectiva. </w:t>
      </w:r>
    </w:p>
    <w:p w:rsidR="00000000" w:rsidDel="00000000" w:rsidP="00000000" w:rsidRDefault="00000000" w:rsidRPr="00000000" w14:paraId="0000003E">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numPr>
          <w:ilvl w:val="0"/>
          <w:numId w:val="1"/>
        </w:numPr>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Los estereotipos y prejuicios sexistas, racistas y clasistas, generan una cultura generalizada en todos los espacios de participación por los señalamientos hacia las mujeres. Cuando esto ocurre, no son escuchadas ni respetadas y están más expuestas al acoso, la violencia, y la violación sexual. En última instancia, esta situación de discriminación, sumada a las tareas del hogar que tienen que asumir por su rol de género asignado social y culturalmente -el cuidado de los hijos, el aseo de la casa y todas las tareas reproductivas del hogar- deriva en que sus posibilidades de participación en espacios públicos de toma de decisiones esté limitada.</w:t>
        <w:br w:type="textWrapping"/>
      </w:r>
    </w:p>
    <w:p w:rsidR="00000000" w:rsidDel="00000000" w:rsidP="00000000" w:rsidRDefault="00000000" w:rsidRPr="00000000" w14:paraId="00000040">
      <w:pPr>
        <w:numPr>
          <w:ilvl w:val="0"/>
          <w:numId w:val="1"/>
        </w:numPr>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En su inciso 15 f) de sus listas de cuestiones y preguntas al Estado, el Comité señala que el Estado debe informar sobre </w:t>
      </w:r>
      <w:r w:rsidDel="00000000" w:rsidR="00000000" w:rsidRPr="00000000">
        <w:rPr>
          <w:rFonts w:ascii="Times New Roman" w:cs="Times New Roman" w:eastAsia="Times New Roman" w:hAnsi="Times New Roman"/>
          <w:i w:val="1"/>
          <w:rtl w:val="0"/>
        </w:rPr>
        <w:t xml:space="preserve">Las iniciativas para promover el reparto equitativo de las responsabilidades familiares y domésticas entre las mujeres y los hombres y proporcionar servicios asequibles de cuidado infantil y prestaciones para las trabajadoras que son cabeza de familia</w:t>
      </w:r>
      <w:r w:rsidDel="00000000" w:rsidR="00000000" w:rsidRPr="00000000">
        <w:rPr>
          <w:rFonts w:ascii="Times New Roman" w:cs="Times New Roman" w:eastAsia="Times New Roman" w:hAnsi="Times New Roman"/>
          <w:rtl w:val="0"/>
        </w:rPr>
        <w:t xml:space="preserve">. El Estado no ha respondido a esta  solicitud de información hecha por el Comité. En el país, el trabajo</w:t>
      </w:r>
      <w:r w:rsidDel="00000000" w:rsidR="00000000" w:rsidRPr="00000000">
        <w:rPr>
          <w:rFonts w:ascii="Times New Roman" w:cs="Times New Roman" w:eastAsia="Times New Roman" w:hAnsi="Times New Roman"/>
          <w:i w:val="1"/>
          <w:rtl w:val="0"/>
        </w:rPr>
        <w:t xml:space="preserve"> de cuidado</w:t>
      </w:r>
      <w:r w:rsidDel="00000000" w:rsidR="00000000" w:rsidRPr="00000000">
        <w:rPr>
          <w:rFonts w:ascii="Times New Roman" w:cs="Times New Roman" w:eastAsia="Times New Roman" w:hAnsi="Times New Roman"/>
          <w:rtl w:val="0"/>
        </w:rPr>
        <w:t xml:space="preserve"> no remunerado sigue siendo infravalorado, y no es considerado como trabajo productivo a pesar de que es el pilar de toda fuerza de trabajo y para la vida. Según el INE, para 2022, la proporción de tiempo dedicado a quehaceres domésticos y cuidados no remunerados por sexo, muestra un</w:t>
      </w:r>
      <w:r w:rsidDel="00000000" w:rsidR="00000000" w:rsidRPr="00000000">
        <w:rPr>
          <w:rFonts w:ascii="Times New Roman" w:cs="Times New Roman" w:eastAsia="Times New Roman" w:hAnsi="Times New Roman"/>
          <w:color w:val="ff0000"/>
          <w:rtl w:val="0"/>
        </w:rPr>
        <w:t xml:space="preserve">a </w:t>
      </w:r>
      <w:r w:rsidDel="00000000" w:rsidR="00000000" w:rsidRPr="00000000">
        <w:rPr>
          <w:rFonts w:ascii="Times New Roman" w:cs="Times New Roman" w:eastAsia="Times New Roman" w:hAnsi="Times New Roman"/>
          <w:rtl w:val="0"/>
        </w:rPr>
        <w:t xml:space="preserve">brecha de desigualdad enorme entre hombres y mujeres: en promedio, las mujeres usan el 21% de las horas disponibles en el día para realizar estas actividades, mientras que los hombres usan 3.9%</w:t>
      </w:r>
      <w:r w:rsidDel="00000000" w:rsidR="00000000" w:rsidRPr="00000000">
        <w:rPr>
          <w:rFonts w:ascii="Times New Roman" w:cs="Times New Roman" w:eastAsia="Times New Roman" w:hAnsi="Times New Roman"/>
          <w:vertAlign w:val="superscript"/>
        </w:rPr>
        <w:footnoteReference w:customMarkFollows="0" w:id="13"/>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1">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numPr>
          <w:ilvl w:val="0"/>
          <w:numId w:val="1"/>
        </w:numPr>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En el inciso 15 e) el Comité pide al Estado que informe sobre “ Las medidas que se han tomado para garantizar la protección social de las mujeres que trabajan en la economía informal…”. El Estado en su respuesta, no menciona ninguna medida dirigida a las mujeres que están inmersas en la economía informal, entendiendo dentro de esta las tareas del cuidado dentro del hogar. Actualmente, las mujeres que se dedican a estas tareas lo hacen sin tener un seguro social y sin recibir prestaciones. </w:t>
      </w:r>
      <w:r w:rsidDel="00000000" w:rsidR="00000000" w:rsidRPr="00000000">
        <w:rPr>
          <w:rFonts w:ascii="Times New Roman" w:cs="Times New Roman" w:eastAsia="Times New Roman" w:hAnsi="Times New Roman"/>
          <w:rtl w:val="0"/>
        </w:rPr>
        <w:t xml:space="preserve">Según datos del INE indica que: </w:t>
      </w:r>
      <w:r w:rsidDel="00000000" w:rsidR="00000000" w:rsidRPr="00000000">
        <w:rPr>
          <w:rFonts w:ascii="Times New Roman" w:cs="Times New Roman" w:eastAsia="Times New Roman" w:hAnsi="Times New Roman"/>
          <w:i w:val="1"/>
          <w:rtl w:val="0"/>
        </w:rPr>
        <w:t xml:space="preserve">“</w:t>
      </w:r>
      <w:r w:rsidDel="00000000" w:rsidR="00000000" w:rsidRPr="00000000">
        <w:rPr>
          <w:rFonts w:ascii="Times New Roman" w:cs="Times New Roman" w:eastAsia="Times New Roman" w:hAnsi="Times New Roman"/>
          <w:i w:val="1"/>
          <w:rtl w:val="0"/>
        </w:rPr>
        <w:t xml:space="preserve">La cantidad de personas en edad de trabajar que no se incorpora a la fuerza de trabajo o población económicamente inactiva, se estimó para el año 2018 en 4,908,013. Siendo las mujeres el 75.8%, proporción que aumenta al desagregar por pueblo de pertenencia, pues las mujeres del pueblo Xinka presentan un 80.7%, siendo el pueblo con mayor porcentaje de mujeres que no se encuentran dentro del mercado de trabajo”. Entre las mujeres económicamente inactivas de los distintos pueblos, predomina la actividad de los quehaceres.</w:t>
      </w:r>
      <w:r w:rsidDel="00000000" w:rsidR="00000000" w:rsidRPr="00000000">
        <w:rPr>
          <w:rtl w:val="0"/>
        </w:rPr>
      </w:r>
    </w:p>
    <w:p w:rsidR="00000000" w:rsidDel="00000000" w:rsidP="00000000" w:rsidRDefault="00000000" w:rsidRPr="00000000" w14:paraId="00000043">
      <w:pPr>
        <w:spacing w:after="240" w:before="240" w:line="276"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Criminalización y acceso a la justicia</w:t>
      </w:r>
      <w:r w:rsidDel="00000000" w:rsidR="00000000" w:rsidRPr="00000000">
        <w:rPr>
          <w:rtl w:val="0"/>
        </w:rPr>
      </w:r>
    </w:p>
    <w:p w:rsidR="00000000" w:rsidDel="00000000" w:rsidP="00000000" w:rsidRDefault="00000000" w:rsidRPr="00000000" w14:paraId="00000044">
      <w:pPr>
        <w:numPr>
          <w:ilvl w:val="0"/>
          <w:numId w:val="1"/>
        </w:numPr>
        <w:spacing w:after="0" w:afterAutospacing="0" w:before="24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La</w:t>
      </w:r>
      <w:r w:rsidDel="00000000" w:rsidR="00000000" w:rsidRPr="00000000">
        <w:rPr>
          <w:rFonts w:ascii="Times New Roman" w:cs="Times New Roman" w:eastAsia="Times New Roman" w:hAnsi="Times New Roman"/>
          <w:rtl w:val="0"/>
        </w:rPr>
        <w:t xml:space="preserve">s mujeres</w:t>
      </w:r>
      <w:r w:rsidDel="00000000" w:rsidR="00000000" w:rsidRPr="00000000">
        <w:rPr>
          <w:rFonts w:ascii="Times New Roman" w:cs="Times New Roman" w:eastAsia="Times New Roman" w:hAnsi="Times New Roman"/>
          <w:rtl w:val="0"/>
        </w:rPr>
        <w:t xml:space="preserve"> mayas, garífunas, xinkas, afrodescendientes y mestizas defensoras de derechos humanos son víctimas de agresiones, ataques y distintas manifestaciones de violencia, por parte funcionarios públicos y empleados de empresas extractivas, las cuales incluyen desde la difamación, hostigamiento, seguimientos, discursos de odio, intimidaciones, amenazas, discriminación, fragmentación del entramado comunitario</w:t>
      </w:r>
      <w:r w:rsidDel="00000000" w:rsidR="00000000" w:rsidRPr="00000000">
        <w:rPr>
          <w:rFonts w:ascii="Times New Roman" w:cs="Times New Roman" w:eastAsia="Times New Roman" w:hAnsi="Times New Roman"/>
          <w:vertAlign w:val="superscript"/>
        </w:rPr>
        <w:footnoteReference w:customMarkFollows="0" w:id="14"/>
      </w:r>
      <w:r w:rsidDel="00000000" w:rsidR="00000000" w:rsidRPr="00000000">
        <w:rPr>
          <w:rFonts w:ascii="Times New Roman" w:cs="Times New Roman" w:eastAsia="Times New Roman" w:hAnsi="Times New Roman"/>
          <w:rtl w:val="0"/>
        </w:rPr>
        <w:t xml:space="preserve"> hasta  secuestros, persecución judicial infundada, el encarcelamiento arbitrario e ilegal y el asesinato.</w:t>
        <w:br w:type="textWrapping"/>
      </w:r>
    </w:p>
    <w:p w:rsidR="00000000" w:rsidDel="00000000" w:rsidP="00000000" w:rsidRDefault="00000000" w:rsidRPr="00000000" w14:paraId="00000045">
      <w:pPr>
        <w:numPr>
          <w:ilvl w:val="0"/>
          <w:numId w:val="1"/>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highlight w:val="white"/>
          <w:rtl w:val="0"/>
        </w:rPr>
        <w:t xml:space="preserve">El Comité CEDAW dentro de su lista de cuestiones y preguntas al Estado, le solicitó - en su numeral 6. Informar sobre a) - b) Aclarar si el “Protocolo para la investigación de los delitos cometidos contra los defensores de los derechos humanos” del MP incluye la perspectiva de género. El Estado en su respuesta, en el numeral 40 indica que se implementó dicho Protocolo pero no menciona en qué casos y en cuantos casos. No informa sobre cuántas mujeres defensoras fueron beneficiadas.. Menciona, que sí “Incorpora la perspectiva de género desde la definición de víctima” pero </w:t>
      </w:r>
      <w:r w:rsidDel="00000000" w:rsidR="00000000" w:rsidRPr="00000000">
        <w:rPr>
          <w:rFonts w:ascii="Times New Roman" w:cs="Times New Roman" w:eastAsia="Times New Roman" w:hAnsi="Times New Roman"/>
          <w:highlight w:val="white"/>
          <w:rtl w:val="0"/>
        </w:rPr>
        <w:t xml:space="preserve">no</w:t>
      </w:r>
      <w:r w:rsidDel="00000000" w:rsidR="00000000" w:rsidRPr="00000000">
        <w:rPr>
          <w:rFonts w:ascii="Times New Roman" w:cs="Times New Roman" w:eastAsia="Times New Roman" w:hAnsi="Times New Roman"/>
          <w:highlight w:val="white"/>
          <w:rtl w:val="0"/>
        </w:rPr>
        <w:t xml:space="preserve"> aclara ni informa sobre la condición de víctimas por cumplir con su labor  “las periodistas, las profesionales de la justicia, las líderes comunitarias y sindicales y las mujeres indígenas que defienden los derechos sobre la tierra y los recursos ambientales”. </w:t>
      </w:r>
      <w:r w:rsidDel="00000000" w:rsidR="00000000" w:rsidRPr="00000000">
        <w:rPr>
          <w:rFonts w:ascii="Times New Roman" w:cs="Times New Roman" w:eastAsia="Times New Roman" w:hAnsi="Times New Roman"/>
          <w:highlight w:val="yellow"/>
          <w:rtl w:val="0"/>
        </w:rPr>
        <w:br w:type="textWrapping"/>
      </w:r>
      <w:r w:rsidDel="00000000" w:rsidR="00000000" w:rsidRPr="00000000">
        <w:rPr>
          <w:rtl w:val="0"/>
        </w:rPr>
      </w:r>
    </w:p>
    <w:p w:rsidR="00000000" w:rsidDel="00000000" w:rsidP="00000000" w:rsidRDefault="00000000" w:rsidRPr="00000000" w14:paraId="00000046">
      <w:pPr>
        <w:numPr>
          <w:ilvl w:val="0"/>
          <w:numId w:val="1"/>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Durante 2017 UDEFEGUA</w:t>
      </w:r>
      <w:r w:rsidDel="00000000" w:rsidR="00000000" w:rsidRPr="00000000">
        <w:rPr>
          <w:rFonts w:ascii="Times New Roman" w:cs="Times New Roman" w:eastAsia="Times New Roman" w:hAnsi="Times New Roman"/>
          <w:vertAlign w:val="superscript"/>
        </w:rPr>
        <w:footnoteReference w:customMarkFollows="0" w:id="15"/>
      </w:r>
      <w:r w:rsidDel="00000000" w:rsidR="00000000" w:rsidRPr="00000000">
        <w:rPr>
          <w:rFonts w:ascii="Times New Roman" w:cs="Times New Roman" w:eastAsia="Times New Roman" w:hAnsi="Times New Roman"/>
          <w:rtl w:val="0"/>
        </w:rPr>
        <w:t xml:space="preserve"> documentó 493 ataques, incluyendo 13 asesinatos, en 2018 fueron 391 ataques, pero el número de asesinatos se duplicó, con 26 personas asesinadas. En 2019 terminó con 494 ataques (165 defensoras y 329 defensores); en el 2020 se registraron 1,055 ataques (355 defensoras y 700 defensores) incluyendo 15 asesinatos, y para el 2021 se registraron 1,002 agresiones (348 defensoras, 535 defensores y 119 organizaciones) incluyendo 11 asesinatos. Durante el año 2022 se registraron 3,574 agresiones contra hombres y mujeres periodistas, indígenas y campesinos, defensores del territorio y el medioambiente, operadores de justicia, estudiantes, personas con orientación sexual e identidad diversas, auditores sociales y profesionales. “El 64% (2,267) de estas agresiones corresponden a defensores, 32% (1,149) a defensoras y 4% (158) a organizaciones y/o comunidades. Siendo los autores más recurrentes el gobierno, el ejército, empresarios, Ministerio Público y </w:t>
      </w:r>
      <w:r w:rsidDel="00000000" w:rsidR="00000000" w:rsidRPr="00000000">
        <w:rPr>
          <w:rFonts w:ascii="Times New Roman" w:cs="Times New Roman" w:eastAsia="Times New Roman" w:hAnsi="Times New Roman"/>
          <w:rtl w:val="0"/>
        </w:rPr>
        <w:t xml:space="preserve">finqueros</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vertAlign w:val="superscript"/>
        </w:rPr>
        <w:footnoteReference w:customMarkFollows="0" w:id="16"/>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7">
      <w:pPr>
        <w:numPr>
          <w:ilvl w:val="0"/>
          <w:numId w:val="1"/>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El nororiente del país sigue siendo la región con mayor nivel de agresiones a personas defensoras de DDHH. Chiquimula e Izabal presentan 58 y 54 agresiones respectivamente, seguidos de Alta y Baja Verapaz que suman 76 y el departamento de Quiché con 21 hechos de violencia. En el Oriente y costa sur, Jutiapa y Suchitepéquez son los departamentos que más agresiones presentan con 17 y 7 agresiones respectivamente</w:t>
      </w:r>
      <w:r w:rsidDel="00000000" w:rsidR="00000000" w:rsidRPr="00000000">
        <w:rPr>
          <w:rFonts w:ascii="Times New Roman" w:cs="Times New Roman" w:eastAsia="Times New Roman" w:hAnsi="Times New Roman"/>
          <w:vertAlign w:val="superscript"/>
        </w:rPr>
        <w:footnoteReference w:customMarkFollows="0" w:id="17"/>
      </w:r>
      <w:r w:rsidDel="00000000" w:rsidR="00000000" w:rsidRPr="00000000">
        <w:rPr>
          <w:rFonts w:ascii="Times New Roman" w:cs="Times New Roman" w:eastAsia="Times New Roman" w:hAnsi="Times New Roman"/>
          <w:rtl w:val="0"/>
        </w:rPr>
        <w:t xml:space="preserve">.</w:t>
        <w:br w:type="textWrapping"/>
      </w:r>
    </w:p>
    <w:p w:rsidR="00000000" w:rsidDel="00000000" w:rsidP="00000000" w:rsidRDefault="00000000" w:rsidRPr="00000000" w14:paraId="00000048">
      <w:pPr>
        <w:numPr>
          <w:ilvl w:val="0"/>
          <w:numId w:val="1"/>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También datos del 2020</w:t>
      </w:r>
      <w:r w:rsidDel="00000000" w:rsidR="00000000" w:rsidRPr="00000000">
        <w:rPr>
          <w:rFonts w:ascii="Times New Roman" w:cs="Times New Roman" w:eastAsia="Times New Roman" w:hAnsi="Times New Roman"/>
          <w:vertAlign w:val="superscript"/>
        </w:rPr>
        <w:footnoteReference w:customMarkFollows="0" w:id="18"/>
      </w:r>
      <w:r w:rsidDel="00000000" w:rsidR="00000000" w:rsidRPr="00000000">
        <w:rPr>
          <w:rFonts w:ascii="Times New Roman" w:cs="Times New Roman" w:eastAsia="Times New Roman" w:hAnsi="Times New Roman"/>
          <w:rtl w:val="0"/>
        </w:rPr>
        <w:t xml:space="preserve"> revelan que se registraron 161 ataques letales y no letales; de los cuales 125 fueron contra hombres y 31 contra mujeres. De los ataques letales y no letales, 3 y 28, respectivamente, fueron contra mujeres. De los 31 ataques que se perpetraron contra mujeres DDHH, el tipo más común son: asesinato (3); detención arbitraria (4); golpes o lesiones físicas (2) amenazas de muerte (4); campañas de difamación o calumnia (3), discriminación (1); otros (2); intento de asesinato (1); entrada forzada (1); violencia sexual (1); amenaza (9).</w:t>
      </w: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49">
      <w:pPr>
        <w:numPr>
          <w:ilvl w:val="0"/>
          <w:numId w:val="1"/>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El Grupo de Trabajo de Datos de ALLIED, para 2020 los sectores relacionados a los ataques contra las mujeres defensoras de DDHH están agricultura y ganado (1 asesinato y 1 amenaza); minería (golpes o lesiones físicas y amenazas 2); madera y explotación forestal (1 amenaza)</w:t>
      </w:r>
      <w:r w:rsidDel="00000000" w:rsidR="00000000" w:rsidRPr="00000000">
        <w:rPr>
          <w:rFonts w:ascii="Times New Roman" w:cs="Times New Roman" w:eastAsia="Times New Roman" w:hAnsi="Times New Roman"/>
          <w:rtl w:val="0"/>
        </w:rPr>
        <w:t xml:space="preserve">.</w:t>
        <w:br w:type="textWrapping"/>
      </w:r>
    </w:p>
    <w:p w:rsidR="00000000" w:rsidDel="00000000" w:rsidP="00000000" w:rsidRDefault="00000000" w:rsidRPr="00000000" w14:paraId="0000004A">
      <w:pPr>
        <w:numPr>
          <w:ilvl w:val="0"/>
          <w:numId w:val="1"/>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La organización CODECA registró para el 2021 u</w:t>
      </w:r>
      <w:r w:rsidDel="00000000" w:rsidR="00000000" w:rsidRPr="00000000">
        <w:rPr>
          <w:rFonts w:ascii="Times New Roman" w:cs="Times New Roman" w:eastAsia="Times New Roman" w:hAnsi="Times New Roman"/>
          <w:rtl w:val="0"/>
        </w:rPr>
        <w:t xml:space="preserve">n total de 1,230 ataques, de los cuales 602 fueron perpetrados a mujeres</w:t>
      </w:r>
      <w:r w:rsidDel="00000000" w:rsidR="00000000" w:rsidRPr="00000000">
        <w:rPr>
          <w:rFonts w:ascii="Times New Roman" w:cs="Times New Roman" w:eastAsia="Times New Roman" w:hAnsi="Times New Roman"/>
          <w:vertAlign w:val="superscript"/>
        </w:rPr>
        <w:footnoteReference w:customMarkFollows="0" w:id="19"/>
      </w:r>
      <w:r w:rsidDel="00000000" w:rsidR="00000000" w:rsidRPr="00000000">
        <w:rPr>
          <w:rFonts w:ascii="Times New Roman" w:cs="Times New Roman" w:eastAsia="Times New Roman" w:hAnsi="Times New Roman"/>
          <w:rtl w:val="0"/>
        </w:rPr>
        <w:t xml:space="preserve">. Mientras que el CCDA registró a agosto 2023 cerca de 362 mujeres con órdenes de captura principalmente de los departamentos de Alta Verapaz y Baja Verapaz y más de 9 mil mujeres de 74 comunidades organizadas en defensa del derecho a la tierra y el territorio con alta vulnerabilidad de sus derechos, debido a la conflictividad agraria. Y 175 mujeres forzadas a desplazarse junto a sus familias por orden extrajudicial en caso de desalojo a comunidades.</w:t>
      </w:r>
      <w:r w:rsidDel="00000000" w:rsidR="00000000" w:rsidRPr="00000000">
        <w:rPr>
          <w:rFonts w:ascii="Times New Roman" w:cs="Times New Roman" w:eastAsia="Times New Roman" w:hAnsi="Times New Roman"/>
          <w:vertAlign w:val="superscript"/>
        </w:rPr>
        <w:footnoteReference w:customMarkFollows="0" w:id="20"/>
      </w: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4B">
      <w:pPr>
        <w:numPr>
          <w:ilvl w:val="0"/>
          <w:numId w:val="1"/>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Entre los casos de criminalización más relevantes se pueden mencionar el de MMCC quien desde el 2018 fue ligada a proceso y hasta 2022 fue condenada por la defensa del territorio en el Estor, Izabal; SP lideresa monolingüe de K´iche, detenida por fiscalizar actos de corrupción por parte del alcalde Municipal fue acusada de incendio, robo agravado, sedición, estuvo encarcelada durante 11 meses en condiciones precarias y donde sufrió vejámenes, su juicio </w:t>
      </w:r>
      <w:r w:rsidDel="00000000" w:rsidR="00000000" w:rsidRPr="00000000">
        <w:rPr>
          <w:rFonts w:ascii="Times New Roman" w:cs="Times New Roman" w:eastAsia="Times New Roman" w:hAnsi="Times New Roman"/>
          <w:color w:val="ff0000"/>
          <w:rtl w:val="0"/>
        </w:rPr>
        <w:t xml:space="preserve">fue</w:t>
      </w:r>
      <w:r w:rsidDel="00000000" w:rsidR="00000000" w:rsidRPr="00000000">
        <w:rPr>
          <w:rFonts w:ascii="Times New Roman" w:cs="Times New Roman" w:eastAsia="Times New Roman" w:hAnsi="Times New Roman"/>
          <w:rtl w:val="0"/>
        </w:rPr>
        <w:t xml:space="preserve"> programado para finales de 2022. Mujeres de la comunidad de Semuy, área del Estor departamento de Izabal quienes han sido criminalizadas por la defensa del territorio</w:t>
      </w:r>
      <w:r w:rsidDel="00000000" w:rsidR="00000000" w:rsidRPr="00000000">
        <w:rPr>
          <w:rFonts w:ascii="Times New Roman" w:cs="Times New Roman" w:eastAsia="Times New Roman" w:hAnsi="Times New Roman"/>
          <w:vertAlign w:val="superscript"/>
        </w:rPr>
        <w:footnoteReference w:customMarkFollows="0" w:id="21"/>
      </w:r>
      <w:r w:rsidDel="00000000" w:rsidR="00000000" w:rsidRPr="00000000">
        <w:rPr>
          <w:rFonts w:ascii="Times New Roman" w:cs="Times New Roman" w:eastAsia="Times New Roman" w:hAnsi="Times New Roman"/>
          <w:rtl w:val="0"/>
        </w:rPr>
        <w:t xml:space="preserve">.</w:t>
        <w:br w:type="textWrapping"/>
      </w:r>
    </w:p>
    <w:p w:rsidR="00000000" w:rsidDel="00000000" w:rsidP="00000000" w:rsidRDefault="00000000" w:rsidRPr="00000000" w14:paraId="0000004C">
      <w:pPr>
        <w:numPr>
          <w:ilvl w:val="0"/>
          <w:numId w:val="1"/>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El caso de CX</w:t>
      </w:r>
      <w:r w:rsidDel="00000000" w:rsidR="00000000" w:rsidRPr="00000000">
        <w:rPr>
          <w:rFonts w:ascii="Times New Roman" w:cs="Times New Roman" w:eastAsia="Times New Roman" w:hAnsi="Times New Roman"/>
          <w:vertAlign w:val="superscript"/>
        </w:rPr>
        <w:footnoteReference w:customMarkFollows="0" w:id="22"/>
      </w:r>
      <w:r w:rsidDel="00000000" w:rsidR="00000000" w:rsidRPr="00000000">
        <w:rPr>
          <w:rFonts w:ascii="Times New Roman" w:cs="Times New Roman" w:eastAsia="Times New Roman" w:hAnsi="Times New Roman"/>
          <w:rtl w:val="0"/>
        </w:rPr>
        <w:t xml:space="preserve">, mujer del área de Sololá perteneciente a CODECA, fue detenida en 2018 por personeros de una empresa de distribuidora de energía eléctrica, sin contar con orden de aprehensión fue acusada de haberse robado 1 alicate; trasladada a los tribunales de justicia, y no fue sino hasta 1 semana después de su detención, que fue escuchada en su primera declaración, dilación que fue justificada por no tener intérprete el OJ.</w:t>
        <w:br w:type="textWrapping"/>
      </w:r>
    </w:p>
    <w:p w:rsidR="00000000" w:rsidDel="00000000" w:rsidP="00000000" w:rsidRDefault="00000000" w:rsidRPr="00000000" w14:paraId="0000004D">
      <w:pPr>
        <w:numPr>
          <w:ilvl w:val="0"/>
          <w:numId w:val="1"/>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En el año 2022</w:t>
      </w:r>
      <w:r w:rsidDel="00000000" w:rsidR="00000000" w:rsidRPr="00000000">
        <w:rPr>
          <w:rFonts w:ascii="Times New Roman" w:cs="Times New Roman" w:eastAsia="Times New Roman" w:hAnsi="Times New Roman"/>
          <w:vertAlign w:val="superscript"/>
        </w:rPr>
        <w:footnoteReference w:customMarkFollows="0" w:id="23"/>
      </w:r>
      <w:r w:rsidDel="00000000" w:rsidR="00000000" w:rsidRPr="00000000">
        <w:rPr>
          <w:rFonts w:ascii="Times New Roman" w:cs="Times New Roman" w:eastAsia="Times New Roman" w:hAnsi="Times New Roman"/>
          <w:rtl w:val="0"/>
        </w:rPr>
        <w:t xml:space="preserve"> aumentó alarmantemente la persecución y criminalización a las y los operadores de justicia.  Son paradigmáticos los casos de mujeres perseguidas por su labor de justicia y lucha en contra de la corrupción y la impunidad: la ex fiscal general TA, la exjueza EA y la exmagistrada GPE, quienes han tenido que salir al exilio; asimismo fiscales y ex fiscales de carrera de la FECI, como SS, VL, AG, PE, AM y la ex mandataria de CICIG LS, han sido criminalizadas. En el año 2023 la persecución ha aumentado. Recientemente CG, su abogada -también ex mandataria de la CICIG- fue detenida por el Ministerio Público.</w:t>
        <w:br w:type="textWrapping"/>
      </w:r>
    </w:p>
    <w:p w:rsidR="00000000" w:rsidDel="00000000" w:rsidP="00000000" w:rsidRDefault="00000000" w:rsidRPr="00000000" w14:paraId="0000004E">
      <w:pPr>
        <w:numPr>
          <w:ilvl w:val="0"/>
          <w:numId w:val="1"/>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En los procesos penales iniciados en contra de mujeres criminalizadas por la defensa de DDHH, tanto del área urbana como rural, no se han respetado las garantías a un juicio justo, particularmente respecto a las garantías de una audiencia pública, a que sean puestas a disposición de las autoridades respetando los horarios establecidos en la CPRG, a ser juzgadas por un órgano imparcial e independiente y sin dilaciones indebidas, que en los trámites y resoluciones se aplique el enfoque de género y la pertinencia cultural. Particularmente, las dilaciones indebidas buscan prolongar innecesariamente las detenciones con un claro mensaje de estigmatización.</w:t>
        <w:br w:type="textWrapping"/>
      </w:r>
    </w:p>
    <w:p w:rsidR="00000000" w:rsidDel="00000000" w:rsidP="00000000" w:rsidRDefault="00000000" w:rsidRPr="00000000" w14:paraId="0000004F">
      <w:pPr>
        <w:numPr>
          <w:ilvl w:val="0"/>
          <w:numId w:val="1"/>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La persecución penal y detención ilegal y arbitraria en contra de mujeres defensoras de derechos humanos se da en un contexto de discriminación múltiple e interseccional a razón de su sexo, identidad étnica y situación social. Para defender el derecho a defender derechos se enfrentan a un sistema jurídico patriarcal y racista. </w:t>
        <w:br w:type="textWrapping"/>
      </w:r>
    </w:p>
    <w:p w:rsidR="00000000" w:rsidDel="00000000" w:rsidP="00000000" w:rsidRDefault="00000000" w:rsidRPr="00000000" w14:paraId="00000050">
      <w:pPr>
        <w:numPr>
          <w:ilvl w:val="0"/>
          <w:numId w:val="1"/>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En relación con el acceso a la justicia, el Comité de la CEDAW, en 2017 vio con preocupación los obstáculos para el acceso de las mujeres a la justicia, en particular la limitada cobertura del sistema de justicia, especialmente en los lugares remotos, situación que no ha variado sustancialmente durante los últimos años. El MP indicó estar comprometido en cumplir los objetivos trazados en la Agenda 2030 de la ONU, específicamente el ODS 16 denominado “</w:t>
      </w:r>
      <w:r w:rsidDel="00000000" w:rsidR="00000000" w:rsidRPr="00000000">
        <w:rPr>
          <w:rFonts w:ascii="Times New Roman" w:cs="Times New Roman" w:eastAsia="Times New Roman" w:hAnsi="Times New Roman"/>
          <w:i w:val="1"/>
          <w:rtl w:val="0"/>
        </w:rPr>
        <w:t xml:space="preserve">Paz, Justicia e Instituciones Sólidas</w:t>
      </w:r>
      <w:r w:rsidDel="00000000" w:rsidR="00000000" w:rsidRPr="00000000">
        <w:rPr>
          <w:rFonts w:ascii="Times New Roman" w:cs="Times New Roman" w:eastAsia="Times New Roman" w:hAnsi="Times New Roman"/>
          <w:rtl w:val="0"/>
        </w:rPr>
        <w:t xml:space="preserve">”, esto según el tercer informe anual de labores</w:t>
      </w:r>
      <w:r w:rsidDel="00000000" w:rsidR="00000000" w:rsidRPr="00000000">
        <w:rPr>
          <w:rFonts w:ascii="Times New Roman" w:cs="Times New Roman" w:eastAsia="Times New Roman" w:hAnsi="Times New Roman"/>
          <w:vertAlign w:val="superscript"/>
        </w:rPr>
        <w:footnoteReference w:customMarkFollows="0" w:id="24"/>
      </w:r>
      <w:r w:rsidDel="00000000" w:rsidR="00000000" w:rsidRPr="00000000">
        <w:rPr>
          <w:rFonts w:ascii="Times New Roman" w:cs="Times New Roman" w:eastAsia="Times New Roman" w:hAnsi="Times New Roman"/>
          <w:rtl w:val="0"/>
        </w:rPr>
        <w:t xml:space="preserve">, por lo que en los últimos 3 años ha expandido el área de cobertura abriendo agencias fiscales en los 340 municipios del país, señalando tener cubierto el 100%  a nivel nacional; sin embargo, al consultar con las OSC se evidencia que las agencias fiscales no cuentan con la infraestructura, mobiliario, equipo y personal suficientes para atender con pertinencia cultural, enfoque de DDHH y de género las demandas de la población, en especial de la mujeres y las NA. </w:t>
        <w:br w:type="textWrapping"/>
      </w:r>
    </w:p>
    <w:p w:rsidR="00000000" w:rsidDel="00000000" w:rsidP="00000000" w:rsidRDefault="00000000" w:rsidRPr="00000000" w14:paraId="00000051">
      <w:pPr>
        <w:numPr>
          <w:ilvl w:val="0"/>
          <w:numId w:val="1"/>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El OJ</w:t>
      </w:r>
      <w:r w:rsidDel="00000000" w:rsidR="00000000" w:rsidRPr="00000000">
        <w:rPr>
          <w:rFonts w:ascii="Times New Roman" w:cs="Times New Roman" w:eastAsia="Times New Roman" w:hAnsi="Times New Roman"/>
          <w:vertAlign w:val="superscript"/>
        </w:rPr>
        <w:footnoteReference w:customMarkFollows="0" w:id="25"/>
      </w:r>
      <w:r w:rsidDel="00000000" w:rsidR="00000000" w:rsidRPr="00000000">
        <w:rPr>
          <w:rFonts w:ascii="Times New Roman" w:cs="Times New Roman" w:eastAsia="Times New Roman" w:hAnsi="Times New Roman"/>
          <w:rtl w:val="0"/>
        </w:rPr>
        <w:t xml:space="preserve"> reporta </w:t>
      </w:r>
      <w:r w:rsidDel="00000000" w:rsidR="00000000" w:rsidRPr="00000000">
        <w:rPr>
          <w:rFonts w:ascii="Times New Roman" w:cs="Times New Roman" w:eastAsia="Times New Roman" w:hAnsi="Times New Roman"/>
          <w:rtl w:val="0"/>
        </w:rPr>
        <w:t xml:space="preserve">que</w:t>
      </w:r>
      <w:r w:rsidDel="00000000" w:rsidR="00000000" w:rsidRPr="00000000">
        <w:rPr>
          <w:rFonts w:ascii="Times New Roman" w:cs="Times New Roman" w:eastAsia="Times New Roman" w:hAnsi="Times New Roman"/>
          <w:rtl w:val="0"/>
        </w:rPr>
        <w:t xml:space="preserve"> durante el período 2018-2020 se han tramitado 902,965 casos ante los órganos jurisdiccionales (penal, civil, laboral, familiar, niñez) a nivel nacional. Teniendo como indicadores de acceso a la justicia en el año 2017 6 jueces y 30 auxiliares judiciales por cada 100 mil habitantes. Para el año 2018, del 100% de audiencias celebradas por ramo, las tasas más altas fueron el ramo penal con 51.7%, juzgados de paz con 30.3% y en ramo niñez con 7.3%. Asimismo, únicamente se cuenta con 106 intérpretes para atender las necesidades de 12 comunidades lingüísticas del total de 22 que existen.</w:t>
      </w:r>
    </w:p>
    <w:p w:rsidR="00000000" w:rsidDel="00000000" w:rsidP="00000000" w:rsidRDefault="00000000" w:rsidRPr="00000000" w14:paraId="00000052">
      <w:pPr>
        <w:numPr>
          <w:ilvl w:val="0"/>
          <w:numId w:val="1"/>
        </w:numPr>
        <w:spacing w:after="24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El Procurador de los  Derechos Humanos en Guatemala no ha acompañado ni se ha manifestado por los derechos de las defensoras criminalizadas por defender el derecho a la tierra, al territorio, a la libertad de expresión, al agua y al medioambiente sano. En particular, el Procurador no ha defendido a las mujeres y a sus familias, desalojadas en forma judicial, extrajudicial y con uso desmedido de la fuerza,, de las tierras que reivindican por derechos ancestrales, territoriales e históricos como pueblos indígenas y de trabajadores campesinos. </w:t>
      </w:r>
    </w:p>
    <w:p w:rsidR="00000000" w:rsidDel="00000000" w:rsidP="00000000" w:rsidRDefault="00000000" w:rsidRPr="00000000" w14:paraId="00000053">
      <w:pPr>
        <w:spacing w:line="276"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Recomendaciones</w:t>
      </w:r>
    </w:p>
    <w:p w:rsidR="00000000" w:rsidDel="00000000" w:rsidP="00000000" w:rsidRDefault="00000000" w:rsidRPr="00000000" w14:paraId="00000054">
      <w:pPr>
        <w:spacing w:line="276"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5">
      <w:pPr>
        <w:numPr>
          <w:ilvl w:val="0"/>
          <w:numId w:val="2"/>
        </w:numPr>
        <w:spacing w:after="0" w:afterAutospacing="0" w:before="100" w:line="276" w:lineRule="auto"/>
        <w:ind w:left="720" w:hanging="360"/>
        <w:jc w:val="both"/>
        <w:rPr>
          <w:b w:val="1"/>
        </w:rPr>
      </w:pPr>
      <w:r w:rsidDel="00000000" w:rsidR="00000000" w:rsidRPr="00000000">
        <w:rPr>
          <w:rFonts w:ascii="Times New Roman" w:cs="Times New Roman" w:eastAsia="Times New Roman" w:hAnsi="Times New Roman"/>
          <w:rtl w:val="0"/>
        </w:rPr>
        <w:t xml:space="preserve">Generar datos actualizados sobre el estado de tenencia de la tierra (niveles de documentación desagregados por género, edad y pueblo; número de personas por tipo de tenencia desagregadas por género edad y pueblo): Por </w:t>
      </w:r>
      <w:r w:rsidDel="00000000" w:rsidR="00000000" w:rsidRPr="00000000">
        <w:rPr>
          <w:rFonts w:ascii="Times New Roman" w:cs="Times New Roman" w:eastAsia="Times New Roman" w:hAnsi="Times New Roman"/>
          <w:rtl w:val="0"/>
        </w:rPr>
        <w:t xml:space="preserve">ello, es urgente y necesario implementar</w:t>
      </w:r>
      <w:r w:rsidDel="00000000" w:rsidR="00000000" w:rsidRPr="00000000">
        <w:rPr>
          <w:rFonts w:ascii="Times New Roman" w:cs="Times New Roman" w:eastAsia="Times New Roman" w:hAnsi="Times New Roman"/>
          <w:rtl w:val="0"/>
        </w:rPr>
        <w:t xml:space="preserve"> un nuevo Censo Nacional Agropecuario en donde se cuente con datos desagregados por género, edad y pueblo; facilitando los datos para actualizar los ODS 5.a.1 y 5.a.2.</w:t>
        <w:br w:type="textWrapping"/>
      </w:r>
    </w:p>
    <w:p w:rsidR="00000000" w:rsidDel="00000000" w:rsidP="00000000" w:rsidRDefault="00000000" w:rsidRPr="00000000" w14:paraId="00000056">
      <w:pPr>
        <w:numPr>
          <w:ilvl w:val="0"/>
          <w:numId w:val="2"/>
        </w:numPr>
        <w:spacing w:after="0" w:afterAutospacing="0" w:before="0" w:beforeAutospacing="0" w:line="276" w:lineRule="auto"/>
        <w:ind w:left="720" w:hanging="360"/>
        <w:jc w:val="both"/>
        <w:rPr>
          <w:b w:val="1"/>
          <w:color w:val="1f1f1f"/>
        </w:rPr>
      </w:pPr>
      <w:r w:rsidDel="00000000" w:rsidR="00000000" w:rsidRPr="00000000">
        <w:rPr>
          <w:rFonts w:ascii="Times New Roman" w:cs="Times New Roman" w:eastAsia="Times New Roman" w:hAnsi="Times New Roman"/>
          <w:rtl w:val="0"/>
        </w:rPr>
        <w:t xml:space="preserve">Revisar los criterios establecidos para que las mujeres puedan acceder a tierras, de manera que no ejerzan discriminación hacia mujeres que toman la decisión de estudiar niveles educativos profesionales o de no ser madres, por ejemplo. </w:t>
        <w:br w:type="textWrapping"/>
      </w:r>
    </w:p>
    <w:p w:rsidR="00000000" w:rsidDel="00000000" w:rsidP="00000000" w:rsidRDefault="00000000" w:rsidRPr="00000000" w14:paraId="00000057">
      <w:pPr>
        <w:numPr>
          <w:ilvl w:val="0"/>
          <w:numId w:val="2"/>
        </w:numPr>
        <w:spacing w:after="0" w:afterAutospacing="0" w:before="0" w:beforeAutospacing="0" w:line="276" w:lineRule="auto"/>
        <w:ind w:left="720" w:hanging="360"/>
        <w:jc w:val="both"/>
        <w:rPr>
          <w:b w:val="1"/>
          <w:color w:val="1f1f1f"/>
        </w:rPr>
      </w:pPr>
      <w:r w:rsidDel="00000000" w:rsidR="00000000" w:rsidRPr="00000000">
        <w:rPr>
          <w:rFonts w:ascii="Times New Roman" w:cs="Times New Roman" w:eastAsia="Times New Roman" w:hAnsi="Times New Roman"/>
          <w:rtl w:val="0"/>
        </w:rPr>
        <w:t xml:space="preserve">Cumplir con </w:t>
      </w:r>
      <w:r w:rsidDel="00000000" w:rsidR="00000000" w:rsidRPr="00000000">
        <w:rPr>
          <w:rFonts w:ascii="Times New Roman" w:cs="Times New Roman" w:eastAsia="Times New Roman" w:hAnsi="Times New Roman"/>
          <w:rtl w:val="0"/>
        </w:rPr>
        <w:t xml:space="preserve"> lo establecido en los Acuerdos de Paz en relación con el acceso a la tierra para las mujeres </w:t>
      </w:r>
      <w:r w:rsidDel="00000000" w:rsidR="00000000" w:rsidRPr="00000000">
        <w:rPr>
          <w:rFonts w:ascii="Times New Roman" w:cs="Times New Roman" w:eastAsia="Times New Roman" w:hAnsi="Times New Roman"/>
          <w:rtl w:val="0"/>
        </w:rPr>
        <w:t xml:space="preserve">rurales, indígenas y campesinas</w:t>
      </w:r>
      <w:r w:rsidDel="00000000" w:rsidR="00000000" w:rsidRPr="00000000">
        <w:rPr>
          <w:rFonts w:ascii="Times New Roman" w:cs="Times New Roman" w:eastAsia="Times New Roman" w:hAnsi="Times New Roman"/>
          <w:rtl w:val="0"/>
        </w:rPr>
        <w:t xml:space="preserve"> creando las políticas públicas y normativas necesarias para que las mujeres puedan gozar del derecho al acceso a la tierra</w:t>
      </w:r>
      <w:r w:rsidDel="00000000" w:rsidR="00000000" w:rsidRPr="00000000">
        <w:rPr>
          <w:rFonts w:ascii="Times New Roman" w:cs="Times New Roman" w:eastAsia="Times New Roman" w:hAnsi="Times New Roman"/>
          <w:rtl w:val="0"/>
        </w:rPr>
        <w:t xml:space="preserve">, por ejemplo, garantizando que el Fondo de Tierras ponga a disposición datos sobre la implementación y avances de sus programas desagregados por género, edad y pueblo; así como información de hectáreas compradas y numero de personas beneficiadas desagregadas por sexo, edad y pueblo. </w:t>
        <w:br w:type="textWrapping"/>
      </w:r>
    </w:p>
    <w:p w:rsidR="00000000" w:rsidDel="00000000" w:rsidP="00000000" w:rsidRDefault="00000000" w:rsidRPr="00000000" w14:paraId="00000058">
      <w:pPr>
        <w:numPr>
          <w:ilvl w:val="0"/>
          <w:numId w:val="2"/>
        </w:numPr>
        <w:spacing w:after="0" w:afterAutospacing="0" w:before="0" w:beforeAutospacing="0" w:line="276" w:lineRule="auto"/>
        <w:ind w:left="720" w:hanging="360"/>
        <w:jc w:val="both"/>
        <w:rPr>
          <w:b w:val="1"/>
          <w:color w:val="1f1f1f"/>
        </w:rPr>
      </w:pPr>
      <w:r w:rsidDel="00000000" w:rsidR="00000000" w:rsidRPr="00000000">
        <w:rPr>
          <w:rFonts w:ascii="Times New Roman" w:cs="Times New Roman" w:eastAsia="Times New Roman" w:hAnsi="Times New Roman"/>
          <w:rtl w:val="0"/>
        </w:rPr>
        <w:t xml:space="preserve">Garantizar el </w:t>
      </w:r>
      <w:r w:rsidDel="00000000" w:rsidR="00000000" w:rsidRPr="00000000">
        <w:rPr>
          <w:rFonts w:ascii="Times New Roman" w:cs="Times New Roman" w:eastAsia="Times New Roman" w:hAnsi="Times New Roman"/>
          <w:rtl w:val="0"/>
        </w:rPr>
        <w:t xml:space="preserve">financiamiento</w:t>
      </w:r>
      <w:r w:rsidDel="00000000" w:rsidR="00000000" w:rsidRPr="00000000">
        <w:rPr>
          <w:rFonts w:ascii="Times New Roman" w:cs="Times New Roman" w:eastAsia="Times New Roman" w:hAnsi="Times New Roman"/>
          <w:rtl w:val="0"/>
        </w:rPr>
        <w:t xml:space="preserve"> para actividades que permitan a las mujeres acceder a la tierra y utilizarla como un medio productivo, asignando un presupuesto adecuado para apoyar las </w:t>
      </w:r>
      <w:r w:rsidDel="00000000" w:rsidR="00000000" w:rsidRPr="00000000">
        <w:rPr>
          <w:rFonts w:ascii="Times New Roman" w:cs="Times New Roman" w:eastAsia="Times New Roman" w:hAnsi="Times New Roman"/>
          <w:rtl w:val="0"/>
        </w:rPr>
        <w:t xml:space="preserve">actividades</w:t>
      </w:r>
      <w:r w:rsidDel="00000000" w:rsidR="00000000" w:rsidRPr="00000000">
        <w:rPr>
          <w:rFonts w:ascii="Times New Roman" w:cs="Times New Roman" w:eastAsia="Times New Roman" w:hAnsi="Times New Roman"/>
          <w:rtl w:val="0"/>
        </w:rPr>
        <w:t xml:space="preserve"> agropecuarias de las mujeres desde el MAGA e implementando desde el FONTIERRAS l</w:t>
      </w:r>
      <w:r w:rsidDel="00000000" w:rsidR="00000000" w:rsidRPr="00000000">
        <w:rPr>
          <w:rFonts w:ascii="Times New Roman" w:cs="Times New Roman" w:eastAsia="Times New Roman" w:hAnsi="Times New Roman"/>
          <w:rtl w:val="0"/>
        </w:rPr>
        <w:t xml:space="preserve">a Política para Facilitar a las Mujeres Campesinas, Mayas, Xinkas, Garífunas y Mestizas el Acceso a la Propiedad</w:t>
      </w:r>
      <w:r w:rsidDel="00000000" w:rsidR="00000000" w:rsidRPr="00000000">
        <w:rPr>
          <w:rFonts w:ascii="Times New Roman" w:cs="Times New Roman" w:eastAsia="Times New Roman" w:hAnsi="Times New Roman"/>
          <w:rtl w:val="0"/>
        </w:rPr>
        <w:t xml:space="preserve"> de la Tierra y otros medios productivos, ya que realmente no llegó a implementarse.</w:t>
        <w:br w:type="textWrapping"/>
      </w:r>
    </w:p>
    <w:p w:rsidR="00000000" w:rsidDel="00000000" w:rsidP="00000000" w:rsidRDefault="00000000" w:rsidRPr="00000000" w14:paraId="00000059">
      <w:pPr>
        <w:numPr>
          <w:ilvl w:val="0"/>
          <w:numId w:val="2"/>
        </w:numPr>
        <w:spacing w:after="0" w:afterAutospacing="0" w:before="0" w:beforeAutospacing="0" w:line="276" w:lineRule="auto"/>
        <w:ind w:left="720" w:hanging="360"/>
        <w:jc w:val="both"/>
        <w:rPr>
          <w:b w:val="1"/>
          <w:color w:val="1f1f1f"/>
        </w:rPr>
      </w:pPr>
      <w:r w:rsidDel="00000000" w:rsidR="00000000" w:rsidRPr="00000000">
        <w:rPr>
          <w:rFonts w:ascii="Times New Roman" w:cs="Times New Roman" w:eastAsia="Times New Roman" w:hAnsi="Times New Roman"/>
          <w:rtl w:val="0"/>
        </w:rPr>
        <w:t xml:space="preserve">Agendar con prioridad en el Congreso de la República, y aprobar en segunda y tercera lectura, la ley de Desarrollo </w:t>
      </w:r>
      <w:r w:rsidDel="00000000" w:rsidR="00000000" w:rsidRPr="00000000">
        <w:rPr>
          <w:rFonts w:ascii="Times New Roman" w:cs="Times New Roman" w:eastAsia="Times New Roman" w:hAnsi="Times New Roman"/>
          <w:rtl w:val="0"/>
        </w:rPr>
        <w:t xml:space="preserve">Económico</w:t>
      </w:r>
      <w:r w:rsidDel="00000000" w:rsidR="00000000" w:rsidRPr="00000000">
        <w:rPr>
          <w:rFonts w:ascii="Times New Roman" w:cs="Times New Roman" w:eastAsia="Times New Roman" w:hAnsi="Times New Roman"/>
          <w:rtl w:val="0"/>
        </w:rPr>
        <w:t xml:space="preserve"> de las Mujeres -Ley DEM 5452-, y asignar un presupuesto digno y seguro para su efectiva </w:t>
      </w:r>
      <w:r w:rsidDel="00000000" w:rsidR="00000000" w:rsidRPr="00000000">
        <w:rPr>
          <w:rFonts w:ascii="Times New Roman" w:cs="Times New Roman" w:eastAsia="Times New Roman" w:hAnsi="Times New Roman"/>
          <w:rtl w:val="0"/>
        </w:rPr>
        <w:t xml:space="preserve">implementación</w:t>
      </w:r>
      <w:r w:rsidDel="00000000" w:rsidR="00000000" w:rsidRPr="00000000">
        <w:rPr>
          <w:rFonts w:ascii="Times New Roman" w:cs="Times New Roman" w:eastAsia="Times New Roman" w:hAnsi="Times New Roman"/>
          <w:rtl w:val="0"/>
        </w:rPr>
        <w:t xml:space="preserve">. Dicha ley busca el </w:t>
      </w:r>
      <w:r w:rsidDel="00000000" w:rsidR="00000000" w:rsidRPr="00000000">
        <w:rPr>
          <w:rFonts w:ascii="Times New Roman" w:cs="Times New Roman" w:eastAsia="Times New Roman" w:hAnsi="Times New Roman"/>
          <w:rtl w:val="0"/>
        </w:rPr>
        <w:t xml:space="preserve">reconocimiento</w:t>
      </w:r>
      <w:r w:rsidDel="00000000" w:rsidR="00000000" w:rsidRPr="00000000">
        <w:rPr>
          <w:rFonts w:ascii="Times New Roman" w:cs="Times New Roman" w:eastAsia="Times New Roman" w:hAnsi="Times New Roman"/>
          <w:rtl w:val="0"/>
        </w:rPr>
        <w:t xml:space="preserve"> económico del trabajo de las mujeres guatemaltecas mediante la facilitación de </w:t>
      </w:r>
      <w:r w:rsidDel="00000000" w:rsidR="00000000" w:rsidRPr="00000000">
        <w:rPr>
          <w:rFonts w:ascii="Times New Roman" w:cs="Times New Roman" w:eastAsia="Times New Roman" w:hAnsi="Times New Roman"/>
          <w:rtl w:val="0"/>
        </w:rPr>
        <w:t xml:space="preserve">créditos, </w:t>
      </w:r>
      <w:r w:rsidDel="00000000" w:rsidR="00000000" w:rsidRPr="00000000">
        <w:rPr>
          <w:rFonts w:ascii="Times New Roman" w:cs="Times New Roman" w:eastAsia="Times New Roman" w:hAnsi="Times New Roman"/>
          <w:rtl w:val="0"/>
        </w:rPr>
        <w:t xml:space="preserve">programas productivos y acceso a la tierra y otros medios de producción.</w:t>
        <w:br w:type="textWrapping"/>
      </w:r>
    </w:p>
    <w:p w:rsidR="00000000" w:rsidDel="00000000" w:rsidP="00000000" w:rsidRDefault="00000000" w:rsidRPr="00000000" w14:paraId="0000005A">
      <w:pPr>
        <w:numPr>
          <w:ilvl w:val="0"/>
          <w:numId w:val="2"/>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Incentivar con medidas económicas a los partidos políticos que en sus listas de candidatos propendan por la equidad de género.</w:t>
        <w:br w:type="textWrapping"/>
      </w:r>
      <w:r w:rsidDel="00000000" w:rsidR="00000000" w:rsidRPr="00000000">
        <w:rPr>
          <w:rtl w:val="0"/>
        </w:rPr>
      </w:r>
    </w:p>
    <w:p w:rsidR="00000000" w:rsidDel="00000000" w:rsidP="00000000" w:rsidRDefault="00000000" w:rsidRPr="00000000" w14:paraId="0000005B">
      <w:pPr>
        <w:numPr>
          <w:ilvl w:val="0"/>
          <w:numId w:val="2"/>
        </w:numPr>
        <w:shd w:fill="ffffff" w:val="clear"/>
        <w:spacing w:after="0" w:afterAutospacing="0" w:before="0" w:beforeAutospacing="0" w:line="276" w:lineRule="auto"/>
        <w:ind w:left="720" w:hanging="360"/>
        <w:jc w:val="both"/>
        <w:rPr>
          <w:rFonts w:ascii="Arial" w:cs="Arial" w:eastAsia="Arial" w:hAnsi="Arial"/>
          <w:color w:val="222222"/>
        </w:rPr>
      </w:pPr>
      <w:r w:rsidDel="00000000" w:rsidR="00000000" w:rsidRPr="00000000">
        <w:rPr>
          <w:rFonts w:ascii="Times New Roman" w:cs="Times New Roman" w:eastAsia="Times New Roman" w:hAnsi="Times New Roman"/>
          <w:rtl w:val="0"/>
        </w:rPr>
        <w:t xml:space="preserve">Impulsar la aprobación de la reforma del artículo 212 de la LEPP Ley Electoral y de Partidos Políticos, el cual busca la paridad y alternabilidad en las listas de candidatos presentadas por los partidos políticos. </w:t>
      </w: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5C">
      <w:pPr>
        <w:numPr>
          <w:ilvl w:val="0"/>
          <w:numId w:val="2"/>
        </w:numPr>
        <w:shd w:fill="ffffff" w:val="clea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El </w:t>
      </w:r>
      <w:r w:rsidDel="00000000" w:rsidR="00000000" w:rsidRPr="00000000">
        <w:rPr>
          <w:rFonts w:ascii="Times New Roman" w:cs="Times New Roman" w:eastAsia="Times New Roman" w:hAnsi="Times New Roman"/>
          <w:rtl w:val="0"/>
        </w:rPr>
        <w:t xml:space="preserve">Sistema Nacional de Consejos de Desarrollo - SISCODE - debe regirse con una política de igualdad de género que favorezca la participación de las mujeres en los distintos </w:t>
      </w:r>
      <w:r w:rsidDel="00000000" w:rsidR="00000000" w:rsidRPr="00000000">
        <w:rPr>
          <w:rFonts w:ascii="Times New Roman" w:cs="Times New Roman" w:eastAsia="Times New Roman" w:hAnsi="Times New Roman"/>
          <w:rtl w:val="0"/>
        </w:rPr>
        <w:t xml:space="preserve">niveles del sistema de </w:t>
      </w:r>
      <w:r w:rsidDel="00000000" w:rsidR="00000000" w:rsidRPr="00000000">
        <w:rPr>
          <w:rFonts w:ascii="Times New Roman" w:cs="Times New Roman" w:eastAsia="Times New Roman" w:hAnsi="Times New Roman"/>
          <w:rtl w:val="0"/>
        </w:rPr>
        <w:t xml:space="preserve">Consejos, considerando las condiciones que limitan su participación efectiva, como los recursos económicos para desplazamiento a las reuniones. Dicho rubro podría considerarse dentro del presupuesto del SISCODE.  </w:t>
      </w:r>
      <w:r w:rsidDel="00000000" w:rsidR="00000000" w:rsidRPr="00000000">
        <w:rPr>
          <w:rFonts w:ascii="Times New Roman" w:cs="Times New Roman" w:eastAsia="Times New Roman" w:hAnsi="Times New Roman"/>
          <w:rtl w:val="0"/>
        </w:rPr>
        <w:br w:type="textWrapping"/>
      </w:r>
      <w:r w:rsidDel="00000000" w:rsidR="00000000" w:rsidRPr="00000000">
        <w:rPr>
          <w:rtl w:val="0"/>
        </w:rPr>
      </w:r>
    </w:p>
    <w:p w:rsidR="00000000" w:rsidDel="00000000" w:rsidP="00000000" w:rsidRDefault="00000000" w:rsidRPr="00000000" w14:paraId="0000005D">
      <w:pPr>
        <w:numPr>
          <w:ilvl w:val="0"/>
          <w:numId w:val="2"/>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El Ministerio Público debe implementar y mejorar con la perspectiva de la justicia de género el Protocolo de Investigación de Delitos Cometidos contra Defensores de Derechos Humanos, y asumir la especial atención que requieren las defensoras rurales, indígenas y campesinas.</w:t>
        <w:br w:type="textWrapping"/>
      </w:r>
    </w:p>
    <w:p w:rsidR="00000000" w:rsidDel="00000000" w:rsidP="00000000" w:rsidRDefault="00000000" w:rsidRPr="00000000" w14:paraId="0000005E">
      <w:pPr>
        <w:numPr>
          <w:ilvl w:val="0"/>
          <w:numId w:val="2"/>
        </w:numPr>
        <w:spacing w:after="0" w:afterAutospacing="0" w:before="0" w:beforeAutospacing="0" w:lineRule="auto"/>
        <w:ind w:left="720" w:hanging="360"/>
        <w:jc w:val="both"/>
      </w:pPr>
      <w:r w:rsidDel="00000000" w:rsidR="00000000" w:rsidRPr="00000000">
        <w:rPr>
          <w:rFonts w:ascii="Times New Roman" w:cs="Times New Roman" w:eastAsia="Times New Roman" w:hAnsi="Times New Roman"/>
          <w:rtl w:val="0"/>
        </w:rPr>
        <w:t xml:space="preserve">La Defensoría de la Mujer Indígena -DEMI- debe cumplir plenamente su misión, según lo estipula el acuerdo gubernativo No. 525-99 por el que fue creada: observar, defender, monitorear, promover, los derechos de las mujeres indígenas ( mayas, garífunas, xinkas, afrodescendientes y mestizas), incluyendo claramente la atención a las mujeres defensoras de la tierra, el territorio, el medioambiente, el agua, los bosques y demás bienes naturales, en el marco del Convenio 169 de la OIT y otras declaraciones internacionales en materia de los derechos campesinos y de los pueblos indígenas.</w:t>
        <w:br w:type="textWrapping"/>
      </w:r>
    </w:p>
    <w:p w:rsidR="00000000" w:rsidDel="00000000" w:rsidP="00000000" w:rsidRDefault="00000000" w:rsidRPr="00000000" w14:paraId="0000005F">
      <w:pPr>
        <w:numPr>
          <w:ilvl w:val="0"/>
          <w:numId w:val="2"/>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El Estado de Guatemala debe ratificar con urgencia el Acuerdo de Escazú, lo cual significa un importante avance hacia la protección de la madre tierra, la biodiversidad y los bienes territoriales que protegen los pueblos indígenas, así como la protección, justicia y reconocimiento a la labor de las mujeres defensoras del medioambiente. </w:t>
        <w:br w:type="textWrapping"/>
      </w:r>
    </w:p>
    <w:p w:rsidR="00000000" w:rsidDel="00000000" w:rsidP="00000000" w:rsidRDefault="00000000" w:rsidRPr="00000000" w14:paraId="00000060">
      <w:pPr>
        <w:numPr>
          <w:ilvl w:val="0"/>
          <w:numId w:val="2"/>
        </w:numPr>
        <w:spacing w:after="0" w:afterAutospacing="0"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El Estado debe de institucionalizar procesos de resarcimiento y dignificación a las y los defensores de derechos humanos que, por su labor de defensa de los derechos humanos, se hayan enfrentado a procesos judiciales, de difamación, persecución política, etc. En el caso de las mujeres rurales (indígenas y campesinas) se debe contemplar, según el caso, procesos individuales, colectivos, familiares o comunitarios, con pertinencia cultural y de género.</w:t>
        <w:br w:type="textWrapping"/>
      </w:r>
    </w:p>
    <w:p w:rsidR="00000000" w:rsidDel="00000000" w:rsidP="00000000" w:rsidRDefault="00000000" w:rsidRPr="00000000" w14:paraId="00000061">
      <w:pPr>
        <w:numPr>
          <w:ilvl w:val="0"/>
          <w:numId w:val="2"/>
        </w:numPr>
        <w:spacing w:before="0" w:beforeAutospacing="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Deben de identificarse (individuos, empresas, instituciones) y sancionarse a los responsables de agresiones, criminalización, persecusión, hostigamiento, asesinato, etc., a defensoras y defensores de derechos humanos</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5">
    <w:p w:rsidR="00000000" w:rsidDel="00000000" w:rsidP="00000000" w:rsidRDefault="00000000" w:rsidRPr="00000000" w14:paraId="00000062">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vertAlign w:val="superscript"/>
          <w:rtl w:val="0"/>
        </w:rPr>
        <w:t xml:space="preserve"> Cada cuerda es equivalente a 40 varas cuadradas</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footnote>
  <w:footnote w:id="7">
    <w:p w:rsidR="00000000" w:rsidDel="00000000" w:rsidP="00000000" w:rsidRDefault="00000000" w:rsidRPr="00000000" w14:paraId="00000063">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MINFIN/SICOIN años 2018,2019,2020,2021 Y 2022.</w:t>
      </w:r>
      <w:r w:rsidDel="00000000" w:rsidR="00000000" w:rsidRPr="00000000">
        <w:rPr>
          <w:rtl w:val="0"/>
        </w:rPr>
      </w:r>
    </w:p>
  </w:footnote>
  <w:footnote w:id="12">
    <w:p w:rsidR="00000000" w:rsidDel="00000000" w:rsidP="00000000" w:rsidRDefault="00000000" w:rsidRPr="00000000" w14:paraId="00000064">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20"/>
          <w:szCs w:val="20"/>
          <w:rtl w:val="0"/>
        </w:rPr>
        <w:t xml:space="preserve">Perfil de país, según igualdad de género para las mujeres guatemaltecas, Onumujeres, marzo, 2021.</w:t>
      </w:r>
      <w:r w:rsidDel="00000000" w:rsidR="00000000" w:rsidRPr="00000000">
        <w:rPr>
          <w:rtl w:val="0"/>
        </w:rPr>
      </w:r>
    </w:p>
  </w:footnote>
  <w:footnote w:id="15">
    <w:p w:rsidR="00000000" w:rsidDel="00000000" w:rsidP="00000000" w:rsidRDefault="00000000" w:rsidRPr="00000000" w14:paraId="00000065">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18"/>
          <w:szCs w:val="18"/>
          <w:rtl w:val="0"/>
        </w:rPr>
        <w:t xml:space="preserve"> Puede consultarse en</w:t>
      </w:r>
      <w:hyperlink r:id="rId1">
        <w:r w:rsidDel="00000000" w:rsidR="00000000" w:rsidRPr="00000000">
          <w:rPr>
            <w:rFonts w:ascii="Times New Roman" w:cs="Times New Roman" w:eastAsia="Times New Roman" w:hAnsi="Times New Roman"/>
            <w:sz w:val="18"/>
            <w:szCs w:val="18"/>
            <w:rtl w:val="0"/>
          </w:rPr>
          <w:t xml:space="preserve"> </w:t>
        </w:r>
      </w:hyperlink>
      <w:hyperlink r:id="rId2">
        <w:r w:rsidDel="00000000" w:rsidR="00000000" w:rsidRPr="00000000">
          <w:rPr>
            <w:rFonts w:ascii="Times New Roman" w:cs="Times New Roman" w:eastAsia="Times New Roman" w:hAnsi="Times New Roman"/>
            <w:color w:val="0000ff"/>
            <w:sz w:val="18"/>
            <w:szCs w:val="18"/>
            <w:u w:val="single"/>
            <w:rtl w:val="0"/>
          </w:rPr>
          <w:t xml:space="preserve">INFORME UDEFEGUA 2021</w:t>
        </w:r>
      </w:hyperlink>
      <w:r w:rsidDel="00000000" w:rsidR="00000000" w:rsidRPr="00000000">
        <w:rPr>
          <w:rtl w:val="0"/>
        </w:rPr>
      </w:r>
    </w:p>
  </w:footnote>
  <w:footnote w:id="17">
    <w:p w:rsidR="00000000" w:rsidDel="00000000" w:rsidP="00000000" w:rsidRDefault="00000000" w:rsidRPr="00000000" w14:paraId="00000066">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18"/>
          <w:szCs w:val="18"/>
          <w:rtl w:val="0"/>
        </w:rPr>
        <w:t xml:space="preserve">Puede consultarse en</w:t>
      </w:r>
      <w:hyperlink r:id="rId3">
        <w:r w:rsidDel="00000000" w:rsidR="00000000" w:rsidRPr="00000000">
          <w:rPr>
            <w:rFonts w:ascii="Times New Roman" w:cs="Times New Roman" w:eastAsia="Times New Roman" w:hAnsi="Times New Roman"/>
            <w:sz w:val="18"/>
            <w:szCs w:val="18"/>
            <w:rtl w:val="0"/>
          </w:rPr>
          <w:t xml:space="preserve"> </w:t>
        </w:r>
      </w:hyperlink>
      <w:hyperlink r:id="rId4">
        <w:r w:rsidDel="00000000" w:rsidR="00000000" w:rsidRPr="00000000">
          <w:rPr>
            <w:rFonts w:ascii="Times New Roman" w:cs="Times New Roman" w:eastAsia="Times New Roman" w:hAnsi="Times New Roman"/>
            <w:color w:val="0000ff"/>
            <w:sz w:val="18"/>
            <w:szCs w:val="18"/>
            <w:u w:val="single"/>
            <w:rtl w:val="0"/>
          </w:rPr>
          <w:t xml:space="preserve">INFORME UDEFEGUA 2021</w:t>
        </w:r>
      </w:hyperlink>
      <w:r w:rsidDel="00000000" w:rsidR="00000000" w:rsidRPr="00000000">
        <w:rPr>
          <w:rFonts w:ascii="Times New Roman" w:cs="Times New Roman" w:eastAsia="Times New Roman" w:hAnsi="Times New Roman"/>
          <w:sz w:val="18"/>
          <w:szCs w:val="18"/>
          <w:rtl w:val="0"/>
        </w:rPr>
        <w:t xml:space="preserve"> pág. 9.</w:t>
      </w:r>
      <w:r w:rsidDel="00000000" w:rsidR="00000000" w:rsidRPr="00000000">
        <w:rPr>
          <w:rtl w:val="0"/>
        </w:rPr>
      </w:r>
    </w:p>
  </w:footnote>
  <w:footnote w:id="18">
    <w:p w:rsidR="00000000" w:rsidDel="00000000" w:rsidP="00000000" w:rsidRDefault="00000000" w:rsidRPr="00000000" w14:paraId="00000067">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18"/>
          <w:szCs w:val="18"/>
          <w:rtl w:val="0"/>
        </w:rPr>
        <w:t xml:space="preserve">Datos obtenidos del Allied Data Working Group/Global Land Governance Index</w:t>
      </w:r>
      <w:r w:rsidDel="00000000" w:rsidR="00000000" w:rsidRPr="00000000">
        <w:rPr>
          <w:rtl w:val="0"/>
        </w:rPr>
      </w:r>
    </w:p>
  </w:footnote>
  <w:footnote w:id="19">
    <w:p w:rsidR="00000000" w:rsidDel="00000000" w:rsidP="00000000" w:rsidRDefault="00000000" w:rsidRPr="00000000" w14:paraId="00000068">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18"/>
          <w:szCs w:val="18"/>
          <w:rtl w:val="0"/>
        </w:rPr>
        <w:t xml:space="preserve">Informe Represión contra CODECA en el 2021, pág. 13.</w:t>
      </w:r>
      <w:r w:rsidDel="00000000" w:rsidR="00000000" w:rsidRPr="00000000">
        <w:rPr>
          <w:rtl w:val="0"/>
        </w:rPr>
      </w:r>
    </w:p>
  </w:footnote>
  <w:footnote w:id="21">
    <w:p w:rsidR="00000000" w:rsidDel="00000000" w:rsidP="00000000" w:rsidRDefault="00000000" w:rsidRPr="00000000" w14:paraId="00000069">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18"/>
          <w:szCs w:val="18"/>
          <w:rtl w:val="0"/>
        </w:rPr>
        <w:t xml:space="preserve">Entrevista sostenida el 20 de agosto de 2022, con integrantes del Bufete para Pueblos Indígenas.</w:t>
      </w:r>
      <w:r w:rsidDel="00000000" w:rsidR="00000000" w:rsidRPr="00000000">
        <w:rPr>
          <w:rtl w:val="0"/>
        </w:rPr>
      </w:r>
    </w:p>
  </w:footnote>
  <w:footnote w:id="22">
    <w:p w:rsidR="00000000" w:rsidDel="00000000" w:rsidP="00000000" w:rsidRDefault="00000000" w:rsidRPr="00000000" w14:paraId="0000006A">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20"/>
          <w:szCs w:val="20"/>
          <w:rtl w:val="0"/>
        </w:rPr>
        <w:t xml:space="preserve">Entrevista sostenida el 26 de agosto de 2022 con mujeres lideresas del Comité de Desarrollo Campesino -CODECA-</w:t>
      </w:r>
      <w:r w:rsidDel="00000000" w:rsidR="00000000" w:rsidRPr="00000000">
        <w:rPr>
          <w:rtl w:val="0"/>
        </w:rPr>
      </w:r>
    </w:p>
  </w:footnote>
  <w:footnote w:id="24">
    <w:p w:rsidR="00000000" w:rsidDel="00000000" w:rsidP="00000000" w:rsidRDefault="00000000" w:rsidRPr="00000000" w14:paraId="0000006B">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18"/>
          <w:szCs w:val="18"/>
          <w:rtl w:val="0"/>
        </w:rPr>
        <w:t xml:space="preserve"> Puede consultarse en: </w:t>
      </w:r>
      <w:hyperlink r:id="rId5">
        <w:r w:rsidDel="00000000" w:rsidR="00000000" w:rsidRPr="00000000">
          <w:rPr>
            <w:rFonts w:ascii="Times New Roman" w:cs="Times New Roman" w:eastAsia="Times New Roman" w:hAnsi="Times New Roman"/>
            <w:sz w:val="18"/>
            <w:szCs w:val="18"/>
            <w:rtl w:val="0"/>
          </w:rPr>
          <w:t xml:space="preserve"> </w:t>
        </w:r>
      </w:hyperlink>
      <w:hyperlink r:id="rId6">
        <w:r w:rsidDel="00000000" w:rsidR="00000000" w:rsidRPr="00000000">
          <w:rPr>
            <w:rFonts w:ascii="Times New Roman" w:cs="Times New Roman" w:eastAsia="Times New Roman" w:hAnsi="Times New Roman"/>
            <w:color w:val="0563c1"/>
            <w:sz w:val="18"/>
            <w:szCs w:val="18"/>
            <w:u w:val="single"/>
            <w:rtl w:val="0"/>
          </w:rPr>
          <w:t xml:space="preserve">https://www.mp.gob.gt/documentos</w:t>
        </w:r>
      </w:hyperlink>
      <w:r w:rsidDel="00000000" w:rsidR="00000000" w:rsidRPr="00000000">
        <w:rPr>
          <w:rFonts w:ascii="Times New Roman" w:cs="Times New Roman" w:eastAsia="Times New Roman" w:hAnsi="Times New Roman"/>
          <w:sz w:val="18"/>
          <w:szCs w:val="18"/>
          <w:rtl w:val="0"/>
        </w:rPr>
        <w:t xml:space="preserve"> Pág. 20.</w:t>
      </w:r>
      <w:r w:rsidDel="00000000" w:rsidR="00000000" w:rsidRPr="00000000">
        <w:rPr>
          <w:rtl w:val="0"/>
        </w:rPr>
      </w:r>
    </w:p>
  </w:footnote>
  <w:footnote w:id="25">
    <w:p w:rsidR="00000000" w:rsidDel="00000000" w:rsidP="00000000" w:rsidRDefault="00000000" w:rsidRPr="00000000" w14:paraId="0000006C">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18"/>
          <w:szCs w:val="18"/>
          <w:rtl w:val="0"/>
        </w:rPr>
        <w:t xml:space="preserve">Puede consultarse en:</w:t>
      </w:r>
      <w:hyperlink r:id="rId7">
        <w:r w:rsidDel="00000000" w:rsidR="00000000" w:rsidRPr="00000000">
          <w:rPr>
            <w:rFonts w:ascii="Times New Roman" w:cs="Times New Roman" w:eastAsia="Times New Roman" w:hAnsi="Times New Roman"/>
            <w:sz w:val="18"/>
            <w:szCs w:val="18"/>
            <w:rtl w:val="0"/>
          </w:rPr>
          <w:t xml:space="preserve"> </w:t>
        </w:r>
      </w:hyperlink>
      <w:hyperlink r:id="rId8">
        <w:r w:rsidDel="00000000" w:rsidR="00000000" w:rsidRPr="00000000">
          <w:rPr>
            <w:rFonts w:ascii="Times New Roman" w:cs="Times New Roman" w:eastAsia="Times New Roman" w:hAnsi="Times New Roman"/>
            <w:color w:val="0563c1"/>
            <w:sz w:val="18"/>
            <w:szCs w:val="18"/>
            <w:u w:val="single"/>
            <w:rtl w:val="0"/>
          </w:rPr>
          <w:t xml:space="preserve">http://www.oj.gob.gt/cidej</w:t>
        </w:r>
      </w:hyperlink>
      <w:r w:rsidDel="00000000" w:rsidR="00000000" w:rsidRPr="00000000">
        <w:rPr>
          <w:rtl w:val="0"/>
        </w:rPr>
      </w:r>
    </w:p>
  </w:footnote>
  <w:footnote w:id="0">
    <w:p w:rsidR="00000000" w:rsidDel="00000000" w:rsidP="00000000" w:rsidRDefault="00000000" w:rsidRPr="00000000" w14:paraId="0000006D">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vertAlign w:val="superscript"/>
          <w:rtl w:val="0"/>
        </w:rPr>
        <w:t xml:space="preserve"> Programa de Agricultura Familiar para Fortalecimiento de Economía Campesina (PAFFEC) 2012-2016</w:t>
      </w:r>
      <w:r w:rsidDel="00000000" w:rsidR="00000000" w:rsidRPr="00000000">
        <w:rPr>
          <w:sz w:val="20"/>
          <w:szCs w:val="20"/>
          <w:vertAlign w:val="superscript"/>
          <w:rtl w:val="0"/>
        </w:rPr>
        <w:t xml:space="preserve">.</w:t>
      </w:r>
    </w:p>
  </w:footnote>
  <w:footnote w:id="1">
    <w:p w:rsidR="00000000" w:rsidDel="00000000" w:rsidP="00000000" w:rsidRDefault="00000000" w:rsidRPr="00000000" w14:paraId="0000006E">
      <w:pPr>
        <w:jc w:val="both"/>
        <w:rPr>
          <w:sz w:val="20"/>
          <w:szCs w:val="20"/>
          <w:vertAlign w:val="superscript"/>
        </w:rPr>
      </w:pPr>
      <w:r w:rsidDel="00000000" w:rsidR="00000000" w:rsidRPr="00000000">
        <w:rPr>
          <w:rStyle w:val="FootnoteReference"/>
          <w:vertAlign w:val="superscript"/>
        </w:rPr>
        <w:footnoteRef/>
      </w:r>
      <w:r w:rsidDel="00000000" w:rsidR="00000000" w:rsidRPr="00000000">
        <w:rPr>
          <w:vertAlign w:val="superscript"/>
          <w:rtl w:val="0"/>
        </w:rPr>
        <w:t xml:space="preserve"> Índice de percepción de seguridad de la tenencia de la tierra. Es una </w:t>
      </w:r>
      <w:r w:rsidDel="00000000" w:rsidR="00000000" w:rsidRPr="00000000">
        <w:rPr>
          <w:vertAlign w:val="superscript"/>
          <w:rtl w:val="0"/>
        </w:rPr>
        <w:t xml:space="preserve">herramienta</w:t>
      </w:r>
      <w:r w:rsidDel="00000000" w:rsidR="00000000" w:rsidRPr="00000000">
        <w:rPr>
          <w:vertAlign w:val="superscript"/>
          <w:rtl w:val="0"/>
        </w:rPr>
        <w:t xml:space="preserve"> que tiene representatividad nacional y cuyo objetivo es medir la sensación de seguridad de la tenencia de la tierra de las personas a partir de una robusta evidencia científica detrás. Ver más en https://www.prindex.net/data/guatemala/</w:t>
      </w:r>
      <w:r w:rsidDel="00000000" w:rsidR="00000000" w:rsidRPr="00000000">
        <w:rPr>
          <w:rtl w:val="0"/>
        </w:rPr>
      </w:r>
    </w:p>
  </w:footnote>
  <w:footnote w:id="2">
    <w:p w:rsidR="00000000" w:rsidDel="00000000" w:rsidP="00000000" w:rsidRDefault="00000000" w:rsidRPr="00000000" w14:paraId="0000006F">
      <w:pPr>
        <w:rPr>
          <w:sz w:val="20"/>
          <w:szCs w:val="20"/>
          <w:vertAlign w:val="superscript"/>
        </w:rPr>
      </w:pPr>
      <w:r w:rsidDel="00000000" w:rsidR="00000000" w:rsidRPr="00000000">
        <w:rPr>
          <w:rStyle w:val="FootnoteReference"/>
          <w:vertAlign w:val="superscript"/>
        </w:rPr>
        <w:footnoteRef/>
      </w:r>
      <w:r w:rsidDel="00000000" w:rsidR="00000000" w:rsidRPr="00000000">
        <w:rPr>
          <w:vertAlign w:val="superscript"/>
          <w:rtl w:val="0"/>
        </w:rPr>
        <w:t xml:space="preserve"> https://www.landexglobal.org/es/country/320/</w:t>
      </w:r>
      <w:r w:rsidDel="00000000" w:rsidR="00000000" w:rsidRPr="00000000">
        <w:rPr>
          <w:rtl w:val="0"/>
        </w:rPr>
      </w:r>
    </w:p>
  </w:footnote>
  <w:footnote w:id="14">
    <w:p w:rsidR="00000000" w:rsidDel="00000000" w:rsidP="00000000" w:rsidRDefault="00000000" w:rsidRPr="00000000" w14:paraId="00000070">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20"/>
          <w:szCs w:val="20"/>
          <w:rtl w:val="0"/>
        </w:rPr>
        <w:t xml:space="preserve"> Informe Represión contra CODECA en el 2021.</w:t>
      </w:r>
      <w:r w:rsidDel="00000000" w:rsidR="00000000" w:rsidRPr="00000000">
        <w:rPr>
          <w:rtl w:val="0"/>
        </w:rPr>
      </w:r>
    </w:p>
  </w:footnote>
  <w:footnote w:id="16">
    <w:p w:rsidR="00000000" w:rsidDel="00000000" w:rsidP="00000000" w:rsidRDefault="00000000" w:rsidRPr="00000000" w14:paraId="00000071">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hyperlink r:id="rId9">
        <w:r w:rsidDel="00000000" w:rsidR="00000000" w:rsidRPr="00000000">
          <w:rPr>
            <w:rFonts w:ascii="Times New Roman" w:cs="Times New Roman" w:eastAsia="Times New Roman" w:hAnsi="Times New Roman"/>
            <w:color w:val="1155cc"/>
            <w:sz w:val="20"/>
            <w:szCs w:val="20"/>
            <w:u w:val="single"/>
            <w:rtl w:val="0"/>
          </w:rPr>
          <w:t xml:space="preserve">Informe derechos humanos, poderes de emergencia y violencia estatal en la región norte de Centroamérica.</w:t>
        </w:r>
      </w:hyperlink>
      <w:r w:rsidDel="00000000" w:rsidR="00000000" w:rsidRPr="00000000">
        <w:rPr>
          <w:rFonts w:ascii="Times New Roman" w:cs="Times New Roman" w:eastAsia="Times New Roman" w:hAnsi="Times New Roman"/>
          <w:sz w:val="20"/>
          <w:szCs w:val="20"/>
          <w:rtl w:val="0"/>
        </w:rPr>
        <w:t xml:space="preserve"> Julio 2021 - mayo 2023. Cristosal. 7 de junio de 2023.</w:t>
      </w:r>
      <w:r w:rsidDel="00000000" w:rsidR="00000000" w:rsidRPr="00000000">
        <w:rPr>
          <w:rtl w:val="0"/>
        </w:rPr>
      </w:r>
    </w:p>
  </w:footnote>
  <w:footnote w:id="20">
    <w:p w:rsidR="00000000" w:rsidDel="00000000" w:rsidP="00000000" w:rsidRDefault="00000000" w:rsidRPr="00000000" w14:paraId="00000072">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Comunicación personal: CCDA septiembre 2023. </w:t>
      </w:r>
      <w:r w:rsidDel="00000000" w:rsidR="00000000" w:rsidRPr="00000000">
        <w:rPr>
          <w:rtl w:val="0"/>
        </w:rPr>
      </w:r>
    </w:p>
  </w:footnote>
  <w:footnote w:id="23">
    <w:p w:rsidR="00000000" w:rsidDel="00000000" w:rsidP="00000000" w:rsidRDefault="00000000" w:rsidRPr="00000000" w14:paraId="00000073">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Puede consultarse en INFORME UDEFEGUA 2022 . Presentado el 24 de agosto de 2022.</w:t>
      </w:r>
    </w:p>
  </w:footnote>
  <w:footnote w:id="3">
    <w:p w:rsidR="00000000" w:rsidDel="00000000" w:rsidP="00000000" w:rsidRDefault="00000000" w:rsidRPr="00000000" w14:paraId="00000074">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vertAlign w:val="superscript"/>
          <w:rtl w:val="0"/>
        </w:rPr>
        <w:t xml:space="preserve"> Para la compra de tierra en el año 2020 representó Q113.81 millones, con una ejecución de 58.78% (Q66.90 millones), en el 2021 el presupuesto fue de Q60.30 millones con una ejecución de 89.08% (Q53.72 millones), al 30 de junio del 2022 el presupuesto destinado a la compra de tierras es de Q74.14 millones, habiendo ejecutado a la misma fecha el 1.51% (Q1.12 millones). Mientras que para el arrendamiento de tierras en el 2020 tuvo Q71.37 millones se ejecutaron 77.38% (Q55.23 millones), en el 2021 tuvo un presupuesto vigente de Q58.17 millones, ejecutando el 91.01% (Q52.94 millones), </w:t>
      </w:r>
      <w:r w:rsidDel="00000000" w:rsidR="00000000" w:rsidRPr="00000000">
        <w:rPr>
          <w:vertAlign w:val="superscript"/>
          <w:rtl w:val="0"/>
        </w:rPr>
        <w:t xml:space="preserve">al 30/06/22 tiene vigente Q70.31 millones con una e</w:t>
      </w:r>
      <w:r w:rsidDel="00000000" w:rsidR="00000000" w:rsidRPr="00000000">
        <w:rPr>
          <w:vertAlign w:val="superscript"/>
          <w:rtl w:val="0"/>
        </w:rPr>
        <w:t xml:space="preserve">jecución</w:t>
      </w:r>
      <w:r w:rsidDel="00000000" w:rsidR="00000000" w:rsidRPr="00000000">
        <w:rPr>
          <w:vertAlign w:val="superscript"/>
          <w:rtl w:val="0"/>
        </w:rPr>
        <w:t xml:space="preserve"> del 7.11% (Q5.00 millones).</w:t>
      </w:r>
      <w:r w:rsidDel="00000000" w:rsidR="00000000" w:rsidRPr="00000000">
        <w:rPr>
          <w:rtl w:val="0"/>
        </w:rPr>
      </w:r>
    </w:p>
  </w:footnote>
  <w:footnote w:id="4">
    <w:p w:rsidR="00000000" w:rsidDel="00000000" w:rsidP="00000000" w:rsidRDefault="00000000" w:rsidRPr="00000000" w14:paraId="00000075">
      <w:pPr>
        <w:spacing w:line="240" w:lineRule="auto"/>
        <w:jc w:val="both"/>
        <w:rPr>
          <w:vertAlign w:val="superscript"/>
        </w:rPr>
      </w:pPr>
      <w:r w:rsidDel="00000000" w:rsidR="00000000" w:rsidRPr="00000000">
        <w:rPr>
          <w:rStyle w:val="FootnoteReference"/>
          <w:vertAlign w:val="superscript"/>
        </w:rPr>
        <w:footnoteRef/>
      </w:r>
      <w:r w:rsidDel="00000000" w:rsidR="00000000" w:rsidRPr="00000000">
        <w:rPr>
          <w:vertAlign w:val="superscript"/>
          <w:rtl w:val="0"/>
        </w:rPr>
        <w:t xml:space="preserve"> En el año 2014 se demostró que el 2% de dueños de las tierras poseen el 65% de tierras cultivables, mientras que el 78% de las fincas usan solamente el 10% de las tierras para cultivar. La ENA 2014, muestra que los cultivos permanentes ocupan el 14% de tierras cultivables (1,061.2 miles de hectáreas), para caña de azúcar, café, palma aceitera. mientras que el 11% (803.9 miles de hectáreas) son utilizadas para la producción de cultivos anuales; maíz, frijol, papa, entre otros. La producción de Palma Africana cada vez está ocupando más extensión de tierra, ya que, en el año 2003 utilizó 31 miles de hectáreas, en el año 2013 fueron 115 miles de ha; en el año 2014 llegó a 152 miles de ha; y en el año 2018 aumentó a 182 miles de hectáreas. Los datos presentados son un reflejo general de la situación relacionada al acceso a la tierra para la producción de alimentos, frente a la agroindustria</w:t>
      </w:r>
      <w:r w:rsidDel="00000000" w:rsidR="00000000" w:rsidRPr="00000000">
        <w:rPr>
          <w:rtl w:val="0"/>
        </w:rPr>
      </w:r>
    </w:p>
  </w:footnote>
  <w:footnote w:id="6">
    <w:p w:rsidR="00000000" w:rsidDel="00000000" w:rsidP="00000000" w:rsidRDefault="00000000" w:rsidRPr="00000000" w14:paraId="0000007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Compendio estadístico de género 2020, INE 2020</w:t>
      </w:r>
      <w:r w:rsidDel="00000000" w:rsidR="00000000" w:rsidRPr="00000000">
        <w:rPr>
          <w:rtl w:val="0"/>
        </w:rPr>
      </w:r>
    </w:p>
  </w:footnote>
  <w:footnote w:id="8">
    <w:p w:rsidR="00000000" w:rsidDel="00000000" w:rsidP="00000000" w:rsidRDefault="00000000" w:rsidRPr="00000000" w14:paraId="00000077">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color w:val="1155cc"/>
            <w:sz w:val="14"/>
            <w:szCs w:val="14"/>
            <w:u w:val="single"/>
            <w:rtl w:val="0"/>
          </w:rPr>
          <w:t xml:space="preserve">ENFOCADO AL FORTRABAJO TALECIMIENTO DEL SISTEMA DEMOCRÁTICO (congreso.gob.gt)</w:t>
        </w:r>
      </w:hyperlink>
      <w:r w:rsidDel="00000000" w:rsidR="00000000" w:rsidRPr="00000000">
        <w:rPr>
          <w:rtl w:val="0"/>
        </w:rPr>
      </w:r>
    </w:p>
  </w:footnote>
  <w:footnote w:id="9">
    <w:p w:rsidR="00000000" w:rsidDel="00000000" w:rsidP="00000000" w:rsidRDefault="00000000" w:rsidRPr="00000000" w14:paraId="00000078">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20"/>
          <w:szCs w:val="20"/>
          <w:rtl w:val="0"/>
        </w:rPr>
        <w:t xml:space="preserve">Compendio Estadístico con Enfoque de Género, INE 2021.</w:t>
      </w:r>
      <w:r w:rsidDel="00000000" w:rsidR="00000000" w:rsidRPr="00000000">
        <w:rPr>
          <w:rtl w:val="0"/>
        </w:rPr>
      </w:r>
    </w:p>
  </w:footnote>
  <w:footnote w:id="13">
    <w:p w:rsidR="00000000" w:rsidDel="00000000" w:rsidP="00000000" w:rsidRDefault="00000000" w:rsidRPr="00000000" w14:paraId="00000079">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hyperlink r:id="rId11">
        <w:r w:rsidDel="00000000" w:rsidR="00000000" w:rsidRPr="00000000">
          <w:rPr>
            <w:sz w:val="20"/>
            <w:szCs w:val="20"/>
            <w:vertAlign w:val="superscript"/>
            <w:rtl w:val="0"/>
          </w:rPr>
          <w:t xml:space="preserve">2023060800759eHmz6DmFKboNQ5Y3OlqNkbi9izmXULaP.pdf (ine.gob.gt)</w:t>
        </w:r>
      </w:hyperlink>
      <w:r w:rsidDel="00000000" w:rsidR="00000000" w:rsidRPr="00000000">
        <w:rPr>
          <w:sz w:val="20"/>
          <w:szCs w:val="20"/>
          <w:vertAlign w:val="superscript"/>
          <w:rtl w:val="0"/>
        </w:rPr>
        <w:t xml:space="preserve"> </w:t>
      </w:r>
    </w:p>
  </w:footnote>
  <w:footnote w:id="11">
    <w:p w:rsidR="00000000" w:rsidDel="00000000" w:rsidP="00000000" w:rsidRDefault="00000000" w:rsidRPr="00000000" w14:paraId="0000007A">
      <w:pPr>
        <w:spacing w:line="240" w:lineRule="auto"/>
        <w:rPr>
          <w:rFonts w:ascii="Times New Roman" w:cs="Times New Roman" w:eastAsia="Times New Roman" w:hAnsi="Times New Roman"/>
          <w:sz w:val="26"/>
          <w:szCs w:val="26"/>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6"/>
          <w:szCs w:val="26"/>
          <w:vertAlign w:val="superscript"/>
          <w:rtl w:val="0"/>
        </w:rPr>
        <w:t xml:space="preserve"> </w:t>
      </w:r>
      <w:hyperlink r:id="rId12">
        <w:r w:rsidDel="00000000" w:rsidR="00000000" w:rsidRPr="00000000">
          <w:rPr>
            <w:rFonts w:ascii="Times New Roman" w:cs="Times New Roman" w:eastAsia="Times New Roman" w:hAnsi="Times New Roman"/>
            <w:color w:val="1155cc"/>
            <w:sz w:val="26"/>
            <w:szCs w:val="26"/>
            <w:u w:val="single"/>
            <w:vertAlign w:val="superscript"/>
            <w:rtl w:val="0"/>
          </w:rPr>
          <w:t xml:space="preserve">https://www.agenciaocote.com/blog/2023/06/26/solo-un-20-de-diputadas-en-el-congreso-electo/</w:t>
        </w:r>
      </w:hyperlink>
      <w:r w:rsidDel="00000000" w:rsidR="00000000" w:rsidRPr="00000000">
        <w:rPr>
          <w:rFonts w:ascii="Times New Roman" w:cs="Times New Roman" w:eastAsia="Times New Roman" w:hAnsi="Times New Roman"/>
          <w:sz w:val="26"/>
          <w:szCs w:val="26"/>
          <w:vertAlign w:val="superscript"/>
          <w:rtl w:val="0"/>
        </w:rPr>
        <w:t xml:space="preserve"> </w:t>
      </w:r>
    </w:p>
  </w:footnote>
  <w:footnote w:id="10">
    <w:p w:rsidR="00000000" w:rsidDel="00000000" w:rsidP="00000000" w:rsidRDefault="00000000" w:rsidRPr="00000000" w14:paraId="0000007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3">
        <w:r w:rsidDel="00000000" w:rsidR="00000000" w:rsidRPr="00000000">
          <w:rPr>
            <w:color w:val="1155cc"/>
            <w:sz w:val="20"/>
            <w:szCs w:val="20"/>
            <w:u w:val="single"/>
            <w:rtl w:val="0"/>
          </w:rPr>
          <w:t xml:space="preserve">https://dialogos.org.gt/2022/03/08/este-8m-se-conmemora-o-se-criminaliza/</w:t>
        </w:r>
      </w:hyperlink>
      <w:r w:rsidDel="00000000" w:rsidR="00000000" w:rsidRPr="00000000">
        <w:rPr>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rFonts w:ascii="Times New Roman" w:cs="Times New Roman" w:eastAsia="Times New Roman" w:hAnsi="Times New Roman"/>
        <w:b w:val="0"/>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s>
</file>

<file path=word/_rels/footnotes.xml.rels><?xml version="1.0" encoding="UTF-8" standalone="yes"?><Relationships xmlns="http://schemas.openxmlformats.org/package/2006/relationships"><Relationship Id="rId11" Type="http://schemas.openxmlformats.org/officeDocument/2006/relationships/hyperlink" Target="https://www.ine.gob.gt/sistema/uploads/2023/06/07/2023060800759eHmz6DmFKboNQ5Y3OlqNkbi9izmXULaP.pdf" TargetMode="External"/><Relationship Id="rId10" Type="http://schemas.openxmlformats.org/officeDocument/2006/relationships/hyperlink" Target="https://www.congreso.gob.gt/noticias_congreso/8249/2022/3" TargetMode="External"/><Relationship Id="rId13" Type="http://schemas.openxmlformats.org/officeDocument/2006/relationships/hyperlink" Target="https://dialogos.org.gt/2022/03/08/este-8m-se-conmemora-o-se-criminaliza/" TargetMode="External"/><Relationship Id="rId12" Type="http://schemas.openxmlformats.org/officeDocument/2006/relationships/hyperlink" Target="https://www.agenciaocote.com/blog/2023/06/26/solo-un-20-de-diputadas-en-el-congreso-electo/" TargetMode="External"/><Relationship Id="rId1" Type="http://schemas.openxmlformats.org/officeDocument/2006/relationships/hyperlink" Target="https://udefegua.org.gt/wp-content/uploads/2022/07/INFORME-UDEFEGUA-2021.pdf?utm_source=informeudefegua&amp;utm_medium=udefegua&amp;utm_campaign=informe+situaci%C3%B3n+2021+udefegua&amp;fbclid=IwAR2g93eKT6GN-yliniaNwhrRVWe7ELFLFn6bBxroSp9bUqnrSAKcJoXSD-o" TargetMode="External"/><Relationship Id="rId2" Type="http://schemas.openxmlformats.org/officeDocument/2006/relationships/hyperlink" Target="https://udefegua.org.gt/wp-content/uploads/2022/07/INFORME-UDEFEGUA-2021.pdf?utm_source=informeudefegua&amp;utm_medium=udefegua&amp;utm_campaign=informe+situaci%C3%B3n+2021+udefegua&amp;fbclid=IwAR2g93eKT6GN-yliniaNwhrRVWe7ELFLFn6bBxroSp9bUqnrSAKcJoXSD-o" TargetMode="External"/><Relationship Id="rId3" Type="http://schemas.openxmlformats.org/officeDocument/2006/relationships/hyperlink" Target="https://udefegua.org.gt/wp-content/uploads/2022/07/INFORME-UDEFEGUA-2021.pdf?utm_source=informeudefegua&amp;utm_medium=udefegua&amp;utm_campaign=informe+situaci%C3%B3n+2021+udefegua&amp;fbclid=IwAR2g93eKT6GN-yliniaNwhrRVWe7ELFLFn6bBxroSp9bUqnrSAKcJoXSD-o" TargetMode="External"/><Relationship Id="rId4" Type="http://schemas.openxmlformats.org/officeDocument/2006/relationships/hyperlink" Target="https://udefegua.org.gt/wp-content/uploads/2022/07/INFORME-UDEFEGUA-2021.pdf?utm_source=informeudefegua&amp;utm_medium=udefegua&amp;utm_campaign=informe+situaci%C3%B3n+2021+udefegua&amp;fbclid=IwAR2g93eKT6GN-yliniaNwhrRVWe7ELFLFn6bBxroSp9bUqnrSAKcJoXSD-o" TargetMode="External"/><Relationship Id="rId9" Type="http://schemas.openxmlformats.org/officeDocument/2006/relationships/hyperlink" Target="https://enfoca.org/web/wp-content/uploads/2023/06/Informe-DDHH-poderes-de-emergencia2023.pdf" TargetMode="External"/><Relationship Id="rId5" Type="http://schemas.openxmlformats.org/officeDocument/2006/relationships/hyperlink" Target="https://www.mp.gob.gt/documentos" TargetMode="External"/><Relationship Id="rId6" Type="http://schemas.openxmlformats.org/officeDocument/2006/relationships/hyperlink" Target="https://www.mp.gob.gt/documentos" TargetMode="External"/><Relationship Id="rId7" Type="http://schemas.openxmlformats.org/officeDocument/2006/relationships/hyperlink" Target="http://www.oj.gob.gt/cidej" TargetMode="External"/><Relationship Id="rId8" Type="http://schemas.openxmlformats.org/officeDocument/2006/relationships/hyperlink" Target="http://www.oj.gob.gt/cide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