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41D4D" w14:textId="4DF7FBC2" w:rsidR="005A3D84" w:rsidRPr="00242BFA" w:rsidRDefault="00B579E5" w:rsidP="00242BFA">
      <w:pPr>
        <w:ind w:right="-1440"/>
        <w:rPr>
          <w:rFonts w:cs="Arial"/>
          <w:szCs w:val="20"/>
        </w:rPr>
      </w:pPr>
      <w:r w:rsidRPr="00EF3291"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29ED2F" wp14:editId="7903FA70">
                <wp:simplePos x="0" y="0"/>
                <wp:positionH relativeFrom="page">
                  <wp:posOffset>646386</wp:posOffset>
                </wp:positionH>
                <wp:positionV relativeFrom="page">
                  <wp:posOffset>472965</wp:posOffset>
                </wp:positionV>
                <wp:extent cx="6218884" cy="1072055"/>
                <wp:effectExtent l="0" t="0" r="17145" b="7620"/>
                <wp:wrapThrough wrapText="bothSides">
                  <wp:wrapPolygon edited="0">
                    <wp:start x="0" y="0"/>
                    <wp:lineTo x="0" y="21498"/>
                    <wp:lineTo x="21615" y="21498"/>
                    <wp:lineTo x="21615" y="0"/>
                    <wp:lineTo x="0" y="0"/>
                  </wp:wrapPolygon>
                </wp:wrapThrough>
                <wp:docPr id="1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18884" cy="1072055"/>
                        </a:xfrm>
                        <a:prstGeom prst="rect">
                          <a:avLst/>
                        </a:prstGeom>
                        <a:solidFill>
                          <a:srgbClr val="007A87"/>
                        </a:solidFill>
                        <a:ln>
                          <a:solidFill>
                            <a:srgbClr val="007A87"/>
                          </a:solidFill>
                        </a:ln>
                      </wps:spPr>
                      <wps:txbx>
                        <w:txbxContent>
                          <w:p w14:paraId="7615EDB0" w14:textId="537FAF5E" w:rsidR="00A608B2" w:rsidRPr="00B579E5" w:rsidRDefault="00B579E5" w:rsidP="00B579E5">
                            <w:pPr>
                              <w:spacing w:after="0"/>
                              <w:jc w:val="left"/>
                              <w:rPr>
                                <w:rFonts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Investor Obligations in Occupied Territories: </w:t>
                            </w:r>
                            <w:r w:rsidR="00A608B2" w:rsidRPr="00B579E5">
                              <w:rPr>
                                <w:rFonts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A Report on the Norwegian Government Pension Fund – Globa</w:t>
                            </w:r>
                            <w:r w:rsidR="00242BFA" w:rsidRPr="00B579E5">
                              <w:rPr>
                                <w:rFonts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l</w:t>
                            </w:r>
                          </w:p>
                          <w:p w14:paraId="260A95A5" w14:textId="77777777" w:rsidR="00B579E5" w:rsidRDefault="00B579E5" w:rsidP="00B579E5">
                            <w:pPr>
                              <w:spacing w:after="0"/>
                              <w:rPr>
                                <w:rFonts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14:paraId="424C7877" w14:textId="7EC1B03F" w:rsidR="00A608B2" w:rsidRDefault="00A608B2" w:rsidP="00B579E5">
                            <w:pPr>
                              <w:spacing w:after="0"/>
                              <w:rPr>
                                <w:rFonts w:cs="Arial"/>
                                <w:color w:val="FFFFFF" w:themeColor="background1"/>
                                <w:szCs w:val="20"/>
                              </w:rPr>
                            </w:pPr>
                            <w:r w:rsidRPr="00C94A75">
                              <w:rPr>
                                <w:rFonts w:cs="Arial"/>
                                <w:color w:val="FFFFFF" w:themeColor="background1"/>
                                <w:szCs w:val="20"/>
                              </w:rPr>
                              <w:t>Essex Business and Human Rights Project</w:t>
                            </w:r>
                          </w:p>
                          <w:p w14:paraId="6793600A" w14:textId="1BD842EA" w:rsidR="00DC31B2" w:rsidRPr="00250E7D" w:rsidRDefault="00DC31B2" w:rsidP="00B579E5">
                            <w:pPr>
                              <w:spacing w:after="0"/>
                              <w:rPr>
                                <w:rFonts w:cs="Arial"/>
                                <w:color w:val="FFFFFF" w:themeColor="background1"/>
                                <w:szCs w:val="20"/>
                                <w:lang w:val="nb-NO"/>
                              </w:rPr>
                            </w:pPr>
                            <w:r w:rsidRPr="00250E7D">
                              <w:rPr>
                                <w:rFonts w:cs="Arial"/>
                                <w:color w:val="FFFFFF" w:themeColor="background1"/>
                                <w:szCs w:val="20"/>
                                <w:lang w:val="nb-NO"/>
                              </w:rPr>
                              <w:t>Commissioned by Norsk Folkehjelp and Fagforbundet</w:t>
                            </w:r>
                          </w:p>
                          <w:p w14:paraId="0AB64D11" w14:textId="77777777" w:rsidR="00A608B2" w:rsidRPr="00B579E5" w:rsidRDefault="00A608B2" w:rsidP="00B579E5">
                            <w:pPr>
                              <w:spacing w:after="0"/>
                              <w:rPr>
                                <w:rFonts w:cs="Arial"/>
                                <w:color w:val="FFFFFF" w:themeColor="background1"/>
                                <w:szCs w:val="20"/>
                              </w:rPr>
                            </w:pPr>
                            <w:r w:rsidRPr="00B579E5">
                              <w:rPr>
                                <w:rFonts w:cs="Arial"/>
                                <w:color w:val="FFFFFF" w:themeColor="background1"/>
                                <w:szCs w:val="20"/>
                              </w:rPr>
                              <w:t>April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9ED2F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50.9pt;margin-top:37.25pt;width:489.7pt;height:84.4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" fillcolor="#007a87" strokecolor="#007a87">
                <v:path arrowok="t"/>
                <v:textbox>
                  <w:txbxContent>
                    <w:p w14:paraId="7615EDB0" w14:textId="537FAF5E" w:rsidR="00A608B2" w:rsidRPr="00B579E5" w:rsidRDefault="00B579E5" w:rsidP="00B579E5">
                      <w:pPr>
                        <w:spacing w:after="0"/>
                        <w:jc w:val="left"/>
                        <w:rPr>
                          <w:rFonts w:cs="Arial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Investor Obligations in Occupied Territories: </w:t>
                      </w:r>
                      <w:r w:rsidR="00A608B2" w:rsidRPr="00B579E5">
                        <w:rPr>
                          <w:rFonts w:cs="Arial"/>
                          <w:b/>
                          <w:color w:val="FFFFFF" w:themeColor="background1"/>
                          <w:sz w:val="24"/>
                          <w:szCs w:val="24"/>
                        </w:rPr>
                        <w:t>A Report on the Norwegian Government Pension Fund – Globa</w:t>
                      </w:r>
                      <w:r w:rsidR="00242BFA" w:rsidRPr="00B579E5">
                        <w:rPr>
                          <w:rFonts w:cs="Arial"/>
                          <w:b/>
                          <w:color w:val="FFFFFF" w:themeColor="background1"/>
                          <w:sz w:val="24"/>
                          <w:szCs w:val="24"/>
                        </w:rPr>
                        <w:t>l</w:t>
                      </w:r>
                    </w:p>
                    <w:p w14:paraId="260A95A5" w14:textId="77777777" w:rsidR="00B579E5" w:rsidRDefault="00B579E5" w:rsidP="00B579E5">
                      <w:pPr>
                        <w:spacing w:after="0"/>
                        <w:rPr>
                          <w:rFonts w:cs="Arial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  <w:p w14:paraId="424C7877" w14:textId="7EC1B03F" w:rsidR="00A608B2" w:rsidRDefault="00A608B2" w:rsidP="00B579E5">
                      <w:pPr>
                        <w:spacing w:after="0"/>
                        <w:rPr>
                          <w:rFonts w:cs="Arial"/>
                          <w:color w:val="FFFFFF" w:themeColor="background1"/>
                          <w:szCs w:val="20"/>
                        </w:rPr>
                      </w:pPr>
                      <w:r w:rsidRPr="00C94A75">
                        <w:rPr>
                          <w:rFonts w:cs="Arial"/>
                          <w:color w:val="FFFFFF" w:themeColor="background1"/>
                          <w:szCs w:val="20"/>
                        </w:rPr>
                        <w:t>Essex Business and Human Rights Project</w:t>
                      </w:r>
                    </w:p>
                    <w:p w14:paraId="6793600A" w14:textId="1BD842EA" w:rsidR="00DC31B2" w:rsidRPr="00250E7D" w:rsidRDefault="00DC31B2" w:rsidP="00B579E5">
                      <w:pPr>
                        <w:spacing w:after="0"/>
                        <w:rPr>
                          <w:rFonts w:cs="Arial"/>
                          <w:color w:val="FFFFFF" w:themeColor="background1"/>
                          <w:szCs w:val="20"/>
                          <w:lang w:val="nb-NO"/>
                        </w:rPr>
                      </w:pPr>
                      <w:r w:rsidRPr="00250E7D">
                        <w:rPr>
                          <w:rFonts w:cs="Arial"/>
                          <w:color w:val="FFFFFF" w:themeColor="background1"/>
                          <w:szCs w:val="20"/>
                          <w:lang w:val="nb-NO"/>
                        </w:rPr>
                        <w:t>Commissioned by Norsk Folkehjelp and Fagforbundet</w:t>
                      </w:r>
                    </w:p>
                    <w:p w14:paraId="0AB64D11" w14:textId="77777777" w:rsidR="00A608B2" w:rsidRPr="00B579E5" w:rsidRDefault="00A608B2" w:rsidP="00B579E5">
                      <w:pPr>
                        <w:spacing w:after="0"/>
                        <w:rPr>
                          <w:rFonts w:cs="Arial"/>
                          <w:color w:val="FFFFFF" w:themeColor="background1"/>
                          <w:szCs w:val="20"/>
                        </w:rPr>
                      </w:pPr>
                      <w:r w:rsidRPr="00B579E5">
                        <w:rPr>
                          <w:rFonts w:cs="Arial"/>
                          <w:color w:val="FFFFFF" w:themeColor="background1"/>
                          <w:szCs w:val="20"/>
                        </w:rPr>
                        <w:t>April 2019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14:paraId="75835571" w14:textId="77777777" w:rsidR="004727E7" w:rsidRDefault="004727E7" w:rsidP="00BF7DE8">
      <w:pPr>
        <w:rPr>
          <w:rFonts w:cs="Arial"/>
          <w:b/>
          <w:szCs w:val="20"/>
          <w:u w:val="single"/>
        </w:rPr>
      </w:pPr>
    </w:p>
    <w:p w14:paraId="1AD4D7C1" w14:textId="24A9F21B" w:rsidR="00B579E5" w:rsidRPr="00CE7044" w:rsidRDefault="00B579E5" w:rsidP="00B579E5">
      <w:pPr>
        <w:jc w:val="center"/>
        <w:rPr>
          <w:rFonts w:cs="Arial"/>
          <w:b/>
          <w:szCs w:val="20"/>
          <w:u w:val="single"/>
        </w:rPr>
      </w:pPr>
      <w:r w:rsidRPr="00CE7044">
        <w:rPr>
          <w:rFonts w:cs="Arial"/>
          <w:b/>
          <w:szCs w:val="20"/>
          <w:u w:val="single"/>
        </w:rPr>
        <w:t>Report Summary</w:t>
      </w:r>
    </w:p>
    <w:p w14:paraId="7265C394" w14:textId="1198999A" w:rsidR="00B579E5" w:rsidRPr="00CE7044" w:rsidRDefault="00B579E5" w:rsidP="00B579E5">
      <w:pPr>
        <w:rPr>
          <w:rFonts w:cs="Arial"/>
          <w:szCs w:val="20"/>
          <w:u w:val="single"/>
        </w:rPr>
      </w:pPr>
      <w:r w:rsidRPr="00CE7044">
        <w:rPr>
          <w:rFonts w:cs="Arial"/>
          <w:szCs w:val="20"/>
          <w:u w:val="single"/>
        </w:rPr>
        <w:t xml:space="preserve">Scope and Applicability of </w:t>
      </w:r>
      <w:r w:rsidR="00E95A81">
        <w:rPr>
          <w:rFonts w:cs="Arial"/>
          <w:szCs w:val="20"/>
          <w:u w:val="single"/>
        </w:rPr>
        <w:t xml:space="preserve">the </w:t>
      </w:r>
      <w:r w:rsidRPr="00CE7044">
        <w:rPr>
          <w:rFonts w:cs="Arial"/>
          <w:szCs w:val="20"/>
          <w:u w:val="single"/>
        </w:rPr>
        <w:t>Report</w:t>
      </w:r>
    </w:p>
    <w:p w14:paraId="450CF502" w14:textId="7DEC9478" w:rsidR="00B579E5" w:rsidRPr="00CE7044" w:rsidRDefault="00813EC8" w:rsidP="00813EC8">
      <w:pPr>
        <w:pStyle w:val="ListParagraph"/>
        <w:numPr>
          <w:ilvl w:val="0"/>
          <w:numId w:val="12"/>
        </w:numPr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Report e</w:t>
      </w:r>
      <w:r w:rsidR="00B579E5" w:rsidRPr="00CE7044">
        <w:rPr>
          <w:rFonts w:ascii="Arial" w:hAnsi="Arial" w:cs="Arial"/>
          <w:sz w:val="20"/>
          <w:szCs w:val="20"/>
        </w:rPr>
        <w:t xml:space="preserve">xamines </w:t>
      </w:r>
      <w:r>
        <w:rPr>
          <w:rFonts w:ascii="Arial" w:hAnsi="Arial" w:cs="Arial"/>
          <w:sz w:val="20"/>
          <w:szCs w:val="20"/>
        </w:rPr>
        <w:t xml:space="preserve">the </w:t>
      </w:r>
      <w:r w:rsidR="00B579E5" w:rsidRPr="00CE7044">
        <w:rPr>
          <w:rFonts w:ascii="Arial" w:hAnsi="Arial" w:cs="Arial"/>
          <w:sz w:val="20"/>
          <w:szCs w:val="20"/>
        </w:rPr>
        <w:t xml:space="preserve">human rights responsibilities of </w:t>
      </w:r>
      <w:r w:rsidRPr="00813EC8">
        <w:rPr>
          <w:rFonts w:ascii="Arial" w:hAnsi="Arial" w:cs="Arial"/>
          <w:sz w:val="20"/>
          <w:szCs w:val="20"/>
        </w:rPr>
        <w:t>of the Government Pension Fund - Global (Statens Pensjonsfond Utland – “SPU”)</w:t>
      </w:r>
      <w:r w:rsidR="00B579E5" w:rsidRPr="00CE7044">
        <w:rPr>
          <w:rFonts w:ascii="Arial" w:hAnsi="Arial" w:cs="Arial"/>
          <w:sz w:val="20"/>
          <w:szCs w:val="20"/>
        </w:rPr>
        <w:t xml:space="preserve"> in regard to investments in companies </w:t>
      </w:r>
      <w:r>
        <w:rPr>
          <w:rFonts w:ascii="Arial" w:hAnsi="Arial" w:cs="Arial"/>
          <w:sz w:val="20"/>
          <w:szCs w:val="20"/>
        </w:rPr>
        <w:t xml:space="preserve">that operate </w:t>
      </w:r>
      <w:r w:rsidR="00B579E5" w:rsidRPr="00CE7044">
        <w:rPr>
          <w:rFonts w:ascii="Arial" w:hAnsi="Arial" w:cs="Arial"/>
          <w:sz w:val="20"/>
          <w:szCs w:val="20"/>
        </w:rPr>
        <w:t>in O</w:t>
      </w:r>
      <w:r>
        <w:rPr>
          <w:rFonts w:ascii="Arial" w:hAnsi="Arial" w:cs="Arial"/>
          <w:sz w:val="20"/>
          <w:szCs w:val="20"/>
        </w:rPr>
        <w:t xml:space="preserve">ccupied </w:t>
      </w:r>
      <w:r w:rsidR="00B579E5" w:rsidRPr="00CE7044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alestinian </w:t>
      </w:r>
      <w:r w:rsidR="00B579E5" w:rsidRPr="00CE7044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erritories (“OPT”),</w:t>
      </w:r>
      <w:r w:rsidR="00B579E5" w:rsidRPr="00CE7044">
        <w:rPr>
          <w:rFonts w:ascii="Arial" w:hAnsi="Arial" w:cs="Arial"/>
          <w:sz w:val="20"/>
          <w:szCs w:val="20"/>
        </w:rPr>
        <w:t xml:space="preserve"> one of the most problematic human rights contexts</w:t>
      </w:r>
      <w:r>
        <w:rPr>
          <w:rFonts w:ascii="Arial" w:hAnsi="Arial" w:cs="Arial"/>
          <w:sz w:val="20"/>
          <w:szCs w:val="20"/>
        </w:rPr>
        <w:t>.</w:t>
      </w:r>
    </w:p>
    <w:p w14:paraId="1D202B77" w14:textId="56F7FC09" w:rsidR="00B579E5" w:rsidRPr="00CE7044" w:rsidRDefault="00BA0054" w:rsidP="00B579E5">
      <w:pPr>
        <w:pStyle w:val="ListParagraph"/>
        <w:numPr>
          <w:ilvl w:val="0"/>
          <w:numId w:val="12"/>
        </w:numPr>
        <w:spacing w:after="160" w:line="259" w:lineRule="auto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After illustrating the applicability of existing international standards on business and human rights to institutional investors, the Report a</w:t>
      </w:r>
      <w:r w:rsidR="00B579E5" w:rsidRPr="00CE7044">
        <w:rPr>
          <w:rFonts w:ascii="Arial" w:hAnsi="Arial" w:cs="Arial"/>
          <w:sz w:val="20"/>
          <w:szCs w:val="20"/>
        </w:rPr>
        <w:t xml:space="preserve">ssesses what SPU needs to do in order to </w:t>
      </w:r>
      <w:r w:rsidR="00E95A81">
        <w:rPr>
          <w:rFonts w:ascii="Arial" w:hAnsi="Arial" w:cs="Arial"/>
          <w:sz w:val="20"/>
          <w:szCs w:val="20"/>
        </w:rPr>
        <w:t>fully</w:t>
      </w:r>
      <w:r w:rsidR="00B579E5" w:rsidRPr="00CE7044">
        <w:rPr>
          <w:rFonts w:ascii="Arial" w:hAnsi="Arial" w:cs="Arial"/>
          <w:sz w:val="20"/>
          <w:szCs w:val="20"/>
        </w:rPr>
        <w:t xml:space="preserve"> comply with its “</w:t>
      </w:r>
      <w:r w:rsidR="00E91AF3">
        <w:rPr>
          <w:rFonts w:ascii="Arial" w:hAnsi="Arial" w:cs="Arial"/>
          <w:sz w:val="20"/>
          <w:szCs w:val="20"/>
        </w:rPr>
        <w:t>R</w:t>
      </w:r>
      <w:r w:rsidR="00B579E5" w:rsidRPr="00CE7044">
        <w:rPr>
          <w:rFonts w:ascii="Arial" w:hAnsi="Arial" w:cs="Arial"/>
          <w:sz w:val="20"/>
          <w:szCs w:val="20"/>
        </w:rPr>
        <w:t xml:space="preserve">esponsibility to </w:t>
      </w:r>
      <w:r w:rsidR="00E91AF3">
        <w:rPr>
          <w:rFonts w:ascii="Arial" w:hAnsi="Arial" w:cs="Arial"/>
          <w:sz w:val="20"/>
          <w:szCs w:val="20"/>
        </w:rPr>
        <w:t>R</w:t>
      </w:r>
      <w:r w:rsidR="00B579E5" w:rsidRPr="00CE7044">
        <w:rPr>
          <w:rFonts w:ascii="Arial" w:hAnsi="Arial" w:cs="Arial"/>
          <w:sz w:val="20"/>
          <w:szCs w:val="20"/>
        </w:rPr>
        <w:t>espect”</w:t>
      </w:r>
      <w:r w:rsidR="0024527B">
        <w:rPr>
          <w:rFonts w:ascii="Arial" w:hAnsi="Arial" w:cs="Arial"/>
          <w:sz w:val="20"/>
          <w:szCs w:val="20"/>
        </w:rPr>
        <w:t xml:space="preserve"> human rights, </w:t>
      </w:r>
      <w:r w:rsidR="003A7B87">
        <w:rPr>
          <w:rFonts w:ascii="Arial" w:hAnsi="Arial" w:cs="Arial"/>
          <w:sz w:val="20"/>
          <w:szCs w:val="20"/>
        </w:rPr>
        <w:t>a concept articulated</w:t>
      </w:r>
      <w:r w:rsidR="0024527B">
        <w:rPr>
          <w:rFonts w:ascii="Arial" w:hAnsi="Arial" w:cs="Arial"/>
          <w:sz w:val="20"/>
          <w:szCs w:val="20"/>
        </w:rPr>
        <w:t xml:space="preserve"> in the UN Guiding Principles on Business and Human Rights</w:t>
      </w:r>
      <w:r w:rsidR="00C73521">
        <w:rPr>
          <w:rFonts w:ascii="Arial" w:hAnsi="Arial" w:cs="Arial"/>
          <w:sz w:val="20"/>
          <w:szCs w:val="20"/>
        </w:rPr>
        <w:t xml:space="preserve"> (UNGP)</w:t>
      </w:r>
      <w:r w:rsidR="003A7B87">
        <w:rPr>
          <w:rFonts w:ascii="Arial" w:hAnsi="Arial" w:cs="Arial"/>
          <w:sz w:val="20"/>
          <w:szCs w:val="20"/>
        </w:rPr>
        <w:t>.</w:t>
      </w:r>
      <w:r w:rsidR="00C73521">
        <w:rPr>
          <w:rFonts w:ascii="Arial" w:hAnsi="Arial" w:cs="Arial"/>
          <w:sz w:val="20"/>
          <w:szCs w:val="20"/>
        </w:rPr>
        <w:t xml:space="preserve"> </w:t>
      </w:r>
    </w:p>
    <w:p w14:paraId="56E439EF" w14:textId="6E1B0372" w:rsidR="00C73521" w:rsidRDefault="00C73521" w:rsidP="00B579E5">
      <w:pPr>
        <w:pStyle w:val="ListParagraph"/>
        <w:numPr>
          <w:ilvl w:val="0"/>
          <w:numId w:val="20"/>
        </w:numPr>
        <w:spacing w:after="160" w:line="259" w:lineRule="auto"/>
        <w:jc w:val="left"/>
        <w:rPr>
          <w:rFonts w:ascii="Arial" w:hAnsi="Arial" w:cs="Arial"/>
          <w:sz w:val="20"/>
          <w:szCs w:val="20"/>
        </w:rPr>
      </w:pPr>
      <w:r w:rsidRPr="00C73521">
        <w:rPr>
          <w:rFonts w:ascii="Arial" w:hAnsi="Arial" w:cs="Arial"/>
          <w:sz w:val="20"/>
          <w:szCs w:val="20"/>
        </w:rPr>
        <w:t>The legal standards set out in this Report are true for all occupied territories</w:t>
      </w:r>
      <w:r>
        <w:rPr>
          <w:rFonts w:ascii="Arial" w:hAnsi="Arial" w:cs="Arial"/>
          <w:sz w:val="20"/>
          <w:szCs w:val="20"/>
        </w:rPr>
        <w:t>.</w:t>
      </w:r>
    </w:p>
    <w:p w14:paraId="1ABA940E" w14:textId="2010EC7E" w:rsidR="00B579E5" w:rsidRPr="005A7D69" w:rsidRDefault="00C73521" w:rsidP="00B579E5">
      <w:pPr>
        <w:pStyle w:val="ListParagraph"/>
        <w:numPr>
          <w:ilvl w:val="0"/>
          <w:numId w:val="20"/>
        </w:numPr>
        <w:spacing w:after="160" w:line="259" w:lineRule="auto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Similarly, while some of the final r</w:t>
      </w:r>
      <w:r w:rsidR="00B579E5" w:rsidRPr="00CE7044">
        <w:rPr>
          <w:rFonts w:ascii="Arial" w:hAnsi="Arial" w:cs="Arial"/>
          <w:sz w:val="20"/>
          <w:szCs w:val="20"/>
        </w:rPr>
        <w:t xml:space="preserve">ecommendations </w:t>
      </w:r>
      <w:r w:rsidRPr="00C73521">
        <w:rPr>
          <w:rFonts w:ascii="Arial" w:hAnsi="Arial" w:cs="Arial"/>
          <w:sz w:val="20"/>
          <w:szCs w:val="20"/>
        </w:rPr>
        <w:t xml:space="preserve">are specific to SPU, many are appropriate for all institutional investors with investments in </w:t>
      </w:r>
      <w:r>
        <w:rPr>
          <w:rFonts w:ascii="Arial" w:hAnsi="Arial" w:cs="Arial"/>
          <w:sz w:val="20"/>
          <w:szCs w:val="20"/>
        </w:rPr>
        <w:t>occupied territories.</w:t>
      </w:r>
    </w:p>
    <w:p w14:paraId="02CE9224" w14:textId="77777777" w:rsidR="00B579E5" w:rsidRPr="00CE7044" w:rsidRDefault="00B579E5" w:rsidP="00B579E5">
      <w:pPr>
        <w:rPr>
          <w:rFonts w:cs="Arial"/>
          <w:szCs w:val="20"/>
          <w:u w:val="single"/>
        </w:rPr>
      </w:pPr>
      <w:r w:rsidRPr="00CE7044">
        <w:rPr>
          <w:rFonts w:cs="Arial"/>
          <w:szCs w:val="20"/>
          <w:u w:val="single"/>
        </w:rPr>
        <w:t xml:space="preserve">Key findings </w:t>
      </w:r>
    </w:p>
    <w:p w14:paraId="49C91345" w14:textId="72C7C2BA" w:rsidR="00B579E5" w:rsidRPr="00CE7044" w:rsidRDefault="00B579E5" w:rsidP="008B4488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 xml:space="preserve">SPU is </w:t>
      </w:r>
      <w:r w:rsidRPr="00C73521">
        <w:rPr>
          <w:rFonts w:ascii="Arial" w:hAnsi="Arial" w:cs="Arial"/>
          <w:i/>
          <w:sz w:val="20"/>
          <w:szCs w:val="20"/>
        </w:rPr>
        <w:t>linked to</w:t>
      </w:r>
      <w:r w:rsidRPr="00CE7044">
        <w:rPr>
          <w:rFonts w:ascii="Arial" w:hAnsi="Arial" w:cs="Arial"/>
          <w:sz w:val="20"/>
          <w:szCs w:val="20"/>
        </w:rPr>
        <w:t xml:space="preserve"> violations of human rights in the OPT through investments in companies </w:t>
      </w:r>
      <w:r w:rsidR="00C73521">
        <w:rPr>
          <w:rFonts w:ascii="Arial" w:hAnsi="Arial" w:cs="Arial"/>
          <w:sz w:val="20"/>
          <w:szCs w:val="20"/>
        </w:rPr>
        <w:t>that</w:t>
      </w:r>
      <w:r w:rsidRPr="00CE7044">
        <w:rPr>
          <w:rFonts w:ascii="Arial" w:hAnsi="Arial" w:cs="Arial"/>
          <w:sz w:val="20"/>
          <w:szCs w:val="20"/>
        </w:rPr>
        <w:t xml:space="preserve"> are often knowingly and directly contributing to violations of human rights</w:t>
      </w:r>
      <w:r w:rsidR="00C73521">
        <w:rPr>
          <w:rFonts w:ascii="Arial" w:hAnsi="Arial" w:cs="Arial"/>
          <w:sz w:val="20"/>
          <w:szCs w:val="20"/>
        </w:rPr>
        <w:t xml:space="preserve">. This type of involvement with third-party abuses is referred to by the UNGP as </w:t>
      </w:r>
      <w:r w:rsidR="008B4488">
        <w:rPr>
          <w:rFonts w:ascii="Arial" w:hAnsi="Arial" w:cs="Arial"/>
          <w:sz w:val="20"/>
          <w:szCs w:val="20"/>
        </w:rPr>
        <w:t>‘</w:t>
      </w:r>
      <w:r w:rsidRPr="00CE7044">
        <w:rPr>
          <w:rFonts w:ascii="Arial" w:hAnsi="Arial" w:cs="Arial"/>
          <w:sz w:val="20"/>
          <w:szCs w:val="20"/>
        </w:rPr>
        <w:t>non-legal complicity</w:t>
      </w:r>
      <w:r w:rsidR="008B4488">
        <w:rPr>
          <w:rFonts w:ascii="Arial" w:hAnsi="Arial" w:cs="Arial"/>
          <w:sz w:val="20"/>
          <w:szCs w:val="20"/>
        </w:rPr>
        <w:t>’</w:t>
      </w:r>
      <w:r w:rsidR="002F7118">
        <w:rPr>
          <w:rFonts w:ascii="Arial" w:hAnsi="Arial" w:cs="Arial"/>
          <w:sz w:val="20"/>
          <w:szCs w:val="20"/>
        </w:rPr>
        <w:t xml:space="preserve"> (p. 9)</w:t>
      </w:r>
      <w:r w:rsidRPr="00CE7044">
        <w:rPr>
          <w:rFonts w:ascii="Arial" w:hAnsi="Arial" w:cs="Arial"/>
          <w:sz w:val="20"/>
          <w:szCs w:val="20"/>
        </w:rPr>
        <w:t xml:space="preserve">. </w:t>
      </w:r>
    </w:p>
    <w:p w14:paraId="41F50DA5" w14:textId="77777777" w:rsidR="00B579E5" w:rsidRPr="00CE7044" w:rsidRDefault="00B579E5" w:rsidP="00B579E5">
      <w:pPr>
        <w:pStyle w:val="ListParagraph"/>
        <w:rPr>
          <w:rFonts w:ascii="Arial" w:hAnsi="Arial" w:cs="Arial"/>
          <w:sz w:val="20"/>
          <w:szCs w:val="20"/>
        </w:rPr>
      </w:pPr>
    </w:p>
    <w:p w14:paraId="75BE7DC3" w14:textId="45B44B75" w:rsidR="008B4488" w:rsidRDefault="00B579E5" w:rsidP="008B4488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 xml:space="preserve">SPU may, in certain cases, not just be linked to violations, but be </w:t>
      </w:r>
      <w:r w:rsidRPr="00C73521">
        <w:rPr>
          <w:rFonts w:ascii="Arial" w:hAnsi="Arial" w:cs="Arial"/>
          <w:i/>
          <w:sz w:val="20"/>
          <w:szCs w:val="20"/>
        </w:rPr>
        <w:t>contributing</w:t>
      </w:r>
      <w:r w:rsidRPr="00CE7044">
        <w:rPr>
          <w:rFonts w:ascii="Arial" w:hAnsi="Arial" w:cs="Arial"/>
          <w:sz w:val="20"/>
          <w:szCs w:val="20"/>
        </w:rPr>
        <w:t xml:space="preserve"> to them (</w:t>
      </w:r>
      <w:r w:rsidR="00C73521">
        <w:rPr>
          <w:rFonts w:ascii="Arial" w:hAnsi="Arial" w:cs="Arial"/>
          <w:sz w:val="20"/>
          <w:szCs w:val="20"/>
        </w:rPr>
        <w:t xml:space="preserve">a type of involvement </w:t>
      </w:r>
      <w:r w:rsidR="008B4488">
        <w:rPr>
          <w:rFonts w:ascii="Arial" w:hAnsi="Arial" w:cs="Arial"/>
          <w:sz w:val="20"/>
          <w:szCs w:val="20"/>
        </w:rPr>
        <w:t>defined by the UNGP as ‘</w:t>
      </w:r>
      <w:r w:rsidRPr="00CE7044">
        <w:rPr>
          <w:rFonts w:ascii="Arial" w:hAnsi="Arial" w:cs="Arial"/>
          <w:sz w:val="20"/>
          <w:szCs w:val="20"/>
        </w:rPr>
        <w:t>legal complicity</w:t>
      </w:r>
      <w:r w:rsidR="008B4488">
        <w:rPr>
          <w:rFonts w:ascii="Arial" w:hAnsi="Arial" w:cs="Arial"/>
          <w:sz w:val="20"/>
          <w:szCs w:val="20"/>
        </w:rPr>
        <w:t>’</w:t>
      </w:r>
      <w:r w:rsidRPr="00CE7044">
        <w:rPr>
          <w:rFonts w:ascii="Arial" w:hAnsi="Arial" w:cs="Arial"/>
          <w:sz w:val="20"/>
          <w:szCs w:val="20"/>
        </w:rPr>
        <w:t>)</w:t>
      </w:r>
      <w:r w:rsidR="00770EF9">
        <w:rPr>
          <w:rFonts w:ascii="Arial" w:hAnsi="Arial" w:cs="Arial"/>
          <w:sz w:val="20"/>
          <w:szCs w:val="20"/>
        </w:rPr>
        <w:t xml:space="preserve"> through its investments</w:t>
      </w:r>
      <w:r w:rsidR="008B4488">
        <w:rPr>
          <w:rFonts w:ascii="Arial" w:hAnsi="Arial" w:cs="Arial"/>
          <w:sz w:val="20"/>
          <w:szCs w:val="20"/>
        </w:rPr>
        <w:t xml:space="preserve">. This might happen </w:t>
      </w:r>
      <w:r w:rsidR="008B4488" w:rsidRPr="008B4488">
        <w:rPr>
          <w:rFonts w:ascii="Arial" w:hAnsi="Arial" w:cs="Arial"/>
          <w:sz w:val="20"/>
          <w:szCs w:val="20"/>
        </w:rPr>
        <w:t xml:space="preserve">when </w:t>
      </w:r>
      <w:r w:rsidR="008B4488">
        <w:rPr>
          <w:rFonts w:ascii="Arial" w:hAnsi="Arial" w:cs="Arial"/>
          <w:sz w:val="20"/>
          <w:szCs w:val="20"/>
        </w:rPr>
        <w:t>SPU</w:t>
      </w:r>
      <w:r w:rsidR="005A7D69">
        <w:rPr>
          <w:rFonts w:ascii="Arial" w:hAnsi="Arial" w:cs="Arial"/>
          <w:sz w:val="20"/>
          <w:szCs w:val="20"/>
        </w:rPr>
        <w:t>’s investment</w:t>
      </w:r>
      <w:r w:rsidR="00770EF9">
        <w:rPr>
          <w:rFonts w:ascii="Arial" w:hAnsi="Arial" w:cs="Arial"/>
          <w:sz w:val="20"/>
          <w:szCs w:val="20"/>
        </w:rPr>
        <w:t xml:space="preserve"> in a company that causes or contributes to violations</w:t>
      </w:r>
      <w:r w:rsidR="008B4488" w:rsidRPr="008B4488">
        <w:rPr>
          <w:rFonts w:ascii="Arial" w:hAnsi="Arial" w:cs="Arial"/>
          <w:sz w:val="20"/>
          <w:szCs w:val="20"/>
        </w:rPr>
        <w:t xml:space="preserve"> </w:t>
      </w:r>
      <w:r w:rsidR="00770EF9">
        <w:rPr>
          <w:rFonts w:ascii="Arial" w:hAnsi="Arial" w:cs="Arial"/>
          <w:sz w:val="20"/>
          <w:szCs w:val="20"/>
        </w:rPr>
        <w:t xml:space="preserve">increases the likelihood of </w:t>
      </w:r>
      <w:r w:rsidR="00882943">
        <w:rPr>
          <w:rFonts w:ascii="Arial" w:hAnsi="Arial" w:cs="Arial"/>
          <w:sz w:val="20"/>
          <w:szCs w:val="20"/>
        </w:rPr>
        <w:t xml:space="preserve">the </w:t>
      </w:r>
      <w:r w:rsidR="00770EF9">
        <w:rPr>
          <w:rFonts w:ascii="Arial" w:hAnsi="Arial" w:cs="Arial"/>
          <w:sz w:val="20"/>
          <w:szCs w:val="20"/>
        </w:rPr>
        <w:t>adverse human rights impacts (pp. 8-9).</w:t>
      </w:r>
    </w:p>
    <w:p w14:paraId="618D9F23" w14:textId="77777777" w:rsidR="00770EF9" w:rsidRPr="00770EF9" w:rsidRDefault="00770EF9" w:rsidP="00770EF9">
      <w:pPr>
        <w:pStyle w:val="ListParagraph"/>
        <w:rPr>
          <w:rFonts w:ascii="Arial" w:hAnsi="Arial" w:cs="Arial"/>
          <w:sz w:val="20"/>
          <w:szCs w:val="20"/>
        </w:rPr>
      </w:pPr>
    </w:p>
    <w:p w14:paraId="6FC6674E" w14:textId="3AAF2DF6" w:rsidR="00B579E5" w:rsidRPr="00770EF9" w:rsidRDefault="00770EF9" w:rsidP="00770EF9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cs="Arial"/>
          <w:sz w:val="20"/>
          <w:szCs w:val="20"/>
        </w:rPr>
      </w:pPr>
      <w:r w:rsidRPr="00770EF9">
        <w:rPr>
          <w:rFonts w:ascii="Arial" w:hAnsi="Arial" w:cs="Arial"/>
          <w:sz w:val="20"/>
          <w:szCs w:val="20"/>
        </w:rPr>
        <w:t xml:space="preserve">There is a </w:t>
      </w:r>
      <w:r w:rsidRPr="00E91AF3">
        <w:rPr>
          <w:rFonts w:ascii="Arial" w:hAnsi="Arial" w:cs="Arial"/>
          <w:i/>
          <w:sz w:val="20"/>
          <w:szCs w:val="20"/>
        </w:rPr>
        <w:t>continuum</w:t>
      </w:r>
      <w:r w:rsidRPr="00770EF9">
        <w:rPr>
          <w:rFonts w:ascii="Arial" w:hAnsi="Arial" w:cs="Arial"/>
          <w:sz w:val="20"/>
          <w:szCs w:val="20"/>
        </w:rPr>
        <w:t xml:space="preserve"> between having a ‘direct link’ to an adverse human rights impact and ‘contributing to’ that impact: w</w:t>
      </w:r>
      <w:r w:rsidR="008B4488" w:rsidRPr="00770EF9">
        <w:rPr>
          <w:rFonts w:ascii="Arial" w:hAnsi="Arial" w:cs="Arial"/>
          <w:sz w:val="20"/>
          <w:szCs w:val="20"/>
        </w:rPr>
        <w:t>hen the</w:t>
      </w:r>
      <w:r w:rsidR="00B579E5" w:rsidRPr="00770EF9">
        <w:rPr>
          <w:rFonts w:ascii="Arial" w:hAnsi="Arial" w:cs="Arial"/>
          <w:sz w:val="20"/>
          <w:szCs w:val="20"/>
        </w:rPr>
        <w:t xml:space="preserve"> investor is aware of abuses caused/contributed to by one of its investees, and fails to take the necessary steps to prevent or mitigate</w:t>
      </w:r>
      <w:r w:rsidR="005A7D69">
        <w:rPr>
          <w:rFonts w:ascii="Arial" w:hAnsi="Arial" w:cs="Arial"/>
          <w:sz w:val="20"/>
          <w:szCs w:val="20"/>
        </w:rPr>
        <w:t xml:space="preserve"> th</w:t>
      </w:r>
      <w:r w:rsidR="00985D51">
        <w:rPr>
          <w:rFonts w:ascii="Arial" w:hAnsi="Arial" w:cs="Arial"/>
          <w:sz w:val="20"/>
          <w:szCs w:val="20"/>
        </w:rPr>
        <w:t>os</w:t>
      </w:r>
      <w:r w:rsidR="005A7D69">
        <w:rPr>
          <w:rFonts w:ascii="Arial" w:hAnsi="Arial" w:cs="Arial"/>
          <w:sz w:val="20"/>
          <w:szCs w:val="20"/>
        </w:rPr>
        <w:t>e</w:t>
      </w:r>
      <w:r w:rsidR="00B579E5" w:rsidRPr="00770EF9">
        <w:rPr>
          <w:rFonts w:ascii="Arial" w:hAnsi="Arial" w:cs="Arial"/>
          <w:sz w:val="20"/>
          <w:szCs w:val="20"/>
        </w:rPr>
        <w:t xml:space="preserve"> negative impacts within a reasonable timeframe, </w:t>
      </w:r>
      <w:r w:rsidR="00E91AF3">
        <w:rPr>
          <w:rFonts w:ascii="Arial" w:hAnsi="Arial" w:cs="Arial"/>
          <w:sz w:val="20"/>
          <w:szCs w:val="20"/>
        </w:rPr>
        <w:t xml:space="preserve">it </w:t>
      </w:r>
      <w:r w:rsidR="00B579E5" w:rsidRPr="00770EF9">
        <w:rPr>
          <w:rFonts w:ascii="Arial" w:hAnsi="Arial" w:cs="Arial"/>
          <w:sz w:val="20"/>
          <w:szCs w:val="20"/>
        </w:rPr>
        <w:t xml:space="preserve">can eventually find itself in a situation of contributing (p. </w:t>
      </w:r>
      <w:r>
        <w:rPr>
          <w:rFonts w:ascii="Arial" w:hAnsi="Arial" w:cs="Arial"/>
          <w:sz w:val="20"/>
          <w:szCs w:val="20"/>
        </w:rPr>
        <w:t>10</w:t>
      </w:r>
      <w:r w:rsidR="00B579E5" w:rsidRPr="00770EF9">
        <w:rPr>
          <w:rFonts w:ascii="Arial" w:hAnsi="Arial" w:cs="Arial"/>
          <w:sz w:val="20"/>
          <w:szCs w:val="20"/>
        </w:rPr>
        <w:t>)</w:t>
      </w:r>
      <w:r w:rsidR="00E91AF3">
        <w:rPr>
          <w:rFonts w:ascii="Arial" w:hAnsi="Arial" w:cs="Arial"/>
          <w:sz w:val="20"/>
          <w:szCs w:val="20"/>
        </w:rPr>
        <w:t>. Exercising due diligence</w:t>
      </w:r>
      <w:r w:rsidR="00BF7DE8">
        <w:rPr>
          <w:rFonts w:ascii="Arial" w:hAnsi="Arial" w:cs="Arial"/>
          <w:sz w:val="20"/>
          <w:szCs w:val="20"/>
        </w:rPr>
        <w:t xml:space="preserve"> </w:t>
      </w:r>
      <w:r w:rsidR="00E91AF3">
        <w:rPr>
          <w:rFonts w:ascii="Arial" w:hAnsi="Arial" w:cs="Arial"/>
          <w:sz w:val="20"/>
          <w:szCs w:val="20"/>
        </w:rPr>
        <w:t>is key to avoiding contribution to human rights violations.</w:t>
      </w:r>
    </w:p>
    <w:p w14:paraId="297603DD" w14:textId="77777777" w:rsidR="00B579E5" w:rsidRPr="00CE7044" w:rsidRDefault="00B579E5" w:rsidP="00534251">
      <w:pPr>
        <w:pStyle w:val="ListParagraph"/>
        <w:ind w:left="1440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 xml:space="preserve">  </w:t>
      </w:r>
    </w:p>
    <w:p w14:paraId="2F7EF7BF" w14:textId="3333CB8B" w:rsidR="00B579E5" w:rsidRPr="00CE7044" w:rsidRDefault="00B579E5" w:rsidP="00534251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>In many cases, SPU’s Responsibility to Respect (</w:t>
      </w:r>
      <w:r w:rsidR="00D77679">
        <w:rPr>
          <w:rFonts w:ascii="Arial" w:hAnsi="Arial" w:cs="Arial"/>
          <w:sz w:val="20"/>
          <w:szCs w:val="20"/>
        </w:rPr>
        <w:t xml:space="preserve">as defined </w:t>
      </w:r>
      <w:r w:rsidRPr="00CE7044">
        <w:rPr>
          <w:rFonts w:ascii="Arial" w:hAnsi="Arial" w:cs="Arial"/>
          <w:sz w:val="20"/>
          <w:szCs w:val="20"/>
        </w:rPr>
        <w:t xml:space="preserve">under </w:t>
      </w:r>
      <w:r w:rsidR="00D77679">
        <w:rPr>
          <w:rFonts w:ascii="Arial" w:hAnsi="Arial" w:cs="Arial"/>
          <w:sz w:val="20"/>
          <w:szCs w:val="20"/>
        </w:rPr>
        <w:t xml:space="preserve">the </w:t>
      </w:r>
      <w:r w:rsidRPr="00CE7044">
        <w:rPr>
          <w:rFonts w:ascii="Arial" w:hAnsi="Arial" w:cs="Arial"/>
          <w:sz w:val="20"/>
          <w:szCs w:val="20"/>
        </w:rPr>
        <w:t xml:space="preserve">UNGP) will only be discharged by </w:t>
      </w:r>
      <w:r w:rsidRPr="00EC7E1A">
        <w:rPr>
          <w:rFonts w:ascii="Arial" w:hAnsi="Arial" w:cs="Arial"/>
          <w:b/>
          <w:sz w:val="20"/>
          <w:szCs w:val="20"/>
        </w:rPr>
        <w:t>divesting</w:t>
      </w:r>
      <w:r w:rsidRPr="00CE7044">
        <w:rPr>
          <w:rFonts w:ascii="Arial" w:hAnsi="Arial" w:cs="Arial"/>
          <w:sz w:val="20"/>
          <w:szCs w:val="20"/>
        </w:rPr>
        <w:t xml:space="preserve"> from companies that cause/contribute to Israeli settlements and to </w:t>
      </w:r>
      <w:r w:rsidR="00D77679">
        <w:rPr>
          <w:rFonts w:ascii="Arial" w:hAnsi="Arial" w:cs="Arial"/>
          <w:sz w:val="20"/>
          <w:szCs w:val="20"/>
        </w:rPr>
        <w:t xml:space="preserve">the </w:t>
      </w:r>
      <w:r w:rsidRPr="00CE7044">
        <w:rPr>
          <w:rFonts w:ascii="Arial" w:hAnsi="Arial" w:cs="Arial"/>
          <w:sz w:val="20"/>
          <w:szCs w:val="20"/>
        </w:rPr>
        <w:t xml:space="preserve">human rights violations that stem from </w:t>
      </w:r>
      <w:r w:rsidR="00D77679">
        <w:rPr>
          <w:rFonts w:ascii="Arial" w:hAnsi="Arial" w:cs="Arial"/>
          <w:sz w:val="20"/>
          <w:szCs w:val="20"/>
        </w:rPr>
        <w:t xml:space="preserve">the </w:t>
      </w:r>
      <w:r w:rsidRPr="00CE7044">
        <w:rPr>
          <w:rFonts w:ascii="Arial" w:hAnsi="Arial" w:cs="Arial"/>
          <w:sz w:val="20"/>
          <w:szCs w:val="20"/>
        </w:rPr>
        <w:t>G</w:t>
      </w:r>
      <w:r w:rsidR="00D77679">
        <w:rPr>
          <w:rFonts w:ascii="Arial" w:hAnsi="Arial" w:cs="Arial"/>
          <w:sz w:val="20"/>
          <w:szCs w:val="20"/>
        </w:rPr>
        <w:t xml:space="preserve">overnment </w:t>
      </w:r>
      <w:r w:rsidRPr="00CE7044">
        <w:rPr>
          <w:rFonts w:ascii="Arial" w:hAnsi="Arial" w:cs="Arial"/>
          <w:sz w:val="20"/>
          <w:szCs w:val="20"/>
        </w:rPr>
        <w:t>o</w:t>
      </w:r>
      <w:r w:rsidR="00D77679">
        <w:rPr>
          <w:rFonts w:ascii="Arial" w:hAnsi="Arial" w:cs="Arial"/>
          <w:sz w:val="20"/>
          <w:szCs w:val="20"/>
        </w:rPr>
        <w:t xml:space="preserve">f </w:t>
      </w:r>
      <w:r w:rsidRPr="00CE7044">
        <w:rPr>
          <w:rFonts w:ascii="Arial" w:hAnsi="Arial" w:cs="Arial"/>
          <w:sz w:val="20"/>
          <w:szCs w:val="20"/>
        </w:rPr>
        <w:t>I</w:t>
      </w:r>
      <w:r w:rsidR="00D77679">
        <w:rPr>
          <w:rFonts w:ascii="Arial" w:hAnsi="Arial" w:cs="Arial"/>
          <w:sz w:val="20"/>
          <w:szCs w:val="20"/>
        </w:rPr>
        <w:t>srael</w:t>
      </w:r>
      <w:r w:rsidRPr="00CE7044">
        <w:rPr>
          <w:rFonts w:ascii="Arial" w:hAnsi="Arial" w:cs="Arial"/>
          <w:sz w:val="20"/>
          <w:szCs w:val="20"/>
        </w:rPr>
        <w:t>’s approach to settlements (p. 1</w:t>
      </w:r>
      <w:r w:rsidR="00CA7EEC">
        <w:rPr>
          <w:rFonts w:ascii="Arial" w:hAnsi="Arial" w:cs="Arial"/>
          <w:sz w:val="20"/>
          <w:szCs w:val="20"/>
        </w:rPr>
        <w:t>9</w:t>
      </w:r>
      <w:r w:rsidRPr="00CE7044">
        <w:rPr>
          <w:rFonts w:ascii="Arial" w:hAnsi="Arial" w:cs="Arial"/>
          <w:sz w:val="20"/>
          <w:szCs w:val="20"/>
        </w:rPr>
        <w:t>)</w:t>
      </w:r>
      <w:r w:rsidR="00D77679">
        <w:rPr>
          <w:rFonts w:ascii="Arial" w:hAnsi="Arial" w:cs="Arial"/>
          <w:sz w:val="20"/>
          <w:szCs w:val="20"/>
        </w:rPr>
        <w:t xml:space="preserve">. </w:t>
      </w:r>
    </w:p>
    <w:p w14:paraId="657431A6" w14:textId="651AAD7A" w:rsidR="00D77679" w:rsidRDefault="00D77679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When the adverse impacts can not be stopped or mitigated by exercising leverage over the investee</w:t>
      </w:r>
      <w:r w:rsidR="00A34797">
        <w:rPr>
          <w:rFonts w:ascii="Arial" w:hAnsi="Arial" w:cs="Arial"/>
          <w:sz w:val="20"/>
          <w:szCs w:val="20"/>
        </w:rPr>
        <w:t xml:space="preserve"> company</w:t>
      </w:r>
      <w:r>
        <w:rPr>
          <w:rFonts w:ascii="Arial" w:hAnsi="Arial" w:cs="Arial"/>
          <w:sz w:val="20"/>
          <w:szCs w:val="20"/>
        </w:rPr>
        <w:t>, divestment is a necessity.</w:t>
      </w:r>
    </w:p>
    <w:p w14:paraId="34F338A6" w14:textId="4D05D7C8" w:rsidR="00B579E5" w:rsidRPr="00CE7044" w:rsidRDefault="00B579E5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 xml:space="preserve">In a context of widespread and systematic abuses, such as </w:t>
      </w:r>
      <w:r w:rsidR="00D77679">
        <w:rPr>
          <w:rFonts w:ascii="Arial" w:hAnsi="Arial" w:cs="Arial"/>
          <w:sz w:val="20"/>
          <w:szCs w:val="20"/>
        </w:rPr>
        <w:t xml:space="preserve">the </w:t>
      </w:r>
      <w:r w:rsidRPr="00CE7044">
        <w:rPr>
          <w:rFonts w:ascii="Arial" w:hAnsi="Arial" w:cs="Arial"/>
          <w:sz w:val="20"/>
          <w:szCs w:val="20"/>
        </w:rPr>
        <w:t xml:space="preserve">OPT, in many instances human rights due diligence </w:t>
      </w:r>
      <w:r w:rsidR="00347441">
        <w:rPr>
          <w:rFonts w:ascii="Arial" w:hAnsi="Arial" w:cs="Arial"/>
          <w:sz w:val="20"/>
          <w:szCs w:val="20"/>
        </w:rPr>
        <w:t xml:space="preserve">(HRDD) </w:t>
      </w:r>
      <w:r w:rsidRPr="00CE7044">
        <w:rPr>
          <w:rFonts w:ascii="Arial" w:hAnsi="Arial" w:cs="Arial"/>
          <w:sz w:val="20"/>
          <w:szCs w:val="20"/>
        </w:rPr>
        <w:t xml:space="preserve">cannot be reasonably expected to end or mitigate </w:t>
      </w:r>
      <w:r w:rsidR="00D77679">
        <w:rPr>
          <w:rFonts w:ascii="Arial" w:hAnsi="Arial" w:cs="Arial"/>
          <w:sz w:val="20"/>
          <w:szCs w:val="20"/>
        </w:rPr>
        <w:t xml:space="preserve">business-related human rights </w:t>
      </w:r>
      <w:r w:rsidRPr="00CE7044">
        <w:rPr>
          <w:rFonts w:ascii="Arial" w:hAnsi="Arial" w:cs="Arial"/>
          <w:sz w:val="20"/>
          <w:szCs w:val="20"/>
        </w:rPr>
        <w:t>violations (p. 8)</w:t>
      </w:r>
      <w:r w:rsidR="00D77679">
        <w:rPr>
          <w:rFonts w:ascii="Arial" w:hAnsi="Arial" w:cs="Arial"/>
          <w:sz w:val="20"/>
          <w:szCs w:val="20"/>
        </w:rPr>
        <w:t>, making divestment the only option.</w:t>
      </w:r>
    </w:p>
    <w:p w14:paraId="71D0FF1C" w14:textId="2D6A39E6" w:rsidR="00B579E5" w:rsidRPr="00CE7044" w:rsidRDefault="00D77679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Liability and responsibility do not necessarily overlap: </w:t>
      </w:r>
      <w:r w:rsidR="00534251">
        <w:rPr>
          <w:rFonts w:ascii="Arial" w:hAnsi="Arial" w:cs="Arial"/>
          <w:sz w:val="20"/>
          <w:szCs w:val="20"/>
        </w:rPr>
        <w:t xml:space="preserve">even when </w:t>
      </w:r>
      <w:r w:rsidRPr="00D77679">
        <w:rPr>
          <w:rFonts w:ascii="Arial" w:hAnsi="Arial" w:cs="Arial"/>
          <w:sz w:val="20"/>
          <w:szCs w:val="20"/>
        </w:rPr>
        <w:t xml:space="preserve">the financial transactions of </w:t>
      </w:r>
      <w:r w:rsidR="00534251">
        <w:rPr>
          <w:rFonts w:ascii="Arial" w:hAnsi="Arial" w:cs="Arial"/>
          <w:sz w:val="20"/>
          <w:szCs w:val="20"/>
        </w:rPr>
        <w:t xml:space="preserve">a </w:t>
      </w:r>
      <w:r w:rsidRPr="00D77679">
        <w:rPr>
          <w:rFonts w:ascii="Arial" w:hAnsi="Arial" w:cs="Arial"/>
          <w:sz w:val="20"/>
          <w:szCs w:val="20"/>
        </w:rPr>
        <w:t>non-controlling minority shareholder</w:t>
      </w:r>
      <w:r w:rsidR="00534251">
        <w:rPr>
          <w:rFonts w:ascii="Arial" w:hAnsi="Arial" w:cs="Arial"/>
          <w:sz w:val="20"/>
          <w:szCs w:val="20"/>
        </w:rPr>
        <w:t xml:space="preserve"> are</w:t>
      </w:r>
      <w:r w:rsidRPr="00D77679">
        <w:rPr>
          <w:rFonts w:ascii="Arial" w:hAnsi="Arial" w:cs="Arial"/>
          <w:sz w:val="20"/>
          <w:szCs w:val="20"/>
        </w:rPr>
        <w:t xml:space="preserve"> too far removed from the violations carried out by their recipients to give rise to legal liability for the investor, the latter might still be</w:t>
      </w:r>
      <w:r w:rsidR="00534251">
        <w:rPr>
          <w:rFonts w:ascii="Arial" w:hAnsi="Arial" w:cs="Arial"/>
          <w:sz w:val="20"/>
          <w:szCs w:val="20"/>
        </w:rPr>
        <w:t xml:space="preserve"> </w:t>
      </w:r>
      <w:r w:rsidRPr="00D77679">
        <w:rPr>
          <w:rFonts w:ascii="Arial" w:hAnsi="Arial" w:cs="Arial"/>
          <w:sz w:val="20"/>
          <w:szCs w:val="20"/>
        </w:rPr>
        <w:t>required, under the UNGP, to immediately divest from the abusing entity</w:t>
      </w:r>
      <w:r w:rsidRPr="00CE7044">
        <w:rPr>
          <w:rFonts w:ascii="Arial" w:hAnsi="Arial" w:cs="Arial"/>
          <w:sz w:val="20"/>
          <w:szCs w:val="20"/>
        </w:rPr>
        <w:t xml:space="preserve"> </w:t>
      </w:r>
      <w:r w:rsidR="00B579E5" w:rsidRPr="00CE7044">
        <w:rPr>
          <w:rFonts w:ascii="Arial" w:hAnsi="Arial" w:cs="Arial"/>
          <w:sz w:val="20"/>
          <w:szCs w:val="20"/>
        </w:rPr>
        <w:t xml:space="preserve">(p. </w:t>
      </w:r>
      <w:r>
        <w:rPr>
          <w:rFonts w:ascii="Arial" w:hAnsi="Arial" w:cs="Arial"/>
          <w:sz w:val="20"/>
          <w:szCs w:val="20"/>
        </w:rPr>
        <w:t>9</w:t>
      </w:r>
      <w:r w:rsidR="00B579E5" w:rsidRPr="00CE7044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.</w:t>
      </w:r>
      <w:r w:rsidR="00B579E5" w:rsidRPr="00CE7044">
        <w:rPr>
          <w:rFonts w:ascii="Arial" w:hAnsi="Arial" w:cs="Arial"/>
          <w:sz w:val="20"/>
          <w:szCs w:val="20"/>
        </w:rPr>
        <w:t xml:space="preserve"> </w:t>
      </w:r>
    </w:p>
    <w:p w14:paraId="79D7C7F5" w14:textId="77777777" w:rsidR="00B579E5" w:rsidRPr="00CE7044" w:rsidRDefault="00B579E5" w:rsidP="00B579E5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14:paraId="661F0CB2" w14:textId="03ACF7DE" w:rsidR="00B579E5" w:rsidRPr="00CE7044" w:rsidRDefault="00B579E5" w:rsidP="00EC7E1A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 xml:space="preserve">All investments linked to business operations in the OPT should receive </w:t>
      </w:r>
      <w:r w:rsidR="00EC7E1A" w:rsidRPr="00EC7E1A">
        <w:rPr>
          <w:rFonts w:ascii="Arial" w:hAnsi="Arial" w:cs="Arial"/>
          <w:b/>
          <w:sz w:val="20"/>
          <w:szCs w:val="20"/>
        </w:rPr>
        <w:t>enhanced</w:t>
      </w:r>
      <w:r w:rsidRPr="00EC7E1A">
        <w:rPr>
          <w:rFonts w:ascii="Arial" w:hAnsi="Arial" w:cs="Arial"/>
          <w:b/>
          <w:sz w:val="20"/>
          <w:szCs w:val="20"/>
        </w:rPr>
        <w:t xml:space="preserve"> due diligence</w:t>
      </w:r>
      <w:r w:rsidR="00EC7E1A">
        <w:rPr>
          <w:rFonts w:ascii="Arial" w:hAnsi="Arial" w:cs="Arial"/>
          <w:sz w:val="20"/>
          <w:szCs w:val="20"/>
        </w:rPr>
        <w:t>, a high standard of care recommended by the UNGP for companies operating in high-risk contexts</w:t>
      </w:r>
      <w:r w:rsidRPr="00CE7044">
        <w:rPr>
          <w:rFonts w:ascii="Arial" w:hAnsi="Arial" w:cs="Arial"/>
          <w:sz w:val="20"/>
          <w:szCs w:val="20"/>
        </w:rPr>
        <w:t xml:space="preserve">. </w:t>
      </w:r>
      <w:r w:rsidR="004E2A22">
        <w:rPr>
          <w:rFonts w:ascii="Arial" w:hAnsi="Arial" w:cs="Arial"/>
          <w:sz w:val="20"/>
          <w:szCs w:val="20"/>
        </w:rPr>
        <w:t xml:space="preserve">While the Council on Ethics tends to </w:t>
      </w:r>
      <w:r w:rsidR="00FA73F4">
        <w:rPr>
          <w:rFonts w:ascii="Arial" w:hAnsi="Arial" w:cs="Arial"/>
          <w:sz w:val="20"/>
          <w:szCs w:val="20"/>
        </w:rPr>
        <w:t>target only</w:t>
      </w:r>
      <w:r w:rsidR="004E2A22">
        <w:rPr>
          <w:rFonts w:ascii="Arial" w:hAnsi="Arial" w:cs="Arial"/>
          <w:sz w:val="20"/>
          <w:szCs w:val="20"/>
        </w:rPr>
        <w:t xml:space="preserve"> companies linked to the “worst cases” of human rights impacts, n</w:t>
      </w:r>
      <w:r w:rsidRPr="00CE7044">
        <w:rPr>
          <w:rFonts w:ascii="Arial" w:hAnsi="Arial" w:cs="Arial"/>
          <w:sz w:val="20"/>
          <w:szCs w:val="20"/>
        </w:rPr>
        <w:t xml:space="preserve">o </w:t>
      </w:r>
      <w:r w:rsidR="00EC7E1A">
        <w:rPr>
          <w:rFonts w:ascii="Arial" w:hAnsi="Arial" w:cs="Arial"/>
          <w:sz w:val="20"/>
          <w:szCs w:val="20"/>
        </w:rPr>
        <w:t xml:space="preserve">investee </w:t>
      </w:r>
      <w:r w:rsidRPr="00CE7044">
        <w:rPr>
          <w:rFonts w:ascii="Arial" w:hAnsi="Arial" w:cs="Arial"/>
          <w:sz w:val="20"/>
          <w:szCs w:val="20"/>
        </w:rPr>
        <w:t xml:space="preserve">company </w:t>
      </w:r>
      <w:r w:rsidR="00EC7E1A">
        <w:rPr>
          <w:rFonts w:ascii="Arial" w:hAnsi="Arial" w:cs="Arial"/>
          <w:sz w:val="20"/>
          <w:szCs w:val="20"/>
        </w:rPr>
        <w:t xml:space="preserve">operating </w:t>
      </w:r>
      <w:r w:rsidRPr="00CE7044">
        <w:rPr>
          <w:rFonts w:ascii="Arial" w:hAnsi="Arial" w:cs="Arial"/>
          <w:sz w:val="20"/>
          <w:szCs w:val="20"/>
        </w:rPr>
        <w:t xml:space="preserve">in </w:t>
      </w:r>
      <w:r w:rsidR="00EC7E1A">
        <w:rPr>
          <w:rFonts w:ascii="Arial" w:hAnsi="Arial" w:cs="Arial"/>
          <w:sz w:val="20"/>
          <w:szCs w:val="20"/>
        </w:rPr>
        <w:t xml:space="preserve">the </w:t>
      </w:r>
      <w:r w:rsidRPr="00CE7044">
        <w:rPr>
          <w:rFonts w:ascii="Arial" w:hAnsi="Arial" w:cs="Arial"/>
          <w:sz w:val="20"/>
          <w:szCs w:val="20"/>
        </w:rPr>
        <w:t>OPT should remain under the radar</w:t>
      </w:r>
      <w:r w:rsidR="00EC7E1A">
        <w:rPr>
          <w:rFonts w:ascii="Arial" w:hAnsi="Arial" w:cs="Arial"/>
          <w:sz w:val="20"/>
          <w:szCs w:val="20"/>
        </w:rPr>
        <w:t xml:space="preserve"> </w:t>
      </w:r>
      <w:r w:rsidRPr="00CE7044">
        <w:rPr>
          <w:rFonts w:ascii="Arial" w:hAnsi="Arial" w:cs="Arial"/>
          <w:sz w:val="20"/>
          <w:szCs w:val="20"/>
        </w:rPr>
        <w:t xml:space="preserve">(p. </w:t>
      </w:r>
      <w:r w:rsidR="00CA5CBE">
        <w:rPr>
          <w:rFonts w:ascii="Arial" w:hAnsi="Arial" w:cs="Arial"/>
          <w:sz w:val="20"/>
          <w:szCs w:val="20"/>
        </w:rPr>
        <w:t>11</w:t>
      </w:r>
      <w:r w:rsidRPr="00CE7044">
        <w:rPr>
          <w:rFonts w:ascii="Arial" w:hAnsi="Arial" w:cs="Arial"/>
          <w:sz w:val="20"/>
          <w:szCs w:val="20"/>
        </w:rPr>
        <w:t>).</w:t>
      </w:r>
    </w:p>
    <w:p w14:paraId="5036EAE5" w14:textId="77777777" w:rsidR="00B579E5" w:rsidRPr="00CE7044" w:rsidRDefault="00B579E5" w:rsidP="00B579E5">
      <w:pPr>
        <w:pStyle w:val="ListParagraph"/>
        <w:rPr>
          <w:rFonts w:ascii="Arial" w:hAnsi="Arial" w:cs="Arial"/>
          <w:sz w:val="20"/>
          <w:szCs w:val="20"/>
        </w:rPr>
      </w:pPr>
    </w:p>
    <w:p w14:paraId="61937A38" w14:textId="2199BF53" w:rsidR="00F60B6B" w:rsidRPr="00BF7DE8" w:rsidRDefault="00B579E5" w:rsidP="00BF7DE8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lastRenderedPageBreak/>
        <w:t xml:space="preserve">The </w:t>
      </w:r>
      <w:r w:rsidRPr="00FE2604">
        <w:rPr>
          <w:rFonts w:ascii="Arial" w:hAnsi="Arial" w:cs="Arial"/>
          <w:b/>
          <w:sz w:val="20"/>
          <w:szCs w:val="20"/>
        </w:rPr>
        <w:t>ethics assessment process</w:t>
      </w:r>
      <w:r w:rsidRPr="00CE7044">
        <w:rPr>
          <w:rFonts w:ascii="Arial" w:hAnsi="Arial" w:cs="Arial"/>
          <w:sz w:val="20"/>
          <w:szCs w:val="20"/>
        </w:rPr>
        <w:t xml:space="preserve"> carried out through the Council on Ethics, which has so far focused on a limited number of investees and might entail several years of observation, will not</w:t>
      </w:r>
      <w:r w:rsidR="00EC7E1A">
        <w:rPr>
          <w:rFonts w:ascii="Arial" w:hAnsi="Arial" w:cs="Arial"/>
          <w:sz w:val="20"/>
          <w:szCs w:val="20"/>
        </w:rPr>
        <w:t xml:space="preserve"> </w:t>
      </w:r>
      <w:r w:rsidR="00EC7E1A" w:rsidRPr="00EC7E1A">
        <w:rPr>
          <w:rFonts w:ascii="Arial" w:hAnsi="Arial" w:cs="Arial"/>
          <w:i/>
          <w:sz w:val="20"/>
          <w:szCs w:val="20"/>
        </w:rPr>
        <w:t>per se</w:t>
      </w:r>
      <w:r w:rsidRPr="00CE7044">
        <w:rPr>
          <w:rFonts w:ascii="Arial" w:hAnsi="Arial" w:cs="Arial"/>
          <w:sz w:val="20"/>
          <w:szCs w:val="20"/>
        </w:rPr>
        <w:t xml:space="preserve"> be sufficient to discharge NBIM’s due diligence requirements, especially in regard to companies operating in high-risk human rights contexts (p. 1</w:t>
      </w:r>
      <w:r w:rsidR="00FE2604">
        <w:rPr>
          <w:rFonts w:ascii="Arial" w:hAnsi="Arial" w:cs="Arial"/>
          <w:sz w:val="20"/>
          <w:szCs w:val="20"/>
        </w:rPr>
        <w:t>1</w:t>
      </w:r>
      <w:r w:rsidRPr="00CE7044">
        <w:rPr>
          <w:rFonts w:ascii="Arial" w:hAnsi="Arial" w:cs="Arial"/>
          <w:sz w:val="20"/>
          <w:szCs w:val="20"/>
        </w:rPr>
        <w:t>)</w:t>
      </w:r>
    </w:p>
    <w:p w14:paraId="074A57E1" w14:textId="77777777" w:rsidR="00F60B6B" w:rsidRPr="00F60B6B" w:rsidRDefault="00F60B6B" w:rsidP="00F60B6B">
      <w:pPr>
        <w:pStyle w:val="ListParagraph"/>
        <w:spacing w:after="160" w:line="259" w:lineRule="auto"/>
        <w:rPr>
          <w:rFonts w:ascii="Arial" w:hAnsi="Arial" w:cs="Arial"/>
          <w:sz w:val="20"/>
          <w:szCs w:val="20"/>
        </w:rPr>
      </w:pPr>
    </w:p>
    <w:p w14:paraId="41435A58" w14:textId="62538A53" w:rsidR="00B579E5" w:rsidRPr="00CE7044" w:rsidRDefault="00B579E5" w:rsidP="00B579E5">
      <w:pPr>
        <w:rPr>
          <w:rFonts w:cs="Arial"/>
          <w:szCs w:val="20"/>
          <w:u w:val="single"/>
        </w:rPr>
      </w:pPr>
      <w:r w:rsidRPr="00CE7044">
        <w:rPr>
          <w:rFonts w:cs="Arial"/>
          <w:szCs w:val="20"/>
          <w:u w:val="single"/>
        </w:rPr>
        <w:t>Recommendations (pp. 22-2</w:t>
      </w:r>
      <w:r w:rsidR="00F60B6B">
        <w:rPr>
          <w:rFonts w:cs="Arial"/>
          <w:szCs w:val="20"/>
          <w:u w:val="single"/>
        </w:rPr>
        <w:t>5</w:t>
      </w:r>
      <w:r w:rsidRPr="00CE7044">
        <w:rPr>
          <w:rFonts w:cs="Arial"/>
          <w:szCs w:val="20"/>
          <w:u w:val="single"/>
        </w:rPr>
        <w:t>)</w:t>
      </w:r>
    </w:p>
    <w:p w14:paraId="4FEDA807" w14:textId="77777777" w:rsidR="00B579E5" w:rsidRPr="00CE7044" w:rsidRDefault="00B579E5" w:rsidP="00B579E5">
      <w:pPr>
        <w:pStyle w:val="ListParagraph"/>
        <w:numPr>
          <w:ilvl w:val="0"/>
          <w:numId w:val="15"/>
        </w:numPr>
        <w:spacing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CE7044">
        <w:rPr>
          <w:rFonts w:ascii="Arial" w:hAnsi="Arial" w:cs="Arial"/>
          <w:b/>
          <w:sz w:val="20"/>
          <w:szCs w:val="20"/>
        </w:rPr>
        <w:t>SPU should conduct human rights due diligence for</w:t>
      </w:r>
      <w:r w:rsidRPr="00CE7044">
        <w:rPr>
          <w:rFonts w:ascii="Arial" w:hAnsi="Arial" w:cs="Arial"/>
          <w:b/>
          <w:i/>
          <w:sz w:val="20"/>
          <w:szCs w:val="20"/>
        </w:rPr>
        <w:t xml:space="preserve"> all</w:t>
      </w:r>
      <w:r w:rsidRPr="00CE7044">
        <w:rPr>
          <w:rFonts w:ascii="Arial" w:hAnsi="Arial" w:cs="Arial"/>
          <w:b/>
          <w:sz w:val="20"/>
          <w:szCs w:val="20"/>
        </w:rPr>
        <w:t xml:space="preserve"> companies in its portfolio that operate in the OPT, and communicate externally the actions taken.</w:t>
      </w:r>
    </w:p>
    <w:p w14:paraId="6B53E803" w14:textId="7084221D" w:rsidR="00B579E5" w:rsidRPr="00CE7044" w:rsidRDefault="00B579E5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 xml:space="preserve">No investee company with ties to OPT should remain under </w:t>
      </w:r>
      <w:r w:rsidR="00EC2176">
        <w:rPr>
          <w:rFonts w:ascii="Arial" w:hAnsi="Arial" w:cs="Arial"/>
          <w:sz w:val="20"/>
          <w:szCs w:val="20"/>
        </w:rPr>
        <w:t xml:space="preserve">the </w:t>
      </w:r>
      <w:r w:rsidRPr="00CE7044">
        <w:rPr>
          <w:rFonts w:ascii="Arial" w:hAnsi="Arial" w:cs="Arial"/>
          <w:sz w:val="20"/>
          <w:szCs w:val="20"/>
        </w:rPr>
        <w:t>radar</w:t>
      </w:r>
      <w:r w:rsidR="00EC2176">
        <w:rPr>
          <w:rFonts w:ascii="Arial" w:hAnsi="Arial" w:cs="Arial"/>
          <w:sz w:val="20"/>
          <w:szCs w:val="20"/>
        </w:rPr>
        <w:t>, as</w:t>
      </w:r>
      <w:r w:rsidRPr="00CE7044">
        <w:rPr>
          <w:rFonts w:ascii="Arial" w:hAnsi="Arial" w:cs="Arial"/>
          <w:sz w:val="20"/>
          <w:szCs w:val="20"/>
        </w:rPr>
        <w:t xml:space="preserve"> all activities carried out in </w:t>
      </w:r>
      <w:r w:rsidR="00EC2176">
        <w:rPr>
          <w:rFonts w:ascii="Arial" w:hAnsi="Arial" w:cs="Arial"/>
          <w:sz w:val="20"/>
          <w:szCs w:val="20"/>
        </w:rPr>
        <w:t xml:space="preserve">the </w:t>
      </w:r>
      <w:r w:rsidRPr="00CE7044">
        <w:rPr>
          <w:rFonts w:ascii="Arial" w:hAnsi="Arial" w:cs="Arial"/>
          <w:sz w:val="20"/>
          <w:szCs w:val="20"/>
        </w:rPr>
        <w:t xml:space="preserve">OPT raise concerns over complicity </w:t>
      </w:r>
      <w:r w:rsidR="00EC2176">
        <w:rPr>
          <w:rFonts w:ascii="Arial" w:hAnsi="Arial" w:cs="Arial"/>
          <w:sz w:val="20"/>
          <w:szCs w:val="20"/>
        </w:rPr>
        <w:t>in adverse</w:t>
      </w:r>
      <w:r w:rsidRPr="00CE7044">
        <w:rPr>
          <w:rFonts w:ascii="Arial" w:hAnsi="Arial" w:cs="Arial"/>
          <w:sz w:val="20"/>
          <w:szCs w:val="20"/>
        </w:rPr>
        <w:t xml:space="preserve"> human rights impacts</w:t>
      </w:r>
      <w:r w:rsidR="00EC2176">
        <w:rPr>
          <w:rFonts w:ascii="Arial" w:hAnsi="Arial" w:cs="Arial"/>
          <w:sz w:val="20"/>
          <w:szCs w:val="20"/>
        </w:rPr>
        <w:t>.</w:t>
      </w:r>
    </w:p>
    <w:p w14:paraId="0CF8A245" w14:textId="3E53D877" w:rsidR="00B579E5" w:rsidRPr="00CE7044" w:rsidRDefault="00B579E5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>Exercising leverage</w:t>
      </w:r>
      <w:r w:rsidR="00EC2176">
        <w:rPr>
          <w:rFonts w:ascii="Arial" w:hAnsi="Arial" w:cs="Arial"/>
          <w:sz w:val="20"/>
          <w:szCs w:val="20"/>
        </w:rPr>
        <w:t xml:space="preserve"> to try and effect change in the conduct of an investee company</w:t>
      </w:r>
      <w:r w:rsidRPr="00CE7044">
        <w:rPr>
          <w:rFonts w:ascii="Arial" w:hAnsi="Arial" w:cs="Arial"/>
          <w:sz w:val="20"/>
          <w:szCs w:val="20"/>
        </w:rPr>
        <w:t xml:space="preserve"> </w:t>
      </w:r>
      <w:r w:rsidR="00EC2176">
        <w:rPr>
          <w:rFonts w:ascii="Arial" w:hAnsi="Arial" w:cs="Arial"/>
          <w:sz w:val="20"/>
          <w:szCs w:val="20"/>
        </w:rPr>
        <w:t>that is causing/contributing to human rights violations i</w:t>
      </w:r>
      <w:r w:rsidRPr="00CE7044">
        <w:rPr>
          <w:rFonts w:ascii="Arial" w:hAnsi="Arial" w:cs="Arial"/>
          <w:sz w:val="20"/>
          <w:szCs w:val="20"/>
        </w:rPr>
        <w:t xml:space="preserve">s a precise requirement under </w:t>
      </w:r>
      <w:r w:rsidR="00EC2176">
        <w:rPr>
          <w:rFonts w:ascii="Arial" w:hAnsi="Arial" w:cs="Arial"/>
          <w:sz w:val="20"/>
          <w:szCs w:val="20"/>
        </w:rPr>
        <w:t xml:space="preserve">the </w:t>
      </w:r>
      <w:r w:rsidRPr="00CE7044">
        <w:rPr>
          <w:rFonts w:ascii="Arial" w:hAnsi="Arial" w:cs="Arial"/>
          <w:sz w:val="20"/>
          <w:szCs w:val="20"/>
        </w:rPr>
        <w:t>UNGP</w:t>
      </w:r>
      <w:r w:rsidR="00EC2176">
        <w:rPr>
          <w:rFonts w:ascii="Arial" w:hAnsi="Arial" w:cs="Arial"/>
          <w:sz w:val="20"/>
          <w:szCs w:val="20"/>
        </w:rPr>
        <w:t>.</w:t>
      </w:r>
    </w:p>
    <w:p w14:paraId="3975E930" w14:textId="28A3AA58" w:rsidR="00B579E5" w:rsidRPr="00CE7044" w:rsidRDefault="00EC2176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e</w:t>
      </w:r>
      <w:r w:rsidR="00B579E5" w:rsidRPr="00CE7044">
        <w:rPr>
          <w:rFonts w:ascii="Arial" w:hAnsi="Arial" w:cs="Arial"/>
          <w:sz w:val="20"/>
          <w:szCs w:val="20"/>
        </w:rPr>
        <w:t>xercise of leverage over an investee has a temporal limit</w:t>
      </w:r>
      <w:r>
        <w:rPr>
          <w:rFonts w:ascii="Arial" w:hAnsi="Arial" w:cs="Arial"/>
          <w:sz w:val="20"/>
          <w:szCs w:val="20"/>
        </w:rPr>
        <w:t xml:space="preserve">: </w:t>
      </w:r>
      <w:r w:rsidRPr="00EC2176">
        <w:rPr>
          <w:rFonts w:ascii="Arial" w:hAnsi="Arial" w:cs="Arial"/>
          <w:sz w:val="20"/>
          <w:szCs w:val="20"/>
        </w:rPr>
        <w:t>The more severe the human rights impact, the more quickly SPU needs to see change in the investee’s conduct before it decides to divest</w:t>
      </w:r>
      <w:r>
        <w:rPr>
          <w:rFonts w:ascii="Arial" w:hAnsi="Arial" w:cs="Arial"/>
          <w:sz w:val="20"/>
          <w:szCs w:val="20"/>
        </w:rPr>
        <w:t>.</w:t>
      </w:r>
    </w:p>
    <w:p w14:paraId="7B7FB225" w14:textId="77777777" w:rsidR="00B579E5" w:rsidRPr="00CE7044" w:rsidRDefault="00B579E5" w:rsidP="00B579E5">
      <w:pPr>
        <w:pStyle w:val="ListParagraph"/>
        <w:ind w:left="1068"/>
        <w:rPr>
          <w:rFonts w:ascii="Arial" w:hAnsi="Arial" w:cs="Arial"/>
          <w:sz w:val="20"/>
          <w:szCs w:val="20"/>
        </w:rPr>
      </w:pPr>
    </w:p>
    <w:p w14:paraId="6CE2423B" w14:textId="77777777" w:rsidR="00B579E5" w:rsidRPr="00CE7044" w:rsidRDefault="00B579E5" w:rsidP="00B579E5">
      <w:pPr>
        <w:pStyle w:val="ListParagraph"/>
        <w:numPr>
          <w:ilvl w:val="0"/>
          <w:numId w:val="16"/>
        </w:numPr>
        <w:spacing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CE7044">
        <w:rPr>
          <w:rFonts w:ascii="Arial" w:hAnsi="Arial" w:cs="Arial"/>
          <w:b/>
          <w:sz w:val="20"/>
          <w:szCs w:val="20"/>
        </w:rPr>
        <w:t>Divestment is (often) needed immediately</w:t>
      </w:r>
    </w:p>
    <w:p w14:paraId="3F13B6F6" w14:textId="6AEBC62D" w:rsidR="00B579E5" w:rsidRPr="00CE7044" w:rsidRDefault="00B579E5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>In some instances (e.g. investments in Israeli banks</w:t>
      </w:r>
      <w:r w:rsidR="00EC2176">
        <w:rPr>
          <w:rFonts w:ascii="Arial" w:hAnsi="Arial" w:cs="Arial"/>
          <w:sz w:val="20"/>
          <w:szCs w:val="20"/>
        </w:rPr>
        <w:t xml:space="preserve"> financing the settlements</w:t>
      </w:r>
      <w:r w:rsidRPr="00CE7044">
        <w:rPr>
          <w:rFonts w:ascii="Arial" w:hAnsi="Arial" w:cs="Arial"/>
          <w:sz w:val="20"/>
          <w:szCs w:val="20"/>
        </w:rPr>
        <w:t xml:space="preserve">), SPU will not be able to exercise leverage in a manner that </w:t>
      </w:r>
      <w:r w:rsidR="00EC2176">
        <w:rPr>
          <w:rFonts w:ascii="Arial" w:hAnsi="Arial" w:cs="Arial"/>
          <w:sz w:val="20"/>
          <w:szCs w:val="20"/>
        </w:rPr>
        <w:t xml:space="preserve">ends or mitigates the adverse human rights impacts. In those cases, </w:t>
      </w:r>
      <w:r w:rsidRPr="00CE7044">
        <w:rPr>
          <w:rFonts w:ascii="Arial" w:hAnsi="Arial" w:cs="Arial"/>
          <w:sz w:val="20"/>
          <w:szCs w:val="20"/>
        </w:rPr>
        <w:t>SPU must divest quickly</w:t>
      </w:r>
      <w:r w:rsidR="00EC2176">
        <w:rPr>
          <w:rFonts w:ascii="Arial" w:hAnsi="Arial" w:cs="Arial"/>
          <w:sz w:val="20"/>
          <w:szCs w:val="20"/>
        </w:rPr>
        <w:t>.</w:t>
      </w:r>
    </w:p>
    <w:p w14:paraId="725EDA00" w14:textId="384DD486" w:rsidR="00B579E5" w:rsidRPr="00CE7044" w:rsidRDefault="00B579E5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>SPU should divest immediately from companies involved in war crimes, breaches of norms of IHL and IOL, and serious or repeated violations of IHRL</w:t>
      </w:r>
      <w:r w:rsidR="008F6DC2">
        <w:rPr>
          <w:rFonts w:ascii="Arial" w:hAnsi="Arial" w:cs="Arial"/>
          <w:sz w:val="20"/>
          <w:szCs w:val="20"/>
        </w:rPr>
        <w:t>.</w:t>
      </w:r>
    </w:p>
    <w:p w14:paraId="3BDE1BA6" w14:textId="77777777" w:rsidR="00B579E5" w:rsidRPr="00CE7044" w:rsidRDefault="00B579E5" w:rsidP="00B579E5">
      <w:pPr>
        <w:pStyle w:val="ListParagraph"/>
        <w:ind w:left="1068"/>
        <w:rPr>
          <w:rFonts w:ascii="Arial" w:hAnsi="Arial" w:cs="Arial"/>
          <w:sz w:val="20"/>
          <w:szCs w:val="20"/>
        </w:rPr>
      </w:pPr>
    </w:p>
    <w:p w14:paraId="52D78DA3" w14:textId="4AA414B1" w:rsidR="00B579E5" w:rsidRPr="00CE7044" w:rsidRDefault="004F6C7D" w:rsidP="00B579E5">
      <w:pPr>
        <w:pStyle w:val="ListParagraph"/>
        <w:numPr>
          <w:ilvl w:val="0"/>
          <w:numId w:val="17"/>
        </w:numPr>
        <w:spacing w:after="160" w:line="259" w:lineRule="auto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The </w:t>
      </w:r>
      <w:r w:rsidR="00B579E5" w:rsidRPr="00CE7044">
        <w:rPr>
          <w:rFonts w:ascii="Arial" w:hAnsi="Arial" w:cs="Arial"/>
          <w:b/>
          <w:sz w:val="20"/>
          <w:szCs w:val="20"/>
        </w:rPr>
        <w:t xml:space="preserve">Council on Ethics’ </w:t>
      </w:r>
      <w:r w:rsidR="00347441">
        <w:rPr>
          <w:rFonts w:ascii="Arial" w:hAnsi="Arial" w:cs="Arial"/>
          <w:b/>
          <w:sz w:val="20"/>
          <w:szCs w:val="20"/>
        </w:rPr>
        <w:t>G</w:t>
      </w:r>
      <w:r w:rsidR="00B579E5" w:rsidRPr="00CE7044">
        <w:rPr>
          <w:rFonts w:ascii="Arial" w:hAnsi="Arial" w:cs="Arial"/>
          <w:b/>
          <w:sz w:val="20"/>
          <w:szCs w:val="20"/>
        </w:rPr>
        <w:t>uidelines for observation and exclusion of companies should be revised</w:t>
      </w:r>
    </w:p>
    <w:p w14:paraId="32619A5B" w14:textId="3D3EC9B4" w:rsidR="00B579E5" w:rsidRPr="00CE7044" w:rsidRDefault="0091470A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d</w:t>
      </w:r>
      <w:r w:rsidR="00B579E5" w:rsidRPr="00CE7044">
        <w:rPr>
          <w:rFonts w:ascii="Arial" w:hAnsi="Arial" w:cs="Arial"/>
          <w:sz w:val="20"/>
          <w:szCs w:val="20"/>
        </w:rPr>
        <w:t>efinition of “severity”</w:t>
      </w:r>
      <w:r w:rsidR="00347441">
        <w:rPr>
          <w:rFonts w:ascii="Arial" w:hAnsi="Arial" w:cs="Arial"/>
          <w:sz w:val="20"/>
          <w:szCs w:val="20"/>
        </w:rPr>
        <w:t xml:space="preserve"> of human rights impacts, which is currently prone to arbitrary interpretations in the Guidelines,</w:t>
      </w:r>
      <w:r w:rsidR="00B579E5" w:rsidRPr="00CE7044">
        <w:rPr>
          <w:rFonts w:ascii="Arial" w:hAnsi="Arial" w:cs="Arial"/>
          <w:sz w:val="20"/>
          <w:szCs w:val="20"/>
        </w:rPr>
        <w:t xml:space="preserve"> should reflect that given by </w:t>
      </w:r>
      <w:r>
        <w:rPr>
          <w:rFonts w:ascii="Arial" w:hAnsi="Arial" w:cs="Arial"/>
          <w:sz w:val="20"/>
          <w:szCs w:val="20"/>
        </w:rPr>
        <w:t xml:space="preserve">the </w:t>
      </w:r>
      <w:r w:rsidR="00B579E5" w:rsidRPr="00CE7044">
        <w:rPr>
          <w:rFonts w:ascii="Arial" w:hAnsi="Arial" w:cs="Arial"/>
          <w:sz w:val="20"/>
          <w:szCs w:val="20"/>
        </w:rPr>
        <w:t>UNGP</w:t>
      </w:r>
      <w:r>
        <w:rPr>
          <w:rFonts w:ascii="Arial" w:hAnsi="Arial" w:cs="Arial"/>
          <w:sz w:val="20"/>
          <w:szCs w:val="20"/>
        </w:rPr>
        <w:t>, namely</w:t>
      </w:r>
      <w:r w:rsidR="00B579E5" w:rsidRPr="00CE70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the “</w:t>
      </w:r>
      <w:r w:rsidR="00B579E5" w:rsidRPr="00CE7044">
        <w:rPr>
          <w:rFonts w:ascii="Arial" w:hAnsi="Arial" w:cs="Arial"/>
          <w:sz w:val="20"/>
          <w:szCs w:val="20"/>
        </w:rPr>
        <w:t xml:space="preserve">scale, scope, </w:t>
      </w:r>
      <w:r>
        <w:rPr>
          <w:rFonts w:ascii="Arial" w:hAnsi="Arial" w:cs="Arial"/>
          <w:sz w:val="20"/>
          <w:szCs w:val="20"/>
        </w:rPr>
        <w:t xml:space="preserve">and </w:t>
      </w:r>
      <w:r w:rsidR="00B579E5" w:rsidRPr="00CE7044">
        <w:rPr>
          <w:rFonts w:ascii="Arial" w:hAnsi="Arial" w:cs="Arial"/>
          <w:sz w:val="20"/>
          <w:szCs w:val="20"/>
        </w:rPr>
        <w:t>irremediable character</w:t>
      </w:r>
      <w:r>
        <w:rPr>
          <w:rFonts w:ascii="Arial" w:hAnsi="Arial" w:cs="Arial"/>
          <w:sz w:val="20"/>
          <w:szCs w:val="20"/>
        </w:rPr>
        <w:t>” of a human rights impact.</w:t>
      </w:r>
    </w:p>
    <w:p w14:paraId="656B5D5D" w14:textId="27B12A4C" w:rsidR="00B579E5" w:rsidRPr="00CE7044" w:rsidRDefault="0091470A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line with the UNGP’s approach, s</w:t>
      </w:r>
      <w:r w:rsidR="00B579E5" w:rsidRPr="00CE7044">
        <w:rPr>
          <w:rFonts w:ascii="Arial" w:hAnsi="Arial" w:cs="Arial"/>
          <w:sz w:val="20"/>
          <w:szCs w:val="20"/>
        </w:rPr>
        <w:t xml:space="preserve">everity should be only one among several factors influencing </w:t>
      </w:r>
      <w:r>
        <w:rPr>
          <w:rFonts w:ascii="Arial" w:hAnsi="Arial" w:cs="Arial"/>
          <w:sz w:val="20"/>
          <w:szCs w:val="20"/>
        </w:rPr>
        <w:t xml:space="preserve">the </w:t>
      </w:r>
      <w:r w:rsidR="00B579E5" w:rsidRPr="00CE7044">
        <w:rPr>
          <w:rFonts w:ascii="Arial" w:hAnsi="Arial" w:cs="Arial"/>
          <w:sz w:val="20"/>
          <w:szCs w:val="20"/>
        </w:rPr>
        <w:t>chosen pattern of HRDD</w:t>
      </w:r>
      <w:r w:rsidR="00347441">
        <w:rPr>
          <w:rFonts w:ascii="Arial" w:hAnsi="Arial" w:cs="Arial"/>
          <w:sz w:val="20"/>
          <w:szCs w:val="20"/>
        </w:rPr>
        <w:t>. Other factors to be considered include t</w:t>
      </w:r>
      <w:r w:rsidR="00347441" w:rsidRPr="00AD0A40">
        <w:rPr>
          <w:rFonts w:ascii="Arial" w:hAnsi="Arial" w:cs="Arial"/>
          <w:sz w:val="20"/>
          <w:szCs w:val="20"/>
        </w:rPr>
        <w:t>he investor’s ability to mitigate such risks through leverage</w:t>
      </w:r>
      <w:r w:rsidR="00347441">
        <w:rPr>
          <w:rFonts w:ascii="Arial" w:hAnsi="Arial" w:cs="Arial"/>
          <w:sz w:val="20"/>
          <w:szCs w:val="20"/>
        </w:rPr>
        <w:t xml:space="preserve"> and</w:t>
      </w:r>
      <w:r w:rsidR="00347441" w:rsidRPr="00AD0A40">
        <w:rPr>
          <w:rFonts w:ascii="Arial" w:hAnsi="Arial" w:cs="Arial"/>
          <w:sz w:val="20"/>
          <w:szCs w:val="20"/>
        </w:rPr>
        <w:t xml:space="preserve"> how crucial the business relationship is to the investor</w:t>
      </w:r>
      <w:r w:rsidR="00347441">
        <w:rPr>
          <w:rFonts w:ascii="Arial" w:hAnsi="Arial" w:cs="Arial"/>
          <w:sz w:val="20"/>
          <w:szCs w:val="20"/>
        </w:rPr>
        <w:t>.</w:t>
      </w:r>
    </w:p>
    <w:p w14:paraId="62E99D7D" w14:textId="4EE62A81" w:rsidR="00B579E5" w:rsidRPr="00CE7044" w:rsidRDefault="00347441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c</w:t>
      </w:r>
      <w:r w:rsidR="00B579E5" w:rsidRPr="00CE7044">
        <w:rPr>
          <w:rFonts w:ascii="Arial" w:hAnsi="Arial" w:cs="Arial"/>
          <w:sz w:val="20"/>
          <w:szCs w:val="20"/>
        </w:rPr>
        <w:t>hoice to divest</w:t>
      </w:r>
      <w:r>
        <w:rPr>
          <w:rFonts w:ascii="Arial" w:hAnsi="Arial" w:cs="Arial"/>
          <w:sz w:val="20"/>
          <w:szCs w:val="20"/>
        </w:rPr>
        <w:t xml:space="preserve"> can not be </w:t>
      </w:r>
      <w:r w:rsidRPr="00BF7DE8">
        <w:rPr>
          <w:rFonts w:ascii="Arial" w:hAnsi="Arial" w:cs="Arial"/>
          <w:sz w:val="20"/>
          <w:szCs w:val="20"/>
        </w:rPr>
        <w:t>a priori</w:t>
      </w:r>
      <w:r>
        <w:rPr>
          <w:rFonts w:ascii="Arial" w:hAnsi="Arial" w:cs="Arial"/>
          <w:sz w:val="20"/>
          <w:szCs w:val="20"/>
        </w:rPr>
        <w:t xml:space="preserve"> circumscribed </w:t>
      </w:r>
      <w:r w:rsidRPr="00AD0A40">
        <w:rPr>
          <w:rFonts w:ascii="Arial" w:hAnsi="Arial" w:cs="Arial"/>
          <w:sz w:val="20"/>
          <w:szCs w:val="20"/>
        </w:rPr>
        <w:t>to clear-cut cases of contribution amounting to “legal” complicity in human rights violations</w:t>
      </w:r>
      <w:r>
        <w:rPr>
          <w:rFonts w:ascii="Arial" w:hAnsi="Arial" w:cs="Arial"/>
          <w:sz w:val="20"/>
          <w:szCs w:val="20"/>
        </w:rPr>
        <w:t xml:space="preserve">. </w:t>
      </w:r>
      <w:r w:rsidRPr="00AD0A40">
        <w:rPr>
          <w:rFonts w:ascii="Arial" w:hAnsi="Arial" w:cs="Arial"/>
          <w:sz w:val="20"/>
          <w:szCs w:val="20"/>
        </w:rPr>
        <w:t>In line with the UNGP, divestment must be considered also when human rights violations to which SPU has not directly contributed are linked to it by its investment relationships</w:t>
      </w:r>
      <w:r>
        <w:rPr>
          <w:rFonts w:ascii="Arial" w:hAnsi="Arial" w:cs="Arial"/>
          <w:sz w:val="20"/>
          <w:szCs w:val="20"/>
        </w:rPr>
        <w:t xml:space="preserve"> and can not be mitigated through HRDD.</w:t>
      </w:r>
    </w:p>
    <w:p w14:paraId="374BA30C" w14:textId="3EDE317C" w:rsidR="00B579E5" w:rsidRPr="00CE7044" w:rsidRDefault="002F6DF4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Guidelines s</w:t>
      </w:r>
      <w:r w:rsidR="00B579E5" w:rsidRPr="00CE7044">
        <w:rPr>
          <w:rFonts w:ascii="Arial" w:hAnsi="Arial" w:cs="Arial"/>
          <w:sz w:val="20"/>
          <w:szCs w:val="20"/>
        </w:rPr>
        <w:t>hould specifically mention that companies involved in violations of IHL, IOL and human rights will be excluded</w:t>
      </w:r>
      <w:r>
        <w:rPr>
          <w:rFonts w:ascii="Arial" w:hAnsi="Arial" w:cs="Arial"/>
          <w:sz w:val="20"/>
          <w:szCs w:val="20"/>
        </w:rPr>
        <w:t xml:space="preserve"> from the portfolio.</w:t>
      </w:r>
    </w:p>
    <w:p w14:paraId="6BBAC6A5" w14:textId="77777777" w:rsidR="00B579E5" w:rsidRPr="00CE7044" w:rsidRDefault="00B579E5" w:rsidP="00B579E5">
      <w:pPr>
        <w:pStyle w:val="ListParagraph"/>
        <w:rPr>
          <w:rFonts w:ascii="Arial" w:hAnsi="Arial" w:cs="Arial"/>
          <w:sz w:val="20"/>
          <w:szCs w:val="20"/>
        </w:rPr>
      </w:pPr>
    </w:p>
    <w:p w14:paraId="77638620" w14:textId="77777777" w:rsidR="00B579E5" w:rsidRPr="00CE7044" w:rsidRDefault="00B579E5" w:rsidP="00B579E5">
      <w:pPr>
        <w:pStyle w:val="ListParagraph"/>
        <w:numPr>
          <w:ilvl w:val="0"/>
          <w:numId w:val="17"/>
        </w:numPr>
        <w:spacing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CE7044">
        <w:rPr>
          <w:rFonts w:ascii="Arial" w:hAnsi="Arial" w:cs="Arial"/>
          <w:b/>
          <w:sz w:val="20"/>
          <w:szCs w:val="20"/>
        </w:rPr>
        <w:t>The work of the Council on Ethics must be more clearly and systematically integrated with human rights due diligence processes put in place by NBIM.</w:t>
      </w:r>
    </w:p>
    <w:p w14:paraId="401D5FE7" w14:textId="38E0F160" w:rsidR="00B579E5" w:rsidRPr="00CE7044" w:rsidRDefault="00B579E5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 w:rsidRPr="00CE7044">
        <w:rPr>
          <w:rFonts w:ascii="Arial" w:hAnsi="Arial" w:cs="Arial"/>
          <w:sz w:val="20"/>
          <w:szCs w:val="20"/>
        </w:rPr>
        <w:t>NBIM</w:t>
      </w:r>
      <w:r w:rsidR="003F089B">
        <w:rPr>
          <w:rFonts w:ascii="Arial" w:hAnsi="Arial" w:cs="Arial"/>
          <w:sz w:val="20"/>
          <w:szCs w:val="20"/>
        </w:rPr>
        <w:t xml:space="preserve"> has a </w:t>
      </w:r>
      <w:r w:rsidRPr="00CE7044">
        <w:rPr>
          <w:rFonts w:ascii="Arial" w:hAnsi="Arial" w:cs="Arial"/>
          <w:sz w:val="20"/>
          <w:szCs w:val="20"/>
        </w:rPr>
        <w:t>distinct responsibility, under international standards, to carry out HRDD to discharge its Responsibility to Respect</w:t>
      </w:r>
      <w:r w:rsidR="00955AD5">
        <w:rPr>
          <w:rFonts w:ascii="Arial" w:hAnsi="Arial" w:cs="Arial"/>
          <w:sz w:val="20"/>
          <w:szCs w:val="20"/>
        </w:rPr>
        <w:t>.</w:t>
      </w:r>
      <w:r w:rsidRPr="00CE7044">
        <w:rPr>
          <w:rFonts w:ascii="Arial" w:hAnsi="Arial" w:cs="Arial"/>
          <w:sz w:val="20"/>
          <w:szCs w:val="20"/>
        </w:rPr>
        <w:t xml:space="preserve"> </w:t>
      </w:r>
      <w:r w:rsidR="00955AD5">
        <w:rPr>
          <w:rFonts w:ascii="Arial" w:hAnsi="Arial" w:cs="Arial"/>
          <w:sz w:val="20"/>
          <w:szCs w:val="20"/>
        </w:rPr>
        <w:t xml:space="preserve">Such </w:t>
      </w:r>
      <w:r w:rsidRPr="00CE7044">
        <w:rPr>
          <w:rFonts w:ascii="Arial" w:hAnsi="Arial" w:cs="Arial"/>
          <w:sz w:val="20"/>
          <w:szCs w:val="20"/>
        </w:rPr>
        <w:t>responsibility cannot be fully discharged by only delegating to the Council on Ethics the assessment of a limited number of cases deemed to be of particular concern.</w:t>
      </w:r>
    </w:p>
    <w:p w14:paraId="41F4F882" w14:textId="6EF97139" w:rsidR="00B579E5" w:rsidRPr="00CE7044" w:rsidRDefault="001C2CF4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d</w:t>
      </w:r>
      <w:r w:rsidR="00B579E5" w:rsidRPr="00CE7044">
        <w:rPr>
          <w:rFonts w:ascii="Arial" w:hAnsi="Arial" w:cs="Arial"/>
          <w:sz w:val="20"/>
          <w:szCs w:val="20"/>
        </w:rPr>
        <w:t xml:space="preserve">ialogue between NBIM and the Council should be systematised as an information-gathering process whereby all </w:t>
      </w:r>
      <w:r w:rsidR="00791853">
        <w:rPr>
          <w:rFonts w:ascii="Arial" w:hAnsi="Arial" w:cs="Arial"/>
          <w:sz w:val="20"/>
          <w:szCs w:val="20"/>
        </w:rPr>
        <w:t xml:space="preserve">investee </w:t>
      </w:r>
      <w:r w:rsidR="00B579E5" w:rsidRPr="00CE7044">
        <w:rPr>
          <w:rFonts w:ascii="Arial" w:hAnsi="Arial" w:cs="Arial"/>
          <w:sz w:val="20"/>
          <w:szCs w:val="20"/>
        </w:rPr>
        <w:t>companies operating in high-risk contexts are screened.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DEE7A07" w14:textId="77777777" w:rsidR="00B579E5" w:rsidRPr="00CE7044" w:rsidRDefault="00B579E5" w:rsidP="00B579E5">
      <w:pPr>
        <w:pStyle w:val="ListParagraph"/>
        <w:ind w:left="1068"/>
        <w:rPr>
          <w:rFonts w:ascii="Arial" w:hAnsi="Arial" w:cs="Arial"/>
          <w:sz w:val="20"/>
          <w:szCs w:val="20"/>
        </w:rPr>
      </w:pPr>
    </w:p>
    <w:p w14:paraId="70CC4079" w14:textId="57E1C7E7" w:rsidR="00B579E5" w:rsidRDefault="00B579E5" w:rsidP="00B579E5">
      <w:pPr>
        <w:pStyle w:val="ListParagraph"/>
        <w:numPr>
          <w:ilvl w:val="0"/>
          <w:numId w:val="19"/>
        </w:numPr>
        <w:spacing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CE7044">
        <w:rPr>
          <w:rFonts w:ascii="Arial" w:hAnsi="Arial" w:cs="Arial"/>
          <w:b/>
          <w:sz w:val="20"/>
          <w:szCs w:val="20"/>
        </w:rPr>
        <w:t>SPU needs to adopt remedial efforts</w:t>
      </w:r>
    </w:p>
    <w:p w14:paraId="0BBEDAAA" w14:textId="59E67D92" w:rsidR="00516C6A" w:rsidRPr="00516C6A" w:rsidRDefault="00516C6A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SPU has </w:t>
      </w:r>
      <w:r w:rsidRPr="00516C6A">
        <w:rPr>
          <w:rFonts w:ascii="Arial" w:hAnsi="Arial" w:cs="Arial"/>
          <w:sz w:val="20"/>
          <w:szCs w:val="20"/>
        </w:rPr>
        <w:t>contributed to breaches of human rights</w:t>
      </w:r>
      <w:r>
        <w:rPr>
          <w:rFonts w:ascii="Arial" w:hAnsi="Arial" w:cs="Arial"/>
          <w:sz w:val="20"/>
          <w:szCs w:val="20"/>
        </w:rPr>
        <w:t>, it</w:t>
      </w:r>
      <w:r w:rsidRPr="00516C6A">
        <w:rPr>
          <w:rFonts w:ascii="Arial" w:hAnsi="Arial" w:cs="Arial"/>
          <w:sz w:val="20"/>
          <w:szCs w:val="20"/>
        </w:rPr>
        <w:t xml:space="preserve"> ha</w:t>
      </w:r>
      <w:r>
        <w:rPr>
          <w:rFonts w:ascii="Arial" w:hAnsi="Arial" w:cs="Arial"/>
          <w:sz w:val="20"/>
          <w:szCs w:val="20"/>
        </w:rPr>
        <w:t>s</w:t>
      </w:r>
      <w:r w:rsidRPr="00516C6A">
        <w:rPr>
          <w:rFonts w:ascii="Arial" w:hAnsi="Arial" w:cs="Arial"/>
          <w:sz w:val="20"/>
          <w:szCs w:val="20"/>
        </w:rPr>
        <w:t xml:space="preserve"> a responsibility to p</w:t>
      </w:r>
      <w:r>
        <w:rPr>
          <w:rFonts w:ascii="Arial" w:hAnsi="Arial" w:cs="Arial"/>
          <w:sz w:val="20"/>
          <w:szCs w:val="20"/>
        </w:rPr>
        <w:t>rovide adequate forms of</w:t>
      </w:r>
      <w:r w:rsidRPr="00516C6A">
        <w:rPr>
          <w:rFonts w:ascii="Arial" w:hAnsi="Arial" w:cs="Arial"/>
          <w:sz w:val="20"/>
          <w:szCs w:val="20"/>
        </w:rPr>
        <w:t xml:space="preserve"> reparations to the victims</w:t>
      </w:r>
      <w:r>
        <w:rPr>
          <w:rFonts w:ascii="Arial" w:hAnsi="Arial" w:cs="Arial"/>
          <w:sz w:val="20"/>
          <w:szCs w:val="20"/>
        </w:rPr>
        <w:t>.</w:t>
      </w:r>
    </w:p>
    <w:p w14:paraId="66D24B61" w14:textId="77777777" w:rsidR="00B579E5" w:rsidRPr="00CE7044" w:rsidRDefault="00B579E5" w:rsidP="00B579E5">
      <w:pPr>
        <w:pStyle w:val="ListParagraph"/>
        <w:rPr>
          <w:rFonts w:ascii="Arial" w:hAnsi="Arial" w:cs="Arial"/>
          <w:sz w:val="20"/>
          <w:szCs w:val="20"/>
        </w:rPr>
      </w:pPr>
    </w:p>
    <w:p w14:paraId="1FE1FA99" w14:textId="4197BCD1" w:rsidR="00516C6A" w:rsidRPr="00516C6A" w:rsidRDefault="00B579E5" w:rsidP="00516C6A">
      <w:pPr>
        <w:pStyle w:val="ListParagraph"/>
        <w:numPr>
          <w:ilvl w:val="0"/>
          <w:numId w:val="19"/>
        </w:numPr>
        <w:spacing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CE7044">
        <w:rPr>
          <w:rFonts w:ascii="Arial" w:hAnsi="Arial" w:cs="Arial"/>
          <w:b/>
          <w:sz w:val="20"/>
          <w:szCs w:val="20"/>
        </w:rPr>
        <w:t>The Government of Norway need to adopt clearer due diligence requirement</w:t>
      </w:r>
      <w:r w:rsidR="004727E7">
        <w:rPr>
          <w:rFonts w:ascii="Arial" w:hAnsi="Arial" w:cs="Arial"/>
          <w:b/>
          <w:sz w:val="20"/>
          <w:szCs w:val="20"/>
        </w:rPr>
        <w:t>s</w:t>
      </w:r>
    </w:p>
    <w:p w14:paraId="5CA224EA" w14:textId="77777777" w:rsidR="00516C6A" w:rsidRDefault="00516C6A" w:rsidP="00BF7DE8">
      <w:pPr>
        <w:pStyle w:val="ListParagraph"/>
        <w:numPr>
          <w:ilvl w:val="1"/>
          <w:numId w:val="21"/>
        </w:numPr>
        <w:spacing w:after="160" w:line="259" w:lineRule="auto"/>
        <w:ind w:left="993" w:hanging="284"/>
        <w:rPr>
          <w:rFonts w:ascii="Arial" w:hAnsi="Arial" w:cs="Arial"/>
          <w:sz w:val="20"/>
          <w:szCs w:val="20"/>
        </w:rPr>
      </w:pPr>
      <w:r w:rsidRPr="00AD0A40">
        <w:rPr>
          <w:rFonts w:ascii="Arial" w:hAnsi="Arial" w:cs="Arial"/>
          <w:sz w:val="20"/>
          <w:szCs w:val="20"/>
        </w:rPr>
        <w:t xml:space="preserve">the Government must, expeditiously, adopt regulations </w:t>
      </w:r>
      <w:r>
        <w:rPr>
          <w:rFonts w:ascii="Arial" w:hAnsi="Arial" w:cs="Arial"/>
          <w:sz w:val="20"/>
          <w:szCs w:val="20"/>
        </w:rPr>
        <w:t xml:space="preserve">more clearly </w:t>
      </w:r>
      <w:r w:rsidRPr="00AD0A40">
        <w:rPr>
          <w:rFonts w:ascii="Arial" w:hAnsi="Arial" w:cs="Arial"/>
          <w:sz w:val="20"/>
          <w:szCs w:val="20"/>
        </w:rPr>
        <w:t>outlining SPU’s HRDD obligations, and establishing expectations for remedial processes in situations where SPU has been slow to act and therefore contributed to human rights abuses</w:t>
      </w:r>
      <w:r w:rsidR="0015029D">
        <w:rPr>
          <w:rFonts w:ascii="Arial" w:hAnsi="Arial" w:cs="Arial"/>
          <w:sz w:val="20"/>
          <w:szCs w:val="20"/>
        </w:rPr>
        <w:t>.</w:t>
      </w:r>
    </w:p>
    <w:p w14:paraId="55160CD1" w14:textId="77777777" w:rsidR="00250E7D" w:rsidRDefault="00250E7D" w:rsidP="00250E7D">
      <w:pPr>
        <w:spacing w:after="160" w:line="259" w:lineRule="auto"/>
        <w:rPr>
          <w:rFonts w:cs="Arial"/>
          <w:szCs w:val="20"/>
        </w:rPr>
      </w:pPr>
    </w:p>
    <w:p w14:paraId="157D90F1" w14:textId="77777777" w:rsidR="00250E7D" w:rsidRDefault="00250E7D" w:rsidP="00250E7D">
      <w:pPr>
        <w:spacing w:after="160" w:line="259" w:lineRule="auto"/>
        <w:rPr>
          <w:rFonts w:cs="Arial"/>
          <w:szCs w:val="20"/>
        </w:rPr>
      </w:pPr>
    </w:p>
    <w:p w14:paraId="3F9305BF" w14:textId="77777777" w:rsidR="00250E7D" w:rsidRDefault="00250E7D" w:rsidP="00250E7D">
      <w:pPr>
        <w:spacing w:after="160" w:line="259" w:lineRule="auto"/>
        <w:rPr>
          <w:rFonts w:cs="Arial"/>
          <w:szCs w:val="20"/>
        </w:rPr>
      </w:pPr>
    </w:p>
    <w:p w14:paraId="22D6E71C" w14:textId="53B1F1B4" w:rsidR="00250E7D" w:rsidRDefault="00250E7D" w:rsidP="00250E7D">
      <w:pPr>
        <w:spacing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t xml:space="preserve">The full report in pdf format can be downloaded at </w:t>
      </w:r>
      <w:hyperlink r:id="rId11" w:history="1">
        <w:r w:rsidRPr="004A2A4B">
          <w:rPr>
            <w:rStyle w:val="Hyperlink"/>
            <w:rFonts w:cs="Arial"/>
            <w:szCs w:val="20"/>
          </w:rPr>
          <w:t>https://www.folkehjelp.no/Nyheter/Nyhetsarkiv/2019/Bryter-oljefondet-menneskerettighetene-naar-de-investerer-i-okkuperte-palestinske-omraader</w:t>
        </w:r>
      </w:hyperlink>
    </w:p>
    <w:p w14:paraId="50844B58" w14:textId="77777777" w:rsidR="00250E7D" w:rsidRDefault="00250E7D" w:rsidP="00250E7D">
      <w:pPr>
        <w:spacing w:after="160" w:line="259" w:lineRule="auto"/>
        <w:jc w:val="left"/>
        <w:rPr>
          <w:rFonts w:cs="Arial"/>
          <w:szCs w:val="20"/>
        </w:rPr>
      </w:pPr>
      <w:bookmarkStart w:id="0" w:name="_GoBack"/>
      <w:bookmarkEnd w:id="0"/>
    </w:p>
    <w:p w14:paraId="78E3C2C2" w14:textId="191DAF33" w:rsidR="00250E7D" w:rsidRPr="00250E7D" w:rsidRDefault="00250E7D" w:rsidP="00250E7D">
      <w:pPr>
        <w:spacing w:after="160" w:line="259" w:lineRule="auto"/>
        <w:rPr>
          <w:rFonts w:cs="Arial"/>
          <w:szCs w:val="20"/>
        </w:rPr>
        <w:sectPr w:rsidR="00250E7D" w:rsidRPr="00250E7D" w:rsidSect="003A1ABA">
          <w:headerReference w:type="even" r:id="rId12"/>
          <w:footerReference w:type="even" r:id="rId13"/>
          <w:footerReference w:type="default" r:id="rId14"/>
          <w:endnotePr>
            <w:numFmt w:val="decimal"/>
          </w:endnotePr>
          <w:pgSz w:w="11906" w:h="16838"/>
          <w:pgMar w:top="284" w:right="1416" w:bottom="1440" w:left="993" w:header="708" w:footer="397" w:gutter="0"/>
          <w:cols w:space="708"/>
          <w:docGrid w:linePitch="360"/>
        </w:sectPr>
      </w:pPr>
    </w:p>
    <w:p w14:paraId="5BDDD35B" w14:textId="379D83E8" w:rsidR="004727E7" w:rsidRPr="004727E7" w:rsidRDefault="004727E7" w:rsidP="004727E7">
      <w:pPr>
        <w:tabs>
          <w:tab w:val="left" w:pos="4618"/>
        </w:tabs>
        <w:rPr>
          <w:rFonts w:cs="Arial"/>
          <w:szCs w:val="20"/>
        </w:rPr>
      </w:pPr>
    </w:p>
    <w:sectPr w:rsidR="004727E7" w:rsidRPr="004727E7" w:rsidSect="00CE7E60">
      <w:headerReference w:type="even" r:id="rId15"/>
      <w:headerReference w:type="default" r:id="rId16"/>
      <w:footerReference w:type="even" r:id="rId17"/>
      <w:footerReference w:type="default" r:id="rId18"/>
      <w:endnotePr>
        <w:numFmt w:val="decimal"/>
      </w:endnotePr>
      <w:pgSz w:w="11906" w:h="16838"/>
      <w:pgMar w:top="284" w:right="1418" w:bottom="1440" w:left="0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8EB1F" w14:textId="77777777" w:rsidR="00766571" w:rsidRDefault="00766571" w:rsidP="00336F0A">
      <w:r>
        <w:separator/>
      </w:r>
    </w:p>
  </w:endnote>
  <w:endnote w:type="continuationSeparator" w:id="0">
    <w:p w14:paraId="3342CE1E" w14:textId="77777777" w:rsidR="00766571" w:rsidRDefault="00766571" w:rsidP="00336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271164733"/>
      <w:docPartObj>
        <w:docPartGallery w:val="Page Numbers (Bottom of Page)"/>
        <w:docPartUnique/>
      </w:docPartObj>
    </w:sdtPr>
    <w:sdtEndPr>
      <w:rPr>
        <w:noProof/>
        <w:color w:val="007A87"/>
      </w:rPr>
    </w:sdtEndPr>
    <w:sdtContent>
      <w:p w14:paraId="2BF0A245" w14:textId="77777777" w:rsidR="00A608B2" w:rsidRPr="0057271A" w:rsidRDefault="00A608B2">
        <w:pPr>
          <w:pStyle w:val="Footer"/>
          <w:rPr>
            <w:b/>
            <w:color w:val="007A87"/>
          </w:rPr>
        </w:pPr>
        <w:r w:rsidRPr="0057271A">
          <w:rPr>
            <w:b/>
            <w:color w:val="007A87"/>
          </w:rPr>
          <w:fldChar w:fldCharType="begin"/>
        </w:r>
        <w:r w:rsidRPr="0057271A">
          <w:rPr>
            <w:b/>
            <w:color w:val="007A87"/>
          </w:rPr>
          <w:instrText xml:space="preserve"> PAGE   \* MERGEFORMAT </w:instrText>
        </w:r>
        <w:r w:rsidRPr="0057271A">
          <w:rPr>
            <w:b/>
            <w:color w:val="007A87"/>
          </w:rPr>
          <w:fldChar w:fldCharType="separate"/>
        </w:r>
        <w:r w:rsidR="005C4C77">
          <w:rPr>
            <w:b/>
            <w:noProof/>
            <w:color w:val="007A87"/>
          </w:rPr>
          <w:t>2</w:t>
        </w:r>
        <w:r w:rsidRPr="0057271A">
          <w:rPr>
            <w:b/>
            <w:noProof/>
            <w:color w:val="007A87"/>
          </w:rPr>
          <w:fldChar w:fldCharType="end"/>
        </w:r>
      </w:p>
    </w:sdtContent>
  </w:sdt>
  <w:p w14:paraId="498E0D14" w14:textId="77777777" w:rsidR="00A608B2" w:rsidRDefault="00A608B2" w:rsidP="0057271A">
    <w:pPr>
      <w:pStyle w:val="Footer"/>
      <w:tabs>
        <w:tab w:val="clear" w:pos="4513"/>
        <w:tab w:val="clear" w:pos="9026"/>
        <w:tab w:val="left" w:pos="1039"/>
      </w:tabs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4834357"/>
      <w:docPartObj>
        <w:docPartGallery w:val="Page Numbers (Bottom of Page)"/>
        <w:docPartUnique/>
      </w:docPartObj>
    </w:sdtPr>
    <w:sdtEndPr>
      <w:rPr>
        <w:b/>
        <w:noProof/>
        <w:color w:val="007A87"/>
      </w:rPr>
    </w:sdtEndPr>
    <w:sdtContent>
      <w:p w14:paraId="1D7A63DD" w14:textId="77777777" w:rsidR="00A608B2" w:rsidRPr="00315C6B" w:rsidRDefault="00A608B2" w:rsidP="000279C9">
        <w:pPr>
          <w:pStyle w:val="Footer"/>
          <w:jc w:val="right"/>
          <w:rPr>
            <w:b/>
            <w:color w:val="007A87"/>
          </w:rPr>
        </w:pPr>
        <w:r w:rsidRPr="00315C6B">
          <w:rPr>
            <w:b/>
            <w:color w:val="007A87"/>
          </w:rPr>
          <w:fldChar w:fldCharType="begin"/>
        </w:r>
        <w:r w:rsidRPr="00315C6B">
          <w:rPr>
            <w:b/>
            <w:color w:val="007A87"/>
          </w:rPr>
          <w:instrText xml:space="preserve"> PAGE   \* MERGEFORMAT </w:instrText>
        </w:r>
        <w:r w:rsidRPr="00315C6B">
          <w:rPr>
            <w:b/>
            <w:color w:val="007A87"/>
          </w:rPr>
          <w:fldChar w:fldCharType="separate"/>
        </w:r>
        <w:r w:rsidR="005C4C77">
          <w:rPr>
            <w:b/>
            <w:noProof/>
            <w:color w:val="007A87"/>
          </w:rPr>
          <w:t>1</w:t>
        </w:r>
        <w:r w:rsidRPr="00315C6B">
          <w:rPr>
            <w:b/>
            <w:noProof/>
            <w:color w:val="007A87"/>
          </w:rPr>
          <w:fldChar w:fldCharType="end"/>
        </w:r>
      </w:p>
    </w:sdtContent>
  </w:sdt>
  <w:p w14:paraId="7B55C802" w14:textId="77777777" w:rsidR="00A608B2" w:rsidRDefault="00A608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191BE" w14:textId="77777777" w:rsidR="00A608B2" w:rsidRPr="0057271A" w:rsidRDefault="00A608B2">
    <w:pPr>
      <w:pStyle w:val="Footer"/>
      <w:rPr>
        <w:b/>
        <w:color w:val="007A87"/>
      </w:rPr>
    </w:pPr>
  </w:p>
  <w:p w14:paraId="1ED1112C" w14:textId="77777777" w:rsidR="00A608B2" w:rsidRDefault="00A608B2" w:rsidP="0057271A">
    <w:pPr>
      <w:pStyle w:val="Footer"/>
      <w:tabs>
        <w:tab w:val="clear" w:pos="4513"/>
        <w:tab w:val="clear" w:pos="9026"/>
        <w:tab w:val="left" w:pos="1039"/>
      </w:tabs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02724" w14:textId="77777777" w:rsidR="00A608B2" w:rsidRPr="00315C6B" w:rsidRDefault="00A608B2">
    <w:pPr>
      <w:pStyle w:val="Footer"/>
      <w:rPr>
        <w:b/>
        <w:color w:val="007A87"/>
      </w:rPr>
    </w:pPr>
  </w:p>
  <w:p w14:paraId="712A41C1" w14:textId="77777777" w:rsidR="00A608B2" w:rsidRDefault="00A608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FCC79" w14:textId="77777777" w:rsidR="00766571" w:rsidRDefault="00766571" w:rsidP="00336F0A">
      <w:r>
        <w:separator/>
      </w:r>
    </w:p>
  </w:footnote>
  <w:footnote w:type="continuationSeparator" w:id="0">
    <w:p w14:paraId="77E3F09C" w14:textId="77777777" w:rsidR="00766571" w:rsidRDefault="00766571" w:rsidP="00336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EE5B8" w14:textId="77777777" w:rsidR="00A608B2" w:rsidRDefault="00A608B2">
    <w:pPr>
      <w:pStyle w:val="Header"/>
    </w:pPr>
    <w:r>
      <w:rPr>
        <w:noProof/>
        <w:lang w:val="nb-NO" w:eastAsia="nb-N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C108F9A" wp14:editId="5261EA73">
              <wp:simplePos x="0" y="0"/>
              <wp:positionH relativeFrom="column">
                <wp:posOffset>-652780</wp:posOffset>
              </wp:positionH>
              <wp:positionV relativeFrom="paragraph">
                <wp:posOffset>-449580</wp:posOffset>
              </wp:positionV>
              <wp:extent cx="7646035" cy="453542"/>
              <wp:effectExtent l="0" t="0" r="12065" b="22860"/>
              <wp:wrapNone/>
              <wp:docPr id="19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46035" cy="453542"/>
                      </a:xfrm>
                      <a:prstGeom prst="rect">
                        <a:avLst/>
                      </a:prstGeom>
                      <a:solidFill>
                        <a:srgbClr val="007A87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462955" id="Rectangle 4" o:spid="_x0000_s1026" style="position:absolute;margin-left:-51.4pt;margin-top:-35.4pt;width:602.05pt;height:35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" fillcolor="#007a87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40213" w14:textId="77777777" w:rsidR="00A608B2" w:rsidRDefault="00A608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B4135" w14:textId="77777777" w:rsidR="00A608B2" w:rsidRDefault="00A608B2" w:rsidP="00336F0A">
    <w:pPr>
      <w:pStyle w:val="Header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C10C5"/>
    <w:multiLevelType w:val="hybridMultilevel"/>
    <w:tmpl w:val="0688D03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D51E5"/>
    <w:multiLevelType w:val="hybridMultilevel"/>
    <w:tmpl w:val="F6E8AF08"/>
    <w:lvl w:ilvl="0" w:tplc="A7F259D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D5EC583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05375"/>
    <w:multiLevelType w:val="hybridMultilevel"/>
    <w:tmpl w:val="0CF4485C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BAB30B9"/>
    <w:multiLevelType w:val="hybridMultilevel"/>
    <w:tmpl w:val="E84E83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5228E"/>
    <w:multiLevelType w:val="hybridMultilevel"/>
    <w:tmpl w:val="72FA45E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E6211"/>
    <w:multiLevelType w:val="hybridMultilevel"/>
    <w:tmpl w:val="1EB0B4E2"/>
    <w:lvl w:ilvl="0" w:tplc="F68858A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9E034E"/>
    <w:multiLevelType w:val="hybridMultilevel"/>
    <w:tmpl w:val="C96CA6F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23393"/>
    <w:multiLevelType w:val="hybridMultilevel"/>
    <w:tmpl w:val="82AA2904"/>
    <w:lvl w:ilvl="0" w:tplc="A7F259D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CA5FE8"/>
    <w:multiLevelType w:val="hybridMultilevel"/>
    <w:tmpl w:val="12CA3820"/>
    <w:lvl w:ilvl="0" w:tplc="D5EC583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BF505D5"/>
    <w:multiLevelType w:val="hybridMultilevel"/>
    <w:tmpl w:val="511AE8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3370D"/>
    <w:multiLevelType w:val="hybridMultilevel"/>
    <w:tmpl w:val="415841DA"/>
    <w:lvl w:ilvl="0" w:tplc="D5EC583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25B50BF"/>
    <w:multiLevelType w:val="multilevel"/>
    <w:tmpl w:val="028897F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i w:val="0"/>
        <w:color w:val="7030A0"/>
        <w:sz w:val="22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i w:val="0"/>
        <w:color w:val="7030A0"/>
        <w:sz w:val="22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7030A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7030A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7030A0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7030A0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7030A0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7030A0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7030A0"/>
        <w:sz w:val="22"/>
      </w:rPr>
    </w:lvl>
  </w:abstractNum>
  <w:abstractNum w:abstractNumId="12" w15:restartNumberingAfterBreak="0">
    <w:nsid w:val="46C2370B"/>
    <w:multiLevelType w:val="hybridMultilevel"/>
    <w:tmpl w:val="CC68426A"/>
    <w:lvl w:ilvl="0" w:tplc="041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AC1177E"/>
    <w:multiLevelType w:val="hybridMultilevel"/>
    <w:tmpl w:val="1346A1EC"/>
    <w:lvl w:ilvl="0" w:tplc="041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D2D7DF2"/>
    <w:multiLevelType w:val="hybridMultilevel"/>
    <w:tmpl w:val="13C0F628"/>
    <w:lvl w:ilvl="0" w:tplc="D5EC583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0B03D09"/>
    <w:multiLevelType w:val="hybridMultilevel"/>
    <w:tmpl w:val="F5848666"/>
    <w:lvl w:ilvl="0" w:tplc="3CE4646C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58DB1FA2"/>
    <w:multiLevelType w:val="hybridMultilevel"/>
    <w:tmpl w:val="7782295A"/>
    <w:lvl w:ilvl="0" w:tplc="041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F725C14"/>
    <w:multiLevelType w:val="hybridMultilevel"/>
    <w:tmpl w:val="7ED090D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9923B7"/>
    <w:multiLevelType w:val="hybridMultilevel"/>
    <w:tmpl w:val="4928F650"/>
    <w:lvl w:ilvl="0" w:tplc="A7F259D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283162"/>
    <w:multiLevelType w:val="hybridMultilevel"/>
    <w:tmpl w:val="199E377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A421A8"/>
    <w:multiLevelType w:val="hybridMultilevel"/>
    <w:tmpl w:val="E7E85B9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1D1721"/>
    <w:multiLevelType w:val="hybridMultilevel"/>
    <w:tmpl w:val="FAC4EFE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561D64"/>
    <w:multiLevelType w:val="hybridMultilevel"/>
    <w:tmpl w:val="6E66AEAA"/>
    <w:lvl w:ilvl="0" w:tplc="0A8AA4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797B49"/>
    <w:multiLevelType w:val="hybridMultilevel"/>
    <w:tmpl w:val="70DE7148"/>
    <w:lvl w:ilvl="0" w:tplc="041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22"/>
  </w:num>
  <w:num w:numId="4">
    <w:abstractNumId w:val="11"/>
  </w:num>
  <w:num w:numId="5">
    <w:abstractNumId w:val="9"/>
  </w:num>
  <w:num w:numId="6">
    <w:abstractNumId w:val="15"/>
  </w:num>
  <w:num w:numId="7">
    <w:abstractNumId w:val="2"/>
  </w:num>
  <w:num w:numId="8">
    <w:abstractNumId w:val="23"/>
  </w:num>
  <w:num w:numId="9">
    <w:abstractNumId w:val="13"/>
  </w:num>
  <w:num w:numId="10">
    <w:abstractNumId w:val="12"/>
  </w:num>
  <w:num w:numId="11">
    <w:abstractNumId w:val="7"/>
  </w:num>
  <w:num w:numId="12">
    <w:abstractNumId w:val="0"/>
  </w:num>
  <w:num w:numId="13">
    <w:abstractNumId w:val="17"/>
  </w:num>
  <w:num w:numId="14">
    <w:abstractNumId w:val="19"/>
  </w:num>
  <w:num w:numId="15">
    <w:abstractNumId w:val="6"/>
  </w:num>
  <w:num w:numId="16">
    <w:abstractNumId w:val="21"/>
  </w:num>
  <w:num w:numId="17">
    <w:abstractNumId w:val="4"/>
  </w:num>
  <w:num w:numId="18">
    <w:abstractNumId w:val="16"/>
  </w:num>
  <w:num w:numId="19">
    <w:abstractNumId w:val="3"/>
  </w:num>
  <w:num w:numId="20">
    <w:abstractNumId w:val="20"/>
  </w:num>
  <w:num w:numId="21">
    <w:abstractNumId w:val="1"/>
  </w:num>
  <w:num w:numId="22">
    <w:abstractNumId w:val="10"/>
  </w:num>
  <w:num w:numId="23">
    <w:abstractNumId w:val="8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283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8CB"/>
    <w:rsid w:val="000017B7"/>
    <w:rsid w:val="00014E07"/>
    <w:rsid w:val="00017294"/>
    <w:rsid w:val="000215C0"/>
    <w:rsid w:val="00022B8D"/>
    <w:rsid w:val="00023C14"/>
    <w:rsid w:val="000279C9"/>
    <w:rsid w:val="0003501F"/>
    <w:rsid w:val="00050994"/>
    <w:rsid w:val="000509FC"/>
    <w:rsid w:val="000565FA"/>
    <w:rsid w:val="00062746"/>
    <w:rsid w:val="00084A73"/>
    <w:rsid w:val="000922B0"/>
    <w:rsid w:val="000932AD"/>
    <w:rsid w:val="000950FD"/>
    <w:rsid w:val="00095CC2"/>
    <w:rsid w:val="000A0E23"/>
    <w:rsid w:val="000A46B2"/>
    <w:rsid w:val="000A48C9"/>
    <w:rsid w:val="000A4B9E"/>
    <w:rsid w:val="000B577A"/>
    <w:rsid w:val="000C074E"/>
    <w:rsid w:val="000C4E0C"/>
    <w:rsid w:val="000D1619"/>
    <w:rsid w:val="000D6CF5"/>
    <w:rsid w:val="000E09A7"/>
    <w:rsid w:val="000E2291"/>
    <w:rsid w:val="000E71E7"/>
    <w:rsid w:val="000F18AC"/>
    <w:rsid w:val="000F5F1B"/>
    <w:rsid w:val="0010311E"/>
    <w:rsid w:val="00111C4E"/>
    <w:rsid w:val="00112688"/>
    <w:rsid w:val="00120E38"/>
    <w:rsid w:val="00147F0E"/>
    <w:rsid w:val="0015029D"/>
    <w:rsid w:val="00150DCC"/>
    <w:rsid w:val="00161FD8"/>
    <w:rsid w:val="0019223C"/>
    <w:rsid w:val="00195000"/>
    <w:rsid w:val="00195A6E"/>
    <w:rsid w:val="001972AC"/>
    <w:rsid w:val="001A3326"/>
    <w:rsid w:val="001A4273"/>
    <w:rsid w:val="001A42AB"/>
    <w:rsid w:val="001A4B89"/>
    <w:rsid w:val="001B59D7"/>
    <w:rsid w:val="001C2CF4"/>
    <w:rsid w:val="001C3626"/>
    <w:rsid w:val="001D18AC"/>
    <w:rsid w:val="001D2475"/>
    <w:rsid w:val="001D24D7"/>
    <w:rsid w:val="001E32ED"/>
    <w:rsid w:val="001E4F78"/>
    <w:rsid w:val="001E5D33"/>
    <w:rsid w:val="001F5B4B"/>
    <w:rsid w:val="001F6AC2"/>
    <w:rsid w:val="00203F53"/>
    <w:rsid w:val="00205230"/>
    <w:rsid w:val="002066F1"/>
    <w:rsid w:val="0021146E"/>
    <w:rsid w:val="002231F0"/>
    <w:rsid w:val="00226213"/>
    <w:rsid w:val="00230958"/>
    <w:rsid w:val="00235B7D"/>
    <w:rsid w:val="00242181"/>
    <w:rsid w:val="00242BFA"/>
    <w:rsid w:val="0024527B"/>
    <w:rsid w:val="00250E7D"/>
    <w:rsid w:val="0025540C"/>
    <w:rsid w:val="0026076C"/>
    <w:rsid w:val="00260DA7"/>
    <w:rsid w:val="0026719F"/>
    <w:rsid w:val="00272875"/>
    <w:rsid w:val="00273419"/>
    <w:rsid w:val="00274BE6"/>
    <w:rsid w:val="00283B43"/>
    <w:rsid w:val="00283BD2"/>
    <w:rsid w:val="0029277F"/>
    <w:rsid w:val="00292F91"/>
    <w:rsid w:val="002B2DDC"/>
    <w:rsid w:val="002C7ECD"/>
    <w:rsid w:val="002D0EF9"/>
    <w:rsid w:val="002D1908"/>
    <w:rsid w:val="002D7F02"/>
    <w:rsid w:val="002E2864"/>
    <w:rsid w:val="002E4576"/>
    <w:rsid w:val="002F6DF4"/>
    <w:rsid w:val="002F7118"/>
    <w:rsid w:val="00307ACA"/>
    <w:rsid w:val="00307E41"/>
    <w:rsid w:val="00315C6B"/>
    <w:rsid w:val="003235F1"/>
    <w:rsid w:val="00332835"/>
    <w:rsid w:val="00336F0A"/>
    <w:rsid w:val="003419DF"/>
    <w:rsid w:val="003472CA"/>
    <w:rsid w:val="00347441"/>
    <w:rsid w:val="00355E62"/>
    <w:rsid w:val="00356AAE"/>
    <w:rsid w:val="0036532F"/>
    <w:rsid w:val="0036742A"/>
    <w:rsid w:val="00373437"/>
    <w:rsid w:val="00377521"/>
    <w:rsid w:val="00380D3E"/>
    <w:rsid w:val="0039020A"/>
    <w:rsid w:val="00394053"/>
    <w:rsid w:val="003946FA"/>
    <w:rsid w:val="00397DA6"/>
    <w:rsid w:val="003A1ABA"/>
    <w:rsid w:val="003A2DA5"/>
    <w:rsid w:val="003A34A2"/>
    <w:rsid w:val="003A7444"/>
    <w:rsid w:val="003A7B87"/>
    <w:rsid w:val="003C0C5B"/>
    <w:rsid w:val="003D16A9"/>
    <w:rsid w:val="003D26E4"/>
    <w:rsid w:val="003D7F7B"/>
    <w:rsid w:val="003F089B"/>
    <w:rsid w:val="003F2FFF"/>
    <w:rsid w:val="00404ACE"/>
    <w:rsid w:val="00405CC3"/>
    <w:rsid w:val="00407C34"/>
    <w:rsid w:val="0041142A"/>
    <w:rsid w:val="004120DC"/>
    <w:rsid w:val="00414A8E"/>
    <w:rsid w:val="0042115A"/>
    <w:rsid w:val="00430097"/>
    <w:rsid w:val="00446E33"/>
    <w:rsid w:val="00447D2C"/>
    <w:rsid w:val="00456699"/>
    <w:rsid w:val="004727E7"/>
    <w:rsid w:val="004804D9"/>
    <w:rsid w:val="004835A0"/>
    <w:rsid w:val="004A2B77"/>
    <w:rsid w:val="004A4C2E"/>
    <w:rsid w:val="004A7000"/>
    <w:rsid w:val="004D1E10"/>
    <w:rsid w:val="004D2AAC"/>
    <w:rsid w:val="004D7D52"/>
    <w:rsid w:val="004D7E89"/>
    <w:rsid w:val="004E2A22"/>
    <w:rsid w:val="004F10B2"/>
    <w:rsid w:val="004F61DC"/>
    <w:rsid w:val="004F6C7D"/>
    <w:rsid w:val="004F7B4E"/>
    <w:rsid w:val="0050192D"/>
    <w:rsid w:val="00503392"/>
    <w:rsid w:val="00504613"/>
    <w:rsid w:val="005077B7"/>
    <w:rsid w:val="00516C6A"/>
    <w:rsid w:val="0051723B"/>
    <w:rsid w:val="00520EF6"/>
    <w:rsid w:val="00522F78"/>
    <w:rsid w:val="0053104D"/>
    <w:rsid w:val="0053275E"/>
    <w:rsid w:val="00534251"/>
    <w:rsid w:val="00545FCD"/>
    <w:rsid w:val="00551874"/>
    <w:rsid w:val="00552FD4"/>
    <w:rsid w:val="005570F5"/>
    <w:rsid w:val="00560062"/>
    <w:rsid w:val="0056006D"/>
    <w:rsid w:val="00564757"/>
    <w:rsid w:val="00567C27"/>
    <w:rsid w:val="00570C35"/>
    <w:rsid w:val="0057271A"/>
    <w:rsid w:val="00576101"/>
    <w:rsid w:val="005766EF"/>
    <w:rsid w:val="00577D10"/>
    <w:rsid w:val="0058189F"/>
    <w:rsid w:val="005843DF"/>
    <w:rsid w:val="00585864"/>
    <w:rsid w:val="00586A55"/>
    <w:rsid w:val="00597F8C"/>
    <w:rsid w:val="005A3D84"/>
    <w:rsid w:val="005A3E53"/>
    <w:rsid w:val="005A4763"/>
    <w:rsid w:val="005A563A"/>
    <w:rsid w:val="005A7D69"/>
    <w:rsid w:val="005C1655"/>
    <w:rsid w:val="005C2BA7"/>
    <w:rsid w:val="005C4319"/>
    <w:rsid w:val="005C4C77"/>
    <w:rsid w:val="005E664A"/>
    <w:rsid w:val="005F125D"/>
    <w:rsid w:val="005F773F"/>
    <w:rsid w:val="00603A48"/>
    <w:rsid w:val="00605BAC"/>
    <w:rsid w:val="00626C9C"/>
    <w:rsid w:val="0063711F"/>
    <w:rsid w:val="0064615D"/>
    <w:rsid w:val="00653B54"/>
    <w:rsid w:val="00653F84"/>
    <w:rsid w:val="00660F51"/>
    <w:rsid w:val="006752D5"/>
    <w:rsid w:val="006770EE"/>
    <w:rsid w:val="00687F12"/>
    <w:rsid w:val="00697104"/>
    <w:rsid w:val="006A56C1"/>
    <w:rsid w:val="006A6021"/>
    <w:rsid w:val="006A6F4A"/>
    <w:rsid w:val="006B1A5B"/>
    <w:rsid w:val="006B5A68"/>
    <w:rsid w:val="006D7D6B"/>
    <w:rsid w:val="006E5301"/>
    <w:rsid w:val="006E6B4A"/>
    <w:rsid w:val="006F0FBD"/>
    <w:rsid w:val="006F4E58"/>
    <w:rsid w:val="006F6AC5"/>
    <w:rsid w:val="006F749D"/>
    <w:rsid w:val="007104F3"/>
    <w:rsid w:val="007169F7"/>
    <w:rsid w:val="00716AA9"/>
    <w:rsid w:val="00724056"/>
    <w:rsid w:val="00724E87"/>
    <w:rsid w:val="007354D4"/>
    <w:rsid w:val="00736BE0"/>
    <w:rsid w:val="00754482"/>
    <w:rsid w:val="00766571"/>
    <w:rsid w:val="0077045B"/>
    <w:rsid w:val="00770EF9"/>
    <w:rsid w:val="0077190A"/>
    <w:rsid w:val="00784067"/>
    <w:rsid w:val="00791853"/>
    <w:rsid w:val="007A3AF3"/>
    <w:rsid w:val="007B7831"/>
    <w:rsid w:val="007C37EE"/>
    <w:rsid w:val="007E3D48"/>
    <w:rsid w:val="007E63F9"/>
    <w:rsid w:val="007F25CF"/>
    <w:rsid w:val="007F265B"/>
    <w:rsid w:val="007F7B6B"/>
    <w:rsid w:val="00804956"/>
    <w:rsid w:val="008136BA"/>
    <w:rsid w:val="00813EC8"/>
    <w:rsid w:val="008144F6"/>
    <w:rsid w:val="008155FF"/>
    <w:rsid w:val="008241DF"/>
    <w:rsid w:val="00841113"/>
    <w:rsid w:val="00845533"/>
    <w:rsid w:val="00856334"/>
    <w:rsid w:val="00860047"/>
    <w:rsid w:val="0087003D"/>
    <w:rsid w:val="00874D81"/>
    <w:rsid w:val="00880413"/>
    <w:rsid w:val="00882943"/>
    <w:rsid w:val="008867D6"/>
    <w:rsid w:val="008903C3"/>
    <w:rsid w:val="008A00A9"/>
    <w:rsid w:val="008A5238"/>
    <w:rsid w:val="008A66BE"/>
    <w:rsid w:val="008A7D5F"/>
    <w:rsid w:val="008B1A45"/>
    <w:rsid w:val="008B2A6D"/>
    <w:rsid w:val="008B4488"/>
    <w:rsid w:val="008B7C74"/>
    <w:rsid w:val="008C51C9"/>
    <w:rsid w:val="008C7E6A"/>
    <w:rsid w:val="008D59F3"/>
    <w:rsid w:val="008E129F"/>
    <w:rsid w:val="008E7523"/>
    <w:rsid w:val="008F454B"/>
    <w:rsid w:val="008F6DC2"/>
    <w:rsid w:val="008F7C39"/>
    <w:rsid w:val="00906D11"/>
    <w:rsid w:val="009103CE"/>
    <w:rsid w:val="009124BF"/>
    <w:rsid w:val="0091256A"/>
    <w:rsid w:val="0091470A"/>
    <w:rsid w:val="00916DF5"/>
    <w:rsid w:val="009212EC"/>
    <w:rsid w:val="0092390C"/>
    <w:rsid w:val="009279FD"/>
    <w:rsid w:val="00953F19"/>
    <w:rsid w:val="00955AD5"/>
    <w:rsid w:val="00970267"/>
    <w:rsid w:val="00970725"/>
    <w:rsid w:val="00983777"/>
    <w:rsid w:val="00985D51"/>
    <w:rsid w:val="009868F8"/>
    <w:rsid w:val="00992C03"/>
    <w:rsid w:val="00997264"/>
    <w:rsid w:val="009A0F57"/>
    <w:rsid w:val="009A4B39"/>
    <w:rsid w:val="009A6C60"/>
    <w:rsid w:val="009B7A24"/>
    <w:rsid w:val="009C09FB"/>
    <w:rsid w:val="009C18E2"/>
    <w:rsid w:val="009C29C7"/>
    <w:rsid w:val="009C6990"/>
    <w:rsid w:val="009D155D"/>
    <w:rsid w:val="009D467E"/>
    <w:rsid w:val="009D6981"/>
    <w:rsid w:val="009E1893"/>
    <w:rsid w:val="009E2586"/>
    <w:rsid w:val="009E37FA"/>
    <w:rsid w:val="009E745A"/>
    <w:rsid w:val="009F1BB6"/>
    <w:rsid w:val="009F7316"/>
    <w:rsid w:val="00A0579B"/>
    <w:rsid w:val="00A123F6"/>
    <w:rsid w:val="00A161E6"/>
    <w:rsid w:val="00A16F04"/>
    <w:rsid w:val="00A250CA"/>
    <w:rsid w:val="00A251CE"/>
    <w:rsid w:val="00A304F3"/>
    <w:rsid w:val="00A34797"/>
    <w:rsid w:val="00A37FFE"/>
    <w:rsid w:val="00A50528"/>
    <w:rsid w:val="00A51120"/>
    <w:rsid w:val="00A608B2"/>
    <w:rsid w:val="00A62B67"/>
    <w:rsid w:val="00A70B99"/>
    <w:rsid w:val="00A72CCA"/>
    <w:rsid w:val="00A85DE8"/>
    <w:rsid w:val="00A94C7A"/>
    <w:rsid w:val="00A955E8"/>
    <w:rsid w:val="00A97F25"/>
    <w:rsid w:val="00AA6C78"/>
    <w:rsid w:val="00AA707F"/>
    <w:rsid w:val="00AA7C76"/>
    <w:rsid w:val="00AB49F2"/>
    <w:rsid w:val="00AB7DD8"/>
    <w:rsid w:val="00AC629E"/>
    <w:rsid w:val="00AC776C"/>
    <w:rsid w:val="00AD0490"/>
    <w:rsid w:val="00AD3B0A"/>
    <w:rsid w:val="00AD400A"/>
    <w:rsid w:val="00AD6B76"/>
    <w:rsid w:val="00AE0DCF"/>
    <w:rsid w:val="00AE67A9"/>
    <w:rsid w:val="00AF7994"/>
    <w:rsid w:val="00B06CDE"/>
    <w:rsid w:val="00B10D01"/>
    <w:rsid w:val="00B4275B"/>
    <w:rsid w:val="00B444C1"/>
    <w:rsid w:val="00B5006B"/>
    <w:rsid w:val="00B52155"/>
    <w:rsid w:val="00B569EE"/>
    <w:rsid w:val="00B579E5"/>
    <w:rsid w:val="00B6035D"/>
    <w:rsid w:val="00B603BA"/>
    <w:rsid w:val="00B673DB"/>
    <w:rsid w:val="00B737CC"/>
    <w:rsid w:val="00B764D3"/>
    <w:rsid w:val="00B844DB"/>
    <w:rsid w:val="00B848BE"/>
    <w:rsid w:val="00B869C0"/>
    <w:rsid w:val="00B930C4"/>
    <w:rsid w:val="00B95758"/>
    <w:rsid w:val="00B9605D"/>
    <w:rsid w:val="00BA0054"/>
    <w:rsid w:val="00BB3C6B"/>
    <w:rsid w:val="00BB63E1"/>
    <w:rsid w:val="00BC19E9"/>
    <w:rsid w:val="00BD775A"/>
    <w:rsid w:val="00BF1681"/>
    <w:rsid w:val="00BF29A2"/>
    <w:rsid w:val="00BF7DE8"/>
    <w:rsid w:val="00C01E62"/>
    <w:rsid w:val="00C04380"/>
    <w:rsid w:val="00C1222F"/>
    <w:rsid w:val="00C2530D"/>
    <w:rsid w:val="00C27DA2"/>
    <w:rsid w:val="00C37463"/>
    <w:rsid w:val="00C4006A"/>
    <w:rsid w:val="00C73475"/>
    <w:rsid w:val="00C73521"/>
    <w:rsid w:val="00C74DBC"/>
    <w:rsid w:val="00C81CA6"/>
    <w:rsid w:val="00C82953"/>
    <w:rsid w:val="00C87A1C"/>
    <w:rsid w:val="00C94A75"/>
    <w:rsid w:val="00C974E0"/>
    <w:rsid w:val="00CA09BB"/>
    <w:rsid w:val="00CA1A16"/>
    <w:rsid w:val="00CA5CBE"/>
    <w:rsid w:val="00CA7EEC"/>
    <w:rsid w:val="00CB2F25"/>
    <w:rsid w:val="00CB3BD5"/>
    <w:rsid w:val="00CB5FDB"/>
    <w:rsid w:val="00CC0C55"/>
    <w:rsid w:val="00CC3242"/>
    <w:rsid w:val="00CC3CF0"/>
    <w:rsid w:val="00CD4B41"/>
    <w:rsid w:val="00CD557B"/>
    <w:rsid w:val="00CD68BE"/>
    <w:rsid w:val="00CE3FB8"/>
    <w:rsid w:val="00CE7044"/>
    <w:rsid w:val="00CE7E60"/>
    <w:rsid w:val="00D11DA7"/>
    <w:rsid w:val="00D14B97"/>
    <w:rsid w:val="00D209EC"/>
    <w:rsid w:val="00D26943"/>
    <w:rsid w:val="00D43F37"/>
    <w:rsid w:val="00D50ACB"/>
    <w:rsid w:val="00D52814"/>
    <w:rsid w:val="00D54632"/>
    <w:rsid w:val="00D6483B"/>
    <w:rsid w:val="00D71CCD"/>
    <w:rsid w:val="00D77679"/>
    <w:rsid w:val="00D951FC"/>
    <w:rsid w:val="00D95FC6"/>
    <w:rsid w:val="00DA01DD"/>
    <w:rsid w:val="00DA1607"/>
    <w:rsid w:val="00DA21E7"/>
    <w:rsid w:val="00DA439B"/>
    <w:rsid w:val="00DB70D6"/>
    <w:rsid w:val="00DB725A"/>
    <w:rsid w:val="00DC04FD"/>
    <w:rsid w:val="00DC31B2"/>
    <w:rsid w:val="00DC71FA"/>
    <w:rsid w:val="00DD0A7E"/>
    <w:rsid w:val="00DD47E2"/>
    <w:rsid w:val="00DE0E80"/>
    <w:rsid w:val="00DE12DA"/>
    <w:rsid w:val="00DE33AC"/>
    <w:rsid w:val="00DF318B"/>
    <w:rsid w:val="00DF65DB"/>
    <w:rsid w:val="00E132A2"/>
    <w:rsid w:val="00E132ED"/>
    <w:rsid w:val="00E33A1D"/>
    <w:rsid w:val="00E44B61"/>
    <w:rsid w:val="00E460EC"/>
    <w:rsid w:val="00E4725E"/>
    <w:rsid w:val="00E52335"/>
    <w:rsid w:val="00E62B91"/>
    <w:rsid w:val="00E64E45"/>
    <w:rsid w:val="00E654FB"/>
    <w:rsid w:val="00E67A5E"/>
    <w:rsid w:val="00E7074B"/>
    <w:rsid w:val="00E72823"/>
    <w:rsid w:val="00E75C7A"/>
    <w:rsid w:val="00E83900"/>
    <w:rsid w:val="00E91AF3"/>
    <w:rsid w:val="00E91E14"/>
    <w:rsid w:val="00E928CB"/>
    <w:rsid w:val="00E95A81"/>
    <w:rsid w:val="00E95B77"/>
    <w:rsid w:val="00EA1B32"/>
    <w:rsid w:val="00EA1F34"/>
    <w:rsid w:val="00EA66F0"/>
    <w:rsid w:val="00EA7581"/>
    <w:rsid w:val="00EC2176"/>
    <w:rsid w:val="00EC7E1A"/>
    <w:rsid w:val="00ED15F4"/>
    <w:rsid w:val="00ED4127"/>
    <w:rsid w:val="00EF3207"/>
    <w:rsid w:val="00EF3291"/>
    <w:rsid w:val="00F01FD1"/>
    <w:rsid w:val="00F030C1"/>
    <w:rsid w:val="00F05040"/>
    <w:rsid w:val="00F11282"/>
    <w:rsid w:val="00F20591"/>
    <w:rsid w:val="00F20F1D"/>
    <w:rsid w:val="00F25044"/>
    <w:rsid w:val="00F35DBE"/>
    <w:rsid w:val="00F36697"/>
    <w:rsid w:val="00F405E4"/>
    <w:rsid w:val="00F45AE2"/>
    <w:rsid w:val="00F60B6B"/>
    <w:rsid w:val="00F611FD"/>
    <w:rsid w:val="00F6131C"/>
    <w:rsid w:val="00F63B33"/>
    <w:rsid w:val="00F67BD0"/>
    <w:rsid w:val="00F80A91"/>
    <w:rsid w:val="00F8257F"/>
    <w:rsid w:val="00F86388"/>
    <w:rsid w:val="00F86B04"/>
    <w:rsid w:val="00F86D7C"/>
    <w:rsid w:val="00F912CB"/>
    <w:rsid w:val="00F966C9"/>
    <w:rsid w:val="00FA73F4"/>
    <w:rsid w:val="00FB437A"/>
    <w:rsid w:val="00FD06A6"/>
    <w:rsid w:val="00FE2604"/>
    <w:rsid w:val="00FF39AA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54BF202"/>
  <w15:docId w15:val="{88C3FE88-057E-FB42-AF76-B3EADC1AB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3D84"/>
    <w:pPr>
      <w:spacing w:after="200"/>
      <w:jc w:val="both"/>
    </w:pPr>
    <w:rPr>
      <w:rFonts w:ascii="Arial" w:hAnsi="Arial"/>
      <w:szCs w:val="22"/>
      <w:lang w:eastAsia="en-US"/>
    </w:rPr>
  </w:style>
  <w:style w:type="paragraph" w:styleId="Heading1">
    <w:name w:val="heading 1"/>
    <w:basedOn w:val="MediumGrid21"/>
    <w:next w:val="Normal"/>
    <w:link w:val="Heading1Char"/>
    <w:uiPriority w:val="9"/>
    <w:qFormat/>
    <w:rsid w:val="0053104D"/>
    <w:pPr>
      <w:spacing w:after="240"/>
      <w:outlineLvl w:val="0"/>
    </w:pPr>
    <w:rPr>
      <w:b/>
      <w:color w:val="007A87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53104D"/>
    <w:pPr>
      <w:pBdr>
        <w:bottom w:val="single" w:sz="4" w:space="1" w:color="51626F"/>
      </w:pBdr>
      <w:outlineLvl w:val="1"/>
    </w:pPr>
    <w:rPr>
      <w:rFonts w:cs="Arial"/>
      <w:b/>
      <w:color w:val="007A87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104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7A87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ial10">
    <w:name w:val="Arial 10"/>
    <w:basedOn w:val="Normal"/>
    <w:qFormat/>
    <w:rsid w:val="00235B7D"/>
    <w:rPr>
      <w:rFonts w:cs="Arial"/>
      <w:szCs w:val="20"/>
    </w:rPr>
  </w:style>
  <w:style w:type="character" w:customStyle="1" w:styleId="Posterheading1">
    <w:name w:val="Poster heading 1"/>
    <w:uiPriority w:val="1"/>
    <w:rsid w:val="00DA1607"/>
    <w:rPr>
      <w:rFonts w:ascii="Times New Roman" w:hAnsi="Times New Roman"/>
      <w:b/>
      <w:color w:val="FFFFFF"/>
      <w:sz w:val="40"/>
    </w:rPr>
  </w:style>
  <w:style w:type="character" w:customStyle="1" w:styleId="Leanposterheading1">
    <w:name w:val="Lean poster heading 1"/>
    <w:uiPriority w:val="1"/>
    <w:qFormat/>
    <w:rsid w:val="00DA1607"/>
    <w:rPr>
      <w:rFonts w:ascii="Times New Roman" w:hAnsi="Times New Roman"/>
      <w:b/>
      <w:color w:val="FFFFFF"/>
      <w:sz w:val="40"/>
    </w:rPr>
  </w:style>
  <w:style w:type="character" w:customStyle="1" w:styleId="Leanpostermaintext">
    <w:name w:val="Lean poster main text"/>
    <w:uiPriority w:val="1"/>
    <w:qFormat/>
    <w:rsid w:val="00DA1607"/>
    <w:rPr>
      <w:rFonts w:ascii="Arial" w:hAnsi="Arial"/>
      <w:sz w:val="20"/>
    </w:rPr>
  </w:style>
  <w:style w:type="character" w:customStyle="1" w:styleId="Heading2Char">
    <w:name w:val="Heading 2 Char"/>
    <w:link w:val="Heading2"/>
    <w:uiPriority w:val="9"/>
    <w:rsid w:val="0053104D"/>
    <w:rPr>
      <w:rFonts w:ascii="Arial" w:hAnsi="Arial" w:cs="Arial"/>
      <w:b/>
      <w:color w:val="007A87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36F0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36F0A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unhideWhenUsed/>
    <w:rsid w:val="00336F0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36F0A"/>
    <w:rPr>
      <w:rFonts w:ascii="Arial" w:hAnsi="Arial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6F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36F0A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53104D"/>
    <w:rPr>
      <w:rFonts w:ascii="Arial" w:hAnsi="Arial"/>
      <w:b/>
      <w:color w:val="007A87"/>
      <w:sz w:val="44"/>
      <w:szCs w:val="44"/>
      <w:lang w:eastAsia="en-US"/>
    </w:rPr>
  </w:style>
  <w:style w:type="character" w:styleId="Hyperlink">
    <w:name w:val="Hyperlink"/>
    <w:uiPriority w:val="99"/>
    <w:unhideWhenUsed/>
    <w:rsid w:val="00336F0A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53104D"/>
    <w:pPr>
      <w:tabs>
        <w:tab w:val="right" w:leader="dot" w:pos="9463"/>
      </w:tabs>
      <w:spacing w:after="100"/>
    </w:pPr>
    <w:rPr>
      <w:b/>
      <w:noProof/>
      <w:color w:val="007A87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336F0A"/>
    <w:pPr>
      <w:spacing w:after="100"/>
      <w:ind w:left="200"/>
    </w:pPr>
  </w:style>
  <w:style w:type="paragraph" w:customStyle="1" w:styleId="TitlepgH2">
    <w:name w:val="Title_pg_H2"/>
    <w:basedOn w:val="Normal"/>
    <w:link w:val="TitlepgH2Char"/>
    <w:qFormat/>
    <w:rsid w:val="005A3E53"/>
    <w:pPr>
      <w:jc w:val="right"/>
    </w:pPr>
    <w:rPr>
      <w:rFonts w:ascii="Times New Roman" w:hAnsi="Times New Roman"/>
      <w:color w:val="D55C19"/>
      <w:sz w:val="36"/>
      <w:szCs w:val="36"/>
    </w:rPr>
  </w:style>
  <w:style w:type="paragraph" w:customStyle="1" w:styleId="TitlepgH3">
    <w:name w:val="Title_pg_H3"/>
    <w:basedOn w:val="Normal"/>
    <w:link w:val="TitlepgH3Char"/>
    <w:qFormat/>
    <w:rsid w:val="005A3E53"/>
    <w:pPr>
      <w:jc w:val="right"/>
    </w:pPr>
    <w:rPr>
      <w:rFonts w:ascii="Times New Roman" w:hAnsi="Times New Roman"/>
      <w:color w:val="D55C19"/>
      <w:sz w:val="28"/>
      <w:szCs w:val="28"/>
    </w:rPr>
  </w:style>
  <w:style w:type="character" w:customStyle="1" w:styleId="TitlepgH2Char">
    <w:name w:val="Title_pg_H2 Char"/>
    <w:link w:val="TitlepgH2"/>
    <w:rsid w:val="005A3E53"/>
    <w:rPr>
      <w:rFonts w:ascii="Times New Roman" w:eastAsia="Calibri" w:hAnsi="Times New Roman" w:cs="Times New Roman"/>
      <w:color w:val="D55C19"/>
      <w:sz w:val="36"/>
      <w:szCs w:val="36"/>
    </w:rPr>
  </w:style>
  <w:style w:type="character" w:customStyle="1" w:styleId="TitlepgH3Char">
    <w:name w:val="Title_pg_H3 Char"/>
    <w:link w:val="TitlepgH3"/>
    <w:rsid w:val="005A3E53"/>
    <w:rPr>
      <w:rFonts w:ascii="Times New Roman" w:eastAsia="Calibri" w:hAnsi="Times New Roman" w:cs="Times New Roman"/>
      <w:color w:val="D55C19"/>
      <w:sz w:val="28"/>
      <w:szCs w:val="28"/>
    </w:rPr>
  </w:style>
  <w:style w:type="paragraph" w:customStyle="1" w:styleId="MediumGrid21">
    <w:name w:val="Medium Grid 21"/>
    <w:uiPriority w:val="1"/>
    <w:qFormat/>
    <w:rsid w:val="00736BE0"/>
    <w:rPr>
      <w:rFonts w:ascii="Arial" w:hAnsi="Arial"/>
      <w:szCs w:val="22"/>
      <w:lang w:eastAsia="en-US"/>
    </w:rPr>
  </w:style>
  <w:style w:type="paragraph" w:customStyle="1" w:styleId="BasicParagraph">
    <w:name w:val="[Basic Paragraph]"/>
    <w:basedOn w:val="Normal"/>
    <w:uiPriority w:val="99"/>
    <w:rsid w:val="0077190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F405E4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405E4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F405E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unhideWhenUsed/>
    <w:rsid w:val="00C81CA6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C81CA6"/>
    <w:rPr>
      <w:rFonts w:ascii="Arial" w:hAnsi="Arial"/>
      <w:lang w:eastAsia="en-US"/>
    </w:rPr>
  </w:style>
  <w:style w:type="character" w:styleId="EndnoteReference">
    <w:name w:val="endnote reference"/>
    <w:basedOn w:val="DefaultParagraphFont"/>
    <w:uiPriority w:val="99"/>
    <w:unhideWhenUsed/>
    <w:rsid w:val="00C81CA6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53104D"/>
    <w:rPr>
      <w:rFonts w:asciiTheme="majorHAnsi" w:eastAsiaTheme="majorEastAsia" w:hAnsiTheme="majorHAnsi" w:cstheme="majorBidi"/>
      <w:b/>
      <w:bCs/>
      <w:color w:val="007A87"/>
      <w:sz w:val="24"/>
      <w:szCs w:val="22"/>
      <w:lang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C3242"/>
    <w:pPr>
      <w:keepNext/>
      <w:keepLines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CC32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3242"/>
    <w:rPr>
      <w:rFonts w:ascii="Times New Roman" w:eastAsiaTheme="minorEastAsia" w:hAnsi="Times New Roman" w:cstheme="minorBidi"/>
      <w:sz w:val="22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3242"/>
    <w:rPr>
      <w:rFonts w:ascii="Times New Roman" w:eastAsiaTheme="minorEastAsia" w:hAnsi="Times New Roman" w:cstheme="minorBidi"/>
      <w:sz w:val="22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32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3242"/>
    <w:rPr>
      <w:rFonts w:ascii="Times New Roman" w:eastAsiaTheme="minorEastAsia" w:hAnsi="Times New Roman" w:cstheme="minorBidi"/>
      <w:b/>
      <w:bCs/>
      <w:sz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CC3242"/>
    <w:pPr>
      <w:ind w:left="720"/>
      <w:contextualSpacing/>
    </w:pPr>
    <w:rPr>
      <w:rFonts w:ascii="Times New Roman" w:eastAsiaTheme="minorHAnsi" w:hAnsi="Times New Roman" w:cstheme="minorBidi"/>
      <w:noProof/>
      <w:sz w:val="22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C324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CC32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CC3242"/>
    <w:pPr>
      <w:spacing w:after="100"/>
      <w:ind w:left="440"/>
    </w:pPr>
    <w:rPr>
      <w:rFonts w:ascii="Times New Roman" w:eastAsiaTheme="minorEastAsia" w:hAnsi="Times New Roman" w:cstheme="minorBidi"/>
      <w:sz w:val="22"/>
      <w:szCs w:val="24"/>
      <w:lang w:val="en-US"/>
    </w:rPr>
  </w:style>
  <w:style w:type="character" w:customStyle="1" w:styleId="Menzionenonrisolta1">
    <w:name w:val="Menzione non risolta1"/>
    <w:basedOn w:val="DefaultParagraphFont"/>
    <w:uiPriority w:val="99"/>
    <w:semiHidden/>
    <w:unhideWhenUsed/>
    <w:rsid w:val="00CC32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C3242"/>
    <w:rPr>
      <w:color w:val="800080" w:themeColor="followedHyperlink"/>
      <w:u w:val="single"/>
    </w:rPr>
  </w:style>
  <w:style w:type="character" w:customStyle="1" w:styleId="Menzionenonrisolta2">
    <w:name w:val="Menzione non risolta2"/>
    <w:basedOn w:val="DefaultParagraphFont"/>
    <w:uiPriority w:val="99"/>
    <w:semiHidden/>
    <w:unhideWhenUsed/>
    <w:rsid w:val="00CC3242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DefaultParagraphFont"/>
    <w:uiPriority w:val="99"/>
    <w:semiHidden/>
    <w:unhideWhenUsed/>
    <w:rsid w:val="00CC3242"/>
    <w:rPr>
      <w:color w:val="605E5C"/>
      <w:shd w:val="clear" w:color="auto" w:fill="E1DFDD"/>
    </w:rPr>
  </w:style>
  <w:style w:type="paragraph" w:styleId="Revision">
    <w:name w:val="Revision"/>
    <w:hidden/>
    <w:uiPriority w:val="99"/>
    <w:rsid w:val="00CC3242"/>
    <w:rPr>
      <w:rFonts w:ascii="Times New Roman" w:eastAsiaTheme="minorEastAsia" w:hAnsi="Times New Roman" w:cstheme="minorBidi"/>
      <w:sz w:val="22"/>
      <w:szCs w:val="24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C3242"/>
    <w:rPr>
      <w:rFonts w:ascii="Lucida Grande" w:eastAsiaTheme="minorEastAsia" w:hAnsi="Lucida Grande" w:cstheme="minorBidi"/>
      <w:sz w:val="24"/>
      <w:szCs w:val="24"/>
      <w:lang w:val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C3242"/>
    <w:rPr>
      <w:rFonts w:ascii="Lucida Grande" w:eastAsiaTheme="minorEastAsia" w:hAnsi="Lucida Grande" w:cstheme="minorBidi"/>
      <w:sz w:val="24"/>
      <w:szCs w:val="24"/>
      <w:lang w:val="en-US" w:eastAsia="en-US"/>
    </w:rPr>
  </w:style>
  <w:style w:type="character" w:customStyle="1" w:styleId="Menzionenonrisolta4">
    <w:name w:val="Menzione non risolta4"/>
    <w:basedOn w:val="DefaultParagraphFont"/>
    <w:uiPriority w:val="99"/>
    <w:semiHidden/>
    <w:unhideWhenUsed/>
    <w:rsid w:val="00CC324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992C03"/>
    <w:rPr>
      <w:b/>
      <w:bCs/>
      <w:color w:val="4F81BD" w:themeColor="accent1"/>
      <w:sz w:val="18"/>
      <w:szCs w:val="18"/>
    </w:rPr>
  </w:style>
  <w:style w:type="character" w:customStyle="1" w:styleId="m-4011700307616079188gmail-msohyperlink">
    <w:name w:val="m_-4011700307616079188gmail-msohyperlink"/>
    <w:basedOn w:val="DefaultParagraphFont"/>
    <w:rsid w:val="006E6B4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7282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50E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853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olkehjelp.no/Nyheter/Nyhetsarkiv/2019/Bryter-oljefondet-menneskerettighetene-naar-de-investerer-i-okkuperte-palestinske-omraade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lcvan\Downloads\branded-report-template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CF978-5E63-4CBB-B861-1AB14C23A7B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54B6814-D57B-4765-A1CA-7D66455B7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5F779F-1A45-4411-AFBA-76FD6CDDB9AA}"/>
</file>

<file path=customXml/itemProps4.xml><?xml version="1.0" encoding="utf-8"?>
<ds:datastoreItem xmlns:ds="http://schemas.openxmlformats.org/officeDocument/2006/customXml" ds:itemID="{72DE1D99-F4BD-46AE-A330-46B0387CC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branded-report-template (2)</Template>
  <TotalTime>3</TotalTime>
  <Pages>4</Pages>
  <Words>1132</Words>
  <Characters>6457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Essex</Company>
  <LinksUpToDate>false</LinksUpToDate>
  <CharactersWithSpaces>7574</CharactersWithSpaces>
  <SharedDoc>false</SharedDoc>
  <HLinks>
    <vt:vector size="54" baseType="variant">
      <vt:variant>
        <vt:i4>1507378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_Toc468362875</vt:lpwstr>
      </vt:variant>
      <vt:variant>
        <vt:i4>1507378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_Toc468362874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_Toc468362873</vt:lpwstr>
      </vt:variant>
      <vt:variant>
        <vt:i4>1507378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_Toc468362872</vt:lpwstr>
      </vt:variant>
      <vt:variant>
        <vt:i4>1507378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_Toc468362871</vt:lpwstr>
      </vt:variant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_Toc468362870</vt:lpwstr>
      </vt:variant>
      <vt:variant>
        <vt:i4>1441842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_Toc468362869</vt:lpwstr>
      </vt:variant>
      <vt:variant>
        <vt:i4>1441842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_Toc468362868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_Toc468362867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Ho, Tara L C</dc:creator>
  <cp:lastModifiedBy>Andrew Preston</cp:lastModifiedBy>
  <cp:revision>3</cp:revision>
  <cp:lastPrinted>2019-04-04T19:29:00Z</cp:lastPrinted>
  <dcterms:created xsi:type="dcterms:W3CDTF">2019-04-09T08:03:00Z</dcterms:created>
  <dcterms:modified xsi:type="dcterms:W3CDTF">2020-01-24T14:32:00Z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