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Override1.xml" ContentType="application/vnd.openxmlformats-officedocument.themeOverride+xml"/>
  <Override PartName="/word/charts/chart2.xml" ContentType="application/vnd.openxmlformats-officedocument.drawingml.chart+xml"/>
  <Override PartName="/word/charts/chart1.xml" ContentType="application/vnd.openxmlformats-officedocument.drawingml.chart+xml"/>
  <Override PartName="/word/theme/themeOverride2.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F22FA" w14:textId="77777777" w:rsidR="001573CB" w:rsidRPr="006A0793" w:rsidRDefault="001573CB" w:rsidP="006A0793">
      <w:pPr>
        <w:ind w:left="7440" w:firstLine="348"/>
        <w:jc w:val="both"/>
        <w:rPr>
          <w:rFonts w:ascii="Times New Roman" w:hAnsi="Times New Roman" w:cs="Times New Roman"/>
          <w:b/>
          <w:color w:val="000000" w:themeColor="text1"/>
          <w:sz w:val="24"/>
          <w:szCs w:val="24"/>
          <w:lang w:val="en-GB"/>
        </w:rPr>
      </w:pPr>
      <w:bookmarkStart w:id="0" w:name="_GoBack"/>
      <w:bookmarkEnd w:id="0"/>
      <w:r w:rsidRPr="006A0793">
        <w:rPr>
          <w:rFonts w:ascii="Times New Roman" w:hAnsi="Times New Roman" w:cs="Times New Roman"/>
          <w:b/>
          <w:color w:val="000000" w:themeColor="text1"/>
          <w:sz w:val="24"/>
          <w:szCs w:val="24"/>
          <w:lang w:val="en-GB"/>
        </w:rPr>
        <w:t>Annex 1</w:t>
      </w:r>
    </w:p>
    <w:p w14:paraId="78DF22FB" w14:textId="77777777" w:rsidR="000125E5" w:rsidRDefault="000125E5" w:rsidP="000125E5">
      <w:pPr>
        <w:jc w:val="both"/>
        <w:rPr>
          <w:rFonts w:ascii="Times New Roman" w:hAnsi="Times New Roman" w:cs="Times New Roman"/>
          <w:sz w:val="24"/>
          <w:szCs w:val="24"/>
          <w:lang w:val="en-GB"/>
        </w:rPr>
      </w:pPr>
    </w:p>
    <w:p w14:paraId="78DF22FC" w14:textId="77777777" w:rsidR="00346D0A" w:rsidRPr="00E744A7" w:rsidRDefault="006A0793" w:rsidP="000125E5">
      <w:pPr>
        <w:jc w:val="both"/>
        <w:rPr>
          <w:rFonts w:ascii="Times New Roman" w:hAnsi="Times New Roman" w:cs="Times New Roman"/>
          <w:color w:val="000000" w:themeColor="text1"/>
          <w:sz w:val="24"/>
          <w:szCs w:val="24"/>
          <w:u w:val="single"/>
          <w:lang w:val="en-GB"/>
        </w:rPr>
      </w:pPr>
      <w:r w:rsidRPr="00E744A7">
        <w:rPr>
          <w:rFonts w:ascii="Times New Roman" w:hAnsi="Times New Roman" w:cs="Times New Roman"/>
          <w:sz w:val="24"/>
          <w:szCs w:val="24"/>
          <w:u w:val="single"/>
          <w:lang w:val="en-GB"/>
        </w:rPr>
        <w:t>The new Article 135a of the KZ-1, which criminalises torture and any other form of cruel treatment:</w:t>
      </w:r>
    </w:p>
    <w:p w14:paraId="78DF22FD" w14:textId="77777777" w:rsidR="00346D0A" w:rsidRDefault="00346D0A" w:rsidP="001573CB">
      <w:pPr>
        <w:ind w:left="360"/>
        <w:jc w:val="both"/>
        <w:rPr>
          <w:rFonts w:ascii="Times New Roman" w:hAnsi="Times New Roman" w:cs="Times New Roman"/>
          <w:color w:val="000000" w:themeColor="text1"/>
          <w:sz w:val="24"/>
          <w:szCs w:val="24"/>
          <w:lang w:val="en-GB"/>
        </w:rPr>
      </w:pPr>
    </w:p>
    <w:p w14:paraId="78DF22FE" w14:textId="77777777" w:rsidR="00346D0A" w:rsidRPr="00CA00C2" w:rsidRDefault="00346D0A" w:rsidP="00346D0A">
      <w:pPr>
        <w:jc w:val="center"/>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"Torture</w:t>
      </w:r>
    </w:p>
    <w:p w14:paraId="78DF22FF" w14:textId="77777777" w:rsidR="00346D0A" w:rsidRPr="00CA00C2" w:rsidRDefault="00346D0A" w:rsidP="00346D0A">
      <w:pPr>
        <w:jc w:val="center"/>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Article 135a</w:t>
      </w:r>
    </w:p>
    <w:p w14:paraId="78DF2300" w14:textId="77777777" w:rsidR="00346D0A" w:rsidRPr="00CA00C2" w:rsidRDefault="00346D0A" w:rsidP="00346D0A">
      <w:pPr>
        <w:jc w:val="both"/>
        <w:rPr>
          <w:rFonts w:ascii="Times New Roman" w:hAnsi="Times New Roman" w:cs="Times New Roman"/>
          <w:bCs/>
          <w:sz w:val="24"/>
          <w:szCs w:val="24"/>
          <w:lang w:val="en-GB"/>
        </w:rPr>
      </w:pPr>
    </w:p>
    <w:p w14:paraId="78DF2301" w14:textId="77777777" w:rsidR="00346D0A" w:rsidRPr="00CA00C2" w:rsidRDefault="00346D0A" w:rsidP="00346D0A">
      <w:pPr>
        <w:jc w:val="both"/>
        <w:rPr>
          <w:rFonts w:ascii="Times New Roman" w:hAnsi="Times New Roman" w:cs="Times New Roman"/>
          <w:bCs/>
          <w:sz w:val="24"/>
          <w:szCs w:val="24"/>
          <w:lang w:val="en-GB"/>
        </w:rPr>
      </w:pPr>
      <w:r w:rsidRPr="00CA00C2">
        <w:rPr>
          <w:rFonts w:ascii="Times New Roman" w:hAnsi="Times New Roman" w:cs="Times New Roman"/>
          <w:sz w:val="24"/>
          <w:szCs w:val="24"/>
          <w:lang w:val="en-GB"/>
        </w:rPr>
        <w:t>(1) Anyone who intentionally causes severe pain or suffering to another person, either physical or mental, in order to obtain information or a confession from them or a third person, to punish them for an act committed by them or a third person, or an act suspected as having been committed by them or a third person, to intimidate them or put them under pressure or intimidate a third person or put such person under pressure or any other reason which is based on any form of violation of equality, shall be sentenced to between one and ten years in prison.</w:t>
      </w:r>
    </w:p>
    <w:p w14:paraId="78DF2302" w14:textId="77777777" w:rsidR="00346D0A" w:rsidRPr="00CA00C2" w:rsidRDefault="00346D0A" w:rsidP="00346D0A">
      <w:pPr>
        <w:jc w:val="both"/>
        <w:rPr>
          <w:rFonts w:ascii="Times New Roman" w:hAnsi="Times New Roman" w:cs="Times New Roman"/>
          <w:bCs/>
          <w:sz w:val="24"/>
          <w:szCs w:val="24"/>
          <w:lang w:val="en-GB"/>
        </w:rPr>
      </w:pPr>
      <w:r w:rsidRPr="00CA00C2">
        <w:rPr>
          <w:rFonts w:ascii="Times New Roman" w:hAnsi="Times New Roman" w:cs="Times New Roman"/>
          <w:sz w:val="24"/>
          <w:szCs w:val="24"/>
          <w:lang w:val="en-GB"/>
        </w:rPr>
        <w:t>(2) If the pain or suffering referred to in paragraph one of this Article is caused or inflicted by an official or any other person with official status or powers, or on their initiative or with their expressed or tacit consent, they shall be sentenced to between three and twelve years in prison."</w:t>
      </w:r>
    </w:p>
    <w:p w14:paraId="78DF2303" w14:textId="77777777" w:rsidR="00346D0A" w:rsidRPr="00CA00C2" w:rsidRDefault="00346D0A" w:rsidP="00346D0A">
      <w:pPr>
        <w:jc w:val="both"/>
        <w:rPr>
          <w:rFonts w:ascii="Times New Roman" w:hAnsi="Times New Roman" w:cs="Times New Roman"/>
          <w:bCs/>
          <w:sz w:val="24"/>
          <w:szCs w:val="24"/>
          <w:lang w:val="en-GB"/>
        </w:rPr>
      </w:pPr>
    </w:p>
    <w:p w14:paraId="78DF2304" w14:textId="77777777" w:rsidR="001573CB" w:rsidRDefault="001573CB" w:rsidP="001573CB">
      <w:pPr>
        <w:ind w:left="360"/>
        <w:jc w:val="both"/>
        <w:rPr>
          <w:rFonts w:ascii="Times New Roman" w:hAnsi="Times New Roman" w:cs="Times New Roman"/>
          <w:color w:val="000000" w:themeColor="text1"/>
          <w:sz w:val="24"/>
          <w:szCs w:val="24"/>
          <w:lang w:val="en-GB"/>
        </w:rPr>
      </w:pPr>
    </w:p>
    <w:p w14:paraId="78DF2305"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6"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7"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8"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9"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A"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B"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C"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D"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E"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0F"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10"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11"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12"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13" w14:textId="77777777" w:rsidR="009C6E9D" w:rsidRPr="006A0793" w:rsidRDefault="009C6E9D" w:rsidP="009C6E9D">
      <w:pPr>
        <w:ind w:left="7440" w:firstLine="348"/>
        <w:jc w:val="both"/>
        <w:rPr>
          <w:rFonts w:ascii="Times New Roman" w:hAnsi="Times New Roman" w:cs="Times New Roman"/>
          <w:b/>
          <w:color w:val="000000" w:themeColor="text1"/>
          <w:sz w:val="24"/>
          <w:szCs w:val="24"/>
          <w:lang w:val="en-GB"/>
        </w:rPr>
      </w:pPr>
      <w:r w:rsidRPr="006A0793">
        <w:rPr>
          <w:rFonts w:ascii="Times New Roman" w:hAnsi="Times New Roman" w:cs="Times New Roman"/>
          <w:b/>
          <w:color w:val="000000" w:themeColor="text1"/>
          <w:sz w:val="24"/>
          <w:szCs w:val="24"/>
          <w:lang w:val="en-GB"/>
        </w:rPr>
        <w:lastRenderedPageBreak/>
        <w:t>Annex</w:t>
      </w:r>
      <w:r>
        <w:rPr>
          <w:rFonts w:ascii="Times New Roman" w:hAnsi="Times New Roman" w:cs="Times New Roman"/>
          <w:b/>
          <w:color w:val="000000" w:themeColor="text1"/>
          <w:sz w:val="24"/>
          <w:szCs w:val="24"/>
          <w:lang w:val="en-GB"/>
        </w:rPr>
        <w:t xml:space="preserve"> 2</w:t>
      </w:r>
    </w:p>
    <w:p w14:paraId="78DF2314" w14:textId="77777777" w:rsidR="009C6E9D" w:rsidRDefault="009C6E9D" w:rsidP="001573CB">
      <w:pPr>
        <w:ind w:left="360"/>
        <w:jc w:val="both"/>
        <w:rPr>
          <w:rFonts w:ascii="Times New Roman" w:hAnsi="Times New Roman" w:cs="Times New Roman"/>
          <w:color w:val="000000" w:themeColor="text1"/>
          <w:sz w:val="24"/>
          <w:szCs w:val="24"/>
          <w:lang w:val="en-GB"/>
        </w:rPr>
      </w:pPr>
    </w:p>
    <w:tbl>
      <w:tblPr>
        <w:tblW w:w="9476" w:type="dxa"/>
        <w:tblInd w:w="55" w:type="dxa"/>
        <w:tblLayout w:type="fixed"/>
        <w:tblCellMar>
          <w:left w:w="70" w:type="dxa"/>
          <w:right w:w="70" w:type="dxa"/>
        </w:tblCellMar>
        <w:tblLook w:val="00A0" w:firstRow="1" w:lastRow="0" w:firstColumn="1" w:lastColumn="0" w:noHBand="0" w:noVBand="0"/>
      </w:tblPr>
      <w:tblGrid>
        <w:gridCol w:w="4220"/>
        <w:gridCol w:w="1314"/>
        <w:gridCol w:w="1314"/>
        <w:gridCol w:w="1314"/>
        <w:gridCol w:w="1314"/>
      </w:tblGrid>
      <w:tr w:rsidR="009C6E9D" w:rsidRPr="00CA00C2" w14:paraId="78DF231A"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15"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OMBUDSMAN FINANCES 2014–2017 (funds spent)</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16" w14:textId="77777777" w:rsidR="009C6E9D" w:rsidRPr="00CA00C2" w:rsidRDefault="009C6E9D" w:rsidP="003F72E9">
            <w:pPr>
              <w:jc w:val="both"/>
              <w:rPr>
                <w:rFonts w:ascii="Times New Roman" w:hAnsi="Times New Roman" w:cs="Times New Roman"/>
                <w:b/>
                <w:bCs/>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vAlign w:val="bottom"/>
          </w:tcPr>
          <w:p w14:paraId="78DF2317" w14:textId="77777777" w:rsidR="009C6E9D" w:rsidRPr="00CA00C2" w:rsidRDefault="009C6E9D" w:rsidP="003F72E9">
            <w:pPr>
              <w:jc w:val="both"/>
              <w:rPr>
                <w:rFonts w:ascii="Times New Roman" w:hAnsi="Times New Roman" w:cs="Times New Roman"/>
                <w:b/>
                <w:bCs/>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vAlign w:val="bottom"/>
          </w:tcPr>
          <w:p w14:paraId="78DF2318" w14:textId="77777777" w:rsidR="009C6E9D" w:rsidRPr="00CA00C2" w:rsidRDefault="009C6E9D" w:rsidP="003F72E9">
            <w:pPr>
              <w:jc w:val="both"/>
              <w:rPr>
                <w:rFonts w:ascii="Times New Roman" w:hAnsi="Times New Roman" w:cs="Times New Roman"/>
                <w:b/>
                <w:bCs/>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tcPr>
          <w:p w14:paraId="78DF2319" w14:textId="77777777" w:rsidR="009C6E9D" w:rsidRPr="00CA00C2" w:rsidRDefault="009C6E9D" w:rsidP="003F72E9">
            <w:pPr>
              <w:jc w:val="both"/>
              <w:rPr>
                <w:rFonts w:ascii="Times New Roman" w:hAnsi="Times New Roman" w:cs="Times New Roman"/>
                <w:b/>
                <w:bCs/>
                <w:sz w:val="24"/>
                <w:szCs w:val="24"/>
                <w:lang w:val="en-GB"/>
              </w:rPr>
            </w:pPr>
          </w:p>
        </w:tc>
      </w:tr>
      <w:tr w:rsidR="009C6E9D" w:rsidRPr="00CA00C2" w14:paraId="78DF2320"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1B" w14:textId="77777777" w:rsidR="009C6E9D" w:rsidRPr="00CA00C2" w:rsidRDefault="009C6E9D" w:rsidP="003F72E9">
            <w:pPr>
              <w:jc w:val="both"/>
              <w:rPr>
                <w:rFonts w:ascii="Times New Roman" w:hAnsi="Times New Roman" w:cs="Times New Roman"/>
                <w:b/>
                <w:bCs/>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shd w:val="clear" w:color="auto" w:fill="C0C0C0"/>
            <w:vAlign w:val="bottom"/>
          </w:tcPr>
          <w:p w14:paraId="78DF231C"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Funds spent in 2014 (in EUR)</w:t>
            </w:r>
          </w:p>
        </w:tc>
        <w:tc>
          <w:tcPr>
            <w:tcW w:w="1314" w:type="dxa"/>
            <w:tcBorders>
              <w:top w:val="single" w:sz="4" w:space="0" w:color="8F8F8F"/>
              <w:left w:val="single" w:sz="4" w:space="0" w:color="8F8F8F"/>
              <w:bottom w:val="single" w:sz="4" w:space="0" w:color="8F8F8F"/>
              <w:right w:val="single" w:sz="4" w:space="0" w:color="8F8F8F"/>
            </w:tcBorders>
            <w:shd w:val="clear" w:color="auto" w:fill="C0C0C0"/>
            <w:vAlign w:val="bottom"/>
          </w:tcPr>
          <w:p w14:paraId="78DF231D"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Funds spent in 2015 (in EUR)</w:t>
            </w:r>
          </w:p>
        </w:tc>
        <w:tc>
          <w:tcPr>
            <w:tcW w:w="1314" w:type="dxa"/>
            <w:tcBorders>
              <w:top w:val="single" w:sz="4" w:space="0" w:color="8F8F8F"/>
              <w:left w:val="single" w:sz="4" w:space="0" w:color="8F8F8F"/>
              <w:bottom w:val="single" w:sz="4" w:space="0" w:color="8F8F8F"/>
              <w:right w:val="single" w:sz="4" w:space="0" w:color="8F8F8F"/>
            </w:tcBorders>
            <w:shd w:val="clear" w:color="auto" w:fill="C0C0C0"/>
            <w:vAlign w:val="bottom"/>
          </w:tcPr>
          <w:p w14:paraId="78DF231E"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Funds spent in 2016 (in EUR)</w:t>
            </w:r>
          </w:p>
        </w:tc>
        <w:tc>
          <w:tcPr>
            <w:tcW w:w="1314" w:type="dxa"/>
            <w:tcBorders>
              <w:top w:val="single" w:sz="4" w:space="0" w:color="8F8F8F"/>
              <w:left w:val="single" w:sz="4" w:space="0" w:color="8F8F8F"/>
              <w:bottom w:val="single" w:sz="4" w:space="0" w:color="8F8F8F"/>
              <w:right w:val="single" w:sz="4" w:space="0" w:color="8F8F8F"/>
            </w:tcBorders>
            <w:shd w:val="clear" w:color="auto" w:fill="C0C0C0"/>
          </w:tcPr>
          <w:p w14:paraId="78DF231F"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Funds spent in 2017 (in EUR)</w:t>
            </w:r>
          </w:p>
        </w:tc>
      </w:tr>
      <w:tr w:rsidR="009C6E9D" w:rsidRPr="00CA00C2" w14:paraId="78DF2326"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21"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Human Rights Ombudsman of the Republic of Slovenia</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2"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1,851,108</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3"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1,961,205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4"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2,042,767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5"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2,151,491</w:t>
            </w:r>
          </w:p>
        </w:tc>
      </w:tr>
      <w:tr w:rsidR="009C6E9D" w:rsidRPr="00CA00C2" w14:paraId="78DF232C"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27"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SUB-PROGRAMMES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8" w14:textId="77777777" w:rsidR="009C6E9D" w:rsidRPr="00CA00C2" w:rsidRDefault="009C6E9D" w:rsidP="003F72E9">
            <w:pPr>
              <w:jc w:val="both"/>
              <w:rPr>
                <w:rFonts w:ascii="Times New Roman" w:hAnsi="Times New Roman" w:cs="Times New Roman"/>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9" w14:textId="77777777" w:rsidR="009C6E9D" w:rsidRPr="00CA00C2" w:rsidRDefault="009C6E9D" w:rsidP="003F72E9">
            <w:pPr>
              <w:jc w:val="both"/>
              <w:rPr>
                <w:rFonts w:ascii="Times New Roman" w:hAnsi="Times New Roman" w:cs="Times New Roman"/>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A" w14:textId="77777777" w:rsidR="009C6E9D" w:rsidRPr="00CA00C2" w:rsidRDefault="009C6E9D" w:rsidP="003F72E9">
            <w:pPr>
              <w:jc w:val="both"/>
              <w:rPr>
                <w:rFonts w:ascii="Times New Roman" w:hAnsi="Times New Roman" w:cs="Times New Roman"/>
                <w:sz w:val="24"/>
                <w:szCs w:val="24"/>
                <w:lang w:val="en-GB"/>
              </w:rPr>
            </w:pP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B" w14:textId="77777777" w:rsidR="009C6E9D" w:rsidRPr="00CA00C2" w:rsidRDefault="009C6E9D" w:rsidP="003F72E9">
            <w:pPr>
              <w:jc w:val="both"/>
              <w:rPr>
                <w:rFonts w:ascii="Times New Roman" w:hAnsi="Times New Roman" w:cs="Times New Roman"/>
                <w:sz w:val="24"/>
                <w:szCs w:val="24"/>
                <w:lang w:val="en-GB"/>
              </w:rPr>
            </w:pPr>
          </w:p>
        </w:tc>
      </w:tr>
      <w:tr w:rsidR="009C6E9D" w:rsidRPr="00CA00C2" w14:paraId="78DF2332"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2D"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Protection of human rights and fundamental freedoms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E"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1,645,402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2F"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1,745,427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0"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1,804,898</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1"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1,866,898</w:t>
            </w:r>
          </w:p>
        </w:tc>
      </w:tr>
      <w:tr w:rsidR="009C6E9D" w:rsidRPr="00CA00C2" w14:paraId="78DF2338"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3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 xml:space="preserve">Salaries </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4"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1,263,396</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5"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1,311,202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6"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1,352,089</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7"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1,433,292</w:t>
            </w:r>
          </w:p>
        </w:tc>
      </w:tr>
      <w:tr w:rsidR="009C6E9D" w:rsidRPr="00CA00C2" w14:paraId="78DF233E"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39"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Material costs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A"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355,326</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B"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384,042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C"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398,138</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3D"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407,325</w:t>
            </w:r>
          </w:p>
        </w:tc>
      </w:tr>
      <w:tr w:rsidR="009C6E9D" w:rsidRPr="00CA00C2" w14:paraId="78DF2344"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3F"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Investments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0"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26,680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1"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50,182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2"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54,671</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46,280</w:t>
            </w:r>
          </w:p>
        </w:tc>
      </w:tr>
      <w:tr w:rsidR="009C6E9D" w:rsidRPr="00CA00C2" w14:paraId="78DF234A"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45"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Performance of tasks and exercise of powers of the NPM</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6"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114,722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7"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125,557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8"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130,095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9"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158,972</w:t>
            </w:r>
          </w:p>
        </w:tc>
      </w:tr>
      <w:tr w:rsidR="009C6E9D" w:rsidRPr="00CA00C2" w14:paraId="78DF2350"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4B"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 xml:space="preserve">Salaries </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C"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100,105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D"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106,388</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E"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113,030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4F"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115,099</w:t>
            </w:r>
          </w:p>
        </w:tc>
      </w:tr>
      <w:tr w:rsidR="009C6E9D" w:rsidRPr="00CA00C2" w14:paraId="78DF2356"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51"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Cooperation with NGOs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2"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4,367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11,666</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4"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11,435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5"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9,716</w:t>
            </w:r>
          </w:p>
        </w:tc>
      </w:tr>
      <w:tr w:rsidR="009C6E9D" w:rsidRPr="00CA00C2" w14:paraId="78DF235C"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57"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Participation of doctors/experts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8"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5,580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9"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5,105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A"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1,720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B"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3,592</w:t>
            </w:r>
          </w:p>
        </w:tc>
      </w:tr>
      <w:tr w:rsidR="009C6E9D" w:rsidRPr="00CA00C2" w14:paraId="78DF2362"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5D"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Travel expenses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E"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690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5F"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1,799</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0"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2,686</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1"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1,012</w:t>
            </w:r>
          </w:p>
        </w:tc>
      </w:tr>
      <w:tr w:rsidR="009C6E9D" w:rsidRPr="00CA00C2" w14:paraId="78DF2368"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6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Other material costs*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4"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3,980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5"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599</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6"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1,224</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7"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29,553</w:t>
            </w:r>
          </w:p>
        </w:tc>
      </w:tr>
      <w:tr w:rsidR="009C6E9D" w:rsidRPr="00CA00C2" w14:paraId="78DF236E"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69"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Advocate – a Child’s Voice project</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A"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77,027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B"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90,221</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C"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107,774</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6D"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105,621</w:t>
            </w:r>
          </w:p>
        </w:tc>
      </w:tr>
      <w:tr w:rsidR="009C6E9D" w:rsidRPr="00CA00C2" w14:paraId="78DF2374"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6F"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Salaries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0"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1,448</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1"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17,899</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2"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18,290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22,767</w:t>
            </w:r>
          </w:p>
        </w:tc>
      </w:tr>
      <w:tr w:rsidR="009C6E9D" w:rsidRPr="00CA00C2" w14:paraId="78DF237A"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75"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Material costs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6"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75,579</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7"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73,322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8"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89,484</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9"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82,854</w:t>
            </w:r>
          </w:p>
        </w:tc>
      </w:tr>
      <w:tr w:rsidR="009C6E9D" w:rsidRPr="00CA00C2" w14:paraId="78DF2380"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7B" w14:textId="77777777" w:rsidR="009C6E9D" w:rsidRPr="00CA00C2" w:rsidRDefault="009C6E9D" w:rsidP="003F72E9">
            <w:pPr>
              <w:jc w:val="both"/>
              <w:rPr>
                <w:rFonts w:ascii="Times New Roman" w:hAnsi="Times New Roman" w:cs="Times New Roman"/>
                <w:b/>
                <w:bCs/>
                <w:i/>
                <w:iCs/>
                <w:sz w:val="24"/>
                <w:szCs w:val="24"/>
                <w:lang w:val="en-GB"/>
              </w:rPr>
            </w:pPr>
            <w:r w:rsidRPr="00CA00C2">
              <w:rPr>
                <w:rFonts w:ascii="Times New Roman" w:hAnsi="Times New Roman" w:cs="Times New Roman"/>
                <w:b/>
                <w:bCs/>
                <w:i/>
                <w:iCs/>
                <w:sz w:val="24"/>
                <w:szCs w:val="24"/>
                <w:lang w:val="en-GB"/>
              </w:rPr>
              <w:t xml:space="preserve">Earmarked funds </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C"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13,957</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D" w14:textId="77777777" w:rsidR="009C6E9D" w:rsidRPr="00CA00C2" w:rsidRDefault="009C6E9D" w:rsidP="003F72E9">
            <w:pPr>
              <w:jc w:val="both"/>
              <w:rPr>
                <w:rFonts w:ascii="Times New Roman" w:hAnsi="Times New Roman" w:cs="Times New Roman"/>
                <w:b/>
                <w:bCs/>
                <w:sz w:val="24"/>
                <w:szCs w:val="24"/>
                <w:lang w:val="en-GB"/>
              </w:rPr>
            </w:pPr>
            <w:r w:rsidRPr="00CA00C2">
              <w:rPr>
                <w:rFonts w:ascii="Times New Roman" w:hAnsi="Times New Roman" w:cs="Times New Roman"/>
                <w:b/>
                <w:bCs/>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E" w14:textId="77777777" w:rsidR="009C6E9D" w:rsidRPr="00CA00C2" w:rsidRDefault="009C6E9D" w:rsidP="003F72E9">
            <w:pPr>
              <w:jc w:val="both"/>
              <w:rPr>
                <w:rFonts w:ascii="Times New Roman" w:hAnsi="Times New Roman" w:cs="Times New Roman"/>
                <w:b/>
                <w:bCs/>
                <w:iCs/>
                <w:sz w:val="24"/>
                <w:szCs w:val="24"/>
                <w:lang w:val="en-GB"/>
              </w:rPr>
            </w:pPr>
            <w:r w:rsidRPr="00CA00C2">
              <w:rPr>
                <w:rFonts w:ascii="Times New Roman" w:hAnsi="Times New Roman" w:cs="Times New Roman"/>
                <w:b/>
                <w:bCs/>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7F" w14:textId="77777777" w:rsidR="009C6E9D" w:rsidRPr="00CA00C2" w:rsidRDefault="009C6E9D" w:rsidP="003F72E9">
            <w:pPr>
              <w:jc w:val="both"/>
              <w:rPr>
                <w:rFonts w:ascii="Times New Roman" w:hAnsi="Times New Roman" w:cs="Times New Roman"/>
                <w:b/>
                <w:bCs/>
                <w:iCs/>
                <w:sz w:val="24"/>
                <w:szCs w:val="24"/>
                <w:lang w:val="en-GB"/>
              </w:rPr>
            </w:pPr>
            <w:r w:rsidRPr="00CA00C2">
              <w:rPr>
                <w:rFonts w:ascii="Times New Roman" w:hAnsi="Times New Roman" w:cs="Times New Roman"/>
                <w:b/>
                <w:bCs/>
                <w:sz w:val="24"/>
                <w:szCs w:val="24"/>
                <w:lang w:val="en-GB"/>
              </w:rPr>
              <w:t>0</w:t>
            </w:r>
          </w:p>
        </w:tc>
      </w:tr>
      <w:tr w:rsidR="009C6E9D" w:rsidRPr="00CA00C2" w14:paraId="78DF2386"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81"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Compensation funds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2"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9,322</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3"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4"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5"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r>
      <w:tr w:rsidR="009C6E9D" w:rsidRPr="00CA00C2" w14:paraId="78DF238C" w14:textId="77777777" w:rsidTr="009C6E9D">
        <w:trPr>
          <w:trHeight w:val="288"/>
        </w:trPr>
        <w:tc>
          <w:tcPr>
            <w:tcW w:w="4220" w:type="dxa"/>
            <w:tcBorders>
              <w:top w:val="single" w:sz="4" w:space="0" w:color="8F8F8F"/>
              <w:left w:val="single" w:sz="4" w:space="0" w:color="8F8F8F"/>
              <w:bottom w:val="single" w:sz="4" w:space="0" w:color="8F8F8F"/>
              <w:right w:val="single" w:sz="4" w:space="0" w:color="8F8F8F"/>
            </w:tcBorders>
            <w:vAlign w:val="bottom"/>
          </w:tcPr>
          <w:p w14:paraId="78DF2387"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Funds from the sale of state-owned assets</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8"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4,635</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9"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A"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c>
          <w:tcPr>
            <w:tcW w:w="1314" w:type="dxa"/>
            <w:tcBorders>
              <w:top w:val="single" w:sz="4" w:space="0" w:color="8F8F8F"/>
              <w:left w:val="single" w:sz="4" w:space="0" w:color="8F8F8F"/>
              <w:bottom w:val="single" w:sz="4" w:space="0" w:color="8F8F8F"/>
              <w:right w:val="single" w:sz="4" w:space="0" w:color="8F8F8F"/>
            </w:tcBorders>
            <w:vAlign w:val="bottom"/>
          </w:tcPr>
          <w:p w14:paraId="78DF238B" w14:textId="77777777" w:rsidR="009C6E9D" w:rsidRPr="00CA00C2" w:rsidRDefault="009C6E9D" w:rsidP="003F72E9">
            <w:pPr>
              <w:jc w:val="both"/>
              <w:rPr>
                <w:rFonts w:ascii="Times New Roman" w:hAnsi="Times New Roman" w:cs="Times New Roman"/>
                <w:sz w:val="24"/>
                <w:szCs w:val="24"/>
                <w:lang w:val="en-GB"/>
              </w:rPr>
            </w:pPr>
            <w:r w:rsidRPr="00CA00C2">
              <w:rPr>
                <w:rFonts w:ascii="Times New Roman" w:hAnsi="Times New Roman" w:cs="Times New Roman"/>
                <w:sz w:val="24"/>
                <w:szCs w:val="24"/>
                <w:lang w:val="en-GB"/>
              </w:rPr>
              <w:t>0</w:t>
            </w:r>
          </w:p>
        </w:tc>
      </w:tr>
    </w:tbl>
    <w:p w14:paraId="78DF238D" w14:textId="77777777" w:rsidR="009C6E9D" w:rsidRDefault="009C6E9D" w:rsidP="001573CB">
      <w:pPr>
        <w:ind w:left="360"/>
        <w:jc w:val="both"/>
        <w:rPr>
          <w:rFonts w:ascii="Times New Roman" w:hAnsi="Times New Roman" w:cs="Times New Roman"/>
          <w:color w:val="000000" w:themeColor="text1"/>
          <w:sz w:val="24"/>
          <w:szCs w:val="24"/>
          <w:lang w:val="en-GB"/>
        </w:rPr>
      </w:pPr>
      <w:r w:rsidRPr="00CA00C2">
        <w:rPr>
          <w:rFonts w:ascii="Times New Roman" w:hAnsi="Times New Roman" w:cs="Times New Roman"/>
          <w:sz w:val="24"/>
          <w:szCs w:val="24"/>
          <w:lang w:val="en-GB"/>
        </w:rPr>
        <w:t>*In 2017 other material costs of the NPM include rents of business premises.</w:t>
      </w:r>
    </w:p>
    <w:p w14:paraId="78DF238E"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8F" w14:textId="77777777" w:rsidR="009C6E9D" w:rsidRDefault="009C6E9D" w:rsidP="001573CB">
      <w:pPr>
        <w:ind w:left="360"/>
        <w:jc w:val="both"/>
        <w:rPr>
          <w:rFonts w:ascii="Times New Roman" w:hAnsi="Times New Roman" w:cs="Times New Roman"/>
          <w:color w:val="000000" w:themeColor="text1"/>
          <w:sz w:val="24"/>
          <w:szCs w:val="24"/>
          <w:lang w:val="en-GB"/>
        </w:rPr>
      </w:pPr>
    </w:p>
    <w:p w14:paraId="78DF2390" w14:textId="77777777" w:rsidR="006A0793" w:rsidRPr="00E744A7" w:rsidRDefault="007060DC" w:rsidP="006A0793">
      <w:pPr>
        <w:ind w:left="7440" w:firstLine="348"/>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lastRenderedPageBreak/>
        <w:t>A</w:t>
      </w:r>
      <w:r w:rsidR="006A0793" w:rsidRPr="00E744A7">
        <w:rPr>
          <w:rFonts w:ascii="Times New Roman" w:hAnsi="Times New Roman" w:cs="Times New Roman"/>
          <w:b/>
          <w:color w:val="000000" w:themeColor="text1"/>
          <w:sz w:val="24"/>
          <w:szCs w:val="24"/>
          <w:lang w:val="en-GB"/>
        </w:rPr>
        <w:t xml:space="preserve">nnex </w:t>
      </w:r>
      <w:r>
        <w:rPr>
          <w:rFonts w:ascii="Times New Roman" w:hAnsi="Times New Roman" w:cs="Times New Roman"/>
          <w:b/>
          <w:color w:val="000000" w:themeColor="text1"/>
          <w:sz w:val="24"/>
          <w:szCs w:val="24"/>
          <w:lang w:val="en-GB"/>
        </w:rPr>
        <w:t>3</w:t>
      </w:r>
    </w:p>
    <w:p w14:paraId="78DF2391" w14:textId="77777777" w:rsidR="006A0793" w:rsidRDefault="006A0793" w:rsidP="001573CB">
      <w:pPr>
        <w:ind w:left="360"/>
        <w:jc w:val="both"/>
        <w:rPr>
          <w:rFonts w:ascii="Times New Roman" w:hAnsi="Times New Roman" w:cs="Times New Roman"/>
          <w:color w:val="000000" w:themeColor="text1"/>
          <w:sz w:val="24"/>
          <w:szCs w:val="24"/>
          <w:lang w:val="en-GB"/>
        </w:rPr>
      </w:pPr>
    </w:p>
    <w:p w14:paraId="78DF2392" w14:textId="77777777" w:rsidR="001573CB" w:rsidRPr="00541F2F" w:rsidRDefault="006A0793" w:rsidP="00541F2F">
      <w:pPr>
        <w:pStyle w:val="ListParagraph"/>
        <w:numPr>
          <w:ilvl w:val="0"/>
          <w:numId w:val="8"/>
        </w:numPr>
        <w:jc w:val="both"/>
        <w:rPr>
          <w:rFonts w:ascii="Times New Roman" w:hAnsi="Times New Roman" w:cs="Times New Roman"/>
          <w:b/>
          <w:color w:val="000000" w:themeColor="text1"/>
          <w:sz w:val="24"/>
          <w:szCs w:val="24"/>
          <w:lang w:val="en-GB"/>
        </w:rPr>
      </w:pPr>
      <w:r w:rsidRPr="00541F2F">
        <w:rPr>
          <w:rFonts w:ascii="Times New Roman" w:hAnsi="Times New Roman" w:cs="Times New Roman"/>
          <w:b/>
          <w:color w:val="000000" w:themeColor="text1"/>
          <w:sz w:val="24"/>
          <w:szCs w:val="24"/>
          <w:lang w:val="en-GB"/>
        </w:rPr>
        <w:t>Campaigns</w:t>
      </w:r>
      <w:r w:rsidR="001573CB" w:rsidRPr="00541F2F">
        <w:rPr>
          <w:rFonts w:ascii="Times New Roman" w:hAnsi="Times New Roman" w:cs="Times New Roman"/>
          <w:b/>
          <w:color w:val="000000" w:themeColor="text1"/>
          <w:sz w:val="24"/>
          <w:szCs w:val="24"/>
          <w:lang w:val="en-GB"/>
        </w:rPr>
        <w:t xml:space="preserve"> carried </w:t>
      </w:r>
      <w:r w:rsidRPr="00541F2F">
        <w:rPr>
          <w:rFonts w:ascii="Times New Roman" w:hAnsi="Times New Roman" w:cs="Times New Roman"/>
          <w:b/>
          <w:color w:val="000000" w:themeColor="text1"/>
          <w:sz w:val="24"/>
          <w:szCs w:val="24"/>
          <w:lang w:val="en-GB"/>
        </w:rPr>
        <w:t xml:space="preserve">out </w:t>
      </w:r>
      <w:r w:rsidR="001573CB" w:rsidRPr="00541F2F">
        <w:rPr>
          <w:rFonts w:ascii="Times New Roman" w:hAnsi="Times New Roman" w:cs="Times New Roman"/>
          <w:b/>
          <w:color w:val="000000" w:themeColor="text1"/>
          <w:sz w:val="24"/>
          <w:szCs w:val="24"/>
          <w:lang w:val="en-GB"/>
        </w:rPr>
        <w:t>by the Ministry of Labour, Family</w:t>
      </w:r>
      <w:r w:rsidRPr="00541F2F">
        <w:rPr>
          <w:rFonts w:ascii="Times New Roman" w:hAnsi="Times New Roman" w:cs="Times New Roman"/>
          <w:b/>
          <w:color w:val="000000" w:themeColor="text1"/>
          <w:sz w:val="24"/>
          <w:szCs w:val="24"/>
          <w:lang w:val="en-GB"/>
        </w:rPr>
        <w:t>,</w:t>
      </w:r>
      <w:r w:rsidR="001573CB" w:rsidRPr="00541F2F">
        <w:rPr>
          <w:rFonts w:ascii="Times New Roman" w:hAnsi="Times New Roman" w:cs="Times New Roman"/>
          <w:b/>
          <w:color w:val="000000" w:themeColor="text1"/>
          <w:sz w:val="24"/>
          <w:szCs w:val="24"/>
          <w:lang w:val="en-GB"/>
        </w:rPr>
        <w:t xml:space="preserve"> Social </w:t>
      </w:r>
      <w:r w:rsidRPr="00541F2F">
        <w:rPr>
          <w:rFonts w:ascii="Times New Roman" w:hAnsi="Times New Roman" w:cs="Times New Roman"/>
          <w:b/>
          <w:color w:val="000000" w:themeColor="text1"/>
          <w:sz w:val="24"/>
          <w:szCs w:val="24"/>
          <w:lang w:val="en-GB"/>
        </w:rPr>
        <w:t>Affairs</w:t>
      </w:r>
      <w:r w:rsidR="001573CB" w:rsidRPr="00541F2F">
        <w:rPr>
          <w:rFonts w:ascii="Times New Roman" w:hAnsi="Times New Roman" w:cs="Times New Roman"/>
          <w:b/>
          <w:color w:val="000000" w:themeColor="text1"/>
          <w:sz w:val="24"/>
          <w:szCs w:val="24"/>
          <w:lang w:val="en-GB"/>
        </w:rPr>
        <w:t xml:space="preserve"> and Gender E</w:t>
      </w:r>
      <w:r w:rsidR="00046852" w:rsidRPr="00541F2F">
        <w:rPr>
          <w:rFonts w:ascii="Times New Roman" w:hAnsi="Times New Roman" w:cs="Times New Roman"/>
          <w:b/>
          <w:color w:val="000000" w:themeColor="text1"/>
          <w:sz w:val="24"/>
          <w:szCs w:val="24"/>
          <w:lang w:val="en-GB"/>
        </w:rPr>
        <w:t>q</w:t>
      </w:r>
      <w:r w:rsidR="001573CB" w:rsidRPr="00541F2F">
        <w:rPr>
          <w:rFonts w:ascii="Times New Roman" w:hAnsi="Times New Roman" w:cs="Times New Roman"/>
          <w:b/>
          <w:color w:val="000000" w:themeColor="text1"/>
          <w:sz w:val="24"/>
          <w:szCs w:val="24"/>
          <w:lang w:val="en-GB"/>
        </w:rPr>
        <w:t>uality:</w:t>
      </w:r>
    </w:p>
    <w:p w14:paraId="78DF2393" w14:textId="77777777" w:rsidR="001573CB" w:rsidRDefault="001573CB" w:rsidP="001573CB">
      <w:pPr>
        <w:ind w:left="360"/>
        <w:jc w:val="both"/>
        <w:rPr>
          <w:rFonts w:ascii="Times New Roman" w:hAnsi="Times New Roman" w:cs="Times New Roman"/>
          <w:color w:val="000000" w:themeColor="text1"/>
          <w:sz w:val="24"/>
          <w:szCs w:val="24"/>
          <w:lang w:val="en-GB"/>
        </w:rPr>
      </w:pPr>
    </w:p>
    <w:p w14:paraId="78DF2394" w14:textId="77777777" w:rsidR="001573CB" w:rsidRDefault="001573CB" w:rsidP="001573CB">
      <w:pPr>
        <w:ind w:left="360"/>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w:t>
      </w:r>
      <w:r w:rsidRPr="00CA00C2">
        <w:rPr>
          <w:rFonts w:ascii="Times New Roman" w:hAnsi="Times New Roman" w:cs="Times New Roman"/>
          <w:color w:val="000000" w:themeColor="text1"/>
          <w:sz w:val="24"/>
          <w:szCs w:val="24"/>
          <w:lang w:val="en-GB"/>
        </w:rPr>
        <w:tab/>
        <w:t xml:space="preserve">The project </w:t>
      </w:r>
      <w:r w:rsidRPr="00CA00C2">
        <w:rPr>
          <w:rFonts w:ascii="Times New Roman" w:hAnsi="Times New Roman" w:cs="Times New Roman"/>
          <w:i/>
          <w:iCs/>
          <w:color w:val="000000" w:themeColor="text1"/>
          <w:sz w:val="24"/>
          <w:szCs w:val="24"/>
          <w:lang w:val="en-GB"/>
        </w:rPr>
        <w:t>Vesna - živeti življenje brez nasilja</w:t>
      </w:r>
      <w:r w:rsidRPr="00CA00C2">
        <w:rPr>
          <w:rFonts w:ascii="Times New Roman" w:hAnsi="Times New Roman" w:cs="Times New Roman"/>
          <w:color w:val="000000" w:themeColor="text1"/>
          <w:sz w:val="24"/>
          <w:szCs w:val="24"/>
          <w:lang w:val="en-GB"/>
        </w:rPr>
        <w:t xml:space="preserve"> (Vesna - to live a life free of violence) was a targeted two-year national campaign which highlighted the issue of violence against women, focusing on raising the awareness of women who have experienced violence (and potential victims) and of the wider public.  An important aim of the project was to provide information on the types and availability of assistance. The main project activities were: extensive media awareness-raising campaign (TV advert, teaser, poster, etc.), three expert consultations, photographic exhibition, activities to raise the awareness of young people - FB, leaflets, awareness-raising campaigns featuring well-known personalities, promotional material, etc. The project was co-financed by the EU as a part of the PROGRESS programme. Project partners were: the Ministry of the Interior - the Police, Ministry of Justice and Ministry of Health.</w:t>
      </w:r>
    </w:p>
    <w:p w14:paraId="78DF2395" w14:textId="77777777" w:rsidR="001573CB" w:rsidRPr="00CA00C2" w:rsidRDefault="001573CB" w:rsidP="001573CB">
      <w:pPr>
        <w:ind w:left="360"/>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w:t>
      </w:r>
      <w:r w:rsidRPr="00CA00C2">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I</w:t>
      </w:r>
      <w:r w:rsidRPr="00CA00C2">
        <w:rPr>
          <w:rFonts w:ascii="Times New Roman" w:hAnsi="Times New Roman" w:cs="Times New Roman"/>
          <w:color w:val="000000" w:themeColor="text1"/>
          <w:sz w:val="24"/>
          <w:szCs w:val="24"/>
          <w:lang w:val="en-GB"/>
        </w:rPr>
        <w:t>n 2016, a media campaign took place to raise awareness and inform about the issue of domestic violence, focusing on violence against children (2016);</w:t>
      </w:r>
    </w:p>
    <w:p w14:paraId="78DF2396" w14:textId="77777777" w:rsidR="001573CB" w:rsidRPr="00CA00C2" w:rsidRDefault="001573CB" w:rsidP="001573CB">
      <w:pPr>
        <w:ind w:left="360"/>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w:t>
      </w:r>
      <w:r w:rsidRPr="00CA00C2">
        <w:rPr>
          <w:rFonts w:ascii="Times New Roman" w:hAnsi="Times New Roman" w:cs="Times New Roman"/>
          <w:color w:val="000000" w:themeColor="text1"/>
          <w:sz w:val="24"/>
          <w:szCs w:val="24"/>
          <w:lang w:val="en-GB"/>
        </w:rPr>
        <w:tab/>
        <w:t>Funds were provided for the printing of 20,000 copies of the translated brochure Kiko in roka (Kiko and the Hand) of the Council of Europe, which raises the awareness of children and their parents about the issue of sexual abuse and "the underwear rule". The brochure is intended for children in kindergartens and lower grades of primary school (1st cycle);</w:t>
      </w:r>
    </w:p>
    <w:p w14:paraId="78DF2397" w14:textId="77777777" w:rsidR="001573CB" w:rsidRDefault="001573CB" w:rsidP="001573CB">
      <w:pPr>
        <w:ind w:left="360"/>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w:t>
      </w:r>
      <w:r w:rsidRPr="00CA00C2">
        <w:rPr>
          <w:rFonts w:ascii="Times New Roman" w:hAnsi="Times New Roman" w:cs="Times New Roman"/>
          <w:color w:val="000000" w:themeColor="text1"/>
          <w:sz w:val="24"/>
          <w:szCs w:val="24"/>
          <w:lang w:val="en-GB"/>
        </w:rPr>
        <w:tab/>
        <w:t xml:space="preserve">The project </w:t>
      </w:r>
      <w:r w:rsidRPr="00CA00C2">
        <w:rPr>
          <w:rFonts w:ascii="Times New Roman" w:hAnsi="Times New Roman" w:cs="Times New Roman"/>
          <w:i/>
          <w:iCs/>
          <w:color w:val="000000" w:themeColor="text1"/>
          <w:sz w:val="24"/>
          <w:szCs w:val="24"/>
          <w:lang w:val="en-GB"/>
        </w:rPr>
        <w:t>Zavestno starševstvo - moč in pomoč</w:t>
      </w:r>
      <w:r w:rsidRPr="00CA00C2">
        <w:rPr>
          <w:rFonts w:ascii="Times New Roman" w:hAnsi="Times New Roman" w:cs="Times New Roman"/>
          <w:color w:val="000000" w:themeColor="text1"/>
          <w:sz w:val="24"/>
          <w:szCs w:val="24"/>
          <w:lang w:val="en-GB"/>
        </w:rPr>
        <w:t xml:space="preserve"> (Conscious parenting - power and help) in cooperation with the Slovenian Association of Friends of Youth. </w:t>
      </w:r>
      <w:r w:rsidRPr="00CA00C2">
        <w:rPr>
          <w:rFonts w:ascii="Times New Roman" w:hAnsi="Times New Roman" w:cs="Times New Roman"/>
          <w:i/>
          <w:iCs/>
          <w:color w:val="000000" w:themeColor="text1"/>
          <w:sz w:val="24"/>
          <w:szCs w:val="24"/>
          <w:lang w:val="en-GB"/>
        </w:rPr>
        <w:t>Zavestno starševstvo</w:t>
      </w:r>
      <w:r w:rsidRPr="00CA00C2">
        <w:rPr>
          <w:rFonts w:ascii="Times New Roman" w:hAnsi="Times New Roman" w:cs="Times New Roman"/>
          <w:color w:val="000000" w:themeColor="text1"/>
          <w:sz w:val="24"/>
          <w:szCs w:val="24"/>
          <w:lang w:val="en-GB"/>
        </w:rPr>
        <w:t xml:space="preserve"> is a project aimed to help parents, teaching them how to control and restrict their emotions that can lead to violence.</w:t>
      </w:r>
    </w:p>
    <w:p w14:paraId="78DF2398" w14:textId="77777777" w:rsidR="00046852" w:rsidRDefault="00046852" w:rsidP="001573CB">
      <w:pPr>
        <w:ind w:left="360"/>
        <w:jc w:val="both"/>
        <w:rPr>
          <w:rFonts w:ascii="Times New Roman" w:hAnsi="Times New Roman" w:cs="Times New Roman"/>
          <w:color w:val="000000" w:themeColor="text1"/>
          <w:sz w:val="24"/>
          <w:szCs w:val="24"/>
          <w:lang w:val="en-GB"/>
        </w:rPr>
      </w:pPr>
    </w:p>
    <w:p w14:paraId="78DF2399" w14:textId="77777777" w:rsidR="00046852" w:rsidRPr="00E15957" w:rsidRDefault="00541F2F" w:rsidP="00046852">
      <w:pPr>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2. </w:t>
      </w:r>
      <w:r w:rsidR="00046852" w:rsidRPr="00E15957">
        <w:rPr>
          <w:rFonts w:ascii="Times New Roman" w:hAnsi="Times New Roman" w:cs="Times New Roman"/>
          <w:b/>
          <w:color w:val="000000" w:themeColor="text1"/>
          <w:sz w:val="24"/>
          <w:szCs w:val="24"/>
          <w:lang w:val="en-GB"/>
        </w:rPr>
        <w:t xml:space="preserve">Training courses carried out by Judicial Training Centre: </w:t>
      </w:r>
    </w:p>
    <w:p w14:paraId="78DF239A" w14:textId="77777777" w:rsidR="00046852" w:rsidRDefault="00046852" w:rsidP="001573CB">
      <w:pPr>
        <w:ind w:left="360"/>
        <w:jc w:val="both"/>
        <w:rPr>
          <w:rFonts w:ascii="Times New Roman" w:hAnsi="Times New Roman" w:cs="Times New Roman"/>
          <w:color w:val="000000" w:themeColor="text1"/>
          <w:sz w:val="24"/>
          <w:szCs w:val="24"/>
          <w:lang w:val="en-GB"/>
        </w:rPr>
      </w:pPr>
    </w:p>
    <w:p w14:paraId="78DF239B" w14:textId="77777777" w:rsidR="00046852" w:rsidRPr="00CA00C2" w:rsidRDefault="00046852" w:rsidP="00046852">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In the 2011–2017 period, the Judicial Training Centre organised the following training courses in the field of domestic violence:</w:t>
      </w:r>
    </w:p>
    <w:p w14:paraId="78DF239C" w14:textId="77777777" w:rsidR="00046852" w:rsidRPr="00CA00C2" w:rsidRDefault="00046852" w:rsidP="00046852">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2011</w:t>
      </w:r>
    </w:p>
    <w:p w14:paraId="78DF239D" w14:textId="77777777" w:rsidR="00046852" w:rsidRPr="00E744A7" w:rsidRDefault="00046852" w:rsidP="00046852">
      <w:pPr>
        <w:numPr>
          <w:ilvl w:val="0"/>
          <w:numId w:val="1"/>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The Role of the Forensic Psychologist in the Assessment of Childhood Sexual Abuse.</w:t>
      </w:r>
    </w:p>
    <w:p w14:paraId="78DF239E" w14:textId="77777777" w:rsidR="00046852" w:rsidRPr="00E744A7" w:rsidRDefault="00046852" w:rsidP="00046852">
      <w:pPr>
        <w:numPr>
          <w:ilvl w:val="0"/>
          <w:numId w:val="1"/>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Psychology Expert Witnesses.</w:t>
      </w:r>
    </w:p>
    <w:p w14:paraId="78DF239F" w14:textId="77777777" w:rsidR="00046852" w:rsidRPr="00CA00C2" w:rsidRDefault="00046852" w:rsidP="00046852">
      <w:pPr>
        <w:numPr>
          <w:ilvl w:val="0"/>
          <w:numId w:val="1"/>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Consultation on Forensic Psychology – On the Intersection of Psychology and Law </w:t>
      </w:r>
      <w:r w:rsidRPr="00E744A7">
        <w:rPr>
          <w:rFonts w:ascii="Times New Roman" w:hAnsi="Times New Roman" w:cs="Times New Roman"/>
          <w:color w:val="000000" w:themeColor="text1"/>
          <w:sz w:val="24"/>
          <w:szCs w:val="24"/>
          <w:lang w:val="en-GB"/>
        </w:rPr>
        <w:t>- a</w:t>
      </w:r>
      <w:r w:rsidRPr="00CA00C2">
        <w:rPr>
          <w:rFonts w:ascii="Times New Roman" w:hAnsi="Times New Roman" w:cs="Times New Roman"/>
          <w:color w:val="000000" w:themeColor="text1"/>
          <w:sz w:val="24"/>
          <w:szCs w:val="24"/>
          <w:lang w:val="en-GB"/>
        </w:rPr>
        <w:t xml:space="preserve"> consultation aimed at judges and state prosecutors.</w:t>
      </w:r>
    </w:p>
    <w:p w14:paraId="78DF23A0" w14:textId="77777777" w:rsidR="00046852" w:rsidRPr="00E744A7" w:rsidRDefault="00046852" w:rsidP="00046852">
      <w:pPr>
        <w:numPr>
          <w:ilvl w:val="0"/>
          <w:numId w:val="1"/>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10th Consultation – Violence Against Children</w:t>
      </w:r>
      <w:r w:rsidRPr="00E744A7">
        <w:rPr>
          <w:rFonts w:ascii="Times New Roman" w:hAnsi="Times New Roman" w:cs="Times New Roman"/>
          <w:color w:val="000000" w:themeColor="text1"/>
          <w:sz w:val="24"/>
          <w:szCs w:val="24"/>
          <w:lang w:val="en-GB"/>
        </w:rPr>
        <w:t xml:space="preserve"> – a two-day seminar for judges and judicial assistants at courts, public prosecutors and prosecutor assistants at state prosecutor’s offices, lawyers and police representatives. The consultation is a traditional event, organised in cooperation with the Association of State Prosecutors of the Republic of Slovenia and the General Police Directorate.  </w:t>
      </w:r>
    </w:p>
    <w:p w14:paraId="78DF23A1" w14:textId="77777777" w:rsidR="00046852" w:rsidRPr="00CA00C2" w:rsidRDefault="00046852" w:rsidP="00046852">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2012</w:t>
      </w:r>
    </w:p>
    <w:p w14:paraId="78DF23A2" w14:textId="77777777" w:rsidR="00ED0BB6" w:rsidRPr="00E744A7" w:rsidRDefault="00ED0BB6" w:rsidP="00ED0BB6">
      <w:pPr>
        <w:numPr>
          <w:ilvl w:val="0"/>
          <w:numId w:val="2"/>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A forensic interview with a child who has been a victim of sexual abuse</w:t>
      </w:r>
      <w:r w:rsidRPr="00E744A7">
        <w:rPr>
          <w:rFonts w:ascii="Times New Roman" w:hAnsi="Times New Roman" w:cs="Times New Roman"/>
          <w:color w:val="000000" w:themeColor="text1"/>
          <w:sz w:val="24"/>
          <w:szCs w:val="24"/>
          <w:lang w:val="en-GB"/>
        </w:rPr>
        <w:t xml:space="preserve"> </w:t>
      </w:r>
    </w:p>
    <w:p w14:paraId="78DF23A3" w14:textId="77777777" w:rsidR="00ED0BB6" w:rsidRPr="00E744A7" w:rsidRDefault="00ED0BB6" w:rsidP="00ED0BB6">
      <w:pPr>
        <w:numPr>
          <w:ilvl w:val="0"/>
          <w:numId w:val="2"/>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11th Consultation – Sexual Violence Against Children – Already Understood?</w:t>
      </w:r>
      <w:r w:rsidRPr="00E744A7">
        <w:rPr>
          <w:rFonts w:ascii="Times New Roman" w:hAnsi="Times New Roman" w:cs="Times New Roman"/>
          <w:color w:val="000000" w:themeColor="text1"/>
          <w:sz w:val="24"/>
          <w:szCs w:val="24"/>
          <w:lang w:val="en-GB"/>
        </w:rPr>
        <w:t xml:space="preserve"> </w:t>
      </w:r>
    </w:p>
    <w:p w14:paraId="78DF23A4" w14:textId="77777777" w:rsidR="00ED0BB6" w:rsidRPr="00CA00C2" w:rsidRDefault="00ED0BB6" w:rsidP="00ED0BB6">
      <w:pPr>
        <w:ind w:left="360"/>
        <w:jc w:val="both"/>
        <w:rPr>
          <w:rFonts w:ascii="Times New Roman" w:hAnsi="Times New Roman" w:cs="Times New Roman"/>
          <w:color w:val="000000" w:themeColor="text1"/>
          <w:sz w:val="24"/>
          <w:szCs w:val="24"/>
          <w:lang w:val="en-GB"/>
        </w:rPr>
      </w:pPr>
    </w:p>
    <w:p w14:paraId="78DF23A5" w14:textId="77777777" w:rsidR="00ED0BB6" w:rsidRPr="00CA00C2" w:rsidRDefault="00ED0BB6" w:rsidP="00ED0BB6">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2013</w:t>
      </w:r>
    </w:p>
    <w:p w14:paraId="78DF23A6" w14:textId="77777777" w:rsidR="00ED0BB6" w:rsidRPr="00E744A7" w:rsidRDefault="00ED0BB6" w:rsidP="00ED0BB6">
      <w:pPr>
        <w:numPr>
          <w:ilvl w:val="0"/>
          <w:numId w:val="3"/>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Expert Meeting on Psychological Assessment of Violence and Personal Security Issues </w:t>
      </w:r>
    </w:p>
    <w:p w14:paraId="78DF23A7" w14:textId="77777777" w:rsidR="00ED0BB6" w:rsidRPr="00E744A7" w:rsidRDefault="00ED0BB6" w:rsidP="00ED0BB6">
      <w:pPr>
        <w:numPr>
          <w:ilvl w:val="0"/>
          <w:numId w:val="3"/>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Seminar on Human Trafficking, Violence Against Women and Protection of Victims </w:t>
      </w:r>
    </w:p>
    <w:p w14:paraId="78DF23A8" w14:textId="77777777" w:rsidR="00ED0BB6" w:rsidRPr="00E744A7" w:rsidRDefault="00ED0BB6" w:rsidP="00ED0BB6">
      <w:pPr>
        <w:numPr>
          <w:ilvl w:val="0"/>
          <w:numId w:val="3"/>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12th Consultation – Child as Victim and Perpetrator </w:t>
      </w:r>
    </w:p>
    <w:p w14:paraId="78DF23A9" w14:textId="77777777" w:rsidR="00ED0BB6" w:rsidRPr="00E744A7" w:rsidRDefault="00ED0BB6" w:rsidP="00ED0BB6">
      <w:pPr>
        <w:ind w:left="360"/>
        <w:jc w:val="both"/>
        <w:rPr>
          <w:rFonts w:ascii="Times New Roman" w:hAnsi="Times New Roman" w:cs="Times New Roman"/>
          <w:color w:val="000000" w:themeColor="text1"/>
          <w:sz w:val="24"/>
          <w:szCs w:val="24"/>
          <w:lang w:val="en-GB"/>
        </w:rPr>
      </w:pPr>
    </w:p>
    <w:p w14:paraId="78DF23AA" w14:textId="77777777" w:rsidR="00ED0BB6" w:rsidRPr="00E744A7" w:rsidRDefault="00ED0BB6" w:rsidP="00ED0BB6">
      <w:pPr>
        <w:jc w:val="both"/>
        <w:rPr>
          <w:rFonts w:ascii="Times New Roman" w:hAnsi="Times New Roman" w:cs="Times New Roman"/>
          <w:color w:val="000000" w:themeColor="text1"/>
          <w:sz w:val="24"/>
          <w:szCs w:val="24"/>
          <w:lang w:val="en-GB"/>
        </w:rPr>
      </w:pPr>
      <w:r w:rsidRPr="00E744A7">
        <w:rPr>
          <w:rFonts w:ascii="Times New Roman" w:hAnsi="Times New Roman" w:cs="Times New Roman"/>
          <w:color w:val="000000" w:themeColor="text1"/>
          <w:sz w:val="24"/>
          <w:szCs w:val="24"/>
          <w:lang w:val="en-GB"/>
        </w:rPr>
        <w:t>2014</w:t>
      </w:r>
    </w:p>
    <w:p w14:paraId="78DF23AB" w14:textId="77777777" w:rsidR="00ED0BB6" w:rsidRPr="00E744A7" w:rsidRDefault="00ED0BB6" w:rsidP="00ED0BB6">
      <w:pPr>
        <w:numPr>
          <w:ilvl w:val="0"/>
          <w:numId w:val="4"/>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13th Consultation – Child - Crisis - Violence</w:t>
      </w:r>
      <w:r w:rsidRPr="00E744A7">
        <w:rPr>
          <w:rFonts w:ascii="Times New Roman" w:hAnsi="Times New Roman" w:cs="Times New Roman"/>
          <w:color w:val="000000" w:themeColor="text1"/>
          <w:sz w:val="24"/>
          <w:szCs w:val="24"/>
          <w:lang w:val="en-GB"/>
        </w:rPr>
        <w:t xml:space="preserve"> </w:t>
      </w:r>
    </w:p>
    <w:p w14:paraId="78DF23AC" w14:textId="77777777" w:rsidR="00046852" w:rsidRDefault="00046852" w:rsidP="001573CB">
      <w:pPr>
        <w:ind w:left="360"/>
        <w:jc w:val="both"/>
        <w:rPr>
          <w:rFonts w:ascii="Times New Roman" w:hAnsi="Times New Roman" w:cs="Times New Roman"/>
          <w:color w:val="000000" w:themeColor="text1"/>
          <w:sz w:val="24"/>
          <w:szCs w:val="24"/>
          <w:lang w:val="en-GB"/>
        </w:rPr>
      </w:pPr>
    </w:p>
    <w:p w14:paraId="78DF23AD" w14:textId="77777777" w:rsidR="00ED0BB6" w:rsidRPr="00CA00C2" w:rsidRDefault="00ED0BB6" w:rsidP="00ED0BB6">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2015</w:t>
      </w:r>
    </w:p>
    <w:p w14:paraId="78DF23AE" w14:textId="77777777" w:rsidR="00ED0BB6" w:rsidRPr="00E744A7" w:rsidRDefault="00ED0BB6" w:rsidP="00ED0BB6">
      <w:pPr>
        <w:numPr>
          <w:ilvl w:val="0"/>
          <w:numId w:val="5"/>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Court Expertise in Domestic Disputes</w:t>
      </w:r>
      <w:r w:rsidRPr="00E744A7">
        <w:rPr>
          <w:rFonts w:ascii="Times New Roman" w:hAnsi="Times New Roman" w:cs="Times New Roman"/>
          <w:color w:val="000000" w:themeColor="text1"/>
          <w:sz w:val="24"/>
          <w:szCs w:val="24"/>
          <w:lang w:val="en-GB"/>
        </w:rPr>
        <w:t xml:space="preserve"> </w:t>
      </w:r>
    </w:p>
    <w:p w14:paraId="78DF23AF" w14:textId="77777777" w:rsidR="00ED0BB6" w:rsidRPr="00E744A7" w:rsidRDefault="00ED0BB6" w:rsidP="00ED0BB6">
      <w:pPr>
        <w:numPr>
          <w:ilvl w:val="0"/>
          <w:numId w:val="5"/>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14th Consultation – The Child and the Pitfalls of Modern Times </w:t>
      </w:r>
    </w:p>
    <w:p w14:paraId="78DF23B0" w14:textId="77777777" w:rsidR="00ED0BB6" w:rsidRPr="00CA00C2" w:rsidRDefault="00ED0BB6" w:rsidP="00ED0BB6">
      <w:pPr>
        <w:ind w:left="360"/>
        <w:jc w:val="both"/>
        <w:rPr>
          <w:rFonts w:ascii="Times New Roman" w:hAnsi="Times New Roman" w:cs="Times New Roman"/>
          <w:color w:val="000000" w:themeColor="text1"/>
          <w:sz w:val="24"/>
          <w:szCs w:val="24"/>
          <w:lang w:val="en-GB"/>
        </w:rPr>
      </w:pPr>
    </w:p>
    <w:p w14:paraId="78DF23B1" w14:textId="77777777" w:rsidR="00ED0BB6" w:rsidRPr="00CA00C2" w:rsidRDefault="00ED0BB6" w:rsidP="00ED0BB6">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2016</w:t>
      </w:r>
    </w:p>
    <w:p w14:paraId="78DF23B2" w14:textId="77777777" w:rsidR="00ED0BB6" w:rsidRPr="00E744A7" w:rsidRDefault="00ED0BB6" w:rsidP="00ED0BB6">
      <w:pPr>
        <w:numPr>
          <w:ilvl w:val="0"/>
          <w:numId w:val="6"/>
        </w:numPr>
        <w:ind w:left="360"/>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15th</w:t>
      </w:r>
      <w:r w:rsidRPr="00E744A7">
        <w:rPr>
          <w:rFonts w:ascii="Times New Roman" w:hAnsi="Times New Roman" w:cs="Times New Roman"/>
          <w:bCs/>
          <w:color w:val="000000" w:themeColor="text1"/>
          <w:sz w:val="24"/>
          <w:szCs w:val="24"/>
          <w:vertAlign w:val="superscript"/>
          <w:lang w:val="en-GB"/>
        </w:rPr>
        <w:t xml:space="preserve"> </w:t>
      </w:r>
      <w:r w:rsidRPr="00E744A7">
        <w:rPr>
          <w:rFonts w:ascii="Times New Roman" w:hAnsi="Times New Roman" w:cs="Times New Roman"/>
          <w:bCs/>
          <w:color w:val="000000" w:themeColor="text1"/>
          <w:sz w:val="24"/>
          <w:szCs w:val="24"/>
          <w:lang w:val="en-GB"/>
        </w:rPr>
        <w:t xml:space="preserve">Consultation – Path to the Child Consultation on Clinical Psychology Expert Witnesses in Family Violence </w:t>
      </w:r>
    </w:p>
    <w:p w14:paraId="78DF23B3" w14:textId="77777777" w:rsidR="00ED0BB6" w:rsidRPr="00CA00C2" w:rsidRDefault="00ED0BB6" w:rsidP="00ED0BB6">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2017</w:t>
      </w:r>
    </w:p>
    <w:p w14:paraId="78DF23B4" w14:textId="77777777" w:rsidR="00ED0BB6" w:rsidRPr="00E744A7" w:rsidRDefault="00ED0BB6" w:rsidP="00ED0BB6">
      <w:pPr>
        <w:numPr>
          <w:ilvl w:val="0"/>
          <w:numId w:val="6"/>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Presentation of amendments to the Act Amending the Domestic Violence Prevention Act (ZPND-A) and the Istanbul Convention</w:t>
      </w:r>
      <w:r w:rsidRPr="00E744A7">
        <w:rPr>
          <w:rFonts w:ascii="Times New Roman" w:hAnsi="Times New Roman" w:cs="Times New Roman"/>
          <w:color w:val="000000" w:themeColor="text1"/>
          <w:sz w:val="24"/>
          <w:szCs w:val="24"/>
          <w:lang w:val="en-GB"/>
        </w:rPr>
        <w:t xml:space="preserve"> – a seminar for </w:t>
      </w:r>
      <w:r w:rsidRPr="00E744A7">
        <w:rPr>
          <w:rFonts w:ascii="Times New Roman" w:hAnsi="Times New Roman" w:cs="Times New Roman"/>
          <w:bCs/>
          <w:color w:val="000000" w:themeColor="text1"/>
          <w:sz w:val="24"/>
          <w:szCs w:val="24"/>
          <w:lang w:val="en-GB"/>
        </w:rPr>
        <w:t>Criminal Offences</w:t>
      </w:r>
    </w:p>
    <w:p w14:paraId="78DF23B5" w14:textId="77777777" w:rsidR="00ED0BB6" w:rsidRPr="00CA00C2" w:rsidRDefault="00ED0BB6" w:rsidP="00ED0BB6">
      <w:pPr>
        <w:numPr>
          <w:ilvl w:val="0"/>
          <w:numId w:val="6"/>
        </w:num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judges and judicial assistants at courts, professional assistants at social work centres and police representatives.</w:t>
      </w:r>
    </w:p>
    <w:p w14:paraId="78DF23B6" w14:textId="77777777" w:rsidR="00ED0BB6" w:rsidRPr="00CA00C2" w:rsidRDefault="00ED0BB6" w:rsidP="00ED0BB6">
      <w:pPr>
        <w:numPr>
          <w:ilvl w:val="0"/>
          <w:numId w:val="6"/>
        </w:numPr>
        <w:jc w:val="both"/>
        <w:rPr>
          <w:rFonts w:ascii="Times New Roman" w:hAnsi="Times New Roman" w:cs="Times New Roman"/>
          <w:color w:val="000000" w:themeColor="text1"/>
          <w:sz w:val="24"/>
          <w:szCs w:val="24"/>
          <w:lang w:val="en-GB"/>
        </w:rPr>
      </w:pPr>
      <w:r w:rsidRPr="00CA00C2">
        <w:rPr>
          <w:rFonts w:ascii="Times New Roman" w:hAnsi="Times New Roman" w:cs="Times New Roman"/>
          <w:b/>
          <w:bCs/>
          <w:color w:val="000000" w:themeColor="text1"/>
          <w:sz w:val="24"/>
          <w:szCs w:val="24"/>
          <w:lang w:val="en-GB"/>
        </w:rPr>
        <w:t xml:space="preserve">Interview with a Child in Court Proceedings – Forensic Interview – </w:t>
      </w:r>
      <w:r w:rsidRPr="00CA00C2">
        <w:rPr>
          <w:rFonts w:ascii="Times New Roman" w:hAnsi="Times New Roman" w:cs="Times New Roman"/>
          <w:color w:val="000000" w:themeColor="text1"/>
          <w:sz w:val="24"/>
          <w:szCs w:val="24"/>
          <w:lang w:val="en-GB"/>
        </w:rPr>
        <w:t>a three-day workshop for judges and judicial assistants at courts, public prosecutors and prosecutor assistants at state prosecutor’s offices, and state attorneys. The workshop presents the basics of the procedure of protecting a child who has been a victim or a crime witness. The roles of various professionals are presented when a child is involved, as well as international standards and protocols for preparing a child for a hearing and a forensic interview. Three workshops were held in cooperation with Unicef ​​Slovenia.</w:t>
      </w:r>
    </w:p>
    <w:p w14:paraId="78DF23B7" w14:textId="77777777" w:rsidR="00ED0BB6" w:rsidRPr="00E744A7" w:rsidRDefault="00ED0BB6" w:rsidP="00ED0BB6">
      <w:pPr>
        <w:numPr>
          <w:ilvl w:val="0"/>
          <w:numId w:val="6"/>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 xml:space="preserve">16th Consultation – On Behalf of the Child </w:t>
      </w:r>
    </w:p>
    <w:p w14:paraId="78DF23B8" w14:textId="77777777" w:rsidR="00ED0BB6" w:rsidRPr="00E744A7" w:rsidRDefault="00ED0BB6" w:rsidP="00ED0BB6">
      <w:pPr>
        <w:numPr>
          <w:ilvl w:val="0"/>
          <w:numId w:val="6"/>
        </w:numPr>
        <w:jc w:val="both"/>
        <w:rPr>
          <w:rFonts w:ascii="Times New Roman" w:hAnsi="Times New Roman" w:cs="Times New Roman"/>
          <w:color w:val="000000" w:themeColor="text1"/>
          <w:sz w:val="24"/>
          <w:szCs w:val="24"/>
          <w:lang w:val="en-GB"/>
        </w:rPr>
      </w:pPr>
      <w:r w:rsidRPr="00E744A7">
        <w:rPr>
          <w:rFonts w:ascii="Times New Roman" w:hAnsi="Times New Roman" w:cs="Times New Roman"/>
          <w:bCs/>
          <w:color w:val="000000" w:themeColor="text1"/>
          <w:sz w:val="24"/>
          <w:szCs w:val="24"/>
          <w:lang w:val="en-GB"/>
        </w:rPr>
        <w:t>Special preparatory seminar for clinical psychologists</w:t>
      </w:r>
      <w:r w:rsidRPr="00E744A7">
        <w:rPr>
          <w:rFonts w:ascii="Times New Roman" w:hAnsi="Times New Roman" w:cs="Times New Roman"/>
          <w:color w:val="000000" w:themeColor="text1"/>
          <w:sz w:val="24"/>
          <w:szCs w:val="24"/>
          <w:lang w:val="en-GB"/>
        </w:rPr>
        <w:t xml:space="preserve"> – a seminar for expert witnesses.</w:t>
      </w:r>
    </w:p>
    <w:p w14:paraId="78DF23B9" w14:textId="77777777" w:rsidR="00046852" w:rsidRDefault="00046852" w:rsidP="001573CB">
      <w:pPr>
        <w:ind w:left="360"/>
        <w:jc w:val="both"/>
        <w:rPr>
          <w:rFonts w:ascii="Times New Roman" w:hAnsi="Times New Roman" w:cs="Times New Roman"/>
          <w:color w:val="000000" w:themeColor="text1"/>
          <w:sz w:val="24"/>
          <w:szCs w:val="24"/>
          <w:lang w:val="en-GB"/>
        </w:rPr>
      </w:pPr>
    </w:p>
    <w:p w14:paraId="78DF23BA" w14:textId="77777777" w:rsidR="00E15957" w:rsidRPr="00E744A7" w:rsidRDefault="00541F2F" w:rsidP="00E15957">
      <w:pPr>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3. </w:t>
      </w:r>
      <w:r w:rsidR="00E15957" w:rsidRPr="00E744A7">
        <w:rPr>
          <w:rFonts w:ascii="Times New Roman" w:hAnsi="Times New Roman" w:cs="Times New Roman"/>
          <w:b/>
          <w:sz w:val="24"/>
          <w:szCs w:val="24"/>
          <w:lang w:val="en-GB"/>
        </w:rPr>
        <w:t xml:space="preserve">Detailed list of various trainings carried out on the area of combating human trafficking: </w:t>
      </w:r>
    </w:p>
    <w:p w14:paraId="78DF23BB" w14:textId="77777777" w:rsidR="00E15957" w:rsidRDefault="00E15957" w:rsidP="00E15957">
      <w:pPr>
        <w:jc w:val="both"/>
        <w:rPr>
          <w:rFonts w:ascii="Times New Roman" w:hAnsi="Times New Roman" w:cs="Times New Roman"/>
          <w:sz w:val="24"/>
          <w:szCs w:val="24"/>
          <w:lang w:val="en-GB"/>
        </w:rPr>
      </w:pPr>
    </w:p>
    <w:p w14:paraId="78DF23BC"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color w:val="000000" w:themeColor="text1"/>
          <w:sz w:val="24"/>
          <w:szCs w:val="24"/>
          <w:lang w:val="en-GB"/>
        </w:rPr>
        <w:t xml:space="preserve">In 2015 and 2016, the Organised Crime Division of the Criminal Police Directorate provided training for criminal investigators from regional criminal police divisions (hereinafter: CPD), who investigate crimes of human trafficking. The topic of the training course was the ​​identification and implementation of procedures with victims of human trafficking. The training course was attended by 36 criminal investigators in 2015, 42 in 2016, 53 in 2017 and 49 in 2018 from all regional CPDs and the General Police Directorate. The representatives of the Specialised State Prosecutor’s Office, the Ljubljana District Court, the Labour Inspectorate of the Republic of Slovenia and non-governmental organisations also participated in the course. </w:t>
      </w:r>
    </w:p>
    <w:p w14:paraId="78DF23BD"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color w:val="000000" w:themeColor="text1"/>
          <w:sz w:val="24"/>
          <w:szCs w:val="24"/>
          <w:lang w:val="en-GB"/>
        </w:rPr>
        <w:t xml:space="preserve">The Criminal Police Directorate at the General Police Directorate, in cooperation with the Police Academy, held basic training on human trafficking and how to recognise the indicators of various forms of human trafficking for candidates for state border police officers. The training course was attended by 144 candidates for state border police officers in 2015, 121 in 2016, 54 in 2017 and 70 in 2018. Furthermore, candidates took part in basic training for criminal police officers. </w:t>
      </w:r>
    </w:p>
    <w:p w14:paraId="78DF23BE"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color w:val="000000" w:themeColor="text1"/>
          <w:sz w:val="24"/>
          <w:szCs w:val="24"/>
          <w:lang w:val="en-GB"/>
        </w:rPr>
        <w:t>The Criminal Police Directorate at the General Police Directorate, in cooperation with an NGO, held one-day training for criminal investigators and police officers on how to deal with victims of human trafficking. In 2016, the training course was attended by 47 criminal investigators and police officers from all eight police directorates.</w:t>
      </w:r>
    </w:p>
    <w:p w14:paraId="78DF23BF" w14:textId="77777777" w:rsidR="00E15957" w:rsidRPr="00CA00C2" w:rsidRDefault="00E15957" w:rsidP="00E15957">
      <w:pPr>
        <w:jc w:val="both"/>
        <w:rPr>
          <w:rFonts w:ascii="Times New Roman" w:hAnsi="Times New Roman" w:cs="Times New Roman"/>
          <w:sz w:val="24"/>
          <w:szCs w:val="24"/>
          <w:lang w:val="en-GB"/>
        </w:rPr>
      </w:pPr>
      <w:r w:rsidRPr="00CA00C2">
        <w:rPr>
          <w:rFonts w:ascii="Times New Roman" w:hAnsi="Times New Roman" w:cs="Times New Roman"/>
          <w:color w:val="000000" w:themeColor="text1"/>
          <w:sz w:val="24"/>
          <w:szCs w:val="24"/>
          <w:lang w:val="en-GB"/>
        </w:rPr>
        <w:t>State prosecutors at the Specialised State Prosecutor’s Office attended training courses on human trafficking held abroad as well as the courses organised by the Police and the Slovenian Financial Administration (FURS). They actively participated with their own presentations and experience.</w:t>
      </w:r>
      <w:r w:rsidRPr="00CA00C2">
        <w:rPr>
          <w:rFonts w:ascii="Times New Roman" w:hAnsi="Times New Roman" w:cs="Times New Roman"/>
          <w:sz w:val="24"/>
          <w:szCs w:val="24"/>
          <w:lang w:val="en-GB"/>
        </w:rPr>
        <w:t xml:space="preserve"> </w:t>
      </w:r>
    </w:p>
    <w:p w14:paraId="78DF23C0"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color w:val="000000" w:themeColor="text1"/>
          <w:sz w:val="24"/>
          <w:szCs w:val="24"/>
          <w:lang w:val="en-GB"/>
        </w:rPr>
        <w:t xml:space="preserve">On 9–10 May 2016, a School of European Law was organised in Portorož by the Judicial Training Centre. It included a section on human trafficking, in which the national coordinator </w:t>
      </w:r>
      <w:r>
        <w:rPr>
          <w:rFonts w:ascii="Times New Roman" w:hAnsi="Times New Roman" w:cs="Times New Roman"/>
          <w:color w:val="000000" w:themeColor="text1"/>
          <w:sz w:val="24"/>
          <w:szCs w:val="24"/>
          <w:lang w:val="en-GB"/>
        </w:rPr>
        <w:t xml:space="preserve">for combat against human trafficking </w:t>
      </w:r>
      <w:r w:rsidRPr="00CA00C2">
        <w:rPr>
          <w:rFonts w:ascii="Times New Roman" w:hAnsi="Times New Roman" w:cs="Times New Roman"/>
          <w:color w:val="000000" w:themeColor="text1"/>
          <w:sz w:val="24"/>
          <w:szCs w:val="24"/>
          <w:lang w:val="en-GB"/>
        </w:rPr>
        <w:t xml:space="preserve">gave a presentation entitled "A critical view of the problem of human trafficking in Slovenia taking into account international recommendations and EU legislation". The section was attended by 40 judges and prosecutors. </w:t>
      </w:r>
    </w:p>
    <w:p w14:paraId="78DF23C1"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sz w:val="24"/>
          <w:szCs w:val="24"/>
          <w:lang w:val="en-GB"/>
        </w:rPr>
        <w:t>On 31 May 2018, a lecture on the forms of human trafficking was held for investigating judges in the context of a seminar, which was attended by 53 persons. Regular annual training for judges was held on 17 October 2018 and 23 November 2018. Within the topic "Trafficking in human beings – visibility of the phenomenon in society", the national coordinator presented to the participants measures to ensure access to compensation for victims of human trafficking and informed them of GRETA’s recommendations in this regard. The first training course was attended by 132 persons and the second by 145 persons.</w:t>
      </w:r>
    </w:p>
    <w:p w14:paraId="78DF23C2"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color w:val="000000" w:themeColor="text1"/>
          <w:sz w:val="24"/>
          <w:szCs w:val="24"/>
          <w:lang w:val="en-GB"/>
        </w:rPr>
        <w:t xml:space="preserve">Each year, the Labour Inspectorate organises professional training for all labour inspectors on combating human trafficking. In addition to the national coordinator for combating human trafficking, representatives of the Specialised State Prosecutor’s Office and the Police participated in carrying out the training course, which was primarily focused on forms of human trafficking and recognising the signs thereof. </w:t>
      </w:r>
    </w:p>
    <w:p w14:paraId="78DF23C3" w14:textId="77777777" w:rsidR="00E15957" w:rsidRPr="00CA00C2" w:rsidRDefault="00E15957" w:rsidP="00E15957">
      <w:pPr>
        <w:jc w:val="both"/>
        <w:rPr>
          <w:rFonts w:ascii="Times New Roman" w:hAnsi="Times New Roman" w:cs="Times New Roman"/>
          <w:bCs/>
          <w:color w:val="000000" w:themeColor="text1"/>
          <w:sz w:val="24"/>
          <w:szCs w:val="24"/>
          <w:lang w:val="en-GB"/>
        </w:rPr>
      </w:pPr>
      <w:r w:rsidRPr="00CA00C2">
        <w:rPr>
          <w:rFonts w:ascii="Times New Roman" w:hAnsi="Times New Roman" w:cs="Times New Roman"/>
          <w:sz w:val="24"/>
          <w:szCs w:val="24"/>
          <w:lang w:val="en-GB"/>
        </w:rPr>
        <w:t>Each year, the Financial Administration of the Republic of Slovenia (FURS) also provides professional training for employees of mobile departments, inspectors and FURS staff on combating human trafficking. The national coordinator and representatives of the Police, the Specialised State Prosecutor's Office and non-governmental organisations participated in the organisation of training.</w:t>
      </w:r>
    </w:p>
    <w:p w14:paraId="78DF23C4" w14:textId="77777777" w:rsidR="00E15957" w:rsidRPr="00CA00C2" w:rsidRDefault="00E15957" w:rsidP="00E15957">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 xml:space="preserve">Within the Programme for Exercising the Public Powers of the Social Chamber financed by the MDDSZ, the Social Chamber of the Republic of Slovenia holds annual training on work with migrants and victims of human trafficking for SWC professionals and assistants. In 2017, two training courses were held: the first seminar was held in May and was attended by 32 SWC professionals and assistants, and the seminar in December was attended by 34 participants. </w:t>
      </w:r>
      <w:r>
        <w:rPr>
          <w:rFonts w:ascii="Times New Roman" w:hAnsi="Times New Roman" w:cs="Times New Roman"/>
          <w:color w:val="000000" w:themeColor="text1"/>
          <w:sz w:val="24"/>
          <w:szCs w:val="24"/>
          <w:lang w:val="en-GB"/>
        </w:rPr>
        <w:t xml:space="preserve">The seminar was also held in </w:t>
      </w:r>
      <w:r w:rsidRPr="00CA00C2">
        <w:rPr>
          <w:rFonts w:ascii="Times New Roman" w:hAnsi="Times New Roman" w:cs="Times New Roman"/>
          <w:color w:val="000000" w:themeColor="text1"/>
          <w:sz w:val="24"/>
          <w:szCs w:val="24"/>
          <w:lang w:val="en-GB"/>
        </w:rPr>
        <w:t>2018</w:t>
      </w:r>
      <w:r>
        <w:rPr>
          <w:rFonts w:ascii="Times New Roman" w:hAnsi="Times New Roman" w:cs="Times New Roman"/>
          <w:color w:val="000000" w:themeColor="text1"/>
          <w:sz w:val="24"/>
          <w:szCs w:val="24"/>
          <w:lang w:val="en-GB"/>
        </w:rPr>
        <w:t xml:space="preserve">. </w:t>
      </w:r>
    </w:p>
    <w:p w14:paraId="78DF23C5" w14:textId="77777777" w:rsidR="00E15957" w:rsidRPr="00CA00C2" w:rsidRDefault="00E15957" w:rsidP="00E15957">
      <w:pPr>
        <w:pStyle w:val="Default"/>
        <w:jc w:val="both"/>
        <w:rPr>
          <w:rFonts w:ascii="Times New Roman" w:hAnsi="Times New Roman" w:cs="Times New Roman"/>
          <w:lang w:val="en-GB"/>
        </w:rPr>
      </w:pPr>
      <w:r w:rsidRPr="00CA00C2">
        <w:rPr>
          <w:rFonts w:ascii="Times New Roman" w:hAnsi="Times New Roman" w:cs="Times New Roman"/>
          <w:lang w:val="en-GB"/>
        </w:rPr>
        <w:t xml:space="preserve">The course on raising the awareness and training of staff of administrative units to promote early detection and prevention of human trafficking was held for the first time in 2018. In total, the course was attended by 181 public employees from administrative units performing work and tasks involving the issuing of residence permits to foreign nationals of third countries and the heads of administrative units who are members of the internal affairs and transport working group. </w:t>
      </w:r>
    </w:p>
    <w:p w14:paraId="78DF23C6" w14:textId="77777777" w:rsidR="00E15957" w:rsidRPr="00CA00C2" w:rsidRDefault="00E15957" w:rsidP="00E15957">
      <w:pPr>
        <w:pStyle w:val="Default"/>
        <w:jc w:val="both"/>
        <w:rPr>
          <w:rFonts w:ascii="Times New Roman" w:hAnsi="Times New Roman" w:cs="Times New Roman"/>
          <w:lang w:val="en-GB"/>
        </w:rPr>
      </w:pPr>
    </w:p>
    <w:p w14:paraId="78DF23C7" w14:textId="77777777" w:rsidR="00E15957" w:rsidRPr="00CA00C2" w:rsidRDefault="00E15957" w:rsidP="00E15957">
      <w:pPr>
        <w:pStyle w:val="Default"/>
        <w:jc w:val="both"/>
        <w:rPr>
          <w:rFonts w:ascii="Times New Roman" w:hAnsi="Times New Roman" w:cs="Times New Roman"/>
          <w:color w:val="000000" w:themeColor="text1"/>
          <w:lang w:val="en-GB"/>
        </w:rPr>
      </w:pPr>
      <w:r w:rsidRPr="00CA00C2">
        <w:rPr>
          <w:rFonts w:ascii="Times New Roman" w:hAnsi="Times New Roman" w:cs="Times New Roman"/>
          <w:lang w:val="en-GB"/>
        </w:rPr>
        <w:t>The Ministry of Foreign Affairs regularly performs activities to raise awareness and educate consular staff (regular annual and regional consular consultations, preparations for consular service at diplomatic missions and consular posts) and diplomats prior to leaving for service abroad on the forms of human trafficking.</w:t>
      </w:r>
    </w:p>
    <w:p w14:paraId="78DF23C8" w14:textId="77777777" w:rsidR="00E15957" w:rsidRPr="00CA00C2" w:rsidRDefault="00E15957" w:rsidP="00E15957">
      <w:pPr>
        <w:jc w:val="both"/>
        <w:rPr>
          <w:rFonts w:ascii="Times New Roman" w:hAnsi="Times New Roman" w:cs="Times New Roman"/>
          <w:color w:val="000000" w:themeColor="text1"/>
          <w:sz w:val="24"/>
          <w:szCs w:val="24"/>
          <w:lang w:val="en-GB"/>
        </w:rPr>
      </w:pPr>
    </w:p>
    <w:p w14:paraId="78DF23C9" w14:textId="77777777" w:rsidR="00E15957" w:rsidRPr="00CA00C2" w:rsidRDefault="00E15957" w:rsidP="00E15957">
      <w:pPr>
        <w:jc w:val="both"/>
        <w:rPr>
          <w:rFonts w:ascii="Times New Roman" w:hAnsi="Times New Roman" w:cs="Times New Roman"/>
          <w:color w:val="000000" w:themeColor="text1"/>
          <w:sz w:val="24"/>
          <w:szCs w:val="24"/>
          <w:lang w:val="en-GB"/>
        </w:rPr>
      </w:pPr>
      <w:r w:rsidRPr="00CA00C2">
        <w:rPr>
          <w:rFonts w:ascii="Times New Roman" w:hAnsi="Times New Roman" w:cs="Times New Roman"/>
          <w:color w:val="000000" w:themeColor="text1"/>
          <w:sz w:val="24"/>
          <w:szCs w:val="24"/>
          <w:lang w:val="en-GB"/>
        </w:rPr>
        <w:t>Under the contract on co-financing the project "Providing Assistance to Victims of Human Trafficking – Crisis Accommodation" in 2016 and 2017, Caritas Slovenia held a three-hour training session for the statutory representatives of unaccompanied minors entitled "Trafficking in Human Beings – Assistance and Protection of Victims". The training was attended by 28 statutory representatives in 2016 and 13 in 2017.</w:t>
      </w:r>
    </w:p>
    <w:p w14:paraId="78DF23CA" w14:textId="77777777" w:rsidR="00E15957" w:rsidRDefault="00E15957" w:rsidP="00E15957">
      <w:pPr>
        <w:jc w:val="both"/>
        <w:rPr>
          <w:rFonts w:ascii="Times New Roman" w:hAnsi="Times New Roman" w:cs="Times New Roman"/>
          <w:color w:val="000000" w:themeColor="text1"/>
          <w:sz w:val="24"/>
          <w:szCs w:val="24"/>
          <w:lang w:val="en-GB"/>
        </w:rPr>
      </w:pPr>
    </w:p>
    <w:p w14:paraId="78DF23CB" w14:textId="77777777" w:rsidR="00FC295F" w:rsidRDefault="00FC295F" w:rsidP="00E15957">
      <w:pPr>
        <w:jc w:val="both"/>
        <w:rPr>
          <w:rFonts w:ascii="Times New Roman" w:hAnsi="Times New Roman" w:cs="Times New Roman"/>
          <w:color w:val="000000" w:themeColor="text1"/>
          <w:sz w:val="24"/>
          <w:szCs w:val="24"/>
          <w:lang w:val="en-GB"/>
        </w:rPr>
      </w:pPr>
    </w:p>
    <w:p w14:paraId="78DF23CC" w14:textId="77777777" w:rsidR="00FC295F" w:rsidRDefault="00FC295F" w:rsidP="00E15957">
      <w:pPr>
        <w:jc w:val="both"/>
        <w:rPr>
          <w:rFonts w:ascii="Times New Roman" w:hAnsi="Times New Roman" w:cs="Times New Roman"/>
          <w:color w:val="000000" w:themeColor="text1"/>
          <w:sz w:val="24"/>
          <w:szCs w:val="24"/>
          <w:lang w:val="en-GB"/>
        </w:rPr>
      </w:pPr>
    </w:p>
    <w:p w14:paraId="78DF23CD" w14:textId="77777777" w:rsidR="00FC295F" w:rsidRDefault="00FC295F" w:rsidP="00FC295F">
      <w:pPr>
        <w:rPr>
          <w:lang w:val="en-GB"/>
        </w:rPr>
      </w:pPr>
    </w:p>
    <w:p w14:paraId="78DF23CE" w14:textId="77777777" w:rsidR="00FC295F" w:rsidRPr="00011E65" w:rsidRDefault="00FC295F" w:rsidP="00FC295F">
      <w:pPr>
        <w:rPr>
          <w:rFonts w:ascii="Times New Roman" w:hAnsi="Times New Roman" w:cs="Times New Roman"/>
          <w:b/>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Pr="00011E65">
        <w:rPr>
          <w:rFonts w:ascii="Times New Roman" w:hAnsi="Times New Roman" w:cs="Times New Roman"/>
          <w:b/>
          <w:lang w:val="en-GB"/>
        </w:rPr>
        <w:t xml:space="preserve">Annex </w:t>
      </w:r>
      <w:r w:rsidR="00B7326E">
        <w:rPr>
          <w:rFonts w:ascii="Times New Roman" w:hAnsi="Times New Roman" w:cs="Times New Roman"/>
          <w:b/>
          <w:lang w:val="en-GB"/>
        </w:rPr>
        <w:t>4</w:t>
      </w:r>
    </w:p>
    <w:p w14:paraId="78DF23CF" w14:textId="77777777" w:rsidR="00FC295F" w:rsidRDefault="00FC295F" w:rsidP="00FC295F">
      <w:pPr>
        <w:rPr>
          <w:lang w:val="en-GB"/>
        </w:rPr>
      </w:pPr>
    </w:p>
    <w:p w14:paraId="78DF23D0" w14:textId="77777777" w:rsidR="00FC295F" w:rsidRPr="00CA00C2" w:rsidRDefault="00FC295F" w:rsidP="00FC295F">
      <w:pPr>
        <w:spacing w:after="200" w:line="254" w:lineRule="auto"/>
        <w:jc w:val="both"/>
        <w:rPr>
          <w:rFonts w:ascii="Times New Roman" w:eastAsia="Times New Roman" w:hAnsi="Times New Roman" w:cs="Times New Roman"/>
          <w:color w:val="000000"/>
          <w:sz w:val="24"/>
          <w:szCs w:val="24"/>
          <w:lang w:val="en-GB"/>
        </w:rPr>
      </w:pPr>
      <w:r w:rsidRPr="00CA00C2">
        <w:rPr>
          <w:rFonts w:ascii="Times New Roman" w:eastAsia="Times New Roman" w:hAnsi="Times New Roman" w:cs="Times New Roman"/>
          <w:color w:val="000000"/>
          <w:sz w:val="24"/>
          <w:szCs w:val="24"/>
          <w:lang w:val="en-GB"/>
        </w:rPr>
        <w:t>The annual trend in the total number of prisoners shows that the average number of persons in prison or on remand in 2014–2017 decreased: 1,511 (2014); 1,463 (2015); 1,377 (2016); 1,348 (2017). During the whole of 2018, on average 1,353 people were in prison daily, which is 0.4% or 5 more than in 2017.</w:t>
      </w:r>
      <w:r w:rsidRPr="00CA00C2">
        <w:rPr>
          <w:rFonts w:ascii="Calibri" w:eastAsia="Times New Roman" w:hAnsi="Calibri" w:cs="Times New Roman"/>
          <w:color w:val="000000"/>
          <w:lang w:val="en-GB"/>
        </w:rPr>
        <w:t xml:space="preserve"> </w:t>
      </w:r>
    </w:p>
    <w:p w14:paraId="78DF23D1" w14:textId="77777777" w:rsidR="00FC295F" w:rsidRDefault="00FC295F" w:rsidP="00FC295F">
      <w:pPr>
        <w:spacing w:after="200" w:line="254" w:lineRule="auto"/>
        <w:jc w:val="both"/>
        <w:rPr>
          <w:rFonts w:ascii="Times New Roman" w:eastAsia="Times New Roman" w:hAnsi="Times New Roman" w:cs="Times New Roman"/>
          <w:sz w:val="24"/>
          <w:szCs w:val="24"/>
          <w:lang w:val="en-GB"/>
        </w:rPr>
      </w:pPr>
      <w:r w:rsidRPr="00D3593A">
        <w:rPr>
          <w:rFonts w:ascii="Times New Roman" w:hAnsi="Times New Roman" w:cs="Times New Roman"/>
          <w:sz w:val="24"/>
          <w:szCs w:val="24"/>
          <w:lang w:val="en-GB"/>
        </w:rPr>
        <w:t>Regarding alternative forms of imprisonment, the figures are as follows: on average, 48.6 persons were imprisoned for the weekend (weekend jail) and 4.9 persons were under house arrest (data for 2018). In 2018, 53 newly convicted persons or 108 convicted persons were in jail for the weekend. As many as 55 convicted persons were serving a weekend jail sentence as at 1 January 2018 and 50 convicted persons as at 31 December 2018.The competent court modified the prison sentence to house arrest for 25 convicted persons and to community service for 14 convicted persons.</w:t>
      </w:r>
      <w:r w:rsidRPr="00D3593A">
        <w:rPr>
          <w:rFonts w:ascii="Times New Roman" w:eastAsia="Times New Roman" w:hAnsi="Times New Roman" w:cs="Times New Roman"/>
          <w:sz w:val="24"/>
          <w:szCs w:val="24"/>
          <w:lang w:val="en-GB"/>
        </w:rPr>
        <w:t xml:space="preserve"> </w:t>
      </w:r>
    </w:p>
    <w:p w14:paraId="78DF23D2" w14:textId="77777777" w:rsidR="00FC295F" w:rsidRPr="00CA00C2" w:rsidRDefault="00FC295F" w:rsidP="00FC295F">
      <w:pPr>
        <w:spacing w:line="254" w:lineRule="auto"/>
        <w:jc w:val="both"/>
        <w:rPr>
          <w:rFonts w:ascii="Times New Roman" w:eastAsia="Times New Roman" w:hAnsi="Times New Roman" w:cs="Times New Roman"/>
          <w:sz w:val="24"/>
          <w:szCs w:val="24"/>
          <w:lang w:val="en-GB"/>
        </w:rPr>
      </w:pPr>
      <w:r w:rsidRPr="00CA00C2">
        <w:rPr>
          <w:rFonts w:ascii="Times New Roman" w:eastAsia="Times New Roman" w:hAnsi="Times New Roman" w:cs="Times New Roman"/>
          <w:sz w:val="24"/>
          <w:szCs w:val="24"/>
          <w:lang w:val="en-GB"/>
        </w:rPr>
        <w:t xml:space="preserve">The Probation Administration started operating on 1 January 2018, while its operative function (probation units) began on 1 April 2018. The Prison Administration took over 488 cases (most of which were criminal cases where the prison sentence was substituted for community service, suspended sentence with custodial supervision and conditional release with custodial supervision) from the social work centres, which were in charge of enforcing alternative sentences before the establishment of the Prison Administration. Between 1 April and 31 December 2018 (8 months), the Prison Administration received an additional 1,638 cases; as at the year-end, there were 2,126 cases pending,  of which 63% were criminal cases and 37% were minor offence cases. In 2017, the situation at social work centres was different, with 57% of minor offence cases and 43% of criminal cases pending. The Prison Administration saw an upward trend throughout 2018. The fact that the use of alternative sentences is increasing is also confirmed by the data that at the end of 2018 the Prison Administration recorded a 110% increase in the number of convicted persons released on parole with custodial supervision compared with 2017. In practice, this means that probation helps disburden the prison system. The average workload of probation employees was 78.1 cases per probation counsellor. </w:t>
      </w:r>
    </w:p>
    <w:p w14:paraId="78DF23D3" w14:textId="77777777" w:rsidR="00FC295F" w:rsidRPr="00CA00C2" w:rsidRDefault="00FC295F" w:rsidP="00FC295F">
      <w:pPr>
        <w:spacing w:line="254" w:lineRule="auto"/>
        <w:jc w:val="both"/>
        <w:rPr>
          <w:rFonts w:ascii="Times New Roman" w:eastAsia="Times New Roman" w:hAnsi="Times New Roman" w:cs="Times New Roman"/>
          <w:sz w:val="24"/>
          <w:szCs w:val="24"/>
          <w:lang w:val="en-GB"/>
        </w:rPr>
      </w:pPr>
      <w:r w:rsidRPr="00CA00C2">
        <w:rPr>
          <w:rFonts w:ascii="Times New Roman" w:eastAsia="Times New Roman" w:hAnsi="Times New Roman" w:cs="Times New Roman"/>
          <w:sz w:val="24"/>
          <w:szCs w:val="24"/>
          <w:lang w:val="en-GB"/>
        </w:rPr>
        <w:t xml:space="preserve">The highest number of tasks of the Prison Administration involved enforcement of community sentences (75.7% – as a substitute for imprisonment and instead of paying a fine in a minor offence proceeding – the proportion between them was 37.6% as a substitute for imprisonment and 38.1% as a substitute for a fine), followed by suspended sentence with custodial supervision (11%) and other probation tasks. </w:t>
      </w:r>
    </w:p>
    <w:p w14:paraId="78DF23D4" w14:textId="77777777" w:rsidR="00FC295F" w:rsidRDefault="00FC295F" w:rsidP="00FC295F">
      <w:pPr>
        <w:spacing w:after="200" w:line="254" w:lineRule="auto"/>
        <w:jc w:val="both"/>
        <w:rPr>
          <w:rFonts w:ascii="Calibri" w:eastAsia="Times New Roman" w:hAnsi="Calibri" w:cs="Times New Roman"/>
          <w:lang w:val="en-GB"/>
        </w:rPr>
      </w:pPr>
      <w:r w:rsidRPr="00CA00C2">
        <w:rPr>
          <w:rFonts w:ascii="Times New Roman" w:eastAsia="Times New Roman" w:hAnsi="Times New Roman" w:cs="Times New Roman"/>
          <w:sz w:val="24"/>
          <w:szCs w:val="24"/>
          <w:lang w:val="en-GB"/>
        </w:rPr>
        <w:t>Prosecutors have a number of options available to conclude a case without lengthy criminal proceedings, with the consent of the injured party, provided the perpetrator performs the agreed community service or similar work (such alternatives are deferred prosecution and settlement, in particular). According to the 2017 Joint Annual Report on the Work of State Prosecutor's Offices, the courts delivered 7,814 judgements, including 6,796 convictions (86%), with suspended sentences issued in 71% of cases. In 2017, an alternative for prosecution was used for 3,969 suspects, based on which criminal complaints for 2,295 suspects were dismissed. Deferred prosecution was used for 2,845 suspects; prosecution was deferred for 1,670 suspects, while 1,247 suspects filled out the application filed by a state prosecutor. Settlement proceedings began in 815 cases; settlement was reached in 497 cases and completed in 264 cases.</w:t>
      </w:r>
      <w:r w:rsidRPr="00CA00C2">
        <w:rPr>
          <w:rFonts w:ascii="Calibri" w:eastAsia="Times New Roman" w:hAnsi="Calibri" w:cs="Times New Roman"/>
          <w:lang w:val="en-GB"/>
        </w:rPr>
        <w:t xml:space="preserve"> </w:t>
      </w:r>
    </w:p>
    <w:p w14:paraId="78DF23D5" w14:textId="77777777" w:rsidR="00FC295F" w:rsidRDefault="00FC295F" w:rsidP="00FC295F">
      <w:pPr>
        <w:spacing w:after="200" w:line="254" w:lineRule="auto"/>
        <w:jc w:val="both"/>
        <w:rPr>
          <w:rFonts w:ascii="Times New Roman" w:eastAsia="Times New Roman" w:hAnsi="Times New Roman" w:cs="Times New Roman"/>
          <w:sz w:val="24"/>
          <w:szCs w:val="24"/>
          <w:lang w:val="en-GB"/>
        </w:rPr>
      </w:pPr>
    </w:p>
    <w:p w14:paraId="78DF23D6" w14:textId="77777777" w:rsidR="00FC295F" w:rsidRPr="00CA00C2" w:rsidRDefault="00FC295F" w:rsidP="00FC295F">
      <w:pPr>
        <w:spacing w:after="200" w:line="254" w:lineRule="auto"/>
        <w:jc w:val="both"/>
        <w:rPr>
          <w:rFonts w:ascii="Times New Roman" w:eastAsia="Times New Roman" w:hAnsi="Times New Roman" w:cs="Times New Roman"/>
          <w:sz w:val="24"/>
          <w:szCs w:val="24"/>
          <w:lang w:val="en-GB"/>
        </w:rPr>
      </w:pPr>
      <w:r w:rsidRPr="00CA00C2">
        <w:rPr>
          <w:rFonts w:ascii="Times New Roman" w:eastAsia="Times New Roman" w:hAnsi="Times New Roman" w:cs="Times New Roman"/>
          <w:sz w:val="24"/>
          <w:szCs w:val="24"/>
          <w:lang w:val="en-GB"/>
        </w:rPr>
        <w:t xml:space="preserve">The average number of prisoners has decreased in recent years (956), whereas the average number of remand prisoners has increased (317.8). </w:t>
      </w:r>
    </w:p>
    <w:p w14:paraId="78DF23D7" w14:textId="77777777" w:rsidR="00FC295F" w:rsidRPr="00CA00C2" w:rsidRDefault="00FC295F" w:rsidP="00FC295F">
      <w:pPr>
        <w:spacing w:after="200" w:line="254" w:lineRule="auto"/>
        <w:jc w:val="both"/>
        <w:rPr>
          <w:rFonts w:ascii="Times New Roman" w:eastAsia="Times New Roman" w:hAnsi="Times New Roman" w:cs="Times New Roman"/>
          <w:sz w:val="24"/>
          <w:szCs w:val="24"/>
          <w:lang w:val="en-GB"/>
        </w:rPr>
      </w:pPr>
      <w:r w:rsidRPr="00CA00C2">
        <w:rPr>
          <w:rFonts w:ascii="Times New Roman" w:eastAsia="Times New Roman" w:hAnsi="Times New Roman" w:cs="Times New Roman"/>
          <w:sz w:val="24"/>
          <w:szCs w:val="24"/>
          <w:lang w:val="en-GB"/>
        </w:rPr>
        <w:t>Average number of prisoners 2005–2018:</w:t>
      </w:r>
    </w:p>
    <w:p w14:paraId="78DF23D8" w14:textId="77777777" w:rsidR="00FC295F" w:rsidRDefault="00FC295F" w:rsidP="00FC295F">
      <w:pPr>
        <w:spacing w:after="200" w:line="254" w:lineRule="auto"/>
        <w:jc w:val="both"/>
        <w:rPr>
          <w:rFonts w:ascii="Times New Roman" w:eastAsia="Times New Roman" w:hAnsi="Times New Roman" w:cs="Times New Roman"/>
          <w:color w:val="FF0000"/>
          <w:sz w:val="24"/>
          <w:szCs w:val="24"/>
          <w:lang w:val="en-GB"/>
        </w:rPr>
      </w:pPr>
    </w:p>
    <w:p w14:paraId="78DF23D9" w14:textId="77777777" w:rsidR="00FC295F" w:rsidRPr="00D3593A" w:rsidRDefault="00FC295F" w:rsidP="00FC295F">
      <w:pPr>
        <w:spacing w:after="200" w:line="254" w:lineRule="auto"/>
        <w:jc w:val="both"/>
        <w:rPr>
          <w:rFonts w:ascii="Times New Roman" w:eastAsia="Times New Roman" w:hAnsi="Times New Roman" w:cs="Times New Roman"/>
          <w:color w:val="FF0000"/>
          <w:sz w:val="24"/>
          <w:szCs w:val="24"/>
          <w:lang w:val="en-GB"/>
        </w:rPr>
      </w:pPr>
      <w:r w:rsidRPr="00CA00C2">
        <w:rPr>
          <w:rFonts w:ascii="Times New Roman" w:eastAsia="Calibri" w:hAnsi="Times New Roman" w:cs="Times New Roman"/>
          <w:noProof/>
          <w:szCs w:val="20"/>
          <w:lang w:val="en-GB" w:eastAsia="en-GB"/>
        </w:rPr>
        <w:drawing>
          <wp:inline distT="0" distB="0" distL="0" distR="0" wp14:anchorId="78DF2529" wp14:editId="78DF252A">
            <wp:extent cx="5760720" cy="2233192"/>
            <wp:effectExtent l="0" t="0" r="11430" b="15240"/>
            <wp:docPr id="1" name="Grafikon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DF23DA" w14:textId="77777777" w:rsidR="00FC295F" w:rsidRDefault="00FC295F" w:rsidP="00FC295F">
      <w:pPr>
        <w:rPr>
          <w:lang w:val="en-GB"/>
        </w:rPr>
      </w:pPr>
    </w:p>
    <w:p w14:paraId="78DF23DB" w14:textId="77777777" w:rsidR="00FC295F" w:rsidRPr="00CA00C2" w:rsidRDefault="00FC295F" w:rsidP="00FC295F">
      <w:pPr>
        <w:spacing w:after="200" w:line="254" w:lineRule="auto"/>
        <w:jc w:val="both"/>
        <w:rPr>
          <w:rFonts w:ascii="Times New Roman" w:eastAsia="Times New Roman" w:hAnsi="Times New Roman" w:cs="Times New Roman"/>
          <w:color w:val="000000"/>
          <w:sz w:val="24"/>
          <w:szCs w:val="24"/>
          <w:lang w:val="en-GB"/>
        </w:rPr>
      </w:pPr>
      <w:r w:rsidRPr="00CA00C2">
        <w:rPr>
          <w:rFonts w:ascii="Times New Roman" w:eastAsia="Times New Roman" w:hAnsi="Times New Roman" w:cs="Times New Roman"/>
          <w:color w:val="000000"/>
          <w:sz w:val="24"/>
          <w:szCs w:val="24"/>
          <w:lang w:val="en-GB"/>
        </w:rPr>
        <w:t>Average number of remand prisoners 2005–2018:</w:t>
      </w:r>
    </w:p>
    <w:p w14:paraId="78DF23DC" w14:textId="77777777" w:rsidR="00FC295F" w:rsidRDefault="00FC295F" w:rsidP="00FC295F">
      <w:pPr>
        <w:rPr>
          <w:lang w:val="en-GB"/>
        </w:rPr>
      </w:pPr>
      <w:r w:rsidRPr="00CA00C2">
        <w:rPr>
          <w:rFonts w:ascii="Times New Roman" w:eastAsia="Calibri" w:hAnsi="Times New Roman" w:cs="Times New Roman"/>
          <w:noProof/>
          <w:szCs w:val="20"/>
          <w:lang w:val="en-GB" w:eastAsia="en-GB"/>
        </w:rPr>
        <w:drawing>
          <wp:inline distT="0" distB="0" distL="0" distR="0" wp14:anchorId="78DF252B" wp14:editId="78DF252C">
            <wp:extent cx="5760720" cy="2186656"/>
            <wp:effectExtent l="0" t="0" r="11430" b="4445"/>
            <wp:docPr id="2" name="Grafikon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DF23DD" w14:textId="77777777" w:rsidR="00FC295F" w:rsidRDefault="00FC295F" w:rsidP="00E15957">
      <w:pPr>
        <w:jc w:val="both"/>
        <w:rPr>
          <w:rFonts w:ascii="Times New Roman" w:hAnsi="Times New Roman" w:cs="Times New Roman"/>
          <w:color w:val="000000" w:themeColor="text1"/>
          <w:sz w:val="24"/>
          <w:szCs w:val="24"/>
          <w:lang w:val="en-GB"/>
        </w:rPr>
      </w:pPr>
    </w:p>
    <w:p w14:paraId="78DF23DE" w14:textId="77777777" w:rsidR="00FC295F" w:rsidRDefault="00FC295F" w:rsidP="00E15957">
      <w:pPr>
        <w:jc w:val="both"/>
        <w:rPr>
          <w:rFonts w:ascii="Times New Roman" w:hAnsi="Times New Roman" w:cs="Times New Roman"/>
          <w:color w:val="000000" w:themeColor="text1"/>
          <w:sz w:val="24"/>
          <w:szCs w:val="24"/>
          <w:lang w:val="en-GB"/>
        </w:rPr>
      </w:pPr>
    </w:p>
    <w:p w14:paraId="78DF23DF" w14:textId="77777777" w:rsidR="00FC295F" w:rsidRDefault="00FC295F" w:rsidP="00E15957">
      <w:pPr>
        <w:jc w:val="both"/>
        <w:rPr>
          <w:rFonts w:ascii="Times New Roman" w:hAnsi="Times New Roman" w:cs="Times New Roman"/>
          <w:color w:val="000000" w:themeColor="text1"/>
          <w:sz w:val="24"/>
          <w:szCs w:val="24"/>
          <w:lang w:val="en-GB"/>
        </w:rPr>
      </w:pPr>
    </w:p>
    <w:p w14:paraId="78DF23E0" w14:textId="77777777" w:rsidR="00FC295F" w:rsidRDefault="00FC295F" w:rsidP="00E15957">
      <w:pPr>
        <w:jc w:val="both"/>
        <w:rPr>
          <w:rFonts w:ascii="Times New Roman" w:hAnsi="Times New Roman" w:cs="Times New Roman"/>
          <w:color w:val="000000" w:themeColor="text1"/>
          <w:sz w:val="24"/>
          <w:szCs w:val="24"/>
          <w:lang w:val="en-GB"/>
        </w:rPr>
      </w:pPr>
    </w:p>
    <w:p w14:paraId="78DF23E1" w14:textId="77777777" w:rsidR="00FC295F" w:rsidRDefault="00FC295F" w:rsidP="00E15957">
      <w:pPr>
        <w:jc w:val="both"/>
        <w:rPr>
          <w:rFonts w:ascii="Times New Roman" w:hAnsi="Times New Roman" w:cs="Times New Roman"/>
          <w:color w:val="000000" w:themeColor="text1"/>
          <w:sz w:val="24"/>
          <w:szCs w:val="24"/>
          <w:lang w:val="en-GB"/>
        </w:rPr>
      </w:pPr>
    </w:p>
    <w:p w14:paraId="78DF23E2" w14:textId="77777777" w:rsidR="00FC295F" w:rsidRDefault="00FC295F" w:rsidP="00E15957">
      <w:pPr>
        <w:jc w:val="both"/>
        <w:rPr>
          <w:rFonts w:ascii="Times New Roman" w:hAnsi="Times New Roman" w:cs="Times New Roman"/>
          <w:color w:val="000000" w:themeColor="text1"/>
          <w:sz w:val="24"/>
          <w:szCs w:val="24"/>
          <w:lang w:val="en-GB"/>
        </w:rPr>
      </w:pPr>
    </w:p>
    <w:p w14:paraId="78DF23E3" w14:textId="77777777" w:rsidR="00CA0F05" w:rsidRDefault="00CA0F05" w:rsidP="00CA0F05">
      <w:pPr>
        <w:suppressAutoHyphens/>
        <w:spacing w:after="0" w:line="240" w:lineRule="auto"/>
        <w:ind w:left="7788"/>
        <w:jc w:val="both"/>
        <w:rPr>
          <w:rFonts w:ascii="Times New Roman" w:eastAsia="Times New Roman" w:hAnsi="Times New Roman" w:cs="Times New Roman"/>
          <w:b/>
          <w:sz w:val="24"/>
          <w:szCs w:val="24"/>
          <w:lang w:val="en-GB"/>
        </w:rPr>
      </w:pPr>
      <w:r w:rsidRPr="00810D0F">
        <w:rPr>
          <w:rFonts w:ascii="Times New Roman" w:eastAsia="Times New Roman" w:hAnsi="Times New Roman" w:cs="Times New Roman"/>
          <w:b/>
          <w:sz w:val="24"/>
          <w:szCs w:val="24"/>
          <w:lang w:val="en-GB"/>
        </w:rPr>
        <w:t xml:space="preserve">Annex </w:t>
      </w:r>
      <w:r w:rsidR="00B7326E">
        <w:rPr>
          <w:rFonts w:ascii="Times New Roman" w:eastAsia="Times New Roman" w:hAnsi="Times New Roman" w:cs="Times New Roman"/>
          <w:b/>
          <w:sz w:val="24"/>
          <w:szCs w:val="24"/>
          <w:lang w:val="en-GB"/>
        </w:rPr>
        <w:t>5</w:t>
      </w:r>
    </w:p>
    <w:p w14:paraId="78DF23E4" w14:textId="77777777" w:rsidR="00027123" w:rsidRDefault="00027123" w:rsidP="00CA0F05">
      <w:pPr>
        <w:suppressAutoHyphens/>
        <w:spacing w:after="0" w:line="240" w:lineRule="auto"/>
        <w:ind w:left="7788"/>
        <w:jc w:val="both"/>
        <w:rPr>
          <w:rFonts w:ascii="Times New Roman" w:eastAsia="Times New Roman" w:hAnsi="Times New Roman" w:cs="Times New Roman"/>
          <w:b/>
          <w:sz w:val="24"/>
          <w:szCs w:val="24"/>
          <w:lang w:val="en-GB"/>
        </w:rPr>
      </w:pPr>
    </w:p>
    <w:p w14:paraId="78DF23E5" w14:textId="77777777" w:rsidR="00027123" w:rsidRPr="00810D0F" w:rsidRDefault="00027123" w:rsidP="00CA0F05">
      <w:pPr>
        <w:suppressAutoHyphens/>
        <w:spacing w:after="0" w:line="240" w:lineRule="auto"/>
        <w:ind w:left="7788"/>
        <w:jc w:val="both"/>
        <w:rPr>
          <w:rFonts w:ascii="Times New Roman" w:eastAsia="Times New Roman" w:hAnsi="Times New Roman" w:cs="Times New Roman"/>
          <w:b/>
          <w:sz w:val="24"/>
          <w:szCs w:val="24"/>
          <w:lang w:val="en-GB"/>
        </w:rPr>
      </w:pPr>
    </w:p>
    <w:p w14:paraId="78DF23E6" w14:textId="77777777" w:rsidR="00CA0F05" w:rsidRPr="00810D0F" w:rsidRDefault="00CA0F05" w:rsidP="00CA0F05">
      <w:pPr>
        <w:suppressAutoHyphens/>
        <w:spacing w:after="0" w:line="240" w:lineRule="auto"/>
        <w:jc w:val="both"/>
        <w:rPr>
          <w:rFonts w:ascii="Times New Roman" w:eastAsia="Times New Roman" w:hAnsi="Times New Roman" w:cs="Times New Roman"/>
          <w:sz w:val="24"/>
          <w:szCs w:val="24"/>
          <w:lang w:val="en-GB"/>
        </w:rPr>
      </w:pPr>
    </w:p>
    <w:p w14:paraId="78DF23E7" w14:textId="77777777" w:rsidR="00CA0F05" w:rsidRPr="00BA384E" w:rsidRDefault="00CA0F05" w:rsidP="00CA0F05">
      <w:pPr>
        <w:suppressAutoHyphens/>
        <w:spacing w:after="0" w:line="240" w:lineRule="auto"/>
        <w:jc w:val="both"/>
        <w:rPr>
          <w:rFonts w:ascii="Times New Roman" w:eastAsia="Times New Roman" w:hAnsi="Times New Roman" w:cs="Times New Roman"/>
          <w:sz w:val="24"/>
          <w:szCs w:val="24"/>
          <w:lang w:val="en-GB"/>
        </w:rPr>
      </w:pPr>
      <w:r w:rsidRPr="00BA384E">
        <w:rPr>
          <w:rFonts w:ascii="Times New Roman" w:eastAsia="Times New Roman" w:hAnsi="Times New Roman" w:cs="Times New Roman"/>
          <w:sz w:val="24"/>
          <w:szCs w:val="24"/>
          <w:lang w:val="en-GB"/>
        </w:rPr>
        <w:t>In another proceeding, the Constitutional Court of the Republic of Slovenia annulled the partial dismissal of the Pibernik family's claims by the regular courts (the key issue was the unlawfulness of police conduct), remitting them for retrial, stating: "In civil proceedings for compensation, the burden was on the State to prove that its agents had acted in accordance with the fundamental constitutional and convention requirements. If the State fails to substantiate its claims of lawful and due care in the circumstances of an individual case, this is a sufficient ground for a decision on unlawfulness as one of the conditions for the State's liability for damage.</w:t>
      </w:r>
    </w:p>
    <w:p w14:paraId="78DF23E8" w14:textId="77777777" w:rsidR="00CA0F05" w:rsidRPr="00810D0F" w:rsidRDefault="00CA0F05" w:rsidP="00CA0F05">
      <w:pPr>
        <w:jc w:val="both"/>
        <w:rPr>
          <w:rFonts w:ascii="Times New Roman" w:hAnsi="Times New Roman" w:cs="Times New Roman"/>
          <w:sz w:val="24"/>
          <w:szCs w:val="24"/>
          <w:lang w:val="en-GB"/>
        </w:rPr>
      </w:pPr>
      <w:r w:rsidRPr="00810D0F">
        <w:rPr>
          <w:rFonts w:ascii="Times New Roman" w:hAnsi="Times New Roman" w:cs="Times New Roman"/>
          <w:sz w:val="24"/>
          <w:szCs w:val="24"/>
        </w:rPr>
        <w:t xml:space="preserve">The reasoning of the challenged judgments does not contain specific findings and an assessment of the circumstances of an internal investigation, which would lead to the conclusion that the police officers acted in accordance with the principle of using the minimum necessary force and that they planned and supervised the execution of the ordered investigative act with due care to avoid putting the life and health of the individuals concerned at risk. Therefore, the position of the courts according to which the applicants failed to prove the unlawfulness of the police officers' conduct is unacceptable in view of the right to compensation (Article 26 of the </w:t>
      </w:r>
      <w:r>
        <w:rPr>
          <w:rFonts w:ascii="Times New Roman" w:hAnsi="Times New Roman" w:cs="Times New Roman"/>
          <w:sz w:val="24"/>
          <w:szCs w:val="24"/>
        </w:rPr>
        <w:t>c</w:t>
      </w:r>
      <w:r w:rsidRPr="00810D0F">
        <w:rPr>
          <w:rFonts w:ascii="Times New Roman" w:hAnsi="Times New Roman" w:cs="Times New Roman"/>
          <w:sz w:val="24"/>
          <w:szCs w:val="24"/>
        </w:rPr>
        <w:t>onstitution)." Decision of the Constitutional Court of the Republic of Slovenia No. Up-679/12 of 16 October 2014; Official Gazette of the Republic of Slovenia [</w:t>
      </w:r>
      <w:r w:rsidRPr="00810D0F">
        <w:rPr>
          <w:rFonts w:ascii="Times New Roman" w:hAnsi="Times New Roman" w:cs="Times New Roman"/>
          <w:i/>
          <w:iCs/>
          <w:sz w:val="24"/>
          <w:szCs w:val="24"/>
        </w:rPr>
        <w:t>Uradni list RS</w:t>
      </w:r>
      <w:r w:rsidRPr="00810D0F">
        <w:rPr>
          <w:rFonts w:ascii="Times New Roman" w:hAnsi="Times New Roman" w:cs="Times New Roman"/>
          <w:sz w:val="24"/>
          <w:szCs w:val="24"/>
        </w:rPr>
        <w:t>], No. 81/2014 and Constitutional Court Decision XX, 39.</w:t>
      </w:r>
    </w:p>
    <w:p w14:paraId="78DF23E9" w14:textId="77777777" w:rsidR="00FC295F" w:rsidRDefault="00FC295F" w:rsidP="00E15957">
      <w:pPr>
        <w:jc w:val="both"/>
        <w:rPr>
          <w:rFonts w:ascii="Times New Roman" w:hAnsi="Times New Roman" w:cs="Times New Roman"/>
          <w:color w:val="000000" w:themeColor="text1"/>
          <w:sz w:val="24"/>
          <w:szCs w:val="24"/>
          <w:lang w:val="en-GB"/>
        </w:rPr>
      </w:pPr>
    </w:p>
    <w:p w14:paraId="78DF23EA" w14:textId="77777777" w:rsidR="00FC295F" w:rsidRDefault="00FC295F" w:rsidP="00E15957">
      <w:pPr>
        <w:jc w:val="both"/>
        <w:rPr>
          <w:rFonts w:ascii="Times New Roman" w:hAnsi="Times New Roman" w:cs="Times New Roman"/>
          <w:color w:val="000000" w:themeColor="text1"/>
          <w:sz w:val="24"/>
          <w:szCs w:val="24"/>
          <w:lang w:val="en-GB"/>
        </w:rPr>
      </w:pPr>
    </w:p>
    <w:p w14:paraId="78DF23EB" w14:textId="77777777" w:rsidR="00FC295F" w:rsidRDefault="00FC295F" w:rsidP="00E15957">
      <w:pPr>
        <w:jc w:val="both"/>
        <w:rPr>
          <w:rFonts w:ascii="Times New Roman" w:hAnsi="Times New Roman" w:cs="Times New Roman"/>
          <w:color w:val="000000" w:themeColor="text1"/>
          <w:sz w:val="24"/>
          <w:szCs w:val="24"/>
          <w:lang w:val="en-GB"/>
        </w:rPr>
      </w:pPr>
    </w:p>
    <w:p w14:paraId="78DF23EC" w14:textId="77777777" w:rsidR="00FC295F" w:rsidRDefault="00FC295F" w:rsidP="00E15957">
      <w:pPr>
        <w:jc w:val="both"/>
        <w:rPr>
          <w:rFonts w:ascii="Times New Roman" w:hAnsi="Times New Roman" w:cs="Times New Roman"/>
          <w:color w:val="000000" w:themeColor="text1"/>
          <w:sz w:val="24"/>
          <w:szCs w:val="24"/>
          <w:lang w:val="en-GB"/>
        </w:rPr>
      </w:pPr>
    </w:p>
    <w:p w14:paraId="78DF23ED" w14:textId="77777777" w:rsidR="00FC295F" w:rsidRDefault="00FC295F" w:rsidP="00E15957">
      <w:pPr>
        <w:jc w:val="both"/>
        <w:rPr>
          <w:rFonts w:ascii="Times New Roman" w:hAnsi="Times New Roman" w:cs="Times New Roman"/>
          <w:color w:val="000000" w:themeColor="text1"/>
          <w:sz w:val="24"/>
          <w:szCs w:val="24"/>
          <w:lang w:val="en-GB"/>
        </w:rPr>
      </w:pPr>
    </w:p>
    <w:p w14:paraId="78DF23EE" w14:textId="77777777" w:rsidR="00FC295F" w:rsidRDefault="00FC295F" w:rsidP="00E15957">
      <w:pPr>
        <w:jc w:val="both"/>
        <w:rPr>
          <w:rFonts w:ascii="Times New Roman" w:hAnsi="Times New Roman" w:cs="Times New Roman"/>
          <w:color w:val="000000" w:themeColor="text1"/>
          <w:sz w:val="24"/>
          <w:szCs w:val="24"/>
          <w:lang w:val="en-GB"/>
        </w:rPr>
      </w:pPr>
    </w:p>
    <w:p w14:paraId="78DF23EF" w14:textId="77777777" w:rsidR="00FC295F" w:rsidRDefault="00FC295F" w:rsidP="00E15957">
      <w:pPr>
        <w:jc w:val="both"/>
        <w:rPr>
          <w:rFonts w:ascii="Times New Roman" w:hAnsi="Times New Roman" w:cs="Times New Roman"/>
          <w:color w:val="000000" w:themeColor="text1"/>
          <w:sz w:val="24"/>
          <w:szCs w:val="24"/>
          <w:lang w:val="en-GB"/>
        </w:rPr>
      </w:pPr>
    </w:p>
    <w:p w14:paraId="78DF23F0" w14:textId="77777777" w:rsidR="00FC295F" w:rsidRDefault="00FC295F" w:rsidP="00E15957">
      <w:pPr>
        <w:jc w:val="both"/>
        <w:rPr>
          <w:rFonts w:ascii="Times New Roman" w:hAnsi="Times New Roman" w:cs="Times New Roman"/>
          <w:color w:val="000000" w:themeColor="text1"/>
          <w:sz w:val="24"/>
          <w:szCs w:val="24"/>
          <w:lang w:val="en-GB"/>
        </w:rPr>
      </w:pPr>
    </w:p>
    <w:p w14:paraId="78DF23F1" w14:textId="77777777" w:rsidR="00FC295F" w:rsidRDefault="00FC295F" w:rsidP="00E15957">
      <w:pPr>
        <w:jc w:val="both"/>
        <w:rPr>
          <w:rFonts w:ascii="Times New Roman" w:hAnsi="Times New Roman" w:cs="Times New Roman"/>
          <w:color w:val="000000" w:themeColor="text1"/>
          <w:sz w:val="24"/>
          <w:szCs w:val="24"/>
          <w:lang w:val="en-GB"/>
        </w:rPr>
      </w:pPr>
    </w:p>
    <w:p w14:paraId="78DF23F2" w14:textId="77777777" w:rsidR="00FC295F" w:rsidRDefault="00FC295F" w:rsidP="00E15957">
      <w:pPr>
        <w:jc w:val="both"/>
        <w:rPr>
          <w:rFonts w:ascii="Times New Roman" w:hAnsi="Times New Roman" w:cs="Times New Roman"/>
          <w:color w:val="000000" w:themeColor="text1"/>
          <w:sz w:val="24"/>
          <w:szCs w:val="24"/>
          <w:lang w:val="en-GB"/>
        </w:rPr>
      </w:pPr>
    </w:p>
    <w:p w14:paraId="78DF23F3" w14:textId="77777777" w:rsidR="00FC295F" w:rsidRDefault="00FC295F" w:rsidP="00E15957">
      <w:pPr>
        <w:jc w:val="both"/>
        <w:rPr>
          <w:rFonts w:ascii="Times New Roman" w:hAnsi="Times New Roman" w:cs="Times New Roman"/>
          <w:color w:val="000000" w:themeColor="text1"/>
          <w:sz w:val="24"/>
          <w:szCs w:val="24"/>
          <w:lang w:val="en-GB"/>
        </w:rPr>
      </w:pPr>
    </w:p>
    <w:p w14:paraId="78DF23F4" w14:textId="77777777" w:rsidR="00FC295F" w:rsidRDefault="00FC295F" w:rsidP="00E15957">
      <w:pPr>
        <w:jc w:val="both"/>
        <w:rPr>
          <w:rFonts w:ascii="Times New Roman" w:hAnsi="Times New Roman" w:cs="Times New Roman"/>
          <w:color w:val="000000" w:themeColor="text1"/>
          <w:sz w:val="24"/>
          <w:szCs w:val="24"/>
          <w:lang w:val="en-GB"/>
        </w:rPr>
      </w:pPr>
    </w:p>
    <w:p w14:paraId="78DF23F5" w14:textId="77777777" w:rsidR="00FC295F" w:rsidRDefault="00FC295F" w:rsidP="00E15957">
      <w:pPr>
        <w:jc w:val="both"/>
        <w:rPr>
          <w:rFonts w:ascii="Times New Roman" w:hAnsi="Times New Roman" w:cs="Times New Roman"/>
          <w:color w:val="000000" w:themeColor="text1"/>
          <w:sz w:val="24"/>
          <w:szCs w:val="24"/>
          <w:lang w:val="en-GB"/>
        </w:rPr>
      </w:pPr>
    </w:p>
    <w:p w14:paraId="78DF23F6" w14:textId="77777777" w:rsidR="00FC295F" w:rsidRDefault="00FC295F" w:rsidP="00E15957">
      <w:pPr>
        <w:jc w:val="both"/>
        <w:rPr>
          <w:rFonts w:ascii="Times New Roman" w:hAnsi="Times New Roman" w:cs="Times New Roman"/>
          <w:color w:val="000000" w:themeColor="text1"/>
          <w:sz w:val="24"/>
          <w:szCs w:val="24"/>
          <w:lang w:val="en-GB"/>
        </w:rPr>
      </w:pPr>
    </w:p>
    <w:p w14:paraId="78DF23F7" w14:textId="77777777" w:rsidR="00FC295F" w:rsidRDefault="00FC295F" w:rsidP="00E15957">
      <w:pPr>
        <w:jc w:val="both"/>
        <w:rPr>
          <w:rFonts w:ascii="Times New Roman" w:hAnsi="Times New Roman" w:cs="Times New Roman"/>
          <w:color w:val="000000" w:themeColor="text1"/>
          <w:sz w:val="24"/>
          <w:szCs w:val="24"/>
          <w:lang w:val="en-GB"/>
        </w:rPr>
      </w:pPr>
    </w:p>
    <w:p w14:paraId="78DF23F8" w14:textId="77777777" w:rsidR="00FC295F" w:rsidRDefault="00FC295F" w:rsidP="00E15957">
      <w:pPr>
        <w:jc w:val="both"/>
        <w:rPr>
          <w:rFonts w:ascii="Times New Roman" w:hAnsi="Times New Roman" w:cs="Times New Roman"/>
          <w:color w:val="000000" w:themeColor="text1"/>
          <w:sz w:val="24"/>
          <w:szCs w:val="24"/>
          <w:lang w:val="en-GB"/>
        </w:rPr>
      </w:pPr>
    </w:p>
    <w:p w14:paraId="78DF23F9" w14:textId="77777777" w:rsidR="00FC295F" w:rsidRPr="0050383B" w:rsidRDefault="0050383B" w:rsidP="00E15957">
      <w:pPr>
        <w:jc w:val="both"/>
        <w:rPr>
          <w:rFonts w:ascii="Times New Roman" w:hAnsi="Times New Roman" w:cs="Times New Roman"/>
          <w:b/>
          <w:color w:val="000000" w:themeColor="text1"/>
          <w:sz w:val="24"/>
          <w:szCs w:val="24"/>
          <w:lang w:val="en-GB"/>
        </w:rPr>
      </w:pP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Pr>
          <w:rFonts w:ascii="Times New Roman" w:hAnsi="Times New Roman" w:cs="Times New Roman"/>
          <w:color w:val="000000" w:themeColor="text1"/>
          <w:sz w:val="24"/>
          <w:szCs w:val="24"/>
          <w:lang w:val="en-GB"/>
        </w:rPr>
        <w:tab/>
      </w:r>
      <w:r w:rsidRPr="0050383B">
        <w:rPr>
          <w:rFonts w:ascii="Times New Roman" w:hAnsi="Times New Roman" w:cs="Times New Roman"/>
          <w:b/>
          <w:color w:val="000000" w:themeColor="text1"/>
          <w:sz w:val="24"/>
          <w:szCs w:val="24"/>
          <w:lang w:val="en-GB"/>
        </w:rPr>
        <w:t>Annex 6</w:t>
      </w:r>
    </w:p>
    <w:p w14:paraId="78DF23FA" w14:textId="77777777" w:rsidR="00FC295F" w:rsidRDefault="00FC295F" w:rsidP="00E15957">
      <w:pPr>
        <w:jc w:val="both"/>
        <w:rPr>
          <w:rFonts w:ascii="Times New Roman" w:hAnsi="Times New Roman" w:cs="Times New Roman"/>
          <w:color w:val="000000" w:themeColor="text1"/>
          <w:sz w:val="24"/>
          <w:szCs w:val="24"/>
          <w:lang w:val="en-GB"/>
        </w:rPr>
      </w:pPr>
    </w:p>
    <w:p w14:paraId="78DF23FB" w14:textId="77777777" w:rsidR="00FC295F" w:rsidRDefault="0050383B" w:rsidP="00E15957">
      <w:pPr>
        <w:jc w:val="both"/>
        <w:rPr>
          <w:rFonts w:ascii="Times New Roman" w:hAnsi="Times New Roman" w:cs="Times New Roman"/>
          <w:color w:val="000000" w:themeColor="text1"/>
          <w:sz w:val="24"/>
          <w:szCs w:val="24"/>
          <w:lang w:val="en-GB"/>
        </w:rPr>
      </w:pPr>
      <w:r>
        <w:rPr>
          <w:rFonts w:ascii="Times New Roman" w:hAnsi="Times New Roman" w:cs="Times New Roman"/>
          <w:b/>
          <w:bCs/>
          <w:color w:val="000000" w:themeColor="text1"/>
          <w:sz w:val="24"/>
          <w:szCs w:val="24"/>
          <w:lang w:val="en-GB"/>
        </w:rPr>
        <w:t>N</w:t>
      </w:r>
      <w:r w:rsidRPr="00CA00C2">
        <w:rPr>
          <w:rFonts w:ascii="Times New Roman" w:hAnsi="Times New Roman" w:cs="Times New Roman"/>
          <w:b/>
          <w:bCs/>
          <w:color w:val="000000" w:themeColor="text1"/>
          <w:sz w:val="24"/>
          <w:szCs w:val="24"/>
          <w:lang w:val="en-GB"/>
        </w:rPr>
        <w:t>umber of complaints and appeals against involuntary placement in psychiatric hospitals</w:t>
      </w:r>
    </w:p>
    <w:p w14:paraId="78DF23FC" w14:textId="77777777" w:rsidR="001A6671" w:rsidRDefault="001A6671" w:rsidP="001A6671">
      <w:pPr>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2013:</w:t>
      </w:r>
    </w:p>
    <w:p w14:paraId="78DF23FD" w14:textId="77777777" w:rsidR="001A6671" w:rsidRPr="001A6671" w:rsidRDefault="001A6671" w:rsidP="001A6671">
      <w:pPr>
        <w:jc w:val="both"/>
        <w:rPr>
          <w:rFonts w:ascii="Times New Roman" w:hAnsi="Times New Roman" w:cs="Times New Roman"/>
          <w:b/>
          <w:color w:val="000000" w:themeColor="text1"/>
          <w:sz w:val="24"/>
          <w:szCs w:val="24"/>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439"/>
        <w:gridCol w:w="1440"/>
        <w:gridCol w:w="1440"/>
        <w:gridCol w:w="1440"/>
        <w:gridCol w:w="1440"/>
      </w:tblGrid>
      <w:tr w:rsidR="001A6671" w:rsidRPr="001A6671" w14:paraId="78DF2403" w14:textId="77777777" w:rsidTr="00005092">
        <w:tc>
          <w:tcPr>
            <w:tcW w:w="1439" w:type="dxa"/>
            <w:vMerge w:val="restart"/>
            <w:shd w:val="clear" w:color="auto" w:fill="auto"/>
          </w:tcPr>
          <w:p w14:paraId="78DF23FE" w14:textId="77777777" w:rsidR="001A6671" w:rsidRPr="001A6671" w:rsidRDefault="001A6671" w:rsidP="001A6671">
            <w:pPr>
              <w:rPr>
                <w:rFonts w:ascii="Times New Roman" w:hAnsi="Times New Roman" w:cs="Times New Roman"/>
                <w:b/>
                <w:color w:val="000000" w:themeColor="text1"/>
                <w:sz w:val="20"/>
                <w:szCs w:val="20"/>
                <w:lang w:val="en-GB"/>
              </w:rPr>
            </w:pPr>
          </w:p>
        </w:tc>
        <w:tc>
          <w:tcPr>
            <w:tcW w:w="1439" w:type="dxa"/>
            <w:vMerge w:val="restart"/>
            <w:shd w:val="clear" w:color="auto" w:fill="auto"/>
          </w:tcPr>
          <w:p w14:paraId="78DF23FF"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in which the court issued a decision to admit a person pursuant to the ZDZdr</w:t>
            </w:r>
          </w:p>
        </w:tc>
        <w:tc>
          <w:tcPr>
            <w:tcW w:w="2880" w:type="dxa"/>
            <w:gridSpan w:val="2"/>
            <w:shd w:val="clear" w:color="auto" w:fill="auto"/>
          </w:tcPr>
          <w:p w14:paraId="78DF2400"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Appeals filed against a final decision in cases from the second column</w:t>
            </w:r>
          </w:p>
        </w:tc>
        <w:tc>
          <w:tcPr>
            <w:tcW w:w="1440" w:type="dxa"/>
            <w:vMerge w:val="restart"/>
            <w:shd w:val="clear" w:color="auto" w:fill="auto"/>
          </w:tcPr>
          <w:p w14:paraId="78DF2401"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from the third column in which a decision on the appeal was made</w:t>
            </w:r>
          </w:p>
        </w:tc>
        <w:tc>
          <w:tcPr>
            <w:tcW w:w="1440" w:type="dxa"/>
            <w:vMerge w:val="restart"/>
            <w:shd w:val="clear" w:color="auto" w:fill="auto"/>
          </w:tcPr>
          <w:p w14:paraId="78DF2402"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from the third column in which a final decision was amended or overturned</w:t>
            </w:r>
          </w:p>
        </w:tc>
      </w:tr>
      <w:tr w:rsidR="001A6671" w:rsidRPr="001A6671" w14:paraId="78DF240A" w14:textId="77777777" w:rsidTr="00005092">
        <w:tc>
          <w:tcPr>
            <w:tcW w:w="1439" w:type="dxa"/>
            <w:vMerge/>
            <w:shd w:val="clear" w:color="auto" w:fill="auto"/>
          </w:tcPr>
          <w:p w14:paraId="78DF2404" w14:textId="77777777" w:rsidR="001A6671" w:rsidRPr="001A6671" w:rsidRDefault="001A6671" w:rsidP="001A6671">
            <w:pPr>
              <w:rPr>
                <w:rFonts w:ascii="Times New Roman" w:hAnsi="Times New Roman" w:cs="Times New Roman"/>
                <w:b/>
                <w:color w:val="000000" w:themeColor="text1"/>
                <w:sz w:val="20"/>
                <w:szCs w:val="20"/>
                <w:lang w:val="en-GB"/>
              </w:rPr>
            </w:pPr>
          </w:p>
        </w:tc>
        <w:tc>
          <w:tcPr>
            <w:tcW w:w="1439" w:type="dxa"/>
            <w:vMerge/>
            <w:shd w:val="clear" w:color="auto" w:fill="auto"/>
          </w:tcPr>
          <w:p w14:paraId="78DF2405" w14:textId="77777777" w:rsidR="001A6671" w:rsidRPr="001A6671" w:rsidRDefault="001A6671" w:rsidP="001A6671">
            <w:pPr>
              <w:rPr>
                <w:rFonts w:ascii="Times New Roman" w:hAnsi="Times New Roman" w:cs="Times New Roman"/>
                <w:b/>
                <w:color w:val="000000" w:themeColor="text1"/>
                <w:sz w:val="20"/>
                <w:szCs w:val="20"/>
                <w:lang w:val="en-GB"/>
              </w:rPr>
            </w:pPr>
          </w:p>
        </w:tc>
        <w:tc>
          <w:tcPr>
            <w:tcW w:w="1440" w:type="dxa"/>
            <w:shd w:val="clear" w:color="auto" w:fill="auto"/>
          </w:tcPr>
          <w:p w14:paraId="78DF2406"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in which an appeal was filed against a final decision</w:t>
            </w:r>
          </w:p>
        </w:tc>
        <w:tc>
          <w:tcPr>
            <w:tcW w:w="1440" w:type="dxa"/>
            <w:shd w:val="clear" w:color="auto" w:fill="auto"/>
          </w:tcPr>
          <w:p w14:paraId="78DF2407" w14:textId="77777777" w:rsidR="001A6671" w:rsidRPr="001A6671" w:rsidRDefault="001A6671" w:rsidP="001A6671">
            <w:pPr>
              <w:spacing w:after="0"/>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appeals filed with regard to these cases</w:t>
            </w:r>
          </w:p>
        </w:tc>
        <w:tc>
          <w:tcPr>
            <w:tcW w:w="1440" w:type="dxa"/>
            <w:vMerge/>
            <w:shd w:val="clear" w:color="auto" w:fill="auto"/>
          </w:tcPr>
          <w:p w14:paraId="78DF2408" w14:textId="77777777" w:rsidR="001A6671" w:rsidRPr="001A6671" w:rsidRDefault="001A6671" w:rsidP="001A6671">
            <w:pPr>
              <w:rPr>
                <w:rFonts w:ascii="Times New Roman" w:hAnsi="Times New Roman" w:cs="Times New Roman"/>
                <w:b/>
                <w:color w:val="000000" w:themeColor="text1"/>
                <w:sz w:val="20"/>
                <w:szCs w:val="20"/>
                <w:lang w:val="en-GB"/>
              </w:rPr>
            </w:pPr>
          </w:p>
        </w:tc>
        <w:tc>
          <w:tcPr>
            <w:tcW w:w="1440" w:type="dxa"/>
            <w:vMerge/>
            <w:shd w:val="clear" w:color="auto" w:fill="auto"/>
          </w:tcPr>
          <w:p w14:paraId="78DF2409" w14:textId="77777777" w:rsidR="001A6671" w:rsidRPr="001A6671" w:rsidRDefault="001A6671" w:rsidP="001A6671">
            <w:pPr>
              <w:rPr>
                <w:rFonts w:ascii="Times New Roman" w:hAnsi="Times New Roman" w:cs="Times New Roman"/>
                <w:b/>
                <w:color w:val="000000" w:themeColor="text1"/>
                <w:sz w:val="20"/>
                <w:szCs w:val="20"/>
                <w:lang w:val="en-GB"/>
              </w:rPr>
            </w:pPr>
          </w:p>
        </w:tc>
      </w:tr>
      <w:tr w:rsidR="001A6671" w:rsidRPr="001A6671" w14:paraId="78DF2411" w14:textId="77777777" w:rsidTr="00005092">
        <w:tc>
          <w:tcPr>
            <w:tcW w:w="1439" w:type="dxa"/>
            <w:shd w:val="clear" w:color="auto" w:fill="auto"/>
          </w:tcPr>
          <w:p w14:paraId="78DF240B"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detention allowed</w:t>
            </w:r>
          </w:p>
        </w:tc>
        <w:tc>
          <w:tcPr>
            <w:tcW w:w="1439" w:type="dxa"/>
            <w:shd w:val="clear" w:color="auto" w:fill="auto"/>
          </w:tcPr>
          <w:p w14:paraId="78DF240C"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562</w:t>
            </w:r>
          </w:p>
        </w:tc>
        <w:tc>
          <w:tcPr>
            <w:tcW w:w="1440" w:type="dxa"/>
            <w:shd w:val="clear" w:color="auto" w:fill="auto"/>
          </w:tcPr>
          <w:p w14:paraId="78DF240D"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44</w:t>
            </w:r>
          </w:p>
        </w:tc>
        <w:tc>
          <w:tcPr>
            <w:tcW w:w="1440" w:type="dxa"/>
            <w:shd w:val="clear" w:color="auto" w:fill="auto"/>
          </w:tcPr>
          <w:p w14:paraId="78DF240E"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46</w:t>
            </w:r>
          </w:p>
        </w:tc>
        <w:tc>
          <w:tcPr>
            <w:tcW w:w="1440" w:type="dxa"/>
            <w:shd w:val="clear" w:color="auto" w:fill="auto"/>
          </w:tcPr>
          <w:p w14:paraId="78DF240F"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42</w:t>
            </w:r>
          </w:p>
        </w:tc>
        <w:tc>
          <w:tcPr>
            <w:tcW w:w="1440" w:type="dxa"/>
            <w:shd w:val="clear" w:color="auto" w:fill="auto"/>
          </w:tcPr>
          <w:p w14:paraId="78DF2410"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3</w:t>
            </w:r>
          </w:p>
        </w:tc>
      </w:tr>
      <w:tr w:rsidR="001A6671" w:rsidRPr="001A6671" w14:paraId="78DF2418" w14:textId="77777777" w:rsidTr="00005092">
        <w:tc>
          <w:tcPr>
            <w:tcW w:w="1439" w:type="dxa"/>
            <w:shd w:val="clear" w:color="auto" w:fill="auto"/>
          </w:tcPr>
          <w:p w14:paraId="78DF2412"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a ward under special supervision</w:t>
            </w:r>
          </w:p>
        </w:tc>
        <w:tc>
          <w:tcPr>
            <w:tcW w:w="1439" w:type="dxa"/>
            <w:shd w:val="clear" w:color="auto" w:fill="auto"/>
          </w:tcPr>
          <w:p w14:paraId="78DF2413"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9</w:t>
            </w:r>
          </w:p>
        </w:tc>
        <w:tc>
          <w:tcPr>
            <w:tcW w:w="1440" w:type="dxa"/>
            <w:shd w:val="clear" w:color="auto" w:fill="auto"/>
          </w:tcPr>
          <w:p w14:paraId="78DF2414"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w:t>
            </w:r>
          </w:p>
        </w:tc>
        <w:tc>
          <w:tcPr>
            <w:tcW w:w="1440" w:type="dxa"/>
            <w:shd w:val="clear" w:color="auto" w:fill="auto"/>
          </w:tcPr>
          <w:p w14:paraId="78DF2415"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w:t>
            </w:r>
          </w:p>
        </w:tc>
        <w:tc>
          <w:tcPr>
            <w:tcW w:w="1440" w:type="dxa"/>
            <w:shd w:val="clear" w:color="auto" w:fill="auto"/>
          </w:tcPr>
          <w:p w14:paraId="78DF2416"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w:t>
            </w:r>
          </w:p>
        </w:tc>
        <w:tc>
          <w:tcPr>
            <w:tcW w:w="1440" w:type="dxa"/>
            <w:shd w:val="clear" w:color="auto" w:fill="auto"/>
          </w:tcPr>
          <w:p w14:paraId="78DF2417"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0</w:t>
            </w:r>
          </w:p>
        </w:tc>
      </w:tr>
      <w:tr w:rsidR="001A6671" w:rsidRPr="001A6671" w14:paraId="78DF241F" w14:textId="77777777" w:rsidTr="00005092">
        <w:tc>
          <w:tcPr>
            <w:tcW w:w="1439" w:type="dxa"/>
            <w:shd w:val="clear" w:color="auto" w:fill="auto"/>
          </w:tcPr>
          <w:p w14:paraId="78DF2419"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a secure ward</w:t>
            </w:r>
          </w:p>
        </w:tc>
        <w:tc>
          <w:tcPr>
            <w:tcW w:w="1439" w:type="dxa"/>
            <w:shd w:val="clear" w:color="auto" w:fill="auto"/>
          </w:tcPr>
          <w:p w14:paraId="78DF241A"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427</w:t>
            </w:r>
          </w:p>
        </w:tc>
        <w:tc>
          <w:tcPr>
            <w:tcW w:w="1440" w:type="dxa"/>
            <w:shd w:val="clear" w:color="auto" w:fill="auto"/>
          </w:tcPr>
          <w:p w14:paraId="78DF241B"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11</w:t>
            </w:r>
          </w:p>
        </w:tc>
        <w:tc>
          <w:tcPr>
            <w:tcW w:w="1440" w:type="dxa"/>
            <w:shd w:val="clear" w:color="auto" w:fill="auto"/>
          </w:tcPr>
          <w:p w14:paraId="78DF241C"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15</w:t>
            </w:r>
          </w:p>
        </w:tc>
        <w:tc>
          <w:tcPr>
            <w:tcW w:w="1440" w:type="dxa"/>
            <w:shd w:val="clear" w:color="auto" w:fill="auto"/>
          </w:tcPr>
          <w:p w14:paraId="78DF241D"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8</w:t>
            </w:r>
          </w:p>
        </w:tc>
        <w:tc>
          <w:tcPr>
            <w:tcW w:w="1440" w:type="dxa"/>
            <w:shd w:val="clear" w:color="auto" w:fill="auto"/>
          </w:tcPr>
          <w:p w14:paraId="78DF241E"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1</w:t>
            </w:r>
          </w:p>
        </w:tc>
      </w:tr>
      <w:tr w:rsidR="001A6671" w:rsidRPr="001A6671" w14:paraId="78DF2426" w14:textId="77777777" w:rsidTr="00005092">
        <w:tc>
          <w:tcPr>
            <w:tcW w:w="1439" w:type="dxa"/>
            <w:shd w:val="clear" w:color="auto" w:fill="auto"/>
          </w:tcPr>
          <w:p w14:paraId="78DF2420"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supervised treatment</w:t>
            </w:r>
          </w:p>
        </w:tc>
        <w:tc>
          <w:tcPr>
            <w:tcW w:w="1439" w:type="dxa"/>
            <w:shd w:val="clear" w:color="auto" w:fill="auto"/>
          </w:tcPr>
          <w:p w14:paraId="78DF2421"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22</w:t>
            </w:r>
          </w:p>
        </w:tc>
        <w:tc>
          <w:tcPr>
            <w:tcW w:w="1440" w:type="dxa"/>
            <w:shd w:val="clear" w:color="auto" w:fill="auto"/>
          </w:tcPr>
          <w:p w14:paraId="78DF2422"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w:t>
            </w:r>
          </w:p>
        </w:tc>
        <w:tc>
          <w:tcPr>
            <w:tcW w:w="1440" w:type="dxa"/>
            <w:shd w:val="clear" w:color="auto" w:fill="auto"/>
          </w:tcPr>
          <w:p w14:paraId="78DF2423"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3</w:t>
            </w:r>
          </w:p>
        </w:tc>
        <w:tc>
          <w:tcPr>
            <w:tcW w:w="1440" w:type="dxa"/>
            <w:shd w:val="clear" w:color="auto" w:fill="auto"/>
          </w:tcPr>
          <w:p w14:paraId="78DF2424"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w:t>
            </w:r>
          </w:p>
        </w:tc>
        <w:tc>
          <w:tcPr>
            <w:tcW w:w="1440" w:type="dxa"/>
            <w:shd w:val="clear" w:color="auto" w:fill="auto"/>
          </w:tcPr>
          <w:p w14:paraId="78DF2425"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0</w:t>
            </w:r>
          </w:p>
        </w:tc>
      </w:tr>
      <w:tr w:rsidR="001A6671" w:rsidRPr="001A6671" w14:paraId="78DF242D" w14:textId="77777777" w:rsidTr="00005092">
        <w:tc>
          <w:tcPr>
            <w:tcW w:w="1439" w:type="dxa"/>
            <w:shd w:val="clear" w:color="auto" w:fill="auto"/>
          </w:tcPr>
          <w:p w14:paraId="78DF2427"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emergency admission</w:t>
            </w:r>
          </w:p>
        </w:tc>
        <w:tc>
          <w:tcPr>
            <w:tcW w:w="1439" w:type="dxa"/>
            <w:shd w:val="clear" w:color="auto" w:fill="auto"/>
          </w:tcPr>
          <w:p w14:paraId="78DF2428"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652</w:t>
            </w:r>
          </w:p>
        </w:tc>
        <w:tc>
          <w:tcPr>
            <w:tcW w:w="1440" w:type="dxa"/>
            <w:shd w:val="clear" w:color="auto" w:fill="auto"/>
          </w:tcPr>
          <w:p w14:paraId="78DF2429"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54</w:t>
            </w:r>
          </w:p>
        </w:tc>
        <w:tc>
          <w:tcPr>
            <w:tcW w:w="1440" w:type="dxa"/>
            <w:shd w:val="clear" w:color="auto" w:fill="auto"/>
          </w:tcPr>
          <w:p w14:paraId="78DF242A"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60</w:t>
            </w:r>
          </w:p>
        </w:tc>
        <w:tc>
          <w:tcPr>
            <w:tcW w:w="1440" w:type="dxa"/>
            <w:shd w:val="clear" w:color="auto" w:fill="auto"/>
          </w:tcPr>
          <w:p w14:paraId="78DF242B"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53</w:t>
            </w:r>
          </w:p>
        </w:tc>
        <w:tc>
          <w:tcPr>
            <w:tcW w:w="1440" w:type="dxa"/>
            <w:shd w:val="clear" w:color="auto" w:fill="auto"/>
          </w:tcPr>
          <w:p w14:paraId="78DF242C"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8</w:t>
            </w:r>
          </w:p>
        </w:tc>
      </w:tr>
    </w:tbl>
    <w:p w14:paraId="78DF242E" w14:textId="77777777" w:rsidR="001A6671" w:rsidRPr="001A6671" w:rsidRDefault="001A6671" w:rsidP="001A6671">
      <w:pPr>
        <w:jc w:val="both"/>
        <w:rPr>
          <w:rFonts w:ascii="Times New Roman" w:hAnsi="Times New Roman" w:cs="Times New Roman"/>
          <w:b/>
          <w:color w:val="000000" w:themeColor="text1"/>
          <w:sz w:val="20"/>
          <w:szCs w:val="20"/>
          <w:lang w:val="en-GB"/>
        </w:rPr>
      </w:pPr>
    </w:p>
    <w:p w14:paraId="78DF242F" w14:textId="77777777" w:rsidR="001A6671" w:rsidRPr="00400AF3" w:rsidRDefault="001A6671" w:rsidP="001573CB">
      <w:pPr>
        <w:ind w:left="360"/>
        <w:jc w:val="both"/>
        <w:rPr>
          <w:rFonts w:ascii="Times New Roman" w:hAnsi="Times New Roman" w:cs="Times New Roman"/>
          <w:b/>
          <w:color w:val="000000" w:themeColor="text1"/>
          <w:sz w:val="24"/>
          <w:szCs w:val="24"/>
          <w:lang w:val="en-GB"/>
        </w:rPr>
      </w:pPr>
      <w:r w:rsidRPr="00400AF3">
        <w:rPr>
          <w:rFonts w:ascii="Times New Roman" w:hAnsi="Times New Roman" w:cs="Times New Roman"/>
          <w:b/>
          <w:color w:val="000000" w:themeColor="text1"/>
          <w:sz w:val="24"/>
          <w:szCs w:val="24"/>
          <w:lang w:val="en-GB"/>
        </w:rPr>
        <w:t>2014</w:t>
      </w:r>
      <w:r w:rsidR="00400AF3">
        <w:rPr>
          <w:rFonts w:ascii="Times New Roman" w:hAnsi="Times New Roman" w:cs="Times New Roman"/>
          <w:b/>
          <w:color w:val="000000" w:themeColor="text1"/>
          <w:sz w:val="24"/>
          <w:szCs w:val="24"/>
          <w:lang w:val="en-GB"/>
        </w:rPr>
        <w:t xml:space="preserve">: </w:t>
      </w:r>
    </w:p>
    <w:p w14:paraId="78DF2430" w14:textId="77777777" w:rsidR="001A6671" w:rsidRDefault="001A6671" w:rsidP="001573CB">
      <w:pPr>
        <w:ind w:left="360"/>
        <w:jc w:val="both"/>
        <w:rPr>
          <w:rFonts w:ascii="Times New Roman" w:hAnsi="Times New Roman" w:cs="Times New Roman"/>
          <w:color w:val="000000" w:themeColor="text1"/>
          <w:sz w:val="24"/>
          <w:szCs w:val="24"/>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439"/>
        <w:gridCol w:w="1440"/>
        <w:gridCol w:w="1440"/>
        <w:gridCol w:w="1440"/>
        <w:gridCol w:w="1440"/>
      </w:tblGrid>
      <w:tr w:rsidR="001A6671" w:rsidRPr="001A6671" w14:paraId="78DF2437" w14:textId="77777777" w:rsidTr="00005092">
        <w:tc>
          <w:tcPr>
            <w:tcW w:w="1439" w:type="dxa"/>
            <w:vMerge w:val="restart"/>
            <w:shd w:val="clear" w:color="auto" w:fill="auto"/>
          </w:tcPr>
          <w:p w14:paraId="78DF2431" w14:textId="77777777" w:rsidR="001A6671" w:rsidRDefault="001A6671" w:rsidP="001A6671">
            <w:pPr>
              <w:jc w:val="both"/>
              <w:rPr>
                <w:rFonts w:ascii="Times New Roman" w:hAnsi="Times New Roman" w:cs="Times New Roman"/>
                <w:b/>
                <w:color w:val="000000" w:themeColor="text1"/>
                <w:sz w:val="20"/>
                <w:szCs w:val="20"/>
                <w:lang w:val="en-GB"/>
              </w:rPr>
            </w:pPr>
          </w:p>
          <w:p w14:paraId="78DF2432" w14:textId="77777777" w:rsidR="001A6671" w:rsidRPr="001A6671" w:rsidRDefault="001A6671" w:rsidP="001A6671">
            <w:pPr>
              <w:jc w:val="both"/>
              <w:rPr>
                <w:rFonts w:ascii="Times New Roman" w:hAnsi="Times New Roman" w:cs="Times New Roman"/>
                <w:b/>
                <w:color w:val="000000" w:themeColor="text1"/>
                <w:sz w:val="20"/>
                <w:szCs w:val="20"/>
                <w:lang w:val="en-GB"/>
              </w:rPr>
            </w:pPr>
          </w:p>
        </w:tc>
        <w:tc>
          <w:tcPr>
            <w:tcW w:w="1439" w:type="dxa"/>
            <w:vMerge w:val="restart"/>
            <w:shd w:val="clear" w:color="auto" w:fill="auto"/>
          </w:tcPr>
          <w:p w14:paraId="78DF2433"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in which the court issued a decision to admit a person pursuant to the ZDZdr</w:t>
            </w:r>
          </w:p>
        </w:tc>
        <w:tc>
          <w:tcPr>
            <w:tcW w:w="2880" w:type="dxa"/>
            <w:gridSpan w:val="2"/>
            <w:shd w:val="clear" w:color="auto" w:fill="auto"/>
          </w:tcPr>
          <w:p w14:paraId="78DF2434"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Appeals filed against a final decision in cases from the second column</w:t>
            </w:r>
          </w:p>
        </w:tc>
        <w:tc>
          <w:tcPr>
            <w:tcW w:w="1440" w:type="dxa"/>
            <w:vMerge w:val="restart"/>
            <w:shd w:val="clear" w:color="auto" w:fill="auto"/>
          </w:tcPr>
          <w:p w14:paraId="78DF2435"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from the third column in which a decision on the appeal was made</w:t>
            </w:r>
          </w:p>
        </w:tc>
        <w:tc>
          <w:tcPr>
            <w:tcW w:w="1440" w:type="dxa"/>
            <w:vMerge w:val="restart"/>
            <w:shd w:val="clear" w:color="auto" w:fill="auto"/>
          </w:tcPr>
          <w:p w14:paraId="78DF2436"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from the third column in which a final decision was amended or overturned</w:t>
            </w:r>
          </w:p>
        </w:tc>
      </w:tr>
      <w:tr w:rsidR="001A6671" w:rsidRPr="001A6671" w14:paraId="78DF243E" w14:textId="77777777" w:rsidTr="00005092">
        <w:tc>
          <w:tcPr>
            <w:tcW w:w="1439" w:type="dxa"/>
            <w:vMerge/>
            <w:shd w:val="clear" w:color="auto" w:fill="auto"/>
          </w:tcPr>
          <w:p w14:paraId="78DF2438" w14:textId="77777777" w:rsidR="001A6671" w:rsidRPr="001A6671" w:rsidRDefault="001A6671" w:rsidP="001A6671">
            <w:pPr>
              <w:jc w:val="both"/>
              <w:rPr>
                <w:rFonts w:ascii="Times New Roman" w:hAnsi="Times New Roman" w:cs="Times New Roman"/>
                <w:b/>
                <w:color w:val="000000" w:themeColor="text1"/>
                <w:sz w:val="20"/>
                <w:szCs w:val="20"/>
                <w:lang w:val="en-GB"/>
              </w:rPr>
            </w:pPr>
          </w:p>
        </w:tc>
        <w:tc>
          <w:tcPr>
            <w:tcW w:w="1439" w:type="dxa"/>
            <w:vMerge/>
            <w:shd w:val="clear" w:color="auto" w:fill="auto"/>
          </w:tcPr>
          <w:p w14:paraId="78DF2439" w14:textId="77777777" w:rsidR="001A6671" w:rsidRPr="001A6671" w:rsidRDefault="001A6671" w:rsidP="001A6671">
            <w:pPr>
              <w:spacing w:after="240"/>
              <w:jc w:val="both"/>
              <w:rPr>
                <w:rFonts w:ascii="Times New Roman" w:hAnsi="Times New Roman" w:cs="Times New Roman"/>
                <w:b/>
                <w:color w:val="000000" w:themeColor="text1"/>
                <w:sz w:val="20"/>
                <w:szCs w:val="20"/>
                <w:lang w:val="en-GB"/>
              </w:rPr>
            </w:pPr>
          </w:p>
        </w:tc>
        <w:tc>
          <w:tcPr>
            <w:tcW w:w="1440" w:type="dxa"/>
            <w:shd w:val="clear" w:color="auto" w:fill="auto"/>
          </w:tcPr>
          <w:p w14:paraId="78DF243A"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cases in which an appeal was filed against a final decision</w:t>
            </w:r>
          </w:p>
        </w:tc>
        <w:tc>
          <w:tcPr>
            <w:tcW w:w="1440" w:type="dxa"/>
            <w:shd w:val="clear" w:color="auto" w:fill="auto"/>
          </w:tcPr>
          <w:p w14:paraId="78DF243B"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Number of appeals filed with regard to these cases</w:t>
            </w:r>
          </w:p>
        </w:tc>
        <w:tc>
          <w:tcPr>
            <w:tcW w:w="1440" w:type="dxa"/>
            <w:vMerge/>
            <w:shd w:val="clear" w:color="auto" w:fill="auto"/>
          </w:tcPr>
          <w:p w14:paraId="78DF243C" w14:textId="77777777" w:rsidR="001A6671" w:rsidRPr="001A6671" w:rsidRDefault="001A6671" w:rsidP="001A6671">
            <w:pPr>
              <w:jc w:val="both"/>
              <w:rPr>
                <w:rFonts w:ascii="Times New Roman" w:hAnsi="Times New Roman" w:cs="Times New Roman"/>
                <w:b/>
                <w:color w:val="000000" w:themeColor="text1"/>
                <w:sz w:val="20"/>
                <w:szCs w:val="20"/>
                <w:lang w:val="en-GB"/>
              </w:rPr>
            </w:pPr>
          </w:p>
        </w:tc>
        <w:tc>
          <w:tcPr>
            <w:tcW w:w="1440" w:type="dxa"/>
            <w:vMerge/>
            <w:shd w:val="clear" w:color="auto" w:fill="auto"/>
          </w:tcPr>
          <w:p w14:paraId="78DF243D" w14:textId="77777777" w:rsidR="001A6671" w:rsidRPr="001A6671" w:rsidRDefault="001A6671" w:rsidP="001A6671">
            <w:pPr>
              <w:jc w:val="both"/>
              <w:rPr>
                <w:rFonts w:ascii="Times New Roman" w:hAnsi="Times New Roman" w:cs="Times New Roman"/>
                <w:b/>
                <w:color w:val="000000" w:themeColor="text1"/>
                <w:sz w:val="20"/>
                <w:szCs w:val="20"/>
                <w:lang w:val="en-GB"/>
              </w:rPr>
            </w:pPr>
          </w:p>
        </w:tc>
      </w:tr>
      <w:tr w:rsidR="001A6671" w:rsidRPr="001A6671" w14:paraId="78DF2445" w14:textId="77777777" w:rsidTr="00005092">
        <w:tc>
          <w:tcPr>
            <w:tcW w:w="1439" w:type="dxa"/>
            <w:shd w:val="clear" w:color="auto" w:fill="auto"/>
          </w:tcPr>
          <w:p w14:paraId="78DF243F"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detention allowed</w:t>
            </w:r>
          </w:p>
        </w:tc>
        <w:tc>
          <w:tcPr>
            <w:tcW w:w="1439" w:type="dxa"/>
            <w:shd w:val="clear" w:color="auto" w:fill="auto"/>
          </w:tcPr>
          <w:p w14:paraId="78DF2440"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716</w:t>
            </w:r>
          </w:p>
        </w:tc>
        <w:tc>
          <w:tcPr>
            <w:tcW w:w="1440" w:type="dxa"/>
            <w:shd w:val="clear" w:color="auto" w:fill="auto"/>
          </w:tcPr>
          <w:p w14:paraId="78DF2441"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47</w:t>
            </w:r>
          </w:p>
        </w:tc>
        <w:tc>
          <w:tcPr>
            <w:tcW w:w="1440" w:type="dxa"/>
            <w:shd w:val="clear" w:color="auto" w:fill="auto"/>
          </w:tcPr>
          <w:p w14:paraId="78DF2442"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54</w:t>
            </w:r>
          </w:p>
        </w:tc>
        <w:tc>
          <w:tcPr>
            <w:tcW w:w="1440" w:type="dxa"/>
            <w:shd w:val="clear" w:color="auto" w:fill="auto"/>
          </w:tcPr>
          <w:p w14:paraId="78DF2443"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44</w:t>
            </w:r>
          </w:p>
        </w:tc>
        <w:tc>
          <w:tcPr>
            <w:tcW w:w="1440" w:type="dxa"/>
            <w:shd w:val="clear" w:color="auto" w:fill="auto"/>
          </w:tcPr>
          <w:p w14:paraId="78DF2444"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7</w:t>
            </w:r>
          </w:p>
        </w:tc>
      </w:tr>
      <w:tr w:rsidR="001A6671" w:rsidRPr="001A6671" w14:paraId="78DF244C" w14:textId="77777777" w:rsidTr="00005092">
        <w:tc>
          <w:tcPr>
            <w:tcW w:w="1439" w:type="dxa"/>
            <w:shd w:val="clear" w:color="auto" w:fill="auto"/>
          </w:tcPr>
          <w:p w14:paraId="78DF2446"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a ward under special supervision</w:t>
            </w:r>
          </w:p>
        </w:tc>
        <w:tc>
          <w:tcPr>
            <w:tcW w:w="1439" w:type="dxa"/>
            <w:shd w:val="clear" w:color="auto" w:fill="auto"/>
          </w:tcPr>
          <w:p w14:paraId="78DF2447"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21</w:t>
            </w:r>
          </w:p>
        </w:tc>
        <w:tc>
          <w:tcPr>
            <w:tcW w:w="1440" w:type="dxa"/>
            <w:shd w:val="clear" w:color="auto" w:fill="auto"/>
          </w:tcPr>
          <w:p w14:paraId="78DF2448"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w:t>
            </w:r>
          </w:p>
        </w:tc>
        <w:tc>
          <w:tcPr>
            <w:tcW w:w="1440" w:type="dxa"/>
            <w:shd w:val="clear" w:color="auto" w:fill="auto"/>
          </w:tcPr>
          <w:p w14:paraId="78DF2449"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w:t>
            </w:r>
          </w:p>
        </w:tc>
        <w:tc>
          <w:tcPr>
            <w:tcW w:w="1440" w:type="dxa"/>
            <w:shd w:val="clear" w:color="auto" w:fill="auto"/>
          </w:tcPr>
          <w:p w14:paraId="78DF244A"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w:t>
            </w:r>
          </w:p>
        </w:tc>
        <w:tc>
          <w:tcPr>
            <w:tcW w:w="1440" w:type="dxa"/>
            <w:shd w:val="clear" w:color="auto" w:fill="auto"/>
          </w:tcPr>
          <w:p w14:paraId="78DF244B"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0</w:t>
            </w:r>
          </w:p>
        </w:tc>
      </w:tr>
      <w:tr w:rsidR="001A6671" w:rsidRPr="001A6671" w14:paraId="78DF2453" w14:textId="77777777" w:rsidTr="00005092">
        <w:tc>
          <w:tcPr>
            <w:tcW w:w="1439" w:type="dxa"/>
            <w:shd w:val="clear" w:color="auto" w:fill="auto"/>
          </w:tcPr>
          <w:p w14:paraId="78DF244D"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a secure ward</w:t>
            </w:r>
          </w:p>
        </w:tc>
        <w:tc>
          <w:tcPr>
            <w:tcW w:w="1439" w:type="dxa"/>
            <w:shd w:val="clear" w:color="auto" w:fill="auto"/>
          </w:tcPr>
          <w:p w14:paraId="78DF244E"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559</w:t>
            </w:r>
          </w:p>
        </w:tc>
        <w:tc>
          <w:tcPr>
            <w:tcW w:w="1440" w:type="dxa"/>
            <w:shd w:val="clear" w:color="auto" w:fill="auto"/>
          </w:tcPr>
          <w:p w14:paraId="78DF244F"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29</w:t>
            </w:r>
          </w:p>
        </w:tc>
        <w:tc>
          <w:tcPr>
            <w:tcW w:w="1440" w:type="dxa"/>
            <w:shd w:val="clear" w:color="auto" w:fill="auto"/>
          </w:tcPr>
          <w:p w14:paraId="78DF2450"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31</w:t>
            </w:r>
          </w:p>
        </w:tc>
        <w:tc>
          <w:tcPr>
            <w:tcW w:w="1440" w:type="dxa"/>
            <w:shd w:val="clear" w:color="auto" w:fill="auto"/>
          </w:tcPr>
          <w:p w14:paraId="78DF2451"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25</w:t>
            </w:r>
          </w:p>
        </w:tc>
        <w:tc>
          <w:tcPr>
            <w:tcW w:w="1440" w:type="dxa"/>
            <w:shd w:val="clear" w:color="auto" w:fill="auto"/>
          </w:tcPr>
          <w:p w14:paraId="78DF2452"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w:t>
            </w:r>
          </w:p>
        </w:tc>
      </w:tr>
      <w:tr w:rsidR="001A6671" w:rsidRPr="001A6671" w14:paraId="78DF245A" w14:textId="77777777" w:rsidTr="00005092">
        <w:tc>
          <w:tcPr>
            <w:tcW w:w="1439" w:type="dxa"/>
            <w:shd w:val="clear" w:color="auto" w:fill="auto"/>
          </w:tcPr>
          <w:p w14:paraId="78DF2454"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admission to supervised treatment</w:t>
            </w:r>
          </w:p>
        </w:tc>
        <w:tc>
          <w:tcPr>
            <w:tcW w:w="1439" w:type="dxa"/>
            <w:shd w:val="clear" w:color="auto" w:fill="auto"/>
          </w:tcPr>
          <w:p w14:paraId="78DF2455"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26</w:t>
            </w:r>
          </w:p>
        </w:tc>
        <w:tc>
          <w:tcPr>
            <w:tcW w:w="1440" w:type="dxa"/>
            <w:shd w:val="clear" w:color="auto" w:fill="auto"/>
          </w:tcPr>
          <w:p w14:paraId="78DF2456"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3</w:t>
            </w:r>
          </w:p>
        </w:tc>
        <w:tc>
          <w:tcPr>
            <w:tcW w:w="1440" w:type="dxa"/>
            <w:shd w:val="clear" w:color="auto" w:fill="auto"/>
          </w:tcPr>
          <w:p w14:paraId="78DF2457"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4</w:t>
            </w:r>
          </w:p>
        </w:tc>
        <w:tc>
          <w:tcPr>
            <w:tcW w:w="1440" w:type="dxa"/>
            <w:shd w:val="clear" w:color="auto" w:fill="auto"/>
          </w:tcPr>
          <w:p w14:paraId="78DF2458"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3</w:t>
            </w:r>
          </w:p>
        </w:tc>
        <w:tc>
          <w:tcPr>
            <w:tcW w:w="1440" w:type="dxa"/>
            <w:shd w:val="clear" w:color="auto" w:fill="auto"/>
          </w:tcPr>
          <w:p w14:paraId="78DF2459"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0</w:t>
            </w:r>
          </w:p>
        </w:tc>
      </w:tr>
      <w:tr w:rsidR="001A6671" w:rsidRPr="001A6671" w14:paraId="78DF2461" w14:textId="77777777" w:rsidTr="00005092">
        <w:tc>
          <w:tcPr>
            <w:tcW w:w="1439" w:type="dxa"/>
            <w:shd w:val="clear" w:color="auto" w:fill="auto"/>
          </w:tcPr>
          <w:p w14:paraId="78DF245B" w14:textId="77777777" w:rsidR="001A6671" w:rsidRPr="001A6671" w:rsidRDefault="001A6671" w:rsidP="001A6671">
            <w:pPr>
              <w:spacing w:after="0"/>
              <w:jc w:val="both"/>
              <w:rPr>
                <w:rFonts w:ascii="Times New Roman" w:hAnsi="Times New Roman" w:cs="Times New Roman"/>
                <w:b/>
                <w:color w:val="000000" w:themeColor="text1"/>
                <w:sz w:val="20"/>
                <w:szCs w:val="20"/>
                <w:lang w:val="en-GB"/>
              </w:rPr>
            </w:pPr>
            <w:r w:rsidRPr="001A6671">
              <w:rPr>
                <w:rFonts w:ascii="Times New Roman" w:hAnsi="Times New Roman" w:cs="Times New Roman"/>
                <w:b/>
                <w:bCs/>
                <w:color w:val="000000" w:themeColor="text1"/>
                <w:sz w:val="20"/>
                <w:szCs w:val="20"/>
                <w:lang w:val="en-GB"/>
              </w:rPr>
              <w:t>Decision – emergency admission</w:t>
            </w:r>
          </w:p>
        </w:tc>
        <w:tc>
          <w:tcPr>
            <w:tcW w:w="1439" w:type="dxa"/>
            <w:shd w:val="clear" w:color="auto" w:fill="auto"/>
          </w:tcPr>
          <w:p w14:paraId="78DF245C"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580</w:t>
            </w:r>
          </w:p>
        </w:tc>
        <w:tc>
          <w:tcPr>
            <w:tcW w:w="1440" w:type="dxa"/>
            <w:shd w:val="clear" w:color="auto" w:fill="auto"/>
          </w:tcPr>
          <w:p w14:paraId="78DF245D"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51</w:t>
            </w:r>
          </w:p>
        </w:tc>
        <w:tc>
          <w:tcPr>
            <w:tcW w:w="1440" w:type="dxa"/>
            <w:shd w:val="clear" w:color="auto" w:fill="auto"/>
          </w:tcPr>
          <w:p w14:paraId="78DF245E"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55</w:t>
            </w:r>
          </w:p>
        </w:tc>
        <w:tc>
          <w:tcPr>
            <w:tcW w:w="1440" w:type="dxa"/>
            <w:shd w:val="clear" w:color="auto" w:fill="auto"/>
          </w:tcPr>
          <w:p w14:paraId="78DF245F"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50</w:t>
            </w:r>
          </w:p>
        </w:tc>
        <w:tc>
          <w:tcPr>
            <w:tcW w:w="1440" w:type="dxa"/>
            <w:shd w:val="clear" w:color="auto" w:fill="auto"/>
          </w:tcPr>
          <w:p w14:paraId="78DF2460" w14:textId="77777777" w:rsidR="001A6671" w:rsidRPr="001A6671" w:rsidRDefault="001A6671" w:rsidP="001A6671">
            <w:pPr>
              <w:spacing w:after="0"/>
              <w:jc w:val="center"/>
              <w:rPr>
                <w:rFonts w:ascii="Times New Roman" w:hAnsi="Times New Roman" w:cs="Times New Roman"/>
                <w:color w:val="000000" w:themeColor="text1"/>
                <w:sz w:val="20"/>
                <w:szCs w:val="20"/>
                <w:lang w:val="en-GB"/>
              </w:rPr>
            </w:pPr>
            <w:r w:rsidRPr="001A6671">
              <w:rPr>
                <w:rFonts w:ascii="Times New Roman" w:hAnsi="Times New Roman" w:cs="Times New Roman"/>
                <w:color w:val="000000" w:themeColor="text1"/>
                <w:sz w:val="20"/>
                <w:szCs w:val="20"/>
                <w:lang w:val="en-GB"/>
              </w:rPr>
              <w:t>7</w:t>
            </w:r>
          </w:p>
        </w:tc>
      </w:tr>
    </w:tbl>
    <w:p w14:paraId="78DF2462" w14:textId="77777777" w:rsidR="00400AF3" w:rsidRPr="00400AF3" w:rsidRDefault="00400AF3" w:rsidP="00400AF3">
      <w:pPr>
        <w:jc w:val="both"/>
        <w:rPr>
          <w:rFonts w:ascii="Times New Roman" w:hAnsi="Times New Roman" w:cs="Times New Roman"/>
          <w:b/>
          <w:color w:val="000000" w:themeColor="text1"/>
          <w:sz w:val="20"/>
          <w:szCs w:val="20"/>
          <w:lang w:val="en-GB"/>
        </w:rPr>
      </w:pPr>
    </w:p>
    <w:p w14:paraId="78DF2463" w14:textId="77777777" w:rsidR="00400AF3" w:rsidRPr="00400AF3" w:rsidRDefault="00400AF3" w:rsidP="00400AF3">
      <w:pPr>
        <w:jc w:val="both"/>
        <w:rPr>
          <w:rFonts w:ascii="Times New Roman" w:hAnsi="Times New Roman" w:cs="Times New Roman"/>
          <w:color w:val="000000" w:themeColor="text1"/>
          <w:sz w:val="24"/>
          <w:szCs w:val="24"/>
          <w:u w:val="single"/>
          <w:lang w:val="en-GB"/>
        </w:rPr>
      </w:pPr>
      <w:r w:rsidRPr="00400AF3">
        <w:rPr>
          <w:rFonts w:ascii="Times New Roman" w:hAnsi="Times New Roman" w:cs="Times New Roman"/>
          <w:color w:val="000000" w:themeColor="text1"/>
          <w:sz w:val="24"/>
          <w:szCs w:val="24"/>
          <w:u w:val="single"/>
          <w:lang w:val="en-GB"/>
        </w:rPr>
        <w:t>2015</w:t>
      </w:r>
    </w:p>
    <w:p w14:paraId="78DF2464" w14:textId="77777777" w:rsidR="00400AF3" w:rsidRPr="00400AF3" w:rsidRDefault="00400AF3" w:rsidP="00400AF3">
      <w:pPr>
        <w:jc w:val="both"/>
        <w:rPr>
          <w:rFonts w:ascii="Times New Roman" w:hAnsi="Times New Roman" w:cs="Times New Roman"/>
          <w:b/>
          <w:color w:val="000000" w:themeColor="text1"/>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439"/>
        <w:gridCol w:w="1440"/>
        <w:gridCol w:w="1440"/>
        <w:gridCol w:w="1440"/>
        <w:gridCol w:w="1440"/>
      </w:tblGrid>
      <w:tr w:rsidR="00400AF3" w:rsidRPr="00400AF3" w14:paraId="78DF246A" w14:textId="77777777" w:rsidTr="00005092">
        <w:tc>
          <w:tcPr>
            <w:tcW w:w="1439" w:type="dxa"/>
            <w:vMerge w:val="restart"/>
            <w:shd w:val="clear" w:color="auto" w:fill="auto"/>
          </w:tcPr>
          <w:p w14:paraId="78DF2465" w14:textId="77777777" w:rsidR="00400AF3" w:rsidRPr="00400AF3" w:rsidRDefault="00400AF3" w:rsidP="00400AF3">
            <w:pPr>
              <w:jc w:val="both"/>
              <w:rPr>
                <w:rFonts w:ascii="Times New Roman" w:hAnsi="Times New Roman" w:cs="Times New Roman"/>
                <w:b/>
                <w:color w:val="000000" w:themeColor="text1"/>
                <w:sz w:val="20"/>
                <w:szCs w:val="20"/>
                <w:lang w:val="en-GB"/>
              </w:rPr>
            </w:pPr>
          </w:p>
        </w:tc>
        <w:tc>
          <w:tcPr>
            <w:tcW w:w="1439" w:type="dxa"/>
            <w:vMerge w:val="restart"/>
            <w:shd w:val="clear" w:color="auto" w:fill="auto"/>
          </w:tcPr>
          <w:p w14:paraId="78DF2466"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the court issued a decision to admit a person pursuant to the ZDZdr</w:t>
            </w:r>
          </w:p>
        </w:tc>
        <w:tc>
          <w:tcPr>
            <w:tcW w:w="2880" w:type="dxa"/>
            <w:gridSpan w:val="2"/>
            <w:shd w:val="clear" w:color="auto" w:fill="auto"/>
          </w:tcPr>
          <w:p w14:paraId="78DF2467"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Appeals filed against a final decision in cases from the second column</w:t>
            </w:r>
          </w:p>
        </w:tc>
        <w:tc>
          <w:tcPr>
            <w:tcW w:w="1440" w:type="dxa"/>
            <w:vMerge w:val="restart"/>
            <w:shd w:val="clear" w:color="auto" w:fill="auto"/>
          </w:tcPr>
          <w:p w14:paraId="78DF2468"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decision on the appeal was made</w:t>
            </w:r>
          </w:p>
        </w:tc>
        <w:tc>
          <w:tcPr>
            <w:tcW w:w="1440" w:type="dxa"/>
            <w:vMerge w:val="restart"/>
            <w:shd w:val="clear" w:color="auto" w:fill="auto"/>
          </w:tcPr>
          <w:p w14:paraId="78DF2469"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final decision was amended or overturned</w:t>
            </w:r>
          </w:p>
        </w:tc>
      </w:tr>
      <w:tr w:rsidR="00400AF3" w:rsidRPr="00400AF3" w14:paraId="78DF2471" w14:textId="77777777" w:rsidTr="00005092">
        <w:tc>
          <w:tcPr>
            <w:tcW w:w="1439" w:type="dxa"/>
            <w:vMerge/>
            <w:shd w:val="clear" w:color="auto" w:fill="auto"/>
          </w:tcPr>
          <w:p w14:paraId="78DF246B" w14:textId="77777777" w:rsidR="00400AF3" w:rsidRPr="00400AF3" w:rsidRDefault="00400AF3" w:rsidP="00400AF3">
            <w:pPr>
              <w:jc w:val="both"/>
              <w:rPr>
                <w:rFonts w:ascii="Times New Roman" w:hAnsi="Times New Roman" w:cs="Times New Roman"/>
                <w:b/>
                <w:color w:val="000000" w:themeColor="text1"/>
                <w:sz w:val="20"/>
                <w:szCs w:val="20"/>
                <w:lang w:val="en-GB"/>
              </w:rPr>
            </w:pPr>
          </w:p>
        </w:tc>
        <w:tc>
          <w:tcPr>
            <w:tcW w:w="1439" w:type="dxa"/>
            <w:vMerge/>
            <w:shd w:val="clear" w:color="auto" w:fill="auto"/>
          </w:tcPr>
          <w:p w14:paraId="78DF246C"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40" w:type="dxa"/>
            <w:shd w:val="clear" w:color="auto" w:fill="auto"/>
          </w:tcPr>
          <w:p w14:paraId="78DF246D"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an appeal was filed against a final decision</w:t>
            </w:r>
          </w:p>
        </w:tc>
        <w:tc>
          <w:tcPr>
            <w:tcW w:w="1440" w:type="dxa"/>
            <w:shd w:val="clear" w:color="auto" w:fill="auto"/>
          </w:tcPr>
          <w:p w14:paraId="78DF246E"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appeals filed with regard to these cases</w:t>
            </w:r>
          </w:p>
        </w:tc>
        <w:tc>
          <w:tcPr>
            <w:tcW w:w="1440" w:type="dxa"/>
            <w:vMerge/>
            <w:shd w:val="clear" w:color="auto" w:fill="auto"/>
          </w:tcPr>
          <w:p w14:paraId="78DF246F" w14:textId="77777777" w:rsidR="00400AF3" w:rsidRPr="00400AF3" w:rsidRDefault="00400AF3" w:rsidP="00400AF3">
            <w:pPr>
              <w:jc w:val="both"/>
              <w:rPr>
                <w:rFonts w:ascii="Times New Roman" w:hAnsi="Times New Roman" w:cs="Times New Roman"/>
                <w:b/>
                <w:color w:val="000000" w:themeColor="text1"/>
                <w:sz w:val="20"/>
                <w:szCs w:val="20"/>
                <w:lang w:val="en-GB"/>
              </w:rPr>
            </w:pPr>
          </w:p>
        </w:tc>
        <w:tc>
          <w:tcPr>
            <w:tcW w:w="1440" w:type="dxa"/>
            <w:vMerge/>
            <w:shd w:val="clear" w:color="auto" w:fill="auto"/>
          </w:tcPr>
          <w:p w14:paraId="78DF2470" w14:textId="77777777" w:rsidR="00400AF3" w:rsidRPr="00400AF3" w:rsidRDefault="00400AF3" w:rsidP="00400AF3">
            <w:pPr>
              <w:jc w:val="both"/>
              <w:rPr>
                <w:rFonts w:ascii="Times New Roman" w:hAnsi="Times New Roman" w:cs="Times New Roman"/>
                <w:b/>
                <w:color w:val="000000" w:themeColor="text1"/>
                <w:sz w:val="20"/>
                <w:szCs w:val="20"/>
                <w:lang w:val="en-GB"/>
              </w:rPr>
            </w:pPr>
          </w:p>
        </w:tc>
      </w:tr>
      <w:tr w:rsidR="00400AF3" w:rsidRPr="00400AF3" w14:paraId="78DF2478" w14:textId="77777777" w:rsidTr="00005092">
        <w:tc>
          <w:tcPr>
            <w:tcW w:w="1439" w:type="dxa"/>
            <w:shd w:val="clear" w:color="auto" w:fill="auto"/>
          </w:tcPr>
          <w:p w14:paraId="78DF2472"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detention allowed</w:t>
            </w:r>
          </w:p>
        </w:tc>
        <w:tc>
          <w:tcPr>
            <w:tcW w:w="1439" w:type="dxa"/>
            <w:shd w:val="clear" w:color="auto" w:fill="auto"/>
          </w:tcPr>
          <w:p w14:paraId="78DF2473"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791</w:t>
            </w:r>
          </w:p>
        </w:tc>
        <w:tc>
          <w:tcPr>
            <w:tcW w:w="1440" w:type="dxa"/>
            <w:shd w:val="clear" w:color="auto" w:fill="auto"/>
          </w:tcPr>
          <w:p w14:paraId="78DF2474"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52</w:t>
            </w:r>
          </w:p>
        </w:tc>
        <w:tc>
          <w:tcPr>
            <w:tcW w:w="1440" w:type="dxa"/>
            <w:shd w:val="clear" w:color="auto" w:fill="auto"/>
          </w:tcPr>
          <w:p w14:paraId="78DF2475"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56</w:t>
            </w:r>
          </w:p>
        </w:tc>
        <w:tc>
          <w:tcPr>
            <w:tcW w:w="1440" w:type="dxa"/>
            <w:shd w:val="clear" w:color="auto" w:fill="auto"/>
          </w:tcPr>
          <w:p w14:paraId="78DF2476"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60</w:t>
            </w:r>
          </w:p>
        </w:tc>
        <w:tc>
          <w:tcPr>
            <w:tcW w:w="1440" w:type="dxa"/>
            <w:shd w:val="clear" w:color="auto" w:fill="auto"/>
          </w:tcPr>
          <w:p w14:paraId="78DF2477"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w:t>
            </w:r>
          </w:p>
        </w:tc>
      </w:tr>
      <w:tr w:rsidR="00400AF3" w:rsidRPr="00400AF3" w14:paraId="78DF247F" w14:textId="77777777" w:rsidTr="00005092">
        <w:tc>
          <w:tcPr>
            <w:tcW w:w="1439" w:type="dxa"/>
            <w:shd w:val="clear" w:color="auto" w:fill="auto"/>
          </w:tcPr>
          <w:p w14:paraId="78DF2479"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ward under special supervision</w:t>
            </w:r>
          </w:p>
        </w:tc>
        <w:tc>
          <w:tcPr>
            <w:tcW w:w="1439" w:type="dxa"/>
            <w:shd w:val="clear" w:color="auto" w:fill="auto"/>
          </w:tcPr>
          <w:p w14:paraId="78DF247A"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40</w:t>
            </w:r>
          </w:p>
        </w:tc>
        <w:tc>
          <w:tcPr>
            <w:tcW w:w="1440" w:type="dxa"/>
            <w:shd w:val="clear" w:color="auto" w:fill="auto"/>
          </w:tcPr>
          <w:p w14:paraId="78DF247B"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7C"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7D"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7E"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w:t>
            </w:r>
          </w:p>
        </w:tc>
      </w:tr>
      <w:tr w:rsidR="00400AF3" w:rsidRPr="00400AF3" w14:paraId="78DF2486" w14:textId="77777777" w:rsidTr="00005092">
        <w:tc>
          <w:tcPr>
            <w:tcW w:w="1439" w:type="dxa"/>
            <w:shd w:val="clear" w:color="auto" w:fill="auto"/>
          </w:tcPr>
          <w:p w14:paraId="78DF2480"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secure ward</w:t>
            </w:r>
          </w:p>
        </w:tc>
        <w:tc>
          <w:tcPr>
            <w:tcW w:w="1439" w:type="dxa"/>
            <w:shd w:val="clear" w:color="auto" w:fill="auto"/>
          </w:tcPr>
          <w:p w14:paraId="78DF2481"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788</w:t>
            </w:r>
          </w:p>
        </w:tc>
        <w:tc>
          <w:tcPr>
            <w:tcW w:w="1440" w:type="dxa"/>
            <w:shd w:val="clear" w:color="auto" w:fill="auto"/>
          </w:tcPr>
          <w:p w14:paraId="78DF2482"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31</w:t>
            </w:r>
          </w:p>
        </w:tc>
        <w:tc>
          <w:tcPr>
            <w:tcW w:w="1440" w:type="dxa"/>
            <w:shd w:val="clear" w:color="auto" w:fill="auto"/>
          </w:tcPr>
          <w:p w14:paraId="78DF2483"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37</w:t>
            </w:r>
          </w:p>
        </w:tc>
        <w:tc>
          <w:tcPr>
            <w:tcW w:w="1440" w:type="dxa"/>
            <w:shd w:val="clear" w:color="auto" w:fill="auto"/>
          </w:tcPr>
          <w:p w14:paraId="78DF2484"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36</w:t>
            </w:r>
          </w:p>
        </w:tc>
        <w:tc>
          <w:tcPr>
            <w:tcW w:w="1440" w:type="dxa"/>
            <w:shd w:val="clear" w:color="auto" w:fill="auto"/>
          </w:tcPr>
          <w:p w14:paraId="78DF2485"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13</w:t>
            </w:r>
          </w:p>
        </w:tc>
      </w:tr>
      <w:tr w:rsidR="00400AF3" w:rsidRPr="00400AF3" w14:paraId="78DF248D" w14:textId="77777777" w:rsidTr="00005092">
        <w:tc>
          <w:tcPr>
            <w:tcW w:w="1439" w:type="dxa"/>
            <w:shd w:val="clear" w:color="auto" w:fill="auto"/>
          </w:tcPr>
          <w:p w14:paraId="78DF2487"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supervised treatment</w:t>
            </w:r>
          </w:p>
        </w:tc>
        <w:tc>
          <w:tcPr>
            <w:tcW w:w="1439" w:type="dxa"/>
            <w:shd w:val="clear" w:color="auto" w:fill="auto"/>
          </w:tcPr>
          <w:p w14:paraId="78DF2488"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40</w:t>
            </w:r>
          </w:p>
        </w:tc>
        <w:tc>
          <w:tcPr>
            <w:tcW w:w="1440" w:type="dxa"/>
            <w:shd w:val="clear" w:color="auto" w:fill="auto"/>
          </w:tcPr>
          <w:p w14:paraId="78DF2489"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w:t>
            </w:r>
          </w:p>
        </w:tc>
        <w:tc>
          <w:tcPr>
            <w:tcW w:w="1440" w:type="dxa"/>
            <w:shd w:val="clear" w:color="auto" w:fill="auto"/>
          </w:tcPr>
          <w:p w14:paraId="78DF248A"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w:t>
            </w:r>
          </w:p>
        </w:tc>
        <w:tc>
          <w:tcPr>
            <w:tcW w:w="1440" w:type="dxa"/>
            <w:shd w:val="clear" w:color="auto" w:fill="auto"/>
          </w:tcPr>
          <w:p w14:paraId="78DF248B"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w:t>
            </w:r>
          </w:p>
        </w:tc>
        <w:tc>
          <w:tcPr>
            <w:tcW w:w="1440" w:type="dxa"/>
            <w:shd w:val="clear" w:color="auto" w:fill="auto"/>
          </w:tcPr>
          <w:p w14:paraId="78DF248C"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0</w:t>
            </w:r>
          </w:p>
        </w:tc>
      </w:tr>
      <w:tr w:rsidR="00400AF3" w:rsidRPr="00400AF3" w14:paraId="78DF2494" w14:textId="77777777" w:rsidTr="00005092">
        <w:tc>
          <w:tcPr>
            <w:tcW w:w="1439" w:type="dxa"/>
            <w:shd w:val="clear" w:color="auto" w:fill="auto"/>
          </w:tcPr>
          <w:p w14:paraId="78DF248E"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emergency admission</w:t>
            </w:r>
          </w:p>
        </w:tc>
        <w:tc>
          <w:tcPr>
            <w:tcW w:w="1439" w:type="dxa"/>
            <w:shd w:val="clear" w:color="auto" w:fill="auto"/>
          </w:tcPr>
          <w:p w14:paraId="78DF248F"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545</w:t>
            </w:r>
          </w:p>
        </w:tc>
        <w:tc>
          <w:tcPr>
            <w:tcW w:w="1440" w:type="dxa"/>
            <w:shd w:val="clear" w:color="auto" w:fill="auto"/>
          </w:tcPr>
          <w:p w14:paraId="78DF2490"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50</w:t>
            </w:r>
          </w:p>
        </w:tc>
        <w:tc>
          <w:tcPr>
            <w:tcW w:w="1440" w:type="dxa"/>
            <w:shd w:val="clear" w:color="auto" w:fill="auto"/>
          </w:tcPr>
          <w:p w14:paraId="78DF2491"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58</w:t>
            </w:r>
          </w:p>
        </w:tc>
        <w:tc>
          <w:tcPr>
            <w:tcW w:w="1440" w:type="dxa"/>
            <w:shd w:val="clear" w:color="auto" w:fill="auto"/>
          </w:tcPr>
          <w:p w14:paraId="78DF2492"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53</w:t>
            </w:r>
          </w:p>
        </w:tc>
        <w:tc>
          <w:tcPr>
            <w:tcW w:w="1440" w:type="dxa"/>
            <w:shd w:val="clear" w:color="auto" w:fill="auto"/>
          </w:tcPr>
          <w:p w14:paraId="78DF2493"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10</w:t>
            </w:r>
          </w:p>
        </w:tc>
      </w:tr>
    </w:tbl>
    <w:p w14:paraId="78DF2495" w14:textId="77777777" w:rsidR="00400AF3" w:rsidRPr="00400AF3" w:rsidRDefault="00400AF3" w:rsidP="00400AF3">
      <w:pPr>
        <w:jc w:val="both"/>
        <w:rPr>
          <w:rFonts w:ascii="Times New Roman" w:hAnsi="Times New Roman" w:cs="Times New Roman"/>
          <w:b/>
          <w:color w:val="000000" w:themeColor="text1"/>
          <w:sz w:val="20"/>
          <w:szCs w:val="20"/>
          <w:lang w:val="en-GB"/>
        </w:rPr>
      </w:pPr>
    </w:p>
    <w:p w14:paraId="78DF2496" w14:textId="77777777" w:rsidR="00400AF3" w:rsidRPr="00400AF3" w:rsidRDefault="00400AF3" w:rsidP="00400AF3">
      <w:pPr>
        <w:jc w:val="both"/>
        <w:rPr>
          <w:rFonts w:ascii="Times New Roman" w:hAnsi="Times New Roman" w:cs="Times New Roman"/>
          <w:color w:val="000000" w:themeColor="text1"/>
          <w:sz w:val="24"/>
          <w:szCs w:val="24"/>
          <w:u w:val="single"/>
          <w:lang w:val="en-GB"/>
        </w:rPr>
      </w:pPr>
      <w:r w:rsidRPr="00400AF3">
        <w:rPr>
          <w:rFonts w:ascii="Times New Roman" w:hAnsi="Times New Roman" w:cs="Times New Roman"/>
          <w:color w:val="000000" w:themeColor="text1"/>
          <w:sz w:val="24"/>
          <w:szCs w:val="24"/>
          <w:u w:val="single"/>
          <w:lang w:val="en-GB"/>
        </w:rPr>
        <w:t>2016</w:t>
      </w:r>
    </w:p>
    <w:p w14:paraId="78DF2497" w14:textId="77777777" w:rsidR="00400AF3" w:rsidRPr="00400AF3" w:rsidRDefault="00400AF3" w:rsidP="00400AF3">
      <w:pPr>
        <w:jc w:val="both"/>
        <w:rPr>
          <w:rFonts w:ascii="Times New Roman" w:hAnsi="Times New Roman" w:cs="Times New Roman"/>
          <w:b/>
          <w:color w:val="000000" w:themeColor="text1"/>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439"/>
        <w:gridCol w:w="1440"/>
        <w:gridCol w:w="1440"/>
        <w:gridCol w:w="1440"/>
        <w:gridCol w:w="1440"/>
      </w:tblGrid>
      <w:tr w:rsidR="00400AF3" w:rsidRPr="00400AF3" w14:paraId="78DF249D" w14:textId="77777777" w:rsidTr="00005092">
        <w:tc>
          <w:tcPr>
            <w:tcW w:w="1439" w:type="dxa"/>
            <w:vMerge w:val="restart"/>
            <w:shd w:val="clear" w:color="auto" w:fill="auto"/>
          </w:tcPr>
          <w:p w14:paraId="78DF2498"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39" w:type="dxa"/>
            <w:vMerge w:val="restart"/>
            <w:shd w:val="clear" w:color="auto" w:fill="auto"/>
          </w:tcPr>
          <w:p w14:paraId="78DF2499"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the court issued a decision to admit a person pursuant to the ZDZdr</w:t>
            </w:r>
          </w:p>
        </w:tc>
        <w:tc>
          <w:tcPr>
            <w:tcW w:w="2880" w:type="dxa"/>
            <w:gridSpan w:val="2"/>
            <w:shd w:val="clear" w:color="auto" w:fill="auto"/>
          </w:tcPr>
          <w:p w14:paraId="78DF249A"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Appeals filed against a final decision in cases from the second column</w:t>
            </w:r>
          </w:p>
        </w:tc>
        <w:tc>
          <w:tcPr>
            <w:tcW w:w="1440" w:type="dxa"/>
            <w:vMerge w:val="restart"/>
            <w:shd w:val="clear" w:color="auto" w:fill="auto"/>
          </w:tcPr>
          <w:p w14:paraId="78DF249B"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decision on the appeal was made</w:t>
            </w:r>
          </w:p>
        </w:tc>
        <w:tc>
          <w:tcPr>
            <w:tcW w:w="1440" w:type="dxa"/>
            <w:vMerge w:val="restart"/>
            <w:shd w:val="clear" w:color="auto" w:fill="auto"/>
          </w:tcPr>
          <w:p w14:paraId="78DF249C"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final decision was amended or overturned</w:t>
            </w:r>
          </w:p>
        </w:tc>
      </w:tr>
      <w:tr w:rsidR="00400AF3" w:rsidRPr="00400AF3" w14:paraId="78DF24A4" w14:textId="77777777" w:rsidTr="00005092">
        <w:tc>
          <w:tcPr>
            <w:tcW w:w="1439" w:type="dxa"/>
            <w:vMerge/>
            <w:shd w:val="clear" w:color="auto" w:fill="auto"/>
          </w:tcPr>
          <w:p w14:paraId="78DF249E"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39" w:type="dxa"/>
            <w:vMerge/>
            <w:shd w:val="clear" w:color="auto" w:fill="auto"/>
          </w:tcPr>
          <w:p w14:paraId="78DF249F"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40" w:type="dxa"/>
            <w:shd w:val="clear" w:color="auto" w:fill="auto"/>
          </w:tcPr>
          <w:p w14:paraId="78DF24A0"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an appeal was filed against a final decision</w:t>
            </w:r>
          </w:p>
        </w:tc>
        <w:tc>
          <w:tcPr>
            <w:tcW w:w="1440" w:type="dxa"/>
            <w:shd w:val="clear" w:color="auto" w:fill="auto"/>
          </w:tcPr>
          <w:p w14:paraId="78DF24A1"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appeals filed with regard to these cases</w:t>
            </w:r>
          </w:p>
        </w:tc>
        <w:tc>
          <w:tcPr>
            <w:tcW w:w="1440" w:type="dxa"/>
            <w:vMerge/>
            <w:shd w:val="clear" w:color="auto" w:fill="auto"/>
          </w:tcPr>
          <w:p w14:paraId="78DF24A2"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40" w:type="dxa"/>
            <w:vMerge/>
            <w:shd w:val="clear" w:color="auto" w:fill="auto"/>
          </w:tcPr>
          <w:p w14:paraId="78DF24A3"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r>
      <w:tr w:rsidR="00400AF3" w:rsidRPr="00400AF3" w14:paraId="78DF24AB" w14:textId="77777777" w:rsidTr="00005092">
        <w:tc>
          <w:tcPr>
            <w:tcW w:w="1439" w:type="dxa"/>
            <w:shd w:val="clear" w:color="auto" w:fill="auto"/>
          </w:tcPr>
          <w:p w14:paraId="78DF24A5"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detention allowed</w:t>
            </w:r>
          </w:p>
        </w:tc>
        <w:tc>
          <w:tcPr>
            <w:tcW w:w="1439" w:type="dxa"/>
            <w:shd w:val="clear" w:color="auto" w:fill="auto"/>
          </w:tcPr>
          <w:p w14:paraId="78DF24A6"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677</w:t>
            </w:r>
          </w:p>
        </w:tc>
        <w:tc>
          <w:tcPr>
            <w:tcW w:w="1440" w:type="dxa"/>
            <w:shd w:val="clear" w:color="auto" w:fill="auto"/>
          </w:tcPr>
          <w:p w14:paraId="78DF24A7"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64</w:t>
            </w:r>
          </w:p>
        </w:tc>
        <w:tc>
          <w:tcPr>
            <w:tcW w:w="1440" w:type="dxa"/>
            <w:shd w:val="clear" w:color="auto" w:fill="auto"/>
          </w:tcPr>
          <w:p w14:paraId="78DF24A8"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69</w:t>
            </w:r>
          </w:p>
        </w:tc>
        <w:tc>
          <w:tcPr>
            <w:tcW w:w="1440" w:type="dxa"/>
            <w:shd w:val="clear" w:color="auto" w:fill="auto"/>
          </w:tcPr>
          <w:p w14:paraId="78DF24A9"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59</w:t>
            </w:r>
          </w:p>
        </w:tc>
        <w:tc>
          <w:tcPr>
            <w:tcW w:w="1440" w:type="dxa"/>
            <w:shd w:val="clear" w:color="auto" w:fill="auto"/>
          </w:tcPr>
          <w:p w14:paraId="78DF24AA"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12</w:t>
            </w:r>
          </w:p>
        </w:tc>
      </w:tr>
      <w:tr w:rsidR="00400AF3" w:rsidRPr="00400AF3" w14:paraId="78DF24B2" w14:textId="77777777" w:rsidTr="00005092">
        <w:tc>
          <w:tcPr>
            <w:tcW w:w="1439" w:type="dxa"/>
            <w:shd w:val="clear" w:color="auto" w:fill="auto"/>
          </w:tcPr>
          <w:p w14:paraId="78DF24AC"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ward under special supervision</w:t>
            </w:r>
          </w:p>
        </w:tc>
        <w:tc>
          <w:tcPr>
            <w:tcW w:w="1439" w:type="dxa"/>
            <w:shd w:val="clear" w:color="auto" w:fill="auto"/>
          </w:tcPr>
          <w:p w14:paraId="78DF24AD"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27</w:t>
            </w:r>
          </w:p>
        </w:tc>
        <w:tc>
          <w:tcPr>
            <w:tcW w:w="1440" w:type="dxa"/>
            <w:shd w:val="clear" w:color="auto" w:fill="auto"/>
          </w:tcPr>
          <w:p w14:paraId="78DF24AE"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AF"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B0"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w:t>
            </w:r>
          </w:p>
        </w:tc>
        <w:tc>
          <w:tcPr>
            <w:tcW w:w="1440" w:type="dxa"/>
            <w:shd w:val="clear" w:color="auto" w:fill="auto"/>
          </w:tcPr>
          <w:p w14:paraId="78DF24B1"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0</w:t>
            </w:r>
          </w:p>
        </w:tc>
      </w:tr>
      <w:tr w:rsidR="00400AF3" w:rsidRPr="00400AF3" w14:paraId="78DF24B9" w14:textId="77777777" w:rsidTr="00005092">
        <w:tc>
          <w:tcPr>
            <w:tcW w:w="1439" w:type="dxa"/>
            <w:shd w:val="clear" w:color="auto" w:fill="auto"/>
          </w:tcPr>
          <w:p w14:paraId="78DF24B3"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secure ward</w:t>
            </w:r>
          </w:p>
        </w:tc>
        <w:tc>
          <w:tcPr>
            <w:tcW w:w="1439" w:type="dxa"/>
            <w:shd w:val="clear" w:color="auto" w:fill="auto"/>
          </w:tcPr>
          <w:p w14:paraId="78DF24B4"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520</w:t>
            </w:r>
          </w:p>
        </w:tc>
        <w:tc>
          <w:tcPr>
            <w:tcW w:w="1440" w:type="dxa"/>
            <w:shd w:val="clear" w:color="auto" w:fill="auto"/>
          </w:tcPr>
          <w:p w14:paraId="78DF24B5"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39</w:t>
            </w:r>
          </w:p>
        </w:tc>
        <w:tc>
          <w:tcPr>
            <w:tcW w:w="1440" w:type="dxa"/>
            <w:shd w:val="clear" w:color="auto" w:fill="auto"/>
          </w:tcPr>
          <w:p w14:paraId="78DF24B6"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45</w:t>
            </w:r>
          </w:p>
        </w:tc>
        <w:tc>
          <w:tcPr>
            <w:tcW w:w="1440" w:type="dxa"/>
            <w:shd w:val="clear" w:color="auto" w:fill="auto"/>
          </w:tcPr>
          <w:p w14:paraId="78DF24B7"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41</w:t>
            </w:r>
          </w:p>
        </w:tc>
        <w:tc>
          <w:tcPr>
            <w:tcW w:w="1440" w:type="dxa"/>
            <w:shd w:val="clear" w:color="auto" w:fill="auto"/>
          </w:tcPr>
          <w:p w14:paraId="78DF24B8"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11</w:t>
            </w:r>
          </w:p>
        </w:tc>
      </w:tr>
      <w:tr w:rsidR="00400AF3" w:rsidRPr="00400AF3" w14:paraId="78DF24C0" w14:textId="77777777" w:rsidTr="00005092">
        <w:tc>
          <w:tcPr>
            <w:tcW w:w="1439" w:type="dxa"/>
            <w:shd w:val="clear" w:color="auto" w:fill="auto"/>
          </w:tcPr>
          <w:p w14:paraId="78DF24BA"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supervised treatment</w:t>
            </w:r>
          </w:p>
        </w:tc>
        <w:tc>
          <w:tcPr>
            <w:tcW w:w="1439" w:type="dxa"/>
            <w:shd w:val="clear" w:color="auto" w:fill="auto"/>
          </w:tcPr>
          <w:p w14:paraId="78DF24BB"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42</w:t>
            </w:r>
          </w:p>
        </w:tc>
        <w:tc>
          <w:tcPr>
            <w:tcW w:w="1440" w:type="dxa"/>
            <w:shd w:val="clear" w:color="auto" w:fill="auto"/>
          </w:tcPr>
          <w:p w14:paraId="78DF24BC"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w:t>
            </w:r>
          </w:p>
        </w:tc>
        <w:tc>
          <w:tcPr>
            <w:tcW w:w="1440" w:type="dxa"/>
            <w:shd w:val="clear" w:color="auto" w:fill="auto"/>
          </w:tcPr>
          <w:p w14:paraId="78DF24BD"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11</w:t>
            </w:r>
          </w:p>
        </w:tc>
        <w:tc>
          <w:tcPr>
            <w:tcW w:w="1440" w:type="dxa"/>
            <w:shd w:val="clear" w:color="auto" w:fill="auto"/>
          </w:tcPr>
          <w:p w14:paraId="78DF24BE"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w:t>
            </w:r>
          </w:p>
        </w:tc>
        <w:tc>
          <w:tcPr>
            <w:tcW w:w="1440" w:type="dxa"/>
            <w:shd w:val="clear" w:color="auto" w:fill="auto"/>
          </w:tcPr>
          <w:p w14:paraId="78DF24BF"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2</w:t>
            </w:r>
          </w:p>
        </w:tc>
      </w:tr>
      <w:tr w:rsidR="00400AF3" w:rsidRPr="00400AF3" w14:paraId="78DF24C7" w14:textId="77777777" w:rsidTr="00005092">
        <w:tc>
          <w:tcPr>
            <w:tcW w:w="1439" w:type="dxa"/>
            <w:shd w:val="clear" w:color="auto" w:fill="auto"/>
          </w:tcPr>
          <w:p w14:paraId="78DF24C1"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emergency admission</w:t>
            </w:r>
          </w:p>
        </w:tc>
        <w:tc>
          <w:tcPr>
            <w:tcW w:w="1439" w:type="dxa"/>
            <w:shd w:val="clear" w:color="auto" w:fill="auto"/>
          </w:tcPr>
          <w:p w14:paraId="78DF24C2"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603</w:t>
            </w:r>
          </w:p>
        </w:tc>
        <w:tc>
          <w:tcPr>
            <w:tcW w:w="1440" w:type="dxa"/>
            <w:shd w:val="clear" w:color="auto" w:fill="auto"/>
          </w:tcPr>
          <w:p w14:paraId="78DF24C3"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72</w:t>
            </w:r>
          </w:p>
        </w:tc>
        <w:tc>
          <w:tcPr>
            <w:tcW w:w="1440" w:type="dxa"/>
            <w:shd w:val="clear" w:color="auto" w:fill="auto"/>
          </w:tcPr>
          <w:p w14:paraId="78DF24C4"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82</w:t>
            </w:r>
          </w:p>
        </w:tc>
        <w:tc>
          <w:tcPr>
            <w:tcW w:w="1440" w:type="dxa"/>
            <w:shd w:val="clear" w:color="auto" w:fill="auto"/>
          </w:tcPr>
          <w:p w14:paraId="78DF24C5"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79</w:t>
            </w:r>
          </w:p>
        </w:tc>
        <w:tc>
          <w:tcPr>
            <w:tcW w:w="1440" w:type="dxa"/>
            <w:shd w:val="clear" w:color="auto" w:fill="auto"/>
          </w:tcPr>
          <w:p w14:paraId="78DF24C6"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14</w:t>
            </w:r>
          </w:p>
        </w:tc>
      </w:tr>
    </w:tbl>
    <w:p w14:paraId="78DF24C8" w14:textId="77777777" w:rsidR="00400AF3" w:rsidRPr="00400AF3" w:rsidRDefault="00400AF3" w:rsidP="00400AF3">
      <w:pPr>
        <w:jc w:val="both"/>
        <w:rPr>
          <w:rFonts w:ascii="Times New Roman" w:hAnsi="Times New Roman" w:cs="Times New Roman"/>
          <w:b/>
          <w:color w:val="000000" w:themeColor="text1"/>
          <w:sz w:val="20"/>
          <w:szCs w:val="20"/>
          <w:lang w:val="en-GB"/>
        </w:rPr>
      </w:pPr>
    </w:p>
    <w:p w14:paraId="78DF24C9" w14:textId="77777777" w:rsidR="00400AF3" w:rsidRPr="00400AF3" w:rsidRDefault="00400AF3" w:rsidP="00400AF3">
      <w:pPr>
        <w:jc w:val="both"/>
        <w:rPr>
          <w:rFonts w:ascii="Times New Roman" w:hAnsi="Times New Roman" w:cs="Times New Roman"/>
          <w:color w:val="000000" w:themeColor="text1"/>
          <w:sz w:val="24"/>
          <w:szCs w:val="24"/>
          <w:u w:val="single"/>
          <w:lang w:val="en-GB"/>
        </w:rPr>
      </w:pPr>
      <w:r w:rsidRPr="00400AF3">
        <w:rPr>
          <w:rFonts w:ascii="Times New Roman" w:hAnsi="Times New Roman" w:cs="Times New Roman"/>
          <w:color w:val="000000" w:themeColor="text1"/>
          <w:sz w:val="24"/>
          <w:szCs w:val="24"/>
          <w:u w:val="single"/>
          <w:lang w:val="en-GB"/>
        </w:rPr>
        <w:t>2017</w:t>
      </w:r>
    </w:p>
    <w:p w14:paraId="78DF24CA" w14:textId="77777777" w:rsidR="00400AF3" w:rsidRPr="00400AF3" w:rsidRDefault="00400AF3" w:rsidP="00400AF3">
      <w:pPr>
        <w:jc w:val="both"/>
        <w:rPr>
          <w:rFonts w:ascii="Times New Roman" w:hAnsi="Times New Roman" w:cs="Times New Roman"/>
          <w:b/>
          <w:color w:val="000000" w:themeColor="text1"/>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439"/>
        <w:gridCol w:w="1440"/>
        <w:gridCol w:w="1440"/>
        <w:gridCol w:w="1440"/>
        <w:gridCol w:w="1440"/>
      </w:tblGrid>
      <w:tr w:rsidR="00400AF3" w:rsidRPr="00400AF3" w14:paraId="78DF24D0" w14:textId="77777777" w:rsidTr="00005092">
        <w:tc>
          <w:tcPr>
            <w:tcW w:w="1439" w:type="dxa"/>
            <w:vMerge w:val="restart"/>
            <w:shd w:val="clear" w:color="auto" w:fill="auto"/>
          </w:tcPr>
          <w:p w14:paraId="78DF24CB"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39" w:type="dxa"/>
            <w:vMerge w:val="restart"/>
            <w:shd w:val="clear" w:color="auto" w:fill="auto"/>
          </w:tcPr>
          <w:p w14:paraId="78DF24CC"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the court issued a decision to admit a person pursuant to the ZDZdr</w:t>
            </w:r>
          </w:p>
        </w:tc>
        <w:tc>
          <w:tcPr>
            <w:tcW w:w="2880" w:type="dxa"/>
            <w:gridSpan w:val="2"/>
            <w:shd w:val="clear" w:color="auto" w:fill="auto"/>
          </w:tcPr>
          <w:p w14:paraId="78DF24CD"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Appeals filed against a final decision in cases from the second column</w:t>
            </w:r>
          </w:p>
        </w:tc>
        <w:tc>
          <w:tcPr>
            <w:tcW w:w="1440" w:type="dxa"/>
            <w:vMerge w:val="restart"/>
            <w:shd w:val="clear" w:color="auto" w:fill="auto"/>
          </w:tcPr>
          <w:p w14:paraId="78DF24CE"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decision on the appeal was made</w:t>
            </w:r>
          </w:p>
        </w:tc>
        <w:tc>
          <w:tcPr>
            <w:tcW w:w="1440" w:type="dxa"/>
            <w:vMerge w:val="restart"/>
            <w:shd w:val="clear" w:color="auto" w:fill="auto"/>
          </w:tcPr>
          <w:p w14:paraId="78DF24CF"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from the third column in which a final decision was amended or overturned</w:t>
            </w:r>
          </w:p>
        </w:tc>
      </w:tr>
      <w:tr w:rsidR="00400AF3" w:rsidRPr="00400AF3" w14:paraId="78DF24D7" w14:textId="77777777" w:rsidTr="00005092">
        <w:tc>
          <w:tcPr>
            <w:tcW w:w="1439" w:type="dxa"/>
            <w:vMerge/>
            <w:shd w:val="clear" w:color="auto" w:fill="auto"/>
          </w:tcPr>
          <w:p w14:paraId="78DF24D1"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39" w:type="dxa"/>
            <w:vMerge/>
            <w:shd w:val="clear" w:color="auto" w:fill="auto"/>
          </w:tcPr>
          <w:p w14:paraId="78DF24D2"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40" w:type="dxa"/>
            <w:shd w:val="clear" w:color="auto" w:fill="auto"/>
          </w:tcPr>
          <w:p w14:paraId="78DF24D3"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cases in which an appeal was filed against a final decision</w:t>
            </w:r>
          </w:p>
        </w:tc>
        <w:tc>
          <w:tcPr>
            <w:tcW w:w="1440" w:type="dxa"/>
            <w:shd w:val="clear" w:color="auto" w:fill="auto"/>
          </w:tcPr>
          <w:p w14:paraId="78DF24D4"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Number of appeals filed with regard to these cases</w:t>
            </w:r>
          </w:p>
        </w:tc>
        <w:tc>
          <w:tcPr>
            <w:tcW w:w="1440" w:type="dxa"/>
            <w:vMerge/>
            <w:shd w:val="clear" w:color="auto" w:fill="auto"/>
          </w:tcPr>
          <w:p w14:paraId="78DF24D5"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c>
          <w:tcPr>
            <w:tcW w:w="1440" w:type="dxa"/>
            <w:vMerge/>
            <w:shd w:val="clear" w:color="auto" w:fill="auto"/>
          </w:tcPr>
          <w:p w14:paraId="78DF24D6"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p>
        </w:tc>
      </w:tr>
      <w:tr w:rsidR="00400AF3" w:rsidRPr="00400AF3" w14:paraId="78DF24DE" w14:textId="77777777" w:rsidTr="00005092">
        <w:tc>
          <w:tcPr>
            <w:tcW w:w="1439" w:type="dxa"/>
            <w:shd w:val="clear" w:color="auto" w:fill="auto"/>
          </w:tcPr>
          <w:p w14:paraId="78DF24D8"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detention allowed</w:t>
            </w:r>
          </w:p>
        </w:tc>
        <w:tc>
          <w:tcPr>
            <w:tcW w:w="1439" w:type="dxa"/>
            <w:shd w:val="clear" w:color="auto" w:fill="auto"/>
          </w:tcPr>
          <w:p w14:paraId="78DF24D9"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600</w:t>
            </w:r>
          </w:p>
        </w:tc>
        <w:tc>
          <w:tcPr>
            <w:tcW w:w="1440" w:type="dxa"/>
            <w:shd w:val="clear" w:color="auto" w:fill="auto"/>
          </w:tcPr>
          <w:p w14:paraId="78DF24DA"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65</w:t>
            </w:r>
          </w:p>
        </w:tc>
        <w:tc>
          <w:tcPr>
            <w:tcW w:w="1440" w:type="dxa"/>
            <w:shd w:val="clear" w:color="auto" w:fill="auto"/>
          </w:tcPr>
          <w:p w14:paraId="78DF24DB"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77</w:t>
            </w:r>
          </w:p>
        </w:tc>
        <w:tc>
          <w:tcPr>
            <w:tcW w:w="1440" w:type="dxa"/>
            <w:shd w:val="clear" w:color="auto" w:fill="auto"/>
          </w:tcPr>
          <w:p w14:paraId="78DF24DC"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59</w:t>
            </w:r>
          </w:p>
        </w:tc>
        <w:tc>
          <w:tcPr>
            <w:tcW w:w="1440" w:type="dxa"/>
            <w:shd w:val="clear" w:color="auto" w:fill="auto"/>
          </w:tcPr>
          <w:p w14:paraId="78DF24DD"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w:t>
            </w:r>
          </w:p>
        </w:tc>
      </w:tr>
      <w:tr w:rsidR="00400AF3" w:rsidRPr="00400AF3" w14:paraId="78DF24E5" w14:textId="77777777" w:rsidTr="00005092">
        <w:tc>
          <w:tcPr>
            <w:tcW w:w="1439" w:type="dxa"/>
            <w:shd w:val="clear" w:color="auto" w:fill="auto"/>
          </w:tcPr>
          <w:p w14:paraId="78DF24DF"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ward under special supervision</w:t>
            </w:r>
          </w:p>
        </w:tc>
        <w:tc>
          <w:tcPr>
            <w:tcW w:w="1439" w:type="dxa"/>
            <w:shd w:val="clear" w:color="auto" w:fill="auto"/>
          </w:tcPr>
          <w:p w14:paraId="78DF24E0"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17</w:t>
            </w:r>
          </w:p>
        </w:tc>
        <w:tc>
          <w:tcPr>
            <w:tcW w:w="1440" w:type="dxa"/>
            <w:shd w:val="clear" w:color="auto" w:fill="auto"/>
          </w:tcPr>
          <w:p w14:paraId="78DF24E1"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w:t>
            </w:r>
          </w:p>
        </w:tc>
        <w:tc>
          <w:tcPr>
            <w:tcW w:w="1440" w:type="dxa"/>
            <w:shd w:val="clear" w:color="auto" w:fill="auto"/>
          </w:tcPr>
          <w:p w14:paraId="78DF24E2"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8</w:t>
            </w:r>
          </w:p>
        </w:tc>
        <w:tc>
          <w:tcPr>
            <w:tcW w:w="1440" w:type="dxa"/>
            <w:shd w:val="clear" w:color="auto" w:fill="auto"/>
          </w:tcPr>
          <w:p w14:paraId="78DF24E3"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w:t>
            </w:r>
          </w:p>
        </w:tc>
        <w:tc>
          <w:tcPr>
            <w:tcW w:w="1440" w:type="dxa"/>
            <w:shd w:val="clear" w:color="auto" w:fill="auto"/>
          </w:tcPr>
          <w:p w14:paraId="78DF24E4"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w:t>
            </w:r>
          </w:p>
        </w:tc>
      </w:tr>
      <w:tr w:rsidR="00400AF3" w:rsidRPr="00400AF3" w14:paraId="78DF24EC" w14:textId="77777777" w:rsidTr="00005092">
        <w:tc>
          <w:tcPr>
            <w:tcW w:w="1439" w:type="dxa"/>
            <w:shd w:val="clear" w:color="auto" w:fill="auto"/>
          </w:tcPr>
          <w:p w14:paraId="78DF24E6"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a secure ward</w:t>
            </w:r>
          </w:p>
        </w:tc>
        <w:tc>
          <w:tcPr>
            <w:tcW w:w="1439" w:type="dxa"/>
            <w:shd w:val="clear" w:color="auto" w:fill="auto"/>
          </w:tcPr>
          <w:p w14:paraId="78DF24E7"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463</w:t>
            </w:r>
          </w:p>
        </w:tc>
        <w:tc>
          <w:tcPr>
            <w:tcW w:w="1440" w:type="dxa"/>
            <w:shd w:val="clear" w:color="auto" w:fill="auto"/>
          </w:tcPr>
          <w:p w14:paraId="78DF24E8"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41</w:t>
            </w:r>
          </w:p>
        </w:tc>
        <w:tc>
          <w:tcPr>
            <w:tcW w:w="1440" w:type="dxa"/>
            <w:shd w:val="clear" w:color="auto" w:fill="auto"/>
          </w:tcPr>
          <w:p w14:paraId="78DF24E9"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65</w:t>
            </w:r>
          </w:p>
        </w:tc>
        <w:tc>
          <w:tcPr>
            <w:tcW w:w="1440" w:type="dxa"/>
            <w:shd w:val="clear" w:color="auto" w:fill="auto"/>
          </w:tcPr>
          <w:p w14:paraId="78DF24EA"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44</w:t>
            </w:r>
          </w:p>
        </w:tc>
        <w:tc>
          <w:tcPr>
            <w:tcW w:w="1440" w:type="dxa"/>
            <w:shd w:val="clear" w:color="auto" w:fill="auto"/>
          </w:tcPr>
          <w:p w14:paraId="78DF24EB"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4</w:t>
            </w:r>
          </w:p>
        </w:tc>
      </w:tr>
      <w:tr w:rsidR="00400AF3" w:rsidRPr="00400AF3" w14:paraId="78DF24F3" w14:textId="77777777" w:rsidTr="00005092">
        <w:tc>
          <w:tcPr>
            <w:tcW w:w="1439" w:type="dxa"/>
            <w:shd w:val="clear" w:color="auto" w:fill="auto"/>
          </w:tcPr>
          <w:p w14:paraId="78DF24ED"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admission to supervised treatment</w:t>
            </w:r>
          </w:p>
        </w:tc>
        <w:tc>
          <w:tcPr>
            <w:tcW w:w="1439" w:type="dxa"/>
            <w:shd w:val="clear" w:color="auto" w:fill="auto"/>
          </w:tcPr>
          <w:p w14:paraId="78DF24EE"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34</w:t>
            </w:r>
          </w:p>
        </w:tc>
        <w:tc>
          <w:tcPr>
            <w:tcW w:w="1440" w:type="dxa"/>
            <w:shd w:val="clear" w:color="auto" w:fill="auto"/>
          </w:tcPr>
          <w:p w14:paraId="78DF24EF"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w:t>
            </w:r>
          </w:p>
        </w:tc>
        <w:tc>
          <w:tcPr>
            <w:tcW w:w="1440" w:type="dxa"/>
            <w:shd w:val="clear" w:color="auto" w:fill="auto"/>
          </w:tcPr>
          <w:p w14:paraId="78DF24F0"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w:t>
            </w:r>
          </w:p>
        </w:tc>
        <w:tc>
          <w:tcPr>
            <w:tcW w:w="1440" w:type="dxa"/>
            <w:shd w:val="clear" w:color="auto" w:fill="auto"/>
          </w:tcPr>
          <w:p w14:paraId="78DF24F1"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w:t>
            </w:r>
          </w:p>
        </w:tc>
        <w:tc>
          <w:tcPr>
            <w:tcW w:w="1440" w:type="dxa"/>
            <w:shd w:val="clear" w:color="auto" w:fill="auto"/>
          </w:tcPr>
          <w:p w14:paraId="78DF24F2"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w:t>
            </w:r>
          </w:p>
        </w:tc>
      </w:tr>
      <w:tr w:rsidR="00400AF3" w:rsidRPr="00400AF3" w14:paraId="78DF24FA" w14:textId="77777777" w:rsidTr="00005092">
        <w:tc>
          <w:tcPr>
            <w:tcW w:w="1439" w:type="dxa"/>
            <w:shd w:val="clear" w:color="auto" w:fill="auto"/>
          </w:tcPr>
          <w:p w14:paraId="78DF24F4" w14:textId="77777777" w:rsidR="00400AF3" w:rsidRPr="00400AF3" w:rsidRDefault="00400AF3" w:rsidP="00400AF3">
            <w:pPr>
              <w:spacing w:after="0"/>
              <w:jc w:val="both"/>
              <w:rPr>
                <w:rFonts w:ascii="Times New Roman" w:hAnsi="Times New Roman" w:cs="Times New Roman"/>
                <w:b/>
                <w:color w:val="000000" w:themeColor="text1"/>
                <w:sz w:val="20"/>
                <w:szCs w:val="20"/>
                <w:lang w:val="en-GB"/>
              </w:rPr>
            </w:pPr>
            <w:r w:rsidRPr="00400AF3">
              <w:rPr>
                <w:rFonts w:ascii="Times New Roman" w:hAnsi="Times New Roman" w:cs="Times New Roman"/>
                <w:b/>
                <w:bCs/>
                <w:color w:val="000000" w:themeColor="text1"/>
                <w:sz w:val="20"/>
                <w:szCs w:val="20"/>
                <w:lang w:val="en-GB"/>
              </w:rPr>
              <w:t>Decision – emergency admission</w:t>
            </w:r>
          </w:p>
        </w:tc>
        <w:tc>
          <w:tcPr>
            <w:tcW w:w="1439" w:type="dxa"/>
            <w:shd w:val="clear" w:color="auto" w:fill="auto"/>
          </w:tcPr>
          <w:p w14:paraId="78DF24F5"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677</w:t>
            </w:r>
          </w:p>
        </w:tc>
        <w:tc>
          <w:tcPr>
            <w:tcW w:w="1440" w:type="dxa"/>
            <w:shd w:val="clear" w:color="auto" w:fill="auto"/>
          </w:tcPr>
          <w:p w14:paraId="78DF24F6"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78</w:t>
            </w:r>
          </w:p>
        </w:tc>
        <w:tc>
          <w:tcPr>
            <w:tcW w:w="1440" w:type="dxa"/>
            <w:shd w:val="clear" w:color="auto" w:fill="auto"/>
          </w:tcPr>
          <w:p w14:paraId="78DF24F7"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96</w:t>
            </w:r>
          </w:p>
        </w:tc>
        <w:tc>
          <w:tcPr>
            <w:tcW w:w="1440" w:type="dxa"/>
            <w:shd w:val="clear" w:color="auto" w:fill="auto"/>
          </w:tcPr>
          <w:p w14:paraId="78DF24F8"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84</w:t>
            </w:r>
          </w:p>
        </w:tc>
        <w:tc>
          <w:tcPr>
            <w:tcW w:w="1440" w:type="dxa"/>
            <w:shd w:val="clear" w:color="auto" w:fill="auto"/>
          </w:tcPr>
          <w:p w14:paraId="78DF24F9" w14:textId="77777777" w:rsidR="00400AF3" w:rsidRPr="00400AF3" w:rsidRDefault="00400AF3" w:rsidP="00400AF3">
            <w:pPr>
              <w:spacing w:after="0"/>
              <w:jc w:val="center"/>
              <w:rPr>
                <w:rFonts w:ascii="Times New Roman" w:hAnsi="Times New Roman" w:cs="Times New Roman"/>
                <w:color w:val="000000" w:themeColor="text1"/>
                <w:sz w:val="20"/>
                <w:szCs w:val="20"/>
                <w:lang w:val="en-GB"/>
              </w:rPr>
            </w:pPr>
            <w:r w:rsidRPr="00400AF3">
              <w:rPr>
                <w:rFonts w:ascii="Times New Roman" w:hAnsi="Times New Roman" w:cs="Times New Roman"/>
                <w:color w:val="000000" w:themeColor="text1"/>
                <w:sz w:val="20"/>
                <w:szCs w:val="20"/>
                <w:lang w:val="en-GB"/>
              </w:rPr>
              <w:t>10</w:t>
            </w:r>
          </w:p>
        </w:tc>
      </w:tr>
    </w:tbl>
    <w:p w14:paraId="78DF24FB" w14:textId="77777777" w:rsidR="008411D9" w:rsidRDefault="000E6346">
      <w:pPr>
        <w:rPr>
          <w:lang w:val="en-GB"/>
        </w:rPr>
      </w:pPr>
    </w:p>
    <w:p w14:paraId="78DF24FC" w14:textId="77777777" w:rsidR="00AC7495" w:rsidRDefault="00AC7495">
      <w:pPr>
        <w:rPr>
          <w:lang w:val="en-GB"/>
        </w:rPr>
      </w:pPr>
    </w:p>
    <w:p w14:paraId="78DF24FD" w14:textId="77777777" w:rsidR="00AC7495" w:rsidRPr="00CA00C2" w:rsidRDefault="00AC7495" w:rsidP="00FC295F">
      <w:pPr>
        <w:rPr>
          <w:rFonts w:ascii="Times New Roman" w:eastAsia="Times New Roman" w:hAnsi="Times New Roman" w:cs="Times New Roman"/>
          <w:sz w:val="24"/>
          <w:szCs w:val="24"/>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0043371A">
        <w:rPr>
          <w:lang w:val="en-GB"/>
        </w:rPr>
        <w:tab/>
      </w:r>
      <w:r w:rsidRPr="00CA00C2">
        <w:rPr>
          <w:rFonts w:ascii="Times New Roman" w:eastAsia="Times New Roman" w:hAnsi="Times New Roman" w:cs="Times New Roman"/>
          <w:sz w:val="24"/>
          <w:szCs w:val="24"/>
          <w:lang w:val="en-GB"/>
        </w:rPr>
        <w:t xml:space="preserve"> </w:t>
      </w:r>
    </w:p>
    <w:p w14:paraId="78DF24FE" w14:textId="77777777" w:rsidR="00AC7495" w:rsidRPr="00D3593A" w:rsidRDefault="00AC7495" w:rsidP="00AC7495">
      <w:pPr>
        <w:spacing w:after="200" w:line="254" w:lineRule="auto"/>
        <w:jc w:val="both"/>
        <w:rPr>
          <w:rFonts w:ascii="Times New Roman" w:eastAsia="Times New Roman" w:hAnsi="Times New Roman" w:cs="Times New Roman"/>
          <w:color w:val="FF0000"/>
          <w:sz w:val="24"/>
          <w:szCs w:val="24"/>
          <w:lang w:val="en-GB"/>
        </w:rPr>
      </w:pPr>
    </w:p>
    <w:p w14:paraId="78DF24FF" w14:textId="77777777" w:rsidR="00BA384E" w:rsidRDefault="00BA384E">
      <w:pPr>
        <w:rPr>
          <w:lang w:val="en-GB"/>
        </w:rPr>
      </w:pPr>
    </w:p>
    <w:p w14:paraId="78DF2500" w14:textId="77777777" w:rsidR="00BA384E" w:rsidRPr="00BA384E" w:rsidRDefault="00BA384E" w:rsidP="00BA384E">
      <w:pPr>
        <w:rPr>
          <w:lang w:val="en-GB"/>
        </w:rPr>
      </w:pPr>
    </w:p>
    <w:p w14:paraId="78DF2501" w14:textId="77777777" w:rsidR="00BA384E" w:rsidRPr="00BA384E" w:rsidRDefault="00BA384E" w:rsidP="00BA384E">
      <w:pPr>
        <w:rPr>
          <w:lang w:val="en-GB"/>
        </w:rPr>
      </w:pPr>
    </w:p>
    <w:p w14:paraId="78DF2502" w14:textId="77777777" w:rsidR="00BA384E" w:rsidRPr="00BA384E" w:rsidRDefault="00BA384E" w:rsidP="00BA384E">
      <w:pPr>
        <w:rPr>
          <w:lang w:val="en-GB"/>
        </w:rPr>
      </w:pPr>
    </w:p>
    <w:p w14:paraId="78DF2503" w14:textId="77777777" w:rsidR="00BA384E" w:rsidRDefault="00BA384E" w:rsidP="00BA384E">
      <w:pPr>
        <w:rPr>
          <w:lang w:val="en-GB"/>
        </w:rPr>
      </w:pPr>
    </w:p>
    <w:p w14:paraId="78DF2504"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p w14:paraId="78DF2505"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p w14:paraId="78DF2506"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p w14:paraId="78DF2507"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p w14:paraId="78DF2508"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9"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A"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B"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C"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D"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E"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0F"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0"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1"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2"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3"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4"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5"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6"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7"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8"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9"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A"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B"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C"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D"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E"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1F"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0"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1"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2"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3"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4"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5"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6" w14:textId="77777777" w:rsidR="00CA0F05" w:rsidRDefault="00CA0F05" w:rsidP="00BA384E">
      <w:pPr>
        <w:suppressAutoHyphens/>
        <w:spacing w:after="0" w:line="240" w:lineRule="auto"/>
        <w:jc w:val="both"/>
        <w:rPr>
          <w:rFonts w:ascii="Times New Roman" w:eastAsia="Times New Roman" w:hAnsi="Times New Roman" w:cs="Times New Roman"/>
          <w:sz w:val="20"/>
          <w:szCs w:val="20"/>
          <w:lang w:val="en-GB"/>
        </w:rPr>
      </w:pPr>
    </w:p>
    <w:p w14:paraId="78DF2527"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p w14:paraId="78DF2528" w14:textId="77777777" w:rsidR="00BA384E" w:rsidRDefault="00BA384E" w:rsidP="00BA384E">
      <w:pPr>
        <w:suppressAutoHyphens/>
        <w:spacing w:after="0" w:line="240" w:lineRule="auto"/>
        <w:jc w:val="both"/>
        <w:rPr>
          <w:rFonts w:ascii="Times New Roman" w:eastAsia="Times New Roman" w:hAnsi="Times New Roman" w:cs="Times New Roman"/>
          <w:sz w:val="20"/>
          <w:szCs w:val="20"/>
          <w:lang w:val="en-GB"/>
        </w:rPr>
      </w:pPr>
    </w:p>
    <w:sectPr w:rsidR="00BA384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F252F" w14:textId="77777777" w:rsidR="001A6671" w:rsidRDefault="001A6671" w:rsidP="001A6671">
      <w:pPr>
        <w:spacing w:after="0" w:line="240" w:lineRule="auto"/>
      </w:pPr>
      <w:r>
        <w:separator/>
      </w:r>
    </w:p>
  </w:endnote>
  <w:endnote w:type="continuationSeparator" w:id="0">
    <w:p w14:paraId="78DF2530" w14:textId="77777777" w:rsidR="001A6671" w:rsidRDefault="001A6671" w:rsidP="001A6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F252D" w14:textId="77777777" w:rsidR="001A6671" w:rsidRDefault="001A6671" w:rsidP="001A6671">
      <w:pPr>
        <w:spacing w:after="0" w:line="240" w:lineRule="auto"/>
      </w:pPr>
      <w:r>
        <w:separator/>
      </w:r>
    </w:p>
  </w:footnote>
  <w:footnote w:type="continuationSeparator" w:id="0">
    <w:p w14:paraId="78DF252E" w14:textId="77777777" w:rsidR="001A6671" w:rsidRDefault="001A6671" w:rsidP="001A6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26C95"/>
    <w:multiLevelType w:val="hybridMultilevel"/>
    <w:tmpl w:val="CFF6C37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9824465"/>
    <w:multiLevelType w:val="hybridMultilevel"/>
    <w:tmpl w:val="4B10F848"/>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2" w15:restartNumberingAfterBreak="0">
    <w:nsid w:val="1B6820DA"/>
    <w:multiLevelType w:val="hybridMultilevel"/>
    <w:tmpl w:val="0548EDC8"/>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3" w15:restartNumberingAfterBreak="0">
    <w:nsid w:val="1DF57279"/>
    <w:multiLevelType w:val="hybridMultilevel"/>
    <w:tmpl w:val="D5747D82"/>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4" w15:restartNumberingAfterBreak="0">
    <w:nsid w:val="536B7C57"/>
    <w:multiLevelType w:val="hybridMultilevel"/>
    <w:tmpl w:val="E4B0EDA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54F220D6"/>
    <w:multiLevelType w:val="hybridMultilevel"/>
    <w:tmpl w:val="E676ED38"/>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6" w15:restartNumberingAfterBreak="0">
    <w:nsid w:val="76916F10"/>
    <w:multiLevelType w:val="hybridMultilevel"/>
    <w:tmpl w:val="35DCAC28"/>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7" w15:restartNumberingAfterBreak="0">
    <w:nsid w:val="78EF3CAC"/>
    <w:multiLevelType w:val="hybridMultilevel"/>
    <w:tmpl w:val="B51A5882"/>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8" w15:restartNumberingAfterBreak="0">
    <w:nsid w:val="7D557023"/>
    <w:multiLevelType w:val="hybridMultilevel"/>
    <w:tmpl w:val="79B6D3E6"/>
    <w:lvl w:ilvl="0" w:tplc="04240001">
      <w:start w:val="1"/>
      <w:numFmt w:val="bullet"/>
      <w:lvlText w:val=""/>
      <w:lvlJc w:val="left"/>
      <w:pPr>
        <w:ind w:left="1494" w:hanging="360"/>
      </w:pPr>
      <w:rPr>
        <w:rFonts w:ascii="Symbol" w:hAnsi="Symbol"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num w:numId="1">
    <w:abstractNumId w:val="6"/>
  </w:num>
  <w:num w:numId="2">
    <w:abstractNumId w:val="1"/>
  </w:num>
  <w:num w:numId="3">
    <w:abstractNumId w:val="8"/>
  </w:num>
  <w:num w:numId="4">
    <w:abstractNumId w:val="7"/>
  </w:num>
  <w:num w:numId="5">
    <w:abstractNumId w:val="2"/>
  </w:num>
  <w:num w:numId="6">
    <w:abstractNumId w:val="5"/>
  </w:num>
  <w:num w:numId="7">
    <w:abstractNumId w:val="3"/>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3CB"/>
    <w:rsid w:val="00011E65"/>
    <w:rsid w:val="000125E5"/>
    <w:rsid w:val="00027123"/>
    <w:rsid w:val="00046852"/>
    <w:rsid w:val="000E6346"/>
    <w:rsid w:val="00123DA9"/>
    <w:rsid w:val="001573CB"/>
    <w:rsid w:val="001A6671"/>
    <w:rsid w:val="00346D0A"/>
    <w:rsid w:val="00400AF3"/>
    <w:rsid w:val="0043371A"/>
    <w:rsid w:val="0050383B"/>
    <w:rsid w:val="00541F2F"/>
    <w:rsid w:val="005D2036"/>
    <w:rsid w:val="00654EE5"/>
    <w:rsid w:val="006A0793"/>
    <w:rsid w:val="006D374E"/>
    <w:rsid w:val="007060DC"/>
    <w:rsid w:val="00810D0F"/>
    <w:rsid w:val="00926CC0"/>
    <w:rsid w:val="009C6E9D"/>
    <w:rsid w:val="00A02AD8"/>
    <w:rsid w:val="00AC7495"/>
    <w:rsid w:val="00B7326E"/>
    <w:rsid w:val="00BA384E"/>
    <w:rsid w:val="00CA0F05"/>
    <w:rsid w:val="00DE51A6"/>
    <w:rsid w:val="00E15957"/>
    <w:rsid w:val="00E744A7"/>
    <w:rsid w:val="00E817C3"/>
    <w:rsid w:val="00ED0BB6"/>
    <w:rsid w:val="00FA67F7"/>
    <w:rsid w:val="00FC295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22FA"/>
  <w15:docId w15:val="{90ABFCB8-1216-4732-A035-E5A592511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3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595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1F2F"/>
    <w:pPr>
      <w:ind w:left="720"/>
      <w:contextualSpacing/>
    </w:pPr>
  </w:style>
  <w:style w:type="paragraph" w:styleId="Header">
    <w:name w:val="header"/>
    <w:basedOn w:val="Normal"/>
    <w:link w:val="HeaderChar"/>
    <w:uiPriority w:val="99"/>
    <w:unhideWhenUsed/>
    <w:rsid w:val="001A6671"/>
    <w:pPr>
      <w:tabs>
        <w:tab w:val="center" w:pos="4536"/>
        <w:tab w:val="right" w:pos="9072"/>
      </w:tabs>
      <w:spacing w:after="0" w:line="240" w:lineRule="auto"/>
    </w:pPr>
  </w:style>
  <w:style w:type="character" w:customStyle="1" w:styleId="HeaderChar">
    <w:name w:val="Header Char"/>
    <w:basedOn w:val="DefaultParagraphFont"/>
    <w:link w:val="Header"/>
    <w:uiPriority w:val="99"/>
    <w:rsid w:val="001A6671"/>
  </w:style>
  <w:style w:type="paragraph" w:styleId="Footer">
    <w:name w:val="footer"/>
    <w:basedOn w:val="Normal"/>
    <w:link w:val="FooterChar"/>
    <w:uiPriority w:val="99"/>
    <w:unhideWhenUsed/>
    <w:rsid w:val="001A6671"/>
    <w:pPr>
      <w:tabs>
        <w:tab w:val="center" w:pos="4536"/>
        <w:tab w:val="right" w:pos="9072"/>
      </w:tabs>
      <w:spacing w:after="0" w:line="240" w:lineRule="auto"/>
    </w:pPr>
  </w:style>
  <w:style w:type="character" w:customStyle="1" w:styleId="FooterChar">
    <w:name w:val="Footer Char"/>
    <w:basedOn w:val="DefaultParagraphFont"/>
    <w:link w:val="Footer"/>
    <w:uiPriority w:val="99"/>
    <w:rsid w:val="001A6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rtl="0">
              <a:defRPr/>
            </a:pPr>
            <a:r>
              <a:rPr lang="en-GB" sz="1600" b="1" i="0" u="none" strike="noStrike" baseline="0">
                <a:effectLst/>
              </a:rPr>
              <a:t>Average number of convicted persons 2005–2018</a:t>
            </a:r>
            <a:endParaRPr lang="en-GB" sz="1600" b="1" i="0"/>
          </a:p>
        </c:rich>
      </c:tx>
      <c:layout/>
      <c:overlay val="0"/>
    </c:title>
    <c:autoTitleDeleted val="0"/>
    <c:plotArea>
      <c:layout/>
      <c:barChart>
        <c:barDir val="col"/>
        <c:grouping val="clustered"/>
        <c:varyColors val="0"/>
        <c:ser>
          <c:idx val="0"/>
          <c:order val="0"/>
          <c:spPr>
            <a:ln cmpd="dbl"/>
          </c:spPr>
          <c:invertIfNegative val="0"/>
          <c:dPt>
            <c:idx val="10"/>
            <c:invertIfNegative val="0"/>
            <c:bubble3D val="0"/>
            <c:spPr>
              <a:ln cmpd="dbl"/>
            </c:spPr>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1-19CB-48C1-BD88-E6F008D1BD65}"/>
              </c:ext>
            </c:extLst>
          </c:dPt>
          <c:dLbls>
            <c:spPr>
              <a:noFill/>
              <a:ln>
                <a:noFill/>
              </a:ln>
              <a:effectLst/>
            </c:spPr>
            <c:txPr>
              <a:bodyPr wrap="square" lIns="38100" tIns="19050" rIns="38100" bIns="19050" anchor="ctr">
                <a:spAutoFit/>
              </a:bodyPr>
              <a:lstStyle/>
              <a:p>
                <a:pPr rtl="0">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layout/>
                <c15:showLeaderLines val="0"/>
              </c:ext>
            </c:extLst>
          </c:dLbls>
          <c:cat>
            <c:numRef>
              <c:f>'Grafikon 4.1 OBSOJENCI'!$A$5:$A$18</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'Grafikon 4.1 OBSOJENCI'!$B$5:$B$18</c:f>
              <c:numCache>
                <c:formatCode>General</c:formatCode>
                <c:ptCount val="14"/>
                <c:pt idx="0">
                  <c:v>772</c:v>
                </c:pt>
                <c:pt idx="1">
                  <c:v>882</c:v>
                </c:pt>
                <c:pt idx="2">
                  <c:v>930</c:v>
                </c:pt>
                <c:pt idx="3">
                  <c:v>1002</c:v>
                </c:pt>
                <c:pt idx="4">
                  <c:v>1010</c:v>
                </c:pt>
                <c:pt idx="5">
                  <c:v>975</c:v>
                </c:pt>
                <c:pt idx="6">
                  <c:v>968</c:v>
                </c:pt>
                <c:pt idx="7">
                  <c:v>1042</c:v>
                </c:pt>
                <c:pt idx="8">
                  <c:v>1126</c:v>
                </c:pt>
                <c:pt idx="9">
                  <c:v>1173</c:v>
                </c:pt>
                <c:pt idx="10">
                  <c:v>1179.7</c:v>
                </c:pt>
                <c:pt idx="11">
                  <c:v>1091</c:v>
                </c:pt>
                <c:pt idx="12">
                  <c:v>1003</c:v>
                </c:pt>
                <c:pt idx="13">
                  <c:v>956</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2-19CB-48C1-BD88-E6F008D1BD65}"/>
            </c:ext>
          </c:extLst>
        </c:ser>
        <c:dLbls>
          <c:showLegendKey val="0"/>
          <c:showVal val="0"/>
          <c:showCatName val="0"/>
          <c:showSerName val="0"/>
          <c:showPercent val="0"/>
          <c:showBubbleSize val="0"/>
        </c:dLbls>
        <c:gapWidth val="49"/>
        <c:axId val="74634368"/>
        <c:axId val="74635904"/>
      </c:barChart>
      <c:catAx>
        <c:axId val="74634368"/>
        <c:scaling>
          <c:orientation val="minMax"/>
        </c:scaling>
        <c:delete val="0"/>
        <c:axPos val="b"/>
        <c:numFmt formatCode="General" sourceLinked="1"/>
        <c:majorTickMark val="out"/>
        <c:minorTickMark val="none"/>
        <c:tickLblPos val="nextTo"/>
        <c:txPr>
          <a:bodyPr rot="0" vert="horz"/>
          <a:lstStyle/>
          <a:p>
            <a:pPr rtl="0">
              <a:defRPr sz="1000" b="0" i="0" u="none" strike="noStrike" baseline="0">
                <a:solidFill>
                  <a:srgbClr val="000000"/>
                </a:solidFill>
                <a:latin typeface="Calibri"/>
                <a:ea typeface="Calibri"/>
                <a:cs typeface="Calibri"/>
              </a:defRPr>
            </a:pPr>
            <a:endParaRPr lang="en-US"/>
          </a:p>
        </c:txPr>
        <c:crossAx val="74635904"/>
        <c:crosses val="autoZero"/>
        <c:auto val="1"/>
        <c:lblAlgn val="ctr"/>
        <c:lblOffset val="100"/>
        <c:tickLblSkip val="1"/>
        <c:noMultiLvlLbl val="0"/>
      </c:catAx>
      <c:valAx>
        <c:axId val="74635904"/>
        <c:scaling>
          <c:orientation val="minMax"/>
          <c:max val="1250"/>
          <c:min val="700"/>
        </c:scaling>
        <c:delete val="0"/>
        <c:axPos val="l"/>
        <c:numFmt formatCode="General" sourceLinked="1"/>
        <c:majorTickMark val="out"/>
        <c:minorTickMark val="none"/>
        <c:tickLblPos val="nextTo"/>
        <c:txPr>
          <a:bodyPr rot="0" vert="horz"/>
          <a:lstStyle/>
          <a:p>
            <a:pPr rtl="0">
              <a:defRPr sz="1000" b="0" i="0" u="none" strike="noStrike" baseline="0">
                <a:solidFill>
                  <a:srgbClr val="000000"/>
                </a:solidFill>
                <a:latin typeface="Calibri"/>
                <a:ea typeface="Calibri"/>
                <a:cs typeface="Calibri"/>
              </a:defRPr>
            </a:pPr>
            <a:endParaRPr lang="en-US"/>
          </a:p>
        </c:txPr>
        <c:crossAx val="74634368"/>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rtl="0">
              <a:defRPr/>
            </a:pPr>
            <a:r>
              <a:rPr lang="en-GB" sz="1800" b="1" i="0" u="none" strike="noStrike" baseline="0">
                <a:effectLst/>
              </a:rPr>
              <a:t>Average number of remand prisoners </a:t>
            </a:r>
          </a:p>
          <a:p>
            <a:pPr rtl="0">
              <a:defRPr/>
            </a:pPr>
            <a:r>
              <a:rPr lang="en-GB" sz="1800" b="1" i="0" u="none" strike="noStrike" baseline="0">
                <a:effectLst/>
              </a:rPr>
              <a:t>2005–2018</a:t>
            </a:r>
            <a:endParaRPr lang="en-GB" sz="1800" b="1" i="0"/>
          </a:p>
        </c:rich>
      </c:tx>
      <c:layout/>
      <c:overlay val="0"/>
    </c:title>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rtl="0">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layout/>
                <c15:showLeaderLines val="0"/>
              </c:ext>
            </c:extLst>
          </c:dLbls>
          <c:cat>
            <c:numRef>
              <c:f>'Grafikon 4.1 OBSOJENCI'!$A$5:$A$18</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'Grafikon 4.1 OBSOJENCI'!$B$5:$B$18</c:f>
              <c:numCache>
                <c:formatCode>General</c:formatCode>
                <c:ptCount val="14"/>
                <c:pt idx="0">
                  <c:v>323</c:v>
                </c:pt>
                <c:pt idx="1">
                  <c:v>340</c:v>
                </c:pt>
                <c:pt idx="2">
                  <c:v>342</c:v>
                </c:pt>
                <c:pt idx="3">
                  <c:v>308</c:v>
                </c:pt>
                <c:pt idx="4">
                  <c:v>354</c:v>
                </c:pt>
                <c:pt idx="5">
                  <c:v>352</c:v>
                </c:pt>
                <c:pt idx="6">
                  <c:v>305</c:v>
                </c:pt>
                <c:pt idx="7">
                  <c:v>314</c:v>
                </c:pt>
                <c:pt idx="8">
                  <c:v>248</c:v>
                </c:pt>
                <c:pt idx="9">
                  <c:v>248</c:v>
                </c:pt>
                <c:pt idx="10">
                  <c:v>220.4</c:v>
                </c:pt>
                <c:pt idx="11">
                  <c:v>210</c:v>
                </c:pt>
                <c:pt idx="12">
                  <c:v>263.3</c:v>
                </c:pt>
                <c:pt idx="13">
                  <c:v>317.8</c:v>
                </c:pt>
              </c:numCache>
            </c:numRef>
          </c:val>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0-FEE1-4AB4-93D4-E6E2AC3E4568}"/>
            </c:ext>
          </c:extLst>
        </c:ser>
        <c:dLbls>
          <c:showLegendKey val="0"/>
          <c:showVal val="0"/>
          <c:showCatName val="0"/>
          <c:showSerName val="0"/>
          <c:showPercent val="0"/>
          <c:showBubbleSize val="0"/>
        </c:dLbls>
        <c:gapWidth val="49"/>
        <c:axId val="75025792"/>
        <c:axId val="78185600"/>
      </c:barChart>
      <c:catAx>
        <c:axId val="75025792"/>
        <c:scaling>
          <c:orientation val="minMax"/>
        </c:scaling>
        <c:delete val="0"/>
        <c:axPos val="b"/>
        <c:numFmt formatCode="General" sourceLinked="1"/>
        <c:majorTickMark val="out"/>
        <c:minorTickMark val="none"/>
        <c:tickLblPos val="nextTo"/>
        <c:txPr>
          <a:bodyPr rot="0" vert="horz"/>
          <a:lstStyle/>
          <a:p>
            <a:pPr rtl="0">
              <a:defRPr sz="1000" b="0" i="0" u="none" strike="noStrike" baseline="0">
                <a:solidFill>
                  <a:srgbClr val="000000"/>
                </a:solidFill>
                <a:latin typeface="Calibri"/>
                <a:ea typeface="Calibri"/>
                <a:cs typeface="Calibri"/>
              </a:defRPr>
            </a:pPr>
            <a:endParaRPr lang="en-US"/>
          </a:p>
        </c:txPr>
        <c:crossAx val="78185600"/>
        <c:crosses val="autoZero"/>
        <c:auto val="1"/>
        <c:lblAlgn val="ctr"/>
        <c:lblOffset val="100"/>
        <c:tickLblSkip val="1"/>
        <c:noMultiLvlLbl val="0"/>
      </c:catAx>
      <c:valAx>
        <c:axId val="78185600"/>
        <c:scaling>
          <c:orientation val="minMax"/>
          <c:max val="400"/>
          <c:min val="150"/>
        </c:scaling>
        <c:delete val="0"/>
        <c:axPos val="l"/>
        <c:numFmt formatCode="General" sourceLinked="1"/>
        <c:majorTickMark val="out"/>
        <c:minorTickMark val="none"/>
        <c:tickLblPos val="nextTo"/>
        <c:txPr>
          <a:bodyPr rot="0" vert="horz"/>
          <a:lstStyle/>
          <a:p>
            <a:pPr rtl="0">
              <a:defRPr sz="1000" b="0" i="0" u="none" strike="noStrike" baseline="0">
                <a:solidFill>
                  <a:srgbClr val="000000"/>
                </a:solidFill>
                <a:latin typeface="Calibri"/>
                <a:ea typeface="Calibri"/>
                <a:cs typeface="Calibri"/>
              </a:defRPr>
            </a:pPr>
            <a:endParaRPr lang="en-US"/>
          </a:p>
        </c:txPr>
        <c:crossAx val="75025792"/>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7F81C59-B326-4244-B697-3B4F8D440410}"/>
</file>

<file path=customXml/itemProps2.xml><?xml version="1.0" encoding="utf-8"?>
<ds:datastoreItem xmlns:ds="http://schemas.openxmlformats.org/officeDocument/2006/customXml" ds:itemID="{2CADC86C-52A7-46B1-9C6E-1815F7BB69CF}">
  <ds:schemaRefs>
    <ds:schemaRef ds:uri="http://schemas.microsoft.com/sharepoint/v3/contenttype/forms"/>
  </ds:schemaRefs>
</ds:datastoreItem>
</file>

<file path=customXml/itemProps3.xml><?xml version="1.0" encoding="utf-8"?>
<ds:datastoreItem xmlns:ds="http://schemas.openxmlformats.org/officeDocument/2006/customXml" ds:itemID="{101E2824-A390-4D0C-ACDE-7DAF13949E6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33892456-86BF-4806-9104-2657BD43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3191</Words>
  <Characters>18193</Characters>
  <Application>Microsoft Office Word</Application>
  <DocSecurity>4</DocSecurity>
  <Lines>151</Lines>
  <Paragraphs>42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MJU</Company>
  <LinksUpToDate>false</LinksUpToDate>
  <CharactersWithSpaces>21342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Lovšin</dc:creator>
  <cp:lastModifiedBy>GILLIBERT Patrice</cp:lastModifiedBy>
  <cp:revision>2</cp:revision>
  <dcterms:created xsi:type="dcterms:W3CDTF">2019-10-12T09:33:00Z</dcterms:created>
  <dcterms:modified xsi:type="dcterms:W3CDTF">2019-10-12T09:33:00Z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