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C85A" w14:textId="31C6FA69" w:rsidR="00C05D9B" w:rsidRPr="004B1E4E" w:rsidRDefault="00C05D9B" w:rsidP="00626C39">
      <w:pPr>
        <w:rPr>
          <w:color w:val="auto"/>
          <w:sz w:val="24"/>
          <w:szCs w:val="24"/>
        </w:rPr>
      </w:pPr>
    </w:p>
    <w:p w14:paraId="5CE3D663" w14:textId="50CD6C41" w:rsidR="005403E3" w:rsidRDefault="005403E3" w:rsidP="00626C39">
      <w:pPr>
        <w:rPr>
          <w:color w:val="auto"/>
          <w:sz w:val="24"/>
          <w:szCs w:val="24"/>
        </w:rPr>
      </w:pPr>
    </w:p>
    <w:p w14:paraId="55C3AEE2" w14:textId="77777777" w:rsidR="000F4C27" w:rsidRDefault="00DD2E46" w:rsidP="78BFCA0A">
      <w:pPr>
        <w:jc w:val="center"/>
        <w:rPr>
          <w:b/>
          <w:bCs/>
          <w:color w:val="auto"/>
          <w:sz w:val="24"/>
          <w:szCs w:val="24"/>
        </w:rPr>
      </w:pPr>
      <w:r w:rsidRPr="78BFCA0A">
        <w:rPr>
          <w:b/>
          <w:bCs/>
          <w:sz w:val="24"/>
          <w:szCs w:val="24"/>
        </w:rPr>
        <w:t>The United State</w:t>
      </w:r>
      <w:r w:rsidR="004B1E4E" w:rsidRPr="78BFCA0A">
        <w:rPr>
          <w:b/>
          <w:bCs/>
          <w:sz w:val="24"/>
          <w:szCs w:val="24"/>
        </w:rPr>
        <w:t xml:space="preserve">s </w:t>
      </w:r>
      <w:r w:rsidR="007508C7">
        <w:rPr>
          <w:b/>
          <w:bCs/>
          <w:sz w:val="24"/>
          <w:szCs w:val="24"/>
        </w:rPr>
        <w:t xml:space="preserve">of America’s </w:t>
      </w:r>
      <w:r w:rsidR="004B1E4E" w:rsidRPr="78BFCA0A">
        <w:rPr>
          <w:b/>
          <w:bCs/>
          <w:sz w:val="24"/>
          <w:szCs w:val="24"/>
        </w:rPr>
        <w:t xml:space="preserve">Compliance with </w:t>
      </w:r>
      <w:r w:rsidR="000F4C27">
        <w:rPr>
          <w:b/>
          <w:bCs/>
          <w:color w:val="auto"/>
          <w:sz w:val="24"/>
          <w:szCs w:val="24"/>
        </w:rPr>
        <w:t xml:space="preserve">the International Convention on </w:t>
      </w:r>
    </w:p>
    <w:p w14:paraId="2BA47FCA" w14:textId="6E0F2322" w:rsidR="00266AA3" w:rsidRDefault="003D0544" w:rsidP="78BFCA0A">
      <w:pPr>
        <w:jc w:val="center"/>
        <w:rPr>
          <w:b/>
          <w:bCs/>
          <w:color w:val="000000" w:themeColor="text1"/>
          <w:sz w:val="24"/>
          <w:szCs w:val="24"/>
        </w:rPr>
      </w:pPr>
      <w:r w:rsidRPr="78BFCA0A">
        <w:rPr>
          <w:b/>
          <w:bCs/>
          <w:color w:val="auto"/>
          <w:sz w:val="24"/>
          <w:szCs w:val="24"/>
        </w:rPr>
        <w:t>the Elimi</w:t>
      </w:r>
      <w:r w:rsidR="000C1F0C" w:rsidRPr="78BFCA0A">
        <w:rPr>
          <w:b/>
          <w:bCs/>
          <w:color w:val="auto"/>
          <w:sz w:val="24"/>
          <w:szCs w:val="24"/>
        </w:rPr>
        <w:t xml:space="preserve">nation of </w:t>
      </w:r>
      <w:r w:rsidR="009619C5" w:rsidRPr="78BFCA0A">
        <w:rPr>
          <w:b/>
          <w:bCs/>
          <w:color w:val="auto"/>
          <w:sz w:val="24"/>
          <w:szCs w:val="24"/>
        </w:rPr>
        <w:t xml:space="preserve">Racial </w:t>
      </w:r>
      <w:r w:rsidR="000C1F0C" w:rsidRPr="78BFCA0A">
        <w:rPr>
          <w:b/>
          <w:bCs/>
          <w:color w:val="auto"/>
          <w:sz w:val="24"/>
          <w:szCs w:val="24"/>
        </w:rPr>
        <w:t>Discrimination</w:t>
      </w:r>
    </w:p>
    <w:p w14:paraId="60C72A78" w14:textId="47C37B71" w:rsidR="004B1E4E" w:rsidRPr="004B1E4E" w:rsidRDefault="00266AA3" w:rsidP="0AC6D21F">
      <w:pPr>
        <w:jc w:val="center"/>
        <w:rPr>
          <w:b/>
          <w:bCs/>
          <w:sz w:val="24"/>
          <w:szCs w:val="24"/>
        </w:rPr>
      </w:pPr>
      <w:r w:rsidRPr="0AC6D21F">
        <w:rPr>
          <w:b/>
          <w:bCs/>
          <w:sz w:val="24"/>
          <w:szCs w:val="24"/>
        </w:rPr>
        <w:t xml:space="preserve">Suggested List of Themes Relating to </w:t>
      </w:r>
      <w:r w:rsidR="00A63887">
        <w:rPr>
          <w:b/>
          <w:bCs/>
          <w:sz w:val="24"/>
          <w:szCs w:val="24"/>
        </w:rPr>
        <w:t>Rights of Women and Girls of Color</w:t>
      </w:r>
    </w:p>
    <w:p w14:paraId="53B51F60" w14:textId="77777777" w:rsidR="004B1E4E" w:rsidRPr="004B1E4E" w:rsidRDefault="004B1E4E" w:rsidP="004B1E4E">
      <w:pPr>
        <w:jc w:val="center"/>
        <w:rPr>
          <w:sz w:val="24"/>
          <w:szCs w:val="24"/>
        </w:rPr>
      </w:pPr>
    </w:p>
    <w:p w14:paraId="66818149" w14:textId="77777777" w:rsidR="004B1E4E" w:rsidRPr="00D25C36" w:rsidRDefault="004B1E4E" w:rsidP="004B1E4E">
      <w:pPr>
        <w:jc w:val="center"/>
        <w:rPr>
          <w:b/>
          <w:sz w:val="24"/>
          <w:szCs w:val="24"/>
        </w:rPr>
      </w:pPr>
      <w:r w:rsidRPr="00D25C36">
        <w:rPr>
          <w:b/>
          <w:sz w:val="24"/>
          <w:szCs w:val="24"/>
        </w:rPr>
        <w:t xml:space="preserve">Submitted by </w:t>
      </w:r>
      <w:r w:rsidR="00AA7FCB" w:rsidRPr="00D25C36">
        <w:rPr>
          <w:b/>
          <w:sz w:val="24"/>
          <w:szCs w:val="24"/>
        </w:rPr>
        <w:t>T</w:t>
      </w:r>
      <w:r w:rsidRPr="00D25C36">
        <w:rPr>
          <w:b/>
          <w:sz w:val="24"/>
          <w:szCs w:val="24"/>
        </w:rPr>
        <w:t>he Advocates for Human Rights</w:t>
      </w:r>
    </w:p>
    <w:p w14:paraId="1149BE71" w14:textId="77777777" w:rsidR="004B1E4E" w:rsidRP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4AF6228D" w14:textId="5F985DE7" w:rsidR="005B288C" w:rsidRDefault="005B288C" w:rsidP="004B1E4E">
      <w:pPr>
        <w:jc w:val="center"/>
        <w:rPr>
          <w:b/>
          <w:bCs/>
          <w:sz w:val="24"/>
          <w:szCs w:val="24"/>
        </w:rPr>
      </w:pPr>
      <w:r>
        <w:rPr>
          <w:b/>
          <w:bCs/>
          <w:sz w:val="24"/>
          <w:szCs w:val="24"/>
        </w:rPr>
        <w:t>The State of Minnesota Missing and Murdered African American Women Task Force</w:t>
      </w:r>
    </w:p>
    <w:p w14:paraId="5B66877F" w14:textId="6863ACD9" w:rsidR="007A7782" w:rsidRPr="00403736" w:rsidRDefault="007A7782" w:rsidP="004B1E4E">
      <w:pPr>
        <w:jc w:val="center"/>
        <w:rPr>
          <w:sz w:val="24"/>
          <w:szCs w:val="24"/>
        </w:rPr>
      </w:pPr>
      <w:r w:rsidRPr="00403736">
        <w:rPr>
          <w:sz w:val="24"/>
          <w:szCs w:val="24"/>
        </w:rPr>
        <w:t>and</w:t>
      </w:r>
    </w:p>
    <w:p w14:paraId="2F96D9D3" w14:textId="123DF3BA" w:rsidR="005B288C" w:rsidRPr="004B1E4E" w:rsidRDefault="005B288C" w:rsidP="004B1E4E">
      <w:pPr>
        <w:jc w:val="center"/>
        <w:rPr>
          <w:sz w:val="24"/>
          <w:szCs w:val="24"/>
        </w:rPr>
      </w:pPr>
      <w:r>
        <w:rPr>
          <w:b/>
          <w:bCs/>
          <w:sz w:val="24"/>
          <w:szCs w:val="24"/>
        </w:rPr>
        <w:t>Research in Action</w:t>
      </w:r>
    </w:p>
    <w:p w14:paraId="551B9E43" w14:textId="77777777" w:rsidR="004B1E4E" w:rsidRPr="004B1E4E" w:rsidRDefault="004B1E4E" w:rsidP="004B1E4E">
      <w:pPr>
        <w:jc w:val="center"/>
        <w:rPr>
          <w:sz w:val="24"/>
          <w:szCs w:val="24"/>
        </w:rPr>
      </w:pPr>
    </w:p>
    <w:p w14:paraId="1F93466F" w14:textId="3CCB1F23" w:rsidR="004B1E4E" w:rsidRPr="00C7387B" w:rsidRDefault="005C145F" w:rsidP="004B1E4E">
      <w:pPr>
        <w:jc w:val="center"/>
        <w:rPr>
          <w:sz w:val="24"/>
          <w:szCs w:val="24"/>
        </w:rPr>
      </w:pPr>
      <w:r>
        <w:rPr>
          <w:sz w:val="24"/>
          <w:szCs w:val="24"/>
        </w:rPr>
        <w:t xml:space="preserve">for the </w:t>
      </w:r>
      <w:r w:rsidR="00E52C34" w:rsidRPr="00C7387B">
        <w:rPr>
          <w:sz w:val="24"/>
          <w:szCs w:val="24"/>
        </w:rPr>
        <w:t>107th</w:t>
      </w:r>
      <w:r w:rsidR="004B1E4E" w:rsidRPr="00C7387B">
        <w:rPr>
          <w:sz w:val="24"/>
          <w:szCs w:val="24"/>
        </w:rPr>
        <w:t xml:space="preserve"> Session of the </w:t>
      </w:r>
      <w:r w:rsidR="0000559B" w:rsidRPr="00C7387B">
        <w:rPr>
          <w:sz w:val="24"/>
          <w:szCs w:val="24"/>
        </w:rPr>
        <w:t xml:space="preserve">Committee on the Elimination of </w:t>
      </w:r>
      <w:r w:rsidR="009619C5" w:rsidRPr="00C7387B">
        <w:rPr>
          <w:sz w:val="24"/>
          <w:szCs w:val="24"/>
        </w:rPr>
        <w:t xml:space="preserve">Racial </w:t>
      </w:r>
      <w:r w:rsidR="0000559B" w:rsidRPr="00C7387B">
        <w:rPr>
          <w:sz w:val="24"/>
          <w:szCs w:val="24"/>
        </w:rPr>
        <w:t>Discrimination</w:t>
      </w:r>
      <w:r w:rsidR="00266AA3" w:rsidRPr="00C7387B">
        <w:rPr>
          <w:sz w:val="24"/>
          <w:szCs w:val="24"/>
        </w:rPr>
        <w:t xml:space="preserve"> </w:t>
      </w:r>
    </w:p>
    <w:p w14:paraId="7001DED9" w14:textId="6566AC16" w:rsidR="004B1E4E" w:rsidRPr="00C7387B" w:rsidRDefault="005D45DD" w:rsidP="004B1E4E">
      <w:pPr>
        <w:jc w:val="center"/>
        <w:rPr>
          <w:sz w:val="24"/>
          <w:szCs w:val="24"/>
        </w:rPr>
      </w:pPr>
      <w:r w:rsidRPr="00C7387B">
        <w:rPr>
          <w:sz w:val="24"/>
          <w:szCs w:val="24"/>
        </w:rPr>
        <w:t>8</w:t>
      </w:r>
      <w:r w:rsidR="004B1E4E" w:rsidRPr="00C7387B">
        <w:rPr>
          <w:sz w:val="24"/>
          <w:szCs w:val="24"/>
        </w:rPr>
        <w:t>–</w:t>
      </w:r>
      <w:r w:rsidRPr="00C7387B">
        <w:rPr>
          <w:sz w:val="24"/>
          <w:szCs w:val="24"/>
        </w:rPr>
        <w:t>30 August 2022</w:t>
      </w:r>
    </w:p>
    <w:p w14:paraId="12CF1276" w14:textId="77777777" w:rsidR="001565F9" w:rsidRPr="004B1E4E" w:rsidRDefault="001565F9" w:rsidP="005132BB">
      <w:pPr>
        <w:rPr>
          <w:sz w:val="24"/>
          <w:szCs w:val="24"/>
          <w:lang w:val="es-ES"/>
        </w:rPr>
      </w:pPr>
    </w:p>
    <w:p w14:paraId="2D03F470" w14:textId="1C21A6A7" w:rsidR="005132BB" w:rsidRPr="005C145F" w:rsidRDefault="000C380B" w:rsidP="000C380B">
      <w:pPr>
        <w:jc w:val="center"/>
        <w:rPr>
          <w:color w:val="auto"/>
          <w:sz w:val="24"/>
          <w:szCs w:val="24"/>
        </w:rPr>
      </w:pPr>
      <w:r w:rsidRPr="005C145F">
        <w:rPr>
          <w:color w:val="auto"/>
          <w:sz w:val="24"/>
          <w:szCs w:val="24"/>
        </w:rPr>
        <w:t xml:space="preserve">Submitted </w:t>
      </w:r>
      <w:r w:rsidR="005C145F" w:rsidRPr="005C145F">
        <w:rPr>
          <w:bCs/>
          <w:color w:val="auto"/>
          <w:sz w:val="24"/>
          <w:szCs w:val="24"/>
        </w:rPr>
        <w:t>16</w:t>
      </w:r>
      <w:r w:rsidRPr="005C145F">
        <w:rPr>
          <w:color w:val="auto"/>
          <w:sz w:val="24"/>
          <w:szCs w:val="24"/>
        </w:rPr>
        <w:t xml:space="preserve"> </w:t>
      </w:r>
      <w:r w:rsidR="00DD2E46" w:rsidRPr="005C145F">
        <w:rPr>
          <w:color w:val="auto"/>
          <w:sz w:val="24"/>
          <w:szCs w:val="24"/>
        </w:rPr>
        <w:t>May 2022</w:t>
      </w:r>
    </w:p>
    <w:p w14:paraId="0BC52FAD" w14:textId="77777777" w:rsidR="000C380B" w:rsidRPr="004B1E4E" w:rsidRDefault="000C380B" w:rsidP="00596B08">
      <w:pPr>
        <w:jc w:val="both"/>
        <w:rPr>
          <w:color w:val="auto"/>
          <w:sz w:val="24"/>
          <w:szCs w:val="24"/>
        </w:rPr>
      </w:pPr>
    </w:p>
    <w:p w14:paraId="17B5AD86" w14:textId="2E573C54" w:rsidR="00AA281D" w:rsidRDefault="004B1E4E" w:rsidP="00AA281D">
      <w:pPr>
        <w:jc w:val="both"/>
        <w:rPr>
          <w:sz w:val="24"/>
          <w:szCs w:val="24"/>
        </w:rPr>
      </w:pPr>
      <w:r w:rsidRPr="7B986209">
        <w:rPr>
          <w:sz w:val="24"/>
          <w:szCs w:val="24"/>
        </w:rPr>
        <w:t xml:space="preserve">Founded in 1983, </w:t>
      </w:r>
      <w:r w:rsidRPr="69418C14">
        <w:rPr>
          <w:b/>
          <w:bCs/>
          <w:sz w:val="24"/>
          <w:szCs w:val="24"/>
        </w:rPr>
        <w:t xml:space="preserve">The Advocates for Human Rights </w:t>
      </w:r>
      <w:r w:rsidRPr="69418C14">
        <w:rPr>
          <w:sz w:val="24"/>
          <w:szCs w:val="24"/>
        </w:rPr>
        <w:t>(The Advocates) is a volunteer-based non</w:t>
      </w:r>
      <w:r w:rsidR="00266AA3" w:rsidRPr="69418C14">
        <w:rPr>
          <w:sz w:val="24"/>
          <w:szCs w:val="24"/>
        </w:rPr>
        <w:t>-</w:t>
      </w:r>
      <w:r w:rsidRPr="69418C14">
        <w:rPr>
          <w:sz w:val="24"/>
          <w:szCs w:val="24"/>
        </w:rPr>
        <w:t xml:space="preserve">governmental organization committed to the impartial promotion and protection of international human rights standards and the rule of law. The Advocates conducts a range of programs to promote human rights in the United States and around the world, </w:t>
      </w:r>
      <w:r w:rsidRPr="69418C14">
        <w:rPr>
          <w:sz w:val="24"/>
          <w:szCs w:val="24"/>
          <w:lang w:val="es-ES"/>
        </w:rPr>
        <w:t>including</w:t>
      </w:r>
      <w:r w:rsidRPr="69418C14">
        <w:rPr>
          <w:sz w:val="24"/>
          <w:szCs w:val="24"/>
        </w:rPr>
        <w:t xml:space="preserve"> monitoring and fact finding, direct legal representation, education and training, and publications. </w:t>
      </w:r>
      <w:r w:rsidR="00AA281D" w:rsidRPr="00805477">
        <w:rPr>
          <w:sz w:val="24"/>
          <w:szCs w:val="24"/>
        </w:rPr>
        <w:t>The Advocates is committed to ensuring human rights protection for women around the world. The Advocates has published more than 25 reports on violence against women as a human rights issue, provided consultation and commentary of draft laws on domestic violence, and trained lawyers, police, prosecutors, judges, and other law enforcement personnel to effectively implement new and existing laws on domestic violence.</w:t>
      </w:r>
    </w:p>
    <w:p w14:paraId="2FCEAC65" w14:textId="77777777" w:rsidR="008214B4" w:rsidRDefault="008214B4" w:rsidP="00AA281D">
      <w:pPr>
        <w:jc w:val="both"/>
        <w:rPr>
          <w:sz w:val="24"/>
          <w:szCs w:val="24"/>
        </w:rPr>
      </w:pPr>
    </w:p>
    <w:p w14:paraId="002175F8" w14:textId="77777777" w:rsidR="001B64BB" w:rsidRDefault="001B64BB" w:rsidP="001B64BB">
      <w:pPr>
        <w:jc w:val="both"/>
        <w:rPr>
          <w:sz w:val="24"/>
          <w:szCs w:val="24"/>
        </w:rPr>
      </w:pPr>
      <w:r>
        <w:rPr>
          <w:b/>
          <w:bCs/>
          <w:sz w:val="24"/>
          <w:szCs w:val="24"/>
        </w:rPr>
        <w:t>The State of Minnesota Missing and Murdered African American Women Task Force</w:t>
      </w:r>
      <w:r>
        <w:rPr>
          <w:sz w:val="24"/>
          <w:szCs w:val="24"/>
        </w:rPr>
        <w:t xml:space="preserve"> (MMAAW) was created during the 2021 Minnesota Legislative Session. The first of its kind in the nation, the MMAAW Task Force will examine and report on the following (1) Systemic causes of violence against African American women and girls, (2) Appropriate methods of tracking and collecting data, (3) Policies, practices, and institutions that assist in perpetuating violence against African American women and girls, and (5) Measures necessary to help victims, their families, and their communities. The Task Force, made up of elected officials, state actors, and leaders from community organizations, brings expertise from policy, law, data, and direct service. </w:t>
      </w:r>
    </w:p>
    <w:p w14:paraId="1EB76A1C" w14:textId="77777777" w:rsidR="001B64BB" w:rsidRDefault="001B64BB" w:rsidP="001B64BB">
      <w:pPr>
        <w:jc w:val="both"/>
        <w:rPr>
          <w:sz w:val="24"/>
          <w:szCs w:val="24"/>
        </w:rPr>
      </w:pPr>
    </w:p>
    <w:p w14:paraId="7D6E84CB" w14:textId="5A182CB7" w:rsidR="001B64BB" w:rsidRPr="00324BF0" w:rsidRDefault="001B64BB" w:rsidP="001B64BB">
      <w:pPr>
        <w:jc w:val="both"/>
        <w:rPr>
          <w:sz w:val="24"/>
          <w:szCs w:val="24"/>
        </w:rPr>
      </w:pPr>
      <w:r>
        <w:rPr>
          <w:b/>
          <w:bCs/>
          <w:sz w:val="24"/>
          <w:szCs w:val="24"/>
        </w:rPr>
        <w:t xml:space="preserve">Research in Action </w:t>
      </w:r>
      <w:r>
        <w:rPr>
          <w:sz w:val="24"/>
          <w:szCs w:val="24"/>
        </w:rPr>
        <w:t xml:space="preserve">(RIA) was founded by </w:t>
      </w:r>
      <w:r w:rsidR="00A16619">
        <w:rPr>
          <w:sz w:val="24"/>
          <w:szCs w:val="24"/>
        </w:rPr>
        <w:t>Dr.</w:t>
      </w:r>
      <w:r>
        <w:rPr>
          <w:sz w:val="24"/>
          <w:szCs w:val="24"/>
        </w:rPr>
        <w:t xml:space="preserve"> Brittany Lewis in 2019 and is a racially diverse and gender-inclusive social benefit corporation based out of North Minneapolis, Minnesota. RIA use’s action research, community engagement, and mixed methods racial equity assessment tools to deliver equitable outcomes. RIA produces actionable research products in partnership with communities that are most impacted and other relevant stakeholders modeling a new theory of change. The </w:t>
      </w:r>
      <w:r>
        <w:rPr>
          <w:i/>
          <w:iCs/>
          <w:sz w:val="24"/>
          <w:szCs w:val="24"/>
        </w:rPr>
        <w:t>Equity in Action</w:t>
      </w:r>
      <w:r>
        <w:rPr>
          <w:sz w:val="24"/>
          <w:szCs w:val="24"/>
        </w:rPr>
        <w:t xml:space="preserve"> model creates real, tangible practice and policy solutions to shift the racial justice narrative and redefine non-profit, city, county, and state processes to be more community-centered and equitable.</w:t>
      </w:r>
      <w:r w:rsidR="005B0B5E" w:rsidRPr="005B0B5E">
        <w:rPr>
          <w:b/>
          <w:bCs/>
          <w:noProof/>
          <w:color w:val="auto"/>
          <w:sz w:val="24"/>
          <w:szCs w:val="24"/>
        </w:rPr>
        <w:t xml:space="preserve"> </w:t>
      </w:r>
    </w:p>
    <w:p w14:paraId="00D6C388" w14:textId="4BCD6360" w:rsidR="004B1E4E" w:rsidRDefault="004B1E4E" w:rsidP="6390F3E3">
      <w:pPr>
        <w:jc w:val="both"/>
        <w:rPr>
          <w:b/>
          <w:color w:val="000000" w:themeColor="text1"/>
          <w:sz w:val="24"/>
          <w:szCs w:val="24"/>
        </w:rPr>
      </w:pPr>
    </w:p>
    <w:p w14:paraId="7B1BBB00" w14:textId="3E03A288" w:rsidR="004B1E4E" w:rsidRPr="004B1E4E" w:rsidRDefault="004B1E4E" w:rsidP="005B0B5E">
      <w:pPr>
        <w:jc w:val="center"/>
        <w:rPr>
          <w:b/>
          <w:caps/>
          <w:color w:val="auto"/>
          <w:sz w:val="24"/>
          <w:szCs w:val="24"/>
        </w:rPr>
      </w:pPr>
      <w:r w:rsidRPr="004B1E4E">
        <w:rPr>
          <w:b/>
          <w:caps/>
          <w:color w:val="auto"/>
          <w:sz w:val="24"/>
          <w:szCs w:val="24"/>
        </w:rPr>
        <w:t>Executive Summary</w:t>
      </w:r>
    </w:p>
    <w:p w14:paraId="71E1DC51" w14:textId="77777777" w:rsidR="004B1E4E" w:rsidRDefault="004B1E4E" w:rsidP="00626C39">
      <w:pPr>
        <w:rPr>
          <w:color w:val="auto"/>
          <w:sz w:val="24"/>
          <w:szCs w:val="24"/>
        </w:rPr>
      </w:pPr>
    </w:p>
    <w:p w14:paraId="6E4654E8" w14:textId="79CAF262" w:rsidR="005C7434" w:rsidRDefault="005C7434" w:rsidP="00974E48">
      <w:pPr>
        <w:numPr>
          <w:ilvl w:val="0"/>
          <w:numId w:val="7"/>
        </w:numPr>
        <w:spacing w:after="120"/>
        <w:ind w:left="360"/>
        <w:jc w:val="both"/>
        <w:rPr>
          <w:color w:val="auto"/>
          <w:sz w:val="24"/>
          <w:szCs w:val="24"/>
        </w:rPr>
      </w:pPr>
      <w:r>
        <w:rPr>
          <w:color w:val="auto"/>
          <w:sz w:val="24"/>
          <w:szCs w:val="24"/>
        </w:rPr>
        <w:t xml:space="preserve">The </w:t>
      </w:r>
      <w:r w:rsidR="00D24C76">
        <w:rPr>
          <w:color w:val="auto"/>
          <w:sz w:val="24"/>
          <w:szCs w:val="24"/>
        </w:rPr>
        <w:t xml:space="preserve">Government of the United States of America has failed to uphold its obligations </w:t>
      </w:r>
      <w:r w:rsidR="00C75631">
        <w:rPr>
          <w:color w:val="auto"/>
          <w:sz w:val="24"/>
          <w:szCs w:val="24"/>
        </w:rPr>
        <w:t xml:space="preserve">to protect </w:t>
      </w:r>
      <w:r w:rsidR="00C75631" w:rsidRPr="00031285">
        <w:rPr>
          <w:color w:val="auto"/>
          <w:sz w:val="24"/>
          <w:szCs w:val="24"/>
        </w:rPr>
        <w:t>women</w:t>
      </w:r>
      <w:r w:rsidR="00C75631">
        <w:rPr>
          <w:color w:val="auto"/>
          <w:sz w:val="24"/>
          <w:szCs w:val="24"/>
        </w:rPr>
        <w:t xml:space="preserve"> and </w:t>
      </w:r>
      <w:r w:rsidR="00C75631" w:rsidRPr="00031285">
        <w:rPr>
          <w:color w:val="auto"/>
          <w:sz w:val="24"/>
          <w:szCs w:val="24"/>
        </w:rPr>
        <w:t xml:space="preserve">children </w:t>
      </w:r>
      <w:r w:rsidR="00C75631">
        <w:rPr>
          <w:color w:val="auto"/>
          <w:sz w:val="24"/>
          <w:szCs w:val="24"/>
        </w:rPr>
        <w:t>o</w:t>
      </w:r>
      <w:r w:rsidR="00C75631" w:rsidRPr="00031285">
        <w:rPr>
          <w:color w:val="auto"/>
          <w:sz w:val="24"/>
          <w:szCs w:val="24"/>
        </w:rPr>
        <w:t>f ethnic and racial minorities</w:t>
      </w:r>
      <w:r w:rsidR="00C75631">
        <w:rPr>
          <w:color w:val="auto"/>
          <w:sz w:val="24"/>
          <w:szCs w:val="24"/>
        </w:rPr>
        <w:t xml:space="preserve"> </w:t>
      </w:r>
      <w:r w:rsidR="00D24C76">
        <w:rPr>
          <w:color w:val="auto"/>
          <w:sz w:val="24"/>
          <w:szCs w:val="24"/>
        </w:rPr>
        <w:t xml:space="preserve">under Articles </w:t>
      </w:r>
      <w:r w:rsidR="006B5B2A">
        <w:rPr>
          <w:color w:val="auto"/>
          <w:sz w:val="24"/>
          <w:szCs w:val="24"/>
        </w:rPr>
        <w:t>2,</w:t>
      </w:r>
      <w:r w:rsidR="00C75631">
        <w:rPr>
          <w:color w:val="auto"/>
          <w:sz w:val="24"/>
          <w:szCs w:val="24"/>
        </w:rPr>
        <w:t xml:space="preserve"> </w:t>
      </w:r>
      <w:r w:rsidR="006B5B2A">
        <w:rPr>
          <w:color w:val="auto"/>
          <w:sz w:val="24"/>
          <w:szCs w:val="24"/>
        </w:rPr>
        <w:t>3,</w:t>
      </w:r>
      <w:r w:rsidR="00C75631">
        <w:rPr>
          <w:color w:val="auto"/>
          <w:sz w:val="24"/>
          <w:szCs w:val="24"/>
        </w:rPr>
        <w:t xml:space="preserve"> </w:t>
      </w:r>
      <w:r w:rsidR="006B5B2A">
        <w:rPr>
          <w:color w:val="auto"/>
          <w:sz w:val="24"/>
          <w:szCs w:val="24"/>
        </w:rPr>
        <w:t>5</w:t>
      </w:r>
      <w:r w:rsidR="00C75631">
        <w:rPr>
          <w:color w:val="auto"/>
          <w:sz w:val="24"/>
          <w:szCs w:val="24"/>
        </w:rPr>
        <w:t>,</w:t>
      </w:r>
      <w:r w:rsidR="006B5B2A">
        <w:rPr>
          <w:color w:val="auto"/>
          <w:sz w:val="24"/>
          <w:szCs w:val="24"/>
        </w:rPr>
        <w:t xml:space="preserve"> and 6 of the </w:t>
      </w:r>
      <w:r w:rsidR="00B7188F">
        <w:rPr>
          <w:color w:val="auto"/>
          <w:sz w:val="24"/>
          <w:szCs w:val="24"/>
        </w:rPr>
        <w:t xml:space="preserve">International </w:t>
      </w:r>
      <w:r w:rsidR="006B5B2A">
        <w:rPr>
          <w:color w:val="auto"/>
          <w:sz w:val="24"/>
          <w:szCs w:val="24"/>
        </w:rPr>
        <w:t xml:space="preserve">Convention </w:t>
      </w:r>
      <w:r w:rsidR="00B7188F">
        <w:rPr>
          <w:color w:val="auto"/>
          <w:sz w:val="24"/>
          <w:szCs w:val="24"/>
        </w:rPr>
        <w:t>on the Elimination of All Forms of Racial Discrimination</w:t>
      </w:r>
      <w:r w:rsidR="00C75631">
        <w:rPr>
          <w:color w:val="auto"/>
          <w:sz w:val="24"/>
          <w:szCs w:val="24"/>
        </w:rPr>
        <w:t>.</w:t>
      </w:r>
      <w:r w:rsidR="00C5492F">
        <w:rPr>
          <w:color w:val="auto"/>
          <w:sz w:val="24"/>
          <w:szCs w:val="24"/>
        </w:rPr>
        <w:t xml:space="preserve"> </w:t>
      </w:r>
    </w:p>
    <w:p w14:paraId="00CE103B" w14:textId="35CE9EEF" w:rsidR="004B1E4E" w:rsidRDefault="003260B4" w:rsidP="00974E48">
      <w:pPr>
        <w:numPr>
          <w:ilvl w:val="0"/>
          <w:numId w:val="7"/>
        </w:numPr>
        <w:spacing w:after="120"/>
        <w:ind w:left="360"/>
        <w:jc w:val="both"/>
        <w:rPr>
          <w:color w:val="auto"/>
          <w:sz w:val="24"/>
          <w:szCs w:val="24"/>
        </w:rPr>
      </w:pPr>
      <w:r>
        <w:rPr>
          <w:color w:val="auto"/>
          <w:sz w:val="24"/>
          <w:szCs w:val="24"/>
        </w:rPr>
        <w:t xml:space="preserve">In the United States, somewhere between </w:t>
      </w:r>
      <w:r w:rsidR="006F77DE">
        <w:rPr>
          <w:color w:val="auto"/>
          <w:sz w:val="24"/>
          <w:szCs w:val="24"/>
        </w:rPr>
        <w:t>64,000 and 75,000 Black girls and women are missing</w:t>
      </w:r>
      <w:r w:rsidR="003E4213">
        <w:rPr>
          <w:rStyle w:val="FootnoteReference"/>
          <w:color w:val="auto"/>
          <w:sz w:val="24"/>
          <w:szCs w:val="24"/>
        </w:rPr>
        <w:footnoteReference w:id="2"/>
      </w:r>
      <w:r w:rsidR="006F77DE">
        <w:rPr>
          <w:color w:val="auto"/>
          <w:sz w:val="24"/>
          <w:szCs w:val="24"/>
        </w:rPr>
        <w:t>, and Black women die of homicide at twice the rate of the general population of women.</w:t>
      </w:r>
      <w:r w:rsidR="00D63CB7">
        <w:rPr>
          <w:rStyle w:val="FootnoteReference"/>
          <w:color w:val="auto"/>
          <w:sz w:val="24"/>
          <w:szCs w:val="24"/>
        </w:rPr>
        <w:footnoteReference w:id="3"/>
      </w:r>
      <w:r w:rsidR="006F77DE">
        <w:rPr>
          <w:color w:val="auto"/>
          <w:sz w:val="24"/>
          <w:szCs w:val="24"/>
        </w:rPr>
        <w:t xml:space="preserve"> Nationally, cases involving Black girls and women stay open four times longer</w:t>
      </w:r>
      <w:r w:rsidR="002D091E">
        <w:rPr>
          <w:color w:val="auto"/>
          <w:sz w:val="24"/>
          <w:szCs w:val="24"/>
        </w:rPr>
        <w:t xml:space="preserve"> than other cases on average.</w:t>
      </w:r>
      <w:r w:rsidR="00D63CB7">
        <w:rPr>
          <w:rStyle w:val="FootnoteReference"/>
          <w:color w:val="auto"/>
          <w:sz w:val="24"/>
          <w:szCs w:val="24"/>
        </w:rPr>
        <w:footnoteReference w:id="4"/>
      </w:r>
      <w:r w:rsidR="002D091E">
        <w:rPr>
          <w:color w:val="auto"/>
          <w:sz w:val="24"/>
          <w:szCs w:val="24"/>
        </w:rPr>
        <w:t xml:space="preserve"> In Minnesota, in 2020, 40% of domestic violence victims were Black, while comprising less than 7% of Minnesota’s population.</w:t>
      </w:r>
      <w:r w:rsidR="003D0AF0">
        <w:rPr>
          <w:rStyle w:val="FootnoteReference"/>
          <w:color w:val="auto"/>
          <w:sz w:val="24"/>
          <w:szCs w:val="24"/>
        </w:rPr>
        <w:footnoteReference w:id="5"/>
      </w:r>
      <w:r w:rsidR="002D091E">
        <w:rPr>
          <w:color w:val="auto"/>
          <w:sz w:val="24"/>
          <w:szCs w:val="24"/>
        </w:rPr>
        <w:t xml:space="preserve"> </w:t>
      </w:r>
    </w:p>
    <w:p w14:paraId="79507785" w14:textId="238B4600" w:rsidR="002D091E" w:rsidRDefault="002D091E" w:rsidP="00974E48">
      <w:pPr>
        <w:numPr>
          <w:ilvl w:val="0"/>
          <w:numId w:val="7"/>
        </w:numPr>
        <w:spacing w:after="120"/>
        <w:ind w:left="360"/>
        <w:jc w:val="both"/>
        <w:rPr>
          <w:color w:val="auto"/>
          <w:sz w:val="24"/>
          <w:szCs w:val="24"/>
        </w:rPr>
      </w:pPr>
      <w:r w:rsidRPr="69418C14">
        <w:rPr>
          <w:color w:val="auto"/>
          <w:sz w:val="24"/>
          <w:szCs w:val="24"/>
        </w:rPr>
        <w:t>Additionally, due to th</w:t>
      </w:r>
      <w:r w:rsidR="00605450" w:rsidRPr="69418C14">
        <w:rPr>
          <w:color w:val="auto"/>
          <w:sz w:val="24"/>
          <w:szCs w:val="24"/>
        </w:rPr>
        <w:t>e</w:t>
      </w:r>
      <w:r w:rsidRPr="69418C14">
        <w:rPr>
          <w:color w:val="auto"/>
          <w:sz w:val="24"/>
          <w:szCs w:val="24"/>
        </w:rPr>
        <w:t xml:space="preserve"> lack of attention from both law enforcement and the media a</w:t>
      </w:r>
      <w:r w:rsidR="00955071" w:rsidRPr="69418C14">
        <w:rPr>
          <w:color w:val="auto"/>
          <w:sz w:val="24"/>
          <w:szCs w:val="24"/>
        </w:rPr>
        <w:t xml:space="preserve">lso known as </w:t>
      </w:r>
      <w:r w:rsidR="00DF6B25" w:rsidRPr="69418C14">
        <w:rPr>
          <w:color w:val="auto"/>
          <w:sz w:val="24"/>
          <w:szCs w:val="24"/>
        </w:rPr>
        <w:t>“</w:t>
      </w:r>
      <w:r w:rsidR="00955071" w:rsidRPr="69418C14">
        <w:rPr>
          <w:color w:val="auto"/>
          <w:sz w:val="24"/>
          <w:szCs w:val="24"/>
        </w:rPr>
        <w:t>missing white woman syndrome,</w:t>
      </w:r>
      <w:r w:rsidR="00DF6B25" w:rsidRPr="69418C14">
        <w:rPr>
          <w:color w:val="auto"/>
          <w:sz w:val="24"/>
          <w:szCs w:val="24"/>
        </w:rPr>
        <w:t>”</w:t>
      </w:r>
      <w:r w:rsidR="00955071" w:rsidRPr="69418C14">
        <w:rPr>
          <w:color w:val="auto"/>
          <w:sz w:val="24"/>
          <w:szCs w:val="24"/>
        </w:rPr>
        <w:t xml:space="preserve"> Black women have had to lead the work of addressing violence against Black women and girls and helping victims, families, and communities heal in the process</w:t>
      </w:r>
      <w:r w:rsidR="008D428F">
        <w:rPr>
          <w:color w:val="auto"/>
          <w:sz w:val="24"/>
          <w:szCs w:val="24"/>
        </w:rPr>
        <w:t>,</w:t>
      </w:r>
      <w:r w:rsidR="00955071" w:rsidRPr="69418C14">
        <w:rPr>
          <w:color w:val="auto"/>
          <w:sz w:val="24"/>
          <w:szCs w:val="24"/>
        </w:rPr>
        <w:t xml:space="preserve"> often with very little resources. </w:t>
      </w:r>
    </w:p>
    <w:p w14:paraId="3A15B8BF" w14:textId="0E1DD258" w:rsidR="00A708AC" w:rsidRDefault="00CB0156" w:rsidP="00974E48">
      <w:pPr>
        <w:numPr>
          <w:ilvl w:val="0"/>
          <w:numId w:val="7"/>
        </w:numPr>
        <w:spacing w:after="120"/>
        <w:ind w:left="360"/>
        <w:jc w:val="both"/>
        <w:rPr>
          <w:color w:val="auto"/>
          <w:sz w:val="24"/>
          <w:szCs w:val="24"/>
        </w:rPr>
      </w:pPr>
      <w:r>
        <w:rPr>
          <w:color w:val="auto"/>
          <w:sz w:val="24"/>
          <w:szCs w:val="24"/>
        </w:rPr>
        <w:t xml:space="preserve">Despite legislative advances, </w:t>
      </w:r>
      <w:r w:rsidDel="00551220">
        <w:rPr>
          <w:color w:val="auto"/>
          <w:sz w:val="24"/>
          <w:szCs w:val="24"/>
        </w:rPr>
        <w:t xml:space="preserve">there </w:t>
      </w:r>
      <w:r w:rsidR="00933350">
        <w:rPr>
          <w:color w:val="auto"/>
          <w:sz w:val="24"/>
          <w:szCs w:val="24"/>
        </w:rPr>
        <w:t>are significant</w:t>
      </w:r>
      <w:r w:rsidR="007B1C3E">
        <w:rPr>
          <w:color w:val="auto"/>
          <w:sz w:val="24"/>
          <w:szCs w:val="24"/>
        </w:rPr>
        <w:t xml:space="preserve"> racial</w:t>
      </w:r>
      <w:r w:rsidR="00317E00">
        <w:rPr>
          <w:color w:val="auto"/>
          <w:sz w:val="24"/>
          <w:szCs w:val="24"/>
        </w:rPr>
        <w:t xml:space="preserve"> disparities </w:t>
      </w:r>
      <w:r w:rsidR="007B1C3E">
        <w:rPr>
          <w:color w:val="auto"/>
          <w:sz w:val="24"/>
          <w:szCs w:val="24"/>
        </w:rPr>
        <w:t>in matters of ensuring culturally specific</w:t>
      </w:r>
      <w:r w:rsidR="002D4B8C">
        <w:rPr>
          <w:color w:val="auto"/>
          <w:sz w:val="24"/>
          <w:szCs w:val="24"/>
        </w:rPr>
        <w:t>,</w:t>
      </w:r>
      <w:r w:rsidR="007B1C3E">
        <w:rPr>
          <w:color w:val="auto"/>
          <w:sz w:val="24"/>
          <w:szCs w:val="24"/>
        </w:rPr>
        <w:t xml:space="preserve"> safe</w:t>
      </w:r>
      <w:r w:rsidR="002D4B8C">
        <w:rPr>
          <w:color w:val="auto"/>
          <w:sz w:val="24"/>
          <w:szCs w:val="24"/>
        </w:rPr>
        <w:t>,</w:t>
      </w:r>
      <w:r w:rsidR="007B1C3E">
        <w:rPr>
          <w:color w:val="auto"/>
          <w:sz w:val="24"/>
          <w:szCs w:val="24"/>
        </w:rPr>
        <w:t xml:space="preserve"> </w:t>
      </w:r>
      <w:r w:rsidR="007C3495">
        <w:rPr>
          <w:color w:val="auto"/>
          <w:sz w:val="24"/>
          <w:szCs w:val="24"/>
        </w:rPr>
        <w:t xml:space="preserve">and affordable housing, </w:t>
      </w:r>
    </w:p>
    <w:p w14:paraId="7C516432" w14:textId="207E4851" w:rsidR="008F2F99" w:rsidRDefault="003A2449" w:rsidP="008F2F99">
      <w:pPr>
        <w:spacing w:after="120"/>
        <w:jc w:val="center"/>
        <w:rPr>
          <w:b/>
          <w:color w:val="auto"/>
          <w:sz w:val="24"/>
          <w:szCs w:val="24"/>
        </w:rPr>
      </w:pPr>
      <w:r>
        <w:rPr>
          <w:b/>
          <w:color w:val="auto"/>
          <w:sz w:val="24"/>
          <w:szCs w:val="24"/>
        </w:rPr>
        <w:t xml:space="preserve">The United </w:t>
      </w:r>
      <w:r w:rsidR="00C232EB">
        <w:rPr>
          <w:b/>
          <w:color w:val="auto"/>
          <w:sz w:val="24"/>
          <w:szCs w:val="24"/>
        </w:rPr>
        <w:t>States</w:t>
      </w:r>
      <w:r w:rsidR="008E2DBC">
        <w:rPr>
          <w:b/>
          <w:color w:val="auto"/>
          <w:sz w:val="24"/>
          <w:szCs w:val="24"/>
        </w:rPr>
        <w:t xml:space="preserve">’ </w:t>
      </w:r>
      <w:r w:rsidR="008F2F99" w:rsidRPr="008F2F99">
        <w:rPr>
          <w:b/>
          <w:color w:val="auto"/>
          <w:sz w:val="24"/>
          <w:szCs w:val="24"/>
        </w:rPr>
        <w:t xml:space="preserve">obligations under the </w:t>
      </w:r>
      <w:r w:rsidR="003D0544">
        <w:rPr>
          <w:b/>
          <w:color w:val="auto"/>
          <w:sz w:val="24"/>
          <w:szCs w:val="24"/>
        </w:rPr>
        <w:t>Committee for the Elimi</w:t>
      </w:r>
      <w:r w:rsidR="000C1F0C">
        <w:rPr>
          <w:b/>
          <w:color w:val="auto"/>
          <w:sz w:val="24"/>
          <w:szCs w:val="24"/>
        </w:rPr>
        <w:t xml:space="preserve">nation of </w:t>
      </w:r>
      <w:r w:rsidR="009619C5">
        <w:rPr>
          <w:b/>
          <w:color w:val="auto"/>
          <w:sz w:val="24"/>
          <w:szCs w:val="24"/>
        </w:rPr>
        <w:t xml:space="preserve">Racial </w:t>
      </w:r>
      <w:r w:rsidR="000C1F0C">
        <w:rPr>
          <w:b/>
          <w:color w:val="auto"/>
          <w:sz w:val="24"/>
          <w:szCs w:val="24"/>
        </w:rPr>
        <w:t>Discrimination</w:t>
      </w:r>
      <w:r w:rsidR="008E2DBC">
        <w:rPr>
          <w:b/>
          <w:color w:val="auto"/>
          <w:sz w:val="24"/>
          <w:szCs w:val="24"/>
        </w:rPr>
        <w:t xml:space="preserve"> (CERD)</w:t>
      </w:r>
    </w:p>
    <w:p w14:paraId="597DDE48" w14:textId="70DBAA6A" w:rsidR="008F2F99" w:rsidRPr="004C64C3" w:rsidRDefault="00571350" w:rsidP="00974E48">
      <w:pPr>
        <w:numPr>
          <w:ilvl w:val="0"/>
          <w:numId w:val="7"/>
        </w:numPr>
        <w:spacing w:after="120"/>
        <w:ind w:left="360"/>
        <w:jc w:val="both"/>
        <w:rPr>
          <w:color w:val="auto"/>
          <w:sz w:val="24"/>
          <w:szCs w:val="24"/>
        </w:rPr>
      </w:pPr>
      <w:r w:rsidRPr="004C64C3">
        <w:rPr>
          <w:color w:val="auto"/>
          <w:sz w:val="24"/>
          <w:szCs w:val="24"/>
        </w:rPr>
        <w:t>Regarding</w:t>
      </w:r>
      <w:r w:rsidR="00BA4051" w:rsidRPr="004C64C3">
        <w:rPr>
          <w:color w:val="auto"/>
          <w:sz w:val="24"/>
          <w:szCs w:val="24"/>
        </w:rPr>
        <w:t xml:space="preserve"> </w:t>
      </w:r>
      <w:r w:rsidR="00DE1982" w:rsidRPr="004C64C3">
        <w:rPr>
          <w:color w:val="auto"/>
          <w:sz w:val="24"/>
          <w:szCs w:val="24"/>
        </w:rPr>
        <w:t xml:space="preserve">the elimination of </w:t>
      </w:r>
      <w:r w:rsidR="004D663D" w:rsidRPr="004C64C3">
        <w:rPr>
          <w:color w:val="auto"/>
          <w:sz w:val="24"/>
          <w:szCs w:val="24"/>
        </w:rPr>
        <w:t xml:space="preserve">racial discrimination in matters of gender-based violence, the Committee </w:t>
      </w:r>
      <w:r w:rsidR="00F002C3" w:rsidRPr="004C64C3">
        <w:rPr>
          <w:color w:val="auto"/>
          <w:sz w:val="24"/>
          <w:szCs w:val="24"/>
        </w:rPr>
        <w:t>for the Elimination of Racial Discrimination (Committee) has stated unequivocally that State</w:t>
      </w:r>
      <w:r w:rsidR="00EE3C43">
        <w:rPr>
          <w:color w:val="auto"/>
          <w:sz w:val="24"/>
          <w:szCs w:val="24"/>
        </w:rPr>
        <w:t>s</w:t>
      </w:r>
      <w:r w:rsidR="00F002C3" w:rsidRPr="004C64C3">
        <w:rPr>
          <w:color w:val="auto"/>
          <w:sz w:val="24"/>
          <w:szCs w:val="24"/>
        </w:rPr>
        <w:t xml:space="preserve"> </w:t>
      </w:r>
      <w:r w:rsidR="00EE3C43">
        <w:rPr>
          <w:color w:val="auto"/>
          <w:sz w:val="24"/>
          <w:szCs w:val="24"/>
        </w:rPr>
        <w:t>P</w:t>
      </w:r>
      <w:r w:rsidR="00F002C3" w:rsidRPr="004C64C3">
        <w:rPr>
          <w:color w:val="auto"/>
          <w:sz w:val="24"/>
          <w:szCs w:val="24"/>
        </w:rPr>
        <w:t xml:space="preserve">arties are obligated to apply systematically the general </w:t>
      </w:r>
      <w:r w:rsidR="00DE1982" w:rsidRPr="004C64C3">
        <w:rPr>
          <w:color w:val="auto"/>
          <w:sz w:val="24"/>
          <w:szCs w:val="24"/>
        </w:rPr>
        <w:t>princip</w:t>
      </w:r>
      <w:r w:rsidR="001C1236">
        <w:rPr>
          <w:color w:val="auto"/>
          <w:sz w:val="24"/>
          <w:szCs w:val="24"/>
        </w:rPr>
        <w:t>le</w:t>
      </w:r>
      <w:r w:rsidR="00DE1982" w:rsidRPr="004C64C3">
        <w:rPr>
          <w:color w:val="auto"/>
          <w:sz w:val="24"/>
          <w:szCs w:val="24"/>
        </w:rPr>
        <w:t xml:space="preserve">s </w:t>
      </w:r>
      <w:r w:rsidR="00DA4B82" w:rsidRPr="004C64C3">
        <w:rPr>
          <w:color w:val="auto"/>
          <w:sz w:val="24"/>
          <w:szCs w:val="24"/>
        </w:rPr>
        <w:t>contained in Articles 2, 3, 5</w:t>
      </w:r>
      <w:r w:rsidR="004C64C3" w:rsidRPr="004C64C3">
        <w:rPr>
          <w:color w:val="auto"/>
          <w:sz w:val="24"/>
          <w:szCs w:val="24"/>
        </w:rPr>
        <w:t xml:space="preserve"> and 6 of CERD.</w:t>
      </w:r>
    </w:p>
    <w:p w14:paraId="4CC548CC" w14:textId="3A03D9F0" w:rsidR="004B1E4E" w:rsidRDefault="00E06252" w:rsidP="69418C14">
      <w:pPr>
        <w:keepNext/>
        <w:numPr>
          <w:ilvl w:val="0"/>
          <w:numId w:val="8"/>
        </w:numPr>
        <w:spacing w:before="240" w:after="120"/>
        <w:ind w:left="720" w:hanging="360"/>
        <w:rPr>
          <w:b/>
          <w:bCs/>
          <w:color w:val="auto"/>
          <w:sz w:val="24"/>
          <w:szCs w:val="24"/>
        </w:rPr>
      </w:pPr>
      <w:r w:rsidRPr="69418C14">
        <w:rPr>
          <w:b/>
          <w:bCs/>
          <w:color w:val="auto"/>
          <w:sz w:val="24"/>
          <w:szCs w:val="24"/>
        </w:rPr>
        <w:t>Discrimination and segregation in housing</w:t>
      </w:r>
      <w:r w:rsidR="000B7399" w:rsidRPr="69418C14">
        <w:rPr>
          <w:b/>
          <w:bCs/>
          <w:color w:val="auto"/>
          <w:sz w:val="24"/>
          <w:szCs w:val="24"/>
        </w:rPr>
        <w:t xml:space="preserve"> (</w:t>
      </w:r>
      <w:r w:rsidR="00ED62A1">
        <w:rPr>
          <w:b/>
          <w:bCs/>
          <w:color w:val="auto"/>
          <w:sz w:val="24"/>
          <w:szCs w:val="24"/>
        </w:rPr>
        <w:t>Concluding Observations paragraph 13)</w:t>
      </w:r>
    </w:p>
    <w:p w14:paraId="47868F61" w14:textId="2B4DFAB6" w:rsidR="00974E48" w:rsidRDefault="00AA5F70" w:rsidP="00974E48">
      <w:pPr>
        <w:numPr>
          <w:ilvl w:val="0"/>
          <w:numId w:val="7"/>
        </w:numPr>
        <w:spacing w:after="120"/>
        <w:ind w:left="360"/>
        <w:jc w:val="both"/>
        <w:rPr>
          <w:color w:val="auto"/>
          <w:sz w:val="24"/>
          <w:szCs w:val="24"/>
        </w:rPr>
      </w:pPr>
      <w:r>
        <w:rPr>
          <w:color w:val="auto"/>
          <w:sz w:val="24"/>
          <w:szCs w:val="24"/>
        </w:rPr>
        <w:t xml:space="preserve">In </w:t>
      </w:r>
      <w:r w:rsidR="005E4D8D">
        <w:rPr>
          <w:color w:val="auto"/>
          <w:sz w:val="24"/>
          <w:szCs w:val="24"/>
        </w:rPr>
        <w:t>its</w:t>
      </w:r>
      <w:r w:rsidR="00B350D0">
        <w:rPr>
          <w:color w:val="auto"/>
          <w:sz w:val="24"/>
          <w:szCs w:val="24"/>
        </w:rPr>
        <w:t xml:space="preserve"> 2014</w:t>
      </w:r>
      <w:r>
        <w:rPr>
          <w:color w:val="auto"/>
          <w:sz w:val="24"/>
          <w:szCs w:val="24"/>
        </w:rPr>
        <w:t xml:space="preserve"> Concluding Observations, t</w:t>
      </w:r>
      <w:r w:rsidR="000B300E">
        <w:rPr>
          <w:color w:val="auto"/>
          <w:sz w:val="24"/>
          <w:szCs w:val="24"/>
        </w:rPr>
        <w:t>he Committee remained concerned about the persistence of discrimination in access to housing</w:t>
      </w:r>
      <w:r w:rsidR="00755ABA">
        <w:rPr>
          <w:color w:val="auto"/>
          <w:sz w:val="24"/>
          <w:szCs w:val="24"/>
        </w:rPr>
        <w:t xml:space="preserve"> and the high degree of racial </w:t>
      </w:r>
      <w:r w:rsidR="00341980">
        <w:rPr>
          <w:color w:val="auto"/>
          <w:sz w:val="24"/>
          <w:szCs w:val="24"/>
        </w:rPr>
        <w:t>segregation and concentrated poverty in neighborhoods, among other concerns.</w:t>
      </w:r>
      <w:r w:rsidR="00CC65F5">
        <w:rPr>
          <w:rStyle w:val="FootnoteReference"/>
          <w:color w:val="auto"/>
          <w:sz w:val="24"/>
          <w:szCs w:val="24"/>
        </w:rPr>
        <w:footnoteReference w:id="6"/>
      </w:r>
      <w:r w:rsidR="00341980">
        <w:rPr>
          <w:color w:val="auto"/>
          <w:sz w:val="24"/>
          <w:szCs w:val="24"/>
        </w:rPr>
        <w:t xml:space="preserve"> The Committee urged the State </w:t>
      </w:r>
      <w:r w:rsidR="00EE3C43">
        <w:rPr>
          <w:color w:val="auto"/>
          <w:sz w:val="24"/>
          <w:szCs w:val="24"/>
        </w:rPr>
        <w:t>P</w:t>
      </w:r>
      <w:r w:rsidR="00341980">
        <w:rPr>
          <w:color w:val="auto"/>
          <w:sz w:val="24"/>
          <w:szCs w:val="24"/>
        </w:rPr>
        <w:t>art</w:t>
      </w:r>
      <w:r w:rsidR="00F06C34">
        <w:rPr>
          <w:color w:val="auto"/>
          <w:sz w:val="24"/>
          <w:szCs w:val="24"/>
        </w:rPr>
        <w:t xml:space="preserve">y to eliminate housing discrimination by ensuring the availability of affordable </w:t>
      </w:r>
      <w:r w:rsidR="00AC50A6">
        <w:rPr>
          <w:color w:val="auto"/>
          <w:sz w:val="24"/>
          <w:szCs w:val="24"/>
        </w:rPr>
        <w:t>and adequate housing</w:t>
      </w:r>
      <w:r w:rsidR="00BC7A78">
        <w:rPr>
          <w:color w:val="auto"/>
          <w:sz w:val="24"/>
          <w:szCs w:val="24"/>
        </w:rPr>
        <w:t xml:space="preserve">, </w:t>
      </w:r>
      <w:r w:rsidR="00C57CDF">
        <w:rPr>
          <w:color w:val="auto"/>
          <w:sz w:val="24"/>
          <w:szCs w:val="24"/>
        </w:rPr>
        <w:t xml:space="preserve">including through the </w:t>
      </w:r>
      <w:r w:rsidR="00BC7A78">
        <w:rPr>
          <w:color w:val="auto"/>
          <w:sz w:val="24"/>
          <w:szCs w:val="24"/>
        </w:rPr>
        <w:t xml:space="preserve">implementation of </w:t>
      </w:r>
      <w:r w:rsidR="00C57CDF">
        <w:rPr>
          <w:color w:val="auto"/>
          <w:sz w:val="24"/>
          <w:szCs w:val="24"/>
        </w:rPr>
        <w:t>legislation.</w:t>
      </w:r>
      <w:r w:rsidR="005E1A8F">
        <w:rPr>
          <w:rStyle w:val="FootnoteReference"/>
          <w:color w:val="auto"/>
          <w:sz w:val="24"/>
          <w:szCs w:val="24"/>
        </w:rPr>
        <w:footnoteReference w:id="7"/>
      </w:r>
    </w:p>
    <w:p w14:paraId="343EE256" w14:textId="34ABEA05" w:rsidR="00757A1C" w:rsidRDefault="006B1A8F" w:rsidP="00974E48">
      <w:pPr>
        <w:numPr>
          <w:ilvl w:val="0"/>
          <w:numId w:val="7"/>
        </w:numPr>
        <w:spacing w:after="120"/>
        <w:ind w:left="360"/>
        <w:jc w:val="both"/>
        <w:rPr>
          <w:color w:val="auto"/>
          <w:sz w:val="24"/>
          <w:szCs w:val="24"/>
        </w:rPr>
      </w:pPr>
      <w:r>
        <w:rPr>
          <w:color w:val="auto"/>
          <w:sz w:val="24"/>
          <w:szCs w:val="24"/>
        </w:rPr>
        <w:lastRenderedPageBreak/>
        <w:t xml:space="preserve">Being precariously housed or unhoused increases the chances of experiencing violence, especially for Black women and girls. </w:t>
      </w:r>
      <w:r w:rsidR="007319D7">
        <w:rPr>
          <w:color w:val="auto"/>
          <w:sz w:val="24"/>
          <w:szCs w:val="24"/>
        </w:rPr>
        <w:t xml:space="preserve">The State of Minnesota Missing and Murdered African American Women Task Force </w:t>
      </w:r>
      <w:r w:rsidR="00993705">
        <w:rPr>
          <w:color w:val="auto"/>
          <w:sz w:val="24"/>
          <w:szCs w:val="24"/>
        </w:rPr>
        <w:t xml:space="preserve">(“Task Force”) </w:t>
      </w:r>
      <w:r>
        <w:rPr>
          <w:color w:val="auto"/>
          <w:sz w:val="24"/>
          <w:szCs w:val="24"/>
        </w:rPr>
        <w:t xml:space="preserve">Advisory Council </w:t>
      </w:r>
      <w:r w:rsidR="00373C2E">
        <w:rPr>
          <w:color w:val="auto"/>
          <w:sz w:val="24"/>
          <w:szCs w:val="24"/>
        </w:rPr>
        <w:t xml:space="preserve">(“Advisory Council”) </w:t>
      </w:r>
      <w:r>
        <w:rPr>
          <w:color w:val="auto"/>
          <w:sz w:val="24"/>
          <w:szCs w:val="24"/>
        </w:rPr>
        <w:t>members</w:t>
      </w:r>
      <w:r w:rsidR="00647005">
        <w:rPr>
          <w:rStyle w:val="FootnoteReference"/>
          <w:color w:val="auto"/>
          <w:sz w:val="24"/>
          <w:szCs w:val="24"/>
        </w:rPr>
        <w:footnoteReference w:id="8"/>
      </w:r>
      <w:r>
        <w:rPr>
          <w:color w:val="auto"/>
          <w:sz w:val="24"/>
          <w:szCs w:val="24"/>
        </w:rPr>
        <w:t xml:space="preserve"> highlighted how precarious housing for youth can lead girls </w:t>
      </w:r>
      <w:r w:rsidR="00D652FC">
        <w:rPr>
          <w:color w:val="auto"/>
          <w:sz w:val="24"/>
          <w:szCs w:val="24"/>
        </w:rPr>
        <w:t xml:space="preserve">to resort to </w:t>
      </w:r>
      <w:r>
        <w:rPr>
          <w:color w:val="auto"/>
          <w:sz w:val="24"/>
          <w:szCs w:val="24"/>
        </w:rPr>
        <w:t xml:space="preserve">sexual exploitation </w:t>
      </w:r>
      <w:r w:rsidR="00D652FC">
        <w:rPr>
          <w:color w:val="auto"/>
          <w:sz w:val="24"/>
          <w:szCs w:val="24"/>
        </w:rPr>
        <w:t xml:space="preserve">in order </w:t>
      </w:r>
      <w:r w:rsidDel="00D652FC">
        <w:rPr>
          <w:color w:val="auto"/>
          <w:sz w:val="24"/>
          <w:szCs w:val="24"/>
        </w:rPr>
        <w:t>to</w:t>
      </w:r>
      <w:r>
        <w:rPr>
          <w:color w:val="auto"/>
          <w:sz w:val="24"/>
          <w:szCs w:val="24"/>
        </w:rPr>
        <w:t xml:space="preserve"> access housing.</w:t>
      </w:r>
      <w:r w:rsidR="003C2A2B">
        <w:rPr>
          <w:rStyle w:val="FootnoteReference"/>
          <w:color w:val="auto"/>
          <w:sz w:val="24"/>
          <w:szCs w:val="24"/>
        </w:rPr>
        <w:footnoteReference w:id="9"/>
      </w:r>
      <w:r>
        <w:rPr>
          <w:color w:val="auto"/>
          <w:sz w:val="24"/>
          <w:szCs w:val="24"/>
        </w:rPr>
        <w:t xml:space="preserve"> The Task Force members shared </w:t>
      </w:r>
      <w:r w:rsidR="00502680">
        <w:rPr>
          <w:color w:val="auto"/>
          <w:sz w:val="24"/>
          <w:szCs w:val="24"/>
        </w:rPr>
        <w:t>how there are no Black women and girl</w:t>
      </w:r>
      <w:r w:rsidR="00E1293F">
        <w:rPr>
          <w:color w:val="auto"/>
          <w:sz w:val="24"/>
          <w:szCs w:val="24"/>
        </w:rPr>
        <w:t>-</w:t>
      </w:r>
      <w:r w:rsidR="00502680">
        <w:rPr>
          <w:color w:val="auto"/>
          <w:sz w:val="24"/>
          <w:szCs w:val="24"/>
        </w:rPr>
        <w:t>specific shelters in the state of Minnesota, which is a missed opportunity to offer culturally specific support and resources to Black women and girls in need of safe and stable housing.</w:t>
      </w:r>
      <w:r w:rsidR="003C2A2B">
        <w:rPr>
          <w:rStyle w:val="FootnoteReference"/>
          <w:color w:val="auto"/>
          <w:sz w:val="24"/>
          <w:szCs w:val="24"/>
        </w:rPr>
        <w:footnoteReference w:id="10"/>
      </w:r>
      <w:r w:rsidR="00502680">
        <w:rPr>
          <w:color w:val="auto"/>
          <w:sz w:val="24"/>
          <w:szCs w:val="24"/>
        </w:rPr>
        <w:t xml:space="preserve"> </w:t>
      </w:r>
    </w:p>
    <w:p w14:paraId="6B656FD3" w14:textId="17634C5E" w:rsidR="00EA0EEB" w:rsidRDefault="00EA0EEB" w:rsidP="00974E48">
      <w:pPr>
        <w:numPr>
          <w:ilvl w:val="0"/>
          <w:numId w:val="7"/>
        </w:numPr>
        <w:spacing w:after="120"/>
        <w:ind w:left="360"/>
        <w:jc w:val="both"/>
        <w:rPr>
          <w:color w:val="auto"/>
          <w:sz w:val="24"/>
          <w:szCs w:val="24"/>
        </w:rPr>
      </w:pPr>
      <w:r w:rsidRPr="00F811E7">
        <w:rPr>
          <w:b/>
          <w:color w:val="auto"/>
          <w:sz w:val="24"/>
          <w:szCs w:val="24"/>
        </w:rPr>
        <w:t>Suggested questions</w:t>
      </w:r>
      <w:r w:rsidR="00524166">
        <w:rPr>
          <w:color w:val="auto"/>
          <w:sz w:val="24"/>
          <w:szCs w:val="24"/>
        </w:rPr>
        <w:t xml:space="preserve"> relating to </w:t>
      </w:r>
      <w:r w:rsidR="00EC7509">
        <w:rPr>
          <w:color w:val="auto"/>
          <w:sz w:val="24"/>
          <w:szCs w:val="24"/>
        </w:rPr>
        <w:t>discrimination and segregation in housing</w:t>
      </w:r>
      <w:r>
        <w:rPr>
          <w:color w:val="auto"/>
          <w:sz w:val="24"/>
          <w:szCs w:val="24"/>
        </w:rPr>
        <w:t>:</w:t>
      </w:r>
      <w:r w:rsidR="00646D29">
        <w:rPr>
          <w:color w:val="auto"/>
          <w:sz w:val="24"/>
          <w:szCs w:val="24"/>
        </w:rPr>
        <w:t xml:space="preserve"> </w:t>
      </w:r>
    </w:p>
    <w:p w14:paraId="2D7FE14C" w14:textId="41DCD644" w:rsidR="000C380B" w:rsidRPr="006A6D67" w:rsidRDefault="00E16F35" w:rsidP="00E16F35">
      <w:pPr>
        <w:numPr>
          <w:ilvl w:val="1"/>
          <w:numId w:val="7"/>
        </w:numPr>
        <w:spacing w:after="120"/>
        <w:jc w:val="both"/>
        <w:rPr>
          <w:color w:val="auto"/>
          <w:sz w:val="24"/>
          <w:szCs w:val="24"/>
        </w:rPr>
      </w:pPr>
      <w:r>
        <w:rPr>
          <w:color w:val="auto"/>
          <w:sz w:val="24"/>
          <w:szCs w:val="24"/>
        </w:rPr>
        <w:t>What, if any,</w:t>
      </w:r>
      <w:r w:rsidR="0011031B" w:rsidRPr="69418C14">
        <w:rPr>
          <w:color w:val="auto"/>
          <w:sz w:val="24"/>
          <w:szCs w:val="24"/>
        </w:rPr>
        <w:t xml:space="preserve"> </w:t>
      </w:r>
      <w:r w:rsidR="00DA371D" w:rsidRPr="69418C14">
        <w:rPr>
          <w:color w:val="auto"/>
          <w:sz w:val="24"/>
          <w:szCs w:val="24"/>
        </w:rPr>
        <w:t>culturally</w:t>
      </w:r>
      <w:r w:rsidR="00A25334" w:rsidRPr="69418C14">
        <w:rPr>
          <w:color w:val="auto"/>
          <w:sz w:val="24"/>
          <w:szCs w:val="24"/>
        </w:rPr>
        <w:t>-</w:t>
      </w:r>
      <w:r w:rsidR="00A63887">
        <w:rPr>
          <w:color w:val="auto"/>
          <w:sz w:val="24"/>
          <w:szCs w:val="24"/>
        </w:rPr>
        <w:t xml:space="preserve"> </w:t>
      </w:r>
      <w:r w:rsidR="0011031B" w:rsidRPr="69418C14">
        <w:rPr>
          <w:color w:val="auto"/>
          <w:sz w:val="24"/>
          <w:szCs w:val="24"/>
        </w:rPr>
        <w:t xml:space="preserve">specific support </w:t>
      </w:r>
      <w:r>
        <w:rPr>
          <w:color w:val="auto"/>
          <w:sz w:val="24"/>
          <w:szCs w:val="24"/>
        </w:rPr>
        <w:t>or</w:t>
      </w:r>
      <w:r w:rsidR="0011031B" w:rsidRPr="69418C14">
        <w:rPr>
          <w:color w:val="auto"/>
          <w:sz w:val="24"/>
          <w:szCs w:val="24"/>
        </w:rPr>
        <w:t xml:space="preserve"> resources </w:t>
      </w:r>
      <w:r w:rsidR="00D831B2" w:rsidRPr="69418C14">
        <w:rPr>
          <w:color w:val="auto"/>
          <w:sz w:val="24"/>
          <w:szCs w:val="24"/>
        </w:rPr>
        <w:t>for minorities</w:t>
      </w:r>
      <w:r>
        <w:rPr>
          <w:color w:val="auto"/>
          <w:sz w:val="24"/>
          <w:szCs w:val="24"/>
        </w:rPr>
        <w:t xml:space="preserve"> does the State Party offer</w:t>
      </w:r>
      <w:r w:rsidR="00A25334" w:rsidRPr="69418C14">
        <w:rPr>
          <w:color w:val="auto"/>
          <w:sz w:val="24"/>
          <w:szCs w:val="24"/>
        </w:rPr>
        <w:t>, including</w:t>
      </w:r>
      <w:r>
        <w:rPr>
          <w:color w:val="auto"/>
          <w:sz w:val="24"/>
          <w:szCs w:val="24"/>
        </w:rPr>
        <w:t xml:space="preserve"> support for</w:t>
      </w:r>
      <w:r w:rsidR="00A25334" w:rsidRPr="69418C14">
        <w:rPr>
          <w:color w:val="auto"/>
          <w:sz w:val="24"/>
          <w:szCs w:val="24"/>
        </w:rPr>
        <w:t xml:space="preserve"> Black women and girls</w:t>
      </w:r>
      <w:r w:rsidR="00D831B2" w:rsidRPr="69418C14">
        <w:rPr>
          <w:color w:val="auto"/>
          <w:sz w:val="24"/>
          <w:szCs w:val="24"/>
        </w:rPr>
        <w:t xml:space="preserve"> in need of safe housing</w:t>
      </w:r>
      <w:r w:rsidR="008467FA" w:rsidRPr="69418C14">
        <w:rPr>
          <w:color w:val="auto"/>
          <w:sz w:val="24"/>
          <w:szCs w:val="24"/>
        </w:rPr>
        <w:t xml:space="preserve"> who are at risk of or are exiting domestic violence or trafficking</w:t>
      </w:r>
      <w:r w:rsidR="00D831B2" w:rsidRPr="69418C14">
        <w:rPr>
          <w:color w:val="auto"/>
          <w:sz w:val="24"/>
          <w:szCs w:val="24"/>
        </w:rPr>
        <w:t xml:space="preserve">? </w:t>
      </w:r>
    </w:p>
    <w:p w14:paraId="1DF2ECF7" w14:textId="317E4C3B" w:rsidR="00EA0EEB" w:rsidRPr="006A6D67" w:rsidRDefault="001C526E" w:rsidP="00E16F35">
      <w:pPr>
        <w:numPr>
          <w:ilvl w:val="1"/>
          <w:numId w:val="7"/>
        </w:numPr>
        <w:spacing w:after="120"/>
        <w:jc w:val="both"/>
        <w:rPr>
          <w:color w:val="auto"/>
          <w:sz w:val="24"/>
          <w:szCs w:val="24"/>
        </w:rPr>
      </w:pPr>
      <w:r w:rsidRPr="006A6D67">
        <w:rPr>
          <w:color w:val="auto"/>
          <w:sz w:val="24"/>
          <w:szCs w:val="24"/>
        </w:rPr>
        <w:t xml:space="preserve">What legislation is being considered </w:t>
      </w:r>
      <w:r w:rsidR="002A52EA" w:rsidRPr="006A6D67">
        <w:rPr>
          <w:color w:val="auto"/>
          <w:sz w:val="24"/>
          <w:szCs w:val="24"/>
        </w:rPr>
        <w:t xml:space="preserve">to ensure adequate and affordable housing? </w:t>
      </w:r>
    </w:p>
    <w:p w14:paraId="04ABF62C" w14:textId="21FC8D7F" w:rsidR="00374B54" w:rsidRPr="006A6D67" w:rsidRDefault="00374B54" w:rsidP="00E16F35">
      <w:pPr>
        <w:numPr>
          <w:ilvl w:val="1"/>
          <w:numId w:val="7"/>
        </w:numPr>
        <w:spacing w:after="120"/>
        <w:jc w:val="both"/>
        <w:rPr>
          <w:color w:val="auto"/>
          <w:sz w:val="24"/>
          <w:szCs w:val="24"/>
        </w:rPr>
      </w:pPr>
      <w:r w:rsidRPr="006A6D67">
        <w:rPr>
          <w:color w:val="auto"/>
          <w:sz w:val="24"/>
          <w:szCs w:val="24"/>
        </w:rPr>
        <w:t xml:space="preserve">What measures are being considered to </w:t>
      </w:r>
      <w:r w:rsidR="002C11D7" w:rsidRPr="006A6D67">
        <w:rPr>
          <w:color w:val="auto"/>
          <w:sz w:val="24"/>
          <w:szCs w:val="24"/>
        </w:rPr>
        <w:t xml:space="preserve">increase the flexibility of funding </w:t>
      </w:r>
      <w:r w:rsidR="004B35A5" w:rsidRPr="006A6D67">
        <w:rPr>
          <w:color w:val="auto"/>
          <w:sz w:val="24"/>
          <w:szCs w:val="24"/>
        </w:rPr>
        <w:t>supporting shelters</w:t>
      </w:r>
      <w:r w:rsidR="003B6516" w:rsidRPr="006A6D67">
        <w:rPr>
          <w:color w:val="auto"/>
          <w:sz w:val="24"/>
          <w:szCs w:val="24"/>
        </w:rPr>
        <w:t xml:space="preserve">? </w:t>
      </w:r>
    </w:p>
    <w:p w14:paraId="0B7976BB" w14:textId="34F390EB" w:rsidR="004B1E4E" w:rsidRPr="004B1E4E" w:rsidRDefault="00DB18A1" w:rsidP="00E114C5">
      <w:pPr>
        <w:keepNext/>
        <w:numPr>
          <w:ilvl w:val="0"/>
          <w:numId w:val="8"/>
        </w:numPr>
        <w:spacing w:before="240" w:after="120"/>
        <w:ind w:left="720" w:hanging="360"/>
        <w:rPr>
          <w:b/>
          <w:color w:val="auto"/>
          <w:sz w:val="24"/>
          <w:szCs w:val="24"/>
        </w:rPr>
      </w:pPr>
      <w:r>
        <w:rPr>
          <w:b/>
          <w:color w:val="auto"/>
          <w:sz w:val="24"/>
          <w:szCs w:val="24"/>
        </w:rPr>
        <w:t>Education</w:t>
      </w:r>
      <w:r w:rsidR="00C959B5">
        <w:rPr>
          <w:b/>
          <w:color w:val="auto"/>
          <w:sz w:val="24"/>
          <w:szCs w:val="24"/>
        </w:rPr>
        <w:t xml:space="preserve"> (</w:t>
      </w:r>
      <w:r w:rsidR="00983B5C">
        <w:rPr>
          <w:b/>
          <w:color w:val="auto"/>
          <w:sz w:val="24"/>
          <w:szCs w:val="24"/>
        </w:rPr>
        <w:t>Concluding Observations paragraph 14)</w:t>
      </w:r>
    </w:p>
    <w:p w14:paraId="4DCCA3D9" w14:textId="4B75CFC6" w:rsidR="00974E48" w:rsidRDefault="00FF4D09" w:rsidP="00974E48">
      <w:pPr>
        <w:numPr>
          <w:ilvl w:val="0"/>
          <w:numId w:val="7"/>
        </w:numPr>
        <w:spacing w:after="120"/>
        <w:ind w:left="360"/>
        <w:jc w:val="both"/>
        <w:rPr>
          <w:color w:val="auto"/>
          <w:sz w:val="24"/>
          <w:szCs w:val="24"/>
        </w:rPr>
      </w:pPr>
      <w:r>
        <w:rPr>
          <w:color w:val="auto"/>
          <w:sz w:val="24"/>
          <w:szCs w:val="24"/>
        </w:rPr>
        <w:t xml:space="preserve">In the </w:t>
      </w:r>
      <w:r w:rsidR="00B350D0">
        <w:rPr>
          <w:color w:val="auto"/>
          <w:sz w:val="24"/>
          <w:szCs w:val="24"/>
        </w:rPr>
        <w:t xml:space="preserve">2014 </w:t>
      </w:r>
      <w:r>
        <w:rPr>
          <w:color w:val="auto"/>
          <w:sz w:val="24"/>
          <w:szCs w:val="24"/>
        </w:rPr>
        <w:t>Concluding Observations, t</w:t>
      </w:r>
      <w:r w:rsidR="00680A64">
        <w:rPr>
          <w:color w:val="auto"/>
          <w:sz w:val="24"/>
          <w:szCs w:val="24"/>
        </w:rPr>
        <w:t>he Committee welcomed the formation of the Equity and Excellence Commission in 2011.</w:t>
      </w:r>
      <w:r w:rsidR="005E1A8F">
        <w:rPr>
          <w:rStyle w:val="FootnoteReference"/>
          <w:color w:val="auto"/>
          <w:sz w:val="24"/>
          <w:szCs w:val="24"/>
        </w:rPr>
        <w:footnoteReference w:id="11"/>
      </w:r>
      <w:r w:rsidR="00680A64">
        <w:rPr>
          <w:color w:val="auto"/>
          <w:sz w:val="24"/>
          <w:szCs w:val="24"/>
        </w:rPr>
        <w:t xml:space="preserve"> The Committee remained concerned</w:t>
      </w:r>
      <w:r w:rsidR="00925B8A">
        <w:rPr>
          <w:color w:val="auto"/>
          <w:sz w:val="24"/>
          <w:szCs w:val="24"/>
        </w:rPr>
        <w:t xml:space="preserve"> that</w:t>
      </w:r>
      <w:r w:rsidR="00680A64">
        <w:rPr>
          <w:color w:val="auto"/>
          <w:sz w:val="24"/>
          <w:szCs w:val="24"/>
        </w:rPr>
        <w:t xml:space="preserve"> </w:t>
      </w:r>
      <w:r w:rsidR="00653E0F">
        <w:rPr>
          <w:color w:val="auto"/>
          <w:sz w:val="24"/>
          <w:szCs w:val="24"/>
        </w:rPr>
        <w:t xml:space="preserve">students from racial and ethnic minorities </w:t>
      </w:r>
      <w:r w:rsidR="009F5AA6">
        <w:rPr>
          <w:color w:val="auto"/>
          <w:sz w:val="24"/>
          <w:szCs w:val="24"/>
        </w:rPr>
        <w:t xml:space="preserve">were disproportionately </w:t>
      </w:r>
      <w:r w:rsidR="00E85522">
        <w:rPr>
          <w:color w:val="auto"/>
          <w:sz w:val="24"/>
          <w:szCs w:val="24"/>
        </w:rPr>
        <w:t>and unfairly disciplined</w:t>
      </w:r>
      <w:r w:rsidR="0064498D">
        <w:rPr>
          <w:color w:val="auto"/>
          <w:sz w:val="24"/>
          <w:szCs w:val="24"/>
        </w:rPr>
        <w:t>, among other concerns.</w:t>
      </w:r>
      <w:r w:rsidR="00925B8A">
        <w:rPr>
          <w:rStyle w:val="FootnoteReference"/>
          <w:color w:val="auto"/>
          <w:sz w:val="24"/>
          <w:szCs w:val="24"/>
        </w:rPr>
        <w:footnoteReference w:id="12"/>
      </w:r>
      <w:r w:rsidR="0064498D">
        <w:rPr>
          <w:color w:val="auto"/>
          <w:sz w:val="24"/>
          <w:szCs w:val="24"/>
        </w:rPr>
        <w:t xml:space="preserve"> </w:t>
      </w:r>
    </w:p>
    <w:p w14:paraId="23740DB8" w14:textId="5E51C56A" w:rsidR="00DB18A1" w:rsidRPr="005B5F77" w:rsidRDefault="00D24BCB" w:rsidP="005B5F77">
      <w:pPr>
        <w:numPr>
          <w:ilvl w:val="0"/>
          <w:numId w:val="7"/>
        </w:numPr>
        <w:spacing w:after="120"/>
        <w:ind w:left="360"/>
        <w:jc w:val="both"/>
        <w:rPr>
          <w:color w:val="auto"/>
          <w:sz w:val="24"/>
          <w:szCs w:val="24"/>
        </w:rPr>
      </w:pPr>
      <w:r>
        <w:rPr>
          <w:color w:val="auto"/>
          <w:sz w:val="24"/>
          <w:szCs w:val="24"/>
        </w:rPr>
        <w:t>Students</w:t>
      </w:r>
      <w:r w:rsidR="00401DC3">
        <w:rPr>
          <w:color w:val="auto"/>
          <w:sz w:val="24"/>
          <w:szCs w:val="24"/>
        </w:rPr>
        <w:t xml:space="preserve"> from racial and ethnic minorities continue to experience </w:t>
      </w:r>
      <w:r w:rsidR="00FE1DC5">
        <w:rPr>
          <w:color w:val="auto"/>
          <w:sz w:val="24"/>
          <w:szCs w:val="24"/>
        </w:rPr>
        <w:t xml:space="preserve">detrimental </w:t>
      </w:r>
      <w:r w:rsidR="00EC4744">
        <w:rPr>
          <w:color w:val="auto"/>
          <w:sz w:val="24"/>
          <w:szCs w:val="24"/>
        </w:rPr>
        <w:t>disciplinary measures</w:t>
      </w:r>
      <w:r w:rsidR="0022520F">
        <w:rPr>
          <w:color w:val="auto"/>
          <w:sz w:val="24"/>
          <w:szCs w:val="24"/>
        </w:rPr>
        <w:t xml:space="preserve"> in schools?</w:t>
      </w:r>
      <w:r w:rsidR="00EC4744">
        <w:rPr>
          <w:color w:val="auto"/>
          <w:sz w:val="24"/>
          <w:szCs w:val="24"/>
        </w:rPr>
        <w:t>.</w:t>
      </w:r>
      <w:r w:rsidR="003C2A2B">
        <w:rPr>
          <w:rStyle w:val="FootnoteReference"/>
          <w:color w:val="auto"/>
          <w:sz w:val="24"/>
          <w:szCs w:val="24"/>
        </w:rPr>
        <w:footnoteReference w:id="13"/>
      </w:r>
      <w:r w:rsidR="00EC4744">
        <w:rPr>
          <w:color w:val="auto"/>
          <w:sz w:val="24"/>
          <w:szCs w:val="24"/>
        </w:rPr>
        <w:t xml:space="preserve"> </w:t>
      </w:r>
      <w:r w:rsidR="00533675">
        <w:rPr>
          <w:color w:val="auto"/>
          <w:sz w:val="24"/>
          <w:szCs w:val="24"/>
        </w:rPr>
        <w:t xml:space="preserve">Advisory Council members connected education policies and practices to the criminalization of Black girls, primarily through truancy policies that connect youth </w:t>
      </w:r>
      <w:r w:rsidR="000325B6">
        <w:rPr>
          <w:color w:val="auto"/>
          <w:sz w:val="24"/>
          <w:szCs w:val="24"/>
        </w:rPr>
        <w:t>to juvenile court systems.</w:t>
      </w:r>
      <w:r w:rsidR="003C2A2B">
        <w:rPr>
          <w:rStyle w:val="FootnoteReference"/>
          <w:color w:val="auto"/>
          <w:sz w:val="24"/>
          <w:szCs w:val="24"/>
        </w:rPr>
        <w:footnoteReference w:id="14"/>
      </w:r>
      <w:r w:rsidR="000325B6">
        <w:rPr>
          <w:color w:val="auto"/>
          <w:sz w:val="24"/>
          <w:szCs w:val="24"/>
        </w:rPr>
        <w:t xml:space="preserve"> Advisory Council members identified </w:t>
      </w:r>
      <w:r w:rsidR="0022520F">
        <w:rPr>
          <w:color w:val="auto"/>
          <w:sz w:val="24"/>
          <w:szCs w:val="24"/>
        </w:rPr>
        <w:t>restriction of?</w:t>
      </w:r>
      <w:r w:rsidR="000325B6">
        <w:rPr>
          <w:color w:val="auto"/>
          <w:sz w:val="24"/>
          <w:szCs w:val="24"/>
        </w:rPr>
        <w:t xml:space="preserve"> self-expression, </w:t>
      </w:r>
      <w:r w:rsidR="000325B6">
        <w:rPr>
          <w:color w:val="auto"/>
          <w:sz w:val="24"/>
          <w:szCs w:val="24"/>
        </w:rPr>
        <w:lastRenderedPageBreak/>
        <w:t>in particular Black girls’ hair, as a form of violence against Black girls and policing of their image.</w:t>
      </w:r>
      <w:r w:rsidR="003C2A2B">
        <w:rPr>
          <w:rStyle w:val="FootnoteReference"/>
          <w:color w:val="auto"/>
          <w:sz w:val="24"/>
          <w:szCs w:val="24"/>
        </w:rPr>
        <w:footnoteReference w:id="15"/>
      </w:r>
      <w:r w:rsidR="000325B6">
        <w:rPr>
          <w:color w:val="auto"/>
          <w:sz w:val="24"/>
          <w:szCs w:val="24"/>
        </w:rPr>
        <w:t xml:space="preserve"> </w:t>
      </w:r>
    </w:p>
    <w:p w14:paraId="3B32D1D3" w14:textId="7CD71D2F" w:rsidR="00974E48" w:rsidRDefault="00974E48" w:rsidP="00974E48">
      <w:pPr>
        <w:numPr>
          <w:ilvl w:val="0"/>
          <w:numId w:val="7"/>
        </w:numPr>
        <w:spacing w:after="120"/>
        <w:ind w:left="360"/>
        <w:jc w:val="both"/>
        <w:rPr>
          <w:color w:val="auto"/>
          <w:sz w:val="24"/>
          <w:szCs w:val="24"/>
        </w:rPr>
      </w:pPr>
      <w:r w:rsidRPr="00F811E7">
        <w:rPr>
          <w:b/>
          <w:color w:val="auto"/>
          <w:sz w:val="24"/>
          <w:szCs w:val="24"/>
        </w:rPr>
        <w:t>Suggested questions</w:t>
      </w:r>
      <w:r>
        <w:rPr>
          <w:color w:val="auto"/>
          <w:sz w:val="24"/>
          <w:szCs w:val="24"/>
        </w:rPr>
        <w:t xml:space="preserve"> relating to </w:t>
      </w:r>
      <w:r w:rsidR="00DB18A1">
        <w:rPr>
          <w:color w:val="auto"/>
          <w:sz w:val="24"/>
          <w:szCs w:val="24"/>
        </w:rPr>
        <w:t>education</w:t>
      </w:r>
      <w:r>
        <w:rPr>
          <w:color w:val="auto"/>
          <w:sz w:val="24"/>
          <w:szCs w:val="24"/>
        </w:rPr>
        <w:t xml:space="preserve">: </w:t>
      </w:r>
    </w:p>
    <w:p w14:paraId="27A85F6D" w14:textId="15B11B60" w:rsidR="00974E48" w:rsidRPr="000C380B" w:rsidRDefault="00A84312" w:rsidP="002E3BBD">
      <w:pPr>
        <w:numPr>
          <w:ilvl w:val="1"/>
          <w:numId w:val="7"/>
        </w:numPr>
        <w:spacing w:after="120"/>
        <w:jc w:val="both"/>
        <w:rPr>
          <w:color w:val="auto"/>
          <w:sz w:val="24"/>
          <w:szCs w:val="24"/>
        </w:rPr>
      </w:pPr>
      <w:r w:rsidRPr="69418C14">
        <w:rPr>
          <w:color w:val="auto"/>
          <w:sz w:val="24"/>
          <w:szCs w:val="24"/>
        </w:rPr>
        <w:t xml:space="preserve">What measures has the State </w:t>
      </w:r>
      <w:r w:rsidR="002E3BBD">
        <w:rPr>
          <w:color w:val="auto"/>
          <w:sz w:val="24"/>
          <w:szCs w:val="24"/>
        </w:rPr>
        <w:t>P</w:t>
      </w:r>
      <w:r w:rsidRPr="69418C14">
        <w:rPr>
          <w:color w:val="auto"/>
          <w:sz w:val="24"/>
          <w:szCs w:val="24"/>
        </w:rPr>
        <w:t xml:space="preserve">arty taken to </w:t>
      </w:r>
      <w:r w:rsidR="00956638" w:rsidRPr="69418C14">
        <w:rPr>
          <w:color w:val="auto"/>
          <w:sz w:val="24"/>
          <w:szCs w:val="24"/>
        </w:rPr>
        <w:t xml:space="preserve">reform </w:t>
      </w:r>
      <w:r w:rsidR="009D29EF" w:rsidRPr="69418C14">
        <w:rPr>
          <w:color w:val="auto"/>
          <w:sz w:val="24"/>
          <w:szCs w:val="24"/>
        </w:rPr>
        <w:t xml:space="preserve">discriminatory </w:t>
      </w:r>
      <w:r w:rsidR="00956638" w:rsidRPr="69418C14">
        <w:rPr>
          <w:color w:val="auto"/>
          <w:sz w:val="24"/>
          <w:szCs w:val="24"/>
        </w:rPr>
        <w:t xml:space="preserve">truancy policies and to address </w:t>
      </w:r>
      <w:r w:rsidR="00710A30" w:rsidRPr="69418C14">
        <w:rPr>
          <w:color w:val="auto"/>
          <w:sz w:val="24"/>
          <w:szCs w:val="24"/>
        </w:rPr>
        <w:t xml:space="preserve">the </w:t>
      </w:r>
      <w:r w:rsidR="009D29EF" w:rsidRPr="69418C14">
        <w:rPr>
          <w:color w:val="auto"/>
          <w:sz w:val="24"/>
          <w:szCs w:val="24"/>
        </w:rPr>
        <w:t xml:space="preserve">racial </w:t>
      </w:r>
      <w:r w:rsidR="00710A30" w:rsidRPr="69418C14">
        <w:rPr>
          <w:color w:val="auto"/>
          <w:sz w:val="24"/>
          <w:szCs w:val="24"/>
        </w:rPr>
        <w:t>disparities</w:t>
      </w:r>
      <w:r w:rsidR="009D29EF" w:rsidRPr="69418C14">
        <w:rPr>
          <w:color w:val="auto"/>
          <w:sz w:val="24"/>
          <w:szCs w:val="24"/>
        </w:rPr>
        <w:t xml:space="preserve"> that impact Black girls</w:t>
      </w:r>
      <w:r w:rsidR="00710A30" w:rsidRPr="69418C14">
        <w:rPr>
          <w:color w:val="auto"/>
          <w:sz w:val="24"/>
          <w:szCs w:val="24"/>
        </w:rPr>
        <w:t>?</w:t>
      </w:r>
    </w:p>
    <w:p w14:paraId="01618EED" w14:textId="72F7239A" w:rsidR="00974E48" w:rsidRDefault="0022520F" w:rsidP="002E3BBD">
      <w:pPr>
        <w:numPr>
          <w:ilvl w:val="1"/>
          <w:numId w:val="7"/>
        </w:numPr>
        <w:spacing w:after="120"/>
        <w:jc w:val="both"/>
        <w:rPr>
          <w:color w:val="auto"/>
          <w:sz w:val="24"/>
          <w:szCs w:val="24"/>
        </w:rPr>
      </w:pPr>
      <w:r>
        <w:rPr>
          <w:color w:val="auto"/>
          <w:sz w:val="24"/>
          <w:szCs w:val="24"/>
        </w:rPr>
        <w:t>What measures are in place to</w:t>
      </w:r>
      <w:r w:rsidR="00710A30">
        <w:rPr>
          <w:color w:val="auto"/>
          <w:sz w:val="24"/>
          <w:szCs w:val="24"/>
        </w:rPr>
        <w:t xml:space="preserve"> </w:t>
      </w:r>
      <w:r>
        <w:rPr>
          <w:color w:val="auto"/>
          <w:sz w:val="24"/>
          <w:szCs w:val="24"/>
        </w:rPr>
        <w:t>address restriction of</w:t>
      </w:r>
      <w:r w:rsidR="005410E2">
        <w:rPr>
          <w:color w:val="auto"/>
          <w:sz w:val="24"/>
          <w:szCs w:val="24"/>
        </w:rPr>
        <w:t xml:space="preserve"> self-expression, specifically</w:t>
      </w:r>
      <w:r w:rsidR="000642F3">
        <w:rPr>
          <w:color w:val="auto"/>
          <w:sz w:val="24"/>
          <w:szCs w:val="24"/>
        </w:rPr>
        <w:t xml:space="preserve"> </w:t>
      </w:r>
      <w:r w:rsidR="00FD305C">
        <w:rPr>
          <w:color w:val="auto"/>
          <w:sz w:val="24"/>
          <w:szCs w:val="24"/>
        </w:rPr>
        <w:t xml:space="preserve">the policing of </w:t>
      </w:r>
      <w:r>
        <w:rPr>
          <w:color w:val="auto"/>
          <w:sz w:val="24"/>
          <w:szCs w:val="24"/>
        </w:rPr>
        <w:t xml:space="preserve">racially and </w:t>
      </w:r>
      <w:r w:rsidR="000642F3">
        <w:rPr>
          <w:color w:val="auto"/>
          <w:sz w:val="24"/>
          <w:szCs w:val="24"/>
        </w:rPr>
        <w:t>culturally diverse hai</w:t>
      </w:r>
      <w:r w:rsidR="00FD305C">
        <w:rPr>
          <w:color w:val="auto"/>
          <w:sz w:val="24"/>
          <w:szCs w:val="24"/>
        </w:rPr>
        <w:t>r</w:t>
      </w:r>
      <w:r w:rsidR="000642F3">
        <w:rPr>
          <w:color w:val="auto"/>
          <w:sz w:val="24"/>
          <w:szCs w:val="24"/>
        </w:rPr>
        <w:t>?</w:t>
      </w:r>
    </w:p>
    <w:p w14:paraId="212C37B6" w14:textId="756FEF5A" w:rsidR="00EC4744" w:rsidRDefault="008900DD" w:rsidP="002E3BBD">
      <w:pPr>
        <w:numPr>
          <w:ilvl w:val="1"/>
          <w:numId w:val="7"/>
        </w:numPr>
        <w:spacing w:after="120"/>
        <w:jc w:val="both"/>
        <w:rPr>
          <w:color w:val="auto"/>
          <w:sz w:val="24"/>
          <w:szCs w:val="24"/>
        </w:rPr>
      </w:pPr>
      <w:r w:rsidRPr="69418C14">
        <w:rPr>
          <w:color w:val="auto"/>
          <w:sz w:val="24"/>
          <w:szCs w:val="24"/>
        </w:rPr>
        <w:t xml:space="preserve">What types of </w:t>
      </w:r>
      <w:r w:rsidR="00D526FA" w:rsidRPr="69418C14">
        <w:rPr>
          <w:color w:val="auto"/>
          <w:sz w:val="24"/>
          <w:szCs w:val="24"/>
        </w:rPr>
        <w:t xml:space="preserve">culturally specific </w:t>
      </w:r>
      <w:r w:rsidRPr="69418C14">
        <w:rPr>
          <w:color w:val="auto"/>
          <w:sz w:val="24"/>
          <w:szCs w:val="24"/>
        </w:rPr>
        <w:t xml:space="preserve">trainings does the State </w:t>
      </w:r>
      <w:r w:rsidR="0022520F">
        <w:rPr>
          <w:color w:val="auto"/>
          <w:sz w:val="24"/>
          <w:szCs w:val="24"/>
        </w:rPr>
        <w:t>P</w:t>
      </w:r>
      <w:r w:rsidRPr="69418C14">
        <w:rPr>
          <w:color w:val="auto"/>
          <w:sz w:val="24"/>
          <w:szCs w:val="24"/>
        </w:rPr>
        <w:t xml:space="preserve">arty provide </w:t>
      </w:r>
      <w:r w:rsidR="00D526FA" w:rsidRPr="69418C14">
        <w:rPr>
          <w:color w:val="auto"/>
          <w:sz w:val="24"/>
          <w:szCs w:val="24"/>
        </w:rPr>
        <w:t>to educators</w:t>
      </w:r>
      <w:r w:rsidR="000F657F" w:rsidRPr="69418C14">
        <w:rPr>
          <w:color w:val="auto"/>
          <w:sz w:val="24"/>
          <w:szCs w:val="24"/>
        </w:rPr>
        <w:t xml:space="preserve">, and if so, do they engage with members of the Black community in developing or leading such trainings? </w:t>
      </w:r>
    </w:p>
    <w:p w14:paraId="5E53ED1C" w14:textId="75728242" w:rsidR="006A5B8B" w:rsidRPr="004B1E4E" w:rsidRDefault="006A5B8B" w:rsidP="00A63887">
      <w:pPr>
        <w:keepNext/>
        <w:numPr>
          <w:ilvl w:val="0"/>
          <w:numId w:val="8"/>
        </w:numPr>
        <w:spacing w:before="240" w:after="240"/>
        <w:ind w:left="720" w:hanging="360"/>
        <w:rPr>
          <w:b/>
          <w:color w:val="auto"/>
          <w:sz w:val="24"/>
          <w:szCs w:val="24"/>
        </w:rPr>
      </w:pPr>
      <w:r>
        <w:rPr>
          <w:b/>
          <w:color w:val="auto"/>
          <w:sz w:val="24"/>
          <w:szCs w:val="24"/>
        </w:rPr>
        <w:t>Right to health and access to health care</w:t>
      </w:r>
      <w:r w:rsidR="00050904">
        <w:rPr>
          <w:b/>
          <w:color w:val="auto"/>
          <w:sz w:val="24"/>
          <w:szCs w:val="24"/>
        </w:rPr>
        <w:t xml:space="preserve"> (</w:t>
      </w:r>
      <w:r w:rsidR="002925B2">
        <w:rPr>
          <w:b/>
          <w:color w:val="auto"/>
          <w:sz w:val="24"/>
          <w:szCs w:val="24"/>
        </w:rPr>
        <w:t>Concluding Observations paragraph 1</w:t>
      </w:r>
      <w:r w:rsidR="00983B5C">
        <w:rPr>
          <w:b/>
          <w:color w:val="auto"/>
          <w:sz w:val="24"/>
          <w:szCs w:val="24"/>
        </w:rPr>
        <w:t>5</w:t>
      </w:r>
      <w:r w:rsidR="002925B2">
        <w:rPr>
          <w:b/>
          <w:color w:val="auto"/>
          <w:sz w:val="24"/>
          <w:szCs w:val="24"/>
        </w:rPr>
        <w:t>)</w:t>
      </w:r>
    </w:p>
    <w:p w14:paraId="54BC435B" w14:textId="063DF266" w:rsidR="006A5B8B" w:rsidRDefault="00186CC0" w:rsidP="006A5B8B">
      <w:pPr>
        <w:numPr>
          <w:ilvl w:val="0"/>
          <w:numId w:val="7"/>
        </w:numPr>
        <w:spacing w:after="120"/>
        <w:ind w:left="360"/>
        <w:jc w:val="both"/>
        <w:rPr>
          <w:color w:val="auto"/>
          <w:sz w:val="24"/>
          <w:szCs w:val="24"/>
        </w:rPr>
      </w:pPr>
      <w:r>
        <w:rPr>
          <w:color w:val="auto"/>
          <w:sz w:val="24"/>
          <w:szCs w:val="24"/>
        </w:rPr>
        <w:t xml:space="preserve">In the </w:t>
      </w:r>
      <w:r w:rsidR="00B350D0">
        <w:rPr>
          <w:color w:val="auto"/>
          <w:sz w:val="24"/>
          <w:szCs w:val="24"/>
        </w:rPr>
        <w:t xml:space="preserve">2014 </w:t>
      </w:r>
      <w:r>
        <w:rPr>
          <w:color w:val="auto"/>
          <w:sz w:val="24"/>
          <w:szCs w:val="24"/>
        </w:rPr>
        <w:t xml:space="preserve">Concluding Observations, the Committee commended the adoption of the Patient Protection and Affordable Care Act </w:t>
      </w:r>
      <w:r w:rsidR="006C2428">
        <w:rPr>
          <w:color w:val="auto"/>
          <w:sz w:val="24"/>
          <w:szCs w:val="24"/>
        </w:rPr>
        <w:t>in March 2020.</w:t>
      </w:r>
      <w:r w:rsidR="005E1A8F">
        <w:rPr>
          <w:rStyle w:val="FootnoteReference"/>
          <w:color w:val="auto"/>
          <w:sz w:val="24"/>
          <w:szCs w:val="24"/>
        </w:rPr>
        <w:footnoteReference w:id="16"/>
      </w:r>
      <w:r w:rsidR="006C2428">
        <w:rPr>
          <w:color w:val="auto"/>
          <w:sz w:val="24"/>
          <w:szCs w:val="24"/>
        </w:rPr>
        <w:t xml:space="preserve"> </w:t>
      </w:r>
      <w:r w:rsidR="00694C0C">
        <w:rPr>
          <w:color w:val="auto"/>
          <w:sz w:val="24"/>
          <w:szCs w:val="24"/>
        </w:rPr>
        <w:t xml:space="preserve">The Committee remained concerned </w:t>
      </w:r>
      <w:r w:rsidR="00927C41">
        <w:rPr>
          <w:color w:val="auto"/>
          <w:sz w:val="24"/>
          <w:szCs w:val="24"/>
        </w:rPr>
        <w:t>about</w:t>
      </w:r>
      <w:r w:rsidR="00593EB6">
        <w:rPr>
          <w:color w:val="auto"/>
          <w:sz w:val="24"/>
          <w:szCs w:val="24"/>
        </w:rPr>
        <w:t xml:space="preserve"> continued racial disparities</w:t>
      </w:r>
      <w:r w:rsidR="001B3579">
        <w:rPr>
          <w:color w:val="auto"/>
          <w:sz w:val="24"/>
          <w:szCs w:val="24"/>
        </w:rPr>
        <w:t>, particularly with regard to the high mater</w:t>
      </w:r>
      <w:r w:rsidR="0026389C">
        <w:rPr>
          <w:color w:val="auto"/>
          <w:sz w:val="24"/>
          <w:szCs w:val="24"/>
        </w:rPr>
        <w:t>nal and infant mortality rates among African American communiti</w:t>
      </w:r>
      <w:r w:rsidR="002002CF">
        <w:rPr>
          <w:color w:val="auto"/>
          <w:sz w:val="24"/>
          <w:szCs w:val="24"/>
        </w:rPr>
        <w:t>e</w:t>
      </w:r>
      <w:r w:rsidR="0026389C">
        <w:rPr>
          <w:color w:val="auto"/>
          <w:sz w:val="24"/>
          <w:szCs w:val="24"/>
        </w:rPr>
        <w:t>s.</w:t>
      </w:r>
      <w:r w:rsidR="005E1A8F">
        <w:rPr>
          <w:rStyle w:val="FootnoteReference"/>
          <w:color w:val="auto"/>
          <w:sz w:val="24"/>
          <w:szCs w:val="24"/>
        </w:rPr>
        <w:footnoteReference w:id="17"/>
      </w:r>
      <w:r w:rsidR="0026389C">
        <w:rPr>
          <w:color w:val="auto"/>
          <w:sz w:val="24"/>
          <w:szCs w:val="24"/>
        </w:rPr>
        <w:t xml:space="preserve"> </w:t>
      </w:r>
      <w:r w:rsidR="00A25B33">
        <w:rPr>
          <w:color w:val="auto"/>
          <w:sz w:val="24"/>
          <w:szCs w:val="24"/>
        </w:rPr>
        <w:t xml:space="preserve">The Committee recommended the State Party </w:t>
      </w:r>
      <w:r w:rsidR="00CC5128">
        <w:rPr>
          <w:color w:val="auto"/>
          <w:sz w:val="24"/>
          <w:szCs w:val="24"/>
        </w:rPr>
        <w:t xml:space="preserve">“improve </w:t>
      </w:r>
      <w:r w:rsidR="007973C5">
        <w:rPr>
          <w:color w:val="auto"/>
          <w:sz w:val="24"/>
          <w:szCs w:val="24"/>
        </w:rPr>
        <w:t>monitoring and accountability mechanisms for preventable maternal mortality</w:t>
      </w:r>
      <w:r w:rsidR="00270481">
        <w:rPr>
          <w:color w:val="auto"/>
          <w:sz w:val="24"/>
          <w:szCs w:val="24"/>
        </w:rPr>
        <w:t>,</w:t>
      </w:r>
      <w:r w:rsidR="007973C5">
        <w:rPr>
          <w:color w:val="auto"/>
          <w:sz w:val="24"/>
          <w:szCs w:val="24"/>
        </w:rPr>
        <w:t xml:space="preserve">” along with </w:t>
      </w:r>
      <w:r w:rsidR="00040E72">
        <w:rPr>
          <w:color w:val="auto"/>
          <w:sz w:val="24"/>
          <w:szCs w:val="24"/>
        </w:rPr>
        <w:t xml:space="preserve">eliminating other health disparities and standardizing data collection </w:t>
      </w:r>
      <w:r w:rsidR="00FF6719">
        <w:rPr>
          <w:color w:val="auto"/>
          <w:sz w:val="24"/>
          <w:szCs w:val="24"/>
        </w:rPr>
        <w:t>on maternal and infant deaths.</w:t>
      </w:r>
      <w:r w:rsidR="005E1A8F">
        <w:rPr>
          <w:rStyle w:val="FootnoteReference"/>
          <w:color w:val="auto"/>
          <w:sz w:val="24"/>
          <w:szCs w:val="24"/>
        </w:rPr>
        <w:footnoteReference w:id="18"/>
      </w:r>
    </w:p>
    <w:p w14:paraId="5570E162" w14:textId="6A904E9A" w:rsidR="006A5B8B" w:rsidRPr="00732D80" w:rsidRDefault="00356C32" w:rsidP="006A5B8B">
      <w:pPr>
        <w:numPr>
          <w:ilvl w:val="0"/>
          <w:numId w:val="7"/>
        </w:numPr>
        <w:spacing w:after="120"/>
        <w:ind w:left="360"/>
        <w:jc w:val="both"/>
        <w:rPr>
          <w:color w:val="auto"/>
          <w:sz w:val="24"/>
          <w:szCs w:val="24"/>
        </w:rPr>
      </w:pPr>
      <w:r>
        <w:rPr>
          <w:color w:val="auto"/>
          <w:sz w:val="24"/>
          <w:szCs w:val="24"/>
        </w:rPr>
        <w:t xml:space="preserve">While the overall decrease in infant mortality is </w:t>
      </w:r>
      <w:r w:rsidR="0055694C">
        <w:rPr>
          <w:color w:val="auto"/>
          <w:sz w:val="24"/>
          <w:szCs w:val="24"/>
        </w:rPr>
        <w:t xml:space="preserve">significant, a stark </w:t>
      </w:r>
      <w:r w:rsidR="00507012">
        <w:rPr>
          <w:color w:val="auto"/>
          <w:sz w:val="24"/>
          <w:szCs w:val="24"/>
        </w:rPr>
        <w:t xml:space="preserve">ethnic and racial </w:t>
      </w:r>
      <w:r w:rsidR="00725E30">
        <w:rPr>
          <w:color w:val="auto"/>
          <w:sz w:val="24"/>
          <w:szCs w:val="24"/>
        </w:rPr>
        <w:t>disparity</w:t>
      </w:r>
      <w:r w:rsidR="00C45A69">
        <w:rPr>
          <w:color w:val="auto"/>
          <w:sz w:val="24"/>
          <w:szCs w:val="24"/>
        </w:rPr>
        <w:t xml:space="preserve"> remains</w:t>
      </w:r>
      <w:r w:rsidR="00DA046F">
        <w:rPr>
          <w:color w:val="auto"/>
          <w:sz w:val="24"/>
          <w:szCs w:val="24"/>
        </w:rPr>
        <w:t xml:space="preserve">. According to the State </w:t>
      </w:r>
      <w:r w:rsidR="003A0E37">
        <w:rPr>
          <w:color w:val="auto"/>
          <w:sz w:val="24"/>
          <w:szCs w:val="24"/>
        </w:rPr>
        <w:t>P</w:t>
      </w:r>
      <w:r w:rsidR="00DA046F">
        <w:rPr>
          <w:color w:val="auto"/>
          <w:sz w:val="24"/>
          <w:szCs w:val="24"/>
        </w:rPr>
        <w:t xml:space="preserve">arty report, </w:t>
      </w:r>
      <w:r w:rsidR="0012039E">
        <w:rPr>
          <w:color w:val="auto"/>
          <w:sz w:val="24"/>
          <w:szCs w:val="24"/>
        </w:rPr>
        <w:t>“infants of non-Hispanic Black and non-Hispanic American India</w:t>
      </w:r>
      <w:r w:rsidR="00DA57D5">
        <w:rPr>
          <w:color w:val="auto"/>
          <w:sz w:val="24"/>
          <w:szCs w:val="24"/>
        </w:rPr>
        <w:t>n</w:t>
      </w:r>
      <w:r w:rsidR="0012039E">
        <w:rPr>
          <w:color w:val="auto"/>
          <w:sz w:val="24"/>
          <w:szCs w:val="24"/>
        </w:rPr>
        <w:t xml:space="preserve"> or Alaska Native women consistently had the highest mortality rates.”</w:t>
      </w:r>
      <w:r w:rsidR="008602F5">
        <w:rPr>
          <w:rStyle w:val="FootnoteReference"/>
          <w:color w:val="auto"/>
          <w:sz w:val="24"/>
          <w:szCs w:val="24"/>
        </w:rPr>
        <w:footnoteReference w:id="19"/>
      </w:r>
      <w:r w:rsidR="006A27D2">
        <w:rPr>
          <w:color w:val="auto"/>
          <w:sz w:val="24"/>
          <w:szCs w:val="24"/>
        </w:rPr>
        <w:t xml:space="preserve"> </w:t>
      </w:r>
      <w:r w:rsidR="008602F5">
        <w:rPr>
          <w:color w:val="auto"/>
          <w:sz w:val="24"/>
          <w:szCs w:val="24"/>
        </w:rPr>
        <w:t>“</w:t>
      </w:r>
      <w:r w:rsidR="006A27D2">
        <w:rPr>
          <w:color w:val="auto"/>
          <w:sz w:val="24"/>
          <w:szCs w:val="24"/>
        </w:rPr>
        <w:t>In 2017, the infant mor</w:t>
      </w:r>
      <w:r w:rsidR="006F388B">
        <w:rPr>
          <w:color w:val="auto"/>
          <w:sz w:val="24"/>
          <w:szCs w:val="24"/>
        </w:rPr>
        <w:t>tality rate for non-Hispanic Black women w</w:t>
      </w:r>
      <w:r w:rsidR="00156E07">
        <w:rPr>
          <w:color w:val="auto"/>
          <w:sz w:val="24"/>
          <w:szCs w:val="24"/>
        </w:rPr>
        <w:t>as</w:t>
      </w:r>
      <w:r w:rsidR="006F388B">
        <w:rPr>
          <w:color w:val="auto"/>
          <w:sz w:val="24"/>
          <w:szCs w:val="24"/>
        </w:rPr>
        <w:t xml:space="preserve"> 10.88 per 1,000 live births, while the rate for non-Hispanic American Indian or Alaska Native women </w:t>
      </w:r>
      <w:r w:rsidR="00156E07">
        <w:rPr>
          <w:color w:val="auto"/>
          <w:sz w:val="24"/>
          <w:szCs w:val="24"/>
        </w:rPr>
        <w:t>was</w:t>
      </w:r>
      <w:r w:rsidR="008602F5">
        <w:rPr>
          <w:color w:val="auto"/>
          <w:sz w:val="24"/>
          <w:szCs w:val="24"/>
        </w:rPr>
        <w:t xml:space="preserve"> 8.9 per 1,000 live births.”</w:t>
      </w:r>
      <w:r w:rsidR="00843181">
        <w:rPr>
          <w:rStyle w:val="FootnoteReference"/>
          <w:color w:val="auto"/>
          <w:sz w:val="24"/>
          <w:szCs w:val="24"/>
        </w:rPr>
        <w:footnoteReference w:id="20"/>
      </w:r>
      <w:r w:rsidR="008602F5">
        <w:rPr>
          <w:color w:val="auto"/>
          <w:sz w:val="24"/>
          <w:szCs w:val="24"/>
        </w:rPr>
        <w:t xml:space="preserve"> Th</w:t>
      </w:r>
      <w:r w:rsidR="00156E07">
        <w:rPr>
          <w:color w:val="auto"/>
          <w:sz w:val="24"/>
          <w:szCs w:val="24"/>
        </w:rPr>
        <w:t>ese figures</w:t>
      </w:r>
      <w:r w:rsidR="008602F5">
        <w:rPr>
          <w:color w:val="auto"/>
          <w:sz w:val="24"/>
          <w:szCs w:val="24"/>
        </w:rPr>
        <w:t xml:space="preserve"> </w:t>
      </w:r>
      <w:r w:rsidR="00156E07">
        <w:rPr>
          <w:color w:val="auto"/>
          <w:sz w:val="24"/>
          <w:szCs w:val="24"/>
        </w:rPr>
        <w:t>are</w:t>
      </w:r>
      <w:r w:rsidR="008602F5">
        <w:rPr>
          <w:color w:val="auto"/>
          <w:sz w:val="24"/>
          <w:szCs w:val="24"/>
        </w:rPr>
        <w:t xml:space="preserve"> compared to the 4.03 per 1,000 live births for non-Hispanic Asian or Pacific Islander</w:t>
      </w:r>
      <w:r w:rsidR="00156E07">
        <w:rPr>
          <w:color w:val="auto"/>
          <w:sz w:val="24"/>
          <w:szCs w:val="24"/>
        </w:rPr>
        <w:t xml:space="preserve"> mothers</w:t>
      </w:r>
      <w:r w:rsidR="008602F5">
        <w:rPr>
          <w:color w:val="auto"/>
          <w:sz w:val="24"/>
          <w:szCs w:val="24"/>
        </w:rPr>
        <w:t>.</w:t>
      </w:r>
      <w:r w:rsidR="00843181">
        <w:rPr>
          <w:rStyle w:val="FootnoteReference"/>
          <w:color w:val="auto"/>
          <w:sz w:val="24"/>
          <w:szCs w:val="24"/>
        </w:rPr>
        <w:footnoteReference w:id="21"/>
      </w:r>
    </w:p>
    <w:p w14:paraId="668358F2" w14:textId="337924F6" w:rsidR="006A5B8B" w:rsidRDefault="00801D3F" w:rsidP="006A5B8B">
      <w:pPr>
        <w:numPr>
          <w:ilvl w:val="0"/>
          <w:numId w:val="7"/>
        </w:numPr>
        <w:spacing w:after="120"/>
        <w:ind w:left="360"/>
        <w:jc w:val="both"/>
        <w:rPr>
          <w:color w:val="auto"/>
          <w:sz w:val="24"/>
          <w:szCs w:val="24"/>
        </w:rPr>
      </w:pPr>
      <w:r>
        <w:rPr>
          <w:color w:val="auto"/>
          <w:sz w:val="24"/>
          <w:szCs w:val="24"/>
        </w:rPr>
        <w:t>Mat</w:t>
      </w:r>
      <w:r w:rsidR="001523B5">
        <w:rPr>
          <w:color w:val="auto"/>
          <w:sz w:val="24"/>
          <w:szCs w:val="24"/>
        </w:rPr>
        <w:t xml:space="preserve">ernal and infant mortality </w:t>
      </w:r>
      <w:r w:rsidR="00156E07">
        <w:rPr>
          <w:color w:val="auto"/>
          <w:sz w:val="24"/>
          <w:szCs w:val="24"/>
        </w:rPr>
        <w:t>remains</w:t>
      </w:r>
      <w:r w:rsidR="001523B5">
        <w:rPr>
          <w:color w:val="auto"/>
          <w:sz w:val="24"/>
          <w:szCs w:val="24"/>
        </w:rPr>
        <w:t xml:space="preserve"> higher </w:t>
      </w:r>
      <w:r w:rsidR="00037477">
        <w:rPr>
          <w:color w:val="auto"/>
          <w:sz w:val="24"/>
          <w:szCs w:val="24"/>
        </w:rPr>
        <w:t xml:space="preserve">for Black </w:t>
      </w:r>
      <w:r w:rsidR="00E473DD">
        <w:rPr>
          <w:color w:val="auto"/>
          <w:sz w:val="24"/>
          <w:szCs w:val="24"/>
        </w:rPr>
        <w:t>and Native American women</w:t>
      </w:r>
      <w:r w:rsidR="00156E07">
        <w:rPr>
          <w:color w:val="auto"/>
          <w:sz w:val="24"/>
          <w:szCs w:val="24"/>
        </w:rPr>
        <w:t xml:space="preserve"> compared to</w:t>
      </w:r>
      <w:r w:rsidR="00DD7AD8">
        <w:rPr>
          <w:color w:val="auto"/>
          <w:sz w:val="24"/>
          <w:szCs w:val="24"/>
        </w:rPr>
        <w:t xml:space="preserve"> white women</w:t>
      </w:r>
      <w:r w:rsidR="00E90410">
        <w:rPr>
          <w:color w:val="auto"/>
          <w:sz w:val="24"/>
          <w:szCs w:val="24"/>
        </w:rPr>
        <w:t>.</w:t>
      </w:r>
      <w:r w:rsidR="00E473DD">
        <w:rPr>
          <w:color w:val="auto"/>
          <w:sz w:val="24"/>
          <w:szCs w:val="24"/>
        </w:rPr>
        <w:t xml:space="preserve"> </w:t>
      </w:r>
      <w:r w:rsidR="00151F3E">
        <w:rPr>
          <w:color w:val="auto"/>
          <w:sz w:val="24"/>
          <w:szCs w:val="24"/>
        </w:rPr>
        <w:t>The</w:t>
      </w:r>
      <w:r w:rsidR="00E473DD">
        <w:rPr>
          <w:color w:val="auto"/>
          <w:sz w:val="24"/>
          <w:szCs w:val="24"/>
        </w:rPr>
        <w:t xml:space="preserve"> </w:t>
      </w:r>
      <w:r w:rsidR="00151F3E">
        <w:rPr>
          <w:color w:val="auto"/>
          <w:sz w:val="24"/>
          <w:szCs w:val="24"/>
        </w:rPr>
        <w:t>Advisory Council members discussed the trauma</w:t>
      </w:r>
      <w:r w:rsidR="00151BEA">
        <w:rPr>
          <w:color w:val="auto"/>
          <w:sz w:val="24"/>
          <w:szCs w:val="24"/>
        </w:rPr>
        <w:t xml:space="preserve"> Black and Native American women experience in</w:t>
      </w:r>
      <w:r w:rsidR="00151F3E" w:rsidDel="00151BEA">
        <w:rPr>
          <w:color w:val="auto"/>
          <w:sz w:val="24"/>
          <w:szCs w:val="24"/>
        </w:rPr>
        <w:t xml:space="preserve"> </w:t>
      </w:r>
      <w:r w:rsidR="00151F3E">
        <w:rPr>
          <w:color w:val="auto"/>
          <w:sz w:val="24"/>
          <w:szCs w:val="24"/>
        </w:rPr>
        <w:t>health institutions, particularly for maternal health</w:t>
      </w:r>
      <w:r w:rsidR="00B514A3">
        <w:rPr>
          <w:color w:val="auto"/>
          <w:sz w:val="24"/>
          <w:szCs w:val="24"/>
        </w:rPr>
        <w:t xml:space="preserve">. The </w:t>
      </w:r>
      <w:r w:rsidR="00B514A3">
        <w:rPr>
          <w:color w:val="auto"/>
          <w:sz w:val="24"/>
          <w:szCs w:val="24"/>
        </w:rPr>
        <w:lastRenderedPageBreak/>
        <w:t>Council also</w:t>
      </w:r>
      <w:r w:rsidR="000C2B2A">
        <w:rPr>
          <w:color w:val="auto"/>
          <w:sz w:val="24"/>
          <w:szCs w:val="24"/>
        </w:rPr>
        <w:t xml:space="preserve"> highlighted the insufficient </w:t>
      </w:r>
      <w:r w:rsidR="00151F3E">
        <w:rPr>
          <w:color w:val="auto"/>
          <w:sz w:val="24"/>
          <w:szCs w:val="24"/>
        </w:rPr>
        <w:t>attention paid to the wellness of Black women and mothers in health institutions.</w:t>
      </w:r>
      <w:r w:rsidR="00364C51">
        <w:rPr>
          <w:rStyle w:val="FootnoteReference"/>
          <w:color w:val="auto"/>
          <w:sz w:val="24"/>
          <w:szCs w:val="24"/>
        </w:rPr>
        <w:footnoteReference w:id="22"/>
      </w:r>
      <w:r w:rsidR="00151F3E">
        <w:rPr>
          <w:color w:val="auto"/>
          <w:sz w:val="24"/>
          <w:szCs w:val="24"/>
        </w:rPr>
        <w:t xml:space="preserve"> Task Force and Advisory Council members raised the importance of culturally relevant services, especially as it relates to individual, family, and community wellness and healing.</w:t>
      </w:r>
      <w:r w:rsidR="00364C51">
        <w:rPr>
          <w:rStyle w:val="FootnoteReference"/>
          <w:color w:val="auto"/>
          <w:sz w:val="24"/>
          <w:szCs w:val="24"/>
        </w:rPr>
        <w:footnoteReference w:id="23"/>
      </w:r>
    </w:p>
    <w:p w14:paraId="67277397" w14:textId="43465928" w:rsidR="006A5B8B" w:rsidRDefault="006A5B8B" w:rsidP="006A5B8B">
      <w:pPr>
        <w:numPr>
          <w:ilvl w:val="0"/>
          <w:numId w:val="7"/>
        </w:numPr>
        <w:spacing w:after="120"/>
        <w:ind w:left="360"/>
        <w:jc w:val="both"/>
        <w:rPr>
          <w:color w:val="auto"/>
          <w:sz w:val="24"/>
          <w:szCs w:val="24"/>
        </w:rPr>
      </w:pPr>
      <w:r w:rsidRPr="00F811E7">
        <w:rPr>
          <w:b/>
          <w:color w:val="auto"/>
          <w:sz w:val="24"/>
          <w:szCs w:val="24"/>
        </w:rPr>
        <w:t>Suggested questions</w:t>
      </w:r>
      <w:r>
        <w:rPr>
          <w:color w:val="auto"/>
          <w:sz w:val="24"/>
          <w:szCs w:val="24"/>
        </w:rPr>
        <w:t xml:space="preserve"> relating to </w:t>
      </w:r>
      <w:r w:rsidR="00906D14">
        <w:rPr>
          <w:color w:val="auto"/>
          <w:sz w:val="24"/>
          <w:szCs w:val="24"/>
        </w:rPr>
        <w:t>health and access to health care:</w:t>
      </w:r>
      <w:r>
        <w:rPr>
          <w:color w:val="auto"/>
          <w:sz w:val="24"/>
          <w:szCs w:val="24"/>
        </w:rPr>
        <w:t xml:space="preserve"> </w:t>
      </w:r>
    </w:p>
    <w:p w14:paraId="6F8A45E3" w14:textId="406A0488" w:rsidR="006A5B8B" w:rsidRDefault="004A21BB" w:rsidP="00A63887">
      <w:pPr>
        <w:numPr>
          <w:ilvl w:val="1"/>
          <w:numId w:val="7"/>
        </w:numPr>
        <w:spacing w:after="120"/>
        <w:jc w:val="both"/>
        <w:rPr>
          <w:color w:val="auto"/>
          <w:sz w:val="24"/>
          <w:szCs w:val="24"/>
        </w:rPr>
      </w:pPr>
      <w:r w:rsidRPr="69418C14">
        <w:rPr>
          <w:color w:val="auto"/>
          <w:sz w:val="24"/>
          <w:szCs w:val="24"/>
        </w:rPr>
        <w:t xml:space="preserve">What steps has the State </w:t>
      </w:r>
      <w:r w:rsidR="009453AA">
        <w:rPr>
          <w:color w:val="auto"/>
          <w:sz w:val="24"/>
          <w:szCs w:val="24"/>
        </w:rPr>
        <w:t>P</w:t>
      </w:r>
      <w:r w:rsidRPr="69418C14">
        <w:rPr>
          <w:color w:val="auto"/>
          <w:sz w:val="24"/>
          <w:szCs w:val="24"/>
        </w:rPr>
        <w:t xml:space="preserve">arty taken to address the </w:t>
      </w:r>
      <w:r w:rsidR="00035D54" w:rsidRPr="69418C14">
        <w:rPr>
          <w:color w:val="auto"/>
          <w:sz w:val="24"/>
          <w:szCs w:val="24"/>
        </w:rPr>
        <w:t xml:space="preserve">racial </w:t>
      </w:r>
      <w:r w:rsidRPr="69418C14">
        <w:rPr>
          <w:color w:val="auto"/>
          <w:sz w:val="24"/>
          <w:szCs w:val="24"/>
        </w:rPr>
        <w:t>disparity in maternal health care</w:t>
      </w:r>
      <w:r w:rsidR="001056A0" w:rsidRPr="69418C14">
        <w:rPr>
          <w:color w:val="auto"/>
          <w:sz w:val="24"/>
          <w:szCs w:val="24"/>
        </w:rPr>
        <w:t>?</w:t>
      </w:r>
    </w:p>
    <w:p w14:paraId="1484EEED" w14:textId="7160C5F1" w:rsidR="001056A0" w:rsidRPr="000C380B" w:rsidRDefault="001056A0" w:rsidP="00A63887">
      <w:pPr>
        <w:numPr>
          <w:ilvl w:val="1"/>
          <w:numId w:val="7"/>
        </w:numPr>
        <w:spacing w:after="120"/>
        <w:jc w:val="both"/>
        <w:rPr>
          <w:color w:val="auto"/>
          <w:sz w:val="24"/>
          <w:szCs w:val="24"/>
        </w:rPr>
      </w:pPr>
      <w:r w:rsidRPr="69418C14">
        <w:rPr>
          <w:color w:val="auto"/>
          <w:sz w:val="24"/>
          <w:szCs w:val="24"/>
        </w:rPr>
        <w:t xml:space="preserve">What culturally specific trainings has the State </w:t>
      </w:r>
      <w:r w:rsidR="009453AA">
        <w:rPr>
          <w:color w:val="auto"/>
          <w:sz w:val="24"/>
          <w:szCs w:val="24"/>
        </w:rPr>
        <w:t>P</w:t>
      </w:r>
      <w:r w:rsidRPr="69418C14">
        <w:rPr>
          <w:color w:val="auto"/>
          <w:sz w:val="24"/>
          <w:szCs w:val="24"/>
        </w:rPr>
        <w:t xml:space="preserve">arty </w:t>
      </w:r>
      <w:r w:rsidR="00B50D93" w:rsidRPr="69418C14">
        <w:rPr>
          <w:color w:val="auto"/>
          <w:sz w:val="24"/>
          <w:szCs w:val="24"/>
        </w:rPr>
        <w:t>provided to health care professionals</w:t>
      </w:r>
      <w:r w:rsidR="00FE2D7E">
        <w:rPr>
          <w:color w:val="auto"/>
          <w:sz w:val="24"/>
          <w:szCs w:val="24"/>
        </w:rPr>
        <w:t>. In</w:t>
      </w:r>
      <w:r w:rsidR="00035D54" w:rsidRPr="69418C14">
        <w:rPr>
          <w:color w:val="auto"/>
          <w:sz w:val="24"/>
          <w:szCs w:val="24"/>
        </w:rPr>
        <w:t xml:space="preserve"> these trainings, </w:t>
      </w:r>
      <w:r w:rsidR="00FE2D7E">
        <w:rPr>
          <w:color w:val="auto"/>
          <w:sz w:val="24"/>
          <w:szCs w:val="24"/>
        </w:rPr>
        <w:t xml:space="preserve">to what extent </w:t>
      </w:r>
      <w:r w:rsidR="00035D54" w:rsidRPr="69418C14">
        <w:rPr>
          <w:color w:val="auto"/>
          <w:sz w:val="24"/>
          <w:szCs w:val="24"/>
        </w:rPr>
        <w:t>does the State engage with</w:t>
      </w:r>
      <w:r w:rsidR="00B50D93" w:rsidRPr="69418C14">
        <w:rPr>
          <w:color w:val="auto"/>
          <w:sz w:val="24"/>
          <w:szCs w:val="24"/>
        </w:rPr>
        <w:t xml:space="preserve"> </w:t>
      </w:r>
      <w:r w:rsidR="00035D54" w:rsidRPr="69418C14">
        <w:rPr>
          <w:color w:val="auto"/>
          <w:sz w:val="24"/>
          <w:szCs w:val="24"/>
        </w:rPr>
        <w:t xml:space="preserve">members of the Black community in developing or leading </w:t>
      </w:r>
      <w:r w:rsidR="00FE2D7E">
        <w:rPr>
          <w:color w:val="auto"/>
          <w:sz w:val="24"/>
          <w:szCs w:val="24"/>
        </w:rPr>
        <w:t>them?</w:t>
      </w:r>
    </w:p>
    <w:p w14:paraId="26A81418" w14:textId="48125505" w:rsidR="006A5B8B" w:rsidRPr="000C380B" w:rsidRDefault="00B50D93" w:rsidP="00A63887">
      <w:pPr>
        <w:numPr>
          <w:ilvl w:val="1"/>
          <w:numId w:val="7"/>
        </w:numPr>
        <w:spacing w:after="120"/>
        <w:jc w:val="both"/>
        <w:rPr>
          <w:color w:val="auto"/>
          <w:sz w:val="24"/>
          <w:szCs w:val="24"/>
        </w:rPr>
      </w:pPr>
      <w:r>
        <w:rPr>
          <w:color w:val="auto"/>
          <w:sz w:val="24"/>
          <w:szCs w:val="24"/>
        </w:rPr>
        <w:t>What legislative measures i</w:t>
      </w:r>
      <w:r w:rsidR="00DF1AFC">
        <w:rPr>
          <w:color w:val="auto"/>
          <w:sz w:val="24"/>
          <w:szCs w:val="24"/>
        </w:rPr>
        <w:t xml:space="preserve">s the State </w:t>
      </w:r>
      <w:r w:rsidR="00FE2D7E">
        <w:rPr>
          <w:color w:val="auto"/>
          <w:sz w:val="24"/>
          <w:szCs w:val="24"/>
        </w:rPr>
        <w:t>P</w:t>
      </w:r>
      <w:r w:rsidR="00DF1AFC">
        <w:rPr>
          <w:color w:val="auto"/>
          <w:sz w:val="24"/>
          <w:szCs w:val="24"/>
        </w:rPr>
        <w:t xml:space="preserve">arty considering to ensure </w:t>
      </w:r>
      <w:r w:rsidR="00C823A5">
        <w:rPr>
          <w:color w:val="auto"/>
          <w:sz w:val="24"/>
          <w:szCs w:val="24"/>
        </w:rPr>
        <w:t>all women</w:t>
      </w:r>
      <w:r w:rsidR="009F70A2">
        <w:rPr>
          <w:color w:val="auto"/>
          <w:sz w:val="24"/>
          <w:szCs w:val="24"/>
        </w:rPr>
        <w:t xml:space="preserve"> have access to culturally </w:t>
      </w:r>
      <w:r w:rsidR="00C212D7">
        <w:rPr>
          <w:color w:val="auto"/>
          <w:sz w:val="24"/>
          <w:szCs w:val="24"/>
        </w:rPr>
        <w:t>competent</w:t>
      </w:r>
      <w:r w:rsidR="00230971">
        <w:rPr>
          <w:color w:val="auto"/>
          <w:sz w:val="24"/>
          <w:szCs w:val="24"/>
        </w:rPr>
        <w:t xml:space="preserve"> </w:t>
      </w:r>
      <w:r w:rsidR="009F70A2">
        <w:rPr>
          <w:color w:val="auto"/>
          <w:sz w:val="24"/>
          <w:szCs w:val="24"/>
        </w:rPr>
        <w:t>services</w:t>
      </w:r>
      <w:r w:rsidR="00B07562">
        <w:rPr>
          <w:color w:val="auto"/>
          <w:sz w:val="24"/>
          <w:szCs w:val="24"/>
        </w:rPr>
        <w:t xml:space="preserve">? </w:t>
      </w:r>
    </w:p>
    <w:p w14:paraId="035FC1EB" w14:textId="2C0DE989" w:rsidR="006A5B8B" w:rsidRPr="004B1E4E" w:rsidRDefault="00E01509" w:rsidP="00A63887">
      <w:pPr>
        <w:keepNext/>
        <w:numPr>
          <w:ilvl w:val="0"/>
          <w:numId w:val="8"/>
        </w:numPr>
        <w:spacing w:before="240" w:after="240"/>
        <w:ind w:left="720" w:hanging="360"/>
        <w:rPr>
          <w:b/>
          <w:color w:val="auto"/>
          <w:sz w:val="24"/>
          <w:szCs w:val="24"/>
        </w:rPr>
      </w:pPr>
      <w:r>
        <w:rPr>
          <w:b/>
          <w:color w:val="auto"/>
          <w:sz w:val="24"/>
          <w:szCs w:val="24"/>
        </w:rPr>
        <w:t>Violence against women</w:t>
      </w:r>
      <w:r w:rsidR="00677729">
        <w:rPr>
          <w:b/>
          <w:color w:val="auto"/>
          <w:sz w:val="24"/>
          <w:szCs w:val="24"/>
        </w:rPr>
        <w:t xml:space="preserve"> (</w:t>
      </w:r>
      <w:r w:rsidR="002925B2">
        <w:rPr>
          <w:b/>
          <w:color w:val="auto"/>
          <w:sz w:val="24"/>
          <w:szCs w:val="24"/>
        </w:rPr>
        <w:t xml:space="preserve">Concluding Observations paragraph </w:t>
      </w:r>
      <w:r w:rsidR="00166FF7">
        <w:rPr>
          <w:b/>
          <w:color w:val="auto"/>
          <w:sz w:val="24"/>
          <w:szCs w:val="24"/>
        </w:rPr>
        <w:t>19</w:t>
      </w:r>
      <w:r w:rsidR="002925B2">
        <w:rPr>
          <w:b/>
          <w:color w:val="auto"/>
          <w:sz w:val="24"/>
          <w:szCs w:val="24"/>
        </w:rPr>
        <w:t>)</w:t>
      </w:r>
    </w:p>
    <w:p w14:paraId="0B9F0873" w14:textId="42E62B7C" w:rsidR="006A5B8B" w:rsidRDefault="00174983" w:rsidP="006A5B8B">
      <w:pPr>
        <w:numPr>
          <w:ilvl w:val="0"/>
          <w:numId w:val="7"/>
        </w:numPr>
        <w:spacing w:after="120"/>
        <w:ind w:left="360"/>
        <w:jc w:val="both"/>
        <w:rPr>
          <w:color w:val="auto"/>
          <w:sz w:val="24"/>
          <w:szCs w:val="24"/>
        </w:rPr>
      </w:pPr>
      <w:r>
        <w:rPr>
          <w:color w:val="auto"/>
          <w:sz w:val="24"/>
          <w:szCs w:val="24"/>
        </w:rPr>
        <w:t xml:space="preserve">In </w:t>
      </w:r>
      <w:r w:rsidR="00C212D7">
        <w:rPr>
          <w:color w:val="auto"/>
          <w:sz w:val="24"/>
          <w:szCs w:val="24"/>
        </w:rPr>
        <w:t>its</w:t>
      </w:r>
      <w:r w:rsidR="00906C9E">
        <w:rPr>
          <w:color w:val="auto"/>
          <w:sz w:val="24"/>
          <w:szCs w:val="24"/>
        </w:rPr>
        <w:t xml:space="preserve"> </w:t>
      </w:r>
      <w:r w:rsidR="00B350D0">
        <w:rPr>
          <w:color w:val="auto"/>
          <w:sz w:val="24"/>
          <w:szCs w:val="24"/>
        </w:rPr>
        <w:t xml:space="preserve">2014 </w:t>
      </w:r>
      <w:r w:rsidR="00906C9E">
        <w:rPr>
          <w:color w:val="auto"/>
          <w:sz w:val="24"/>
          <w:szCs w:val="24"/>
        </w:rPr>
        <w:t>Concluding Observations</w:t>
      </w:r>
      <w:r w:rsidR="00D4149E">
        <w:rPr>
          <w:color w:val="auto"/>
          <w:sz w:val="24"/>
          <w:szCs w:val="24"/>
        </w:rPr>
        <w:t>,</w:t>
      </w:r>
      <w:r w:rsidR="00B40D80">
        <w:rPr>
          <w:color w:val="auto"/>
          <w:sz w:val="24"/>
          <w:szCs w:val="24"/>
        </w:rPr>
        <w:t xml:space="preserve"> the Committee remained concerned </w:t>
      </w:r>
      <w:r w:rsidR="00C212D7">
        <w:rPr>
          <w:color w:val="auto"/>
          <w:sz w:val="24"/>
          <w:szCs w:val="24"/>
        </w:rPr>
        <w:t>about</w:t>
      </w:r>
      <w:r w:rsidR="00B40D80">
        <w:rPr>
          <w:color w:val="auto"/>
          <w:sz w:val="24"/>
          <w:szCs w:val="24"/>
        </w:rPr>
        <w:t xml:space="preserve"> the </w:t>
      </w:r>
      <w:r w:rsidR="00FA788C">
        <w:rPr>
          <w:color w:val="auto"/>
          <w:sz w:val="24"/>
          <w:szCs w:val="24"/>
        </w:rPr>
        <w:t>“disproportionate number of women from racial and ethnic minorities</w:t>
      </w:r>
      <w:r w:rsidR="004B230D">
        <w:rPr>
          <w:color w:val="auto"/>
          <w:sz w:val="24"/>
          <w:szCs w:val="24"/>
        </w:rPr>
        <w:t>… who continue to be subjected to violence, including rape and sexual violence.”</w:t>
      </w:r>
      <w:r w:rsidR="00AF30BB">
        <w:rPr>
          <w:rStyle w:val="FootnoteReference"/>
          <w:color w:val="auto"/>
          <w:sz w:val="24"/>
          <w:szCs w:val="24"/>
        </w:rPr>
        <w:footnoteReference w:id="24"/>
      </w:r>
      <w:r w:rsidR="004B230D">
        <w:rPr>
          <w:color w:val="auto"/>
          <w:sz w:val="24"/>
          <w:szCs w:val="24"/>
        </w:rPr>
        <w:t xml:space="preserve"> The Committee recommended </w:t>
      </w:r>
      <w:r w:rsidR="00A8732A">
        <w:rPr>
          <w:color w:val="auto"/>
          <w:sz w:val="24"/>
          <w:szCs w:val="24"/>
        </w:rPr>
        <w:t xml:space="preserve">the State </w:t>
      </w:r>
      <w:r w:rsidR="00433822">
        <w:rPr>
          <w:color w:val="auto"/>
          <w:sz w:val="24"/>
          <w:szCs w:val="24"/>
        </w:rPr>
        <w:t>P</w:t>
      </w:r>
      <w:r w:rsidR="00A8732A">
        <w:rPr>
          <w:color w:val="auto"/>
          <w:sz w:val="24"/>
          <w:szCs w:val="24"/>
        </w:rPr>
        <w:t>arty intensify its efforts to c</w:t>
      </w:r>
      <w:r w:rsidR="00E50C17">
        <w:rPr>
          <w:color w:val="auto"/>
          <w:sz w:val="24"/>
          <w:szCs w:val="24"/>
        </w:rPr>
        <w:t>ombat violence against women, including ensuring effective investigations</w:t>
      </w:r>
      <w:r w:rsidR="00611CB6">
        <w:rPr>
          <w:color w:val="auto"/>
          <w:sz w:val="24"/>
          <w:szCs w:val="24"/>
        </w:rPr>
        <w:t xml:space="preserve"> and prosecutions.</w:t>
      </w:r>
      <w:r w:rsidR="00AF30BB">
        <w:rPr>
          <w:rStyle w:val="FootnoteReference"/>
          <w:color w:val="auto"/>
          <w:sz w:val="24"/>
          <w:szCs w:val="24"/>
        </w:rPr>
        <w:footnoteReference w:id="25"/>
      </w:r>
      <w:r w:rsidR="00611CB6">
        <w:rPr>
          <w:color w:val="auto"/>
          <w:sz w:val="24"/>
          <w:szCs w:val="24"/>
        </w:rPr>
        <w:t xml:space="preserve"> The Committee also recommended</w:t>
      </w:r>
      <w:r w:rsidR="00611CB6" w:rsidDel="00844F19">
        <w:rPr>
          <w:color w:val="auto"/>
          <w:sz w:val="24"/>
          <w:szCs w:val="24"/>
        </w:rPr>
        <w:t xml:space="preserve"> </w:t>
      </w:r>
      <w:r w:rsidR="00611CB6">
        <w:rPr>
          <w:color w:val="auto"/>
          <w:sz w:val="24"/>
          <w:szCs w:val="24"/>
        </w:rPr>
        <w:t xml:space="preserve">ensuring </w:t>
      </w:r>
      <w:r w:rsidR="00D83FAC">
        <w:rPr>
          <w:color w:val="auto"/>
          <w:sz w:val="24"/>
          <w:szCs w:val="24"/>
        </w:rPr>
        <w:t>appropriate remedies for victims, sufficient resources for violence prevention and programmes</w:t>
      </w:r>
      <w:r w:rsidR="005B70D7">
        <w:rPr>
          <w:color w:val="auto"/>
          <w:sz w:val="24"/>
          <w:szCs w:val="24"/>
        </w:rPr>
        <w:t>, along with specific trainings for professionals working with</w:t>
      </w:r>
      <w:r w:rsidR="009B4178">
        <w:rPr>
          <w:color w:val="auto"/>
          <w:sz w:val="24"/>
          <w:szCs w:val="24"/>
        </w:rPr>
        <w:t>in the justice system.</w:t>
      </w:r>
      <w:r w:rsidR="00AF30BB">
        <w:rPr>
          <w:rStyle w:val="FootnoteReference"/>
          <w:color w:val="auto"/>
          <w:sz w:val="24"/>
          <w:szCs w:val="24"/>
        </w:rPr>
        <w:footnoteReference w:id="26"/>
      </w:r>
    </w:p>
    <w:p w14:paraId="6F13E077" w14:textId="59A0C931" w:rsidR="006A5B8B" w:rsidRPr="00CA1424" w:rsidRDefault="00E05832" w:rsidP="006A5B8B">
      <w:pPr>
        <w:numPr>
          <w:ilvl w:val="0"/>
          <w:numId w:val="7"/>
        </w:numPr>
        <w:spacing w:after="120"/>
        <w:ind w:left="360"/>
        <w:jc w:val="both"/>
        <w:rPr>
          <w:color w:val="auto"/>
          <w:sz w:val="24"/>
          <w:szCs w:val="24"/>
        </w:rPr>
      </w:pPr>
      <w:r>
        <w:rPr>
          <w:color w:val="auto"/>
          <w:sz w:val="24"/>
          <w:szCs w:val="24"/>
        </w:rPr>
        <w:t>Despite</w:t>
      </w:r>
      <w:r w:rsidR="005322F3">
        <w:rPr>
          <w:color w:val="auto"/>
          <w:sz w:val="24"/>
          <w:szCs w:val="24"/>
        </w:rPr>
        <w:t xml:space="preserve"> efforts</w:t>
      </w:r>
      <w:r w:rsidR="00681258">
        <w:rPr>
          <w:color w:val="auto"/>
          <w:sz w:val="24"/>
          <w:szCs w:val="24"/>
        </w:rPr>
        <w:t xml:space="preserve"> </w:t>
      </w:r>
      <w:r w:rsidR="00691075">
        <w:rPr>
          <w:color w:val="auto"/>
          <w:sz w:val="24"/>
          <w:szCs w:val="24"/>
        </w:rPr>
        <w:t xml:space="preserve">to investigate and prosecute violence against women </w:t>
      </w:r>
      <w:r w:rsidR="00681258">
        <w:rPr>
          <w:color w:val="auto"/>
          <w:sz w:val="24"/>
          <w:szCs w:val="24"/>
        </w:rPr>
        <w:t>through programs such as the Grants to Indian Tribal Government Programs</w:t>
      </w:r>
      <w:r w:rsidR="00A06DE7">
        <w:rPr>
          <w:color w:val="auto"/>
          <w:sz w:val="24"/>
          <w:szCs w:val="24"/>
        </w:rPr>
        <w:t xml:space="preserve">, the Presidential Task Force on Missing </w:t>
      </w:r>
      <w:r>
        <w:rPr>
          <w:color w:val="auto"/>
          <w:sz w:val="24"/>
          <w:szCs w:val="24"/>
        </w:rPr>
        <w:t>and Murdered American Indians and Alaska Natives</w:t>
      </w:r>
      <w:r w:rsidR="00956289">
        <w:rPr>
          <w:color w:val="auto"/>
          <w:sz w:val="24"/>
          <w:szCs w:val="24"/>
        </w:rPr>
        <w:t xml:space="preserve">, </w:t>
      </w:r>
      <w:r w:rsidR="00EB1993">
        <w:rPr>
          <w:color w:val="auto"/>
          <w:sz w:val="24"/>
          <w:szCs w:val="24"/>
        </w:rPr>
        <w:t>among other programs</w:t>
      </w:r>
      <w:r w:rsidR="00313DFE">
        <w:rPr>
          <w:color w:val="auto"/>
          <w:sz w:val="24"/>
          <w:szCs w:val="24"/>
        </w:rPr>
        <w:t>,</w:t>
      </w:r>
      <w:r w:rsidR="007E539D">
        <w:rPr>
          <w:rStyle w:val="FootnoteReference"/>
          <w:color w:val="auto"/>
          <w:sz w:val="24"/>
          <w:szCs w:val="24"/>
        </w:rPr>
        <w:footnoteReference w:id="27"/>
      </w:r>
      <w:r w:rsidR="00AC66FB">
        <w:rPr>
          <w:color w:val="auto"/>
          <w:sz w:val="24"/>
          <w:szCs w:val="24"/>
        </w:rPr>
        <w:t xml:space="preserve"> there </w:t>
      </w:r>
      <w:r w:rsidR="00C82FD3">
        <w:rPr>
          <w:color w:val="auto"/>
          <w:sz w:val="24"/>
          <w:szCs w:val="24"/>
        </w:rPr>
        <w:t xml:space="preserve">remains a lack of </w:t>
      </w:r>
      <w:r w:rsidR="00F55BB5">
        <w:rPr>
          <w:color w:val="auto"/>
          <w:sz w:val="24"/>
          <w:szCs w:val="24"/>
        </w:rPr>
        <w:t xml:space="preserve">targeted legislation ensuring all cases of missing and murdered women are </w:t>
      </w:r>
      <w:r w:rsidR="00FD15D5">
        <w:rPr>
          <w:color w:val="auto"/>
          <w:sz w:val="24"/>
          <w:szCs w:val="24"/>
        </w:rPr>
        <w:t>adequately investigated and prosecuted</w:t>
      </w:r>
      <w:r w:rsidR="00276611">
        <w:rPr>
          <w:color w:val="auto"/>
          <w:sz w:val="24"/>
          <w:szCs w:val="24"/>
        </w:rPr>
        <w:t>, as will be discussed in the paragraphs below.</w:t>
      </w:r>
    </w:p>
    <w:p w14:paraId="79752601" w14:textId="3440D9B5" w:rsidR="002A67E1" w:rsidRDefault="007238ED" w:rsidP="005839FF">
      <w:pPr>
        <w:numPr>
          <w:ilvl w:val="0"/>
          <w:numId w:val="7"/>
        </w:numPr>
        <w:spacing w:after="120"/>
        <w:ind w:left="360"/>
        <w:jc w:val="both"/>
        <w:rPr>
          <w:color w:val="auto"/>
          <w:sz w:val="24"/>
          <w:szCs w:val="24"/>
        </w:rPr>
      </w:pPr>
      <w:r>
        <w:rPr>
          <w:color w:val="auto"/>
          <w:sz w:val="24"/>
          <w:szCs w:val="24"/>
        </w:rPr>
        <w:t>Black girls ar</w:t>
      </w:r>
      <w:r w:rsidR="001339F2">
        <w:rPr>
          <w:color w:val="auto"/>
          <w:sz w:val="24"/>
          <w:szCs w:val="24"/>
        </w:rPr>
        <w:t xml:space="preserve">e at greater risk </w:t>
      </w:r>
      <w:r w:rsidR="00DA0DF7">
        <w:rPr>
          <w:color w:val="auto"/>
          <w:sz w:val="24"/>
          <w:szCs w:val="24"/>
        </w:rPr>
        <w:t xml:space="preserve">if they go missing due to being labelled as “runaways” more often. </w:t>
      </w:r>
      <w:r w:rsidR="00F438E0">
        <w:rPr>
          <w:color w:val="auto"/>
          <w:sz w:val="24"/>
          <w:szCs w:val="24"/>
        </w:rPr>
        <w:t>If law enforcement categorizes an individual as a “runaway,”</w:t>
      </w:r>
      <w:r w:rsidR="00014221">
        <w:rPr>
          <w:color w:val="auto"/>
          <w:sz w:val="24"/>
          <w:szCs w:val="24"/>
        </w:rPr>
        <w:t xml:space="preserve"> they </w:t>
      </w:r>
      <w:r w:rsidR="00EB5D39">
        <w:rPr>
          <w:color w:val="auto"/>
          <w:sz w:val="24"/>
          <w:szCs w:val="24"/>
        </w:rPr>
        <w:t>are less likely to</w:t>
      </w:r>
      <w:r w:rsidR="00014221">
        <w:rPr>
          <w:color w:val="auto"/>
          <w:sz w:val="24"/>
          <w:szCs w:val="24"/>
        </w:rPr>
        <w:t xml:space="preserve"> allocate resources toward finding </w:t>
      </w:r>
      <w:r w:rsidR="00EB5D39">
        <w:rPr>
          <w:color w:val="auto"/>
          <w:sz w:val="24"/>
          <w:szCs w:val="24"/>
        </w:rPr>
        <w:t>that individual.</w:t>
      </w:r>
      <w:r w:rsidR="00F438E0">
        <w:rPr>
          <w:color w:val="auto"/>
          <w:sz w:val="24"/>
          <w:szCs w:val="24"/>
        </w:rPr>
        <w:t xml:space="preserve"> </w:t>
      </w:r>
      <w:r w:rsidR="009106BE" w:rsidRPr="69418C14">
        <w:rPr>
          <w:color w:val="auto"/>
          <w:sz w:val="24"/>
          <w:szCs w:val="24"/>
        </w:rPr>
        <w:t>The media also will not pay as much attention if it is considered a runaway case.</w:t>
      </w:r>
      <w:r w:rsidR="009106BE">
        <w:rPr>
          <w:rStyle w:val="FootnoteReference"/>
          <w:color w:val="auto"/>
          <w:sz w:val="24"/>
          <w:szCs w:val="24"/>
        </w:rPr>
        <w:footnoteReference w:id="28"/>
      </w:r>
      <w:r w:rsidR="009106BE">
        <w:rPr>
          <w:color w:val="auto"/>
          <w:sz w:val="24"/>
          <w:szCs w:val="24"/>
        </w:rPr>
        <w:t xml:space="preserve"> </w:t>
      </w:r>
      <w:r w:rsidR="009106BE" w:rsidRPr="69418C14">
        <w:rPr>
          <w:color w:val="auto"/>
          <w:sz w:val="24"/>
          <w:szCs w:val="24"/>
        </w:rPr>
        <w:t xml:space="preserve"> </w:t>
      </w:r>
      <w:r w:rsidR="00862A65" w:rsidRPr="69418C14">
        <w:rPr>
          <w:color w:val="auto"/>
          <w:sz w:val="24"/>
          <w:szCs w:val="24"/>
        </w:rPr>
        <w:t>Black girls are more likely to be classified as runaways</w:t>
      </w:r>
      <w:r w:rsidR="00EB5D39">
        <w:rPr>
          <w:color w:val="auto"/>
          <w:sz w:val="24"/>
          <w:szCs w:val="24"/>
        </w:rPr>
        <w:t xml:space="preserve"> </w:t>
      </w:r>
      <w:r w:rsidR="00EB5D39">
        <w:rPr>
          <w:color w:val="auto"/>
          <w:sz w:val="24"/>
          <w:szCs w:val="24"/>
        </w:rPr>
        <w:lastRenderedPageBreak/>
        <w:t>compared to white girls.</w:t>
      </w:r>
      <w:r w:rsidR="00BB4300">
        <w:rPr>
          <w:rStyle w:val="FootnoteReference"/>
          <w:color w:val="auto"/>
          <w:sz w:val="24"/>
          <w:szCs w:val="24"/>
        </w:rPr>
        <w:footnoteReference w:id="29"/>
      </w:r>
      <w:r w:rsidR="009200FE" w:rsidRPr="69418C14" w:rsidDel="009106BE">
        <w:rPr>
          <w:color w:val="auto"/>
          <w:sz w:val="24"/>
          <w:szCs w:val="24"/>
        </w:rPr>
        <w:t xml:space="preserve"> </w:t>
      </w:r>
      <w:r w:rsidR="009200FE" w:rsidRPr="69418C14">
        <w:rPr>
          <w:color w:val="auto"/>
          <w:sz w:val="24"/>
          <w:szCs w:val="24"/>
        </w:rPr>
        <w:t xml:space="preserve">Task Force members in particular highlighted Amber Alerts as crucial </w:t>
      </w:r>
      <w:r w:rsidR="000F3F70" w:rsidRPr="69418C14">
        <w:rPr>
          <w:color w:val="auto"/>
          <w:sz w:val="24"/>
          <w:szCs w:val="24"/>
        </w:rPr>
        <w:t>in sending community-wide notifications of a missing child, yet because Black girls are more likely to be classified as runaways, they do not meet the criteria to warrant an Amber Alert.</w:t>
      </w:r>
      <w:r w:rsidR="0093781B">
        <w:rPr>
          <w:rStyle w:val="FootnoteReference"/>
          <w:color w:val="auto"/>
          <w:sz w:val="24"/>
          <w:szCs w:val="24"/>
        </w:rPr>
        <w:footnoteReference w:id="30"/>
      </w:r>
      <w:r w:rsidR="000F3F70" w:rsidRPr="69418C14">
        <w:rPr>
          <w:color w:val="auto"/>
          <w:sz w:val="24"/>
          <w:szCs w:val="24"/>
        </w:rPr>
        <w:t xml:space="preserve"> A Lieut</w:t>
      </w:r>
      <w:r w:rsidR="00A26905" w:rsidRPr="69418C14">
        <w:rPr>
          <w:color w:val="auto"/>
          <w:sz w:val="24"/>
          <w:szCs w:val="24"/>
        </w:rPr>
        <w:t xml:space="preserve">enant on the Task Force </w:t>
      </w:r>
      <w:r w:rsidR="009E3A04">
        <w:rPr>
          <w:color w:val="auto"/>
          <w:sz w:val="24"/>
          <w:szCs w:val="24"/>
        </w:rPr>
        <w:t>emphasized</w:t>
      </w:r>
      <w:r w:rsidR="00B076D9" w:rsidRPr="69418C14">
        <w:rPr>
          <w:color w:val="auto"/>
          <w:sz w:val="24"/>
          <w:szCs w:val="24"/>
        </w:rPr>
        <w:t xml:space="preserve"> </w:t>
      </w:r>
      <w:r w:rsidR="00A26905" w:rsidRPr="69418C14">
        <w:rPr>
          <w:color w:val="auto"/>
          <w:sz w:val="24"/>
          <w:szCs w:val="24"/>
        </w:rPr>
        <w:t>that, in Minnesota, not every police department has a missing person</w:t>
      </w:r>
      <w:r w:rsidR="009E3A04">
        <w:rPr>
          <w:color w:val="auto"/>
          <w:sz w:val="24"/>
          <w:szCs w:val="24"/>
        </w:rPr>
        <w:t>s</w:t>
      </w:r>
      <w:r w:rsidR="00A26905" w:rsidRPr="69418C14">
        <w:rPr>
          <w:color w:val="auto"/>
          <w:sz w:val="24"/>
          <w:szCs w:val="24"/>
        </w:rPr>
        <w:t xml:space="preserve"> unit.</w:t>
      </w:r>
      <w:r w:rsidR="00B90A2F">
        <w:rPr>
          <w:rStyle w:val="FootnoteReference"/>
          <w:color w:val="auto"/>
          <w:sz w:val="24"/>
          <w:szCs w:val="24"/>
        </w:rPr>
        <w:footnoteReference w:id="31"/>
      </w:r>
      <w:r w:rsidR="00A26905" w:rsidRPr="69418C14">
        <w:rPr>
          <w:color w:val="auto"/>
          <w:sz w:val="24"/>
          <w:szCs w:val="24"/>
        </w:rPr>
        <w:t xml:space="preserve"> This </w:t>
      </w:r>
      <w:r w:rsidR="00BA3DD0" w:rsidRPr="69418C14">
        <w:rPr>
          <w:color w:val="auto"/>
          <w:sz w:val="24"/>
          <w:szCs w:val="24"/>
        </w:rPr>
        <w:t>dedicated</w:t>
      </w:r>
      <w:r w:rsidR="00A26905" w:rsidRPr="69418C14">
        <w:rPr>
          <w:color w:val="auto"/>
          <w:sz w:val="24"/>
          <w:szCs w:val="24"/>
        </w:rPr>
        <w:t xml:space="preserve"> unit offers law enforcement agents resources and time to dedicate to missing person cases that agents without these units do not have.</w:t>
      </w:r>
      <w:r w:rsidR="00364C51">
        <w:rPr>
          <w:rStyle w:val="FootnoteReference"/>
          <w:color w:val="auto"/>
          <w:sz w:val="24"/>
          <w:szCs w:val="24"/>
        </w:rPr>
        <w:footnoteReference w:id="32"/>
      </w:r>
      <w:r w:rsidR="00A26905" w:rsidRPr="69418C14">
        <w:rPr>
          <w:color w:val="auto"/>
          <w:sz w:val="24"/>
          <w:szCs w:val="24"/>
        </w:rPr>
        <w:t xml:space="preserve"> </w:t>
      </w:r>
    </w:p>
    <w:p w14:paraId="0DFBA0AF" w14:textId="40B98599" w:rsidR="006A5B8B" w:rsidRDefault="006A5B8B" w:rsidP="006A5B8B">
      <w:pPr>
        <w:numPr>
          <w:ilvl w:val="0"/>
          <w:numId w:val="7"/>
        </w:numPr>
        <w:spacing w:after="120"/>
        <w:ind w:left="360"/>
        <w:jc w:val="both"/>
        <w:rPr>
          <w:color w:val="auto"/>
          <w:sz w:val="24"/>
          <w:szCs w:val="24"/>
        </w:rPr>
      </w:pPr>
      <w:r w:rsidRPr="00F811E7">
        <w:rPr>
          <w:b/>
          <w:color w:val="auto"/>
          <w:sz w:val="24"/>
          <w:szCs w:val="24"/>
        </w:rPr>
        <w:t>Suggested questions</w:t>
      </w:r>
      <w:r>
        <w:rPr>
          <w:color w:val="auto"/>
          <w:sz w:val="24"/>
          <w:szCs w:val="24"/>
        </w:rPr>
        <w:t xml:space="preserve"> relating to </w:t>
      </w:r>
      <w:r w:rsidR="00906D14">
        <w:rPr>
          <w:color w:val="auto"/>
          <w:sz w:val="24"/>
          <w:szCs w:val="24"/>
        </w:rPr>
        <w:t>violence against women</w:t>
      </w:r>
      <w:r>
        <w:rPr>
          <w:color w:val="auto"/>
          <w:sz w:val="24"/>
          <w:szCs w:val="24"/>
        </w:rPr>
        <w:t xml:space="preserve">: </w:t>
      </w:r>
    </w:p>
    <w:p w14:paraId="0950160C" w14:textId="7D30C91F" w:rsidR="006A5B8B" w:rsidRPr="00AA2913" w:rsidRDefault="00110626" w:rsidP="00A63887">
      <w:pPr>
        <w:numPr>
          <w:ilvl w:val="1"/>
          <w:numId w:val="7"/>
        </w:numPr>
        <w:spacing w:after="120"/>
        <w:jc w:val="both"/>
        <w:rPr>
          <w:color w:val="auto"/>
          <w:sz w:val="24"/>
          <w:szCs w:val="24"/>
        </w:rPr>
      </w:pPr>
      <w:r w:rsidRPr="00AA2913">
        <w:rPr>
          <w:color w:val="auto"/>
          <w:sz w:val="24"/>
          <w:szCs w:val="24"/>
        </w:rPr>
        <w:t xml:space="preserve">What efforts has the State </w:t>
      </w:r>
      <w:r w:rsidR="0061174E">
        <w:rPr>
          <w:color w:val="auto"/>
          <w:sz w:val="24"/>
          <w:szCs w:val="24"/>
        </w:rPr>
        <w:t>P</w:t>
      </w:r>
      <w:r w:rsidRPr="00AA2913">
        <w:rPr>
          <w:color w:val="auto"/>
          <w:sz w:val="24"/>
          <w:szCs w:val="24"/>
        </w:rPr>
        <w:t xml:space="preserve">arty made to </w:t>
      </w:r>
      <w:r w:rsidR="00D056B0" w:rsidRPr="00AA2913">
        <w:rPr>
          <w:color w:val="auto"/>
          <w:sz w:val="24"/>
          <w:szCs w:val="24"/>
        </w:rPr>
        <w:t>support tribal governments in the development and implementation of Amber Alert programs?</w:t>
      </w:r>
    </w:p>
    <w:p w14:paraId="606A6DE0" w14:textId="210B10AA" w:rsidR="006A5B8B" w:rsidRDefault="0046468C" w:rsidP="00A63887">
      <w:pPr>
        <w:numPr>
          <w:ilvl w:val="1"/>
          <w:numId w:val="7"/>
        </w:numPr>
        <w:spacing w:after="120"/>
        <w:jc w:val="both"/>
        <w:rPr>
          <w:color w:val="auto"/>
          <w:sz w:val="24"/>
          <w:szCs w:val="24"/>
        </w:rPr>
      </w:pPr>
      <w:r>
        <w:rPr>
          <w:color w:val="auto"/>
          <w:sz w:val="24"/>
          <w:szCs w:val="24"/>
        </w:rPr>
        <w:t>What measures are in place</w:t>
      </w:r>
      <w:r w:rsidR="002159D2" w:rsidRPr="69418C14">
        <w:rPr>
          <w:color w:val="auto"/>
          <w:sz w:val="24"/>
          <w:szCs w:val="24"/>
        </w:rPr>
        <w:t xml:space="preserve"> </w:t>
      </w:r>
      <w:r w:rsidR="00F45AB5" w:rsidRPr="69418C14">
        <w:rPr>
          <w:color w:val="auto"/>
          <w:sz w:val="24"/>
          <w:szCs w:val="24"/>
        </w:rPr>
        <w:t>to ensure</w:t>
      </w:r>
      <w:r w:rsidR="002159D2" w:rsidRPr="69418C14">
        <w:rPr>
          <w:color w:val="auto"/>
          <w:sz w:val="24"/>
          <w:szCs w:val="24"/>
        </w:rPr>
        <w:t xml:space="preserve"> </w:t>
      </w:r>
      <w:r w:rsidR="00BA3DD0" w:rsidRPr="69418C14">
        <w:rPr>
          <w:color w:val="auto"/>
          <w:sz w:val="24"/>
          <w:szCs w:val="24"/>
        </w:rPr>
        <w:t xml:space="preserve">law enforcement agencies have </w:t>
      </w:r>
      <w:r w:rsidR="002B00F5" w:rsidRPr="69418C14">
        <w:rPr>
          <w:color w:val="auto"/>
          <w:sz w:val="24"/>
          <w:szCs w:val="24"/>
        </w:rPr>
        <w:t xml:space="preserve">adequate resources for </w:t>
      </w:r>
      <w:r w:rsidR="00BA3DD0" w:rsidRPr="69418C14">
        <w:rPr>
          <w:color w:val="auto"/>
          <w:sz w:val="24"/>
          <w:szCs w:val="24"/>
        </w:rPr>
        <w:t>dedicated missing persons units</w:t>
      </w:r>
      <w:r w:rsidR="00F45AB5" w:rsidRPr="69418C14">
        <w:rPr>
          <w:color w:val="auto"/>
          <w:sz w:val="24"/>
          <w:szCs w:val="24"/>
        </w:rPr>
        <w:t xml:space="preserve">, including for </w:t>
      </w:r>
      <w:r>
        <w:rPr>
          <w:color w:val="auto"/>
          <w:sz w:val="24"/>
          <w:szCs w:val="24"/>
        </w:rPr>
        <w:t xml:space="preserve">Black </w:t>
      </w:r>
      <w:r w:rsidR="00F45AB5" w:rsidRPr="69418C14">
        <w:rPr>
          <w:color w:val="auto"/>
          <w:sz w:val="24"/>
          <w:szCs w:val="24"/>
        </w:rPr>
        <w:t>women and girls</w:t>
      </w:r>
      <w:r w:rsidR="002B00F5" w:rsidRPr="69418C14">
        <w:rPr>
          <w:color w:val="auto"/>
          <w:sz w:val="24"/>
          <w:szCs w:val="24"/>
        </w:rPr>
        <w:t>?</w:t>
      </w:r>
    </w:p>
    <w:p w14:paraId="39626299" w14:textId="58F56037" w:rsidR="002B00F5" w:rsidRDefault="002B00F5" w:rsidP="00A63887">
      <w:pPr>
        <w:numPr>
          <w:ilvl w:val="1"/>
          <w:numId w:val="7"/>
        </w:numPr>
        <w:spacing w:after="120"/>
        <w:jc w:val="both"/>
        <w:rPr>
          <w:color w:val="auto"/>
          <w:sz w:val="24"/>
          <w:szCs w:val="24"/>
        </w:rPr>
      </w:pPr>
      <w:r w:rsidRPr="69418C14">
        <w:rPr>
          <w:color w:val="auto"/>
          <w:sz w:val="24"/>
          <w:szCs w:val="24"/>
        </w:rPr>
        <w:t xml:space="preserve">What trainings does the State </w:t>
      </w:r>
      <w:r w:rsidR="0046468C">
        <w:rPr>
          <w:color w:val="auto"/>
          <w:sz w:val="24"/>
          <w:szCs w:val="24"/>
        </w:rPr>
        <w:t>P</w:t>
      </w:r>
      <w:r w:rsidRPr="69418C14">
        <w:rPr>
          <w:color w:val="auto"/>
          <w:sz w:val="24"/>
          <w:szCs w:val="24"/>
        </w:rPr>
        <w:t>arty</w:t>
      </w:r>
      <w:r w:rsidR="00F45AB5" w:rsidRPr="69418C14" w:rsidDel="0046468C">
        <w:rPr>
          <w:color w:val="auto"/>
          <w:sz w:val="24"/>
          <w:szCs w:val="24"/>
        </w:rPr>
        <w:t xml:space="preserve"> </w:t>
      </w:r>
      <w:r w:rsidR="00F45AB5" w:rsidRPr="69418C14">
        <w:rPr>
          <w:color w:val="auto"/>
          <w:sz w:val="24"/>
          <w:szCs w:val="24"/>
        </w:rPr>
        <w:t>provide</w:t>
      </w:r>
      <w:r w:rsidRPr="69418C14">
        <w:rPr>
          <w:color w:val="auto"/>
          <w:sz w:val="24"/>
          <w:szCs w:val="24"/>
        </w:rPr>
        <w:t xml:space="preserve"> to law enforcement and other professionals to ensure cases are properly</w:t>
      </w:r>
      <w:r w:rsidR="00BA1FA2" w:rsidRPr="69418C14">
        <w:rPr>
          <w:color w:val="auto"/>
          <w:sz w:val="24"/>
          <w:szCs w:val="24"/>
        </w:rPr>
        <w:t xml:space="preserve"> identified and</w:t>
      </w:r>
      <w:r w:rsidRPr="69418C14">
        <w:rPr>
          <w:color w:val="auto"/>
          <w:sz w:val="24"/>
          <w:szCs w:val="24"/>
        </w:rPr>
        <w:t xml:space="preserve"> labeled </w:t>
      </w:r>
      <w:r w:rsidR="00BA1FA2" w:rsidRPr="69418C14">
        <w:rPr>
          <w:color w:val="auto"/>
          <w:sz w:val="24"/>
          <w:szCs w:val="24"/>
        </w:rPr>
        <w:t>‘missing persons?’</w:t>
      </w:r>
    </w:p>
    <w:p w14:paraId="7824D784" w14:textId="259E8694" w:rsidR="0063574B" w:rsidRDefault="0063574B" w:rsidP="00A63887">
      <w:pPr>
        <w:numPr>
          <w:ilvl w:val="1"/>
          <w:numId w:val="7"/>
        </w:numPr>
        <w:spacing w:after="120"/>
        <w:jc w:val="both"/>
        <w:rPr>
          <w:color w:val="auto"/>
          <w:sz w:val="24"/>
          <w:szCs w:val="24"/>
        </w:rPr>
      </w:pPr>
      <w:r>
        <w:rPr>
          <w:color w:val="auto"/>
          <w:sz w:val="24"/>
          <w:szCs w:val="24"/>
        </w:rPr>
        <w:t xml:space="preserve">What efforts has the State party taken to address the lack of media attention to cases of missing and murdered </w:t>
      </w:r>
      <w:r w:rsidR="00A24C1C">
        <w:rPr>
          <w:color w:val="auto"/>
          <w:sz w:val="24"/>
          <w:szCs w:val="24"/>
        </w:rPr>
        <w:t>Black</w:t>
      </w:r>
      <w:r w:rsidR="00516E20">
        <w:rPr>
          <w:color w:val="auto"/>
          <w:sz w:val="24"/>
          <w:szCs w:val="24"/>
        </w:rPr>
        <w:t xml:space="preserve"> and Native American</w:t>
      </w:r>
      <w:r w:rsidR="000E456D">
        <w:rPr>
          <w:color w:val="auto"/>
          <w:sz w:val="24"/>
          <w:szCs w:val="24"/>
        </w:rPr>
        <w:t xml:space="preserve"> women and children?</w:t>
      </w:r>
    </w:p>
    <w:p w14:paraId="15EC715D" w14:textId="3361CF9B" w:rsidR="00CB41EC" w:rsidRPr="00ED5A18" w:rsidRDefault="00041794" w:rsidP="00A63887">
      <w:pPr>
        <w:numPr>
          <w:ilvl w:val="1"/>
          <w:numId w:val="7"/>
        </w:numPr>
        <w:spacing w:after="120"/>
        <w:jc w:val="both"/>
        <w:rPr>
          <w:color w:val="auto"/>
          <w:sz w:val="24"/>
          <w:szCs w:val="24"/>
        </w:rPr>
      </w:pPr>
      <w:r>
        <w:rPr>
          <w:color w:val="auto"/>
          <w:sz w:val="24"/>
          <w:szCs w:val="24"/>
        </w:rPr>
        <w:t xml:space="preserve">What measures </w:t>
      </w:r>
      <w:r w:rsidR="00D3023A">
        <w:rPr>
          <w:color w:val="auto"/>
          <w:sz w:val="24"/>
          <w:szCs w:val="24"/>
        </w:rPr>
        <w:t>are being considered to better coordinate investigations and prosecution of cases between state, federal, and tribal jurisdictions?</w:t>
      </w:r>
    </w:p>
    <w:p w14:paraId="50F4CF03" w14:textId="3158B416" w:rsidR="006A5B8B" w:rsidRPr="004B1E4E" w:rsidRDefault="00E77AC5" w:rsidP="00A63887">
      <w:pPr>
        <w:keepNext/>
        <w:numPr>
          <w:ilvl w:val="0"/>
          <w:numId w:val="8"/>
        </w:numPr>
        <w:spacing w:before="240" w:after="240"/>
        <w:ind w:left="720" w:hanging="360"/>
        <w:rPr>
          <w:b/>
          <w:color w:val="auto"/>
          <w:sz w:val="24"/>
          <w:szCs w:val="24"/>
        </w:rPr>
      </w:pPr>
      <w:r>
        <w:rPr>
          <w:b/>
          <w:color w:val="auto"/>
          <w:sz w:val="24"/>
          <w:szCs w:val="24"/>
        </w:rPr>
        <w:t>Criminal justice system</w:t>
      </w:r>
      <w:r w:rsidR="00677729">
        <w:rPr>
          <w:b/>
          <w:color w:val="auto"/>
          <w:sz w:val="24"/>
          <w:szCs w:val="24"/>
        </w:rPr>
        <w:t xml:space="preserve"> (</w:t>
      </w:r>
      <w:r w:rsidR="00557295">
        <w:rPr>
          <w:b/>
          <w:color w:val="auto"/>
          <w:sz w:val="24"/>
          <w:szCs w:val="24"/>
        </w:rPr>
        <w:t xml:space="preserve">Concluding Observations </w:t>
      </w:r>
      <w:r w:rsidR="00A23406">
        <w:rPr>
          <w:b/>
          <w:color w:val="auto"/>
          <w:sz w:val="24"/>
          <w:szCs w:val="24"/>
        </w:rPr>
        <w:t>paragraph 20)</w:t>
      </w:r>
    </w:p>
    <w:p w14:paraId="26A6BF80" w14:textId="2B63544D" w:rsidR="006A5B8B" w:rsidRPr="00624179" w:rsidRDefault="003157CA" w:rsidP="00624179">
      <w:pPr>
        <w:numPr>
          <w:ilvl w:val="0"/>
          <w:numId w:val="7"/>
        </w:numPr>
        <w:spacing w:after="120"/>
        <w:ind w:left="360"/>
        <w:jc w:val="both"/>
        <w:rPr>
          <w:color w:val="auto"/>
          <w:sz w:val="24"/>
          <w:szCs w:val="24"/>
        </w:rPr>
      </w:pPr>
      <w:r>
        <w:rPr>
          <w:color w:val="auto"/>
          <w:sz w:val="24"/>
          <w:szCs w:val="24"/>
        </w:rPr>
        <w:t xml:space="preserve">In </w:t>
      </w:r>
      <w:r w:rsidR="002C63D3">
        <w:rPr>
          <w:color w:val="auto"/>
          <w:sz w:val="24"/>
          <w:szCs w:val="24"/>
        </w:rPr>
        <w:t>its</w:t>
      </w:r>
      <w:r w:rsidR="00AF30BB">
        <w:rPr>
          <w:color w:val="auto"/>
          <w:sz w:val="24"/>
          <w:szCs w:val="24"/>
        </w:rPr>
        <w:t xml:space="preserve"> </w:t>
      </w:r>
      <w:r w:rsidR="00B350D0">
        <w:rPr>
          <w:color w:val="auto"/>
          <w:sz w:val="24"/>
          <w:szCs w:val="24"/>
        </w:rPr>
        <w:t xml:space="preserve">2014 </w:t>
      </w:r>
      <w:r>
        <w:rPr>
          <w:color w:val="auto"/>
          <w:sz w:val="24"/>
          <w:szCs w:val="24"/>
        </w:rPr>
        <w:t>C</w:t>
      </w:r>
      <w:r w:rsidR="00AF30BB">
        <w:rPr>
          <w:color w:val="auto"/>
          <w:sz w:val="24"/>
          <w:szCs w:val="24"/>
        </w:rPr>
        <w:t>o</w:t>
      </w:r>
      <w:r>
        <w:rPr>
          <w:color w:val="auto"/>
          <w:sz w:val="24"/>
          <w:szCs w:val="24"/>
        </w:rPr>
        <w:t>ncluding Observations</w:t>
      </w:r>
      <w:r w:rsidR="00D4149E">
        <w:rPr>
          <w:color w:val="auto"/>
          <w:sz w:val="24"/>
          <w:szCs w:val="24"/>
        </w:rPr>
        <w:t>,</w:t>
      </w:r>
      <w:r w:rsidR="009B4178">
        <w:rPr>
          <w:color w:val="auto"/>
          <w:sz w:val="24"/>
          <w:szCs w:val="24"/>
        </w:rPr>
        <w:t xml:space="preserve"> the Committee </w:t>
      </w:r>
      <w:r w:rsidR="00E3695E">
        <w:rPr>
          <w:color w:val="auto"/>
          <w:sz w:val="24"/>
          <w:szCs w:val="24"/>
        </w:rPr>
        <w:t xml:space="preserve">welcomed recent measures taken by the State </w:t>
      </w:r>
      <w:r w:rsidR="00E5246F">
        <w:rPr>
          <w:color w:val="auto"/>
          <w:sz w:val="24"/>
          <w:szCs w:val="24"/>
        </w:rPr>
        <w:t>P</w:t>
      </w:r>
      <w:r w:rsidR="00E3695E">
        <w:rPr>
          <w:color w:val="auto"/>
          <w:sz w:val="24"/>
          <w:szCs w:val="24"/>
        </w:rPr>
        <w:t>arty, including the August 2013 launch of the “Smart on Crime” initiative.</w:t>
      </w:r>
      <w:r w:rsidR="00AF30BB">
        <w:rPr>
          <w:rStyle w:val="FootnoteReference"/>
          <w:color w:val="auto"/>
          <w:sz w:val="24"/>
          <w:szCs w:val="24"/>
        </w:rPr>
        <w:footnoteReference w:id="33"/>
      </w:r>
      <w:r w:rsidR="00A82F90">
        <w:rPr>
          <w:color w:val="auto"/>
          <w:sz w:val="24"/>
          <w:szCs w:val="24"/>
        </w:rPr>
        <w:t xml:space="preserve"> </w:t>
      </w:r>
      <w:r w:rsidR="00E07E99">
        <w:rPr>
          <w:color w:val="auto"/>
          <w:sz w:val="24"/>
          <w:szCs w:val="24"/>
        </w:rPr>
        <w:t xml:space="preserve">The Committee remained concerned </w:t>
      </w:r>
      <w:r w:rsidR="00AD33E4">
        <w:rPr>
          <w:color w:val="auto"/>
          <w:sz w:val="24"/>
          <w:szCs w:val="24"/>
        </w:rPr>
        <w:t xml:space="preserve">that members of racial and ethnic minority groups </w:t>
      </w:r>
      <w:r w:rsidR="005A345E">
        <w:rPr>
          <w:color w:val="auto"/>
          <w:sz w:val="24"/>
          <w:szCs w:val="24"/>
        </w:rPr>
        <w:t>are “disproportionately arrested, incarcerated and subjected to harsher sentences</w:t>
      </w:r>
      <w:r w:rsidR="007F4161">
        <w:rPr>
          <w:color w:val="auto"/>
          <w:sz w:val="24"/>
          <w:szCs w:val="24"/>
        </w:rPr>
        <w:t>,” among other concerns.</w:t>
      </w:r>
      <w:r w:rsidR="00AF30BB">
        <w:rPr>
          <w:rStyle w:val="FootnoteReference"/>
          <w:color w:val="auto"/>
          <w:sz w:val="24"/>
          <w:szCs w:val="24"/>
        </w:rPr>
        <w:footnoteReference w:id="34"/>
      </w:r>
      <w:r w:rsidR="007F4161">
        <w:rPr>
          <w:color w:val="auto"/>
          <w:sz w:val="24"/>
          <w:szCs w:val="24"/>
        </w:rPr>
        <w:t xml:space="preserve"> </w:t>
      </w:r>
    </w:p>
    <w:p w14:paraId="660D687D" w14:textId="41ED82A1" w:rsidR="006A5B8B" w:rsidRPr="00831C1C" w:rsidRDefault="005D4B0A" w:rsidP="006A5B8B">
      <w:pPr>
        <w:numPr>
          <w:ilvl w:val="0"/>
          <w:numId w:val="7"/>
        </w:numPr>
        <w:spacing w:after="120"/>
        <w:ind w:left="360"/>
        <w:jc w:val="both"/>
        <w:rPr>
          <w:color w:val="auto"/>
          <w:sz w:val="24"/>
          <w:szCs w:val="24"/>
        </w:rPr>
      </w:pPr>
      <w:r w:rsidRPr="69418C14">
        <w:rPr>
          <w:color w:val="auto"/>
          <w:sz w:val="24"/>
          <w:szCs w:val="24"/>
        </w:rPr>
        <w:t xml:space="preserve">Racial and ethnic minorities continue to make up the majority of </w:t>
      </w:r>
      <w:r w:rsidR="007260D6" w:rsidRPr="69418C14">
        <w:rPr>
          <w:color w:val="auto"/>
          <w:sz w:val="24"/>
          <w:szCs w:val="24"/>
        </w:rPr>
        <w:t xml:space="preserve">individuals involved in the criminal justice system </w:t>
      </w:r>
      <w:r w:rsidR="00DD2ECF" w:rsidRPr="69418C14">
        <w:rPr>
          <w:color w:val="auto"/>
          <w:sz w:val="24"/>
          <w:szCs w:val="24"/>
        </w:rPr>
        <w:t>and</w:t>
      </w:r>
      <w:r w:rsidR="007260D6" w:rsidRPr="69418C14">
        <w:rPr>
          <w:color w:val="auto"/>
          <w:sz w:val="24"/>
          <w:szCs w:val="24"/>
        </w:rPr>
        <w:t xml:space="preserve"> </w:t>
      </w:r>
      <w:r w:rsidR="00DD2ECF" w:rsidRPr="69418C14">
        <w:rPr>
          <w:color w:val="auto"/>
          <w:sz w:val="24"/>
          <w:szCs w:val="24"/>
        </w:rPr>
        <w:t>child protective services.</w:t>
      </w:r>
      <w:r w:rsidR="003C2A2B">
        <w:rPr>
          <w:rStyle w:val="FootnoteReference"/>
          <w:color w:val="auto"/>
          <w:sz w:val="24"/>
          <w:szCs w:val="24"/>
        </w:rPr>
        <w:footnoteReference w:id="35"/>
      </w:r>
      <w:r w:rsidR="00DD2ECF" w:rsidRPr="69418C14">
        <w:rPr>
          <w:color w:val="auto"/>
          <w:sz w:val="24"/>
          <w:szCs w:val="24"/>
        </w:rPr>
        <w:t xml:space="preserve"> </w:t>
      </w:r>
      <w:r w:rsidR="00D90F50" w:rsidRPr="69418C14">
        <w:rPr>
          <w:color w:val="auto"/>
          <w:sz w:val="24"/>
          <w:szCs w:val="24"/>
        </w:rPr>
        <w:t xml:space="preserve">Members of the Advisory Council </w:t>
      </w:r>
      <w:r w:rsidR="000A4096" w:rsidRPr="69418C14">
        <w:rPr>
          <w:color w:val="auto"/>
          <w:sz w:val="24"/>
          <w:szCs w:val="24"/>
        </w:rPr>
        <w:t xml:space="preserve">remain concerned about </w:t>
      </w:r>
      <w:r w:rsidR="00EC7FE8" w:rsidRPr="69418C14" w:rsidDel="00A224BA">
        <w:rPr>
          <w:color w:val="auto"/>
          <w:sz w:val="24"/>
          <w:szCs w:val="24"/>
        </w:rPr>
        <w:t xml:space="preserve">the </w:t>
      </w:r>
      <w:r w:rsidR="0089363E">
        <w:rPr>
          <w:color w:val="auto"/>
          <w:sz w:val="24"/>
          <w:szCs w:val="24"/>
        </w:rPr>
        <w:t xml:space="preserve">fact that </w:t>
      </w:r>
      <w:r w:rsidR="00C7187D">
        <w:rPr>
          <w:color w:val="auto"/>
          <w:sz w:val="24"/>
          <w:szCs w:val="24"/>
        </w:rPr>
        <w:t>involvement</w:t>
      </w:r>
      <w:r w:rsidR="00EC7FE8" w:rsidRPr="69418C14" w:rsidDel="00C7187D">
        <w:rPr>
          <w:color w:val="auto"/>
          <w:sz w:val="24"/>
          <w:szCs w:val="24"/>
        </w:rPr>
        <w:t xml:space="preserve"> </w:t>
      </w:r>
      <w:r w:rsidR="00225A74">
        <w:rPr>
          <w:color w:val="auto"/>
          <w:sz w:val="24"/>
          <w:szCs w:val="24"/>
        </w:rPr>
        <w:t xml:space="preserve">in </w:t>
      </w:r>
      <w:r w:rsidR="00EC7FE8" w:rsidRPr="69418C14">
        <w:rPr>
          <w:color w:val="auto"/>
          <w:sz w:val="24"/>
          <w:szCs w:val="24"/>
        </w:rPr>
        <w:t xml:space="preserve">certain social programs or particular institutions </w:t>
      </w:r>
      <w:r w:rsidR="0089363E">
        <w:rPr>
          <w:color w:val="auto"/>
          <w:sz w:val="24"/>
          <w:szCs w:val="24"/>
        </w:rPr>
        <w:t xml:space="preserve">is a </w:t>
      </w:r>
      <w:r w:rsidR="00EC7FE8" w:rsidRPr="69418C14">
        <w:rPr>
          <w:color w:val="auto"/>
          <w:sz w:val="24"/>
          <w:szCs w:val="24"/>
        </w:rPr>
        <w:t>pipeline to the criminal justice system.</w:t>
      </w:r>
      <w:r w:rsidR="003C2A2B">
        <w:rPr>
          <w:rStyle w:val="FootnoteReference"/>
          <w:color w:val="auto"/>
          <w:sz w:val="24"/>
          <w:szCs w:val="24"/>
        </w:rPr>
        <w:footnoteReference w:id="36"/>
      </w:r>
      <w:r w:rsidR="00EC7FE8" w:rsidRPr="69418C14">
        <w:rPr>
          <w:color w:val="auto"/>
          <w:sz w:val="24"/>
          <w:szCs w:val="24"/>
        </w:rPr>
        <w:t xml:space="preserve"> Examples </w:t>
      </w:r>
      <w:r w:rsidR="009D2C3D" w:rsidRPr="69418C14">
        <w:rPr>
          <w:color w:val="auto"/>
          <w:sz w:val="24"/>
          <w:szCs w:val="24"/>
        </w:rPr>
        <w:t>of these connections include investigations with child protective services, beh</w:t>
      </w:r>
      <w:r w:rsidR="00007722" w:rsidRPr="69418C14">
        <w:rPr>
          <w:color w:val="auto"/>
          <w:sz w:val="24"/>
          <w:szCs w:val="24"/>
        </w:rPr>
        <w:t xml:space="preserve">avior issues in school, and attending substance </w:t>
      </w:r>
      <w:r w:rsidR="00007722" w:rsidRPr="69418C14">
        <w:rPr>
          <w:color w:val="auto"/>
          <w:sz w:val="24"/>
          <w:szCs w:val="24"/>
        </w:rPr>
        <w:lastRenderedPageBreak/>
        <w:t>abuse treatment.</w:t>
      </w:r>
      <w:r w:rsidR="003C2A2B">
        <w:rPr>
          <w:rStyle w:val="FootnoteReference"/>
          <w:color w:val="auto"/>
          <w:sz w:val="24"/>
          <w:szCs w:val="24"/>
        </w:rPr>
        <w:footnoteReference w:id="37"/>
      </w:r>
      <w:r w:rsidR="00214AA3" w:rsidRPr="69418C14">
        <w:rPr>
          <w:color w:val="auto"/>
          <w:sz w:val="24"/>
          <w:szCs w:val="24"/>
        </w:rPr>
        <w:t xml:space="preserve"> The Advisory Council members identified a lack of clarity of </w:t>
      </w:r>
      <w:r w:rsidR="00831C1C" w:rsidRPr="69418C14">
        <w:rPr>
          <w:color w:val="auto"/>
          <w:sz w:val="24"/>
          <w:szCs w:val="24"/>
        </w:rPr>
        <w:t>c</w:t>
      </w:r>
      <w:r w:rsidR="00861BB7" w:rsidRPr="69418C14">
        <w:rPr>
          <w:color w:val="auto"/>
          <w:sz w:val="24"/>
          <w:szCs w:val="24"/>
        </w:rPr>
        <w:t xml:space="preserve">hild </w:t>
      </w:r>
      <w:r w:rsidR="00831C1C" w:rsidRPr="69418C14">
        <w:rPr>
          <w:color w:val="auto"/>
          <w:sz w:val="24"/>
          <w:szCs w:val="24"/>
        </w:rPr>
        <w:t>p</w:t>
      </w:r>
      <w:r w:rsidR="00861BB7" w:rsidRPr="69418C14">
        <w:rPr>
          <w:color w:val="auto"/>
          <w:sz w:val="24"/>
          <w:szCs w:val="24"/>
        </w:rPr>
        <w:t xml:space="preserve">rotective </w:t>
      </w:r>
      <w:r w:rsidR="00831C1C" w:rsidRPr="69418C14">
        <w:rPr>
          <w:color w:val="auto"/>
          <w:sz w:val="24"/>
          <w:szCs w:val="24"/>
        </w:rPr>
        <w:t>s</w:t>
      </w:r>
      <w:r w:rsidR="00861BB7" w:rsidRPr="69418C14">
        <w:rPr>
          <w:color w:val="auto"/>
          <w:sz w:val="24"/>
          <w:szCs w:val="24"/>
        </w:rPr>
        <w:t>ervices (CPS)</w:t>
      </w:r>
      <w:r w:rsidR="00214AA3" w:rsidRPr="69418C14">
        <w:rPr>
          <w:color w:val="auto"/>
          <w:sz w:val="24"/>
          <w:szCs w:val="24"/>
        </w:rPr>
        <w:t xml:space="preserve"> investigation processes and practices that lead to </w:t>
      </w:r>
      <w:r w:rsidR="00B74B11" w:rsidRPr="69418C14">
        <w:rPr>
          <w:color w:val="auto"/>
          <w:sz w:val="24"/>
          <w:szCs w:val="24"/>
        </w:rPr>
        <w:t>Black women losing custody of their children.</w:t>
      </w:r>
      <w:r w:rsidR="003C2A2B">
        <w:rPr>
          <w:rStyle w:val="FootnoteReference"/>
          <w:color w:val="auto"/>
          <w:sz w:val="24"/>
          <w:szCs w:val="24"/>
        </w:rPr>
        <w:footnoteReference w:id="38"/>
      </w:r>
      <w:r w:rsidR="00B74B11" w:rsidRPr="69418C14">
        <w:rPr>
          <w:color w:val="auto"/>
          <w:sz w:val="24"/>
          <w:szCs w:val="24"/>
        </w:rPr>
        <w:t xml:space="preserve"> The Advisory Council members also highlighted the many entry points for Black families into child welfare systems, such as through schools or health institutions policing Black families.</w:t>
      </w:r>
      <w:r w:rsidR="003C2A2B">
        <w:rPr>
          <w:rStyle w:val="FootnoteReference"/>
          <w:color w:val="auto"/>
          <w:sz w:val="24"/>
          <w:szCs w:val="24"/>
        </w:rPr>
        <w:footnoteReference w:id="39"/>
      </w:r>
      <w:r w:rsidR="00B74B11" w:rsidRPr="69418C14">
        <w:rPr>
          <w:color w:val="auto"/>
          <w:sz w:val="24"/>
          <w:szCs w:val="24"/>
        </w:rPr>
        <w:t xml:space="preserve"> </w:t>
      </w:r>
    </w:p>
    <w:p w14:paraId="49125756" w14:textId="72D0402F" w:rsidR="006A5B8B" w:rsidRDefault="006A5B8B" w:rsidP="006A5B8B">
      <w:pPr>
        <w:numPr>
          <w:ilvl w:val="0"/>
          <w:numId w:val="7"/>
        </w:numPr>
        <w:spacing w:after="120"/>
        <w:ind w:left="360"/>
        <w:jc w:val="both"/>
        <w:rPr>
          <w:color w:val="auto"/>
          <w:sz w:val="24"/>
          <w:szCs w:val="24"/>
        </w:rPr>
      </w:pPr>
      <w:r w:rsidRPr="00F811E7">
        <w:rPr>
          <w:b/>
          <w:color w:val="auto"/>
          <w:sz w:val="24"/>
          <w:szCs w:val="24"/>
        </w:rPr>
        <w:t>Suggested questions</w:t>
      </w:r>
      <w:r>
        <w:rPr>
          <w:color w:val="auto"/>
          <w:sz w:val="24"/>
          <w:szCs w:val="24"/>
        </w:rPr>
        <w:t xml:space="preserve"> relating to </w:t>
      </w:r>
      <w:r w:rsidR="00E77AC5">
        <w:rPr>
          <w:color w:val="auto"/>
          <w:sz w:val="24"/>
          <w:szCs w:val="24"/>
        </w:rPr>
        <w:t>the criminal</w:t>
      </w:r>
      <w:r w:rsidR="00906D14">
        <w:rPr>
          <w:color w:val="auto"/>
          <w:sz w:val="24"/>
          <w:szCs w:val="24"/>
        </w:rPr>
        <w:t xml:space="preserve"> justice system</w:t>
      </w:r>
      <w:r>
        <w:rPr>
          <w:color w:val="auto"/>
          <w:sz w:val="24"/>
          <w:szCs w:val="24"/>
        </w:rPr>
        <w:t xml:space="preserve">: </w:t>
      </w:r>
    </w:p>
    <w:p w14:paraId="1ABF0050" w14:textId="77777777" w:rsidR="00C952F9" w:rsidRDefault="00B6244B" w:rsidP="00A63887">
      <w:pPr>
        <w:numPr>
          <w:ilvl w:val="1"/>
          <w:numId w:val="7"/>
        </w:numPr>
        <w:spacing w:after="120"/>
        <w:jc w:val="both"/>
        <w:rPr>
          <w:color w:val="auto"/>
          <w:sz w:val="24"/>
          <w:szCs w:val="24"/>
        </w:rPr>
      </w:pPr>
      <w:r w:rsidRPr="69418C14">
        <w:rPr>
          <w:color w:val="auto"/>
          <w:sz w:val="24"/>
          <w:szCs w:val="24"/>
        </w:rPr>
        <w:t xml:space="preserve">What measures </w:t>
      </w:r>
      <w:r w:rsidR="00DD2ECF" w:rsidRPr="69418C14">
        <w:rPr>
          <w:color w:val="auto"/>
          <w:sz w:val="24"/>
          <w:szCs w:val="24"/>
        </w:rPr>
        <w:t>has</w:t>
      </w:r>
      <w:r w:rsidRPr="69418C14">
        <w:rPr>
          <w:color w:val="auto"/>
          <w:sz w:val="24"/>
          <w:szCs w:val="24"/>
        </w:rPr>
        <w:t xml:space="preserve"> the State party </w:t>
      </w:r>
      <w:r w:rsidR="00DD2ECF" w:rsidRPr="69418C14">
        <w:rPr>
          <w:color w:val="auto"/>
          <w:sz w:val="24"/>
          <w:szCs w:val="24"/>
        </w:rPr>
        <w:t>taken</w:t>
      </w:r>
      <w:r w:rsidRPr="69418C14">
        <w:rPr>
          <w:color w:val="auto"/>
          <w:sz w:val="24"/>
          <w:szCs w:val="24"/>
        </w:rPr>
        <w:t xml:space="preserve"> </w:t>
      </w:r>
      <w:r w:rsidR="002805A6" w:rsidRPr="69418C14">
        <w:rPr>
          <w:color w:val="auto"/>
          <w:sz w:val="24"/>
          <w:szCs w:val="24"/>
        </w:rPr>
        <w:t xml:space="preserve">to address </w:t>
      </w:r>
      <w:r w:rsidR="00861BB7" w:rsidRPr="69418C14">
        <w:rPr>
          <w:color w:val="auto"/>
          <w:sz w:val="24"/>
          <w:szCs w:val="24"/>
        </w:rPr>
        <w:t xml:space="preserve">the root causes </w:t>
      </w:r>
      <w:r w:rsidR="00EC5116" w:rsidRPr="69418C14">
        <w:rPr>
          <w:color w:val="auto"/>
          <w:sz w:val="24"/>
          <w:szCs w:val="24"/>
        </w:rPr>
        <w:t xml:space="preserve">leading </w:t>
      </w:r>
      <w:r w:rsidR="00386EEB" w:rsidRPr="69418C14">
        <w:rPr>
          <w:color w:val="auto"/>
          <w:sz w:val="24"/>
          <w:szCs w:val="24"/>
        </w:rPr>
        <w:t>to child protective services cases</w:t>
      </w:r>
      <w:r w:rsidR="00EC5116" w:rsidRPr="69418C14">
        <w:rPr>
          <w:color w:val="auto"/>
          <w:sz w:val="24"/>
          <w:szCs w:val="24"/>
        </w:rPr>
        <w:t>?</w:t>
      </w:r>
      <w:r w:rsidR="00386EEB" w:rsidRPr="69418C14">
        <w:rPr>
          <w:color w:val="auto"/>
          <w:sz w:val="24"/>
          <w:szCs w:val="24"/>
        </w:rPr>
        <w:t xml:space="preserve"> </w:t>
      </w:r>
    </w:p>
    <w:p w14:paraId="5FAD6498" w14:textId="56223881" w:rsidR="006A5B8B" w:rsidRPr="000C380B" w:rsidRDefault="00604D43" w:rsidP="00A63887">
      <w:pPr>
        <w:numPr>
          <w:ilvl w:val="1"/>
          <w:numId w:val="7"/>
        </w:numPr>
        <w:spacing w:after="120"/>
        <w:jc w:val="both"/>
        <w:rPr>
          <w:color w:val="auto"/>
          <w:sz w:val="24"/>
          <w:szCs w:val="24"/>
        </w:rPr>
      </w:pPr>
      <w:r w:rsidRPr="69418C14">
        <w:rPr>
          <w:color w:val="auto"/>
          <w:sz w:val="24"/>
          <w:szCs w:val="24"/>
        </w:rPr>
        <w:t>What steps</w:t>
      </w:r>
      <w:r w:rsidR="00C952F9" w:rsidRPr="69418C14">
        <w:rPr>
          <w:color w:val="auto"/>
          <w:sz w:val="24"/>
          <w:szCs w:val="24"/>
        </w:rPr>
        <w:t>, if any,</w:t>
      </w:r>
      <w:r w:rsidRPr="69418C14">
        <w:rPr>
          <w:color w:val="auto"/>
          <w:sz w:val="24"/>
          <w:szCs w:val="24"/>
        </w:rPr>
        <w:t xml:space="preserve"> is the State party taking to monitor the </w:t>
      </w:r>
      <w:r w:rsidR="00C952F9" w:rsidRPr="69418C14">
        <w:rPr>
          <w:color w:val="auto"/>
          <w:sz w:val="24"/>
          <w:szCs w:val="24"/>
        </w:rPr>
        <w:t xml:space="preserve">statistics and reasons behind loss of child custody, disaggregated by race? </w:t>
      </w:r>
    </w:p>
    <w:p w14:paraId="19F8F9B5" w14:textId="5DE6221D" w:rsidR="006A5B8B" w:rsidRDefault="00DD2ECF" w:rsidP="00A63887">
      <w:pPr>
        <w:numPr>
          <w:ilvl w:val="1"/>
          <w:numId w:val="7"/>
        </w:numPr>
        <w:spacing w:after="120"/>
        <w:jc w:val="both"/>
        <w:rPr>
          <w:color w:val="auto"/>
          <w:sz w:val="24"/>
          <w:szCs w:val="24"/>
        </w:rPr>
      </w:pPr>
      <w:r w:rsidRPr="69418C14">
        <w:rPr>
          <w:color w:val="auto"/>
          <w:sz w:val="24"/>
          <w:szCs w:val="24"/>
        </w:rPr>
        <w:t xml:space="preserve">What legislative measures </w:t>
      </w:r>
      <w:r w:rsidR="008E5B96" w:rsidRPr="69418C14">
        <w:rPr>
          <w:color w:val="auto"/>
          <w:sz w:val="24"/>
          <w:szCs w:val="24"/>
        </w:rPr>
        <w:t>is</w:t>
      </w:r>
      <w:r w:rsidRPr="69418C14">
        <w:rPr>
          <w:color w:val="auto"/>
          <w:sz w:val="24"/>
          <w:szCs w:val="24"/>
        </w:rPr>
        <w:t xml:space="preserve"> the State party </w:t>
      </w:r>
      <w:r w:rsidR="008E5B96" w:rsidRPr="69418C14">
        <w:rPr>
          <w:color w:val="auto"/>
          <w:sz w:val="24"/>
          <w:szCs w:val="24"/>
        </w:rPr>
        <w:t xml:space="preserve">considering </w:t>
      </w:r>
      <w:r w:rsidR="00001AB4" w:rsidRPr="69418C14">
        <w:rPr>
          <w:color w:val="auto"/>
          <w:sz w:val="24"/>
          <w:szCs w:val="24"/>
        </w:rPr>
        <w:t xml:space="preserve">to address </w:t>
      </w:r>
      <w:r w:rsidR="00604D43" w:rsidRPr="69418C14">
        <w:rPr>
          <w:color w:val="auto"/>
          <w:sz w:val="24"/>
          <w:szCs w:val="24"/>
        </w:rPr>
        <w:t xml:space="preserve">racial </w:t>
      </w:r>
      <w:r w:rsidR="00001AB4" w:rsidRPr="69418C14">
        <w:rPr>
          <w:color w:val="auto"/>
          <w:sz w:val="24"/>
          <w:szCs w:val="24"/>
        </w:rPr>
        <w:t>disparities in the criminal justice system?</w:t>
      </w:r>
    </w:p>
    <w:p w14:paraId="528D0F94" w14:textId="6E2BA2FA" w:rsidR="009F17C6" w:rsidRPr="00ED5A18" w:rsidRDefault="00E54063" w:rsidP="00A63887">
      <w:pPr>
        <w:numPr>
          <w:ilvl w:val="1"/>
          <w:numId w:val="7"/>
        </w:numPr>
        <w:spacing w:after="120"/>
        <w:jc w:val="both"/>
        <w:rPr>
          <w:color w:val="auto"/>
          <w:sz w:val="24"/>
          <w:szCs w:val="24"/>
        </w:rPr>
      </w:pPr>
      <w:r w:rsidRPr="69418C14">
        <w:rPr>
          <w:color w:val="auto"/>
          <w:sz w:val="24"/>
          <w:szCs w:val="24"/>
        </w:rPr>
        <w:t xml:space="preserve">What steps has the State party taken </w:t>
      </w:r>
      <w:r w:rsidR="00902944" w:rsidRPr="69418C14">
        <w:rPr>
          <w:color w:val="auto"/>
          <w:sz w:val="24"/>
          <w:szCs w:val="24"/>
        </w:rPr>
        <w:t xml:space="preserve">to provide culturally specific training </w:t>
      </w:r>
      <w:r w:rsidR="00583345" w:rsidRPr="69418C14">
        <w:rPr>
          <w:color w:val="auto"/>
          <w:sz w:val="24"/>
          <w:szCs w:val="24"/>
        </w:rPr>
        <w:t>for those working with families</w:t>
      </w:r>
      <w:r w:rsidR="00C952F9" w:rsidRPr="69418C14">
        <w:rPr>
          <w:color w:val="auto"/>
          <w:sz w:val="24"/>
          <w:szCs w:val="24"/>
        </w:rPr>
        <w:t xml:space="preserve">, in consultation with members of the Black community and organizations that serve </w:t>
      </w:r>
      <w:r w:rsidR="00BC33EF" w:rsidRPr="69418C14">
        <w:rPr>
          <w:color w:val="auto"/>
          <w:sz w:val="24"/>
          <w:szCs w:val="24"/>
        </w:rPr>
        <w:t>this community</w:t>
      </w:r>
      <w:r w:rsidR="00ED5A18" w:rsidRPr="69418C14">
        <w:rPr>
          <w:color w:val="auto"/>
          <w:sz w:val="24"/>
          <w:szCs w:val="24"/>
        </w:rPr>
        <w:t>?</w:t>
      </w:r>
    </w:p>
    <w:p w14:paraId="257FD98A" w14:textId="22859D0F" w:rsidR="006A5B8B" w:rsidRDefault="006A5B8B" w:rsidP="0032166F">
      <w:pPr>
        <w:keepNext/>
        <w:spacing w:before="240" w:after="120"/>
        <w:ind w:left="720"/>
        <w:rPr>
          <w:color w:val="auto"/>
          <w:sz w:val="24"/>
          <w:szCs w:val="24"/>
        </w:rPr>
      </w:pPr>
    </w:p>
    <w:sectPr w:rsidR="006A5B8B" w:rsidSect="004B1E4E">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2FD3" w14:textId="77777777" w:rsidR="00BC34ED" w:rsidRDefault="00BC34ED">
      <w:r>
        <w:separator/>
      </w:r>
    </w:p>
  </w:endnote>
  <w:endnote w:type="continuationSeparator" w:id="0">
    <w:p w14:paraId="081C8DAA" w14:textId="77777777" w:rsidR="00BC34ED" w:rsidRDefault="00BC34ED">
      <w:r>
        <w:continuationSeparator/>
      </w:r>
    </w:p>
  </w:endnote>
  <w:endnote w:type="continuationNotice" w:id="1">
    <w:p w14:paraId="483CDC6F" w14:textId="77777777" w:rsidR="00BC34ED" w:rsidRDefault="00BC3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58AA" w14:textId="77777777" w:rsidR="00804604" w:rsidRDefault="00804604">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14:paraId="564D39EA" w14:textId="77777777" w:rsidR="00804604" w:rsidRPr="00C26130" w:rsidRDefault="0080460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EA66" w14:textId="00508656" w:rsidR="00804604" w:rsidRPr="000F3447" w:rsidRDefault="004C4A3B"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1" behindDoc="0" locked="0" layoutInCell="1" allowOverlap="1" wp14:anchorId="1143C779" wp14:editId="37F9AC37">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20"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45EB8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"/>
          </w:pict>
        </mc:Fallback>
      </mc:AlternateContent>
    </w:r>
  </w:p>
  <w:p w14:paraId="716E099E" w14:textId="77777777" w:rsidR="00804604" w:rsidRPr="000F3447" w:rsidRDefault="00804604" w:rsidP="000F3447">
    <w:pPr>
      <w:widowControl w:val="0"/>
      <w:jc w:val="center"/>
      <w:rPr>
        <w:i/>
        <w:iCs/>
        <w:color w:val="542344"/>
        <w:lang w:val="en"/>
      </w:rPr>
    </w:pPr>
    <w:r w:rsidRPr="000F3447">
      <w:rPr>
        <w:color w:val="333333"/>
        <w:lang w:val="en"/>
      </w:rPr>
      <w:t>330 Second Avenue South • Suite 800 • Minneapo</w:t>
    </w:r>
    <w:r w:rsidR="000C380B" w:rsidRPr="000F3447">
      <w:rPr>
        <w:color w:val="333333"/>
        <w:lang w:val="en"/>
      </w:rPr>
      <w:t xml:space="preserve">lis, MN </w:t>
    </w:r>
    <w:r w:rsidRPr="000F3447">
      <w:rPr>
        <w:color w:val="333333"/>
        <w:lang w:val="en"/>
      </w:rPr>
      <w:t>55401</w:t>
    </w:r>
    <w:r w:rsidR="000C380B" w:rsidRPr="000F3447">
      <w:rPr>
        <w:color w:val="333333"/>
        <w:lang w:val="en"/>
      </w:rPr>
      <w:t xml:space="preserve"> </w:t>
    </w:r>
    <w:r w:rsidRPr="000F3447">
      <w:rPr>
        <w:color w:val="333333"/>
        <w:lang w:val="en"/>
      </w:rPr>
      <w:t>• USA</w:t>
    </w:r>
  </w:p>
  <w:p w14:paraId="2573E5F1" w14:textId="77777777"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  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7C45" w14:textId="77777777" w:rsidR="00BC34ED" w:rsidRDefault="00BC34ED">
      <w:r>
        <w:separator/>
      </w:r>
    </w:p>
  </w:footnote>
  <w:footnote w:type="continuationSeparator" w:id="0">
    <w:p w14:paraId="672CA754" w14:textId="77777777" w:rsidR="00BC34ED" w:rsidRDefault="00BC34ED">
      <w:r>
        <w:continuationSeparator/>
      </w:r>
    </w:p>
  </w:footnote>
  <w:footnote w:type="continuationNotice" w:id="1">
    <w:p w14:paraId="4C832188" w14:textId="77777777" w:rsidR="00BC34ED" w:rsidRDefault="00BC34ED"/>
  </w:footnote>
  <w:footnote w:id="2">
    <w:p w14:paraId="3DC41713" w14:textId="5ECFEC66" w:rsidR="003E4213" w:rsidRPr="00A63887" w:rsidRDefault="003E4213">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D63CB7" w:rsidRPr="00A63887">
        <w:rPr>
          <w:rFonts w:ascii="Times" w:hAnsi="Times" w:cs="Times"/>
        </w:rPr>
        <w:t>National Center for Missing and Exploited Children</w:t>
      </w:r>
    </w:p>
  </w:footnote>
  <w:footnote w:id="3">
    <w:p w14:paraId="2AA49529" w14:textId="4BAA9ED3" w:rsidR="00D63CB7" w:rsidRPr="00A63887" w:rsidRDefault="00D63CB7" w:rsidP="6A25B21F">
      <w:pPr>
        <w:pStyle w:val="FootnoteText"/>
        <w:rPr>
          <w:rFonts w:ascii="Times" w:eastAsia="Open Sans" w:hAnsi="Times" w:cs="Times"/>
          <w:color w:val="000000" w:themeColor="text1"/>
        </w:rPr>
      </w:pPr>
      <w:r w:rsidRPr="00A63887">
        <w:rPr>
          <w:rStyle w:val="FootnoteReference"/>
          <w:rFonts w:ascii="Times" w:hAnsi="Times" w:cs="Times"/>
        </w:rPr>
        <w:footnoteRef/>
      </w:r>
      <w:r w:rsidRPr="00A63887">
        <w:rPr>
          <w:rFonts w:ascii="Times" w:hAnsi="Times" w:cs="Times"/>
        </w:rPr>
        <w:t xml:space="preserve"> </w:t>
      </w:r>
      <w:r w:rsidR="6A25B21F" w:rsidRPr="00A63887">
        <w:rPr>
          <w:rFonts w:ascii="Times" w:eastAsia="Open Sans" w:hAnsi="Times" w:cs="Times"/>
          <w:color w:val="000000" w:themeColor="text1"/>
        </w:rPr>
        <w:t xml:space="preserve"> Petrosky E, Blair JM, Betz CJ, Fowler KA, Jack SP, Lyons BH. Racial and Ethnic Differences in Homicides of Adult Women and the Role of Intimate Partner Violence — United States, 2003–2014. MMWR Morb Mortal Wkly Rep 2017;66:741–746. DOI: </w:t>
      </w:r>
      <w:hyperlink r:id="rId1" w:history="1">
        <w:r w:rsidR="6A25B21F" w:rsidRPr="00A63887">
          <w:rPr>
            <w:rStyle w:val="Hyperlink"/>
            <w:rFonts w:ascii="Times" w:eastAsia="Open Sans" w:hAnsi="Times" w:cs="Times"/>
          </w:rPr>
          <w:t>http://dx.doi.org/10.15585/mmwr.mm6628a1External</w:t>
        </w:r>
      </w:hyperlink>
      <w:r w:rsidR="6A25B21F" w:rsidRPr="00A63887">
        <w:rPr>
          <w:rFonts w:ascii="Times" w:eastAsia="Open Sans" w:hAnsi="Times" w:cs="Times"/>
          <w:color w:val="000000" w:themeColor="text1"/>
        </w:rPr>
        <w:t>.</w:t>
      </w:r>
    </w:p>
  </w:footnote>
  <w:footnote w:id="4">
    <w:p w14:paraId="4443D8F5" w14:textId="6B9BE8FB" w:rsidR="00D63CB7" w:rsidRPr="00A63887" w:rsidRDefault="00D63CB7" w:rsidP="6A25B21F">
      <w:pPr>
        <w:pStyle w:val="FootnoteText"/>
        <w:rPr>
          <w:rFonts w:ascii="Times" w:hAnsi="Times" w:cs="Times"/>
          <w:color w:val="000000" w:themeColor="text1"/>
        </w:rPr>
      </w:pPr>
      <w:r w:rsidRPr="00A63887">
        <w:rPr>
          <w:rStyle w:val="FootnoteReference"/>
          <w:rFonts w:ascii="Times" w:hAnsi="Times" w:cs="Times"/>
        </w:rPr>
        <w:footnoteRef/>
      </w:r>
      <w:r w:rsidRPr="00A63887">
        <w:rPr>
          <w:rFonts w:ascii="Times" w:hAnsi="Times" w:cs="Times"/>
        </w:rPr>
        <w:t xml:space="preserve"> </w:t>
      </w:r>
      <w:r w:rsidR="6A25B21F" w:rsidRPr="00A63887">
        <w:rPr>
          <w:rFonts w:ascii="Times" w:hAnsi="Times" w:cs="Times"/>
          <w:color w:val="000000" w:themeColor="text1"/>
        </w:rPr>
        <w:t xml:space="preserve"> Jada L. Moss, </w:t>
      </w:r>
      <w:r w:rsidR="6A25B21F" w:rsidRPr="00A63887">
        <w:rPr>
          <w:rFonts w:ascii="Times" w:hAnsi="Times" w:cs="Times"/>
          <w:i/>
          <w:color w:val="000000" w:themeColor="text1"/>
        </w:rPr>
        <w:t>The Forgotten Victims of Missing White Woman Syndrome: An Examination of Legal Measures That Contribute to the Lack of Search and Recovery of Missing Black Girls and Women</w:t>
      </w:r>
      <w:r w:rsidR="6A25B21F" w:rsidRPr="00A63887">
        <w:rPr>
          <w:rFonts w:ascii="Times" w:hAnsi="Times" w:cs="Times"/>
          <w:color w:val="000000" w:themeColor="text1"/>
        </w:rPr>
        <w:t>, 25 Wm. &amp; Mary J. Women &amp; L. 737 (2019), https://scholarship.law.wm.edu/wmjowl/vol25/iss3/9</w:t>
      </w:r>
    </w:p>
  </w:footnote>
  <w:footnote w:id="5">
    <w:p w14:paraId="52B3F5B0" w14:textId="4A36AEF6" w:rsidR="003D0AF0" w:rsidRPr="00A63887" w:rsidRDefault="003D0AF0" w:rsidP="005B0B5E">
      <w:pPr>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1902B591" w:rsidRPr="00A63887">
        <w:rPr>
          <w:rFonts w:ascii="Times" w:eastAsia="Times" w:hAnsi="Times" w:cs="Times"/>
        </w:rPr>
        <w:t xml:space="preserve"> Violence Free Minnesota. </w:t>
      </w:r>
      <w:r w:rsidR="1902B591" w:rsidRPr="00A63887">
        <w:rPr>
          <w:rFonts w:ascii="Times" w:eastAsia="Times" w:hAnsi="Times" w:cs="Times"/>
          <w:i/>
        </w:rPr>
        <w:t>2020 Homicide Report: Relationship Abuse in Minnesota</w:t>
      </w:r>
    </w:p>
  </w:footnote>
  <w:footnote w:id="6">
    <w:p w14:paraId="70482920" w14:textId="4A6886BD" w:rsidR="00CC65F5" w:rsidRPr="00A63887" w:rsidRDefault="00CC65F5">
      <w:pPr>
        <w:pStyle w:val="FootnoteText"/>
        <w:rPr>
          <w:rFonts w:ascii="Times" w:hAnsi="Times" w:cs="Times"/>
        </w:rPr>
      </w:pPr>
      <w:r w:rsidRPr="00A63887">
        <w:rPr>
          <w:rStyle w:val="FootnoteReference"/>
          <w:rFonts w:ascii="Times" w:hAnsi="Times" w:cs="Times"/>
        </w:rPr>
        <w:footnoteRef/>
      </w:r>
      <w:r w:rsidRPr="00A63887">
        <w:rPr>
          <w:rFonts w:ascii="Times" w:hAnsi="Times" w:cs="Times"/>
          <w:vertAlign w:val="superscript"/>
        </w:rPr>
        <w:t xml:space="preserve"> </w:t>
      </w:r>
      <w:r w:rsidRPr="00A63887">
        <w:rPr>
          <w:rFonts w:ascii="Times" w:hAnsi="Times" w:cs="Times"/>
        </w:rPr>
        <w:t xml:space="preserve"> </w:t>
      </w:r>
      <w:r w:rsidR="009D1334" w:rsidRPr="00A63887">
        <w:rPr>
          <w:rFonts w:ascii="Times" w:hAnsi="Times" w:cs="Times"/>
        </w:rPr>
        <w:t>Convention</w:t>
      </w:r>
      <w:r w:rsidR="000C4330" w:rsidRPr="00A63887">
        <w:rPr>
          <w:rFonts w:ascii="Times" w:hAnsi="Times" w:cs="Times"/>
        </w:rPr>
        <w:t xml:space="preserve"> for Elimination of Racial Discrimination</w:t>
      </w:r>
      <w:r w:rsidRPr="00A63887">
        <w:rPr>
          <w:rFonts w:ascii="Times" w:hAnsi="Times" w:cs="Times"/>
          <w:i/>
        </w:rPr>
        <w:t xml:space="preserve">, Concluding observations on the seventh </w:t>
      </w:r>
      <w:r w:rsidR="008450E8" w:rsidRPr="00A63887">
        <w:rPr>
          <w:rFonts w:ascii="Times" w:hAnsi="Times" w:cs="Times"/>
          <w:i/>
        </w:rPr>
        <w:t xml:space="preserve">to ninth </w:t>
      </w:r>
      <w:r w:rsidRPr="00A63887">
        <w:rPr>
          <w:rFonts w:ascii="Times" w:hAnsi="Times" w:cs="Times"/>
          <w:i/>
        </w:rPr>
        <w:t>periodic report</w:t>
      </w:r>
      <w:r w:rsidR="008450E8" w:rsidRPr="00A63887">
        <w:rPr>
          <w:rFonts w:ascii="Times" w:hAnsi="Times" w:cs="Times"/>
          <w:i/>
        </w:rPr>
        <w:t>s</w:t>
      </w:r>
      <w:r w:rsidRPr="00A63887">
        <w:rPr>
          <w:rFonts w:ascii="Times" w:hAnsi="Times" w:cs="Times"/>
          <w:i/>
        </w:rPr>
        <w:t xml:space="preserve"> on the </w:t>
      </w:r>
      <w:r w:rsidR="002B25C0" w:rsidRPr="00A63887">
        <w:rPr>
          <w:rFonts w:ascii="Times" w:hAnsi="Times" w:cs="Times"/>
          <w:i/>
        </w:rPr>
        <w:t>United States of America</w:t>
      </w:r>
      <w:r w:rsidRPr="00A63887">
        <w:rPr>
          <w:rFonts w:ascii="Times" w:hAnsi="Times" w:cs="Times"/>
          <w:i/>
        </w:rPr>
        <w:t xml:space="preserve">, adopted by the Committee at its </w:t>
      </w:r>
      <w:r w:rsidR="008450E8" w:rsidRPr="00A63887">
        <w:rPr>
          <w:rFonts w:ascii="Times" w:hAnsi="Times" w:cs="Times"/>
          <w:i/>
        </w:rPr>
        <w:t>2299</w:t>
      </w:r>
      <w:r w:rsidR="008450E8" w:rsidRPr="00A63887">
        <w:rPr>
          <w:rFonts w:ascii="Times" w:hAnsi="Times" w:cs="Times"/>
          <w:i/>
          <w:vertAlign w:val="superscript"/>
        </w:rPr>
        <w:t>th</w:t>
      </w:r>
      <w:r w:rsidR="008450E8" w:rsidRPr="00A63887">
        <w:rPr>
          <w:rFonts w:ascii="Times" w:hAnsi="Times" w:cs="Times"/>
          <w:i/>
        </w:rPr>
        <w:t xml:space="preserve"> and </w:t>
      </w:r>
      <w:r w:rsidR="003424EE" w:rsidRPr="00A63887">
        <w:rPr>
          <w:rFonts w:ascii="Times" w:hAnsi="Times" w:cs="Times"/>
          <w:i/>
        </w:rPr>
        <w:t>2300</w:t>
      </w:r>
      <w:r w:rsidR="003424EE" w:rsidRPr="00A63887">
        <w:rPr>
          <w:rFonts w:ascii="Times" w:hAnsi="Times" w:cs="Times"/>
          <w:i/>
          <w:vertAlign w:val="superscript"/>
        </w:rPr>
        <w:t>th</w:t>
      </w:r>
      <w:r w:rsidR="003424EE" w:rsidRPr="00A63887">
        <w:rPr>
          <w:rFonts w:ascii="Times" w:hAnsi="Times" w:cs="Times"/>
          <w:i/>
        </w:rPr>
        <w:t xml:space="preserve"> </w:t>
      </w:r>
      <w:r w:rsidRPr="00A63887">
        <w:rPr>
          <w:rFonts w:ascii="Times" w:hAnsi="Times" w:cs="Times"/>
          <w:i/>
        </w:rPr>
        <w:t>session</w:t>
      </w:r>
      <w:r w:rsidR="003424EE" w:rsidRPr="00A63887">
        <w:rPr>
          <w:rFonts w:ascii="Times" w:hAnsi="Times" w:cs="Times"/>
          <w:i/>
        </w:rPr>
        <w:t>s</w:t>
      </w:r>
      <w:r w:rsidRPr="00A63887">
        <w:rPr>
          <w:rFonts w:ascii="Times" w:hAnsi="Times" w:cs="Times"/>
        </w:rPr>
        <w:t xml:space="preserve"> (1</w:t>
      </w:r>
      <w:r w:rsidR="003424EE" w:rsidRPr="00A63887">
        <w:rPr>
          <w:rFonts w:ascii="Times" w:hAnsi="Times" w:cs="Times"/>
        </w:rPr>
        <w:t>3</w:t>
      </w:r>
      <w:r w:rsidRPr="00A63887">
        <w:rPr>
          <w:rFonts w:ascii="Times" w:hAnsi="Times" w:cs="Times"/>
        </w:rPr>
        <w:t xml:space="preserve"> </w:t>
      </w:r>
      <w:r w:rsidR="003424EE" w:rsidRPr="00A63887">
        <w:rPr>
          <w:rFonts w:ascii="Times" w:hAnsi="Times" w:cs="Times"/>
        </w:rPr>
        <w:t>August</w:t>
      </w:r>
      <w:r w:rsidRPr="00A63887">
        <w:rPr>
          <w:rFonts w:ascii="Times" w:hAnsi="Times" w:cs="Times"/>
        </w:rPr>
        <w:t xml:space="preserve"> – </w:t>
      </w:r>
      <w:r w:rsidR="003424EE" w:rsidRPr="00A63887">
        <w:rPr>
          <w:rFonts w:ascii="Times" w:hAnsi="Times" w:cs="Times"/>
        </w:rPr>
        <w:t>14</w:t>
      </w:r>
      <w:r w:rsidRPr="00A63887">
        <w:rPr>
          <w:rFonts w:ascii="Times" w:hAnsi="Times" w:cs="Times"/>
        </w:rPr>
        <w:t xml:space="preserve"> </w:t>
      </w:r>
      <w:r w:rsidR="003424EE" w:rsidRPr="00A63887">
        <w:rPr>
          <w:rFonts w:ascii="Times" w:hAnsi="Times" w:cs="Times"/>
        </w:rPr>
        <w:t>August</w:t>
      </w:r>
      <w:r w:rsidRPr="00A63887">
        <w:rPr>
          <w:rFonts w:ascii="Times" w:hAnsi="Times" w:cs="Times"/>
        </w:rPr>
        <w:t xml:space="preserve"> 201</w:t>
      </w:r>
      <w:r w:rsidR="005E1A8F" w:rsidRPr="00A63887">
        <w:rPr>
          <w:rFonts w:ascii="Times" w:hAnsi="Times" w:cs="Times"/>
        </w:rPr>
        <w:t>4</w:t>
      </w:r>
      <w:r w:rsidRPr="00A63887">
        <w:rPr>
          <w:rFonts w:ascii="Times" w:hAnsi="Times" w:cs="Times"/>
        </w:rPr>
        <w:t>), U.N. Doc. C</w:t>
      </w:r>
      <w:r w:rsidR="005E1A8F" w:rsidRPr="00A63887">
        <w:rPr>
          <w:rFonts w:ascii="Times" w:hAnsi="Times" w:cs="Times"/>
        </w:rPr>
        <w:t>ERD</w:t>
      </w:r>
      <w:r w:rsidRPr="00A63887">
        <w:rPr>
          <w:rFonts w:ascii="Times" w:hAnsi="Times" w:cs="Times"/>
        </w:rPr>
        <w:t>/C/</w:t>
      </w:r>
      <w:r w:rsidR="005E1A8F" w:rsidRPr="00A63887">
        <w:rPr>
          <w:rFonts w:ascii="Times" w:hAnsi="Times" w:cs="Times"/>
        </w:rPr>
        <w:t>USA</w:t>
      </w:r>
      <w:r w:rsidRPr="00A63887">
        <w:rPr>
          <w:rFonts w:ascii="Times" w:hAnsi="Times" w:cs="Times"/>
        </w:rPr>
        <w:t>/CO/7</w:t>
      </w:r>
      <w:r w:rsidR="005E1A8F" w:rsidRPr="00A63887">
        <w:rPr>
          <w:rFonts w:ascii="Times" w:hAnsi="Times" w:cs="Times"/>
        </w:rPr>
        <w:t>-9</w:t>
      </w:r>
      <w:r w:rsidRPr="00A63887">
        <w:rPr>
          <w:rFonts w:ascii="Times" w:hAnsi="Times" w:cs="Times"/>
        </w:rPr>
        <w:t xml:space="preserve">, ⁋ </w:t>
      </w:r>
      <w:r w:rsidR="005E1A8F" w:rsidRPr="00A63887">
        <w:rPr>
          <w:rFonts w:ascii="Times" w:hAnsi="Times" w:cs="Times"/>
        </w:rPr>
        <w:t>13</w:t>
      </w:r>
      <w:r w:rsidR="008214B4" w:rsidRPr="00A63887">
        <w:rPr>
          <w:rFonts w:ascii="Times" w:hAnsi="Times" w:cs="Times"/>
        </w:rPr>
        <w:t>.</w:t>
      </w:r>
    </w:p>
  </w:footnote>
  <w:footnote w:id="7">
    <w:p w14:paraId="255EF70C" w14:textId="78BA05AE" w:rsidR="005E1A8F" w:rsidRPr="00A63887" w:rsidRDefault="005E1A8F">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984D51" w:rsidRPr="00A63887">
        <w:rPr>
          <w:rFonts w:ascii="Times" w:hAnsi="Times" w:cs="Times"/>
        </w:rPr>
        <w:t>Convention for Elimination of Racial Discrimination</w:t>
      </w:r>
      <w:r w:rsidR="00984D51" w:rsidRPr="00A63887">
        <w:rPr>
          <w:rFonts w:ascii="Times" w:hAnsi="Times" w:cs="Times"/>
          <w:i/>
        </w:rPr>
        <w:t>, Concluding observations on the seventh to ninth periodic reports on the United States of America, adopted by the Committee at its 2299</w:t>
      </w:r>
      <w:r w:rsidR="00984D51" w:rsidRPr="00A63887">
        <w:rPr>
          <w:rFonts w:ascii="Times" w:hAnsi="Times" w:cs="Times"/>
          <w:i/>
          <w:vertAlign w:val="superscript"/>
        </w:rPr>
        <w:t>th</w:t>
      </w:r>
      <w:r w:rsidR="00984D51" w:rsidRPr="00A63887">
        <w:rPr>
          <w:rFonts w:ascii="Times" w:hAnsi="Times" w:cs="Times"/>
          <w:i/>
        </w:rPr>
        <w:t xml:space="preserve"> and 2300</w:t>
      </w:r>
      <w:r w:rsidR="00984D51" w:rsidRPr="00A63887">
        <w:rPr>
          <w:rFonts w:ascii="Times" w:hAnsi="Times" w:cs="Times"/>
          <w:i/>
          <w:vertAlign w:val="superscript"/>
        </w:rPr>
        <w:t>th</w:t>
      </w:r>
      <w:r w:rsidR="00984D51" w:rsidRPr="00A63887">
        <w:rPr>
          <w:rFonts w:ascii="Times" w:hAnsi="Times" w:cs="Times"/>
          <w:i/>
        </w:rPr>
        <w:t xml:space="preserve"> sessions</w:t>
      </w:r>
      <w:r w:rsidR="00984D51" w:rsidRPr="00A63887">
        <w:rPr>
          <w:rFonts w:ascii="Times" w:hAnsi="Times" w:cs="Times"/>
        </w:rPr>
        <w:t xml:space="preserve"> (13 August – 14 August 2014), U.N. Doc. CERD/C/USA/CO/7-9, ⁋ 13.</w:t>
      </w:r>
    </w:p>
  </w:footnote>
  <w:footnote w:id="8">
    <w:p w14:paraId="2D1D1429" w14:textId="37C84F48" w:rsidR="00647005" w:rsidRPr="00A63887" w:rsidRDefault="00647005">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701108" w:rsidRPr="00A63887">
        <w:rPr>
          <w:rFonts w:ascii="Times" w:hAnsi="Times" w:cs="Times"/>
        </w:rPr>
        <w:t xml:space="preserve">The Missing and Murdered African American Women Task Force (MMAAW) was created during the 2021 Minnesota Legislative Session. The first of its kind in the United States, the MMAAW </w:t>
      </w:r>
      <w:r w:rsidR="00701108" w:rsidRPr="00A63887">
        <w:rPr>
          <w:rFonts w:ascii="Times" w:hAnsi="Times" w:cs="Times"/>
          <w:b/>
          <w:u w:val="single"/>
        </w:rPr>
        <w:t>Task Force</w:t>
      </w:r>
      <w:r w:rsidR="00701108" w:rsidRPr="00A63887">
        <w:rPr>
          <w:rFonts w:ascii="Times" w:hAnsi="Times" w:cs="Times"/>
        </w:rPr>
        <w:t xml:space="preserve"> will examine and report on (1) systemic causes of violence against African American women and girls; (2) Appropriate methods of tracking and collecting data; (33) Policies, practices, and institutions that assist in perpetuating violence against African American women and girls; (4) Measures necessary to address and reduce violence against African American women and girls, and (5) Measures necessary to help victims, their families, and their communities. The Task For</w:t>
      </w:r>
      <w:r w:rsidR="00915A48" w:rsidRPr="00A63887">
        <w:rPr>
          <w:rFonts w:ascii="Times" w:hAnsi="Times" w:cs="Times"/>
        </w:rPr>
        <w:t>c</w:t>
      </w:r>
      <w:r w:rsidR="00701108" w:rsidRPr="00A63887">
        <w:rPr>
          <w:rFonts w:ascii="Times" w:hAnsi="Times" w:cs="Times"/>
        </w:rPr>
        <w:t>e, made up of elected officials, state actors, and leaders from community organizations, brings expertise from policy, law, dat</w:t>
      </w:r>
      <w:r w:rsidR="00915A48" w:rsidRPr="00A63887">
        <w:rPr>
          <w:rFonts w:ascii="Times" w:hAnsi="Times" w:cs="Times"/>
        </w:rPr>
        <w:t>a</w:t>
      </w:r>
      <w:r w:rsidR="00701108" w:rsidRPr="00A63887">
        <w:rPr>
          <w:rFonts w:ascii="Times" w:hAnsi="Times" w:cs="Times"/>
        </w:rPr>
        <w:t xml:space="preserve">, and direct service. The Task </w:t>
      </w:r>
      <w:r w:rsidR="00915A48" w:rsidRPr="00A63887">
        <w:rPr>
          <w:rFonts w:ascii="Times" w:hAnsi="Times" w:cs="Times"/>
        </w:rPr>
        <w:t>Force</w:t>
      </w:r>
      <w:r w:rsidR="00701108" w:rsidRPr="00A63887">
        <w:rPr>
          <w:rFonts w:ascii="Times" w:hAnsi="Times" w:cs="Times"/>
        </w:rPr>
        <w:t xml:space="preserve"> is supported by Research in Action (RIA) and a </w:t>
      </w:r>
      <w:r w:rsidR="00915A48" w:rsidRPr="00A63887">
        <w:rPr>
          <w:rFonts w:ascii="Times" w:hAnsi="Times" w:cs="Times"/>
        </w:rPr>
        <w:t>Community</w:t>
      </w:r>
      <w:r w:rsidR="00701108" w:rsidRPr="00A63887">
        <w:rPr>
          <w:rFonts w:ascii="Times" w:hAnsi="Times" w:cs="Times"/>
        </w:rPr>
        <w:t xml:space="preserve">-led </w:t>
      </w:r>
      <w:r w:rsidR="00915A48" w:rsidRPr="00A63887">
        <w:rPr>
          <w:rFonts w:ascii="Times" w:hAnsi="Times" w:cs="Times"/>
        </w:rPr>
        <w:t>Advisory</w:t>
      </w:r>
      <w:r w:rsidR="00701108" w:rsidRPr="00A63887">
        <w:rPr>
          <w:rFonts w:ascii="Times" w:hAnsi="Times" w:cs="Times"/>
        </w:rPr>
        <w:t xml:space="preserve"> Council of Bla</w:t>
      </w:r>
      <w:r w:rsidR="00915A48" w:rsidRPr="00A63887">
        <w:rPr>
          <w:rFonts w:ascii="Times" w:hAnsi="Times" w:cs="Times"/>
        </w:rPr>
        <w:t>c</w:t>
      </w:r>
      <w:r w:rsidR="00701108" w:rsidRPr="00A63887">
        <w:rPr>
          <w:rFonts w:ascii="Times" w:hAnsi="Times" w:cs="Times"/>
        </w:rPr>
        <w:t xml:space="preserve">k women and girls directly impacted by systems of exploitation and erasure. </w:t>
      </w:r>
      <w:r w:rsidR="00B9535E" w:rsidRPr="00A63887">
        <w:rPr>
          <w:rFonts w:ascii="Times" w:hAnsi="Times" w:cs="Times"/>
        </w:rPr>
        <w:t xml:space="preserve">The MMAAW Task Force is advised by the expertise of the MMAAW </w:t>
      </w:r>
      <w:r w:rsidR="00B9535E" w:rsidRPr="00A63887">
        <w:rPr>
          <w:rFonts w:ascii="Times" w:hAnsi="Times" w:cs="Times"/>
          <w:b/>
          <w:u w:val="single"/>
        </w:rPr>
        <w:t>Advisory Council</w:t>
      </w:r>
      <w:r w:rsidR="00B9535E" w:rsidRPr="00A63887">
        <w:rPr>
          <w:rFonts w:ascii="Times" w:hAnsi="Times" w:cs="Times"/>
        </w:rPr>
        <w:t>, made up of Black women and girls that has experienced violence, abduction, and/or trafficking, and family members who have lost a love</w:t>
      </w:r>
      <w:r w:rsidR="00915A48" w:rsidRPr="00A63887">
        <w:rPr>
          <w:rFonts w:ascii="Times" w:hAnsi="Times" w:cs="Times"/>
        </w:rPr>
        <w:t>d</w:t>
      </w:r>
      <w:r w:rsidR="00B9535E" w:rsidRPr="00A63887">
        <w:rPr>
          <w:rFonts w:ascii="Times" w:hAnsi="Times" w:cs="Times"/>
        </w:rPr>
        <w:t xml:space="preserve"> on</w:t>
      </w:r>
      <w:r w:rsidR="00915A48" w:rsidRPr="00A63887">
        <w:rPr>
          <w:rFonts w:ascii="Times" w:hAnsi="Times" w:cs="Times"/>
        </w:rPr>
        <w:t xml:space="preserve">e to this violence. </w:t>
      </w:r>
    </w:p>
  </w:footnote>
  <w:footnote w:id="9">
    <w:p w14:paraId="295D7803" w14:textId="0E3DE0FE"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91469C" w:rsidRPr="00A63887">
        <w:rPr>
          <w:rFonts w:ascii="Times" w:hAnsi="Times" w:cs="Times"/>
        </w:rPr>
        <w:t xml:space="preserve">Written information from </w:t>
      </w:r>
      <w:r w:rsidRPr="00A63887">
        <w:rPr>
          <w:rFonts w:ascii="Times" w:hAnsi="Times" w:cs="Times"/>
        </w:rPr>
        <w:t>R</w:t>
      </w:r>
      <w:r w:rsidR="0091469C" w:rsidRPr="00A63887">
        <w:rPr>
          <w:rFonts w:ascii="Times" w:hAnsi="Times" w:cs="Times"/>
        </w:rPr>
        <w:t xml:space="preserve">esearch in Action, </w:t>
      </w:r>
      <w:r w:rsidR="00FB23F3" w:rsidRPr="00A63887">
        <w:rPr>
          <w:rFonts w:ascii="Times" w:hAnsi="Times" w:cs="Times"/>
        </w:rPr>
        <w:t>27 April 2022, on file with author.</w:t>
      </w:r>
    </w:p>
  </w:footnote>
  <w:footnote w:id="10">
    <w:p w14:paraId="76071633" w14:textId="7C335FD0"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11">
    <w:p w14:paraId="52A3B047" w14:textId="1BD29ED6" w:rsidR="005E1A8F" w:rsidRPr="00A63887" w:rsidRDefault="005E1A8F">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9D1334" w:rsidRPr="00A63887">
        <w:rPr>
          <w:rFonts w:ascii="Times" w:hAnsi="Times" w:cs="Times"/>
        </w:rPr>
        <w:t>Convention</w:t>
      </w:r>
      <w:r w:rsidRPr="00A63887">
        <w:rPr>
          <w:rFonts w:ascii="Times" w:hAnsi="Times" w:cs="Times"/>
        </w:rPr>
        <w:t xml:space="preserve"> for Elimination of Racial Discrimination</w:t>
      </w:r>
      <w:r w:rsidRPr="00A63887">
        <w:rPr>
          <w:rFonts w:ascii="Times" w:hAnsi="Times" w:cs="Times"/>
          <w:i/>
        </w:rPr>
        <w:t>, Concluding observations on the seventh to ninth periodic reports on the United States of America, adopted by the Committee at its 2299</w:t>
      </w:r>
      <w:r w:rsidRPr="00A63887">
        <w:rPr>
          <w:rFonts w:ascii="Times" w:hAnsi="Times" w:cs="Times"/>
          <w:i/>
          <w:vertAlign w:val="superscript"/>
        </w:rPr>
        <w:t>th</w:t>
      </w:r>
      <w:r w:rsidRPr="00A63887">
        <w:rPr>
          <w:rFonts w:ascii="Times" w:hAnsi="Times" w:cs="Times"/>
          <w:i/>
        </w:rPr>
        <w:t xml:space="preserve"> and 2300</w:t>
      </w:r>
      <w:r w:rsidRPr="00A63887">
        <w:rPr>
          <w:rFonts w:ascii="Times" w:hAnsi="Times" w:cs="Times"/>
          <w:i/>
          <w:vertAlign w:val="superscript"/>
        </w:rPr>
        <w:t>th</w:t>
      </w:r>
      <w:r w:rsidRPr="00A63887">
        <w:rPr>
          <w:rFonts w:ascii="Times" w:hAnsi="Times" w:cs="Times"/>
          <w:i/>
        </w:rPr>
        <w:t xml:space="preserve"> sessions</w:t>
      </w:r>
      <w:r w:rsidRPr="00A63887">
        <w:rPr>
          <w:rFonts w:ascii="Times" w:hAnsi="Times" w:cs="Times"/>
        </w:rPr>
        <w:t xml:space="preserve"> (13 August – 14 August 2014), U.N. Doc. CERD/C/USA/CO/7-9, ⁋ 14.</w:t>
      </w:r>
    </w:p>
  </w:footnote>
  <w:footnote w:id="12">
    <w:p w14:paraId="01B0BA7F" w14:textId="142213BB" w:rsidR="00925B8A" w:rsidRPr="00A63887" w:rsidRDefault="00925B8A">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Convention for Elimination of Racial Discrimination</w:t>
      </w:r>
      <w:r w:rsidRPr="00A63887">
        <w:rPr>
          <w:rFonts w:ascii="Times" w:hAnsi="Times" w:cs="Times"/>
          <w:i/>
        </w:rPr>
        <w:t>, Concluding observations on the seventh to ninth periodic reports on the United States of America, adopted by the Committee at its 2299</w:t>
      </w:r>
      <w:r w:rsidRPr="00A63887">
        <w:rPr>
          <w:rFonts w:ascii="Times" w:hAnsi="Times" w:cs="Times"/>
          <w:i/>
          <w:vertAlign w:val="superscript"/>
        </w:rPr>
        <w:t>th</w:t>
      </w:r>
      <w:r w:rsidRPr="00A63887">
        <w:rPr>
          <w:rFonts w:ascii="Times" w:hAnsi="Times" w:cs="Times"/>
          <w:i/>
        </w:rPr>
        <w:t xml:space="preserve"> and 2300</w:t>
      </w:r>
      <w:r w:rsidRPr="00A63887">
        <w:rPr>
          <w:rFonts w:ascii="Times" w:hAnsi="Times" w:cs="Times"/>
          <w:i/>
          <w:vertAlign w:val="superscript"/>
        </w:rPr>
        <w:t>th</w:t>
      </w:r>
      <w:r w:rsidRPr="00A63887">
        <w:rPr>
          <w:rFonts w:ascii="Times" w:hAnsi="Times" w:cs="Times"/>
          <w:i/>
        </w:rPr>
        <w:t xml:space="preserve"> sessions</w:t>
      </w:r>
      <w:r w:rsidRPr="00A63887">
        <w:rPr>
          <w:rFonts w:ascii="Times" w:hAnsi="Times" w:cs="Times"/>
        </w:rPr>
        <w:t xml:space="preserve"> (13 August – 14 August 2014), U.N. Doc. CERD/C/USA/CO/7-9, ⁋ 14.</w:t>
      </w:r>
    </w:p>
  </w:footnote>
  <w:footnote w:id="13">
    <w:p w14:paraId="3CDEA7A1" w14:textId="5997D7D1"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14">
    <w:p w14:paraId="0FFD01D8" w14:textId="63E3BADD"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15">
    <w:p w14:paraId="7349D8C6" w14:textId="257C73B7"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16">
    <w:p w14:paraId="3CEB318A" w14:textId="58951546" w:rsidR="005E1A8F" w:rsidRPr="00A63887" w:rsidRDefault="005E1A8F">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BF7351" w:rsidRPr="00A63887">
        <w:rPr>
          <w:rFonts w:ascii="Times" w:hAnsi="Times" w:cs="Times"/>
        </w:rPr>
        <w:t>Co</w:t>
      </w:r>
      <w:r w:rsidR="009D1334" w:rsidRPr="00A63887">
        <w:rPr>
          <w:rFonts w:ascii="Times" w:hAnsi="Times" w:cs="Times"/>
        </w:rPr>
        <w:t>n</w:t>
      </w:r>
      <w:r w:rsidR="00BF7351" w:rsidRPr="00A63887">
        <w:rPr>
          <w:rFonts w:ascii="Times" w:hAnsi="Times" w:cs="Times"/>
        </w:rPr>
        <w:t>vention</w:t>
      </w:r>
      <w:r w:rsidRPr="00A63887">
        <w:rPr>
          <w:rFonts w:ascii="Times" w:hAnsi="Times" w:cs="Times"/>
        </w:rPr>
        <w:t xml:space="preserve"> for Elimination of Racial Discrimination</w:t>
      </w:r>
      <w:r w:rsidRPr="00A63887">
        <w:rPr>
          <w:rFonts w:ascii="Times" w:hAnsi="Times" w:cs="Times"/>
          <w:i/>
        </w:rPr>
        <w:t>, Concluding observations on the seventh to ninth periodic reports on the United States of America, adopted by the Committee at its 2299</w:t>
      </w:r>
      <w:r w:rsidRPr="00A63887">
        <w:rPr>
          <w:rFonts w:ascii="Times" w:hAnsi="Times" w:cs="Times"/>
          <w:i/>
          <w:vertAlign w:val="superscript"/>
        </w:rPr>
        <w:t>th</w:t>
      </w:r>
      <w:r w:rsidRPr="00A63887">
        <w:rPr>
          <w:rFonts w:ascii="Times" w:hAnsi="Times" w:cs="Times"/>
          <w:i/>
        </w:rPr>
        <w:t xml:space="preserve"> and 2300</w:t>
      </w:r>
      <w:r w:rsidRPr="00A63887">
        <w:rPr>
          <w:rFonts w:ascii="Times" w:hAnsi="Times" w:cs="Times"/>
          <w:i/>
          <w:vertAlign w:val="superscript"/>
        </w:rPr>
        <w:t>th</w:t>
      </w:r>
      <w:r w:rsidRPr="00A63887">
        <w:rPr>
          <w:rFonts w:ascii="Times" w:hAnsi="Times" w:cs="Times"/>
          <w:i/>
        </w:rPr>
        <w:t xml:space="preserve"> sessions</w:t>
      </w:r>
      <w:r w:rsidRPr="00A63887">
        <w:rPr>
          <w:rFonts w:ascii="Times" w:hAnsi="Times" w:cs="Times"/>
        </w:rPr>
        <w:t xml:space="preserve"> (13 August – 14 August 2014), U.N. Doc. CERD/C/USA/CO/7-9, ⁋ 15.</w:t>
      </w:r>
    </w:p>
  </w:footnote>
  <w:footnote w:id="17">
    <w:p w14:paraId="06B5EF1E" w14:textId="76325FDC" w:rsidR="005E1A8F" w:rsidRPr="00A63887" w:rsidRDefault="005E1A8F">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984D51" w:rsidRPr="00A63887">
        <w:rPr>
          <w:rFonts w:ascii="Times" w:hAnsi="Times" w:cs="Times"/>
        </w:rPr>
        <w:t>Convention for Elimination of Racial Discrimination</w:t>
      </w:r>
      <w:r w:rsidR="00984D51" w:rsidRPr="00A63887">
        <w:rPr>
          <w:rFonts w:ascii="Times" w:hAnsi="Times" w:cs="Times"/>
          <w:i/>
        </w:rPr>
        <w:t>, Concluding observations on the seventh to ninth periodic reports on the United States of America, adopted by the Committee at its 2299</w:t>
      </w:r>
      <w:r w:rsidR="00984D51" w:rsidRPr="00A63887">
        <w:rPr>
          <w:rFonts w:ascii="Times" w:hAnsi="Times" w:cs="Times"/>
          <w:i/>
          <w:vertAlign w:val="superscript"/>
        </w:rPr>
        <w:t>th</w:t>
      </w:r>
      <w:r w:rsidR="00984D51" w:rsidRPr="00A63887">
        <w:rPr>
          <w:rFonts w:ascii="Times" w:hAnsi="Times" w:cs="Times"/>
          <w:i/>
        </w:rPr>
        <w:t xml:space="preserve"> and 2300</w:t>
      </w:r>
      <w:r w:rsidR="00984D51" w:rsidRPr="00A63887">
        <w:rPr>
          <w:rFonts w:ascii="Times" w:hAnsi="Times" w:cs="Times"/>
          <w:i/>
          <w:vertAlign w:val="superscript"/>
        </w:rPr>
        <w:t>th</w:t>
      </w:r>
      <w:r w:rsidR="00984D51" w:rsidRPr="00A63887">
        <w:rPr>
          <w:rFonts w:ascii="Times" w:hAnsi="Times" w:cs="Times"/>
          <w:i/>
        </w:rPr>
        <w:t xml:space="preserve"> sessions</w:t>
      </w:r>
      <w:r w:rsidR="00984D51" w:rsidRPr="00A63887">
        <w:rPr>
          <w:rFonts w:ascii="Times" w:hAnsi="Times" w:cs="Times"/>
        </w:rPr>
        <w:t xml:space="preserve"> (13 August – 14 August 2014), U.N. Doc. CERD/C/USA/CO/7-9, ⁋ 15.</w:t>
      </w:r>
    </w:p>
  </w:footnote>
  <w:footnote w:id="18">
    <w:p w14:paraId="4095C510" w14:textId="2D949D2B" w:rsidR="005E1A8F" w:rsidRPr="00A63887" w:rsidRDefault="005E1A8F">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984D51" w:rsidRPr="00A63887">
        <w:rPr>
          <w:rFonts w:ascii="Times" w:hAnsi="Times" w:cs="Times"/>
        </w:rPr>
        <w:t>Convention for Elimination of Racial Discrimination</w:t>
      </w:r>
      <w:r w:rsidR="00984D51" w:rsidRPr="00A63887">
        <w:rPr>
          <w:rFonts w:ascii="Times" w:hAnsi="Times" w:cs="Times"/>
          <w:i/>
        </w:rPr>
        <w:t>, Concluding observations on the seventh to ninth periodic reports on the United States of America, adopted by the Committee at its 2299</w:t>
      </w:r>
      <w:r w:rsidR="00984D51" w:rsidRPr="00A63887">
        <w:rPr>
          <w:rFonts w:ascii="Times" w:hAnsi="Times" w:cs="Times"/>
          <w:i/>
          <w:vertAlign w:val="superscript"/>
        </w:rPr>
        <w:t>th</w:t>
      </w:r>
      <w:r w:rsidR="00984D51" w:rsidRPr="00A63887">
        <w:rPr>
          <w:rFonts w:ascii="Times" w:hAnsi="Times" w:cs="Times"/>
          <w:i/>
        </w:rPr>
        <w:t xml:space="preserve"> and 2300</w:t>
      </w:r>
      <w:r w:rsidR="00984D51" w:rsidRPr="00A63887">
        <w:rPr>
          <w:rFonts w:ascii="Times" w:hAnsi="Times" w:cs="Times"/>
          <w:i/>
          <w:vertAlign w:val="superscript"/>
        </w:rPr>
        <w:t>th</w:t>
      </w:r>
      <w:r w:rsidR="00984D51" w:rsidRPr="00A63887">
        <w:rPr>
          <w:rFonts w:ascii="Times" w:hAnsi="Times" w:cs="Times"/>
          <w:i/>
        </w:rPr>
        <w:t xml:space="preserve"> sessions</w:t>
      </w:r>
      <w:r w:rsidR="00984D51" w:rsidRPr="00A63887">
        <w:rPr>
          <w:rFonts w:ascii="Times" w:hAnsi="Times" w:cs="Times"/>
        </w:rPr>
        <w:t xml:space="preserve"> (13 August – 14 August 2014), U.N. Doc. CERD/C/USA/CO/7-9, ⁋ 15.</w:t>
      </w:r>
    </w:p>
  </w:footnote>
  <w:footnote w:id="19">
    <w:p w14:paraId="5F836DAD" w14:textId="1798E377" w:rsidR="008602F5" w:rsidRPr="00A63887" w:rsidRDefault="008602F5">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1F7D9F" w:rsidRPr="00A63887">
        <w:rPr>
          <w:rFonts w:ascii="Times" w:hAnsi="Times" w:cs="Times"/>
        </w:rPr>
        <w:t>Convention</w:t>
      </w:r>
      <w:r w:rsidRPr="00A63887">
        <w:rPr>
          <w:rFonts w:ascii="Times" w:hAnsi="Times" w:cs="Times"/>
        </w:rPr>
        <w:t xml:space="preserve"> for Elimination of Racial Discrimination, </w:t>
      </w:r>
      <w:r w:rsidR="001F7D9F" w:rsidRPr="00A63887">
        <w:rPr>
          <w:rFonts w:ascii="Times" w:hAnsi="Times" w:cs="Times"/>
          <w:i/>
        </w:rPr>
        <w:t xml:space="preserve">Combined tenth to </w:t>
      </w:r>
      <w:r w:rsidR="00BF7351" w:rsidRPr="00A63887">
        <w:rPr>
          <w:rFonts w:ascii="Times" w:hAnsi="Times" w:cs="Times"/>
          <w:i/>
        </w:rPr>
        <w:t>twelfth</w:t>
      </w:r>
      <w:r w:rsidRPr="00A63887">
        <w:rPr>
          <w:rFonts w:ascii="Times" w:hAnsi="Times" w:cs="Times"/>
          <w:i/>
        </w:rPr>
        <w:t xml:space="preserve"> periodic report submitted by </w:t>
      </w:r>
      <w:r w:rsidR="00E473DD" w:rsidRPr="00A63887">
        <w:rPr>
          <w:rFonts w:ascii="Times" w:hAnsi="Times" w:cs="Times"/>
          <w:i/>
        </w:rPr>
        <w:t>the United States</w:t>
      </w:r>
      <w:r w:rsidRPr="00A63887">
        <w:rPr>
          <w:rFonts w:ascii="Times" w:hAnsi="Times" w:cs="Times"/>
          <w:i/>
        </w:rPr>
        <w:t xml:space="preserve"> under article 9 of the Convention</w:t>
      </w:r>
      <w:r w:rsidRPr="00A63887">
        <w:rPr>
          <w:rFonts w:ascii="Times" w:hAnsi="Times" w:cs="Times"/>
        </w:rPr>
        <w:t>,</w:t>
      </w:r>
      <w:r w:rsidRPr="00A63887">
        <w:rPr>
          <w:rFonts w:ascii="Times" w:hAnsi="Times" w:cs="Times"/>
          <w:i/>
        </w:rPr>
        <w:t xml:space="preserve"> due in 201</w:t>
      </w:r>
      <w:r w:rsidR="001F7D9F" w:rsidRPr="00A63887">
        <w:rPr>
          <w:rFonts w:ascii="Times" w:hAnsi="Times" w:cs="Times"/>
          <w:i/>
        </w:rPr>
        <w:t>7</w:t>
      </w:r>
      <w:r w:rsidRPr="00A63887">
        <w:rPr>
          <w:rFonts w:ascii="Times" w:hAnsi="Times" w:cs="Times"/>
        </w:rPr>
        <w:t>, (</w:t>
      </w:r>
      <w:r w:rsidR="00BF7351" w:rsidRPr="00A63887">
        <w:rPr>
          <w:rFonts w:ascii="Times" w:hAnsi="Times" w:cs="Times"/>
        </w:rPr>
        <w:t>2 June</w:t>
      </w:r>
      <w:r w:rsidRPr="00A63887">
        <w:rPr>
          <w:rFonts w:ascii="Times" w:hAnsi="Times" w:cs="Times"/>
        </w:rPr>
        <w:t xml:space="preserve"> 20</w:t>
      </w:r>
      <w:r w:rsidR="00BF7351" w:rsidRPr="00A63887">
        <w:rPr>
          <w:rFonts w:ascii="Times" w:hAnsi="Times" w:cs="Times"/>
        </w:rPr>
        <w:t>21</w:t>
      </w:r>
      <w:r w:rsidRPr="00A63887">
        <w:rPr>
          <w:rFonts w:ascii="Times" w:hAnsi="Times" w:cs="Times"/>
        </w:rPr>
        <w:t>), U.N. Doc. C</w:t>
      </w:r>
      <w:r w:rsidR="00BF7351" w:rsidRPr="00A63887">
        <w:rPr>
          <w:rFonts w:ascii="Times" w:hAnsi="Times" w:cs="Times"/>
        </w:rPr>
        <w:t>ERD</w:t>
      </w:r>
      <w:r w:rsidRPr="00A63887">
        <w:rPr>
          <w:rFonts w:ascii="Times" w:hAnsi="Times" w:cs="Times"/>
        </w:rPr>
        <w:t>/C/</w:t>
      </w:r>
      <w:r w:rsidR="00BF7351" w:rsidRPr="00A63887">
        <w:rPr>
          <w:rFonts w:ascii="Times" w:hAnsi="Times" w:cs="Times"/>
        </w:rPr>
        <w:t>USA</w:t>
      </w:r>
      <w:r w:rsidRPr="00A63887">
        <w:rPr>
          <w:rFonts w:ascii="Times" w:hAnsi="Times" w:cs="Times"/>
        </w:rPr>
        <w:t>/</w:t>
      </w:r>
      <w:r w:rsidR="00BF7351" w:rsidRPr="00A63887">
        <w:rPr>
          <w:rFonts w:ascii="Times" w:hAnsi="Times" w:cs="Times"/>
        </w:rPr>
        <w:t>10-12</w:t>
      </w:r>
      <w:r w:rsidRPr="00A63887">
        <w:rPr>
          <w:rFonts w:ascii="Times" w:hAnsi="Times" w:cs="Times"/>
        </w:rPr>
        <w:t xml:space="preserve">, ¶ </w:t>
      </w:r>
      <w:r w:rsidR="00BF7351" w:rsidRPr="00A63887">
        <w:rPr>
          <w:rFonts w:ascii="Times" w:hAnsi="Times" w:cs="Times"/>
        </w:rPr>
        <w:t>70</w:t>
      </w:r>
      <w:r w:rsidRPr="00A63887">
        <w:rPr>
          <w:rFonts w:ascii="Times" w:hAnsi="Times" w:cs="Times"/>
        </w:rPr>
        <w:t>.</w:t>
      </w:r>
    </w:p>
  </w:footnote>
  <w:footnote w:id="20">
    <w:p w14:paraId="787F4B11" w14:textId="645B135F" w:rsidR="00843181" w:rsidRPr="00A63887" w:rsidRDefault="00843181">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E473DD" w:rsidRPr="00A63887">
        <w:rPr>
          <w:rFonts w:ascii="Times" w:hAnsi="Times" w:cs="Times"/>
        </w:rPr>
        <w:t xml:space="preserve">Convention for Elimination of Racial Discrimination, </w:t>
      </w:r>
      <w:r w:rsidR="00E473DD" w:rsidRPr="00A63887">
        <w:rPr>
          <w:rFonts w:ascii="Times" w:hAnsi="Times" w:cs="Times"/>
          <w:i/>
        </w:rPr>
        <w:t>Combined tenth to twelfth periodic report submitted by the United States under article 9 of the Convention</w:t>
      </w:r>
      <w:r w:rsidR="00E473DD" w:rsidRPr="00A63887">
        <w:rPr>
          <w:rFonts w:ascii="Times" w:hAnsi="Times" w:cs="Times"/>
        </w:rPr>
        <w:t>,</w:t>
      </w:r>
      <w:r w:rsidR="00E473DD" w:rsidRPr="00A63887">
        <w:rPr>
          <w:rFonts w:ascii="Times" w:hAnsi="Times" w:cs="Times"/>
          <w:i/>
        </w:rPr>
        <w:t xml:space="preserve"> due in 2017</w:t>
      </w:r>
      <w:r w:rsidR="00E473DD" w:rsidRPr="00A63887">
        <w:rPr>
          <w:rFonts w:ascii="Times" w:hAnsi="Times" w:cs="Times"/>
        </w:rPr>
        <w:t>, (2 June 2021), U.N. Doc. CERD/C/USA/10-12, ¶ 70.</w:t>
      </w:r>
    </w:p>
  </w:footnote>
  <w:footnote w:id="21">
    <w:p w14:paraId="0A8538B4" w14:textId="3A8B055D" w:rsidR="00843181" w:rsidRPr="00A63887" w:rsidRDefault="00843181">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E473DD" w:rsidRPr="00A63887">
        <w:rPr>
          <w:rFonts w:ascii="Times" w:hAnsi="Times" w:cs="Times"/>
        </w:rPr>
        <w:t xml:space="preserve">Convention for Elimination of Racial Discrimination, </w:t>
      </w:r>
      <w:r w:rsidR="00E473DD" w:rsidRPr="00A63887">
        <w:rPr>
          <w:rFonts w:ascii="Times" w:hAnsi="Times" w:cs="Times"/>
          <w:i/>
        </w:rPr>
        <w:t>Combined tenth to twelfth periodic report submitted by the United States under article 9 of the Convention</w:t>
      </w:r>
      <w:r w:rsidR="00E473DD" w:rsidRPr="00A63887">
        <w:rPr>
          <w:rFonts w:ascii="Times" w:hAnsi="Times" w:cs="Times"/>
        </w:rPr>
        <w:t>,</w:t>
      </w:r>
      <w:r w:rsidR="00E473DD" w:rsidRPr="00A63887">
        <w:rPr>
          <w:rFonts w:ascii="Times" w:hAnsi="Times" w:cs="Times"/>
          <w:i/>
        </w:rPr>
        <w:t xml:space="preserve"> due in 2017</w:t>
      </w:r>
      <w:r w:rsidR="00E473DD" w:rsidRPr="00A63887">
        <w:rPr>
          <w:rFonts w:ascii="Times" w:hAnsi="Times" w:cs="Times"/>
        </w:rPr>
        <w:t>, (2 June 2021), U.N. Doc. CERD/C/USA/10-12, ¶ 70.</w:t>
      </w:r>
    </w:p>
  </w:footnote>
  <w:footnote w:id="22">
    <w:p w14:paraId="65FF6298" w14:textId="0E828290" w:rsidR="00364C51" w:rsidRPr="00A63887" w:rsidRDefault="00364C51">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23">
    <w:p w14:paraId="421437BF" w14:textId="47DD681A" w:rsidR="00364C51" w:rsidRPr="00A63887" w:rsidRDefault="00364C51">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24">
    <w:p w14:paraId="20B937CB" w14:textId="388FBE44" w:rsidR="00AF30BB" w:rsidRPr="00A63887" w:rsidRDefault="00AF30B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1F7D9F" w:rsidRPr="00A63887">
        <w:rPr>
          <w:rFonts w:ascii="Times" w:hAnsi="Times" w:cs="Times"/>
        </w:rPr>
        <w:t>Convention</w:t>
      </w:r>
      <w:r w:rsidRPr="00A63887">
        <w:rPr>
          <w:rFonts w:ascii="Times" w:hAnsi="Times" w:cs="Times"/>
        </w:rPr>
        <w:t xml:space="preserve"> for Elimination of Racial Discrimination</w:t>
      </w:r>
      <w:r w:rsidRPr="00A63887">
        <w:rPr>
          <w:rFonts w:ascii="Times" w:hAnsi="Times" w:cs="Times"/>
          <w:i/>
        </w:rPr>
        <w:t>, Concluding observations on the seventh to ninth periodic reports on the United States of America, adopted by the Committee at its 2299</w:t>
      </w:r>
      <w:r w:rsidRPr="00A63887">
        <w:rPr>
          <w:rFonts w:ascii="Times" w:hAnsi="Times" w:cs="Times"/>
          <w:i/>
          <w:vertAlign w:val="superscript"/>
        </w:rPr>
        <w:t>th</w:t>
      </w:r>
      <w:r w:rsidRPr="00A63887">
        <w:rPr>
          <w:rFonts w:ascii="Times" w:hAnsi="Times" w:cs="Times"/>
          <w:i/>
        </w:rPr>
        <w:t xml:space="preserve"> and 2300</w:t>
      </w:r>
      <w:r w:rsidRPr="00A63887">
        <w:rPr>
          <w:rFonts w:ascii="Times" w:hAnsi="Times" w:cs="Times"/>
          <w:i/>
          <w:vertAlign w:val="superscript"/>
        </w:rPr>
        <w:t>th</w:t>
      </w:r>
      <w:r w:rsidRPr="00A63887">
        <w:rPr>
          <w:rFonts w:ascii="Times" w:hAnsi="Times" w:cs="Times"/>
          <w:i/>
        </w:rPr>
        <w:t xml:space="preserve"> sessions</w:t>
      </w:r>
      <w:r w:rsidRPr="00A63887">
        <w:rPr>
          <w:rFonts w:ascii="Times" w:hAnsi="Times" w:cs="Times"/>
        </w:rPr>
        <w:t xml:space="preserve"> (13 August – 14 August 2014), U.N. Doc. CERD/C/USA/CO/7-9, ⁋ 19.</w:t>
      </w:r>
    </w:p>
  </w:footnote>
  <w:footnote w:id="25">
    <w:p w14:paraId="0E8F3C6A" w14:textId="3C9D3977" w:rsidR="00AF30BB" w:rsidRPr="00A63887" w:rsidRDefault="00AF30B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843181" w:rsidRPr="00A63887">
        <w:rPr>
          <w:rFonts w:ascii="Times" w:hAnsi="Times" w:cs="Times"/>
        </w:rPr>
        <w:t>Convention for Elimination of Racial Discrimination</w:t>
      </w:r>
      <w:r w:rsidR="00843181" w:rsidRPr="00A63887">
        <w:rPr>
          <w:rFonts w:ascii="Times" w:hAnsi="Times" w:cs="Times"/>
          <w:i/>
        </w:rPr>
        <w:t>, Concluding observations on the seventh to ninth periodic reports on the United States of America, adopted by the Committee at its 2299</w:t>
      </w:r>
      <w:r w:rsidR="00843181" w:rsidRPr="00A63887">
        <w:rPr>
          <w:rFonts w:ascii="Times" w:hAnsi="Times" w:cs="Times"/>
          <w:i/>
          <w:vertAlign w:val="superscript"/>
        </w:rPr>
        <w:t>th</w:t>
      </w:r>
      <w:r w:rsidR="00843181" w:rsidRPr="00A63887">
        <w:rPr>
          <w:rFonts w:ascii="Times" w:hAnsi="Times" w:cs="Times"/>
          <w:i/>
        </w:rPr>
        <w:t xml:space="preserve"> and 2300</w:t>
      </w:r>
      <w:r w:rsidR="00843181" w:rsidRPr="00A63887">
        <w:rPr>
          <w:rFonts w:ascii="Times" w:hAnsi="Times" w:cs="Times"/>
          <w:i/>
          <w:vertAlign w:val="superscript"/>
        </w:rPr>
        <w:t>th</w:t>
      </w:r>
      <w:r w:rsidR="00843181" w:rsidRPr="00A63887">
        <w:rPr>
          <w:rFonts w:ascii="Times" w:hAnsi="Times" w:cs="Times"/>
          <w:i/>
        </w:rPr>
        <w:t xml:space="preserve"> sessions</w:t>
      </w:r>
      <w:r w:rsidR="00843181" w:rsidRPr="00A63887">
        <w:rPr>
          <w:rFonts w:ascii="Times" w:hAnsi="Times" w:cs="Times"/>
        </w:rPr>
        <w:t xml:space="preserve"> (13 August – 14 August 2014), U.N. Doc. CERD/C/USA/CO/7-9, ⁋ 19.</w:t>
      </w:r>
    </w:p>
  </w:footnote>
  <w:footnote w:id="26">
    <w:p w14:paraId="1E1FA26D" w14:textId="328B112C" w:rsidR="00AF30BB" w:rsidRPr="00A63887" w:rsidRDefault="00AF30B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843181" w:rsidRPr="00A63887">
        <w:rPr>
          <w:rFonts w:ascii="Times" w:hAnsi="Times" w:cs="Times"/>
        </w:rPr>
        <w:t>Convention for Elimination of Racial Discrimination</w:t>
      </w:r>
      <w:r w:rsidR="00843181" w:rsidRPr="00A63887">
        <w:rPr>
          <w:rFonts w:ascii="Times" w:hAnsi="Times" w:cs="Times"/>
          <w:i/>
        </w:rPr>
        <w:t>, Concluding observations on the seventh to ninth periodic reports on the United States of America, adopted by the Committee at its 2299</w:t>
      </w:r>
      <w:r w:rsidR="00843181" w:rsidRPr="00A63887">
        <w:rPr>
          <w:rFonts w:ascii="Times" w:hAnsi="Times" w:cs="Times"/>
          <w:i/>
          <w:vertAlign w:val="superscript"/>
        </w:rPr>
        <w:t>th</w:t>
      </w:r>
      <w:r w:rsidR="00843181" w:rsidRPr="00A63887">
        <w:rPr>
          <w:rFonts w:ascii="Times" w:hAnsi="Times" w:cs="Times"/>
          <w:i/>
        </w:rPr>
        <w:t xml:space="preserve"> and 2300</w:t>
      </w:r>
      <w:r w:rsidR="00843181" w:rsidRPr="00A63887">
        <w:rPr>
          <w:rFonts w:ascii="Times" w:hAnsi="Times" w:cs="Times"/>
          <w:i/>
          <w:vertAlign w:val="superscript"/>
        </w:rPr>
        <w:t>th</w:t>
      </w:r>
      <w:r w:rsidR="00843181" w:rsidRPr="00A63887">
        <w:rPr>
          <w:rFonts w:ascii="Times" w:hAnsi="Times" w:cs="Times"/>
          <w:i/>
        </w:rPr>
        <w:t xml:space="preserve"> sessions</w:t>
      </w:r>
      <w:r w:rsidR="00843181" w:rsidRPr="00A63887">
        <w:rPr>
          <w:rFonts w:ascii="Times" w:hAnsi="Times" w:cs="Times"/>
        </w:rPr>
        <w:t xml:space="preserve"> (13 August – 14 August 2014), U.N. Doc. CERD/C/USA/CO/7-9, ⁋ 19.</w:t>
      </w:r>
    </w:p>
  </w:footnote>
  <w:footnote w:id="27">
    <w:p w14:paraId="16BEB677" w14:textId="54B6B151" w:rsidR="007E539D" w:rsidRPr="00A63887" w:rsidRDefault="007E539D">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272751" w:rsidRPr="00A63887">
        <w:rPr>
          <w:rFonts w:ascii="Times" w:hAnsi="Times" w:cs="Times"/>
        </w:rPr>
        <w:t xml:space="preserve">Convention for Elimination of Racial Discrimination, </w:t>
      </w:r>
      <w:r w:rsidR="00272751" w:rsidRPr="00A63887">
        <w:rPr>
          <w:rFonts w:ascii="Times" w:hAnsi="Times" w:cs="Times"/>
          <w:i/>
        </w:rPr>
        <w:t>Combined tenth to twelfth periodic report submitted by the United States under article 9 of the Convention</w:t>
      </w:r>
      <w:r w:rsidR="00272751" w:rsidRPr="00A63887">
        <w:rPr>
          <w:rFonts w:ascii="Times" w:hAnsi="Times" w:cs="Times"/>
        </w:rPr>
        <w:t>,</w:t>
      </w:r>
      <w:r w:rsidR="00272751" w:rsidRPr="00A63887">
        <w:rPr>
          <w:rFonts w:ascii="Times" w:hAnsi="Times" w:cs="Times"/>
          <w:i/>
        </w:rPr>
        <w:t xml:space="preserve"> due in 2017</w:t>
      </w:r>
      <w:r w:rsidR="00272751" w:rsidRPr="00A63887">
        <w:rPr>
          <w:rFonts w:ascii="Times" w:hAnsi="Times" w:cs="Times"/>
        </w:rPr>
        <w:t>, (2 June 2021), U.N. Doc. CERD/C/USA/10-12, ¶ 105-110.</w:t>
      </w:r>
    </w:p>
  </w:footnote>
  <w:footnote w:id="28">
    <w:p w14:paraId="1CAFF015" w14:textId="77777777" w:rsidR="009106BE" w:rsidRPr="00A63887" w:rsidRDefault="009106BE" w:rsidP="009106BE">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Written information from Research in Action, 27 April 2022, on file with author.</w:t>
      </w:r>
    </w:p>
  </w:footnote>
  <w:footnote w:id="29">
    <w:p w14:paraId="75DC333C" w14:textId="6512051D" w:rsidR="00BB4300" w:rsidRPr="00A63887" w:rsidRDefault="00BB4300">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0">
    <w:p w14:paraId="0A8E578F" w14:textId="643055C4" w:rsidR="0093781B" w:rsidRPr="00A63887" w:rsidRDefault="0093781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1">
    <w:p w14:paraId="4F5F544E" w14:textId="08D93A48" w:rsidR="00B90A2F" w:rsidRPr="00A63887" w:rsidRDefault="00B90A2F">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2">
    <w:p w14:paraId="432FA9F8" w14:textId="01CE26D4" w:rsidR="00364C51" w:rsidRPr="00A63887" w:rsidRDefault="00364C51">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3">
    <w:p w14:paraId="426BA5E7" w14:textId="74263A9B" w:rsidR="00AF30BB" w:rsidRPr="00A63887" w:rsidRDefault="00AF30B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9D1334" w:rsidRPr="00A63887">
        <w:rPr>
          <w:rFonts w:ascii="Times" w:hAnsi="Times" w:cs="Times"/>
        </w:rPr>
        <w:t>Convention</w:t>
      </w:r>
      <w:r w:rsidRPr="00A63887">
        <w:rPr>
          <w:rFonts w:ascii="Times" w:hAnsi="Times" w:cs="Times"/>
        </w:rPr>
        <w:t xml:space="preserve"> for Elimination of Racial Discrimination</w:t>
      </w:r>
      <w:r w:rsidRPr="00A63887">
        <w:rPr>
          <w:rFonts w:ascii="Times" w:hAnsi="Times" w:cs="Times"/>
          <w:i/>
        </w:rPr>
        <w:t>, Concluding observations on the seventh to ninth periodic reports on the United States of America, adopted by the Committee at its 2299</w:t>
      </w:r>
      <w:r w:rsidRPr="00A63887">
        <w:rPr>
          <w:rFonts w:ascii="Times" w:hAnsi="Times" w:cs="Times"/>
          <w:i/>
          <w:vertAlign w:val="superscript"/>
        </w:rPr>
        <w:t>th</w:t>
      </w:r>
      <w:r w:rsidRPr="00A63887">
        <w:rPr>
          <w:rFonts w:ascii="Times" w:hAnsi="Times" w:cs="Times"/>
          <w:i/>
        </w:rPr>
        <w:t xml:space="preserve"> and 2300</w:t>
      </w:r>
      <w:r w:rsidRPr="00A63887">
        <w:rPr>
          <w:rFonts w:ascii="Times" w:hAnsi="Times" w:cs="Times"/>
          <w:i/>
          <w:vertAlign w:val="superscript"/>
        </w:rPr>
        <w:t>th</w:t>
      </w:r>
      <w:r w:rsidRPr="00A63887">
        <w:rPr>
          <w:rFonts w:ascii="Times" w:hAnsi="Times" w:cs="Times"/>
          <w:i/>
        </w:rPr>
        <w:t xml:space="preserve"> sessions</w:t>
      </w:r>
      <w:r w:rsidRPr="00A63887">
        <w:rPr>
          <w:rFonts w:ascii="Times" w:hAnsi="Times" w:cs="Times"/>
        </w:rPr>
        <w:t xml:space="preserve"> (13 August – 14 August 2014), U.N. Doc. CERD/C/USA/CO/7-9, ⁋ 20.</w:t>
      </w:r>
    </w:p>
  </w:footnote>
  <w:footnote w:id="34">
    <w:p w14:paraId="5A328794" w14:textId="24EDB26F" w:rsidR="00AF30BB" w:rsidRPr="00A63887" w:rsidRDefault="00AF30B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9D1334" w:rsidRPr="00A63887">
        <w:rPr>
          <w:rFonts w:ascii="Times" w:hAnsi="Times" w:cs="Times"/>
        </w:rPr>
        <w:t>Convention for Elimination of Racial Discrimination</w:t>
      </w:r>
      <w:r w:rsidR="009D1334" w:rsidRPr="00A63887">
        <w:rPr>
          <w:rFonts w:ascii="Times" w:hAnsi="Times" w:cs="Times"/>
          <w:i/>
        </w:rPr>
        <w:t>, Concluding observations on the seventh to ninth periodic reports on the United States of America, adopted by the Committee at its 2299</w:t>
      </w:r>
      <w:r w:rsidR="009D1334" w:rsidRPr="00A63887">
        <w:rPr>
          <w:rFonts w:ascii="Times" w:hAnsi="Times" w:cs="Times"/>
          <w:i/>
          <w:vertAlign w:val="superscript"/>
        </w:rPr>
        <w:t>th</w:t>
      </w:r>
      <w:r w:rsidR="009D1334" w:rsidRPr="00A63887">
        <w:rPr>
          <w:rFonts w:ascii="Times" w:hAnsi="Times" w:cs="Times"/>
          <w:i/>
        </w:rPr>
        <w:t xml:space="preserve"> and 2300</w:t>
      </w:r>
      <w:r w:rsidR="009D1334" w:rsidRPr="00A63887">
        <w:rPr>
          <w:rFonts w:ascii="Times" w:hAnsi="Times" w:cs="Times"/>
          <w:i/>
          <w:vertAlign w:val="superscript"/>
        </w:rPr>
        <w:t>th</w:t>
      </w:r>
      <w:r w:rsidR="009D1334" w:rsidRPr="00A63887">
        <w:rPr>
          <w:rFonts w:ascii="Times" w:hAnsi="Times" w:cs="Times"/>
          <w:i/>
        </w:rPr>
        <w:t xml:space="preserve"> sessions</w:t>
      </w:r>
      <w:r w:rsidR="009D1334" w:rsidRPr="00A63887">
        <w:rPr>
          <w:rFonts w:ascii="Times" w:hAnsi="Times" w:cs="Times"/>
        </w:rPr>
        <w:t xml:space="preserve"> (13 August – 14 August 2014), U.N. Doc. CERD/C/USA/CO/7-9, ⁋ 20.</w:t>
      </w:r>
    </w:p>
  </w:footnote>
  <w:footnote w:id="35">
    <w:p w14:paraId="1D7F2826" w14:textId="08D55D6E"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6">
    <w:p w14:paraId="00DA188E" w14:textId="237BBFDE"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7">
    <w:p w14:paraId="65D8D6BE" w14:textId="0A5E42A8"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8">
    <w:p w14:paraId="4A5B5111" w14:textId="1228E485" w:rsidR="003C2A2B" w:rsidRPr="00A63887" w:rsidRDefault="003C2A2B">
      <w:pPr>
        <w:pStyle w:val="FootnoteText"/>
        <w:rPr>
          <w:rFonts w:ascii="Times" w:hAnsi="Times" w:cs="Times"/>
        </w:rPr>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 w:id="39">
    <w:p w14:paraId="26D5B918" w14:textId="5CC7F981" w:rsidR="003C2A2B" w:rsidRDefault="003C2A2B">
      <w:pPr>
        <w:pStyle w:val="FootnoteText"/>
      </w:pPr>
      <w:r w:rsidRPr="00A63887">
        <w:rPr>
          <w:rStyle w:val="FootnoteReference"/>
          <w:rFonts w:ascii="Times" w:hAnsi="Times" w:cs="Times"/>
        </w:rPr>
        <w:footnoteRef/>
      </w:r>
      <w:r w:rsidRPr="00A63887">
        <w:rPr>
          <w:rFonts w:ascii="Times" w:hAnsi="Times" w:cs="Times"/>
        </w:rPr>
        <w:t xml:space="preserve"> </w:t>
      </w:r>
      <w:r w:rsidR="00FB23F3" w:rsidRPr="00A63887">
        <w:rPr>
          <w:rFonts w:ascii="Times" w:hAnsi="Times" w:cs="Times"/>
        </w:rPr>
        <w:t>Written information from Research in Action, 27 April 2022, on file with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C811" w14:textId="77777777" w:rsidR="00804604" w:rsidRDefault="0080460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3ECE" w14:textId="6F1FD09B" w:rsidR="00804604" w:rsidRDefault="00F6503D">
    <w:pPr>
      <w:pStyle w:val="Header"/>
    </w:pPr>
    <w:r>
      <w:rPr>
        <w:noProof/>
      </w:rPr>
      <w:drawing>
        <wp:inline distT="0" distB="0" distL="0" distR="0" wp14:anchorId="3292AA38" wp14:editId="64BEA9A7">
          <wp:extent cx="1981765" cy="74358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253" cy="752023"/>
                  </a:xfrm>
                  <a:prstGeom prst="rect">
                    <a:avLst/>
                  </a:prstGeom>
                </pic:spPr>
              </pic:pic>
            </a:graphicData>
          </a:graphic>
        </wp:inline>
      </w:drawing>
    </w:r>
    <w:r w:rsidR="00C75631">
      <w:rPr>
        <w:noProof/>
      </w:rPr>
      <w:drawing>
        <wp:anchor distT="0" distB="0" distL="114300" distR="114300" simplePos="0" relativeHeight="251658240" behindDoc="1" locked="0" layoutInCell="1" allowOverlap="1" wp14:anchorId="03132A20" wp14:editId="59930721">
          <wp:simplePos x="0" y="0"/>
          <wp:positionH relativeFrom="column">
            <wp:posOffset>3924300</wp:posOffset>
          </wp:positionH>
          <wp:positionV relativeFrom="paragraph">
            <wp:posOffset>9525</wp:posOffset>
          </wp:positionV>
          <wp:extent cx="2034540" cy="779780"/>
          <wp:effectExtent l="0" t="0" r="3810" b="1270"/>
          <wp:wrapTight wrapText="bothSides">
            <wp:wrapPolygon edited="0">
              <wp:start x="0" y="0"/>
              <wp:lineTo x="0" y="21107"/>
              <wp:lineTo x="21438" y="21107"/>
              <wp:lineTo x="214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540" cy="77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3" w15:restartNumberingAfterBreak="0">
    <w:nsid w:val="1D5153BE"/>
    <w:multiLevelType w:val="hybridMultilevel"/>
    <w:tmpl w:val="20885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252124">
    <w:abstractNumId w:val="5"/>
  </w:num>
  <w:num w:numId="2" w16cid:durableId="1462650243">
    <w:abstractNumId w:val="4"/>
  </w:num>
  <w:num w:numId="3" w16cid:durableId="1751343230">
    <w:abstractNumId w:val="7"/>
  </w:num>
  <w:num w:numId="4" w16cid:durableId="866338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0357321">
    <w:abstractNumId w:val="6"/>
  </w:num>
  <w:num w:numId="6" w16cid:durableId="120733061">
    <w:abstractNumId w:val="0"/>
  </w:num>
  <w:num w:numId="7" w16cid:durableId="114105553">
    <w:abstractNumId w:val="3"/>
  </w:num>
  <w:num w:numId="8" w16cid:durableId="1576086079">
    <w:abstractNumId w:val="8"/>
  </w:num>
  <w:num w:numId="9" w16cid:durableId="100015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01AB4"/>
    <w:rsid w:val="0000559B"/>
    <w:rsid w:val="00007722"/>
    <w:rsid w:val="00014221"/>
    <w:rsid w:val="00030F59"/>
    <w:rsid w:val="00031285"/>
    <w:rsid w:val="000325B6"/>
    <w:rsid w:val="000342B6"/>
    <w:rsid w:val="00035D54"/>
    <w:rsid w:val="00037477"/>
    <w:rsid w:val="00040E72"/>
    <w:rsid w:val="00041794"/>
    <w:rsid w:val="00046377"/>
    <w:rsid w:val="00050904"/>
    <w:rsid w:val="00056CF5"/>
    <w:rsid w:val="00056EE2"/>
    <w:rsid w:val="000642F3"/>
    <w:rsid w:val="00072649"/>
    <w:rsid w:val="000734A4"/>
    <w:rsid w:val="00082150"/>
    <w:rsid w:val="0008238F"/>
    <w:rsid w:val="00085935"/>
    <w:rsid w:val="000910FC"/>
    <w:rsid w:val="0009644E"/>
    <w:rsid w:val="000A1F17"/>
    <w:rsid w:val="000A4096"/>
    <w:rsid w:val="000A66B8"/>
    <w:rsid w:val="000A7127"/>
    <w:rsid w:val="000B042D"/>
    <w:rsid w:val="000B300E"/>
    <w:rsid w:val="000B3715"/>
    <w:rsid w:val="000B4DB3"/>
    <w:rsid w:val="000B7399"/>
    <w:rsid w:val="000C1F0C"/>
    <w:rsid w:val="000C2B2A"/>
    <w:rsid w:val="000C380B"/>
    <w:rsid w:val="000C4330"/>
    <w:rsid w:val="000C57D7"/>
    <w:rsid w:val="000C6340"/>
    <w:rsid w:val="000C70F0"/>
    <w:rsid w:val="000E1DDC"/>
    <w:rsid w:val="000E456D"/>
    <w:rsid w:val="000F1E67"/>
    <w:rsid w:val="000F3447"/>
    <w:rsid w:val="000F3F70"/>
    <w:rsid w:val="000F4C27"/>
    <w:rsid w:val="000F56E0"/>
    <w:rsid w:val="000F657F"/>
    <w:rsid w:val="001008D1"/>
    <w:rsid w:val="001056A0"/>
    <w:rsid w:val="001068F2"/>
    <w:rsid w:val="00107F93"/>
    <w:rsid w:val="0011031B"/>
    <w:rsid w:val="00110626"/>
    <w:rsid w:val="00111994"/>
    <w:rsid w:val="0011236C"/>
    <w:rsid w:val="001150F5"/>
    <w:rsid w:val="0012039E"/>
    <w:rsid w:val="00120F4D"/>
    <w:rsid w:val="001215B4"/>
    <w:rsid w:val="00122CEC"/>
    <w:rsid w:val="00132F32"/>
    <w:rsid w:val="001339F2"/>
    <w:rsid w:val="001349AE"/>
    <w:rsid w:val="00135E85"/>
    <w:rsid w:val="00136514"/>
    <w:rsid w:val="00143423"/>
    <w:rsid w:val="001443A1"/>
    <w:rsid w:val="00147EA4"/>
    <w:rsid w:val="00151BEA"/>
    <w:rsid w:val="00151F3E"/>
    <w:rsid w:val="001523B5"/>
    <w:rsid w:val="001565F9"/>
    <w:rsid w:val="00156E07"/>
    <w:rsid w:val="00160BDA"/>
    <w:rsid w:val="00164563"/>
    <w:rsid w:val="00165B69"/>
    <w:rsid w:val="00166FF7"/>
    <w:rsid w:val="00172ACF"/>
    <w:rsid w:val="00174983"/>
    <w:rsid w:val="00181B2A"/>
    <w:rsid w:val="0018642B"/>
    <w:rsid w:val="00186CC0"/>
    <w:rsid w:val="001A1394"/>
    <w:rsid w:val="001A59C1"/>
    <w:rsid w:val="001A5ED5"/>
    <w:rsid w:val="001A7AF4"/>
    <w:rsid w:val="001B1AC4"/>
    <w:rsid w:val="001B27D7"/>
    <w:rsid w:val="001B3579"/>
    <w:rsid w:val="001B46C2"/>
    <w:rsid w:val="001B5E1E"/>
    <w:rsid w:val="001B64BB"/>
    <w:rsid w:val="001B799A"/>
    <w:rsid w:val="001C1236"/>
    <w:rsid w:val="001C42EB"/>
    <w:rsid w:val="001C526E"/>
    <w:rsid w:val="001D0FDB"/>
    <w:rsid w:val="001D4D68"/>
    <w:rsid w:val="001E5358"/>
    <w:rsid w:val="001F6E82"/>
    <w:rsid w:val="001F7D9F"/>
    <w:rsid w:val="002002CF"/>
    <w:rsid w:val="002139D5"/>
    <w:rsid w:val="00214AA3"/>
    <w:rsid w:val="002159D2"/>
    <w:rsid w:val="002160E3"/>
    <w:rsid w:val="00220D48"/>
    <w:rsid w:val="00222E65"/>
    <w:rsid w:val="0022520F"/>
    <w:rsid w:val="00225A74"/>
    <w:rsid w:val="00230971"/>
    <w:rsid w:val="002367A8"/>
    <w:rsid w:val="00237C8C"/>
    <w:rsid w:val="00240700"/>
    <w:rsid w:val="00242F64"/>
    <w:rsid w:val="002439A3"/>
    <w:rsid w:val="00243E14"/>
    <w:rsid w:val="00255789"/>
    <w:rsid w:val="0026389C"/>
    <w:rsid w:val="00266996"/>
    <w:rsid w:val="00266AA3"/>
    <w:rsid w:val="00270481"/>
    <w:rsid w:val="00272519"/>
    <w:rsid w:val="00272751"/>
    <w:rsid w:val="002734D9"/>
    <w:rsid w:val="00276611"/>
    <w:rsid w:val="00276BFF"/>
    <w:rsid w:val="002805A6"/>
    <w:rsid w:val="00281A80"/>
    <w:rsid w:val="00282223"/>
    <w:rsid w:val="002865D6"/>
    <w:rsid w:val="00291298"/>
    <w:rsid w:val="00291BE8"/>
    <w:rsid w:val="002925B2"/>
    <w:rsid w:val="002935F7"/>
    <w:rsid w:val="00295522"/>
    <w:rsid w:val="002A0797"/>
    <w:rsid w:val="002A4838"/>
    <w:rsid w:val="002A52EA"/>
    <w:rsid w:val="002A67E1"/>
    <w:rsid w:val="002B00F5"/>
    <w:rsid w:val="002B25C0"/>
    <w:rsid w:val="002C11D7"/>
    <w:rsid w:val="002C57BC"/>
    <w:rsid w:val="002C63D3"/>
    <w:rsid w:val="002C6994"/>
    <w:rsid w:val="002D091E"/>
    <w:rsid w:val="002D36C6"/>
    <w:rsid w:val="002D4B8C"/>
    <w:rsid w:val="002E34EA"/>
    <w:rsid w:val="002E3BBD"/>
    <w:rsid w:val="00300E20"/>
    <w:rsid w:val="00302352"/>
    <w:rsid w:val="00313DFE"/>
    <w:rsid w:val="003157CA"/>
    <w:rsid w:val="00315C53"/>
    <w:rsid w:val="00317E00"/>
    <w:rsid w:val="0032166F"/>
    <w:rsid w:val="00322CB1"/>
    <w:rsid w:val="0032304C"/>
    <w:rsid w:val="003260B4"/>
    <w:rsid w:val="00330032"/>
    <w:rsid w:val="00333D3F"/>
    <w:rsid w:val="003369A6"/>
    <w:rsid w:val="00340484"/>
    <w:rsid w:val="00341980"/>
    <w:rsid w:val="003424EE"/>
    <w:rsid w:val="00344140"/>
    <w:rsid w:val="00344556"/>
    <w:rsid w:val="0034540F"/>
    <w:rsid w:val="00345B90"/>
    <w:rsid w:val="00346FD8"/>
    <w:rsid w:val="0035378E"/>
    <w:rsid w:val="0035424D"/>
    <w:rsid w:val="00356B83"/>
    <w:rsid w:val="00356C32"/>
    <w:rsid w:val="00361151"/>
    <w:rsid w:val="003638A7"/>
    <w:rsid w:val="00364AF2"/>
    <w:rsid w:val="00364C51"/>
    <w:rsid w:val="00373575"/>
    <w:rsid w:val="00373C2E"/>
    <w:rsid w:val="00374B54"/>
    <w:rsid w:val="00386EEB"/>
    <w:rsid w:val="00390AC3"/>
    <w:rsid w:val="003937C6"/>
    <w:rsid w:val="003A0BC2"/>
    <w:rsid w:val="003A0E37"/>
    <w:rsid w:val="003A1D3E"/>
    <w:rsid w:val="003A2449"/>
    <w:rsid w:val="003A6F6D"/>
    <w:rsid w:val="003B6516"/>
    <w:rsid w:val="003C1E49"/>
    <w:rsid w:val="003C2A2B"/>
    <w:rsid w:val="003C3118"/>
    <w:rsid w:val="003C60FE"/>
    <w:rsid w:val="003D0544"/>
    <w:rsid w:val="003D0AF0"/>
    <w:rsid w:val="003D13D6"/>
    <w:rsid w:val="003E1004"/>
    <w:rsid w:val="003E4213"/>
    <w:rsid w:val="003E4D4A"/>
    <w:rsid w:val="003F26AB"/>
    <w:rsid w:val="00401DC3"/>
    <w:rsid w:val="00403736"/>
    <w:rsid w:val="00405BC1"/>
    <w:rsid w:val="00417CE5"/>
    <w:rsid w:val="00423091"/>
    <w:rsid w:val="00423225"/>
    <w:rsid w:val="00430A63"/>
    <w:rsid w:val="00433822"/>
    <w:rsid w:val="00442F8D"/>
    <w:rsid w:val="00450118"/>
    <w:rsid w:val="00450405"/>
    <w:rsid w:val="00452C89"/>
    <w:rsid w:val="00453314"/>
    <w:rsid w:val="0046468C"/>
    <w:rsid w:val="00476CC4"/>
    <w:rsid w:val="004866AE"/>
    <w:rsid w:val="0049292F"/>
    <w:rsid w:val="004A17D9"/>
    <w:rsid w:val="004A21BB"/>
    <w:rsid w:val="004A3E77"/>
    <w:rsid w:val="004A5B01"/>
    <w:rsid w:val="004A7D93"/>
    <w:rsid w:val="004A7FF9"/>
    <w:rsid w:val="004B1E4E"/>
    <w:rsid w:val="004B230D"/>
    <w:rsid w:val="004B35A5"/>
    <w:rsid w:val="004B49C8"/>
    <w:rsid w:val="004B4CAF"/>
    <w:rsid w:val="004B73AF"/>
    <w:rsid w:val="004C16C8"/>
    <w:rsid w:val="004C4A3B"/>
    <w:rsid w:val="004C64C3"/>
    <w:rsid w:val="004D2568"/>
    <w:rsid w:val="004D3EE9"/>
    <w:rsid w:val="004D5341"/>
    <w:rsid w:val="004D663D"/>
    <w:rsid w:val="004E564A"/>
    <w:rsid w:val="004E7176"/>
    <w:rsid w:val="004E783D"/>
    <w:rsid w:val="004F2465"/>
    <w:rsid w:val="004F34E5"/>
    <w:rsid w:val="00501BDB"/>
    <w:rsid w:val="00502680"/>
    <w:rsid w:val="00507012"/>
    <w:rsid w:val="00510A80"/>
    <w:rsid w:val="005132BB"/>
    <w:rsid w:val="00516E20"/>
    <w:rsid w:val="00517283"/>
    <w:rsid w:val="00521A94"/>
    <w:rsid w:val="00524166"/>
    <w:rsid w:val="00524C18"/>
    <w:rsid w:val="0052707C"/>
    <w:rsid w:val="0053207F"/>
    <w:rsid w:val="005322F3"/>
    <w:rsid w:val="00533675"/>
    <w:rsid w:val="005336C2"/>
    <w:rsid w:val="00534C5B"/>
    <w:rsid w:val="005403E3"/>
    <w:rsid w:val="005410E2"/>
    <w:rsid w:val="00544D98"/>
    <w:rsid w:val="00550A91"/>
    <w:rsid w:val="00551220"/>
    <w:rsid w:val="005529A4"/>
    <w:rsid w:val="0055461C"/>
    <w:rsid w:val="005558AC"/>
    <w:rsid w:val="005563EE"/>
    <w:rsid w:val="0055694C"/>
    <w:rsid w:val="00557295"/>
    <w:rsid w:val="00567208"/>
    <w:rsid w:val="00571350"/>
    <w:rsid w:val="00571EF6"/>
    <w:rsid w:val="00583345"/>
    <w:rsid w:val="005839FF"/>
    <w:rsid w:val="00593EB6"/>
    <w:rsid w:val="00596B08"/>
    <w:rsid w:val="0059754B"/>
    <w:rsid w:val="005A1279"/>
    <w:rsid w:val="005A20AF"/>
    <w:rsid w:val="005A345E"/>
    <w:rsid w:val="005B0B5E"/>
    <w:rsid w:val="005B0C1B"/>
    <w:rsid w:val="005B12C3"/>
    <w:rsid w:val="005B288C"/>
    <w:rsid w:val="005B5F77"/>
    <w:rsid w:val="005B70D7"/>
    <w:rsid w:val="005B7B11"/>
    <w:rsid w:val="005C145F"/>
    <w:rsid w:val="005C183B"/>
    <w:rsid w:val="005C2B19"/>
    <w:rsid w:val="005C58B6"/>
    <w:rsid w:val="005C5BF7"/>
    <w:rsid w:val="005C7434"/>
    <w:rsid w:val="005D07F2"/>
    <w:rsid w:val="005D45DD"/>
    <w:rsid w:val="005D4B0A"/>
    <w:rsid w:val="005D4EE6"/>
    <w:rsid w:val="005E1A8F"/>
    <w:rsid w:val="005E4A2F"/>
    <w:rsid w:val="005E4D8D"/>
    <w:rsid w:val="005E52CA"/>
    <w:rsid w:val="005F1085"/>
    <w:rsid w:val="005F2A19"/>
    <w:rsid w:val="005F7B1A"/>
    <w:rsid w:val="00604D43"/>
    <w:rsid w:val="00605450"/>
    <w:rsid w:val="0060568A"/>
    <w:rsid w:val="00606CAC"/>
    <w:rsid w:val="0061174E"/>
    <w:rsid w:val="00611CB6"/>
    <w:rsid w:val="006121C5"/>
    <w:rsid w:val="00612942"/>
    <w:rsid w:val="0061332B"/>
    <w:rsid w:val="0061778F"/>
    <w:rsid w:val="00623228"/>
    <w:rsid w:val="00624179"/>
    <w:rsid w:val="00624A10"/>
    <w:rsid w:val="00626C39"/>
    <w:rsid w:val="00633E6E"/>
    <w:rsid w:val="0063574B"/>
    <w:rsid w:val="00643D7A"/>
    <w:rsid w:val="0064498D"/>
    <w:rsid w:val="00646D29"/>
    <w:rsid w:val="00647005"/>
    <w:rsid w:val="00653E0F"/>
    <w:rsid w:val="00654A61"/>
    <w:rsid w:val="00654CE8"/>
    <w:rsid w:val="0066318F"/>
    <w:rsid w:val="0067428A"/>
    <w:rsid w:val="00677729"/>
    <w:rsid w:val="00680A64"/>
    <w:rsid w:val="00681258"/>
    <w:rsid w:val="00691075"/>
    <w:rsid w:val="006927DD"/>
    <w:rsid w:val="00694C0C"/>
    <w:rsid w:val="006A27D2"/>
    <w:rsid w:val="006A58EA"/>
    <w:rsid w:val="006A5B8B"/>
    <w:rsid w:val="006A6D67"/>
    <w:rsid w:val="006B1A8F"/>
    <w:rsid w:val="006B3424"/>
    <w:rsid w:val="006B5B2A"/>
    <w:rsid w:val="006B7B89"/>
    <w:rsid w:val="006C2428"/>
    <w:rsid w:val="006D39C4"/>
    <w:rsid w:val="006E41F5"/>
    <w:rsid w:val="006E655A"/>
    <w:rsid w:val="006E7D5B"/>
    <w:rsid w:val="006F388B"/>
    <w:rsid w:val="006F4BAB"/>
    <w:rsid w:val="006F582F"/>
    <w:rsid w:val="006F77DE"/>
    <w:rsid w:val="00701108"/>
    <w:rsid w:val="0070432D"/>
    <w:rsid w:val="00704FD4"/>
    <w:rsid w:val="00706C48"/>
    <w:rsid w:val="0071063B"/>
    <w:rsid w:val="00710A30"/>
    <w:rsid w:val="007143B8"/>
    <w:rsid w:val="0071582F"/>
    <w:rsid w:val="00717108"/>
    <w:rsid w:val="007230BC"/>
    <w:rsid w:val="007238ED"/>
    <w:rsid w:val="0072507D"/>
    <w:rsid w:val="00725E30"/>
    <w:rsid w:val="007260D6"/>
    <w:rsid w:val="00727A0E"/>
    <w:rsid w:val="007316AA"/>
    <w:rsid w:val="007319D7"/>
    <w:rsid w:val="00732D80"/>
    <w:rsid w:val="00741B9C"/>
    <w:rsid w:val="007508C7"/>
    <w:rsid w:val="00755166"/>
    <w:rsid w:val="00755ABA"/>
    <w:rsid w:val="00757A1C"/>
    <w:rsid w:val="007637D8"/>
    <w:rsid w:val="00765EBC"/>
    <w:rsid w:val="0077231B"/>
    <w:rsid w:val="00774643"/>
    <w:rsid w:val="0077715B"/>
    <w:rsid w:val="007838DE"/>
    <w:rsid w:val="00793AB0"/>
    <w:rsid w:val="007973C5"/>
    <w:rsid w:val="007A03DD"/>
    <w:rsid w:val="007A45D2"/>
    <w:rsid w:val="007A7782"/>
    <w:rsid w:val="007B1C3E"/>
    <w:rsid w:val="007B2E2B"/>
    <w:rsid w:val="007C3495"/>
    <w:rsid w:val="007C4387"/>
    <w:rsid w:val="007D2111"/>
    <w:rsid w:val="007D2FB7"/>
    <w:rsid w:val="007E10B8"/>
    <w:rsid w:val="007E1F8D"/>
    <w:rsid w:val="007E539D"/>
    <w:rsid w:val="007E75F2"/>
    <w:rsid w:val="007E79C4"/>
    <w:rsid w:val="007F23A8"/>
    <w:rsid w:val="007F2EC1"/>
    <w:rsid w:val="007F4161"/>
    <w:rsid w:val="007F7FB4"/>
    <w:rsid w:val="00801D3F"/>
    <w:rsid w:val="00804604"/>
    <w:rsid w:val="0081221D"/>
    <w:rsid w:val="00820CDE"/>
    <w:rsid w:val="008214B4"/>
    <w:rsid w:val="00821DBA"/>
    <w:rsid w:val="0082472E"/>
    <w:rsid w:val="00826961"/>
    <w:rsid w:val="008315C2"/>
    <w:rsid w:val="00831C1C"/>
    <w:rsid w:val="00835B21"/>
    <w:rsid w:val="00836428"/>
    <w:rsid w:val="00843181"/>
    <w:rsid w:val="00844F19"/>
    <w:rsid w:val="008450E8"/>
    <w:rsid w:val="008467FA"/>
    <w:rsid w:val="00847C78"/>
    <w:rsid w:val="00852B97"/>
    <w:rsid w:val="008602F5"/>
    <w:rsid w:val="00861BB7"/>
    <w:rsid w:val="00862A65"/>
    <w:rsid w:val="00863433"/>
    <w:rsid w:val="0086604C"/>
    <w:rsid w:val="00866A27"/>
    <w:rsid w:val="00870521"/>
    <w:rsid w:val="0087642D"/>
    <w:rsid w:val="008856D7"/>
    <w:rsid w:val="008900DD"/>
    <w:rsid w:val="0089080A"/>
    <w:rsid w:val="008928BB"/>
    <w:rsid w:val="0089363E"/>
    <w:rsid w:val="008948D9"/>
    <w:rsid w:val="0089523C"/>
    <w:rsid w:val="008A6877"/>
    <w:rsid w:val="008A7ED6"/>
    <w:rsid w:val="008B00C4"/>
    <w:rsid w:val="008B2D9A"/>
    <w:rsid w:val="008B55FD"/>
    <w:rsid w:val="008C3B9B"/>
    <w:rsid w:val="008C4D38"/>
    <w:rsid w:val="008C53F0"/>
    <w:rsid w:val="008C7B1F"/>
    <w:rsid w:val="008C7B63"/>
    <w:rsid w:val="008D428F"/>
    <w:rsid w:val="008E2DBC"/>
    <w:rsid w:val="008E5B96"/>
    <w:rsid w:val="008F0BDD"/>
    <w:rsid w:val="008F20E3"/>
    <w:rsid w:val="008F2F99"/>
    <w:rsid w:val="008F6084"/>
    <w:rsid w:val="00901A3C"/>
    <w:rsid w:val="00902944"/>
    <w:rsid w:val="009057C8"/>
    <w:rsid w:val="00906C9E"/>
    <w:rsid w:val="00906D14"/>
    <w:rsid w:val="009106BE"/>
    <w:rsid w:val="0091469C"/>
    <w:rsid w:val="00915A48"/>
    <w:rsid w:val="009200FE"/>
    <w:rsid w:val="00925B8A"/>
    <w:rsid w:val="00927C41"/>
    <w:rsid w:val="00927FB2"/>
    <w:rsid w:val="0093193B"/>
    <w:rsid w:val="00933350"/>
    <w:rsid w:val="00936965"/>
    <w:rsid w:val="0093781B"/>
    <w:rsid w:val="009453AA"/>
    <w:rsid w:val="00947170"/>
    <w:rsid w:val="00947B3D"/>
    <w:rsid w:val="00955071"/>
    <w:rsid w:val="00956289"/>
    <w:rsid w:val="00956638"/>
    <w:rsid w:val="009569A8"/>
    <w:rsid w:val="00956E94"/>
    <w:rsid w:val="009619C5"/>
    <w:rsid w:val="009627A1"/>
    <w:rsid w:val="00966506"/>
    <w:rsid w:val="009710DC"/>
    <w:rsid w:val="009712FE"/>
    <w:rsid w:val="00972579"/>
    <w:rsid w:val="009747AA"/>
    <w:rsid w:val="00974E48"/>
    <w:rsid w:val="009759DE"/>
    <w:rsid w:val="00976747"/>
    <w:rsid w:val="00976D2F"/>
    <w:rsid w:val="00980D2B"/>
    <w:rsid w:val="00983B5C"/>
    <w:rsid w:val="00984D51"/>
    <w:rsid w:val="009875AD"/>
    <w:rsid w:val="00987DA0"/>
    <w:rsid w:val="009924AF"/>
    <w:rsid w:val="00993705"/>
    <w:rsid w:val="00996A22"/>
    <w:rsid w:val="009A5ABA"/>
    <w:rsid w:val="009A7F71"/>
    <w:rsid w:val="009B4178"/>
    <w:rsid w:val="009B51D7"/>
    <w:rsid w:val="009C4697"/>
    <w:rsid w:val="009D1334"/>
    <w:rsid w:val="009D29EF"/>
    <w:rsid w:val="009D2C3D"/>
    <w:rsid w:val="009D3BEA"/>
    <w:rsid w:val="009D5161"/>
    <w:rsid w:val="009E3A04"/>
    <w:rsid w:val="009E4D16"/>
    <w:rsid w:val="009E5AFE"/>
    <w:rsid w:val="009F1030"/>
    <w:rsid w:val="009F11FD"/>
    <w:rsid w:val="009F12E2"/>
    <w:rsid w:val="009F17C6"/>
    <w:rsid w:val="009F328C"/>
    <w:rsid w:val="009F3358"/>
    <w:rsid w:val="009F478B"/>
    <w:rsid w:val="009F5AA6"/>
    <w:rsid w:val="009F69C1"/>
    <w:rsid w:val="009F70A2"/>
    <w:rsid w:val="00A06DE7"/>
    <w:rsid w:val="00A07CB0"/>
    <w:rsid w:val="00A16042"/>
    <w:rsid w:val="00A16619"/>
    <w:rsid w:val="00A224BA"/>
    <w:rsid w:val="00A23406"/>
    <w:rsid w:val="00A24C1C"/>
    <w:rsid w:val="00A25334"/>
    <w:rsid w:val="00A25B33"/>
    <w:rsid w:val="00A26905"/>
    <w:rsid w:val="00A30A51"/>
    <w:rsid w:val="00A32FCF"/>
    <w:rsid w:val="00A33DAD"/>
    <w:rsid w:val="00A36140"/>
    <w:rsid w:val="00A364F1"/>
    <w:rsid w:val="00A40EE1"/>
    <w:rsid w:val="00A41259"/>
    <w:rsid w:val="00A423ED"/>
    <w:rsid w:val="00A536F3"/>
    <w:rsid w:val="00A63887"/>
    <w:rsid w:val="00A678C1"/>
    <w:rsid w:val="00A70529"/>
    <w:rsid w:val="00A708AC"/>
    <w:rsid w:val="00A77884"/>
    <w:rsid w:val="00A81919"/>
    <w:rsid w:val="00A82F90"/>
    <w:rsid w:val="00A84312"/>
    <w:rsid w:val="00A8732A"/>
    <w:rsid w:val="00A91D08"/>
    <w:rsid w:val="00A92186"/>
    <w:rsid w:val="00AA281D"/>
    <w:rsid w:val="00AA2913"/>
    <w:rsid w:val="00AA5F70"/>
    <w:rsid w:val="00AA6318"/>
    <w:rsid w:val="00AA7695"/>
    <w:rsid w:val="00AA7FCB"/>
    <w:rsid w:val="00AB48C0"/>
    <w:rsid w:val="00AB59AE"/>
    <w:rsid w:val="00AB5BD9"/>
    <w:rsid w:val="00AC50A6"/>
    <w:rsid w:val="00AC66FB"/>
    <w:rsid w:val="00AD0AA1"/>
    <w:rsid w:val="00AD33E4"/>
    <w:rsid w:val="00AD7D3F"/>
    <w:rsid w:val="00AE07A3"/>
    <w:rsid w:val="00AE372A"/>
    <w:rsid w:val="00AF1861"/>
    <w:rsid w:val="00AF30BB"/>
    <w:rsid w:val="00B0449E"/>
    <w:rsid w:val="00B07562"/>
    <w:rsid w:val="00B076D9"/>
    <w:rsid w:val="00B275A9"/>
    <w:rsid w:val="00B350D0"/>
    <w:rsid w:val="00B40D80"/>
    <w:rsid w:val="00B40DBF"/>
    <w:rsid w:val="00B44231"/>
    <w:rsid w:val="00B457C4"/>
    <w:rsid w:val="00B50D93"/>
    <w:rsid w:val="00B514A3"/>
    <w:rsid w:val="00B54060"/>
    <w:rsid w:val="00B57E64"/>
    <w:rsid w:val="00B6244B"/>
    <w:rsid w:val="00B71178"/>
    <w:rsid w:val="00B7188F"/>
    <w:rsid w:val="00B7457E"/>
    <w:rsid w:val="00B74B11"/>
    <w:rsid w:val="00B85693"/>
    <w:rsid w:val="00B865ED"/>
    <w:rsid w:val="00B90A2F"/>
    <w:rsid w:val="00B914A2"/>
    <w:rsid w:val="00B9535E"/>
    <w:rsid w:val="00B9541E"/>
    <w:rsid w:val="00BA1FA2"/>
    <w:rsid w:val="00BA3DD0"/>
    <w:rsid w:val="00BA4051"/>
    <w:rsid w:val="00BA4CDE"/>
    <w:rsid w:val="00BA772C"/>
    <w:rsid w:val="00BB0488"/>
    <w:rsid w:val="00BB3E05"/>
    <w:rsid w:val="00BB3ED5"/>
    <w:rsid w:val="00BB4300"/>
    <w:rsid w:val="00BB4AB9"/>
    <w:rsid w:val="00BC07C0"/>
    <w:rsid w:val="00BC11DE"/>
    <w:rsid w:val="00BC33EF"/>
    <w:rsid w:val="00BC34ED"/>
    <w:rsid w:val="00BC7A78"/>
    <w:rsid w:val="00BD3CFF"/>
    <w:rsid w:val="00BE59BD"/>
    <w:rsid w:val="00BE712D"/>
    <w:rsid w:val="00BE7278"/>
    <w:rsid w:val="00BF7351"/>
    <w:rsid w:val="00C0174A"/>
    <w:rsid w:val="00C036EE"/>
    <w:rsid w:val="00C05D9B"/>
    <w:rsid w:val="00C069AB"/>
    <w:rsid w:val="00C07971"/>
    <w:rsid w:val="00C212D7"/>
    <w:rsid w:val="00C232EB"/>
    <w:rsid w:val="00C26130"/>
    <w:rsid w:val="00C315B6"/>
    <w:rsid w:val="00C36183"/>
    <w:rsid w:val="00C376F3"/>
    <w:rsid w:val="00C4132F"/>
    <w:rsid w:val="00C45A69"/>
    <w:rsid w:val="00C463D2"/>
    <w:rsid w:val="00C5492F"/>
    <w:rsid w:val="00C57CDF"/>
    <w:rsid w:val="00C62A44"/>
    <w:rsid w:val="00C7187D"/>
    <w:rsid w:val="00C7387B"/>
    <w:rsid w:val="00C75631"/>
    <w:rsid w:val="00C75F57"/>
    <w:rsid w:val="00C80A39"/>
    <w:rsid w:val="00C81936"/>
    <w:rsid w:val="00C823A5"/>
    <w:rsid w:val="00C82FD3"/>
    <w:rsid w:val="00C84C4C"/>
    <w:rsid w:val="00C952F9"/>
    <w:rsid w:val="00C959B5"/>
    <w:rsid w:val="00CA1424"/>
    <w:rsid w:val="00CA7D78"/>
    <w:rsid w:val="00CB0156"/>
    <w:rsid w:val="00CB41EC"/>
    <w:rsid w:val="00CB631F"/>
    <w:rsid w:val="00CC5128"/>
    <w:rsid w:val="00CC5314"/>
    <w:rsid w:val="00CC632C"/>
    <w:rsid w:val="00CC65F5"/>
    <w:rsid w:val="00CD3BAC"/>
    <w:rsid w:val="00CE07A0"/>
    <w:rsid w:val="00CE458F"/>
    <w:rsid w:val="00CF7E60"/>
    <w:rsid w:val="00D0019C"/>
    <w:rsid w:val="00D022DA"/>
    <w:rsid w:val="00D056B0"/>
    <w:rsid w:val="00D06FFB"/>
    <w:rsid w:val="00D13C00"/>
    <w:rsid w:val="00D17BA8"/>
    <w:rsid w:val="00D17F80"/>
    <w:rsid w:val="00D209DC"/>
    <w:rsid w:val="00D24BCB"/>
    <w:rsid w:val="00D24C76"/>
    <w:rsid w:val="00D25C36"/>
    <w:rsid w:val="00D26392"/>
    <w:rsid w:val="00D3023A"/>
    <w:rsid w:val="00D3182B"/>
    <w:rsid w:val="00D4149E"/>
    <w:rsid w:val="00D42706"/>
    <w:rsid w:val="00D50C55"/>
    <w:rsid w:val="00D526FA"/>
    <w:rsid w:val="00D52AD6"/>
    <w:rsid w:val="00D55424"/>
    <w:rsid w:val="00D63CB7"/>
    <w:rsid w:val="00D652FC"/>
    <w:rsid w:val="00D73432"/>
    <w:rsid w:val="00D831B2"/>
    <w:rsid w:val="00D83E6E"/>
    <w:rsid w:val="00D83FAC"/>
    <w:rsid w:val="00D861C1"/>
    <w:rsid w:val="00D86901"/>
    <w:rsid w:val="00D90F50"/>
    <w:rsid w:val="00D92835"/>
    <w:rsid w:val="00D94424"/>
    <w:rsid w:val="00DA046F"/>
    <w:rsid w:val="00DA0DF7"/>
    <w:rsid w:val="00DA20AE"/>
    <w:rsid w:val="00DA371D"/>
    <w:rsid w:val="00DA4B82"/>
    <w:rsid w:val="00DA57D5"/>
    <w:rsid w:val="00DA6DB6"/>
    <w:rsid w:val="00DB18A1"/>
    <w:rsid w:val="00DB78EB"/>
    <w:rsid w:val="00DC218C"/>
    <w:rsid w:val="00DC41C9"/>
    <w:rsid w:val="00DC5473"/>
    <w:rsid w:val="00DD2E46"/>
    <w:rsid w:val="00DD2ECF"/>
    <w:rsid w:val="00DD2F76"/>
    <w:rsid w:val="00DD7AD8"/>
    <w:rsid w:val="00DE1982"/>
    <w:rsid w:val="00DE41C0"/>
    <w:rsid w:val="00DE6728"/>
    <w:rsid w:val="00DE6FE8"/>
    <w:rsid w:val="00DF1AFC"/>
    <w:rsid w:val="00DF6B25"/>
    <w:rsid w:val="00E01509"/>
    <w:rsid w:val="00E05832"/>
    <w:rsid w:val="00E06252"/>
    <w:rsid w:val="00E07E99"/>
    <w:rsid w:val="00E114C5"/>
    <w:rsid w:val="00E1293F"/>
    <w:rsid w:val="00E13D93"/>
    <w:rsid w:val="00E15266"/>
    <w:rsid w:val="00E162F5"/>
    <w:rsid w:val="00E16F35"/>
    <w:rsid w:val="00E20FB2"/>
    <w:rsid w:val="00E3185F"/>
    <w:rsid w:val="00E3230E"/>
    <w:rsid w:val="00E3336F"/>
    <w:rsid w:val="00E35775"/>
    <w:rsid w:val="00E3695E"/>
    <w:rsid w:val="00E4185F"/>
    <w:rsid w:val="00E473DD"/>
    <w:rsid w:val="00E50C17"/>
    <w:rsid w:val="00E5246F"/>
    <w:rsid w:val="00E52C34"/>
    <w:rsid w:val="00E54063"/>
    <w:rsid w:val="00E61DBC"/>
    <w:rsid w:val="00E6323F"/>
    <w:rsid w:val="00E639B8"/>
    <w:rsid w:val="00E63AA4"/>
    <w:rsid w:val="00E6784F"/>
    <w:rsid w:val="00E72B11"/>
    <w:rsid w:val="00E77AC5"/>
    <w:rsid w:val="00E826D1"/>
    <w:rsid w:val="00E85522"/>
    <w:rsid w:val="00E90410"/>
    <w:rsid w:val="00E95635"/>
    <w:rsid w:val="00E95CF7"/>
    <w:rsid w:val="00E96C1C"/>
    <w:rsid w:val="00E970CA"/>
    <w:rsid w:val="00EA0EEB"/>
    <w:rsid w:val="00EA57E1"/>
    <w:rsid w:val="00EB1993"/>
    <w:rsid w:val="00EB5D39"/>
    <w:rsid w:val="00EC0A75"/>
    <w:rsid w:val="00EC4744"/>
    <w:rsid w:val="00EC5116"/>
    <w:rsid w:val="00EC7509"/>
    <w:rsid w:val="00EC7990"/>
    <w:rsid w:val="00EC7FE8"/>
    <w:rsid w:val="00ED040A"/>
    <w:rsid w:val="00ED2D43"/>
    <w:rsid w:val="00ED2DCC"/>
    <w:rsid w:val="00ED5A18"/>
    <w:rsid w:val="00ED62A1"/>
    <w:rsid w:val="00EE3C43"/>
    <w:rsid w:val="00EE51E3"/>
    <w:rsid w:val="00EE53BB"/>
    <w:rsid w:val="00EF2BE5"/>
    <w:rsid w:val="00F002C3"/>
    <w:rsid w:val="00F042FA"/>
    <w:rsid w:val="00F06C34"/>
    <w:rsid w:val="00F11F56"/>
    <w:rsid w:val="00F208C0"/>
    <w:rsid w:val="00F22813"/>
    <w:rsid w:val="00F2442A"/>
    <w:rsid w:val="00F33513"/>
    <w:rsid w:val="00F37CD0"/>
    <w:rsid w:val="00F438E0"/>
    <w:rsid w:val="00F45AB5"/>
    <w:rsid w:val="00F50993"/>
    <w:rsid w:val="00F51AFD"/>
    <w:rsid w:val="00F55BB5"/>
    <w:rsid w:val="00F57906"/>
    <w:rsid w:val="00F60613"/>
    <w:rsid w:val="00F612FF"/>
    <w:rsid w:val="00F6493F"/>
    <w:rsid w:val="00F6503D"/>
    <w:rsid w:val="00F65EFC"/>
    <w:rsid w:val="00F75663"/>
    <w:rsid w:val="00F8081F"/>
    <w:rsid w:val="00F811E7"/>
    <w:rsid w:val="00F83C41"/>
    <w:rsid w:val="00F9056C"/>
    <w:rsid w:val="00F92C09"/>
    <w:rsid w:val="00FA2944"/>
    <w:rsid w:val="00FA45B2"/>
    <w:rsid w:val="00FA788C"/>
    <w:rsid w:val="00FB23F3"/>
    <w:rsid w:val="00FB4891"/>
    <w:rsid w:val="00FC686F"/>
    <w:rsid w:val="00FC7FBE"/>
    <w:rsid w:val="00FD15D5"/>
    <w:rsid w:val="00FD305C"/>
    <w:rsid w:val="00FD4EA7"/>
    <w:rsid w:val="00FE0378"/>
    <w:rsid w:val="00FE1DC5"/>
    <w:rsid w:val="00FE2347"/>
    <w:rsid w:val="00FE2D7E"/>
    <w:rsid w:val="00FF4D09"/>
    <w:rsid w:val="00FF6719"/>
    <w:rsid w:val="011BCE21"/>
    <w:rsid w:val="0AC6D21F"/>
    <w:rsid w:val="0E1BD3EA"/>
    <w:rsid w:val="125B6DAA"/>
    <w:rsid w:val="1902B591"/>
    <w:rsid w:val="1F20C855"/>
    <w:rsid w:val="2E8EDEB1"/>
    <w:rsid w:val="30DAAA06"/>
    <w:rsid w:val="4B839F02"/>
    <w:rsid w:val="6390F3E3"/>
    <w:rsid w:val="69418C14"/>
    <w:rsid w:val="6A25B21F"/>
    <w:rsid w:val="72C9536C"/>
    <w:rsid w:val="74AB839A"/>
    <w:rsid w:val="78BFCA0A"/>
    <w:rsid w:val="7B986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CFAE2"/>
  <w15:chartTrackingRefBased/>
  <w15:docId w15:val="{53CBB1E7-4544-49AD-AC0C-9786B54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paragraph" w:styleId="Revision">
    <w:name w:val="Revision"/>
    <w:hidden/>
    <w:uiPriority w:val="99"/>
    <w:semiHidden/>
    <w:rsid w:val="00A07CB0"/>
    <w:rPr>
      <w:color w:val="00000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5585/mmwr.mm6628a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A0FC-51B1-4ABD-A3E8-ED14D7A2C61E}"/>
</file>

<file path=customXml/itemProps2.xml><?xml version="1.0" encoding="utf-8"?>
<ds:datastoreItem xmlns:ds="http://schemas.openxmlformats.org/officeDocument/2006/customXml" ds:itemID="{863D4512-EEB5-4706-8F7B-24CCA39ECEF4}">
  <ds:schemaRefs>
    <ds:schemaRef ds:uri="http://schemas.microsoft.com/office/2006/metadata/properties"/>
    <ds:schemaRef ds:uri="http://schemas.microsoft.com/office/infopath/2007/PartnerControls"/>
    <ds:schemaRef ds:uri="e968d4b9-9f0d-4b6f-81c6-222446f6098e"/>
  </ds:schemaRefs>
</ds:datastoreItem>
</file>

<file path=customXml/itemProps3.xml><?xml version="1.0" encoding="utf-8"?>
<ds:datastoreItem xmlns:ds="http://schemas.openxmlformats.org/officeDocument/2006/customXml" ds:itemID="{F008FE1F-3AA1-4336-BAA7-BD39AE85E6AC}">
  <ds:schemaRefs>
    <ds:schemaRef ds:uri="http://schemas.microsoft.com/office/2006/metadata/longProperties"/>
  </ds:schemaRefs>
</ds:datastoreItem>
</file>

<file path=customXml/itemProps4.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5.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2164</Words>
  <Characters>12336</Characters>
  <Application>Microsoft Office Word</Application>
  <DocSecurity>0</DocSecurity>
  <Lines>102</Lines>
  <Paragraphs>28</Paragraphs>
  <ScaleCrop>false</ScaleCrop>
  <Company>Minnesota Advocates for Human Rights</Company>
  <LinksUpToDate>false</LinksUpToDate>
  <CharactersWithSpaces>14472</CharactersWithSpaces>
  <SharedDoc>false</SharedDoc>
  <HLinks>
    <vt:vector size="6" baseType="variant">
      <vt:variant>
        <vt:i4>1704030</vt:i4>
      </vt:variant>
      <vt:variant>
        <vt:i4>0</vt:i4>
      </vt:variant>
      <vt:variant>
        <vt:i4>0</vt:i4>
      </vt:variant>
      <vt:variant>
        <vt:i4>5</vt:i4>
      </vt:variant>
      <vt:variant>
        <vt:lpwstr>http://dx.doi.org/10.15585/mmwr.mm6628a1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Elizabeth Lacy</cp:lastModifiedBy>
  <cp:revision>74</cp:revision>
  <cp:lastPrinted>2022-04-28T14:19:00Z</cp:lastPrinted>
  <dcterms:created xsi:type="dcterms:W3CDTF">2022-05-05T15:51:00Z</dcterms:created>
  <dcterms:modified xsi:type="dcterms:W3CDTF">2022-05-16T17:59:00Z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0x010100619F83A6D186D14591065E56FDFCE7B0</vt:lpwstr>
  </property>
</Properties>
</file>