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856" w:type="dxa"/>
        <w:tblLayout w:type="fixed"/>
        <w:tblLook w:val="04A0" w:firstRow="1" w:lastRow="0" w:firstColumn="1" w:lastColumn="0" w:noHBand="0" w:noVBand="1"/>
      </w:tblPr>
      <w:tblGrid>
        <w:gridCol w:w="4541"/>
        <w:gridCol w:w="4315"/>
      </w:tblGrid>
      <w:tr w:rsidR="00C23A9F" w:rsidRPr="004013FD" w14:paraId="157CC491" w14:textId="77777777" w:rsidTr="004473B6">
        <w:tc>
          <w:tcPr>
            <w:tcW w:w="4541" w:type="dxa"/>
          </w:tcPr>
          <w:p w14:paraId="687947E4" w14:textId="0ACA2C2B" w:rsidR="00C23A9F" w:rsidRPr="004013FD" w:rsidRDefault="00C23A9F">
            <w:pPr>
              <w:rPr>
                <w:rFonts w:cs="Times New Roman"/>
                <w:sz w:val="22"/>
                <w:szCs w:val="22"/>
              </w:rPr>
            </w:pPr>
            <w:bookmarkStart w:id="0" w:name="_GoBack"/>
            <w:bookmarkEnd w:id="0"/>
            <w:r w:rsidRPr="004013FD">
              <w:rPr>
                <w:rFonts w:cs="Times New Roman"/>
                <w:noProof/>
                <w:sz w:val="22"/>
                <w:szCs w:val="22"/>
                <w:lang w:val="en-GB" w:eastAsia="en-GB"/>
              </w:rPr>
              <w:drawing>
                <wp:anchor distT="0" distB="0" distL="114300" distR="114300" simplePos="0" relativeHeight="251658240" behindDoc="0" locked="0" layoutInCell="1" allowOverlap="1" wp14:anchorId="4BE912A6" wp14:editId="0811D4F3">
                  <wp:simplePos x="0" y="0"/>
                  <wp:positionH relativeFrom="margin">
                    <wp:posOffset>913164</wp:posOffset>
                  </wp:positionH>
                  <wp:positionV relativeFrom="margin">
                    <wp:posOffset>0</wp:posOffset>
                  </wp:positionV>
                  <wp:extent cx="898525" cy="887095"/>
                  <wp:effectExtent l="0" t="0" r="3175" b="1905"/>
                  <wp:wrapTight wrapText="bothSides">
                    <wp:wrapPolygon edited="0">
                      <wp:start x="0" y="0"/>
                      <wp:lineTo x="0" y="21337"/>
                      <wp:lineTo x="21371" y="21337"/>
                      <wp:lineTo x="213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JA_english_med.jpg"/>
                          <pic:cNvPicPr/>
                        </pic:nvPicPr>
                        <pic:blipFill>
                          <a:blip r:embed="rId8">
                            <a:extLst>
                              <a:ext uri="{28A0092B-C50C-407E-A947-70E740481C1C}">
                                <a14:useLocalDpi xmlns:a14="http://schemas.microsoft.com/office/drawing/2010/main" val="0"/>
                              </a:ext>
                            </a:extLst>
                          </a:blip>
                          <a:stretch>
                            <a:fillRect/>
                          </a:stretch>
                        </pic:blipFill>
                        <pic:spPr>
                          <a:xfrm>
                            <a:off x="0" y="0"/>
                            <a:ext cx="898525" cy="887095"/>
                          </a:xfrm>
                          <a:prstGeom prst="rect">
                            <a:avLst/>
                          </a:prstGeom>
                        </pic:spPr>
                      </pic:pic>
                    </a:graphicData>
                  </a:graphic>
                </wp:anchor>
              </w:drawing>
            </w:r>
          </w:p>
          <w:p w14:paraId="0FC7DE0F" w14:textId="77777777" w:rsidR="00C23A9F" w:rsidRPr="004013FD" w:rsidRDefault="00C23A9F">
            <w:pPr>
              <w:rPr>
                <w:rFonts w:cs="Times New Roman"/>
                <w:sz w:val="22"/>
                <w:szCs w:val="22"/>
              </w:rPr>
            </w:pPr>
          </w:p>
          <w:p w14:paraId="019E8BF7" w14:textId="77777777" w:rsidR="00C23A9F" w:rsidRPr="004013FD" w:rsidRDefault="00C23A9F">
            <w:pPr>
              <w:rPr>
                <w:rFonts w:cs="Times New Roman"/>
                <w:sz w:val="22"/>
                <w:szCs w:val="22"/>
              </w:rPr>
            </w:pPr>
          </w:p>
        </w:tc>
        <w:tc>
          <w:tcPr>
            <w:tcW w:w="4315" w:type="dxa"/>
          </w:tcPr>
          <w:p w14:paraId="3A6C4425" w14:textId="68D400FF" w:rsidR="00C23A9F" w:rsidRPr="004013FD" w:rsidRDefault="00C23A9F">
            <w:pPr>
              <w:rPr>
                <w:rFonts w:cs="Times New Roman"/>
                <w:b/>
                <w:sz w:val="22"/>
                <w:szCs w:val="22"/>
              </w:rPr>
            </w:pPr>
            <w:r w:rsidRPr="004013FD">
              <w:rPr>
                <w:rFonts w:cs="Times New Roman"/>
                <w:b/>
                <w:sz w:val="22"/>
                <w:szCs w:val="22"/>
              </w:rPr>
              <w:t>CAT 6</w:t>
            </w:r>
            <w:r w:rsidR="004B7709" w:rsidRPr="004013FD">
              <w:rPr>
                <w:rFonts w:cs="Times New Roman"/>
                <w:b/>
                <w:sz w:val="22"/>
                <w:szCs w:val="22"/>
              </w:rPr>
              <w:t>9</w:t>
            </w:r>
            <w:r w:rsidRPr="004013FD">
              <w:rPr>
                <w:rFonts w:cs="Times New Roman"/>
                <w:b/>
                <w:sz w:val="22"/>
                <w:szCs w:val="22"/>
              </w:rPr>
              <w:t xml:space="preserve"> Session</w:t>
            </w:r>
          </w:p>
          <w:p w14:paraId="667F08DF" w14:textId="761ABC47" w:rsidR="00C23A9F" w:rsidRPr="004013FD" w:rsidRDefault="00C23A9F">
            <w:pPr>
              <w:rPr>
                <w:rFonts w:cs="Times New Roman"/>
                <w:sz w:val="22"/>
                <w:szCs w:val="22"/>
              </w:rPr>
            </w:pPr>
            <w:r w:rsidRPr="004013FD">
              <w:rPr>
                <w:rFonts w:cs="Times New Roman"/>
                <w:sz w:val="22"/>
                <w:szCs w:val="22"/>
              </w:rPr>
              <w:t>Country name:</w:t>
            </w:r>
            <w:r w:rsidR="000439EF" w:rsidRPr="004013FD">
              <w:rPr>
                <w:rFonts w:cs="Times New Roman"/>
                <w:sz w:val="22"/>
                <w:szCs w:val="22"/>
              </w:rPr>
              <w:t xml:space="preserve"> </w:t>
            </w:r>
            <w:r w:rsidR="005F55D1">
              <w:rPr>
                <w:rFonts w:cs="Times New Roman"/>
                <w:sz w:val="22"/>
                <w:szCs w:val="22"/>
              </w:rPr>
              <w:t>Montenegro</w:t>
            </w:r>
          </w:p>
          <w:p w14:paraId="3284389E" w14:textId="77777777" w:rsidR="00C23A9F" w:rsidRPr="004013FD" w:rsidRDefault="00C23A9F">
            <w:pPr>
              <w:rPr>
                <w:rFonts w:cs="Times New Roman"/>
                <w:sz w:val="22"/>
                <w:szCs w:val="22"/>
              </w:rPr>
            </w:pPr>
          </w:p>
        </w:tc>
      </w:tr>
      <w:tr w:rsidR="00187935" w:rsidRPr="004013FD" w14:paraId="6FF3C477" w14:textId="77777777" w:rsidTr="004473B6">
        <w:tc>
          <w:tcPr>
            <w:tcW w:w="8856" w:type="dxa"/>
            <w:gridSpan w:val="2"/>
          </w:tcPr>
          <w:p w14:paraId="6C87F13E" w14:textId="77777777" w:rsidR="005A3C5B" w:rsidRPr="004013FD" w:rsidRDefault="005A3C5B" w:rsidP="005A3C5B">
            <w:pPr>
              <w:jc w:val="both"/>
              <w:rPr>
                <w:rFonts w:ascii="Times New Roman" w:eastAsia="Times New Roman" w:hAnsi="Times New Roman" w:cs="Times New Roman"/>
                <w:color w:val="222222"/>
                <w:shd w:val="clear" w:color="auto" w:fill="FFFFFF"/>
              </w:rPr>
            </w:pPr>
            <w:r w:rsidRPr="004013FD">
              <w:rPr>
                <w:rFonts w:ascii="Times New Roman" w:eastAsia="Times New Roman" w:hAnsi="Times New Roman" w:cs="Times New Roman"/>
                <w:color w:val="222222"/>
                <w:shd w:val="clear" w:color="auto" w:fill="FFFFFF"/>
              </w:rPr>
              <w:t>Areas of concern:</w:t>
            </w:r>
          </w:p>
          <w:p w14:paraId="363EC705" w14:textId="77777777" w:rsidR="005A3C5B" w:rsidRPr="004013FD" w:rsidRDefault="005A3C5B" w:rsidP="005A3C5B">
            <w:pPr>
              <w:jc w:val="both"/>
              <w:rPr>
                <w:rFonts w:ascii="Times New Roman" w:eastAsia="Times New Roman" w:hAnsi="Times New Roman" w:cs="Times New Roman"/>
                <w:color w:val="222222"/>
                <w:shd w:val="clear" w:color="auto" w:fill="FFFFFF"/>
              </w:rPr>
            </w:pPr>
          </w:p>
          <w:p w14:paraId="0C5A334F" w14:textId="0C74CEA4" w:rsidR="0048217D" w:rsidRPr="004013FD" w:rsidRDefault="00AB1EBC" w:rsidP="005A3C5B">
            <w:pPr>
              <w:jc w:val="both"/>
              <w:rPr>
                <w:rFonts w:ascii="Times New Roman" w:hAnsi="Times New Roman" w:cs="Times New Roman"/>
              </w:rPr>
            </w:pPr>
            <w:r w:rsidRPr="004013FD">
              <w:rPr>
                <w:rFonts w:ascii="Times New Roman" w:hAnsi="Times New Roman" w:cs="Times New Roman"/>
              </w:rPr>
              <w:t>The Committee Against Torture</w:t>
            </w:r>
            <w:r w:rsidR="004473B6" w:rsidRPr="004013FD">
              <w:rPr>
                <w:rFonts w:ascii="Times New Roman" w:hAnsi="Times New Roman" w:cs="Times New Roman"/>
              </w:rPr>
              <w:t xml:space="preserve"> (CAT)</w:t>
            </w:r>
            <w:r w:rsidRPr="004013FD">
              <w:rPr>
                <w:rFonts w:ascii="Times New Roman" w:hAnsi="Times New Roman" w:cs="Times New Roman"/>
              </w:rPr>
              <w:t>, in General Comment 2, elaborated that there is no clear definitional threshold between other cruel, inhuman or degrading treatment or punishment (hereinafter “ill-treatment”) and torture, but each State party obliges to take actions and measures that will prevent torture and to apply them to prevent ill-treatment as well because conditions that give rise to ill-treatment facilitate torture.</w:t>
            </w:r>
            <w:bookmarkStart w:id="1" w:name="_Ref511739094"/>
            <w:r w:rsidRPr="004013FD">
              <w:rPr>
                <w:rStyle w:val="FootnoteReference"/>
                <w:rFonts w:ascii="Times New Roman" w:hAnsi="Times New Roman" w:cs="Times New Roman"/>
              </w:rPr>
              <w:footnoteReference w:id="1"/>
            </w:r>
            <w:bookmarkEnd w:id="1"/>
            <w:r w:rsidRPr="004013FD">
              <w:rPr>
                <w:rFonts w:ascii="Times New Roman" w:hAnsi="Times New Roman" w:cs="Times New Roman"/>
              </w:rPr>
              <w:t xml:space="preserve"> The </w:t>
            </w:r>
            <w:r w:rsidR="004473B6" w:rsidRPr="004013FD">
              <w:rPr>
                <w:rFonts w:ascii="Times New Roman" w:hAnsi="Times New Roman" w:cs="Times New Roman"/>
              </w:rPr>
              <w:t>CAT</w:t>
            </w:r>
            <w:r w:rsidRPr="004013FD">
              <w:rPr>
                <w:rFonts w:ascii="Times New Roman" w:hAnsi="Times New Roman" w:cs="Times New Roman"/>
              </w:rPr>
              <w:t xml:space="preserve"> strongly reinforces </w:t>
            </w:r>
            <w:r w:rsidRPr="004013FD">
              <w:rPr>
                <w:rFonts w:ascii="Times New Roman" w:hAnsi="Times New Roman" w:cs="Times New Roman"/>
                <w:i/>
                <w:iCs/>
              </w:rPr>
              <w:t xml:space="preserve">jus </w:t>
            </w:r>
            <w:proofErr w:type="spellStart"/>
            <w:r w:rsidRPr="004013FD">
              <w:rPr>
                <w:rFonts w:ascii="Times New Roman" w:hAnsi="Times New Roman" w:cs="Times New Roman"/>
                <w:i/>
                <w:iCs/>
              </w:rPr>
              <w:t>cogens</w:t>
            </w:r>
            <w:proofErr w:type="spellEnd"/>
            <w:r w:rsidRPr="004013FD">
              <w:rPr>
                <w:rFonts w:ascii="Times New Roman" w:hAnsi="Times New Roman" w:cs="Times New Roman"/>
              </w:rPr>
              <w:t xml:space="preserve"> norm in absolute and non-</w:t>
            </w:r>
            <w:proofErr w:type="spellStart"/>
            <w:r w:rsidRPr="004013FD">
              <w:rPr>
                <w:rFonts w:ascii="Times New Roman" w:hAnsi="Times New Roman" w:cs="Times New Roman"/>
              </w:rPr>
              <w:t>derogable</w:t>
            </w:r>
            <w:proofErr w:type="spellEnd"/>
            <w:r w:rsidRPr="004013FD">
              <w:rPr>
                <w:rFonts w:ascii="Times New Roman" w:hAnsi="Times New Roman" w:cs="Times New Roman"/>
              </w:rPr>
              <w:t xml:space="preserve"> prohibition against torture. </w:t>
            </w:r>
          </w:p>
          <w:p w14:paraId="6E51C442" w14:textId="77777777" w:rsidR="0048217D" w:rsidRPr="004013FD" w:rsidRDefault="0048217D" w:rsidP="005A3C5B">
            <w:pPr>
              <w:jc w:val="both"/>
              <w:rPr>
                <w:rFonts w:ascii="Times New Roman" w:hAnsi="Times New Roman" w:cs="Times New Roman"/>
              </w:rPr>
            </w:pPr>
          </w:p>
          <w:p w14:paraId="2165C916" w14:textId="6A6BA7E1" w:rsidR="005A3C5B" w:rsidRPr="004013FD" w:rsidRDefault="005A3C5B" w:rsidP="005A3C5B">
            <w:pPr>
              <w:jc w:val="both"/>
              <w:rPr>
                <w:rFonts w:ascii="Times New Roman" w:hAnsi="Times New Roman" w:cs="Times New Roman"/>
              </w:rPr>
            </w:pPr>
            <w:r w:rsidRPr="004013FD">
              <w:rPr>
                <w:rFonts w:ascii="Times New Roman" w:hAnsi="Times New Roman" w:cs="Times New Roman"/>
              </w:rPr>
              <w:t>International law strictly</w:t>
            </w:r>
            <w:r w:rsidR="00DA48A6" w:rsidRPr="004013FD">
              <w:rPr>
                <w:rFonts w:ascii="Times New Roman" w:hAnsi="Times New Roman" w:cs="Times New Roman"/>
              </w:rPr>
              <w:t xml:space="preserve"> </w:t>
            </w:r>
            <w:r w:rsidRPr="004013FD">
              <w:rPr>
                <w:rFonts w:ascii="Times New Roman" w:hAnsi="Times New Roman" w:cs="Times New Roman"/>
              </w:rPr>
              <w:t>limits the circumstances in which children can be placed in detention while awaiting trial or while under investigation pre-charge. Pretrial detention should only be used in exceptional circumstances, where it is necessary to ensure the child’s appearance at the court proceedings, or where the child is an immediate danger to himself/herself or others.</w:t>
            </w:r>
            <w:r w:rsidRPr="004013FD">
              <w:rPr>
                <w:rFonts w:ascii="Times New Roman" w:hAnsi="Times New Roman" w:cs="Times New Roman"/>
                <w:vertAlign w:val="superscript"/>
              </w:rPr>
              <w:footnoteReference w:id="2"/>
            </w:r>
            <w:r w:rsidRPr="004013FD">
              <w:rPr>
                <w:rFonts w:ascii="Times New Roman" w:hAnsi="Times New Roman" w:cs="Times New Roman"/>
              </w:rPr>
              <w:t xml:space="preserve"> Pretrial detention is only permitted as a measure of last resort and for “</w:t>
            </w:r>
            <w:r w:rsidRPr="004013FD">
              <w:rPr>
                <w:rFonts w:ascii="Times New Roman" w:hAnsi="Times New Roman" w:cs="Times New Roman"/>
                <w:i/>
              </w:rPr>
              <w:t>the shortest appropriate period of time</w:t>
            </w:r>
            <w:r w:rsidRPr="004013FD">
              <w:rPr>
                <w:rFonts w:ascii="Times New Roman" w:hAnsi="Times New Roman" w:cs="Times New Roman"/>
              </w:rPr>
              <w:t>.”</w:t>
            </w:r>
            <w:bookmarkStart w:id="2" w:name="_Ref509599856"/>
            <w:r w:rsidRPr="004013FD">
              <w:rPr>
                <w:rFonts w:ascii="Times New Roman" w:hAnsi="Times New Roman" w:cs="Times New Roman"/>
                <w:vertAlign w:val="superscript"/>
              </w:rPr>
              <w:footnoteReference w:id="3"/>
            </w:r>
            <w:bookmarkEnd w:id="2"/>
            <w:r w:rsidRPr="004013FD">
              <w:rPr>
                <w:rFonts w:ascii="Times New Roman" w:hAnsi="Times New Roman" w:cs="Times New Roman"/>
              </w:rPr>
              <w:t> However, there is no clarity around what is meant by an “</w:t>
            </w:r>
            <w:r w:rsidRPr="004013FD">
              <w:rPr>
                <w:rFonts w:ascii="Times New Roman" w:hAnsi="Times New Roman" w:cs="Times New Roman"/>
                <w:i/>
              </w:rPr>
              <w:t>appropriate period of time</w:t>
            </w:r>
            <w:r w:rsidRPr="004013FD">
              <w:rPr>
                <w:rFonts w:ascii="Times New Roman" w:hAnsi="Times New Roman" w:cs="Times New Roman"/>
              </w:rPr>
              <w:t>.</w:t>
            </w:r>
            <w:proofErr w:type="gramStart"/>
            <w:r w:rsidRPr="004013FD">
              <w:rPr>
                <w:rFonts w:ascii="Times New Roman" w:hAnsi="Times New Roman" w:cs="Times New Roman"/>
              </w:rPr>
              <w:t xml:space="preserve">” </w:t>
            </w:r>
            <w:r w:rsidR="00AB1EBC" w:rsidRPr="004013FD">
              <w:rPr>
                <w:rFonts w:ascii="Times New Roman" w:hAnsi="Times New Roman" w:cs="Times New Roman"/>
              </w:rPr>
              <w:t>.”</w:t>
            </w:r>
            <w:proofErr w:type="gramEnd"/>
            <w:r w:rsidR="00AB1EBC" w:rsidRPr="004013FD">
              <w:rPr>
                <w:rFonts w:ascii="Times New Roman" w:hAnsi="Times New Roman" w:cs="Times New Roman"/>
              </w:rPr>
              <w:t xml:space="preserve"> The Committee on the Rights of the Child</w:t>
            </w:r>
            <w:r w:rsidR="004473B6" w:rsidRPr="004013FD">
              <w:rPr>
                <w:rFonts w:ascii="Times New Roman" w:hAnsi="Times New Roman" w:cs="Times New Roman"/>
              </w:rPr>
              <w:t xml:space="preserve"> (CRC)</w:t>
            </w:r>
            <w:r w:rsidR="00AB1EBC" w:rsidRPr="004013FD">
              <w:rPr>
                <w:rFonts w:ascii="Times New Roman" w:hAnsi="Times New Roman" w:cs="Times New Roman"/>
              </w:rPr>
              <w:t>, in General Comment 10, recommended that children who are detained should be formally charged within 30 days and once charged, that a final decision should be made by the court within six months.</w:t>
            </w:r>
            <w:r w:rsidR="00AB1EBC" w:rsidRPr="004013FD">
              <w:rPr>
                <w:rStyle w:val="FootnoteReference"/>
                <w:rFonts w:ascii="Times New Roman" w:hAnsi="Times New Roman" w:cs="Times New Roman"/>
              </w:rPr>
              <w:footnoteReference w:id="4"/>
            </w:r>
            <w:r w:rsidR="00AB1EBC" w:rsidRPr="004013FD">
              <w:rPr>
                <w:rFonts w:ascii="Times New Roman" w:hAnsi="Times New Roman" w:cs="Times New Roman"/>
              </w:rPr>
              <w:t xml:space="preserve"> The </w:t>
            </w:r>
            <w:r w:rsidR="004473B6" w:rsidRPr="004013FD">
              <w:rPr>
                <w:rFonts w:ascii="Times New Roman" w:hAnsi="Times New Roman" w:cs="Times New Roman"/>
              </w:rPr>
              <w:t>CRC</w:t>
            </w:r>
            <w:r w:rsidR="00AB1EBC" w:rsidRPr="004013FD">
              <w:rPr>
                <w:rFonts w:ascii="Times New Roman" w:hAnsi="Times New Roman" w:cs="Times New Roman"/>
              </w:rPr>
              <w:t xml:space="preserve"> additionally recommended that any such detention should be reviewed regularly by a competent body</w:t>
            </w:r>
            <w:r w:rsidR="00AB1EBC" w:rsidRPr="004013FD">
              <w:rPr>
                <w:rStyle w:val="FootnoteReference"/>
                <w:rFonts w:ascii="Times New Roman" w:hAnsi="Times New Roman" w:cs="Times New Roman"/>
              </w:rPr>
              <w:footnoteReference w:id="5"/>
            </w:r>
            <w:r w:rsidR="00AB1EBC" w:rsidRPr="004013FD">
              <w:rPr>
                <w:rFonts w:ascii="Times New Roman" w:hAnsi="Times New Roman" w:cs="Times New Roman"/>
              </w:rPr>
              <w:t xml:space="preserve"> These recommendations can and should be strengthened.</w:t>
            </w:r>
          </w:p>
          <w:p w14:paraId="58E0024B" w14:textId="77777777" w:rsidR="005A3C5B" w:rsidRPr="004013FD" w:rsidRDefault="005A3C5B" w:rsidP="005A3C5B">
            <w:pPr>
              <w:jc w:val="both"/>
              <w:rPr>
                <w:rFonts w:ascii="Times New Roman" w:hAnsi="Times New Roman" w:cs="Times New Roman"/>
              </w:rPr>
            </w:pPr>
          </w:p>
          <w:p w14:paraId="24C4E505" w14:textId="77777777" w:rsidR="005A3C5B" w:rsidRPr="004013FD" w:rsidRDefault="005A3C5B" w:rsidP="005A3C5B">
            <w:pPr>
              <w:jc w:val="both"/>
              <w:rPr>
                <w:rFonts w:ascii="Times New Roman" w:hAnsi="Times New Roman" w:cs="Times New Roman"/>
              </w:rPr>
            </w:pPr>
            <w:r w:rsidRPr="004013FD">
              <w:rPr>
                <w:rFonts w:ascii="Times New Roman" w:hAnsi="Times New Roman" w:cs="Times New Roman"/>
              </w:rPr>
              <w:t>Defendants in pretrial detention are more likely to be abused, mistreated and tortured,</w:t>
            </w:r>
            <w:bookmarkStart w:id="3" w:name="_Ref509596657"/>
            <w:r w:rsidRPr="004013FD">
              <w:rPr>
                <w:rFonts w:ascii="Times New Roman" w:hAnsi="Times New Roman" w:cs="Times New Roman"/>
                <w:vertAlign w:val="superscript"/>
              </w:rPr>
              <w:footnoteReference w:id="6"/>
            </w:r>
            <w:bookmarkEnd w:id="3"/>
            <w:r w:rsidRPr="004013FD">
              <w:rPr>
                <w:rFonts w:ascii="Times New Roman" w:hAnsi="Times New Roman" w:cs="Times New Roman"/>
              </w:rPr>
              <w:t xml:space="preserve"> and children are particularly vulnerable. In many countries, the lack of adequate facilities, food and sanitation, insufficient access to education and training, and compromised contact with family and friends makes even short periods of time in pretrial detention traumatic for children. Detention has been shown to significantly increase the risk of depression, suicide, school drop-out, and drug use among children.</w:t>
            </w:r>
            <w:bookmarkStart w:id="4" w:name="_Ref509598336"/>
            <w:r w:rsidRPr="004013FD">
              <w:rPr>
                <w:rFonts w:ascii="Times New Roman" w:hAnsi="Times New Roman" w:cs="Times New Roman"/>
                <w:vertAlign w:val="superscript"/>
              </w:rPr>
              <w:footnoteReference w:id="7"/>
            </w:r>
            <w:bookmarkEnd w:id="4"/>
            <w:r w:rsidRPr="004013FD">
              <w:rPr>
                <w:rFonts w:ascii="Times New Roman" w:hAnsi="Times New Roman" w:cs="Times New Roman"/>
              </w:rPr>
              <w:t xml:space="preserve"> Unfortunately, in many countries the </w:t>
            </w:r>
            <w:r w:rsidRPr="004013FD">
              <w:rPr>
                <w:rFonts w:ascii="Times New Roman" w:hAnsi="Times New Roman" w:cs="Times New Roman"/>
              </w:rPr>
              <w:lastRenderedPageBreak/>
              <w:t>majority of children in detention are awaiting trial and may spend months or years behind bars before having their cases resolved. Even in jurisdictions that have successfully implemented alternatives to detention, children still spend months or years in pretrial detention, often longer than any sentence they might receive on conviction. It is reportedly common for children to receive conditional release or diversion after months of pretrial detention</w:t>
            </w:r>
            <w:r w:rsidRPr="004013FD">
              <w:rPr>
                <w:rFonts w:ascii="Times New Roman" w:hAnsi="Times New Roman" w:cs="Times New Roman"/>
                <w:vertAlign w:val="superscript"/>
              </w:rPr>
              <w:footnoteReference w:id="8"/>
            </w:r>
            <w:r w:rsidRPr="004013FD">
              <w:rPr>
                <w:rFonts w:ascii="Times New Roman" w:hAnsi="Times New Roman" w:cs="Times New Roman"/>
              </w:rPr>
              <w:t>. This means that the most significant time spent deprived of liberty is while awaiting trial, when children are ostensibly presumed innocent.</w:t>
            </w:r>
          </w:p>
          <w:p w14:paraId="3092A844" w14:textId="77777777" w:rsidR="005A3C5B" w:rsidRPr="004013FD" w:rsidRDefault="005A3C5B" w:rsidP="005A3C5B">
            <w:pPr>
              <w:jc w:val="both"/>
              <w:rPr>
                <w:rFonts w:ascii="Times New Roman" w:hAnsi="Times New Roman" w:cs="Times New Roman"/>
              </w:rPr>
            </w:pPr>
          </w:p>
          <w:p w14:paraId="054DFC11" w14:textId="77777777" w:rsidR="005A3C5B" w:rsidRPr="004013FD" w:rsidRDefault="005A3C5B" w:rsidP="005A3C5B">
            <w:pPr>
              <w:jc w:val="both"/>
              <w:rPr>
                <w:rFonts w:ascii="Times New Roman" w:hAnsi="Times New Roman" w:cs="Times New Roman"/>
              </w:rPr>
            </w:pPr>
            <w:r w:rsidRPr="004013FD">
              <w:rPr>
                <w:rFonts w:ascii="Times New Roman" w:hAnsi="Times New Roman" w:cs="Times New Roman"/>
              </w:rPr>
              <w:t xml:space="preserve">The 2018 report “Children in Pretrial Detention: Promoting Stronger International Time Limits” is the first study of how long countries allow children to be detained awaiting trial. Looking at the legal limits in 118 countries, the report found that 26% of countries have no time limit and 40% of countries allow exceptions to their time limit, risking indefinite detention. However, the length of time that children actually spend in detention awaiting trial is data that countries have not be collecting or reporting. </w:t>
            </w:r>
          </w:p>
          <w:p w14:paraId="7602A3CF" w14:textId="77777777" w:rsidR="005A3C5B" w:rsidRPr="004013FD" w:rsidRDefault="005A3C5B" w:rsidP="005A3C5B">
            <w:pPr>
              <w:jc w:val="both"/>
              <w:rPr>
                <w:rFonts w:ascii="Times New Roman" w:hAnsi="Times New Roman" w:cs="Times New Roman"/>
              </w:rPr>
            </w:pPr>
          </w:p>
          <w:p w14:paraId="5E53337C" w14:textId="6232D37C" w:rsidR="005A3C5B" w:rsidRPr="004013FD" w:rsidRDefault="005A3C5B" w:rsidP="005A3C5B">
            <w:pPr>
              <w:jc w:val="both"/>
              <w:rPr>
                <w:rFonts w:ascii="Times New Roman" w:hAnsi="Times New Roman" w:cs="Times New Roman"/>
              </w:rPr>
            </w:pPr>
            <w:r w:rsidRPr="004013FD">
              <w:rPr>
                <w:rFonts w:ascii="Times New Roman" w:hAnsi="Times New Roman" w:cs="Times New Roman"/>
              </w:rPr>
              <w:t xml:space="preserve">The </w:t>
            </w:r>
            <w:r w:rsidRPr="004013FD">
              <w:rPr>
                <w:rFonts w:ascii="Times New Roman" w:hAnsi="Times New Roman" w:cs="Times New Roman"/>
                <w:i/>
              </w:rPr>
              <w:t>Children in Pretrial Detention: Promoting Stronger International Time Limits</w:t>
            </w:r>
            <w:r w:rsidRPr="004013FD">
              <w:rPr>
                <w:rFonts w:ascii="Times New Roman" w:hAnsi="Times New Roman" w:cs="Times New Roman"/>
              </w:rPr>
              <w:t xml:space="preserve"> report serves as a baseline for the </w:t>
            </w:r>
            <w:r w:rsidR="004473B6" w:rsidRPr="004013FD">
              <w:rPr>
                <w:rFonts w:ascii="Times New Roman" w:hAnsi="Times New Roman" w:cs="Times New Roman"/>
              </w:rPr>
              <w:t>CRC</w:t>
            </w:r>
            <w:r w:rsidRPr="004013FD">
              <w:rPr>
                <w:rFonts w:ascii="Times New Roman" w:hAnsi="Times New Roman" w:cs="Times New Roman"/>
              </w:rPr>
              <w:t xml:space="preserve"> to expand on country practices regarding times of pretrial detention of children. </w:t>
            </w:r>
          </w:p>
          <w:p w14:paraId="38EAFC7B" w14:textId="77777777" w:rsidR="005A3C5B" w:rsidRPr="004013FD" w:rsidRDefault="005A3C5B" w:rsidP="005A3C5B">
            <w:pPr>
              <w:jc w:val="both"/>
              <w:rPr>
                <w:rFonts w:ascii="Times New Roman" w:eastAsia="Times New Roman" w:hAnsi="Times New Roman" w:cs="Times New Roman"/>
                <w:color w:val="222222"/>
                <w:shd w:val="clear" w:color="auto" w:fill="FFFFFF"/>
              </w:rPr>
            </w:pPr>
            <w:r w:rsidRPr="004013FD">
              <w:rPr>
                <w:rFonts w:ascii="Times New Roman" w:hAnsi="Times New Roman" w:cs="Times New Roman"/>
              </w:rPr>
              <w:br w:type="page"/>
            </w:r>
            <w:bookmarkStart w:id="5" w:name="_4g83oi30h3up" w:colFirst="0" w:colLast="0"/>
            <w:bookmarkEnd w:id="5"/>
          </w:p>
          <w:p w14:paraId="29E4CBC2" w14:textId="77777777" w:rsidR="005A3C5B" w:rsidRPr="004013FD" w:rsidRDefault="005A3C5B" w:rsidP="005A3C5B">
            <w:pPr>
              <w:jc w:val="both"/>
              <w:rPr>
                <w:rFonts w:ascii="Times New Roman" w:eastAsia="Times New Roman" w:hAnsi="Times New Roman" w:cs="Times New Roman"/>
                <w:color w:val="222222"/>
                <w:shd w:val="clear" w:color="auto" w:fill="FFFFFF"/>
              </w:rPr>
            </w:pPr>
            <w:r w:rsidRPr="004013FD">
              <w:rPr>
                <w:rFonts w:ascii="Times New Roman" w:eastAsia="Times New Roman" w:hAnsi="Times New Roman" w:cs="Times New Roman"/>
                <w:color w:val="222222"/>
                <w:shd w:val="clear" w:color="auto" w:fill="FFFFFF"/>
              </w:rPr>
              <w:t>Methodology:</w:t>
            </w:r>
          </w:p>
          <w:p w14:paraId="4969997B" w14:textId="77777777" w:rsidR="005A3C5B" w:rsidRPr="004013FD" w:rsidRDefault="005A3C5B" w:rsidP="005A3C5B">
            <w:pPr>
              <w:jc w:val="both"/>
              <w:rPr>
                <w:rFonts w:ascii="Times New Roman" w:eastAsia="Times New Roman" w:hAnsi="Times New Roman" w:cs="Times New Roman"/>
                <w:color w:val="222222"/>
                <w:shd w:val="clear" w:color="auto" w:fill="FFFFFF"/>
              </w:rPr>
            </w:pPr>
          </w:p>
          <w:p w14:paraId="7331F2E0" w14:textId="77777777" w:rsidR="005A3C5B" w:rsidRPr="004013FD" w:rsidRDefault="005A3C5B" w:rsidP="005A3C5B">
            <w:pPr>
              <w:jc w:val="both"/>
              <w:rPr>
                <w:rFonts w:ascii="Times New Roman" w:eastAsia="Times New Roman" w:hAnsi="Times New Roman" w:cs="Times New Roman"/>
                <w:color w:val="222222"/>
                <w:shd w:val="clear" w:color="auto" w:fill="FFFFFF"/>
              </w:rPr>
            </w:pPr>
            <w:r w:rsidRPr="004013FD">
              <w:rPr>
                <w:rFonts w:ascii="Times New Roman" w:eastAsia="Times New Roman" w:hAnsi="Times New Roman" w:cs="Times New Roman"/>
                <w:color w:val="222222"/>
                <w:shd w:val="clear" w:color="auto" w:fill="FFFFFF"/>
              </w:rPr>
              <w:t xml:space="preserve">This alternative report is based on the </w:t>
            </w:r>
            <w:r w:rsidRPr="004013FD">
              <w:rPr>
                <w:rFonts w:ascii="Times New Roman" w:eastAsia="Times New Roman" w:hAnsi="Times New Roman" w:cs="Times New Roman"/>
                <w:i/>
                <w:color w:val="222222"/>
                <w:shd w:val="clear" w:color="auto" w:fill="FFFFFF"/>
              </w:rPr>
              <w:t xml:space="preserve">Children in Pretrial Detention </w:t>
            </w:r>
            <w:r w:rsidRPr="004013FD">
              <w:rPr>
                <w:rFonts w:ascii="Times New Roman" w:eastAsia="Times New Roman" w:hAnsi="Times New Roman" w:cs="Times New Roman"/>
                <w:color w:val="222222"/>
                <w:shd w:val="clear" w:color="auto" w:fill="FFFFFF"/>
              </w:rPr>
              <w:t>report on pretrial detention times of 119 CRC State parties.</w:t>
            </w:r>
            <w:r w:rsidRPr="004013FD">
              <w:rPr>
                <w:rStyle w:val="FootnoteReference"/>
                <w:rFonts w:ascii="Times New Roman" w:eastAsia="Times New Roman" w:hAnsi="Times New Roman" w:cs="Times New Roman"/>
                <w:color w:val="222222"/>
                <w:shd w:val="clear" w:color="auto" w:fill="FFFFFF"/>
              </w:rPr>
              <w:footnoteReference w:id="9"/>
            </w:r>
            <w:r w:rsidRPr="004013FD">
              <w:rPr>
                <w:rFonts w:ascii="Times New Roman" w:eastAsia="Times New Roman" w:hAnsi="Times New Roman" w:cs="Times New Roman"/>
                <w:color w:val="222222"/>
                <w:shd w:val="clear" w:color="auto" w:fill="FFFFFF"/>
              </w:rPr>
              <w:t xml:space="preserve"> Such report was conducted by reviewing the respective current statutes or court rules in force at the time that the data was collected. </w:t>
            </w:r>
          </w:p>
          <w:p w14:paraId="5E3F6A7E" w14:textId="77777777" w:rsidR="005A3C5B" w:rsidRPr="004013FD" w:rsidRDefault="005A3C5B" w:rsidP="005A3C5B">
            <w:pPr>
              <w:jc w:val="both"/>
              <w:rPr>
                <w:rFonts w:ascii="Times New Roman" w:eastAsia="Times New Roman" w:hAnsi="Times New Roman" w:cs="Times New Roman"/>
                <w:color w:val="222222"/>
                <w:shd w:val="clear" w:color="auto" w:fill="FFFFFF"/>
              </w:rPr>
            </w:pPr>
            <w:r w:rsidRPr="004013FD">
              <w:rPr>
                <w:rFonts w:ascii="Times New Roman" w:eastAsia="Times New Roman" w:hAnsi="Times New Roman" w:cs="Times New Roman"/>
                <w:color w:val="222222"/>
                <w:shd w:val="clear" w:color="auto" w:fill="FFFFFF"/>
              </w:rPr>
              <w:t>In defining the statutory time period of pretrial detention, when possible, the report applied the statutory maximum for pretrial detention based on the time allowed in detention from arrest until a sentence was established. However, varying jurisdictions defined pretrial detention</w:t>
            </w:r>
            <w:r w:rsidRPr="004013FD" w:rsidDel="002B3A25">
              <w:rPr>
                <w:rFonts w:ascii="Times New Roman" w:eastAsia="Times New Roman" w:hAnsi="Times New Roman" w:cs="Times New Roman"/>
                <w:color w:val="222222"/>
                <w:shd w:val="clear" w:color="auto" w:fill="FFFFFF"/>
              </w:rPr>
              <w:t xml:space="preserve"> </w:t>
            </w:r>
            <w:r w:rsidRPr="004013FD">
              <w:rPr>
                <w:rFonts w:ascii="Times New Roman" w:eastAsia="Times New Roman" w:hAnsi="Times New Roman" w:cs="Times New Roman"/>
                <w:color w:val="222222"/>
                <w:shd w:val="clear" w:color="auto" w:fill="FFFFFF"/>
              </w:rPr>
              <w:t xml:space="preserve">differently or set limits based on alternative procedural milestones. Where the statute did not provide a length of days or it was unclear, the number of days was based on the national law’s definition of pretrial detention. </w:t>
            </w:r>
          </w:p>
          <w:p w14:paraId="41E54C00" w14:textId="77777777" w:rsidR="005A3C5B" w:rsidRPr="004013FD" w:rsidRDefault="005A3C5B" w:rsidP="004F6031">
            <w:pPr>
              <w:rPr>
                <w:rFonts w:ascii="Times New Roman" w:eastAsia="Times New Roman" w:hAnsi="Times New Roman" w:cs="Times New Roman"/>
                <w:color w:val="222222"/>
                <w:shd w:val="clear" w:color="auto" w:fill="FFFFFF"/>
              </w:rPr>
            </w:pPr>
          </w:p>
          <w:p w14:paraId="24691FC0" w14:textId="14A168E1" w:rsidR="00187935" w:rsidRPr="004013FD" w:rsidRDefault="005A3C5B" w:rsidP="004F6031">
            <w:pPr>
              <w:rPr>
                <w:rFonts w:cs="Times New Roman"/>
                <w:sz w:val="22"/>
                <w:szCs w:val="22"/>
              </w:rPr>
            </w:pPr>
            <w:r w:rsidRPr="004013FD">
              <w:rPr>
                <w:rFonts w:ascii="Times New Roman" w:hAnsi="Times New Roman" w:cs="Times New Roman"/>
              </w:rPr>
              <w:t>Most jurisdictions did not indicate any time limit for children in pretrial detention pending appeals. For the sake of uniformity, only limits based on pretrial detention before the first adjudication were used. State practices are unclear when a case is appealed, and the child is in pretrial detention, such as if the clock is suspended or if the time limit still applies</w:t>
            </w:r>
          </w:p>
        </w:tc>
      </w:tr>
    </w:tbl>
    <w:p w14:paraId="7EC040D9" w14:textId="300D4BC4" w:rsidR="00C23A9F" w:rsidRDefault="00C23A9F"/>
    <w:p w14:paraId="09206D7B" w14:textId="3C14C1E7" w:rsidR="007A215F" w:rsidRDefault="007A215F"/>
    <w:p w14:paraId="035F99EE" w14:textId="05A0FF3B" w:rsidR="007A215F" w:rsidRDefault="007A215F"/>
    <w:p w14:paraId="0C6C1DA7" w14:textId="2ABA5162" w:rsidR="007A215F" w:rsidRDefault="007A215F"/>
    <w:p w14:paraId="48D0DB8B" w14:textId="0F832D27" w:rsidR="007A215F" w:rsidRDefault="007A215F"/>
    <w:p w14:paraId="3667F9D9" w14:textId="4DE8DB03" w:rsidR="007A215F" w:rsidRDefault="007A215F"/>
    <w:p w14:paraId="7926F27B" w14:textId="670091FA" w:rsidR="007A215F" w:rsidRDefault="007A215F" w:rsidP="007A215F">
      <w:pPr>
        <w:jc w:val="center"/>
      </w:pPr>
      <w:r>
        <w:t>Montenegro</w:t>
      </w:r>
    </w:p>
    <w:p w14:paraId="1BED2154" w14:textId="73245081" w:rsidR="007A215F" w:rsidRDefault="007A215F" w:rsidP="007A215F">
      <w:pPr>
        <w:jc w:val="center"/>
      </w:pPr>
    </w:p>
    <w:tbl>
      <w:tblPr>
        <w:tblStyle w:val="TableGrid"/>
        <w:tblW w:w="8856" w:type="dxa"/>
        <w:tblLayout w:type="fixed"/>
        <w:tblLook w:val="04A0" w:firstRow="1" w:lastRow="0" w:firstColumn="1" w:lastColumn="0" w:noHBand="0" w:noVBand="1"/>
      </w:tblPr>
      <w:tblGrid>
        <w:gridCol w:w="2141"/>
        <w:gridCol w:w="14"/>
        <w:gridCol w:w="6701"/>
      </w:tblGrid>
      <w:tr w:rsidR="007A215F" w:rsidRPr="004013FD" w14:paraId="3ED857B1" w14:textId="77777777" w:rsidTr="00E15977">
        <w:tc>
          <w:tcPr>
            <w:tcW w:w="8856" w:type="dxa"/>
            <w:gridSpan w:val="3"/>
          </w:tcPr>
          <w:p w14:paraId="3C0FA276" w14:textId="22269065" w:rsidR="007A215F" w:rsidRPr="00F16589" w:rsidRDefault="007A215F" w:rsidP="007A215F">
            <w:pPr>
              <w:jc w:val="center"/>
            </w:pPr>
            <w:r>
              <w:t>Montenegro has a blanket pretrial detention limit of 30 with exceptions that can amount to 60 days.</w:t>
            </w:r>
          </w:p>
        </w:tc>
      </w:tr>
      <w:tr w:rsidR="007A215F" w:rsidRPr="004013FD" w14:paraId="607CE2DA" w14:textId="77777777" w:rsidTr="00150554">
        <w:tc>
          <w:tcPr>
            <w:tcW w:w="2155" w:type="dxa"/>
            <w:gridSpan w:val="2"/>
          </w:tcPr>
          <w:p w14:paraId="282A587F" w14:textId="77777777" w:rsidR="007A215F" w:rsidRPr="004013FD" w:rsidRDefault="007A215F" w:rsidP="00150554">
            <w:pPr>
              <w:jc w:val="center"/>
              <w:rPr>
                <w:rFonts w:cs="Times New Roman"/>
                <w:sz w:val="22"/>
                <w:szCs w:val="22"/>
              </w:rPr>
            </w:pPr>
            <w:r w:rsidRPr="004013FD">
              <w:rPr>
                <w:rFonts w:cs="Times New Roman"/>
                <w:sz w:val="22"/>
                <w:szCs w:val="22"/>
              </w:rPr>
              <w:t>Constitution / Statute Citation</w:t>
            </w:r>
          </w:p>
        </w:tc>
        <w:tc>
          <w:tcPr>
            <w:tcW w:w="6701" w:type="dxa"/>
          </w:tcPr>
          <w:p w14:paraId="7B91B82E" w14:textId="77777777" w:rsidR="007A215F" w:rsidRPr="00E50B97" w:rsidRDefault="007A215F" w:rsidP="00150554">
            <w:pPr>
              <w:rPr>
                <w:lang w:val="fr-CH"/>
              </w:rPr>
            </w:pPr>
            <w:r w:rsidRPr="00E50B97">
              <w:rPr>
                <w:lang w:val="fr-CH"/>
              </w:rPr>
              <w:t>Criminal Code. Nos. 70/2003, 13/2004, 47/2006 and 40/2008</w:t>
            </w:r>
          </w:p>
          <w:p w14:paraId="2053B7D2" w14:textId="77777777" w:rsidR="007A215F" w:rsidRPr="00E50B97" w:rsidRDefault="007A215F" w:rsidP="00150554">
            <w:pPr>
              <w:rPr>
                <w:lang w:val="fr-CH"/>
              </w:rPr>
            </w:pPr>
            <w:r w:rsidRPr="00E50B97">
              <w:rPr>
                <w:lang w:val="fr-CH"/>
              </w:rPr>
              <w:t>Chapter Six. Provisions on juveniles</w:t>
            </w:r>
          </w:p>
          <w:p w14:paraId="46BFB78C" w14:textId="77777777" w:rsidR="007A215F" w:rsidRDefault="007A215F" w:rsidP="00150554">
            <w:r w:rsidRPr="00E50B97">
              <w:rPr>
                <w:lang w:val="fr-CH"/>
              </w:rPr>
              <w:t xml:space="preserve">Article 80. </w:t>
            </w:r>
            <w:r>
              <w:t xml:space="preserve">Exemption of children from criminal sanctions </w:t>
            </w:r>
          </w:p>
          <w:p w14:paraId="43F161E8" w14:textId="77777777" w:rsidR="007A215F" w:rsidRDefault="007A215F" w:rsidP="00150554">
            <w:r>
              <w:t>Criminal sanctions cannot be applied to a juvenile who at the time of the commission of a criminal offence was under the age of 14 fourteen years (a child).</w:t>
            </w:r>
          </w:p>
          <w:p w14:paraId="1E45D846" w14:textId="77777777" w:rsidR="007A215F" w:rsidRDefault="007A215F" w:rsidP="00150554"/>
          <w:p w14:paraId="7886CAD8" w14:textId="77777777" w:rsidR="007A215F" w:rsidRDefault="007A215F" w:rsidP="00150554">
            <w:r>
              <w:t>Chapter Fifteen. Criminal offences against freedoms and rights of man and the citizen</w:t>
            </w:r>
          </w:p>
          <w:p w14:paraId="6620C35E" w14:textId="77777777" w:rsidR="007A215F" w:rsidRPr="003441F6" w:rsidRDefault="007A215F" w:rsidP="00150554">
            <w:pPr>
              <w:rPr>
                <w:rFonts w:cs="Times New Roman"/>
                <w:sz w:val="22"/>
                <w:szCs w:val="22"/>
              </w:rPr>
            </w:pPr>
            <w:r w:rsidRPr="003441F6">
              <w:rPr>
                <w:rFonts w:cs="Times New Roman"/>
                <w:sz w:val="22"/>
                <w:szCs w:val="22"/>
              </w:rPr>
              <w:t>Article 167</w:t>
            </w:r>
            <w:r>
              <w:rPr>
                <w:rFonts w:cs="Times New Roman"/>
                <w:sz w:val="22"/>
                <w:szCs w:val="22"/>
              </w:rPr>
              <w:t xml:space="preserve">. </w:t>
            </w:r>
            <w:r w:rsidRPr="003441F6">
              <w:rPr>
                <w:rFonts w:cs="Times New Roman"/>
                <w:sz w:val="22"/>
                <w:szCs w:val="22"/>
              </w:rPr>
              <w:t>Torture and abuse</w:t>
            </w:r>
          </w:p>
          <w:p w14:paraId="11F3D394" w14:textId="77777777" w:rsidR="007A215F" w:rsidRDefault="007A215F" w:rsidP="00150554">
            <w:pPr>
              <w:rPr>
                <w:rFonts w:cs="Times New Roman"/>
                <w:sz w:val="22"/>
                <w:szCs w:val="22"/>
              </w:rPr>
            </w:pPr>
            <w:r w:rsidRPr="003441F6">
              <w:rPr>
                <w:rFonts w:cs="Times New Roman"/>
                <w:sz w:val="22"/>
                <w:szCs w:val="22"/>
              </w:rPr>
              <w:t>(1) Anyone who, by force, threat or in any other unlawful manner, causes great pain or</w:t>
            </w:r>
            <w:r>
              <w:rPr>
                <w:rFonts w:cs="Times New Roman"/>
                <w:sz w:val="22"/>
                <w:szCs w:val="22"/>
              </w:rPr>
              <w:t xml:space="preserve"> </w:t>
            </w:r>
            <w:r w:rsidRPr="003441F6">
              <w:rPr>
                <w:rFonts w:cs="Times New Roman"/>
                <w:sz w:val="22"/>
                <w:szCs w:val="22"/>
              </w:rPr>
              <w:t>suffering of other person with the aim to obtain a confession, statement or other</w:t>
            </w:r>
            <w:r>
              <w:rPr>
                <w:rFonts w:cs="Times New Roman"/>
                <w:sz w:val="22"/>
                <w:szCs w:val="22"/>
              </w:rPr>
              <w:t xml:space="preserve"> </w:t>
            </w:r>
            <w:r w:rsidRPr="003441F6">
              <w:rPr>
                <w:rFonts w:cs="Times New Roman"/>
                <w:sz w:val="22"/>
                <w:szCs w:val="22"/>
              </w:rPr>
              <w:t>information from that person or a third party, or to intimidate or to punish unlawfully that</w:t>
            </w:r>
            <w:r>
              <w:rPr>
                <w:rFonts w:cs="Times New Roman"/>
                <w:sz w:val="22"/>
                <w:szCs w:val="22"/>
              </w:rPr>
              <w:t xml:space="preserve"> </w:t>
            </w:r>
            <w:r w:rsidRPr="003441F6">
              <w:rPr>
                <w:rFonts w:cs="Times New Roman"/>
                <w:sz w:val="22"/>
                <w:szCs w:val="22"/>
              </w:rPr>
              <w:t>person or a third party, or who does it from some other motives grounded on any form of</w:t>
            </w:r>
            <w:r>
              <w:rPr>
                <w:rFonts w:cs="Times New Roman"/>
                <w:sz w:val="22"/>
                <w:szCs w:val="22"/>
              </w:rPr>
              <w:t xml:space="preserve"> </w:t>
            </w:r>
            <w:r w:rsidRPr="003441F6">
              <w:rPr>
                <w:rFonts w:cs="Times New Roman"/>
                <w:sz w:val="22"/>
                <w:szCs w:val="22"/>
              </w:rPr>
              <w:t>discrimination, shall be sentenced to imprisonment for a term of six months to five years.</w:t>
            </w:r>
            <w:r>
              <w:rPr>
                <w:rFonts w:cs="Times New Roman"/>
                <w:sz w:val="22"/>
                <w:szCs w:val="22"/>
              </w:rPr>
              <w:t xml:space="preserve"> </w:t>
            </w:r>
            <w:r w:rsidRPr="003441F6">
              <w:rPr>
                <w:rFonts w:cs="Times New Roman"/>
                <w:sz w:val="22"/>
                <w:szCs w:val="22"/>
              </w:rPr>
              <w:t>(2) Anyone who abuses others or treats them in the way insulting to human dignity shall</w:t>
            </w:r>
            <w:r>
              <w:rPr>
                <w:rFonts w:cs="Times New Roman"/>
                <w:sz w:val="22"/>
                <w:szCs w:val="22"/>
              </w:rPr>
              <w:t xml:space="preserve"> </w:t>
            </w:r>
            <w:r w:rsidRPr="003441F6">
              <w:rPr>
                <w:rFonts w:cs="Times New Roman"/>
                <w:sz w:val="22"/>
                <w:szCs w:val="22"/>
              </w:rPr>
              <w:t>be punished by a fine or sentenced to imprisonment for a term of up to one year.</w:t>
            </w:r>
            <w:r>
              <w:rPr>
                <w:rFonts w:cs="Times New Roman"/>
                <w:sz w:val="22"/>
                <w:szCs w:val="22"/>
              </w:rPr>
              <w:t xml:space="preserve"> </w:t>
            </w:r>
            <w:r w:rsidRPr="003441F6">
              <w:rPr>
                <w:rFonts w:cs="Times New Roman"/>
                <w:sz w:val="22"/>
                <w:szCs w:val="22"/>
              </w:rPr>
              <w:t>(3) Should the offence referred to in paragraphs 1 and 2 above be committed by a person</w:t>
            </w:r>
            <w:r>
              <w:rPr>
                <w:rFonts w:cs="Times New Roman"/>
                <w:sz w:val="22"/>
                <w:szCs w:val="22"/>
              </w:rPr>
              <w:t xml:space="preserve"> </w:t>
            </w:r>
            <w:r w:rsidRPr="003441F6">
              <w:rPr>
                <w:rFonts w:cs="Times New Roman"/>
                <w:sz w:val="22"/>
                <w:szCs w:val="22"/>
              </w:rPr>
              <w:t>acting in an official capacity during performance of his/her duties, that person shall be</w:t>
            </w:r>
            <w:r>
              <w:rPr>
                <w:rFonts w:cs="Times New Roman"/>
                <w:sz w:val="22"/>
                <w:szCs w:val="22"/>
              </w:rPr>
              <w:t xml:space="preserve"> </w:t>
            </w:r>
            <w:r w:rsidRPr="003441F6">
              <w:rPr>
                <w:rFonts w:cs="Times New Roman"/>
                <w:sz w:val="22"/>
                <w:szCs w:val="22"/>
              </w:rPr>
              <w:t>sentenced to imprisonment for a term of one to eight years for the offence referred to in</w:t>
            </w:r>
            <w:r>
              <w:rPr>
                <w:rFonts w:cs="Times New Roman"/>
                <w:sz w:val="22"/>
                <w:szCs w:val="22"/>
              </w:rPr>
              <w:t xml:space="preserve"> </w:t>
            </w:r>
            <w:r w:rsidRPr="003441F6">
              <w:rPr>
                <w:rFonts w:cs="Times New Roman"/>
                <w:sz w:val="22"/>
                <w:szCs w:val="22"/>
              </w:rPr>
              <w:t>paragraph 1 above, and to imprisonment for a term of three months to three years for the</w:t>
            </w:r>
            <w:r>
              <w:rPr>
                <w:rFonts w:cs="Times New Roman"/>
                <w:sz w:val="22"/>
                <w:szCs w:val="22"/>
              </w:rPr>
              <w:t xml:space="preserve"> </w:t>
            </w:r>
            <w:r w:rsidRPr="003441F6">
              <w:rPr>
                <w:rFonts w:cs="Times New Roman"/>
                <w:sz w:val="22"/>
                <w:szCs w:val="22"/>
              </w:rPr>
              <w:t>offence referred to in paragraph 2 above.</w:t>
            </w:r>
          </w:p>
          <w:p w14:paraId="520893DB" w14:textId="77777777" w:rsidR="007A215F" w:rsidRDefault="007A215F" w:rsidP="00150554">
            <w:pPr>
              <w:rPr>
                <w:rFonts w:cs="Times New Roman"/>
                <w:sz w:val="22"/>
                <w:szCs w:val="22"/>
              </w:rPr>
            </w:pPr>
          </w:p>
          <w:p w14:paraId="2E1D1027" w14:textId="77777777" w:rsidR="007A215F" w:rsidRDefault="007A215F" w:rsidP="00150554">
            <w:pPr>
              <w:rPr>
                <w:rFonts w:cs="Times New Roman"/>
                <w:sz w:val="22"/>
                <w:szCs w:val="22"/>
              </w:rPr>
            </w:pPr>
            <w:r>
              <w:rPr>
                <w:rFonts w:cs="Times New Roman"/>
                <w:sz w:val="22"/>
                <w:szCs w:val="22"/>
              </w:rPr>
              <w:t>T</w:t>
            </w:r>
            <w:r w:rsidRPr="00F16589">
              <w:rPr>
                <w:rFonts w:cs="Times New Roman"/>
                <w:sz w:val="22"/>
                <w:szCs w:val="22"/>
              </w:rPr>
              <w:t xml:space="preserve">he </w:t>
            </w:r>
            <w:r>
              <w:rPr>
                <w:rFonts w:cs="Times New Roman"/>
                <w:sz w:val="22"/>
                <w:szCs w:val="22"/>
              </w:rPr>
              <w:t>C</w:t>
            </w:r>
            <w:r w:rsidRPr="00F16589">
              <w:rPr>
                <w:rFonts w:cs="Times New Roman"/>
                <w:sz w:val="22"/>
                <w:szCs w:val="22"/>
              </w:rPr>
              <w:t xml:space="preserve">riminal </w:t>
            </w:r>
            <w:r>
              <w:rPr>
                <w:rFonts w:cs="Times New Roman"/>
                <w:sz w:val="22"/>
                <w:szCs w:val="22"/>
              </w:rPr>
              <w:t>P</w:t>
            </w:r>
            <w:r w:rsidRPr="00F16589">
              <w:rPr>
                <w:rFonts w:cs="Times New Roman"/>
                <w:sz w:val="22"/>
                <w:szCs w:val="22"/>
              </w:rPr>
              <w:t xml:space="preserve">rocedure </w:t>
            </w:r>
            <w:r>
              <w:rPr>
                <w:rFonts w:cs="Times New Roman"/>
                <w:sz w:val="22"/>
                <w:szCs w:val="22"/>
              </w:rPr>
              <w:t>C</w:t>
            </w:r>
            <w:r w:rsidRPr="00F16589">
              <w:rPr>
                <w:rFonts w:cs="Times New Roman"/>
                <w:sz w:val="22"/>
                <w:szCs w:val="22"/>
              </w:rPr>
              <w:t>ode</w:t>
            </w:r>
            <w:r>
              <w:rPr>
                <w:rFonts w:cs="Times New Roman"/>
                <w:sz w:val="22"/>
                <w:szCs w:val="22"/>
              </w:rPr>
              <w:t>. N</w:t>
            </w:r>
            <w:r w:rsidRPr="00CD1B04">
              <w:rPr>
                <w:rFonts w:cs="Times New Roman"/>
                <w:sz w:val="22"/>
                <w:szCs w:val="22"/>
              </w:rPr>
              <w:t>o. 57/09, August 18, 2009</w:t>
            </w:r>
          </w:p>
          <w:p w14:paraId="2C01689C" w14:textId="77777777" w:rsidR="007A215F" w:rsidRPr="00A226C6" w:rsidRDefault="007A215F" w:rsidP="00150554">
            <w:pPr>
              <w:rPr>
                <w:rFonts w:cs="Times New Roman"/>
                <w:sz w:val="22"/>
                <w:szCs w:val="22"/>
              </w:rPr>
            </w:pPr>
            <w:r w:rsidRPr="00A226C6">
              <w:rPr>
                <w:rFonts w:cs="Times New Roman"/>
                <w:sz w:val="22"/>
                <w:szCs w:val="22"/>
              </w:rPr>
              <w:t>Part one</w:t>
            </w:r>
            <w:r>
              <w:rPr>
                <w:rFonts w:cs="Times New Roman"/>
                <w:sz w:val="22"/>
                <w:szCs w:val="22"/>
              </w:rPr>
              <w:t>. G</w:t>
            </w:r>
            <w:r w:rsidRPr="00A226C6">
              <w:rPr>
                <w:rFonts w:cs="Times New Roman"/>
                <w:sz w:val="22"/>
                <w:szCs w:val="22"/>
              </w:rPr>
              <w:t xml:space="preserve">eneral </w:t>
            </w:r>
            <w:r>
              <w:rPr>
                <w:rFonts w:cs="Times New Roman"/>
                <w:sz w:val="22"/>
                <w:szCs w:val="22"/>
              </w:rPr>
              <w:t>P</w:t>
            </w:r>
            <w:r w:rsidRPr="00A226C6">
              <w:rPr>
                <w:rFonts w:cs="Times New Roman"/>
                <w:sz w:val="22"/>
                <w:szCs w:val="22"/>
              </w:rPr>
              <w:t>rovisions</w:t>
            </w:r>
          </w:p>
          <w:p w14:paraId="4D16E43D" w14:textId="77777777" w:rsidR="007A215F" w:rsidRDefault="007A215F" w:rsidP="00150554">
            <w:pPr>
              <w:rPr>
                <w:rFonts w:cs="Times New Roman"/>
                <w:sz w:val="22"/>
                <w:szCs w:val="22"/>
              </w:rPr>
            </w:pPr>
            <w:r w:rsidRPr="00A226C6">
              <w:rPr>
                <w:rFonts w:cs="Times New Roman"/>
                <w:sz w:val="22"/>
                <w:szCs w:val="22"/>
              </w:rPr>
              <w:t>Chapter I</w:t>
            </w:r>
            <w:r>
              <w:rPr>
                <w:rFonts w:cs="Times New Roman"/>
                <w:sz w:val="22"/>
                <w:szCs w:val="22"/>
              </w:rPr>
              <w:t>. B</w:t>
            </w:r>
            <w:r w:rsidRPr="00A226C6">
              <w:rPr>
                <w:rFonts w:cs="Times New Roman"/>
                <w:sz w:val="22"/>
                <w:szCs w:val="22"/>
              </w:rPr>
              <w:t xml:space="preserve">asic </w:t>
            </w:r>
            <w:r>
              <w:rPr>
                <w:rFonts w:cs="Times New Roman"/>
                <w:sz w:val="22"/>
                <w:szCs w:val="22"/>
              </w:rPr>
              <w:t>R</w:t>
            </w:r>
            <w:r w:rsidRPr="00A226C6">
              <w:rPr>
                <w:rFonts w:cs="Times New Roman"/>
                <w:sz w:val="22"/>
                <w:szCs w:val="22"/>
              </w:rPr>
              <w:t>ules</w:t>
            </w:r>
          </w:p>
          <w:p w14:paraId="023EE183" w14:textId="77777777" w:rsidR="007A215F" w:rsidRDefault="007A215F" w:rsidP="00150554">
            <w:pPr>
              <w:rPr>
                <w:rFonts w:cs="Times New Roman"/>
                <w:sz w:val="22"/>
                <w:szCs w:val="22"/>
              </w:rPr>
            </w:pPr>
            <w:r w:rsidRPr="00A226C6">
              <w:rPr>
                <w:rFonts w:cs="Times New Roman"/>
                <w:sz w:val="22"/>
                <w:szCs w:val="22"/>
              </w:rPr>
              <w:t>Article 11</w:t>
            </w:r>
            <w:r>
              <w:rPr>
                <w:rFonts w:cs="Times New Roman"/>
                <w:sz w:val="22"/>
                <w:szCs w:val="22"/>
              </w:rPr>
              <w:t xml:space="preserve">. </w:t>
            </w:r>
            <w:r w:rsidRPr="00A226C6">
              <w:rPr>
                <w:rFonts w:cs="Times New Roman"/>
                <w:sz w:val="22"/>
                <w:szCs w:val="22"/>
              </w:rPr>
              <w:t>Prohibition of Use of Force and Extortion of a Confession</w:t>
            </w:r>
          </w:p>
          <w:p w14:paraId="415E20E7" w14:textId="77777777" w:rsidR="007A215F" w:rsidRPr="00A226C6" w:rsidRDefault="007A215F" w:rsidP="00150554">
            <w:pPr>
              <w:rPr>
                <w:rFonts w:cs="Times New Roman"/>
                <w:sz w:val="22"/>
                <w:szCs w:val="22"/>
              </w:rPr>
            </w:pPr>
            <w:r w:rsidRPr="00A226C6">
              <w:rPr>
                <w:rFonts w:cs="Times New Roman"/>
                <w:sz w:val="22"/>
                <w:szCs w:val="22"/>
              </w:rPr>
              <w:t>(1) It shall be forbidden to threaten or exert violence over a suspect,</w:t>
            </w:r>
            <w:r>
              <w:rPr>
                <w:rFonts w:cs="Times New Roman"/>
                <w:sz w:val="22"/>
                <w:szCs w:val="22"/>
              </w:rPr>
              <w:t xml:space="preserve"> </w:t>
            </w:r>
            <w:r w:rsidRPr="00A226C6">
              <w:rPr>
                <w:rFonts w:cs="Times New Roman"/>
                <w:sz w:val="22"/>
                <w:szCs w:val="22"/>
              </w:rPr>
              <w:t>accused person or another person participating in the procedure, as well</w:t>
            </w:r>
            <w:r>
              <w:rPr>
                <w:rFonts w:cs="Times New Roman"/>
                <w:sz w:val="22"/>
                <w:szCs w:val="22"/>
              </w:rPr>
              <w:t xml:space="preserve"> </w:t>
            </w:r>
            <w:r w:rsidRPr="00A226C6">
              <w:rPr>
                <w:rFonts w:cs="Times New Roman"/>
                <w:sz w:val="22"/>
                <w:szCs w:val="22"/>
              </w:rPr>
              <w:t>as to extort confession or another statement from such persons.</w:t>
            </w:r>
            <w:r>
              <w:rPr>
                <w:rFonts w:cs="Times New Roman"/>
                <w:sz w:val="22"/>
                <w:szCs w:val="22"/>
              </w:rPr>
              <w:t xml:space="preserve"> </w:t>
            </w:r>
            <w:r w:rsidRPr="00A226C6">
              <w:rPr>
                <w:rFonts w:cs="Times New Roman"/>
                <w:sz w:val="22"/>
                <w:szCs w:val="22"/>
              </w:rPr>
              <w:t>(2) No judgment shall be based on any confession or other statement</w:t>
            </w:r>
            <w:r>
              <w:rPr>
                <w:rFonts w:cs="Times New Roman"/>
                <w:sz w:val="22"/>
                <w:szCs w:val="22"/>
              </w:rPr>
              <w:t xml:space="preserve"> </w:t>
            </w:r>
            <w:r w:rsidRPr="00A226C6">
              <w:rPr>
                <w:rFonts w:cs="Times New Roman"/>
                <w:sz w:val="22"/>
                <w:szCs w:val="22"/>
              </w:rPr>
              <w:t>obtained by extortion, torture or inhuman or degrading treatment.</w:t>
            </w:r>
          </w:p>
          <w:p w14:paraId="53210E3E" w14:textId="77777777" w:rsidR="007A215F" w:rsidRDefault="007A215F" w:rsidP="00150554">
            <w:pPr>
              <w:rPr>
                <w:rFonts w:cs="Times New Roman"/>
                <w:sz w:val="22"/>
                <w:szCs w:val="22"/>
              </w:rPr>
            </w:pPr>
          </w:p>
          <w:p w14:paraId="362C4694" w14:textId="77777777" w:rsidR="007A215F" w:rsidRPr="002E3C78" w:rsidRDefault="007A215F" w:rsidP="00150554">
            <w:pPr>
              <w:rPr>
                <w:rFonts w:cs="Times New Roman"/>
                <w:sz w:val="22"/>
                <w:szCs w:val="22"/>
              </w:rPr>
            </w:pPr>
            <w:r w:rsidRPr="002E3C78">
              <w:rPr>
                <w:rFonts w:cs="Times New Roman"/>
                <w:sz w:val="22"/>
                <w:szCs w:val="22"/>
              </w:rPr>
              <w:t>Part Two</w:t>
            </w:r>
            <w:r>
              <w:rPr>
                <w:rFonts w:cs="Times New Roman"/>
                <w:sz w:val="22"/>
                <w:szCs w:val="22"/>
              </w:rPr>
              <w:t>. C</w:t>
            </w:r>
            <w:r w:rsidRPr="002E3C78">
              <w:rPr>
                <w:rFonts w:cs="Times New Roman"/>
                <w:sz w:val="22"/>
                <w:szCs w:val="22"/>
              </w:rPr>
              <w:t xml:space="preserve">ourse of the </w:t>
            </w:r>
            <w:r>
              <w:rPr>
                <w:rFonts w:cs="Times New Roman"/>
                <w:sz w:val="22"/>
                <w:szCs w:val="22"/>
              </w:rPr>
              <w:t>P</w:t>
            </w:r>
            <w:r w:rsidRPr="002E3C78">
              <w:rPr>
                <w:rFonts w:cs="Times New Roman"/>
                <w:sz w:val="22"/>
                <w:szCs w:val="22"/>
              </w:rPr>
              <w:t>roceedings</w:t>
            </w:r>
          </w:p>
          <w:p w14:paraId="5B9C5E60" w14:textId="77777777" w:rsidR="007A215F" w:rsidRPr="002E3C78" w:rsidRDefault="007A215F" w:rsidP="00150554">
            <w:pPr>
              <w:rPr>
                <w:rFonts w:cs="Times New Roman"/>
                <w:sz w:val="22"/>
                <w:szCs w:val="22"/>
              </w:rPr>
            </w:pPr>
            <w:r w:rsidRPr="002E3C78">
              <w:rPr>
                <w:rFonts w:cs="Times New Roman"/>
                <w:sz w:val="22"/>
                <w:szCs w:val="22"/>
              </w:rPr>
              <w:t xml:space="preserve">A. </w:t>
            </w:r>
            <w:r>
              <w:rPr>
                <w:rFonts w:cs="Times New Roman"/>
                <w:sz w:val="22"/>
                <w:szCs w:val="22"/>
              </w:rPr>
              <w:t>P</w:t>
            </w:r>
            <w:r w:rsidRPr="002E3C78">
              <w:rPr>
                <w:rFonts w:cs="Times New Roman"/>
                <w:sz w:val="22"/>
                <w:szCs w:val="22"/>
              </w:rPr>
              <w:t xml:space="preserve">reliminary </w:t>
            </w:r>
            <w:r>
              <w:rPr>
                <w:rFonts w:cs="Times New Roman"/>
                <w:sz w:val="22"/>
                <w:szCs w:val="22"/>
              </w:rPr>
              <w:t>I</w:t>
            </w:r>
            <w:r w:rsidRPr="002E3C78">
              <w:rPr>
                <w:rFonts w:cs="Times New Roman"/>
                <w:sz w:val="22"/>
                <w:szCs w:val="22"/>
              </w:rPr>
              <w:t>nvestigation</w:t>
            </w:r>
          </w:p>
          <w:p w14:paraId="18DD7513" w14:textId="77777777" w:rsidR="007A215F" w:rsidRDefault="007A215F" w:rsidP="00150554">
            <w:pPr>
              <w:rPr>
                <w:rFonts w:cs="Times New Roman"/>
                <w:sz w:val="22"/>
                <w:szCs w:val="22"/>
              </w:rPr>
            </w:pPr>
            <w:r w:rsidRPr="002E3C78">
              <w:rPr>
                <w:rFonts w:cs="Times New Roman"/>
                <w:sz w:val="22"/>
                <w:szCs w:val="22"/>
              </w:rPr>
              <w:t>Chapter XVII</w:t>
            </w:r>
            <w:r>
              <w:rPr>
                <w:rFonts w:cs="Times New Roman"/>
                <w:sz w:val="22"/>
                <w:szCs w:val="22"/>
              </w:rPr>
              <w:t>. C</w:t>
            </w:r>
            <w:r w:rsidRPr="002E3C78">
              <w:rPr>
                <w:rFonts w:cs="Times New Roman"/>
                <w:sz w:val="22"/>
                <w:szCs w:val="22"/>
              </w:rPr>
              <w:t xml:space="preserve">riminal </w:t>
            </w:r>
            <w:r>
              <w:rPr>
                <w:rFonts w:cs="Times New Roman"/>
                <w:sz w:val="22"/>
                <w:szCs w:val="22"/>
              </w:rPr>
              <w:t>C</w:t>
            </w:r>
            <w:r w:rsidRPr="002E3C78">
              <w:rPr>
                <w:rFonts w:cs="Times New Roman"/>
                <w:sz w:val="22"/>
                <w:szCs w:val="22"/>
              </w:rPr>
              <w:t>harge</w:t>
            </w:r>
          </w:p>
          <w:p w14:paraId="02E11879" w14:textId="77777777" w:rsidR="007A215F" w:rsidRDefault="007A215F" w:rsidP="00150554">
            <w:pPr>
              <w:rPr>
                <w:rFonts w:cs="Times New Roman"/>
                <w:sz w:val="22"/>
                <w:szCs w:val="22"/>
              </w:rPr>
            </w:pPr>
            <w:r w:rsidRPr="00F02D25">
              <w:rPr>
                <w:rFonts w:cs="Times New Roman"/>
                <w:sz w:val="22"/>
                <w:szCs w:val="22"/>
              </w:rPr>
              <w:t>Article 268</w:t>
            </w:r>
            <w:r>
              <w:rPr>
                <w:rFonts w:cs="Times New Roman"/>
                <w:sz w:val="22"/>
                <w:szCs w:val="22"/>
              </w:rPr>
              <w:t xml:space="preserve">. </w:t>
            </w:r>
            <w:r w:rsidRPr="00F02D25">
              <w:rPr>
                <w:rFonts w:cs="Times New Roman"/>
                <w:sz w:val="22"/>
                <w:szCs w:val="22"/>
              </w:rPr>
              <w:t>Ordering Detention in Preliminary Investigation</w:t>
            </w:r>
            <w:r>
              <w:rPr>
                <w:rFonts w:cs="Times New Roman"/>
                <w:sz w:val="22"/>
                <w:szCs w:val="22"/>
              </w:rPr>
              <w:t xml:space="preserve"> </w:t>
            </w:r>
          </w:p>
          <w:p w14:paraId="107480C6" w14:textId="77777777" w:rsidR="007A215F" w:rsidRPr="004013FD" w:rsidRDefault="007A215F" w:rsidP="00150554">
            <w:pPr>
              <w:rPr>
                <w:rFonts w:cs="Times New Roman"/>
                <w:sz w:val="22"/>
                <w:szCs w:val="22"/>
              </w:rPr>
            </w:pPr>
            <w:r w:rsidRPr="00CD1B04">
              <w:rPr>
                <w:rFonts w:cs="Times New Roman"/>
                <w:sz w:val="22"/>
                <w:szCs w:val="22"/>
              </w:rPr>
              <w:t>(1) Where the State Prosecutor issues a decision on holding a suspect, and</w:t>
            </w:r>
            <w:r>
              <w:rPr>
                <w:rFonts w:cs="Times New Roman"/>
                <w:sz w:val="22"/>
                <w:szCs w:val="22"/>
              </w:rPr>
              <w:t xml:space="preserve"> </w:t>
            </w:r>
            <w:r w:rsidRPr="00CD1B04">
              <w:rPr>
                <w:rFonts w:cs="Times New Roman"/>
                <w:sz w:val="22"/>
                <w:szCs w:val="22"/>
              </w:rPr>
              <w:t>finds that there are still reasons for ordering detention, the State Prosecutor</w:t>
            </w:r>
            <w:r>
              <w:rPr>
                <w:rFonts w:cs="Times New Roman"/>
                <w:sz w:val="22"/>
                <w:szCs w:val="22"/>
              </w:rPr>
              <w:t xml:space="preserve"> </w:t>
            </w:r>
            <w:r w:rsidRPr="00CD1B04">
              <w:rPr>
                <w:rFonts w:cs="Times New Roman"/>
                <w:sz w:val="22"/>
                <w:szCs w:val="22"/>
              </w:rPr>
              <w:t>shall file a motion to the investigative judge for detention of the suspect.</w:t>
            </w:r>
            <w:r>
              <w:rPr>
                <w:rFonts w:cs="Times New Roman"/>
                <w:sz w:val="22"/>
                <w:szCs w:val="22"/>
              </w:rPr>
              <w:t xml:space="preserve"> </w:t>
            </w:r>
            <w:r w:rsidRPr="00CD1B04">
              <w:rPr>
                <w:rFonts w:cs="Times New Roman"/>
                <w:sz w:val="22"/>
                <w:szCs w:val="22"/>
              </w:rPr>
              <w:t>(2) The motion referred to in paragraph 1 of this Article shall be delivered to the</w:t>
            </w:r>
            <w:r>
              <w:rPr>
                <w:rFonts w:cs="Times New Roman"/>
                <w:sz w:val="22"/>
                <w:szCs w:val="22"/>
              </w:rPr>
              <w:t xml:space="preserve"> </w:t>
            </w:r>
            <w:r w:rsidRPr="00CD1B04">
              <w:rPr>
                <w:rFonts w:cs="Times New Roman"/>
                <w:sz w:val="22"/>
                <w:szCs w:val="22"/>
              </w:rPr>
              <w:t>investigative judge before the expiration of the holding time limit.</w:t>
            </w:r>
            <w:r>
              <w:rPr>
                <w:rFonts w:cs="Times New Roman"/>
                <w:sz w:val="22"/>
                <w:szCs w:val="22"/>
              </w:rPr>
              <w:t xml:space="preserve"> </w:t>
            </w:r>
            <w:r w:rsidRPr="00CD1B04">
              <w:rPr>
                <w:rFonts w:cs="Times New Roman"/>
                <w:sz w:val="22"/>
                <w:szCs w:val="22"/>
              </w:rPr>
              <w:t>Within that</w:t>
            </w:r>
            <w:r>
              <w:rPr>
                <w:rFonts w:cs="Times New Roman"/>
                <w:sz w:val="22"/>
                <w:szCs w:val="22"/>
              </w:rPr>
              <w:t xml:space="preserve"> </w:t>
            </w:r>
            <w:r w:rsidRPr="00CD1B04">
              <w:rPr>
                <w:rFonts w:cs="Times New Roman"/>
                <w:sz w:val="22"/>
                <w:szCs w:val="22"/>
              </w:rPr>
              <w:t>time limit the person held must be brought before the investigative judge.</w:t>
            </w:r>
            <w:r>
              <w:rPr>
                <w:rFonts w:cs="Times New Roman"/>
                <w:sz w:val="22"/>
                <w:szCs w:val="22"/>
              </w:rPr>
              <w:t xml:space="preserve"> </w:t>
            </w:r>
            <w:r w:rsidRPr="00CD1B04">
              <w:rPr>
                <w:rFonts w:cs="Times New Roman"/>
                <w:sz w:val="22"/>
                <w:szCs w:val="22"/>
              </w:rPr>
              <w:t>(3) The investigative judge shall, in the presence of the State Prosecutor,</w:t>
            </w:r>
            <w:r>
              <w:rPr>
                <w:rFonts w:cs="Times New Roman"/>
                <w:sz w:val="22"/>
                <w:szCs w:val="22"/>
              </w:rPr>
              <w:t xml:space="preserve"> </w:t>
            </w:r>
            <w:r w:rsidRPr="00CD1B04">
              <w:rPr>
                <w:rFonts w:cs="Times New Roman"/>
                <w:sz w:val="22"/>
                <w:szCs w:val="22"/>
              </w:rPr>
              <w:t>interrogate the person referred to in paragraph 1 of this Article regarding all the</w:t>
            </w:r>
            <w:r>
              <w:rPr>
                <w:rFonts w:cs="Times New Roman"/>
                <w:sz w:val="22"/>
                <w:szCs w:val="22"/>
              </w:rPr>
              <w:t xml:space="preserve"> </w:t>
            </w:r>
            <w:r w:rsidRPr="00CD1B04">
              <w:rPr>
                <w:rFonts w:cs="Times New Roman"/>
                <w:sz w:val="22"/>
                <w:szCs w:val="22"/>
              </w:rPr>
              <w:t>circumstances of significance for the rendering of the decision ordering</w:t>
            </w:r>
            <w:r>
              <w:rPr>
                <w:rFonts w:cs="Times New Roman"/>
                <w:sz w:val="22"/>
                <w:szCs w:val="22"/>
              </w:rPr>
              <w:t xml:space="preserve"> </w:t>
            </w:r>
            <w:r w:rsidRPr="00CD1B04">
              <w:rPr>
                <w:rFonts w:cs="Times New Roman"/>
                <w:sz w:val="22"/>
                <w:szCs w:val="22"/>
              </w:rPr>
              <w:t>detention. After interrogation, without delay and at the latest within 24 hours as</w:t>
            </w:r>
            <w:r>
              <w:rPr>
                <w:rFonts w:cs="Times New Roman"/>
                <w:sz w:val="22"/>
                <w:szCs w:val="22"/>
              </w:rPr>
              <w:t xml:space="preserve"> </w:t>
            </w:r>
            <w:r w:rsidRPr="00CD1B04">
              <w:rPr>
                <w:rFonts w:cs="Times New Roman"/>
                <w:sz w:val="22"/>
                <w:szCs w:val="22"/>
              </w:rPr>
              <w:t>of the moment that person was brought before him/her, the investigative judge</w:t>
            </w:r>
            <w:r>
              <w:rPr>
                <w:rFonts w:cs="Times New Roman"/>
                <w:sz w:val="22"/>
                <w:szCs w:val="22"/>
              </w:rPr>
              <w:t xml:space="preserve"> </w:t>
            </w:r>
            <w:r w:rsidRPr="00CD1B04">
              <w:rPr>
                <w:rFonts w:cs="Times New Roman"/>
                <w:sz w:val="22"/>
                <w:szCs w:val="22"/>
              </w:rPr>
              <w:t>shall order detention or reject the motion ordering detention.</w:t>
            </w:r>
            <w:r>
              <w:rPr>
                <w:rFonts w:cs="Times New Roman"/>
                <w:sz w:val="22"/>
                <w:szCs w:val="22"/>
              </w:rPr>
              <w:t xml:space="preserve"> </w:t>
            </w:r>
            <w:r w:rsidRPr="00CD1B04">
              <w:rPr>
                <w:rFonts w:cs="Times New Roman"/>
                <w:sz w:val="22"/>
                <w:szCs w:val="22"/>
              </w:rPr>
              <w:t>(4) The person referred to in paragraph 1 of this Article shall have the right to</w:t>
            </w:r>
            <w:r>
              <w:rPr>
                <w:rFonts w:cs="Times New Roman"/>
                <w:sz w:val="22"/>
                <w:szCs w:val="22"/>
              </w:rPr>
              <w:t xml:space="preserve"> </w:t>
            </w:r>
            <w:r w:rsidRPr="00CD1B04">
              <w:rPr>
                <w:rFonts w:cs="Times New Roman"/>
                <w:sz w:val="22"/>
                <w:szCs w:val="22"/>
              </w:rPr>
              <w:t>have his/her defense attorney present during his/her interrogation by the judge.</w:t>
            </w:r>
            <w:r>
              <w:rPr>
                <w:rFonts w:cs="Times New Roman"/>
                <w:sz w:val="22"/>
                <w:szCs w:val="22"/>
              </w:rPr>
              <w:t xml:space="preserve"> </w:t>
            </w:r>
            <w:r w:rsidRPr="00CD1B04">
              <w:rPr>
                <w:rFonts w:cs="Times New Roman"/>
                <w:sz w:val="22"/>
                <w:szCs w:val="22"/>
              </w:rPr>
              <w:t>As regards the exercise of this right, provisions of Article 266, paras. 2 and 3 of</w:t>
            </w:r>
            <w:r>
              <w:rPr>
                <w:rFonts w:cs="Times New Roman"/>
                <w:sz w:val="22"/>
                <w:szCs w:val="22"/>
              </w:rPr>
              <w:t xml:space="preserve"> </w:t>
            </w:r>
            <w:r w:rsidRPr="00CD1B04">
              <w:rPr>
                <w:rFonts w:cs="Times New Roman"/>
                <w:sz w:val="22"/>
                <w:szCs w:val="22"/>
              </w:rPr>
              <w:t>the present Code shall be applied.</w:t>
            </w:r>
            <w:r>
              <w:rPr>
                <w:rFonts w:cs="Times New Roman"/>
                <w:sz w:val="22"/>
                <w:szCs w:val="22"/>
              </w:rPr>
              <w:t xml:space="preserve"> </w:t>
            </w:r>
            <w:r w:rsidRPr="00CD1B04">
              <w:rPr>
                <w:rFonts w:cs="Times New Roman"/>
                <w:sz w:val="22"/>
                <w:szCs w:val="22"/>
              </w:rPr>
              <w:t>(5) If the State Prosecutor did not bring and deliver to the court the order on</w:t>
            </w:r>
            <w:r>
              <w:rPr>
                <w:rFonts w:cs="Times New Roman"/>
                <w:sz w:val="22"/>
                <w:szCs w:val="22"/>
              </w:rPr>
              <w:t xml:space="preserve"> </w:t>
            </w:r>
            <w:r w:rsidRPr="00CD1B04">
              <w:rPr>
                <w:rFonts w:cs="Times New Roman"/>
                <w:sz w:val="22"/>
                <w:szCs w:val="22"/>
              </w:rPr>
              <w:t>conducting investigation in the course of holding a suspect, and does not</w:t>
            </w:r>
            <w:r>
              <w:rPr>
                <w:rFonts w:cs="Times New Roman"/>
                <w:sz w:val="22"/>
                <w:szCs w:val="22"/>
              </w:rPr>
              <w:t xml:space="preserve"> </w:t>
            </w:r>
            <w:r w:rsidRPr="00CD1B04">
              <w:rPr>
                <w:rFonts w:cs="Times New Roman"/>
                <w:sz w:val="22"/>
                <w:szCs w:val="22"/>
              </w:rPr>
              <w:t>perform this within 48 hours as of the moment of ordering detention, the</w:t>
            </w:r>
            <w:r>
              <w:rPr>
                <w:rFonts w:cs="Times New Roman"/>
                <w:sz w:val="22"/>
                <w:szCs w:val="22"/>
              </w:rPr>
              <w:t xml:space="preserve"> </w:t>
            </w:r>
            <w:r w:rsidRPr="00CD1B04">
              <w:rPr>
                <w:rFonts w:cs="Times New Roman"/>
                <w:sz w:val="22"/>
                <w:szCs w:val="22"/>
              </w:rPr>
              <w:t>investigative judge shall release the detainee.</w:t>
            </w:r>
            <w:r>
              <w:rPr>
                <w:rFonts w:cs="Times New Roman"/>
                <w:sz w:val="22"/>
                <w:szCs w:val="22"/>
              </w:rPr>
              <w:t xml:space="preserve"> </w:t>
            </w:r>
            <w:r w:rsidRPr="00CD1B04">
              <w:rPr>
                <w:rFonts w:cs="Times New Roman"/>
                <w:sz w:val="22"/>
                <w:szCs w:val="22"/>
              </w:rPr>
              <w:t>(6) Where a liberty-deprived person is brought to the State Prosecutor, that</w:t>
            </w:r>
            <w:r>
              <w:rPr>
                <w:rFonts w:cs="Times New Roman"/>
                <w:sz w:val="22"/>
                <w:szCs w:val="22"/>
              </w:rPr>
              <w:t xml:space="preserve"> </w:t>
            </w:r>
            <w:r w:rsidRPr="00CD1B04">
              <w:rPr>
                <w:rFonts w:cs="Times New Roman"/>
                <w:sz w:val="22"/>
                <w:szCs w:val="22"/>
              </w:rPr>
              <w:t>person, his/her defense attorney, family member, or partner in a customary</w:t>
            </w:r>
            <w:r>
              <w:rPr>
                <w:rFonts w:cs="Times New Roman"/>
                <w:sz w:val="22"/>
                <w:szCs w:val="22"/>
              </w:rPr>
              <w:t xml:space="preserve"> </w:t>
            </w:r>
            <w:r w:rsidRPr="00CD1B04">
              <w:rPr>
                <w:rFonts w:cs="Times New Roman"/>
                <w:sz w:val="22"/>
                <w:szCs w:val="22"/>
              </w:rPr>
              <w:t>marriage may request that the State Prosecutor allow a medical examination of</w:t>
            </w:r>
            <w:r>
              <w:rPr>
                <w:rFonts w:cs="Times New Roman"/>
                <w:sz w:val="22"/>
                <w:szCs w:val="22"/>
              </w:rPr>
              <w:t xml:space="preserve"> </w:t>
            </w:r>
            <w:r w:rsidRPr="00CD1B04">
              <w:rPr>
                <w:rFonts w:cs="Times New Roman"/>
                <w:sz w:val="22"/>
                <w:szCs w:val="22"/>
              </w:rPr>
              <w:t>the detainee. The decision on appointing a medical doctor who will perform the</w:t>
            </w:r>
            <w:r>
              <w:rPr>
                <w:rFonts w:cs="Times New Roman"/>
                <w:sz w:val="22"/>
                <w:szCs w:val="22"/>
              </w:rPr>
              <w:t xml:space="preserve"> </w:t>
            </w:r>
            <w:r w:rsidRPr="00CD1B04">
              <w:rPr>
                <w:rFonts w:cs="Times New Roman"/>
                <w:sz w:val="22"/>
                <w:szCs w:val="22"/>
              </w:rPr>
              <w:t>medical checks and the record on the detainee’s hearing shall be enclosed in</w:t>
            </w:r>
            <w:r>
              <w:rPr>
                <w:rFonts w:cs="Times New Roman"/>
                <w:sz w:val="22"/>
                <w:szCs w:val="22"/>
              </w:rPr>
              <w:t xml:space="preserve"> </w:t>
            </w:r>
            <w:r w:rsidRPr="00CD1B04">
              <w:rPr>
                <w:rFonts w:cs="Times New Roman"/>
                <w:sz w:val="22"/>
                <w:szCs w:val="22"/>
              </w:rPr>
              <w:t>criminal case file by the State Prosecutor.</w:t>
            </w:r>
          </w:p>
        </w:tc>
      </w:tr>
      <w:tr w:rsidR="007A215F" w:rsidRPr="004013FD" w14:paraId="4CA1F889" w14:textId="77777777" w:rsidTr="00150554">
        <w:tc>
          <w:tcPr>
            <w:tcW w:w="2141" w:type="dxa"/>
          </w:tcPr>
          <w:p w14:paraId="3217BB82" w14:textId="77777777" w:rsidR="007A215F" w:rsidRPr="004013FD" w:rsidRDefault="007A215F" w:rsidP="00150554">
            <w:pPr>
              <w:rPr>
                <w:rFonts w:cs="Times New Roman"/>
                <w:sz w:val="22"/>
                <w:szCs w:val="22"/>
              </w:rPr>
            </w:pPr>
            <w:r w:rsidRPr="004013FD">
              <w:rPr>
                <w:rFonts w:cs="Times New Roman"/>
                <w:sz w:val="22"/>
                <w:szCs w:val="22"/>
              </w:rPr>
              <w:t xml:space="preserve">Failure to comply with Convention </w:t>
            </w:r>
          </w:p>
        </w:tc>
        <w:tc>
          <w:tcPr>
            <w:tcW w:w="6715" w:type="dxa"/>
            <w:gridSpan w:val="2"/>
          </w:tcPr>
          <w:p w14:paraId="53813CCC" w14:textId="77777777" w:rsidR="007A215F" w:rsidRDefault="007A215F" w:rsidP="00150554">
            <w:pPr>
              <w:pStyle w:val="ListParagraph"/>
              <w:numPr>
                <w:ilvl w:val="0"/>
                <w:numId w:val="3"/>
              </w:numPr>
              <w:ind w:left="360"/>
              <w:rPr>
                <w:rFonts w:cs="Times New Roman"/>
                <w:lang w:val="en-US"/>
              </w:rPr>
            </w:pPr>
            <w:r w:rsidRPr="00C02FAD">
              <w:rPr>
                <w:rFonts w:cs="Times New Roman"/>
                <w:lang w:val="en-US"/>
              </w:rPr>
              <w:t xml:space="preserve">Art.: </w:t>
            </w:r>
            <w:r>
              <w:rPr>
                <w:rFonts w:cs="Times New Roman"/>
                <w:lang w:val="en-US"/>
              </w:rPr>
              <w:t>1 ,2, 3, 4, 10, 11, 12, 13, 14, 16</w:t>
            </w:r>
          </w:p>
          <w:p w14:paraId="20063E65" w14:textId="77777777" w:rsidR="007A215F" w:rsidRDefault="007A215F" w:rsidP="00150554">
            <w:pPr>
              <w:pStyle w:val="ListParagraph"/>
              <w:numPr>
                <w:ilvl w:val="0"/>
                <w:numId w:val="4"/>
              </w:numPr>
              <w:rPr>
                <w:rFonts w:cs="Times New Roman"/>
                <w:lang w:val="en-US"/>
              </w:rPr>
            </w:pPr>
            <w:r w:rsidRPr="00293C6C">
              <w:rPr>
                <w:rFonts w:cs="Times New Roman"/>
                <w:lang w:val="en-US"/>
              </w:rPr>
              <w:t>Definition and criminalization of torture</w:t>
            </w:r>
          </w:p>
          <w:p w14:paraId="2A946BD4" w14:textId="77777777" w:rsidR="007A215F" w:rsidRDefault="007A215F" w:rsidP="00150554">
            <w:pPr>
              <w:pStyle w:val="ListParagraph"/>
              <w:numPr>
                <w:ilvl w:val="0"/>
                <w:numId w:val="4"/>
              </w:numPr>
              <w:rPr>
                <w:rFonts w:cs="Times New Roman"/>
                <w:lang w:val="en-US"/>
              </w:rPr>
            </w:pPr>
            <w:r w:rsidRPr="00293C6C">
              <w:rPr>
                <w:rFonts w:cs="Times New Roman"/>
                <w:lang w:val="en-US"/>
              </w:rPr>
              <w:t>Fundamental legal safeguards</w:t>
            </w:r>
          </w:p>
          <w:p w14:paraId="1AF97444" w14:textId="77777777" w:rsidR="007A215F" w:rsidRDefault="007A215F" w:rsidP="00150554">
            <w:pPr>
              <w:pStyle w:val="ListParagraph"/>
              <w:numPr>
                <w:ilvl w:val="0"/>
                <w:numId w:val="4"/>
              </w:numPr>
              <w:rPr>
                <w:rFonts w:cs="Times New Roman"/>
                <w:lang w:val="en-US"/>
              </w:rPr>
            </w:pPr>
            <w:r w:rsidRPr="00293C6C">
              <w:rPr>
                <w:rFonts w:cs="Times New Roman"/>
                <w:lang w:val="en-US"/>
              </w:rPr>
              <w:t>Legal aid</w:t>
            </w:r>
          </w:p>
          <w:p w14:paraId="6EEE1CC8" w14:textId="77777777" w:rsidR="007A215F" w:rsidRDefault="007A215F" w:rsidP="00150554">
            <w:pPr>
              <w:pStyle w:val="ListParagraph"/>
              <w:numPr>
                <w:ilvl w:val="0"/>
                <w:numId w:val="4"/>
              </w:numPr>
              <w:rPr>
                <w:rFonts w:cs="Times New Roman"/>
                <w:lang w:val="en-US"/>
              </w:rPr>
            </w:pPr>
            <w:r w:rsidRPr="00293C6C">
              <w:rPr>
                <w:rFonts w:cs="Times New Roman"/>
                <w:lang w:val="en-US"/>
              </w:rPr>
              <w:t>National institutions</w:t>
            </w:r>
          </w:p>
          <w:p w14:paraId="3FD31AD2" w14:textId="77777777" w:rsidR="007A215F" w:rsidRDefault="007A215F" w:rsidP="00150554">
            <w:pPr>
              <w:pStyle w:val="ListParagraph"/>
              <w:numPr>
                <w:ilvl w:val="0"/>
                <w:numId w:val="4"/>
              </w:numPr>
              <w:rPr>
                <w:rFonts w:cs="Times New Roman"/>
                <w:lang w:val="en-US"/>
              </w:rPr>
            </w:pPr>
            <w:r w:rsidRPr="00293C6C">
              <w:rPr>
                <w:rFonts w:cs="Times New Roman"/>
                <w:lang w:val="en-US"/>
              </w:rPr>
              <w:t>Independence of the judiciary</w:t>
            </w:r>
          </w:p>
          <w:p w14:paraId="20B8AF00" w14:textId="77777777" w:rsidR="007A215F" w:rsidRDefault="007A215F" w:rsidP="00150554">
            <w:pPr>
              <w:pStyle w:val="ListParagraph"/>
              <w:numPr>
                <w:ilvl w:val="0"/>
                <w:numId w:val="4"/>
              </w:numPr>
              <w:rPr>
                <w:rFonts w:cs="Times New Roman"/>
                <w:lang w:val="en-US"/>
              </w:rPr>
            </w:pPr>
            <w:r w:rsidRPr="007F24A3">
              <w:rPr>
                <w:rFonts w:cs="Times New Roman"/>
                <w:lang w:val="en-US"/>
              </w:rPr>
              <w:t>Impunity for war crimes and remedy for victims</w:t>
            </w:r>
          </w:p>
          <w:p w14:paraId="681E5C21" w14:textId="77777777" w:rsidR="007A215F" w:rsidRDefault="007A215F" w:rsidP="00150554">
            <w:pPr>
              <w:pStyle w:val="ListParagraph"/>
              <w:numPr>
                <w:ilvl w:val="0"/>
                <w:numId w:val="4"/>
              </w:numPr>
              <w:rPr>
                <w:rFonts w:cs="Times New Roman"/>
                <w:lang w:val="en-US"/>
              </w:rPr>
            </w:pPr>
            <w:r w:rsidRPr="007F24A3">
              <w:rPr>
                <w:rFonts w:cs="Times New Roman"/>
                <w:lang w:val="en-US"/>
              </w:rPr>
              <w:t>Investigations</w:t>
            </w:r>
          </w:p>
          <w:p w14:paraId="6FC1429D" w14:textId="77777777" w:rsidR="007A215F" w:rsidRDefault="007A215F" w:rsidP="00150554">
            <w:pPr>
              <w:pStyle w:val="ListParagraph"/>
              <w:numPr>
                <w:ilvl w:val="0"/>
                <w:numId w:val="4"/>
              </w:numPr>
              <w:rPr>
                <w:rFonts w:cs="Times New Roman"/>
                <w:lang w:val="en-US"/>
              </w:rPr>
            </w:pPr>
            <w:r w:rsidRPr="007F24A3">
              <w:rPr>
                <w:rFonts w:cs="Times New Roman"/>
                <w:lang w:val="en-US"/>
              </w:rPr>
              <w:t>Individual complaints</w:t>
            </w:r>
          </w:p>
          <w:p w14:paraId="64257F10" w14:textId="77777777" w:rsidR="007A215F" w:rsidRDefault="007A215F" w:rsidP="00150554">
            <w:pPr>
              <w:pStyle w:val="ListParagraph"/>
              <w:numPr>
                <w:ilvl w:val="0"/>
                <w:numId w:val="4"/>
              </w:numPr>
              <w:rPr>
                <w:rFonts w:cs="Times New Roman"/>
                <w:lang w:val="en-US"/>
              </w:rPr>
            </w:pPr>
            <w:r w:rsidRPr="007F24A3">
              <w:rPr>
                <w:rFonts w:cs="Times New Roman"/>
                <w:lang w:val="en-US"/>
              </w:rPr>
              <w:t>Training</w:t>
            </w:r>
          </w:p>
          <w:p w14:paraId="0D8876BC" w14:textId="77777777" w:rsidR="007A215F" w:rsidRDefault="007A215F" w:rsidP="00150554">
            <w:pPr>
              <w:pStyle w:val="ListParagraph"/>
              <w:numPr>
                <w:ilvl w:val="0"/>
                <w:numId w:val="4"/>
              </w:numPr>
              <w:rPr>
                <w:rFonts w:cs="Times New Roman"/>
                <w:lang w:val="en-US"/>
              </w:rPr>
            </w:pPr>
            <w:r w:rsidRPr="007F24A3">
              <w:rPr>
                <w:rFonts w:cs="Times New Roman"/>
                <w:lang w:val="en-US"/>
              </w:rPr>
              <w:t>Conditions of detention</w:t>
            </w:r>
          </w:p>
          <w:p w14:paraId="473FCFAE" w14:textId="77777777" w:rsidR="007A215F" w:rsidRDefault="007A215F" w:rsidP="00150554">
            <w:pPr>
              <w:pStyle w:val="ListParagraph"/>
              <w:numPr>
                <w:ilvl w:val="0"/>
                <w:numId w:val="4"/>
              </w:numPr>
              <w:rPr>
                <w:rFonts w:cs="Times New Roman"/>
                <w:lang w:val="en-US"/>
              </w:rPr>
            </w:pPr>
            <w:r w:rsidRPr="007F24A3">
              <w:rPr>
                <w:rFonts w:cs="Times New Roman"/>
                <w:lang w:val="en-US"/>
              </w:rPr>
              <w:t>Violence against women</w:t>
            </w:r>
          </w:p>
          <w:p w14:paraId="760F27B1" w14:textId="77777777" w:rsidR="007A215F" w:rsidRDefault="007A215F" w:rsidP="00150554">
            <w:pPr>
              <w:pStyle w:val="ListParagraph"/>
              <w:numPr>
                <w:ilvl w:val="0"/>
                <w:numId w:val="4"/>
              </w:numPr>
              <w:rPr>
                <w:rFonts w:cs="Times New Roman"/>
                <w:lang w:val="en-US"/>
              </w:rPr>
            </w:pPr>
            <w:r w:rsidRPr="00233860">
              <w:rPr>
                <w:rFonts w:cs="Times New Roman"/>
                <w:lang w:val="en-US"/>
              </w:rPr>
              <w:t>Trafficking in persons</w:t>
            </w:r>
          </w:p>
          <w:p w14:paraId="3E729734" w14:textId="77777777" w:rsidR="007A215F" w:rsidRDefault="007A215F" w:rsidP="00150554">
            <w:pPr>
              <w:pStyle w:val="ListParagraph"/>
              <w:numPr>
                <w:ilvl w:val="0"/>
                <w:numId w:val="4"/>
              </w:numPr>
              <w:rPr>
                <w:rFonts w:cs="Times New Roman"/>
                <w:lang w:val="en-US"/>
              </w:rPr>
            </w:pPr>
            <w:r w:rsidRPr="00233860">
              <w:rPr>
                <w:rFonts w:cs="Times New Roman"/>
                <w:lang w:val="en-US"/>
              </w:rPr>
              <w:t>Corporal punishment</w:t>
            </w:r>
          </w:p>
          <w:p w14:paraId="4D1F80EE" w14:textId="77777777" w:rsidR="007A215F" w:rsidRPr="00E26EB2" w:rsidRDefault="007A215F" w:rsidP="00150554">
            <w:pPr>
              <w:pStyle w:val="ListParagraph"/>
              <w:numPr>
                <w:ilvl w:val="0"/>
                <w:numId w:val="4"/>
              </w:numPr>
              <w:rPr>
                <w:rFonts w:cs="Times New Roman"/>
                <w:lang w:val="en-US"/>
              </w:rPr>
            </w:pPr>
            <w:r w:rsidRPr="00233860">
              <w:rPr>
                <w:rFonts w:cs="Times New Roman"/>
                <w:lang w:val="en-US"/>
              </w:rPr>
              <w:t>Data collection</w:t>
            </w:r>
          </w:p>
        </w:tc>
      </w:tr>
      <w:tr w:rsidR="007A215F" w:rsidRPr="004013FD" w14:paraId="45FEE42E" w14:textId="77777777" w:rsidTr="00150554">
        <w:tc>
          <w:tcPr>
            <w:tcW w:w="2141" w:type="dxa"/>
          </w:tcPr>
          <w:p w14:paraId="7CC883F2" w14:textId="77777777" w:rsidR="007A215F" w:rsidRPr="004013FD" w:rsidRDefault="007A215F" w:rsidP="00150554">
            <w:pPr>
              <w:rPr>
                <w:rFonts w:cs="Times New Roman"/>
                <w:sz w:val="22"/>
                <w:szCs w:val="22"/>
              </w:rPr>
            </w:pPr>
            <w:r w:rsidRPr="004013FD">
              <w:rPr>
                <w:rFonts w:cs="Times New Roman"/>
                <w:sz w:val="22"/>
                <w:szCs w:val="22"/>
              </w:rPr>
              <w:t>JJIA Recommendation</w:t>
            </w:r>
          </w:p>
        </w:tc>
        <w:tc>
          <w:tcPr>
            <w:tcW w:w="6715" w:type="dxa"/>
            <w:gridSpan w:val="2"/>
          </w:tcPr>
          <w:p w14:paraId="0A5D4946" w14:textId="77777777" w:rsidR="007A215F" w:rsidRPr="000C5787" w:rsidRDefault="007A215F" w:rsidP="00150554">
            <w:pPr>
              <w:pStyle w:val="ListParagraph"/>
              <w:numPr>
                <w:ilvl w:val="0"/>
                <w:numId w:val="2"/>
              </w:numPr>
              <w:ind w:left="360"/>
              <w:rPr>
                <w:rFonts w:cs="Times New Roman"/>
                <w:lang w:val="en-US"/>
              </w:rPr>
            </w:pPr>
            <w:r>
              <w:rPr>
                <w:rFonts w:cs="Times New Roman"/>
                <w:lang w:val="en-US"/>
              </w:rPr>
              <w:t xml:space="preserve">Montenegro shall codify all elements of definition of torture and ill-treatment to Article 167 of the Criminal Code. </w:t>
            </w:r>
          </w:p>
          <w:p w14:paraId="37D0B7A1" w14:textId="77777777" w:rsidR="007A215F" w:rsidRDefault="007A215F" w:rsidP="00150554">
            <w:pPr>
              <w:pStyle w:val="ListParagraph"/>
              <w:numPr>
                <w:ilvl w:val="0"/>
                <w:numId w:val="2"/>
              </w:numPr>
              <w:ind w:left="360"/>
              <w:rPr>
                <w:rFonts w:cs="Times New Roman"/>
                <w:lang w:val="en-US"/>
              </w:rPr>
            </w:pPr>
            <w:r>
              <w:rPr>
                <w:rFonts w:cs="Times New Roman"/>
                <w:lang w:val="en-US"/>
              </w:rPr>
              <w:t xml:space="preserve">Montenegro shall ensure all fundamental legal safeguards to all persons deprived of their liberty, including right to have access to an independent lawyer and doctor of their choice and to contact families and relatives as well as education for juveniles. </w:t>
            </w:r>
          </w:p>
          <w:p w14:paraId="5D2173FA" w14:textId="77777777" w:rsidR="007A215F" w:rsidRDefault="007A215F" w:rsidP="00150554">
            <w:pPr>
              <w:pStyle w:val="ListParagraph"/>
              <w:numPr>
                <w:ilvl w:val="0"/>
                <w:numId w:val="2"/>
              </w:numPr>
              <w:ind w:left="360"/>
              <w:rPr>
                <w:rFonts w:cs="Times New Roman"/>
                <w:lang w:val="en-US"/>
              </w:rPr>
            </w:pPr>
            <w:r>
              <w:rPr>
                <w:rFonts w:cs="Times New Roman"/>
                <w:lang w:val="en-US"/>
              </w:rPr>
              <w:t xml:space="preserve">Montenegro shall apply its adopted Law on Legal Aid to all people, including juveniles and marginalized groups, without discrimination and restriction to access to justice both at an early stage of the procedure and throughout legal proceedings. </w:t>
            </w:r>
          </w:p>
          <w:p w14:paraId="676B2B83" w14:textId="77777777" w:rsidR="007A215F" w:rsidRDefault="007A215F" w:rsidP="00150554">
            <w:pPr>
              <w:pStyle w:val="ListParagraph"/>
              <w:numPr>
                <w:ilvl w:val="0"/>
                <w:numId w:val="2"/>
              </w:numPr>
              <w:ind w:left="360"/>
              <w:rPr>
                <w:rFonts w:cs="Times New Roman"/>
                <w:lang w:val="en-US"/>
              </w:rPr>
            </w:pPr>
            <w:r>
              <w:rPr>
                <w:rFonts w:cs="Times New Roman"/>
                <w:lang w:val="en-US"/>
              </w:rPr>
              <w:t>Montenegro shall establish specialization of juvenile justice judges and provide appropriate training and resources to all relevant actors in the juvenile justice system.</w:t>
            </w:r>
          </w:p>
          <w:p w14:paraId="15713DCC" w14:textId="77777777" w:rsidR="007A215F" w:rsidRDefault="007A215F" w:rsidP="00150554">
            <w:pPr>
              <w:pStyle w:val="ListParagraph"/>
              <w:numPr>
                <w:ilvl w:val="0"/>
                <w:numId w:val="2"/>
              </w:numPr>
              <w:ind w:left="360"/>
              <w:rPr>
                <w:rFonts w:cs="Times New Roman"/>
                <w:lang w:val="en-US"/>
              </w:rPr>
            </w:pPr>
            <w:r>
              <w:rPr>
                <w:rFonts w:cs="Times New Roman"/>
                <w:lang w:val="en-US"/>
              </w:rPr>
              <w:t xml:space="preserve">Montenegro shall promote non-custodial measures for cases of children accused of criminal offenses and shall use detention only as a last resort and for the shortest possible period of time. </w:t>
            </w:r>
          </w:p>
          <w:p w14:paraId="345C8298" w14:textId="77777777" w:rsidR="007A215F" w:rsidRDefault="007A215F" w:rsidP="00150554">
            <w:pPr>
              <w:pStyle w:val="ListParagraph"/>
              <w:numPr>
                <w:ilvl w:val="0"/>
                <w:numId w:val="2"/>
              </w:numPr>
              <w:ind w:left="360"/>
              <w:rPr>
                <w:rFonts w:cs="Times New Roman"/>
                <w:lang w:val="en-US"/>
              </w:rPr>
            </w:pPr>
            <w:r>
              <w:rPr>
                <w:rFonts w:cs="Times New Roman"/>
                <w:lang w:val="en-US"/>
              </w:rPr>
              <w:t xml:space="preserve">Montenegro shall build separate facilities for children deprived of their liberty and run them by specialized personnel with guarantee of all fundamental legal safeguards. </w:t>
            </w:r>
          </w:p>
          <w:p w14:paraId="5C0ABFA2" w14:textId="77777777" w:rsidR="007A215F" w:rsidRDefault="007A215F" w:rsidP="00150554">
            <w:pPr>
              <w:pStyle w:val="ListParagraph"/>
              <w:numPr>
                <w:ilvl w:val="0"/>
                <w:numId w:val="2"/>
              </w:numPr>
              <w:ind w:left="360"/>
              <w:rPr>
                <w:rFonts w:cs="Times New Roman"/>
                <w:lang w:val="en-US"/>
              </w:rPr>
            </w:pPr>
            <w:r>
              <w:rPr>
                <w:rFonts w:cs="Times New Roman"/>
                <w:lang w:val="en-US"/>
              </w:rPr>
              <w:t xml:space="preserve">Montenegro shall ensure the full independence and impartiality of the judiciary. </w:t>
            </w:r>
          </w:p>
          <w:p w14:paraId="23668F75" w14:textId="77777777" w:rsidR="007A215F" w:rsidRDefault="007A215F" w:rsidP="00150554">
            <w:pPr>
              <w:pStyle w:val="ListParagraph"/>
              <w:numPr>
                <w:ilvl w:val="0"/>
                <w:numId w:val="2"/>
              </w:numPr>
              <w:ind w:left="360"/>
              <w:rPr>
                <w:rFonts w:cs="Times New Roman"/>
                <w:lang w:val="en-US"/>
              </w:rPr>
            </w:pPr>
            <w:r>
              <w:rPr>
                <w:rFonts w:cs="Times New Roman"/>
                <w:lang w:val="en-US"/>
              </w:rPr>
              <w:t xml:space="preserve">Montenegro shall ensure thorough, prompt and independent investigations on any allegations against police force as well as against perpetrators as well as access to justice and reparations for victims. </w:t>
            </w:r>
          </w:p>
          <w:p w14:paraId="309A3AAB" w14:textId="77777777" w:rsidR="007A215F" w:rsidRDefault="007A215F" w:rsidP="00150554">
            <w:pPr>
              <w:pStyle w:val="ListParagraph"/>
              <w:numPr>
                <w:ilvl w:val="0"/>
                <w:numId w:val="2"/>
              </w:numPr>
              <w:ind w:left="360"/>
              <w:rPr>
                <w:rFonts w:cs="Times New Roman"/>
                <w:lang w:val="en-US"/>
              </w:rPr>
            </w:pPr>
            <w:r>
              <w:rPr>
                <w:rFonts w:cs="Times New Roman"/>
                <w:lang w:val="en-US"/>
              </w:rPr>
              <w:t>Montenegro shall improve criminal investigation methods to be applied with no physical ill-treatment of detainees and shall punish police or perpetrators who are responsible with appropriate penalties.</w:t>
            </w:r>
          </w:p>
          <w:p w14:paraId="27C990AF" w14:textId="77777777" w:rsidR="007A215F" w:rsidRDefault="007A215F" w:rsidP="00150554">
            <w:pPr>
              <w:pStyle w:val="ListParagraph"/>
              <w:numPr>
                <w:ilvl w:val="0"/>
                <w:numId w:val="2"/>
              </w:numPr>
              <w:ind w:left="360"/>
              <w:rPr>
                <w:rFonts w:cs="Times New Roman"/>
                <w:lang w:val="en-US"/>
              </w:rPr>
            </w:pPr>
            <w:r>
              <w:rPr>
                <w:rFonts w:cs="Times New Roman"/>
                <w:lang w:val="en-US"/>
              </w:rPr>
              <w:t xml:space="preserve">Montenegro shall establish an effective mechanism for reporting complaints of torture and ill-treatment and protecting involved complainants, victims and witnesses. </w:t>
            </w:r>
          </w:p>
          <w:p w14:paraId="7AC045E3" w14:textId="77777777" w:rsidR="007A215F" w:rsidRDefault="007A215F" w:rsidP="00150554">
            <w:pPr>
              <w:pStyle w:val="ListParagraph"/>
              <w:numPr>
                <w:ilvl w:val="0"/>
                <w:numId w:val="2"/>
              </w:numPr>
              <w:ind w:left="360"/>
              <w:rPr>
                <w:rFonts w:cs="Times New Roman"/>
                <w:lang w:val="en-US"/>
              </w:rPr>
            </w:pPr>
            <w:r>
              <w:rPr>
                <w:rFonts w:cs="Times New Roman"/>
                <w:lang w:val="en-US"/>
              </w:rPr>
              <w:t xml:space="preserve">Montenegro shall improve prison conditions by providing meaningful activities and rehabilitation </w:t>
            </w:r>
            <w:proofErr w:type="spellStart"/>
            <w:r>
              <w:rPr>
                <w:rFonts w:cs="Times New Roman"/>
                <w:lang w:val="en-US"/>
              </w:rPr>
              <w:t>programmes</w:t>
            </w:r>
            <w:proofErr w:type="spellEnd"/>
            <w:r>
              <w:rPr>
                <w:rFonts w:cs="Times New Roman"/>
                <w:lang w:val="en-US"/>
              </w:rPr>
              <w:t xml:space="preserve"> to prisoners and by taking measures to reduce overcrowding. </w:t>
            </w:r>
          </w:p>
          <w:p w14:paraId="3D461E22" w14:textId="77777777" w:rsidR="007A215F" w:rsidRPr="002554AC" w:rsidRDefault="007A215F" w:rsidP="00150554">
            <w:pPr>
              <w:pStyle w:val="ListParagraph"/>
              <w:numPr>
                <w:ilvl w:val="0"/>
                <w:numId w:val="2"/>
              </w:numPr>
              <w:ind w:left="360"/>
              <w:rPr>
                <w:rFonts w:cs="Times New Roman"/>
                <w:lang w:val="en-US"/>
              </w:rPr>
            </w:pPr>
            <w:r>
              <w:rPr>
                <w:rFonts w:cs="Times New Roman"/>
                <w:lang w:val="en-US"/>
              </w:rPr>
              <w:t xml:space="preserve">Montenegro shall </w:t>
            </w:r>
            <w:r w:rsidRPr="002554AC">
              <w:rPr>
                <w:rFonts w:cs="Times New Roman"/>
                <w:lang w:val="en-US"/>
              </w:rPr>
              <w:t>explicitly prohibit corporal</w:t>
            </w:r>
            <w:r>
              <w:rPr>
                <w:rFonts w:cs="Times New Roman"/>
                <w:lang w:val="en-US"/>
              </w:rPr>
              <w:t xml:space="preserve"> </w:t>
            </w:r>
            <w:r w:rsidRPr="00E50B97">
              <w:rPr>
                <w:rFonts w:cs="Times New Roman"/>
                <w:lang w:val="en-GB"/>
              </w:rPr>
              <w:t>punishment in all settings, supported by the necessary awareness-raising and educational campaigns about the negative impact of corporal punishment on children.</w:t>
            </w:r>
          </w:p>
        </w:tc>
      </w:tr>
    </w:tbl>
    <w:p w14:paraId="5E848CC7" w14:textId="77777777" w:rsidR="007A215F" w:rsidRDefault="007A215F" w:rsidP="007A215F">
      <w:r>
        <w:br w:type="page"/>
      </w:r>
    </w:p>
    <w:tbl>
      <w:tblPr>
        <w:tblStyle w:val="TableGrid"/>
        <w:tblW w:w="8856" w:type="dxa"/>
        <w:tblLayout w:type="fixed"/>
        <w:tblLook w:val="04A0" w:firstRow="1" w:lastRow="0" w:firstColumn="1" w:lastColumn="0" w:noHBand="0" w:noVBand="1"/>
      </w:tblPr>
      <w:tblGrid>
        <w:gridCol w:w="2141"/>
        <w:gridCol w:w="6715"/>
      </w:tblGrid>
      <w:tr w:rsidR="007A215F" w:rsidRPr="004013FD" w14:paraId="6632DAA2" w14:textId="77777777" w:rsidTr="00150554">
        <w:tc>
          <w:tcPr>
            <w:tcW w:w="2141" w:type="dxa"/>
          </w:tcPr>
          <w:p w14:paraId="1E19A6DB" w14:textId="77777777" w:rsidR="007A215F" w:rsidRPr="004013FD" w:rsidRDefault="007A215F" w:rsidP="00150554">
            <w:pPr>
              <w:rPr>
                <w:rFonts w:cs="Times New Roman"/>
                <w:sz w:val="22"/>
                <w:szCs w:val="22"/>
              </w:rPr>
            </w:pPr>
            <w:r w:rsidRPr="004013FD">
              <w:rPr>
                <w:rFonts w:cs="Times New Roman"/>
                <w:sz w:val="22"/>
                <w:szCs w:val="22"/>
              </w:rPr>
              <w:t xml:space="preserve">Lines of Inquiry related to torture and ill-treatment </w:t>
            </w:r>
          </w:p>
        </w:tc>
        <w:tc>
          <w:tcPr>
            <w:tcW w:w="6715" w:type="dxa"/>
          </w:tcPr>
          <w:p w14:paraId="5922DD00" w14:textId="77777777" w:rsidR="007A215F" w:rsidRPr="004013FD" w:rsidRDefault="007A215F" w:rsidP="00150554">
            <w:pPr>
              <w:pBdr>
                <w:top w:val="nil"/>
                <w:left w:val="nil"/>
                <w:bottom w:val="nil"/>
                <w:right w:val="nil"/>
                <w:between w:val="nil"/>
              </w:pBdr>
              <w:jc w:val="both"/>
              <w:rPr>
                <w:sz w:val="22"/>
                <w:szCs w:val="22"/>
              </w:rPr>
            </w:pPr>
            <w:r>
              <w:rPr>
                <w:sz w:val="22"/>
                <w:szCs w:val="22"/>
              </w:rPr>
              <w:t xml:space="preserve">Data on: </w:t>
            </w:r>
          </w:p>
          <w:p w14:paraId="298520BE" w14:textId="77777777" w:rsidR="007A215F" w:rsidRPr="00577F68" w:rsidRDefault="007A215F" w:rsidP="00150554">
            <w:pPr>
              <w:pStyle w:val="ListParagraph"/>
              <w:numPr>
                <w:ilvl w:val="1"/>
                <w:numId w:val="1"/>
              </w:numPr>
              <w:pBdr>
                <w:top w:val="nil"/>
                <w:left w:val="nil"/>
                <w:bottom w:val="nil"/>
                <w:right w:val="nil"/>
                <w:between w:val="nil"/>
              </w:pBdr>
              <w:jc w:val="both"/>
              <w:rPr>
                <w:rFonts w:cs="Times New Roman"/>
                <w:lang w:val="en-US"/>
              </w:rPr>
            </w:pPr>
            <w:r>
              <w:rPr>
                <w:rFonts w:cs="Times New Roman"/>
                <w:lang w:val="en-US"/>
              </w:rPr>
              <w:t>D</w:t>
            </w:r>
            <w:r w:rsidRPr="00577F68">
              <w:rPr>
                <w:rFonts w:cs="Times New Roman"/>
                <w:lang w:val="en-US"/>
              </w:rPr>
              <w:t>isaggregated statistical data by sex, age</w:t>
            </w:r>
            <w:r>
              <w:rPr>
                <w:rFonts w:cs="Times New Roman"/>
                <w:lang w:val="en-US"/>
              </w:rPr>
              <w:t xml:space="preserve"> </w:t>
            </w:r>
            <w:r w:rsidRPr="00E50B97">
              <w:rPr>
                <w:rFonts w:cs="Times New Roman"/>
                <w:lang w:val="en-GB"/>
              </w:rPr>
              <w:t>and ethnicity and type of crime, on the number of cases where redress and/or compensation measures have been ordered by the courts</w:t>
            </w:r>
          </w:p>
          <w:p w14:paraId="7345E765" w14:textId="77777777" w:rsidR="007A215F" w:rsidRPr="004013FD" w:rsidRDefault="007A215F" w:rsidP="00150554">
            <w:pPr>
              <w:pStyle w:val="ListParagraph"/>
              <w:numPr>
                <w:ilvl w:val="1"/>
                <w:numId w:val="1"/>
              </w:numPr>
              <w:pBdr>
                <w:top w:val="nil"/>
                <w:left w:val="nil"/>
                <w:bottom w:val="nil"/>
                <w:right w:val="nil"/>
                <w:between w:val="nil"/>
              </w:pBdr>
              <w:jc w:val="both"/>
              <w:rPr>
                <w:rFonts w:cs="Times New Roman"/>
                <w:lang w:val="en-US"/>
              </w:rPr>
            </w:pPr>
            <w:r w:rsidRPr="004013FD">
              <w:rPr>
                <w:rFonts w:cs="Times New Roman"/>
                <w:bCs/>
                <w:lang w:val="en-US"/>
              </w:rPr>
              <w:t xml:space="preserve">Arbitrary arrests </w:t>
            </w:r>
            <w:r>
              <w:rPr>
                <w:rFonts w:cs="Times New Roman"/>
                <w:bCs/>
                <w:lang w:val="en-US"/>
              </w:rPr>
              <w:t xml:space="preserve">and detention </w:t>
            </w:r>
          </w:p>
          <w:p w14:paraId="5BCB0DBE" w14:textId="77777777" w:rsidR="007A215F" w:rsidRPr="004013FD" w:rsidRDefault="007A215F" w:rsidP="00150554">
            <w:pPr>
              <w:pStyle w:val="ListParagraph"/>
              <w:numPr>
                <w:ilvl w:val="1"/>
                <w:numId w:val="1"/>
              </w:numPr>
              <w:pBdr>
                <w:top w:val="nil"/>
                <w:left w:val="nil"/>
                <w:bottom w:val="nil"/>
                <w:right w:val="nil"/>
                <w:between w:val="nil"/>
              </w:pBdr>
              <w:jc w:val="both"/>
              <w:rPr>
                <w:rFonts w:cs="Times New Roman"/>
                <w:lang w:val="en-US"/>
              </w:rPr>
            </w:pPr>
            <w:r w:rsidRPr="004013FD">
              <w:rPr>
                <w:rFonts w:cs="Times New Roman"/>
                <w:bCs/>
                <w:lang w:val="en-US"/>
              </w:rPr>
              <w:t>Abuse of authority</w:t>
            </w:r>
          </w:p>
          <w:p w14:paraId="17DB1C33" w14:textId="77777777" w:rsidR="007A215F" w:rsidRPr="004013FD" w:rsidRDefault="007A215F" w:rsidP="00150554">
            <w:pPr>
              <w:pStyle w:val="ListParagraph"/>
              <w:numPr>
                <w:ilvl w:val="1"/>
                <w:numId w:val="1"/>
              </w:numPr>
              <w:pBdr>
                <w:top w:val="nil"/>
                <w:left w:val="nil"/>
                <w:bottom w:val="nil"/>
                <w:right w:val="nil"/>
                <w:between w:val="nil"/>
              </w:pBdr>
              <w:jc w:val="both"/>
              <w:rPr>
                <w:rFonts w:cs="Times New Roman"/>
                <w:lang w:val="en-US"/>
              </w:rPr>
            </w:pPr>
            <w:r w:rsidRPr="004013FD">
              <w:rPr>
                <w:rFonts w:cs="Times New Roman"/>
                <w:lang w:val="en-US"/>
              </w:rPr>
              <w:t>Right to life violations</w:t>
            </w:r>
          </w:p>
          <w:p w14:paraId="4BD592C3" w14:textId="77777777" w:rsidR="007A215F" w:rsidRDefault="007A215F" w:rsidP="00150554">
            <w:pPr>
              <w:pStyle w:val="ListParagraph"/>
              <w:numPr>
                <w:ilvl w:val="1"/>
                <w:numId w:val="1"/>
              </w:numPr>
              <w:pBdr>
                <w:top w:val="nil"/>
                <w:left w:val="nil"/>
                <w:bottom w:val="nil"/>
                <w:right w:val="nil"/>
                <w:between w:val="nil"/>
              </w:pBdr>
              <w:jc w:val="both"/>
              <w:rPr>
                <w:rFonts w:cs="Times New Roman"/>
                <w:lang w:val="en-US"/>
              </w:rPr>
            </w:pPr>
            <w:r w:rsidRPr="004013FD">
              <w:rPr>
                <w:rFonts w:cs="Times New Roman"/>
                <w:lang w:val="en-US"/>
              </w:rPr>
              <w:t>Treatment during the arbitrary detentions</w:t>
            </w:r>
            <w:r>
              <w:rPr>
                <w:rFonts w:cs="Times New Roman"/>
                <w:lang w:val="en-US"/>
              </w:rPr>
              <w:t xml:space="preserve"> towards juveniles</w:t>
            </w:r>
          </w:p>
          <w:p w14:paraId="5B6C328E" w14:textId="77777777" w:rsidR="007A215F" w:rsidRPr="00577F68" w:rsidRDefault="007A215F" w:rsidP="00150554">
            <w:pPr>
              <w:pStyle w:val="ListParagraph"/>
              <w:numPr>
                <w:ilvl w:val="1"/>
                <w:numId w:val="1"/>
              </w:numPr>
              <w:pBdr>
                <w:top w:val="nil"/>
                <w:left w:val="nil"/>
                <w:bottom w:val="nil"/>
                <w:right w:val="nil"/>
                <w:between w:val="nil"/>
              </w:pBdr>
              <w:jc w:val="both"/>
              <w:rPr>
                <w:rFonts w:cs="Times New Roman"/>
                <w:lang w:val="en-US"/>
              </w:rPr>
            </w:pPr>
            <w:r w:rsidRPr="00E50B97">
              <w:rPr>
                <w:rFonts w:cs="Times New Roman"/>
                <w:lang w:val="en-GB"/>
              </w:rPr>
              <w:t>Conditions of Detention places for juveniles</w:t>
            </w:r>
          </w:p>
          <w:p w14:paraId="60DC6B1E" w14:textId="77777777" w:rsidR="007A215F" w:rsidRDefault="007A215F" w:rsidP="00150554">
            <w:pPr>
              <w:pStyle w:val="ListParagraph"/>
              <w:numPr>
                <w:ilvl w:val="1"/>
                <w:numId w:val="1"/>
              </w:numPr>
              <w:pBdr>
                <w:top w:val="nil"/>
                <w:left w:val="nil"/>
                <w:bottom w:val="nil"/>
                <w:right w:val="nil"/>
                <w:between w:val="nil"/>
              </w:pBdr>
              <w:jc w:val="both"/>
              <w:rPr>
                <w:rFonts w:cs="Times New Roman"/>
                <w:lang w:val="en-US"/>
              </w:rPr>
            </w:pPr>
            <w:r>
              <w:rPr>
                <w:rFonts w:cs="Times New Roman"/>
                <w:lang w:val="en-US"/>
              </w:rPr>
              <w:t>Number and status of detainees, including juveniles</w:t>
            </w:r>
          </w:p>
          <w:p w14:paraId="03064F92" w14:textId="77777777" w:rsidR="007A215F" w:rsidRDefault="007A215F" w:rsidP="00150554">
            <w:pPr>
              <w:pStyle w:val="ListParagraph"/>
              <w:numPr>
                <w:ilvl w:val="1"/>
                <w:numId w:val="1"/>
              </w:numPr>
              <w:pBdr>
                <w:top w:val="nil"/>
                <w:left w:val="nil"/>
                <w:bottom w:val="nil"/>
                <w:right w:val="nil"/>
                <w:between w:val="nil"/>
              </w:pBdr>
              <w:jc w:val="both"/>
              <w:rPr>
                <w:rFonts w:cs="Times New Roman"/>
                <w:lang w:val="en-US"/>
              </w:rPr>
            </w:pPr>
            <w:r>
              <w:rPr>
                <w:rFonts w:cs="Times New Roman"/>
                <w:lang w:val="en-US"/>
              </w:rPr>
              <w:t>Number and status of deaths in custody, including juveniles</w:t>
            </w:r>
          </w:p>
          <w:p w14:paraId="24273635" w14:textId="77777777" w:rsidR="007A215F" w:rsidRPr="00577F68" w:rsidRDefault="007A215F" w:rsidP="00150554">
            <w:pPr>
              <w:pStyle w:val="ListParagraph"/>
              <w:numPr>
                <w:ilvl w:val="1"/>
                <w:numId w:val="1"/>
              </w:numPr>
              <w:pBdr>
                <w:top w:val="nil"/>
                <w:left w:val="nil"/>
                <w:bottom w:val="nil"/>
                <w:right w:val="nil"/>
                <w:between w:val="nil"/>
              </w:pBdr>
              <w:jc w:val="both"/>
              <w:rPr>
                <w:rFonts w:cs="Times New Roman"/>
                <w:lang w:val="en-US"/>
              </w:rPr>
            </w:pPr>
            <w:r>
              <w:rPr>
                <w:rFonts w:cs="Times New Roman"/>
                <w:lang w:val="en-US"/>
              </w:rPr>
              <w:t>N</w:t>
            </w:r>
            <w:r w:rsidRPr="00E26EB2">
              <w:rPr>
                <w:rFonts w:cs="Times New Roman"/>
                <w:lang w:val="en-US"/>
              </w:rPr>
              <w:t>umber of complaints, investigations,</w:t>
            </w:r>
            <w:r>
              <w:rPr>
                <w:rFonts w:cs="Times New Roman"/>
                <w:lang w:val="en-US"/>
              </w:rPr>
              <w:t xml:space="preserve"> </w:t>
            </w:r>
            <w:r w:rsidRPr="00E50B97">
              <w:rPr>
                <w:rFonts w:cs="Times New Roman"/>
                <w:lang w:val="en-GB"/>
              </w:rPr>
              <w:t>prosecutions and criminal and disciplinary sanctions imposed against the perpetrators of acts of torture and ill-treatment</w:t>
            </w:r>
          </w:p>
          <w:p w14:paraId="0F576281" w14:textId="77777777" w:rsidR="007A215F" w:rsidRDefault="007A215F" w:rsidP="00150554">
            <w:pPr>
              <w:pStyle w:val="ListParagraph"/>
              <w:numPr>
                <w:ilvl w:val="1"/>
                <w:numId w:val="1"/>
              </w:numPr>
              <w:pBdr>
                <w:top w:val="nil"/>
                <w:left w:val="nil"/>
                <w:bottom w:val="nil"/>
                <w:right w:val="nil"/>
                <w:between w:val="nil"/>
              </w:pBdr>
              <w:jc w:val="both"/>
              <w:rPr>
                <w:rFonts w:cs="Times New Roman"/>
                <w:lang w:val="en-US"/>
              </w:rPr>
            </w:pPr>
            <w:r>
              <w:rPr>
                <w:rFonts w:cs="Times New Roman"/>
                <w:lang w:val="en-US"/>
              </w:rPr>
              <w:t>Any juveniles prosecuted or investigated under the charge of terrorism or war crimes</w:t>
            </w:r>
          </w:p>
          <w:p w14:paraId="266AB1C7" w14:textId="77777777" w:rsidR="007A215F" w:rsidRPr="00E37886" w:rsidRDefault="007A215F" w:rsidP="00150554">
            <w:pPr>
              <w:pStyle w:val="ListParagraph"/>
              <w:numPr>
                <w:ilvl w:val="1"/>
                <w:numId w:val="1"/>
              </w:numPr>
              <w:pBdr>
                <w:top w:val="nil"/>
                <w:left w:val="nil"/>
                <w:bottom w:val="nil"/>
                <w:right w:val="nil"/>
                <w:between w:val="nil"/>
              </w:pBdr>
              <w:jc w:val="both"/>
              <w:rPr>
                <w:rFonts w:cs="Times New Roman"/>
                <w:lang w:val="en-US"/>
              </w:rPr>
            </w:pPr>
            <w:r>
              <w:rPr>
                <w:rFonts w:cs="Times New Roman"/>
                <w:lang w:val="en-US"/>
              </w:rPr>
              <w:t>Inter-prisoner violence and sexual violence in prisons</w:t>
            </w:r>
          </w:p>
        </w:tc>
      </w:tr>
      <w:tr w:rsidR="007A215F" w:rsidRPr="004013FD" w14:paraId="588126BD" w14:textId="77777777" w:rsidTr="00150554">
        <w:tc>
          <w:tcPr>
            <w:tcW w:w="2141" w:type="dxa"/>
          </w:tcPr>
          <w:p w14:paraId="47FA73A9" w14:textId="77777777" w:rsidR="007A215F" w:rsidRPr="004013FD" w:rsidRDefault="007A215F" w:rsidP="00150554">
            <w:pPr>
              <w:rPr>
                <w:rFonts w:cs="Times New Roman"/>
                <w:sz w:val="22"/>
                <w:szCs w:val="22"/>
              </w:rPr>
            </w:pPr>
            <w:r w:rsidRPr="004013FD">
              <w:rPr>
                <w:rFonts w:cs="Times New Roman"/>
                <w:sz w:val="22"/>
                <w:szCs w:val="22"/>
              </w:rPr>
              <w:t>Link to Global Study</w:t>
            </w:r>
          </w:p>
        </w:tc>
        <w:tc>
          <w:tcPr>
            <w:tcW w:w="6715" w:type="dxa"/>
          </w:tcPr>
          <w:p w14:paraId="6E33E911" w14:textId="77777777" w:rsidR="007A215F" w:rsidRPr="004013FD" w:rsidRDefault="00E50B97" w:rsidP="00150554">
            <w:pPr>
              <w:rPr>
                <w:rFonts w:cs="Times New Roman"/>
                <w:sz w:val="22"/>
                <w:szCs w:val="22"/>
              </w:rPr>
            </w:pPr>
            <w:hyperlink r:id="rId9" w:history="1">
              <w:r w:rsidR="007A215F" w:rsidRPr="004013FD">
                <w:rPr>
                  <w:rStyle w:val="Hyperlink"/>
                  <w:rFonts w:ascii="Times New Roman" w:hAnsi="Times New Roman" w:cs="Times New Roman"/>
                </w:rPr>
                <w:t>https://jjimexico.org/ptd-report/</w:t>
              </w:r>
            </w:hyperlink>
          </w:p>
        </w:tc>
      </w:tr>
    </w:tbl>
    <w:p w14:paraId="6DB7FA59" w14:textId="77777777" w:rsidR="007A215F" w:rsidRPr="004013FD" w:rsidRDefault="007A215F" w:rsidP="007A215F"/>
    <w:p w14:paraId="53315F85" w14:textId="77777777" w:rsidR="007A215F" w:rsidRPr="004013FD" w:rsidRDefault="007A215F" w:rsidP="007A215F">
      <w:pPr>
        <w:jc w:val="center"/>
      </w:pPr>
    </w:p>
    <w:sectPr w:rsidR="007A215F" w:rsidRPr="004013FD" w:rsidSect="0052202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28BD2" w14:textId="77777777" w:rsidR="00282C12" w:rsidRDefault="00282C12" w:rsidP="005A3C5B">
      <w:r>
        <w:separator/>
      </w:r>
    </w:p>
  </w:endnote>
  <w:endnote w:type="continuationSeparator" w:id="0">
    <w:p w14:paraId="3B9643BF" w14:textId="77777777" w:rsidR="00282C12" w:rsidRDefault="00282C12" w:rsidP="005A3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F43C3" w14:textId="77777777" w:rsidR="00282C12" w:rsidRDefault="00282C12" w:rsidP="005A3C5B">
      <w:r>
        <w:separator/>
      </w:r>
    </w:p>
  </w:footnote>
  <w:footnote w:type="continuationSeparator" w:id="0">
    <w:p w14:paraId="0913F98A" w14:textId="77777777" w:rsidR="00282C12" w:rsidRDefault="00282C12" w:rsidP="005A3C5B">
      <w:r>
        <w:continuationSeparator/>
      </w:r>
    </w:p>
  </w:footnote>
  <w:footnote w:id="1">
    <w:p w14:paraId="08BD67F2" w14:textId="77777777" w:rsidR="00AB1EBC" w:rsidRDefault="00AB1EBC" w:rsidP="00AB1EBC">
      <w:pPr>
        <w:pStyle w:val="FootnoteText"/>
        <w:jc w:val="left"/>
      </w:pPr>
      <w:r>
        <w:rPr>
          <w:rStyle w:val="FootnoteReference"/>
        </w:rPr>
        <w:footnoteRef/>
      </w:r>
      <w:r>
        <w:t xml:space="preserve"> Comm. </w:t>
      </w:r>
      <w:proofErr w:type="gramStart"/>
      <w:r>
        <w:t>Against</w:t>
      </w:r>
      <w:proofErr w:type="gramEnd"/>
      <w:r>
        <w:t xml:space="preserve"> Torture, </w:t>
      </w:r>
      <w:r w:rsidRPr="00D47D44">
        <w:rPr>
          <w:bCs/>
        </w:rPr>
        <w:t xml:space="preserve">General Comment </w:t>
      </w:r>
      <w:r>
        <w:rPr>
          <w:bCs/>
        </w:rPr>
        <w:t>2</w:t>
      </w:r>
      <w:r w:rsidRPr="00D47D44">
        <w:rPr>
          <w:bCs/>
        </w:rPr>
        <w:t xml:space="preserve">: </w:t>
      </w:r>
      <w:r w:rsidRPr="00A845B2">
        <w:rPr>
          <w:bCs/>
        </w:rPr>
        <w:t>Implementation of article 2 by States parties</w:t>
      </w:r>
      <w:r>
        <w:t>, U.N. Doc. CAT/C/GC/2 (Jan. 24, 2008) [hereinafter CAT General Comment 2].</w:t>
      </w:r>
    </w:p>
  </w:footnote>
  <w:footnote w:id="2">
    <w:p w14:paraId="0F414127" w14:textId="77777777" w:rsidR="005A3C5B" w:rsidRPr="00251BCE" w:rsidRDefault="005A3C5B" w:rsidP="005A3C5B">
      <w:pPr>
        <w:rPr>
          <w:rFonts w:eastAsia="Calibri"/>
          <w:sz w:val="20"/>
          <w:szCs w:val="20"/>
        </w:rPr>
      </w:pPr>
      <w:r w:rsidRPr="00C828DE">
        <w:rPr>
          <w:sz w:val="20"/>
          <w:szCs w:val="20"/>
          <w:vertAlign w:val="superscript"/>
        </w:rPr>
        <w:footnoteRef/>
      </w:r>
      <w:r w:rsidRPr="00C828DE">
        <w:rPr>
          <w:rFonts w:eastAsia="Calibri"/>
          <w:sz w:val="20"/>
          <w:szCs w:val="20"/>
        </w:rPr>
        <w:t xml:space="preserve"> </w:t>
      </w:r>
      <w:r w:rsidRPr="00253B3B">
        <w:rPr>
          <w:rFonts w:eastAsia="Calibri"/>
          <w:sz w:val="20"/>
          <w:szCs w:val="20"/>
        </w:rPr>
        <w:t xml:space="preserve">Patrick Webb &amp; William Allen </w:t>
      </w:r>
      <w:proofErr w:type="spellStart"/>
      <w:r w:rsidRPr="00253B3B">
        <w:rPr>
          <w:rFonts w:eastAsia="Calibri"/>
          <w:sz w:val="20"/>
          <w:szCs w:val="20"/>
        </w:rPr>
        <w:t>Kritsonis</w:t>
      </w:r>
      <w:proofErr w:type="spellEnd"/>
      <w:r w:rsidRPr="00253B3B">
        <w:rPr>
          <w:rFonts w:eastAsia="Calibri"/>
          <w:sz w:val="20"/>
          <w:szCs w:val="20"/>
        </w:rPr>
        <w:t xml:space="preserve">, </w:t>
      </w:r>
      <w:r w:rsidRPr="003D0A00">
        <w:rPr>
          <w:rFonts w:eastAsia="Calibri"/>
          <w:i/>
          <w:sz w:val="20"/>
          <w:szCs w:val="20"/>
        </w:rPr>
        <w:t>Controlling those Kids: Social Control and the Use of Pretrial Detention among Youth in the United States of America: National Implications</w:t>
      </w:r>
      <w:r w:rsidRPr="00253B3B">
        <w:rPr>
          <w:rFonts w:eastAsia="Calibri"/>
          <w:sz w:val="20"/>
          <w:szCs w:val="20"/>
        </w:rPr>
        <w:t xml:space="preserve">, </w:t>
      </w:r>
      <w:r>
        <w:rPr>
          <w:rFonts w:eastAsia="Calibri"/>
          <w:smallCaps/>
          <w:sz w:val="20"/>
          <w:szCs w:val="20"/>
        </w:rPr>
        <w:t xml:space="preserve">ERIC </w:t>
      </w:r>
      <w:r w:rsidRPr="00253B3B">
        <w:rPr>
          <w:rFonts w:eastAsia="Calibri"/>
          <w:sz w:val="20"/>
          <w:szCs w:val="20"/>
        </w:rPr>
        <w:t>(Oct. 2006), https://eric.ed.gov/?id=ED493565.</w:t>
      </w:r>
      <w:r w:rsidRPr="00253B3B" w:rsidDel="00253B3B">
        <w:rPr>
          <w:rFonts w:eastAsia="Calibri"/>
          <w:sz w:val="20"/>
          <w:szCs w:val="20"/>
        </w:rPr>
        <w:t xml:space="preserve"> </w:t>
      </w:r>
    </w:p>
  </w:footnote>
  <w:footnote w:id="3">
    <w:p w14:paraId="556D3E99" w14:textId="77777777" w:rsidR="005A3C5B" w:rsidRPr="00D96CED" w:rsidRDefault="005A3C5B" w:rsidP="005A3C5B">
      <w:pPr>
        <w:rPr>
          <w:rFonts w:eastAsia="Calibri"/>
          <w:sz w:val="20"/>
          <w:szCs w:val="20"/>
        </w:rPr>
      </w:pPr>
      <w:r w:rsidRPr="00D96CED">
        <w:rPr>
          <w:sz w:val="20"/>
          <w:szCs w:val="20"/>
          <w:vertAlign w:val="superscript"/>
        </w:rPr>
        <w:footnoteRef/>
      </w:r>
      <w:r w:rsidRPr="00D96CED">
        <w:rPr>
          <w:rFonts w:eastAsia="Calibri"/>
          <w:sz w:val="20"/>
          <w:szCs w:val="20"/>
        </w:rPr>
        <w:t xml:space="preserve"> </w:t>
      </w:r>
      <w:r w:rsidRPr="00B83369">
        <w:rPr>
          <w:sz w:val="20"/>
          <w:szCs w:val="20"/>
        </w:rPr>
        <w:t>G.A. Res. 44/25, Convention on the Rights of the Child, art. 37(b) (Nov. 20, 1989) [hereinafter CRC].</w:t>
      </w:r>
    </w:p>
  </w:footnote>
  <w:footnote w:id="4">
    <w:p w14:paraId="456B65D9" w14:textId="77777777" w:rsidR="00AB1EBC" w:rsidRDefault="00AB1EBC" w:rsidP="00AB1EBC">
      <w:pPr>
        <w:pStyle w:val="FootnoteText"/>
        <w:jc w:val="left"/>
      </w:pPr>
      <w:r>
        <w:rPr>
          <w:rStyle w:val="FootnoteReference"/>
        </w:rPr>
        <w:footnoteRef/>
      </w:r>
      <w:r>
        <w:t xml:space="preserve"> Comm. on the Rights of the Child, </w:t>
      </w:r>
      <w:r w:rsidRPr="00D47D44">
        <w:rPr>
          <w:bCs/>
        </w:rPr>
        <w:t>General Comment 10: Children's Rights in Juvenile Justice</w:t>
      </w:r>
      <w:r>
        <w:t>, § 80, U.N. Doc. CRC/C/GC/10 (Apr. 25, 2007) [hereinafter CRC General Comment 10].</w:t>
      </w:r>
    </w:p>
  </w:footnote>
  <w:footnote w:id="5">
    <w:p w14:paraId="442F016F" w14:textId="77777777" w:rsidR="00AB1EBC" w:rsidRPr="00764FDC" w:rsidRDefault="00AB1EBC" w:rsidP="00AB1EBC">
      <w:pPr>
        <w:pStyle w:val="FootnoteText"/>
      </w:pPr>
      <w:r>
        <w:rPr>
          <w:rStyle w:val="FootnoteReference"/>
        </w:rPr>
        <w:footnoteRef/>
      </w:r>
      <w:r>
        <w:t xml:space="preserve"> </w:t>
      </w:r>
      <w:r>
        <w:rPr>
          <w:i/>
        </w:rPr>
        <w:t xml:space="preserve">Id. </w:t>
      </w:r>
      <w:r>
        <w:t>¶ 83 (specifying that regular review is “preferably every two weeks”).</w:t>
      </w:r>
    </w:p>
  </w:footnote>
  <w:footnote w:id="6">
    <w:p w14:paraId="4B66BA3C" w14:textId="77777777" w:rsidR="005A3C5B" w:rsidRPr="00D96CED" w:rsidRDefault="005A3C5B" w:rsidP="005A3C5B">
      <w:pPr>
        <w:rPr>
          <w:rFonts w:eastAsia="Calibri"/>
          <w:sz w:val="20"/>
          <w:szCs w:val="20"/>
        </w:rPr>
      </w:pPr>
      <w:r w:rsidRPr="00D96CED">
        <w:rPr>
          <w:sz w:val="20"/>
          <w:szCs w:val="20"/>
          <w:vertAlign w:val="superscript"/>
        </w:rPr>
        <w:footnoteRef/>
      </w:r>
      <w:r w:rsidRPr="00D96CED">
        <w:rPr>
          <w:rFonts w:eastAsia="Calibri"/>
          <w:sz w:val="20"/>
          <w:szCs w:val="20"/>
        </w:rPr>
        <w:t xml:space="preserve"> </w:t>
      </w:r>
      <w:r w:rsidRPr="00B83369">
        <w:rPr>
          <w:sz w:val="20"/>
          <w:szCs w:val="20"/>
        </w:rPr>
        <w:t xml:space="preserve">Moritz </w:t>
      </w:r>
      <w:proofErr w:type="spellStart"/>
      <w:r w:rsidRPr="00B83369">
        <w:rPr>
          <w:sz w:val="20"/>
          <w:szCs w:val="20"/>
        </w:rPr>
        <w:t>Birk</w:t>
      </w:r>
      <w:proofErr w:type="spellEnd"/>
      <w:r w:rsidRPr="00B83369">
        <w:rPr>
          <w:sz w:val="20"/>
          <w:szCs w:val="20"/>
        </w:rPr>
        <w:t xml:space="preserve"> </w:t>
      </w:r>
      <w:proofErr w:type="gramStart"/>
      <w:r w:rsidRPr="00B83369">
        <w:rPr>
          <w:sz w:val="20"/>
          <w:szCs w:val="20"/>
        </w:rPr>
        <w:t>et</w:t>
      </w:r>
      <w:proofErr w:type="gramEnd"/>
      <w:r w:rsidRPr="00B83369">
        <w:rPr>
          <w:sz w:val="20"/>
          <w:szCs w:val="20"/>
        </w:rPr>
        <w:t xml:space="preserve">. al., </w:t>
      </w:r>
      <w:r w:rsidRPr="00D96CED">
        <w:rPr>
          <w:rFonts w:eastAsia="Calibri"/>
          <w:i/>
          <w:sz w:val="20"/>
          <w:szCs w:val="20"/>
        </w:rPr>
        <w:t>Pretrial Detention and Torture: Why Pretrial Detainees Face the Greatest Risk</w:t>
      </w:r>
      <w:r w:rsidRPr="00D96CED">
        <w:rPr>
          <w:rFonts w:eastAsia="Calibri"/>
          <w:sz w:val="20"/>
          <w:szCs w:val="20"/>
        </w:rPr>
        <w:t xml:space="preserve">, </w:t>
      </w:r>
      <w:r>
        <w:rPr>
          <w:rFonts w:eastAsia="Calibri"/>
          <w:sz w:val="20"/>
          <w:szCs w:val="20"/>
        </w:rPr>
        <w:t xml:space="preserve">27, </w:t>
      </w:r>
      <w:r>
        <w:rPr>
          <w:rFonts w:eastAsia="Calibri"/>
          <w:smallCaps/>
          <w:sz w:val="20"/>
          <w:szCs w:val="20"/>
        </w:rPr>
        <w:t xml:space="preserve">Open </w:t>
      </w:r>
      <w:proofErr w:type="spellStart"/>
      <w:r>
        <w:rPr>
          <w:rFonts w:eastAsia="Calibri"/>
          <w:smallCaps/>
          <w:sz w:val="20"/>
          <w:szCs w:val="20"/>
        </w:rPr>
        <w:t>Soc’</w:t>
      </w:r>
      <w:r w:rsidRPr="00D96CED">
        <w:rPr>
          <w:rFonts w:eastAsia="Calibri"/>
          <w:smallCaps/>
          <w:sz w:val="20"/>
          <w:szCs w:val="20"/>
        </w:rPr>
        <w:t>y</w:t>
      </w:r>
      <w:proofErr w:type="spellEnd"/>
      <w:r w:rsidRPr="00D96CED">
        <w:rPr>
          <w:rFonts w:eastAsia="Calibri"/>
          <w:smallCaps/>
          <w:sz w:val="20"/>
          <w:szCs w:val="20"/>
        </w:rPr>
        <w:t xml:space="preserve"> Found</w:t>
      </w:r>
      <w:r w:rsidRPr="00C828DE">
        <w:rPr>
          <w:rFonts w:eastAsia="Calibri"/>
          <w:sz w:val="20"/>
          <w:szCs w:val="20"/>
        </w:rPr>
        <w:t>. (2011))</w:t>
      </w:r>
      <w:r>
        <w:rPr>
          <w:rFonts w:eastAsia="Calibri"/>
          <w:sz w:val="20"/>
          <w:szCs w:val="20"/>
        </w:rPr>
        <w:t xml:space="preserve">, </w:t>
      </w:r>
      <w:hyperlink r:id="rId1" w:history="1">
        <w:r w:rsidRPr="00D96CED">
          <w:rPr>
            <w:rStyle w:val="Hyperlink"/>
            <w:rFonts w:eastAsia="Calibri"/>
            <w:sz w:val="20"/>
            <w:szCs w:val="20"/>
          </w:rPr>
          <w:t>https://www.opensocietyfoundations.org/sites/default/files/pretrial-detention-and-torture-06222011.pdf</w:t>
        </w:r>
      </w:hyperlink>
      <w:r w:rsidRPr="00D96CED">
        <w:rPr>
          <w:rFonts w:eastAsia="Calibri"/>
          <w:sz w:val="20"/>
          <w:szCs w:val="20"/>
        </w:rPr>
        <w:t xml:space="preserve">. </w:t>
      </w:r>
    </w:p>
  </w:footnote>
  <w:footnote w:id="7">
    <w:p w14:paraId="3F035F85" w14:textId="77777777" w:rsidR="005A3C5B" w:rsidRPr="00D96CED" w:rsidRDefault="005A3C5B" w:rsidP="005A3C5B">
      <w:pPr>
        <w:rPr>
          <w:rFonts w:eastAsia="Calibri"/>
          <w:sz w:val="20"/>
          <w:szCs w:val="20"/>
        </w:rPr>
      </w:pPr>
      <w:r w:rsidRPr="00D96CED">
        <w:rPr>
          <w:sz w:val="20"/>
          <w:szCs w:val="20"/>
          <w:vertAlign w:val="superscript"/>
        </w:rPr>
        <w:footnoteRef/>
      </w:r>
      <w:r w:rsidRPr="00D96CED">
        <w:rPr>
          <w:rFonts w:eastAsia="Calibri"/>
          <w:sz w:val="20"/>
          <w:szCs w:val="20"/>
        </w:rPr>
        <w:t xml:space="preserve"> Barry Holman &amp; Jason </w:t>
      </w:r>
      <w:proofErr w:type="spellStart"/>
      <w:r w:rsidRPr="00D96CED">
        <w:rPr>
          <w:rFonts w:eastAsia="Calibri"/>
          <w:sz w:val="20"/>
          <w:szCs w:val="20"/>
        </w:rPr>
        <w:t>Ziedenber</w:t>
      </w:r>
      <w:r>
        <w:rPr>
          <w:rFonts w:eastAsia="Calibri"/>
          <w:sz w:val="20"/>
          <w:szCs w:val="20"/>
        </w:rPr>
        <w:t>g</w:t>
      </w:r>
      <w:proofErr w:type="spellEnd"/>
      <w:r w:rsidRPr="00D96CED">
        <w:rPr>
          <w:rFonts w:eastAsia="Calibri"/>
          <w:sz w:val="20"/>
          <w:szCs w:val="20"/>
        </w:rPr>
        <w:t xml:space="preserve">. </w:t>
      </w:r>
      <w:r w:rsidRPr="00D96CED">
        <w:rPr>
          <w:rFonts w:eastAsia="Calibri"/>
          <w:i/>
          <w:sz w:val="20"/>
          <w:szCs w:val="20"/>
        </w:rPr>
        <w:t>The Dangers of Detention: The Impact of Incarcerating Youth in Detention and Other Secure Facilities</w:t>
      </w:r>
      <w:r w:rsidRPr="00D96CED">
        <w:rPr>
          <w:rFonts w:eastAsia="Calibri"/>
          <w:sz w:val="20"/>
          <w:szCs w:val="20"/>
        </w:rPr>
        <w:t xml:space="preserve">, </w:t>
      </w:r>
      <w:r>
        <w:rPr>
          <w:rFonts w:eastAsia="Calibri"/>
          <w:sz w:val="20"/>
          <w:szCs w:val="20"/>
        </w:rPr>
        <w:t xml:space="preserve">3–10, </w:t>
      </w:r>
      <w:r w:rsidRPr="00B0537C">
        <w:rPr>
          <w:rFonts w:eastAsia="Calibri"/>
          <w:smallCaps/>
          <w:sz w:val="20"/>
          <w:szCs w:val="20"/>
        </w:rPr>
        <w:t>Just</w:t>
      </w:r>
      <w:r>
        <w:rPr>
          <w:rFonts w:eastAsia="Calibri"/>
          <w:smallCaps/>
          <w:sz w:val="20"/>
          <w:szCs w:val="20"/>
        </w:rPr>
        <w:t>.</w:t>
      </w:r>
      <w:r w:rsidRPr="00B0537C">
        <w:rPr>
          <w:rFonts w:eastAsia="Calibri"/>
          <w:smallCaps/>
          <w:sz w:val="20"/>
          <w:szCs w:val="20"/>
        </w:rPr>
        <w:t xml:space="preserve"> </w:t>
      </w:r>
      <w:proofErr w:type="spellStart"/>
      <w:r w:rsidRPr="00B0537C">
        <w:rPr>
          <w:rFonts w:eastAsia="Calibri"/>
          <w:smallCaps/>
          <w:sz w:val="20"/>
          <w:szCs w:val="20"/>
        </w:rPr>
        <w:t>Pol</w:t>
      </w:r>
      <w:r>
        <w:rPr>
          <w:rFonts w:eastAsia="Calibri"/>
          <w:smallCaps/>
          <w:sz w:val="20"/>
          <w:szCs w:val="20"/>
        </w:rPr>
        <w:t>’</w:t>
      </w:r>
      <w:r w:rsidRPr="00B0537C">
        <w:rPr>
          <w:rFonts w:eastAsia="Calibri"/>
          <w:smallCaps/>
          <w:sz w:val="20"/>
          <w:szCs w:val="20"/>
        </w:rPr>
        <w:t>y</w:t>
      </w:r>
      <w:proofErr w:type="spellEnd"/>
      <w:r w:rsidRPr="00B0537C">
        <w:rPr>
          <w:rFonts w:eastAsia="Calibri"/>
          <w:smallCaps/>
          <w:sz w:val="20"/>
          <w:szCs w:val="20"/>
        </w:rPr>
        <w:t xml:space="preserve"> Inst</w:t>
      </w:r>
      <w:r>
        <w:rPr>
          <w:rFonts w:eastAsia="Calibri"/>
          <w:smallCaps/>
          <w:sz w:val="20"/>
          <w:szCs w:val="20"/>
        </w:rPr>
        <w:t>.</w:t>
      </w:r>
      <w:r w:rsidRPr="00D96CED">
        <w:rPr>
          <w:rFonts w:eastAsia="Calibri"/>
          <w:sz w:val="20"/>
          <w:szCs w:val="20"/>
        </w:rPr>
        <w:t xml:space="preserve"> (Nov. 28, 2006)</w:t>
      </w:r>
      <w:r>
        <w:rPr>
          <w:rFonts w:eastAsia="Calibri"/>
          <w:sz w:val="20"/>
          <w:szCs w:val="20"/>
        </w:rPr>
        <w:t xml:space="preserve">, </w:t>
      </w:r>
      <w:hyperlink r:id="rId2" w:history="1">
        <w:r w:rsidRPr="00933000">
          <w:rPr>
            <w:rStyle w:val="Hyperlink"/>
            <w:rFonts w:eastAsia="Calibri"/>
            <w:sz w:val="20"/>
            <w:szCs w:val="20"/>
          </w:rPr>
          <w:t>http://www.justicepolicy.org/images/upload/06-11_rep_dangersofdetention_jj.pdf</w:t>
        </w:r>
      </w:hyperlink>
      <w:r>
        <w:rPr>
          <w:rFonts w:eastAsia="Calibri"/>
          <w:sz w:val="20"/>
          <w:szCs w:val="20"/>
        </w:rPr>
        <w:t xml:space="preserve">. </w:t>
      </w:r>
    </w:p>
  </w:footnote>
  <w:footnote w:id="8">
    <w:p w14:paraId="7F745558" w14:textId="77777777" w:rsidR="005A3C5B" w:rsidRPr="005F3659" w:rsidRDefault="005A3C5B" w:rsidP="005A3C5B">
      <w:pPr>
        <w:rPr>
          <w:rFonts w:eastAsia="Calibri"/>
          <w:sz w:val="20"/>
          <w:lang w:val="es-MX"/>
        </w:rPr>
      </w:pPr>
      <w:r w:rsidRPr="00D96CED">
        <w:rPr>
          <w:sz w:val="20"/>
          <w:szCs w:val="20"/>
          <w:vertAlign w:val="superscript"/>
        </w:rPr>
        <w:footnoteRef/>
      </w:r>
      <w:r w:rsidRPr="009C3BC5">
        <w:rPr>
          <w:rFonts w:eastAsia="Calibri"/>
          <w:sz w:val="20"/>
          <w:szCs w:val="20"/>
          <w:lang w:val="es-MX"/>
        </w:rPr>
        <w:t xml:space="preserve"> </w:t>
      </w:r>
      <w:proofErr w:type="spellStart"/>
      <w:r w:rsidRPr="009C3BC5">
        <w:rPr>
          <w:rFonts w:eastAsia="Calibri"/>
          <w:i/>
          <w:sz w:val="20"/>
          <w:szCs w:val="20"/>
          <w:lang w:val="es-MX"/>
        </w:rPr>
        <w:t>E.g</w:t>
      </w:r>
      <w:proofErr w:type="spellEnd"/>
      <w:r w:rsidRPr="009C3BC5">
        <w:rPr>
          <w:rFonts w:eastAsia="Calibri"/>
          <w:i/>
          <w:sz w:val="20"/>
          <w:szCs w:val="20"/>
          <w:lang w:val="es-MX"/>
        </w:rPr>
        <w:t>.</w:t>
      </w:r>
      <w:r w:rsidRPr="009C3BC5">
        <w:rPr>
          <w:rFonts w:eastAsia="Calibri"/>
          <w:sz w:val="20"/>
          <w:szCs w:val="20"/>
          <w:lang w:val="es-MX"/>
        </w:rPr>
        <w:t xml:space="preserve">, </w:t>
      </w:r>
      <w:r w:rsidRPr="003D0A00">
        <w:rPr>
          <w:i/>
          <w:sz w:val="20"/>
          <w:szCs w:val="20"/>
          <w:lang w:val="es-MX"/>
        </w:rPr>
        <w:t xml:space="preserve">Diagnóstico del Sistema de Justicia Para Adolescentes del Estado de Chihuahua: </w:t>
      </w:r>
      <w:r>
        <w:rPr>
          <w:i/>
          <w:sz w:val="20"/>
          <w:szCs w:val="20"/>
          <w:lang w:val="es-MX"/>
        </w:rPr>
        <w:t>“</w:t>
      </w:r>
      <w:r w:rsidRPr="003D0A00">
        <w:rPr>
          <w:i/>
          <w:sz w:val="20"/>
          <w:szCs w:val="20"/>
          <w:lang w:val="es-MX"/>
        </w:rPr>
        <w:t>Buenas Prácticas para las Alternativas a la Detención</w:t>
      </w:r>
      <w:r>
        <w:rPr>
          <w:i/>
          <w:sz w:val="20"/>
          <w:szCs w:val="20"/>
          <w:lang w:val="es-MX"/>
        </w:rPr>
        <w:t>”</w:t>
      </w:r>
      <w:r w:rsidRPr="00423E44">
        <w:rPr>
          <w:sz w:val="20"/>
          <w:szCs w:val="20"/>
          <w:lang w:val="es-MX"/>
        </w:rPr>
        <w:t xml:space="preserve">, </w:t>
      </w:r>
      <w:r>
        <w:rPr>
          <w:sz w:val="20"/>
          <w:szCs w:val="20"/>
          <w:lang w:val="es-MX"/>
        </w:rPr>
        <w:t>8–10</w:t>
      </w:r>
      <w:r w:rsidRPr="003D0A00">
        <w:rPr>
          <w:sz w:val="20"/>
          <w:szCs w:val="20"/>
          <w:lang w:val="es-MX"/>
        </w:rPr>
        <w:t xml:space="preserve">, </w:t>
      </w:r>
      <w:r w:rsidRPr="003D0A00">
        <w:rPr>
          <w:smallCaps/>
          <w:sz w:val="20"/>
          <w:szCs w:val="20"/>
          <w:lang w:val="es-MX"/>
        </w:rPr>
        <w:t xml:space="preserve">Justicia Juvenil </w:t>
      </w:r>
      <w:proofErr w:type="spellStart"/>
      <w:r w:rsidRPr="003D0A00">
        <w:rPr>
          <w:smallCaps/>
          <w:sz w:val="20"/>
          <w:szCs w:val="20"/>
          <w:lang w:val="es-MX"/>
        </w:rPr>
        <w:t>Int’l</w:t>
      </w:r>
      <w:proofErr w:type="spellEnd"/>
      <w:r w:rsidRPr="00423E44">
        <w:rPr>
          <w:sz w:val="20"/>
          <w:szCs w:val="20"/>
          <w:lang w:val="es-MX"/>
        </w:rPr>
        <w:t xml:space="preserve"> (Sept. 2017)</w:t>
      </w:r>
      <w:r>
        <w:rPr>
          <w:sz w:val="20"/>
          <w:szCs w:val="20"/>
          <w:lang w:val="es-MX"/>
        </w:rPr>
        <w:t xml:space="preserve"> </w:t>
      </w:r>
      <w:r w:rsidRPr="003D0A00">
        <w:rPr>
          <w:sz w:val="20"/>
          <w:szCs w:val="20"/>
          <w:lang w:val="es-MX"/>
        </w:rPr>
        <w:t>https://jjimexico.org/projects/chihuahua</w:t>
      </w:r>
      <w:r w:rsidRPr="003D0A00">
        <w:rPr>
          <w:color w:val="FF0000"/>
          <w:sz w:val="20"/>
          <w:szCs w:val="20"/>
          <w:lang w:val="es-MX"/>
        </w:rPr>
        <w:t xml:space="preserve"> </w:t>
      </w:r>
      <w:r w:rsidRPr="003D0A00">
        <w:rPr>
          <w:sz w:val="20"/>
          <w:szCs w:val="20"/>
          <w:lang w:val="es-MX"/>
        </w:rPr>
        <w:t>[</w:t>
      </w:r>
      <w:proofErr w:type="spellStart"/>
      <w:r w:rsidRPr="003D0A00">
        <w:rPr>
          <w:sz w:val="20"/>
          <w:szCs w:val="20"/>
          <w:lang w:val="es-MX"/>
        </w:rPr>
        <w:t>hereinafter</w:t>
      </w:r>
      <w:proofErr w:type="spellEnd"/>
      <w:r w:rsidRPr="003D0A00">
        <w:rPr>
          <w:sz w:val="20"/>
          <w:szCs w:val="20"/>
          <w:lang w:val="es-MX"/>
        </w:rPr>
        <w:t xml:space="preserve"> </w:t>
      </w:r>
      <w:r w:rsidRPr="003D0A00">
        <w:rPr>
          <w:i/>
          <w:sz w:val="20"/>
          <w:szCs w:val="20"/>
          <w:lang w:val="es-MX"/>
        </w:rPr>
        <w:t>Diagnóstico 2017</w:t>
      </w:r>
      <w:r w:rsidRPr="00965283">
        <w:rPr>
          <w:sz w:val="20"/>
          <w:szCs w:val="20"/>
          <w:lang w:val="es-MX"/>
        </w:rPr>
        <w:t>]</w:t>
      </w:r>
      <w:r>
        <w:rPr>
          <w:sz w:val="20"/>
          <w:szCs w:val="20"/>
          <w:lang w:val="es-MX"/>
        </w:rPr>
        <w:t>.</w:t>
      </w:r>
    </w:p>
  </w:footnote>
  <w:footnote w:id="9">
    <w:p w14:paraId="2CFAFD9E" w14:textId="77777777" w:rsidR="005A3C5B" w:rsidRPr="00BA721A" w:rsidRDefault="005A3C5B" w:rsidP="005A3C5B">
      <w:pPr>
        <w:pStyle w:val="FootnoteText"/>
      </w:pPr>
      <w:r>
        <w:rPr>
          <w:rStyle w:val="FootnoteReference"/>
        </w:rPr>
        <w:footnoteRef/>
      </w:r>
      <w:r>
        <w:rPr>
          <w:rStyle w:val="FootnoteReference"/>
        </w:rPr>
        <w:footnoteRef/>
      </w:r>
      <w:r>
        <w:rPr>
          <w:rStyle w:val="FootnoteReference"/>
        </w:rPr>
        <w:footnoteRef/>
      </w:r>
      <w:r>
        <w:t xml:space="preserve"> </w:t>
      </w:r>
      <w:r w:rsidRPr="00FF2B5D">
        <w:t xml:space="preserve">Additional methodological information available in </w:t>
      </w:r>
      <w:r>
        <w:rPr>
          <w:i/>
        </w:rPr>
        <w:t xml:space="preserve">Children in Pretrial Detention: Promoting Stronger International Time Limits, </w:t>
      </w:r>
      <w:proofErr w:type="spellStart"/>
      <w:r>
        <w:t>i</w:t>
      </w:r>
      <w:proofErr w:type="spellEnd"/>
      <w:r>
        <w:t>, May, 2018 (available at https:jjimexico.org/ptd-report/)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523"/>
    <w:multiLevelType w:val="hybridMultilevel"/>
    <w:tmpl w:val="0B925F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A4AE4"/>
    <w:multiLevelType w:val="hybridMultilevel"/>
    <w:tmpl w:val="B700E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93F10"/>
    <w:multiLevelType w:val="hybridMultilevel"/>
    <w:tmpl w:val="284C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11F32"/>
    <w:multiLevelType w:val="hybridMultilevel"/>
    <w:tmpl w:val="541AF446"/>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es-MX"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9F"/>
    <w:rsid w:val="00017344"/>
    <w:rsid w:val="00023377"/>
    <w:rsid w:val="0004237A"/>
    <w:rsid w:val="000439EF"/>
    <w:rsid w:val="00070887"/>
    <w:rsid w:val="00074A97"/>
    <w:rsid w:val="00080557"/>
    <w:rsid w:val="00081BC6"/>
    <w:rsid w:val="000839E8"/>
    <w:rsid w:val="0009231C"/>
    <w:rsid w:val="000A7F23"/>
    <w:rsid w:val="000C5787"/>
    <w:rsid w:val="000D0E3D"/>
    <w:rsid w:val="000D29F0"/>
    <w:rsid w:val="000D7B19"/>
    <w:rsid w:val="000F663B"/>
    <w:rsid w:val="0010587D"/>
    <w:rsid w:val="001070F0"/>
    <w:rsid w:val="001126AD"/>
    <w:rsid w:val="001154FB"/>
    <w:rsid w:val="00124049"/>
    <w:rsid w:val="00124712"/>
    <w:rsid w:val="00133585"/>
    <w:rsid w:val="00145D54"/>
    <w:rsid w:val="00187935"/>
    <w:rsid w:val="001D6F38"/>
    <w:rsid w:val="001D7398"/>
    <w:rsid w:val="00227752"/>
    <w:rsid w:val="00233860"/>
    <w:rsid w:val="00246CB8"/>
    <w:rsid w:val="002554AC"/>
    <w:rsid w:val="0026439D"/>
    <w:rsid w:val="002750DF"/>
    <w:rsid w:val="00280F28"/>
    <w:rsid w:val="00282C12"/>
    <w:rsid w:val="00293C6C"/>
    <w:rsid w:val="002B1B31"/>
    <w:rsid w:val="002C7E67"/>
    <w:rsid w:val="002D35DB"/>
    <w:rsid w:val="002D46F0"/>
    <w:rsid w:val="002E3C78"/>
    <w:rsid w:val="002F0742"/>
    <w:rsid w:val="003011B1"/>
    <w:rsid w:val="00311F09"/>
    <w:rsid w:val="003441F6"/>
    <w:rsid w:val="003518A3"/>
    <w:rsid w:val="00362B98"/>
    <w:rsid w:val="003655AD"/>
    <w:rsid w:val="00370116"/>
    <w:rsid w:val="003731F8"/>
    <w:rsid w:val="003A38C8"/>
    <w:rsid w:val="003E6463"/>
    <w:rsid w:val="003F2B2D"/>
    <w:rsid w:val="004013FD"/>
    <w:rsid w:val="0040770F"/>
    <w:rsid w:val="0041027E"/>
    <w:rsid w:val="00432D8F"/>
    <w:rsid w:val="004366B7"/>
    <w:rsid w:val="004473B6"/>
    <w:rsid w:val="00451C37"/>
    <w:rsid w:val="00465F81"/>
    <w:rsid w:val="0048217D"/>
    <w:rsid w:val="004B7709"/>
    <w:rsid w:val="004D4C1D"/>
    <w:rsid w:val="004E5BB8"/>
    <w:rsid w:val="004F6031"/>
    <w:rsid w:val="00500094"/>
    <w:rsid w:val="00522026"/>
    <w:rsid w:val="0053033E"/>
    <w:rsid w:val="00537903"/>
    <w:rsid w:val="00565097"/>
    <w:rsid w:val="005734C4"/>
    <w:rsid w:val="00577F68"/>
    <w:rsid w:val="00586701"/>
    <w:rsid w:val="0059677F"/>
    <w:rsid w:val="00596F14"/>
    <w:rsid w:val="005A1F7B"/>
    <w:rsid w:val="005A3C5B"/>
    <w:rsid w:val="005B4BED"/>
    <w:rsid w:val="005C26CE"/>
    <w:rsid w:val="005E44FF"/>
    <w:rsid w:val="005F55D1"/>
    <w:rsid w:val="00600AD1"/>
    <w:rsid w:val="0063520A"/>
    <w:rsid w:val="00642CD5"/>
    <w:rsid w:val="00646AB2"/>
    <w:rsid w:val="006A29E5"/>
    <w:rsid w:val="006B4EBD"/>
    <w:rsid w:val="006C5FD0"/>
    <w:rsid w:val="006C746C"/>
    <w:rsid w:val="006E4054"/>
    <w:rsid w:val="006E7FB1"/>
    <w:rsid w:val="0071236F"/>
    <w:rsid w:val="00724174"/>
    <w:rsid w:val="00733B1C"/>
    <w:rsid w:val="00741E43"/>
    <w:rsid w:val="007620E3"/>
    <w:rsid w:val="00763837"/>
    <w:rsid w:val="007641BC"/>
    <w:rsid w:val="00776DD2"/>
    <w:rsid w:val="00777C9C"/>
    <w:rsid w:val="007A215F"/>
    <w:rsid w:val="007A24B9"/>
    <w:rsid w:val="007A6769"/>
    <w:rsid w:val="007C53DA"/>
    <w:rsid w:val="007E531E"/>
    <w:rsid w:val="007E67BD"/>
    <w:rsid w:val="007F24A3"/>
    <w:rsid w:val="00812BC8"/>
    <w:rsid w:val="00833830"/>
    <w:rsid w:val="008D24CF"/>
    <w:rsid w:val="008D3AB9"/>
    <w:rsid w:val="008E30BA"/>
    <w:rsid w:val="0090460C"/>
    <w:rsid w:val="00911AA5"/>
    <w:rsid w:val="00931788"/>
    <w:rsid w:val="00954D87"/>
    <w:rsid w:val="00961B41"/>
    <w:rsid w:val="00963AFE"/>
    <w:rsid w:val="00974CB0"/>
    <w:rsid w:val="00997DC8"/>
    <w:rsid w:val="009C2FF5"/>
    <w:rsid w:val="009F6492"/>
    <w:rsid w:val="00A05483"/>
    <w:rsid w:val="00A226C6"/>
    <w:rsid w:val="00A261DD"/>
    <w:rsid w:val="00A37131"/>
    <w:rsid w:val="00A52751"/>
    <w:rsid w:val="00A56BDE"/>
    <w:rsid w:val="00A7714B"/>
    <w:rsid w:val="00A845B2"/>
    <w:rsid w:val="00AA5A24"/>
    <w:rsid w:val="00AA5B21"/>
    <w:rsid w:val="00AB1EBC"/>
    <w:rsid w:val="00AC6685"/>
    <w:rsid w:val="00AF302D"/>
    <w:rsid w:val="00AF7B5D"/>
    <w:rsid w:val="00B027EC"/>
    <w:rsid w:val="00B06ED2"/>
    <w:rsid w:val="00B14BBD"/>
    <w:rsid w:val="00B212A9"/>
    <w:rsid w:val="00B25EFE"/>
    <w:rsid w:val="00B51502"/>
    <w:rsid w:val="00B574D3"/>
    <w:rsid w:val="00B801CD"/>
    <w:rsid w:val="00B851CA"/>
    <w:rsid w:val="00B93968"/>
    <w:rsid w:val="00BA1144"/>
    <w:rsid w:val="00BA35E0"/>
    <w:rsid w:val="00BB2312"/>
    <w:rsid w:val="00BD65E0"/>
    <w:rsid w:val="00BE1A8C"/>
    <w:rsid w:val="00C004B4"/>
    <w:rsid w:val="00C02C07"/>
    <w:rsid w:val="00C02FAD"/>
    <w:rsid w:val="00C23A9F"/>
    <w:rsid w:val="00C55289"/>
    <w:rsid w:val="00C64282"/>
    <w:rsid w:val="00C66DDC"/>
    <w:rsid w:val="00C90F36"/>
    <w:rsid w:val="00CC58FC"/>
    <w:rsid w:val="00CD1B04"/>
    <w:rsid w:val="00CE37B4"/>
    <w:rsid w:val="00CF1660"/>
    <w:rsid w:val="00D03566"/>
    <w:rsid w:val="00D25EEF"/>
    <w:rsid w:val="00D661EB"/>
    <w:rsid w:val="00D81A3E"/>
    <w:rsid w:val="00D84228"/>
    <w:rsid w:val="00D93DC4"/>
    <w:rsid w:val="00DA48A6"/>
    <w:rsid w:val="00DB3330"/>
    <w:rsid w:val="00DB615B"/>
    <w:rsid w:val="00DD79E4"/>
    <w:rsid w:val="00DE4079"/>
    <w:rsid w:val="00DF34E8"/>
    <w:rsid w:val="00E2699D"/>
    <w:rsid w:val="00E26EB2"/>
    <w:rsid w:val="00E37886"/>
    <w:rsid w:val="00E50B97"/>
    <w:rsid w:val="00E5339D"/>
    <w:rsid w:val="00E55ACB"/>
    <w:rsid w:val="00E848A7"/>
    <w:rsid w:val="00E867A9"/>
    <w:rsid w:val="00EB7EA9"/>
    <w:rsid w:val="00EC40DC"/>
    <w:rsid w:val="00ED0EBB"/>
    <w:rsid w:val="00ED3635"/>
    <w:rsid w:val="00ED41D7"/>
    <w:rsid w:val="00ED47C9"/>
    <w:rsid w:val="00ED4E24"/>
    <w:rsid w:val="00F02D25"/>
    <w:rsid w:val="00F16589"/>
    <w:rsid w:val="00F322CC"/>
    <w:rsid w:val="00F67BFD"/>
    <w:rsid w:val="00F845A0"/>
    <w:rsid w:val="00F84A67"/>
    <w:rsid w:val="00F9046C"/>
    <w:rsid w:val="00F94EB5"/>
    <w:rsid w:val="00FA14D0"/>
    <w:rsid w:val="00FE1524"/>
    <w:rsid w:val="00FF3ED2"/>
    <w:rsid w:val="00FF7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33921C"/>
  <w14:defaultImageDpi w14:val="300"/>
  <w15:docId w15:val="{89BC809E-F803-4AA6-8331-CA40A7B8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3A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A9F"/>
    <w:rPr>
      <w:rFonts w:ascii="Lucida Grande" w:hAnsi="Lucida Grande" w:cs="Lucida Grande"/>
      <w:sz w:val="18"/>
      <w:szCs w:val="18"/>
    </w:rPr>
  </w:style>
  <w:style w:type="paragraph" w:styleId="ListParagraph">
    <w:name w:val="List Paragraph"/>
    <w:basedOn w:val="Normal"/>
    <w:uiPriority w:val="34"/>
    <w:qFormat/>
    <w:rsid w:val="007641BC"/>
    <w:pPr>
      <w:spacing w:after="160" w:line="259" w:lineRule="auto"/>
      <w:ind w:left="720"/>
      <w:contextualSpacing/>
    </w:pPr>
    <w:rPr>
      <w:rFonts w:eastAsiaTheme="minorHAnsi"/>
      <w:sz w:val="22"/>
      <w:szCs w:val="22"/>
      <w:lang w:val="es-MX"/>
    </w:rPr>
  </w:style>
  <w:style w:type="character" w:styleId="CommentReference">
    <w:name w:val="annotation reference"/>
    <w:basedOn w:val="DefaultParagraphFont"/>
    <w:uiPriority w:val="99"/>
    <w:semiHidden/>
    <w:unhideWhenUsed/>
    <w:rsid w:val="0090460C"/>
    <w:rPr>
      <w:sz w:val="18"/>
      <w:szCs w:val="18"/>
    </w:rPr>
  </w:style>
  <w:style w:type="paragraph" w:styleId="CommentText">
    <w:name w:val="annotation text"/>
    <w:basedOn w:val="Normal"/>
    <w:link w:val="CommentTextChar"/>
    <w:uiPriority w:val="99"/>
    <w:semiHidden/>
    <w:unhideWhenUsed/>
    <w:rsid w:val="0090460C"/>
  </w:style>
  <w:style w:type="character" w:customStyle="1" w:styleId="CommentTextChar">
    <w:name w:val="Comment Text Char"/>
    <w:basedOn w:val="DefaultParagraphFont"/>
    <w:link w:val="CommentText"/>
    <w:uiPriority w:val="99"/>
    <w:semiHidden/>
    <w:rsid w:val="0090460C"/>
  </w:style>
  <w:style w:type="paragraph" w:styleId="CommentSubject">
    <w:name w:val="annotation subject"/>
    <w:basedOn w:val="CommentText"/>
    <w:next w:val="CommentText"/>
    <w:link w:val="CommentSubjectChar"/>
    <w:uiPriority w:val="99"/>
    <w:semiHidden/>
    <w:unhideWhenUsed/>
    <w:rsid w:val="0090460C"/>
    <w:rPr>
      <w:b/>
      <w:bCs/>
      <w:sz w:val="20"/>
      <w:szCs w:val="20"/>
    </w:rPr>
  </w:style>
  <w:style w:type="character" w:customStyle="1" w:styleId="CommentSubjectChar">
    <w:name w:val="Comment Subject Char"/>
    <w:basedOn w:val="CommentTextChar"/>
    <w:link w:val="CommentSubject"/>
    <w:uiPriority w:val="99"/>
    <w:semiHidden/>
    <w:rsid w:val="0090460C"/>
    <w:rPr>
      <w:b/>
      <w:bCs/>
      <w:sz w:val="20"/>
      <w:szCs w:val="20"/>
    </w:rPr>
  </w:style>
  <w:style w:type="paragraph" w:styleId="FootnoteText">
    <w:name w:val="footnote text"/>
    <w:basedOn w:val="Normal"/>
    <w:link w:val="FootnoteTextChar"/>
    <w:uiPriority w:val="99"/>
    <w:unhideWhenUsed/>
    <w:rsid w:val="005A3C5B"/>
    <w:pPr>
      <w:pBdr>
        <w:top w:val="nil"/>
        <w:left w:val="nil"/>
        <w:bottom w:val="nil"/>
        <w:right w:val="nil"/>
        <w:between w:val="nil"/>
      </w:pBdr>
      <w:jc w:val="both"/>
    </w:pPr>
    <w:rPr>
      <w:rFonts w:ascii="Times New Roman" w:eastAsia="Times New Roman" w:hAnsi="Times New Roman" w:cs="Times New Roman"/>
      <w:color w:val="000000"/>
      <w:sz w:val="20"/>
      <w:szCs w:val="20"/>
    </w:rPr>
  </w:style>
  <w:style w:type="character" w:customStyle="1" w:styleId="FootnoteTextChar">
    <w:name w:val="Footnote Text Char"/>
    <w:basedOn w:val="DefaultParagraphFont"/>
    <w:link w:val="FootnoteText"/>
    <w:uiPriority w:val="99"/>
    <w:rsid w:val="005A3C5B"/>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unhideWhenUsed/>
    <w:rsid w:val="005A3C5B"/>
    <w:rPr>
      <w:vertAlign w:val="superscript"/>
    </w:rPr>
  </w:style>
  <w:style w:type="character" w:styleId="Hyperlink">
    <w:name w:val="Hyperlink"/>
    <w:basedOn w:val="DefaultParagraphFont"/>
    <w:uiPriority w:val="99"/>
    <w:unhideWhenUsed/>
    <w:rsid w:val="005A3C5B"/>
    <w:rPr>
      <w:color w:val="auto"/>
      <w:u w:val="single"/>
    </w:rPr>
  </w:style>
  <w:style w:type="character" w:customStyle="1" w:styleId="UnresolvedMention">
    <w:name w:val="Unresolved Mention"/>
    <w:basedOn w:val="DefaultParagraphFont"/>
    <w:uiPriority w:val="99"/>
    <w:semiHidden/>
    <w:unhideWhenUsed/>
    <w:rsid w:val="009C2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89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jimexico.org/ptd-report/" TargetMode="Externa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www.justicepolicy.org/images/upload/06-11_rep_dangersofdetention_jj.pdf" TargetMode="External"/><Relationship Id="rId1" Type="http://schemas.openxmlformats.org/officeDocument/2006/relationships/hyperlink" Target="https://www.opensocietyfoundations.org/sites/default/files/pretrial-detention-and-torture-0622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B3C51BB8F9654FB8068485B2E4975B" ma:contentTypeVersion="0" ma:contentTypeDescription="Create a new document." ma:contentTypeScope="" ma:versionID="206f813e781c3185db98dc98d80fd2c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D867A9-D65E-4B71-95C4-69F89CF18DAB}">
  <ds:schemaRefs>
    <ds:schemaRef ds:uri="http://schemas.openxmlformats.org/officeDocument/2006/bibliography"/>
  </ds:schemaRefs>
</ds:datastoreItem>
</file>

<file path=customXml/itemProps2.xml><?xml version="1.0" encoding="utf-8"?>
<ds:datastoreItem xmlns:ds="http://schemas.openxmlformats.org/officeDocument/2006/customXml" ds:itemID="{33F8EBC1-7A3B-4A20-A2B7-12048EC69093}"/>
</file>

<file path=customXml/itemProps3.xml><?xml version="1.0" encoding="utf-8"?>
<ds:datastoreItem xmlns:ds="http://schemas.openxmlformats.org/officeDocument/2006/customXml" ds:itemID="{C59170DF-0472-4849-8C47-B504242721E4}"/>
</file>

<file path=customXml/itemProps4.xml><?xml version="1.0" encoding="utf-8"?>
<ds:datastoreItem xmlns:ds="http://schemas.openxmlformats.org/officeDocument/2006/customXml" ds:itemID="{6DE81B0D-557A-4B39-90BB-EB12863AA467}"/>
</file>

<file path=docProps/app.xml><?xml version="1.0" encoding="utf-8"?>
<Properties xmlns="http://schemas.openxmlformats.org/officeDocument/2006/extended-properties" xmlns:vt="http://schemas.openxmlformats.org/officeDocument/2006/docPropsVTypes">
  <Template>Normal.dotm</Template>
  <TotalTime>1</TotalTime>
  <Pages>6</Pages>
  <Words>1848</Words>
  <Characters>10539</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ITESM</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Sarahi Garcia</dc:creator>
  <cp:keywords/>
  <dc:description/>
  <cp:lastModifiedBy>D'ANIELLO Denise</cp:lastModifiedBy>
  <cp:revision>2</cp:revision>
  <dcterms:created xsi:type="dcterms:W3CDTF">2020-02-19T08:25:00Z</dcterms:created>
  <dcterms:modified xsi:type="dcterms:W3CDTF">2020-02-19T08:25:00Z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0x01010022B3C51BB8F9654FB8068485B2E4975B</vt:lpwstr>
  </property>
</Properties>
</file>