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6C" w:rsidRDefault="00EC616C">
      <w:pPr>
        <w:widowControl w:val="0"/>
      </w:pPr>
      <w:bookmarkStart w:id="0" w:name="_GoBack"/>
      <w:bookmarkEnd w:id="0"/>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1"/>
        <w:gridCol w:w="4315"/>
      </w:tblGrid>
      <w:tr w:rsidR="00EC616C">
        <w:tc>
          <w:tcPr>
            <w:tcW w:w="4541" w:type="dxa"/>
          </w:tcPr>
          <w:p w:rsidR="00EC616C" w:rsidRDefault="00552E7E">
            <w:pPr>
              <w:spacing w:line="240" w:lineRule="auto"/>
              <w:rPr>
                <w:rFonts w:ascii="Times New Roman" w:eastAsia="Times New Roman" w:hAnsi="Times New Roman" w:cs="Times New Roman"/>
                <w:sz w:val="24"/>
                <w:szCs w:val="24"/>
              </w:rPr>
            </w:pPr>
            <w:r>
              <w:rPr>
                <w:noProof/>
                <w:lang w:val="en-GB"/>
              </w:rPr>
              <w:drawing>
                <wp:anchor distT="0" distB="0" distL="114300" distR="114300" simplePos="0" relativeHeight="251658240" behindDoc="0" locked="0" layoutInCell="1" hidden="0" allowOverlap="1">
                  <wp:simplePos x="0" y="0"/>
                  <wp:positionH relativeFrom="column">
                    <wp:posOffset>895350</wp:posOffset>
                  </wp:positionH>
                  <wp:positionV relativeFrom="paragraph">
                    <wp:posOffset>9525</wp:posOffset>
                  </wp:positionV>
                  <wp:extent cx="898525" cy="88709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98525" cy="887095"/>
                          </a:xfrm>
                          <a:prstGeom prst="rect">
                            <a:avLst/>
                          </a:prstGeom>
                          <a:ln/>
                        </pic:spPr>
                      </pic:pic>
                    </a:graphicData>
                  </a:graphic>
                </wp:anchor>
              </w:drawing>
            </w: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tc>
        <w:tc>
          <w:tcPr>
            <w:tcW w:w="4315" w:type="dxa"/>
          </w:tcPr>
          <w:p w:rsidR="00EC616C" w:rsidRDefault="00552E7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CRC (90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w:t>
            </w:r>
          </w:p>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name: Cuba</w:t>
            </w:r>
          </w:p>
          <w:p w:rsidR="00EC616C" w:rsidRDefault="00EC616C">
            <w:pPr>
              <w:spacing w:line="240" w:lineRule="auto"/>
              <w:rPr>
                <w:rFonts w:ascii="Times New Roman" w:eastAsia="Times New Roman" w:hAnsi="Times New Roman" w:cs="Times New Roman"/>
                <w:sz w:val="24"/>
                <w:szCs w:val="24"/>
              </w:rPr>
            </w:pPr>
          </w:p>
        </w:tc>
      </w:tr>
      <w:tr w:rsidR="00EC616C">
        <w:tc>
          <w:tcPr>
            <w:tcW w:w="8856" w:type="dxa"/>
            <w:gridSpan w:val="2"/>
          </w:tcPr>
          <w:p w:rsidR="00EC616C" w:rsidRDefault="00EC616C">
            <w:pPr>
              <w:spacing w:line="240" w:lineRule="auto"/>
              <w:jc w:val="both"/>
              <w:rPr>
                <w:rFonts w:ascii="Times New Roman" w:eastAsia="Times New Roman" w:hAnsi="Times New Roman" w:cs="Times New Roman"/>
                <w:color w:val="222222"/>
                <w:sz w:val="24"/>
                <w:szCs w:val="24"/>
                <w:highlight w:val="white"/>
              </w:rPr>
            </w:pPr>
          </w:p>
          <w:p w:rsidR="00EC616C" w:rsidRDefault="00552E7E">
            <w:pPr>
              <w:spacing w:line="24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Appropriate pretrial detention times for children</w:t>
            </w:r>
          </w:p>
          <w:p w:rsidR="00EC616C" w:rsidRDefault="00EC616C">
            <w:pPr>
              <w:spacing w:line="240" w:lineRule="auto"/>
              <w:jc w:val="both"/>
              <w:rPr>
                <w:rFonts w:ascii="Times New Roman" w:eastAsia="Times New Roman" w:hAnsi="Times New Roman" w:cs="Times New Roman"/>
                <w:color w:val="222222"/>
                <w:sz w:val="24"/>
                <w:szCs w:val="24"/>
                <w:highlight w:val="white"/>
              </w:rPr>
            </w:pPr>
          </w:p>
          <w:p w:rsidR="00EC616C" w:rsidRDefault="00552E7E">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Cluster of rights:</w:t>
            </w:r>
          </w:p>
          <w:p w:rsidR="00EC616C" w:rsidRDefault="00EC616C">
            <w:pPr>
              <w:spacing w:line="240" w:lineRule="auto"/>
              <w:jc w:val="both"/>
              <w:rPr>
                <w:rFonts w:ascii="Times New Roman" w:eastAsia="Times New Roman" w:hAnsi="Times New Roman" w:cs="Times New Roman"/>
                <w:color w:val="222222"/>
                <w:sz w:val="24"/>
                <w:szCs w:val="24"/>
                <w:highlight w:val="white"/>
              </w:rPr>
            </w:pPr>
          </w:p>
          <w:p w:rsidR="00EC616C" w:rsidRDefault="00552E7E">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Right to lawful deprivation of liberty</w:t>
            </w:r>
          </w:p>
          <w:p w:rsidR="00EC616C" w:rsidRDefault="00552E7E">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Right to speedy trial and brevity of pretrial detention</w:t>
            </w:r>
          </w:p>
          <w:p w:rsidR="00EC616C" w:rsidRDefault="00552E7E">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Convention on the Rights of the Child Article 37(b </w:t>
            </w:r>
          </w:p>
          <w:p w:rsidR="00EC616C" w:rsidRDefault="00552E7E">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Convention Against Torture Article 2</w:t>
            </w:r>
          </w:p>
          <w:p w:rsidR="00EC616C" w:rsidRDefault="00EC616C">
            <w:pPr>
              <w:spacing w:line="240" w:lineRule="auto"/>
              <w:jc w:val="both"/>
              <w:rPr>
                <w:rFonts w:ascii="Times New Roman" w:eastAsia="Times New Roman" w:hAnsi="Times New Roman" w:cs="Times New Roman"/>
                <w:color w:val="222222"/>
                <w:sz w:val="24"/>
                <w:szCs w:val="24"/>
                <w:highlight w:val="white"/>
              </w:rPr>
            </w:pPr>
          </w:p>
          <w:p w:rsidR="00EC616C" w:rsidRDefault="00552E7E">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Areas of concern:</w:t>
            </w:r>
          </w:p>
          <w:p w:rsidR="00EC616C" w:rsidRDefault="00EC616C">
            <w:pPr>
              <w:spacing w:line="240" w:lineRule="auto"/>
              <w:jc w:val="both"/>
              <w:rPr>
                <w:rFonts w:ascii="Times New Roman" w:eastAsia="Times New Roman" w:hAnsi="Times New Roman" w:cs="Times New Roman"/>
                <w:color w:val="222222"/>
                <w:sz w:val="24"/>
                <w:szCs w:val="24"/>
                <w:highlight w:val="white"/>
              </w:rPr>
            </w:pPr>
          </w:p>
          <w:p w:rsidR="00EC616C" w:rsidRDefault="00552E7E">
            <w:pPr>
              <w:spacing w:line="24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The international human rights community needs to adopt stricter time limits for children in pretrial detention. International law strictly limits the circumstances in which children can be placed in detention while awaiting trial or while under investigat</w:t>
            </w:r>
            <w:r>
              <w:rPr>
                <w:rFonts w:ascii="Times New Roman" w:eastAsia="Times New Roman" w:hAnsi="Times New Roman" w:cs="Times New Roman"/>
                <w:sz w:val="24"/>
                <w:szCs w:val="24"/>
              </w:rPr>
              <w:t>ion pre-charge. Pretrial detention should only be used in exceptional circumstances, where it is necessary to ensure the child’s appearance at the court proceedings, or where the child is an immediate danger to himself/herself or others.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Pretrial detentio</w:t>
            </w:r>
            <w:r>
              <w:rPr>
                <w:rFonts w:ascii="Times New Roman" w:eastAsia="Times New Roman" w:hAnsi="Times New Roman" w:cs="Times New Roman"/>
                <w:sz w:val="24"/>
                <w:szCs w:val="24"/>
              </w:rPr>
              <w:t>n is only permitted as a measure of last resort and for “</w:t>
            </w:r>
            <w:r>
              <w:rPr>
                <w:rFonts w:ascii="Times New Roman" w:eastAsia="Times New Roman" w:hAnsi="Times New Roman" w:cs="Times New Roman"/>
                <w:i/>
                <w:sz w:val="24"/>
                <w:szCs w:val="24"/>
              </w:rPr>
              <w:t>the shortest appropriate period of time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However, there is no clarity around what is meant by an “</w:t>
            </w:r>
            <w:r>
              <w:rPr>
                <w:rFonts w:ascii="Times New Roman" w:eastAsia="Times New Roman" w:hAnsi="Times New Roman" w:cs="Times New Roman"/>
                <w:i/>
                <w:sz w:val="24"/>
                <w:szCs w:val="24"/>
              </w:rPr>
              <w:t>appropriate period of time</w:t>
            </w:r>
            <w:r>
              <w:rPr>
                <w:rFonts w:ascii="Times New Roman" w:eastAsia="Times New Roman" w:hAnsi="Times New Roman" w:cs="Times New Roman"/>
                <w:sz w:val="24"/>
                <w:szCs w:val="24"/>
              </w:rPr>
              <w:t>.” The Committee on the Rights of the Child, in General Comment 10, recom</w:t>
            </w:r>
            <w:r>
              <w:rPr>
                <w:rFonts w:ascii="Times New Roman" w:eastAsia="Times New Roman" w:hAnsi="Times New Roman" w:cs="Times New Roman"/>
                <w:sz w:val="24"/>
                <w:szCs w:val="24"/>
              </w:rPr>
              <w:t>mended that children who are detained should be formally charged within 30 days and once charged, that a final decision should be made by the court within six months.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Committee additionally recommended that any such detention should be reviewed regula</w:t>
            </w:r>
            <w:r>
              <w:rPr>
                <w:rFonts w:ascii="Times New Roman" w:eastAsia="Times New Roman" w:hAnsi="Times New Roman" w:cs="Times New Roman"/>
                <w:sz w:val="24"/>
                <w:szCs w:val="24"/>
              </w:rPr>
              <w:t>rly by a competent body</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These recommendations can and should be strengthened.</w:t>
            </w:r>
          </w:p>
          <w:p w:rsidR="00EC616C" w:rsidRDefault="00EC616C">
            <w:pPr>
              <w:spacing w:line="240" w:lineRule="auto"/>
              <w:jc w:val="both"/>
              <w:rPr>
                <w:rFonts w:ascii="Times New Roman" w:eastAsia="Times New Roman" w:hAnsi="Times New Roman" w:cs="Times New Roman"/>
                <w:sz w:val="24"/>
                <w:szCs w:val="24"/>
              </w:rPr>
            </w:pPr>
          </w:p>
          <w:p w:rsidR="00EC616C" w:rsidRDefault="00552E7E">
            <w:pPr>
              <w:spacing w:line="240" w:lineRule="auto"/>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Defendants in pretrial detention are more likely to be abused, mistreated and tortured,</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and children are particularly vulnerable. In many countries, the lack of adequate facil</w:t>
            </w:r>
            <w:r>
              <w:rPr>
                <w:rFonts w:ascii="Times New Roman" w:eastAsia="Times New Roman" w:hAnsi="Times New Roman" w:cs="Times New Roman"/>
                <w:sz w:val="24"/>
                <w:szCs w:val="24"/>
              </w:rPr>
              <w:t xml:space="preserve">ities, food and sanitation, insufficient access to education and training, and compromised contact with family and friends makes even short periods of time in pretrial detention traumatic for </w:t>
            </w:r>
            <w:r>
              <w:rPr>
                <w:rFonts w:ascii="Times New Roman" w:eastAsia="Times New Roman" w:hAnsi="Times New Roman" w:cs="Times New Roman"/>
                <w:sz w:val="24"/>
                <w:szCs w:val="24"/>
              </w:rPr>
              <w:lastRenderedPageBreak/>
              <w:t>children. Detention has been shown to significantly increase the</w:t>
            </w:r>
            <w:r>
              <w:rPr>
                <w:rFonts w:ascii="Times New Roman" w:eastAsia="Times New Roman" w:hAnsi="Times New Roman" w:cs="Times New Roman"/>
                <w:sz w:val="24"/>
                <w:szCs w:val="24"/>
              </w:rPr>
              <w:t xml:space="preserve"> risk of depression, suicide, school drop-out, and drug use among children.</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Research shows that children’s sense of time is significantly different than adults, making even short periods of detention particularly harmful.</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Unfortunately, in many countries</w:t>
            </w:r>
            <w:r>
              <w:rPr>
                <w:rFonts w:ascii="Times New Roman" w:eastAsia="Times New Roman" w:hAnsi="Times New Roman" w:cs="Times New Roman"/>
                <w:sz w:val="24"/>
                <w:szCs w:val="24"/>
              </w:rPr>
              <w:t xml:space="preserve"> the majority of children in detention are awaiting trial and may spend months or years behind bars before having their cases resolved. As a result, it is critical that children’s rights organizations advocate for significant reductions in the use of pretr</w:t>
            </w:r>
            <w:r>
              <w:rPr>
                <w:rFonts w:ascii="Times New Roman" w:eastAsia="Times New Roman" w:hAnsi="Times New Roman" w:cs="Times New Roman"/>
                <w:sz w:val="24"/>
                <w:szCs w:val="24"/>
              </w:rPr>
              <w:t xml:space="preserve">ial detention as well as speedier trials in order to reduce the duration of pretrial detention. </w:t>
            </w:r>
          </w:p>
          <w:p w:rsidR="00EC616C" w:rsidRDefault="00EC616C">
            <w:pPr>
              <w:spacing w:line="240" w:lineRule="auto"/>
              <w:jc w:val="both"/>
              <w:rPr>
                <w:rFonts w:ascii="Times New Roman" w:eastAsia="Times New Roman" w:hAnsi="Times New Roman" w:cs="Times New Roman"/>
                <w:sz w:val="24"/>
                <w:szCs w:val="24"/>
              </w:rPr>
            </w:pPr>
          </w:p>
          <w:p w:rsidR="00EC616C" w:rsidRDefault="00552E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2018 report “Children in Pretrial Detention: Promoting Stronger International Time Limits” is the first study of how long countries allow children to be d</w:t>
            </w:r>
            <w:r>
              <w:rPr>
                <w:rFonts w:ascii="Times New Roman" w:eastAsia="Times New Roman" w:hAnsi="Times New Roman" w:cs="Times New Roman"/>
                <w:sz w:val="24"/>
                <w:szCs w:val="24"/>
              </w:rPr>
              <w:t>etained awaiting trial. Looking at the legal limits in 118 countries, the report found that 26% of countries have no time limit and 40% of countries allow exceptions to their time limit, risking indefinite detention. However, the length of time that childr</w:t>
            </w:r>
            <w:r>
              <w:rPr>
                <w:rFonts w:ascii="Times New Roman" w:eastAsia="Times New Roman" w:hAnsi="Times New Roman" w:cs="Times New Roman"/>
                <w:sz w:val="24"/>
                <w:szCs w:val="24"/>
              </w:rPr>
              <w:t xml:space="preserve">en actually spend in detention awaiting trial is data that countries have not be collecting or reporting. </w:t>
            </w:r>
          </w:p>
          <w:p w:rsidR="00EC616C" w:rsidRDefault="00EC616C">
            <w:pPr>
              <w:spacing w:line="240" w:lineRule="auto"/>
              <w:jc w:val="both"/>
              <w:rPr>
                <w:rFonts w:ascii="Times New Roman" w:eastAsia="Times New Roman" w:hAnsi="Times New Roman" w:cs="Times New Roman"/>
                <w:sz w:val="24"/>
                <w:szCs w:val="24"/>
              </w:rPr>
            </w:pPr>
          </w:p>
          <w:p w:rsidR="00EC616C" w:rsidRDefault="00552E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Criminal justice procedures for children vary widely throughout the world, and it appears that international and regional human rights bodies have, </w:t>
            </w:r>
            <w:r>
              <w:rPr>
                <w:rFonts w:ascii="Times New Roman" w:eastAsia="Times New Roman" w:hAnsi="Times New Roman" w:cs="Times New Roman"/>
                <w:sz w:val="24"/>
                <w:szCs w:val="24"/>
              </w:rPr>
              <w:t>to date, been reticent to prescribe what constitutes the “</w:t>
            </w:r>
            <w:r>
              <w:rPr>
                <w:rFonts w:ascii="Times New Roman" w:eastAsia="Times New Roman" w:hAnsi="Times New Roman" w:cs="Times New Roman"/>
                <w:i/>
                <w:sz w:val="24"/>
                <w:szCs w:val="24"/>
              </w:rPr>
              <w:t>shortest appropriate time</w:t>
            </w:r>
            <w:r>
              <w:rPr>
                <w:rFonts w:ascii="Times New Roman" w:eastAsia="Times New Roman" w:hAnsi="Times New Roman" w:cs="Times New Roman"/>
                <w:sz w:val="24"/>
                <w:szCs w:val="24"/>
              </w:rPr>
              <w:t>” for pretrial detention for children. Clarification is desperately needed since children in many countries are suffering irreversible harm from spending excessive periods o</w:t>
            </w:r>
            <w:r>
              <w:rPr>
                <w:rFonts w:ascii="Times New Roman" w:eastAsia="Times New Roman" w:hAnsi="Times New Roman" w:cs="Times New Roman"/>
                <w:sz w:val="24"/>
                <w:szCs w:val="24"/>
              </w:rPr>
              <w:t xml:space="preserve">f time in pretrial detention. Even in jurisdictions that have successfully implemented alternatives to detention, children still spend months or years in pretrial detention, often longer than any sentence they might receive on conviction. It is reportedly </w:t>
            </w:r>
            <w:r>
              <w:rPr>
                <w:rFonts w:ascii="Times New Roman" w:eastAsia="Times New Roman" w:hAnsi="Times New Roman" w:cs="Times New Roman"/>
                <w:sz w:val="24"/>
                <w:szCs w:val="24"/>
              </w:rPr>
              <w:t>common for children to receive conditional release or diversion after months of pretrial detention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This means that the most significant time spent deprived of liberty is while awaiting trial, when children are ostensibly presumed innocent. </w:t>
            </w:r>
          </w:p>
          <w:p w:rsidR="00EC616C" w:rsidRDefault="00EC616C">
            <w:pPr>
              <w:spacing w:line="240" w:lineRule="auto"/>
              <w:jc w:val="both"/>
              <w:rPr>
                <w:rFonts w:ascii="Times New Roman" w:eastAsia="Times New Roman" w:hAnsi="Times New Roman" w:cs="Times New Roman"/>
                <w:sz w:val="24"/>
                <w:szCs w:val="24"/>
              </w:rPr>
            </w:pPr>
          </w:p>
          <w:p w:rsidR="00EC616C" w:rsidRDefault="00552E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Children</w:t>
            </w:r>
            <w:r>
              <w:rPr>
                <w:rFonts w:ascii="Times New Roman" w:eastAsia="Times New Roman" w:hAnsi="Times New Roman" w:cs="Times New Roman"/>
                <w:i/>
                <w:sz w:val="24"/>
                <w:szCs w:val="24"/>
              </w:rPr>
              <w:t xml:space="preserve"> in Pretrial Detention: Promoting Stronger International Time Limits</w:t>
            </w:r>
            <w:r>
              <w:rPr>
                <w:rFonts w:ascii="Times New Roman" w:eastAsia="Times New Roman" w:hAnsi="Times New Roman" w:cs="Times New Roman"/>
                <w:sz w:val="24"/>
                <w:szCs w:val="24"/>
              </w:rPr>
              <w:t xml:space="preserve"> report serves as a baseline for the committee to expand on country practices regarding times of pretrial detention of children. </w:t>
            </w: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bookmarkStart w:id="3" w:name="_1fob9te" w:colFirst="0" w:colLast="0"/>
            <w:bookmarkEnd w:id="3"/>
          </w:p>
          <w:p w:rsidR="00EC616C" w:rsidRDefault="00EC616C">
            <w:pPr>
              <w:spacing w:line="240" w:lineRule="auto"/>
              <w:jc w:val="both"/>
              <w:rPr>
                <w:rFonts w:ascii="Times New Roman" w:eastAsia="Times New Roman" w:hAnsi="Times New Roman" w:cs="Times New Roman"/>
                <w:color w:val="222222"/>
                <w:sz w:val="24"/>
                <w:szCs w:val="24"/>
                <w:highlight w:val="white"/>
              </w:rPr>
            </w:pPr>
          </w:p>
          <w:p w:rsidR="00EC616C" w:rsidRDefault="00552E7E">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Methodology:</w:t>
            </w:r>
          </w:p>
          <w:p w:rsidR="00EC616C" w:rsidRDefault="00EC616C">
            <w:pPr>
              <w:spacing w:line="240" w:lineRule="auto"/>
              <w:jc w:val="both"/>
              <w:rPr>
                <w:rFonts w:ascii="Times New Roman" w:eastAsia="Times New Roman" w:hAnsi="Times New Roman" w:cs="Times New Roman"/>
                <w:color w:val="222222"/>
                <w:sz w:val="24"/>
                <w:szCs w:val="24"/>
                <w:highlight w:val="white"/>
              </w:rPr>
            </w:pPr>
          </w:p>
          <w:p w:rsidR="00EC616C" w:rsidRDefault="00552E7E">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This alternative report is based on the </w:t>
            </w:r>
            <w:r>
              <w:rPr>
                <w:rFonts w:ascii="Times New Roman" w:eastAsia="Times New Roman" w:hAnsi="Times New Roman" w:cs="Times New Roman"/>
                <w:i/>
                <w:color w:val="222222"/>
                <w:sz w:val="24"/>
                <w:szCs w:val="24"/>
                <w:highlight w:val="white"/>
              </w:rPr>
              <w:t>C</w:t>
            </w:r>
            <w:r>
              <w:rPr>
                <w:rFonts w:ascii="Times New Roman" w:eastAsia="Times New Roman" w:hAnsi="Times New Roman" w:cs="Times New Roman"/>
                <w:i/>
                <w:color w:val="222222"/>
                <w:sz w:val="24"/>
                <w:szCs w:val="24"/>
                <w:highlight w:val="white"/>
              </w:rPr>
              <w:t xml:space="preserve">hildren in Pretrial Detention </w:t>
            </w:r>
            <w:r>
              <w:rPr>
                <w:rFonts w:ascii="Times New Roman" w:eastAsia="Times New Roman" w:hAnsi="Times New Roman" w:cs="Times New Roman"/>
                <w:color w:val="222222"/>
                <w:sz w:val="24"/>
                <w:szCs w:val="24"/>
                <w:highlight w:val="white"/>
              </w:rPr>
              <w:t xml:space="preserve">report on pretrial detention times of 119 CRC State parties. Such report was conducted by reviewing the </w:t>
            </w:r>
            <w:r>
              <w:rPr>
                <w:rFonts w:ascii="Times New Roman" w:eastAsia="Times New Roman" w:hAnsi="Times New Roman" w:cs="Times New Roman"/>
                <w:color w:val="222222"/>
                <w:sz w:val="24"/>
                <w:szCs w:val="24"/>
                <w:highlight w:val="white"/>
              </w:rPr>
              <w:lastRenderedPageBreak/>
              <w:t>respective current statutes or court rules in force at the time that the data was collected. When the actual statute or co</w:t>
            </w:r>
            <w:r>
              <w:rPr>
                <w:rFonts w:ascii="Times New Roman" w:eastAsia="Times New Roman" w:hAnsi="Times New Roman" w:cs="Times New Roman"/>
                <w:color w:val="222222"/>
                <w:sz w:val="24"/>
                <w:szCs w:val="24"/>
                <w:highlight w:val="white"/>
              </w:rPr>
              <w:t>urt rule could not be directly examined, when unavailable, secondary sources such as UN reports, Concluding Observations from the CRC Committee, or other IGO or NGO reports, were used to determine the content of the statute.</w:t>
            </w:r>
          </w:p>
          <w:p w:rsidR="00EC616C" w:rsidRDefault="00EC616C">
            <w:pPr>
              <w:spacing w:line="240" w:lineRule="auto"/>
              <w:jc w:val="both"/>
              <w:rPr>
                <w:rFonts w:ascii="Times New Roman" w:eastAsia="Times New Roman" w:hAnsi="Times New Roman" w:cs="Times New Roman"/>
                <w:color w:val="222222"/>
                <w:sz w:val="24"/>
                <w:szCs w:val="24"/>
                <w:highlight w:val="white"/>
              </w:rPr>
            </w:pPr>
          </w:p>
          <w:p w:rsidR="00EC616C" w:rsidRDefault="00552E7E">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defining the statutory time</w:t>
            </w:r>
            <w:r>
              <w:rPr>
                <w:rFonts w:ascii="Times New Roman" w:eastAsia="Times New Roman" w:hAnsi="Times New Roman" w:cs="Times New Roman"/>
                <w:color w:val="222222"/>
                <w:sz w:val="24"/>
                <w:szCs w:val="24"/>
                <w:highlight w:val="white"/>
              </w:rPr>
              <w:t xml:space="preserve"> period of pretrial detention, when possible, the report applied the statutory maximum for pretrial detention based on the time allowed in detention from arrest until a sentence was established. However, varying jurisdictions defined pretrial detention dif</w:t>
            </w:r>
            <w:r>
              <w:rPr>
                <w:rFonts w:ascii="Times New Roman" w:eastAsia="Times New Roman" w:hAnsi="Times New Roman" w:cs="Times New Roman"/>
                <w:color w:val="222222"/>
                <w:sz w:val="24"/>
                <w:szCs w:val="24"/>
                <w:highlight w:val="white"/>
              </w:rPr>
              <w:t xml:space="preserve">ferently or set limits based on alternative procedural milestones. Where the statute did not provide a length of days or it was unclear, the number of days was based on the national law’s definition of pretrial detention. </w:t>
            </w:r>
          </w:p>
          <w:p w:rsidR="00EC616C" w:rsidRDefault="00EC616C">
            <w:pPr>
              <w:spacing w:line="240" w:lineRule="auto"/>
              <w:jc w:val="both"/>
              <w:rPr>
                <w:rFonts w:ascii="Times New Roman" w:eastAsia="Times New Roman" w:hAnsi="Times New Roman" w:cs="Times New Roman"/>
                <w:color w:val="222222"/>
                <w:sz w:val="24"/>
                <w:szCs w:val="24"/>
                <w:highlight w:val="white"/>
              </w:rPr>
            </w:pPr>
          </w:p>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The number of days were calculat</w:t>
            </w:r>
            <w:r>
              <w:rPr>
                <w:rFonts w:ascii="Times New Roman" w:eastAsia="Times New Roman" w:hAnsi="Times New Roman" w:cs="Times New Roman"/>
                <w:color w:val="222222"/>
                <w:sz w:val="24"/>
                <w:szCs w:val="24"/>
                <w:highlight w:val="white"/>
              </w:rPr>
              <w:t xml:space="preserve">ed at 30 days per month when the statue used a number of months rather than days for durations shorter than one year. Monthly durations beyond one year are added to a 365-day period. </w:t>
            </w:r>
            <w:r>
              <w:rPr>
                <w:rFonts w:ascii="Times New Roman" w:eastAsia="Times New Roman" w:hAnsi="Times New Roman" w:cs="Times New Roman"/>
                <w:sz w:val="24"/>
                <w:szCs w:val="24"/>
              </w:rPr>
              <w:t>For example, 18 months was calculated as one year (365 days) plus six mon</w:t>
            </w:r>
            <w:r>
              <w:rPr>
                <w:rFonts w:ascii="Times New Roman" w:eastAsia="Times New Roman" w:hAnsi="Times New Roman" w:cs="Times New Roman"/>
                <w:sz w:val="24"/>
                <w:szCs w:val="24"/>
              </w:rPr>
              <w:t>ths (six 30-day periods, or180 days) to be 545 days. All time limits and averages were rounded to the closest whole day.</w:t>
            </w:r>
          </w:p>
          <w:p w:rsidR="00EC616C" w:rsidRDefault="00EC616C">
            <w:pPr>
              <w:spacing w:line="240" w:lineRule="auto"/>
              <w:rPr>
                <w:rFonts w:ascii="Times New Roman" w:eastAsia="Times New Roman" w:hAnsi="Times New Roman" w:cs="Times New Roman"/>
                <w:sz w:val="24"/>
                <w:szCs w:val="24"/>
              </w:rPr>
            </w:pPr>
          </w:p>
          <w:p w:rsidR="00EC616C" w:rsidRDefault="00552E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statute referenced another law or calculation, such as a portion of time based on the possible sentence, such calculation was mad</w:t>
            </w:r>
            <w:r>
              <w:rPr>
                <w:rFonts w:ascii="Times New Roman" w:eastAsia="Times New Roman" w:hAnsi="Times New Roman" w:cs="Times New Roman"/>
                <w:sz w:val="24"/>
                <w:szCs w:val="24"/>
              </w:rPr>
              <w:t xml:space="preserve">e. However, when sufficient information could not be found to calculate the time, a maximum limit was not included. </w:t>
            </w:r>
          </w:p>
          <w:p w:rsidR="00EC616C" w:rsidRDefault="00EC616C">
            <w:pPr>
              <w:spacing w:line="240" w:lineRule="auto"/>
              <w:rPr>
                <w:rFonts w:ascii="Times New Roman" w:eastAsia="Times New Roman" w:hAnsi="Times New Roman" w:cs="Times New Roman"/>
                <w:sz w:val="24"/>
                <w:szCs w:val="24"/>
              </w:rPr>
            </w:pPr>
          </w:p>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pretrial detention time limit was defined based on multiple procedural steps, such as X days from arrest to arraignment and Y number of days from arraignment until sentencing, then the longest possible number of days allowed were added for each step</w:t>
            </w:r>
            <w:r>
              <w:rPr>
                <w:rFonts w:ascii="Times New Roman" w:eastAsia="Times New Roman" w:hAnsi="Times New Roman" w:cs="Times New Roman"/>
                <w:sz w:val="24"/>
                <w:szCs w:val="24"/>
              </w:rPr>
              <w:t xml:space="preserve"> to establish the pretrial detention time limit. Most countries do not include in their limits the time held before first hearing or initial charge </w:t>
            </w:r>
          </w:p>
          <w:p w:rsidR="00EC616C" w:rsidRDefault="00EC616C">
            <w:pPr>
              <w:spacing w:line="240" w:lineRule="auto"/>
              <w:rPr>
                <w:rFonts w:ascii="Times New Roman" w:eastAsia="Times New Roman" w:hAnsi="Times New Roman" w:cs="Times New Roman"/>
                <w:sz w:val="24"/>
                <w:szCs w:val="24"/>
              </w:rPr>
            </w:pPr>
          </w:p>
          <w:p w:rsidR="00EC616C" w:rsidRDefault="00552E7E">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Most jurisdictions did not indicate any time limit for children in pretrial detention pending appeals. For the sake of uniformity, only limits based on pretrial detention before the first adjudication were used. State practices are unclear when a case is a</w:t>
            </w:r>
            <w:r>
              <w:rPr>
                <w:rFonts w:ascii="Times New Roman" w:eastAsia="Times New Roman" w:hAnsi="Times New Roman" w:cs="Times New Roman"/>
                <w:sz w:val="24"/>
                <w:szCs w:val="24"/>
              </w:rPr>
              <w:t xml:space="preserve">ppealed, and the child is in pretrial detention, such as if the clock is suspended or if the time limit still applies. </w:t>
            </w:r>
          </w:p>
          <w:p w:rsidR="00EC616C" w:rsidRDefault="00EC616C">
            <w:pPr>
              <w:spacing w:line="240" w:lineRule="auto"/>
              <w:jc w:val="both"/>
              <w:rPr>
                <w:rFonts w:ascii="Times New Roman" w:eastAsia="Times New Roman" w:hAnsi="Times New Roman" w:cs="Times New Roman"/>
                <w:color w:val="222222"/>
                <w:sz w:val="24"/>
                <w:szCs w:val="24"/>
                <w:highlight w:val="white"/>
              </w:rPr>
            </w:pPr>
          </w:p>
          <w:p w:rsidR="00EC616C" w:rsidRDefault="00EC616C">
            <w:pPr>
              <w:spacing w:line="240" w:lineRule="auto"/>
              <w:jc w:val="both"/>
              <w:rPr>
                <w:rFonts w:ascii="Times New Roman" w:eastAsia="Times New Roman" w:hAnsi="Times New Roman" w:cs="Times New Roman"/>
                <w:color w:val="222222"/>
                <w:sz w:val="24"/>
                <w:szCs w:val="24"/>
                <w:highlight w:val="white"/>
              </w:rPr>
            </w:pPr>
          </w:p>
        </w:tc>
      </w:tr>
    </w:tbl>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552E7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Cuba</w:t>
      </w:r>
    </w:p>
    <w:p w:rsidR="00EC616C" w:rsidRDefault="00EC616C">
      <w:pPr>
        <w:spacing w:line="240" w:lineRule="auto"/>
        <w:rPr>
          <w:rFonts w:ascii="Times New Roman" w:eastAsia="Times New Roman" w:hAnsi="Times New Roman" w:cs="Times New Roman"/>
          <w:sz w:val="24"/>
          <w:szCs w:val="24"/>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6726"/>
      </w:tblGrid>
      <w:tr w:rsidR="00EC616C">
        <w:tc>
          <w:tcPr>
            <w:tcW w:w="8856" w:type="dxa"/>
            <w:gridSpan w:val="2"/>
          </w:tcPr>
          <w:p w:rsidR="00EC616C" w:rsidRDefault="00552E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Cuba has a blanket pretrial detention limit of a maximum of a maximum of </w:t>
            </w:r>
            <w:r>
              <w:rPr>
                <w:rFonts w:ascii="Times New Roman" w:eastAsia="Times New Roman" w:hAnsi="Times New Roman" w:cs="Times New Roman"/>
                <w:b/>
                <w:sz w:val="24"/>
                <w:szCs w:val="24"/>
              </w:rPr>
              <w:t>180 days,</w:t>
            </w:r>
            <w:r>
              <w:rPr>
                <w:rFonts w:ascii="Times New Roman" w:eastAsia="Times New Roman" w:hAnsi="Times New Roman" w:cs="Times New Roman"/>
                <w:sz w:val="24"/>
                <w:szCs w:val="24"/>
              </w:rPr>
              <w:t xml:space="preserve"> or 6 months. A child may remain in pre-trial detention for a total of </w:t>
            </w:r>
            <w:r>
              <w:rPr>
                <w:rFonts w:ascii="Times New Roman" w:eastAsia="Times New Roman" w:hAnsi="Times New Roman" w:cs="Times New Roman"/>
                <w:b/>
                <w:sz w:val="24"/>
                <w:szCs w:val="24"/>
              </w:rPr>
              <w:t>60 days</w:t>
            </w:r>
            <w:r>
              <w:rPr>
                <w:rFonts w:ascii="Times New Roman" w:eastAsia="Times New Roman" w:hAnsi="Times New Roman" w:cs="Times New Roman"/>
                <w:sz w:val="24"/>
                <w:szCs w:val="24"/>
              </w:rPr>
              <w:t xml:space="preserve"> with a possible extension totaling no more than </w:t>
            </w:r>
            <w:r>
              <w:rPr>
                <w:rFonts w:ascii="Times New Roman" w:eastAsia="Times New Roman" w:hAnsi="Times New Roman" w:cs="Times New Roman"/>
                <w:b/>
                <w:sz w:val="24"/>
                <w:szCs w:val="24"/>
              </w:rPr>
              <w:t>180 days</w:t>
            </w:r>
            <w:r>
              <w:rPr>
                <w:rFonts w:ascii="Times New Roman" w:eastAsia="Times New Roman" w:hAnsi="Times New Roman" w:cs="Times New Roman"/>
                <w:sz w:val="24"/>
                <w:szCs w:val="24"/>
              </w:rPr>
              <w:t>, or 6 months.</w:t>
            </w:r>
          </w:p>
        </w:tc>
      </w:tr>
      <w:tr w:rsidR="00EC616C">
        <w:tc>
          <w:tcPr>
            <w:tcW w:w="2130" w:type="dxa"/>
          </w:tcPr>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Statute Citation</w:t>
            </w:r>
          </w:p>
        </w:tc>
        <w:tc>
          <w:tcPr>
            <w:tcW w:w="6726" w:type="dxa"/>
          </w:tcPr>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Criminal Procedure Law (Law No. 5 of August 13, 1977, as amended by Decree No. 208 of Fe</w:t>
            </w:r>
            <w:r>
              <w:rPr>
                <w:rFonts w:ascii="Times New Roman" w:eastAsia="Times New Roman" w:hAnsi="Times New Roman" w:cs="Times New Roman"/>
                <w:b/>
                <w:sz w:val="24"/>
                <w:szCs w:val="24"/>
              </w:rPr>
              <w:t>bruary 16, 2000)</w:t>
            </w:r>
            <w:r>
              <w:rPr>
                <w:rFonts w:ascii="Times New Roman" w:eastAsia="Times New Roman" w:hAnsi="Times New Roman" w:cs="Times New Roman"/>
                <w:sz w:val="24"/>
                <w:szCs w:val="24"/>
              </w:rPr>
              <w:t xml:space="preserve"> (Translated from Spanish)</w:t>
            </w:r>
          </w:p>
          <w:p w:rsidR="00EC616C" w:rsidRDefault="00EC616C">
            <w:pPr>
              <w:spacing w:line="240" w:lineRule="auto"/>
              <w:rPr>
                <w:rFonts w:ascii="Times New Roman" w:eastAsia="Times New Roman" w:hAnsi="Times New Roman" w:cs="Times New Roman"/>
                <w:sz w:val="24"/>
                <w:szCs w:val="24"/>
              </w:rPr>
            </w:pPr>
          </w:p>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107. </w:t>
            </w:r>
            <w:r>
              <w:rPr>
                <w:rFonts w:ascii="Times New Roman" w:eastAsia="Times New Roman" w:hAnsi="Times New Roman" w:cs="Times New Roman"/>
                <w:sz w:val="24"/>
                <w:szCs w:val="24"/>
              </w:rPr>
              <w:t>The Instructor practices the instructional actions and other proceedings of the preparatory phase in the shortest possible time.</w:t>
            </w:r>
          </w:p>
          <w:p w:rsidR="00EC616C" w:rsidRDefault="00EC616C">
            <w:pPr>
              <w:spacing w:line="240" w:lineRule="auto"/>
              <w:rPr>
                <w:rFonts w:ascii="Times New Roman" w:eastAsia="Times New Roman" w:hAnsi="Times New Roman" w:cs="Times New Roman"/>
                <w:sz w:val="24"/>
                <w:szCs w:val="24"/>
              </w:rPr>
            </w:pPr>
          </w:p>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of the investigation of the preparatory phase file should </w:t>
            </w:r>
            <w:r>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t exceed sixty days</w:t>
            </w:r>
            <w:r>
              <w:rPr>
                <w:rFonts w:ascii="Times New Roman" w:eastAsia="Times New Roman" w:hAnsi="Times New Roman" w:cs="Times New Roman"/>
                <w:sz w:val="24"/>
                <w:szCs w:val="24"/>
              </w:rPr>
              <w:t xml:space="preserve"> from the date of the commencement resolution and can only be extended, justifiably, by the Chiefs of the Instructor, in accordance with what is regulated by the body or organism to which it belongs. </w:t>
            </w:r>
          </w:p>
          <w:p w:rsidR="00EC616C" w:rsidRDefault="00EC616C">
            <w:pPr>
              <w:spacing w:line="240" w:lineRule="auto"/>
              <w:rPr>
                <w:rFonts w:ascii="Times New Roman" w:eastAsia="Times New Roman" w:hAnsi="Times New Roman" w:cs="Times New Roman"/>
                <w:sz w:val="24"/>
                <w:szCs w:val="24"/>
              </w:rPr>
            </w:pPr>
          </w:p>
          <w:p w:rsidR="00EC616C" w:rsidRDefault="00552E7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these cases, </w:t>
            </w:r>
            <w:r>
              <w:rPr>
                <w:rFonts w:ascii="Times New Roman" w:eastAsia="Times New Roman" w:hAnsi="Times New Roman" w:cs="Times New Roman"/>
                <w:b/>
                <w:sz w:val="24"/>
                <w:szCs w:val="24"/>
              </w:rPr>
              <w:t>the maximum term fo</w:t>
            </w:r>
            <w:r>
              <w:rPr>
                <w:rFonts w:ascii="Times New Roman" w:eastAsia="Times New Roman" w:hAnsi="Times New Roman" w:cs="Times New Roman"/>
                <w:b/>
                <w:sz w:val="24"/>
                <w:szCs w:val="24"/>
              </w:rPr>
              <w:t>r the termination of the</w:t>
            </w:r>
          </w:p>
          <w:p w:rsidR="00EC616C" w:rsidRDefault="00552E7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file is six months from the date of the decision to initiate the</w:t>
            </w:r>
          </w:p>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file,</w:t>
            </w:r>
            <w:r>
              <w:rPr>
                <w:rFonts w:ascii="Times New Roman" w:eastAsia="Times New Roman" w:hAnsi="Times New Roman" w:cs="Times New Roman"/>
                <w:sz w:val="24"/>
                <w:szCs w:val="24"/>
              </w:rPr>
              <w:t xml:space="preserve"> the Instructor having to deliver it to the Prosecutor under the conditions in which he finds. The extensions granted will be informed to the Prosecutor when the</w:t>
            </w:r>
            <w:r>
              <w:rPr>
                <w:rFonts w:ascii="Times New Roman" w:eastAsia="Times New Roman" w:hAnsi="Times New Roman" w:cs="Times New Roman"/>
                <w:sz w:val="24"/>
                <w:szCs w:val="24"/>
              </w:rPr>
              <w:t>re are defendants</w:t>
            </w:r>
          </w:p>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provisional imprisonment for the purpose of assessing whether or not to maintain that measure precautionary.</w:t>
            </w:r>
          </w:p>
          <w:p w:rsidR="00EC616C" w:rsidRDefault="00EC616C">
            <w:pPr>
              <w:spacing w:line="240" w:lineRule="auto"/>
              <w:rPr>
                <w:rFonts w:ascii="Times New Roman" w:eastAsia="Times New Roman" w:hAnsi="Times New Roman" w:cs="Times New Roman"/>
                <w:sz w:val="24"/>
                <w:szCs w:val="24"/>
              </w:rPr>
            </w:pPr>
          </w:p>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Notwithstanding the provisions of the preceding paragraph, exceptionally and upon reasoned request of the correspondi</w:t>
            </w:r>
            <w:r>
              <w:rPr>
                <w:rFonts w:ascii="Times New Roman" w:eastAsia="Times New Roman" w:hAnsi="Times New Roman" w:cs="Times New Roman"/>
                <w:sz w:val="24"/>
                <w:szCs w:val="24"/>
              </w:rPr>
              <w:t>ng Provincial Head of the Ministry of the Interior, or, where appropriate, of the Chief Prosecutor Provincial, the Attorney General of the Republic may grant a new term for the</w:t>
            </w:r>
          </w:p>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of the instruction of the preparatory phase file.</w:t>
            </w:r>
          </w:p>
          <w:p w:rsidR="00EC616C" w:rsidRDefault="00EC616C">
            <w:pPr>
              <w:spacing w:line="240" w:lineRule="auto"/>
              <w:rPr>
                <w:rFonts w:ascii="Times New Roman" w:eastAsia="Times New Roman" w:hAnsi="Times New Roman" w:cs="Times New Roman"/>
                <w:sz w:val="24"/>
                <w:szCs w:val="24"/>
              </w:rPr>
            </w:pPr>
          </w:p>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Instructor considers exhausted the instruction of the preparatory phase file, the will be terminated by order, or by conclusive report when it results necessary. Before issuing the closing diligence or preparing the conclusive report referred to i</w:t>
            </w:r>
            <w:r>
              <w:rPr>
                <w:rFonts w:ascii="Times New Roman" w:eastAsia="Times New Roman" w:hAnsi="Times New Roman" w:cs="Times New Roman"/>
                <w:sz w:val="24"/>
                <w:szCs w:val="24"/>
              </w:rPr>
              <w:t>n the previous paragraph, the Instructor will inform the Prosecutor that he deems the instruction exhausted to the</w:t>
            </w:r>
          </w:p>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effects that the latter, if deemed necessary, examine the file and rule on it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vertAlign w:val="superscript"/>
              </w:rPr>
              <w:footnoteReference w:id="9"/>
            </w:r>
          </w:p>
        </w:tc>
      </w:tr>
      <w:tr w:rsidR="00EC616C">
        <w:tc>
          <w:tcPr>
            <w:tcW w:w="2130" w:type="dxa"/>
          </w:tcPr>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changes to statutory limit according to internat</w:t>
            </w:r>
            <w:r>
              <w:rPr>
                <w:rFonts w:ascii="Times New Roman" w:eastAsia="Times New Roman" w:hAnsi="Times New Roman" w:cs="Times New Roman"/>
                <w:sz w:val="24"/>
                <w:szCs w:val="24"/>
              </w:rPr>
              <w:t>ional law:</w:t>
            </w:r>
          </w:p>
        </w:tc>
        <w:tc>
          <w:tcPr>
            <w:tcW w:w="6726" w:type="dxa"/>
          </w:tcPr>
          <w:p w:rsidR="00EC616C" w:rsidRDefault="00552E7E">
            <w:pPr>
              <w:numPr>
                <w:ilvl w:val="0"/>
                <w:numId w:val="3"/>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JJAI recommends establishing a 30-day maximum for children detained while awaiting trial. </w:t>
            </w:r>
          </w:p>
          <w:p w:rsidR="00EC616C" w:rsidRDefault="00552E7E">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JJAI recommends that alternative disciplinary or rehabilitative measures be exhausted before resorting to pretrial detention. </w:t>
            </w:r>
          </w:p>
          <w:p w:rsidR="00EC616C" w:rsidRDefault="00552E7E">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Pretrial detention should s</w:t>
            </w:r>
            <w:r>
              <w:rPr>
                <w:rFonts w:ascii="Times New Roman" w:eastAsia="Times New Roman" w:hAnsi="Times New Roman" w:cs="Times New Roman"/>
                <w:sz w:val="24"/>
                <w:szCs w:val="24"/>
              </w:rPr>
              <w:t xml:space="preserve">tart at the moment of the initial detention and end at the moment that the court establishes a final sentence. </w:t>
            </w:r>
          </w:p>
          <w:p w:rsidR="00EC616C" w:rsidRDefault="00552E7E">
            <w:pPr>
              <w:numPr>
                <w:ilvl w:val="0"/>
                <w:numId w:val="1"/>
              </w:numPr>
              <w:spacing w:after="160" w:line="259" w:lineRule="auto"/>
              <w:rPr>
                <w:rFonts w:ascii="Times New Roman" w:eastAsia="Times New Roman" w:hAnsi="Times New Roman" w:cs="Times New Roman"/>
              </w:rPr>
            </w:pPr>
            <w:r>
              <w:rPr>
                <w:rFonts w:ascii="Times New Roman" w:eastAsia="Times New Roman" w:hAnsi="Times New Roman" w:cs="Times New Roman"/>
                <w:sz w:val="24"/>
                <w:szCs w:val="24"/>
              </w:rPr>
              <w:t>Children who are in detention for the statutory maximum number of days should be placed in supervised release immediately and not re-detained for the same offense.</w:t>
            </w:r>
          </w:p>
        </w:tc>
      </w:tr>
      <w:tr w:rsidR="00EC616C">
        <w:tc>
          <w:tcPr>
            <w:tcW w:w="2130" w:type="dxa"/>
          </w:tcPr>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Information on the country</w:t>
            </w:r>
          </w:p>
        </w:tc>
        <w:tc>
          <w:tcPr>
            <w:tcW w:w="6726" w:type="dxa"/>
          </w:tcPr>
          <w:p w:rsidR="00EC616C" w:rsidRDefault="00EC616C">
            <w:pPr>
              <w:spacing w:after="160" w:line="259" w:lineRule="auto"/>
              <w:rPr>
                <w:rFonts w:ascii="Times New Roman" w:eastAsia="Times New Roman" w:hAnsi="Times New Roman" w:cs="Times New Roman"/>
                <w:sz w:val="24"/>
                <w:szCs w:val="24"/>
              </w:rPr>
            </w:pPr>
          </w:p>
        </w:tc>
      </w:tr>
      <w:tr w:rsidR="00EC616C">
        <w:tc>
          <w:tcPr>
            <w:tcW w:w="2130" w:type="dxa"/>
          </w:tcPr>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for the state party related to child pretrial detention time limits:</w:t>
            </w:r>
          </w:p>
        </w:tc>
        <w:tc>
          <w:tcPr>
            <w:tcW w:w="6726" w:type="dxa"/>
          </w:tcPr>
          <w:p w:rsidR="00EC616C" w:rsidRDefault="00552E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or more if not already available:</w:t>
            </w:r>
          </w:p>
          <w:p w:rsidR="00EC616C" w:rsidRDefault="00552E7E">
            <w:pPr>
              <w:numPr>
                <w:ilvl w:val="1"/>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on the average time children actually spend in pretrial detention.</w:t>
            </w:r>
          </w:p>
          <w:p w:rsidR="00EC616C" w:rsidRDefault="00552E7E">
            <w:pPr>
              <w:numPr>
                <w:ilvl w:val="1"/>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on children detained with adults.</w:t>
            </w:r>
          </w:p>
          <w:p w:rsidR="00EC616C" w:rsidRDefault="00552E7E">
            <w:pPr>
              <w:numPr>
                <w:ilvl w:val="1"/>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on the number of childr</w:t>
            </w:r>
            <w:r>
              <w:rPr>
                <w:rFonts w:ascii="Times New Roman" w:eastAsia="Times New Roman" w:hAnsi="Times New Roman" w:cs="Times New Roman"/>
                <w:sz w:val="24"/>
                <w:szCs w:val="24"/>
              </w:rPr>
              <w:t>en who spend longer than the maximum time in pretrial detention.</w:t>
            </w:r>
          </w:p>
          <w:p w:rsidR="00EC616C" w:rsidRDefault="00552E7E">
            <w:pPr>
              <w:numPr>
                <w:ilvl w:val="1"/>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on duration of pretrial detention as it varies by race, gender, religion or other relevant characteristics.</w:t>
            </w:r>
          </w:p>
          <w:p w:rsidR="00EC616C" w:rsidRDefault="00552E7E">
            <w:pPr>
              <w:numPr>
                <w:ilvl w:val="1"/>
                <w:numId w:val="2"/>
              </w:numPr>
              <w:spacing w:line="259" w:lineRule="auto"/>
              <w:jc w:val="both"/>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t>Data on efforts to reduce/ establish the length of pretrial detention and expe</w:t>
            </w:r>
            <w:r>
              <w:rPr>
                <w:rFonts w:ascii="Times New Roman" w:eastAsia="Times New Roman" w:hAnsi="Times New Roman" w:cs="Times New Roman"/>
                <w:sz w:val="24"/>
                <w:szCs w:val="24"/>
              </w:rPr>
              <w:t>dite cases.</w:t>
            </w:r>
          </w:p>
          <w:p w:rsidR="00EC616C" w:rsidRDefault="00552E7E">
            <w:pPr>
              <w:numPr>
                <w:ilvl w:val="1"/>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on how appeals and other challenges affect duration of pretrial detention.</w:t>
            </w:r>
          </w:p>
          <w:p w:rsidR="00EC616C" w:rsidRDefault="00552E7E">
            <w:pPr>
              <w:numPr>
                <w:ilvl w:val="1"/>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on standards related to initial court appearance, determination of legality of initial detention, and judicial control over detention of children</w:t>
            </w:r>
            <w:r>
              <w:rPr>
                <w:rFonts w:ascii="Times New Roman" w:eastAsia="Times New Roman" w:hAnsi="Times New Roman" w:cs="Times New Roman"/>
                <w:sz w:val="24"/>
                <w:szCs w:val="24"/>
              </w:rPr>
              <w:t>.</w:t>
            </w:r>
          </w:p>
          <w:p w:rsidR="00EC616C" w:rsidRDefault="00552E7E">
            <w:pPr>
              <w:numPr>
                <w:ilvl w:val="1"/>
                <w:numId w:val="2"/>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on oversight and children’s access to legal counsel within pretrial detention.</w:t>
            </w:r>
          </w:p>
          <w:p w:rsidR="00EC616C" w:rsidRDefault="00EC616C">
            <w:pPr>
              <w:spacing w:line="240" w:lineRule="auto"/>
              <w:rPr>
                <w:rFonts w:ascii="Times New Roman" w:eastAsia="Times New Roman" w:hAnsi="Times New Roman" w:cs="Times New Roman"/>
                <w:sz w:val="24"/>
                <w:szCs w:val="24"/>
              </w:rPr>
            </w:pPr>
          </w:p>
        </w:tc>
      </w:tr>
      <w:tr w:rsidR="00EC616C">
        <w:tc>
          <w:tcPr>
            <w:tcW w:w="2130" w:type="dxa"/>
          </w:tcPr>
          <w:p w:rsidR="00EC616C" w:rsidRDefault="00552E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to Global Study</w:t>
            </w:r>
          </w:p>
        </w:tc>
        <w:tc>
          <w:tcPr>
            <w:tcW w:w="6726" w:type="dxa"/>
          </w:tcPr>
          <w:p w:rsidR="00EC616C" w:rsidRDefault="00552E7E">
            <w:pPr>
              <w:shd w:val="clear" w:color="auto" w:fill="FFFFFF"/>
              <w:spacing w:line="240" w:lineRule="auto"/>
              <w:rPr>
                <w:color w:val="222222"/>
                <w:sz w:val="24"/>
                <w:szCs w:val="24"/>
              </w:rPr>
            </w:pPr>
            <w:hyperlink r:id="rId8">
              <w:r>
                <w:rPr>
                  <w:color w:val="1155CC"/>
                  <w:sz w:val="24"/>
                  <w:szCs w:val="24"/>
                  <w:u w:val="single"/>
                </w:rPr>
                <w:br/>
                <w:t>https://jjimexico.org/ptd-report/</w:t>
              </w:r>
            </w:hyperlink>
          </w:p>
          <w:p w:rsidR="00EC616C" w:rsidRDefault="00EC616C">
            <w:pPr>
              <w:spacing w:line="240" w:lineRule="auto"/>
              <w:rPr>
                <w:rFonts w:ascii="Times New Roman" w:eastAsia="Times New Roman" w:hAnsi="Times New Roman" w:cs="Times New Roman"/>
                <w:sz w:val="24"/>
                <w:szCs w:val="24"/>
              </w:rPr>
            </w:pPr>
          </w:p>
        </w:tc>
      </w:tr>
    </w:tbl>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Pr>
        <w:spacing w:line="240" w:lineRule="auto"/>
        <w:rPr>
          <w:rFonts w:ascii="Times New Roman" w:eastAsia="Times New Roman" w:hAnsi="Times New Roman" w:cs="Times New Roman"/>
          <w:sz w:val="24"/>
          <w:szCs w:val="24"/>
        </w:rPr>
      </w:pPr>
    </w:p>
    <w:p w:rsidR="00EC616C" w:rsidRDefault="00EC616C"/>
    <w:p w:rsidR="00EC616C" w:rsidRDefault="00EC616C"/>
    <w:p w:rsidR="00EC616C" w:rsidRDefault="00EC616C"/>
    <w:sectPr w:rsidR="00EC616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2E7E">
      <w:pPr>
        <w:spacing w:line="240" w:lineRule="auto"/>
      </w:pPr>
      <w:r>
        <w:separator/>
      </w:r>
    </w:p>
  </w:endnote>
  <w:endnote w:type="continuationSeparator" w:id="0">
    <w:p w:rsidR="00000000" w:rsidRDefault="00552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2E7E">
      <w:pPr>
        <w:spacing w:line="240" w:lineRule="auto"/>
      </w:pPr>
      <w:r>
        <w:separator/>
      </w:r>
    </w:p>
  </w:footnote>
  <w:footnote w:type="continuationSeparator" w:id="0">
    <w:p w:rsidR="00000000" w:rsidRDefault="00552E7E">
      <w:pPr>
        <w:spacing w:line="240" w:lineRule="auto"/>
      </w:pPr>
      <w:r>
        <w:continuationSeparator/>
      </w:r>
    </w:p>
  </w:footnote>
  <w:footnote w:id="1">
    <w:p w:rsidR="00EC616C" w:rsidRDefault="00552E7E">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Patrick Webb &amp; William Allen </w:t>
      </w:r>
      <w:proofErr w:type="spellStart"/>
      <w:r>
        <w:rPr>
          <w:rFonts w:ascii="Cambria" w:eastAsia="Cambria" w:hAnsi="Cambria" w:cs="Cambria"/>
          <w:sz w:val="20"/>
          <w:szCs w:val="20"/>
        </w:rPr>
        <w:t>Kritsonis</w:t>
      </w:r>
      <w:proofErr w:type="spellEnd"/>
      <w:r>
        <w:rPr>
          <w:rFonts w:ascii="Cambria" w:eastAsia="Cambria" w:hAnsi="Cambria" w:cs="Cambria"/>
          <w:sz w:val="20"/>
          <w:szCs w:val="20"/>
        </w:rPr>
        <w:t xml:space="preserve">, </w:t>
      </w:r>
      <w:r>
        <w:rPr>
          <w:rFonts w:ascii="Cambria" w:eastAsia="Cambria" w:hAnsi="Cambria" w:cs="Cambria"/>
          <w:i/>
          <w:sz w:val="20"/>
          <w:szCs w:val="20"/>
        </w:rPr>
        <w:t>Controlling those Kids: Social Control and the Use of Pretrial Detention among Youth in the United States of America: National Implications</w:t>
      </w:r>
      <w:r>
        <w:rPr>
          <w:rFonts w:ascii="Cambria" w:eastAsia="Cambria" w:hAnsi="Cambria" w:cs="Cambria"/>
          <w:sz w:val="20"/>
          <w:szCs w:val="20"/>
        </w:rPr>
        <w:t xml:space="preserve">, </w:t>
      </w:r>
      <w:r>
        <w:rPr>
          <w:rFonts w:ascii="Cambria" w:eastAsia="Cambria" w:hAnsi="Cambria" w:cs="Cambria"/>
          <w:smallCaps/>
          <w:sz w:val="20"/>
          <w:szCs w:val="20"/>
        </w:rPr>
        <w:t xml:space="preserve">ERIC </w:t>
      </w:r>
      <w:r>
        <w:rPr>
          <w:rFonts w:ascii="Cambria" w:eastAsia="Cambria" w:hAnsi="Cambria" w:cs="Cambria"/>
          <w:sz w:val="20"/>
          <w:szCs w:val="20"/>
        </w:rPr>
        <w:t xml:space="preserve">(Oct. 2006), https://eric.ed.gov/?id=ED493565. </w:t>
      </w:r>
    </w:p>
  </w:footnote>
  <w:footnote w:id="2">
    <w:p w:rsidR="00EC616C" w:rsidRDefault="00552E7E">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G.A. Res. 44/25, Convention on the Rights of the Child, art. 37(b) (Nov. 20, 1989) [hereinafter CRC].</w:t>
      </w:r>
    </w:p>
  </w:footnote>
  <w:footnote w:id="3">
    <w:p w:rsidR="00EC616C" w:rsidRDefault="00552E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Comm. on the Rights of the Child, General Comment 10: Children's Rights in Juvenile Justice, § 80, U.N. Doc. CRC/C/GC/10 (Apr. 25, 2007) [hereinafter C</w:t>
      </w:r>
      <w:r>
        <w:rPr>
          <w:rFonts w:ascii="Times New Roman" w:eastAsia="Times New Roman" w:hAnsi="Times New Roman" w:cs="Times New Roman"/>
          <w:sz w:val="20"/>
          <w:szCs w:val="20"/>
        </w:rPr>
        <w:t>RC General Comment 10].</w:t>
      </w:r>
    </w:p>
  </w:footnote>
  <w:footnote w:id="4">
    <w:p w:rsidR="00EC616C" w:rsidRDefault="00552E7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Id. </w:t>
      </w:r>
      <w:r>
        <w:rPr>
          <w:rFonts w:ascii="Times New Roman" w:eastAsia="Times New Roman" w:hAnsi="Times New Roman" w:cs="Times New Roman"/>
          <w:sz w:val="20"/>
          <w:szCs w:val="20"/>
        </w:rPr>
        <w:t>¶ 83 (specifying that regular review is “preferably every two weeks”).</w:t>
      </w:r>
    </w:p>
  </w:footnote>
  <w:footnote w:id="5">
    <w:p w:rsidR="00EC616C" w:rsidRDefault="00552E7E">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Moritz </w:t>
      </w:r>
      <w:proofErr w:type="spellStart"/>
      <w:r>
        <w:rPr>
          <w:rFonts w:ascii="Cambria" w:eastAsia="Cambria" w:hAnsi="Cambria" w:cs="Cambria"/>
          <w:sz w:val="20"/>
          <w:szCs w:val="20"/>
        </w:rPr>
        <w:t>Birk</w:t>
      </w:r>
      <w:proofErr w:type="spellEnd"/>
      <w:r>
        <w:rPr>
          <w:rFonts w:ascii="Cambria" w:eastAsia="Cambria" w:hAnsi="Cambria" w:cs="Cambria"/>
          <w:sz w:val="20"/>
          <w:szCs w:val="20"/>
        </w:rPr>
        <w:t xml:space="preserve"> et. al., </w:t>
      </w:r>
      <w:r>
        <w:rPr>
          <w:rFonts w:ascii="Cambria" w:eastAsia="Cambria" w:hAnsi="Cambria" w:cs="Cambria"/>
          <w:i/>
          <w:sz w:val="20"/>
          <w:szCs w:val="20"/>
        </w:rPr>
        <w:t>Pretrial Detention and Torture: Why Pretrial Detainees Face the Greatest Risk</w:t>
      </w:r>
      <w:r>
        <w:rPr>
          <w:rFonts w:ascii="Cambria" w:eastAsia="Cambria" w:hAnsi="Cambria" w:cs="Cambria"/>
          <w:sz w:val="20"/>
          <w:szCs w:val="20"/>
        </w:rPr>
        <w:t xml:space="preserve">, 27, </w:t>
      </w:r>
      <w:r>
        <w:rPr>
          <w:rFonts w:ascii="Cambria" w:eastAsia="Cambria" w:hAnsi="Cambria" w:cs="Cambria"/>
          <w:smallCaps/>
          <w:sz w:val="20"/>
          <w:szCs w:val="20"/>
        </w:rPr>
        <w:t xml:space="preserve">Open </w:t>
      </w:r>
      <w:proofErr w:type="spellStart"/>
      <w:r>
        <w:rPr>
          <w:rFonts w:ascii="Cambria" w:eastAsia="Cambria" w:hAnsi="Cambria" w:cs="Cambria"/>
          <w:smallCaps/>
          <w:sz w:val="20"/>
          <w:szCs w:val="20"/>
        </w:rPr>
        <w:t>Soc’y</w:t>
      </w:r>
      <w:proofErr w:type="spellEnd"/>
      <w:r>
        <w:rPr>
          <w:rFonts w:ascii="Cambria" w:eastAsia="Cambria" w:hAnsi="Cambria" w:cs="Cambria"/>
          <w:smallCaps/>
          <w:sz w:val="20"/>
          <w:szCs w:val="20"/>
        </w:rPr>
        <w:t xml:space="preserve"> Found</w:t>
      </w:r>
      <w:r>
        <w:rPr>
          <w:rFonts w:ascii="Cambria" w:eastAsia="Cambria" w:hAnsi="Cambria" w:cs="Cambria"/>
          <w:sz w:val="20"/>
          <w:szCs w:val="20"/>
        </w:rPr>
        <w:t xml:space="preserve">. (2011)), </w:t>
      </w:r>
      <w:hyperlink r:id="rId1">
        <w:r>
          <w:rPr>
            <w:rFonts w:ascii="Cambria" w:eastAsia="Cambria" w:hAnsi="Cambria" w:cs="Cambria"/>
            <w:sz w:val="20"/>
            <w:szCs w:val="20"/>
            <w:u w:val="single"/>
          </w:rPr>
          <w:t>https://www.opensocietyfoundations.org/sites/default/files/pretrial-detention-and-torture-06222011.pdf</w:t>
        </w:r>
      </w:hyperlink>
      <w:r>
        <w:rPr>
          <w:rFonts w:ascii="Cambria" w:eastAsia="Cambria" w:hAnsi="Cambria" w:cs="Cambria"/>
          <w:sz w:val="20"/>
          <w:szCs w:val="20"/>
        </w:rPr>
        <w:t xml:space="preserve">. </w:t>
      </w:r>
    </w:p>
  </w:footnote>
  <w:footnote w:id="6">
    <w:p w:rsidR="00EC616C" w:rsidRDefault="00552E7E">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Barry Holman &amp; Jason </w:t>
      </w:r>
      <w:proofErr w:type="spellStart"/>
      <w:r>
        <w:rPr>
          <w:rFonts w:ascii="Cambria" w:eastAsia="Cambria" w:hAnsi="Cambria" w:cs="Cambria"/>
          <w:sz w:val="20"/>
          <w:szCs w:val="20"/>
        </w:rPr>
        <w:t>Ziedenberg</w:t>
      </w:r>
      <w:proofErr w:type="spellEnd"/>
      <w:r>
        <w:rPr>
          <w:rFonts w:ascii="Cambria" w:eastAsia="Cambria" w:hAnsi="Cambria" w:cs="Cambria"/>
          <w:sz w:val="20"/>
          <w:szCs w:val="20"/>
        </w:rPr>
        <w:t xml:space="preserve">. </w:t>
      </w:r>
      <w:r>
        <w:rPr>
          <w:rFonts w:ascii="Cambria" w:eastAsia="Cambria" w:hAnsi="Cambria" w:cs="Cambria"/>
          <w:i/>
          <w:sz w:val="20"/>
          <w:szCs w:val="20"/>
        </w:rPr>
        <w:t>The Dangers of Detention: The Impact of Incarcerating Youth in Detention and Other Secure Facilities</w:t>
      </w:r>
      <w:r>
        <w:rPr>
          <w:rFonts w:ascii="Cambria" w:eastAsia="Cambria" w:hAnsi="Cambria" w:cs="Cambria"/>
          <w:sz w:val="20"/>
          <w:szCs w:val="20"/>
        </w:rPr>
        <w:t xml:space="preserve">, 3–10, </w:t>
      </w:r>
      <w:r>
        <w:rPr>
          <w:rFonts w:ascii="Cambria" w:eastAsia="Cambria" w:hAnsi="Cambria" w:cs="Cambria"/>
          <w:smallCaps/>
          <w:sz w:val="20"/>
          <w:szCs w:val="20"/>
        </w:rPr>
        <w:t xml:space="preserve">Just. </w:t>
      </w:r>
      <w:proofErr w:type="spellStart"/>
      <w:r>
        <w:rPr>
          <w:rFonts w:ascii="Cambria" w:eastAsia="Cambria" w:hAnsi="Cambria" w:cs="Cambria"/>
          <w:smallCaps/>
          <w:sz w:val="20"/>
          <w:szCs w:val="20"/>
        </w:rPr>
        <w:t>Pol’y</w:t>
      </w:r>
      <w:proofErr w:type="spellEnd"/>
      <w:r>
        <w:rPr>
          <w:rFonts w:ascii="Cambria" w:eastAsia="Cambria" w:hAnsi="Cambria" w:cs="Cambria"/>
          <w:smallCaps/>
          <w:sz w:val="20"/>
          <w:szCs w:val="20"/>
        </w:rPr>
        <w:t xml:space="preserve"> Inst.</w:t>
      </w:r>
      <w:r>
        <w:rPr>
          <w:rFonts w:ascii="Cambria" w:eastAsia="Cambria" w:hAnsi="Cambria" w:cs="Cambria"/>
          <w:sz w:val="20"/>
          <w:szCs w:val="20"/>
        </w:rPr>
        <w:t xml:space="preserve"> (Nov. 28, 2006), </w:t>
      </w:r>
      <w:hyperlink r:id="rId2">
        <w:r>
          <w:rPr>
            <w:rFonts w:ascii="Cambria" w:eastAsia="Cambria" w:hAnsi="Cambria" w:cs="Cambria"/>
            <w:sz w:val="20"/>
            <w:szCs w:val="20"/>
            <w:u w:val="single"/>
          </w:rPr>
          <w:t>http://www.just</w:t>
        </w:r>
        <w:r>
          <w:rPr>
            <w:rFonts w:ascii="Cambria" w:eastAsia="Cambria" w:hAnsi="Cambria" w:cs="Cambria"/>
            <w:sz w:val="20"/>
            <w:szCs w:val="20"/>
            <w:u w:val="single"/>
          </w:rPr>
          <w:t>icepolicy.org/images/upload/06-11_rep_dangersofdetention_jj.pdf</w:t>
        </w:r>
      </w:hyperlink>
      <w:r>
        <w:rPr>
          <w:rFonts w:ascii="Cambria" w:eastAsia="Cambria" w:hAnsi="Cambria" w:cs="Cambria"/>
          <w:sz w:val="20"/>
          <w:szCs w:val="20"/>
        </w:rPr>
        <w:t xml:space="preserve">. </w:t>
      </w:r>
    </w:p>
  </w:footnote>
  <w:footnote w:id="7">
    <w:p w:rsidR="00EC616C" w:rsidRDefault="00552E7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David E. Arredondo, </w:t>
      </w:r>
      <w:r>
        <w:rPr>
          <w:rFonts w:ascii="Times New Roman" w:eastAsia="Times New Roman" w:hAnsi="Times New Roman" w:cs="Times New Roman"/>
          <w:i/>
          <w:sz w:val="20"/>
          <w:szCs w:val="20"/>
        </w:rPr>
        <w:t>Child Development, Children's Mental Health and the Juvenile Justice System: Principles for Effective Decision-Making</w:t>
      </w:r>
      <w:r>
        <w:rPr>
          <w:rFonts w:ascii="Times New Roman" w:eastAsia="Times New Roman" w:hAnsi="Times New Roman" w:cs="Times New Roman"/>
          <w:sz w:val="20"/>
          <w:szCs w:val="20"/>
        </w:rPr>
        <w:t xml:space="preserve">, 14 </w:t>
      </w:r>
      <w:r>
        <w:rPr>
          <w:rFonts w:ascii="Times New Roman" w:eastAsia="Times New Roman" w:hAnsi="Times New Roman" w:cs="Times New Roman"/>
          <w:smallCaps/>
          <w:sz w:val="20"/>
          <w:szCs w:val="20"/>
        </w:rPr>
        <w:t xml:space="preserve">Stan. L. &amp; </w:t>
      </w:r>
      <w:proofErr w:type="spellStart"/>
      <w:r>
        <w:rPr>
          <w:rFonts w:ascii="Times New Roman" w:eastAsia="Times New Roman" w:hAnsi="Times New Roman" w:cs="Times New Roman"/>
          <w:smallCaps/>
          <w:sz w:val="20"/>
          <w:szCs w:val="20"/>
        </w:rPr>
        <w:t>Pol'y</w:t>
      </w:r>
      <w:proofErr w:type="spellEnd"/>
      <w:r>
        <w:rPr>
          <w:rFonts w:ascii="Times New Roman" w:eastAsia="Times New Roman" w:hAnsi="Times New Roman" w:cs="Times New Roman"/>
          <w:smallCaps/>
          <w:sz w:val="20"/>
          <w:szCs w:val="20"/>
        </w:rPr>
        <w:t xml:space="preserve"> Rev</w:t>
      </w:r>
      <w:r>
        <w:rPr>
          <w:rFonts w:ascii="Times New Roman" w:eastAsia="Times New Roman" w:hAnsi="Times New Roman" w:cs="Times New Roman"/>
          <w:sz w:val="20"/>
          <w:szCs w:val="20"/>
        </w:rPr>
        <w:t>. 13, 18–19 (2003).</w:t>
      </w:r>
    </w:p>
  </w:footnote>
  <w:footnote w:id="8">
    <w:p w:rsidR="00EC616C" w:rsidRDefault="00552E7E">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w:t>
      </w:r>
      <w:r>
        <w:rPr>
          <w:rFonts w:ascii="Cambria" w:eastAsia="Cambria" w:hAnsi="Cambria" w:cs="Cambria"/>
          <w:i/>
          <w:sz w:val="20"/>
          <w:szCs w:val="20"/>
        </w:rPr>
        <w:t>E.g.</w:t>
      </w:r>
      <w:r>
        <w:rPr>
          <w:rFonts w:ascii="Cambria" w:eastAsia="Cambria" w:hAnsi="Cambria" w:cs="Cambria"/>
          <w:sz w:val="20"/>
          <w:szCs w:val="20"/>
        </w:rPr>
        <w:t xml:space="preserve">, </w:t>
      </w:r>
      <w:proofErr w:type="spellStart"/>
      <w:r>
        <w:rPr>
          <w:rFonts w:ascii="Cambria" w:eastAsia="Cambria" w:hAnsi="Cambria" w:cs="Cambria"/>
          <w:i/>
          <w:sz w:val="20"/>
          <w:szCs w:val="20"/>
        </w:rPr>
        <w:t>Diagnóstico</w:t>
      </w:r>
      <w:proofErr w:type="spellEnd"/>
      <w:r>
        <w:rPr>
          <w:rFonts w:ascii="Cambria" w:eastAsia="Cambria" w:hAnsi="Cambria" w:cs="Cambria"/>
          <w:i/>
          <w:sz w:val="20"/>
          <w:szCs w:val="20"/>
        </w:rPr>
        <w:t xml:space="preserve"> del Sistema de </w:t>
      </w:r>
      <w:proofErr w:type="spellStart"/>
      <w:r>
        <w:rPr>
          <w:rFonts w:ascii="Cambria" w:eastAsia="Cambria" w:hAnsi="Cambria" w:cs="Cambria"/>
          <w:i/>
          <w:sz w:val="20"/>
          <w:szCs w:val="20"/>
        </w:rPr>
        <w:t>Justicia</w:t>
      </w:r>
      <w:proofErr w:type="spellEnd"/>
      <w:r>
        <w:rPr>
          <w:rFonts w:ascii="Cambria" w:eastAsia="Cambria" w:hAnsi="Cambria" w:cs="Cambria"/>
          <w:i/>
          <w:sz w:val="20"/>
          <w:szCs w:val="20"/>
        </w:rPr>
        <w:t xml:space="preserve"> Para </w:t>
      </w:r>
      <w:proofErr w:type="spellStart"/>
      <w:r>
        <w:rPr>
          <w:rFonts w:ascii="Cambria" w:eastAsia="Cambria" w:hAnsi="Cambria" w:cs="Cambria"/>
          <w:i/>
          <w:sz w:val="20"/>
          <w:szCs w:val="20"/>
        </w:rPr>
        <w:t>Adolescentes</w:t>
      </w:r>
      <w:proofErr w:type="spellEnd"/>
      <w:r>
        <w:rPr>
          <w:rFonts w:ascii="Cambria" w:eastAsia="Cambria" w:hAnsi="Cambria" w:cs="Cambria"/>
          <w:i/>
          <w:sz w:val="20"/>
          <w:szCs w:val="20"/>
        </w:rPr>
        <w:t xml:space="preserve"> del Estado de Chihuahua: “</w:t>
      </w:r>
      <w:proofErr w:type="spellStart"/>
      <w:r>
        <w:rPr>
          <w:rFonts w:ascii="Cambria" w:eastAsia="Cambria" w:hAnsi="Cambria" w:cs="Cambria"/>
          <w:i/>
          <w:sz w:val="20"/>
          <w:szCs w:val="20"/>
        </w:rPr>
        <w:t>Buenas</w:t>
      </w:r>
      <w:proofErr w:type="spellEnd"/>
      <w:r>
        <w:rPr>
          <w:rFonts w:ascii="Cambria" w:eastAsia="Cambria" w:hAnsi="Cambria" w:cs="Cambria"/>
          <w:i/>
          <w:sz w:val="20"/>
          <w:szCs w:val="20"/>
        </w:rPr>
        <w:t xml:space="preserve"> </w:t>
      </w:r>
      <w:proofErr w:type="spellStart"/>
      <w:r>
        <w:rPr>
          <w:rFonts w:ascii="Cambria" w:eastAsia="Cambria" w:hAnsi="Cambria" w:cs="Cambria"/>
          <w:i/>
          <w:sz w:val="20"/>
          <w:szCs w:val="20"/>
        </w:rPr>
        <w:t>Prácticas</w:t>
      </w:r>
      <w:proofErr w:type="spellEnd"/>
      <w:r>
        <w:rPr>
          <w:rFonts w:ascii="Cambria" w:eastAsia="Cambria" w:hAnsi="Cambria" w:cs="Cambria"/>
          <w:i/>
          <w:sz w:val="20"/>
          <w:szCs w:val="20"/>
        </w:rPr>
        <w:t xml:space="preserve"> para las </w:t>
      </w:r>
      <w:proofErr w:type="spellStart"/>
      <w:r>
        <w:rPr>
          <w:rFonts w:ascii="Cambria" w:eastAsia="Cambria" w:hAnsi="Cambria" w:cs="Cambria"/>
          <w:i/>
          <w:sz w:val="20"/>
          <w:szCs w:val="20"/>
        </w:rPr>
        <w:t>Alternativas</w:t>
      </w:r>
      <w:proofErr w:type="spellEnd"/>
      <w:r>
        <w:rPr>
          <w:rFonts w:ascii="Cambria" w:eastAsia="Cambria" w:hAnsi="Cambria" w:cs="Cambria"/>
          <w:i/>
          <w:sz w:val="20"/>
          <w:szCs w:val="20"/>
        </w:rPr>
        <w:t xml:space="preserve"> a la </w:t>
      </w:r>
      <w:proofErr w:type="spellStart"/>
      <w:r>
        <w:rPr>
          <w:rFonts w:ascii="Cambria" w:eastAsia="Cambria" w:hAnsi="Cambria" w:cs="Cambria"/>
          <w:i/>
          <w:sz w:val="20"/>
          <w:szCs w:val="20"/>
        </w:rPr>
        <w:t>Detención</w:t>
      </w:r>
      <w:proofErr w:type="spellEnd"/>
      <w:r>
        <w:rPr>
          <w:rFonts w:ascii="Cambria" w:eastAsia="Cambria" w:hAnsi="Cambria" w:cs="Cambria"/>
          <w:i/>
          <w:sz w:val="20"/>
          <w:szCs w:val="20"/>
        </w:rPr>
        <w:t>”</w:t>
      </w:r>
      <w:r>
        <w:rPr>
          <w:rFonts w:ascii="Cambria" w:eastAsia="Cambria" w:hAnsi="Cambria" w:cs="Cambria"/>
          <w:sz w:val="20"/>
          <w:szCs w:val="20"/>
        </w:rPr>
        <w:t xml:space="preserve">, 8–10, </w:t>
      </w:r>
      <w:proofErr w:type="spellStart"/>
      <w:r>
        <w:rPr>
          <w:rFonts w:ascii="Cambria" w:eastAsia="Cambria" w:hAnsi="Cambria" w:cs="Cambria"/>
          <w:smallCaps/>
          <w:sz w:val="20"/>
          <w:szCs w:val="20"/>
        </w:rPr>
        <w:t>Justicia</w:t>
      </w:r>
      <w:proofErr w:type="spellEnd"/>
      <w:r>
        <w:rPr>
          <w:rFonts w:ascii="Cambria" w:eastAsia="Cambria" w:hAnsi="Cambria" w:cs="Cambria"/>
          <w:smallCaps/>
          <w:sz w:val="20"/>
          <w:szCs w:val="20"/>
        </w:rPr>
        <w:t xml:space="preserve"> </w:t>
      </w:r>
      <w:proofErr w:type="spellStart"/>
      <w:r>
        <w:rPr>
          <w:rFonts w:ascii="Cambria" w:eastAsia="Cambria" w:hAnsi="Cambria" w:cs="Cambria"/>
          <w:smallCaps/>
          <w:sz w:val="20"/>
          <w:szCs w:val="20"/>
        </w:rPr>
        <w:t>Juvenil</w:t>
      </w:r>
      <w:proofErr w:type="spellEnd"/>
      <w:r>
        <w:rPr>
          <w:rFonts w:ascii="Cambria" w:eastAsia="Cambria" w:hAnsi="Cambria" w:cs="Cambria"/>
          <w:smallCaps/>
          <w:sz w:val="20"/>
          <w:szCs w:val="20"/>
        </w:rPr>
        <w:t xml:space="preserve"> Int’l</w:t>
      </w:r>
      <w:r>
        <w:rPr>
          <w:rFonts w:ascii="Cambria" w:eastAsia="Cambria" w:hAnsi="Cambria" w:cs="Cambria"/>
          <w:sz w:val="20"/>
          <w:szCs w:val="20"/>
        </w:rPr>
        <w:t xml:space="preserve"> (Sept. 2017) https://jjimexico.org/projects/chihuahua</w:t>
      </w:r>
      <w:r>
        <w:rPr>
          <w:rFonts w:ascii="Cambria" w:eastAsia="Cambria" w:hAnsi="Cambria" w:cs="Cambria"/>
          <w:color w:val="FF0000"/>
          <w:sz w:val="20"/>
          <w:szCs w:val="20"/>
        </w:rPr>
        <w:t xml:space="preserve"> </w:t>
      </w:r>
      <w:r>
        <w:rPr>
          <w:rFonts w:ascii="Cambria" w:eastAsia="Cambria" w:hAnsi="Cambria" w:cs="Cambria"/>
          <w:sz w:val="20"/>
          <w:szCs w:val="20"/>
        </w:rPr>
        <w:t xml:space="preserve">[hereinafter </w:t>
      </w:r>
      <w:proofErr w:type="spellStart"/>
      <w:r>
        <w:rPr>
          <w:rFonts w:ascii="Cambria" w:eastAsia="Cambria" w:hAnsi="Cambria" w:cs="Cambria"/>
          <w:i/>
          <w:sz w:val="20"/>
          <w:szCs w:val="20"/>
        </w:rPr>
        <w:t>Diagnóstico</w:t>
      </w:r>
      <w:proofErr w:type="spellEnd"/>
      <w:r>
        <w:rPr>
          <w:rFonts w:ascii="Cambria" w:eastAsia="Cambria" w:hAnsi="Cambria" w:cs="Cambria"/>
          <w:i/>
          <w:sz w:val="20"/>
          <w:szCs w:val="20"/>
        </w:rPr>
        <w:t xml:space="preserve"> 2017</w:t>
      </w:r>
      <w:r>
        <w:rPr>
          <w:rFonts w:ascii="Cambria" w:eastAsia="Cambria" w:hAnsi="Cambria" w:cs="Cambria"/>
          <w:sz w:val="20"/>
          <w:szCs w:val="20"/>
        </w:rPr>
        <w:t>].</w:t>
      </w:r>
    </w:p>
  </w:footnote>
  <w:footnote w:id="9">
    <w:p w:rsidR="00EC616C" w:rsidRDefault="00552E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rotection of Young People Act of 10 August 1992, art. 26 (1992), http://legilux.public.lu/eli/etat/leg/loi/1992/08/10/n3/jo.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5209"/>
    <w:multiLevelType w:val="multilevel"/>
    <w:tmpl w:val="E7B80BDE"/>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6D6F71"/>
    <w:multiLevelType w:val="multilevel"/>
    <w:tmpl w:val="3FD8C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C01215"/>
    <w:multiLevelType w:val="multilevel"/>
    <w:tmpl w:val="A8A2E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6C"/>
    <w:rsid w:val="00552E7E"/>
    <w:rsid w:val="00EC6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5093A-D508-4E57-B999-44B879A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jimexico.org/ptd-repor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justicepolicy.org/images/upload/06-11_rep_dangersofdetention_jj.pdf" TargetMode="External"/><Relationship Id="rId1" Type="http://schemas.openxmlformats.org/officeDocument/2006/relationships/hyperlink" Target="https://www.opensocietyfoundations.org/sites/default/files/pretrial-detention-and-torture-0622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69998-BF2E-4D78-958E-8074F98EE1BC}"/>
</file>

<file path=customXml/itemProps2.xml><?xml version="1.0" encoding="utf-8"?>
<ds:datastoreItem xmlns:ds="http://schemas.openxmlformats.org/officeDocument/2006/customXml" ds:itemID="{32190DBF-61C8-446C-BA70-C68AC001757F}"/>
</file>

<file path=customXml/itemProps3.xml><?xml version="1.0" encoding="utf-8"?>
<ds:datastoreItem xmlns:ds="http://schemas.openxmlformats.org/officeDocument/2006/customXml" ds:itemID="{6F114800-4ACF-44DC-A4A2-9A59BC73DD98}"/>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BOIT James</cp:lastModifiedBy>
  <cp:revision>2</cp:revision>
  <dcterms:created xsi:type="dcterms:W3CDTF">2022-04-27T10:22:00Z</dcterms:created>
  <dcterms:modified xsi:type="dcterms:W3CDTF">2022-04-27T10:22:00Z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