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C2" w:rsidRDefault="000156D1" w:rsidP="000F76BC">
      <w:pPr>
        <w:snapToGrid w:val="0"/>
        <w:jc w:val="right"/>
        <w:rPr>
          <w:rFonts w:ascii="Times New Roman" w:hAnsi="Times New Roman" w:cs="Times New Roman"/>
          <w:b/>
          <w:sz w:val="28"/>
          <w:szCs w:val="28"/>
          <w:u w:val="single"/>
        </w:rPr>
      </w:pPr>
      <w:r w:rsidRPr="00495460">
        <w:rPr>
          <w:rFonts w:ascii="Times New Roman" w:hAnsi="Times New Roman" w:cs="Times New Roman"/>
          <w:b/>
          <w:sz w:val="28"/>
          <w:szCs w:val="28"/>
          <w:u w:val="single"/>
        </w:rPr>
        <w:t>Annex</w:t>
      </w:r>
      <w:r>
        <w:rPr>
          <w:rFonts w:ascii="Times New Roman" w:hAnsi="Times New Roman" w:cs="Times New Roman"/>
          <w:b/>
          <w:sz w:val="28"/>
          <w:szCs w:val="28"/>
          <w:u w:val="single"/>
        </w:rPr>
        <w:t xml:space="preserve"> 1</w:t>
      </w:r>
    </w:p>
    <w:p w:rsidR="00A875C2" w:rsidRDefault="00A875C2" w:rsidP="00400DF0">
      <w:pPr>
        <w:wordWrap w:val="0"/>
        <w:snapToGrid w:val="0"/>
        <w:jc w:val="right"/>
        <w:rPr>
          <w:rFonts w:ascii="Times New Roman" w:hAnsi="Times New Roman" w:cs="Times New Roman"/>
          <w:sz w:val="28"/>
          <w:szCs w:val="28"/>
        </w:rPr>
      </w:pPr>
    </w:p>
    <w:p w:rsidR="00A875C2" w:rsidRPr="004E6A8D" w:rsidRDefault="000156D1" w:rsidP="00400DF0">
      <w:pPr>
        <w:tabs>
          <w:tab w:val="left" w:pos="1418"/>
        </w:tabs>
        <w:snapToGrid w:val="0"/>
        <w:jc w:val="center"/>
        <w:rPr>
          <w:rFonts w:ascii="Times New Roman" w:hAnsi="Times New Roman" w:cs="Times New Roman"/>
          <w:b/>
          <w:sz w:val="28"/>
          <w:szCs w:val="28"/>
          <w:u w:val="single"/>
          <w:lang w:val="en-GB"/>
        </w:rPr>
      </w:pPr>
      <w:r w:rsidRPr="004E6A8D">
        <w:rPr>
          <w:rFonts w:ascii="Times New Roman" w:hAnsi="Times New Roman" w:cs="Times New Roman"/>
          <w:b/>
          <w:sz w:val="28"/>
          <w:szCs w:val="28"/>
          <w:u w:val="single"/>
          <w:lang w:val="en-GB"/>
        </w:rPr>
        <w:t xml:space="preserve">Examples of </w:t>
      </w:r>
      <w:r w:rsidR="00A875C2" w:rsidRPr="004E6A8D">
        <w:rPr>
          <w:rFonts w:ascii="Times New Roman" w:hAnsi="Times New Roman" w:cs="Times New Roman"/>
          <w:b/>
          <w:sz w:val="28"/>
          <w:szCs w:val="28"/>
          <w:u w:val="single"/>
          <w:lang w:val="en-GB"/>
        </w:rPr>
        <w:t xml:space="preserve">court </w:t>
      </w:r>
      <w:r w:rsidRPr="004E6A8D">
        <w:rPr>
          <w:rFonts w:ascii="Times New Roman" w:hAnsi="Times New Roman" w:cs="Times New Roman"/>
          <w:b/>
          <w:sz w:val="28"/>
          <w:szCs w:val="28"/>
          <w:u w:val="single"/>
          <w:lang w:val="en-GB"/>
        </w:rPr>
        <w:t>cases</w:t>
      </w:r>
    </w:p>
    <w:p w:rsidR="000156D1" w:rsidRPr="00400DF0" w:rsidRDefault="000156D1" w:rsidP="00400DF0">
      <w:pPr>
        <w:tabs>
          <w:tab w:val="left" w:pos="1418"/>
        </w:tabs>
        <w:snapToGrid w:val="0"/>
        <w:jc w:val="center"/>
        <w:rPr>
          <w:rFonts w:ascii="Times New Roman" w:hAnsi="Times New Roman" w:cs="Times New Roman"/>
          <w:b/>
          <w:sz w:val="28"/>
          <w:szCs w:val="28"/>
          <w:u w:val="single"/>
          <w:lang w:val="en-GB"/>
        </w:rPr>
      </w:pPr>
      <w:proofErr w:type="gramStart"/>
      <w:r w:rsidRPr="00400DF0">
        <w:rPr>
          <w:rFonts w:ascii="Times New Roman" w:hAnsi="Times New Roman" w:cs="Times New Roman"/>
          <w:b/>
          <w:sz w:val="28"/>
          <w:szCs w:val="28"/>
          <w:u w:val="single"/>
          <w:lang w:val="en-GB"/>
        </w:rPr>
        <w:t>with</w:t>
      </w:r>
      <w:proofErr w:type="gramEnd"/>
      <w:r w:rsidRPr="00400DF0">
        <w:rPr>
          <w:rFonts w:ascii="Times New Roman" w:hAnsi="Times New Roman" w:cs="Times New Roman"/>
          <w:b/>
          <w:sz w:val="28"/>
          <w:szCs w:val="28"/>
          <w:u w:val="single"/>
          <w:lang w:val="en-GB"/>
        </w:rPr>
        <w:t xml:space="preserve"> the provisions of the Covenant applied or invoked</w:t>
      </w:r>
    </w:p>
    <w:p w:rsidR="000156D1" w:rsidRDefault="000156D1" w:rsidP="000156D1">
      <w:pPr>
        <w:tabs>
          <w:tab w:val="left" w:pos="1418"/>
        </w:tabs>
        <w:snapToGrid w:val="0"/>
        <w:jc w:val="both"/>
        <w:rPr>
          <w:rFonts w:ascii="Times New Roman" w:hAnsi="Times New Roman" w:cs="Times New Roman"/>
          <w:sz w:val="28"/>
          <w:szCs w:val="28"/>
          <w:lang w:val="en-GB"/>
        </w:rPr>
      </w:pPr>
    </w:p>
    <w:p w:rsidR="00A875C2" w:rsidRPr="00835BBB" w:rsidRDefault="00A875C2" w:rsidP="000156D1">
      <w:pPr>
        <w:tabs>
          <w:tab w:val="left" w:pos="1418"/>
        </w:tabs>
        <w:snapToGrid w:val="0"/>
        <w:jc w:val="both"/>
        <w:rPr>
          <w:rFonts w:ascii="Times New Roman" w:hAnsi="Times New Roman" w:cs="Times New Roman"/>
          <w:sz w:val="28"/>
          <w:szCs w:val="28"/>
          <w:lang w:val="en-GB"/>
        </w:rPr>
      </w:pPr>
    </w:p>
    <w:p w:rsidR="000156D1" w:rsidRPr="00835BBB" w:rsidRDefault="000156D1" w:rsidP="000156D1">
      <w:pPr>
        <w:tabs>
          <w:tab w:val="left" w:pos="1418"/>
        </w:tabs>
        <w:snapToGrid w:val="0"/>
        <w:jc w:val="both"/>
        <w:rPr>
          <w:rFonts w:ascii="Times New Roman" w:hAnsi="Times New Roman" w:cs="Times New Roman"/>
          <w:sz w:val="28"/>
          <w:szCs w:val="28"/>
          <w:u w:val="single"/>
          <w:lang w:val="en-GB"/>
        </w:rPr>
      </w:pPr>
      <w:r w:rsidRPr="00835BBB">
        <w:rPr>
          <w:rFonts w:ascii="Times New Roman" w:hAnsi="Times New Roman" w:cs="Times New Roman"/>
          <w:sz w:val="28"/>
          <w:szCs w:val="28"/>
          <w:u w:val="single"/>
          <w:lang w:val="en-GB"/>
        </w:rPr>
        <w:t>Court of Final Appeal</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r w:rsidRPr="00835BBB">
        <w:rPr>
          <w:rFonts w:ascii="Times New Roman" w:hAnsi="Times New Roman" w:cs="Times New Roman"/>
          <w:i/>
          <w:sz w:val="28"/>
          <w:szCs w:val="28"/>
          <w:lang w:val="en-GB"/>
        </w:rPr>
        <w:t xml:space="preserve">Kong </w:t>
      </w:r>
      <w:proofErr w:type="spellStart"/>
      <w:r w:rsidRPr="00835BBB">
        <w:rPr>
          <w:rFonts w:ascii="Times New Roman" w:hAnsi="Times New Roman" w:cs="Times New Roman"/>
          <w:i/>
          <w:sz w:val="28"/>
          <w:szCs w:val="28"/>
          <w:lang w:val="en-GB"/>
        </w:rPr>
        <w:t>Yunming</w:t>
      </w:r>
      <w:proofErr w:type="spellEnd"/>
      <w:r w:rsidRPr="00835BBB">
        <w:rPr>
          <w:rFonts w:ascii="Times New Roman" w:hAnsi="Times New Roman" w:cs="Times New Roman"/>
          <w:i/>
          <w:sz w:val="28"/>
          <w:szCs w:val="28"/>
          <w:lang w:val="en-GB"/>
        </w:rPr>
        <w:t xml:space="preserve"> v Director of Social Welfare</w:t>
      </w:r>
      <w:r w:rsidRPr="00835BBB">
        <w:rPr>
          <w:rFonts w:ascii="Times New Roman" w:hAnsi="Times New Roman" w:cs="Times New Roman"/>
          <w:sz w:val="28"/>
          <w:szCs w:val="28"/>
          <w:lang w:val="en-GB"/>
        </w:rPr>
        <w:t xml:space="preserve"> (2013) 16 HKCFAR 950 (December 2013)</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 xml:space="preserve">Article 2 (progressive realization of the rights recognized in the Covenant and the exercise of those rights without discrimination) and Article 9 (right to social security) </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r w:rsidRPr="00835BBB">
        <w:rPr>
          <w:rFonts w:ascii="Times New Roman" w:hAnsi="Times New Roman" w:cs="Times New Roman"/>
          <w:i/>
          <w:sz w:val="28"/>
          <w:szCs w:val="28"/>
          <w:lang w:val="en-GB"/>
        </w:rPr>
        <w:t>GA v Director of Immigration</w:t>
      </w:r>
      <w:r w:rsidRPr="00835BBB">
        <w:rPr>
          <w:rFonts w:ascii="Times New Roman" w:hAnsi="Times New Roman" w:cs="Times New Roman"/>
          <w:sz w:val="28"/>
          <w:szCs w:val="28"/>
          <w:lang w:val="en-GB"/>
        </w:rPr>
        <w:t xml:space="preserve"> (2014) 17 HKCFAR 60 (February 2014)</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2 (progressive realization of the rights recognized in the Covenant and the exercise of those rights without discrimination), Article 4 (permissible limitation of Covenant rights) and Article 6 (choice of occupation and labour rights)</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proofErr w:type="spellStart"/>
      <w:r w:rsidRPr="00835BBB">
        <w:rPr>
          <w:rFonts w:ascii="Times New Roman" w:hAnsi="Times New Roman" w:cs="Times New Roman"/>
          <w:i/>
          <w:sz w:val="28"/>
          <w:szCs w:val="28"/>
          <w:lang w:val="en-GB"/>
        </w:rPr>
        <w:t>Comilang</w:t>
      </w:r>
      <w:proofErr w:type="spellEnd"/>
      <w:r w:rsidRPr="00835BBB">
        <w:rPr>
          <w:rFonts w:ascii="Times New Roman" w:hAnsi="Times New Roman" w:cs="Times New Roman"/>
          <w:i/>
          <w:sz w:val="28"/>
          <w:szCs w:val="28"/>
          <w:lang w:val="en-GB"/>
        </w:rPr>
        <w:t xml:space="preserve"> Milagros </w:t>
      </w:r>
      <w:proofErr w:type="spellStart"/>
      <w:r w:rsidRPr="00835BBB">
        <w:rPr>
          <w:rFonts w:ascii="Times New Roman" w:hAnsi="Times New Roman" w:cs="Times New Roman"/>
          <w:i/>
          <w:sz w:val="28"/>
          <w:szCs w:val="28"/>
          <w:lang w:val="en-GB"/>
        </w:rPr>
        <w:t>Tecson</w:t>
      </w:r>
      <w:proofErr w:type="spellEnd"/>
      <w:r w:rsidRPr="00835BBB">
        <w:rPr>
          <w:rFonts w:ascii="Times New Roman" w:hAnsi="Times New Roman" w:cs="Times New Roman"/>
          <w:i/>
          <w:sz w:val="28"/>
          <w:szCs w:val="28"/>
          <w:lang w:val="en-GB"/>
        </w:rPr>
        <w:t xml:space="preserve"> v Director of Immigration</w:t>
      </w:r>
      <w:r w:rsidRPr="00835BBB">
        <w:rPr>
          <w:rFonts w:ascii="Times New Roman" w:hAnsi="Times New Roman" w:cs="Times New Roman"/>
          <w:sz w:val="28"/>
          <w:szCs w:val="28"/>
          <w:lang w:val="en-GB"/>
        </w:rPr>
        <w:t xml:space="preserve"> (2019) 22 HKCFAR 59 (April 2019)</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4 (permissible limitation of Covenant rights) and Article 10 (protection of the family)</w:t>
      </w:r>
    </w:p>
    <w:p w:rsidR="000156D1" w:rsidRPr="00835BBB" w:rsidRDefault="000156D1" w:rsidP="000156D1">
      <w:pPr>
        <w:tabs>
          <w:tab w:val="left" w:pos="1418"/>
        </w:tabs>
        <w:snapToGrid w:val="0"/>
        <w:jc w:val="both"/>
        <w:rPr>
          <w:rFonts w:ascii="Times New Roman" w:hAnsi="Times New Roman" w:cs="Times New Roman"/>
          <w:sz w:val="28"/>
          <w:szCs w:val="28"/>
          <w:lang w:val="en-GB"/>
        </w:rPr>
      </w:pPr>
    </w:p>
    <w:p w:rsidR="000156D1" w:rsidRPr="00835BBB" w:rsidRDefault="000156D1" w:rsidP="000156D1">
      <w:pPr>
        <w:tabs>
          <w:tab w:val="left" w:pos="1418"/>
        </w:tabs>
        <w:snapToGrid w:val="0"/>
        <w:jc w:val="both"/>
        <w:rPr>
          <w:rFonts w:ascii="Times New Roman" w:hAnsi="Times New Roman" w:cs="Times New Roman"/>
          <w:sz w:val="28"/>
          <w:szCs w:val="28"/>
          <w:u w:val="single"/>
          <w:lang w:val="en-GB"/>
        </w:rPr>
      </w:pPr>
      <w:r w:rsidRPr="00835BBB">
        <w:rPr>
          <w:rFonts w:ascii="Times New Roman" w:hAnsi="Times New Roman" w:cs="Times New Roman"/>
          <w:sz w:val="28"/>
          <w:szCs w:val="28"/>
          <w:u w:val="single"/>
          <w:lang w:val="en-GB"/>
        </w:rPr>
        <w:t>Court of Appeal</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r w:rsidRPr="00835BBB">
        <w:rPr>
          <w:rFonts w:ascii="Times New Roman" w:hAnsi="Times New Roman" w:cs="Times New Roman"/>
          <w:i/>
          <w:sz w:val="28"/>
          <w:szCs w:val="28"/>
          <w:lang w:val="en-GB"/>
        </w:rPr>
        <w:t xml:space="preserve">Leung Sze </w:t>
      </w:r>
      <w:proofErr w:type="spellStart"/>
      <w:r w:rsidRPr="00835BBB">
        <w:rPr>
          <w:rFonts w:ascii="Times New Roman" w:hAnsi="Times New Roman" w:cs="Times New Roman"/>
          <w:i/>
          <w:sz w:val="28"/>
          <w:szCs w:val="28"/>
          <w:lang w:val="en-GB"/>
        </w:rPr>
        <w:t>Ho</w:t>
      </w:r>
      <w:proofErr w:type="spellEnd"/>
      <w:r w:rsidRPr="00835BBB">
        <w:rPr>
          <w:rFonts w:ascii="Times New Roman" w:hAnsi="Times New Roman" w:cs="Times New Roman"/>
          <w:i/>
          <w:sz w:val="28"/>
          <w:szCs w:val="28"/>
          <w:lang w:val="en-GB"/>
        </w:rPr>
        <w:t xml:space="preserve"> Albert v Bar Council of Hong Kong Bar Association </w:t>
      </w:r>
      <w:r w:rsidR="00FA4306">
        <w:rPr>
          <w:rFonts w:ascii="Times New Roman" w:hAnsi="Times New Roman" w:cs="Times New Roman"/>
          <w:sz w:val="28"/>
          <w:szCs w:val="28"/>
          <w:lang w:val="en-GB"/>
        </w:rPr>
        <w:t>(</w:t>
      </w:r>
      <w:r w:rsidRPr="00835BBB">
        <w:rPr>
          <w:rFonts w:ascii="Times New Roman" w:hAnsi="Times New Roman" w:cs="Times New Roman"/>
          <w:sz w:val="28"/>
          <w:szCs w:val="28"/>
          <w:lang w:val="en-GB"/>
        </w:rPr>
        <w:t>2016</w:t>
      </w:r>
      <w:r w:rsidR="00FA4306">
        <w:rPr>
          <w:rFonts w:ascii="Times New Roman" w:hAnsi="Times New Roman" w:cs="Times New Roman"/>
          <w:sz w:val="28"/>
          <w:szCs w:val="28"/>
          <w:lang w:val="en-GB"/>
        </w:rPr>
        <w:t>)</w:t>
      </w:r>
      <w:r w:rsidR="00FA4306" w:rsidRPr="00835BBB">
        <w:rPr>
          <w:rFonts w:ascii="Times New Roman" w:hAnsi="Times New Roman" w:cs="Times New Roman"/>
          <w:sz w:val="28"/>
          <w:szCs w:val="28"/>
          <w:lang w:val="en-GB"/>
        </w:rPr>
        <w:t xml:space="preserve"> </w:t>
      </w:r>
      <w:r w:rsidRPr="00835BBB">
        <w:rPr>
          <w:rFonts w:ascii="Times New Roman" w:hAnsi="Times New Roman" w:cs="Times New Roman"/>
          <w:sz w:val="28"/>
          <w:szCs w:val="28"/>
          <w:lang w:val="en-GB"/>
        </w:rPr>
        <w:t>5 HKLRD 542 (October 2016)</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6 (choice of occupation and labour rights)</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proofErr w:type="spellStart"/>
      <w:r w:rsidRPr="00835BBB">
        <w:rPr>
          <w:rFonts w:ascii="Times New Roman" w:hAnsi="Times New Roman" w:cs="Times New Roman"/>
          <w:i/>
          <w:sz w:val="28"/>
          <w:szCs w:val="28"/>
          <w:lang w:val="en-GB"/>
        </w:rPr>
        <w:t>Lubiano</w:t>
      </w:r>
      <w:proofErr w:type="spellEnd"/>
      <w:r w:rsidRPr="00835BBB">
        <w:rPr>
          <w:rFonts w:ascii="Times New Roman" w:hAnsi="Times New Roman" w:cs="Times New Roman"/>
          <w:i/>
          <w:sz w:val="28"/>
          <w:szCs w:val="28"/>
          <w:lang w:val="en-GB"/>
        </w:rPr>
        <w:t xml:space="preserve"> Nancy </w:t>
      </w:r>
      <w:proofErr w:type="spellStart"/>
      <w:r w:rsidRPr="00835BBB">
        <w:rPr>
          <w:rFonts w:ascii="Times New Roman" w:hAnsi="Times New Roman" w:cs="Times New Roman"/>
          <w:i/>
          <w:sz w:val="28"/>
          <w:szCs w:val="28"/>
          <w:lang w:val="en-GB"/>
        </w:rPr>
        <w:t>Almorin</w:t>
      </w:r>
      <w:proofErr w:type="spellEnd"/>
      <w:r w:rsidRPr="00835BBB">
        <w:rPr>
          <w:rFonts w:ascii="Times New Roman" w:hAnsi="Times New Roman" w:cs="Times New Roman"/>
          <w:i/>
          <w:sz w:val="28"/>
          <w:szCs w:val="28"/>
          <w:lang w:val="en-GB"/>
        </w:rPr>
        <w:t xml:space="preserve"> v Director of Immigration</w:t>
      </w:r>
      <w:r w:rsidRPr="00835BBB">
        <w:rPr>
          <w:rFonts w:ascii="Times New Roman" w:hAnsi="Times New Roman" w:cs="Times New Roman"/>
          <w:sz w:val="28"/>
          <w:szCs w:val="28"/>
          <w:lang w:val="en-GB"/>
        </w:rPr>
        <w:t xml:space="preserve"> </w:t>
      </w:r>
      <w:r w:rsidR="00293007">
        <w:rPr>
          <w:rFonts w:ascii="Times New Roman" w:hAnsi="Times New Roman" w:cs="Times New Roman"/>
          <w:sz w:val="28"/>
          <w:szCs w:val="28"/>
          <w:lang w:val="en-GB"/>
        </w:rPr>
        <w:t>(</w:t>
      </w:r>
      <w:r w:rsidRPr="00835BBB">
        <w:rPr>
          <w:rFonts w:ascii="Times New Roman" w:hAnsi="Times New Roman" w:cs="Times New Roman"/>
          <w:sz w:val="28"/>
          <w:szCs w:val="28"/>
          <w:lang w:val="en-GB"/>
        </w:rPr>
        <w:t>2020</w:t>
      </w:r>
      <w:r w:rsidR="00293007">
        <w:rPr>
          <w:rFonts w:ascii="Times New Roman" w:hAnsi="Times New Roman" w:cs="Times New Roman"/>
          <w:sz w:val="28"/>
          <w:szCs w:val="28"/>
          <w:lang w:val="en-GB"/>
        </w:rPr>
        <w:t>)</w:t>
      </w:r>
      <w:r w:rsidR="00293007" w:rsidRPr="00835BBB">
        <w:rPr>
          <w:rFonts w:ascii="Times New Roman" w:hAnsi="Times New Roman" w:cs="Times New Roman"/>
          <w:sz w:val="28"/>
          <w:szCs w:val="28"/>
          <w:lang w:val="en-GB"/>
        </w:rPr>
        <w:t xml:space="preserve"> </w:t>
      </w:r>
      <w:r w:rsidRPr="00835BBB">
        <w:rPr>
          <w:rFonts w:ascii="Times New Roman" w:hAnsi="Times New Roman" w:cs="Times New Roman"/>
          <w:sz w:val="28"/>
          <w:szCs w:val="28"/>
          <w:lang w:val="en-GB"/>
        </w:rPr>
        <w:t>5 HKLRD 107 (September 2020)</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6 (choice of occupation and labour rights) and Article 7 (right to enjoy just and favourable conditions of work)</w:t>
      </w:r>
    </w:p>
    <w:p w:rsidR="000156D1" w:rsidRPr="00835BBB" w:rsidRDefault="000156D1" w:rsidP="000156D1">
      <w:pPr>
        <w:tabs>
          <w:tab w:val="left" w:pos="1418"/>
        </w:tabs>
        <w:snapToGrid w:val="0"/>
        <w:jc w:val="both"/>
        <w:rPr>
          <w:rFonts w:ascii="Times New Roman" w:hAnsi="Times New Roman" w:cs="Times New Roman"/>
          <w:sz w:val="28"/>
          <w:szCs w:val="28"/>
          <w:lang w:val="en-GB"/>
        </w:rPr>
      </w:pPr>
    </w:p>
    <w:p w:rsidR="000156D1" w:rsidRPr="00835BBB" w:rsidRDefault="000156D1" w:rsidP="000156D1">
      <w:pPr>
        <w:tabs>
          <w:tab w:val="left" w:pos="1418"/>
        </w:tabs>
        <w:snapToGrid w:val="0"/>
        <w:jc w:val="both"/>
        <w:rPr>
          <w:rFonts w:ascii="Times New Roman" w:hAnsi="Times New Roman" w:cs="Times New Roman"/>
          <w:sz w:val="28"/>
          <w:szCs w:val="28"/>
          <w:u w:val="single"/>
          <w:lang w:val="en-GB"/>
        </w:rPr>
      </w:pPr>
      <w:r w:rsidRPr="00835BBB">
        <w:rPr>
          <w:rFonts w:ascii="Times New Roman" w:hAnsi="Times New Roman" w:cs="Times New Roman"/>
          <w:sz w:val="28"/>
          <w:szCs w:val="28"/>
          <w:u w:val="single"/>
          <w:lang w:val="en-GB"/>
        </w:rPr>
        <w:t>Court of First Instance</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r w:rsidRPr="00835BBB">
        <w:rPr>
          <w:rFonts w:ascii="Times New Roman" w:hAnsi="Times New Roman" w:cs="Times New Roman"/>
          <w:i/>
          <w:sz w:val="28"/>
          <w:szCs w:val="28"/>
          <w:lang w:val="en-GB"/>
        </w:rPr>
        <w:t xml:space="preserve">Secretary for Justice v Liu Wing </w:t>
      </w:r>
      <w:proofErr w:type="spellStart"/>
      <w:r w:rsidRPr="00835BBB">
        <w:rPr>
          <w:rFonts w:ascii="Times New Roman" w:hAnsi="Times New Roman" w:cs="Times New Roman"/>
          <w:i/>
          <w:sz w:val="28"/>
          <w:szCs w:val="28"/>
          <w:lang w:val="en-GB"/>
        </w:rPr>
        <w:t>Kwong</w:t>
      </w:r>
      <w:proofErr w:type="spellEnd"/>
      <w:r w:rsidRPr="00835BBB">
        <w:rPr>
          <w:rFonts w:ascii="Times New Roman" w:hAnsi="Times New Roman" w:cs="Times New Roman"/>
          <w:sz w:val="28"/>
          <w:szCs w:val="28"/>
          <w:lang w:val="en-GB"/>
        </w:rPr>
        <w:t xml:space="preserve"> </w:t>
      </w:r>
      <w:r w:rsidR="00293007">
        <w:rPr>
          <w:rFonts w:ascii="Times New Roman" w:hAnsi="Times New Roman" w:cs="Times New Roman"/>
          <w:sz w:val="28"/>
          <w:szCs w:val="28"/>
          <w:lang w:val="en-GB"/>
        </w:rPr>
        <w:t>(</w:t>
      </w:r>
      <w:r w:rsidRPr="00835BBB">
        <w:rPr>
          <w:rFonts w:ascii="Times New Roman" w:hAnsi="Times New Roman" w:cs="Times New Roman"/>
          <w:sz w:val="28"/>
          <w:szCs w:val="28"/>
          <w:lang w:val="en-GB"/>
        </w:rPr>
        <w:t>2014</w:t>
      </w:r>
      <w:r w:rsidR="00293007">
        <w:rPr>
          <w:rFonts w:ascii="Times New Roman" w:hAnsi="Times New Roman" w:cs="Times New Roman"/>
          <w:sz w:val="28"/>
          <w:szCs w:val="28"/>
          <w:lang w:val="en-GB"/>
        </w:rPr>
        <w:t>)</w:t>
      </w:r>
      <w:r w:rsidR="00293007" w:rsidRPr="00835BBB">
        <w:rPr>
          <w:rFonts w:ascii="Times New Roman" w:hAnsi="Times New Roman" w:cs="Times New Roman"/>
          <w:sz w:val="28"/>
          <w:szCs w:val="28"/>
          <w:lang w:val="en-GB"/>
        </w:rPr>
        <w:t xml:space="preserve"> </w:t>
      </w:r>
      <w:r w:rsidRPr="00835BBB">
        <w:rPr>
          <w:rFonts w:ascii="Times New Roman" w:hAnsi="Times New Roman" w:cs="Times New Roman"/>
          <w:sz w:val="28"/>
          <w:szCs w:val="28"/>
          <w:lang w:val="en-GB"/>
        </w:rPr>
        <w:t>2 HKLRD 155 (July 2013)</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4 (permissible limitation of Covenant rights)</w:t>
      </w:r>
      <w:r w:rsidR="00BF1DF3">
        <w:rPr>
          <w:rFonts w:ascii="Times New Roman" w:hAnsi="Times New Roman" w:cs="Times New Roman"/>
          <w:sz w:val="28"/>
          <w:szCs w:val="28"/>
          <w:lang w:val="en-GB"/>
        </w:rPr>
        <w:t xml:space="preserve"> </w:t>
      </w:r>
    </w:p>
    <w:p w:rsidR="000156D1" w:rsidRPr="00835BBB" w:rsidRDefault="000156D1" w:rsidP="000156D1">
      <w:pPr>
        <w:numPr>
          <w:ilvl w:val="0"/>
          <w:numId w:val="2"/>
        </w:numPr>
        <w:tabs>
          <w:tab w:val="left" w:pos="1418"/>
        </w:tabs>
        <w:snapToGrid w:val="0"/>
        <w:ind w:left="471" w:hanging="471"/>
        <w:jc w:val="both"/>
        <w:rPr>
          <w:rFonts w:ascii="Times New Roman" w:hAnsi="Times New Roman" w:cs="Times New Roman"/>
          <w:sz w:val="28"/>
          <w:szCs w:val="28"/>
          <w:lang w:val="en-GB"/>
        </w:rPr>
      </w:pPr>
      <w:proofErr w:type="spellStart"/>
      <w:r w:rsidRPr="00835BBB">
        <w:rPr>
          <w:rFonts w:ascii="Times New Roman" w:hAnsi="Times New Roman" w:cs="Times New Roman"/>
          <w:i/>
          <w:sz w:val="28"/>
          <w:szCs w:val="28"/>
          <w:lang w:val="en-GB"/>
        </w:rPr>
        <w:t>Loh</w:t>
      </w:r>
      <w:proofErr w:type="spellEnd"/>
      <w:r w:rsidRPr="00835BBB">
        <w:rPr>
          <w:rFonts w:ascii="Times New Roman" w:hAnsi="Times New Roman" w:cs="Times New Roman"/>
          <w:i/>
          <w:sz w:val="28"/>
          <w:szCs w:val="28"/>
          <w:lang w:val="en-GB"/>
        </w:rPr>
        <w:t xml:space="preserve"> Ming Yin v Hong Kong Examinations and Assessment Authority</w:t>
      </w:r>
      <w:r w:rsidRPr="00835BBB">
        <w:rPr>
          <w:rFonts w:ascii="Times New Roman" w:hAnsi="Times New Roman" w:cs="Times New Roman"/>
          <w:sz w:val="28"/>
          <w:szCs w:val="28"/>
          <w:lang w:val="en-GB"/>
        </w:rPr>
        <w:t xml:space="preserve"> </w:t>
      </w:r>
      <w:r w:rsidR="00293007">
        <w:rPr>
          <w:rFonts w:ascii="Times New Roman" w:hAnsi="Times New Roman" w:cs="Times New Roman"/>
          <w:sz w:val="28"/>
          <w:szCs w:val="28"/>
          <w:lang w:val="en-GB"/>
        </w:rPr>
        <w:t>(</w:t>
      </w:r>
      <w:r w:rsidRPr="00835BBB">
        <w:rPr>
          <w:rFonts w:ascii="Times New Roman" w:hAnsi="Times New Roman" w:cs="Times New Roman"/>
          <w:sz w:val="28"/>
          <w:szCs w:val="28"/>
          <w:lang w:val="en-GB"/>
        </w:rPr>
        <w:t>2020</w:t>
      </w:r>
      <w:r w:rsidR="00293007">
        <w:rPr>
          <w:rFonts w:ascii="Times New Roman" w:hAnsi="Times New Roman" w:cs="Times New Roman"/>
          <w:sz w:val="28"/>
          <w:szCs w:val="28"/>
          <w:lang w:val="en-GB"/>
        </w:rPr>
        <w:t>)</w:t>
      </w:r>
      <w:r w:rsidR="00293007" w:rsidRPr="00835BBB">
        <w:rPr>
          <w:rFonts w:ascii="Times New Roman" w:hAnsi="Times New Roman" w:cs="Times New Roman"/>
          <w:sz w:val="28"/>
          <w:szCs w:val="28"/>
          <w:lang w:val="en-GB"/>
        </w:rPr>
        <w:t xml:space="preserve"> </w:t>
      </w:r>
      <w:r w:rsidRPr="00835BBB">
        <w:rPr>
          <w:rFonts w:ascii="Times New Roman" w:hAnsi="Times New Roman" w:cs="Times New Roman"/>
          <w:sz w:val="28"/>
          <w:szCs w:val="28"/>
          <w:lang w:val="en-GB"/>
        </w:rPr>
        <w:t xml:space="preserve">6 HKC 565 (July 2020) </w:t>
      </w:r>
    </w:p>
    <w:p w:rsidR="000156D1" w:rsidRPr="00835BBB" w:rsidRDefault="000156D1" w:rsidP="000156D1">
      <w:pPr>
        <w:numPr>
          <w:ilvl w:val="0"/>
          <w:numId w:val="3"/>
        </w:numPr>
        <w:tabs>
          <w:tab w:val="left" w:pos="1418"/>
        </w:tabs>
        <w:snapToGrid w:val="0"/>
        <w:jc w:val="both"/>
        <w:rPr>
          <w:rFonts w:ascii="Times New Roman" w:hAnsi="Times New Roman" w:cs="Times New Roman"/>
          <w:sz w:val="28"/>
          <w:szCs w:val="28"/>
          <w:lang w:val="en-GB"/>
        </w:rPr>
      </w:pPr>
      <w:r w:rsidRPr="00835BBB">
        <w:rPr>
          <w:rFonts w:ascii="Times New Roman" w:hAnsi="Times New Roman" w:cs="Times New Roman"/>
          <w:sz w:val="28"/>
          <w:szCs w:val="28"/>
          <w:lang w:val="en-GB"/>
        </w:rPr>
        <w:t>Article 13 (right to education)</w:t>
      </w:r>
    </w:p>
    <w:p w:rsidR="00A875C2" w:rsidRPr="00433C36" w:rsidRDefault="00A875C2">
      <w:pPr>
        <w:widowControl/>
        <w:rPr>
          <w:rFonts w:ascii="Times New Roman" w:hAnsi="Times New Roman" w:cs="Times New Roman"/>
          <w:sz w:val="28"/>
          <w:szCs w:val="28"/>
        </w:rPr>
      </w:pPr>
      <w:r w:rsidRPr="00433C36">
        <w:rPr>
          <w:rFonts w:ascii="Times New Roman" w:hAnsi="Times New Roman" w:cs="Times New Roman"/>
          <w:sz w:val="28"/>
          <w:szCs w:val="28"/>
        </w:rPr>
        <w:br w:type="page"/>
      </w:r>
    </w:p>
    <w:p w:rsidR="0082270A" w:rsidRDefault="0082270A" w:rsidP="00400DF0">
      <w:pPr>
        <w:widowControl/>
        <w:jc w:val="right"/>
        <w:rPr>
          <w:rFonts w:ascii="Times New Roman" w:hAnsi="Times New Roman" w:cs="Times New Roman"/>
          <w:color w:val="0000FF"/>
          <w:sz w:val="28"/>
          <w:szCs w:val="28"/>
        </w:rPr>
      </w:pPr>
      <w:r w:rsidRPr="00495460">
        <w:rPr>
          <w:rFonts w:ascii="Times New Roman" w:hAnsi="Times New Roman" w:cs="Times New Roman"/>
          <w:b/>
          <w:sz w:val="28"/>
          <w:szCs w:val="28"/>
          <w:u w:val="single"/>
        </w:rPr>
        <w:lastRenderedPageBreak/>
        <w:t>Annex</w:t>
      </w:r>
      <w:r w:rsidR="004E6A8D">
        <w:rPr>
          <w:rFonts w:ascii="Times New Roman" w:hAnsi="Times New Roman" w:cs="Times New Roman"/>
          <w:b/>
          <w:sz w:val="28"/>
          <w:szCs w:val="28"/>
          <w:u w:val="single"/>
        </w:rPr>
        <w:t xml:space="preserve"> 2</w:t>
      </w:r>
    </w:p>
    <w:p w:rsidR="0082270A" w:rsidRDefault="0082270A">
      <w:pPr>
        <w:widowControl/>
        <w:rPr>
          <w:rFonts w:ascii="Times New Roman" w:hAnsi="Times New Roman" w:cs="Times New Roman"/>
          <w:color w:val="0000FF"/>
          <w:sz w:val="28"/>
          <w:szCs w:val="28"/>
        </w:rPr>
      </w:pPr>
    </w:p>
    <w:p w:rsidR="0082270A" w:rsidRPr="00400DF0" w:rsidRDefault="00FF69CD" w:rsidP="00400DF0">
      <w:pPr>
        <w:widowControl/>
        <w:jc w:val="center"/>
        <w:rPr>
          <w:rFonts w:ascii="Times New Roman" w:hAnsi="Times New Roman" w:cs="Times New Roman"/>
          <w:b/>
          <w:color w:val="000000" w:themeColor="text1"/>
          <w:sz w:val="28"/>
          <w:szCs w:val="28"/>
          <w:u w:val="single"/>
        </w:rPr>
      </w:pPr>
      <w:r w:rsidRPr="00400DF0">
        <w:rPr>
          <w:rFonts w:ascii="Times New Roman" w:hAnsi="Times New Roman" w:cs="Times New Roman"/>
          <w:b/>
          <w:color w:val="000000" w:themeColor="text1"/>
          <w:sz w:val="28"/>
          <w:szCs w:val="28"/>
          <w:u w:val="single"/>
        </w:rPr>
        <w:t>Legal aid services and eligibility</w:t>
      </w:r>
    </w:p>
    <w:p w:rsidR="00FF69CD" w:rsidRDefault="00FF69CD" w:rsidP="00400DF0">
      <w:pPr>
        <w:widowControl/>
        <w:jc w:val="center"/>
        <w:rPr>
          <w:rFonts w:ascii="Times New Roman" w:hAnsi="Times New Roman" w:cs="Times New Roman"/>
          <w:color w:val="000000" w:themeColor="text1"/>
          <w:sz w:val="28"/>
          <w:szCs w:val="28"/>
        </w:rPr>
      </w:pPr>
    </w:p>
    <w:p w:rsidR="0082270A" w:rsidRPr="00400DF0" w:rsidRDefault="00C4139E" w:rsidP="00400DF0">
      <w:pPr>
        <w:tabs>
          <w:tab w:val="left" w:pos="1440"/>
        </w:tabs>
        <w:snapToGrid w:val="0"/>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FF69CD">
        <w:rPr>
          <w:rFonts w:ascii="Times New Roman" w:hAnsi="Times New Roman" w:cs="Times New Roman"/>
          <w:sz w:val="28"/>
          <w:szCs w:val="28"/>
        </w:rPr>
        <w:tab/>
      </w:r>
      <w:r w:rsidR="00FF69CD" w:rsidRPr="009E3037">
        <w:rPr>
          <w:rFonts w:ascii="Times New Roman" w:hAnsi="Times New Roman" w:cs="Times New Roman"/>
          <w:sz w:val="28"/>
          <w:szCs w:val="28"/>
        </w:rPr>
        <w:t>Legal aid is availabl</w:t>
      </w:r>
      <w:r w:rsidR="00FF69CD">
        <w:rPr>
          <w:rFonts w:ascii="Times New Roman" w:hAnsi="Times New Roman" w:cs="Times New Roman"/>
          <w:sz w:val="28"/>
          <w:szCs w:val="28"/>
        </w:rPr>
        <w:t>e for</w:t>
      </w:r>
      <w:r w:rsidR="00FF69CD" w:rsidRPr="00FF69CD">
        <w:rPr>
          <w:rFonts w:ascii="Times New Roman" w:hAnsi="Times New Roman" w:cs="Times New Roman"/>
          <w:color w:val="000000" w:themeColor="text1"/>
          <w:sz w:val="28"/>
          <w:szCs w:val="28"/>
        </w:rPr>
        <w:t xml:space="preserve"> </w:t>
      </w:r>
      <w:r w:rsidR="0082270A" w:rsidRPr="00400DF0">
        <w:rPr>
          <w:rFonts w:ascii="Times New Roman" w:hAnsi="Times New Roman" w:cs="Times New Roman"/>
          <w:color w:val="000000" w:themeColor="text1"/>
          <w:sz w:val="28"/>
          <w:szCs w:val="28"/>
        </w:rPr>
        <w:t xml:space="preserve">civil proceedings in the District Court, Court of First Instance, Court of Appeal and Court of Final Appeal; applications to the Mental Health Review Tribunal; and death inquests if the interests of public justice so require.  Criminal legal aid is also available in the Court of First Instance and the District Court, committal proceedings in the Magistrates’ Courts, appeals from the Magistrates’ Courts and appeals to the Court of Appeal and Court of Final Appeal. </w:t>
      </w:r>
    </w:p>
    <w:p w:rsidR="0082270A" w:rsidRPr="00400DF0" w:rsidRDefault="0082270A" w:rsidP="00400DF0">
      <w:pPr>
        <w:widowControl/>
        <w:jc w:val="both"/>
        <w:rPr>
          <w:rFonts w:ascii="Times New Roman" w:hAnsi="Times New Roman" w:cs="Times New Roman"/>
          <w:color w:val="000000" w:themeColor="text1"/>
          <w:sz w:val="28"/>
          <w:szCs w:val="28"/>
        </w:rPr>
      </w:pPr>
    </w:p>
    <w:p w:rsidR="0082270A" w:rsidRPr="00400DF0" w:rsidRDefault="00C4139E" w:rsidP="00400DF0">
      <w:pPr>
        <w:tabs>
          <w:tab w:val="left" w:pos="1440"/>
        </w:tabs>
        <w:snapToGri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2270A" w:rsidRPr="00400DF0">
        <w:rPr>
          <w:rFonts w:ascii="Times New Roman" w:hAnsi="Times New Roman" w:cs="Times New Roman"/>
          <w:color w:val="000000" w:themeColor="text1"/>
          <w:sz w:val="28"/>
          <w:szCs w:val="28"/>
        </w:rPr>
        <w:tab/>
        <w:t xml:space="preserve">In order to be eligible for civil legal aid, an applicant has to meet a statutory financial eligibility limit and to show that there are reasonable grounds for bringing or defending the proceedings.  The Director of Legal Aid (“DLA”) may waive the statutory financial eligibility limit in meritorious cases where a breach of the </w:t>
      </w:r>
      <w:r w:rsidR="00FF69CD" w:rsidRPr="006F7D7E">
        <w:rPr>
          <w:rFonts w:ascii="Times New Roman" w:hAnsi="Times New Roman" w:cs="Times New Roman"/>
          <w:sz w:val="28"/>
          <w:szCs w:val="28"/>
          <w:lang w:val="en-GB"/>
        </w:rPr>
        <w:t>Hong Kong Bill of Rights Ordinance</w:t>
      </w:r>
      <w:r w:rsidR="00FF69CD">
        <w:rPr>
          <w:rFonts w:ascii="Times New Roman" w:hAnsi="Times New Roman" w:cs="Times New Roman"/>
          <w:color w:val="000000" w:themeColor="text1"/>
          <w:sz w:val="28"/>
          <w:szCs w:val="28"/>
        </w:rPr>
        <w:t xml:space="preserve"> </w:t>
      </w:r>
      <w:r w:rsidR="002F2118">
        <w:rPr>
          <w:rFonts w:ascii="Times New Roman" w:hAnsi="Times New Roman" w:cs="Times New Roman"/>
          <w:color w:val="000000" w:themeColor="text1"/>
          <w:sz w:val="28"/>
          <w:szCs w:val="28"/>
        </w:rPr>
        <w:t>(</w:t>
      </w:r>
      <w:r w:rsidR="002F2118" w:rsidRPr="002F2118">
        <w:rPr>
          <w:rFonts w:ascii="Times New Roman" w:hAnsi="Times New Roman" w:cs="Times New Roman"/>
          <w:color w:val="000000" w:themeColor="text1"/>
          <w:sz w:val="28"/>
          <w:szCs w:val="28"/>
        </w:rPr>
        <w:t>Cap. 383</w:t>
      </w:r>
      <w:r w:rsidR="002F2118">
        <w:rPr>
          <w:rFonts w:ascii="Times New Roman" w:hAnsi="Times New Roman" w:cs="Times New Roman"/>
          <w:color w:val="000000" w:themeColor="text1"/>
          <w:sz w:val="28"/>
          <w:szCs w:val="28"/>
        </w:rPr>
        <w:t xml:space="preserve">) </w:t>
      </w:r>
      <w:r w:rsidR="0082270A" w:rsidRPr="00400DF0">
        <w:rPr>
          <w:rFonts w:ascii="Times New Roman" w:hAnsi="Times New Roman" w:cs="Times New Roman"/>
          <w:color w:val="000000" w:themeColor="text1"/>
          <w:sz w:val="28"/>
          <w:szCs w:val="28"/>
        </w:rPr>
        <w:t>or an inconsistency with the International Covenant on Civil and Political Rights as applied to Hong Kong is an issue.</w:t>
      </w:r>
    </w:p>
    <w:p w:rsidR="0082270A" w:rsidRPr="00400DF0" w:rsidRDefault="0082270A" w:rsidP="00400DF0">
      <w:pPr>
        <w:widowControl/>
        <w:jc w:val="both"/>
        <w:rPr>
          <w:rFonts w:ascii="Times New Roman" w:hAnsi="Times New Roman" w:cs="Times New Roman"/>
          <w:color w:val="000000" w:themeColor="text1"/>
          <w:sz w:val="28"/>
          <w:szCs w:val="28"/>
        </w:rPr>
      </w:pPr>
    </w:p>
    <w:p w:rsidR="0082270A" w:rsidRDefault="00C4139E" w:rsidP="00400DF0">
      <w:pPr>
        <w:tabs>
          <w:tab w:val="left" w:pos="1440"/>
        </w:tabs>
        <w:snapToGrid w:val="0"/>
        <w:jc w:val="both"/>
        <w:rPr>
          <w:rFonts w:ascii="Times New Roman" w:hAnsi="Times New Roman" w:cs="Times New Roman"/>
          <w:i/>
          <w:color w:val="0000FF"/>
          <w:sz w:val="28"/>
          <w:szCs w:val="28"/>
        </w:rPr>
      </w:pPr>
      <w:r>
        <w:rPr>
          <w:rFonts w:ascii="Times New Roman" w:hAnsi="Times New Roman" w:cs="Times New Roman"/>
          <w:color w:val="000000" w:themeColor="text1"/>
          <w:sz w:val="28"/>
          <w:szCs w:val="28"/>
        </w:rPr>
        <w:t>3.</w:t>
      </w:r>
      <w:r w:rsidR="0082270A" w:rsidRPr="00400DF0">
        <w:rPr>
          <w:rFonts w:ascii="Times New Roman" w:hAnsi="Times New Roman" w:cs="Times New Roman"/>
          <w:color w:val="000000" w:themeColor="text1"/>
          <w:sz w:val="28"/>
          <w:szCs w:val="28"/>
        </w:rPr>
        <w:tab/>
        <w:t>For applicants facing criminal trials, those who pass both means test and merit test (i.e. if it is desirable in the interests of justice to grant legal aid) are eligible for legal aid.  For appeals, it must be shown there are reasonable grounds to appeal, except where the applicant has been convicted of murder, treason or piracy with violence.  DLA has the discretion to grant legal aid in a criminal case where the applicant’s financial resources exceed the eligibility limit, if it is desirable in the interests of justice to do so, subject to the payment of a contribution at higher rates calculated according to the applicant’s financial resources.</w:t>
      </w:r>
      <w:r w:rsidR="0082270A">
        <w:rPr>
          <w:rFonts w:ascii="Times New Roman" w:hAnsi="Times New Roman" w:cs="Times New Roman"/>
          <w:i/>
          <w:color w:val="0000FF"/>
          <w:sz w:val="28"/>
          <w:szCs w:val="28"/>
        </w:rPr>
        <w:br w:type="page"/>
      </w:r>
    </w:p>
    <w:p w:rsidR="00836075" w:rsidRPr="00836075" w:rsidRDefault="004E6A8D" w:rsidP="00836075">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9B5E49">
        <w:rPr>
          <w:rFonts w:ascii="Times New Roman" w:hAnsi="Times New Roman" w:cs="Times New Roman"/>
          <w:b/>
          <w:sz w:val="28"/>
          <w:szCs w:val="28"/>
          <w:u w:val="single"/>
        </w:rPr>
        <w:t>3</w:t>
      </w:r>
    </w:p>
    <w:p w:rsidR="00836075" w:rsidRDefault="00836075" w:rsidP="00836075">
      <w:pPr>
        <w:tabs>
          <w:tab w:val="left" w:pos="1440"/>
        </w:tabs>
        <w:snapToGrid w:val="0"/>
        <w:ind w:leftChars="297" w:left="1428" w:hangingChars="255" w:hanging="715"/>
        <w:jc w:val="center"/>
        <w:rPr>
          <w:rFonts w:ascii="Times New Roman" w:hAnsi="Times New Roman" w:cs="Times New Roman"/>
          <w:b/>
          <w:sz w:val="28"/>
          <w:szCs w:val="28"/>
          <w:u w:val="single"/>
        </w:rPr>
      </w:pPr>
    </w:p>
    <w:p w:rsidR="00836075" w:rsidRPr="0066054F" w:rsidRDefault="00836075" w:rsidP="0066054F">
      <w:pPr>
        <w:widowControl/>
        <w:jc w:val="center"/>
        <w:rPr>
          <w:rFonts w:ascii="Times New Roman" w:hAnsi="Times New Roman" w:cs="Times New Roman"/>
          <w:b/>
          <w:color w:val="000000" w:themeColor="text1"/>
          <w:sz w:val="28"/>
          <w:szCs w:val="28"/>
          <w:u w:val="single"/>
        </w:rPr>
      </w:pPr>
      <w:r w:rsidRPr="0066054F">
        <w:rPr>
          <w:rFonts w:ascii="Times New Roman" w:hAnsi="Times New Roman" w:cs="Times New Roman"/>
          <w:b/>
          <w:color w:val="000000" w:themeColor="text1"/>
          <w:sz w:val="28"/>
          <w:szCs w:val="28"/>
          <w:u w:val="single"/>
        </w:rPr>
        <w:t>Pre- and post-intervention poverty rate since 2009</w:t>
      </w:r>
    </w:p>
    <w:p w:rsidR="00836075" w:rsidRDefault="00836075" w:rsidP="00495460">
      <w:pPr>
        <w:tabs>
          <w:tab w:val="left" w:pos="1440"/>
        </w:tabs>
        <w:snapToGrid w:val="0"/>
        <w:ind w:leftChars="297" w:left="1427" w:hangingChars="255" w:hanging="714"/>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129"/>
        <w:gridCol w:w="2552"/>
        <w:gridCol w:w="2520"/>
        <w:gridCol w:w="2794"/>
      </w:tblGrid>
      <w:tr w:rsidR="00836075" w:rsidRPr="000A48AD" w:rsidTr="00433C36">
        <w:tc>
          <w:tcPr>
            <w:tcW w:w="1129" w:type="dxa"/>
          </w:tcPr>
          <w:p w:rsidR="00836075" w:rsidRPr="000A48AD" w:rsidRDefault="00836075" w:rsidP="00433C36">
            <w:pPr>
              <w:snapToGrid w:val="0"/>
              <w:spacing w:before="16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Year</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Pre-intervention poverty rate (%)</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Post-intervention poverty rate (%)</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Reduction in poverty rate (% points)</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2009</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20.6</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9.9</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-10.7</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2010</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9.4</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-10.7</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2011</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19.6</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7.1</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-12.5</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2012</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19.6</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7.8</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-11.8</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2013</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19.9</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8.4</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-11.5</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2014</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19.6</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8.8</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-10.8</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2015</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19.7</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8.6</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-11.1</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2016</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19.9</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9.7</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-10.2</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2017</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9.8</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-10.3</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2018</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20.4</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9.3</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-11.1</w:t>
            </w:r>
          </w:p>
        </w:tc>
      </w:tr>
      <w:tr w:rsidR="00836075" w:rsidRPr="000A48AD" w:rsidTr="00433C36">
        <w:tc>
          <w:tcPr>
            <w:tcW w:w="1129"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2019</w:t>
            </w:r>
          </w:p>
        </w:tc>
        <w:tc>
          <w:tcPr>
            <w:tcW w:w="2552"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21.4</w:t>
            </w:r>
          </w:p>
        </w:tc>
        <w:tc>
          <w:tcPr>
            <w:tcW w:w="2520"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9.2</w:t>
            </w:r>
          </w:p>
        </w:tc>
        <w:tc>
          <w:tcPr>
            <w:tcW w:w="2794" w:type="dxa"/>
          </w:tcPr>
          <w:p w:rsidR="00836075" w:rsidRPr="000A48AD" w:rsidRDefault="00836075" w:rsidP="00433C36">
            <w:pPr>
              <w:snapToGrid w:val="0"/>
              <w:jc w:val="center"/>
              <w:rPr>
                <w:rFonts w:ascii="Times New Roman" w:hAnsi="Times New Roman" w:cs="Times New Roman"/>
                <w:sz w:val="28"/>
                <w:szCs w:val="28"/>
                <w:lang w:val="en-GB"/>
              </w:rPr>
            </w:pPr>
            <w:r w:rsidRPr="000A48AD">
              <w:rPr>
                <w:rFonts w:ascii="Times New Roman" w:hAnsi="Times New Roman" w:cs="Times New Roman"/>
                <w:sz w:val="28"/>
                <w:szCs w:val="28"/>
                <w:lang w:val="en-GB"/>
              </w:rPr>
              <w:t>-12.2</w:t>
            </w:r>
          </w:p>
        </w:tc>
      </w:tr>
    </w:tbl>
    <w:p w:rsidR="00146889" w:rsidRDefault="00146889" w:rsidP="00495460">
      <w:pPr>
        <w:tabs>
          <w:tab w:val="left" w:pos="1440"/>
        </w:tabs>
        <w:snapToGrid w:val="0"/>
        <w:ind w:leftChars="297" w:left="1427" w:hangingChars="255" w:hanging="714"/>
        <w:jc w:val="both"/>
        <w:rPr>
          <w:rFonts w:ascii="Times New Roman" w:hAnsi="Times New Roman" w:cs="Times New Roman"/>
          <w:sz w:val="28"/>
          <w:szCs w:val="28"/>
        </w:rPr>
      </w:pPr>
    </w:p>
    <w:p w:rsidR="00146889" w:rsidRDefault="00146889" w:rsidP="00146889">
      <w:pPr>
        <w:tabs>
          <w:tab w:val="left" w:pos="1440"/>
        </w:tabs>
        <w:rPr>
          <w:rFonts w:ascii="Times New Roman" w:hAnsi="Times New Roman" w:cs="Times New Roman"/>
          <w:sz w:val="28"/>
          <w:szCs w:val="28"/>
        </w:rPr>
      </w:pPr>
      <w:r>
        <w:rPr>
          <w:rFonts w:ascii="Times New Roman" w:hAnsi="Times New Roman" w:cs="Times New Roman"/>
          <w:sz w:val="28"/>
          <w:szCs w:val="28"/>
        </w:rPr>
        <w:tab/>
      </w:r>
    </w:p>
    <w:p w:rsidR="00146889" w:rsidRDefault="00146889">
      <w:pPr>
        <w:widowControl/>
        <w:rPr>
          <w:rFonts w:ascii="Times New Roman" w:hAnsi="Times New Roman" w:cs="Times New Roman"/>
          <w:sz w:val="28"/>
          <w:szCs w:val="28"/>
        </w:rPr>
      </w:pPr>
      <w:r>
        <w:rPr>
          <w:rFonts w:ascii="Times New Roman" w:hAnsi="Times New Roman" w:cs="Times New Roman"/>
          <w:sz w:val="28"/>
          <w:szCs w:val="28"/>
        </w:rPr>
        <w:br w:type="page"/>
      </w:r>
    </w:p>
    <w:p w:rsidR="00435255" w:rsidRDefault="00435255" w:rsidP="00146889">
      <w:pPr>
        <w:tabs>
          <w:tab w:val="left" w:pos="1440"/>
        </w:tabs>
        <w:rPr>
          <w:rFonts w:ascii="Times New Roman" w:hAnsi="Times New Roman" w:cs="Times New Roman"/>
          <w:sz w:val="28"/>
          <w:szCs w:val="28"/>
        </w:rPr>
        <w:sectPr w:rsidR="00435255" w:rsidSect="0064278F">
          <w:headerReference w:type="default" r:id="rId8"/>
          <w:pgSz w:w="11906" w:h="16838"/>
          <w:pgMar w:top="1440" w:right="1440" w:bottom="1440" w:left="1440" w:header="851" w:footer="992" w:gutter="0"/>
          <w:pgNumType w:start="1"/>
          <w:cols w:space="425"/>
          <w:titlePg/>
          <w:docGrid w:type="lines" w:linePitch="360"/>
        </w:sectPr>
      </w:pPr>
    </w:p>
    <w:p w:rsidR="00435255" w:rsidRPr="00836075" w:rsidRDefault="004E6A8D" w:rsidP="00435255">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9B5E49">
        <w:rPr>
          <w:rFonts w:ascii="Times New Roman" w:hAnsi="Times New Roman" w:cs="Times New Roman"/>
          <w:b/>
          <w:sz w:val="28"/>
          <w:szCs w:val="28"/>
          <w:u w:val="single"/>
        </w:rPr>
        <w:t>4</w:t>
      </w:r>
    </w:p>
    <w:p w:rsidR="00435255" w:rsidRPr="004E6A8D" w:rsidRDefault="00435255" w:rsidP="004E6A8D">
      <w:pPr>
        <w:jc w:val="center"/>
        <w:rPr>
          <w:rFonts w:ascii="Times New Roman" w:hAnsi="Times New Roman" w:cs="Times New Roman"/>
          <w:b/>
          <w:sz w:val="28"/>
          <w:szCs w:val="28"/>
          <w:u w:val="single"/>
        </w:rPr>
      </w:pPr>
      <w:r w:rsidRPr="004E6A8D">
        <w:rPr>
          <w:rFonts w:ascii="Times New Roman" w:hAnsi="Times New Roman" w:cs="Times New Roman"/>
          <w:b/>
          <w:sz w:val="28"/>
          <w:szCs w:val="28"/>
          <w:u w:val="single"/>
        </w:rPr>
        <w:t>Tax Revenue from 2011-12 to 2021-22</w:t>
      </w:r>
    </w:p>
    <w:p w:rsidR="00435255" w:rsidRDefault="00435255" w:rsidP="00435255">
      <w:pPr>
        <w:rPr>
          <w:rFonts w:ascii="Times New Roman" w:hAnsi="Times New Roman" w:cs="Times New Roman"/>
        </w:rPr>
      </w:pPr>
      <w:r>
        <w:rPr>
          <w:rFonts w:ascii="Times New Roman" w:hAnsi="Times New Roman" w:cs="Times New Roman" w:hint="eastAsia"/>
        </w:rPr>
        <w:t>(</w:t>
      </w:r>
      <w:proofErr w:type="spellStart"/>
      <w:r w:rsidR="001D1129">
        <w:rPr>
          <w:rFonts w:ascii="Times New Roman" w:hAnsi="Times New Roman" w:cs="Times New Roman"/>
        </w:rPr>
        <w:t>HK</w:t>
      </w:r>
      <w:r w:rsidRPr="007C4631">
        <w:rPr>
          <w:rFonts w:ascii="Times New Roman" w:hAnsi="Times New Roman" w:cs="Times New Roman"/>
        </w:rPr>
        <w:t>$Million</w:t>
      </w:r>
      <w:proofErr w:type="spellEnd"/>
      <w:r>
        <w:rPr>
          <w:rFonts w:ascii="Times New Roman" w:hAnsi="Times New Roman" w:cs="Times New Roman" w:hint="eastAsia"/>
        </w:rPr>
        <w:t>)</w:t>
      </w:r>
    </w:p>
    <w:tbl>
      <w:tblPr>
        <w:tblW w:w="5000" w:type="pct"/>
        <w:tblCellMar>
          <w:left w:w="28" w:type="dxa"/>
          <w:right w:w="28" w:type="dxa"/>
        </w:tblCellMar>
        <w:tblLook w:val="04A0" w:firstRow="1" w:lastRow="0" w:firstColumn="1" w:lastColumn="0" w:noHBand="0" w:noVBand="1"/>
      </w:tblPr>
      <w:tblGrid>
        <w:gridCol w:w="3770"/>
        <w:gridCol w:w="1036"/>
        <w:gridCol w:w="1036"/>
        <w:gridCol w:w="1035"/>
        <w:gridCol w:w="1035"/>
        <w:gridCol w:w="1035"/>
        <w:gridCol w:w="1035"/>
        <w:gridCol w:w="1035"/>
        <w:gridCol w:w="1035"/>
        <w:gridCol w:w="1035"/>
        <w:gridCol w:w="1035"/>
        <w:gridCol w:w="1014"/>
      </w:tblGrid>
      <w:tr w:rsidR="00435255" w:rsidRPr="00BD1BF7" w:rsidTr="00435255">
        <w:trPr>
          <w:trHeight w:val="475"/>
        </w:trPr>
        <w:tc>
          <w:tcPr>
            <w:tcW w:w="1245"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2011-12</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2012-13</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2013-14</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2014-15</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2015-16</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2016-17</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2017-18</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2018-19</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2019-20</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2020-21</w:t>
            </w:r>
          </w:p>
        </w:tc>
        <w:tc>
          <w:tcPr>
            <w:tcW w:w="339" w:type="pct"/>
            <w:tcBorders>
              <w:top w:val="single" w:sz="4" w:space="0" w:color="auto"/>
              <w:bottom w:val="single" w:sz="4" w:space="0" w:color="auto"/>
            </w:tcBorders>
            <w:shd w:val="clear" w:color="auto" w:fill="auto"/>
            <w:vAlign w:val="bottom"/>
            <w:hideMark/>
          </w:tcPr>
          <w:p w:rsidR="00435255" w:rsidRPr="00BD1BF7" w:rsidRDefault="00435255" w:rsidP="002302F1">
            <w:pPr>
              <w:widowControl/>
              <w:jc w:val="center"/>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2021-22 </w:t>
            </w:r>
            <w:r w:rsidRPr="00BD1BF7">
              <w:rPr>
                <w:rFonts w:ascii="Times New Roman" w:eastAsia="Times New Roman" w:hAnsi="Times New Roman" w:cs="Times New Roman"/>
                <w:b/>
                <w:bCs/>
                <w:kern w:val="0"/>
                <w:szCs w:val="24"/>
              </w:rPr>
              <w:br/>
              <w:t>Estimate</w:t>
            </w:r>
          </w:p>
        </w:tc>
      </w:tr>
      <w:tr w:rsidR="00435255" w:rsidRPr="00BD1BF7" w:rsidTr="00435255">
        <w:trPr>
          <w:trHeight w:val="420"/>
        </w:trPr>
        <w:tc>
          <w:tcPr>
            <w:tcW w:w="1245" w:type="pct"/>
            <w:tcBorders>
              <w:top w:val="single" w:sz="4" w:space="0" w:color="auto"/>
            </w:tcBorders>
            <w:shd w:val="clear" w:color="auto" w:fill="auto"/>
            <w:noWrap/>
            <w:vAlign w:val="bottom"/>
            <w:hideMark/>
          </w:tcPr>
          <w:p w:rsidR="00435255" w:rsidRPr="00BD1BF7" w:rsidRDefault="00435255" w:rsidP="002302F1">
            <w:pPr>
              <w:widowControl/>
              <w:rPr>
                <w:rFonts w:ascii="Times New Roman" w:hAnsi="Times New Roman" w:cs="Times New Roman"/>
                <w:b/>
                <w:bCs/>
                <w:kern w:val="0"/>
                <w:szCs w:val="24"/>
              </w:rPr>
            </w:pPr>
            <w:r w:rsidRPr="00BD1BF7">
              <w:rPr>
                <w:rFonts w:ascii="Times New Roman" w:hAnsi="Times New Roman" w:cs="Times New Roman" w:hint="eastAsia"/>
                <w:b/>
                <w:bCs/>
                <w:kern w:val="0"/>
                <w:szCs w:val="24"/>
              </w:rPr>
              <w:t xml:space="preserve">Direct tax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39"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Profits tax</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118,600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125,638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120,882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137,847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140,227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139,238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139,100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166,620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155,900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135,540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126,650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Personal assessment</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4,512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4,078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4,420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4,817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4,790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5,220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5,342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5,963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5,000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6,294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6,130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Property tax</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1,949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2,259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2,584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2,939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2,998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3,372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3,448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3,624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2,807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3,957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3,500  </w:t>
            </w:r>
          </w:p>
        </w:tc>
      </w:tr>
      <w:tr w:rsidR="00435255" w:rsidRPr="00BD1BF7" w:rsidTr="00435255">
        <w:trPr>
          <w:trHeight w:val="420"/>
        </w:trPr>
        <w:tc>
          <w:tcPr>
            <w:tcW w:w="1245" w:type="pct"/>
            <w:tcBorders>
              <w:bottom w:val="single" w:sz="4" w:space="0" w:color="auto"/>
            </w:tcBorders>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Salaries tax</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51,761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50,467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55,620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59,347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57,868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59,077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60,839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60,146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50,412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75,027  </w:t>
            </w:r>
          </w:p>
        </w:tc>
        <w:tc>
          <w:tcPr>
            <w:tcW w:w="339"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64,390  </w:t>
            </w:r>
          </w:p>
        </w:tc>
      </w:tr>
      <w:tr w:rsidR="00435255" w:rsidRPr="00BD1BF7" w:rsidTr="00435255">
        <w:trPr>
          <w:trHeight w:val="420"/>
        </w:trPr>
        <w:tc>
          <w:tcPr>
            <w:tcW w:w="1245" w:type="pct"/>
            <w:tcBorders>
              <w:top w:val="single" w:sz="4" w:space="0" w:color="auto"/>
            </w:tcBorders>
            <w:shd w:val="clear" w:color="auto" w:fill="auto"/>
            <w:noWrap/>
            <w:vAlign w:val="bottom"/>
            <w:hideMark/>
          </w:tcPr>
          <w:p w:rsidR="00435255" w:rsidRPr="00BD1BF7" w:rsidRDefault="00435255" w:rsidP="002302F1">
            <w:pPr>
              <w:widowControl/>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Earnings and profits tax</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176,822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182,442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183,506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204,950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205,883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206,907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208,729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236,353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214,119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220,818  </w:t>
            </w:r>
          </w:p>
        </w:tc>
        <w:tc>
          <w:tcPr>
            <w:tcW w:w="339"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200,670  </w:t>
            </w:r>
          </w:p>
        </w:tc>
      </w:tr>
      <w:tr w:rsidR="00435255" w:rsidRPr="00BD1BF7" w:rsidTr="00435255">
        <w:trPr>
          <w:trHeight w:val="375"/>
        </w:trPr>
        <w:tc>
          <w:tcPr>
            <w:tcW w:w="1245"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right="400"/>
              <w:rPr>
                <w:rFonts w:ascii="Times New Roman" w:hAnsi="Times New Roman" w:cs="Times New Roman"/>
                <w:b/>
                <w:kern w:val="0"/>
                <w:szCs w:val="24"/>
              </w:rPr>
            </w:pPr>
            <w:r w:rsidRPr="00BD1BF7">
              <w:rPr>
                <w:rFonts w:ascii="Times New Roman" w:hAnsi="Times New Roman" w:cs="Times New Roman" w:hint="eastAsia"/>
                <w:b/>
                <w:kern w:val="0"/>
                <w:szCs w:val="24"/>
              </w:rPr>
              <w:t>Indirect tax</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新細明體" w:eastAsia="新細明體" w:hAnsi="新細明體" w:cs="新細明體"/>
                <w:kern w:val="0"/>
                <w:szCs w:val="24"/>
              </w:rPr>
              <w:t xml:space="preserve">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General rates</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9,722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11,204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14,911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22,272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22,733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21,250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22,203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17,167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20,980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19,044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19,099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Stamp duties</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44,356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42,880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41,515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74,845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62,680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61,899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95,173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79,979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67,198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89,045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92,000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Bets and sweeps tax</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15,761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16,565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18,066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19,479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20,127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21,119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21,959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22,194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22,012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20,877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22,100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Duties</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7,725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8,977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9,720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10,010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10,712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10,254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10,701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10,636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11,391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11,852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12,129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Fees and charges [tax-loaded fees]</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6,769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5,127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4,951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7,480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7,651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5,390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8,150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8,029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4,832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4,362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5,198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Motor vehicle taxes</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7,070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7,466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8,338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9,549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9,311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7,814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8,594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9,432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7,219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6,594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6,369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Air passenger departure tax</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1,947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2,029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2,244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2,347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2,516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2,598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2,737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2,881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2,347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101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714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Royalties and concessions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4,849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2,736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4,426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2,916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2,955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10,545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3,242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3,500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3,202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3,529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3,567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Estate duty</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94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137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388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178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30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31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89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53  </w:t>
            </w:r>
          </w:p>
        </w:tc>
        <w:tc>
          <w:tcPr>
            <w:tcW w:w="342"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7  </w:t>
            </w:r>
          </w:p>
        </w:tc>
        <w:tc>
          <w:tcPr>
            <w:tcW w:w="339" w:type="pct"/>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10  </w:t>
            </w:r>
          </w:p>
        </w:tc>
      </w:tr>
      <w:tr w:rsidR="00435255" w:rsidRPr="00BD1BF7" w:rsidTr="00435255">
        <w:trPr>
          <w:trHeight w:val="420"/>
        </w:trPr>
        <w:tc>
          <w:tcPr>
            <w:tcW w:w="1245" w:type="pct"/>
            <w:tcBorders>
              <w:bottom w:val="single" w:sz="4" w:space="0" w:color="auto"/>
            </w:tcBorders>
            <w:shd w:val="clear" w:color="auto" w:fill="auto"/>
            <w:noWrap/>
            <w:vAlign w:val="bottom"/>
            <w:hideMark/>
          </w:tcPr>
          <w:p w:rsidR="00435255" w:rsidRPr="00BD1BF7" w:rsidRDefault="00435255" w:rsidP="002302F1">
            <w:pPr>
              <w:widowControl/>
              <w:ind w:leftChars="164" w:left="394"/>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Taxi concessions</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141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c>
          <w:tcPr>
            <w:tcW w:w="339"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kern w:val="0"/>
                <w:szCs w:val="24"/>
              </w:rPr>
            </w:pPr>
            <w:r w:rsidRPr="00BD1BF7">
              <w:rPr>
                <w:rFonts w:ascii="Times New Roman" w:eastAsia="Times New Roman" w:hAnsi="Times New Roman" w:cs="Times New Roman"/>
                <w:kern w:val="0"/>
                <w:szCs w:val="24"/>
              </w:rPr>
              <w:t xml:space="preserve">-   </w:t>
            </w:r>
          </w:p>
        </w:tc>
      </w:tr>
      <w:tr w:rsidR="00435255" w:rsidRPr="00BD1BF7" w:rsidTr="00435255">
        <w:trPr>
          <w:trHeight w:val="420"/>
        </w:trPr>
        <w:tc>
          <w:tcPr>
            <w:tcW w:w="1245" w:type="pct"/>
            <w:tcBorders>
              <w:top w:val="single" w:sz="4" w:space="0" w:color="auto"/>
            </w:tcBorders>
            <w:shd w:val="clear" w:color="auto" w:fill="auto"/>
            <w:noWrap/>
            <w:vAlign w:val="bottom"/>
            <w:hideMark/>
          </w:tcPr>
          <w:p w:rsidR="00435255" w:rsidRPr="00BD1BF7" w:rsidRDefault="00435255" w:rsidP="002302F1">
            <w:pPr>
              <w:widowControl/>
              <w:ind w:right="480"/>
              <w:rPr>
                <w:rFonts w:ascii="Times New Roman" w:hAnsi="Times New Roman" w:cs="Times New Roman"/>
                <w:kern w:val="0"/>
                <w:szCs w:val="24"/>
              </w:rPr>
            </w:pP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98,293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97,121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104,559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149,076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138,715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141,029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172,790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153,907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139,234  </w:t>
            </w:r>
          </w:p>
        </w:tc>
        <w:tc>
          <w:tcPr>
            <w:tcW w:w="342"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155,411  </w:t>
            </w:r>
          </w:p>
        </w:tc>
        <w:tc>
          <w:tcPr>
            <w:tcW w:w="339" w:type="pct"/>
            <w:tcBorders>
              <w:top w:val="single" w:sz="4" w:space="0" w:color="auto"/>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i/>
                <w:iCs/>
                <w:kern w:val="0"/>
                <w:szCs w:val="24"/>
              </w:rPr>
            </w:pPr>
            <w:r w:rsidRPr="00BD1BF7">
              <w:rPr>
                <w:rFonts w:ascii="Times New Roman" w:eastAsia="Times New Roman" w:hAnsi="Times New Roman" w:cs="Times New Roman"/>
                <w:i/>
                <w:iCs/>
                <w:kern w:val="0"/>
                <w:szCs w:val="24"/>
              </w:rPr>
              <w:t xml:space="preserve">161,186  </w:t>
            </w:r>
          </w:p>
        </w:tc>
      </w:tr>
      <w:tr w:rsidR="00435255" w:rsidRPr="00BD1BF7" w:rsidTr="00435255">
        <w:trPr>
          <w:trHeight w:val="420"/>
        </w:trPr>
        <w:tc>
          <w:tcPr>
            <w:tcW w:w="1245" w:type="pct"/>
            <w:shd w:val="clear" w:color="auto" w:fill="auto"/>
            <w:noWrap/>
            <w:vAlign w:val="bottom"/>
            <w:hideMark/>
          </w:tcPr>
          <w:p w:rsidR="00435255" w:rsidRPr="00BD1BF7" w:rsidRDefault="00435255" w:rsidP="002302F1">
            <w:pPr>
              <w:widowControl/>
              <w:ind w:right="480"/>
              <w:rPr>
                <w:rFonts w:ascii="Times New Roman" w:hAnsi="Times New Roman" w:cs="Times New Roman"/>
                <w:b/>
                <w:iCs/>
                <w:kern w:val="0"/>
                <w:szCs w:val="24"/>
              </w:rPr>
            </w:pPr>
            <w:r w:rsidRPr="00BD1BF7">
              <w:rPr>
                <w:rFonts w:ascii="Times New Roman" w:hAnsi="Times New Roman" w:cs="Times New Roman"/>
                <w:b/>
                <w:iCs/>
                <w:kern w:val="0"/>
                <w:szCs w:val="24"/>
              </w:rPr>
              <w:t>Total tax revenue</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275,115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279,563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288,065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354,026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344,598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347,936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381,519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390,260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353,353  </w:t>
            </w:r>
          </w:p>
        </w:tc>
        <w:tc>
          <w:tcPr>
            <w:tcW w:w="342"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376,229  </w:t>
            </w:r>
          </w:p>
        </w:tc>
        <w:tc>
          <w:tcPr>
            <w:tcW w:w="339" w:type="pct"/>
            <w:tcBorders>
              <w:top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kern w:val="0"/>
                <w:szCs w:val="24"/>
              </w:rPr>
            </w:pPr>
            <w:r w:rsidRPr="00BD1BF7">
              <w:rPr>
                <w:rFonts w:ascii="Times New Roman" w:eastAsia="Times New Roman" w:hAnsi="Times New Roman" w:cs="Times New Roman"/>
                <w:b/>
                <w:bCs/>
                <w:kern w:val="0"/>
                <w:szCs w:val="24"/>
              </w:rPr>
              <w:t xml:space="preserve">361,856  </w:t>
            </w:r>
          </w:p>
        </w:tc>
      </w:tr>
      <w:tr w:rsidR="00435255" w:rsidRPr="00BD1BF7" w:rsidTr="00435255">
        <w:trPr>
          <w:trHeight w:val="856"/>
        </w:trPr>
        <w:tc>
          <w:tcPr>
            <w:tcW w:w="1245" w:type="pct"/>
            <w:tcBorders>
              <w:bottom w:val="single" w:sz="4" w:space="0" w:color="auto"/>
            </w:tcBorders>
            <w:shd w:val="clear" w:color="auto" w:fill="auto"/>
            <w:noWrap/>
            <w:vAlign w:val="bottom"/>
            <w:hideMark/>
          </w:tcPr>
          <w:p w:rsidR="00435255" w:rsidRDefault="00435255" w:rsidP="002302F1">
            <w:pPr>
              <w:widowControl/>
              <w:rPr>
                <w:rFonts w:ascii="Times New Roman" w:eastAsia="Times New Roman" w:hAnsi="Times New Roman" w:cs="Times New Roman"/>
                <w:b/>
                <w:bCs/>
                <w:iCs/>
                <w:kern w:val="0"/>
                <w:szCs w:val="24"/>
              </w:rPr>
            </w:pPr>
            <w:r w:rsidRPr="00BD1BF7">
              <w:rPr>
                <w:rFonts w:ascii="Times New Roman" w:eastAsia="Times New Roman" w:hAnsi="Times New Roman" w:cs="Times New Roman"/>
                <w:b/>
                <w:bCs/>
                <w:iCs/>
                <w:kern w:val="0"/>
                <w:szCs w:val="24"/>
              </w:rPr>
              <w:t xml:space="preserve">Tax revenue in terms of % </w:t>
            </w:r>
          </w:p>
          <w:p w:rsidR="00435255" w:rsidRPr="00BD1BF7" w:rsidRDefault="00435255" w:rsidP="002302F1">
            <w:pPr>
              <w:widowControl/>
              <w:rPr>
                <w:rFonts w:ascii="Times New Roman" w:eastAsia="Times New Roman" w:hAnsi="Times New Roman" w:cs="Times New Roman"/>
                <w:b/>
                <w:bCs/>
                <w:iCs/>
                <w:kern w:val="0"/>
                <w:szCs w:val="24"/>
              </w:rPr>
            </w:pPr>
            <w:r w:rsidRPr="00BD1BF7">
              <w:rPr>
                <w:rFonts w:ascii="Times New Roman" w:eastAsia="Times New Roman" w:hAnsi="Times New Roman" w:cs="Times New Roman"/>
                <w:b/>
                <w:bCs/>
                <w:iCs/>
                <w:kern w:val="0"/>
                <w:szCs w:val="24"/>
              </w:rPr>
              <w:t>of government revenue</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62.9%</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63.2%</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63.3%</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74.0%</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76.6%</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60.7%</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61.6%</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65.1%</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59.8%</w:t>
            </w:r>
          </w:p>
        </w:tc>
        <w:tc>
          <w:tcPr>
            <w:tcW w:w="342"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66.7%</w:t>
            </w:r>
          </w:p>
        </w:tc>
        <w:tc>
          <w:tcPr>
            <w:tcW w:w="339" w:type="pct"/>
            <w:tcBorders>
              <w:bottom w:val="single" w:sz="4" w:space="0" w:color="auto"/>
            </w:tcBorders>
            <w:shd w:val="clear" w:color="auto" w:fill="auto"/>
            <w:noWrap/>
            <w:vAlign w:val="bottom"/>
            <w:hideMark/>
          </w:tcPr>
          <w:p w:rsidR="00435255" w:rsidRPr="00BD1BF7" w:rsidRDefault="00435255" w:rsidP="002302F1">
            <w:pPr>
              <w:widowControl/>
              <w:jc w:val="right"/>
              <w:rPr>
                <w:rFonts w:ascii="Times New Roman" w:eastAsia="Times New Roman" w:hAnsi="Times New Roman" w:cs="Times New Roman"/>
                <w:b/>
                <w:bCs/>
                <w:i/>
                <w:iCs/>
                <w:kern w:val="0"/>
                <w:szCs w:val="24"/>
              </w:rPr>
            </w:pPr>
            <w:r w:rsidRPr="00BD1BF7">
              <w:rPr>
                <w:rFonts w:ascii="Times New Roman" w:eastAsia="Times New Roman" w:hAnsi="Times New Roman" w:cs="Times New Roman"/>
                <w:b/>
                <w:bCs/>
                <w:i/>
                <w:iCs/>
                <w:kern w:val="0"/>
                <w:szCs w:val="24"/>
              </w:rPr>
              <w:t>61.2%</w:t>
            </w:r>
          </w:p>
        </w:tc>
      </w:tr>
    </w:tbl>
    <w:p w:rsidR="00435255" w:rsidRDefault="00435255" w:rsidP="00435255">
      <w:pPr>
        <w:snapToGrid w:val="0"/>
        <w:ind w:left="456"/>
        <w:jc w:val="right"/>
        <w:rPr>
          <w:rFonts w:ascii="Times New Roman" w:hAnsi="Times New Roman" w:cs="Times New Roman"/>
          <w:b/>
          <w:sz w:val="28"/>
          <w:szCs w:val="28"/>
          <w:u w:val="single"/>
        </w:rPr>
        <w:sectPr w:rsidR="00435255" w:rsidSect="00435255">
          <w:pgSz w:w="16838" w:h="11906" w:orient="landscape"/>
          <w:pgMar w:top="284" w:right="851" w:bottom="284" w:left="851" w:header="851" w:footer="992" w:gutter="0"/>
          <w:pgNumType w:start="1"/>
          <w:cols w:space="425"/>
          <w:titlePg/>
          <w:docGrid w:type="lines" w:linePitch="360"/>
        </w:sectPr>
      </w:pPr>
    </w:p>
    <w:p w:rsidR="00435255" w:rsidRPr="00836075" w:rsidRDefault="004E6A8D" w:rsidP="00435255">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9B5E49">
        <w:rPr>
          <w:rFonts w:ascii="Times New Roman" w:hAnsi="Times New Roman" w:cs="Times New Roman"/>
          <w:b/>
          <w:sz w:val="28"/>
          <w:szCs w:val="28"/>
          <w:u w:val="single"/>
        </w:rPr>
        <w:t>5</w:t>
      </w:r>
    </w:p>
    <w:p w:rsidR="00435255" w:rsidRPr="004E6A8D" w:rsidRDefault="00435255" w:rsidP="004E6A8D">
      <w:pPr>
        <w:widowControl/>
        <w:jc w:val="center"/>
        <w:rPr>
          <w:rFonts w:ascii="Times New Roman" w:hAnsi="Times New Roman" w:cs="Times New Roman"/>
          <w:b/>
          <w:sz w:val="28"/>
          <w:szCs w:val="28"/>
          <w:u w:val="single"/>
        </w:rPr>
      </w:pPr>
      <w:r w:rsidRPr="004E6A8D">
        <w:rPr>
          <w:rFonts w:ascii="Times New Roman" w:hAnsi="Times New Roman" w:cs="Times New Roman"/>
          <w:b/>
          <w:sz w:val="28"/>
          <w:szCs w:val="28"/>
          <w:u w:val="single"/>
        </w:rPr>
        <w:t>Total Public Expenditure by Policy Area Group from 2011-12 to 2021-22</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811"/>
        <w:gridCol w:w="554"/>
        <w:gridCol w:w="806"/>
        <w:gridCol w:w="553"/>
        <w:gridCol w:w="806"/>
        <w:gridCol w:w="553"/>
        <w:gridCol w:w="806"/>
        <w:gridCol w:w="553"/>
        <w:gridCol w:w="806"/>
        <w:gridCol w:w="553"/>
        <w:gridCol w:w="806"/>
        <w:gridCol w:w="553"/>
        <w:gridCol w:w="806"/>
        <w:gridCol w:w="553"/>
        <w:gridCol w:w="806"/>
        <w:gridCol w:w="553"/>
        <w:gridCol w:w="806"/>
        <w:gridCol w:w="553"/>
        <w:gridCol w:w="806"/>
        <w:gridCol w:w="553"/>
        <w:gridCol w:w="806"/>
        <w:gridCol w:w="546"/>
      </w:tblGrid>
      <w:tr w:rsidR="00435255" w:rsidRPr="00C51025" w:rsidTr="005C444F">
        <w:tc>
          <w:tcPr>
            <w:tcW w:w="403" w:type="pct"/>
            <w:tcBorders>
              <w:top w:val="single" w:sz="4" w:space="0" w:color="auto"/>
              <w:left w:val="single" w:sz="4" w:space="0" w:color="auto"/>
              <w:bottom w:val="single" w:sz="4" w:space="0" w:color="auto"/>
            </w:tcBorders>
            <w:vAlign w:val="bottom"/>
          </w:tcPr>
          <w:p w:rsidR="00435255" w:rsidRPr="00C51025" w:rsidRDefault="00B33DCC" w:rsidP="002302F1">
            <w:pPr>
              <w:rPr>
                <w:rFonts w:ascii="Times New Roman" w:hAnsi="Times New Roman" w:cs="Times New Roman"/>
                <w:sz w:val="16"/>
                <w:szCs w:val="16"/>
              </w:rPr>
            </w:pPr>
            <w:r>
              <w:rPr>
                <w:rFonts w:ascii="Times New Roman" w:hAnsi="Times New Roman" w:cs="Times New Roman"/>
                <w:sz w:val="16"/>
                <w:szCs w:val="16"/>
              </w:rPr>
              <w:t>(</w:t>
            </w:r>
            <w:proofErr w:type="spellStart"/>
            <w:r w:rsidRPr="005C444F">
              <w:rPr>
                <w:rFonts w:ascii="Times New Roman" w:hAnsi="Times New Roman" w:cs="Times New Roman"/>
                <w:sz w:val="16"/>
                <w:szCs w:val="16"/>
              </w:rPr>
              <w:t>HK$Million</w:t>
            </w:r>
            <w:proofErr w:type="spellEnd"/>
            <w:r w:rsidRPr="005C444F">
              <w:rPr>
                <w:rFonts w:ascii="Times New Roman" w:hAnsi="Times New Roman" w:cs="Times New Roman"/>
                <w:sz w:val="16"/>
                <w:szCs w:val="16"/>
              </w:rPr>
              <w:t>)</w:t>
            </w: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7"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p>
        </w:tc>
        <w:tc>
          <w:tcPr>
            <w:tcW w:w="418" w:type="pct"/>
            <w:gridSpan w:val="2"/>
            <w:tcBorders>
              <w:top w:val="single" w:sz="4" w:space="0" w:color="auto"/>
              <w:bottom w:val="single" w:sz="4" w:space="0" w:color="auto"/>
            </w:tcBorders>
            <w:vAlign w:val="bottom"/>
          </w:tcPr>
          <w:p w:rsidR="00435255" w:rsidRPr="00C51025" w:rsidRDefault="00435255" w:rsidP="002302F1">
            <w:pPr>
              <w:spacing w:line="240" w:lineRule="exact"/>
              <w:contextualSpacing/>
              <w:jc w:val="center"/>
              <w:rPr>
                <w:rFonts w:ascii="Times New Roman" w:hAnsi="Times New Roman" w:cs="Times New Roman"/>
                <w:sz w:val="16"/>
                <w:szCs w:val="16"/>
              </w:rPr>
            </w:pPr>
            <w:r w:rsidRPr="00C51025">
              <w:rPr>
                <w:rFonts w:ascii="Times New Roman" w:hAnsi="Times New Roman" w:cs="Times New Roman"/>
                <w:sz w:val="16"/>
                <w:szCs w:val="16"/>
              </w:rPr>
              <w:t>Revised Estimate</w:t>
            </w:r>
          </w:p>
        </w:tc>
        <w:tc>
          <w:tcPr>
            <w:tcW w:w="417" w:type="pct"/>
            <w:gridSpan w:val="2"/>
            <w:tcBorders>
              <w:top w:val="single" w:sz="4" w:space="0" w:color="auto"/>
              <w:bottom w:val="single" w:sz="4" w:space="0" w:color="auto"/>
              <w:right w:val="single" w:sz="4" w:space="0" w:color="auto"/>
            </w:tcBorders>
            <w:vAlign w:val="bottom"/>
          </w:tcPr>
          <w:p w:rsidR="00435255" w:rsidRPr="00C51025" w:rsidRDefault="00435255" w:rsidP="00260B5D">
            <w:pPr>
              <w:spacing w:line="240" w:lineRule="exact"/>
              <w:contextualSpacing/>
              <w:jc w:val="center"/>
              <w:rPr>
                <w:rFonts w:ascii="Times New Roman" w:hAnsi="Times New Roman" w:cs="Times New Roman"/>
                <w:sz w:val="16"/>
                <w:szCs w:val="16"/>
              </w:rPr>
            </w:pPr>
            <w:r w:rsidRPr="00C51025">
              <w:rPr>
                <w:rFonts w:ascii="Times New Roman" w:hAnsi="Times New Roman" w:cs="Times New Roman"/>
                <w:sz w:val="16"/>
                <w:szCs w:val="16"/>
              </w:rPr>
              <w:t>Estimate</w:t>
            </w:r>
          </w:p>
        </w:tc>
      </w:tr>
      <w:tr w:rsidR="00435255" w:rsidRPr="00C51025" w:rsidTr="005C444F">
        <w:tc>
          <w:tcPr>
            <w:tcW w:w="403" w:type="pct"/>
            <w:tcBorders>
              <w:top w:val="single" w:sz="4" w:space="0" w:color="auto"/>
              <w:left w:val="single" w:sz="4" w:space="0" w:color="auto"/>
              <w:right w:val="single" w:sz="4" w:space="0" w:color="auto"/>
            </w:tcBorders>
            <w:vAlign w:val="bottom"/>
          </w:tcPr>
          <w:p w:rsidR="00435255" w:rsidRPr="00C51025" w:rsidRDefault="00435255" w:rsidP="002302F1">
            <w:pPr>
              <w:rPr>
                <w:rFonts w:ascii="Times New Roman" w:hAnsi="Times New Roman" w:cs="Times New Roman"/>
                <w:sz w:val="16"/>
                <w:szCs w:val="16"/>
              </w:rPr>
            </w:pP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2011 -12</w:t>
            </w:r>
          </w:p>
        </w:tc>
        <w:tc>
          <w:tcPr>
            <w:tcW w:w="417"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2012-13</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2013-14</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2014-15</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2015-16</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2016-17</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2017-18</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2018-19</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2019-20</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2020-21</w:t>
            </w:r>
          </w:p>
        </w:tc>
        <w:tc>
          <w:tcPr>
            <w:tcW w:w="417" w:type="pct"/>
            <w:gridSpan w:val="2"/>
            <w:tcBorders>
              <w:top w:val="single" w:sz="4" w:space="0" w:color="auto"/>
              <w:left w:val="single" w:sz="4" w:space="0" w:color="auto"/>
              <w:bottom w:val="single" w:sz="4" w:space="0" w:color="auto"/>
              <w:right w:val="single" w:sz="4" w:space="0" w:color="auto"/>
            </w:tcBorders>
            <w:vAlign w:val="bottom"/>
          </w:tcPr>
          <w:p w:rsidR="00435255" w:rsidRPr="00C51025" w:rsidRDefault="00435255" w:rsidP="00260B5D">
            <w:pPr>
              <w:jc w:val="center"/>
              <w:rPr>
                <w:rFonts w:ascii="Times New Roman" w:hAnsi="Times New Roman" w:cs="Times New Roman"/>
                <w:sz w:val="16"/>
                <w:szCs w:val="16"/>
              </w:rPr>
            </w:pPr>
            <w:r w:rsidRPr="00C51025">
              <w:rPr>
                <w:rFonts w:ascii="Times New Roman" w:hAnsi="Times New Roman" w:cs="Times New Roman"/>
                <w:sz w:val="16"/>
                <w:szCs w:val="16"/>
              </w:rPr>
              <w:t>2021-22</w:t>
            </w:r>
          </w:p>
        </w:tc>
      </w:tr>
      <w:tr w:rsidR="005C444F" w:rsidRPr="00C51025" w:rsidTr="001D1129">
        <w:tc>
          <w:tcPr>
            <w:tcW w:w="403" w:type="pct"/>
            <w:tcBorders>
              <w:left w:val="single" w:sz="4" w:space="0" w:color="auto"/>
              <w:bottom w:val="single" w:sz="4" w:space="0" w:color="auto"/>
              <w:right w:val="single" w:sz="4" w:space="0" w:color="auto"/>
            </w:tcBorders>
            <w:vAlign w:val="bottom"/>
          </w:tcPr>
          <w:p w:rsidR="00435255" w:rsidRPr="00C51025" w:rsidRDefault="00435255" w:rsidP="002302F1">
            <w:pPr>
              <w:spacing w:line="240" w:lineRule="exact"/>
              <w:contextualSpacing/>
              <w:rPr>
                <w:rFonts w:ascii="Times New Roman" w:hAnsi="Times New Roman" w:cs="Times New Roman"/>
                <w:sz w:val="16"/>
                <w:szCs w:val="16"/>
              </w:rPr>
            </w:pPr>
            <w:r w:rsidRPr="00C51025">
              <w:rPr>
                <w:rFonts w:ascii="Times New Roman" w:eastAsia="標楷體" w:hAnsi="Times New Roman" w:cs="Times New Roman"/>
                <w:b/>
                <w:bCs/>
                <w:kern w:val="0"/>
                <w:sz w:val="16"/>
                <w:szCs w:val="16"/>
              </w:rPr>
              <w:t>Policy Area Group</w:t>
            </w:r>
          </w:p>
        </w:tc>
        <w:tc>
          <w:tcPr>
            <w:tcW w:w="249"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70"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$M</w:t>
            </w:r>
          </w:p>
        </w:tc>
        <w:tc>
          <w:tcPr>
            <w:tcW w:w="169" w:type="pct"/>
            <w:tcBorders>
              <w:top w:val="single" w:sz="4" w:space="0" w:color="auto"/>
              <w:bottom w:val="single" w:sz="4" w:space="0" w:color="auto"/>
              <w:right w:val="single" w:sz="4" w:space="0" w:color="auto"/>
            </w:tcBorders>
            <w:vAlign w:val="bottom"/>
          </w:tcPr>
          <w:p w:rsidR="00435255" w:rsidRPr="00C51025" w:rsidRDefault="00435255" w:rsidP="002302F1">
            <w:pPr>
              <w:jc w:val="center"/>
              <w:rPr>
                <w:rFonts w:ascii="Times New Roman" w:hAnsi="Times New Roman" w:cs="Times New Roman"/>
                <w:sz w:val="16"/>
                <w:szCs w:val="16"/>
              </w:rPr>
            </w:pPr>
            <w:r w:rsidRPr="00C51025">
              <w:rPr>
                <w:rFonts w:ascii="Times New Roman" w:hAnsi="Times New Roman" w:cs="Times New Roman"/>
                <w:sz w:val="16"/>
                <w:szCs w:val="16"/>
              </w:rPr>
              <w:t>%</w:t>
            </w:r>
          </w:p>
        </w:tc>
      </w:tr>
      <w:tr w:rsidR="005C444F" w:rsidRPr="00C51025" w:rsidTr="001D1129">
        <w:trPr>
          <w:trHeight w:val="567"/>
        </w:trPr>
        <w:tc>
          <w:tcPr>
            <w:tcW w:w="403" w:type="pct"/>
            <w:tcBorders>
              <w:top w:val="single" w:sz="4" w:space="0" w:color="auto"/>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Education</w:t>
            </w:r>
          </w:p>
        </w:tc>
        <w:tc>
          <w:tcPr>
            <w:tcW w:w="249"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67,891</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7.6</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7</w:t>
            </w:r>
            <w:r w:rsidRPr="0011582A">
              <w:rPr>
                <w:rFonts w:ascii="Times New Roman" w:hAnsi="Times New Roman" w:cs="Times New Roman"/>
                <w:sz w:val="14"/>
                <w:szCs w:val="14"/>
              </w:rPr>
              <w:t>6,600</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9.1</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7</w:t>
            </w:r>
            <w:r w:rsidRPr="0011582A">
              <w:rPr>
                <w:rFonts w:ascii="Times New Roman" w:hAnsi="Times New Roman" w:cs="Times New Roman"/>
                <w:sz w:val="14"/>
                <w:szCs w:val="14"/>
              </w:rPr>
              <w:t>6,392</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6.7</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7</w:t>
            </w:r>
            <w:r w:rsidRPr="0011582A">
              <w:rPr>
                <w:rFonts w:ascii="Times New Roman" w:hAnsi="Times New Roman" w:cs="Times New Roman"/>
                <w:sz w:val="14"/>
                <w:szCs w:val="14"/>
              </w:rPr>
              <w:t>3,724</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7.4</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7</w:t>
            </w:r>
            <w:r w:rsidRPr="0011582A">
              <w:rPr>
                <w:rFonts w:ascii="Times New Roman" w:hAnsi="Times New Roman" w:cs="Times New Roman"/>
                <w:sz w:val="14"/>
                <w:szCs w:val="14"/>
              </w:rPr>
              <w:t>8,968</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6.9</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8</w:t>
            </w:r>
            <w:r w:rsidRPr="0011582A">
              <w:rPr>
                <w:rFonts w:ascii="Times New Roman" w:hAnsi="Times New Roman" w:cs="Times New Roman"/>
                <w:sz w:val="14"/>
                <w:szCs w:val="14"/>
              </w:rPr>
              <w:t>2,436</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6.7</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8</w:t>
            </w:r>
            <w:r w:rsidRPr="0011582A">
              <w:rPr>
                <w:rFonts w:ascii="Times New Roman" w:hAnsi="Times New Roman" w:cs="Times New Roman"/>
                <w:sz w:val="14"/>
                <w:szCs w:val="14"/>
              </w:rPr>
              <w:t>8,465</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7.4</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08,035</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9.0</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25,341</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9.5</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08,011</w:t>
            </w:r>
          </w:p>
        </w:tc>
        <w:tc>
          <w:tcPr>
            <w:tcW w:w="170"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2.6</w:t>
            </w:r>
          </w:p>
        </w:tc>
        <w:tc>
          <w:tcPr>
            <w:tcW w:w="248" w:type="pct"/>
            <w:tcBorders>
              <w:top w:val="single" w:sz="4" w:space="0" w:color="auto"/>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10,870</w:t>
            </w:r>
          </w:p>
        </w:tc>
        <w:tc>
          <w:tcPr>
            <w:tcW w:w="169" w:type="pct"/>
            <w:tcBorders>
              <w:top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4.4</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Social Welfare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43,346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11.2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4</w:t>
            </w:r>
            <w:r w:rsidRPr="0011582A">
              <w:rPr>
                <w:rFonts w:ascii="Times New Roman" w:hAnsi="Times New Roman" w:cs="Times New Roman"/>
                <w:sz w:val="14"/>
                <w:szCs w:val="14"/>
              </w:rPr>
              <w:t>5,894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1.5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5</w:t>
            </w:r>
            <w:r w:rsidRPr="0011582A">
              <w:rPr>
                <w:rFonts w:ascii="Times New Roman" w:hAnsi="Times New Roman" w:cs="Times New Roman"/>
                <w:sz w:val="14"/>
                <w:szCs w:val="14"/>
              </w:rPr>
              <w:t>5,352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2.1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5</w:t>
            </w:r>
            <w:r w:rsidRPr="0011582A">
              <w:rPr>
                <w:rFonts w:ascii="Times New Roman" w:hAnsi="Times New Roman" w:cs="Times New Roman"/>
                <w:sz w:val="14"/>
                <w:szCs w:val="14"/>
              </w:rPr>
              <w:t>8,091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3.7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6</w:t>
            </w:r>
            <w:r w:rsidRPr="0011582A">
              <w:rPr>
                <w:rFonts w:ascii="Times New Roman" w:hAnsi="Times New Roman" w:cs="Times New Roman"/>
                <w:sz w:val="14"/>
                <w:szCs w:val="14"/>
              </w:rPr>
              <w:t>4,893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3.9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6</w:t>
            </w:r>
            <w:r w:rsidRPr="0011582A">
              <w:rPr>
                <w:rFonts w:ascii="Times New Roman" w:hAnsi="Times New Roman" w:cs="Times New Roman"/>
                <w:sz w:val="14"/>
                <w:szCs w:val="14"/>
              </w:rPr>
              <w:t>8,151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3.8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7</w:t>
            </w:r>
            <w:r w:rsidRPr="0011582A">
              <w:rPr>
                <w:rFonts w:ascii="Times New Roman" w:hAnsi="Times New Roman" w:cs="Times New Roman"/>
                <w:sz w:val="14"/>
                <w:szCs w:val="14"/>
              </w:rPr>
              <w:t>0,316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3.9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9</w:t>
            </w:r>
            <w:r w:rsidRPr="0011582A">
              <w:rPr>
                <w:rFonts w:ascii="Times New Roman" w:hAnsi="Times New Roman" w:cs="Times New Roman"/>
                <w:sz w:val="14"/>
                <w:szCs w:val="14"/>
              </w:rPr>
              <w:t>0,126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5.9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9</w:t>
            </w:r>
            <w:r w:rsidRPr="0011582A">
              <w:rPr>
                <w:rFonts w:ascii="Times New Roman" w:hAnsi="Times New Roman" w:cs="Times New Roman"/>
                <w:sz w:val="14"/>
                <w:szCs w:val="14"/>
              </w:rPr>
              <w:t>2,249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4.4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00,066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1.6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hint="eastAsia"/>
                <w:sz w:val="14"/>
                <w:szCs w:val="14"/>
              </w:rPr>
              <w:t>1</w:t>
            </w:r>
            <w:r w:rsidRPr="0011582A">
              <w:rPr>
                <w:rFonts w:ascii="Times New Roman" w:hAnsi="Times New Roman" w:cs="Times New Roman"/>
                <w:sz w:val="14"/>
                <w:szCs w:val="14"/>
              </w:rPr>
              <w:t>20,555</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hint="eastAsia"/>
                <w:i/>
                <w:sz w:val="14"/>
                <w:szCs w:val="14"/>
              </w:rPr>
              <w:t>1</w:t>
            </w:r>
            <w:r w:rsidRPr="0011582A">
              <w:rPr>
                <w:rFonts w:ascii="Times New Roman" w:hAnsi="Times New Roman" w:cs="Times New Roman"/>
                <w:i/>
                <w:sz w:val="14"/>
                <w:szCs w:val="14"/>
              </w:rPr>
              <w:t>5.6</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Health</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45,297</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11.7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59,572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14.9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67,602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14.8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57,508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70,424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15.0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66,474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71,095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14.0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78,275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87,347</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98,308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11.4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115,827</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15.0</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Security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31,522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33,937</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35,293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7.7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38,906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43,108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43,162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45,833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50,455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56,732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64,609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7.5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62,392</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8.1</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Infrastructure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52,545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61,695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15.4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73,723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16.1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74,126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17.5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81,021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17.3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89,402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18.1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86,291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17.0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75,211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66,844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77,575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84,381</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10.9</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Environment &amp; Food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17,733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18,911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23,762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21,521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20,839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20,834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21,586</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24,291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30,680</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35,129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35,324</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4.6</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Economic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47,302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12.3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33,298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37,298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20,529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19,037</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29,365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20,585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26,034</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40,035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6.2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116,002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13.5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88,059</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11.4</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Housing</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18,98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20,501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21,268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24,349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5.7</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29,405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6.3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28,875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32,780</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6.5</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31,159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31,099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36,005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42,110</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5.5</w:t>
            </w:r>
          </w:p>
        </w:tc>
      </w:tr>
      <w:tr w:rsidR="005C444F" w:rsidRPr="00C51025" w:rsidTr="00400DF0">
        <w:trPr>
          <w:trHeight w:val="567"/>
        </w:trPr>
        <w:tc>
          <w:tcPr>
            <w:tcW w:w="403" w:type="pct"/>
            <w:tcBorders>
              <w:left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 xml:space="preserve">Community &amp; External Affairs </w:t>
            </w:r>
          </w:p>
        </w:tc>
        <w:tc>
          <w:tcPr>
            <w:tcW w:w="249"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26,033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6.8</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13,228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3.3</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27,718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6.1</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12,618</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13,495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2.9</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14,851</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3.0</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16,343</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24,835</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4.4</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20,302</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3.2</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22,749</w:t>
            </w:r>
          </w:p>
        </w:tc>
        <w:tc>
          <w:tcPr>
            <w:tcW w:w="170"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2.6</w:t>
            </w:r>
          </w:p>
        </w:tc>
        <w:tc>
          <w:tcPr>
            <w:tcW w:w="248" w:type="pct"/>
            <w:tcBorders>
              <w:left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26,046</w:t>
            </w:r>
          </w:p>
        </w:tc>
        <w:tc>
          <w:tcPr>
            <w:tcW w:w="169" w:type="pct"/>
            <w:tcBorders>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3.4</w:t>
            </w:r>
          </w:p>
        </w:tc>
      </w:tr>
      <w:tr w:rsidR="005C444F" w:rsidRPr="00C51025" w:rsidTr="001D1129">
        <w:trPr>
          <w:trHeight w:val="567"/>
        </w:trPr>
        <w:tc>
          <w:tcPr>
            <w:tcW w:w="403" w:type="pct"/>
            <w:tcBorders>
              <w:left w:val="single" w:sz="4" w:space="0" w:color="auto"/>
              <w:bottom w:val="single" w:sz="4" w:space="0" w:color="auto"/>
              <w:right w:val="single" w:sz="4" w:space="0" w:color="auto"/>
            </w:tcBorders>
            <w:vAlign w:val="center"/>
          </w:tcPr>
          <w:p w:rsidR="00435255" w:rsidRPr="00C51025" w:rsidRDefault="00435255" w:rsidP="002302F1">
            <w:pPr>
              <w:widowControl/>
              <w:spacing w:line="240" w:lineRule="exact"/>
              <w:ind w:leftChars="73" w:left="175"/>
              <w:contextualSpacing/>
              <w:rPr>
                <w:rFonts w:ascii="Times New Roman" w:eastAsia="標楷體" w:hAnsi="Times New Roman" w:cs="Times New Roman"/>
                <w:kern w:val="0"/>
                <w:sz w:val="16"/>
                <w:szCs w:val="16"/>
              </w:rPr>
            </w:pPr>
            <w:r w:rsidRPr="00C51025">
              <w:rPr>
                <w:rFonts w:ascii="Times New Roman" w:eastAsia="標楷體" w:hAnsi="Times New Roman" w:cs="Times New Roman"/>
                <w:kern w:val="0"/>
                <w:sz w:val="16"/>
                <w:szCs w:val="16"/>
              </w:rPr>
              <w:t>Support</w:t>
            </w:r>
          </w:p>
        </w:tc>
        <w:tc>
          <w:tcPr>
            <w:tcW w:w="249"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35,054</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9.1</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36,543</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9.2</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38,938</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8.5</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42,734</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10.0</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46,838</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10.0</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51,266</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10.4</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54,280</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10.7</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59,157</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10.4</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92,053</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14.3</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201,682</w:t>
            </w:r>
          </w:p>
        </w:tc>
        <w:tc>
          <w:tcPr>
            <w:tcW w:w="170"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23.5</w:t>
            </w:r>
          </w:p>
        </w:tc>
        <w:tc>
          <w:tcPr>
            <w:tcW w:w="248" w:type="pct"/>
            <w:tcBorders>
              <w:left w:val="single" w:sz="4" w:space="0" w:color="auto"/>
              <w:bottom w:val="single" w:sz="4" w:space="0" w:color="auto"/>
            </w:tcBorders>
            <w:vAlign w:val="bottom"/>
          </w:tcPr>
          <w:p w:rsidR="00435255" w:rsidRPr="0011582A" w:rsidRDefault="00435255" w:rsidP="002302F1">
            <w:pPr>
              <w:jc w:val="center"/>
              <w:rPr>
                <w:rFonts w:ascii="Times New Roman" w:hAnsi="Times New Roman" w:cs="Times New Roman"/>
                <w:sz w:val="14"/>
                <w:szCs w:val="14"/>
              </w:rPr>
            </w:pPr>
            <w:r w:rsidRPr="0011582A">
              <w:rPr>
                <w:rFonts w:ascii="Times New Roman" w:hAnsi="Times New Roman" w:cs="Times New Roman"/>
                <w:sz w:val="14"/>
                <w:szCs w:val="14"/>
              </w:rPr>
              <w:t>85,827</w:t>
            </w:r>
          </w:p>
        </w:tc>
        <w:tc>
          <w:tcPr>
            <w:tcW w:w="169" w:type="pct"/>
            <w:tcBorders>
              <w:bottom w:val="single" w:sz="4" w:space="0" w:color="auto"/>
              <w:right w:val="single" w:sz="4" w:space="0" w:color="auto"/>
            </w:tcBorders>
            <w:vAlign w:val="bottom"/>
          </w:tcPr>
          <w:p w:rsidR="00435255" w:rsidRPr="0011582A" w:rsidRDefault="00435255" w:rsidP="002302F1">
            <w:pPr>
              <w:jc w:val="center"/>
              <w:rPr>
                <w:rFonts w:ascii="Times New Roman" w:hAnsi="Times New Roman" w:cs="Times New Roman"/>
                <w:i/>
                <w:sz w:val="14"/>
                <w:szCs w:val="14"/>
              </w:rPr>
            </w:pPr>
            <w:r w:rsidRPr="0011582A">
              <w:rPr>
                <w:rFonts w:ascii="Times New Roman" w:hAnsi="Times New Roman" w:cs="Times New Roman"/>
                <w:i/>
                <w:sz w:val="14"/>
                <w:szCs w:val="14"/>
              </w:rPr>
              <w:t>11.1</w:t>
            </w:r>
          </w:p>
        </w:tc>
      </w:tr>
      <w:tr w:rsidR="005C444F" w:rsidRPr="00C51025" w:rsidTr="001D1129">
        <w:trPr>
          <w:trHeight w:val="567"/>
        </w:trPr>
        <w:tc>
          <w:tcPr>
            <w:tcW w:w="403" w:type="pct"/>
            <w:tcBorders>
              <w:top w:val="single" w:sz="4" w:space="0" w:color="auto"/>
              <w:left w:val="single" w:sz="4" w:space="0" w:color="auto"/>
              <w:right w:val="single" w:sz="4" w:space="0" w:color="auto"/>
            </w:tcBorders>
            <w:vAlign w:val="bottom"/>
          </w:tcPr>
          <w:p w:rsidR="00435255" w:rsidRPr="0011582A" w:rsidRDefault="00435255" w:rsidP="002302F1">
            <w:pPr>
              <w:spacing w:line="240" w:lineRule="exact"/>
              <w:contextualSpacing/>
              <w:rPr>
                <w:rFonts w:ascii="Times New Roman" w:hAnsi="Times New Roman" w:cs="Times New Roman"/>
                <w:sz w:val="15"/>
                <w:szCs w:val="15"/>
              </w:rPr>
            </w:pPr>
            <w:r w:rsidRPr="0011582A">
              <w:rPr>
                <w:rFonts w:ascii="Times New Roman" w:eastAsia="標楷體" w:hAnsi="Times New Roman" w:cs="Times New Roman"/>
                <w:b/>
                <w:bCs/>
                <w:kern w:val="0"/>
                <w:sz w:val="15"/>
                <w:szCs w:val="15"/>
              </w:rPr>
              <w:t>Total Public Expenditure</w:t>
            </w:r>
          </w:p>
        </w:tc>
        <w:tc>
          <w:tcPr>
            <w:tcW w:w="249"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385,641</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400,179</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457,346</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424,106</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468,028</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494,816</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507,574</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567,578</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642,682</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860,136</w:t>
            </w:r>
          </w:p>
        </w:tc>
        <w:tc>
          <w:tcPr>
            <w:tcW w:w="170" w:type="pct"/>
            <w:tcBorders>
              <w:top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100.0</w:t>
            </w:r>
          </w:p>
        </w:tc>
        <w:tc>
          <w:tcPr>
            <w:tcW w:w="248" w:type="pct"/>
            <w:tcBorders>
              <w:top w:val="single" w:sz="4" w:space="0" w:color="auto"/>
              <w:lef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771,391</w:t>
            </w:r>
          </w:p>
        </w:tc>
        <w:tc>
          <w:tcPr>
            <w:tcW w:w="169" w:type="pct"/>
            <w:tcBorders>
              <w:top w:val="single" w:sz="4" w:space="0" w:color="auto"/>
              <w:right w:val="single" w:sz="4" w:space="0" w:color="auto"/>
            </w:tcBorders>
            <w:vAlign w:val="bottom"/>
          </w:tcPr>
          <w:p w:rsidR="00435255" w:rsidRPr="0011582A" w:rsidRDefault="00435255" w:rsidP="002302F1">
            <w:pPr>
              <w:widowControl/>
              <w:jc w:val="right"/>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100.0 </w:t>
            </w:r>
          </w:p>
        </w:tc>
      </w:tr>
      <w:tr w:rsidR="005C444F" w:rsidRPr="00C51025" w:rsidTr="00400DF0">
        <w:trPr>
          <w:trHeight w:val="392"/>
        </w:trPr>
        <w:tc>
          <w:tcPr>
            <w:tcW w:w="403" w:type="pct"/>
            <w:tcBorders>
              <w:left w:val="single" w:sz="4" w:space="0" w:color="auto"/>
              <w:right w:val="single" w:sz="4" w:space="0" w:color="auto"/>
            </w:tcBorders>
            <w:vAlign w:val="bottom"/>
          </w:tcPr>
          <w:p w:rsidR="00435255" w:rsidRPr="0011582A" w:rsidRDefault="00435255" w:rsidP="002302F1">
            <w:pPr>
              <w:rPr>
                <w:rFonts w:ascii="Times New Roman" w:hAnsi="Times New Roman" w:cs="Times New Roman"/>
                <w:sz w:val="15"/>
                <w:szCs w:val="15"/>
              </w:rPr>
            </w:pPr>
            <w:r w:rsidRPr="0011582A">
              <w:rPr>
                <w:rFonts w:ascii="Times New Roman" w:eastAsia="標楷體" w:hAnsi="Times New Roman" w:cs="Times New Roman"/>
                <w:b/>
                <w:bCs/>
                <w:kern w:val="0"/>
                <w:sz w:val="15"/>
                <w:szCs w:val="15"/>
              </w:rPr>
              <w:t>Nominal GDP</w:t>
            </w:r>
          </w:p>
        </w:tc>
        <w:tc>
          <w:tcPr>
            <w:tcW w:w="249"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1,934,430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2,037,059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2,138,305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2,260,005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2,398,280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2,490,438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2,659,384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2,835,119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2,844,560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2,710,730 </w:t>
            </w:r>
          </w:p>
        </w:tc>
        <w:tc>
          <w:tcPr>
            <w:tcW w:w="170" w:type="pct"/>
            <w:tcBorders>
              <w:right w:val="single" w:sz="4" w:space="0" w:color="auto"/>
            </w:tcBorders>
            <w:vAlign w:val="bottom"/>
          </w:tcPr>
          <w:p w:rsidR="00435255" w:rsidRPr="0011582A" w:rsidRDefault="00435255" w:rsidP="002302F1">
            <w:pPr>
              <w:widowControl/>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 xml:space="preserve">　</w:t>
            </w:r>
          </w:p>
        </w:tc>
        <w:tc>
          <w:tcPr>
            <w:tcW w:w="248" w:type="pct"/>
            <w:tcBorders>
              <w:left w:val="single" w:sz="4" w:space="0" w:color="auto"/>
            </w:tcBorders>
            <w:vAlign w:val="bottom"/>
          </w:tcPr>
          <w:p w:rsidR="00435255" w:rsidRPr="0011582A" w:rsidRDefault="00435255" w:rsidP="002302F1">
            <w:pPr>
              <w:widowControl/>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 xml:space="preserve">        2,859,800 </w:t>
            </w:r>
          </w:p>
        </w:tc>
        <w:tc>
          <w:tcPr>
            <w:tcW w:w="169" w:type="pct"/>
            <w:tcBorders>
              <w:right w:val="single" w:sz="4" w:space="0" w:color="auto"/>
            </w:tcBorders>
            <w:vAlign w:val="bottom"/>
          </w:tcPr>
          <w:p w:rsidR="00435255" w:rsidRPr="00C51025" w:rsidRDefault="00435255" w:rsidP="002302F1">
            <w:pPr>
              <w:widowControl/>
              <w:rPr>
                <w:rFonts w:ascii="Times New Roman" w:eastAsia="標楷體" w:hAnsi="Times New Roman" w:cs="Times New Roman"/>
                <w:b/>
                <w:bCs/>
                <w:kern w:val="0"/>
                <w:sz w:val="16"/>
                <w:szCs w:val="16"/>
              </w:rPr>
            </w:pPr>
          </w:p>
        </w:tc>
      </w:tr>
      <w:tr w:rsidR="005C444F" w:rsidRPr="00C51025" w:rsidTr="001D1129">
        <w:tc>
          <w:tcPr>
            <w:tcW w:w="403" w:type="pct"/>
            <w:tcBorders>
              <w:left w:val="single" w:sz="4" w:space="0" w:color="auto"/>
              <w:bottom w:val="single" w:sz="4" w:space="0" w:color="auto"/>
              <w:right w:val="single" w:sz="4" w:space="0" w:color="auto"/>
            </w:tcBorders>
            <w:vAlign w:val="bottom"/>
          </w:tcPr>
          <w:p w:rsidR="00435255" w:rsidRPr="00400DF0" w:rsidRDefault="00435255" w:rsidP="00400DF0">
            <w:pPr>
              <w:spacing w:line="240" w:lineRule="exact"/>
              <w:contextualSpacing/>
              <w:rPr>
                <w:rFonts w:ascii="Times New Roman" w:eastAsia="標楷體" w:hAnsi="Times New Roman" w:cs="Times New Roman"/>
                <w:b/>
                <w:bCs/>
                <w:kern w:val="0"/>
                <w:sz w:val="15"/>
                <w:szCs w:val="15"/>
              </w:rPr>
            </w:pPr>
            <w:r w:rsidRPr="0011582A">
              <w:rPr>
                <w:rFonts w:ascii="Times New Roman" w:eastAsia="標楷體" w:hAnsi="Times New Roman" w:cs="Times New Roman"/>
                <w:b/>
                <w:bCs/>
                <w:kern w:val="0"/>
                <w:sz w:val="15"/>
                <w:szCs w:val="15"/>
              </w:rPr>
              <w:t>In term of % of Nominal GDP</w:t>
            </w:r>
          </w:p>
        </w:tc>
        <w:tc>
          <w:tcPr>
            <w:tcW w:w="249"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19.9%</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19.6%</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21.4%</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18.8%</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19.5%</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19.9%</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19.1%</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20.0%</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22.6%</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31.7%</w:t>
            </w:r>
          </w:p>
        </w:tc>
        <w:tc>
          <w:tcPr>
            <w:tcW w:w="170"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p>
        </w:tc>
        <w:tc>
          <w:tcPr>
            <w:tcW w:w="248" w:type="pct"/>
            <w:tcBorders>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27.0%</w:t>
            </w:r>
          </w:p>
        </w:tc>
        <w:tc>
          <w:tcPr>
            <w:tcW w:w="169" w:type="pct"/>
            <w:tcBorders>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p>
        </w:tc>
      </w:tr>
      <w:tr w:rsidR="005C444F" w:rsidRPr="00C51025" w:rsidTr="001D1129">
        <w:tc>
          <w:tcPr>
            <w:tcW w:w="403" w:type="pct"/>
            <w:tcBorders>
              <w:top w:val="single" w:sz="4" w:space="0" w:color="auto"/>
              <w:left w:val="single" w:sz="4" w:space="0" w:color="auto"/>
              <w:bottom w:val="single" w:sz="4" w:space="0" w:color="auto"/>
              <w:right w:val="single" w:sz="4" w:space="0" w:color="auto"/>
            </w:tcBorders>
            <w:vAlign w:val="bottom"/>
          </w:tcPr>
          <w:p w:rsidR="00E310D1" w:rsidRDefault="00E310D1" w:rsidP="002302F1">
            <w:pPr>
              <w:spacing w:line="240" w:lineRule="exact"/>
              <w:contextualSpacing/>
              <w:rPr>
                <w:rFonts w:ascii="Times New Roman" w:eastAsia="標楷體" w:hAnsi="Times New Roman" w:cs="Times New Roman"/>
                <w:b/>
                <w:bCs/>
                <w:kern w:val="0"/>
                <w:sz w:val="15"/>
                <w:szCs w:val="15"/>
              </w:rPr>
            </w:pPr>
          </w:p>
          <w:p w:rsidR="00435255" w:rsidRPr="0011582A" w:rsidRDefault="00435255" w:rsidP="002302F1">
            <w:pPr>
              <w:spacing w:line="240" w:lineRule="exact"/>
              <w:contextualSpacing/>
              <w:rPr>
                <w:rFonts w:ascii="Times New Roman" w:hAnsi="Times New Roman" w:cs="Times New Roman"/>
                <w:sz w:val="15"/>
                <w:szCs w:val="15"/>
              </w:rPr>
            </w:pPr>
            <w:r w:rsidRPr="0011582A">
              <w:rPr>
                <w:rFonts w:ascii="Times New Roman" w:eastAsia="標楷體" w:hAnsi="Times New Roman" w:cs="Times New Roman"/>
                <w:b/>
                <w:bCs/>
                <w:kern w:val="0"/>
                <w:sz w:val="15"/>
                <w:szCs w:val="15"/>
              </w:rPr>
              <w:t>3 Major Policy Area Groups (Education, Social Welfare and Health)</w:t>
            </w:r>
          </w:p>
        </w:tc>
        <w:tc>
          <w:tcPr>
            <w:tcW w:w="249"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156,534</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40.5</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182,066</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45.5</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199,346</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43.6</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189,323</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44.7</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214,285</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45.8</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217,061</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43.9</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229,876</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45.3</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276,436</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48.7</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304,937</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47.5</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306,385</w:t>
            </w:r>
          </w:p>
        </w:tc>
        <w:tc>
          <w:tcPr>
            <w:tcW w:w="170"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35.6</w:t>
            </w:r>
          </w:p>
        </w:tc>
        <w:tc>
          <w:tcPr>
            <w:tcW w:w="248" w:type="pct"/>
            <w:tcBorders>
              <w:top w:val="single" w:sz="4" w:space="0" w:color="auto"/>
              <w:left w:val="single" w:sz="4" w:space="0" w:color="auto"/>
              <w:bottom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kern w:val="0"/>
                <w:sz w:val="14"/>
                <w:szCs w:val="14"/>
              </w:rPr>
            </w:pPr>
            <w:r w:rsidRPr="0011582A">
              <w:rPr>
                <w:rFonts w:ascii="Times New Roman" w:eastAsia="標楷體" w:hAnsi="Times New Roman" w:cs="Times New Roman"/>
                <w:b/>
                <w:bCs/>
                <w:kern w:val="0"/>
                <w:sz w:val="14"/>
                <w:szCs w:val="14"/>
              </w:rPr>
              <w:t>347,252</w:t>
            </w:r>
          </w:p>
        </w:tc>
        <w:tc>
          <w:tcPr>
            <w:tcW w:w="169" w:type="pct"/>
            <w:tcBorders>
              <w:top w:val="single" w:sz="4" w:space="0" w:color="auto"/>
              <w:bottom w:val="single" w:sz="4" w:space="0" w:color="auto"/>
              <w:right w:val="single" w:sz="4" w:space="0" w:color="auto"/>
            </w:tcBorders>
            <w:vAlign w:val="bottom"/>
          </w:tcPr>
          <w:p w:rsidR="00435255" w:rsidRPr="0011582A" w:rsidRDefault="00435255" w:rsidP="002302F1">
            <w:pPr>
              <w:widowControl/>
              <w:jc w:val="center"/>
              <w:rPr>
                <w:rFonts w:ascii="Times New Roman" w:eastAsia="標楷體" w:hAnsi="Times New Roman" w:cs="Times New Roman"/>
                <w:b/>
                <w:bCs/>
                <w:i/>
                <w:iCs/>
                <w:kern w:val="0"/>
                <w:sz w:val="14"/>
                <w:szCs w:val="14"/>
              </w:rPr>
            </w:pPr>
            <w:r w:rsidRPr="0011582A">
              <w:rPr>
                <w:rFonts w:ascii="Times New Roman" w:eastAsia="標楷體" w:hAnsi="Times New Roman" w:cs="Times New Roman"/>
                <w:b/>
                <w:bCs/>
                <w:i/>
                <w:iCs/>
                <w:kern w:val="0"/>
                <w:sz w:val="14"/>
                <w:szCs w:val="14"/>
              </w:rPr>
              <w:t>45.0</w:t>
            </w:r>
          </w:p>
        </w:tc>
      </w:tr>
    </w:tbl>
    <w:p w:rsidR="00435255" w:rsidRDefault="00435255" w:rsidP="00AB4F3B">
      <w:pPr>
        <w:snapToGrid w:val="0"/>
        <w:ind w:left="456"/>
        <w:jc w:val="right"/>
        <w:rPr>
          <w:rFonts w:ascii="Times New Roman" w:hAnsi="Times New Roman" w:cs="Times New Roman"/>
          <w:b/>
          <w:sz w:val="28"/>
          <w:szCs w:val="28"/>
          <w:u w:val="single"/>
        </w:rPr>
        <w:sectPr w:rsidR="00435255" w:rsidSect="00435255">
          <w:pgSz w:w="16838" w:h="11906" w:orient="landscape"/>
          <w:pgMar w:top="284" w:right="284" w:bottom="284" w:left="284" w:header="851" w:footer="992" w:gutter="0"/>
          <w:pgNumType w:start="1"/>
          <w:cols w:space="425"/>
          <w:titlePg/>
          <w:docGrid w:type="linesAndChars" w:linePitch="360"/>
        </w:sectPr>
      </w:pPr>
    </w:p>
    <w:p w:rsidR="008129F4" w:rsidRPr="00836075" w:rsidRDefault="004E6A8D" w:rsidP="008129F4">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8129F4">
        <w:rPr>
          <w:rFonts w:ascii="Times New Roman" w:hAnsi="Times New Roman" w:cs="Times New Roman"/>
          <w:b/>
          <w:sz w:val="28"/>
          <w:szCs w:val="28"/>
          <w:u w:val="single"/>
        </w:rPr>
        <w:t>6</w:t>
      </w:r>
    </w:p>
    <w:p w:rsidR="008129F4" w:rsidRDefault="008129F4" w:rsidP="008129F4">
      <w:pPr>
        <w:tabs>
          <w:tab w:val="left" w:pos="1440"/>
        </w:tabs>
        <w:snapToGrid w:val="0"/>
        <w:jc w:val="both"/>
        <w:rPr>
          <w:rFonts w:ascii="Times New Roman" w:hAnsi="Times New Roman" w:cs="Times New Roman"/>
          <w:sz w:val="28"/>
          <w:szCs w:val="28"/>
          <w:highlight w:val="green"/>
          <w:lang w:val="en-GB"/>
        </w:rPr>
      </w:pPr>
    </w:p>
    <w:p w:rsidR="008129F4" w:rsidRPr="00400DF0" w:rsidRDefault="008129F4" w:rsidP="00400DF0">
      <w:pPr>
        <w:tabs>
          <w:tab w:val="left" w:pos="1440"/>
        </w:tabs>
        <w:snapToGrid w:val="0"/>
        <w:jc w:val="center"/>
        <w:rPr>
          <w:rFonts w:ascii="Times New Roman" w:hAnsi="Times New Roman" w:cs="Times New Roman"/>
          <w:b/>
          <w:sz w:val="28"/>
          <w:szCs w:val="28"/>
          <w:u w:val="single"/>
          <w:lang w:val="en-GB"/>
        </w:rPr>
      </w:pPr>
      <w:r w:rsidRPr="00400DF0">
        <w:rPr>
          <w:rFonts w:ascii="Times New Roman" w:hAnsi="Times New Roman" w:cs="Times New Roman"/>
          <w:b/>
          <w:sz w:val="28"/>
          <w:szCs w:val="28"/>
          <w:u w:val="single"/>
          <w:lang w:val="en-GB"/>
        </w:rPr>
        <w:t>Public healthcare services in Hong Kong</w:t>
      </w:r>
    </w:p>
    <w:p w:rsidR="008129F4" w:rsidRDefault="008129F4" w:rsidP="008129F4">
      <w:pPr>
        <w:tabs>
          <w:tab w:val="left" w:pos="1440"/>
        </w:tabs>
        <w:snapToGrid w:val="0"/>
        <w:jc w:val="both"/>
        <w:rPr>
          <w:rFonts w:ascii="Times New Roman" w:hAnsi="Times New Roman" w:cs="Times New Roman"/>
          <w:sz w:val="28"/>
          <w:szCs w:val="28"/>
          <w:highlight w:val="green"/>
          <w:lang w:val="en-GB"/>
        </w:rPr>
      </w:pPr>
    </w:p>
    <w:p w:rsidR="008129F4" w:rsidRPr="00400DF0" w:rsidRDefault="00C4139E" w:rsidP="008129F4">
      <w:pPr>
        <w:tabs>
          <w:tab w:val="left" w:pos="1440"/>
        </w:tabs>
        <w:snapToGrid w:val="0"/>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8129F4">
        <w:rPr>
          <w:rFonts w:ascii="Times New Roman" w:hAnsi="Times New Roman" w:cs="Times New Roman"/>
          <w:sz w:val="28"/>
          <w:szCs w:val="28"/>
          <w:lang w:val="en-GB"/>
        </w:rPr>
        <w:tab/>
      </w:r>
      <w:r w:rsidR="008129F4" w:rsidRPr="00400DF0">
        <w:rPr>
          <w:rFonts w:ascii="Times New Roman" w:hAnsi="Times New Roman" w:cs="Times New Roman"/>
          <w:sz w:val="28"/>
          <w:szCs w:val="28"/>
          <w:lang w:val="en-GB"/>
        </w:rPr>
        <w:t>The provision of public healthcare services in Hong Kong is primarily prioritised to meet the needs of Eligible Persons (“EP”)</w:t>
      </w:r>
      <w:r w:rsidR="008129F4" w:rsidRPr="00400DF0">
        <w:rPr>
          <w:rStyle w:val="ae"/>
          <w:rFonts w:ascii="Times New Roman" w:hAnsi="Times New Roman" w:cs="Times New Roman"/>
          <w:sz w:val="28"/>
          <w:szCs w:val="28"/>
          <w:lang w:val="en-GB"/>
        </w:rPr>
        <w:footnoteReference w:id="1"/>
      </w:r>
      <w:r w:rsidR="008129F4" w:rsidRPr="00400DF0">
        <w:rPr>
          <w:rFonts w:ascii="Times New Roman" w:hAnsi="Times New Roman" w:cs="Times New Roman"/>
          <w:sz w:val="28"/>
          <w:szCs w:val="28"/>
          <w:lang w:val="en-GB"/>
        </w:rPr>
        <w:t>.  Nevertheless, the Hospital Authority (“HA”) would provide medical services for Non-eligible Persons (“NEP”)</w:t>
      </w:r>
      <w:r w:rsidR="008129F4" w:rsidRPr="00400DF0">
        <w:rPr>
          <w:rStyle w:val="ae"/>
          <w:rFonts w:ascii="Times New Roman" w:hAnsi="Times New Roman" w:cs="Times New Roman"/>
          <w:sz w:val="28"/>
          <w:szCs w:val="28"/>
          <w:lang w:val="en-GB"/>
        </w:rPr>
        <w:footnoteReference w:id="2"/>
      </w:r>
      <w:r w:rsidR="008129F4" w:rsidRPr="00400DF0">
        <w:rPr>
          <w:rFonts w:ascii="Times New Roman" w:hAnsi="Times New Roman" w:cs="Times New Roman"/>
          <w:sz w:val="28"/>
          <w:szCs w:val="28"/>
          <w:lang w:val="en-GB"/>
        </w:rPr>
        <w:t>, including non-</w:t>
      </w:r>
      <w:proofErr w:type="spellStart"/>
      <w:r w:rsidR="008129F4" w:rsidRPr="00400DF0">
        <w:rPr>
          <w:rFonts w:ascii="Times New Roman" w:hAnsi="Times New Roman" w:cs="Times New Roman"/>
          <w:sz w:val="28"/>
          <w:szCs w:val="28"/>
          <w:lang w:val="en-GB"/>
        </w:rPr>
        <w:t>refoulement</w:t>
      </w:r>
      <w:proofErr w:type="spellEnd"/>
      <w:r w:rsidR="008129F4" w:rsidRPr="00400DF0">
        <w:rPr>
          <w:rFonts w:ascii="Times New Roman" w:hAnsi="Times New Roman" w:cs="Times New Roman"/>
          <w:sz w:val="28"/>
          <w:szCs w:val="28"/>
          <w:lang w:val="en-GB"/>
        </w:rPr>
        <w:t xml:space="preserve"> claimants, in emergency situations.  In non-emergency situations, service provision for NEP is subject to </w:t>
      </w:r>
      <w:proofErr w:type="gramStart"/>
      <w:r w:rsidR="008129F4" w:rsidRPr="00400DF0">
        <w:rPr>
          <w:rFonts w:ascii="Times New Roman" w:hAnsi="Times New Roman" w:cs="Times New Roman"/>
          <w:sz w:val="28"/>
          <w:szCs w:val="28"/>
          <w:lang w:val="en-GB"/>
        </w:rPr>
        <w:t>HA’s</w:t>
      </w:r>
      <w:proofErr w:type="gramEnd"/>
      <w:r w:rsidR="008129F4" w:rsidRPr="00400DF0">
        <w:rPr>
          <w:rFonts w:ascii="Times New Roman" w:hAnsi="Times New Roman" w:cs="Times New Roman"/>
          <w:sz w:val="28"/>
          <w:szCs w:val="28"/>
          <w:lang w:val="en-GB"/>
        </w:rPr>
        <w:t xml:space="preserve"> capacity to provide such services without adversely affecting the services to EP on each episode.  Medical services provided by HA for NEP are charged on cost recovery basis as published in the Gazette.  Before settlement of all outstanding fees, NEP would only be provided with medical services related to major public health threats or in emergency situations.  Once the NEP are stabilized, their care would be handed over to and continued by their own medical practitioners or their country of origin.</w:t>
      </w:r>
    </w:p>
    <w:p w:rsidR="008129F4" w:rsidRPr="00400DF0" w:rsidRDefault="008129F4" w:rsidP="008129F4">
      <w:pPr>
        <w:tabs>
          <w:tab w:val="left" w:pos="1440"/>
        </w:tabs>
        <w:snapToGrid w:val="0"/>
        <w:jc w:val="both"/>
        <w:rPr>
          <w:rFonts w:ascii="Times New Roman" w:hAnsi="Times New Roman" w:cs="Times New Roman"/>
          <w:sz w:val="28"/>
          <w:szCs w:val="28"/>
          <w:lang w:val="en-GB"/>
        </w:rPr>
      </w:pPr>
    </w:p>
    <w:p w:rsidR="008129F4" w:rsidRPr="00400DF0" w:rsidRDefault="00C4139E" w:rsidP="008129F4">
      <w:pPr>
        <w:tabs>
          <w:tab w:val="left" w:pos="1440"/>
        </w:tabs>
        <w:snapToGrid w:val="0"/>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8129F4" w:rsidRPr="00400DF0">
        <w:rPr>
          <w:rFonts w:ascii="Times New Roman" w:hAnsi="Times New Roman" w:cs="Times New Roman"/>
          <w:sz w:val="28"/>
          <w:szCs w:val="28"/>
          <w:lang w:val="en-GB"/>
        </w:rPr>
        <w:tab/>
        <w:t>To ensure rational use of limited public resources, normally medical fees would not be waived for NEP unless there are exceptional circumstances and financial hardship.  NEP in need may submit application for medical fee waiver to HA or the concerned service units of the Social Welfare Department.  HA would consider the circumstances of each case and decide whether an application for medical fee waiver would be accepted.  For approved applications, HA would exercise discretion to waive medical fees in full or partially.</w:t>
      </w:r>
    </w:p>
    <w:p w:rsidR="008129F4" w:rsidRPr="00400DF0" w:rsidRDefault="008129F4" w:rsidP="008129F4">
      <w:pPr>
        <w:tabs>
          <w:tab w:val="left" w:pos="1440"/>
        </w:tabs>
        <w:snapToGrid w:val="0"/>
        <w:jc w:val="both"/>
        <w:rPr>
          <w:rFonts w:ascii="Times New Roman" w:hAnsi="Times New Roman" w:cs="Times New Roman"/>
          <w:sz w:val="28"/>
          <w:szCs w:val="28"/>
          <w:lang w:val="en-GB"/>
        </w:rPr>
      </w:pPr>
    </w:p>
    <w:p w:rsidR="008129F4" w:rsidRDefault="00C4139E" w:rsidP="008129F4">
      <w:pPr>
        <w:tabs>
          <w:tab w:val="left" w:pos="1440"/>
        </w:tabs>
        <w:snapToGrid w:val="0"/>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008129F4" w:rsidRPr="00400DF0">
        <w:rPr>
          <w:rFonts w:ascii="Times New Roman" w:hAnsi="Times New Roman" w:cs="Times New Roman"/>
          <w:sz w:val="28"/>
          <w:szCs w:val="28"/>
          <w:lang w:val="en-GB"/>
        </w:rPr>
        <w:tab/>
        <w:t>Members of the public may access more information about the medical fee waiver mechanism for NEP and application procedures in HA’s internet website.</w:t>
      </w:r>
    </w:p>
    <w:p w:rsidR="008129F4" w:rsidRPr="00400DF0" w:rsidRDefault="008129F4">
      <w:pPr>
        <w:widowControl/>
        <w:rPr>
          <w:rFonts w:ascii="Times New Roman" w:hAnsi="Times New Roman" w:cs="Times New Roman"/>
          <w:i/>
          <w:color w:val="0000FF"/>
          <w:sz w:val="28"/>
          <w:szCs w:val="28"/>
          <w:lang w:val="en-GB"/>
        </w:rPr>
      </w:pPr>
    </w:p>
    <w:p w:rsidR="008129F4" w:rsidRDefault="008129F4">
      <w:pPr>
        <w:widowControl/>
        <w:rPr>
          <w:rFonts w:ascii="Times New Roman" w:hAnsi="Times New Roman" w:cs="Times New Roman"/>
          <w:i/>
          <w:color w:val="0000FF"/>
          <w:sz w:val="28"/>
          <w:szCs w:val="28"/>
        </w:rPr>
      </w:pPr>
    </w:p>
    <w:p w:rsidR="008129F4" w:rsidRDefault="008129F4">
      <w:pPr>
        <w:widowControl/>
        <w:rPr>
          <w:rFonts w:ascii="Times New Roman" w:hAnsi="Times New Roman" w:cs="Times New Roman"/>
          <w:i/>
          <w:color w:val="0000FF"/>
          <w:sz w:val="28"/>
          <w:szCs w:val="28"/>
        </w:rPr>
      </w:pPr>
      <w:r>
        <w:rPr>
          <w:rFonts w:ascii="Times New Roman" w:hAnsi="Times New Roman" w:cs="Times New Roman"/>
          <w:i/>
          <w:color w:val="0000FF"/>
          <w:sz w:val="28"/>
          <w:szCs w:val="28"/>
        </w:rPr>
        <w:br w:type="page"/>
      </w:r>
    </w:p>
    <w:p w:rsidR="007445FF" w:rsidRPr="00836075" w:rsidRDefault="004E6A8D" w:rsidP="007445FF">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7</w:t>
      </w:r>
    </w:p>
    <w:p w:rsidR="007445FF" w:rsidRDefault="007445FF">
      <w:pPr>
        <w:widowControl/>
        <w:rPr>
          <w:rFonts w:ascii="Times New Roman" w:hAnsi="Times New Roman" w:cs="Times New Roman"/>
          <w:i/>
          <w:color w:val="0000FF"/>
          <w:sz w:val="28"/>
          <w:szCs w:val="28"/>
        </w:rPr>
      </w:pPr>
    </w:p>
    <w:p w:rsidR="0096232F" w:rsidRPr="00400DF0" w:rsidRDefault="00C4139E" w:rsidP="00400DF0">
      <w:pPr>
        <w:tabs>
          <w:tab w:val="left" w:pos="1440"/>
        </w:tabs>
        <w:snapToGrid w:val="0"/>
        <w:jc w:val="center"/>
        <w:rPr>
          <w:rFonts w:ascii="Times New Roman" w:eastAsia="標楷體" w:hAnsi="Times New Roman" w:cs="Times New Roman"/>
          <w:b/>
          <w:color w:val="000000"/>
          <w:kern w:val="0"/>
          <w:sz w:val="28"/>
          <w:szCs w:val="28"/>
          <w:u w:val="single"/>
          <w:lang w:val="en-GB" w:eastAsia="en-US"/>
        </w:rPr>
      </w:pPr>
      <w:r w:rsidRPr="00400DF0">
        <w:rPr>
          <w:rFonts w:ascii="Times New Roman" w:eastAsia="標楷體" w:hAnsi="Times New Roman" w:cs="Times New Roman"/>
          <w:b/>
          <w:color w:val="000000"/>
          <w:kern w:val="0"/>
          <w:sz w:val="28"/>
          <w:szCs w:val="28"/>
          <w:u w:val="single"/>
          <w:lang w:val="en-GB"/>
        </w:rPr>
        <w:t>H</w:t>
      </w:r>
      <w:r w:rsidR="0096232F" w:rsidRPr="00400DF0">
        <w:rPr>
          <w:rFonts w:ascii="Times New Roman" w:eastAsia="標楷體" w:hAnsi="Times New Roman" w:cs="Times New Roman"/>
          <w:b/>
          <w:color w:val="000000"/>
          <w:kern w:val="0"/>
          <w:sz w:val="28"/>
          <w:szCs w:val="28"/>
          <w:u w:val="single"/>
          <w:lang w:val="en-GB" w:eastAsia="en-US"/>
        </w:rPr>
        <w:t>andling</w:t>
      </w:r>
      <w:r w:rsidRPr="00400DF0">
        <w:rPr>
          <w:rFonts w:ascii="Times New Roman" w:eastAsia="標楷體" w:hAnsi="Times New Roman" w:cs="Times New Roman"/>
          <w:b/>
          <w:color w:val="000000"/>
          <w:kern w:val="0"/>
          <w:sz w:val="28"/>
          <w:szCs w:val="28"/>
          <w:u w:val="single"/>
          <w:lang w:val="en-GB" w:eastAsia="en-US"/>
        </w:rPr>
        <w:t xml:space="preserve"> </w:t>
      </w:r>
      <w:r w:rsidRPr="00400DF0">
        <w:rPr>
          <w:rFonts w:ascii="Times New Roman" w:eastAsia="標楷體" w:hAnsi="Times New Roman" w:cs="Times New Roman"/>
          <w:b/>
          <w:color w:val="000000"/>
          <w:kern w:val="0"/>
          <w:sz w:val="28"/>
          <w:szCs w:val="28"/>
          <w:u w:val="single"/>
          <w:lang w:val="en-GB" w:eastAsia="zh-HK"/>
        </w:rPr>
        <w:t xml:space="preserve">of </w:t>
      </w:r>
      <w:r w:rsidR="0096232F" w:rsidRPr="00400DF0">
        <w:rPr>
          <w:rFonts w:ascii="Times New Roman" w:eastAsia="標楷體" w:hAnsi="Times New Roman" w:cs="Times New Roman"/>
          <w:b/>
          <w:color w:val="000000"/>
          <w:kern w:val="0"/>
          <w:sz w:val="28"/>
          <w:szCs w:val="28"/>
          <w:u w:val="single"/>
          <w:lang w:val="en-GB" w:eastAsia="en-US"/>
        </w:rPr>
        <w:t>enquiries and complaints</w:t>
      </w:r>
      <w:r>
        <w:rPr>
          <w:rFonts w:ascii="Times New Roman" w:eastAsia="標楷體" w:hAnsi="Times New Roman" w:cs="Times New Roman"/>
          <w:b/>
          <w:color w:val="000000"/>
          <w:kern w:val="0"/>
          <w:sz w:val="28"/>
          <w:szCs w:val="28"/>
          <w:u w:val="single"/>
          <w:lang w:val="en-GB" w:eastAsia="en-US"/>
        </w:rPr>
        <w:br/>
      </w:r>
      <w:r w:rsidR="0096232F" w:rsidRPr="00400DF0">
        <w:rPr>
          <w:rFonts w:ascii="Times New Roman" w:eastAsia="標楷體" w:hAnsi="Times New Roman" w:cs="Times New Roman"/>
          <w:b/>
          <w:color w:val="000000"/>
          <w:kern w:val="0"/>
          <w:sz w:val="28"/>
          <w:szCs w:val="28"/>
          <w:u w:val="single"/>
          <w:lang w:val="en-GB" w:eastAsia="en-US"/>
        </w:rPr>
        <w:t>from foreign domestic helpers</w:t>
      </w:r>
    </w:p>
    <w:p w:rsidR="0096232F" w:rsidRDefault="0096232F" w:rsidP="0096232F">
      <w:pPr>
        <w:tabs>
          <w:tab w:val="left" w:pos="1440"/>
        </w:tabs>
        <w:snapToGrid w:val="0"/>
        <w:jc w:val="both"/>
        <w:rPr>
          <w:rFonts w:ascii="Times New Roman" w:eastAsia="標楷體" w:hAnsi="Times New Roman" w:cs="Times New Roman"/>
          <w:color w:val="000000"/>
          <w:kern w:val="0"/>
          <w:sz w:val="28"/>
          <w:szCs w:val="28"/>
          <w:lang w:val="en-GB" w:eastAsia="en-US"/>
        </w:rPr>
      </w:pPr>
      <w:r>
        <w:rPr>
          <w:rFonts w:ascii="Times New Roman" w:eastAsia="標楷體" w:hAnsi="Times New Roman" w:cs="Times New Roman"/>
          <w:color w:val="000000"/>
          <w:kern w:val="0"/>
          <w:sz w:val="28"/>
          <w:szCs w:val="28"/>
          <w:lang w:val="en-GB" w:eastAsia="en-US"/>
        </w:rPr>
        <w:t xml:space="preserve"> </w:t>
      </w:r>
    </w:p>
    <w:p w:rsidR="0096232F" w:rsidRDefault="00C4139E" w:rsidP="0096232F">
      <w:pPr>
        <w:tabs>
          <w:tab w:val="left" w:pos="1440"/>
        </w:tabs>
        <w:snapToGrid w:val="0"/>
        <w:jc w:val="both"/>
        <w:rPr>
          <w:rFonts w:ascii="Times New Roman" w:eastAsia="標楷體" w:hAnsi="Times New Roman" w:cs="Times New Roman"/>
          <w:color w:val="0000FF"/>
          <w:kern w:val="0"/>
          <w:szCs w:val="24"/>
          <w:lang w:val="en-GB" w:eastAsia="en-US"/>
        </w:rPr>
      </w:pPr>
      <w:r>
        <w:rPr>
          <w:rFonts w:ascii="Times New Roman" w:eastAsia="標楷體" w:hAnsi="Times New Roman" w:cs="Times New Roman"/>
          <w:color w:val="000000"/>
          <w:kern w:val="0"/>
          <w:sz w:val="28"/>
          <w:szCs w:val="28"/>
          <w:lang w:val="en-GB" w:eastAsia="en-US"/>
        </w:rPr>
        <w:t>1.</w:t>
      </w:r>
      <w:r w:rsidR="0096232F">
        <w:rPr>
          <w:rFonts w:ascii="Times New Roman" w:eastAsia="標楷體" w:hAnsi="Times New Roman" w:cs="Times New Roman"/>
          <w:color w:val="000000"/>
          <w:kern w:val="0"/>
          <w:sz w:val="28"/>
          <w:szCs w:val="28"/>
          <w:lang w:val="en-GB" w:eastAsia="en-US"/>
        </w:rPr>
        <w:tab/>
      </w:r>
      <w:r w:rsidR="0096232F" w:rsidRPr="002B0C03">
        <w:rPr>
          <w:rFonts w:ascii="Times New Roman" w:eastAsia="標楷體" w:hAnsi="Times New Roman" w:cs="Times New Roman"/>
          <w:color w:val="000000"/>
          <w:kern w:val="0"/>
          <w:sz w:val="28"/>
          <w:szCs w:val="28"/>
          <w:lang w:val="en-GB" w:eastAsia="en-US"/>
        </w:rPr>
        <w:t xml:space="preserve">If an </w:t>
      </w:r>
      <w:r w:rsidR="0096232F">
        <w:rPr>
          <w:rFonts w:ascii="Times New Roman" w:eastAsia="標楷體" w:hAnsi="Times New Roman" w:cs="Times New Roman"/>
          <w:color w:val="000000"/>
          <w:kern w:val="0"/>
          <w:sz w:val="28"/>
          <w:szCs w:val="28"/>
          <w:lang w:val="en-GB" w:eastAsia="en-US"/>
        </w:rPr>
        <w:t>foreign domestic helper (“</w:t>
      </w:r>
      <w:r w:rsidR="0096232F" w:rsidRPr="002B0C03">
        <w:rPr>
          <w:rFonts w:ascii="Times New Roman" w:eastAsia="標楷體" w:hAnsi="Times New Roman" w:cs="Times New Roman"/>
          <w:color w:val="000000"/>
          <w:kern w:val="0"/>
          <w:sz w:val="28"/>
          <w:szCs w:val="28"/>
          <w:lang w:val="en-GB" w:eastAsia="en-US"/>
        </w:rPr>
        <w:t>FDH</w:t>
      </w:r>
      <w:r w:rsidR="0096232F">
        <w:rPr>
          <w:rFonts w:ascii="Times New Roman" w:eastAsia="標楷體" w:hAnsi="Times New Roman" w:cs="Times New Roman"/>
          <w:color w:val="000000"/>
          <w:kern w:val="0"/>
          <w:sz w:val="28"/>
          <w:szCs w:val="28"/>
          <w:lang w:val="en-GB" w:eastAsia="en-US"/>
        </w:rPr>
        <w:t>”)</w:t>
      </w:r>
      <w:r w:rsidR="0096232F" w:rsidRPr="002B0C03">
        <w:rPr>
          <w:rFonts w:ascii="Times New Roman" w:eastAsia="標楷體" w:hAnsi="Times New Roman" w:cs="Times New Roman"/>
          <w:color w:val="000000"/>
          <w:kern w:val="0"/>
          <w:sz w:val="28"/>
          <w:szCs w:val="28"/>
          <w:lang w:val="en-GB" w:eastAsia="en-US"/>
        </w:rPr>
        <w:t xml:space="preserve"> considers that his/her employer has failed to provide suitable accommodation or has breached any of the terms concerning accommodation arrangements as provided in </w:t>
      </w:r>
      <w:r w:rsidR="00200533">
        <w:rPr>
          <w:rFonts w:ascii="Times New Roman" w:eastAsia="標楷體" w:hAnsi="Times New Roman" w:cs="Times New Roman"/>
          <w:color w:val="000000"/>
          <w:kern w:val="0"/>
          <w:sz w:val="28"/>
          <w:szCs w:val="28"/>
          <w:lang w:val="en-GB" w:eastAsia="en-US"/>
        </w:rPr>
        <w:t xml:space="preserve">the </w:t>
      </w:r>
      <w:r w:rsidR="00200533" w:rsidRPr="002B0C03">
        <w:rPr>
          <w:rFonts w:ascii="Times New Roman" w:eastAsia="標楷體" w:hAnsi="Times New Roman" w:cs="Times New Roman"/>
          <w:kern w:val="0"/>
          <w:sz w:val="28"/>
          <w:szCs w:val="28"/>
          <w:lang w:val="en-GB" w:eastAsia="en-US"/>
        </w:rPr>
        <w:t>S</w:t>
      </w:r>
      <w:r w:rsidR="00200533">
        <w:rPr>
          <w:rFonts w:ascii="Times New Roman" w:eastAsia="標楷體" w:hAnsi="Times New Roman" w:cs="Times New Roman"/>
          <w:kern w:val="0"/>
          <w:sz w:val="28"/>
          <w:szCs w:val="28"/>
          <w:lang w:val="en-GB" w:eastAsia="en-US"/>
        </w:rPr>
        <w:t xml:space="preserve">tandard </w:t>
      </w:r>
      <w:r w:rsidR="00200533" w:rsidRPr="002B0C03">
        <w:rPr>
          <w:rFonts w:ascii="Times New Roman" w:eastAsia="標楷體" w:hAnsi="Times New Roman" w:cs="Times New Roman"/>
          <w:kern w:val="0"/>
          <w:sz w:val="28"/>
          <w:szCs w:val="28"/>
          <w:lang w:val="en-GB" w:eastAsia="en-US"/>
        </w:rPr>
        <w:t>E</w:t>
      </w:r>
      <w:r w:rsidR="00200533">
        <w:rPr>
          <w:rFonts w:ascii="Times New Roman" w:eastAsia="標楷體" w:hAnsi="Times New Roman" w:cs="Times New Roman"/>
          <w:kern w:val="0"/>
          <w:sz w:val="28"/>
          <w:szCs w:val="28"/>
          <w:lang w:val="en-GB" w:eastAsia="en-US"/>
        </w:rPr>
        <w:t xml:space="preserve">mployment </w:t>
      </w:r>
      <w:r w:rsidR="00200533" w:rsidRPr="002B0C03">
        <w:rPr>
          <w:rFonts w:ascii="Times New Roman" w:eastAsia="標楷體" w:hAnsi="Times New Roman" w:cs="Times New Roman"/>
          <w:kern w:val="0"/>
          <w:sz w:val="28"/>
          <w:szCs w:val="28"/>
          <w:lang w:val="en-GB" w:eastAsia="en-US"/>
        </w:rPr>
        <w:t>C</w:t>
      </w:r>
      <w:r w:rsidR="00200533">
        <w:rPr>
          <w:rFonts w:ascii="Times New Roman" w:eastAsia="標楷體" w:hAnsi="Times New Roman" w:cs="Times New Roman"/>
          <w:kern w:val="0"/>
          <w:sz w:val="28"/>
          <w:szCs w:val="28"/>
          <w:lang w:val="en-GB" w:eastAsia="en-US"/>
        </w:rPr>
        <w:t>ontract</w:t>
      </w:r>
      <w:r w:rsidR="00200533" w:rsidRPr="002B0C03">
        <w:rPr>
          <w:rFonts w:ascii="Times New Roman" w:eastAsia="標楷體" w:hAnsi="Times New Roman" w:cs="Times New Roman"/>
          <w:color w:val="000000"/>
          <w:kern w:val="0"/>
          <w:sz w:val="28"/>
          <w:szCs w:val="28"/>
          <w:lang w:val="en-GB" w:eastAsia="en-US"/>
        </w:rPr>
        <w:t xml:space="preserve"> </w:t>
      </w:r>
      <w:r w:rsidR="00200533">
        <w:rPr>
          <w:rFonts w:ascii="Times New Roman" w:eastAsia="標楷體" w:hAnsi="Times New Roman" w:cs="Times New Roman"/>
          <w:color w:val="000000"/>
          <w:kern w:val="0"/>
          <w:sz w:val="28"/>
          <w:szCs w:val="28"/>
          <w:lang w:val="en-GB" w:eastAsia="en-US"/>
        </w:rPr>
        <w:t>(“</w:t>
      </w:r>
      <w:r w:rsidR="0096232F" w:rsidRPr="002B0C03">
        <w:rPr>
          <w:rFonts w:ascii="Times New Roman" w:eastAsia="標楷體" w:hAnsi="Times New Roman" w:cs="Times New Roman"/>
          <w:color w:val="000000"/>
          <w:kern w:val="0"/>
          <w:sz w:val="28"/>
          <w:szCs w:val="28"/>
          <w:lang w:val="en-GB" w:eastAsia="en-US"/>
        </w:rPr>
        <w:t>SEC</w:t>
      </w:r>
      <w:r w:rsidR="00200533">
        <w:rPr>
          <w:rFonts w:ascii="Times New Roman" w:eastAsia="標楷體" w:hAnsi="Times New Roman" w:cs="Times New Roman"/>
          <w:color w:val="000000"/>
          <w:kern w:val="0"/>
          <w:sz w:val="28"/>
          <w:szCs w:val="28"/>
          <w:lang w:val="en-GB" w:eastAsia="en-US"/>
        </w:rPr>
        <w:t>”)</w:t>
      </w:r>
      <w:r w:rsidR="0096232F" w:rsidRPr="002B0C03">
        <w:rPr>
          <w:rFonts w:ascii="Times New Roman" w:eastAsia="標楷體" w:hAnsi="Times New Roman" w:cs="Times New Roman"/>
          <w:color w:val="000000"/>
          <w:kern w:val="0"/>
          <w:sz w:val="28"/>
          <w:szCs w:val="28"/>
          <w:lang w:val="en-GB" w:eastAsia="en-US"/>
        </w:rPr>
        <w:t xml:space="preserve">, or his/her employment rights are being infringed, he/she may approach </w:t>
      </w:r>
      <w:r w:rsidR="00200533">
        <w:rPr>
          <w:rFonts w:ascii="Times New Roman" w:eastAsia="標楷體" w:hAnsi="Times New Roman" w:cs="Times New Roman"/>
          <w:color w:val="000000"/>
          <w:kern w:val="0"/>
          <w:sz w:val="28"/>
          <w:szCs w:val="28"/>
          <w:lang w:val="en-GB" w:eastAsia="en-US"/>
        </w:rPr>
        <w:t>Labour Department (“</w:t>
      </w:r>
      <w:r w:rsidR="0096232F" w:rsidRPr="002B0C03">
        <w:rPr>
          <w:rFonts w:ascii="Times New Roman" w:eastAsia="標楷體" w:hAnsi="Times New Roman" w:cs="Times New Roman"/>
          <w:color w:val="000000"/>
          <w:kern w:val="0"/>
          <w:sz w:val="28"/>
          <w:szCs w:val="28"/>
          <w:lang w:val="en-GB" w:eastAsia="en-US"/>
        </w:rPr>
        <w:t>LD</w:t>
      </w:r>
      <w:r w:rsidR="00200533">
        <w:rPr>
          <w:rFonts w:ascii="Times New Roman" w:eastAsia="標楷體" w:hAnsi="Times New Roman" w:cs="Times New Roman"/>
          <w:color w:val="000000"/>
          <w:kern w:val="0"/>
          <w:sz w:val="28"/>
          <w:szCs w:val="28"/>
          <w:lang w:val="en-GB" w:eastAsia="en-US"/>
        </w:rPr>
        <w:t>”)</w:t>
      </w:r>
      <w:r w:rsidR="0096232F" w:rsidRPr="002B0C03">
        <w:rPr>
          <w:rFonts w:ascii="Times New Roman" w:eastAsia="標楷體" w:hAnsi="Times New Roman" w:cs="Times New Roman"/>
          <w:color w:val="000000"/>
          <w:kern w:val="0"/>
          <w:sz w:val="28"/>
          <w:szCs w:val="28"/>
          <w:lang w:val="en-GB" w:eastAsia="en-US"/>
        </w:rPr>
        <w:t xml:space="preserve"> for free consultation and conciliation services.  </w:t>
      </w:r>
      <w:r w:rsidR="0096232F" w:rsidRPr="00F440FA">
        <w:rPr>
          <w:rFonts w:ascii="Times New Roman" w:eastAsia="標楷體" w:hAnsi="Times New Roman" w:cs="Times New Roman"/>
          <w:color w:val="000000"/>
          <w:kern w:val="0"/>
          <w:sz w:val="28"/>
          <w:szCs w:val="28"/>
          <w:lang w:val="en-GB" w:eastAsia="en-US"/>
        </w:rPr>
        <w:t>The FDH may also report the case to the Immigration Department (“</w:t>
      </w:r>
      <w:proofErr w:type="spellStart"/>
      <w:r w:rsidR="0096232F" w:rsidRPr="00F440FA">
        <w:rPr>
          <w:rFonts w:ascii="Times New Roman" w:eastAsia="標楷體" w:hAnsi="Times New Roman" w:cs="Times New Roman"/>
          <w:color w:val="000000"/>
          <w:kern w:val="0"/>
          <w:sz w:val="28"/>
          <w:szCs w:val="28"/>
          <w:lang w:val="en-GB" w:eastAsia="en-US"/>
        </w:rPr>
        <w:t>ImmD</w:t>
      </w:r>
      <w:proofErr w:type="spellEnd"/>
      <w:r w:rsidR="0096232F" w:rsidRPr="00F440FA">
        <w:rPr>
          <w:rFonts w:ascii="Times New Roman" w:eastAsia="標楷體" w:hAnsi="Times New Roman" w:cs="Times New Roman"/>
          <w:color w:val="000000"/>
          <w:kern w:val="0"/>
          <w:sz w:val="28"/>
          <w:szCs w:val="28"/>
          <w:lang w:val="en-GB" w:eastAsia="en-US"/>
        </w:rPr>
        <w:t xml:space="preserve">”).  If an employer breaches his/her undertaking to the Government and/or fails to provide the FDH with free, suitable and furnished accommodation as provided under SEC, it will be one of the factors in </w:t>
      </w:r>
      <w:proofErr w:type="spellStart"/>
      <w:r w:rsidR="0096232F" w:rsidRPr="00F440FA">
        <w:rPr>
          <w:rFonts w:ascii="Times New Roman" w:eastAsia="標楷體" w:hAnsi="Times New Roman" w:cs="Times New Roman"/>
          <w:color w:val="000000"/>
          <w:kern w:val="0"/>
          <w:sz w:val="28"/>
          <w:szCs w:val="28"/>
          <w:lang w:val="en-GB" w:eastAsia="en-US"/>
        </w:rPr>
        <w:t>ImmD’s</w:t>
      </w:r>
      <w:proofErr w:type="spellEnd"/>
      <w:r w:rsidR="0096232F" w:rsidRPr="00F440FA">
        <w:rPr>
          <w:rFonts w:ascii="Times New Roman" w:eastAsia="標楷體" w:hAnsi="Times New Roman" w:cs="Times New Roman"/>
          <w:color w:val="000000"/>
          <w:kern w:val="0"/>
          <w:sz w:val="28"/>
          <w:szCs w:val="28"/>
          <w:lang w:val="en-GB" w:eastAsia="en-US"/>
        </w:rPr>
        <w:t xml:space="preserve"> consideration of the employer’s future applications for employing an FDH.  The adverse record may lead to any such application being refused.  Furthermore, if an employer knowingly furnishes a false representation or statement to immigration officers in the course of a visa application, including the intended accommodation arrangement, he/she may be subject to criminal</w:t>
      </w:r>
      <w:r w:rsidR="00F440FA">
        <w:rPr>
          <w:rFonts w:ascii="Times New Roman" w:eastAsia="標楷體" w:hAnsi="Times New Roman" w:cs="Times New Roman"/>
          <w:color w:val="000000"/>
          <w:kern w:val="0"/>
          <w:sz w:val="28"/>
          <w:szCs w:val="28"/>
          <w:lang w:val="en-GB" w:eastAsia="en-US"/>
        </w:rPr>
        <w:t xml:space="preserve"> investigation and prosecution.</w:t>
      </w:r>
    </w:p>
    <w:p w:rsidR="007445FF" w:rsidRPr="00400DF0" w:rsidRDefault="007445FF">
      <w:pPr>
        <w:widowControl/>
        <w:rPr>
          <w:rFonts w:ascii="Times New Roman" w:hAnsi="Times New Roman" w:cs="Times New Roman"/>
          <w:color w:val="0000FF"/>
          <w:sz w:val="28"/>
          <w:szCs w:val="28"/>
          <w:lang w:val="en-GB"/>
        </w:rPr>
      </w:pPr>
    </w:p>
    <w:p w:rsidR="007445FF" w:rsidRDefault="00C4139E" w:rsidP="00400DF0">
      <w:pPr>
        <w:tabs>
          <w:tab w:val="left" w:pos="1440"/>
        </w:tabs>
        <w:snapToGrid w:val="0"/>
        <w:jc w:val="both"/>
        <w:rPr>
          <w:rFonts w:ascii="Times New Roman" w:hAnsi="Times New Roman" w:cs="Times New Roman"/>
          <w:sz w:val="28"/>
          <w:szCs w:val="28"/>
          <w:lang w:val="en-GB"/>
        </w:rPr>
      </w:pPr>
      <w:r>
        <w:rPr>
          <w:rFonts w:ascii="Times New Roman" w:hAnsi="Times New Roman" w:cs="Times New Roman" w:hint="eastAsia"/>
          <w:sz w:val="28"/>
          <w:szCs w:val="28"/>
          <w:lang w:val="en-GB"/>
        </w:rPr>
        <w:t>2.</w:t>
      </w:r>
      <w:r>
        <w:rPr>
          <w:rFonts w:ascii="Times New Roman" w:hAnsi="Times New Roman" w:cs="Times New Roman"/>
          <w:sz w:val="28"/>
          <w:szCs w:val="28"/>
          <w:lang w:val="en-GB"/>
        </w:rPr>
        <w:tab/>
      </w:r>
      <w:r w:rsidR="0096232F" w:rsidRPr="002B0C03">
        <w:rPr>
          <w:rFonts w:ascii="Times New Roman" w:hAnsi="Times New Roman" w:cs="Times New Roman"/>
          <w:sz w:val="28"/>
          <w:szCs w:val="28"/>
          <w:lang w:val="en-GB"/>
        </w:rPr>
        <w:t>In 2019 and 2020, LD handled 1 077 and 785 claims involving FDHs respectively.  LD does not keep a breakdown of whether the claims concern accommodation, food or other in-kind benefits.  Around 75% of the claims were settled through conciliation, showing that the majority of the claims were only normal labour disputes.</w:t>
      </w:r>
    </w:p>
    <w:p w:rsidR="0096232F" w:rsidRDefault="0096232F" w:rsidP="00400DF0">
      <w:pPr>
        <w:widowControl/>
        <w:jc w:val="both"/>
        <w:rPr>
          <w:rFonts w:ascii="Times New Roman" w:hAnsi="Times New Roman" w:cs="Times New Roman"/>
          <w:sz w:val="28"/>
          <w:szCs w:val="28"/>
          <w:lang w:val="en-GB"/>
        </w:rPr>
      </w:pPr>
    </w:p>
    <w:p w:rsidR="007445FF" w:rsidRDefault="00C4139E" w:rsidP="00400DF0">
      <w:pPr>
        <w:tabs>
          <w:tab w:val="left" w:pos="1440"/>
        </w:tabs>
        <w:snapToGrid w:val="0"/>
        <w:jc w:val="both"/>
        <w:rPr>
          <w:rFonts w:ascii="Times New Roman" w:hAnsi="Times New Roman" w:cs="Times New Roman"/>
          <w:i/>
          <w:color w:val="0000FF"/>
          <w:sz w:val="28"/>
          <w:szCs w:val="28"/>
        </w:rPr>
      </w:pPr>
      <w:r>
        <w:rPr>
          <w:rFonts w:ascii="Times New Roman" w:eastAsia="標楷體" w:hAnsi="Times New Roman" w:cs="Times New Roman" w:hint="eastAsia"/>
          <w:kern w:val="0"/>
          <w:sz w:val="28"/>
          <w:szCs w:val="28"/>
          <w:lang w:val="en-GB"/>
        </w:rPr>
        <w:t>3.</w:t>
      </w:r>
      <w:r w:rsidR="0096232F">
        <w:rPr>
          <w:rFonts w:ascii="Times New Roman" w:eastAsia="標楷體" w:hAnsi="Times New Roman" w:cs="Times New Roman"/>
          <w:kern w:val="0"/>
          <w:sz w:val="28"/>
          <w:szCs w:val="28"/>
          <w:lang w:val="en-GB" w:eastAsia="en-US"/>
        </w:rPr>
        <w:tab/>
      </w:r>
      <w:r w:rsidR="0096232F" w:rsidRPr="002B0C03">
        <w:rPr>
          <w:rFonts w:ascii="Times New Roman" w:eastAsia="標楷體" w:hAnsi="Times New Roman" w:cs="Times New Roman"/>
          <w:kern w:val="0"/>
          <w:sz w:val="28"/>
          <w:szCs w:val="28"/>
          <w:lang w:val="en-GB" w:eastAsia="en-US"/>
        </w:rPr>
        <w:t xml:space="preserve">If FDHs have any enquiries about </w:t>
      </w:r>
      <w:r w:rsidR="00200533">
        <w:rPr>
          <w:rFonts w:ascii="Times New Roman" w:eastAsia="標楷體" w:hAnsi="Times New Roman" w:cs="Times New Roman"/>
          <w:kern w:val="0"/>
          <w:sz w:val="28"/>
          <w:szCs w:val="28"/>
          <w:lang w:val="en-GB" w:eastAsia="en-US"/>
        </w:rPr>
        <w:t>Employment Ordinance</w:t>
      </w:r>
      <w:r w:rsidR="00200533" w:rsidRPr="002B0C03">
        <w:rPr>
          <w:rFonts w:ascii="Times New Roman" w:eastAsia="標楷體" w:hAnsi="Times New Roman" w:cs="Times New Roman"/>
          <w:kern w:val="0"/>
          <w:sz w:val="28"/>
          <w:szCs w:val="28"/>
          <w:lang w:val="en-GB" w:eastAsia="en-US"/>
        </w:rPr>
        <w:t xml:space="preserve"> </w:t>
      </w:r>
      <w:r w:rsidR="00200533">
        <w:rPr>
          <w:rFonts w:ascii="Times New Roman" w:eastAsia="標楷體" w:hAnsi="Times New Roman" w:cs="Times New Roman"/>
          <w:kern w:val="0"/>
          <w:sz w:val="28"/>
          <w:szCs w:val="28"/>
          <w:lang w:val="en-GB" w:eastAsia="en-US"/>
        </w:rPr>
        <w:t>(“</w:t>
      </w:r>
      <w:r w:rsidR="0096232F" w:rsidRPr="002B0C03">
        <w:rPr>
          <w:rFonts w:ascii="Times New Roman" w:eastAsia="標楷體" w:hAnsi="Times New Roman" w:cs="Times New Roman"/>
          <w:kern w:val="0"/>
          <w:sz w:val="28"/>
          <w:szCs w:val="28"/>
          <w:lang w:val="en-GB" w:eastAsia="en-US"/>
        </w:rPr>
        <w:t>EO</w:t>
      </w:r>
      <w:r w:rsidR="00200533">
        <w:rPr>
          <w:rFonts w:ascii="Times New Roman" w:eastAsia="標楷體" w:hAnsi="Times New Roman" w:cs="Times New Roman"/>
          <w:kern w:val="0"/>
          <w:sz w:val="28"/>
          <w:szCs w:val="28"/>
          <w:lang w:val="en-GB" w:eastAsia="en-US"/>
        </w:rPr>
        <w:t>”)</w:t>
      </w:r>
      <w:r w:rsidR="0096232F" w:rsidRPr="002B0C03">
        <w:rPr>
          <w:rFonts w:ascii="Times New Roman" w:eastAsia="標楷體" w:hAnsi="Times New Roman" w:cs="Times New Roman"/>
          <w:kern w:val="0"/>
          <w:sz w:val="28"/>
          <w:szCs w:val="28"/>
          <w:lang w:val="en-GB" w:eastAsia="en-US"/>
        </w:rPr>
        <w:t xml:space="preserve"> and their employment rights and benefits, or would like to file employment-related complaints, they can contact LD through the dedicated 24-hour FDH hotline which provides</w:t>
      </w:r>
      <w:r w:rsidR="0096232F" w:rsidRPr="002B0C03">
        <w:rPr>
          <w:rFonts w:ascii="Times New Roman" w:eastAsia="標楷體" w:hAnsi="Times New Roman" w:cs="Times New Roman"/>
          <w:kern w:val="0"/>
          <w:sz w:val="28"/>
          <w:szCs w:val="28"/>
          <w:shd w:val="clear" w:color="auto" w:fill="FFFFFF"/>
          <w:lang w:val="en-GB" w:eastAsia="en-US"/>
        </w:rPr>
        <w:t xml:space="preserve"> interpretation service in seven languages, by sending emails to </w:t>
      </w:r>
      <w:r w:rsidR="0096232F" w:rsidRPr="002B0C03">
        <w:rPr>
          <w:rFonts w:ascii="Times New Roman" w:eastAsia="標楷體" w:hAnsi="Times New Roman" w:cs="Times New Roman"/>
          <w:kern w:val="0"/>
          <w:sz w:val="28"/>
          <w:szCs w:val="28"/>
          <w:lang w:val="en-GB" w:eastAsia="en-US"/>
        </w:rPr>
        <w:t>FDH Division</w:t>
      </w:r>
      <w:r w:rsidR="0096232F" w:rsidRPr="002B0C03">
        <w:rPr>
          <w:rFonts w:ascii="Times New Roman" w:eastAsia="標楷體" w:hAnsi="Times New Roman" w:cs="Times New Roman"/>
          <w:kern w:val="0"/>
          <w:sz w:val="28"/>
          <w:szCs w:val="28"/>
          <w:shd w:val="clear" w:color="auto" w:fill="FFFFFF"/>
          <w:lang w:val="en-GB" w:eastAsia="en-US"/>
        </w:rPr>
        <w:t xml:space="preserve"> or through</w:t>
      </w:r>
      <w:r w:rsidR="0096232F" w:rsidRPr="002B0C03">
        <w:rPr>
          <w:rFonts w:ascii="Times New Roman" w:eastAsia="標楷體" w:hAnsi="Times New Roman" w:cs="Times New Roman"/>
          <w:kern w:val="0"/>
          <w:sz w:val="28"/>
          <w:szCs w:val="28"/>
          <w:lang w:val="en-GB" w:eastAsia="en-US"/>
        </w:rPr>
        <w:t xml:space="preserve"> the online form on the FDH Portal.  </w:t>
      </w:r>
      <w:r w:rsidR="0096232F" w:rsidRPr="002B0C03">
        <w:rPr>
          <w:rFonts w:ascii="Times New Roman" w:eastAsia="標楷體" w:hAnsi="Times New Roman" w:cs="Times New Roman"/>
          <w:color w:val="000000"/>
          <w:kern w:val="0"/>
          <w:sz w:val="28"/>
          <w:szCs w:val="28"/>
          <w:lang w:val="en-GB" w:eastAsia="en-US"/>
        </w:rPr>
        <w:t xml:space="preserve">In </w:t>
      </w:r>
      <w:r w:rsidR="0096232F" w:rsidRPr="002B0C03">
        <w:rPr>
          <w:rFonts w:ascii="Times New Roman" w:eastAsia="標楷體" w:hAnsi="Times New Roman" w:cs="Times New Roman"/>
          <w:color w:val="000000"/>
          <w:kern w:val="0"/>
          <w:sz w:val="28"/>
          <w:szCs w:val="28"/>
          <w:lang w:val="en-GB" w:eastAsia="zh-CN"/>
        </w:rPr>
        <w:t xml:space="preserve">2019 and 2020, LD received 4 840 and 14 268 enquiries/complaints from FDHs respectively, the majority of which concerned FDHs’ employment rights and benefits.  Among which, 3 836 and 10 367 enquiries/complaints were received through the dedicated FDH hotline respectively.  LD does not maintain a breakdown of the nature of the enquiries/complaints. </w:t>
      </w:r>
      <w:r w:rsidR="007445FF">
        <w:rPr>
          <w:rFonts w:ascii="Times New Roman" w:hAnsi="Times New Roman" w:cs="Times New Roman"/>
          <w:i/>
          <w:color w:val="0000FF"/>
          <w:sz w:val="28"/>
          <w:szCs w:val="28"/>
        </w:rPr>
        <w:br w:type="page"/>
      </w:r>
    </w:p>
    <w:p w:rsidR="00DF1FDA" w:rsidRPr="00836075" w:rsidRDefault="004E6A8D" w:rsidP="00DF1FDA">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8</w:t>
      </w:r>
    </w:p>
    <w:p w:rsidR="00DF1FDA" w:rsidRDefault="00DF1FDA">
      <w:pPr>
        <w:widowControl/>
        <w:rPr>
          <w:rFonts w:ascii="Times New Roman" w:hAnsi="Times New Roman" w:cs="Times New Roman"/>
          <w:i/>
          <w:color w:val="0000FF"/>
          <w:sz w:val="28"/>
          <w:szCs w:val="28"/>
        </w:rPr>
      </w:pPr>
    </w:p>
    <w:p w:rsidR="00DF1FDA" w:rsidRPr="00400DF0" w:rsidRDefault="00E20BE7" w:rsidP="00400DF0">
      <w:pPr>
        <w:widowControl/>
        <w:jc w:val="center"/>
        <w:rPr>
          <w:rFonts w:ascii="Times New Roman" w:hAnsi="Times New Roman" w:cs="Times New Roman"/>
          <w:b/>
          <w:color w:val="000000" w:themeColor="text1"/>
          <w:sz w:val="28"/>
          <w:szCs w:val="28"/>
          <w:u w:val="single"/>
        </w:rPr>
      </w:pPr>
      <w:r w:rsidRPr="00400DF0">
        <w:rPr>
          <w:rFonts w:ascii="Times New Roman" w:hAnsi="Times New Roman" w:cs="Times New Roman"/>
          <w:b/>
          <w:color w:val="000000" w:themeColor="text1"/>
          <w:sz w:val="28"/>
          <w:szCs w:val="28"/>
          <w:u w:val="single"/>
        </w:rPr>
        <w:t xml:space="preserve">Support for foreign domestic helpers during COVID-19 </w:t>
      </w:r>
      <w:r w:rsidR="00C12A5E" w:rsidRPr="00C12A5E">
        <w:rPr>
          <w:rFonts w:ascii="Times New Roman" w:hAnsi="Times New Roman" w:cs="Times New Roman"/>
          <w:b/>
          <w:color w:val="000000" w:themeColor="text1"/>
          <w:sz w:val="28"/>
          <w:szCs w:val="28"/>
          <w:u w:val="single"/>
        </w:rPr>
        <w:t>epidemic</w:t>
      </w:r>
    </w:p>
    <w:p w:rsidR="00E20BE7" w:rsidRPr="00400DF0" w:rsidRDefault="00E20BE7" w:rsidP="00400DF0">
      <w:pPr>
        <w:widowControl/>
        <w:jc w:val="center"/>
        <w:rPr>
          <w:rFonts w:ascii="Times New Roman" w:hAnsi="Times New Roman" w:cs="Times New Roman"/>
          <w:color w:val="0000FF"/>
          <w:sz w:val="28"/>
          <w:szCs w:val="28"/>
        </w:rPr>
      </w:pPr>
    </w:p>
    <w:p w:rsidR="00DF1FDA" w:rsidRPr="002B0C03" w:rsidRDefault="00C4139E" w:rsidP="00DF1FDA">
      <w:pPr>
        <w:tabs>
          <w:tab w:val="left" w:pos="1440"/>
        </w:tabs>
        <w:snapToGrid w:val="0"/>
        <w:jc w:val="both"/>
        <w:rPr>
          <w:rFonts w:ascii="Times New Roman" w:eastAsia="標楷體" w:hAnsi="Times New Roman" w:cs="Times New Roman"/>
          <w:kern w:val="0"/>
          <w:sz w:val="28"/>
          <w:szCs w:val="28"/>
          <w:lang w:val="en-GB" w:eastAsia="en-US"/>
        </w:rPr>
      </w:pPr>
      <w:r>
        <w:rPr>
          <w:rFonts w:ascii="Times New Roman" w:eastAsia="標楷體" w:hAnsi="Times New Roman" w:cs="Times New Roman" w:hint="eastAsia"/>
          <w:kern w:val="0"/>
          <w:sz w:val="28"/>
          <w:szCs w:val="28"/>
          <w:lang w:val="en-GB"/>
        </w:rPr>
        <w:t>1.</w:t>
      </w:r>
      <w:r w:rsidR="00E20BE7">
        <w:rPr>
          <w:rFonts w:ascii="Times New Roman" w:eastAsia="標楷體" w:hAnsi="Times New Roman" w:cs="Times New Roman"/>
          <w:kern w:val="0"/>
          <w:sz w:val="28"/>
          <w:szCs w:val="28"/>
          <w:lang w:val="en-GB" w:eastAsia="en-US"/>
        </w:rPr>
        <w:tab/>
      </w:r>
      <w:r w:rsidR="00DF1FDA" w:rsidRPr="002B0C03">
        <w:rPr>
          <w:rFonts w:ascii="Times New Roman" w:eastAsia="標楷體" w:hAnsi="Times New Roman" w:cs="Times New Roman"/>
          <w:kern w:val="0"/>
          <w:sz w:val="28"/>
          <w:szCs w:val="28"/>
          <w:lang w:val="en-GB" w:eastAsia="en-US"/>
        </w:rPr>
        <w:t xml:space="preserve">During the COVID-19 </w:t>
      </w:r>
      <w:r w:rsidR="000B4092">
        <w:rPr>
          <w:rFonts w:ascii="Times New Roman" w:eastAsia="標楷體" w:hAnsi="Times New Roman" w:cs="Times New Roman"/>
          <w:kern w:val="0"/>
          <w:sz w:val="28"/>
          <w:szCs w:val="28"/>
          <w:lang w:val="en-GB" w:eastAsia="en-US"/>
        </w:rPr>
        <w:t>epidemic</w:t>
      </w:r>
      <w:r w:rsidR="00DF1FDA" w:rsidRPr="002B0C03">
        <w:rPr>
          <w:rFonts w:ascii="Times New Roman" w:eastAsia="標楷體" w:hAnsi="Times New Roman" w:cs="Times New Roman"/>
          <w:kern w:val="0"/>
          <w:sz w:val="28"/>
          <w:szCs w:val="28"/>
          <w:lang w:val="en-GB" w:eastAsia="en-US"/>
        </w:rPr>
        <w:t xml:space="preserve">, </w:t>
      </w:r>
      <w:r w:rsidR="00DF1FDA">
        <w:rPr>
          <w:rFonts w:ascii="Times New Roman" w:eastAsia="標楷體" w:hAnsi="Times New Roman" w:cs="Times New Roman"/>
          <w:kern w:val="0"/>
          <w:sz w:val="28"/>
          <w:szCs w:val="28"/>
          <w:lang w:val="en-GB" w:eastAsia="en-US"/>
        </w:rPr>
        <w:t xml:space="preserve">the </w:t>
      </w:r>
      <w:r w:rsidR="00E20BE7">
        <w:rPr>
          <w:rFonts w:ascii="Times New Roman" w:eastAsia="標楷體" w:hAnsi="Times New Roman" w:cs="Times New Roman"/>
          <w:kern w:val="0"/>
          <w:sz w:val="28"/>
          <w:szCs w:val="28"/>
          <w:lang w:val="en-GB" w:eastAsia="en-US"/>
        </w:rPr>
        <w:t>Labour Department (“</w:t>
      </w:r>
      <w:r w:rsidR="00DF1FDA" w:rsidRPr="002B0C03">
        <w:rPr>
          <w:rFonts w:ascii="Times New Roman" w:eastAsia="標楷體" w:hAnsi="Times New Roman" w:cs="Times New Roman"/>
          <w:kern w:val="0"/>
          <w:sz w:val="28"/>
          <w:szCs w:val="28"/>
          <w:lang w:val="en-GB" w:eastAsia="en-US"/>
        </w:rPr>
        <w:t>LD</w:t>
      </w:r>
      <w:r w:rsidR="00E20BE7">
        <w:rPr>
          <w:rFonts w:ascii="Times New Roman" w:eastAsia="標楷體" w:hAnsi="Times New Roman" w:cs="Times New Roman"/>
          <w:kern w:val="0"/>
          <w:sz w:val="28"/>
          <w:szCs w:val="28"/>
          <w:lang w:val="en-GB" w:eastAsia="en-US"/>
        </w:rPr>
        <w:t>”)</w:t>
      </w:r>
      <w:r w:rsidR="00DF1FDA" w:rsidRPr="002B0C03">
        <w:rPr>
          <w:rFonts w:ascii="Times New Roman" w:eastAsia="標楷體" w:hAnsi="Times New Roman" w:cs="Times New Roman"/>
          <w:kern w:val="0"/>
          <w:sz w:val="28"/>
          <w:szCs w:val="28"/>
          <w:lang w:val="en-GB" w:eastAsia="en-US"/>
        </w:rPr>
        <w:t xml:space="preserve"> continued to provide support to </w:t>
      </w:r>
      <w:r w:rsidR="00E20BE7" w:rsidRPr="00400DF0">
        <w:rPr>
          <w:rFonts w:ascii="Times New Roman" w:hAnsi="Times New Roman" w:cs="Times New Roman"/>
          <w:color w:val="000000" w:themeColor="text1"/>
          <w:sz w:val="28"/>
          <w:szCs w:val="28"/>
        </w:rPr>
        <w:t>foreign domestic helpers</w:t>
      </w:r>
      <w:r w:rsidR="00E20BE7" w:rsidRPr="002B0C03">
        <w:rPr>
          <w:rFonts w:ascii="Times New Roman" w:eastAsia="標楷體" w:hAnsi="Times New Roman" w:cs="Times New Roman"/>
          <w:kern w:val="0"/>
          <w:sz w:val="28"/>
          <w:szCs w:val="28"/>
          <w:lang w:val="en-GB" w:eastAsia="en-US"/>
        </w:rPr>
        <w:t xml:space="preserve"> </w:t>
      </w:r>
      <w:r w:rsidR="00E20BE7">
        <w:rPr>
          <w:rFonts w:ascii="Times New Roman" w:eastAsia="標楷體" w:hAnsi="Times New Roman" w:cs="Times New Roman"/>
          <w:kern w:val="0"/>
          <w:sz w:val="28"/>
          <w:szCs w:val="28"/>
          <w:lang w:val="en-GB" w:eastAsia="en-US"/>
        </w:rPr>
        <w:t>(“</w:t>
      </w:r>
      <w:r w:rsidR="00DF1FDA" w:rsidRPr="002B0C03">
        <w:rPr>
          <w:rFonts w:ascii="Times New Roman" w:eastAsia="標楷體" w:hAnsi="Times New Roman" w:cs="Times New Roman"/>
          <w:kern w:val="0"/>
          <w:sz w:val="28"/>
          <w:szCs w:val="28"/>
          <w:lang w:val="en-GB" w:eastAsia="en-US"/>
        </w:rPr>
        <w:t>FDHs</w:t>
      </w:r>
      <w:r w:rsidR="00E20BE7">
        <w:rPr>
          <w:rFonts w:ascii="Times New Roman" w:eastAsia="標楷體" w:hAnsi="Times New Roman" w:cs="Times New Roman"/>
          <w:kern w:val="0"/>
          <w:sz w:val="28"/>
          <w:szCs w:val="28"/>
          <w:lang w:val="en-GB" w:eastAsia="en-US"/>
        </w:rPr>
        <w:t>”)</w:t>
      </w:r>
      <w:r w:rsidR="00DF1FDA" w:rsidRPr="002B0C03">
        <w:rPr>
          <w:rFonts w:ascii="Times New Roman" w:eastAsia="標楷體" w:hAnsi="Times New Roman" w:cs="Times New Roman"/>
          <w:kern w:val="0"/>
          <w:sz w:val="28"/>
          <w:szCs w:val="28"/>
          <w:lang w:val="en-GB" w:eastAsia="en-US"/>
        </w:rPr>
        <w:t xml:space="preserve"> and their employers, including providing several rounds of free, voluntary COVID-19 testing service to FDHs from August 2020 to July 2021, setting up mobile specimen collection stations at popular gathering places of FDHs.  Furthermore, FDHs can get vaccinated in Hong Kong free of charge.</w:t>
      </w:r>
    </w:p>
    <w:p w:rsidR="00DF1FDA" w:rsidRPr="002B0C03" w:rsidRDefault="00DF1FDA" w:rsidP="00DF1FDA">
      <w:pPr>
        <w:tabs>
          <w:tab w:val="left" w:pos="1440"/>
        </w:tabs>
        <w:snapToGrid w:val="0"/>
        <w:jc w:val="both"/>
        <w:rPr>
          <w:rFonts w:ascii="Times New Roman" w:eastAsia="標楷體" w:hAnsi="Times New Roman" w:cs="Times New Roman"/>
          <w:kern w:val="0"/>
          <w:sz w:val="28"/>
          <w:szCs w:val="28"/>
          <w:lang w:val="en-GB" w:eastAsia="en-US"/>
        </w:rPr>
      </w:pPr>
    </w:p>
    <w:p w:rsidR="00DF1FDA" w:rsidRDefault="00C4139E" w:rsidP="00DF1FDA">
      <w:pPr>
        <w:tabs>
          <w:tab w:val="left" w:pos="1440"/>
        </w:tabs>
        <w:snapToGrid w:val="0"/>
        <w:jc w:val="both"/>
        <w:rPr>
          <w:rFonts w:ascii="Times New Roman" w:eastAsia="標楷體" w:hAnsi="Times New Roman" w:cs="Times New Roman"/>
          <w:kern w:val="0"/>
          <w:sz w:val="28"/>
          <w:szCs w:val="28"/>
          <w:lang w:val="en-GB" w:eastAsia="en-US"/>
        </w:rPr>
      </w:pPr>
      <w:r>
        <w:rPr>
          <w:rFonts w:ascii="Times New Roman" w:eastAsia="標楷體" w:hAnsi="Times New Roman" w:cs="Times New Roman" w:hint="eastAsia"/>
          <w:kern w:val="0"/>
          <w:sz w:val="28"/>
          <w:szCs w:val="28"/>
          <w:lang w:val="en-GB"/>
        </w:rPr>
        <w:t>2.</w:t>
      </w:r>
      <w:r w:rsidR="00DF1FDA">
        <w:rPr>
          <w:rFonts w:ascii="Times New Roman" w:eastAsia="標楷體" w:hAnsi="Times New Roman" w:cs="Times New Roman"/>
          <w:kern w:val="0"/>
          <w:sz w:val="28"/>
          <w:szCs w:val="28"/>
          <w:lang w:val="en-GB" w:eastAsia="en-US"/>
        </w:rPr>
        <w:tab/>
      </w:r>
      <w:r w:rsidR="00DF1FDA" w:rsidRPr="002B0C03">
        <w:rPr>
          <w:rFonts w:ascii="Times New Roman" w:eastAsia="標楷體" w:hAnsi="Times New Roman" w:cs="Times New Roman"/>
          <w:kern w:val="0"/>
          <w:sz w:val="28"/>
          <w:szCs w:val="28"/>
          <w:lang w:val="en-GB" w:eastAsia="en-US"/>
        </w:rPr>
        <w:t xml:space="preserve">LD also undertook a wide range of publicity, including conducting mobile broadcasts in popular gathering places of FDHs on Saturdays and Sundays to call upon them to wear masks and not to gather in groups and disseminating the latest health information to them.  Since early 2020, LD repeatedly issued press releases to remind employers of their obligations under </w:t>
      </w:r>
      <w:r w:rsidR="00E20BE7">
        <w:rPr>
          <w:rFonts w:ascii="Times New Roman" w:eastAsia="標楷體" w:hAnsi="Times New Roman" w:cs="Times New Roman"/>
          <w:kern w:val="0"/>
          <w:sz w:val="28"/>
          <w:szCs w:val="28"/>
          <w:lang w:val="en-GB" w:eastAsia="en-US"/>
        </w:rPr>
        <w:t>Employment Ordinance (“E</w:t>
      </w:r>
      <w:r w:rsidR="00DF1FDA" w:rsidRPr="002B0C03">
        <w:rPr>
          <w:rFonts w:ascii="Times New Roman" w:eastAsia="標楷體" w:hAnsi="Times New Roman" w:cs="Times New Roman"/>
          <w:kern w:val="0"/>
          <w:sz w:val="28"/>
          <w:szCs w:val="28"/>
          <w:lang w:val="en-GB" w:eastAsia="en-US"/>
        </w:rPr>
        <w:t>O</w:t>
      </w:r>
      <w:r w:rsidR="00E20BE7">
        <w:rPr>
          <w:rFonts w:ascii="Times New Roman" w:eastAsia="標楷體" w:hAnsi="Times New Roman" w:cs="Times New Roman"/>
          <w:kern w:val="0"/>
          <w:sz w:val="28"/>
          <w:szCs w:val="28"/>
          <w:lang w:val="en-GB" w:eastAsia="en-US"/>
        </w:rPr>
        <w:t>”)</w:t>
      </w:r>
      <w:r w:rsidR="00DF1FDA" w:rsidRPr="002B0C03">
        <w:rPr>
          <w:rFonts w:ascii="Times New Roman" w:eastAsia="標楷體" w:hAnsi="Times New Roman" w:cs="Times New Roman"/>
          <w:kern w:val="0"/>
          <w:sz w:val="28"/>
          <w:szCs w:val="28"/>
          <w:lang w:val="en-GB" w:eastAsia="en-US"/>
        </w:rPr>
        <w:t xml:space="preserve"> and S</w:t>
      </w:r>
      <w:r w:rsidR="00E20BE7">
        <w:rPr>
          <w:rFonts w:ascii="Times New Roman" w:eastAsia="標楷體" w:hAnsi="Times New Roman" w:cs="Times New Roman"/>
          <w:kern w:val="0"/>
          <w:sz w:val="28"/>
          <w:szCs w:val="28"/>
          <w:lang w:val="en-GB" w:eastAsia="en-US"/>
        </w:rPr>
        <w:t xml:space="preserve">tandard </w:t>
      </w:r>
      <w:r w:rsidR="00DF1FDA" w:rsidRPr="002B0C03">
        <w:rPr>
          <w:rFonts w:ascii="Times New Roman" w:eastAsia="標楷體" w:hAnsi="Times New Roman" w:cs="Times New Roman"/>
          <w:kern w:val="0"/>
          <w:sz w:val="28"/>
          <w:szCs w:val="28"/>
          <w:lang w:val="en-GB" w:eastAsia="en-US"/>
        </w:rPr>
        <w:t>E</w:t>
      </w:r>
      <w:r w:rsidR="00E20BE7">
        <w:rPr>
          <w:rFonts w:ascii="Times New Roman" w:eastAsia="標楷體" w:hAnsi="Times New Roman" w:cs="Times New Roman"/>
          <w:kern w:val="0"/>
          <w:sz w:val="28"/>
          <w:szCs w:val="28"/>
          <w:lang w:val="en-GB" w:eastAsia="en-US"/>
        </w:rPr>
        <w:t xml:space="preserve">mployment </w:t>
      </w:r>
      <w:r w:rsidR="00DF1FDA" w:rsidRPr="002B0C03">
        <w:rPr>
          <w:rFonts w:ascii="Times New Roman" w:eastAsia="標楷體" w:hAnsi="Times New Roman" w:cs="Times New Roman"/>
          <w:kern w:val="0"/>
          <w:sz w:val="28"/>
          <w:szCs w:val="28"/>
          <w:lang w:val="en-GB" w:eastAsia="en-US"/>
        </w:rPr>
        <w:t>C</w:t>
      </w:r>
      <w:r w:rsidR="00E20BE7">
        <w:rPr>
          <w:rFonts w:ascii="Times New Roman" w:eastAsia="標楷體" w:hAnsi="Times New Roman" w:cs="Times New Roman"/>
          <w:kern w:val="0"/>
          <w:sz w:val="28"/>
          <w:szCs w:val="28"/>
          <w:lang w:val="en-GB" w:eastAsia="en-US"/>
        </w:rPr>
        <w:t>ontract</w:t>
      </w:r>
      <w:r w:rsidR="00DF1FDA" w:rsidRPr="002B0C03">
        <w:rPr>
          <w:rFonts w:ascii="Times New Roman" w:eastAsia="標楷體" w:hAnsi="Times New Roman" w:cs="Times New Roman"/>
          <w:kern w:val="0"/>
          <w:sz w:val="28"/>
          <w:szCs w:val="28"/>
          <w:lang w:val="en-GB" w:eastAsia="en-US"/>
        </w:rPr>
        <w:t xml:space="preserve">.  For example, employers were reminded that they must not compel their FDHs to work on the latter’s rest days.  An employer who compels his/her FDH to work on a rest day without the agreement of the FDH or fails to grant rest days to the FDH is in breach of EO and is liable to prosecution and, upon conviction, to a maximum fine of </w:t>
      </w:r>
      <w:r w:rsidR="00DF1FDA">
        <w:rPr>
          <w:rFonts w:ascii="Times New Roman" w:eastAsia="標楷體" w:hAnsi="Times New Roman" w:cs="Times New Roman"/>
          <w:kern w:val="0"/>
          <w:sz w:val="28"/>
          <w:szCs w:val="28"/>
          <w:lang w:val="en-GB" w:eastAsia="en-US"/>
        </w:rPr>
        <w:t>HK</w:t>
      </w:r>
      <w:r w:rsidR="00DF1FDA" w:rsidRPr="002B0C03">
        <w:rPr>
          <w:rFonts w:ascii="Times New Roman" w:eastAsia="標楷體" w:hAnsi="Times New Roman" w:cs="Times New Roman"/>
          <w:kern w:val="0"/>
          <w:sz w:val="28"/>
          <w:szCs w:val="28"/>
          <w:lang w:val="en-GB" w:eastAsia="en-US"/>
        </w:rPr>
        <w:t>$50,000.</w:t>
      </w:r>
    </w:p>
    <w:p w:rsidR="00C33234" w:rsidRPr="002B0C03" w:rsidRDefault="00C33234" w:rsidP="00DF1FDA">
      <w:pPr>
        <w:tabs>
          <w:tab w:val="left" w:pos="1440"/>
        </w:tabs>
        <w:snapToGrid w:val="0"/>
        <w:jc w:val="both"/>
        <w:rPr>
          <w:rFonts w:ascii="Times New Roman" w:eastAsia="標楷體" w:hAnsi="Times New Roman" w:cs="Times New Roman"/>
          <w:kern w:val="0"/>
          <w:sz w:val="28"/>
          <w:szCs w:val="28"/>
          <w:lang w:val="en-GB" w:eastAsia="en-US"/>
        </w:rPr>
      </w:pPr>
    </w:p>
    <w:p w:rsidR="00C33234" w:rsidRDefault="00C33234">
      <w:pPr>
        <w:widowControl/>
        <w:rPr>
          <w:rFonts w:ascii="Times New Roman" w:hAnsi="Times New Roman" w:cs="Times New Roman"/>
          <w:i/>
          <w:color w:val="0000FF"/>
          <w:sz w:val="28"/>
          <w:szCs w:val="28"/>
        </w:rPr>
        <w:sectPr w:rsidR="00C33234" w:rsidSect="0064278F">
          <w:pgSz w:w="11906" w:h="16838"/>
          <w:pgMar w:top="1440" w:right="1440" w:bottom="1440" w:left="1440" w:header="851" w:footer="992" w:gutter="0"/>
          <w:pgNumType w:start="1"/>
          <w:cols w:space="425"/>
          <w:titlePg/>
          <w:docGrid w:type="lines" w:linePitch="360"/>
        </w:sectPr>
      </w:pPr>
    </w:p>
    <w:p w:rsidR="00A5734B" w:rsidRPr="00836075" w:rsidRDefault="004E6A8D" w:rsidP="00A5734B">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9</w:t>
      </w:r>
    </w:p>
    <w:p w:rsidR="00A5734B" w:rsidRDefault="00A5734B" w:rsidP="00400DF0">
      <w:pPr>
        <w:widowControl/>
        <w:jc w:val="center"/>
        <w:rPr>
          <w:rFonts w:ascii="Times New Roman" w:hAnsi="Times New Roman" w:cs="Times New Roman"/>
          <w:color w:val="000000" w:themeColor="text1"/>
          <w:sz w:val="28"/>
          <w:szCs w:val="28"/>
        </w:rPr>
      </w:pPr>
    </w:p>
    <w:p w:rsidR="00A5734B" w:rsidRPr="00400DF0" w:rsidRDefault="00C4139E" w:rsidP="00400DF0">
      <w:pPr>
        <w:widowControl/>
        <w:jc w:val="center"/>
        <w:rPr>
          <w:rFonts w:ascii="Times New Roman" w:hAnsi="Times New Roman" w:cs="Times New Roman"/>
          <w:b/>
          <w:color w:val="000000" w:themeColor="text1"/>
          <w:sz w:val="28"/>
          <w:szCs w:val="28"/>
          <w:u w:val="single"/>
        </w:rPr>
      </w:pPr>
      <w:r>
        <w:rPr>
          <w:rFonts w:ascii="Times New Roman" w:hAnsi="Times New Roman" w:cs="Times New Roman" w:hint="eastAsia"/>
          <w:b/>
          <w:color w:val="000000" w:themeColor="text1"/>
          <w:sz w:val="28"/>
          <w:szCs w:val="28"/>
          <w:u w:val="single"/>
        </w:rPr>
        <w:t>R</w:t>
      </w:r>
      <w:r w:rsidR="00A5734B" w:rsidRPr="00400DF0">
        <w:rPr>
          <w:rFonts w:ascii="Times New Roman" w:hAnsi="Times New Roman" w:cs="Times New Roman"/>
          <w:b/>
          <w:color w:val="000000" w:themeColor="text1"/>
          <w:sz w:val="28"/>
          <w:szCs w:val="28"/>
          <w:u w:val="single"/>
        </w:rPr>
        <w:t xml:space="preserve">equirement and appeal system under the </w:t>
      </w:r>
      <w:r w:rsidR="00A5734B" w:rsidRPr="00A5734B">
        <w:rPr>
          <w:rFonts w:ascii="Times New Roman" w:hAnsi="Times New Roman" w:cs="Times New Roman"/>
          <w:b/>
          <w:color w:val="000000" w:themeColor="text1"/>
          <w:sz w:val="28"/>
          <w:szCs w:val="28"/>
          <w:u w:val="single"/>
        </w:rPr>
        <w:t>Public Order Ordinance</w:t>
      </w:r>
      <w:r w:rsidR="00C33234">
        <w:rPr>
          <w:rFonts w:ascii="Times New Roman" w:hAnsi="Times New Roman" w:cs="Times New Roman"/>
          <w:b/>
          <w:color w:val="000000" w:themeColor="text1"/>
          <w:sz w:val="28"/>
          <w:szCs w:val="28"/>
          <w:u w:val="single"/>
        </w:rPr>
        <w:t xml:space="preserve"> (Cap. 245)</w:t>
      </w:r>
    </w:p>
    <w:p w:rsidR="00A5734B" w:rsidRDefault="00A5734B">
      <w:pPr>
        <w:widowControl/>
        <w:rPr>
          <w:rFonts w:ascii="Times New Roman" w:hAnsi="Times New Roman" w:cs="Times New Roman"/>
          <w:i/>
          <w:color w:val="0000FF"/>
          <w:sz w:val="28"/>
          <w:szCs w:val="28"/>
        </w:rPr>
      </w:pPr>
    </w:p>
    <w:p w:rsidR="00A5734B" w:rsidRPr="00030B1C" w:rsidRDefault="00C4139E" w:rsidP="00A5734B">
      <w:pPr>
        <w:tabs>
          <w:tab w:val="left" w:pos="1440"/>
        </w:tabs>
        <w:snapToGrid w:val="0"/>
        <w:jc w:val="both"/>
        <w:rPr>
          <w:rFonts w:ascii="Times New Roman" w:eastAsia="標楷體" w:hAnsi="Times New Roman" w:cs="Times New Roman"/>
          <w:kern w:val="0"/>
          <w:sz w:val="28"/>
          <w:szCs w:val="28"/>
          <w:lang w:val="en-GB" w:eastAsia="en-US"/>
        </w:rPr>
      </w:pPr>
      <w:r>
        <w:rPr>
          <w:rFonts w:ascii="Times New Roman" w:eastAsia="標楷體" w:hAnsi="Times New Roman" w:cs="Times New Roman" w:hint="eastAsia"/>
          <w:kern w:val="0"/>
          <w:sz w:val="28"/>
          <w:szCs w:val="28"/>
          <w:lang w:val="en-GB"/>
        </w:rPr>
        <w:t>1.</w:t>
      </w:r>
      <w:r w:rsidR="00A5734B">
        <w:rPr>
          <w:rFonts w:ascii="Times New Roman" w:eastAsia="標楷體" w:hAnsi="Times New Roman" w:cs="Times New Roman"/>
          <w:kern w:val="0"/>
          <w:sz w:val="28"/>
          <w:szCs w:val="28"/>
          <w:lang w:val="en-GB" w:eastAsia="en-US"/>
        </w:rPr>
        <w:tab/>
      </w:r>
      <w:r w:rsidR="00A5734B" w:rsidRPr="00030B1C">
        <w:rPr>
          <w:rFonts w:ascii="Times New Roman" w:eastAsia="標楷體" w:hAnsi="Times New Roman" w:cs="Times New Roman"/>
          <w:kern w:val="0"/>
          <w:sz w:val="28"/>
          <w:szCs w:val="28"/>
          <w:lang w:val="en-GB" w:eastAsia="en-US"/>
        </w:rPr>
        <w:t xml:space="preserve">Any public meeting with participants of more than 50 persons or any public procession with participants of more than 30 persons that are regulated under </w:t>
      </w:r>
      <w:r w:rsidR="00771B83">
        <w:rPr>
          <w:rFonts w:ascii="Times New Roman" w:eastAsia="標楷體" w:hAnsi="Times New Roman" w:cs="Times New Roman"/>
          <w:kern w:val="0"/>
          <w:sz w:val="28"/>
          <w:szCs w:val="28"/>
          <w:lang w:val="en-GB" w:eastAsia="en-US"/>
        </w:rPr>
        <w:t>the Public Order Ordinance (“</w:t>
      </w:r>
      <w:r w:rsidR="00A5734B" w:rsidRPr="00030B1C">
        <w:rPr>
          <w:rFonts w:ascii="Times New Roman" w:eastAsia="標楷體" w:hAnsi="Times New Roman" w:cs="Times New Roman"/>
          <w:kern w:val="0"/>
          <w:sz w:val="28"/>
          <w:szCs w:val="28"/>
          <w:lang w:val="en-GB" w:eastAsia="en-US"/>
        </w:rPr>
        <w:t>POO</w:t>
      </w:r>
      <w:r w:rsidR="00771B83">
        <w:rPr>
          <w:rFonts w:ascii="Times New Roman" w:eastAsia="標楷體" w:hAnsi="Times New Roman" w:cs="Times New Roman"/>
          <w:kern w:val="0"/>
          <w:sz w:val="28"/>
          <w:szCs w:val="28"/>
          <w:lang w:val="en-GB" w:eastAsia="en-US"/>
        </w:rPr>
        <w:t>”)</w:t>
      </w:r>
      <w:r w:rsidR="00A5734B" w:rsidRPr="00030B1C">
        <w:rPr>
          <w:rFonts w:ascii="Times New Roman" w:eastAsia="標楷體" w:hAnsi="Times New Roman" w:cs="Times New Roman"/>
          <w:kern w:val="0"/>
          <w:sz w:val="28"/>
          <w:szCs w:val="28"/>
          <w:lang w:val="en-GB" w:eastAsia="en-US"/>
        </w:rPr>
        <w:t xml:space="preserve"> may be conducted only if a notice has been given to the Commissioner of Police (“the Commissioner”) who gives no prohibition or objection.  The Commissioner will carefully examine each case based on all the relevant facts and circumstances.  By law, the Commissioner may only prohibit or object a public meeting or public procession if it is necessary in the interests of national security, public safety, public order or the protection of the rights and freedoms of others, and when those interests could not be met by the imposition of conditions.</w:t>
      </w:r>
    </w:p>
    <w:p w:rsidR="00A5734B" w:rsidRPr="00030B1C" w:rsidRDefault="00A5734B" w:rsidP="00A5734B">
      <w:pPr>
        <w:tabs>
          <w:tab w:val="left" w:pos="1440"/>
        </w:tabs>
        <w:snapToGrid w:val="0"/>
        <w:jc w:val="both"/>
        <w:rPr>
          <w:rFonts w:ascii="Times New Roman" w:eastAsia="標楷體" w:hAnsi="Times New Roman" w:cs="Times New Roman"/>
          <w:kern w:val="0"/>
          <w:sz w:val="28"/>
          <w:szCs w:val="28"/>
          <w:lang w:val="en-GB" w:eastAsia="en-US"/>
        </w:rPr>
      </w:pPr>
    </w:p>
    <w:p w:rsidR="00A5734B" w:rsidRPr="00030B1C" w:rsidRDefault="00C4139E" w:rsidP="00A5734B">
      <w:pPr>
        <w:tabs>
          <w:tab w:val="left" w:pos="1440"/>
        </w:tabs>
        <w:snapToGrid w:val="0"/>
        <w:jc w:val="both"/>
        <w:rPr>
          <w:rFonts w:ascii="Times New Roman" w:eastAsia="標楷體" w:hAnsi="Times New Roman" w:cs="Times New Roman"/>
          <w:kern w:val="0"/>
          <w:sz w:val="28"/>
          <w:szCs w:val="28"/>
          <w:lang w:val="en-GB" w:eastAsia="en-US"/>
        </w:rPr>
      </w:pPr>
      <w:r>
        <w:rPr>
          <w:rFonts w:ascii="Times New Roman" w:eastAsia="標楷體" w:hAnsi="Times New Roman" w:cs="Times New Roman" w:hint="eastAsia"/>
          <w:kern w:val="0"/>
          <w:sz w:val="28"/>
          <w:szCs w:val="28"/>
          <w:lang w:val="en-GB"/>
        </w:rPr>
        <w:t>2.</w:t>
      </w:r>
      <w:r w:rsidR="00A5734B">
        <w:rPr>
          <w:rFonts w:ascii="Times New Roman" w:eastAsia="標楷體" w:hAnsi="Times New Roman" w:cs="Times New Roman"/>
          <w:kern w:val="0"/>
          <w:sz w:val="28"/>
          <w:szCs w:val="28"/>
          <w:lang w:val="en-GB" w:eastAsia="en-US"/>
        </w:rPr>
        <w:tab/>
      </w:r>
      <w:r w:rsidR="00A5734B" w:rsidRPr="00030B1C">
        <w:rPr>
          <w:rFonts w:ascii="Times New Roman" w:eastAsia="標楷體" w:hAnsi="Times New Roman" w:cs="Times New Roman"/>
          <w:kern w:val="0"/>
          <w:sz w:val="28"/>
          <w:szCs w:val="28"/>
          <w:lang w:val="en-GB" w:eastAsia="en-US"/>
        </w:rPr>
        <w:t>There is also a proper appeal system.  If a person is aggrieved by the decision of the Commissioner to prohibit a public meeting, to object a public procession or to impose conditions on the holding of a public meeting or procession, he may lodge an appeal to the independent statutory Appeal Board on Public Meetings and Processions (“Appeal Board”).  The Appeal Board is chaired by a retired judge.  It may confirm, reverse or vary the prohibition, objection or condition imposed by the Commissioner.  The decision of the Appeal Board is also amenable to the challenge of judicial review.</w:t>
      </w:r>
    </w:p>
    <w:p w:rsidR="00C33234" w:rsidRDefault="00C33234" w:rsidP="00A5734B">
      <w:pPr>
        <w:tabs>
          <w:tab w:val="left" w:pos="1440"/>
        </w:tabs>
        <w:snapToGrid w:val="0"/>
        <w:jc w:val="both"/>
        <w:rPr>
          <w:rFonts w:ascii="Times New Roman" w:eastAsia="標楷體" w:hAnsi="Times New Roman" w:cs="Times New Roman"/>
          <w:kern w:val="0"/>
          <w:sz w:val="28"/>
          <w:szCs w:val="28"/>
          <w:lang w:val="en-GB" w:eastAsia="en-US"/>
        </w:rPr>
      </w:pPr>
    </w:p>
    <w:p w:rsidR="00C33234" w:rsidRDefault="00C33234" w:rsidP="00A5734B">
      <w:pPr>
        <w:tabs>
          <w:tab w:val="left" w:pos="1440"/>
        </w:tabs>
        <w:snapToGrid w:val="0"/>
        <w:jc w:val="both"/>
        <w:rPr>
          <w:rFonts w:ascii="Times New Roman" w:eastAsia="標楷體" w:hAnsi="Times New Roman" w:cs="Times New Roman"/>
          <w:kern w:val="0"/>
          <w:sz w:val="28"/>
          <w:szCs w:val="28"/>
          <w:lang w:val="en-GB" w:eastAsia="en-US"/>
        </w:rPr>
        <w:sectPr w:rsidR="00C33234" w:rsidSect="00C33234">
          <w:pgSz w:w="11906" w:h="16838"/>
          <w:pgMar w:top="1440" w:right="1008" w:bottom="1440" w:left="1008" w:header="850" w:footer="994" w:gutter="0"/>
          <w:pgNumType w:start="1"/>
          <w:cols w:space="425"/>
          <w:titlePg/>
          <w:docGrid w:type="lines" w:linePitch="360"/>
        </w:sectPr>
      </w:pPr>
    </w:p>
    <w:p w:rsidR="00FE7562" w:rsidRPr="00836075" w:rsidRDefault="00A5734B" w:rsidP="0066054F">
      <w:pPr>
        <w:tabs>
          <w:tab w:val="left" w:pos="1440"/>
        </w:tabs>
        <w:snapToGrid w:val="0"/>
        <w:jc w:val="right"/>
        <w:rPr>
          <w:rFonts w:ascii="Times New Roman" w:hAnsi="Times New Roman" w:cs="Times New Roman"/>
          <w:b/>
          <w:sz w:val="28"/>
          <w:szCs w:val="28"/>
          <w:u w:val="single"/>
        </w:rPr>
      </w:pPr>
      <w:r>
        <w:rPr>
          <w:rFonts w:ascii="Times New Roman" w:eastAsia="標楷體" w:hAnsi="Times New Roman" w:cs="Times New Roman"/>
          <w:kern w:val="0"/>
          <w:sz w:val="28"/>
          <w:szCs w:val="28"/>
          <w:lang w:val="en-GB" w:eastAsia="en-US"/>
        </w:rPr>
        <w:lastRenderedPageBreak/>
        <w:tab/>
      </w:r>
      <w:r w:rsidR="004E6A8D">
        <w:rPr>
          <w:rFonts w:ascii="Times New Roman" w:hAnsi="Times New Roman" w:cs="Times New Roman"/>
          <w:b/>
          <w:sz w:val="28"/>
          <w:szCs w:val="28"/>
          <w:u w:val="single"/>
        </w:rPr>
        <w:t xml:space="preserve">Annex </w:t>
      </w:r>
      <w:r w:rsidR="00E551C3">
        <w:rPr>
          <w:rFonts w:ascii="Times New Roman" w:hAnsi="Times New Roman" w:cs="Times New Roman"/>
          <w:b/>
          <w:sz w:val="28"/>
          <w:szCs w:val="28"/>
          <w:u w:val="single"/>
        </w:rPr>
        <w:t>10</w:t>
      </w:r>
    </w:p>
    <w:p w:rsidR="00FE7562" w:rsidRDefault="00FE7562" w:rsidP="00FE7562">
      <w:pPr>
        <w:tabs>
          <w:tab w:val="left" w:pos="1440"/>
        </w:tabs>
        <w:snapToGrid w:val="0"/>
        <w:ind w:leftChars="297" w:left="1427" w:hangingChars="255" w:hanging="714"/>
        <w:jc w:val="both"/>
        <w:rPr>
          <w:rFonts w:ascii="Times New Roman" w:eastAsia="新細明體" w:hAnsi="Times New Roman" w:cs="Times New Roman"/>
          <w:kern w:val="0"/>
          <w:sz w:val="28"/>
          <w:szCs w:val="28"/>
        </w:rPr>
      </w:pPr>
    </w:p>
    <w:p w:rsidR="001F0517" w:rsidRDefault="00FE7562" w:rsidP="001F0517">
      <w:pPr>
        <w:tabs>
          <w:tab w:val="left" w:pos="1440"/>
        </w:tabs>
        <w:snapToGrid w:val="0"/>
        <w:ind w:left="1429" w:hangingChars="510" w:hanging="1429"/>
        <w:jc w:val="center"/>
        <w:rPr>
          <w:rFonts w:ascii="Times New Roman" w:eastAsia="新細明體" w:hAnsi="Times New Roman" w:cs="Times New Roman"/>
          <w:b/>
          <w:kern w:val="0"/>
          <w:sz w:val="28"/>
          <w:szCs w:val="28"/>
          <w:u w:val="single"/>
        </w:rPr>
      </w:pPr>
      <w:r w:rsidRPr="004E6A8D">
        <w:rPr>
          <w:rFonts w:ascii="Times New Roman" w:eastAsia="新細明體" w:hAnsi="Times New Roman" w:cs="Times New Roman"/>
          <w:b/>
          <w:kern w:val="0"/>
          <w:sz w:val="28"/>
          <w:szCs w:val="28"/>
          <w:u w:val="single"/>
        </w:rPr>
        <w:t xml:space="preserve">Measures to ensure adequacy of retirement benefits </w:t>
      </w:r>
      <w:r w:rsidR="009B66E4" w:rsidRPr="00C33234">
        <w:rPr>
          <w:rFonts w:ascii="Times New Roman" w:eastAsia="新細明體" w:hAnsi="Times New Roman" w:cs="Times New Roman"/>
          <w:b/>
          <w:kern w:val="0"/>
          <w:sz w:val="28"/>
          <w:szCs w:val="28"/>
          <w:u w:val="single"/>
          <w:lang w:eastAsia="zh-HK"/>
        </w:rPr>
        <w:t>under</w:t>
      </w:r>
    </w:p>
    <w:p w:rsidR="00FE7562" w:rsidRPr="004E6A8D" w:rsidRDefault="00FE7562" w:rsidP="001F0517">
      <w:pPr>
        <w:tabs>
          <w:tab w:val="left" w:pos="1440"/>
        </w:tabs>
        <w:snapToGrid w:val="0"/>
        <w:ind w:left="1429" w:hangingChars="510" w:hanging="1429"/>
        <w:jc w:val="center"/>
        <w:rPr>
          <w:rFonts w:ascii="Times New Roman" w:hAnsi="Times New Roman" w:cs="Times New Roman"/>
          <w:b/>
          <w:sz w:val="28"/>
          <w:szCs w:val="28"/>
          <w:u w:val="single"/>
        </w:rPr>
      </w:pPr>
      <w:r w:rsidRPr="00C33234">
        <w:rPr>
          <w:rFonts w:ascii="Times New Roman" w:hAnsi="Times New Roman" w:cs="Times New Roman"/>
          <w:b/>
          <w:sz w:val="28"/>
          <w:szCs w:val="28"/>
          <w:u w:val="single"/>
          <w:lang w:val="en-GB"/>
        </w:rPr>
        <w:t>Mandatory Provident Fund Scheme</w:t>
      </w:r>
    </w:p>
    <w:p w:rsidR="00FE7562" w:rsidRDefault="00FE7562" w:rsidP="00FE7562">
      <w:pPr>
        <w:tabs>
          <w:tab w:val="left" w:pos="1440"/>
        </w:tabs>
        <w:snapToGrid w:val="0"/>
        <w:jc w:val="both"/>
        <w:rPr>
          <w:rFonts w:ascii="Times New Roman" w:hAnsi="Times New Roman" w:cs="Times New Roman"/>
          <w:sz w:val="28"/>
          <w:szCs w:val="28"/>
          <w:lang w:val="en-GB"/>
        </w:rPr>
      </w:pPr>
    </w:p>
    <w:p w:rsidR="00FE7562" w:rsidRPr="002B0C03" w:rsidRDefault="00C4139E" w:rsidP="00FE7562">
      <w:pPr>
        <w:tabs>
          <w:tab w:val="left" w:pos="1440"/>
        </w:tabs>
        <w:snapToGrid w:val="0"/>
        <w:jc w:val="both"/>
        <w:rPr>
          <w:rFonts w:ascii="Times New Roman" w:hAnsi="Times New Roman" w:cs="Times New Roman"/>
          <w:sz w:val="28"/>
          <w:szCs w:val="28"/>
          <w:lang w:val="en-GB"/>
        </w:rPr>
      </w:pPr>
      <w:r>
        <w:rPr>
          <w:rFonts w:ascii="Times New Roman" w:hAnsi="Times New Roman" w:cs="Times New Roman" w:hint="eastAsia"/>
          <w:sz w:val="28"/>
          <w:szCs w:val="28"/>
          <w:lang w:val="en-GB"/>
        </w:rPr>
        <w:t>1.</w:t>
      </w:r>
      <w:r w:rsidR="00FE7562">
        <w:rPr>
          <w:rFonts w:ascii="Times New Roman" w:hAnsi="Times New Roman" w:cs="Times New Roman"/>
          <w:sz w:val="28"/>
          <w:szCs w:val="28"/>
          <w:lang w:val="en-GB"/>
        </w:rPr>
        <w:tab/>
        <w:t xml:space="preserve">Under the </w:t>
      </w:r>
      <w:r w:rsidR="00FE7562" w:rsidRPr="002B0C03">
        <w:rPr>
          <w:rFonts w:ascii="Times New Roman" w:hAnsi="Times New Roman" w:cs="Times New Roman"/>
          <w:sz w:val="28"/>
          <w:szCs w:val="28"/>
          <w:lang w:val="en-GB"/>
        </w:rPr>
        <w:t>Mandatory Provident Fund</w:t>
      </w:r>
      <w:r w:rsidR="00FE7562">
        <w:rPr>
          <w:rFonts w:ascii="Times New Roman" w:hAnsi="Times New Roman" w:cs="Times New Roman"/>
          <w:sz w:val="28"/>
          <w:szCs w:val="28"/>
          <w:lang w:val="en-GB"/>
        </w:rPr>
        <w:t xml:space="preserve"> (“MPF”) System,</w:t>
      </w:r>
      <w:r w:rsidR="00FE7562" w:rsidRPr="002B0C03">
        <w:rPr>
          <w:rFonts w:ascii="Times New Roman" w:hAnsi="Times New Roman" w:cs="Times New Roman"/>
          <w:sz w:val="28"/>
          <w:szCs w:val="28"/>
          <w:lang w:val="en-GB"/>
        </w:rPr>
        <w:t xml:space="preserve"> </w:t>
      </w:r>
      <w:r w:rsidR="00FE7562">
        <w:rPr>
          <w:rFonts w:ascii="Times New Roman" w:hAnsi="Times New Roman" w:cs="Times New Roman"/>
          <w:sz w:val="28"/>
          <w:szCs w:val="28"/>
          <w:lang w:val="en-GB"/>
        </w:rPr>
        <w:t xml:space="preserve">a </w:t>
      </w:r>
      <w:r w:rsidR="00FE7562" w:rsidRPr="002B0C03">
        <w:rPr>
          <w:rFonts w:ascii="Times New Roman" w:hAnsi="Times New Roman" w:cs="Times New Roman"/>
          <w:sz w:val="28"/>
          <w:szCs w:val="28"/>
          <w:lang w:val="en-GB"/>
        </w:rPr>
        <w:t xml:space="preserve">statutory mechanism is in place to review the </w:t>
      </w:r>
      <w:r w:rsidR="00062E95">
        <w:rPr>
          <w:rFonts w:ascii="Times New Roman" w:hAnsi="Times New Roman" w:cs="Times New Roman"/>
          <w:sz w:val="28"/>
          <w:szCs w:val="28"/>
          <w:lang w:val="en-GB"/>
        </w:rPr>
        <w:t>minimum and maximum relevant income</w:t>
      </w:r>
      <w:r w:rsidR="00FE7562" w:rsidRPr="002B0C03">
        <w:rPr>
          <w:rFonts w:ascii="Times New Roman" w:hAnsi="Times New Roman" w:cs="Times New Roman"/>
          <w:sz w:val="28"/>
          <w:szCs w:val="28"/>
          <w:lang w:val="en-GB"/>
        </w:rPr>
        <w:t xml:space="preserve"> levels for the mandatory contribution not less than once in every four years.  Furthermore, the Default Investment Strategy introduced in 2017 offers a default and low-fee investment solution for MPF scheme members by requiring trustees to offer funds that are subject to fee caps, global investment strategy for risk diversification and automatic de-risking as members approach retirement age.  </w:t>
      </w:r>
    </w:p>
    <w:p w:rsidR="00FE7562" w:rsidRPr="002B0C03" w:rsidRDefault="00FE7562" w:rsidP="00FE7562">
      <w:pPr>
        <w:tabs>
          <w:tab w:val="left" w:pos="1440"/>
        </w:tabs>
        <w:snapToGrid w:val="0"/>
        <w:jc w:val="both"/>
        <w:rPr>
          <w:rFonts w:ascii="Times New Roman" w:hAnsi="Times New Roman" w:cs="Times New Roman"/>
          <w:sz w:val="28"/>
          <w:szCs w:val="28"/>
          <w:lang w:val="en-GB"/>
        </w:rPr>
      </w:pPr>
    </w:p>
    <w:p w:rsidR="00FE7562" w:rsidRPr="002B0C03" w:rsidRDefault="00C4139E" w:rsidP="00FE7562">
      <w:pPr>
        <w:tabs>
          <w:tab w:val="left" w:pos="1440"/>
        </w:tabs>
        <w:snapToGrid w:val="0"/>
        <w:jc w:val="both"/>
        <w:rPr>
          <w:rFonts w:ascii="Times New Roman" w:hAnsi="Times New Roman" w:cs="Times New Roman"/>
          <w:sz w:val="28"/>
          <w:szCs w:val="28"/>
          <w:lang w:val="en-GB"/>
        </w:rPr>
      </w:pPr>
      <w:r>
        <w:rPr>
          <w:rFonts w:ascii="Times New Roman" w:hAnsi="Times New Roman" w:cs="Times New Roman" w:hint="eastAsia"/>
          <w:sz w:val="28"/>
          <w:szCs w:val="28"/>
          <w:lang w:val="en-GB"/>
        </w:rPr>
        <w:t>2.</w:t>
      </w:r>
      <w:r w:rsidR="00FE7562">
        <w:rPr>
          <w:rFonts w:ascii="Times New Roman" w:hAnsi="Times New Roman" w:cs="Times New Roman"/>
          <w:sz w:val="28"/>
          <w:szCs w:val="28"/>
          <w:lang w:val="en-GB"/>
        </w:rPr>
        <w:tab/>
      </w:r>
      <w:r w:rsidR="00FE7562" w:rsidRPr="002B0C03">
        <w:rPr>
          <w:rFonts w:ascii="Times New Roman" w:hAnsi="Times New Roman" w:cs="Times New Roman"/>
          <w:sz w:val="28"/>
          <w:szCs w:val="28"/>
          <w:lang w:val="en-GB"/>
        </w:rPr>
        <w:t xml:space="preserve">The Government and the Mandatory Provident Fund Schemes Authority are taking forward the </w:t>
      </w:r>
      <w:proofErr w:type="spellStart"/>
      <w:r w:rsidR="00FE7562" w:rsidRPr="002B0C03">
        <w:rPr>
          <w:rFonts w:ascii="Times New Roman" w:hAnsi="Times New Roman" w:cs="Times New Roman"/>
          <w:sz w:val="28"/>
          <w:szCs w:val="28"/>
          <w:lang w:val="en-GB"/>
        </w:rPr>
        <w:t>eMPF</w:t>
      </w:r>
      <w:proofErr w:type="spellEnd"/>
      <w:r w:rsidR="00FE7562" w:rsidRPr="002B0C03">
        <w:rPr>
          <w:rFonts w:ascii="Times New Roman" w:hAnsi="Times New Roman" w:cs="Times New Roman"/>
          <w:sz w:val="28"/>
          <w:szCs w:val="28"/>
          <w:lang w:val="en-GB"/>
        </w:rPr>
        <w:t xml:space="preserve"> Platform project, being a major reform initiative since inception of the MPF System in 2000, to enhance operational efficiency and create room for fee reduction.  The </w:t>
      </w:r>
      <w:proofErr w:type="spellStart"/>
      <w:r w:rsidR="00FE7562" w:rsidRPr="002B0C03">
        <w:rPr>
          <w:rFonts w:ascii="Times New Roman" w:hAnsi="Times New Roman" w:cs="Times New Roman"/>
          <w:sz w:val="28"/>
          <w:szCs w:val="28"/>
          <w:lang w:val="en-GB"/>
        </w:rPr>
        <w:t>eMPF</w:t>
      </w:r>
      <w:proofErr w:type="spellEnd"/>
      <w:r w:rsidR="00FE7562" w:rsidRPr="002B0C03">
        <w:rPr>
          <w:rFonts w:ascii="Times New Roman" w:hAnsi="Times New Roman" w:cs="Times New Roman"/>
          <w:sz w:val="28"/>
          <w:szCs w:val="28"/>
          <w:lang w:val="en-GB"/>
        </w:rPr>
        <w:t xml:space="preserve"> Platform is a common electronic platform to streamline, </w:t>
      </w:r>
      <w:r w:rsidR="001F0517" w:rsidRPr="002B0C03">
        <w:rPr>
          <w:rFonts w:ascii="Times New Roman" w:hAnsi="Times New Roman" w:cs="Times New Roman"/>
          <w:sz w:val="28"/>
          <w:szCs w:val="28"/>
          <w:lang w:val="en-GB"/>
        </w:rPr>
        <w:t>standardi</w:t>
      </w:r>
      <w:r w:rsidR="001F0517">
        <w:rPr>
          <w:rFonts w:ascii="Times New Roman" w:hAnsi="Times New Roman" w:cs="Times New Roman"/>
          <w:sz w:val="28"/>
          <w:szCs w:val="28"/>
          <w:lang w:val="en-GB"/>
        </w:rPr>
        <w:t>s</w:t>
      </w:r>
      <w:r w:rsidR="001F0517" w:rsidRPr="002B0C03">
        <w:rPr>
          <w:rFonts w:ascii="Times New Roman" w:hAnsi="Times New Roman" w:cs="Times New Roman"/>
          <w:sz w:val="28"/>
          <w:szCs w:val="28"/>
          <w:lang w:val="en-GB"/>
        </w:rPr>
        <w:t xml:space="preserve">e </w:t>
      </w:r>
      <w:r w:rsidR="00FE7562" w:rsidRPr="002B0C03">
        <w:rPr>
          <w:rFonts w:ascii="Times New Roman" w:hAnsi="Times New Roman" w:cs="Times New Roman"/>
          <w:sz w:val="28"/>
          <w:szCs w:val="28"/>
          <w:lang w:val="en-GB"/>
        </w:rPr>
        <w:t xml:space="preserve">and automate the MPF scheme administration processes through digital and innovative solutions.  The Project is expected to achieve cost efficiency and savings to the benefit of scheme members, cumulating to an estimated range of HK$30 billion-$40 billion over a 10-year period.  Our target is to complete the development work by end-2022 for phased migration of existing trustees to the </w:t>
      </w:r>
      <w:r w:rsidR="001F0517" w:rsidRPr="002B0C03">
        <w:rPr>
          <w:rFonts w:ascii="Times New Roman" w:hAnsi="Times New Roman" w:cs="Times New Roman"/>
          <w:sz w:val="28"/>
          <w:szCs w:val="28"/>
          <w:lang w:val="en-GB"/>
        </w:rPr>
        <w:t>centrali</w:t>
      </w:r>
      <w:r w:rsidR="001F0517">
        <w:rPr>
          <w:rFonts w:ascii="Times New Roman" w:hAnsi="Times New Roman" w:cs="Times New Roman"/>
          <w:sz w:val="28"/>
          <w:szCs w:val="28"/>
          <w:lang w:val="en-GB"/>
        </w:rPr>
        <w:t>s</w:t>
      </w:r>
      <w:r w:rsidR="001F0517" w:rsidRPr="002B0C03">
        <w:rPr>
          <w:rFonts w:ascii="Times New Roman" w:hAnsi="Times New Roman" w:cs="Times New Roman"/>
          <w:sz w:val="28"/>
          <w:szCs w:val="28"/>
          <w:lang w:val="en-GB"/>
        </w:rPr>
        <w:t xml:space="preserve">ed </w:t>
      </w:r>
      <w:r w:rsidR="00FE7562" w:rsidRPr="002B0C03">
        <w:rPr>
          <w:rFonts w:ascii="Times New Roman" w:hAnsi="Times New Roman" w:cs="Times New Roman"/>
          <w:sz w:val="28"/>
          <w:szCs w:val="28"/>
          <w:lang w:val="en-GB"/>
        </w:rPr>
        <w:t xml:space="preserve">platform. </w:t>
      </w:r>
      <w:r w:rsidR="00FE7562">
        <w:rPr>
          <w:rFonts w:ascii="Times New Roman" w:hAnsi="Times New Roman" w:cs="Times New Roman"/>
          <w:sz w:val="28"/>
          <w:szCs w:val="28"/>
          <w:lang w:val="en-GB"/>
        </w:rPr>
        <w:t xml:space="preserve"> </w:t>
      </w:r>
      <w:r w:rsidR="00FE7562" w:rsidRPr="002B0C03">
        <w:rPr>
          <w:rFonts w:ascii="Times New Roman" w:hAnsi="Times New Roman" w:cs="Times New Roman"/>
          <w:sz w:val="28"/>
          <w:szCs w:val="28"/>
          <w:lang w:val="en-GB"/>
        </w:rPr>
        <w:t xml:space="preserve">The </w:t>
      </w:r>
      <w:proofErr w:type="spellStart"/>
      <w:r w:rsidR="00FE7562" w:rsidRPr="002B0C03">
        <w:rPr>
          <w:rFonts w:ascii="Times New Roman" w:hAnsi="Times New Roman" w:cs="Times New Roman"/>
          <w:sz w:val="28"/>
          <w:szCs w:val="28"/>
          <w:lang w:val="en-GB"/>
        </w:rPr>
        <w:t>eMPF</w:t>
      </w:r>
      <w:proofErr w:type="spellEnd"/>
      <w:r w:rsidR="00FE7562" w:rsidRPr="002B0C03">
        <w:rPr>
          <w:rFonts w:ascii="Times New Roman" w:hAnsi="Times New Roman" w:cs="Times New Roman"/>
          <w:sz w:val="28"/>
          <w:szCs w:val="28"/>
          <w:lang w:val="en-GB"/>
        </w:rPr>
        <w:t xml:space="preserve"> Platform is expected to be fully functional in around 2025.</w:t>
      </w:r>
    </w:p>
    <w:p w:rsidR="00FE7562" w:rsidRPr="002B0C03" w:rsidRDefault="00FE7562" w:rsidP="00FE7562">
      <w:pPr>
        <w:tabs>
          <w:tab w:val="left" w:pos="1440"/>
        </w:tabs>
        <w:snapToGrid w:val="0"/>
        <w:jc w:val="both"/>
        <w:rPr>
          <w:rFonts w:ascii="Times New Roman" w:hAnsi="Times New Roman" w:cs="Times New Roman"/>
          <w:sz w:val="28"/>
          <w:szCs w:val="28"/>
          <w:lang w:val="en-GB"/>
        </w:rPr>
      </w:pPr>
    </w:p>
    <w:p w:rsidR="00FE7562" w:rsidRDefault="00630115" w:rsidP="00FE7562">
      <w:pPr>
        <w:tabs>
          <w:tab w:val="left" w:pos="1440"/>
        </w:tabs>
        <w:snapToGrid w:val="0"/>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00FE7562">
        <w:rPr>
          <w:rFonts w:ascii="Times New Roman" w:hAnsi="Times New Roman" w:cs="Times New Roman"/>
          <w:sz w:val="28"/>
          <w:szCs w:val="28"/>
          <w:lang w:val="en-GB"/>
        </w:rPr>
        <w:tab/>
      </w:r>
      <w:r w:rsidR="00FE7562" w:rsidRPr="002B0C03">
        <w:rPr>
          <w:rFonts w:ascii="Times New Roman" w:hAnsi="Times New Roman" w:cs="Times New Roman"/>
          <w:sz w:val="28"/>
          <w:szCs w:val="28"/>
          <w:lang w:val="en-GB"/>
        </w:rPr>
        <w:t xml:space="preserve">The Government is taking steps to abolish the arrangement of using MPF benefits derived from employers’ mandatory contributions to offset severance payment and long service payment, and has proposed to pay mandatory contributions for low-income scheme members to enhance their retirement protection.  These measures are to be implemented after the </w:t>
      </w:r>
      <w:proofErr w:type="spellStart"/>
      <w:r w:rsidR="00FE7562" w:rsidRPr="002B0C03">
        <w:rPr>
          <w:rFonts w:ascii="Times New Roman" w:hAnsi="Times New Roman" w:cs="Times New Roman"/>
          <w:sz w:val="28"/>
          <w:szCs w:val="28"/>
          <w:lang w:val="en-GB"/>
        </w:rPr>
        <w:t>eMPF</w:t>
      </w:r>
      <w:proofErr w:type="spellEnd"/>
      <w:r w:rsidR="00FE7562" w:rsidRPr="002B0C03">
        <w:rPr>
          <w:rFonts w:ascii="Times New Roman" w:hAnsi="Times New Roman" w:cs="Times New Roman"/>
          <w:sz w:val="28"/>
          <w:szCs w:val="28"/>
          <w:lang w:val="en-GB"/>
        </w:rPr>
        <w:t xml:space="preserve"> platform comes into full operation.</w:t>
      </w:r>
    </w:p>
    <w:p w:rsidR="00C33234" w:rsidRDefault="00C33234" w:rsidP="00A5734B">
      <w:pPr>
        <w:tabs>
          <w:tab w:val="left" w:pos="1440"/>
        </w:tabs>
        <w:snapToGrid w:val="0"/>
        <w:jc w:val="both"/>
        <w:rPr>
          <w:rFonts w:ascii="Times New Roman" w:eastAsia="標楷體" w:hAnsi="Times New Roman" w:cs="Times New Roman"/>
          <w:kern w:val="0"/>
          <w:sz w:val="28"/>
          <w:szCs w:val="28"/>
          <w:lang w:val="en-GB" w:eastAsia="en-US"/>
        </w:rPr>
      </w:pPr>
    </w:p>
    <w:p w:rsidR="00C33234" w:rsidRDefault="00C33234" w:rsidP="00A5734B">
      <w:pPr>
        <w:tabs>
          <w:tab w:val="left" w:pos="1440"/>
        </w:tabs>
        <w:snapToGrid w:val="0"/>
        <w:jc w:val="both"/>
        <w:rPr>
          <w:rFonts w:ascii="Times New Roman" w:eastAsia="標楷體" w:hAnsi="Times New Roman" w:cs="Times New Roman"/>
          <w:kern w:val="0"/>
          <w:sz w:val="28"/>
          <w:szCs w:val="28"/>
          <w:lang w:val="en-GB" w:eastAsia="en-US"/>
        </w:rPr>
        <w:sectPr w:rsidR="00C33234" w:rsidSect="00C33234">
          <w:pgSz w:w="11906" w:h="16838"/>
          <w:pgMar w:top="1440" w:right="1440" w:bottom="1440" w:left="1440" w:header="850" w:footer="994" w:gutter="0"/>
          <w:pgNumType w:start="1"/>
          <w:cols w:space="425"/>
          <w:titlePg/>
          <w:docGrid w:type="lines" w:linePitch="360"/>
        </w:sectPr>
      </w:pPr>
    </w:p>
    <w:p w:rsidR="00AB4F3B" w:rsidRPr="00836075" w:rsidRDefault="004E6A8D" w:rsidP="00AB4F3B">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11</w:t>
      </w:r>
    </w:p>
    <w:p w:rsidR="00AB4F3B" w:rsidRDefault="00AB4F3B" w:rsidP="00495460">
      <w:pPr>
        <w:tabs>
          <w:tab w:val="left" w:pos="1440"/>
        </w:tabs>
        <w:snapToGrid w:val="0"/>
        <w:ind w:leftChars="297" w:left="1427" w:hangingChars="255" w:hanging="714"/>
        <w:jc w:val="both"/>
        <w:rPr>
          <w:rFonts w:ascii="Times New Roman" w:eastAsia="新細明體" w:hAnsi="Times New Roman" w:cs="Times New Roman"/>
          <w:kern w:val="0"/>
          <w:sz w:val="28"/>
          <w:szCs w:val="28"/>
        </w:rPr>
      </w:pPr>
    </w:p>
    <w:p w:rsidR="00836075" w:rsidRPr="00AB4F3B" w:rsidRDefault="00AB4F3B" w:rsidP="00AB4F3B">
      <w:pPr>
        <w:tabs>
          <w:tab w:val="left" w:pos="1440"/>
        </w:tabs>
        <w:snapToGrid w:val="0"/>
        <w:ind w:leftChars="297" w:left="1428" w:hangingChars="255" w:hanging="715"/>
        <w:jc w:val="center"/>
        <w:rPr>
          <w:rFonts w:ascii="Times New Roman" w:hAnsi="Times New Roman" w:cs="Times New Roman"/>
          <w:b/>
          <w:sz w:val="28"/>
          <w:szCs w:val="28"/>
          <w:u w:val="single"/>
        </w:rPr>
      </w:pPr>
      <w:r w:rsidRPr="00AB4F3B">
        <w:rPr>
          <w:rFonts w:ascii="Times New Roman" w:eastAsia="新細明體" w:hAnsi="Times New Roman" w:cs="Times New Roman"/>
          <w:b/>
          <w:kern w:val="0"/>
          <w:sz w:val="28"/>
          <w:szCs w:val="28"/>
          <w:u w:val="single"/>
        </w:rPr>
        <w:t>The poverty alleviation impact of selected measures in 2019</w:t>
      </w:r>
    </w:p>
    <w:p w:rsidR="00AB4F3B" w:rsidRDefault="00AB4F3B" w:rsidP="00495460">
      <w:pPr>
        <w:tabs>
          <w:tab w:val="left" w:pos="1440"/>
        </w:tabs>
        <w:snapToGrid w:val="0"/>
        <w:ind w:leftChars="297" w:left="1427" w:hangingChars="255" w:hanging="714"/>
        <w:jc w:val="both"/>
        <w:rPr>
          <w:rFonts w:ascii="Times New Roman" w:hAnsi="Times New Roman" w:cs="Times New Roman"/>
          <w:sz w:val="28"/>
          <w:szCs w:val="28"/>
        </w:rPr>
      </w:pPr>
    </w:p>
    <w:tbl>
      <w:tblPr>
        <w:tblStyle w:val="1"/>
        <w:tblW w:w="0" w:type="auto"/>
        <w:tblInd w:w="-5" w:type="dxa"/>
        <w:tblLook w:val="04A0" w:firstRow="1" w:lastRow="0" w:firstColumn="1" w:lastColumn="0" w:noHBand="0" w:noVBand="1"/>
      </w:tblPr>
      <w:tblGrid>
        <w:gridCol w:w="5245"/>
        <w:gridCol w:w="3544"/>
      </w:tblGrid>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rPr>
              <w:t>Selected measures</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 xml:space="preserve">Reduction in overall poverty rate </w:t>
            </w:r>
          </w:p>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(percentage points)</w:t>
            </w:r>
          </w:p>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b/>
                <w:sz w:val="28"/>
                <w:szCs w:val="28"/>
                <w:lang w:val="en-GB" w:eastAsia="zh-HK"/>
              </w:rPr>
            </w:pPr>
            <w:r w:rsidRPr="00DC751D">
              <w:rPr>
                <w:rFonts w:eastAsia="新細明體" w:cs="Times New Roman"/>
                <w:b/>
                <w:sz w:val="28"/>
                <w:szCs w:val="28"/>
                <w:lang w:val="en-GB" w:eastAsia="zh-HK"/>
              </w:rPr>
              <w:t>All selected measures</w:t>
            </w:r>
          </w:p>
        </w:tc>
        <w:tc>
          <w:tcPr>
            <w:tcW w:w="3544" w:type="dxa"/>
          </w:tcPr>
          <w:p w:rsidR="00AB4F3B" w:rsidRPr="00DC751D" w:rsidRDefault="00AB4F3B" w:rsidP="002302F1">
            <w:pPr>
              <w:widowControl/>
              <w:suppressAutoHyphens/>
              <w:snapToGrid w:val="0"/>
              <w:ind w:rightChars="48" w:right="115"/>
              <w:jc w:val="center"/>
              <w:rPr>
                <w:rFonts w:eastAsia="新細明體" w:cs="Times New Roman"/>
                <w:b/>
                <w:sz w:val="28"/>
                <w:szCs w:val="28"/>
                <w:lang w:val="en-GB" w:eastAsia="zh-HK"/>
              </w:rPr>
            </w:pPr>
            <w:r w:rsidRPr="00DC751D">
              <w:rPr>
                <w:rFonts w:eastAsia="新細明體" w:cs="Times New Roman"/>
                <w:b/>
                <w:sz w:val="28"/>
                <w:szCs w:val="28"/>
                <w:lang w:val="en-GB" w:eastAsia="zh-HK"/>
              </w:rPr>
              <w:t>12.2</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i/>
                <w:sz w:val="28"/>
                <w:szCs w:val="28"/>
                <w:lang w:val="en-GB" w:eastAsia="zh-HK"/>
              </w:rPr>
            </w:pPr>
            <w:r w:rsidRPr="00DC751D">
              <w:rPr>
                <w:rFonts w:eastAsia="新細明體" w:cs="Times New Roman"/>
                <w:i/>
                <w:sz w:val="28"/>
                <w:szCs w:val="28"/>
                <w:lang w:val="en-GB" w:eastAsia="zh-HK"/>
              </w:rPr>
              <w:t>Of which:</w:t>
            </w:r>
          </w:p>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sz w:val="28"/>
                <w:szCs w:val="28"/>
                <w:lang w:val="en-GB" w:eastAsia="zh-HK"/>
              </w:rPr>
              <w:t>Public rental housing</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p>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3.7</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eastAsia="zh-HK"/>
              </w:rPr>
              <w:t>R</w:t>
            </w:r>
            <w:r w:rsidRPr="00DC751D">
              <w:rPr>
                <w:rFonts w:eastAsia="新細明體" w:cs="Times New Roman"/>
                <w:sz w:val="28"/>
                <w:szCs w:val="28"/>
                <w:lang w:val="en-GB" w:eastAsia="zh-HK"/>
              </w:rPr>
              <w:t>ecurrent cash measures</w:t>
            </w:r>
          </w:p>
          <w:p w:rsidR="00AB4F3B" w:rsidRPr="00DC751D" w:rsidRDefault="00AB4F3B" w:rsidP="002302F1">
            <w:pPr>
              <w:widowControl/>
              <w:suppressAutoHyphens/>
              <w:snapToGrid w:val="0"/>
              <w:ind w:rightChars="48" w:right="115"/>
              <w:jc w:val="both"/>
              <w:rPr>
                <w:rFonts w:eastAsia="新細明體" w:cs="Times New Roman"/>
                <w:i/>
                <w:sz w:val="28"/>
                <w:szCs w:val="28"/>
                <w:lang w:val="en-GB"/>
              </w:rPr>
            </w:pPr>
            <w:r w:rsidRPr="00DC751D">
              <w:rPr>
                <w:rFonts w:eastAsia="新細明體" w:cs="Times New Roman"/>
                <w:i/>
                <w:sz w:val="28"/>
                <w:szCs w:val="28"/>
                <w:lang w:val="en-GB" w:eastAsia="zh-HK"/>
              </w:rPr>
              <w:t>Of which:</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5.6</w:t>
            </w:r>
          </w:p>
        </w:tc>
      </w:tr>
      <w:tr w:rsidR="00AB4F3B" w:rsidRPr="00DC751D" w:rsidTr="00AB4F3B">
        <w:tc>
          <w:tcPr>
            <w:tcW w:w="5245" w:type="dxa"/>
          </w:tcPr>
          <w:p w:rsidR="00AB4F3B" w:rsidRPr="00DC751D" w:rsidRDefault="00AB4F3B" w:rsidP="002302F1">
            <w:pPr>
              <w:widowControl/>
              <w:suppressAutoHyphens/>
              <w:snapToGrid w:val="0"/>
              <w:ind w:rightChars="48" w:right="115"/>
              <w:rPr>
                <w:rFonts w:eastAsia="新細明體" w:cs="Times New Roman"/>
                <w:sz w:val="28"/>
                <w:szCs w:val="28"/>
                <w:lang w:val="en-GB" w:eastAsia="zh-HK"/>
              </w:rPr>
            </w:pPr>
            <w:r w:rsidRPr="00DC751D">
              <w:rPr>
                <w:rFonts w:eastAsia="新細明體" w:cs="Times New Roman" w:hint="eastAsia"/>
                <w:sz w:val="28"/>
                <w:szCs w:val="28"/>
                <w:lang w:val="en-GB"/>
              </w:rPr>
              <w:t xml:space="preserve">  </w:t>
            </w:r>
            <w:r w:rsidRPr="00DC751D">
              <w:rPr>
                <w:rFonts w:eastAsia="新細明體" w:cs="Times New Roman"/>
                <w:sz w:val="28"/>
                <w:szCs w:val="28"/>
                <w:lang w:val="en-GB"/>
              </w:rPr>
              <w:t>Comprehensive Social Security Assistance</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2.2</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rPr>
              <w:t xml:space="preserve">  </w:t>
            </w:r>
            <w:r w:rsidRPr="00DC751D">
              <w:rPr>
                <w:rFonts w:eastAsia="新細明體" w:cs="Times New Roman"/>
                <w:sz w:val="28"/>
                <w:szCs w:val="28"/>
                <w:lang w:val="en-GB"/>
              </w:rPr>
              <w:t xml:space="preserve">Old Age Living Allowance </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2.2</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rPr>
              <w:t xml:space="preserve">  </w:t>
            </w:r>
            <w:r w:rsidRPr="00DC751D">
              <w:rPr>
                <w:rFonts w:eastAsia="新細明體" w:cs="Times New Roman"/>
                <w:sz w:val="28"/>
                <w:szCs w:val="28"/>
                <w:lang w:val="en-GB"/>
              </w:rPr>
              <w:t>Working Family Allowance</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0.6</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rPr>
              <w:t xml:space="preserve">  Education benefits</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0.6</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eastAsia="zh-HK"/>
              </w:rPr>
              <w:t xml:space="preserve">  Disability Allowance </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0.4</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eastAsia="zh-HK"/>
              </w:rPr>
            </w:pPr>
            <w:r w:rsidRPr="00DC751D">
              <w:rPr>
                <w:rFonts w:eastAsia="新細明體" w:cs="Times New Roman" w:hint="eastAsia"/>
                <w:sz w:val="28"/>
                <w:szCs w:val="28"/>
                <w:lang w:val="en-GB"/>
              </w:rPr>
              <w:t xml:space="preserve">  </w:t>
            </w:r>
            <w:r w:rsidRPr="00DC751D">
              <w:rPr>
                <w:rFonts w:eastAsia="新細明體" w:cs="Times New Roman"/>
                <w:sz w:val="28"/>
                <w:szCs w:val="28"/>
                <w:lang w:val="en-GB"/>
              </w:rPr>
              <w:t>Old Age Allowance</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sz w:val="28"/>
                <w:szCs w:val="28"/>
                <w:lang w:val="en-GB" w:eastAsia="zh-HK"/>
              </w:rPr>
              <w:t>0.2</w:t>
            </w:r>
          </w:p>
        </w:tc>
      </w:tr>
      <w:tr w:rsidR="00AB4F3B" w:rsidRPr="00DC751D" w:rsidTr="00AB4F3B">
        <w:tc>
          <w:tcPr>
            <w:tcW w:w="5245" w:type="dxa"/>
          </w:tcPr>
          <w:p w:rsidR="00AB4F3B" w:rsidRPr="00DC751D" w:rsidRDefault="00AB4F3B" w:rsidP="002302F1">
            <w:pPr>
              <w:widowControl/>
              <w:suppressAutoHyphens/>
              <w:snapToGrid w:val="0"/>
              <w:ind w:rightChars="48" w:right="115"/>
              <w:jc w:val="both"/>
              <w:rPr>
                <w:rFonts w:eastAsia="新細明體" w:cs="Times New Roman"/>
                <w:sz w:val="28"/>
                <w:szCs w:val="28"/>
                <w:lang w:val="en-GB"/>
              </w:rPr>
            </w:pPr>
            <w:r w:rsidRPr="00DC751D">
              <w:rPr>
                <w:rFonts w:eastAsia="新細明體" w:cs="Times New Roman"/>
                <w:sz w:val="28"/>
                <w:szCs w:val="28"/>
                <w:lang w:val="en-GB"/>
              </w:rPr>
              <w:t>Non-recurrent cash measures</w:t>
            </w:r>
          </w:p>
        </w:tc>
        <w:tc>
          <w:tcPr>
            <w:tcW w:w="3544" w:type="dxa"/>
          </w:tcPr>
          <w:p w:rsidR="00AB4F3B" w:rsidRPr="00DC751D" w:rsidRDefault="00AB4F3B" w:rsidP="002302F1">
            <w:pPr>
              <w:widowControl/>
              <w:suppressAutoHyphens/>
              <w:snapToGrid w:val="0"/>
              <w:ind w:rightChars="48" w:right="115"/>
              <w:jc w:val="center"/>
              <w:rPr>
                <w:rFonts w:eastAsia="新細明體" w:cs="Times New Roman"/>
                <w:sz w:val="28"/>
                <w:szCs w:val="28"/>
                <w:lang w:val="en-GB" w:eastAsia="zh-HK"/>
              </w:rPr>
            </w:pPr>
            <w:r w:rsidRPr="00DC751D">
              <w:rPr>
                <w:rFonts w:eastAsia="新細明體" w:cs="Times New Roman" w:hint="eastAsia"/>
                <w:sz w:val="28"/>
                <w:szCs w:val="28"/>
                <w:lang w:val="en-GB"/>
              </w:rPr>
              <w:t>2.1</w:t>
            </w:r>
          </w:p>
        </w:tc>
      </w:tr>
    </w:tbl>
    <w:p w:rsidR="003A0F79" w:rsidRDefault="003A0F79" w:rsidP="00495460">
      <w:pPr>
        <w:tabs>
          <w:tab w:val="left" w:pos="1440"/>
        </w:tabs>
        <w:snapToGrid w:val="0"/>
        <w:ind w:leftChars="297" w:left="1427" w:hangingChars="255" w:hanging="714"/>
        <w:jc w:val="both"/>
        <w:rPr>
          <w:rFonts w:ascii="Times New Roman" w:hAnsi="Times New Roman" w:cs="Times New Roman"/>
          <w:sz w:val="28"/>
          <w:szCs w:val="28"/>
        </w:rPr>
        <w:sectPr w:rsidR="003A0F79" w:rsidSect="0064278F">
          <w:pgSz w:w="11906" w:h="16838"/>
          <w:pgMar w:top="1440" w:right="1440" w:bottom="1440" w:left="1440" w:header="851" w:footer="992" w:gutter="0"/>
          <w:pgNumType w:start="1"/>
          <w:cols w:space="425"/>
          <w:titlePg/>
          <w:docGrid w:type="lines" w:linePitch="360"/>
        </w:sectPr>
      </w:pPr>
    </w:p>
    <w:p w:rsidR="001F4565" w:rsidRPr="00836075" w:rsidRDefault="004E6A8D" w:rsidP="00400DF0">
      <w:pPr>
        <w:tabs>
          <w:tab w:val="left" w:pos="1440"/>
        </w:tabs>
        <w:snapToGrid w:val="0"/>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12</w:t>
      </w:r>
    </w:p>
    <w:p w:rsidR="001F4565" w:rsidRDefault="001F4565" w:rsidP="001F4565">
      <w:pPr>
        <w:tabs>
          <w:tab w:val="left" w:pos="1440"/>
        </w:tabs>
        <w:snapToGrid w:val="0"/>
        <w:jc w:val="both"/>
        <w:rPr>
          <w:rFonts w:ascii="Times New Roman" w:hAnsi="Times New Roman" w:cs="Times New Roman"/>
          <w:i/>
          <w:color w:val="0000FF"/>
          <w:sz w:val="28"/>
          <w:szCs w:val="28"/>
        </w:rPr>
      </w:pPr>
    </w:p>
    <w:p w:rsidR="001F4565" w:rsidRPr="004E6A8D" w:rsidRDefault="009B66E4" w:rsidP="00400DF0">
      <w:pPr>
        <w:tabs>
          <w:tab w:val="left" w:pos="1440"/>
        </w:tabs>
        <w:snapToGrid w:val="0"/>
        <w:jc w:val="center"/>
        <w:rPr>
          <w:rFonts w:ascii="Times New Roman" w:hAnsi="Times New Roman" w:cs="Times New Roman"/>
          <w:b/>
          <w:color w:val="000000" w:themeColor="text1"/>
          <w:sz w:val="28"/>
          <w:szCs w:val="28"/>
          <w:u w:val="single"/>
        </w:rPr>
      </w:pPr>
      <w:r w:rsidRPr="004E6A8D">
        <w:rPr>
          <w:rFonts w:ascii="Times New Roman" w:hAnsi="Times New Roman" w:cs="Times New Roman"/>
          <w:b/>
          <w:color w:val="000000" w:themeColor="text1"/>
          <w:sz w:val="28"/>
          <w:szCs w:val="28"/>
          <w:u w:val="single"/>
        </w:rPr>
        <w:t>M</w:t>
      </w:r>
      <w:r w:rsidR="001F4565" w:rsidRPr="004E6A8D">
        <w:rPr>
          <w:rFonts w:ascii="Times New Roman" w:hAnsi="Times New Roman" w:cs="Times New Roman"/>
          <w:b/>
          <w:color w:val="000000" w:themeColor="text1"/>
          <w:sz w:val="28"/>
          <w:szCs w:val="28"/>
          <w:u w:val="single"/>
        </w:rPr>
        <w:t>easures to increase public housing supply and</w:t>
      </w:r>
    </w:p>
    <w:p w:rsidR="001F4565" w:rsidRPr="001C1E34" w:rsidRDefault="009B66E4" w:rsidP="00400DF0">
      <w:pPr>
        <w:tabs>
          <w:tab w:val="left" w:pos="1440"/>
        </w:tabs>
        <w:snapToGrid w:val="0"/>
        <w:jc w:val="center"/>
        <w:rPr>
          <w:rFonts w:ascii="Times New Roman" w:hAnsi="Times New Roman" w:cs="Times New Roman"/>
          <w:b/>
          <w:color w:val="000000" w:themeColor="text1"/>
          <w:sz w:val="28"/>
          <w:szCs w:val="28"/>
          <w:u w:val="single"/>
        </w:rPr>
      </w:pPr>
      <w:r w:rsidRPr="001C1E34">
        <w:rPr>
          <w:rFonts w:ascii="Times New Roman" w:hAnsi="Times New Roman" w:cs="Times New Roman"/>
          <w:b/>
          <w:color w:val="000000" w:themeColor="text1"/>
          <w:sz w:val="28"/>
          <w:szCs w:val="28"/>
          <w:u w:val="single"/>
        </w:rPr>
        <w:t>A</w:t>
      </w:r>
      <w:r w:rsidR="001F4565" w:rsidRPr="001C1E34">
        <w:rPr>
          <w:rFonts w:ascii="Times New Roman" w:hAnsi="Times New Roman" w:cs="Times New Roman"/>
          <w:b/>
          <w:color w:val="000000" w:themeColor="text1"/>
          <w:sz w:val="28"/>
          <w:szCs w:val="28"/>
          <w:u w:val="single"/>
        </w:rPr>
        <w:t>ssist</w:t>
      </w:r>
      <w:r w:rsidRPr="001C1E34">
        <w:rPr>
          <w:rFonts w:ascii="Times New Roman" w:hAnsi="Times New Roman" w:cs="Times New Roman"/>
          <w:b/>
          <w:color w:val="000000" w:themeColor="text1"/>
          <w:sz w:val="28"/>
          <w:szCs w:val="28"/>
          <w:u w:val="single"/>
        </w:rPr>
        <w:t>ance to</w:t>
      </w:r>
      <w:r w:rsidR="001F4565" w:rsidRPr="001C1E34">
        <w:rPr>
          <w:rFonts w:ascii="Times New Roman" w:hAnsi="Times New Roman" w:cs="Times New Roman"/>
          <w:b/>
          <w:sz w:val="28"/>
          <w:szCs w:val="28"/>
          <w:u w:val="single"/>
        </w:rPr>
        <w:t xml:space="preserve"> families in need of public housing</w:t>
      </w:r>
    </w:p>
    <w:p w:rsidR="001F4565" w:rsidRDefault="001F4565" w:rsidP="001F4565">
      <w:pPr>
        <w:tabs>
          <w:tab w:val="left" w:pos="1440"/>
        </w:tabs>
        <w:snapToGrid w:val="0"/>
        <w:jc w:val="both"/>
        <w:rPr>
          <w:rFonts w:ascii="Times New Roman" w:hAnsi="Times New Roman" w:cs="Times New Roman"/>
          <w:i/>
          <w:color w:val="0000FF"/>
          <w:sz w:val="28"/>
          <w:szCs w:val="28"/>
        </w:rPr>
      </w:pPr>
    </w:p>
    <w:p w:rsidR="001F4565" w:rsidRPr="000B2D28" w:rsidRDefault="009B66E4" w:rsidP="001F4565">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1.</w:t>
      </w:r>
      <w:r w:rsidR="001F4565">
        <w:rPr>
          <w:rFonts w:ascii="Times New Roman" w:hAnsi="Times New Roman" w:cs="Times New Roman"/>
          <w:sz w:val="28"/>
          <w:szCs w:val="28"/>
        </w:rPr>
        <w:tab/>
      </w:r>
      <w:r w:rsidR="001F4565" w:rsidRPr="000B2D28">
        <w:rPr>
          <w:rFonts w:ascii="Times New Roman" w:hAnsi="Times New Roman" w:cs="Times New Roman"/>
          <w:sz w:val="28"/>
          <w:szCs w:val="28"/>
        </w:rPr>
        <w:t xml:space="preserve">In terms of housing construction, the Government departments concerned </w:t>
      </w:r>
      <w:proofErr w:type="spellStart"/>
      <w:r w:rsidR="001F4565" w:rsidRPr="000B2D28">
        <w:rPr>
          <w:rFonts w:ascii="Times New Roman" w:hAnsi="Times New Roman" w:cs="Times New Roman"/>
          <w:sz w:val="28"/>
          <w:szCs w:val="28"/>
        </w:rPr>
        <w:t>endeavour</w:t>
      </w:r>
      <w:proofErr w:type="spellEnd"/>
      <w:r w:rsidR="001F4565" w:rsidRPr="000B2D28">
        <w:rPr>
          <w:rFonts w:ascii="Times New Roman" w:hAnsi="Times New Roman" w:cs="Times New Roman"/>
          <w:sz w:val="28"/>
          <w:szCs w:val="28"/>
        </w:rPr>
        <w:t xml:space="preserve"> to expedite the development process and </w:t>
      </w:r>
      <w:proofErr w:type="spellStart"/>
      <w:r w:rsidR="001F4565" w:rsidRPr="000B2D28">
        <w:rPr>
          <w:rFonts w:ascii="Times New Roman" w:hAnsi="Times New Roman" w:cs="Times New Roman"/>
          <w:sz w:val="28"/>
          <w:szCs w:val="28"/>
        </w:rPr>
        <w:t>optimise</w:t>
      </w:r>
      <w:proofErr w:type="spellEnd"/>
      <w:r w:rsidR="001F4565" w:rsidRPr="000B2D28">
        <w:rPr>
          <w:rFonts w:ascii="Times New Roman" w:hAnsi="Times New Roman" w:cs="Times New Roman"/>
          <w:sz w:val="28"/>
          <w:szCs w:val="28"/>
        </w:rPr>
        <w:t xml:space="preserve"> the development potential of each public housing site where practicable.  For example, where planning and infrastructure permit and without compromising the environment to an unacceptable extent, the Government will suitably relax development restrictions (e.g. plot ratio, building height) of sites through liaison with relevant departments or submission of planning applications; and enlarge and/or amalgamate sites to create larger development site area to increase housing production where appropriate.</w:t>
      </w:r>
    </w:p>
    <w:p w:rsidR="001F4565" w:rsidRPr="000B2D28" w:rsidRDefault="001F4565" w:rsidP="001F4565">
      <w:pPr>
        <w:tabs>
          <w:tab w:val="left" w:pos="1440"/>
        </w:tabs>
        <w:snapToGrid w:val="0"/>
        <w:jc w:val="both"/>
        <w:rPr>
          <w:rFonts w:ascii="Times New Roman" w:hAnsi="Times New Roman" w:cs="Times New Roman"/>
          <w:sz w:val="28"/>
          <w:szCs w:val="28"/>
        </w:rPr>
      </w:pPr>
    </w:p>
    <w:p w:rsidR="001F4565" w:rsidRPr="000B2D28" w:rsidRDefault="009B66E4" w:rsidP="001F4565">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2.</w:t>
      </w:r>
      <w:r w:rsidR="001F4565">
        <w:rPr>
          <w:rFonts w:ascii="Times New Roman" w:hAnsi="Times New Roman" w:cs="Times New Roman"/>
          <w:sz w:val="28"/>
          <w:szCs w:val="28"/>
        </w:rPr>
        <w:tab/>
      </w:r>
      <w:r w:rsidR="001F4565" w:rsidRPr="000B2D28">
        <w:rPr>
          <w:rFonts w:ascii="Times New Roman" w:hAnsi="Times New Roman" w:cs="Times New Roman"/>
          <w:sz w:val="28"/>
          <w:szCs w:val="28"/>
        </w:rPr>
        <w:t xml:space="preserve">In addition to building more </w:t>
      </w:r>
      <w:r w:rsidR="0037369A">
        <w:rPr>
          <w:rFonts w:ascii="Times New Roman" w:hAnsi="Times New Roman" w:cs="Times New Roman"/>
          <w:sz w:val="28"/>
          <w:szCs w:val="28"/>
        </w:rPr>
        <w:t>Public Rental Housing (“</w:t>
      </w:r>
      <w:r w:rsidR="001F4565" w:rsidRPr="000B2D28">
        <w:rPr>
          <w:rFonts w:ascii="Times New Roman" w:hAnsi="Times New Roman" w:cs="Times New Roman"/>
          <w:sz w:val="28"/>
          <w:szCs w:val="28"/>
        </w:rPr>
        <w:t>PRH</w:t>
      </w:r>
      <w:r w:rsidR="0037369A">
        <w:rPr>
          <w:rFonts w:ascii="Times New Roman" w:hAnsi="Times New Roman" w:cs="Times New Roman"/>
          <w:sz w:val="28"/>
          <w:szCs w:val="28"/>
        </w:rPr>
        <w:t>”)</w:t>
      </w:r>
      <w:r w:rsidR="001F4565" w:rsidRPr="000B2D28">
        <w:rPr>
          <w:rFonts w:ascii="Times New Roman" w:hAnsi="Times New Roman" w:cs="Times New Roman"/>
          <w:sz w:val="28"/>
          <w:szCs w:val="28"/>
        </w:rPr>
        <w:t xml:space="preserve">, </w:t>
      </w:r>
      <w:r w:rsidR="0037369A">
        <w:rPr>
          <w:rFonts w:ascii="Times New Roman" w:hAnsi="Times New Roman" w:cs="Times New Roman"/>
          <w:sz w:val="28"/>
          <w:szCs w:val="28"/>
        </w:rPr>
        <w:t xml:space="preserve">the </w:t>
      </w:r>
      <w:r w:rsidR="001F4565" w:rsidRPr="000B2D28">
        <w:rPr>
          <w:rFonts w:ascii="Times New Roman" w:hAnsi="Times New Roman" w:cs="Times New Roman"/>
          <w:sz w:val="28"/>
          <w:szCs w:val="28"/>
        </w:rPr>
        <w:t>L</w:t>
      </w:r>
      <w:r w:rsidR="0037369A">
        <w:rPr>
          <w:rFonts w:ascii="Times New Roman" w:hAnsi="Times New Roman" w:cs="Times New Roman"/>
          <w:sz w:val="28"/>
          <w:szCs w:val="28"/>
        </w:rPr>
        <w:t>ong Term Housing Strategy (“L</w:t>
      </w:r>
      <w:r w:rsidR="001F4565" w:rsidRPr="000B2D28">
        <w:rPr>
          <w:rFonts w:ascii="Times New Roman" w:hAnsi="Times New Roman" w:cs="Times New Roman"/>
          <w:sz w:val="28"/>
          <w:szCs w:val="28"/>
        </w:rPr>
        <w:t>THS</w:t>
      </w:r>
      <w:r w:rsidR="0037369A">
        <w:rPr>
          <w:rFonts w:ascii="Times New Roman" w:hAnsi="Times New Roman" w:cs="Times New Roman"/>
          <w:sz w:val="28"/>
          <w:szCs w:val="28"/>
        </w:rPr>
        <w:t>”)</w:t>
      </w:r>
      <w:r w:rsidR="001F4565" w:rsidRPr="000B2D28">
        <w:rPr>
          <w:rFonts w:ascii="Times New Roman" w:hAnsi="Times New Roman" w:cs="Times New Roman"/>
          <w:sz w:val="28"/>
          <w:szCs w:val="28"/>
        </w:rPr>
        <w:t xml:space="preserve"> also underlines the importance of the rational use of existing PRH resources.  From time to time, the Hong Kong Housing Authority reviews relevant policies and adopts appropriate measures to accord priority to allocating PRH resources to those with more pressing housing needs.</w:t>
      </w:r>
    </w:p>
    <w:p w:rsidR="001F4565" w:rsidRDefault="001F4565" w:rsidP="001F4565">
      <w:pPr>
        <w:tabs>
          <w:tab w:val="left" w:pos="1440"/>
        </w:tabs>
        <w:snapToGrid w:val="0"/>
        <w:jc w:val="both"/>
        <w:rPr>
          <w:rFonts w:ascii="Times New Roman" w:hAnsi="Times New Roman" w:cs="Times New Roman"/>
          <w:sz w:val="28"/>
          <w:szCs w:val="28"/>
        </w:rPr>
      </w:pPr>
    </w:p>
    <w:p w:rsidR="001F4565" w:rsidRPr="00B8143C" w:rsidRDefault="001F4565" w:rsidP="001F4565">
      <w:pPr>
        <w:tabs>
          <w:tab w:val="left" w:pos="1440"/>
        </w:tabs>
        <w:snapToGrid w:val="0"/>
        <w:jc w:val="both"/>
        <w:rPr>
          <w:rFonts w:ascii="Times New Roman" w:hAnsi="Times New Roman" w:cs="Times New Roman"/>
          <w:i/>
          <w:sz w:val="28"/>
          <w:szCs w:val="28"/>
        </w:rPr>
      </w:pPr>
      <w:r w:rsidRPr="00B8143C">
        <w:rPr>
          <w:rFonts w:ascii="Times New Roman" w:hAnsi="Times New Roman" w:cs="Times New Roman"/>
          <w:i/>
          <w:sz w:val="28"/>
          <w:szCs w:val="28"/>
        </w:rPr>
        <w:t>Assistance to families in need</w:t>
      </w:r>
    </w:p>
    <w:p w:rsidR="001F4565" w:rsidRPr="000B2D28" w:rsidRDefault="001F4565" w:rsidP="001F4565">
      <w:pPr>
        <w:tabs>
          <w:tab w:val="left" w:pos="1440"/>
        </w:tabs>
        <w:snapToGrid w:val="0"/>
        <w:jc w:val="both"/>
        <w:rPr>
          <w:rFonts w:ascii="Times New Roman" w:hAnsi="Times New Roman" w:cs="Times New Roman"/>
          <w:sz w:val="28"/>
          <w:szCs w:val="28"/>
        </w:rPr>
      </w:pPr>
    </w:p>
    <w:p w:rsidR="001F4565" w:rsidRPr="000B2D28" w:rsidRDefault="009B66E4" w:rsidP="001F4565">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3.</w:t>
      </w:r>
      <w:r w:rsidR="001F4565">
        <w:rPr>
          <w:rFonts w:ascii="Times New Roman" w:hAnsi="Times New Roman" w:cs="Times New Roman"/>
          <w:sz w:val="28"/>
          <w:szCs w:val="28"/>
        </w:rPr>
        <w:tab/>
      </w:r>
      <w:r w:rsidR="001F4565" w:rsidRPr="000B2D28">
        <w:rPr>
          <w:rFonts w:ascii="Times New Roman" w:hAnsi="Times New Roman" w:cs="Times New Roman"/>
          <w:sz w:val="28"/>
          <w:szCs w:val="28"/>
        </w:rPr>
        <w:t>As housing supply cannot yet fully meet demand, the Task Force on Transitional Housing under the Transport and Housing Bureau</w:t>
      </w:r>
      <w:r w:rsidR="0037369A">
        <w:rPr>
          <w:rFonts w:ascii="Times New Roman" w:hAnsi="Times New Roman" w:cs="Times New Roman"/>
          <w:sz w:val="28"/>
          <w:szCs w:val="28"/>
        </w:rPr>
        <w:t xml:space="preserve"> </w:t>
      </w:r>
      <w:r w:rsidR="001F4565" w:rsidRPr="000B2D28">
        <w:rPr>
          <w:rFonts w:ascii="Times New Roman" w:hAnsi="Times New Roman" w:cs="Times New Roman"/>
          <w:sz w:val="28"/>
          <w:szCs w:val="28"/>
        </w:rPr>
        <w:t xml:space="preserve">has been actively spearheading and collaborating with non-government </w:t>
      </w:r>
      <w:proofErr w:type="spellStart"/>
      <w:r w:rsidR="001F4565" w:rsidRPr="000B2D28">
        <w:rPr>
          <w:rFonts w:ascii="Times New Roman" w:hAnsi="Times New Roman" w:cs="Times New Roman"/>
          <w:sz w:val="28"/>
          <w:szCs w:val="28"/>
        </w:rPr>
        <w:t>organisations</w:t>
      </w:r>
      <w:proofErr w:type="spellEnd"/>
      <w:r w:rsidR="001F4565" w:rsidRPr="000B2D28">
        <w:rPr>
          <w:rFonts w:ascii="Times New Roman" w:hAnsi="Times New Roman" w:cs="Times New Roman"/>
          <w:sz w:val="28"/>
          <w:szCs w:val="28"/>
        </w:rPr>
        <w:t xml:space="preserve"> (</w:t>
      </w:r>
      <w:r w:rsidR="001F4565">
        <w:rPr>
          <w:rFonts w:ascii="Times New Roman" w:hAnsi="Times New Roman" w:cs="Times New Roman"/>
          <w:sz w:val="28"/>
          <w:szCs w:val="28"/>
        </w:rPr>
        <w:t>“</w:t>
      </w:r>
      <w:r w:rsidR="001F4565" w:rsidRPr="000B2D28">
        <w:rPr>
          <w:rFonts w:ascii="Times New Roman" w:hAnsi="Times New Roman" w:cs="Times New Roman"/>
          <w:sz w:val="28"/>
          <w:szCs w:val="28"/>
        </w:rPr>
        <w:t>NGOs</w:t>
      </w:r>
      <w:r w:rsidR="001F4565">
        <w:rPr>
          <w:rFonts w:ascii="Times New Roman" w:hAnsi="Times New Roman" w:cs="Times New Roman"/>
          <w:sz w:val="28"/>
          <w:szCs w:val="28"/>
        </w:rPr>
        <w:t>”</w:t>
      </w:r>
      <w:r w:rsidR="001F4565" w:rsidRPr="000B2D28">
        <w:rPr>
          <w:rFonts w:ascii="Times New Roman" w:hAnsi="Times New Roman" w:cs="Times New Roman"/>
          <w:sz w:val="28"/>
          <w:szCs w:val="28"/>
        </w:rPr>
        <w:t xml:space="preserve">) with a view to increasing the supply of transitional housing.  In general, the </w:t>
      </w:r>
      <w:r w:rsidR="001F4565" w:rsidRPr="000B2D28">
        <w:rPr>
          <w:rFonts w:ascii="Times New Roman" w:hAnsi="Times New Roman" w:cs="Times New Roman" w:hint="eastAsia"/>
          <w:sz w:val="28"/>
          <w:szCs w:val="28"/>
        </w:rPr>
        <w:t xml:space="preserve">target </w:t>
      </w:r>
      <w:r w:rsidR="001F4565" w:rsidRPr="000B2D28">
        <w:rPr>
          <w:rFonts w:ascii="Times New Roman" w:hAnsi="Times New Roman" w:cs="Times New Roman"/>
          <w:sz w:val="28"/>
          <w:szCs w:val="28"/>
        </w:rPr>
        <w:t>applicants of the transitional housing units are families waiting for public rental housing for a long time or those who live in inadequate housing.  The NGO may also reserve not more than 20% of units for other types of applicants including those households that are reasonably considered to be in urgent need for community support.</w:t>
      </w:r>
    </w:p>
    <w:p w:rsidR="001F4565" w:rsidRPr="000B2D28" w:rsidRDefault="001F4565" w:rsidP="001F4565">
      <w:pPr>
        <w:tabs>
          <w:tab w:val="left" w:pos="1440"/>
        </w:tabs>
        <w:snapToGrid w:val="0"/>
        <w:jc w:val="both"/>
        <w:rPr>
          <w:rFonts w:ascii="Times New Roman" w:hAnsi="Times New Roman" w:cs="Times New Roman"/>
          <w:sz w:val="28"/>
          <w:szCs w:val="28"/>
        </w:rPr>
      </w:pPr>
    </w:p>
    <w:p w:rsidR="001F4565" w:rsidRDefault="009B66E4" w:rsidP="001F4565">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4.</w:t>
      </w:r>
      <w:r w:rsidR="001F4565">
        <w:rPr>
          <w:rFonts w:ascii="Times New Roman" w:hAnsi="Times New Roman" w:cs="Times New Roman"/>
          <w:sz w:val="28"/>
          <w:szCs w:val="28"/>
        </w:rPr>
        <w:tab/>
      </w:r>
      <w:r w:rsidR="001F4565" w:rsidRPr="000B2D28">
        <w:rPr>
          <w:rFonts w:ascii="Times New Roman" w:hAnsi="Times New Roman" w:cs="Times New Roman"/>
          <w:sz w:val="28"/>
          <w:szCs w:val="28"/>
        </w:rPr>
        <w:t>In order to alleviate the difficulties on livelihood faced by grassroots families who have been waiting for public rental housing for a prolonged period of time, the Government launched the three-year Cash Allowance Trial Scheme launched in end-June 2021, and started to disburse cash allowance to eligible applicant households from late July</w:t>
      </w:r>
      <w:r>
        <w:rPr>
          <w:rFonts w:ascii="Times New Roman" w:hAnsi="Times New Roman" w:cs="Times New Roman"/>
          <w:sz w:val="28"/>
          <w:szCs w:val="28"/>
        </w:rPr>
        <w:t xml:space="preserve"> 2021</w:t>
      </w:r>
      <w:r w:rsidR="001F4565" w:rsidRPr="000B2D28">
        <w:rPr>
          <w:rFonts w:ascii="Times New Roman" w:hAnsi="Times New Roman" w:cs="Times New Roman"/>
          <w:sz w:val="28"/>
          <w:szCs w:val="28"/>
        </w:rPr>
        <w:t>.</w:t>
      </w:r>
    </w:p>
    <w:p w:rsidR="001F4565" w:rsidRDefault="001F4565">
      <w:pPr>
        <w:widowControl/>
        <w:rPr>
          <w:rFonts w:ascii="Times New Roman" w:hAnsi="Times New Roman" w:cs="Times New Roman"/>
          <w:i/>
          <w:color w:val="0000FF"/>
          <w:sz w:val="28"/>
          <w:szCs w:val="28"/>
        </w:rPr>
      </w:pPr>
      <w:r>
        <w:rPr>
          <w:rFonts w:ascii="Times New Roman" w:hAnsi="Times New Roman" w:cs="Times New Roman"/>
          <w:i/>
          <w:color w:val="0000FF"/>
          <w:sz w:val="28"/>
          <w:szCs w:val="28"/>
        </w:rPr>
        <w:br w:type="page"/>
      </w:r>
    </w:p>
    <w:p w:rsidR="00351CB3" w:rsidRPr="00836075" w:rsidRDefault="004E6A8D" w:rsidP="00351CB3">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13</w:t>
      </w:r>
    </w:p>
    <w:p w:rsidR="00351CB3" w:rsidRDefault="00351CB3" w:rsidP="00351CB3">
      <w:pPr>
        <w:tabs>
          <w:tab w:val="left" w:pos="1440"/>
        </w:tabs>
        <w:snapToGrid w:val="0"/>
        <w:jc w:val="both"/>
        <w:rPr>
          <w:rFonts w:ascii="Times New Roman" w:hAnsi="Times New Roman" w:cs="Times New Roman"/>
          <w:i/>
          <w:color w:val="0000FF"/>
          <w:sz w:val="28"/>
          <w:szCs w:val="28"/>
        </w:rPr>
      </w:pPr>
    </w:p>
    <w:p w:rsidR="008A7B2E" w:rsidRPr="004E6A8D" w:rsidRDefault="009B66E4" w:rsidP="00400DF0">
      <w:pPr>
        <w:tabs>
          <w:tab w:val="left" w:pos="1440"/>
        </w:tabs>
        <w:snapToGrid w:val="0"/>
        <w:jc w:val="center"/>
        <w:rPr>
          <w:rFonts w:ascii="Times New Roman" w:hAnsi="Times New Roman" w:cs="Times New Roman"/>
          <w:b/>
          <w:sz w:val="28"/>
          <w:szCs w:val="28"/>
          <w:u w:val="single"/>
        </w:rPr>
      </w:pPr>
      <w:r w:rsidRPr="004E6A8D">
        <w:rPr>
          <w:rFonts w:ascii="Times New Roman" w:hAnsi="Times New Roman" w:cs="Times New Roman"/>
          <w:b/>
          <w:sz w:val="28"/>
          <w:szCs w:val="28"/>
          <w:u w:val="single"/>
        </w:rPr>
        <w:t>M</w:t>
      </w:r>
      <w:r w:rsidR="00351CB3" w:rsidRPr="004E6A8D">
        <w:rPr>
          <w:rFonts w:ascii="Times New Roman" w:hAnsi="Times New Roman" w:cs="Times New Roman"/>
          <w:b/>
          <w:sz w:val="28"/>
          <w:szCs w:val="28"/>
          <w:u w:val="single"/>
        </w:rPr>
        <w:t xml:space="preserve">easures to enhance supply of </w:t>
      </w:r>
    </w:p>
    <w:p w:rsidR="00351CB3" w:rsidRPr="00400DF0" w:rsidRDefault="00351CB3" w:rsidP="00400DF0">
      <w:pPr>
        <w:tabs>
          <w:tab w:val="left" w:pos="1440"/>
        </w:tabs>
        <w:snapToGrid w:val="0"/>
        <w:jc w:val="center"/>
        <w:rPr>
          <w:rFonts w:ascii="Times New Roman" w:hAnsi="Times New Roman" w:cs="Times New Roman"/>
          <w:b/>
          <w:color w:val="0000FF"/>
          <w:sz w:val="28"/>
          <w:szCs w:val="28"/>
          <w:u w:val="single"/>
        </w:rPr>
      </w:pPr>
      <w:proofErr w:type="gramStart"/>
      <w:r w:rsidRPr="00400DF0">
        <w:rPr>
          <w:rFonts w:ascii="Times New Roman" w:hAnsi="Times New Roman" w:cs="Times New Roman"/>
          <w:b/>
          <w:sz w:val="28"/>
          <w:szCs w:val="28"/>
          <w:u w:val="single"/>
          <w:lang w:val="en-GB"/>
        </w:rPr>
        <w:t>doctors</w:t>
      </w:r>
      <w:proofErr w:type="gramEnd"/>
      <w:r w:rsidRPr="00400DF0">
        <w:rPr>
          <w:rFonts w:ascii="Times New Roman" w:hAnsi="Times New Roman" w:cs="Times New Roman"/>
          <w:b/>
          <w:sz w:val="28"/>
          <w:szCs w:val="28"/>
          <w:u w:val="single"/>
          <w:lang w:val="en-GB"/>
        </w:rPr>
        <w:t xml:space="preserve"> and other medical personnel</w:t>
      </w:r>
    </w:p>
    <w:p w:rsidR="00351CB3" w:rsidRDefault="00351CB3" w:rsidP="00351CB3">
      <w:pPr>
        <w:tabs>
          <w:tab w:val="left" w:pos="1440"/>
        </w:tabs>
        <w:snapToGrid w:val="0"/>
        <w:jc w:val="both"/>
        <w:rPr>
          <w:rFonts w:ascii="Times New Roman" w:hAnsi="Times New Roman" w:cs="Times New Roman"/>
          <w:i/>
          <w:color w:val="0000FF"/>
          <w:sz w:val="28"/>
          <w:szCs w:val="28"/>
        </w:rPr>
      </w:pPr>
    </w:p>
    <w:p w:rsidR="00351CB3" w:rsidRPr="008A166F" w:rsidRDefault="009B66E4" w:rsidP="00351CB3">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1.</w:t>
      </w:r>
      <w:r w:rsidR="00351CB3">
        <w:rPr>
          <w:rFonts w:ascii="Times New Roman" w:hAnsi="Times New Roman" w:cs="Times New Roman"/>
          <w:sz w:val="28"/>
          <w:szCs w:val="28"/>
        </w:rPr>
        <w:tab/>
      </w:r>
      <w:r w:rsidR="00351CB3" w:rsidRPr="008A166F">
        <w:rPr>
          <w:rFonts w:ascii="Times New Roman" w:hAnsi="Times New Roman" w:cs="Times New Roman"/>
          <w:sz w:val="28"/>
          <w:szCs w:val="28"/>
        </w:rPr>
        <w:t>For healthcare manpower, given the projected shortage of various types of healthcare professionals, the Government increased the number of healthcare-related publicly-funded first-year-first-degree intake places by over 150 in the 2019</w:t>
      </w:r>
      <w:r w:rsidR="00EC2386">
        <w:rPr>
          <w:rFonts w:ascii="Times New Roman" w:hAnsi="Times New Roman" w:cs="Times New Roman" w:hint="eastAsia"/>
          <w:sz w:val="28"/>
          <w:szCs w:val="28"/>
        </w:rPr>
        <w:t>/</w:t>
      </w:r>
      <w:r w:rsidR="00351CB3" w:rsidRPr="008A166F">
        <w:rPr>
          <w:rFonts w:ascii="Times New Roman" w:hAnsi="Times New Roman" w:cs="Times New Roman"/>
          <w:sz w:val="28"/>
          <w:szCs w:val="28"/>
        </w:rPr>
        <w:t xml:space="preserve">22 triennium.  The Government has also </w:t>
      </w:r>
      <w:proofErr w:type="spellStart"/>
      <w:r w:rsidR="00351CB3" w:rsidRPr="008A166F">
        <w:rPr>
          <w:rFonts w:ascii="Times New Roman" w:hAnsi="Times New Roman" w:cs="Times New Roman"/>
          <w:sz w:val="28"/>
          <w:szCs w:val="28"/>
        </w:rPr>
        <w:t>subsidised</w:t>
      </w:r>
      <w:proofErr w:type="spellEnd"/>
      <w:r w:rsidR="00351CB3" w:rsidRPr="008A166F">
        <w:rPr>
          <w:rFonts w:ascii="Times New Roman" w:hAnsi="Times New Roman" w:cs="Times New Roman"/>
          <w:sz w:val="28"/>
          <w:szCs w:val="28"/>
        </w:rPr>
        <w:t xml:space="preserve"> over 1 300 students studying in qualified self-financing healthcare </w:t>
      </w:r>
      <w:r w:rsidR="00EC2386">
        <w:rPr>
          <w:rFonts w:ascii="Times New Roman" w:hAnsi="Times New Roman" w:cs="Times New Roman"/>
          <w:sz w:val="28"/>
          <w:szCs w:val="28"/>
        </w:rPr>
        <w:t xml:space="preserve">training </w:t>
      </w:r>
      <w:proofErr w:type="spellStart"/>
      <w:r w:rsidR="00EC2386">
        <w:rPr>
          <w:rFonts w:ascii="Times New Roman" w:hAnsi="Times New Roman" w:cs="Times New Roman"/>
          <w:sz w:val="28"/>
          <w:szCs w:val="28"/>
        </w:rPr>
        <w:t>programmes</w:t>
      </w:r>
      <w:proofErr w:type="spellEnd"/>
      <w:r w:rsidR="00EC2386">
        <w:rPr>
          <w:rFonts w:ascii="Times New Roman" w:hAnsi="Times New Roman" w:cs="Times New Roman"/>
          <w:sz w:val="28"/>
          <w:szCs w:val="28"/>
        </w:rPr>
        <w:t xml:space="preserve"> in the 2020</w:t>
      </w:r>
      <w:r w:rsidR="00EC2386">
        <w:rPr>
          <w:rFonts w:ascii="Times New Roman" w:hAnsi="Times New Roman" w:cs="Times New Roman" w:hint="eastAsia"/>
          <w:sz w:val="28"/>
          <w:szCs w:val="28"/>
        </w:rPr>
        <w:t>/</w:t>
      </w:r>
      <w:r w:rsidR="00351CB3" w:rsidRPr="008A166F">
        <w:rPr>
          <w:rFonts w:ascii="Times New Roman" w:hAnsi="Times New Roman" w:cs="Times New Roman"/>
          <w:sz w:val="28"/>
          <w:szCs w:val="28"/>
        </w:rPr>
        <w:t>21 cohort.</w:t>
      </w:r>
    </w:p>
    <w:p w:rsidR="00351CB3" w:rsidRPr="008A166F" w:rsidRDefault="00351CB3" w:rsidP="00351CB3">
      <w:pPr>
        <w:tabs>
          <w:tab w:val="left" w:pos="1440"/>
        </w:tabs>
        <w:snapToGrid w:val="0"/>
        <w:jc w:val="both"/>
        <w:rPr>
          <w:rFonts w:ascii="Times New Roman" w:hAnsi="Times New Roman" w:cs="Times New Roman"/>
          <w:sz w:val="28"/>
          <w:szCs w:val="28"/>
        </w:rPr>
      </w:pPr>
    </w:p>
    <w:p w:rsidR="00351CB3" w:rsidRPr="008A166F" w:rsidRDefault="009B66E4" w:rsidP="00351CB3">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2.</w:t>
      </w:r>
      <w:r w:rsidR="00351CB3">
        <w:rPr>
          <w:rFonts w:ascii="Times New Roman" w:hAnsi="Times New Roman" w:cs="Times New Roman"/>
          <w:sz w:val="28"/>
          <w:szCs w:val="28"/>
        </w:rPr>
        <w:tab/>
      </w:r>
      <w:r w:rsidR="00351CB3" w:rsidRPr="008A166F">
        <w:rPr>
          <w:rFonts w:ascii="Times New Roman" w:hAnsi="Times New Roman" w:cs="Times New Roman"/>
          <w:sz w:val="28"/>
          <w:szCs w:val="28"/>
        </w:rPr>
        <w:t xml:space="preserve">To update the demand and supply projections of healthcare professionals, the Government conducts a new round of manpower projections once every three years in step with the triennial planning cycle of the University Grants Committee.  The Government will consider further increasing the number of healthcare training places according to the </w:t>
      </w:r>
      <w:r w:rsidR="00351CB3">
        <w:rPr>
          <w:rFonts w:ascii="Times New Roman" w:hAnsi="Times New Roman" w:cs="Times New Roman"/>
          <w:sz w:val="28"/>
          <w:szCs w:val="28"/>
        </w:rPr>
        <w:t xml:space="preserve">latest </w:t>
      </w:r>
      <w:r w:rsidR="00351CB3" w:rsidRPr="008A166F">
        <w:rPr>
          <w:rFonts w:ascii="Times New Roman" w:hAnsi="Times New Roman" w:cs="Times New Roman"/>
          <w:sz w:val="28"/>
          <w:szCs w:val="28"/>
        </w:rPr>
        <w:t>projection results</w:t>
      </w:r>
      <w:r w:rsidR="00351CB3">
        <w:rPr>
          <w:rFonts w:ascii="Times New Roman" w:hAnsi="Times New Roman" w:cs="Times New Roman"/>
          <w:sz w:val="28"/>
          <w:szCs w:val="28"/>
        </w:rPr>
        <w:t xml:space="preserve"> released in March 2021</w:t>
      </w:r>
      <w:r w:rsidR="00351CB3" w:rsidRPr="008A166F">
        <w:rPr>
          <w:rFonts w:ascii="Times New Roman" w:hAnsi="Times New Roman" w:cs="Times New Roman"/>
          <w:sz w:val="28"/>
          <w:szCs w:val="28"/>
        </w:rPr>
        <w:t>.</w:t>
      </w:r>
    </w:p>
    <w:p w:rsidR="00351CB3" w:rsidRPr="008A166F" w:rsidRDefault="00351CB3" w:rsidP="00351CB3">
      <w:pPr>
        <w:tabs>
          <w:tab w:val="left" w:pos="1440"/>
        </w:tabs>
        <w:snapToGrid w:val="0"/>
        <w:jc w:val="both"/>
        <w:rPr>
          <w:rFonts w:ascii="Times New Roman" w:hAnsi="Times New Roman" w:cs="Times New Roman"/>
          <w:sz w:val="28"/>
          <w:szCs w:val="28"/>
        </w:rPr>
      </w:pPr>
    </w:p>
    <w:p w:rsidR="00351CB3" w:rsidRPr="008A166F" w:rsidRDefault="009B66E4" w:rsidP="00351CB3">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3.</w:t>
      </w:r>
      <w:r w:rsidR="00351CB3">
        <w:rPr>
          <w:rFonts w:ascii="Times New Roman" w:hAnsi="Times New Roman" w:cs="Times New Roman"/>
          <w:sz w:val="28"/>
          <w:szCs w:val="28"/>
        </w:rPr>
        <w:tab/>
      </w:r>
      <w:r w:rsidR="00351CB3" w:rsidRPr="008A166F">
        <w:rPr>
          <w:rFonts w:ascii="Times New Roman" w:hAnsi="Times New Roman" w:cs="Times New Roman"/>
          <w:sz w:val="28"/>
          <w:szCs w:val="28"/>
        </w:rPr>
        <w:t xml:space="preserve">For admission of non-locally trained healthcare professionals, there are avenues for them to </w:t>
      </w:r>
      <w:proofErr w:type="spellStart"/>
      <w:r w:rsidR="00351CB3" w:rsidRPr="008A166F">
        <w:rPr>
          <w:rFonts w:ascii="Times New Roman" w:hAnsi="Times New Roman" w:cs="Times New Roman"/>
          <w:sz w:val="28"/>
          <w:szCs w:val="28"/>
        </w:rPr>
        <w:t>practise</w:t>
      </w:r>
      <w:proofErr w:type="spellEnd"/>
      <w:r w:rsidR="00351CB3" w:rsidRPr="008A166F">
        <w:rPr>
          <w:rFonts w:ascii="Times New Roman" w:hAnsi="Times New Roman" w:cs="Times New Roman"/>
          <w:sz w:val="28"/>
          <w:szCs w:val="28"/>
        </w:rPr>
        <w:t xml:space="preserve"> in Hong Kong.  For those professions where full registration is granted to non-locally trained professionals through licensing examinations, the Medical Council of Hong Kong, the Dental Council of Hong Kong and the Nursing Council of Hong Kong had increased their frequency of licensing examinations and, where appropriate, introduced more flexibility for internship arrangement.</w:t>
      </w:r>
    </w:p>
    <w:p w:rsidR="00351CB3" w:rsidRPr="008A166F" w:rsidRDefault="00351CB3" w:rsidP="00351CB3">
      <w:pPr>
        <w:tabs>
          <w:tab w:val="left" w:pos="1440"/>
        </w:tabs>
        <w:snapToGrid w:val="0"/>
        <w:jc w:val="both"/>
        <w:rPr>
          <w:rFonts w:ascii="Times New Roman" w:hAnsi="Times New Roman" w:cs="Times New Roman"/>
          <w:sz w:val="28"/>
          <w:szCs w:val="28"/>
        </w:rPr>
      </w:pPr>
    </w:p>
    <w:p w:rsidR="00351CB3" w:rsidRDefault="009B66E4" w:rsidP="00400DF0">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4.</w:t>
      </w:r>
      <w:r w:rsidR="00351CB3">
        <w:rPr>
          <w:rFonts w:ascii="Times New Roman" w:hAnsi="Times New Roman" w:cs="Times New Roman"/>
          <w:sz w:val="28"/>
          <w:szCs w:val="28"/>
        </w:rPr>
        <w:tab/>
      </w:r>
      <w:r w:rsidR="00351CB3">
        <w:rPr>
          <w:rFonts w:ascii="Times New Roman" w:hAnsi="Times New Roman" w:cs="Times New Roman"/>
          <w:sz w:val="28"/>
          <w:szCs w:val="28"/>
        </w:rPr>
        <w:tab/>
      </w:r>
      <w:r w:rsidR="00351CB3" w:rsidRPr="008A166F">
        <w:rPr>
          <w:rFonts w:ascii="Times New Roman" w:hAnsi="Times New Roman" w:cs="Times New Roman"/>
          <w:sz w:val="28"/>
          <w:szCs w:val="28"/>
        </w:rPr>
        <w:t xml:space="preserve">In view of the serious shortage of doctors in Hong Kong, the Government has introduced the Medical Registration (Amendment) Bill 2021 into the </w:t>
      </w:r>
      <w:proofErr w:type="spellStart"/>
      <w:r w:rsidR="00351CB3">
        <w:rPr>
          <w:rFonts w:ascii="Times New Roman" w:hAnsi="Times New Roman" w:cs="Times New Roman"/>
          <w:sz w:val="28"/>
          <w:szCs w:val="28"/>
        </w:rPr>
        <w:t>LegCo</w:t>
      </w:r>
      <w:proofErr w:type="spellEnd"/>
      <w:r w:rsidR="00351CB3" w:rsidRPr="008A166F">
        <w:rPr>
          <w:rFonts w:ascii="Times New Roman" w:hAnsi="Times New Roman" w:cs="Times New Roman"/>
          <w:sz w:val="28"/>
          <w:szCs w:val="28"/>
        </w:rPr>
        <w:t xml:space="preserve"> </w:t>
      </w:r>
      <w:r w:rsidR="00F25354">
        <w:rPr>
          <w:rFonts w:ascii="Times New Roman" w:hAnsi="Times New Roman" w:cs="Times New Roman"/>
          <w:sz w:val="28"/>
          <w:szCs w:val="28"/>
        </w:rPr>
        <w:t>o</w:t>
      </w:r>
      <w:r w:rsidR="00351CB3">
        <w:rPr>
          <w:rFonts w:ascii="Times New Roman" w:hAnsi="Times New Roman" w:cs="Times New Roman"/>
          <w:sz w:val="28"/>
          <w:szCs w:val="28"/>
        </w:rPr>
        <w:t>n</w:t>
      </w:r>
      <w:r w:rsidR="00351CB3" w:rsidRPr="008A166F">
        <w:rPr>
          <w:rFonts w:ascii="Times New Roman" w:hAnsi="Times New Roman" w:cs="Times New Roman"/>
          <w:sz w:val="28"/>
          <w:szCs w:val="28"/>
        </w:rPr>
        <w:t xml:space="preserve"> </w:t>
      </w:r>
      <w:r w:rsidR="00F25354">
        <w:rPr>
          <w:rFonts w:ascii="Times New Roman" w:hAnsi="Times New Roman" w:cs="Times New Roman"/>
          <w:sz w:val="28"/>
          <w:szCs w:val="28"/>
        </w:rPr>
        <w:t xml:space="preserve">2 </w:t>
      </w:r>
      <w:r w:rsidR="00351CB3" w:rsidRPr="008A166F">
        <w:rPr>
          <w:rFonts w:ascii="Times New Roman" w:hAnsi="Times New Roman" w:cs="Times New Roman"/>
          <w:sz w:val="28"/>
          <w:szCs w:val="28"/>
        </w:rPr>
        <w:t xml:space="preserve">June 2021 in order to create a new pathway for admission of qualified non-locally trained Hong Kong doctors to </w:t>
      </w:r>
      <w:proofErr w:type="spellStart"/>
      <w:r w:rsidR="00351CB3" w:rsidRPr="008A166F">
        <w:rPr>
          <w:rFonts w:ascii="Times New Roman" w:hAnsi="Times New Roman" w:cs="Times New Roman"/>
          <w:sz w:val="28"/>
          <w:szCs w:val="28"/>
        </w:rPr>
        <w:t>practise</w:t>
      </w:r>
      <w:proofErr w:type="spellEnd"/>
      <w:r w:rsidR="00351CB3" w:rsidRPr="008A166F">
        <w:rPr>
          <w:rFonts w:ascii="Times New Roman" w:hAnsi="Times New Roman" w:cs="Times New Roman"/>
          <w:sz w:val="28"/>
          <w:szCs w:val="28"/>
        </w:rPr>
        <w:t xml:space="preserve"> in our public healthcare sector.</w:t>
      </w:r>
    </w:p>
    <w:p w:rsidR="00351CB3" w:rsidRDefault="00351CB3">
      <w:pPr>
        <w:widowControl/>
        <w:rPr>
          <w:rFonts w:ascii="Times New Roman" w:hAnsi="Times New Roman" w:cs="Times New Roman"/>
          <w:i/>
          <w:color w:val="0000FF"/>
          <w:sz w:val="28"/>
          <w:szCs w:val="28"/>
        </w:rPr>
      </w:pPr>
      <w:r>
        <w:rPr>
          <w:rFonts w:ascii="Times New Roman" w:hAnsi="Times New Roman" w:cs="Times New Roman"/>
          <w:i/>
          <w:color w:val="0000FF"/>
          <w:sz w:val="28"/>
          <w:szCs w:val="28"/>
        </w:rPr>
        <w:br w:type="page"/>
      </w:r>
    </w:p>
    <w:p w:rsidR="003A0F79" w:rsidRPr="00836075" w:rsidRDefault="004E6A8D" w:rsidP="003A0F79">
      <w:pPr>
        <w:snapToGrid w:val="0"/>
        <w:ind w:left="456"/>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14</w:t>
      </w:r>
    </w:p>
    <w:p w:rsidR="00AB4F3B" w:rsidRDefault="00AB4F3B" w:rsidP="00495460">
      <w:pPr>
        <w:tabs>
          <w:tab w:val="left" w:pos="1440"/>
        </w:tabs>
        <w:snapToGrid w:val="0"/>
        <w:ind w:leftChars="297" w:left="1427" w:hangingChars="255" w:hanging="714"/>
        <w:jc w:val="both"/>
        <w:rPr>
          <w:rFonts w:ascii="Times New Roman" w:hAnsi="Times New Roman" w:cs="Times New Roman"/>
          <w:sz w:val="28"/>
          <w:szCs w:val="28"/>
        </w:rPr>
      </w:pPr>
    </w:p>
    <w:p w:rsidR="001D1129" w:rsidRPr="00400DF0" w:rsidRDefault="001D1129" w:rsidP="001D1129">
      <w:pPr>
        <w:tabs>
          <w:tab w:val="left" w:pos="1440"/>
        </w:tabs>
        <w:snapToGrid w:val="0"/>
        <w:jc w:val="center"/>
        <w:rPr>
          <w:rFonts w:ascii="Times New Roman" w:hAnsi="Times New Roman" w:cs="Times New Roman"/>
          <w:b/>
          <w:sz w:val="28"/>
          <w:szCs w:val="28"/>
          <w:u w:val="single"/>
        </w:rPr>
      </w:pPr>
      <w:r w:rsidRPr="00400DF0">
        <w:rPr>
          <w:rFonts w:ascii="Times New Roman" w:hAnsi="Times New Roman" w:cs="Times New Roman"/>
          <w:b/>
          <w:sz w:val="28"/>
          <w:szCs w:val="28"/>
          <w:u w:val="single"/>
        </w:rPr>
        <w:t xml:space="preserve">General Outpatient Clinic Public-Private Partnership </w:t>
      </w:r>
      <w:proofErr w:type="spellStart"/>
      <w:r w:rsidRPr="00400DF0">
        <w:rPr>
          <w:rFonts w:ascii="Times New Roman" w:hAnsi="Times New Roman" w:cs="Times New Roman"/>
          <w:b/>
          <w:sz w:val="28"/>
          <w:szCs w:val="28"/>
          <w:u w:val="single"/>
        </w:rPr>
        <w:t>Programme</w:t>
      </w:r>
      <w:proofErr w:type="spellEnd"/>
    </w:p>
    <w:p w:rsidR="001D1129" w:rsidRDefault="001D1129" w:rsidP="003A0F79">
      <w:pPr>
        <w:tabs>
          <w:tab w:val="left" w:pos="1440"/>
        </w:tabs>
        <w:snapToGrid w:val="0"/>
        <w:jc w:val="both"/>
        <w:rPr>
          <w:rFonts w:ascii="Times New Roman" w:hAnsi="Times New Roman" w:cs="Times New Roman"/>
          <w:sz w:val="28"/>
          <w:szCs w:val="28"/>
        </w:rPr>
      </w:pPr>
    </w:p>
    <w:p w:rsidR="003A0F79" w:rsidRPr="008A166F" w:rsidRDefault="009B66E4" w:rsidP="003A0F79">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1.</w:t>
      </w:r>
      <w:r w:rsidR="001D1129">
        <w:rPr>
          <w:rFonts w:ascii="Times New Roman" w:hAnsi="Times New Roman" w:cs="Times New Roman"/>
          <w:sz w:val="28"/>
          <w:szCs w:val="28"/>
        </w:rPr>
        <w:tab/>
      </w:r>
      <w:r w:rsidR="003A0F79" w:rsidRPr="008A166F">
        <w:rPr>
          <w:rFonts w:ascii="Times New Roman" w:hAnsi="Times New Roman" w:cs="Times New Roman"/>
          <w:sz w:val="28"/>
          <w:szCs w:val="28"/>
        </w:rPr>
        <w:t xml:space="preserve">The General Outpatient Clinic Public-Private Partnership </w:t>
      </w:r>
      <w:proofErr w:type="spellStart"/>
      <w:r w:rsidR="003A0F79" w:rsidRPr="008A166F">
        <w:rPr>
          <w:rFonts w:ascii="Times New Roman" w:hAnsi="Times New Roman" w:cs="Times New Roman"/>
          <w:sz w:val="28"/>
          <w:szCs w:val="28"/>
        </w:rPr>
        <w:t>Programme</w:t>
      </w:r>
      <w:proofErr w:type="spellEnd"/>
      <w:r w:rsidR="003A0F79" w:rsidRPr="008A166F">
        <w:rPr>
          <w:rFonts w:ascii="Times New Roman" w:hAnsi="Times New Roman" w:cs="Times New Roman"/>
          <w:sz w:val="28"/>
          <w:szCs w:val="28"/>
        </w:rPr>
        <w:t xml:space="preserve"> (</w:t>
      </w:r>
      <w:r w:rsidR="001D1129">
        <w:rPr>
          <w:rFonts w:ascii="Times New Roman" w:hAnsi="Times New Roman" w:cs="Times New Roman"/>
          <w:sz w:val="28"/>
          <w:szCs w:val="28"/>
        </w:rPr>
        <w:t>“</w:t>
      </w:r>
      <w:r w:rsidR="003A0F79" w:rsidRPr="008A166F">
        <w:rPr>
          <w:rFonts w:ascii="Times New Roman" w:hAnsi="Times New Roman" w:cs="Times New Roman"/>
          <w:sz w:val="28"/>
          <w:szCs w:val="28"/>
        </w:rPr>
        <w:t>GOPC PPP</w:t>
      </w:r>
      <w:r w:rsidR="001D1129">
        <w:rPr>
          <w:rFonts w:ascii="Times New Roman" w:hAnsi="Times New Roman" w:cs="Times New Roman"/>
          <w:sz w:val="28"/>
          <w:szCs w:val="28"/>
        </w:rPr>
        <w:t>”</w:t>
      </w:r>
      <w:r w:rsidR="003A0F79" w:rsidRPr="008A166F">
        <w:rPr>
          <w:rFonts w:ascii="Times New Roman" w:hAnsi="Times New Roman" w:cs="Times New Roman"/>
          <w:sz w:val="28"/>
          <w:szCs w:val="28"/>
        </w:rPr>
        <w:t xml:space="preserve">) launched in mid-2014 </w:t>
      </w:r>
      <w:proofErr w:type="spellStart"/>
      <w:r w:rsidR="003A0F79" w:rsidRPr="008A166F">
        <w:rPr>
          <w:rFonts w:ascii="Times New Roman" w:hAnsi="Times New Roman" w:cs="Times New Roman"/>
          <w:sz w:val="28"/>
          <w:szCs w:val="28"/>
        </w:rPr>
        <w:t>subsidises</w:t>
      </w:r>
      <w:proofErr w:type="spellEnd"/>
      <w:r w:rsidR="003A0F79" w:rsidRPr="008A166F">
        <w:rPr>
          <w:rFonts w:ascii="Times New Roman" w:hAnsi="Times New Roman" w:cs="Times New Roman"/>
          <w:sz w:val="28"/>
          <w:szCs w:val="28"/>
        </w:rPr>
        <w:t xml:space="preserve"> clinically stable patients with hypertension and/or diabetes mellitus attending the </w:t>
      </w:r>
      <w:r w:rsidR="001D1129" w:rsidRPr="008A166F">
        <w:rPr>
          <w:rFonts w:ascii="Times New Roman" w:hAnsi="Times New Roman" w:cs="Times New Roman"/>
          <w:sz w:val="28"/>
          <w:szCs w:val="28"/>
        </w:rPr>
        <w:t xml:space="preserve">GOPCs </w:t>
      </w:r>
      <w:r w:rsidR="001D1129">
        <w:rPr>
          <w:rFonts w:ascii="Times New Roman" w:hAnsi="Times New Roman" w:cs="Times New Roman"/>
          <w:sz w:val="28"/>
          <w:szCs w:val="28"/>
        </w:rPr>
        <w:t xml:space="preserve">of the </w:t>
      </w:r>
      <w:r w:rsidR="003A0F79" w:rsidRPr="008A166F">
        <w:rPr>
          <w:rFonts w:ascii="Times New Roman" w:hAnsi="Times New Roman" w:cs="Times New Roman"/>
          <w:sz w:val="28"/>
          <w:szCs w:val="28"/>
        </w:rPr>
        <w:t>H</w:t>
      </w:r>
      <w:r w:rsidR="001D1129">
        <w:rPr>
          <w:rFonts w:ascii="Times New Roman" w:hAnsi="Times New Roman" w:cs="Times New Roman"/>
          <w:sz w:val="28"/>
          <w:szCs w:val="28"/>
        </w:rPr>
        <w:t>ospital Authority (“H</w:t>
      </w:r>
      <w:r w:rsidR="003A0F79" w:rsidRPr="008A166F">
        <w:rPr>
          <w:rFonts w:ascii="Times New Roman" w:hAnsi="Times New Roman" w:cs="Times New Roman"/>
          <w:sz w:val="28"/>
          <w:szCs w:val="28"/>
        </w:rPr>
        <w:t>A</w:t>
      </w:r>
      <w:r w:rsidR="001D1129">
        <w:rPr>
          <w:rFonts w:ascii="Times New Roman" w:hAnsi="Times New Roman" w:cs="Times New Roman"/>
          <w:sz w:val="28"/>
          <w:szCs w:val="28"/>
        </w:rPr>
        <w:t>”)</w:t>
      </w:r>
      <w:r w:rsidR="003A0F79" w:rsidRPr="008A166F">
        <w:rPr>
          <w:rFonts w:ascii="Times New Roman" w:hAnsi="Times New Roman" w:cs="Times New Roman"/>
          <w:sz w:val="28"/>
          <w:szCs w:val="28"/>
        </w:rPr>
        <w:t xml:space="preserve"> to opt for care from a private doctor of their choice to follow up on their chronic diseases, such that a long-term family doctor-patient relationship can be established for achieving the objectives of continuous and holistic primary care.  Nearly 600 private doctors have participated in the </w:t>
      </w:r>
      <w:proofErr w:type="spellStart"/>
      <w:r w:rsidR="003A0F79" w:rsidRPr="008A166F">
        <w:rPr>
          <w:rFonts w:ascii="Times New Roman" w:hAnsi="Times New Roman" w:cs="Times New Roman"/>
          <w:sz w:val="28"/>
          <w:szCs w:val="28"/>
        </w:rPr>
        <w:t>Programme</w:t>
      </w:r>
      <w:proofErr w:type="spellEnd"/>
      <w:r w:rsidR="003A0F79" w:rsidRPr="008A166F">
        <w:rPr>
          <w:rFonts w:ascii="Times New Roman" w:hAnsi="Times New Roman" w:cs="Times New Roman"/>
          <w:sz w:val="28"/>
          <w:szCs w:val="28"/>
        </w:rPr>
        <w:t xml:space="preserve">, which covers 18 districts of Hong Kong. </w:t>
      </w:r>
    </w:p>
    <w:p w:rsidR="003A0F79" w:rsidRPr="008A166F" w:rsidRDefault="003A0F79" w:rsidP="003A0F79">
      <w:pPr>
        <w:tabs>
          <w:tab w:val="left" w:pos="1440"/>
        </w:tabs>
        <w:snapToGrid w:val="0"/>
        <w:jc w:val="both"/>
        <w:rPr>
          <w:rFonts w:ascii="Times New Roman" w:hAnsi="Times New Roman" w:cs="Times New Roman"/>
          <w:sz w:val="28"/>
          <w:szCs w:val="28"/>
        </w:rPr>
      </w:pPr>
    </w:p>
    <w:p w:rsidR="003A0F79" w:rsidRPr="008A166F" w:rsidRDefault="009B66E4" w:rsidP="003A0F79">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2.</w:t>
      </w:r>
      <w:r w:rsidR="003A0F79">
        <w:rPr>
          <w:rFonts w:ascii="Times New Roman" w:hAnsi="Times New Roman" w:cs="Times New Roman"/>
          <w:sz w:val="28"/>
          <w:szCs w:val="28"/>
        </w:rPr>
        <w:tab/>
      </w:r>
      <w:r w:rsidR="003A0F79" w:rsidRPr="008A166F">
        <w:rPr>
          <w:rFonts w:ascii="Times New Roman" w:hAnsi="Times New Roman" w:cs="Times New Roman"/>
          <w:sz w:val="28"/>
          <w:szCs w:val="28"/>
        </w:rPr>
        <w:t xml:space="preserve">Patients fulfilling pre-defined clinical criteria and </w:t>
      </w:r>
      <w:proofErr w:type="spellStart"/>
      <w:r w:rsidR="003A0F79" w:rsidRPr="008A166F">
        <w:rPr>
          <w:rFonts w:ascii="Times New Roman" w:hAnsi="Times New Roman" w:cs="Times New Roman"/>
          <w:sz w:val="28"/>
          <w:szCs w:val="28"/>
        </w:rPr>
        <w:t>programme</w:t>
      </w:r>
      <w:proofErr w:type="spellEnd"/>
      <w:r w:rsidR="003A0F79" w:rsidRPr="008A166F">
        <w:rPr>
          <w:rFonts w:ascii="Times New Roman" w:hAnsi="Times New Roman" w:cs="Times New Roman"/>
          <w:sz w:val="28"/>
          <w:szCs w:val="28"/>
        </w:rPr>
        <w:t xml:space="preserve"> requirements and who have been attending HA Outpatient Clinic for at least 12 months, will be invited to join the </w:t>
      </w:r>
      <w:proofErr w:type="spellStart"/>
      <w:r w:rsidR="003A0F79">
        <w:rPr>
          <w:rFonts w:ascii="Times New Roman" w:hAnsi="Times New Roman" w:cs="Times New Roman"/>
          <w:sz w:val="28"/>
          <w:szCs w:val="28"/>
        </w:rPr>
        <w:t>P</w:t>
      </w:r>
      <w:r w:rsidR="003A0F79" w:rsidRPr="008A166F">
        <w:rPr>
          <w:rFonts w:ascii="Times New Roman" w:hAnsi="Times New Roman" w:cs="Times New Roman"/>
          <w:sz w:val="28"/>
          <w:szCs w:val="28"/>
        </w:rPr>
        <w:t>rogramme</w:t>
      </w:r>
      <w:proofErr w:type="spellEnd"/>
      <w:r w:rsidR="003A0F79" w:rsidRPr="008A166F">
        <w:rPr>
          <w:rFonts w:ascii="Times New Roman" w:hAnsi="Times New Roman" w:cs="Times New Roman"/>
          <w:sz w:val="28"/>
          <w:szCs w:val="28"/>
        </w:rPr>
        <w:t xml:space="preserve"> for receiving primary care service from the private sector.  Each patient will receive up to 10 </w:t>
      </w:r>
      <w:proofErr w:type="spellStart"/>
      <w:r w:rsidR="003A0F79" w:rsidRPr="008A166F">
        <w:rPr>
          <w:rFonts w:ascii="Times New Roman" w:hAnsi="Times New Roman" w:cs="Times New Roman"/>
          <w:sz w:val="28"/>
          <w:szCs w:val="28"/>
        </w:rPr>
        <w:t>subsidised</w:t>
      </w:r>
      <w:proofErr w:type="spellEnd"/>
      <w:r w:rsidR="003A0F79" w:rsidRPr="008A166F">
        <w:rPr>
          <w:rFonts w:ascii="Times New Roman" w:hAnsi="Times New Roman" w:cs="Times New Roman"/>
          <w:sz w:val="28"/>
          <w:szCs w:val="28"/>
        </w:rPr>
        <w:t xml:space="preserve"> visits per year, including medical consultations and prescriptions covering both chronic and episodic illnesses; and X-ray and investigation services provided by HA as specified through private doctors’ referral. </w:t>
      </w:r>
    </w:p>
    <w:p w:rsidR="003A0F79" w:rsidRPr="008A166F" w:rsidRDefault="003A0F79" w:rsidP="003A0F79">
      <w:pPr>
        <w:tabs>
          <w:tab w:val="left" w:pos="1440"/>
        </w:tabs>
        <w:snapToGrid w:val="0"/>
        <w:jc w:val="both"/>
        <w:rPr>
          <w:rFonts w:ascii="Times New Roman" w:hAnsi="Times New Roman" w:cs="Times New Roman"/>
          <w:sz w:val="28"/>
          <w:szCs w:val="28"/>
        </w:rPr>
      </w:pPr>
    </w:p>
    <w:p w:rsidR="00DD356D" w:rsidRDefault="009B66E4" w:rsidP="003A0F79">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3.</w:t>
      </w:r>
      <w:r w:rsidR="003A0F79">
        <w:rPr>
          <w:rFonts w:ascii="Times New Roman" w:hAnsi="Times New Roman" w:cs="Times New Roman"/>
          <w:sz w:val="28"/>
          <w:szCs w:val="28"/>
        </w:rPr>
        <w:tab/>
      </w:r>
      <w:r w:rsidR="003A0F79" w:rsidRPr="008A166F">
        <w:rPr>
          <w:rFonts w:ascii="Times New Roman" w:hAnsi="Times New Roman" w:cs="Times New Roman"/>
          <w:sz w:val="28"/>
          <w:szCs w:val="28"/>
        </w:rPr>
        <w:t xml:space="preserve">Under the </w:t>
      </w:r>
      <w:proofErr w:type="spellStart"/>
      <w:r w:rsidR="003A0F79" w:rsidRPr="008A166F">
        <w:rPr>
          <w:rFonts w:ascii="Times New Roman" w:hAnsi="Times New Roman" w:cs="Times New Roman"/>
          <w:sz w:val="28"/>
          <w:szCs w:val="28"/>
        </w:rPr>
        <w:t>Programme</w:t>
      </w:r>
      <w:proofErr w:type="spellEnd"/>
      <w:r w:rsidR="003A0F79" w:rsidRPr="008A166F">
        <w:rPr>
          <w:rFonts w:ascii="Times New Roman" w:hAnsi="Times New Roman" w:cs="Times New Roman"/>
          <w:sz w:val="28"/>
          <w:szCs w:val="28"/>
        </w:rPr>
        <w:t xml:space="preserve">, participating patients only need to pay the same fee as HA GOPC for each consultation.  A participating patient who is eligible for a waiver may enjoy the same fee waiver arrangement as for HA’s service when he/she attends the private doctors for services under the </w:t>
      </w:r>
      <w:proofErr w:type="spellStart"/>
      <w:r w:rsidR="003A0F79" w:rsidRPr="008A166F">
        <w:rPr>
          <w:rFonts w:ascii="Times New Roman" w:hAnsi="Times New Roman" w:cs="Times New Roman"/>
          <w:sz w:val="28"/>
          <w:szCs w:val="28"/>
        </w:rPr>
        <w:t>Programme</w:t>
      </w:r>
      <w:proofErr w:type="spellEnd"/>
      <w:r w:rsidR="003A0F79" w:rsidRPr="008A166F">
        <w:rPr>
          <w:rFonts w:ascii="Times New Roman" w:hAnsi="Times New Roman" w:cs="Times New Roman"/>
          <w:sz w:val="28"/>
          <w:szCs w:val="28"/>
        </w:rPr>
        <w:t>.  Under mutual agreement, individual patients may receive further services and treatment at their own expenses. Those who have participated in the Elderly Health Care Voucher Scheme can meet such additional charges from their Health Care Voucher accounts.</w:t>
      </w:r>
    </w:p>
    <w:p w:rsidR="00DD356D" w:rsidRDefault="00DD356D">
      <w:pPr>
        <w:widowControl/>
        <w:rPr>
          <w:rFonts w:ascii="Times New Roman" w:hAnsi="Times New Roman" w:cs="Times New Roman"/>
          <w:sz w:val="28"/>
          <w:szCs w:val="28"/>
        </w:rPr>
      </w:pPr>
      <w:r>
        <w:rPr>
          <w:rFonts w:ascii="Times New Roman" w:hAnsi="Times New Roman" w:cs="Times New Roman"/>
          <w:sz w:val="28"/>
          <w:szCs w:val="28"/>
        </w:rPr>
        <w:br w:type="page"/>
      </w:r>
    </w:p>
    <w:p w:rsidR="00DD356D" w:rsidRPr="00836075" w:rsidRDefault="004E6A8D" w:rsidP="00DD356D">
      <w:pPr>
        <w:snapToGrid w:val="0"/>
        <w:ind w:left="456"/>
        <w:jc w:val="right"/>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lastRenderedPageBreak/>
        <w:t xml:space="preserve">Annex </w:t>
      </w:r>
      <w:r w:rsidR="00E551C3">
        <w:rPr>
          <w:rFonts w:ascii="Times New Roman" w:hAnsi="Times New Roman" w:cs="Times New Roman"/>
          <w:b/>
          <w:sz w:val="28"/>
          <w:szCs w:val="28"/>
          <w:u w:val="single"/>
        </w:rPr>
        <w:t>15</w:t>
      </w:r>
    </w:p>
    <w:p w:rsidR="00DD356D" w:rsidRDefault="00DD356D" w:rsidP="00DD356D">
      <w:pPr>
        <w:tabs>
          <w:tab w:val="left" w:pos="1440"/>
        </w:tabs>
        <w:snapToGrid w:val="0"/>
        <w:jc w:val="both"/>
        <w:rPr>
          <w:rFonts w:ascii="Times New Roman" w:hAnsi="Times New Roman" w:cs="Times New Roman"/>
          <w:sz w:val="28"/>
          <w:szCs w:val="28"/>
        </w:rPr>
      </w:pPr>
    </w:p>
    <w:p w:rsidR="00DD356D" w:rsidRPr="004E6A8D" w:rsidRDefault="00DD356D" w:rsidP="00400DF0">
      <w:pPr>
        <w:tabs>
          <w:tab w:val="left" w:pos="1440"/>
        </w:tabs>
        <w:snapToGrid w:val="0"/>
        <w:jc w:val="center"/>
        <w:rPr>
          <w:rFonts w:ascii="Times New Roman" w:hAnsi="Times New Roman" w:cs="Times New Roman"/>
          <w:b/>
          <w:sz w:val="28"/>
          <w:szCs w:val="28"/>
          <w:u w:val="single"/>
        </w:rPr>
      </w:pPr>
      <w:r w:rsidRPr="004E6A8D">
        <w:rPr>
          <w:rFonts w:ascii="Times New Roman" w:hAnsi="Times New Roman" w:cs="Times New Roman"/>
          <w:b/>
          <w:sz w:val="28"/>
          <w:szCs w:val="28"/>
          <w:u w:val="single"/>
        </w:rPr>
        <w:t xml:space="preserve">School placement assistance to children/ students </w:t>
      </w:r>
    </w:p>
    <w:p w:rsidR="00DD356D" w:rsidRPr="00400DF0" w:rsidRDefault="00DD356D" w:rsidP="00400DF0">
      <w:pPr>
        <w:tabs>
          <w:tab w:val="left" w:pos="1440"/>
        </w:tabs>
        <w:snapToGrid w:val="0"/>
        <w:jc w:val="center"/>
        <w:rPr>
          <w:rFonts w:ascii="Times New Roman" w:hAnsi="Times New Roman" w:cs="Times New Roman"/>
          <w:b/>
          <w:sz w:val="28"/>
          <w:szCs w:val="28"/>
          <w:u w:val="single"/>
        </w:rPr>
      </w:pPr>
      <w:proofErr w:type="gramStart"/>
      <w:r w:rsidRPr="00400DF0">
        <w:rPr>
          <w:rFonts w:ascii="Times New Roman" w:hAnsi="Times New Roman" w:cs="Times New Roman"/>
          <w:b/>
          <w:sz w:val="28"/>
          <w:szCs w:val="28"/>
          <w:u w:val="single"/>
        </w:rPr>
        <w:t>in</w:t>
      </w:r>
      <w:proofErr w:type="gramEnd"/>
      <w:r w:rsidRPr="00400DF0">
        <w:rPr>
          <w:rFonts w:ascii="Times New Roman" w:hAnsi="Times New Roman" w:cs="Times New Roman"/>
          <w:b/>
          <w:sz w:val="28"/>
          <w:szCs w:val="28"/>
          <w:u w:val="single"/>
        </w:rPr>
        <w:t xml:space="preserve"> an irregular immigration situation</w:t>
      </w:r>
    </w:p>
    <w:p w:rsidR="00DD356D" w:rsidRPr="00DC751D" w:rsidRDefault="00DD356D" w:rsidP="00DD356D">
      <w:pPr>
        <w:tabs>
          <w:tab w:val="left" w:pos="1440"/>
        </w:tabs>
        <w:snapToGrid w:val="0"/>
        <w:jc w:val="both"/>
        <w:rPr>
          <w:rFonts w:ascii="Times New Roman" w:hAnsi="Times New Roman" w:cs="Times New Roman"/>
          <w:sz w:val="28"/>
          <w:szCs w:val="28"/>
        </w:rPr>
      </w:pPr>
    </w:p>
    <w:p w:rsidR="00DD356D" w:rsidRDefault="009B66E4" w:rsidP="00DD356D">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1.</w:t>
      </w:r>
      <w:r w:rsidR="00DD356D">
        <w:rPr>
          <w:rFonts w:ascii="Times New Roman" w:hAnsi="Times New Roman" w:cs="Times New Roman"/>
          <w:sz w:val="28"/>
          <w:szCs w:val="28"/>
        </w:rPr>
        <w:tab/>
      </w:r>
      <w:r w:rsidR="00DD356D" w:rsidRPr="00331FC9">
        <w:rPr>
          <w:rFonts w:ascii="Times New Roman" w:hAnsi="Times New Roman" w:cs="Times New Roman"/>
          <w:sz w:val="28"/>
          <w:szCs w:val="28"/>
        </w:rPr>
        <w:t>Upon receipt of application</w:t>
      </w:r>
      <w:r w:rsidR="004E1ECD" w:rsidRPr="004E1ECD">
        <w:rPr>
          <w:rFonts w:ascii="Times New Roman" w:hAnsi="Times New Roman" w:cs="Times New Roman"/>
          <w:sz w:val="28"/>
          <w:szCs w:val="28"/>
        </w:rPr>
        <w:t xml:space="preserve"> </w:t>
      </w:r>
      <w:r w:rsidR="004E1ECD">
        <w:rPr>
          <w:rFonts w:ascii="Times New Roman" w:hAnsi="Times New Roman" w:cs="Times New Roman"/>
          <w:sz w:val="28"/>
          <w:szCs w:val="28"/>
        </w:rPr>
        <w:t>from s</w:t>
      </w:r>
      <w:r w:rsidR="004E1ECD" w:rsidRPr="00331FC9">
        <w:rPr>
          <w:rFonts w:ascii="Times New Roman" w:hAnsi="Times New Roman" w:cs="Times New Roman"/>
          <w:sz w:val="28"/>
          <w:szCs w:val="28"/>
        </w:rPr>
        <w:t>chool-age children who do not have a legal stay in Hong Kong but are released on recognizance</w:t>
      </w:r>
      <w:r w:rsidR="004E1ECD">
        <w:rPr>
          <w:rFonts w:ascii="Times New Roman" w:hAnsi="Times New Roman" w:cs="Times New Roman"/>
          <w:sz w:val="28"/>
          <w:szCs w:val="28"/>
        </w:rPr>
        <w:t xml:space="preserve"> for a placement in a secondary or a primary school</w:t>
      </w:r>
      <w:r w:rsidR="00DD356D" w:rsidRPr="00331FC9">
        <w:rPr>
          <w:rFonts w:ascii="Times New Roman" w:hAnsi="Times New Roman" w:cs="Times New Roman"/>
          <w:sz w:val="28"/>
          <w:szCs w:val="28"/>
        </w:rPr>
        <w:t xml:space="preserve">, </w:t>
      </w:r>
      <w:r w:rsidR="004E1ECD">
        <w:rPr>
          <w:rFonts w:ascii="Times New Roman" w:hAnsi="Times New Roman" w:cs="Times New Roman"/>
          <w:sz w:val="28"/>
          <w:szCs w:val="28"/>
        </w:rPr>
        <w:t xml:space="preserve">the </w:t>
      </w:r>
      <w:r w:rsidR="004E1ECD" w:rsidRPr="00331FC9">
        <w:rPr>
          <w:rFonts w:ascii="Times New Roman" w:hAnsi="Times New Roman" w:cs="Times New Roman"/>
          <w:sz w:val="28"/>
          <w:szCs w:val="28"/>
        </w:rPr>
        <w:t>Education Bureau (“EDB”)</w:t>
      </w:r>
      <w:r w:rsidR="00DD356D" w:rsidRPr="00331FC9">
        <w:rPr>
          <w:rFonts w:ascii="Times New Roman" w:hAnsi="Times New Roman" w:cs="Times New Roman"/>
          <w:sz w:val="28"/>
          <w:szCs w:val="28"/>
        </w:rPr>
        <w:t xml:space="preserve"> will take into account the circumstances of individual cases and consult </w:t>
      </w:r>
      <w:r w:rsidR="00DD356D" w:rsidRPr="00DC751D">
        <w:rPr>
          <w:rFonts w:ascii="Times New Roman" w:hAnsi="Times New Roman" w:cs="Times New Roman"/>
          <w:sz w:val="28"/>
          <w:szCs w:val="28"/>
        </w:rPr>
        <w:t>Immigration Department</w:t>
      </w:r>
      <w:r w:rsidR="00DD356D" w:rsidRPr="00331FC9">
        <w:rPr>
          <w:rFonts w:ascii="Times New Roman" w:hAnsi="Times New Roman" w:cs="Times New Roman"/>
          <w:sz w:val="28"/>
          <w:szCs w:val="28"/>
        </w:rPr>
        <w:t xml:space="preserve"> </w:t>
      </w:r>
      <w:r w:rsidR="00DD356D">
        <w:rPr>
          <w:rFonts w:ascii="Times New Roman" w:hAnsi="Times New Roman" w:cs="Times New Roman"/>
          <w:sz w:val="28"/>
          <w:szCs w:val="28"/>
        </w:rPr>
        <w:t>(“</w:t>
      </w:r>
      <w:proofErr w:type="spellStart"/>
      <w:r w:rsidR="00DD356D" w:rsidRPr="00331FC9">
        <w:rPr>
          <w:rFonts w:ascii="Times New Roman" w:hAnsi="Times New Roman" w:cs="Times New Roman"/>
          <w:sz w:val="28"/>
          <w:szCs w:val="28"/>
        </w:rPr>
        <w:t>ImmD</w:t>
      </w:r>
      <w:proofErr w:type="spellEnd"/>
      <w:r w:rsidR="00DD356D">
        <w:rPr>
          <w:rFonts w:ascii="Times New Roman" w:hAnsi="Times New Roman" w:cs="Times New Roman"/>
          <w:sz w:val="28"/>
          <w:szCs w:val="28"/>
        </w:rPr>
        <w:t>”)</w:t>
      </w:r>
      <w:r w:rsidR="00DD356D" w:rsidRPr="00331FC9">
        <w:rPr>
          <w:rFonts w:ascii="Times New Roman" w:hAnsi="Times New Roman" w:cs="Times New Roman"/>
          <w:sz w:val="28"/>
          <w:szCs w:val="28"/>
        </w:rPr>
        <w:t xml:space="preserve">.  If the children concerned will not be removed from Hong Kong shortly, and </w:t>
      </w:r>
      <w:proofErr w:type="spellStart"/>
      <w:r w:rsidR="00DD356D" w:rsidRPr="00331FC9">
        <w:rPr>
          <w:rFonts w:ascii="Times New Roman" w:hAnsi="Times New Roman" w:cs="Times New Roman"/>
          <w:sz w:val="28"/>
          <w:szCs w:val="28"/>
        </w:rPr>
        <w:t>ImmD</w:t>
      </w:r>
      <w:proofErr w:type="spellEnd"/>
      <w:r w:rsidR="00DD356D" w:rsidRPr="00331FC9">
        <w:rPr>
          <w:rFonts w:ascii="Times New Roman" w:hAnsi="Times New Roman" w:cs="Times New Roman"/>
          <w:sz w:val="28"/>
          <w:szCs w:val="28"/>
        </w:rPr>
        <w:t xml:space="preserve"> does not have any comment, EDB will vet the application and </w:t>
      </w:r>
      <w:r w:rsidR="00DD356D" w:rsidRPr="00DC751D">
        <w:rPr>
          <w:rFonts w:ascii="Times New Roman" w:hAnsi="Times New Roman" w:cs="Times New Roman"/>
          <w:sz w:val="28"/>
          <w:szCs w:val="28"/>
        </w:rPr>
        <w:t>offer placement assistance having regard to factors like age, educational background, etc. of the children concerned.  Their right to education is adequately protected under the existing mechanism.</w:t>
      </w:r>
    </w:p>
    <w:p w:rsidR="00DD356D" w:rsidRPr="00DC751D" w:rsidRDefault="00DD356D" w:rsidP="00DD356D">
      <w:pPr>
        <w:tabs>
          <w:tab w:val="left" w:pos="1440"/>
        </w:tabs>
        <w:snapToGrid w:val="0"/>
        <w:jc w:val="both"/>
        <w:rPr>
          <w:rFonts w:ascii="Times New Roman" w:hAnsi="Times New Roman" w:cs="Times New Roman"/>
          <w:sz w:val="28"/>
          <w:szCs w:val="28"/>
        </w:rPr>
      </w:pPr>
    </w:p>
    <w:p w:rsidR="00DD356D" w:rsidRPr="00DC751D" w:rsidRDefault="009B66E4" w:rsidP="00DD356D">
      <w:pPr>
        <w:tabs>
          <w:tab w:val="left" w:pos="1440"/>
        </w:tabs>
        <w:snapToGrid w:val="0"/>
        <w:jc w:val="both"/>
        <w:rPr>
          <w:rFonts w:ascii="Times New Roman" w:hAnsi="Times New Roman" w:cs="Times New Roman"/>
          <w:sz w:val="28"/>
          <w:szCs w:val="28"/>
        </w:rPr>
      </w:pPr>
      <w:r>
        <w:rPr>
          <w:rFonts w:ascii="Times New Roman" w:hAnsi="Times New Roman" w:cs="Times New Roman"/>
          <w:sz w:val="28"/>
          <w:szCs w:val="28"/>
        </w:rPr>
        <w:t>2.</w:t>
      </w:r>
      <w:r w:rsidR="00DD356D">
        <w:rPr>
          <w:rFonts w:ascii="Times New Roman" w:hAnsi="Times New Roman" w:cs="Times New Roman"/>
          <w:sz w:val="28"/>
          <w:szCs w:val="28"/>
        </w:rPr>
        <w:tab/>
      </w:r>
      <w:r w:rsidR="00DD356D" w:rsidRPr="00DC751D">
        <w:rPr>
          <w:rFonts w:ascii="Times New Roman" w:hAnsi="Times New Roman" w:cs="Times New Roman"/>
          <w:sz w:val="28"/>
          <w:szCs w:val="28"/>
        </w:rPr>
        <w:t xml:space="preserve">For the purpose of admission to post-secondary </w:t>
      </w:r>
      <w:proofErr w:type="spellStart"/>
      <w:r w:rsidR="00DD356D" w:rsidRPr="00DC751D">
        <w:rPr>
          <w:rFonts w:ascii="Times New Roman" w:hAnsi="Times New Roman" w:cs="Times New Roman"/>
          <w:sz w:val="28"/>
          <w:szCs w:val="28"/>
        </w:rPr>
        <w:t>programmes</w:t>
      </w:r>
      <w:proofErr w:type="spellEnd"/>
      <w:r w:rsidR="00DD356D" w:rsidRPr="00DC751D">
        <w:rPr>
          <w:rFonts w:ascii="Times New Roman" w:hAnsi="Times New Roman" w:cs="Times New Roman"/>
          <w:sz w:val="28"/>
          <w:szCs w:val="28"/>
        </w:rPr>
        <w:t xml:space="preserve"> in Hong Kong, holders of recognizance forms are generally regarded as non-local students and their applications for admission, if any, will be processed in the same way as for other non-local students, outside the Joint University </w:t>
      </w:r>
      <w:proofErr w:type="spellStart"/>
      <w:r w:rsidR="00DD356D" w:rsidRPr="00DC751D">
        <w:rPr>
          <w:rFonts w:ascii="Times New Roman" w:hAnsi="Times New Roman" w:cs="Times New Roman"/>
          <w:sz w:val="28"/>
          <w:szCs w:val="28"/>
        </w:rPr>
        <w:t>Programmes</w:t>
      </w:r>
      <w:proofErr w:type="spellEnd"/>
      <w:r w:rsidR="00DD356D" w:rsidRPr="00DC751D">
        <w:rPr>
          <w:rFonts w:ascii="Times New Roman" w:hAnsi="Times New Roman" w:cs="Times New Roman"/>
          <w:sz w:val="28"/>
          <w:szCs w:val="28"/>
        </w:rPr>
        <w:t xml:space="preserve"> Admissions System (</w:t>
      </w:r>
      <w:r w:rsidR="00DD356D">
        <w:rPr>
          <w:rFonts w:ascii="Times New Roman" w:hAnsi="Times New Roman" w:cs="Times New Roman"/>
          <w:sz w:val="28"/>
          <w:szCs w:val="28"/>
        </w:rPr>
        <w:t>“</w:t>
      </w:r>
      <w:r w:rsidR="00DD356D" w:rsidRPr="00DC751D">
        <w:rPr>
          <w:rFonts w:ascii="Times New Roman" w:hAnsi="Times New Roman" w:cs="Times New Roman"/>
          <w:sz w:val="28"/>
          <w:szCs w:val="28"/>
        </w:rPr>
        <w:t>JUPAS</w:t>
      </w:r>
      <w:r w:rsidR="00DD356D">
        <w:rPr>
          <w:rFonts w:ascii="Times New Roman" w:hAnsi="Times New Roman" w:cs="Times New Roman"/>
          <w:sz w:val="28"/>
          <w:szCs w:val="28"/>
        </w:rPr>
        <w:t>”</w:t>
      </w:r>
      <w:r w:rsidR="00DD356D" w:rsidRPr="00DC751D">
        <w:rPr>
          <w:rFonts w:ascii="Times New Roman" w:hAnsi="Times New Roman" w:cs="Times New Roman"/>
          <w:sz w:val="28"/>
          <w:szCs w:val="28"/>
        </w:rPr>
        <w:t xml:space="preserve">).  Post-secondary institutions enjoy a high degree of autonomy in admission of students; requirements for student admission may vary between institutions and </w:t>
      </w:r>
      <w:proofErr w:type="spellStart"/>
      <w:r w:rsidR="00DD356D" w:rsidRPr="00DC751D">
        <w:rPr>
          <w:rFonts w:ascii="Times New Roman" w:hAnsi="Times New Roman" w:cs="Times New Roman"/>
          <w:sz w:val="28"/>
          <w:szCs w:val="28"/>
        </w:rPr>
        <w:t>programmes</w:t>
      </w:r>
      <w:proofErr w:type="spellEnd"/>
      <w:r w:rsidR="00DD356D" w:rsidRPr="00DC751D">
        <w:rPr>
          <w:rFonts w:ascii="Times New Roman" w:hAnsi="Times New Roman" w:cs="Times New Roman"/>
          <w:sz w:val="28"/>
          <w:szCs w:val="28"/>
        </w:rPr>
        <w:t xml:space="preserve">.  Holders of recognizance forms are advised to contact the institutions direct on the admission arrangements of the </w:t>
      </w:r>
      <w:proofErr w:type="spellStart"/>
      <w:r w:rsidR="00DD356D" w:rsidRPr="00DC751D">
        <w:rPr>
          <w:rFonts w:ascii="Times New Roman" w:hAnsi="Times New Roman" w:cs="Times New Roman"/>
          <w:sz w:val="28"/>
          <w:szCs w:val="28"/>
        </w:rPr>
        <w:t>programmes</w:t>
      </w:r>
      <w:proofErr w:type="spellEnd"/>
      <w:r w:rsidR="00DD356D" w:rsidRPr="00DC751D">
        <w:rPr>
          <w:rFonts w:ascii="Times New Roman" w:hAnsi="Times New Roman" w:cs="Times New Roman"/>
          <w:sz w:val="28"/>
          <w:szCs w:val="28"/>
        </w:rPr>
        <w:t xml:space="preserve"> they are interested in.  </w:t>
      </w:r>
    </w:p>
    <w:p w:rsidR="003A0F79" w:rsidRPr="00DD356D" w:rsidRDefault="003A0F79" w:rsidP="003A0F79">
      <w:pPr>
        <w:tabs>
          <w:tab w:val="left" w:pos="1440"/>
        </w:tabs>
        <w:snapToGrid w:val="0"/>
        <w:jc w:val="both"/>
        <w:rPr>
          <w:rFonts w:ascii="Times New Roman" w:hAnsi="Times New Roman" w:cs="Times New Roman"/>
          <w:sz w:val="28"/>
          <w:szCs w:val="28"/>
        </w:rPr>
      </w:pPr>
    </w:p>
    <w:p w:rsidR="003A0F79" w:rsidRPr="003A0F79" w:rsidRDefault="003A0F79" w:rsidP="00495460">
      <w:pPr>
        <w:tabs>
          <w:tab w:val="left" w:pos="1440"/>
        </w:tabs>
        <w:snapToGrid w:val="0"/>
        <w:ind w:leftChars="297" w:left="1427" w:hangingChars="255" w:hanging="714"/>
        <w:jc w:val="both"/>
        <w:rPr>
          <w:rFonts w:ascii="Times New Roman" w:hAnsi="Times New Roman" w:cs="Times New Roman"/>
          <w:sz w:val="28"/>
          <w:szCs w:val="28"/>
        </w:rPr>
      </w:pPr>
    </w:p>
    <w:sectPr w:rsidR="003A0F79" w:rsidRPr="003A0F79" w:rsidSect="0064278F">
      <w:pgSz w:w="11906" w:h="16838"/>
      <w:pgMar w:top="1440" w:right="1440" w:bottom="1440"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93" w:rsidRDefault="00F07593" w:rsidP="00E54F4E">
      <w:r>
        <w:separator/>
      </w:r>
    </w:p>
  </w:endnote>
  <w:endnote w:type="continuationSeparator" w:id="0">
    <w:p w:rsidR="00F07593" w:rsidRDefault="00F07593" w:rsidP="00E5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93" w:rsidRDefault="00F07593" w:rsidP="00E54F4E">
      <w:r>
        <w:separator/>
      </w:r>
    </w:p>
  </w:footnote>
  <w:footnote w:type="continuationSeparator" w:id="0">
    <w:p w:rsidR="00F07593" w:rsidRDefault="00F07593" w:rsidP="00E54F4E">
      <w:r>
        <w:continuationSeparator/>
      </w:r>
    </w:p>
  </w:footnote>
  <w:footnote w:id="1">
    <w:p w:rsidR="005C444F" w:rsidRPr="00B8143C" w:rsidRDefault="005C444F" w:rsidP="00516C15">
      <w:pPr>
        <w:pStyle w:val="ac"/>
        <w:ind w:left="284" w:hangingChars="142" w:hanging="284"/>
        <w:jc w:val="both"/>
        <w:rPr>
          <w:rFonts w:ascii="Times New Roman" w:hAnsi="Times New Roman" w:cs="Times New Roman"/>
        </w:rPr>
      </w:pPr>
      <w:r w:rsidRPr="00B8143C">
        <w:rPr>
          <w:rStyle w:val="ae"/>
          <w:rFonts w:ascii="Times New Roman" w:hAnsi="Times New Roman" w:cs="Times New Roman"/>
        </w:rPr>
        <w:footnoteRef/>
      </w:r>
      <w:r w:rsidRPr="00B8143C">
        <w:rPr>
          <w:rFonts w:ascii="Times New Roman" w:hAnsi="Times New Roman" w:cs="Times New Roman"/>
        </w:rPr>
        <w:t xml:space="preserve"> </w:t>
      </w:r>
      <w:r>
        <w:rPr>
          <w:rFonts w:ascii="Times New Roman" w:hAnsi="Times New Roman" w:cs="Times New Roman"/>
        </w:rPr>
        <w:tab/>
      </w:r>
      <w:r w:rsidRPr="00B8143C">
        <w:rPr>
          <w:rFonts w:ascii="Times New Roman" w:hAnsi="Times New Roman" w:cs="Times New Roman"/>
        </w:rPr>
        <w:t xml:space="preserve">Eligible Persons refer to </w:t>
      </w:r>
      <w:r>
        <w:rPr>
          <w:rFonts w:ascii="Times New Roman" w:hAnsi="Times New Roman" w:cs="Times New Roman"/>
        </w:rPr>
        <w:t>(</w:t>
      </w:r>
      <w:r w:rsidRPr="00B8143C">
        <w:rPr>
          <w:rFonts w:ascii="Times New Roman" w:hAnsi="Times New Roman" w:cs="Times New Roman"/>
        </w:rPr>
        <w:t>1) holders of Hong Kong Identity Card issued under the Registration of Persons Ordinance (C</w:t>
      </w:r>
      <w:r>
        <w:rPr>
          <w:rFonts w:ascii="Times New Roman" w:hAnsi="Times New Roman" w:cs="Times New Roman"/>
        </w:rPr>
        <w:t>ap.</w:t>
      </w:r>
      <w:r w:rsidRPr="00B8143C">
        <w:rPr>
          <w:rFonts w:ascii="Times New Roman" w:hAnsi="Times New Roman" w:cs="Times New Roman"/>
        </w:rPr>
        <w:t xml:space="preserve"> 177), except those who obtained their Hong Kong Identity Card by virtue of a previous permission to land or remain in Hong Kong granted to them and such permission has expired or ceased to be valid; </w:t>
      </w:r>
      <w:r>
        <w:rPr>
          <w:rFonts w:ascii="Times New Roman" w:hAnsi="Times New Roman" w:cs="Times New Roman"/>
        </w:rPr>
        <w:t>(</w:t>
      </w:r>
      <w:r w:rsidRPr="00B8143C">
        <w:rPr>
          <w:rFonts w:ascii="Times New Roman" w:hAnsi="Times New Roman" w:cs="Times New Roman"/>
        </w:rPr>
        <w:t xml:space="preserve">2) children who are Hong Kong residents and under 11 years of age; or </w:t>
      </w:r>
      <w:r>
        <w:rPr>
          <w:rFonts w:ascii="Times New Roman" w:hAnsi="Times New Roman" w:cs="Times New Roman"/>
        </w:rPr>
        <w:t>(</w:t>
      </w:r>
      <w:r w:rsidRPr="00B8143C">
        <w:rPr>
          <w:rFonts w:ascii="Times New Roman" w:hAnsi="Times New Roman" w:cs="Times New Roman"/>
        </w:rPr>
        <w:t>3) other persons approved by the Chief Executive of the Hospital Authority.</w:t>
      </w:r>
    </w:p>
    <w:p w:rsidR="005C444F" w:rsidRPr="00B8143C" w:rsidRDefault="005C444F" w:rsidP="00516C15">
      <w:pPr>
        <w:pStyle w:val="ac"/>
        <w:ind w:left="284" w:hangingChars="142" w:hanging="284"/>
        <w:jc w:val="both"/>
        <w:rPr>
          <w:rFonts w:ascii="Times New Roman" w:hAnsi="Times New Roman" w:cs="Times New Roman"/>
        </w:rPr>
      </w:pPr>
    </w:p>
  </w:footnote>
  <w:footnote w:id="2">
    <w:p w:rsidR="005C444F" w:rsidRDefault="005C444F" w:rsidP="00516C15">
      <w:pPr>
        <w:pStyle w:val="ac"/>
        <w:ind w:left="284" w:hangingChars="142" w:hanging="284"/>
        <w:jc w:val="both"/>
      </w:pPr>
      <w:r w:rsidRPr="00B8143C">
        <w:rPr>
          <w:rStyle w:val="ae"/>
          <w:rFonts w:ascii="Times New Roman" w:hAnsi="Times New Roman" w:cs="Times New Roman"/>
        </w:rPr>
        <w:footnoteRef/>
      </w:r>
      <w:r w:rsidRPr="00B8143C">
        <w:rPr>
          <w:rFonts w:ascii="Times New Roman" w:hAnsi="Times New Roman" w:cs="Times New Roman"/>
        </w:rPr>
        <w:t xml:space="preserve"> </w:t>
      </w:r>
      <w:r>
        <w:rPr>
          <w:rFonts w:ascii="Times New Roman" w:hAnsi="Times New Roman" w:cs="Times New Roman"/>
        </w:rPr>
        <w:tab/>
      </w:r>
      <w:r w:rsidRPr="00B8143C">
        <w:rPr>
          <w:rFonts w:ascii="Times New Roman" w:hAnsi="Times New Roman" w:cs="Times New Roman"/>
        </w:rPr>
        <w:t>Persons who are not Eligible Persons are classified as Non-eligible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4F" w:rsidRPr="0064278F" w:rsidRDefault="005C444F">
    <w:pPr>
      <w:pStyle w:val="a4"/>
      <w:jc w:val="center"/>
      <w:rPr>
        <w:rFonts w:ascii="Times New Roman" w:hAnsi="Times New Roman" w:cs="Times New Roman"/>
        <w:sz w:val="24"/>
        <w:szCs w:val="24"/>
      </w:rPr>
    </w:pPr>
  </w:p>
  <w:p w:rsidR="005C444F" w:rsidRDefault="005C44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D84"/>
    <w:multiLevelType w:val="hybridMultilevel"/>
    <w:tmpl w:val="2E7EE89C"/>
    <w:lvl w:ilvl="0" w:tplc="8D8245DA">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 w15:restartNumberingAfterBreak="0">
    <w:nsid w:val="1D1613EF"/>
    <w:multiLevelType w:val="hybridMultilevel"/>
    <w:tmpl w:val="C332F528"/>
    <w:lvl w:ilvl="0" w:tplc="1826ACA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E513E58"/>
    <w:multiLevelType w:val="hybridMultilevel"/>
    <w:tmpl w:val="FF88AF80"/>
    <w:lvl w:ilvl="0" w:tplc="678E1D96">
      <w:start w:val="1"/>
      <w:numFmt w:val="decimal"/>
      <w:lvlText w:val="%1."/>
      <w:lvlJc w:val="left"/>
      <w:pPr>
        <w:ind w:left="486" w:hanging="390"/>
      </w:pPr>
      <w:rPr>
        <w:rFonts w:cs="Times New Roman"/>
        <w:vertAlign w:val="superscript"/>
      </w:rPr>
    </w:lvl>
    <w:lvl w:ilvl="1" w:tplc="04090019">
      <w:start w:val="1"/>
      <w:numFmt w:val="ideographTraditional"/>
      <w:lvlText w:val="%2、"/>
      <w:lvlJc w:val="left"/>
      <w:pPr>
        <w:ind w:left="1056" w:hanging="480"/>
      </w:pPr>
      <w:rPr>
        <w:rFonts w:cs="Times New Roman"/>
      </w:rPr>
    </w:lvl>
    <w:lvl w:ilvl="2" w:tplc="0409001B">
      <w:start w:val="1"/>
      <w:numFmt w:val="lowerRoman"/>
      <w:lvlText w:val="%3."/>
      <w:lvlJc w:val="right"/>
      <w:pPr>
        <w:ind w:left="1536" w:hanging="480"/>
      </w:pPr>
      <w:rPr>
        <w:rFonts w:cs="Times New Roman"/>
      </w:rPr>
    </w:lvl>
    <w:lvl w:ilvl="3" w:tplc="0409000F">
      <w:start w:val="1"/>
      <w:numFmt w:val="decimal"/>
      <w:lvlText w:val="%4."/>
      <w:lvlJc w:val="left"/>
      <w:pPr>
        <w:ind w:left="2016" w:hanging="480"/>
      </w:pPr>
      <w:rPr>
        <w:rFonts w:cs="Times New Roman"/>
      </w:rPr>
    </w:lvl>
    <w:lvl w:ilvl="4" w:tplc="04090019">
      <w:start w:val="1"/>
      <w:numFmt w:val="ideographTraditional"/>
      <w:lvlText w:val="%5、"/>
      <w:lvlJc w:val="left"/>
      <w:pPr>
        <w:ind w:left="2496" w:hanging="480"/>
      </w:pPr>
      <w:rPr>
        <w:rFonts w:cs="Times New Roman"/>
      </w:rPr>
    </w:lvl>
    <w:lvl w:ilvl="5" w:tplc="0409001B">
      <w:start w:val="1"/>
      <w:numFmt w:val="lowerRoman"/>
      <w:lvlText w:val="%6."/>
      <w:lvlJc w:val="right"/>
      <w:pPr>
        <w:ind w:left="2976" w:hanging="480"/>
      </w:pPr>
      <w:rPr>
        <w:rFonts w:cs="Times New Roman"/>
      </w:rPr>
    </w:lvl>
    <w:lvl w:ilvl="6" w:tplc="0409000F">
      <w:start w:val="1"/>
      <w:numFmt w:val="decimal"/>
      <w:lvlText w:val="%7."/>
      <w:lvlJc w:val="left"/>
      <w:pPr>
        <w:ind w:left="3456" w:hanging="480"/>
      </w:pPr>
      <w:rPr>
        <w:rFonts w:cs="Times New Roman"/>
      </w:rPr>
    </w:lvl>
    <w:lvl w:ilvl="7" w:tplc="04090019">
      <w:start w:val="1"/>
      <w:numFmt w:val="ideographTraditional"/>
      <w:lvlText w:val="%8、"/>
      <w:lvlJc w:val="left"/>
      <w:pPr>
        <w:ind w:left="3936" w:hanging="480"/>
      </w:pPr>
      <w:rPr>
        <w:rFonts w:cs="Times New Roman"/>
      </w:rPr>
    </w:lvl>
    <w:lvl w:ilvl="8" w:tplc="0409001B">
      <w:start w:val="1"/>
      <w:numFmt w:val="lowerRoman"/>
      <w:lvlText w:val="%9."/>
      <w:lvlJc w:val="right"/>
      <w:pPr>
        <w:ind w:left="4416" w:hanging="480"/>
      </w:pPr>
      <w:rPr>
        <w:rFonts w:cs="Times New Roman"/>
      </w:rPr>
    </w:lvl>
  </w:abstractNum>
  <w:abstractNum w:abstractNumId="3" w15:restartNumberingAfterBreak="0">
    <w:nsid w:val="681070DE"/>
    <w:multiLevelType w:val="hybridMultilevel"/>
    <w:tmpl w:val="A788BFB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7EB95DBD"/>
    <w:multiLevelType w:val="hybridMultilevel"/>
    <w:tmpl w:val="3C76E2B8"/>
    <w:lvl w:ilvl="0" w:tplc="76A88462">
      <w:start w:val="2020"/>
      <w:numFmt w:val="bullet"/>
      <w:lvlText w:val="-"/>
      <w:lvlJc w:val="left"/>
      <w:pPr>
        <w:ind w:left="816" w:hanging="360"/>
      </w:pPr>
      <w:rPr>
        <w:rFonts w:ascii="Times New Roman" w:eastAsia="新細明體" w:hAnsi="Times New Roman" w:cs="Times New Roman"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83"/>
    <w:rsid w:val="00000522"/>
    <w:rsid w:val="0001178C"/>
    <w:rsid w:val="0001327B"/>
    <w:rsid w:val="000145A8"/>
    <w:rsid w:val="000156D1"/>
    <w:rsid w:val="000235C2"/>
    <w:rsid w:val="00030B1C"/>
    <w:rsid w:val="00034121"/>
    <w:rsid w:val="00036010"/>
    <w:rsid w:val="00043A2B"/>
    <w:rsid w:val="00050064"/>
    <w:rsid w:val="000534BB"/>
    <w:rsid w:val="000535F9"/>
    <w:rsid w:val="000558C9"/>
    <w:rsid w:val="000576C4"/>
    <w:rsid w:val="00057B5A"/>
    <w:rsid w:val="00062E95"/>
    <w:rsid w:val="00063324"/>
    <w:rsid w:val="00063C4E"/>
    <w:rsid w:val="00070E54"/>
    <w:rsid w:val="0007233F"/>
    <w:rsid w:val="00082E71"/>
    <w:rsid w:val="00083C8B"/>
    <w:rsid w:val="000846FB"/>
    <w:rsid w:val="00084F64"/>
    <w:rsid w:val="00091B1E"/>
    <w:rsid w:val="000945F8"/>
    <w:rsid w:val="00095412"/>
    <w:rsid w:val="000A15AB"/>
    <w:rsid w:val="000A48AD"/>
    <w:rsid w:val="000A63A0"/>
    <w:rsid w:val="000A79DF"/>
    <w:rsid w:val="000B2D28"/>
    <w:rsid w:val="000B4092"/>
    <w:rsid w:val="000B5CC7"/>
    <w:rsid w:val="000C59C0"/>
    <w:rsid w:val="000D1932"/>
    <w:rsid w:val="000D1A89"/>
    <w:rsid w:val="000D74AC"/>
    <w:rsid w:val="000E387E"/>
    <w:rsid w:val="000F324C"/>
    <w:rsid w:val="000F3263"/>
    <w:rsid w:val="000F3589"/>
    <w:rsid w:val="000F76BC"/>
    <w:rsid w:val="001002A0"/>
    <w:rsid w:val="00100F72"/>
    <w:rsid w:val="00102269"/>
    <w:rsid w:val="00103958"/>
    <w:rsid w:val="00105B5C"/>
    <w:rsid w:val="00105D6B"/>
    <w:rsid w:val="001179E7"/>
    <w:rsid w:val="0012013E"/>
    <w:rsid w:val="0012085A"/>
    <w:rsid w:val="00123493"/>
    <w:rsid w:val="00126026"/>
    <w:rsid w:val="001264E1"/>
    <w:rsid w:val="001306CD"/>
    <w:rsid w:val="00135BDE"/>
    <w:rsid w:val="00140E0A"/>
    <w:rsid w:val="00142FD7"/>
    <w:rsid w:val="00146889"/>
    <w:rsid w:val="00151D88"/>
    <w:rsid w:val="001627C5"/>
    <w:rsid w:val="001653CB"/>
    <w:rsid w:val="00191FB4"/>
    <w:rsid w:val="00193606"/>
    <w:rsid w:val="00194AF4"/>
    <w:rsid w:val="00197D01"/>
    <w:rsid w:val="001A179C"/>
    <w:rsid w:val="001A261A"/>
    <w:rsid w:val="001A4E75"/>
    <w:rsid w:val="001A63EC"/>
    <w:rsid w:val="001A667A"/>
    <w:rsid w:val="001B090B"/>
    <w:rsid w:val="001B1218"/>
    <w:rsid w:val="001B33E8"/>
    <w:rsid w:val="001C1369"/>
    <w:rsid w:val="001C1E34"/>
    <w:rsid w:val="001C25D1"/>
    <w:rsid w:val="001C49F3"/>
    <w:rsid w:val="001C5520"/>
    <w:rsid w:val="001C6750"/>
    <w:rsid w:val="001D02EA"/>
    <w:rsid w:val="001D1129"/>
    <w:rsid w:val="001D429C"/>
    <w:rsid w:val="001E4AA2"/>
    <w:rsid w:val="001E4D10"/>
    <w:rsid w:val="001F0517"/>
    <w:rsid w:val="001F39F4"/>
    <w:rsid w:val="001F4565"/>
    <w:rsid w:val="001F62F1"/>
    <w:rsid w:val="001F7BA9"/>
    <w:rsid w:val="00200533"/>
    <w:rsid w:val="002033FC"/>
    <w:rsid w:val="00207457"/>
    <w:rsid w:val="00214E2E"/>
    <w:rsid w:val="00215099"/>
    <w:rsid w:val="00216F0E"/>
    <w:rsid w:val="00217CFB"/>
    <w:rsid w:val="00222C13"/>
    <w:rsid w:val="00223186"/>
    <w:rsid w:val="002302F1"/>
    <w:rsid w:val="00232000"/>
    <w:rsid w:val="0024458C"/>
    <w:rsid w:val="002519CE"/>
    <w:rsid w:val="00251B78"/>
    <w:rsid w:val="00252A47"/>
    <w:rsid w:val="00260609"/>
    <w:rsid w:val="00260B5D"/>
    <w:rsid w:val="00265762"/>
    <w:rsid w:val="0027274C"/>
    <w:rsid w:val="00272C52"/>
    <w:rsid w:val="00272EF0"/>
    <w:rsid w:val="0027381F"/>
    <w:rsid w:val="002742F6"/>
    <w:rsid w:val="002807C3"/>
    <w:rsid w:val="00280951"/>
    <w:rsid w:val="002818BA"/>
    <w:rsid w:val="00282E66"/>
    <w:rsid w:val="00285AAF"/>
    <w:rsid w:val="002865C3"/>
    <w:rsid w:val="0029201B"/>
    <w:rsid w:val="00293007"/>
    <w:rsid w:val="00293E05"/>
    <w:rsid w:val="002952B6"/>
    <w:rsid w:val="00296972"/>
    <w:rsid w:val="002A013C"/>
    <w:rsid w:val="002A10EB"/>
    <w:rsid w:val="002B0C03"/>
    <w:rsid w:val="002B4554"/>
    <w:rsid w:val="002B7FE0"/>
    <w:rsid w:val="002C25EF"/>
    <w:rsid w:val="002C26DF"/>
    <w:rsid w:val="002C6955"/>
    <w:rsid w:val="002D034B"/>
    <w:rsid w:val="002E22C9"/>
    <w:rsid w:val="002E548C"/>
    <w:rsid w:val="002F0400"/>
    <w:rsid w:val="002F1DAD"/>
    <w:rsid w:val="002F2118"/>
    <w:rsid w:val="002F2306"/>
    <w:rsid w:val="002F59A6"/>
    <w:rsid w:val="00303BA7"/>
    <w:rsid w:val="00303E2F"/>
    <w:rsid w:val="00304069"/>
    <w:rsid w:val="00306383"/>
    <w:rsid w:val="00311AB8"/>
    <w:rsid w:val="003137EF"/>
    <w:rsid w:val="00313A3A"/>
    <w:rsid w:val="003211EA"/>
    <w:rsid w:val="003212DC"/>
    <w:rsid w:val="00325E76"/>
    <w:rsid w:val="00326421"/>
    <w:rsid w:val="00330310"/>
    <w:rsid w:val="00331FC9"/>
    <w:rsid w:val="003340C2"/>
    <w:rsid w:val="003460B2"/>
    <w:rsid w:val="0034724C"/>
    <w:rsid w:val="00351CB3"/>
    <w:rsid w:val="00354E4B"/>
    <w:rsid w:val="00355783"/>
    <w:rsid w:val="003557EF"/>
    <w:rsid w:val="0037369A"/>
    <w:rsid w:val="003751E9"/>
    <w:rsid w:val="003760C1"/>
    <w:rsid w:val="00380C5D"/>
    <w:rsid w:val="003821B4"/>
    <w:rsid w:val="00384C41"/>
    <w:rsid w:val="00385C9A"/>
    <w:rsid w:val="00393612"/>
    <w:rsid w:val="003A0F79"/>
    <w:rsid w:val="003A35B7"/>
    <w:rsid w:val="003A3D0E"/>
    <w:rsid w:val="003A7F97"/>
    <w:rsid w:val="003B6863"/>
    <w:rsid w:val="003C2141"/>
    <w:rsid w:val="003C6258"/>
    <w:rsid w:val="003D1475"/>
    <w:rsid w:val="003D2295"/>
    <w:rsid w:val="003D457D"/>
    <w:rsid w:val="003E4D25"/>
    <w:rsid w:val="003F1A23"/>
    <w:rsid w:val="003F7E80"/>
    <w:rsid w:val="00400640"/>
    <w:rsid w:val="00400DF0"/>
    <w:rsid w:val="00402061"/>
    <w:rsid w:val="00407F7D"/>
    <w:rsid w:val="00411514"/>
    <w:rsid w:val="004136FD"/>
    <w:rsid w:val="00413FB1"/>
    <w:rsid w:val="00415D58"/>
    <w:rsid w:val="00424DF2"/>
    <w:rsid w:val="0042796A"/>
    <w:rsid w:val="0042798C"/>
    <w:rsid w:val="004322AC"/>
    <w:rsid w:val="004339CF"/>
    <w:rsid w:val="00433C36"/>
    <w:rsid w:val="00435255"/>
    <w:rsid w:val="00436E66"/>
    <w:rsid w:val="00441AA7"/>
    <w:rsid w:val="004469F4"/>
    <w:rsid w:val="00450153"/>
    <w:rsid w:val="0045258A"/>
    <w:rsid w:val="00453B7D"/>
    <w:rsid w:val="00454186"/>
    <w:rsid w:val="004544B4"/>
    <w:rsid w:val="004574B5"/>
    <w:rsid w:val="00463C24"/>
    <w:rsid w:val="00467CD0"/>
    <w:rsid w:val="00485C8E"/>
    <w:rsid w:val="004901DB"/>
    <w:rsid w:val="004902FC"/>
    <w:rsid w:val="0049198E"/>
    <w:rsid w:val="00494F4D"/>
    <w:rsid w:val="00495460"/>
    <w:rsid w:val="00495ECA"/>
    <w:rsid w:val="004971C4"/>
    <w:rsid w:val="004A047B"/>
    <w:rsid w:val="004A3A83"/>
    <w:rsid w:val="004A753F"/>
    <w:rsid w:val="004B0466"/>
    <w:rsid w:val="004B5F16"/>
    <w:rsid w:val="004B6CBB"/>
    <w:rsid w:val="004B73FA"/>
    <w:rsid w:val="004C24B4"/>
    <w:rsid w:val="004C3B3C"/>
    <w:rsid w:val="004C5A65"/>
    <w:rsid w:val="004D09BB"/>
    <w:rsid w:val="004D6452"/>
    <w:rsid w:val="004E1ECD"/>
    <w:rsid w:val="004E3783"/>
    <w:rsid w:val="004E453B"/>
    <w:rsid w:val="004E570D"/>
    <w:rsid w:val="004E6A8D"/>
    <w:rsid w:val="004F3304"/>
    <w:rsid w:val="004F6161"/>
    <w:rsid w:val="005008CA"/>
    <w:rsid w:val="00505BE2"/>
    <w:rsid w:val="00506A5D"/>
    <w:rsid w:val="005130A7"/>
    <w:rsid w:val="00516C15"/>
    <w:rsid w:val="00516DFA"/>
    <w:rsid w:val="00532A5D"/>
    <w:rsid w:val="005339D9"/>
    <w:rsid w:val="00537678"/>
    <w:rsid w:val="0054300C"/>
    <w:rsid w:val="005449D8"/>
    <w:rsid w:val="00546B9B"/>
    <w:rsid w:val="00550DB8"/>
    <w:rsid w:val="00556D4A"/>
    <w:rsid w:val="00562086"/>
    <w:rsid w:val="005674E6"/>
    <w:rsid w:val="0057415E"/>
    <w:rsid w:val="0057720B"/>
    <w:rsid w:val="005813D7"/>
    <w:rsid w:val="00581C38"/>
    <w:rsid w:val="0058422E"/>
    <w:rsid w:val="0058461F"/>
    <w:rsid w:val="00586005"/>
    <w:rsid w:val="005868E0"/>
    <w:rsid w:val="00586DD4"/>
    <w:rsid w:val="00590DE5"/>
    <w:rsid w:val="00591A1C"/>
    <w:rsid w:val="005A176C"/>
    <w:rsid w:val="005A7C81"/>
    <w:rsid w:val="005B0F03"/>
    <w:rsid w:val="005B2A94"/>
    <w:rsid w:val="005C444F"/>
    <w:rsid w:val="005C6670"/>
    <w:rsid w:val="005C7185"/>
    <w:rsid w:val="005D2546"/>
    <w:rsid w:val="005D4294"/>
    <w:rsid w:val="005D5A94"/>
    <w:rsid w:val="005D6D45"/>
    <w:rsid w:val="005E2BE5"/>
    <w:rsid w:val="005E3C03"/>
    <w:rsid w:val="005E4692"/>
    <w:rsid w:val="005F4296"/>
    <w:rsid w:val="005F601E"/>
    <w:rsid w:val="005F61DC"/>
    <w:rsid w:val="0060398E"/>
    <w:rsid w:val="00604D66"/>
    <w:rsid w:val="00607FB8"/>
    <w:rsid w:val="00610E7A"/>
    <w:rsid w:val="006121DD"/>
    <w:rsid w:val="00621749"/>
    <w:rsid w:val="00626C26"/>
    <w:rsid w:val="00627BB0"/>
    <w:rsid w:val="00630115"/>
    <w:rsid w:val="0063070A"/>
    <w:rsid w:val="00634D23"/>
    <w:rsid w:val="006363F3"/>
    <w:rsid w:val="006364C6"/>
    <w:rsid w:val="006365ED"/>
    <w:rsid w:val="006378D5"/>
    <w:rsid w:val="006401F9"/>
    <w:rsid w:val="006411E7"/>
    <w:rsid w:val="0064278F"/>
    <w:rsid w:val="00643313"/>
    <w:rsid w:val="00646A6F"/>
    <w:rsid w:val="0065187E"/>
    <w:rsid w:val="0066054F"/>
    <w:rsid w:val="00663401"/>
    <w:rsid w:val="00663E7E"/>
    <w:rsid w:val="00667124"/>
    <w:rsid w:val="00667845"/>
    <w:rsid w:val="0067055C"/>
    <w:rsid w:val="00674E71"/>
    <w:rsid w:val="00676A9C"/>
    <w:rsid w:val="00684C55"/>
    <w:rsid w:val="00687DB0"/>
    <w:rsid w:val="00694A29"/>
    <w:rsid w:val="006A130A"/>
    <w:rsid w:val="006A49FF"/>
    <w:rsid w:val="006A7C33"/>
    <w:rsid w:val="006B0A63"/>
    <w:rsid w:val="006B4EBE"/>
    <w:rsid w:val="006C21A6"/>
    <w:rsid w:val="006C7F97"/>
    <w:rsid w:val="006D0713"/>
    <w:rsid w:val="006D2937"/>
    <w:rsid w:val="006D2AD9"/>
    <w:rsid w:val="006E0D1A"/>
    <w:rsid w:val="006E1E1E"/>
    <w:rsid w:val="006F7D7E"/>
    <w:rsid w:val="0070503A"/>
    <w:rsid w:val="00707B26"/>
    <w:rsid w:val="0071699A"/>
    <w:rsid w:val="00723AB5"/>
    <w:rsid w:val="00726033"/>
    <w:rsid w:val="00727201"/>
    <w:rsid w:val="007416CE"/>
    <w:rsid w:val="00741B34"/>
    <w:rsid w:val="0074248A"/>
    <w:rsid w:val="00742623"/>
    <w:rsid w:val="007445FF"/>
    <w:rsid w:val="0075095C"/>
    <w:rsid w:val="00751636"/>
    <w:rsid w:val="00754BA1"/>
    <w:rsid w:val="00755471"/>
    <w:rsid w:val="00756C1D"/>
    <w:rsid w:val="007628C3"/>
    <w:rsid w:val="00762E53"/>
    <w:rsid w:val="0076636C"/>
    <w:rsid w:val="00770241"/>
    <w:rsid w:val="00770CA5"/>
    <w:rsid w:val="00771B83"/>
    <w:rsid w:val="007762F2"/>
    <w:rsid w:val="00781FC4"/>
    <w:rsid w:val="00782221"/>
    <w:rsid w:val="007822CD"/>
    <w:rsid w:val="00784D90"/>
    <w:rsid w:val="00785BD1"/>
    <w:rsid w:val="00786AD9"/>
    <w:rsid w:val="00792794"/>
    <w:rsid w:val="0079516D"/>
    <w:rsid w:val="007A3557"/>
    <w:rsid w:val="007A3D43"/>
    <w:rsid w:val="007A6B36"/>
    <w:rsid w:val="007B7663"/>
    <w:rsid w:val="007B7C0F"/>
    <w:rsid w:val="007C610C"/>
    <w:rsid w:val="007C6310"/>
    <w:rsid w:val="007C7E04"/>
    <w:rsid w:val="007D1D2C"/>
    <w:rsid w:val="007D2538"/>
    <w:rsid w:val="007D2B93"/>
    <w:rsid w:val="007D6DF1"/>
    <w:rsid w:val="007E6643"/>
    <w:rsid w:val="007E74B1"/>
    <w:rsid w:val="007F0C35"/>
    <w:rsid w:val="007F11B9"/>
    <w:rsid w:val="007F47D8"/>
    <w:rsid w:val="007F5B5C"/>
    <w:rsid w:val="00802122"/>
    <w:rsid w:val="0080311E"/>
    <w:rsid w:val="0081124B"/>
    <w:rsid w:val="008129F4"/>
    <w:rsid w:val="00821059"/>
    <w:rsid w:val="008215CB"/>
    <w:rsid w:val="0082270A"/>
    <w:rsid w:val="00823815"/>
    <w:rsid w:val="00825CCF"/>
    <w:rsid w:val="00826E90"/>
    <w:rsid w:val="00826F84"/>
    <w:rsid w:val="00834C62"/>
    <w:rsid w:val="00835BBB"/>
    <w:rsid w:val="00836075"/>
    <w:rsid w:val="008360A3"/>
    <w:rsid w:val="00850758"/>
    <w:rsid w:val="008520F1"/>
    <w:rsid w:val="008558D1"/>
    <w:rsid w:val="00857ECE"/>
    <w:rsid w:val="0086041F"/>
    <w:rsid w:val="0086527C"/>
    <w:rsid w:val="008729D0"/>
    <w:rsid w:val="008732C3"/>
    <w:rsid w:val="008761E7"/>
    <w:rsid w:val="00883B05"/>
    <w:rsid w:val="008865FF"/>
    <w:rsid w:val="008924FD"/>
    <w:rsid w:val="008937D3"/>
    <w:rsid w:val="008977E5"/>
    <w:rsid w:val="008A166F"/>
    <w:rsid w:val="008A7B2E"/>
    <w:rsid w:val="008B1218"/>
    <w:rsid w:val="008B4204"/>
    <w:rsid w:val="008C117C"/>
    <w:rsid w:val="008C187F"/>
    <w:rsid w:val="008C2EDA"/>
    <w:rsid w:val="008C6A01"/>
    <w:rsid w:val="008C6D4D"/>
    <w:rsid w:val="008D11B5"/>
    <w:rsid w:val="008D3FC9"/>
    <w:rsid w:val="008D59B3"/>
    <w:rsid w:val="008E6455"/>
    <w:rsid w:val="008E6599"/>
    <w:rsid w:val="008E6945"/>
    <w:rsid w:val="008F33CB"/>
    <w:rsid w:val="008F5221"/>
    <w:rsid w:val="009024F0"/>
    <w:rsid w:val="009041DD"/>
    <w:rsid w:val="00905C71"/>
    <w:rsid w:val="009103BC"/>
    <w:rsid w:val="00910C73"/>
    <w:rsid w:val="00916DCA"/>
    <w:rsid w:val="009225AE"/>
    <w:rsid w:val="009265C1"/>
    <w:rsid w:val="00930753"/>
    <w:rsid w:val="00935664"/>
    <w:rsid w:val="009377BC"/>
    <w:rsid w:val="009501F2"/>
    <w:rsid w:val="009530A5"/>
    <w:rsid w:val="009550FB"/>
    <w:rsid w:val="0096164F"/>
    <w:rsid w:val="0096232F"/>
    <w:rsid w:val="0096464D"/>
    <w:rsid w:val="00980DED"/>
    <w:rsid w:val="00984964"/>
    <w:rsid w:val="0098549C"/>
    <w:rsid w:val="0098732D"/>
    <w:rsid w:val="00990068"/>
    <w:rsid w:val="00994FFD"/>
    <w:rsid w:val="00995E06"/>
    <w:rsid w:val="00996613"/>
    <w:rsid w:val="009B0B45"/>
    <w:rsid w:val="009B2AE3"/>
    <w:rsid w:val="009B5E49"/>
    <w:rsid w:val="009B66E4"/>
    <w:rsid w:val="009B7674"/>
    <w:rsid w:val="009C0546"/>
    <w:rsid w:val="009C0839"/>
    <w:rsid w:val="009C55C5"/>
    <w:rsid w:val="009C597F"/>
    <w:rsid w:val="009D418E"/>
    <w:rsid w:val="009D4858"/>
    <w:rsid w:val="009D6BFE"/>
    <w:rsid w:val="009D6DDA"/>
    <w:rsid w:val="009D7DDC"/>
    <w:rsid w:val="009E3037"/>
    <w:rsid w:val="009E373B"/>
    <w:rsid w:val="009E4E45"/>
    <w:rsid w:val="009E57BB"/>
    <w:rsid w:val="009E7C48"/>
    <w:rsid w:val="009E7EC0"/>
    <w:rsid w:val="009F2957"/>
    <w:rsid w:val="009F6C56"/>
    <w:rsid w:val="009F7F67"/>
    <w:rsid w:val="00A012C1"/>
    <w:rsid w:val="00A0301E"/>
    <w:rsid w:val="00A0596C"/>
    <w:rsid w:val="00A13D6A"/>
    <w:rsid w:val="00A1575B"/>
    <w:rsid w:val="00A15F98"/>
    <w:rsid w:val="00A16478"/>
    <w:rsid w:val="00A333DA"/>
    <w:rsid w:val="00A437C1"/>
    <w:rsid w:val="00A43954"/>
    <w:rsid w:val="00A451F4"/>
    <w:rsid w:val="00A4520A"/>
    <w:rsid w:val="00A456F9"/>
    <w:rsid w:val="00A52003"/>
    <w:rsid w:val="00A54973"/>
    <w:rsid w:val="00A55C29"/>
    <w:rsid w:val="00A56877"/>
    <w:rsid w:val="00A5734B"/>
    <w:rsid w:val="00A63AC5"/>
    <w:rsid w:val="00A64530"/>
    <w:rsid w:val="00A64BB5"/>
    <w:rsid w:val="00A762F8"/>
    <w:rsid w:val="00A83BC3"/>
    <w:rsid w:val="00A875C2"/>
    <w:rsid w:val="00A87602"/>
    <w:rsid w:val="00A9004B"/>
    <w:rsid w:val="00A90154"/>
    <w:rsid w:val="00A94D29"/>
    <w:rsid w:val="00AA35D5"/>
    <w:rsid w:val="00AA71E4"/>
    <w:rsid w:val="00AB4360"/>
    <w:rsid w:val="00AB4F3B"/>
    <w:rsid w:val="00AB5584"/>
    <w:rsid w:val="00AB681A"/>
    <w:rsid w:val="00AC06B6"/>
    <w:rsid w:val="00AC077D"/>
    <w:rsid w:val="00AD2B96"/>
    <w:rsid w:val="00AE575E"/>
    <w:rsid w:val="00AE6153"/>
    <w:rsid w:val="00AE6464"/>
    <w:rsid w:val="00AE7BBE"/>
    <w:rsid w:val="00AF07F6"/>
    <w:rsid w:val="00AF3184"/>
    <w:rsid w:val="00B03E38"/>
    <w:rsid w:val="00B20132"/>
    <w:rsid w:val="00B225A5"/>
    <w:rsid w:val="00B22F93"/>
    <w:rsid w:val="00B23A79"/>
    <w:rsid w:val="00B33DCC"/>
    <w:rsid w:val="00B34F2D"/>
    <w:rsid w:val="00B51C4E"/>
    <w:rsid w:val="00B53057"/>
    <w:rsid w:val="00B543ED"/>
    <w:rsid w:val="00B60269"/>
    <w:rsid w:val="00B67561"/>
    <w:rsid w:val="00B73C74"/>
    <w:rsid w:val="00B74D81"/>
    <w:rsid w:val="00B75DD0"/>
    <w:rsid w:val="00B8004A"/>
    <w:rsid w:val="00B90E45"/>
    <w:rsid w:val="00B935D7"/>
    <w:rsid w:val="00B9499B"/>
    <w:rsid w:val="00B94E73"/>
    <w:rsid w:val="00BA0784"/>
    <w:rsid w:val="00BA51DE"/>
    <w:rsid w:val="00BB269B"/>
    <w:rsid w:val="00BB710F"/>
    <w:rsid w:val="00BB734A"/>
    <w:rsid w:val="00BC6DAC"/>
    <w:rsid w:val="00BC7F43"/>
    <w:rsid w:val="00BD0026"/>
    <w:rsid w:val="00BD1C56"/>
    <w:rsid w:val="00BD74B0"/>
    <w:rsid w:val="00BE4FD4"/>
    <w:rsid w:val="00BF1602"/>
    <w:rsid w:val="00BF1DF3"/>
    <w:rsid w:val="00BF2237"/>
    <w:rsid w:val="00BF2F8F"/>
    <w:rsid w:val="00BF316E"/>
    <w:rsid w:val="00BF5655"/>
    <w:rsid w:val="00BF70AC"/>
    <w:rsid w:val="00C010E0"/>
    <w:rsid w:val="00C029D3"/>
    <w:rsid w:val="00C03535"/>
    <w:rsid w:val="00C05DDB"/>
    <w:rsid w:val="00C065BE"/>
    <w:rsid w:val="00C06D51"/>
    <w:rsid w:val="00C10CD5"/>
    <w:rsid w:val="00C12983"/>
    <w:rsid w:val="00C12A5E"/>
    <w:rsid w:val="00C243DC"/>
    <w:rsid w:val="00C33234"/>
    <w:rsid w:val="00C36070"/>
    <w:rsid w:val="00C4139E"/>
    <w:rsid w:val="00C44827"/>
    <w:rsid w:val="00C50A17"/>
    <w:rsid w:val="00C54B5D"/>
    <w:rsid w:val="00C60914"/>
    <w:rsid w:val="00C625FE"/>
    <w:rsid w:val="00C63B15"/>
    <w:rsid w:val="00C65E3B"/>
    <w:rsid w:val="00C80DF4"/>
    <w:rsid w:val="00C8555C"/>
    <w:rsid w:val="00C8571E"/>
    <w:rsid w:val="00C8731E"/>
    <w:rsid w:val="00C91793"/>
    <w:rsid w:val="00CA01AA"/>
    <w:rsid w:val="00CA3012"/>
    <w:rsid w:val="00CB7DB8"/>
    <w:rsid w:val="00CC1783"/>
    <w:rsid w:val="00CC3F36"/>
    <w:rsid w:val="00CC5EF3"/>
    <w:rsid w:val="00CC7388"/>
    <w:rsid w:val="00CD2F12"/>
    <w:rsid w:val="00CE00C8"/>
    <w:rsid w:val="00CE5008"/>
    <w:rsid w:val="00CF01F9"/>
    <w:rsid w:val="00CF0B98"/>
    <w:rsid w:val="00CF11E3"/>
    <w:rsid w:val="00CF4228"/>
    <w:rsid w:val="00D00FF8"/>
    <w:rsid w:val="00D041A1"/>
    <w:rsid w:val="00D06828"/>
    <w:rsid w:val="00D102A8"/>
    <w:rsid w:val="00D14608"/>
    <w:rsid w:val="00D15692"/>
    <w:rsid w:val="00D30519"/>
    <w:rsid w:val="00D37978"/>
    <w:rsid w:val="00D37A18"/>
    <w:rsid w:val="00D410DB"/>
    <w:rsid w:val="00D429F5"/>
    <w:rsid w:val="00D43096"/>
    <w:rsid w:val="00D43699"/>
    <w:rsid w:val="00D47956"/>
    <w:rsid w:val="00D530E0"/>
    <w:rsid w:val="00D57EA5"/>
    <w:rsid w:val="00D60F83"/>
    <w:rsid w:val="00D73302"/>
    <w:rsid w:val="00D737C8"/>
    <w:rsid w:val="00D76144"/>
    <w:rsid w:val="00D860A3"/>
    <w:rsid w:val="00D92948"/>
    <w:rsid w:val="00DB22B5"/>
    <w:rsid w:val="00DB74EE"/>
    <w:rsid w:val="00DC2C11"/>
    <w:rsid w:val="00DC34C6"/>
    <w:rsid w:val="00DC3C1E"/>
    <w:rsid w:val="00DC436F"/>
    <w:rsid w:val="00DC4450"/>
    <w:rsid w:val="00DC4F6C"/>
    <w:rsid w:val="00DC751D"/>
    <w:rsid w:val="00DD356D"/>
    <w:rsid w:val="00DD673E"/>
    <w:rsid w:val="00DD7A44"/>
    <w:rsid w:val="00DE19E3"/>
    <w:rsid w:val="00DE4292"/>
    <w:rsid w:val="00DE4E5F"/>
    <w:rsid w:val="00DE5C3F"/>
    <w:rsid w:val="00DE5DFD"/>
    <w:rsid w:val="00DF03A4"/>
    <w:rsid w:val="00DF1FDA"/>
    <w:rsid w:val="00DF2371"/>
    <w:rsid w:val="00DF5A54"/>
    <w:rsid w:val="00DF5CC7"/>
    <w:rsid w:val="00E0092D"/>
    <w:rsid w:val="00E01E39"/>
    <w:rsid w:val="00E02BEF"/>
    <w:rsid w:val="00E15AC8"/>
    <w:rsid w:val="00E20BE7"/>
    <w:rsid w:val="00E30389"/>
    <w:rsid w:val="00E310D1"/>
    <w:rsid w:val="00E32564"/>
    <w:rsid w:val="00E349F5"/>
    <w:rsid w:val="00E54F4E"/>
    <w:rsid w:val="00E551C3"/>
    <w:rsid w:val="00E609C8"/>
    <w:rsid w:val="00E61FC4"/>
    <w:rsid w:val="00E642AB"/>
    <w:rsid w:val="00E708BA"/>
    <w:rsid w:val="00E741FD"/>
    <w:rsid w:val="00E749FA"/>
    <w:rsid w:val="00E82DB2"/>
    <w:rsid w:val="00E86D01"/>
    <w:rsid w:val="00E933E7"/>
    <w:rsid w:val="00EA1C82"/>
    <w:rsid w:val="00EA2F10"/>
    <w:rsid w:val="00EA3892"/>
    <w:rsid w:val="00EA3AB3"/>
    <w:rsid w:val="00EA4EC4"/>
    <w:rsid w:val="00EA5BF5"/>
    <w:rsid w:val="00EA5C39"/>
    <w:rsid w:val="00EB50DA"/>
    <w:rsid w:val="00EB7903"/>
    <w:rsid w:val="00EC2386"/>
    <w:rsid w:val="00ED290F"/>
    <w:rsid w:val="00ED50D3"/>
    <w:rsid w:val="00ED7AC5"/>
    <w:rsid w:val="00EE0DB8"/>
    <w:rsid w:val="00EE7FF2"/>
    <w:rsid w:val="00EF18EA"/>
    <w:rsid w:val="00EF22D5"/>
    <w:rsid w:val="00F00B03"/>
    <w:rsid w:val="00F05650"/>
    <w:rsid w:val="00F07593"/>
    <w:rsid w:val="00F16808"/>
    <w:rsid w:val="00F25354"/>
    <w:rsid w:val="00F25615"/>
    <w:rsid w:val="00F2577B"/>
    <w:rsid w:val="00F31B99"/>
    <w:rsid w:val="00F34AE5"/>
    <w:rsid w:val="00F3695A"/>
    <w:rsid w:val="00F37BDE"/>
    <w:rsid w:val="00F40FDC"/>
    <w:rsid w:val="00F440FA"/>
    <w:rsid w:val="00F45AB2"/>
    <w:rsid w:val="00F4644E"/>
    <w:rsid w:val="00F55233"/>
    <w:rsid w:val="00F565C1"/>
    <w:rsid w:val="00F638D8"/>
    <w:rsid w:val="00F66794"/>
    <w:rsid w:val="00F67D64"/>
    <w:rsid w:val="00F70AB3"/>
    <w:rsid w:val="00F73CE6"/>
    <w:rsid w:val="00F80D8B"/>
    <w:rsid w:val="00F84510"/>
    <w:rsid w:val="00F85EA6"/>
    <w:rsid w:val="00FA1BD3"/>
    <w:rsid w:val="00FA4306"/>
    <w:rsid w:val="00FB6D14"/>
    <w:rsid w:val="00FC00FF"/>
    <w:rsid w:val="00FC23E0"/>
    <w:rsid w:val="00FC33F8"/>
    <w:rsid w:val="00FC3D0C"/>
    <w:rsid w:val="00FC4DD8"/>
    <w:rsid w:val="00FD3317"/>
    <w:rsid w:val="00FD6B3E"/>
    <w:rsid w:val="00FE663A"/>
    <w:rsid w:val="00FE7562"/>
    <w:rsid w:val="00FE792F"/>
    <w:rsid w:val="00FF1FB7"/>
    <w:rsid w:val="00FF261E"/>
    <w:rsid w:val="00FF33D5"/>
    <w:rsid w:val="00FF3799"/>
    <w:rsid w:val="00FF4C35"/>
    <w:rsid w:val="00FF5379"/>
    <w:rsid w:val="00FF5615"/>
    <w:rsid w:val="00FF6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B08BE"/>
  <w15:chartTrackingRefBased/>
  <w15:docId w15:val="{F1444E65-982D-458F-AF2E-665E73E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CE6"/>
    <w:rPr>
      <w:color w:val="0563C1" w:themeColor="hyperlink"/>
      <w:u w:val="single"/>
    </w:rPr>
  </w:style>
  <w:style w:type="paragraph" w:styleId="a4">
    <w:name w:val="header"/>
    <w:basedOn w:val="a"/>
    <w:link w:val="a5"/>
    <w:uiPriority w:val="99"/>
    <w:unhideWhenUsed/>
    <w:rsid w:val="00E54F4E"/>
    <w:pPr>
      <w:tabs>
        <w:tab w:val="center" w:pos="4153"/>
        <w:tab w:val="right" w:pos="8306"/>
      </w:tabs>
      <w:snapToGrid w:val="0"/>
    </w:pPr>
    <w:rPr>
      <w:sz w:val="20"/>
      <w:szCs w:val="20"/>
    </w:rPr>
  </w:style>
  <w:style w:type="character" w:customStyle="1" w:styleId="a5">
    <w:name w:val="頁首 字元"/>
    <w:basedOn w:val="a0"/>
    <w:link w:val="a4"/>
    <w:uiPriority w:val="99"/>
    <w:rsid w:val="00E54F4E"/>
    <w:rPr>
      <w:sz w:val="20"/>
      <w:szCs w:val="20"/>
    </w:rPr>
  </w:style>
  <w:style w:type="paragraph" w:styleId="a6">
    <w:name w:val="footer"/>
    <w:basedOn w:val="a"/>
    <w:link w:val="a7"/>
    <w:uiPriority w:val="99"/>
    <w:unhideWhenUsed/>
    <w:rsid w:val="00E54F4E"/>
    <w:pPr>
      <w:tabs>
        <w:tab w:val="center" w:pos="4153"/>
        <w:tab w:val="right" w:pos="8306"/>
      </w:tabs>
      <w:snapToGrid w:val="0"/>
    </w:pPr>
    <w:rPr>
      <w:sz w:val="20"/>
      <w:szCs w:val="20"/>
    </w:rPr>
  </w:style>
  <w:style w:type="character" w:customStyle="1" w:styleId="a7">
    <w:name w:val="頁尾 字元"/>
    <w:basedOn w:val="a0"/>
    <w:link w:val="a6"/>
    <w:uiPriority w:val="99"/>
    <w:rsid w:val="00E54F4E"/>
    <w:rPr>
      <w:sz w:val="20"/>
      <w:szCs w:val="20"/>
    </w:rPr>
  </w:style>
  <w:style w:type="paragraph" w:styleId="a8">
    <w:name w:val="List Paragraph"/>
    <w:basedOn w:val="a"/>
    <w:uiPriority w:val="34"/>
    <w:qFormat/>
    <w:rsid w:val="009B2AE3"/>
    <w:pPr>
      <w:ind w:leftChars="200" w:left="480"/>
    </w:pPr>
  </w:style>
  <w:style w:type="paragraph" w:styleId="Web">
    <w:name w:val="Normal (Web)"/>
    <w:basedOn w:val="a"/>
    <w:uiPriority w:val="99"/>
    <w:unhideWhenUsed/>
    <w:rsid w:val="0058461F"/>
    <w:pPr>
      <w:widowControl/>
      <w:spacing w:before="100" w:beforeAutospacing="1" w:after="100" w:afterAutospacing="1"/>
    </w:pPr>
    <w:rPr>
      <w:rFonts w:ascii="Times New Roman" w:eastAsia="Times New Roman" w:hAnsi="Times New Roman" w:cs="Times New Roman"/>
      <w:kern w:val="0"/>
      <w:szCs w:val="24"/>
    </w:rPr>
  </w:style>
  <w:style w:type="paragraph" w:styleId="a9">
    <w:name w:val="Balloon Text"/>
    <w:basedOn w:val="a"/>
    <w:link w:val="aa"/>
    <w:uiPriority w:val="99"/>
    <w:semiHidden/>
    <w:unhideWhenUsed/>
    <w:rsid w:val="00142F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2FD7"/>
    <w:rPr>
      <w:rFonts w:asciiTheme="majorHAnsi" w:eastAsiaTheme="majorEastAsia" w:hAnsiTheme="majorHAnsi" w:cstheme="majorBidi"/>
      <w:sz w:val="18"/>
      <w:szCs w:val="18"/>
    </w:rPr>
  </w:style>
  <w:style w:type="character" w:styleId="ab">
    <w:name w:val="FollowedHyperlink"/>
    <w:basedOn w:val="a0"/>
    <w:uiPriority w:val="99"/>
    <w:semiHidden/>
    <w:unhideWhenUsed/>
    <w:rsid w:val="008C6D4D"/>
    <w:rPr>
      <w:color w:val="954F72" w:themeColor="followedHyperlink"/>
      <w:u w:val="single"/>
    </w:rPr>
  </w:style>
  <w:style w:type="paragraph" w:styleId="ac">
    <w:name w:val="footnote text"/>
    <w:basedOn w:val="a"/>
    <w:link w:val="ad"/>
    <w:uiPriority w:val="99"/>
    <w:unhideWhenUsed/>
    <w:rsid w:val="008C6D4D"/>
    <w:pPr>
      <w:snapToGrid w:val="0"/>
    </w:pPr>
    <w:rPr>
      <w:sz w:val="20"/>
      <w:szCs w:val="20"/>
    </w:rPr>
  </w:style>
  <w:style w:type="character" w:customStyle="1" w:styleId="ad">
    <w:name w:val="註腳文字 字元"/>
    <w:basedOn w:val="a0"/>
    <w:link w:val="ac"/>
    <w:uiPriority w:val="99"/>
    <w:rsid w:val="008C6D4D"/>
    <w:rPr>
      <w:sz w:val="20"/>
      <w:szCs w:val="20"/>
    </w:rPr>
  </w:style>
  <w:style w:type="character" w:styleId="ae">
    <w:name w:val="footnote reference"/>
    <w:aliases w:val="Ref,de nota al pie,Appel note de bas de p,Footnote,Footnote Reference Number,Footnote Reference_LVL6,Footnote Reference_LVL61,Footnote Reference_LVL62,Footnote Reference_LVL63,Footnote Reference_LVL64,normal,fr,SUPERS,number"/>
    <w:basedOn w:val="a0"/>
    <w:uiPriority w:val="99"/>
    <w:unhideWhenUsed/>
    <w:qFormat/>
    <w:rsid w:val="008C6D4D"/>
    <w:rPr>
      <w:vertAlign w:val="superscript"/>
    </w:rPr>
  </w:style>
  <w:style w:type="table" w:styleId="af">
    <w:name w:val="Table Grid"/>
    <w:basedOn w:val="a1"/>
    <w:uiPriority w:val="39"/>
    <w:rsid w:val="00EA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DC751D"/>
    <w:rPr>
      <w:rFonts w:ascii="Times New Roman" w:eastAsia="標楷體"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E642AB"/>
    <w:pPr>
      <w:tabs>
        <w:tab w:val="left" w:pos="1418"/>
      </w:tabs>
      <w:snapToGrid w:val="0"/>
      <w:jc w:val="both"/>
    </w:pPr>
    <w:rPr>
      <w:rFonts w:ascii="Times New Roman" w:hAnsi="Times New Roman" w:cs="Times New Roman"/>
      <w:sz w:val="28"/>
      <w:szCs w:val="28"/>
      <w:lang w:val="en-GB"/>
    </w:rPr>
  </w:style>
  <w:style w:type="character" w:customStyle="1" w:styleId="af1">
    <w:name w:val="本文 字元"/>
    <w:basedOn w:val="a0"/>
    <w:link w:val="af0"/>
    <w:uiPriority w:val="99"/>
    <w:rsid w:val="00E642AB"/>
    <w:rPr>
      <w:rFonts w:ascii="Times New Roman" w:hAnsi="Times New Roman"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0227">
      <w:bodyDiv w:val="1"/>
      <w:marLeft w:val="0"/>
      <w:marRight w:val="0"/>
      <w:marTop w:val="0"/>
      <w:marBottom w:val="0"/>
      <w:divBdr>
        <w:top w:val="none" w:sz="0" w:space="0" w:color="auto"/>
        <w:left w:val="none" w:sz="0" w:space="0" w:color="auto"/>
        <w:bottom w:val="none" w:sz="0" w:space="0" w:color="auto"/>
        <w:right w:val="none" w:sz="0" w:space="0" w:color="auto"/>
      </w:divBdr>
    </w:div>
    <w:div w:id="1349991553">
      <w:bodyDiv w:val="1"/>
      <w:marLeft w:val="0"/>
      <w:marRight w:val="0"/>
      <w:marTop w:val="0"/>
      <w:marBottom w:val="0"/>
      <w:divBdr>
        <w:top w:val="none" w:sz="0" w:space="0" w:color="auto"/>
        <w:left w:val="none" w:sz="0" w:space="0" w:color="auto"/>
        <w:bottom w:val="none" w:sz="0" w:space="0" w:color="auto"/>
        <w:right w:val="none" w:sz="0" w:space="0" w:color="auto"/>
      </w:divBdr>
    </w:div>
    <w:div w:id="1387558851">
      <w:bodyDiv w:val="1"/>
      <w:marLeft w:val="0"/>
      <w:marRight w:val="0"/>
      <w:marTop w:val="0"/>
      <w:marBottom w:val="0"/>
      <w:divBdr>
        <w:top w:val="none" w:sz="0" w:space="0" w:color="auto"/>
        <w:left w:val="none" w:sz="0" w:space="0" w:color="auto"/>
        <w:bottom w:val="none" w:sz="0" w:space="0" w:color="auto"/>
        <w:right w:val="none" w:sz="0" w:space="0" w:color="auto"/>
      </w:divBdr>
    </w:div>
    <w:div w:id="1729454348">
      <w:bodyDiv w:val="1"/>
      <w:marLeft w:val="0"/>
      <w:marRight w:val="0"/>
      <w:marTop w:val="0"/>
      <w:marBottom w:val="0"/>
      <w:divBdr>
        <w:top w:val="none" w:sz="0" w:space="0" w:color="auto"/>
        <w:left w:val="none" w:sz="0" w:space="0" w:color="auto"/>
        <w:bottom w:val="none" w:sz="0" w:space="0" w:color="auto"/>
        <w:right w:val="none" w:sz="0" w:space="0" w:color="auto"/>
      </w:divBdr>
    </w:div>
    <w:div w:id="20548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67C1F-04AD-4B45-9108-FDCFCB957DAF}">
  <ds:schemaRefs>
    <ds:schemaRef ds:uri="http://schemas.openxmlformats.org/officeDocument/2006/bibliography"/>
  </ds:schemaRefs>
</ds:datastoreItem>
</file>

<file path=customXml/itemProps2.xml><?xml version="1.0" encoding="utf-8"?>
<ds:datastoreItem xmlns:ds="http://schemas.openxmlformats.org/officeDocument/2006/customXml" ds:itemID="{A437FD60-5DB7-4A2D-A5C6-87E24CF4A0FC}"/>
</file>

<file path=customXml/itemProps3.xml><?xml version="1.0" encoding="utf-8"?>
<ds:datastoreItem xmlns:ds="http://schemas.openxmlformats.org/officeDocument/2006/customXml" ds:itemID="{70E0B490-8581-4447-B8BB-E3E31943B6C5}"/>
</file>

<file path=customXml/itemProps4.xml><?xml version="1.0" encoding="utf-8"?>
<ds:datastoreItem xmlns:ds="http://schemas.openxmlformats.org/officeDocument/2006/customXml" ds:itemID="{9431E3B6-4290-4F9E-9EF0-62AE92794254}"/>
</file>

<file path=docProps/app.xml><?xml version="1.0" encoding="utf-8"?>
<Properties xmlns="http://schemas.openxmlformats.org/officeDocument/2006/extended-properties" xmlns:vt="http://schemas.openxmlformats.org/officeDocument/2006/docPropsVTypes">
  <Template>Normal</Template>
  <TotalTime>4</TotalTime>
  <Pages>15</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HK Govt</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5</dc:creator>
  <cp:keywords/>
  <dc:description/>
  <cp:lastModifiedBy>CMAB</cp:lastModifiedBy>
  <cp:revision>3</cp:revision>
  <cp:lastPrinted>2021-09-23T08:49:00Z</cp:lastPrinted>
  <dcterms:created xsi:type="dcterms:W3CDTF">2021-09-27T07:56:00Z</dcterms:created>
  <dcterms:modified xsi:type="dcterms:W3CDTF">2021-09-30T04:33:00Z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