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1226" w14:textId="77777777" w:rsidR="00C05D9B" w:rsidRPr="004B1E4E" w:rsidRDefault="00C05D9B" w:rsidP="00626C39">
      <w:pPr>
        <w:rPr>
          <w:color w:val="auto"/>
          <w:sz w:val="24"/>
          <w:szCs w:val="24"/>
        </w:rPr>
      </w:pPr>
    </w:p>
    <w:p w14:paraId="455F10C6" w14:textId="77777777" w:rsidR="005403E3" w:rsidRPr="004B1E4E" w:rsidRDefault="005403E3" w:rsidP="00626C39">
      <w:pPr>
        <w:rPr>
          <w:color w:val="auto"/>
          <w:sz w:val="24"/>
          <w:szCs w:val="24"/>
        </w:rPr>
      </w:pPr>
    </w:p>
    <w:p w14:paraId="6B135504" w14:textId="77777777" w:rsidR="005403E3" w:rsidRPr="004B1E4E" w:rsidRDefault="005403E3" w:rsidP="00626C39">
      <w:pPr>
        <w:rPr>
          <w:color w:val="auto"/>
          <w:sz w:val="24"/>
          <w:szCs w:val="24"/>
        </w:rPr>
      </w:pPr>
    </w:p>
    <w:p w14:paraId="3F1F09BE" w14:textId="77777777" w:rsidR="004212EA" w:rsidRDefault="00AE3104" w:rsidP="004B1E4E">
      <w:pPr>
        <w:jc w:val="center"/>
        <w:rPr>
          <w:b/>
          <w:sz w:val="24"/>
          <w:szCs w:val="24"/>
        </w:rPr>
      </w:pPr>
      <w:r>
        <w:rPr>
          <w:b/>
          <w:sz w:val="24"/>
          <w:szCs w:val="24"/>
        </w:rPr>
        <w:t>The United States of America’s</w:t>
      </w:r>
      <w:r w:rsidR="004B1E4E" w:rsidRPr="004B1E4E">
        <w:rPr>
          <w:b/>
          <w:sz w:val="24"/>
          <w:szCs w:val="24"/>
        </w:rPr>
        <w:t xml:space="preserve"> Compliance with </w:t>
      </w:r>
      <w:r>
        <w:rPr>
          <w:b/>
          <w:sz w:val="24"/>
          <w:szCs w:val="24"/>
        </w:rPr>
        <w:t xml:space="preserve">the Convention on the </w:t>
      </w:r>
    </w:p>
    <w:p w14:paraId="5FB17988" w14:textId="61E8E827" w:rsidR="00266AA3" w:rsidRDefault="00AE3104" w:rsidP="004B1E4E">
      <w:pPr>
        <w:jc w:val="center"/>
        <w:rPr>
          <w:b/>
          <w:sz w:val="24"/>
          <w:szCs w:val="24"/>
        </w:rPr>
      </w:pPr>
      <w:r>
        <w:rPr>
          <w:b/>
          <w:sz w:val="24"/>
          <w:szCs w:val="24"/>
        </w:rPr>
        <w:t>Elimination of All Forms of Racial Discrimination</w:t>
      </w:r>
    </w:p>
    <w:p w14:paraId="1D3B313B" w14:textId="77777777" w:rsidR="00875650" w:rsidRDefault="00875650" w:rsidP="004B1E4E">
      <w:pPr>
        <w:jc w:val="center"/>
        <w:rPr>
          <w:b/>
          <w:sz w:val="24"/>
          <w:szCs w:val="24"/>
        </w:rPr>
      </w:pPr>
    </w:p>
    <w:p w14:paraId="369032A5" w14:textId="5E3C07B8" w:rsidR="004B1E4E" w:rsidRPr="004B1E4E" w:rsidRDefault="00266AA3" w:rsidP="004B1E4E">
      <w:pPr>
        <w:jc w:val="center"/>
        <w:rPr>
          <w:b/>
          <w:sz w:val="24"/>
          <w:szCs w:val="24"/>
        </w:rPr>
      </w:pPr>
      <w:r>
        <w:rPr>
          <w:b/>
          <w:sz w:val="24"/>
          <w:szCs w:val="24"/>
        </w:rPr>
        <w:t xml:space="preserve">Suggested </w:t>
      </w:r>
      <w:r w:rsidR="00AC20E4">
        <w:rPr>
          <w:b/>
          <w:sz w:val="24"/>
          <w:szCs w:val="24"/>
        </w:rPr>
        <w:t xml:space="preserve">List of </w:t>
      </w:r>
      <w:r w:rsidR="00752A9B">
        <w:rPr>
          <w:b/>
          <w:sz w:val="24"/>
          <w:szCs w:val="24"/>
        </w:rPr>
        <w:t xml:space="preserve">Themes </w:t>
      </w:r>
      <w:r w:rsidR="00AC20E4">
        <w:rPr>
          <w:b/>
          <w:sz w:val="24"/>
          <w:szCs w:val="24"/>
        </w:rPr>
        <w:t xml:space="preserve">Report </w:t>
      </w:r>
      <w:r>
        <w:rPr>
          <w:b/>
          <w:sz w:val="24"/>
          <w:szCs w:val="24"/>
        </w:rPr>
        <w:t xml:space="preserve">Relating to </w:t>
      </w:r>
      <w:r w:rsidR="00F83876">
        <w:rPr>
          <w:b/>
          <w:sz w:val="24"/>
          <w:szCs w:val="24"/>
        </w:rPr>
        <w:t xml:space="preserve">Criminalization of </w:t>
      </w:r>
      <w:r w:rsidR="00965C47">
        <w:rPr>
          <w:b/>
          <w:sz w:val="24"/>
          <w:szCs w:val="24"/>
        </w:rPr>
        <w:t>H</w:t>
      </w:r>
      <w:r w:rsidR="00F83876">
        <w:rPr>
          <w:b/>
          <w:sz w:val="24"/>
          <w:szCs w:val="24"/>
        </w:rPr>
        <w:t>omeless</w:t>
      </w:r>
      <w:r w:rsidR="00965C47">
        <w:rPr>
          <w:b/>
          <w:sz w:val="24"/>
          <w:szCs w:val="24"/>
        </w:rPr>
        <w:t>ness</w:t>
      </w:r>
      <w:r w:rsidR="00F83876">
        <w:rPr>
          <w:b/>
          <w:sz w:val="24"/>
          <w:szCs w:val="24"/>
        </w:rPr>
        <w:t xml:space="preserve">, </w:t>
      </w:r>
      <w:r w:rsidR="00875650" w:rsidRPr="00875650">
        <w:rPr>
          <w:b/>
          <w:sz w:val="24"/>
          <w:szCs w:val="24"/>
        </w:rPr>
        <w:t xml:space="preserve">Discrimination and </w:t>
      </w:r>
      <w:r w:rsidR="00965C47">
        <w:rPr>
          <w:b/>
          <w:sz w:val="24"/>
          <w:szCs w:val="24"/>
        </w:rPr>
        <w:t>S</w:t>
      </w:r>
      <w:r w:rsidR="00875650" w:rsidRPr="00875650">
        <w:rPr>
          <w:b/>
          <w:sz w:val="24"/>
          <w:szCs w:val="24"/>
        </w:rPr>
        <w:t xml:space="preserve">egregation in </w:t>
      </w:r>
      <w:r w:rsidR="00965C47">
        <w:rPr>
          <w:b/>
          <w:sz w:val="24"/>
          <w:szCs w:val="24"/>
        </w:rPr>
        <w:t>H</w:t>
      </w:r>
      <w:r w:rsidR="00875650" w:rsidRPr="00875650">
        <w:rPr>
          <w:b/>
          <w:sz w:val="24"/>
          <w:szCs w:val="24"/>
        </w:rPr>
        <w:t>ousing</w:t>
      </w:r>
      <w:r w:rsidR="00875650">
        <w:rPr>
          <w:b/>
          <w:sz w:val="24"/>
          <w:szCs w:val="24"/>
        </w:rPr>
        <w:t xml:space="preserve">, and </w:t>
      </w:r>
      <w:r w:rsidR="00965C47">
        <w:rPr>
          <w:b/>
          <w:sz w:val="24"/>
          <w:szCs w:val="24"/>
        </w:rPr>
        <w:t xml:space="preserve">the </w:t>
      </w:r>
      <w:r w:rsidR="003B31D7">
        <w:rPr>
          <w:b/>
          <w:sz w:val="24"/>
          <w:szCs w:val="24"/>
        </w:rPr>
        <w:t xml:space="preserve">Criminal </w:t>
      </w:r>
      <w:r w:rsidR="00965C47">
        <w:rPr>
          <w:b/>
          <w:sz w:val="24"/>
          <w:szCs w:val="24"/>
        </w:rPr>
        <w:t>J</w:t>
      </w:r>
      <w:r w:rsidR="003B31D7">
        <w:rPr>
          <w:b/>
          <w:sz w:val="24"/>
          <w:szCs w:val="24"/>
        </w:rPr>
        <w:t xml:space="preserve">ustice </w:t>
      </w:r>
      <w:r w:rsidR="00965C47">
        <w:rPr>
          <w:b/>
          <w:sz w:val="24"/>
          <w:szCs w:val="24"/>
        </w:rPr>
        <w:t>S</w:t>
      </w:r>
      <w:r w:rsidR="003B31D7">
        <w:rPr>
          <w:b/>
          <w:sz w:val="24"/>
          <w:szCs w:val="24"/>
        </w:rPr>
        <w:t>ystem</w:t>
      </w:r>
    </w:p>
    <w:p w14:paraId="54F3AE6B" w14:textId="77777777" w:rsidR="004B1E4E" w:rsidRPr="004B1E4E" w:rsidRDefault="004B1E4E" w:rsidP="004B1E4E">
      <w:pPr>
        <w:jc w:val="center"/>
        <w:rPr>
          <w:sz w:val="24"/>
          <w:szCs w:val="24"/>
        </w:rPr>
      </w:pPr>
    </w:p>
    <w:p w14:paraId="23772DD8" w14:textId="3E71E215" w:rsidR="004B1E4E" w:rsidRPr="00D25C36" w:rsidRDefault="004B1E4E" w:rsidP="004B1E4E">
      <w:pPr>
        <w:jc w:val="center"/>
        <w:rPr>
          <w:b/>
          <w:sz w:val="24"/>
          <w:szCs w:val="24"/>
        </w:rPr>
      </w:pPr>
      <w:r w:rsidRPr="00D25C36">
        <w:rPr>
          <w:b/>
          <w:sz w:val="24"/>
          <w:szCs w:val="24"/>
        </w:rPr>
        <w:t xml:space="preserve">Submitted by </w:t>
      </w:r>
      <w:r w:rsidR="00AA7FCB" w:rsidRPr="00D25C36">
        <w:rPr>
          <w:b/>
          <w:sz w:val="24"/>
          <w:szCs w:val="24"/>
        </w:rPr>
        <w:t>T</w:t>
      </w:r>
      <w:r w:rsidRPr="00D25C36">
        <w:rPr>
          <w:b/>
          <w:sz w:val="24"/>
          <w:szCs w:val="24"/>
        </w:rPr>
        <w:t>he Advocates for Human Rights</w:t>
      </w:r>
      <w:r w:rsidR="0075176F">
        <w:rPr>
          <w:b/>
          <w:sz w:val="24"/>
          <w:szCs w:val="24"/>
        </w:rPr>
        <w:t>,</w:t>
      </w:r>
    </w:p>
    <w:p w14:paraId="2E266B52" w14:textId="77777777" w:rsidR="004B1E4E" w:rsidRPr="004B1E4E" w:rsidRDefault="004B1E4E" w:rsidP="004B1E4E">
      <w:pPr>
        <w:jc w:val="center"/>
        <w:rPr>
          <w:sz w:val="24"/>
          <w:szCs w:val="24"/>
        </w:rPr>
      </w:pPr>
      <w:r w:rsidRPr="004B1E4E">
        <w:rPr>
          <w:sz w:val="24"/>
          <w:szCs w:val="24"/>
        </w:rPr>
        <w:t>a non-governmental organization in special consultative status with ECOSOC</w:t>
      </w:r>
      <w:r w:rsidR="00624A10">
        <w:rPr>
          <w:sz w:val="24"/>
          <w:szCs w:val="24"/>
        </w:rPr>
        <w:t xml:space="preserve"> since 1996</w:t>
      </w:r>
    </w:p>
    <w:p w14:paraId="4A03DEA0" w14:textId="77777777" w:rsidR="00316FB8" w:rsidRPr="00316FB8" w:rsidRDefault="00316FB8" w:rsidP="00316FB8">
      <w:pPr>
        <w:jc w:val="both"/>
        <w:rPr>
          <w:b/>
          <w:sz w:val="24"/>
          <w:szCs w:val="24"/>
        </w:rPr>
      </w:pPr>
    </w:p>
    <w:p w14:paraId="11807D0A" w14:textId="2FF34778" w:rsidR="00316FB8" w:rsidRPr="00316FB8" w:rsidRDefault="00316FB8" w:rsidP="160ED2A3">
      <w:pPr>
        <w:jc w:val="center"/>
        <w:rPr>
          <w:sz w:val="24"/>
          <w:szCs w:val="24"/>
        </w:rPr>
      </w:pPr>
      <w:r w:rsidRPr="160ED2A3">
        <w:rPr>
          <w:sz w:val="24"/>
          <w:szCs w:val="24"/>
        </w:rPr>
        <w:t>For the 107th Session of the Committee on the Elimination of All Forms of Racial Discrimination</w:t>
      </w:r>
    </w:p>
    <w:p w14:paraId="0949A51B" w14:textId="38C66BF5" w:rsidR="00316FB8" w:rsidRPr="00316FB8" w:rsidRDefault="00316FB8" w:rsidP="160ED2A3">
      <w:pPr>
        <w:jc w:val="center"/>
        <w:rPr>
          <w:sz w:val="24"/>
          <w:szCs w:val="24"/>
        </w:rPr>
      </w:pPr>
      <w:r w:rsidRPr="160ED2A3">
        <w:rPr>
          <w:sz w:val="24"/>
          <w:szCs w:val="24"/>
        </w:rPr>
        <w:t>8-30 August 2022</w:t>
      </w:r>
    </w:p>
    <w:p w14:paraId="694FA053" w14:textId="77777777" w:rsidR="00316FB8" w:rsidRPr="00316FB8" w:rsidRDefault="00316FB8" w:rsidP="160ED2A3">
      <w:pPr>
        <w:jc w:val="center"/>
        <w:rPr>
          <w:sz w:val="24"/>
          <w:szCs w:val="24"/>
        </w:rPr>
      </w:pPr>
    </w:p>
    <w:p w14:paraId="3399DABA" w14:textId="03F99348" w:rsidR="000C380B" w:rsidRPr="004B1E4E" w:rsidRDefault="00316FB8" w:rsidP="00316FB8">
      <w:pPr>
        <w:spacing w:after="240"/>
        <w:jc w:val="center"/>
        <w:rPr>
          <w:color w:val="auto"/>
          <w:sz w:val="24"/>
          <w:szCs w:val="24"/>
        </w:rPr>
      </w:pPr>
      <w:r w:rsidRPr="160ED2A3">
        <w:rPr>
          <w:sz w:val="24"/>
          <w:szCs w:val="24"/>
        </w:rPr>
        <w:t xml:space="preserve">Submitted </w:t>
      </w:r>
      <w:r w:rsidR="0060142D" w:rsidRPr="160ED2A3">
        <w:rPr>
          <w:sz w:val="24"/>
          <w:szCs w:val="24"/>
        </w:rPr>
        <w:t>1</w:t>
      </w:r>
      <w:r w:rsidR="00835A23">
        <w:rPr>
          <w:sz w:val="24"/>
          <w:szCs w:val="24"/>
        </w:rPr>
        <w:t>6</w:t>
      </w:r>
      <w:r w:rsidRPr="160ED2A3">
        <w:rPr>
          <w:sz w:val="24"/>
          <w:szCs w:val="24"/>
        </w:rPr>
        <w:t xml:space="preserve"> May 2022</w:t>
      </w:r>
    </w:p>
    <w:p w14:paraId="3068E1BF" w14:textId="4F3ECD26" w:rsidR="004B1E4E" w:rsidRDefault="004B1E4E" w:rsidP="00596B08">
      <w:pPr>
        <w:jc w:val="both"/>
        <w:rPr>
          <w:sz w:val="24"/>
          <w:szCs w:val="24"/>
        </w:rPr>
      </w:pPr>
      <w:r w:rsidRPr="160ED2A3">
        <w:rPr>
          <w:sz w:val="24"/>
          <w:szCs w:val="24"/>
        </w:rPr>
        <w:t xml:space="preserve">Founded in 1983, </w:t>
      </w:r>
      <w:r w:rsidRPr="160ED2A3">
        <w:rPr>
          <w:b/>
          <w:bCs/>
          <w:sz w:val="24"/>
          <w:szCs w:val="24"/>
        </w:rPr>
        <w:t xml:space="preserve">The Advocates for Human Rights </w:t>
      </w:r>
      <w:r w:rsidRPr="160ED2A3">
        <w:rPr>
          <w:sz w:val="24"/>
          <w:szCs w:val="24"/>
        </w:rPr>
        <w:t>(The Advocates) is a volunteer-based non</w:t>
      </w:r>
      <w:r w:rsidR="00266AA3" w:rsidRPr="160ED2A3">
        <w:rPr>
          <w:sz w:val="24"/>
          <w:szCs w:val="24"/>
        </w:rPr>
        <w:t>-</w:t>
      </w:r>
      <w:r w:rsidRPr="160ED2A3">
        <w:rPr>
          <w:sz w:val="24"/>
          <w:szCs w:val="24"/>
        </w:rPr>
        <w:t xml:space="preserve">governmental organization committed to the impartial promotion and protection of international human rights standards and the rule of law. The Advocates conducts a range of programs to promote human rights in the United States and around the world, including monitoring and fact finding, direct legal representation, education and training, and publications. </w:t>
      </w:r>
      <w:r w:rsidR="0027705B" w:rsidRPr="160ED2A3">
        <w:rPr>
          <w:sz w:val="24"/>
          <w:szCs w:val="24"/>
        </w:rPr>
        <w:t xml:space="preserve">The Advocates provides pro bono legal services to people seeking asylum and protection from other harms, survivors of trafficking, unaccompanied minors, and people in immigration detention. The Advocates routinely trains lawyers </w:t>
      </w:r>
      <w:r w:rsidR="00057419" w:rsidRPr="160ED2A3">
        <w:rPr>
          <w:sz w:val="24"/>
          <w:szCs w:val="24"/>
        </w:rPr>
        <w:t>human rights,</w:t>
      </w:r>
      <w:r w:rsidR="0027705B" w:rsidRPr="160ED2A3">
        <w:rPr>
          <w:sz w:val="24"/>
          <w:szCs w:val="24"/>
        </w:rPr>
        <w:t xml:space="preserve"> and advocate</w:t>
      </w:r>
      <w:r w:rsidR="00057419" w:rsidRPr="160ED2A3">
        <w:rPr>
          <w:sz w:val="24"/>
          <w:szCs w:val="24"/>
        </w:rPr>
        <w:t>s</w:t>
      </w:r>
      <w:r w:rsidR="0027705B" w:rsidRPr="160ED2A3">
        <w:rPr>
          <w:sz w:val="24"/>
          <w:szCs w:val="24"/>
        </w:rPr>
        <w:t xml:space="preserve"> at all levels for changes to immigration, </w:t>
      </w:r>
      <w:r w:rsidR="00057419" w:rsidRPr="160ED2A3">
        <w:rPr>
          <w:sz w:val="24"/>
          <w:szCs w:val="24"/>
        </w:rPr>
        <w:t>racial justice,</w:t>
      </w:r>
      <w:r w:rsidR="0027705B" w:rsidRPr="160ED2A3">
        <w:rPr>
          <w:sz w:val="24"/>
          <w:szCs w:val="24"/>
        </w:rPr>
        <w:t xml:space="preserve"> and trafficking la</w:t>
      </w:r>
      <w:r w:rsidR="00057419" w:rsidRPr="160ED2A3">
        <w:rPr>
          <w:sz w:val="24"/>
          <w:szCs w:val="24"/>
        </w:rPr>
        <w:t>ws</w:t>
      </w:r>
      <w:r w:rsidR="0027705B" w:rsidRPr="160ED2A3">
        <w:rPr>
          <w:sz w:val="24"/>
          <w:szCs w:val="24"/>
        </w:rPr>
        <w:t xml:space="preserve"> and policies that ensure the protection of human rights. </w:t>
      </w:r>
    </w:p>
    <w:p w14:paraId="691CD0E1" w14:textId="77777777" w:rsidR="008214B4" w:rsidRPr="00AE35EF" w:rsidRDefault="008214B4" w:rsidP="00AA281D">
      <w:pPr>
        <w:jc w:val="both"/>
        <w:rPr>
          <w:sz w:val="24"/>
          <w:szCs w:val="24"/>
        </w:rPr>
      </w:pPr>
    </w:p>
    <w:p w14:paraId="118648B1" w14:textId="77777777" w:rsidR="00AA281D" w:rsidRPr="00CC65F5" w:rsidRDefault="00AA281D" w:rsidP="00596B08">
      <w:pPr>
        <w:jc w:val="both"/>
        <w:rPr>
          <w:b/>
          <w:bCs/>
          <w:sz w:val="24"/>
          <w:szCs w:val="24"/>
        </w:rPr>
      </w:pPr>
    </w:p>
    <w:p w14:paraId="679F78ED" w14:textId="77777777" w:rsidR="004B1E4E" w:rsidRPr="00CC65F5" w:rsidRDefault="004B1E4E" w:rsidP="00626C39">
      <w:pPr>
        <w:rPr>
          <w:b/>
          <w:bCs/>
          <w:color w:val="auto"/>
          <w:sz w:val="24"/>
          <w:szCs w:val="24"/>
        </w:rPr>
      </w:pPr>
    </w:p>
    <w:p w14:paraId="6BEF1900" w14:textId="77777777" w:rsidR="004B1E4E" w:rsidRPr="004B1E4E" w:rsidRDefault="004B1E4E" w:rsidP="004B1E4E">
      <w:pPr>
        <w:jc w:val="center"/>
        <w:rPr>
          <w:b/>
          <w:caps/>
          <w:color w:val="auto"/>
          <w:sz w:val="24"/>
          <w:szCs w:val="24"/>
        </w:rPr>
      </w:pPr>
      <w:r>
        <w:rPr>
          <w:color w:val="auto"/>
          <w:sz w:val="24"/>
          <w:szCs w:val="24"/>
        </w:rPr>
        <w:br w:type="page"/>
      </w:r>
      <w:r w:rsidRPr="004B1E4E">
        <w:rPr>
          <w:b/>
          <w:caps/>
          <w:color w:val="auto"/>
          <w:sz w:val="24"/>
          <w:szCs w:val="24"/>
        </w:rPr>
        <w:lastRenderedPageBreak/>
        <w:t>Executive Summary</w:t>
      </w:r>
    </w:p>
    <w:p w14:paraId="4E9F0D56" w14:textId="77777777" w:rsidR="004B1E4E" w:rsidRDefault="004B1E4E" w:rsidP="00626C39">
      <w:pPr>
        <w:rPr>
          <w:color w:val="auto"/>
          <w:sz w:val="24"/>
          <w:szCs w:val="24"/>
        </w:rPr>
      </w:pPr>
    </w:p>
    <w:p w14:paraId="2004157F" w14:textId="607C7504" w:rsidR="004C23BA" w:rsidRDefault="00DA7F54" w:rsidP="6485B768">
      <w:pPr>
        <w:numPr>
          <w:ilvl w:val="0"/>
          <w:numId w:val="7"/>
        </w:numPr>
        <w:spacing w:after="120"/>
        <w:ind w:left="360"/>
        <w:jc w:val="both"/>
        <w:rPr>
          <w:color w:val="auto"/>
          <w:sz w:val="24"/>
          <w:szCs w:val="24"/>
        </w:rPr>
      </w:pPr>
      <w:r w:rsidRPr="6485B768">
        <w:rPr>
          <w:color w:val="auto"/>
          <w:sz w:val="24"/>
          <w:szCs w:val="24"/>
        </w:rPr>
        <w:t>The</w:t>
      </w:r>
      <w:r w:rsidR="004C23BA" w:rsidRPr="6485B768">
        <w:rPr>
          <w:color w:val="auto"/>
          <w:sz w:val="24"/>
          <w:szCs w:val="24"/>
        </w:rPr>
        <w:t xml:space="preserve"> U</w:t>
      </w:r>
      <w:r w:rsidRPr="6485B768">
        <w:rPr>
          <w:color w:val="auto"/>
          <w:sz w:val="24"/>
          <w:szCs w:val="24"/>
        </w:rPr>
        <w:t>nited State of America (U.S.)</w:t>
      </w:r>
      <w:r w:rsidR="00E639B2" w:rsidRPr="6485B768">
        <w:rPr>
          <w:color w:val="auto"/>
          <w:sz w:val="24"/>
          <w:szCs w:val="24"/>
        </w:rPr>
        <w:t xml:space="preserve"> fails to uphold human rights obligations by</w:t>
      </w:r>
      <w:r w:rsidR="004C23BA" w:rsidRPr="6485B768">
        <w:rPr>
          <w:color w:val="auto"/>
          <w:sz w:val="24"/>
          <w:szCs w:val="24"/>
        </w:rPr>
        <w:t xml:space="preserve"> </w:t>
      </w:r>
      <w:r w:rsidR="00B42DC0" w:rsidRPr="6485B768">
        <w:rPr>
          <w:color w:val="auto"/>
          <w:sz w:val="24"/>
          <w:szCs w:val="24"/>
        </w:rPr>
        <w:t xml:space="preserve">maintaining laws that </w:t>
      </w:r>
      <w:r w:rsidR="004C23BA" w:rsidRPr="6485B768">
        <w:rPr>
          <w:color w:val="auto"/>
          <w:sz w:val="24"/>
          <w:szCs w:val="24"/>
        </w:rPr>
        <w:t>criminaliz</w:t>
      </w:r>
      <w:r w:rsidR="00B42DC0" w:rsidRPr="6485B768">
        <w:rPr>
          <w:color w:val="auto"/>
          <w:sz w:val="24"/>
          <w:szCs w:val="24"/>
        </w:rPr>
        <w:t>e</w:t>
      </w:r>
      <w:r w:rsidR="004C23BA" w:rsidRPr="6485B768">
        <w:rPr>
          <w:color w:val="auto"/>
          <w:sz w:val="24"/>
          <w:szCs w:val="24"/>
        </w:rPr>
        <w:t xml:space="preserve"> homelessness</w:t>
      </w:r>
      <w:r w:rsidR="00B42DC0" w:rsidRPr="6485B768">
        <w:rPr>
          <w:color w:val="auto"/>
          <w:sz w:val="24"/>
          <w:szCs w:val="24"/>
        </w:rPr>
        <w:t xml:space="preserve">. These laws </w:t>
      </w:r>
      <w:r w:rsidR="00A23A61" w:rsidRPr="6485B768">
        <w:rPr>
          <w:color w:val="auto"/>
          <w:sz w:val="24"/>
          <w:szCs w:val="24"/>
        </w:rPr>
        <w:t xml:space="preserve">impact BIPOC </w:t>
      </w:r>
      <w:r w:rsidR="00725BC5" w:rsidRPr="6485B768">
        <w:rPr>
          <w:color w:val="auto"/>
          <w:sz w:val="24"/>
          <w:szCs w:val="24"/>
        </w:rPr>
        <w:t>(Black, Indigenous and People of Color)</w:t>
      </w:r>
      <w:r w:rsidR="6485B768" w:rsidRPr="6485B768">
        <w:rPr>
          <w:color w:val="auto"/>
          <w:sz w:val="24"/>
          <w:szCs w:val="24"/>
        </w:rPr>
        <w:t xml:space="preserve"> </w:t>
      </w:r>
      <w:r w:rsidR="00A23A61" w:rsidRPr="6485B768">
        <w:rPr>
          <w:color w:val="auto"/>
          <w:sz w:val="24"/>
          <w:szCs w:val="24"/>
        </w:rPr>
        <w:t xml:space="preserve">communities, which represent a larger share of the homeless population in the U.S. In addition, due to </w:t>
      </w:r>
      <w:r w:rsidR="009A19DF" w:rsidRPr="6485B768">
        <w:rPr>
          <w:color w:val="auto"/>
          <w:sz w:val="24"/>
          <w:szCs w:val="24"/>
        </w:rPr>
        <w:t xml:space="preserve">discrimination in </w:t>
      </w:r>
      <w:r w:rsidR="009228EB" w:rsidRPr="6485B768">
        <w:rPr>
          <w:color w:val="auto"/>
          <w:sz w:val="24"/>
          <w:szCs w:val="24"/>
        </w:rPr>
        <w:t>public housing and policies that do not adequately prevent</w:t>
      </w:r>
      <w:r w:rsidR="00B321F8" w:rsidRPr="6485B768">
        <w:rPr>
          <w:color w:val="auto"/>
          <w:sz w:val="24"/>
          <w:szCs w:val="24"/>
        </w:rPr>
        <w:t xml:space="preserve"> discrimination in private housing, </w:t>
      </w:r>
      <w:r w:rsidR="006E4D5E" w:rsidRPr="6485B768">
        <w:rPr>
          <w:color w:val="auto"/>
          <w:sz w:val="24"/>
          <w:szCs w:val="24"/>
        </w:rPr>
        <w:t xml:space="preserve">the U.S. fails to adequately protect the right of </w:t>
      </w:r>
      <w:r w:rsidR="007031EC" w:rsidRPr="6485B768">
        <w:rPr>
          <w:color w:val="auto"/>
          <w:sz w:val="24"/>
          <w:szCs w:val="24"/>
        </w:rPr>
        <w:t>BIPOC communities</w:t>
      </w:r>
      <w:r w:rsidR="006E4D5E" w:rsidRPr="6485B768">
        <w:rPr>
          <w:color w:val="auto"/>
          <w:sz w:val="24"/>
          <w:szCs w:val="24"/>
        </w:rPr>
        <w:t xml:space="preserve"> to access housing and other related rights.  </w:t>
      </w:r>
    </w:p>
    <w:p w14:paraId="46CF6B4B" w14:textId="383B22D8" w:rsidR="004B1E4E" w:rsidRDefault="00DA7F54" w:rsidP="00974E48">
      <w:pPr>
        <w:numPr>
          <w:ilvl w:val="0"/>
          <w:numId w:val="7"/>
        </w:numPr>
        <w:spacing w:after="120"/>
        <w:ind w:left="360"/>
        <w:jc w:val="both"/>
        <w:rPr>
          <w:color w:val="auto"/>
          <w:sz w:val="24"/>
          <w:szCs w:val="24"/>
        </w:rPr>
      </w:pPr>
      <w:r w:rsidRPr="6485B768">
        <w:rPr>
          <w:color w:val="auto"/>
          <w:sz w:val="24"/>
          <w:szCs w:val="24"/>
        </w:rPr>
        <w:t>D</w:t>
      </w:r>
      <w:r w:rsidR="006E4D5E" w:rsidRPr="6485B768">
        <w:rPr>
          <w:color w:val="auto"/>
          <w:sz w:val="24"/>
          <w:szCs w:val="24"/>
        </w:rPr>
        <w:t xml:space="preserve">iscrimination in housing and the criminalization of homelessness are exacerbated </w:t>
      </w:r>
      <w:r w:rsidR="009A3E27" w:rsidRPr="6485B768">
        <w:rPr>
          <w:color w:val="auto"/>
          <w:sz w:val="24"/>
          <w:szCs w:val="24"/>
        </w:rPr>
        <w:t xml:space="preserve">by, </w:t>
      </w:r>
      <w:r w:rsidR="006E4D5E" w:rsidRPr="6485B768">
        <w:rPr>
          <w:color w:val="auto"/>
          <w:sz w:val="24"/>
          <w:szCs w:val="24"/>
        </w:rPr>
        <w:t xml:space="preserve">and </w:t>
      </w:r>
      <w:r w:rsidR="009A3E27" w:rsidRPr="6485B768">
        <w:rPr>
          <w:color w:val="auto"/>
          <w:sz w:val="24"/>
          <w:szCs w:val="24"/>
        </w:rPr>
        <w:t>entwined with,</w:t>
      </w:r>
      <w:r w:rsidR="00725BC5" w:rsidRPr="6485B768">
        <w:rPr>
          <w:color w:val="auto"/>
          <w:sz w:val="24"/>
          <w:szCs w:val="24"/>
        </w:rPr>
        <w:t xml:space="preserve"> collateral </w:t>
      </w:r>
      <w:r w:rsidR="0046400E" w:rsidRPr="6485B768">
        <w:rPr>
          <w:color w:val="auto"/>
          <w:sz w:val="24"/>
          <w:szCs w:val="24"/>
        </w:rPr>
        <w:t xml:space="preserve">legal </w:t>
      </w:r>
      <w:r w:rsidR="00725BC5" w:rsidRPr="6485B768">
        <w:rPr>
          <w:color w:val="auto"/>
          <w:sz w:val="24"/>
          <w:szCs w:val="24"/>
        </w:rPr>
        <w:t>consequences</w:t>
      </w:r>
      <w:r w:rsidR="009A3E27" w:rsidRPr="6485B768">
        <w:rPr>
          <w:color w:val="auto"/>
          <w:sz w:val="24"/>
          <w:szCs w:val="24"/>
        </w:rPr>
        <w:t xml:space="preserve"> (CLCs)</w:t>
      </w:r>
      <w:r w:rsidR="00E85F4C" w:rsidRPr="6485B768">
        <w:rPr>
          <w:color w:val="auto"/>
          <w:sz w:val="24"/>
          <w:szCs w:val="24"/>
        </w:rPr>
        <w:t>.</w:t>
      </w:r>
      <w:r w:rsidR="00A9166B" w:rsidRPr="6485B768">
        <w:rPr>
          <w:color w:val="auto"/>
          <w:sz w:val="24"/>
          <w:szCs w:val="24"/>
        </w:rPr>
        <w:t xml:space="preserve"> </w:t>
      </w:r>
      <w:r w:rsidR="00E85F4C" w:rsidRPr="6485B768">
        <w:rPr>
          <w:color w:val="auto"/>
          <w:sz w:val="24"/>
          <w:szCs w:val="24"/>
        </w:rPr>
        <w:t xml:space="preserve">Reports indicate that CLCs </w:t>
      </w:r>
      <w:r w:rsidR="00A9166B" w:rsidRPr="6485B768">
        <w:rPr>
          <w:color w:val="auto"/>
          <w:sz w:val="24"/>
          <w:szCs w:val="24"/>
        </w:rPr>
        <w:t xml:space="preserve">result in exacerbation and criminalization of homelessness, </w:t>
      </w:r>
      <w:r w:rsidR="00E425B0" w:rsidRPr="6485B768">
        <w:rPr>
          <w:color w:val="auto"/>
          <w:sz w:val="24"/>
          <w:szCs w:val="24"/>
        </w:rPr>
        <w:t>and that</w:t>
      </w:r>
      <w:r w:rsidR="00725BC5" w:rsidRPr="6485B768">
        <w:rPr>
          <w:color w:val="auto"/>
          <w:sz w:val="24"/>
          <w:szCs w:val="24"/>
        </w:rPr>
        <w:t xml:space="preserve"> BIPOC communities</w:t>
      </w:r>
      <w:r w:rsidR="00E425B0" w:rsidRPr="6485B768">
        <w:rPr>
          <w:color w:val="auto"/>
          <w:sz w:val="24"/>
          <w:szCs w:val="24"/>
        </w:rPr>
        <w:t xml:space="preserve"> are disproportionately impacted by C</w:t>
      </w:r>
      <w:r w:rsidR="0046400E" w:rsidRPr="6485B768">
        <w:rPr>
          <w:color w:val="auto"/>
          <w:sz w:val="24"/>
          <w:szCs w:val="24"/>
        </w:rPr>
        <w:t xml:space="preserve">LCs. </w:t>
      </w:r>
      <w:r w:rsidR="00E85F4C" w:rsidRPr="6485B768">
        <w:rPr>
          <w:color w:val="auto"/>
          <w:sz w:val="24"/>
          <w:szCs w:val="24"/>
        </w:rPr>
        <w:t xml:space="preserve">CLCs </w:t>
      </w:r>
      <w:r w:rsidR="005B1C6A" w:rsidRPr="6485B768">
        <w:rPr>
          <w:color w:val="auto"/>
          <w:sz w:val="24"/>
          <w:szCs w:val="24"/>
        </w:rPr>
        <w:t xml:space="preserve">allow </w:t>
      </w:r>
      <w:r w:rsidR="00333EE9" w:rsidRPr="6485B768">
        <w:rPr>
          <w:color w:val="auto"/>
          <w:sz w:val="24"/>
          <w:szCs w:val="24"/>
        </w:rPr>
        <w:t xml:space="preserve">public housing authorities and private landlords to deny </w:t>
      </w:r>
      <w:r w:rsidR="005940BB" w:rsidRPr="6485B768">
        <w:rPr>
          <w:color w:val="auto"/>
          <w:sz w:val="24"/>
          <w:szCs w:val="24"/>
        </w:rPr>
        <w:t>housing to some individuals</w:t>
      </w:r>
      <w:r w:rsidR="00B92A8F" w:rsidRPr="6485B768">
        <w:rPr>
          <w:color w:val="auto"/>
          <w:sz w:val="24"/>
          <w:szCs w:val="24"/>
        </w:rPr>
        <w:t xml:space="preserve">. </w:t>
      </w:r>
      <w:r w:rsidR="00797297" w:rsidRPr="6485B768">
        <w:rPr>
          <w:color w:val="auto"/>
          <w:sz w:val="24"/>
          <w:szCs w:val="24"/>
        </w:rPr>
        <w:t xml:space="preserve">Yet, </w:t>
      </w:r>
      <w:r w:rsidR="00861D11" w:rsidRPr="6485B768">
        <w:rPr>
          <w:color w:val="auto"/>
          <w:sz w:val="24"/>
          <w:szCs w:val="24"/>
        </w:rPr>
        <w:t xml:space="preserve">the processes for appealing such decisions lack due process protections. </w:t>
      </w:r>
      <w:r w:rsidR="00965C47" w:rsidRPr="6485B768">
        <w:rPr>
          <w:color w:val="auto"/>
          <w:sz w:val="24"/>
          <w:szCs w:val="24"/>
        </w:rPr>
        <w:t>This</w:t>
      </w:r>
      <w:r w:rsidRPr="6485B768">
        <w:rPr>
          <w:color w:val="auto"/>
          <w:sz w:val="24"/>
          <w:szCs w:val="24"/>
        </w:rPr>
        <w:t xml:space="preserve"> report</w:t>
      </w:r>
      <w:r w:rsidR="005536AD" w:rsidRPr="6485B768">
        <w:rPr>
          <w:color w:val="auto"/>
          <w:sz w:val="24"/>
          <w:szCs w:val="24"/>
        </w:rPr>
        <w:t xml:space="preserve"> discusses the</w:t>
      </w:r>
      <w:r w:rsidR="00CB4DB4" w:rsidRPr="6485B768">
        <w:rPr>
          <w:color w:val="auto"/>
          <w:sz w:val="24"/>
          <w:szCs w:val="24"/>
        </w:rPr>
        <w:t xml:space="preserve"> </w:t>
      </w:r>
      <w:r w:rsidR="000A64DE" w:rsidRPr="6485B768">
        <w:rPr>
          <w:color w:val="auto"/>
          <w:sz w:val="24"/>
          <w:szCs w:val="24"/>
        </w:rPr>
        <w:t>criminal justice systems that provide CLCs</w:t>
      </w:r>
      <w:r w:rsidR="00DC4FA5" w:rsidRPr="6485B768">
        <w:rPr>
          <w:color w:val="auto"/>
          <w:sz w:val="24"/>
          <w:szCs w:val="24"/>
        </w:rPr>
        <w:t>. The</w:t>
      </w:r>
      <w:r w:rsidR="00B46644" w:rsidRPr="6485B768">
        <w:rPr>
          <w:color w:val="auto"/>
          <w:sz w:val="24"/>
          <w:szCs w:val="24"/>
        </w:rPr>
        <w:t xml:space="preserve"> criminalization of homelessness</w:t>
      </w:r>
      <w:r w:rsidR="001809B8" w:rsidRPr="6485B768">
        <w:rPr>
          <w:color w:val="auto"/>
          <w:sz w:val="24"/>
          <w:szCs w:val="24"/>
        </w:rPr>
        <w:t xml:space="preserve"> </w:t>
      </w:r>
      <w:r w:rsidR="00B46644" w:rsidRPr="6485B768">
        <w:rPr>
          <w:color w:val="auto"/>
          <w:sz w:val="24"/>
          <w:szCs w:val="24"/>
        </w:rPr>
        <w:t xml:space="preserve">results in more people interacting with the criminal justice system, and </w:t>
      </w:r>
      <w:r w:rsidR="00751D0F" w:rsidRPr="6485B768">
        <w:rPr>
          <w:color w:val="auto"/>
          <w:sz w:val="24"/>
          <w:szCs w:val="24"/>
        </w:rPr>
        <w:t xml:space="preserve">BIPOC communities are disproportionately represented in the criminal justice system.  </w:t>
      </w:r>
      <w:r w:rsidR="005940BB" w:rsidRPr="6485B768">
        <w:rPr>
          <w:color w:val="auto"/>
          <w:sz w:val="24"/>
          <w:szCs w:val="24"/>
        </w:rPr>
        <w:t xml:space="preserve"> </w:t>
      </w:r>
    </w:p>
    <w:p w14:paraId="1E53E7ED" w14:textId="1EDBD0CA" w:rsidR="008F2F99" w:rsidRPr="007E3BAF" w:rsidRDefault="00316FB8" w:rsidP="008F2F99">
      <w:pPr>
        <w:spacing w:after="120"/>
        <w:jc w:val="center"/>
        <w:rPr>
          <w:b/>
          <w:color w:val="auto"/>
          <w:sz w:val="24"/>
          <w:szCs w:val="24"/>
        </w:rPr>
      </w:pPr>
      <w:r w:rsidRPr="007E3BAF">
        <w:rPr>
          <w:b/>
          <w:color w:val="auto"/>
          <w:sz w:val="24"/>
          <w:szCs w:val="24"/>
        </w:rPr>
        <w:t xml:space="preserve">The United States of America fails to uphold its obligations under </w:t>
      </w:r>
      <w:r w:rsidR="00F53D01" w:rsidRPr="007E3BAF">
        <w:rPr>
          <w:b/>
          <w:bCs/>
          <w:sz w:val="24"/>
          <w:szCs w:val="24"/>
        </w:rPr>
        <w:t xml:space="preserve">articles 2, </w:t>
      </w:r>
      <w:r w:rsidR="003B31D7" w:rsidRPr="007E3BAF">
        <w:rPr>
          <w:b/>
          <w:bCs/>
          <w:sz w:val="24"/>
          <w:szCs w:val="24"/>
        </w:rPr>
        <w:t xml:space="preserve">3, </w:t>
      </w:r>
      <w:r w:rsidR="00F53D01" w:rsidRPr="007E3BAF">
        <w:rPr>
          <w:b/>
          <w:bCs/>
          <w:sz w:val="24"/>
          <w:szCs w:val="24"/>
        </w:rPr>
        <w:t xml:space="preserve">4 (c), 5, and 6 of </w:t>
      </w:r>
      <w:r w:rsidRPr="007E3BAF">
        <w:rPr>
          <w:b/>
          <w:color w:val="auto"/>
          <w:sz w:val="24"/>
          <w:szCs w:val="24"/>
        </w:rPr>
        <w:t>the Convention on the Elimination of Racial Discrimination (CERD)</w:t>
      </w:r>
    </w:p>
    <w:p w14:paraId="67B01AE7" w14:textId="1C369355" w:rsidR="00F419DE" w:rsidRPr="007E3BAF" w:rsidRDefault="006C529E" w:rsidP="00E114C5">
      <w:pPr>
        <w:keepNext/>
        <w:numPr>
          <w:ilvl w:val="0"/>
          <w:numId w:val="8"/>
        </w:numPr>
        <w:spacing w:before="240" w:after="120"/>
        <w:ind w:left="720" w:hanging="360"/>
        <w:rPr>
          <w:b/>
          <w:color w:val="auto"/>
          <w:sz w:val="24"/>
          <w:szCs w:val="24"/>
        </w:rPr>
      </w:pPr>
      <w:r w:rsidRPr="007E3BAF">
        <w:rPr>
          <w:b/>
          <w:color w:val="auto"/>
          <w:sz w:val="24"/>
          <w:szCs w:val="24"/>
        </w:rPr>
        <w:t>Criminalization of Homelessness (Concluding Observations paragraph 12)</w:t>
      </w:r>
    </w:p>
    <w:p w14:paraId="73E9ECB7" w14:textId="5916838E" w:rsidR="007C2E35" w:rsidRPr="007E3BAF" w:rsidRDefault="006C529E" w:rsidP="78226B39">
      <w:pPr>
        <w:pStyle w:val="ListParagraph"/>
        <w:keepNext/>
        <w:numPr>
          <w:ilvl w:val="0"/>
          <w:numId w:val="7"/>
        </w:numPr>
        <w:spacing w:before="240" w:after="120" w:line="240" w:lineRule="auto"/>
        <w:ind w:left="360"/>
        <w:jc w:val="both"/>
        <w:rPr>
          <w:rFonts w:ascii="Times New Roman" w:hAnsi="Times New Roman"/>
          <w:sz w:val="24"/>
          <w:szCs w:val="24"/>
        </w:rPr>
      </w:pPr>
      <w:r w:rsidRPr="007E3BAF">
        <w:rPr>
          <w:rFonts w:ascii="Times New Roman" w:hAnsi="Times New Roman"/>
          <w:sz w:val="24"/>
          <w:szCs w:val="24"/>
        </w:rPr>
        <w:t>In its 2014 Concluding Observations, the Committee identified criminalization of homelessness as an issue of particular importance</w:t>
      </w:r>
      <w:r w:rsidR="00C730C1" w:rsidRPr="007E3BAF">
        <w:rPr>
          <w:rFonts w:ascii="Times New Roman" w:hAnsi="Times New Roman"/>
          <w:sz w:val="24"/>
          <w:szCs w:val="24"/>
        </w:rPr>
        <w:t>, especially for racial and ethnic minorities.</w:t>
      </w:r>
      <w:r w:rsidR="007C2E35" w:rsidRPr="007E3BAF">
        <w:rPr>
          <w:rStyle w:val="FootnoteReference"/>
          <w:rFonts w:ascii="Times New Roman" w:hAnsi="Times New Roman"/>
          <w:sz w:val="24"/>
          <w:szCs w:val="24"/>
        </w:rPr>
        <w:footnoteReference w:id="2"/>
      </w:r>
      <w:r w:rsidR="007C2E35" w:rsidRPr="007E3BAF">
        <w:rPr>
          <w:rFonts w:ascii="Times New Roman" w:hAnsi="Times New Roman"/>
          <w:sz w:val="24"/>
          <w:szCs w:val="24"/>
        </w:rPr>
        <w:t xml:space="preserve"> The Committee urged the U.S. to abolish laws criminalizing homelessness and offer incentives to decriminalize it,</w:t>
      </w:r>
      <w:r w:rsidR="007C2E35" w:rsidRPr="007E3BAF">
        <w:rPr>
          <w:rFonts w:ascii="Times New Roman" w:eastAsia="Times New Roman" w:hAnsi="Times New Roman"/>
          <w:color w:val="000000" w:themeColor="text1"/>
          <w:sz w:val="24"/>
          <w:szCs w:val="24"/>
        </w:rPr>
        <w:t xml:space="preserve"> including by providing financial support to local authorities that implement alternatives to criminalization, and withdrawing funding from local authorities that criminalize homelessness.</w:t>
      </w:r>
      <w:r w:rsidR="007C2E35" w:rsidRPr="007E3BAF">
        <w:rPr>
          <w:rStyle w:val="FootnoteReference"/>
          <w:rFonts w:ascii="Times New Roman" w:hAnsi="Times New Roman"/>
          <w:color w:val="000000" w:themeColor="text1"/>
          <w:sz w:val="24"/>
          <w:szCs w:val="24"/>
        </w:rPr>
        <w:footnoteReference w:id="3"/>
      </w:r>
    </w:p>
    <w:p w14:paraId="2080AE7F" w14:textId="030A8B70" w:rsidR="007C2E35" w:rsidRPr="007E3BAF" w:rsidRDefault="007C2E35" w:rsidP="00E267D1">
      <w:pPr>
        <w:numPr>
          <w:ilvl w:val="0"/>
          <w:numId w:val="7"/>
        </w:numPr>
        <w:spacing w:after="120"/>
        <w:ind w:left="360"/>
        <w:jc w:val="both"/>
        <w:rPr>
          <w:sz w:val="24"/>
          <w:szCs w:val="24"/>
        </w:rPr>
      </w:pPr>
      <w:r w:rsidRPr="007E3BAF">
        <w:rPr>
          <w:sz w:val="24"/>
          <w:szCs w:val="24"/>
        </w:rPr>
        <w:t xml:space="preserve">BIPOC communities </w:t>
      </w:r>
      <w:r>
        <w:rPr>
          <w:sz w:val="24"/>
          <w:szCs w:val="24"/>
        </w:rPr>
        <w:t xml:space="preserve">in the U.S. </w:t>
      </w:r>
      <w:r w:rsidRPr="007E3BAF">
        <w:rPr>
          <w:sz w:val="24"/>
          <w:szCs w:val="24"/>
        </w:rPr>
        <w:t xml:space="preserve">continue </w:t>
      </w:r>
      <w:r>
        <w:rPr>
          <w:sz w:val="24"/>
          <w:szCs w:val="24"/>
        </w:rPr>
        <w:t xml:space="preserve">to </w:t>
      </w:r>
      <w:r w:rsidRPr="007E3BAF">
        <w:rPr>
          <w:sz w:val="24"/>
          <w:szCs w:val="24"/>
        </w:rPr>
        <w:t>experienc</w:t>
      </w:r>
      <w:r>
        <w:rPr>
          <w:sz w:val="24"/>
          <w:szCs w:val="24"/>
        </w:rPr>
        <w:t>e</w:t>
      </w:r>
      <w:r w:rsidRPr="007E3BAF">
        <w:rPr>
          <w:sz w:val="24"/>
          <w:szCs w:val="24"/>
        </w:rPr>
        <w:t xml:space="preserve"> poverty and homelessness at disproportionately high</w:t>
      </w:r>
      <w:r>
        <w:rPr>
          <w:sz w:val="24"/>
          <w:szCs w:val="24"/>
        </w:rPr>
        <w:t xml:space="preserve"> </w:t>
      </w:r>
      <w:r w:rsidRPr="007E3BAF">
        <w:rPr>
          <w:sz w:val="24"/>
          <w:szCs w:val="24"/>
        </w:rPr>
        <w:t>rates. BIPOC communit</w:t>
      </w:r>
      <w:r>
        <w:rPr>
          <w:sz w:val="24"/>
          <w:szCs w:val="24"/>
        </w:rPr>
        <w:t xml:space="preserve">y members represent more than </w:t>
      </w:r>
      <w:r w:rsidRPr="007E3BAF">
        <w:rPr>
          <w:sz w:val="24"/>
          <w:szCs w:val="24"/>
        </w:rPr>
        <w:t xml:space="preserve">60% of the </w:t>
      </w:r>
      <w:r>
        <w:rPr>
          <w:sz w:val="24"/>
          <w:szCs w:val="24"/>
        </w:rPr>
        <w:t xml:space="preserve">U.S. </w:t>
      </w:r>
      <w:r w:rsidRPr="007E3BAF">
        <w:rPr>
          <w:sz w:val="24"/>
          <w:szCs w:val="24"/>
        </w:rPr>
        <w:t>homeless population despite comprising only about 33% of the general population.</w:t>
      </w:r>
      <w:r w:rsidRPr="007E3BAF">
        <w:rPr>
          <w:rStyle w:val="FootnoteReference"/>
          <w:sz w:val="24"/>
          <w:szCs w:val="24"/>
        </w:rPr>
        <w:footnoteReference w:id="4"/>
      </w:r>
      <w:r>
        <w:rPr>
          <w:sz w:val="24"/>
          <w:szCs w:val="24"/>
        </w:rPr>
        <w:t xml:space="preserve"> </w:t>
      </w:r>
      <w:r w:rsidRPr="007E3BAF">
        <w:rPr>
          <w:sz w:val="24"/>
          <w:szCs w:val="24"/>
        </w:rPr>
        <w:t xml:space="preserve">Black people make up about 40% of the homeless population, but only 13% of the </w:t>
      </w:r>
      <w:r>
        <w:rPr>
          <w:sz w:val="24"/>
          <w:szCs w:val="24"/>
        </w:rPr>
        <w:t>U.S.</w:t>
      </w:r>
      <w:r w:rsidRPr="007E3BAF">
        <w:rPr>
          <w:sz w:val="24"/>
          <w:szCs w:val="24"/>
        </w:rPr>
        <w:t xml:space="preserve"> population.</w:t>
      </w:r>
      <w:r w:rsidRPr="007E3BAF">
        <w:rPr>
          <w:rStyle w:val="FootnoteReference"/>
          <w:sz w:val="24"/>
          <w:szCs w:val="24"/>
        </w:rPr>
        <w:footnoteReference w:id="5"/>
      </w:r>
    </w:p>
    <w:p w14:paraId="436C1C93" w14:textId="5068283F" w:rsidR="007C2E35" w:rsidRDefault="007C2E35" w:rsidP="005F5EBD">
      <w:pPr>
        <w:numPr>
          <w:ilvl w:val="0"/>
          <w:numId w:val="7"/>
        </w:numPr>
        <w:spacing w:after="120"/>
        <w:ind w:left="360"/>
        <w:jc w:val="both"/>
        <w:rPr>
          <w:sz w:val="24"/>
          <w:szCs w:val="24"/>
        </w:rPr>
      </w:pPr>
      <w:r>
        <w:rPr>
          <w:sz w:val="24"/>
          <w:szCs w:val="24"/>
        </w:rPr>
        <w:t>In the U.S.</w:t>
      </w:r>
      <w:r w:rsidRPr="007E3BAF">
        <w:rPr>
          <w:sz w:val="24"/>
          <w:szCs w:val="24"/>
        </w:rPr>
        <w:t>, “a person experiencing homelessness is up to 11 times more likely to be arrested than a housed person.”</w:t>
      </w:r>
      <w:r w:rsidRPr="007E3BAF">
        <w:rPr>
          <w:rStyle w:val="FootnoteReference"/>
          <w:sz w:val="24"/>
          <w:szCs w:val="24"/>
        </w:rPr>
        <w:footnoteReference w:id="6"/>
      </w:r>
      <w:r w:rsidRPr="007E3BAF">
        <w:rPr>
          <w:sz w:val="24"/>
          <w:szCs w:val="24"/>
        </w:rPr>
        <w:t xml:space="preserve"> Arrests</w:t>
      </w:r>
      <w:r>
        <w:rPr>
          <w:sz w:val="24"/>
          <w:szCs w:val="24"/>
        </w:rPr>
        <w:t xml:space="preserve"> </w:t>
      </w:r>
      <w:r w:rsidRPr="007E3BAF">
        <w:rPr>
          <w:sz w:val="24"/>
          <w:szCs w:val="24"/>
        </w:rPr>
        <w:t>disproportionately affect</w:t>
      </w:r>
      <w:r>
        <w:rPr>
          <w:sz w:val="24"/>
          <w:szCs w:val="24"/>
        </w:rPr>
        <w:t>ing</w:t>
      </w:r>
      <w:r w:rsidRPr="007E3BAF">
        <w:rPr>
          <w:sz w:val="24"/>
          <w:szCs w:val="24"/>
        </w:rPr>
        <w:t xml:space="preserve"> members of BIPOC communities </w:t>
      </w:r>
      <w:r w:rsidRPr="007E3BAF">
        <w:rPr>
          <w:sz w:val="24"/>
          <w:szCs w:val="24"/>
        </w:rPr>
        <w:lastRenderedPageBreak/>
        <w:t xml:space="preserve">are </w:t>
      </w:r>
      <w:r>
        <w:rPr>
          <w:sz w:val="24"/>
          <w:szCs w:val="24"/>
        </w:rPr>
        <w:t>increasing</w:t>
      </w:r>
      <w:r w:rsidRPr="007E3BAF">
        <w:rPr>
          <w:sz w:val="24"/>
          <w:szCs w:val="24"/>
        </w:rPr>
        <w:t xml:space="preserve">. As an example, the “Black arrest rate for offenses like vagrancy” </w:t>
      </w:r>
      <w:r>
        <w:rPr>
          <w:sz w:val="24"/>
          <w:szCs w:val="24"/>
        </w:rPr>
        <w:t xml:space="preserve">is </w:t>
      </w:r>
      <w:r w:rsidRPr="007E3BAF">
        <w:rPr>
          <w:sz w:val="24"/>
          <w:szCs w:val="24"/>
        </w:rPr>
        <w:t>double the white arrest rate.</w:t>
      </w:r>
      <w:r w:rsidRPr="007E3BAF">
        <w:rPr>
          <w:rStyle w:val="FootnoteReference"/>
          <w:sz w:val="24"/>
          <w:szCs w:val="24"/>
        </w:rPr>
        <w:footnoteReference w:id="7"/>
      </w:r>
    </w:p>
    <w:p w14:paraId="02A24CAE" w14:textId="5BE13949" w:rsidR="007C2E35" w:rsidRPr="007421F4" w:rsidRDefault="007C2E35" w:rsidP="00CE58A1">
      <w:pPr>
        <w:numPr>
          <w:ilvl w:val="0"/>
          <w:numId w:val="7"/>
        </w:numPr>
        <w:spacing w:after="120"/>
        <w:ind w:left="360"/>
        <w:jc w:val="both"/>
        <w:rPr>
          <w:sz w:val="24"/>
          <w:szCs w:val="24"/>
        </w:rPr>
      </w:pPr>
      <w:r w:rsidRPr="6485B768">
        <w:rPr>
          <w:sz w:val="24"/>
          <w:szCs w:val="24"/>
        </w:rPr>
        <w:t xml:space="preserve">In its State Party report, the U.S. fails to adequately address issues of criminalization of homelessness and poverty, as well as the impact of collateral legal consequences (CLCs). </w:t>
      </w:r>
      <w:r w:rsidRPr="6485B768">
        <w:rPr>
          <w:color w:val="000000" w:themeColor="text1"/>
          <w:sz w:val="24"/>
          <w:szCs w:val="24"/>
        </w:rPr>
        <w:t>Collateral legal consequences (CLCs) are criminal sanctions that attach as early as the moment of arrest and last well beyond release from prison. The United States has a vast array of laws and regulations that diminish the rights of people who interact with the criminal justice system, but these consequences take place outside of traditional sentencing and punishment and are enforced by myriad public and private entities.</w:t>
      </w:r>
      <w:r w:rsidRPr="6485B768">
        <w:rPr>
          <w:color w:val="000000" w:themeColor="text1"/>
          <w:sz w:val="24"/>
          <w:szCs w:val="24"/>
          <w:vertAlign w:val="superscript"/>
        </w:rPr>
        <w:t>6</w:t>
      </w:r>
    </w:p>
    <w:p w14:paraId="658DE9DC" w14:textId="4BB48230" w:rsidR="007C2E35" w:rsidRPr="0016754B" w:rsidRDefault="007C2E35" w:rsidP="00D92C35">
      <w:pPr>
        <w:numPr>
          <w:ilvl w:val="0"/>
          <w:numId w:val="7"/>
        </w:numPr>
        <w:spacing w:after="120"/>
        <w:ind w:left="360"/>
        <w:jc w:val="both"/>
        <w:rPr>
          <w:sz w:val="24"/>
          <w:szCs w:val="24"/>
        </w:rPr>
      </w:pPr>
      <w:r w:rsidRPr="0016754B">
        <w:rPr>
          <w:sz w:val="24"/>
          <w:szCs w:val="24"/>
        </w:rPr>
        <w:t>CLCs are articulated through major legislation directly focused on criminal punishments or as riders attached to other legislation</w:t>
      </w:r>
      <w:r>
        <w:rPr>
          <w:sz w:val="24"/>
          <w:szCs w:val="24"/>
        </w:rPr>
        <w:t xml:space="preserve">. CLCs </w:t>
      </w:r>
      <w:r w:rsidRPr="0016754B">
        <w:rPr>
          <w:sz w:val="24"/>
          <w:szCs w:val="24"/>
        </w:rPr>
        <w:t xml:space="preserve">may also arise outside of a </w:t>
      </w:r>
      <w:proofErr w:type="gramStart"/>
      <w:r w:rsidRPr="0016754B">
        <w:rPr>
          <w:sz w:val="24"/>
          <w:szCs w:val="24"/>
        </w:rPr>
        <w:t>constitutionally-guided</w:t>
      </w:r>
      <w:proofErr w:type="gramEnd"/>
      <w:r w:rsidRPr="0016754B">
        <w:rPr>
          <w:sz w:val="24"/>
          <w:szCs w:val="24"/>
        </w:rPr>
        <w:t>, legislative process</w:t>
      </w:r>
      <w:r>
        <w:rPr>
          <w:sz w:val="24"/>
          <w:szCs w:val="24"/>
        </w:rPr>
        <w:t xml:space="preserve">, such as a </w:t>
      </w:r>
      <w:r w:rsidRPr="0016754B">
        <w:rPr>
          <w:sz w:val="24"/>
          <w:szCs w:val="24"/>
        </w:rPr>
        <w:t xml:space="preserve">federal penal policy </w:t>
      </w:r>
      <w:r>
        <w:rPr>
          <w:sz w:val="24"/>
          <w:szCs w:val="24"/>
        </w:rPr>
        <w:t xml:space="preserve">that is </w:t>
      </w:r>
      <w:r w:rsidRPr="0016754B">
        <w:rPr>
          <w:sz w:val="24"/>
          <w:szCs w:val="24"/>
        </w:rPr>
        <w:t>adopted or imported into state sentencing statute</w:t>
      </w:r>
      <w:r>
        <w:rPr>
          <w:sz w:val="24"/>
          <w:szCs w:val="24"/>
        </w:rPr>
        <w:t>s. Many CLCs are</w:t>
      </w:r>
      <w:r w:rsidRPr="0016754B">
        <w:rPr>
          <w:sz w:val="24"/>
          <w:szCs w:val="24"/>
        </w:rPr>
        <w:t xml:space="preserve"> policies put into effect by unelected officials and outside of judicial review.</w:t>
      </w:r>
      <w:r w:rsidRPr="0016754B">
        <w:rPr>
          <w:rStyle w:val="FootnoteReference"/>
          <w:sz w:val="24"/>
          <w:szCs w:val="24"/>
        </w:rPr>
        <w:footnoteReference w:id="8"/>
      </w:r>
      <w:r>
        <w:rPr>
          <w:sz w:val="24"/>
          <w:szCs w:val="24"/>
        </w:rPr>
        <w:t xml:space="preserve"> </w:t>
      </w:r>
    </w:p>
    <w:p w14:paraId="75649DAC" w14:textId="3E069584" w:rsidR="007C2E35" w:rsidRDefault="007C2E35" w:rsidP="00D92C35">
      <w:pPr>
        <w:numPr>
          <w:ilvl w:val="0"/>
          <w:numId w:val="7"/>
        </w:numPr>
        <w:spacing w:after="120"/>
        <w:ind w:left="360"/>
        <w:jc w:val="both"/>
        <w:rPr>
          <w:sz w:val="24"/>
          <w:szCs w:val="24"/>
        </w:rPr>
      </w:pPr>
      <w:r>
        <w:rPr>
          <w:sz w:val="24"/>
          <w:szCs w:val="24"/>
        </w:rPr>
        <w:t>T</w:t>
      </w:r>
      <w:r w:rsidRPr="0016754B">
        <w:rPr>
          <w:sz w:val="24"/>
          <w:szCs w:val="24"/>
        </w:rPr>
        <w:t>he United States has failed to measure the implementation, impact, or effectiveness</w:t>
      </w:r>
      <w:r>
        <w:rPr>
          <w:sz w:val="24"/>
          <w:szCs w:val="24"/>
        </w:rPr>
        <w:t xml:space="preserve"> of CLCs</w:t>
      </w:r>
      <w:r w:rsidRPr="0016754B">
        <w:rPr>
          <w:sz w:val="24"/>
          <w:szCs w:val="24"/>
        </w:rPr>
        <w:t>.</w:t>
      </w:r>
      <w:r w:rsidRPr="0016754B">
        <w:rPr>
          <w:rStyle w:val="FootnoteReference"/>
          <w:sz w:val="24"/>
          <w:szCs w:val="24"/>
        </w:rPr>
        <w:footnoteReference w:id="9"/>
      </w:r>
      <w:r w:rsidRPr="0016754B">
        <w:rPr>
          <w:sz w:val="24"/>
          <w:szCs w:val="24"/>
        </w:rPr>
        <w:t xml:space="preserve"> One non-governmental study has identified over 70 categories of CLCs, all of which can be imposed by federal, state, and local governments through legislation, rules, and policies.</w:t>
      </w:r>
      <w:r w:rsidRPr="0016754B">
        <w:rPr>
          <w:rStyle w:val="FootnoteReference"/>
          <w:sz w:val="24"/>
          <w:szCs w:val="24"/>
        </w:rPr>
        <w:footnoteReference w:id="10"/>
      </w:r>
      <w:r w:rsidRPr="0016754B">
        <w:rPr>
          <w:sz w:val="24"/>
          <w:szCs w:val="24"/>
        </w:rPr>
        <w:t xml:space="preserve"> A database of state and federal statutory and regulatory codes that impose CLCs lists over 500 consequences imposed by Minnesota’s state-level statutes and regulations, and over 1,000 consequences imposed by federal statutory and regulatory codes. This does not capture consequences imposed by local ordinances or policies by public and private actors, such as landlords or employers that may lawfully use criminal history to deny housing or employment.</w:t>
      </w:r>
      <w:r w:rsidRPr="0016754B">
        <w:rPr>
          <w:rStyle w:val="FootnoteReference"/>
          <w:sz w:val="24"/>
          <w:szCs w:val="24"/>
        </w:rPr>
        <w:footnoteReference w:id="11"/>
      </w:r>
      <w:r w:rsidRPr="0016754B">
        <w:rPr>
          <w:sz w:val="24"/>
          <w:szCs w:val="24"/>
        </w:rPr>
        <w:t xml:space="preserve"> The Brennan Center estimates there are over 45,000 state and local laws and regulations that impose these broad ranges of CLCs.</w:t>
      </w:r>
      <w:r w:rsidRPr="0016754B">
        <w:rPr>
          <w:rStyle w:val="FootnoteReference"/>
          <w:sz w:val="24"/>
          <w:szCs w:val="24"/>
        </w:rPr>
        <w:footnoteReference w:id="12"/>
      </w:r>
      <w:r w:rsidRPr="0016754B">
        <w:rPr>
          <w:sz w:val="24"/>
          <w:szCs w:val="24"/>
        </w:rPr>
        <w:t xml:space="preserve"> </w:t>
      </w:r>
    </w:p>
    <w:p w14:paraId="21C7172F" w14:textId="163758CE" w:rsidR="007C2E35" w:rsidRPr="000165CE" w:rsidRDefault="007C2E35" w:rsidP="00CE58A1">
      <w:pPr>
        <w:numPr>
          <w:ilvl w:val="0"/>
          <w:numId w:val="7"/>
        </w:numPr>
        <w:spacing w:after="120"/>
        <w:ind w:left="360"/>
        <w:jc w:val="both"/>
        <w:rPr>
          <w:sz w:val="24"/>
          <w:szCs w:val="24"/>
        </w:rPr>
      </w:pPr>
      <w:r w:rsidRPr="000165CE">
        <w:rPr>
          <w:sz w:val="24"/>
          <w:szCs w:val="24"/>
        </w:rPr>
        <w:t xml:space="preserve">Some statutory disqualifications </w:t>
      </w:r>
      <w:r>
        <w:rPr>
          <w:sz w:val="24"/>
          <w:szCs w:val="24"/>
        </w:rPr>
        <w:t xml:space="preserve">based on criminal record </w:t>
      </w:r>
      <w:r w:rsidRPr="000165CE">
        <w:rPr>
          <w:sz w:val="24"/>
          <w:szCs w:val="24"/>
        </w:rPr>
        <w:t xml:space="preserve">are mandatory and immediately imposed. Others are imposed but can be waived by individual states. Others facilitate restrictions, such as rules that make criminal histories publicly accessible for employers and landlords who conduct background checks. CLCs </w:t>
      </w:r>
      <w:r>
        <w:rPr>
          <w:sz w:val="24"/>
          <w:szCs w:val="24"/>
        </w:rPr>
        <w:t xml:space="preserve">can </w:t>
      </w:r>
      <w:proofErr w:type="gramStart"/>
      <w:r w:rsidRPr="000165CE">
        <w:rPr>
          <w:sz w:val="24"/>
          <w:szCs w:val="24"/>
        </w:rPr>
        <w:t>include:</w:t>
      </w:r>
      <w:proofErr w:type="gramEnd"/>
      <w:r w:rsidRPr="000165CE">
        <w:rPr>
          <w:sz w:val="24"/>
          <w:szCs w:val="24"/>
        </w:rPr>
        <w:t xml:space="preserve"> lifetime bans from public </w:t>
      </w:r>
      <w:r w:rsidRPr="000165CE">
        <w:rPr>
          <w:sz w:val="24"/>
          <w:szCs w:val="24"/>
        </w:rPr>
        <w:lastRenderedPageBreak/>
        <w:t>housing</w:t>
      </w:r>
      <w:r w:rsidRPr="0016754B">
        <w:rPr>
          <w:rStyle w:val="FootnoteReference"/>
          <w:sz w:val="24"/>
          <w:szCs w:val="24"/>
        </w:rPr>
        <w:footnoteReference w:id="13"/>
      </w:r>
      <w:r w:rsidRPr="000165CE">
        <w:rPr>
          <w:sz w:val="24"/>
          <w:szCs w:val="24"/>
        </w:rPr>
        <w:t xml:space="preserve"> and food support</w:t>
      </w:r>
      <w:r w:rsidRPr="0016754B">
        <w:rPr>
          <w:rStyle w:val="FootnoteReference"/>
          <w:sz w:val="24"/>
          <w:szCs w:val="24"/>
        </w:rPr>
        <w:footnoteReference w:id="14"/>
      </w:r>
      <w:r w:rsidRPr="000165CE">
        <w:rPr>
          <w:sz w:val="24"/>
          <w:szCs w:val="24"/>
        </w:rPr>
        <w:t xml:space="preserve"> lifetime registry in sex offender databases;</w:t>
      </w:r>
      <w:r w:rsidRPr="0016754B">
        <w:rPr>
          <w:rStyle w:val="FootnoteReference"/>
          <w:sz w:val="24"/>
          <w:szCs w:val="24"/>
        </w:rPr>
        <w:footnoteReference w:id="15"/>
      </w:r>
      <w:r w:rsidRPr="000165CE">
        <w:rPr>
          <w:sz w:val="24"/>
          <w:szCs w:val="24"/>
        </w:rPr>
        <w:t xml:space="preserve"> lifetime restrictions on freedom of movement;</w:t>
      </w:r>
      <w:r w:rsidRPr="0016754B">
        <w:rPr>
          <w:rStyle w:val="FootnoteReference"/>
          <w:sz w:val="24"/>
          <w:szCs w:val="24"/>
        </w:rPr>
        <w:footnoteReference w:id="16"/>
      </w:r>
      <w:r w:rsidRPr="000165CE">
        <w:rPr>
          <w:sz w:val="24"/>
          <w:szCs w:val="24"/>
        </w:rPr>
        <w:t xml:space="preserve"> and </w:t>
      </w:r>
      <w:r>
        <w:rPr>
          <w:sz w:val="24"/>
          <w:szCs w:val="24"/>
        </w:rPr>
        <w:t>l</w:t>
      </w:r>
      <w:r w:rsidRPr="000165CE">
        <w:rPr>
          <w:sz w:val="24"/>
          <w:szCs w:val="24"/>
        </w:rPr>
        <w:t>ifetime bans on voting</w:t>
      </w:r>
      <w:r w:rsidRPr="0016754B">
        <w:rPr>
          <w:rStyle w:val="FootnoteReference"/>
          <w:sz w:val="24"/>
          <w:szCs w:val="24"/>
        </w:rPr>
        <w:footnoteReference w:id="17"/>
      </w:r>
      <w:r w:rsidRPr="000165CE">
        <w:rPr>
          <w:sz w:val="24"/>
          <w:szCs w:val="24"/>
        </w:rPr>
        <w:t xml:space="preserve"> and from participation in civic processes.</w:t>
      </w:r>
      <w:r w:rsidRPr="0016754B">
        <w:rPr>
          <w:rStyle w:val="FootnoteReference"/>
          <w:sz w:val="24"/>
          <w:szCs w:val="24"/>
        </w:rPr>
        <w:footnoteReference w:id="18"/>
      </w:r>
      <w:r w:rsidRPr="000165CE">
        <w:rPr>
          <w:sz w:val="24"/>
          <w:szCs w:val="24"/>
        </w:rPr>
        <w:t xml:space="preserve"> Even where a restriction or disqualification isn’t permanent, some CLCs restrict fundamental rights at critical moments, such as barring access to housing in the period right after release from incarceration, or for over long periods of time.</w:t>
      </w:r>
      <w:r w:rsidRPr="0016754B">
        <w:rPr>
          <w:rStyle w:val="FootnoteReference"/>
          <w:sz w:val="24"/>
          <w:szCs w:val="24"/>
        </w:rPr>
        <w:footnoteReference w:id="19"/>
      </w:r>
      <w:r w:rsidRPr="000165CE">
        <w:rPr>
          <w:sz w:val="24"/>
          <w:szCs w:val="24"/>
        </w:rPr>
        <w:t xml:space="preserve"> </w:t>
      </w:r>
    </w:p>
    <w:p w14:paraId="390CC9A7" w14:textId="2061A7B0" w:rsidR="007C2E35" w:rsidRPr="00650720" w:rsidRDefault="007C2E35" w:rsidP="00CE58A1">
      <w:pPr>
        <w:numPr>
          <w:ilvl w:val="0"/>
          <w:numId w:val="7"/>
        </w:numPr>
        <w:spacing w:after="120"/>
        <w:ind w:left="360"/>
        <w:jc w:val="both"/>
        <w:rPr>
          <w:sz w:val="24"/>
          <w:szCs w:val="24"/>
        </w:rPr>
      </w:pPr>
      <w:r w:rsidRPr="007E3BAF">
        <w:rPr>
          <w:sz w:val="24"/>
          <w:szCs w:val="24"/>
        </w:rPr>
        <w:t xml:space="preserve">CLCs exacerbate disparities in arrest and incarceration among homeless people. </w:t>
      </w:r>
      <w:r w:rsidR="350D0C88" w:rsidRPr="007E3BAF">
        <w:rPr>
          <w:sz w:val="24"/>
          <w:szCs w:val="24"/>
        </w:rPr>
        <w:t>Many people are homeless because a CLC has prevented their access to public housing (discussed below) and they cannot afford a home through the private market.</w:t>
      </w:r>
      <w:r w:rsidR="350D0C88" w:rsidRPr="3609440E">
        <w:rPr>
          <w:rStyle w:val="FootnoteReference"/>
          <w:sz w:val="24"/>
          <w:szCs w:val="24"/>
        </w:rPr>
        <w:footnoteReference w:id="20"/>
      </w:r>
      <w:r w:rsidR="350D0C88" w:rsidRPr="007E3BAF">
        <w:rPr>
          <w:sz w:val="24"/>
          <w:szCs w:val="24"/>
        </w:rPr>
        <w:t xml:space="preserve"> </w:t>
      </w:r>
      <w:r w:rsidR="350D0C88" w:rsidRPr="3609440E">
        <w:rPr>
          <w:sz w:val="24"/>
          <w:szCs w:val="24"/>
        </w:rPr>
        <w:t>States in the U.S. have created a whole host of laws that criminalize conduct that is prevalent in, and sometimes necessary or unavoidable for</w:t>
      </w:r>
      <w:r w:rsidR="00B16757">
        <w:rPr>
          <w:sz w:val="24"/>
          <w:szCs w:val="24"/>
        </w:rPr>
        <w:t>,</w:t>
      </w:r>
      <w:r w:rsidR="350D0C88" w:rsidRPr="3609440E">
        <w:rPr>
          <w:sz w:val="24"/>
          <w:szCs w:val="24"/>
        </w:rPr>
        <w:t xml:space="preserve"> homeless communities. These laws often prohibit necessary activities like bathing, sleeping, and spending long amounts of time in public spaces</w:t>
      </w:r>
      <w:r w:rsidR="00B16757">
        <w:rPr>
          <w:sz w:val="24"/>
          <w:szCs w:val="24"/>
        </w:rPr>
        <w:t xml:space="preserve">. </w:t>
      </w:r>
      <w:r w:rsidR="350D0C88" w:rsidRPr="3609440E">
        <w:rPr>
          <w:sz w:val="24"/>
          <w:szCs w:val="24"/>
        </w:rPr>
        <w:t>While these laws technically apply to everyone,</w:t>
      </w:r>
      <w:r w:rsidR="350D0C88" w:rsidRPr="52BE1DF5">
        <w:rPr>
          <w:rStyle w:val="FootnoteReference"/>
          <w:sz w:val="24"/>
          <w:szCs w:val="24"/>
        </w:rPr>
        <w:footnoteReference w:id="21"/>
      </w:r>
      <w:r w:rsidR="350D0C88" w:rsidRPr="3609440E">
        <w:rPr>
          <w:sz w:val="24"/>
          <w:szCs w:val="24"/>
        </w:rPr>
        <w:t xml:space="preserve"> they’re more likely to be enforced against a homeless person, </w:t>
      </w:r>
      <w:r w:rsidR="007E3EB4">
        <w:rPr>
          <w:sz w:val="24"/>
          <w:szCs w:val="24"/>
        </w:rPr>
        <w:t xml:space="preserve">and often </w:t>
      </w:r>
      <w:r w:rsidR="350D0C88" w:rsidRPr="52BE1DF5">
        <w:rPr>
          <w:sz w:val="24"/>
          <w:szCs w:val="24"/>
        </w:rPr>
        <w:t>lead</w:t>
      </w:r>
      <w:r w:rsidR="350D0C88" w:rsidRPr="3609440E">
        <w:rPr>
          <w:sz w:val="24"/>
          <w:szCs w:val="24"/>
        </w:rPr>
        <w:t xml:space="preserve"> to </w:t>
      </w:r>
      <w:r w:rsidR="350D0C88" w:rsidRPr="52BE1DF5">
        <w:rPr>
          <w:sz w:val="24"/>
          <w:szCs w:val="24"/>
        </w:rPr>
        <w:t xml:space="preserve">citation or </w:t>
      </w:r>
      <w:r w:rsidR="350D0C88" w:rsidRPr="3609440E">
        <w:rPr>
          <w:sz w:val="24"/>
          <w:szCs w:val="24"/>
        </w:rPr>
        <w:t>arrest</w:t>
      </w:r>
      <w:r w:rsidR="350D0C88" w:rsidRPr="52BE1DF5">
        <w:rPr>
          <w:sz w:val="24"/>
          <w:szCs w:val="24"/>
        </w:rPr>
        <w:t>. These arrests come with fines that a homeless person will struggle to pay, and outstanding warrants and fines can escalate into much more severe charges and</w:t>
      </w:r>
      <w:r w:rsidR="350D0C88" w:rsidRPr="3609440E">
        <w:rPr>
          <w:sz w:val="24"/>
          <w:szCs w:val="24"/>
        </w:rPr>
        <w:t xml:space="preserve"> incarceration, </w:t>
      </w:r>
      <w:r w:rsidR="350D0C88" w:rsidRPr="52BE1DF5">
        <w:rPr>
          <w:sz w:val="24"/>
          <w:szCs w:val="24"/>
        </w:rPr>
        <w:t xml:space="preserve">leaving </w:t>
      </w:r>
      <w:r w:rsidR="350D0C88" w:rsidRPr="3609440E">
        <w:rPr>
          <w:sz w:val="24"/>
          <w:szCs w:val="24"/>
        </w:rPr>
        <w:t xml:space="preserve">and yet another mark on </w:t>
      </w:r>
      <w:r w:rsidR="350D0C88" w:rsidRPr="52BE1DF5">
        <w:rPr>
          <w:sz w:val="24"/>
          <w:szCs w:val="24"/>
        </w:rPr>
        <w:t>someone’s</w:t>
      </w:r>
      <w:r w:rsidR="350D0C88" w:rsidRPr="3609440E">
        <w:rPr>
          <w:sz w:val="24"/>
          <w:szCs w:val="24"/>
        </w:rPr>
        <w:t xml:space="preserve"> record when they re-enter </w:t>
      </w:r>
      <w:r w:rsidR="350D0C88" w:rsidRPr="3609440E">
        <w:rPr>
          <w:sz w:val="24"/>
          <w:szCs w:val="24"/>
        </w:rPr>
        <w:lastRenderedPageBreak/>
        <w:t>society</w:t>
      </w:r>
      <w:r w:rsidR="350D0C88" w:rsidRPr="52BE1DF5">
        <w:rPr>
          <w:sz w:val="24"/>
          <w:szCs w:val="24"/>
        </w:rPr>
        <w:t>.</w:t>
      </w:r>
      <w:r w:rsidR="350D0C88" w:rsidRPr="52BE1DF5">
        <w:rPr>
          <w:rStyle w:val="FootnoteReference"/>
          <w:sz w:val="24"/>
          <w:szCs w:val="24"/>
        </w:rPr>
        <w:footnoteReference w:id="22"/>
      </w:r>
      <w:r w:rsidR="350D0C88" w:rsidRPr="007E3BAF">
        <w:rPr>
          <w:sz w:val="24"/>
          <w:szCs w:val="24"/>
        </w:rPr>
        <w:t xml:space="preserve"> </w:t>
      </w:r>
      <w:r w:rsidRPr="00650720">
        <w:rPr>
          <w:sz w:val="24"/>
          <w:szCs w:val="24"/>
        </w:rPr>
        <w:t>While some U.S. jurisdictions have made progress on addressing these concerns,</w:t>
      </w:r>
      <w:r w:rsidRPr="007E3BAF">
        <w:rPr>
          <w:rStyle w:val="FootnoteReference"/>
          <w:sz w:val="24"/>
          <w:szCs w:val="24"/>
        </w:rPr>
        <w:footnoteReference w:id="23"/>
      </w:r>
      <w:r w:rsidRPr="00650720">
        <w:rPr>
          <w:sz w:val="24"/>
          <w:szCs w:val="24"/>
        </w:rPr>
        <w:t xml:space="preserve"> programs and outcomes vary widely based on location and political will of the jurisdiction, resulting in unequal treatment depending on where the person lives. U.S. courts have started to interpret these laws as violations of the U.S. Constitution and anti-discrimination laws but change to the local and state laws and policies have been slow.</w:t>
      </w:r>
      <w:r w:rsidRPr="007E3BAF">
        <w:rPr>
          <w:rStyle w:val="FootnoteReference"/>
          <w:sz w:val="24"/>
          <w:szCs w:val="24"/>
        </w:rPr>
        <w:footnoteReference w:id="24"/>
      </w:r>
      <w:r w:rsidRPr="00650720">
        <w:rPr>
          <w:sz w:val="24"/>
          <w:szCs w:val="24"/>
        </w:rPr>
        <w:t xml:space="preserve"> </w:t>
      </w:r>
    </w:p>
    <w:p w14:paraId="2FAA48D0" w14:textId="4FF60457" w:rsidR="007C2E35" w:rsidRPr="007E3BAF" w:rsidRDefault="007C2E35" w:rsidP="00E267D1">
      <w:pPr>
        <w:numPr>
          <w:ilvl w:val="0"/>
          <w:numId w:val="7"/>
        </w:numPr>
        <w:spacing w:after="120"/>
        <w:ind w:left="360"/>
        <w:jc w:val="both"/>
        <w:rPr>
          <w:sz w:val="24"/>
          <w:szCs w:val="24"/>
        </w:rPr>
      </w:pPr>
      <w:r w:rsidRPr="6485B768">
        <w:rPr>
          <w:b/>
          <w:bCs/>
          <w:sz w:val="24"/>
          <w:szCs w:val="24"/>
        </w:rPr>
        <w:t>Suggested questions</w:t>
      </w:r>
      <w:r w:rsidRPr="6485B768">
        <w:rPr>
          <w:sz w:val="24"/>
          <w:szCs w:val="24"/>
        </w:rPr>
        <w:t xml:space="preserve"> related to criminalization of homelessness:</w:t>
      </w:r>
    </w:p>
    <w:p w14:paraId="1104B685" w14:textId="77777777" w:rsidR="007C2E35" w:rsidRPr="007E3BAF" w:rsidRDefault="007C2E35" w:rsidP="007605E8">
      <w:pPr>
        <w:numPr>
          <w:ilvl w:val="1"/>
          <w:numId w:val="7"/>
        </w:numPr>
        <w:spacing w:after="120"/>
        <w:jc w:val="both"/>
        <w:rPr>
          <w:sz w:val="24"/>
          <w:szCs w:val="24"/>
        </w:rPr>
      </w:pPr>
      <w:r w:rsidRPr="6485B768">
        <w:rPr>
          <w:sz w:val="24"/>
          <w:szCs w:val="24"/>
        </w:rPr>
        <w:t xml:space="preserve">Please describe recent and ongoing measures to repeal laws that disproportionately affect people who are homeless or experiencing extreme poverty. </w:t>
      </w:r>
    </w:p>
    <w:p w14:paraId="7CDABD51" w14:textId="77777777" w:rsidR="007C2E35" w:rsidRPr="007E3BAF" w:rsidRDefault="007C2E35" w:rsidP="007605E8">
      <w:pPr>
        <w:numPr>
          <w:ilvl w:val="1"/>
          <w:numId w:val="7"/>
        </w:numPr>
        <w:spacing w:after="120"/>
        <w:jc w:val="both"/>
        <w:rPr>
          <w:sz w:val="24"/>
          <w:szCs w:val="24"/>
        </w:rPr>
      </w:pPr>
      <w:r w:rsidRPr="6485B768">
        <w:rPr>
          <w:sz w:val="24"/>
          <w:szCs w:val="24"/>
        </w:rPr>
        <w:t>What alternatives, if any, has the United States considered to continued enforcement of laws that disproportionately affect people who are homeless or experiencing extreme poverty?</w:t>
      </w:r>
    </w:p>
    <w:p w14:paraId="6594309A" w14:textId="3CB2E0EB" w:rsidR="007C2E35" w:rsidRPr="007E3BAF" w:rsidRDefault="007C2E35" w:rsidP="007605E8">
      <w:pPr>
        <w:numPr>
          <w:ilvl w:val="1"/>
          <w:numId w:val="7"/>
        </w:numPr>
        <w:spacing w:after="120"/>
        <w:jc w:val="both"/>
        <w:rPr>
          <w:sz w:val="24"/>
          <w:szCs w:val="24"/>
        </w:rPr>
      </w:pPr>
      <w:r w:rsidRPr="6485B768">
        <w:rPr>
          <w:sz w:val="24"/>
          <w:szCs w:val="24"/>
        </w:rPr>
        <w:t xml:space="preserve">Please describe any policies and programs that gather data related to criminalization of poverty, such as numbers of arrests and convictions—disaggregated by race and gender—for inability to pay fines. </w:t>
      </w:r>
    </w:p>
    <w:p w14:paraId="40DCD4D0" w14:textId="153A4916" w:rsidR="007C2E35" w:rsidRDefault="007C2E35" w:rsidP="00E114C5">
      <w:pPr>
        <w:keepNext/>
        <w:numPr>
          <w:ilvl w:val="0"/>
          <w:numId w:val="8"/>
        </w:numPr>
        <w:spacing w:before="240" w:after="120"/>
        <w:ind w:left="720" w:hanging="360"/>
        <w:rPr>
          <w:b/>
          <w:color w:val="auto"/>
          <w:sz w:val="24"/>
          <w:szCs w:val="24"/>
        </w:rPr>
      </w:pPr>
      <w:r>
        <w:rPr>
          <w:b/>
          <w:color w:val="auto"/>
          <w:sz w:val="24"/>
          <w:szCs w:val="24"/>
        </w:rPr>
        <w:t>Discrimination and segregation in housing (Concluding Observations paragraph 13)</w:t>
      </w:r>
    </w:p>
    <w:p w14:paraId="48F9A24B" w14:textId="65849E3E" w:rsidR="007C2E35" w:rsidRPr="00B427B0" w:rsidRDefault="007C2E35" w:rsidP="00B427B0">
      <w:pPr>
        <w:numPr>
          <w:ilvl w:val="0"/>
          <w:numId w:val="7"/>
        </w:numPr>
        <w:spacing w:after="120"/>
        <w:ind w:left="360"/>
        <w:jc w:val="both"/>
        <w:rPr>
          <w:sz w:val="24"/>
          <w:szCs w:val="24"/>
        </w:rPr>
      </w:pPr>
      <w:r w:rsidRPr="00B427B0">
        <w:rPr>
          <w:sz w:val="24"/>
          <w:szCs w:val="24"/>
        </w:rPr>
        <w:t xml:space="preserve">The Committee also expressed concern about the “persistence of discrimination in access to housing on the basis of race, </w:t>
      </w:r>
      <w:proofErr w:type="spellStart"/>
      <w:r w:rsidRPr="00B427B0">
        <w:rPr>
          <w:sz w:val="24"/>
          <w:szCs w:val="24"/>
        </w:rPr>
        <w:t>colour</w:t>
      </w:r>
      <w:proofErr w:type="spellEnd"/>
      <w:r w:rsidRPr="00B427B0">
        <w:rPr>
          <w:sz w:val="24"/>
          <w:szCs w:val="24"/>
        </w:rPr>
        <w:t>, ethnicity, or national origin” and “high degree of racial segregation and concentrated poverty” in neighborhoods that are disproportionately populated by members of BIPOC communities.</w:t>
      </w:r>
      <w:r w:rsidRPr="00B427B0">
        <w:rPr>
          <w:rStyle w:val="FootnoteReference"/>
          <w:sz w:val="24"/>
          <w:szCs w:val="24"/>
        </w:rPr>
        <w:footnoteReference w:id="25"/>
      </w:r>
      <w:r w:rsidRPr="00B427B0">
        <w:rPr>
          <w:sz w:val="24"/>
          <w:szCs w:val="24"/>
        </w:rPr>
        <w:t xml:space="preserve"> The Committee called upon the United States to “ensure availability of affordable and adequate housing for all [by implementing nondiscrimination requirements] across all agencies administering housing </w:t>
      </w:r>
      <w:proofErr w:type="spellStart"/>
      <w:r w:rsidRPr="00B427B0">
        <w:rPr>
          <w:sz w:val="24"/>
          <w:szCs w:val="24"/>
        </w:rPr>
        <w:t>programmes</w:t>
      </w:r>
      <w:proofErr w:type="spellEnd"/>
      <w:r w:rsidRPr="00B427B0">
        <w:rPr>
          <w:sz w:val="24"/>
          <w:szCs w:val="24"/>
        </w:rPr>
        <w:t>,” and “strengthening the implementation of legislation to combat discrimination in housing.”</w:t>
      </w:r>
      <w:r w:rsidRPr="00B427B0">
        <w:rPr>
          <w:rStyle w:val="FootnoteReference"/>
          <w:sz w:val="24"/>
          <w:szCs w:val="24"/>
        </w:rPr>
        <w:footnoteReference w:id="26"/>
      </w:r>
      <w:r>
        <w:rPr>
          <w:sz w:val="24"/>
          <w:szCs w:val="24"/>
        </w:rPr>
        <w:t xml:space="preserve"> </w:t>
      </w:r>
    </w:p>
    <w:p w14:paraId="2D54D777" w14:textId="3FC76F78" w:rsidR="007C2E35" w:rsidRPr="00FF1946" w:rsidRDefault="007C2E35" w:rsidP="003B736A">
      <w:pPr>
        <w:numPr>
          <w:ilvl w:val="0"/>
          <w:numId w:val="7"/>
        </w:numPr>
        <w:spacing w:after="120"/>
        <w:ind w:left="360"/>
        <w:jc w:val="both"/>
        <w:rPr>
          <w:sz w:val="24"/>
          <w:szCs w:val="24"/>
        </w:rPr>
      </w:pPr>
      <w:r w:rsidRPr="00FF1946">
        <w:rPr>
          <w:sz w:val="24"/>
          <w:szCs w:val="24"/>
        </w:rPr>
        <w:t>In its 2021 State Party Report, the United States describes a federal strategic plan to prevent and end homelessness and the issuance of a HUD “public notice concerning use of arrest records in housing decisions, prohibiting blanket bans on renting to people with criminal records.”</w:t>
      </w:r>
      <w:r w:rsidRPr="00FF1946">
        <w:rPr>
          <w:rStyle w:val="FootnoteReference"/>
          <w:sz w:val="24"/>
          <w:szCs w:val="24"/>
        </w:rPr>
        <w:footnoteReference w:id="27"/>
      </w:r>
      <w:r w:rsidRPr="00FF1946">
        <w:rPr>
          <w:sz w:val="24"/>
          <w:szCs w:val="24"/>
        </w:rPr>
        <w:t xml:space="preserve"> While that Notice does inform public housing authorities and owners that “arrest </w:t>
      </w:r>
      <w:r w:rsidRPr="00FF1946">
        <w:rPr>
          <w:sz w:val="24"/>
          <w:szCs w:val="24"/>
        </w:rPr>
        <w:lastRenderedPageBreak/>
        <w:t>records may not be the basis for denying admission, terminating assistance, or evicting tenants” and</w:t>
      </w:r>
      <w:r>
        <w:rPr>
          <w:sz w:val="24"/>
          <w:szCs w:val="24"/>
        </w:rPr>
        <w:t xml:space="preserve"> </w:t>
      </w:r>
      <w:r w:rsidRPr="00FF1946">
        <w:rPr>
          <w:sz w:val="24"/>
          <w:szCs w:val="24"/>
        </w:rPr>
        <w:t xml:space="preserve">that HUD does not </w:t>
      </w:r>
      <w:r w:rsidRPr="6485B768">
        <w:rPr>
          <w:i/>
          <w:iCs/>
          <w:sz w:val="24"/>
          <w:szCs w:val="24"/>
        </w:rPr>
        <w:t>require</w:t>
      </w:r>
      <w:r w:rsidRPr="00FF1946">
        <w:rPr>
          <w:sz w:val="24"/>
          <w:szCs w:val="24"/>
        </w:rPr>
        <w:t xml:space="preserve"> adoption of “One Strike” policies, and must “safeguard the due process rights of applicants and tenants,” the law continues to allow evictions or terminations if household members or guest engages in “certain drug-related or certain other criminal activity on or off the premises, and requires denial of admission or termination of assistance for public housing for a whole host of criminal activity.</w:t>
      </w:r>
      <w:r>
        <w:rPr>
          <w:rStyle w:val="FootnoteReference"/>
          <w:sz w:val="24"/>
          <w:szCs w:val="24"/>
        </w:rPr>
        <w:footnoteReference w:id="28"/>
      </w:r>
    </w:p>
    <w:p w14:paraId="5A275285" w14:textId="3741679A" w:rsidR="007C2E35" w:rsidRPr="006E5D7C" w:rsidRDefault="007C2E35" w:rsidP="00067477">
      <w:pPr>
        <w:numPr>
          <w:ilvl w:val="0"/>
          <w:numId w:val="7"/>
        </w:numPr>
        <w:spacing w:after="120"/>
        <w:ind w:left="360"/>
        <w:jc w:val="both"/>
        <w:rPr>
          <w:sz w:val="24"/>
          <w:szCs w:val="24"/>
        </w:rPr>
      </w:pPr>
      <w:r>
        <w:rPr>
          <w:sz w:val="24"/>
          <w:szCs w:val="24"/>
        </w:rPr>
        <w:t xml:space="preserve">Having a </w:t>
      </w:r>
      <w:proofErr w:type="gramStart"/>
      <w:r>
        <w:rPr>
          <w:sz w:val="24"/>
          <w:szCs w:val="24"/>
        </w:rPr>
        <w:t>c</w:t>
      </w:r>
      <w:r w:rsidRPr="00FF1946">
        <w:rPr>
          <w:sz w:val="24"/>
          <w:szCs w:val="24"/>
        </w:rPr>
        <w:t>riminal record result</w:t>
      </w:r>
      <w:r>
        <w:rPr>
          <w:sz w:val="24"/>
          <w:szCs w:val="24"/>
        </w:rPr>
        <w:t>s</w:t>
      </w:r>
      <w:proofErr w:type="gramEnd"/>
      <w:r w:rsidRPr="00FF1946">
        <w:rPr>
          <w:sz w:val="24"/>
          <w:szCs w:val="24"/>
        </w:rPr>
        <w:t xml:space="preserve"> in significant restrictions on one’s ability to secure and maintain housing</w:t>
      </w:r>
      <w:r>
        <w:rPr>
          <w:sz w:val="24"/>
          <w:szCs w:val="24"/>
        </w:rPr>
        <w:t xml:space="preserve"> in the U.S</w:t>
      </w:r>
      <w:r w:rsidRPr="00FF1946">
        <w:rPr>
          <w:sz w:val="24"/>
          <w:szCs w:val="24"/>
        </w:rPr>
        <w:t>. The Housing Opportunity Extension Act of 1996 requires local police departments to provide criminal conviction records to local public housing authorities to help with screening, lease enforcement, and eviction.</w:t>
      </w:r>
      <w:r w:rsidRPr="00FF1946">
        <w:rPr>
          <w:rStyle w:val="FootnoteReference"/>
          <w:sz w:val="24"/>
          <w:szCs w:val="24"/>
        </w:rPr>
        <w:footnoteReference w:id="29"/>
      </w:r>
      <w:r w:rsidRPr="00FF1946">
        <w:rPr>
          <w:sz w:val="24"/>
          <w:szCs w:val="24"/>
        </w:rPr>
        <w:t xml:space="preserve"> The public housing authorities apply strict admission and eviction standards geared towards screening out people who engage in criminal behavior.</w:t>
      </w:r>
      <w:r w:rsidRPr="00FF1946">
        <w:rPr>
          <w:rStyle w:val="FootnoteReference"/>
          <w:sz w:val="24"/>
          <w:szCs w:val="24"/>
        </w:rPr>
        <w:footnoteReference w:id="30"/>
      </w:r>
      <w:r w:rsidRPr="00FF1946">
        <w:rPr>
          <w:sz w:val="24"/>
          <w:szCs w:val="24"/>
        </w:rPr>
        <w:t xml:space="preserve"> Federal laws require housing authorities to categorically deny admission to anyone who has been convicted for certain sex offenses</w:t>
      </w:r>
      <w:r w:rsidRPr="00FF1946">
        <w:rPr>
          <w:rStyle w:val="FootnoteReference"/>
          <w:sz w:val="24"/>
          <w:szCs w:val="24"/>
        </w:rPr>
        <w:footnoteReference w:id="31"/>
      </w:r>
      <w:r w:rsidRPr="00FF1946">
        <w:rPr>
          <w:sz w:val="24"/>
          <w:szCs w:val="24"/>
        </w:rPr>
        <w:t xml:space="preserve"> and serious drug crimes,</w:t>
      </w:r>
      <w:r w:rsidRPr="00FF1946">
        <w:rPr>
          <w:rStyle w:val="FootnoteReference"/>
          <w:sz w:val="24"/>
          <w:szCs w:val="24"/>
        </w:rPr>
        <w:footnoteReference w:id="32"/>
      </w:r>
      <w:r w:rsidRPr="00FF1946">
        <w:rPr>
          <w:sz w:val="24"/>
          <w:szCs w:val="24"/>
        </w:rPr>
        <w:t xml:space="preserve"> particularly where this mandated ban also includes a prior eviction by “reason of drug-related criminal activity” in the past three years.</w:t>
      </w:r>
      <w:r w:rsidRPr="00FF1946">
        <w:rPr>
          <w:rStyle w:val="FootnoteReference"/>
          <w:sz w:val="24"/>
          <w:szCs w:val="24"/>
        </w:rPr>
        <w:footnoteReference w:id="33"/>
      </w:r>
      <w:r w:rsidRPr="00FF1946">
        <w:rPr>
          <w:sz w:val="24"/>
          <w:szCs w:val="24"/>
        </w:rPr>
        <w:t xml:space="preserve"> </w:t>
      </w:r>
    </w:p>
    <w:p w14:paraId="70EFF2BA" w14:textId="3A30B43F" w:rsidR="007C2E35" w:rsidRPr="00FF1946" w:rsidRDefault="007C2E35" w:rsidP="006E5D7C">
      <w:pPr>
        <w:numPr>
          <w:ilvl w:val="0"/>
          <w:numId w:val="7"/>
        </w:numPr>
        <w:spacing w:after="120"/>
        <w:ind w:left="360"/>
        <w:jc w:val="both"/>
        <w:rPr>
          <w:sz w:val="24"/>
          <w:szCs w:val="24"/>
        </w:rPr>
      </w:pPr>
      <w:r>
        <w:rPr>
          <w:sz w:val="24"/>
          <w:szCs w:val="24"/>
        </w:rPr>
        <w:t>A</w:t>
      </w:r>
      <w:r w:rsidRPr="006E5D7C">
        <w:rPr>
          <w:sz w:val="24"/>
          <w:szCs w:val="24"/>
        </w:rPr>
        <w:t>pproximately 600,000 people reenter society after serving a jail or prison sentence; the majority having been convicted for drug-related offenses.</w:t>
      </w:r>
      <w:r w:rsidRPr="00FF1946">
        <w:rPr>
          <w:rStyle w:val="FootnoteReference"/>
          <w:sz w:val="24"/>
          <w:szCs w:val="24"/>
        </w:rPr>
        <w:footnoteReference w:id="34"/>
      </w:r>
      <w:r>
        <w:rPr>
          <w:sz w:val="24"/>
          <w:szCs w:val="24"/>
        </w:rPr>
        <w:t xml:space="preserve"> </w:t>
      </w:r>
      <w:r w:rsidRPr="00FF1946">
        <w:rPr>
          <w:sz w:val="24"/>
          <w:szCs w:val="24"/>
        </w:rPr>
        <w:t xml:space="preserve">The over-criminalization of drug use and the disproportionate and discriminatory impact of that criminalization on BIPOC communities results not only in large numbers of people </w:t>
      </w:r>
      <w:r>
        <w:rPr>
          <w:sz w:val="24"/>
          <w:szCs w:val="24"/>
        </w:rPr>
        <w:t>of color entering</w:t>
      </w:r>
      <w:r w:rsidRPr="00FF1946">
        <w:rPr>
          <w:sz w:val="24"/>
          <w:szCs w:val="24"/>
        </w:rPr>
        <w:t xml:space="preserve"> the criminal justice system</w:t>
      </w:r>
      <w:r>
        <w:rPr>
          <w:sz w:val="24"/>
          <w:szCs w:val="24"/>
        </w:rPr>
        <w:t>,</w:t>
      </w:r>
      <w:r w:rsidRPr="00FF1946">
        <w:rPr>
          <w:sz w:val="24"/>
          <w:szCs w:val="24"/>
        </w:rPr>
        <w:t xml:space="preserve"> but </w:t>
      </w:r>
      <w:r>
        <w:rPr>
          <w:sz w:val="24"/>
          <w:szCs w:val="24"/>
        </w:rPr>
        <w:t xml:space="preserve">also the ongoing impact of </w:t>
      </w:r>
      <w:r w:rsidRPr="00FF1946">
        <w:rPr>
          <w:sz w:val="24"/>
          <w:szCs w:val="24"/>
        </w:rPr>
        <w:t xml:space="preserve">CLCs </w:t>
      </w:r>
      <w:r>
        <w:rPr>
          <w:sz w:val="24"/>
          <w:szCs w:val="24"/>
        </w:rPr>
        <w:t xml:space="preserve">on their access to housing. </w:t>
      </w:r>
    </w:p>
    <w:p w14:paraId="6761AA61" w14:textId="77777777" w:rsidR="007C2E35" w:rsidRDefault="007C2E35" w:rsidP="00144BF6">
      <w:pPr>
        <w:numPr>
          <w:ilvl w:val="0"/>
          <w:numId w:val="7"/>
        </w:numPr>
        <w:spacing w:after="120"/>
        <w:ind w:left="360"/>
        <w:jc w:val="both"/>
        <w:rPr>
          <w:sz w:val="24"/>
          <w:szCs w:val="24"/>
        </w:rPr>
      </w:pPr>
      <w:r w:rsidRPr="00FF1946">
        <w:rPr>
          <w:sz w:val="24"/>
          <w:szCs w:val="24"/>
        </w:rPr>
        <w:t xml:space="preserve">Additionally, federal law authorizes local housing authorities to develop their own admissions policies surrounding criminal activity relating to drugs or violence, and they may also develop policies over criminal activity that poses a threat to health, safety, and welfare of other </w:t>
      </w:r>
      <w:r w:rsidRPr="00FF1946">
        <w:rPr>
          <w:sz w:val="24"/>
          <w:szCs w:val="24"/>
        </w:rPr>
        <w:lastRenderedPageBreak/>
        <w:t>residents.</w:t>
      </w:r>
      <w:r w:rsidRPr="00FF1946">
        <w:rPr>
          <w:rStyle w:val="FootnoteReference"/>
          <w:sz w:val="24"/>
          <w:szCs w:val="24"/>
        </w:rPr>
        <w:footnoteReference w:id="35"/>
      </w:r>
      <w:r w:rsidRPr="00FF1946">
        <w:rPr>
          <w:sz w:val="24"/>
          <w:szCs w:val="24"/>
        </w:rPr>
        <w:t xml:space="preserve"> Local public housing authorities tend to interpret the latter category very broadly and are quick to deny admission to applicants with other types of convictions.</w:t>
      </w:r>
      <w:r w:rsidRPr="00FF1946">
        <w:rPr>
          <w:rStyle w:val="FootnoteReference"/>
          <w:sz w:val="24"/>
          <w:szCs w:val="24"/>
        </w:rPr>
        <w:footnoteReference w:id="36"/>
      </w:r>
      <w:r w:rsidRPr="00FF1946">
        <w:rPr>
          <w:sz w:val="24"/>
          <w:szCs w:val="24"/>
        </w:rPr>
        <w:t xml:space="preserve"> </w:t>
      </w:r>
    </w:p>
    <w:p w14:paraId="38414496" w14:textId="295888EE" w:rsidR="007C2E35" w:rsidRPr="00FF1946" w:rsidRDefault="007C2E35" w:rsidP="005F3904">
      <w:pPr>
        <w:numPr>
          <w:ilvl w:val="0"/>
          <w:numId w:val="7"/>
        </w:numPr>
        <w:spacing w:after="120"/>
        <w:ind w:left="360"/>
        <w:jc w:val="both"/>
        <w:rPr>
          <w:sz w:val="24"/>
          <w:szCs w:val="24"/>
        </w:rPr>
      </w:pPr>
      <w:r w:rsidRPr="00FF1946">
        <w:rPr>
          <w:sz w:val="24"/>
          <w:szCs w:val="24"/>
        </w:rPr>
        <w:t>Even non-violent offenses have resulted in federal housing authorities rejecting applicants</w:t>
      </w:r>
      <w:r>
        <w:rPr>
          <w:sz w:val="24"/>
          <w:szCs w:val="24"/>
        </w:rPr>
        <w:t xml:space="preserve">. Examples of minor offenses include </w:t>
      </w:r>
      <w:r w:rsidRPr="00FF1946">
        <w:rPr>
          <w:sz w:val="24"/>
          <w:szCs w:val="24"/>
        </w:rPr>
        <w:t xml:space="preserve">shoplifting </w:t>
      </w:r>
      <w:proofErr w:type="gramStart"/>
      <w:r w:rsidRPr="00FF1946">
        <w:rPr>
          <w:sz w:val="24"/>
          <w:szCs w:val="24"/>
        </w:rPr>
        <w:t>(</w:t>
      </w:r>
      <w:r>
        <w:rPr>
          <w:sz w:val="24"/>
          <w:szCs w:val="24"/>
        </w:rPr>
        <w:t xml:space="preserve"> even</w:t>
      </w:r>
      <w:proofErr w:type="gramEnd"/>
      <w:r w:rsidRPr="00FF1946">
        <w:rPr>
          <w:sz w:val="24"/>
          <w:szCs w:val="24"/>
        </w:rPr>
        <w:t xml:space="preserve"> stealing Chapstick and other small items while experiencing homelessness), not paying for video rentals, and paying for merchandise with personal checks when their bank accounts lacked sufficient funds.</w:t>
      </w:r>
      <w:r w:rsidRPr="00FF1946">
        <w:rPr>
          <w:rStyle w:val="FootnoteReference"/>
          <w:sz w:val="24"/>
          <w:szCs w:val="24"/>
        </w:rPr>
        <w:footnoteReference w:id="37"/>
      </w:r>
      <w:r w:rsidRPr="00FF1946">
        <w:rPr>
          <w:sz w:val="24"/>
          <w:szCs w:val="24"/>
        </w:rPr>
        <w:t xml:space="preserve"> </w:t>
      </w:r>
    </w:p>
    <w:p w14:paraId="0E2E5958" w14:textId="597F638E" w:rsidR="007C2E35" w:rsidRPr="00FF1946" w:rsidRDefault="007C2E35" w:rsidP="00C9446B">
      <w:pPr>
        <w:numPr>
          <w:ilvl w:val="0"/>
          <w:numId w:val="7"/>
        </w:numPr>
        <w:spacing w:after="120"/>
        <w:ind w:left="360"/>
        <w:jc w:val="both"/>
        <w:rPr>
          <w:sz w:val="24"/>
          <w:szCs w:val="24"/>
        </w:rPr>
      </w:pPr>
      <w:r w:rsidRPr="00FF1946">
        <w:rPr>
          <w:sz w:val="24"/>
          <w:szCs w:val="24"/>
        </w:rPr>
        <w:t xml:space="preserve">Public housing authorities may evict entire families for something as minor as a household member’s </w:t>
      </w:r>
      <w:r w:rsidRPr="6485B768">
        <w:rPr>
          <w:i/>
          <w:iCs/>
          <w:sz w:val="24"/>
          <w:szCs w:val="24"/>
        </w:rPr>
        <w:t>suspected</w:t>
      </w:r>
      <w:r w:rsidRPr="00FF1946">
        <w:rPr>
          <w:sz w:val="24"/>
          <w:szCs w:val="24"/>
        </w:rPr>
        <w:t xml:space="preserve"> criminal activity</w:t>
      </w:r>
      <w:r w:rsidRPr="00FF1946">
        <w:rPr>
          <w:rStyle w:val="FootnoteReference"/>
          <w:sz w:val="24"/>
          <w:szCs w:val="24"/>
        </w:rPr>
        <w:footnoteReference w:id="38"/>
      </w:r>
      <w:r w:rsidRPr="00FF1946">
        <w:rPr>
          <w:sz w:val="24"/>
          <w:szCs w:val="24"/>
        </w:rPr>
        <w:t xml:space="preserve"> or a </w:t>
      </w:r>
      <w:proofErr w:type="gramStart"/>
      <w:r w:rsidRPr="00FF1946">
        <w:rPr>
          <w:sz w:val="24"/>
          <w:szCs w:val="24"/>
        </w:rPr>
        <w:t>guest‘</w:t>
      </w:r>
      <w:proofErr w:type="gramEnd"/>
      <w:r w:rsidRPr="00FF1946">
        <w:rPr>
          <w:sz w:val="24"/>
          <w:szCs w:val="24"/>
        </w:rPr>
        <w:t>s off-site criminal activity</w:t>
      </w:r>
      <w:r w:rsidRPr="00FF1946">
        <w:rPr>
          <w:rStyle w:val="FootnoteReference"/>
          <w:sz w:val="24"/>
          <w:szCs w:val="24"/>
        </w:rPr>
        <w:footnoteReference w:id="39"/>
      </w:r>
      <w:r w:rsidRPr="00FF1946">
        <w:rPr>
          <w:sz w:val="24"/>
          <w:szCs w:val="24"/>
        </w:rPr>
        <w:t xml:space="preserve"> and allow private and public housing to turn away applicants with a criminal record.</w:t>
      </w:r>
      <w:r w:rsidRPr="00FF1946">
        <w:rPr>
          <w:rStyle w:val="FootnoteReference"/>
          <w:sz w:val="24"/>
          <w:szCs w:val="24"/>
        </w:rPr>
        <w:footnoteReference w:id="40"/>
      </w:r>
      <w:r>
        <w:rPr>
          <w:sz w:val="24"/>
          <w:szCs w:val="24"/>
        </w:rPr>
        <w:t xml:space="preserve"> </w:t>
      </w:r>
    </w:p>
    <w:p w14:paraId="43AF3D0A" w14:textId="78883F22" w:rsidR="007C2E35" w:rsidRPr="00FF1946" w:rsidRDefault="007C2E35" w:rsidP="00C9446B">
      <w:pPr>
        <w:numPr>
          <w:ilvl w:val="0"/>
          <w:numId w:val="7"/>
        </w:numPr>
        <w:spacing w:after="120"/>
        <w:ind w:left="360"/>
        <w:jc w:val="both"/>
        <w:rPr>
          <w:sz w:val="24"/>
          <w:szCs w:val="24"/>
        </w:rPr>
      </w:pPr>
      <w:r w:rsidRPr="00FF1946">
        <w:rPr>
          <w:sz w:val="24"/>
          <w:szCs w:val="24"/>
        </w:rPr>
        <w:t xml:space="preserve">Laws that allow </w:t>
      </w:r>
      <w:proofErr w:type="gramStart"/>
      <w:r w:rsidRPr="00FF1946">
        <w:rPr>
          <w:sz w:val="24"/>
          <w:szCs w:val="24"/>
        </w:rPr>
        <w:t>housing-related</w:t>
      </w:r>
      <w:proofErr w:type="gramEnd"/>
      <w:r w:rsidRPr="00FF1946">
        <w:rPr>
          <w:sz w:val="24"/>
          <w:szCs w:val="24"/>
        </w:rPr>
        <w:t xml:space="preserve"> CLCs do not provide sufficient due process protections to people.</w:t>
      </w:r>
      <w:r>
        <w:rPr>
          <w:sz w:val="24"/>
          <w:szCs w:val="24"/>
        </w:rPr>
        <w:t xml:space="preserve"> </w:t>
      </w:r>
      <w:r w:rsidRPr="00FF1946">
        <w:rPr>
          <w:sz w:val="24"/>
          <w:szCs w:val="24"/>
        </w:rPr>
        <w:t>Under “One Strike and You’re Out” rhetoric</w:t>
      </w:r>
      <w:r w:rsidRPr="00FF1946">
        <w:rPr>
          <w:rStyle w:val="FootnoteReference"/>
          <w:sz w:val="24"/>
          <w:szCs w:val="24"/>
        </w:rPr>
        <w:footnoteReference w:id="41"/>
      </w:r>
      <w:r w:rsidRPr="00FF1946">
        <w:rPr>
          <w:sz w:val="24"/>
          <w:szCs w:val="24"/>
        </w:rPr>
        <w:t xml:space="preserve"> and regulation,</w:t>
      </w:r>
      <w:r w:rsidRPr="00FF1946">
        <w:rPr>
          <w:rStyle w:val="FootnoteReference"/>
          <w:sz w:val="24"/>
          <w:szCs w:val="24"/>
        </w:rPr>
        <w:footnoteReference w:id="42"/>
      </w:r>
      <w:r w:rsidRPr="00FF1946">
        <w:rPr>
          <w:sz w:val="24"/>
          <w:szCs w:val="24"/>
        </w:rPr>
        <w:t xml:space="preserve"> the Federal Government authorized eviction in the first instances of suspected drug-related activity.</w:t>
      </w:r>
      <w:r>
        <w:rPr>
          <w:sz w:val="24"/>
          <w:szCs w:val="24"/>
        </w:rPr>
        <w:t xml:space="preserve"> </w:t>
      </w:r>
      <w:r w:rsidRPr="00FF1946">
        <w:rPr>
          <w:sz w:val="24"/>
          <w:szCs w:val="24"/>
        </w:rPr>
        <w:t>While this guidance says tenants must have notification and opportunity to dispute the accuracy and relevance of a criminal record before denial and may request an informal hearing or review after an application is denied, in practice, people in these situations are often denied or lose their right to housing without adequate due process. Decisions to reject an application or evict a family can happen very quickly. For example, in Minnesota, tenants might only have one week to prepare for an eviction hearing</w:t>
      </w:r>
      <w:r w:rsidRPr="00FF1946">
        <w:rPr>
          <w:rStyle w:val="FootnoteReference"/>
          <w:sz w:val="24"/>
          <w:szCs w:val="24"/>
        </w:rPr>
        <w:footnoteReference w:id="43"/>
      </w:r>
      <w:r w:rsidRPr="00FF1946">
        <w:rPr>
          <w:sz w:val="24"/>
          <w:szCs w:val="24"/>
        </w:rPr>
        <w:t xml:space="preserve"> and people are not guaranteed an attorney to assist. </w:t>
      </w:r>
    </w:p>
    <w:p w14:paraId="27CA5C22" w14:textId="26441642" w:rsidR="007C2E35" w:rsidRDefault="007C2E35" w:rsidP="00C9446B">
      <w:pPr>
        <w:numPr>
          <w:ilvl w:val="0"/>
          <w:numId w:val="7"/>
        </w:numPr>
        <w:spacing w:after="120"/>
        <w:ind w:left="360"/>
        <w:jc w:val="both"/>
        <w:rPr>
          <w:sz w:val="24"/>
          <w:szCs w:val="24"/>
        </w:rPr>
      </w:pPr>
      <w:r w:rsidRPr="6485B768">
        <w:rPr>
          <w:sz w:val="24"/>
          <w:szCs w:val="24"/>
        </w:rPr>
        <w:t xml:space="preserve">Procedures to appeal or dispute an adverse decision are often </w:t>
      </w:r>
      <w:r w:rsidRPr="6485B768">
        <w:rPr>
          <w:i/>
          <w:iCs/>
          <w:sz w:val="24"/>
          <w:szCs w:val="24"/>
        </w:rPr>
        <w:t xml:space="preserve">very </w:t>
      </w:r>
      <w:r w:rsidRPr="6485B768">
        <w:rPr>
          <w:sz w:val="24"/>
          <w:szCs w:val="24"/>
        </w:rPr>
        <w:t xml:space="preserve">complicated and can take a long time. A volunteer reported to The Advocates experience working a mother to navigate the multi-step process of appealing an adverse housing decision. The local housing authority </w:t>
      </w:r>
      <w:r w:rsidRPr="6485B768">
        <w:rPr>
          <w:sz w:val="24"/>
          <w:szCs w:val="24"/>
        </w:rPr>
        <w:lastRenderedPageBreak/>
        <w:t xml:space="preserve">justified its decision because the mother had violated a policy she’d signed, but when she had an opportunity to testify, she shared that she had been presented with several lengthy documents—each containing complicated provisions—and didn’t feel like she had time to read them closely or ask questions before signing. </w:t>
      </w:r>
    </w:p>
    <w:p w14:paraId="34C58073" w14:textId="69AD9BC3" w:rsidR="007C2E35" w:rsidRPr="00FF1946" w:rsidRDefault="006D4551" w:rsidP="00C9446B">
      <w:pPr>
        <w:numPr>
          <w:ilvl w:val="0"/>
          <w:numId w:val="7"/>
        </w:numPr>
        <w:spacing w:after="120"/>
        <w:ind w:left="360"/>
        <w:jc w:val="both"/>
        <w:rPr>
          <w:sz w:val="24"/>
          <w:szCs w:val="24"/>
        </w:rPr>
      </w:pPr>
      <w:r w:rsidRPr="6485B768">
        <w:rPr>
          <w:sz w:val="24"/>
          <w:szCs w:val="24"/>
        </w:rPr>
        <w:t>Further</w:t>
      </w:r>
      <w:r w:rsidR="007C2E35" w:rsidRPr="6485B768">
        <w:rPr>
          <w:sz w:val="24"/>
          <w:szCs w:val="24"/>
        </w:rPr>
        <w:t>, there is no guarantee of housing while one awaits resolution of the situation, meaning people may be homeless—and, therefore, facing additional opportunities for interactions with police and other safety concerns—while navigating the process. Because people may be homeless while appealing, that also means loss of access to necessary services to prepare their case, and a decreased likelihood of success in their claim.</w:t>
      </w:r>
    </w:p>
    <w:p w14:paraId="17DD9120" w14:textId="0E424EE4" w:rsidR="007C2E35" w:rsidRPr="00FF1946" w:rsidRDefault="007C2E35" w:rsidP="00C9446B">
      <w:pPr>
        <w:numPr>
          <w:ilvl w:val="0"/>
          <w:numId w:val="7"/>
        </w:numPr>
        <w:spacing w:after="120"/>
        <w:ind w:left="360"/>
        <w:jc w:val="both"/>
        <w:rPr>
          <w:sz w:val="24"/>
          <w:szCs w:val="24"/>
        </w:rPr>
      </w:pPr>
      <w:r w:rsidRPr="00FF1946">
        <w:rPr>
          <w:sz w:val="24"/>
          <w:szCs w:val="24"/>
        </w:rPr>
        <w:t>There have been some recent successes</w:t>
      </w:r>
      <w:r>
        <w:rPr>
          <w:sz w:val="24"/>
          <w:szCs w:val="24"/>
        </w:rPr>
        <w:t xml:space="preserve"> in challenging racially discriminatory housing decisions</w:t>
      </w:r>
      <w:r w:rsidRPr="00FF1946">
        <w:rPr>
          <w:sz w:val="24"/>
          <w:szCs w:val="24"/>
        </w:rPr>
        <w:t>. For example,</w:t>
      </w:r>
      <w:r w:rsidR="00925501">
        <w:rPr>
          <w:sz w:val="24"/>
          <w:szCs w:val="24"/>
        </w:rPr>
        <w:t xml:space="preserve"> </w:t>
      </w:r>
      <w:r w:rsidRPr="00FF1946">
        <w:rPr>
          <w:sz w:val="24"/>
          <w:szCs w:val="24"/>
        </w:rPr>
        <w:t>in August 2019, the Civil Rights Division of the U.S. Department of Justice</w:t>
      </w:r>
      <w:r w:rsidR="006547C7">
        <w:rPr>
          <w:sz w:val="24"/>
          <w:szCs w:val="24"/>
        </w:rPr>
        <w:t xml:space="preserve"> </w:t>
      </w:r>
      <w:r w:rsidR="008E5358">
        <w:rPr>
          <w:sz w:val="24"/>
          <w:szCs w:val="24"/>
        </w:rPr>
        <w:t>“</w:t>
      </w:r>
      <w:r w:rsidR="006547C7" w:rsidRPr="006547C7">
        <w:rPr>
          <w:sz w:val="24"/>
          <w:szCs w:val="24"/>
        </w:rPr>
        <w:t>resolved a case alleging that the owners and operators of an apartment complex in Tennessee had discriminated based on race when they denied an application from an African American prospective tenant because of his criminal record</w:t>
      </w:r>
      <w:r w:rsidRPr="00FF1946">
        <w:rPr>
          <w:sz w:val="24"/>
          <w:szCs w:val="24"/>
        </w:rPr>
        <w:t>, but approved the applications of two similarly situated white prospective tenants with felony convictions</w:t>
      </w:r>
      <w:r>
        <w:rPr>
          <w:sz w:val="24"/>
          <w:szCs w:val="24"/>
        </w:rPr>
        <w:t>.</w:t>
      </w:r>
      <w:r w:rsidR="007C0145">
        <w:rPr>
          <w:sz w:val="24"/>
          <w:szCs w:val="24"/>
        </w:rPr>
        <w:t>”</w:t>
      </w:r>
      <w:r w:rsidR="008E5358" w:rsidRPr="00FF1946">
        <w:rPr>
          <w:rStyle w:val="FootnoteReference"/>
          <w:sz w:val="24"/>
          <w:szCs w:val="24"/>
        </w:rPr>
        <w:footnoteReference w:id="44"/>
      </w:r>
      <w:r w:rsidR="00486525">
        <w:t xml:space="preserve"> </w:t>
      </w:r>
      <w:r w:rsidRPr="00FF1946">
        <w:rPr>
          <w:sz w:val="24"/>
          <w:szCs w:val="24"/>
        </w:rPr>
        <w:t>Although this is helpful progress, case-by-case litigation takes time and resources, doesn’t address an immediate need for housing, and doesn’t prevent discrimination</w:t>
      </w:r>
      <w:r>
        <w:rPr>
          <w:sz w:val="24"/>
          <w:szCs w:val="24"/>
        </w:rPr>
        <w:t xml:space="preserve"> </w:t>
      </w:r>
      <w:r w:rsidRPr="00FF1946">
        <w:rPr>
          <w:sz w:val="24"/>
          <w:szCs w:val="24"/>
        </w:rPr>
        <w:t>from happening</w:t>
      </w:r>
      <w:r>
        <w:rPr>
          <w:sz w:val="24"/>
          <w:szCs w:val="24"/>
        </w:rPr>
        <w:t xml:space="preserve"> in other areas.</w:t>
      </w:r>
      <w:r w:rsidRPr="00FF1946">
        <w:rPr>
          <w:sz w:val="24"/>
          <w:szCs w:val="24"/>
        </w:rPr>
        <w:t xml:space="preserve"> </w:t>
      </w:r>
    </w:p>
    <w:p w14:paraId="2A1527D5" w14:textId="7EB01E60" w:rsidR="007C2E35" w:rsidRPr="00FF1946" w:rsidRDefault="007C2E35" w:rsidP="00C9446B">
      <w:pPr>
        <w:numPr>
          <w:ilvl w:val="0"/>
          <w:numId w:val="7"/>
        </w:numPr>
        <w:spacing w:after="120"/>
        <w:ind w:left="360"/>
        <w:jc w:val="both"/>
        <w:rPr>
          <w:sz w:val="24"/>
          <w:szCs w:val="24"/>
        </w:rPr>
      </w:pPr>
      <w:r w:rsidRPr="00FF1946">
        <w:rPr>
          <w:sz w:val="24"/>
          <w:szCs w:val="24"/>
        </w:rPr>
        <w:t xml:space="preserve">Even where blanket bans have been lifted, </w:t>
      </w:r>
      <w:r>
        <w:rPr>
          <w:sz w:val="24"/>
          <w:szCs w:val="24"/>
        </w:rPr>
        <w:t xml:space="preserve">practices can result in </w:t>
      </w:r>
      <w:r w:rsidRPr="00FF1946">
        <w:rPr>
          <w:sz w:val="24"/>
          <w:szCs w:val="24"/>
        </w:rPr>
        <w:t>discriminatio</w:t>
      </w:r>
      <w:r>
        <w:rPr>
          <w:sz w:val="24"/>
          <w:szCs w:val="24"/>
        </w:rPr>
        <w:t>n</w:t>
      </w:r>
      <w:r w:rsidRPr="00FF1946">
        <w:rPr>
          <w:sz w:val="24"/>
          <w:szCs w:val="24"/>
        </w:rPr>
        <w:t>. Most landlords, whether public or private, conduct background reports on prospective tenants.</w:t>
      </w:r>
      <w:r w:rsidRPr="00FF1946">
        <w:rPr>
          <w:rStyle w:val="FootnoteReference"/>
          <w:sz w:val="24"/>
          <w:szCs w:val="24"/>
        </w:rPr>
        <w:footnoteReference w:id="45"/>
      </w:r>
      <w:r w:rsidRPr="00FF1946">
        <w:rPr>
          <w:sz w:val="24"/>
          <w:szCs w:val="24"/>
        </w:rPr>
        <w:t xml:space="preserve"> Private landlords </w:t>
      </w:r>
      <w:r w:rsidR="00EA122F">
        <w:rPr>
          <w:sz w:val="24"/>
          <w:szCs w:val="24"/>
        </w:rPr>
        <w:t>can</w:t>
      </w:r>
      <w:r w:rsidRPr="00FF1946">
        <w:rPr>
          <w:sz w:val="24"/>
          <w:szCs w:val="24"/>
        </w:rPr>
        <w:t xml:space="preserve"> pass this cost on to applicants</w:t>
      </w:r>
      <w:r w:rsidR="00EA122F">
        <w:rPr>
          <w:sz w:val="24"/>
          <w:szCs w:val="24"/>
        </w:rPr>
        <w:t xml:space="preserve"> through application fees</w:t>
      </w:r>
      <w:r w:rsidRPr="00FF1946">
        <w:rPr>
          <w:sz w:val="24"/>
          <w:szCs w:val="24"/>
        </w:rPr>
        <w:t>, which adds up very quickly when tenants must apply to multiple places in hopes of finding one who will accept them. When a landlord denies a tenant due to information in a background screening, the landlord need only provide a name of the screening company, but not a copy of the report itself.</w:t>
      </w:r>
      <w:r w:rsidRPr="7190EF52">
        <w:rPr>
          <w:rStyle w:val="FootnoteReference"/>
          <w:sz w:val="24"/>
          <w:szCs w:val="24"/>
        </w:rPr>
        <w:footnoteReference w:id="46"/>
      </w:r>
      <w:r w:rsidRPr="00FF1946">
        <w:rPr>
          <w:sz w:val="24"/>
          <w:szCs w:val="24"/>
        </w:rPr>
        <w:t xml:space="preserve"> </w:t>
      </w:r>
    </w:p>
    <w:p w14:paraId="1A29D09F" w14:textId="16EC2F7F" w:rsidR="007C2E35" w:rsidRDefault="007C2E35" w:rsidP="00C9446B">
      <w:pPr>
        <w:numPr>
          <w:ilvl w:val="0"/>
          <w:numId w:val="7"/>
        </w:numPr>
        <w:spacing w:after="120"/>
        <w:ind w:left="360"/>
        <w:jc w:val="both"/>
        <w:rPr>
          <w:color w:val="auto"/>
          <w:sz w:val="24"/>
          <w:szCs w:val="24"/>
        </w:rPr>
      </w:pPr>
      <w:r w:rsidRPr="6485B768">
        <w:rPr>
          <w:b/>
          <w:bCs/>
          <w:color w:val="auto"/>
          <w:sz w:val="24"/>
          <w:szCs w:val="24"/>
        </w:rPr>
        <w:t>Suggested questions</w:t>
      </w:r>
      <w:r w:rsidRPr="6485B768">
        <w:rPr>
          <w:color w:val="auto"/>
          <w:sz w:val="24"/>
          <w:szCs w:val="24"/>
        </w:rPr>
        <w:t xml:space="preserve"> relating to discrimination and segregation in housing:</w:t>
      </w:r>
    </w:p>
    <w:p w14:paraId="588F41CF" w14:textId="77777777" w:rsidR="007C2E35" w:rsidRPr="002C21E5" w:rsidRDefault="007C2E35" w:rsidP="002C21E5">
      <w:pPr>
        <w:numPr>
          <w:ilvl w:val="1"/>
          <w:numId w:val="7"/>
        </w:numPr>
        <w:spacing w:after="120"/>
        <w:jc w:val="both"/>
        <w:rPr>
          <w:sz w:val="24"/>
          <w:szCs w:val="24"/>
        </w:rPr>
      </w:pPr>
      <w:r w:rsidRPr="6485B768">
        <w:rPr>
          <w:sz w:val="24"/>
          <w:szCs w:val="24"/>
        </w:rPr>
        <w:t>Please provide comprehensive data, disaggregated by race and sex, about the number of people who lose access to housing due to a collateral consequence (their own, or that of a member of their household). If these data are not available, please describe efforts to collect it.</w:t>
      </w:r>
    </w:p>
    <w:p w14:paraId="0ADC91D9" w14:textId="77777777" w:rsidR="007C2E35" w:rsidRPr="002C21E5" w:rsidRDefault="007C2E35" w:rsidP="002C21E5">
      <w:pPr>
        <w:numPr>
          <w:ilvl w:val="1"/>
          <w:numId w:val="7"/>
        </w:numPr>
        <w:spacing w:after="120"/>
        <w:jc w:val="both"/>
        <w:rPr>
          <w:sz w:val="24"/>
          <w:szCs w:val="24"/>
        </w:rPr>
      </w:pPr>
      <w:r w:rsidRPr="6485B768">
        <w:rPr>
          <w:sz w:val="24"/>
          <w:szCs w:val="24"/>
        </w:rPr>
        <w:t xml:space="preserve">Please provide data, disaggregated by sex and race, on adverse housing decisions based on criminal activity, appeal rate, and results of appeals. </w:t>
      </w:r>
    </w:p>
    <w:p w14:paraId="4AD3D7AC" w14:textId="77777777" w:rsidR="007C2E35" w:rsidRDefault="007C2E35" w:rsidP="002C21E5">
      <w:pPr>
        <w:numPr>
          <w:ilvl w:val="1"/>
          <w:numId w:val="7"/>
        </w:numPr>
        <w:spacing w:after="120"/>
        <w:jc w:val="both"/>
        <w:rPr>
          <w:sz w:val="24"/>
          <w:szCs w:val="24"/>
        </w:rPr>
      </w:pPr>
      <w:r w:rsidRPr="6485B768">
        <w:rPr>
          <w:sz w:val="24"/>
          <w:szCs w:val="24"/>
        </w:rPr>
        <w:t xml:space="preserve">What steps has the United States taken to support people who play no role in a household member—or guest’s—criminal activity but nevertheless are at risk of adverse housing decisions? </w:t>
      </w:r>
    </w:p>
    <w:p w14:paraId="7367ADE3" w14:textId="77777777" w:rsidR="007C2E35" w:rsidRPr="00A1323E" w:rsidRDefault="007C2E35" w:rsidP="00A1323E">
      <w:pPr>
        <w:numPr>
          <w:ilvl w:val="1"/>
          <w:numId w:val="7"/>
        </w:numPr>
        <w:spacing w:after="120"/>
        <w:jc w:val="both"/>
        <w:rPr>
          <w:sz w:val="24"/>
          <w:szCs w:val="24"/>
        </w:rPr>
      </w:pPr>
      <w:r w:rsidRPr="6485B768">
        <w:rPr>
          <w:sz w:val="24"/>
          <w:szCs w:val="24"/>
        </w:rPr>
        <w:lastRenderedPageBreak/>
        <w:t>Please describe efforts to improve interagency coordination to develop and support reentry initiatives and reduce recidivism.</w:t>
      </w:r>
    </w:p>
    <w:p w14:paraId="6B86DA5E" w14:textId="77777777" w:rsidR="007C2E35" w:rsidRPr="00A1323E" w:rsidRDefault="007C2E35" w:rsidP="00A1323E">
      <w:pPr>
        <w:numPr>
          <w:ilvl w:val="1"/>
          <w:numId w:val="7"/>
        </w:numPr>
        <w:spacing w:after="120"/>
        <w:jc w:val="both"/>
        <w:rPr>
          <w:sz w:val="24"/>
          <w:szCs w:val="24"/>
        </w:rPr>
      </w:pPr>
      <w:r w:rsidRPr="6485B768">
        <w:rPr>
          <w:sz w:val="24"/>
          <w:szCs w:val="24"/>
        </w:rPr>
        <w:t>What steps has the United States taken to enforce compliance with HUD’s 2016 public notice concerning use of arrest records in housing decisions and prohibiting blanket bans on renting to people with criminal records?</w:t>
      </w:r>
    </w:p>
    <w:p w14:paraId="2F74408F" w14:textId="2D21B01F" w:rsidR="007C2E35" w:rsidRPr="00A1323E" w:rsidRDefault="007C2E35" w:rsidP="00A1323E">
      <w:pPr>
        <w:numPr>
          <w:ilvl w:val="1"/>
          <w:numId w:val="7"/>
        </w:numPr>
        <w:spacing w:after="120"/>
        <w:jc w:val="both"/>
        <w:rPr>
          <w:sz w:val="24"/>
          <w:szCs w:val="24"/>
        </w:rPr>
      </w:pPr>
      <w:r w:rsidRPr="6485B768">
        <w:rPr>
          <w:sz w:val="24"/>
          <w:szCs w:val="24"/>
        </w:rPr>
        <w:t xml:space="preserve">What policies and procedures does the United States have in place to learn about and address housing authorities that issue adverse housing decisions for very minor criminal records and/or suspected criminal activity? </w:t>
      </w:r>
    </w:p>
    <w:p w14:paraId="19DD83E5" w14:textId="77777777" w:rsidR="007C2E35" w:rsidRPr="00A1323E" w:rsidRDefault="007C2E35" w:rsidP="00A1323E">
      <w:pPr>
        <w:numPr>
          <w:ilvl w:val="1"/>
          <w:numId w:val="7"/>
        </w:numPr>
        <w:spacing w:after="120"/>
        <w:jc w:val="both"/>
        <w:rPr>
          <w:sz w:val="24"/>
          <w:szCs w:val="24"/>
        </w:rPr>
      </w:pPr>
      <w:r w:rsidRPr="6485B768">
        <w:rPr>
          <w:sz w:val="24"/>
          <w:szCs w:val="24"/>
        </w:rPr>
        <w:t xml:space="preserve">What measures are in place to ensure housing authorities are not abusing their discretion and/or rigidly applying outdated One Strike policies? </w:t>
      </w:r>
    </w:p>
    <w:p w14:paraId="6219A8C7" w14:textId="77777777" w:rsidR="007C2E35" w:rsidRPr="00A1323E" w:rsidRDefault="007C2E35" w:rsidP="00A1323E">
      <w:pPr>
        <w:numPr>
          <w:ilvl w:val="1"/>
          <w:numId w:val="7"/>
        </w:numPr>
        <w:spacing w:after="120"/>
        <w:jc w:val="both"/>
        <w:rPr>
          <w:sz w:val="24"/>
          <w:szCs w:val="24"/>
        </w:rPr>
      </w:pPr>
      <w:r w:rsidRPr="6485B768">
        <w:rPr>
          <w:sz w:val="24"/>
          <w:szCs w:val="24"/>
        </w:rPr>
        <w:t xml:space="preserve">Please describe efforts to train housing authorities to move away from strict adherence to outdated One Strike policies. </w:t>
      </w:r>
    </w:p>
    <w:p w14:paraId="0D6CCA2A" w14:textId="77777777" w:rsidR="007C2E35" w:rsidRPr="00A1323E" w:rsidRDefault="007C2E35" w:rsidP="00A1323E">
      <w:pPr>
        <w:numPr>
          <w:ilvl w:val="1"/>
          <w:numId w:val="7"/>
        </w:numPr>
        <w:spacing w:after="120"/>
        <w:jc w:val="both"/>
        <w:rPr>
          <w:sz w:val="24"/>
          <w:szCs w:val="24"/>
        </w:rPr>
      </w:pPr>
      <w:r w:rsidRPr="6485B768">
        <w:rPr>
          <w:sz w:val="24"/>
          <w:szCs w:val="24"/>
        </w:rPr>
        <w:t>What policies are in place or under consideration to ensure tenants and applicants receive an individualized assessment that doesn’t overly rely on their criminal history?</w:t>
      </w:r>
    </w:p>
    <w:p w14:paraId="7C0F561E" w14:textId="44A4AC51" w:rsidR="007C2E35" w:rsidRPr="00A1323E" w:rsidRDefault="007C2E35" w:rsidP="00A1323E">
      <w:pPr>
        <w:numPr>
          <w:ilvl w:val="1"/>
          <w:numId w:val="7"/>
        </w:numPr>
        <w:spacing w:after="120"/>
        <w:jc w:val="both"/>
        <w:rPr>
          <w:sz w:val="24"/>
          <w:szCs w:val="24"/>
        </w:rPr>
      </w:pPr>
      <w:r w:rsidRPr="6485B768">
        <w:rPr>
          <w:sz w:val="24"/>
          <w:szCs w:val="24"/>
        </w:rPr>
        <w:t>What steps has the United States taken to ensure that policies that preclude denial solely for a criminal conviction don’t allow housing agencies to nevertheless use evidence of criminal convictions as evidence of safety-risk?</w:t>
      </w:r>
    </w:p>
    <w:p w14:paraId="0C35DB36" w14:textId="0E49987E" w:rsidR="007C2E35" w:rsidRPr="00111994" w:rsidRDefault="007C2E35" w:rsidP="00E114C5">
      <w:pPr>
        <w:keepNext/>
        <w:numPr>
          <w:ilvl w:val="0"/>
          <w:numId w:val="8"/>
        </w:numPr>
        <w:spacing w:before="240" w:after="120"/>
        <w:ind w:left="720" w:hanging="360"/>
        <w:rPr>
          <w:b/>
          <w:color w:val="auto"/>
          <w:sz w:val="24"/>
          <w:szCs w:val="24"/>
        </w:rPr>
      </w:pPr>
      <w:r>
        <w:rPr>
          <w:b/>
          <w:color w:val="auto"/>
          <w:sz w:val="24"/>
          <w:szCs w:val="24"/>
        </w:rPr>
        <w:t>Criminal Justice System (Concluding Observations paragraph 20)</w:t>
      </w:r>
    </w:p>
    <w:p w14:paraId="34AADE47" w14:textId="541BC7ED" w:rsidR="007C2E35" w:rsidRDefault="007C2E35" w:rsidP="00DD7219">
      <w:pPr>
        <w:pStyle w:val="ListParagraph"/>
        <w:numPr>
          <w:ilvl w:val="0"/>
          <w:numId w:val="7"/>
        </w:numPr>
        <w:spacing w:before="240" w:after="120"/>
        <w:ind w:left="360"/>
        <w:contextualSpacing w:val="0"/>
        <w:jc w:val="both"/>
        <w:rPr>
          <w:rFonts w:ascii="Times New Roman" w:hAnsi="Times New Roman"/>
          <w:sz w:val="24"/>
          <w:szCs w:val="24"/>
        </w:rPr>
      </w:pPr>
      <w:r w:rsidRPr="007F32F0">
        <w:rPr>
          <w:rFonts w:ascii="Times New Roman" w:hAnsi="Times New Roman"/>
          <w:sz w:val="24"/>
          <w:szCs w:val="24"/>
        </w:rPr>
        <w:t xml:space="preserve">In its 2014 Concluding Observations, the Committee expressed ongoing concern </w:t>
      </w:r>
      <w:r>
        <w:rPr>
          <w:rFonts w:ascii="Times New Roman" w:hAnsi="Times New Roman"/>
          <w:sz w:val="24"/>
          <w:szCs w:val="24"/>
        </w:rPr>
        <w:t>about</w:t>
      </w:r>
      <w:r w:rsidRPr="007F32F0">
        <w:rPr>
          <w:rFonts w:ascii="Times New Roman" w:hAnsi="Times New Roman"/>
          <w:sz w:val="24"/>
          <w:szCs w:val="24"/>
        </w:rPr>
        <w:t xml:space="preserve"> racial disparities, especially for African Americans, in the criminal justice system. These concerns included disproportionately high rates of arrest, incarceration, and harsh sentencing.</w:t>
      </w:r>
      <w:r w:rsidRPr="007F32F0">
        <w:rPr>
          <w:rStyle w:val="FootnoteReference"/>
          <w:rFonts w:ascii="Times New Roman" w:hAnsi="Times New Roman"/>
          <w:sz w:val="24"/>
          <w:szCs w:val="24"/>
        </w:rPr>
        <w:footnoteReference w:id="47"/>
      </w:r>
    </w:p>
    <w:p w14:paraId="5D33CE99" w14:textId="77777777" w:rsidR="007C2E35" w:rsidRDefault="007C2E35" w:rsidP="00DD7219">
      <w:pPr>
        <w:numPr>
          <w:ilvl w:val="0"/>
          <w:numId w:val="7"/>
        </w:numPr>
        <w:spacing w:after="120"/>
        <w:ind w:left="360"/>
        <w:jc w:val="both"/>
        <w:rPr>
          <w:sz w:val="24"/>
          <w:szCs w:val="24"/>
        </w:rPr>
      </w:pPr>
      <w:r w:rsidRPr="00DD7219">
        <w:rPr>
          <w:sz w:val="24"/>
          <w:szCs w:val="24"/>
        </w:rPr>
        <w:t>In its 2021 State</w:t>
      </w:r>
      <w:r>
        <w:rPr>
          <w:sz w:val="24"/>
          <w:szCs w:val="24"/>
        </w:rPr>
        <w:t xml:space="preserve"> Party</w:t>
      </w:r>
      <w:r w:rsidRPr="00DD7219">
        <w:rPr>
          <w:sz w:val="24"/>
          <w:szCs w:val="24"/>
        </w:rPr>
        <w:t xml:space="preserve"> Report, the United States cites the First Step Act of 2018 as a reform “help[</w:t>
      </w:r>
      <w:proofErr w:type="spellStart"/>
      <w:r w:rsidRPr="00DD7219">
        <w:rPr>
          <w:sz w:val="24"/>
          <w:szCs w:val="24"/>
        </w:rPr>
        <w:t>ing</w:t>
      </w:r>
      <w:proofErr w:type="spellEnd"/>
      <w:r w:rsidRPr="00DD7219">
        <w:rPr>
          <w:sz w:val="24"/>
          <w:szCs w:val="24"/>
        </w:rPr>
        <w:t>] to address racial disparities in the federal criminal legal system.”</w:t>
      </w:r>
      <w:r>
        <w:rPr>
          <w:rStyle w:val="FootnoteReference"/>
          <w:sz w:val="24"/>
          <w:szCs w:val="24"/>
        </w:rPr>
        <w:footnoteReference w:id="48"/>
      </w:r>
      <w:r>
        <w:rPr>
          <w:sz w:val="24"/>
          <w:szCs w:val="24"/>
        </w:rPr>
        <w:t xml:space="preserve"> </w:t>
      </w:r>
      <w:r w:rsidRPr="00DD7219">
        <w:rPr>
          <w:sz w:val="24"/>
          <w:szCs w:val="24"/>
        </w:rPr>
        <w:t xml:space="preserve">This is indeed a helpful first step, especially because it indicates the United States is aware that its “facially neutral” laws disproportionately harm African Americans and can act to remedy these disparate impacts. </w:t>
      </w:r>
    </w:p>
    <w:p w14:paraId="11ADD0E1" w14:textId="2B109D18" w:rsidR="007C2E35" w:rsidRPr="00B3419B" w:rsidRDefault="007C2E35" w:rsidP="00CE58A1">
      <w:pPr>
        <w:numPr>
          <w:ilvl w:val="0"/>
          <w:numId w:val="7"/>
        </w:numPr>
        <w:spacing w:after="120"/>
        <w:ind w:left="360"/>
        <w:jc w:val="both"/>
        <w:rPr>
          <w:sz w:val="24"/>
          <w:szCs w:val="24"/>
        </w:rPr>
      </w:pPr>
      <w:r w:rsidRPr="6485B768">
        <w:rPr>
          <w:sz w:val="24"/>
          <w:szCs w:val="24"/>
        </w:rPr>
        <w:t xml:space="preserve">Some jurisdictions in the U.S. have made positive developments toward ensuring greater racial justice in criminal proceedings. These advances are the exception, however, and not the rule. Further, reforms to date have not addressed the discriminatory impact of CLCs. </w:t>
      </w:r>
    </w:p>
    <w:p w14:paraId="4A11763F" w14:textId="77777777" w:rsidR="00290F9E" w:rsidRDefault="350D0C88" w:rsidP="00290F9E">
      <w:pPr>
        <w:numPr>
          <w:ilvl w:val="0"/>
          <w:numId w:val="7"/>
        </w:numPr>
        <w:spacing w:after="120"/>
        <w:ind w:left="360"/>
        <w:jc w:val="both"/>
        <w:rPr>
          <w:sz w:val="24"/>
          <w:szCs w:val="24"/>
        </w:rPr>
      </w:pPr>
      <w:r w:rsidRPr="00DA10D5">
        <w:rPr>
          <w:sz w:val="24"/>
          <w:szCs w:val="24"/>
        </w:rPr>
        <w:t>BIPOC communities in the U.S. face racial discrimination in the criminal justice system before, during, and after criminal proceedings.</w:t>
      </w:r>
      <w:r w:rsidR="007C2E35" w:rsidRPr="001A4ED7">
        <w:rPr>
          <w:rStyle w:val="FootnoteReference"/>
          <w:sz w:val="24"/>
          <w:szCs w:val="24"/>
        </w:rPr>
        <w:footnoteReference w:id="49"/>
      </w:r>
      <w:r w:rsidRPr="00DA10D5">
        <w:rPr>
          <w:sz w:val="24"/>
          <w:szCs w:val="24"/>
        </w:rPr>
        <w:t xml:space="preserve"> These racial disparities shape outcomes </w:t>
      </w:r>
      <w:r w:rsidRPr="00DA10D5">
        <w:rPr>
          <w:sz w:val="24"/>
          <w:szCs w:val="24"/>
        </w:rPr>
        <w:lastRenderedPageBreak/>
        <w:t>before, during, and after someone enters the criminal justice system, perpetuate ongoing cycles of poverty and racial discrimination.</w:t>
      </w:r>
      <w:r w:rsidR="007C2E35" w:rsidRPr="001A4ED7">
        <w:rPr>
          <w:rStyle w:val="FootnoteReference"/>
          <w:sz w:val="24"/>
          <w:szCs w:val="24"/>
        </w:rPr>
        <w:footnoteReference w:id="50"/>
      </w:r>
      <w:r w:rsidRPr="00DA10D5">
        <w:rPr>
          <w:sz w:val="24"/>
          <w:szCs w:val="24"/>
        </w:rPr>
        <w:t xml:space="preserve"> BIPOC people are charged more frequently by prosecutors and held in pretrial detention, which harms their prospects for trial.</w:t>
      </w:r>
      <w:r w:rsidR="007C2E35" w:rsidRPr="5CD9E78D">
        <w:rPr>
          <w:rStyle w:val="FootnoteReference"/>
          <w:sz w:val="24"/>
          <w:szCs w:val="24"/>
        </w:rPr>
        <w:footnoteReference w:id="51"/>
      </w:r>
      <w:r w:rsidRPr="00DA10D5">
        <w:rPr>
          <w:sz w:val="24"/>
          <w:szCs w:val="24"/>
        </w:rPr>
        <w:t xml:space="preserve"> As a result, members of BIPOC communities are more likely to take plea deals or face racial discrimination at trial. Upon sentencing, Black and Latino/a people are more likely to be sentenced for more serious offenses </w:t>
      </w:r>
      <w:r w:rsidR="007C2E35" w:rsidRPr="001A4ED7">
        <w:rPr>
          <w:rStyle w:val="FootnoteReference"/>
          <w:sz w:val="24"/>
          <w:szCs w:val="24"/>
        </w:rPr>
        <w:footnoteReference w:id="52"/>
      </w:r>
      <w:r w:rsidRPr="00DA10D5">
        <w:rPr>
          <w:sz w:val="24"/>
          <w:szCs w:val="24"/>
        </w:rPr>
        <w:t xml:space="preserve"> for longer periods of time. Department of Justice data reflect that in 2019, the Black to white ratio of incarcerated people was 4.8:1.</w:t>
      </w:r>
      <w:r w:rsidR="007C2E35" w:rsidRPr="001A4ED7">
        <w:rPr>
          <w:rStyle w:val="FootnoteReference"/>
          <w:sz w:val="24"/>
          <w:szCs w:val="24"/>
        </w:rPr>
        <w:footnoteReference w:id="53"/>
      </w:r>
      <w:r w:rsidRPr="00DA10D5">
        <w:rPr>
          <w:sz w:val="24"/>
          <w:szCs w:val="24"/>
        </w:rPr>
        <w:t xml:space="preserve"> Extre</w:t>
      </w:r>
      <w:r>
        <w:rPr>
          <w:sz w:val="24"/>
          <w:szCs w:val="24"/>
        </w:rPr>
        <w:t xml:space="preserve">me </w:t>
      </w:r>
      <w:r w:rsidRPr="00DA10D5">
        <w:rPr>
          <w:sz w:val="24"/>
          <w:szCs w:val="24"/>
        </w:rPr>
        <w:t>disparities still exist in 20 states,</w:t>
      </w:r>
      <w:r w:rsidR="007C2E35" w:rsidRPr="001A4ED7">
        <w:rPr>
          <w:rStyle w:val="FootnoteReference"/>
          <w:sz w:val="24"/>
          <w:szCs w:val="24"/>
        </w:rPr>
        <w:footnoteReference w:id="54"/>
      </w:r>
      <w:r w:rsidRPr="00DA10D5">
        <w:rPr>
          <w:sz w:val="24"/>
          <w:szCs w:val="24"/>
        </w:rPr>
        <w:t xml:space="preserve"> </w:t>
      </w:r>
      <w:r>
        <w:rPr>
          <w:sz w:val="24"/>
          <w:szCs w:val="24"/>
        </w:rPr>
        <w:t xml:space="preserve">including The Advocates’ headquarters </w:t>
      </w:r>
      <w:r w:rsidRPr="00DA10D5">
        <w:rPr>
          <w:sz w:val="24"/>
          <w:szCs w:val="24"/>
        </w:rPr>
        <w:t xml:space="preserve">state of Minnesota, </w:t>
      </w:r>
      <w:r>
        <w:rPr>
          <w:sz w:val="24"/>
          <w:szCs w:val="24"/>
        </w:rPr>
        <w:t xml:space="preserve">which </w:t>
      </w:r>
      <w:r w:rsidRPr="00DA10D5">
        <w:rPr>
          <w:sz w:val="24"/>
          <w:szCs w:val="24"/>
        </w:rPr>
        <w:t>ranks 47th in the nation in overall incarceration rates, yet the Black to white rate of incarceration is 9.7:1.</w:t>
      </w:r>
      <w:r w:rsidR="007C2E35" w:rsidRPr="001A4ED7">
        <w:rPr>
          <w:rStyle w:val="FootnoteReference"/>
          <w:sz w:val="24"/>
          <w:szCs w:val="24"/>
        </w:rPr>
        <w:footnoteReference w:id="55"/>
      </w:r>
    </w:p>
    <w:p w14:paraId="4D6A86E4" w14:textId="4B6057B4" w:rsidR="007C2E35" w:rsidRPr="001A4ED7" w:rsidRDefault="007C2E35" w:rsidP="00290F9E">
      <w:pPr>
        <w:numPr>
          <w:ilvl w:val="0"/>
          <w:numId w:val="7"/>
        </w:numPr>
        <w:spacing w:after="120"/>
        <w:ind w:left="360"/>
        <w:jc w:val="both"/>
        <w:rPr>
          <w:sz w:val="24"/>
          <w:szCs w:val="24"/>
        </w:rPr>
      </w:pPr>
      <w:r w:rsidRPr="6485B768">
        <w:rPr>
          <w:sz w:val="24"/>
          <w:szCs w:val="24"/>
        </w:rPr>
        <w:t xml:space="preserve">Despite representing 13 percent of the U.S. population, Black people make up 27 percent of people arrested for drug possession and distribution. This disparity is even more marked for sentencing decisions: 31 and 38 percent of people sentenced to state and federal prison (respectively) for drug-related crimes are Black. White people make up 73 percent of the population, and while they are proportionally represented in drug arrests, their sentencing rate represents 31 percent for state sentences and 22 percent for federal sentences. </w:t>
      </w:r>
    </w:p>
    <w:p w14:paraId="78D00C76" w14:textId="4AF4B764" w:rsidR="007C2E35" w:rsidRPr="0016754B" w:rsidRDefault="007C2E35" w:rsidP="0016754B">
      <w:pPr>
        <w:numPr>
          <w:ilvl w:val="0"/>
          <w:numId w:val="7"/>
        </w:numPr>
        <w:spacing w:after="120"/>
        <w:ind w:left="360"/>
        <w:jc w:val="both"/>
        <w:rPr>
          <w:sz w:val="24"/>
          <w:szCs w:val="24"/>
        </w:rPr>
      </w:pPr>
      <w:r w:rsidRPr="0016754B">
        <w:rPr>
          <w:sz w:val="24"/>
          <w:szCs w:val="24"/>
        </w:rPr>
        <w:t xml:space="preserve">Because of the complexity of </w:t>
      </w:r>
      <w:r>
        <w:rPr>
          <w:sz w:val="24"/>
          <w:szCs w:val="24"/>
        </w:rPr>
        <w:t xml:space="preserve">the U.S. </w:t>
      </w:r>
      <w:r w:rsidRPr="0016754B">
        <w:rPr>
          <w:sz w:val="24"/>
          <w:szCs w:val="24"/>
        </w:rPr>
        <w:t>criminal justice</w:t>
      </w:r>
      <w:r>
        <w:rPr>
          <w:sz w:val="24"/>
          <w:szCs w:val="24"/>
        </w:rPr>
        <w:t xml:space="preserve"> system,</w:t>
      </w:r>
      <w:r w:rsidRPr="0016754B">
        <w:rPr>
          <w:sz w:val="24"/>
          <w:szCs w:val="24"/>
        </w:rPr>
        <w:t xml:space="preserve"> the harsh consequences of CLCs often have an impact beyond that understood or intended. For example, the list of crimes considered “felonies” that trigger extensive CLCs has expanded beyond violent and dangerous crimes, triggering severe infringements on</w:t>
      </w:r>
      <w:r>
        <w:rPr>
          <w:sz w:val="24"/>
          <w:szCs w:val="24"/>
        </w:rPr>
        <w:t xml:space="preserve"> </w:t>
      </w:r>
      <w:r w:rsidRPr="0016754B">
        <w:rPr>
          <w:sz w:val="24"/>
          <w:szCs w:val="24"/>
        </w:rPr>
        <w:t>rights.</w:t>
      </w:r>
      <w:r>
        <w:rPr>
          <w:sz w:val="24"/>
          <w:szCs w:val="24"/>
        </w:rPr>
        <w:t xml:space="preserve"> </w:t>
      </w:r>
      <w:r w:rsidRPr="0016754B">
        <w:rPr>
          <w:sz w:val="24"/>
          <w:szCs w:val="24"/>
        </w:rPr>
        <w:t>Statutes imposing CLCs are often overinclusive rather than limiting to those with relevant convictions.</w:t>
      </w:r>
      <w:r>
        <w:rPr>
          <w:sz w:val="24"/>
          <w:szCs w:val="24"/>
        </w:rPr>
        <w:t xml:space="preserve"> </w:t>
      </w:r>
      <w:r w:rsidRPr="0016754B">
        <w:rPr>
          <w:sz w:val="24"/>
          <w:szCs w:val="24"/>
        </w:rPr>
        <w:t>For example, crimes that trigger disenfranchisement do not need to be serious or connected to voting to trigger CLCs. In Minnesota, writing a bad check for more than $500 can trigger a felony conviction,</w:t>
      </w:r>
      <w:r w:rsidRPr="0016754B">
        <w:rPr>
          <w:rStyle w:val="FootnoteReference"/>
          <w:sz w:val="24"/>
          <w:szCs w:val="24"/>
        </w:rPr>
        <w:footnoteReference w:id="56"/>
      </w:r>
      <w:r w:rsidRPr="0016754B">
        <w:rPr>
          <w:sz w:val="24"/>
          <w:szCs w:val="24"/>
        </w:rPr>
        <w:t xml:space="preserve"> which, in many states, results in lifetime disenfranchisement.</w:t>
      </w:r>
    </w:p>
    <w:p w14:paraId="607B018D" w14:textId="17ED1C8D" w:rsidR="007C2E35" w:rsidRPr="0016754B" w:rsidRDefault="007C2E35" w:rsidP="0016754B">
      <w:pPr>
        <w:numPr>
          <w:ilvl w:val="0"/>
          <w:numId w:val="7"/>
        </w:numPr>
        <w:spacing w:after="120"/>
        <w:ind w:left="360"/>
        <w:jc w:val="both"/>
        <w:rPr>
          <w:sz w:val="24"/>
          <w:szCs w:val="24"/>
        </w:rPr>
      </w:pPr>
      <w:r w:rsidRPr="0016754B">
        <w:rPr>
          <w:sz w:val="24"/>
          <w:szCs w:val="24"/>
        </w:rPr>
        <w:t xml:space="preserve">CLCs do not always deliver on a stated policy or safety goal. For example, CLCs are commonly justified as mechanisms that deter drug use and criminal behavior, but data show these laws are often both over and underinclusive. For example, the Personal Responsibility and Work Opportunity Reconciliation Act of 1996 (commonly referred to as the Welfare Reform Act of </w:t>
      </w:r>
      <w:r w:rsidRPr="0016754B">
        <w:rPr>
          <w:sz w:val="24"/>
          <w:szCs w:val="24"/>
        </w:rPr>
        <w:lastRenderedPageBreak/>
        <w:t>1996) imposes lifetime bans from various public benefits on people convicted of drug crimes.</w:t>
      </w:r>
      <w:r w:rsidRPr="0016754B">
        <w:rPr>
          <w:rStyle w:val="FootnoteReference"/>
          <w:sz w:val="24"/>
          <w:szCs w:val="24"/>
        </w:rPr>
        <w:footnoteReference w:id="57"/>
      </w:r>
      <w:r w:rsidRPr="0016754B">
        <w:rPr>
          <w:sz w:val="24"/>
          <w:szCs w:val="24"/>
        </w:rPr>
        <w:t xml:space="preserve"> However, this includes people who possess and sell, but do not necessarily use, drugs and it does not apply to drug users who have convictions for larceny, theft, robbery, or other felonies but no drug-related convictions.</w:t>
      </w:r>
    </w:p>
    <w:p w14:paraId="69F773A2" w14:textId="14D9F2B5" w:rsidR="007C2E35" w:rsidRPr="0016754B" w:rsidRDefault="007C2E35" w:rsidP="0016754B">
      <w:pPr>
        <w:numPr>
          <w:ilvl w:val="0"/>
          <w:numId w:val="7"/>
        </w:numPr>
        <w:spacing w:after="120"/>
        <w:ind w:left="360"/>
        <w:jc w:val="both"/>
        <w:rPr>
          <w:sz w:val="24"/>
          <w:szCs w:val="24"/>
        </w:rPr>
      </w:pPr>
      <w:r>
        <w:rPr>
          <w:sz w:val="24"/>
          <w:szCs w:val="24"/>
        </w:rPr>
        <w:t xml:space="preserve">As </w:t>
      </w:r>
      <w:r w:rsidRPr="0016754B">
        <w:rPr>
          <w:sz w:val="24"/>
          <w:szCs w:val="24"/>
        </w:rPr>
        <w:t>laws across the U.S. allow consideration of prior convictions in sentencing</w:t>
      </w:r>
      <w:r>
        <w:rPr>
          <w:sz w:val="24"/>
          <w:szCs w:val="24"/>
        </w:rPr>
        <w:t>, CLCs can impact sentencing</w:t>
      </w:r>
      <w:r w:rsidRPr="0016754B">
        <w:rPr>
          <w:sz w:val="24"/>
          <w:szCs w:val="24"/>
        </w:rPr>
        <w:t>.</w:t>
      </w:r>
      <w:r>
        <w:rPr>
          <w:sz w:val="24"/>
          <w:szCs w:val="24"/>
        </w:rPr>
        <w:t xml:space="preserve"> </w:t>
      </w:r>
      <w:r w:rsidRPr="0016754B">
        <w:rPr>
          <w:sz w:val="24"/>
          <w:szCs w:val="24"/>
        </w:rPr>
        <w:t>Under the 2021 Minnesota Sentencing Guidelines and Commentary, criminal history (ranging from juvenile adjudications to felonies)</w:t>
      </w:r>
      <w:r>
        <w:rPr>
          <w:sz w:val="24"/>
          <w:szCs w:val="24"/>
        </w:rPr>
        <w:t xml:space="preserve"> is a basis for making a</w:t>
      </w:r>
      <w:r w:rsidRPr="0016754B">
        <w:rPr>
          <w:sz w:val="24"/>
          <w:szCs w:val="24"/>
        </w:rPr>
        <w:t xml:space="preserve"> recommendation to impose </w:t>
      </w:r>
      <w:r>
        <w:rPr>
          <w:sz w:val="24"/>
          <w:szCs w:val="24"/>
        </w:rPr>
        <w:t xml:space="preserve">a </w:t>
      </w:r>
      <w:r w:rsidRPr="0016754B">
        <w:rPr>
          <w:sz w:val="24"/>
          <w:szCs w:val="24"/>
        </w:rPr>
        <w:t>higher sentence.</w:t>
      </w:r>
      <w:r w:rsidRPr="0016754B">
        <w:rPr>
          <w:rStyle w:val="FootnoteReference"/>
          <w:sz w:val="24"/>
          <w:szCs w:val="24"/>
        </w:rPr>
        <w:footnoteReference w:id="58"/>
      </w:r>
      <w:r w:rsidRPr="0016754B">
        <w:rPr>
          <w:sz w:val="24"/>
          <w:szCs w:val="24"/>
        </w:rPr>
        <w:t xml:space="preserve"> If someone has several minor convictions—which could have arisen as a result of living in a neighborhood where they were subjected to racial profiling and disproportionately high risks of involvement with police—they are at a higher risk of receiving a harsher sentence, which can lead to a whole host of additional CLCs.</w:t>
      </w:r>
      <w:r w:rsidRPr="0016754B">
        <w:rPr>
          <w:rStyle w:val="FootnoteReference"/>
          <w:sz w:val="24"/>
          <w:szCs w:val="24"/>
        </w:rPr>
        <w:footnoteReference w:id="59"/>
      </w:r>
      <w:r w:rsidRPr="0016754B">
        <w:rPr>
          <w:sz w:val="24"/>
          <w:szCs w:val="24"/>
        </w:rPr>
        <w:t xml:space="preserve"> </w:t>
      </w:r>
    </w:p>
    <w:p w14:paraId="7C762ED3" w14:textId="366BF4D2" w:rsidR="007C2E35" w:rsidRPr="001A4ED7" w:rsidRDefault="007C2E35" w:rsidP="005E48B7">
      <w:pPr>
        <w:numPr>
          <w:ilvl w:val="0"/>
          <w:numId w:val="7"/>
        </w:numPr>
        <w:spacing w:after="120"/>
        <w:ind w:left="360"/>
        <w:jc w:val="both"/>
        <w:rPr>
          <w:sz w:val="24"/>
          <w:szCs w:val="24"/>
        </w:rPr>
      </w:pPr>
      <w:r w:rsidRPr="0016754B">
        <w:rPr>
          <w:sz w:val="24"/>
          <w:szCs w:val="24"/>
        </w:rPr>
        <w:t xml:space="preserve">CLCs also </w:t>
      </w:r>
      <w:r>
        <w:rPr>
          <w:sz w:val="24"/>
          <w:szCs w:val="24"/>
        </w:rPr>
        <w:t xml:space="preserve">have a collateral impact on </w:t>
      </w:r>
      <w:r w:rsidRPr="001A4ED7">
        <w:rPr>
          <w:sz w:val="24"/>
          <w:szCs w:val="24"/>
        </w:rPr>
        <w:t>people who do not have criminal records, such as family and community members, such as by losing a</w:t>
      </w:r>
      <w:r>
        <w:rPr>
          <w:sz w:val="24"/>
          <w:szCs w:val="24"/>
        </w:rPr>
        <w:t>n income</w:t>
      </w:r>
      <w:r w:rsidRPr="001A4ED7">
        <w:rPr>
          <w:sz w:val="24"/>
          <w:szCs w:val="24"/>
        </w:rPr>
        <w:t xml:space="preserve"> provider </w:t>
      </w:r>
      <w:r>
        <w:rPr>
          <w:sz w:val="24"/>
          <w:szCs w:val="24"/>
        </w:rPr>
        <w:t>or</w:t>
      </w:r>
      <w:r w:rsidRPr="001A4ED7">
        <w:rPr>
          <w:sz w:val="24"/>
          <w:szCs w:val="24"/>
        </w:rPr>
        <w:t xml:space="preserve"> caretaker, or being included in evictions or revocation of benefits that support food and housing.</w:t>
      </w:r>
      <w:r w:rsidRPr="001A4ED7">
        <w:rPr>
          <w:rStyle w:val="FootnoteReference"/>
          <w:sz w:val="24"/>
          <w:szCs w:val="24"/>
        </w:rPr>
        <w:footnoteReference w:id="60"/>
      </w:r>
    </w:p>
    <w:p w14:paraId="7A385EFF" w14:textId="5CEF450B" w:rsidR="005D1E09" w:rsidRPr="001A4ED7" w:rsidRDefault="0016754B" w:rsidP="005D1E09">
      <w:pPr>
        <w:numPr>
          <w:ilvl w:val="0"/>
          <w:numId w:val="7"/>
        </w:numPr>
        <w:spacing w:after="120"/>
        <w:ind w:left="360"/>
        <w:jc w:val="both"/>
        <w:rPr>
          <w:sz w:val="24"/>
          <w:szCs w:val="24"/>
        </w:rPr>
      </w:pPr>
      <w:r w:rsidRPr="6485B768">
        <w:rPr>
          <w:sz w:val="24"/>
          <w:szCs w:val="24"/>
        </w:rPr>
        <w:t>CLCs can lead to revocation of custody rights even for crimes that are unrelated to child safety.</w:t>
      </w:r>
      <w:r w:rsidR="00F165D0" w:rsidRPr="6485B768">
        <w:rPr>
          <w:sz w:val="24"/>
          <w:szCs w:val="24"/>
        </w:rPr>
        <w:t xml:space="preserve"> </w:t>
      </w:r>
      <w:r w:rsidRPr="6485B768">
        <w:rPr>
          <w:sz w:val="24"/>
          <w:szCs w:val="24"/>
        </w:rPr>
        <w:t>Moreover, because of the impacts CLCs have on economic freedom, family members will lose financial support—further being forced into the poverty-criminalization cycle—when a family member is burdened with a CLC.</w:t>
      </w:r>
      <w:r w:rsidR="005D1E09" w:rsidRPr="6485B768">
        <w:rPr>
          <w:sz w:val="24"/>
          <w:szCs w:val="24"/>
        </w:rPr>
        <w:t xml:space="preserve"> </w:t>
      </w:r>
    </w:p>
    <w:p w14:paraId="2CB55D52" w14:textId="58442EF7" w:rsidR="00842836" w:rsidRDefault="00842836" w:rsidP="003945F6">
      <w:pPr>
        <w:numPr>
          <w:ilvl w:val="0"/>
          <w:numId w:val="7"/>
        </w:numPr>
        <w:spacing w:before="120" w:after="240"/>
        <w:ind w:left="360"/>
        <w:jc w:val="both"/>
        <w:rPr>
          <w:sz w:val="24"/>
          <w:szCs w:val="24"/>
        </w:rPr>
      </w:pPr>
      <w:r w:rsidRPr="6485B768">
        <w:rPr>
          <w:b/>
          <w:bCs/>
          <w:sz w:val="24"/>
          <w:szCs w:val="24"/>
        </w:rPr>
        <w:t>Suggested questions</w:t>
      </w:r>
      <w:r w:rsidRPr="6485B768">
        <w:rPr>
          <w:sz w:val="24"/>
          <w:szCs w:val="24"/>
        </w:rPr>
        <w:t xml:space="preserve"> relating to the criminal justice system:</w:t>
      </w:r>
    </w:p>
    <w:p w14:paraId="1165DD30" w14:textId="77777777" w:rsidR="00842836" w:rsidRPr="00842836" w:rsidRDefault="00842836" w:rsidP="00842836">
      <w:pPr>
        <w:numPr>
          <w:ilvl w:val="1"/>
          <w:numId w:val="7"/>
        </w:numPr>
        <w:spacing w:after="120"/>
        <w:jc w:val="both"/>
        <w:rPr>
          <w:sz w:val="24"/>
          <w:szCs w:val="24"/>
        </w:rPr>
      </w:pPr>
      <w:r w:rsidRPr="6485B768">
        <w:rPr>
          <w:sz w:val="24"/>
          <w:szCs w:val="24"/>
        </w:rPr>
        <w:t>Please describe efforts to acknowledge, track, and discuss racial disparities, including implicit bias, in the criminal justice system.</w:t>
      </w:r>
    </w:p>
    <w:p w14:paraId="0BE344FF" w14:textId="77777777" w:rsidR="00842836" w:rsidRPr="00842836" w:rsidRDefault="00842836" w:rsidP="00842836">
      <w:pPr>
        <w:numPr>
          <w:ilvl w:val="1"/>
          <w:numId w:val="7"/>
        </w:numPr>
        <w:spacing w:after="120"/>
        <w:jc w:val="both"/>
        <w:rPr>
          <w:sz w:val="24"/>
          <w:szCs w:val="24"/>
        </w:rPr>
      </w:pPr>
      <w:r w:rsidRPr="6485B768">
        <w:rPr>
          <w:sz w:val="24"/>
          <w:szCs w:val="24"/>
        </w:rPr>
        <w:t>Please provide comprehensive data, disaggregated by race and sex, about the number of people who are directly subject to one or more Collateral Legal Consequence. If these data are not available, please describe efforts to collect it.</w:t>
      </w:r>
    </w:p>
    <w:p w14:paraId="5ABCA07E" w14:textId="15117F37" w:rsidR="00842836" w:rsidRDefault="00842836" w:rsidP="00842836">
      <w:pPr>
        <w:numPr>
          <w:ilvl w:val="1"/>
          <w:numId w:val="7"/>
        </w:numPr>
        <w:spacing w:after="120"/>
        <w:jc w:val="both"/>
        <w:rPr>
          <w:sz w:val="24"/>
          <w:szCs w:val="24"/>
        </w:rPr>
      </w:pPr>
      <w:r w:rsidRPr="6485B768">
        <w:rPr>
          <w:sz w:val="24"/>
          <w:szCs w:val="24"/>
        </w:rPr>
        <w:lastRenderedPageBreak/>
        <w:t xml:space="preserve">Please describe efforts ensure awareness of Collateral Legal Consequences prior to and during trial proceedings and pleas, both through pilot programs as well as efforts to adopt legislation nationwide. </w:t>
      </w:r>
    </w:p>
    <w:p w14:paraId="4EB13703" w14:textId="77777777" w:rsidR="0011158A" w:rsidRPr="0011158A" w:rsidRDefault="0011158A" w:rsidP="0011158A">
      <w:pPr>
        <w:numPr>
          <w:ilvl w:val="1"/>
          <w:numId w:val="7"/>
        </w:numPr>
        <w:spacing w:after="120"/>
        <w:jc w:val="both"/>
        <w:rPr>
          <w:sz w:val="24"/>
          <w:szCs w:val="24"/>
        </w:rPr>
      </w:pPr>
      <w:r w:rsidRPr="6485B768">
        <w:rPr>
          <w:sz w:val="24"/>
          <w:szCs w:val="24"/>
        </w:rPr>
        <w:t xml:space="preserve">What steps have federal, state, and local governments taken to help people with criminal histories regain their civil rights and privileges? What barriers, such as burdensome and confusing processes, long waiting periods, and financial burdens are still in place and what efforts have been made to lower them? </w:t>
      </w:r>
    </w:p>
    <w:p w14:paraId="7F983C50" w14:textId="77777777" w:rsidR="0011158A" w:rsidRPr="0011158A" w:rsidRDefault="0011158A" w:rsidP="0011158A">
      <w:pPr>
        <w:numPr>
          <w:ilvl w:val="1"/>
          <w:numId w:val="7"/>
        </w:numPr>
        <w:spacing w:after="120"/>
        <w:jc w:val="both"/>
        <w:rPr>
          <w:sz w:val="24"/>
          <w:szCs w:val="24"/>
        </w:rPr>
      </w:pPr>
      <w:r w:rsidRPr="6485B768">
        <w:rPr>
          <w:sz w:val="24"/>
          <w:szCs w:val="24"/>
        </w:rPr>
        <w:t>What steps have federal, state, and local governments taken to protect unnecessary disclosure of criminal histories, such as the rise of background checks for housing and employment?</w:t>
      </w:r>
    </w:p>
    <w:p w14:paraId="0E4EBB2F" w14:textId="77777777" w:rsidR="0011158A" w:rsidRPr="0011158A" w:rsidRDefault="0011158A" w:rsidP="0011158A">
      <w:pPr>
        <w:numPr>
          <w:ilvl w:val="1"/>
          <w:numId w:val="7"/>
        </w:numPr>
        <w:spacing w:after="120"/>
        <w:jc w:val="both"/>
        <w:rPr>
          <w:sz w:val="24"/>
          <w:szCs w:val="24"/>
        </w:rPr>
      </w:pPr>
      <w:r w:rsidRPr="6485B768">
        <w:rPr>
          <w:sz w:val="24"/>
          <w:szCs w:val="24"/>
        </w:rPr>
        <w:t xml:space="preserve">Please explain how public housing tenants and applicants are informed of their rights to appeal an adverse housing decision and any planned pilot programs or appropriations requests to ensure better access to justice, such as legal counsel, for people in these proceedings. </w:t>
      </w:r>
    </w:p>
    <w:p w14:paraId="6DE468B7" w14:textId="50996289" w:rsidR="00A1323E" w:rsidRPr="0011158A" w:rsidRDefault="0011158A" w:rsidP="0011158A">
      <w:pPr>
        <w:numPr>
          <w:ilvl w:val="1"/>
          <w:numId w:val="7"/>
        </w:numPr>
        <w:spacing w:after="120"/>
        <w:jc w:val="both"/>
        <w:rPr>
          <w:sz w:val="24"/>
          <w:szCs w:val="24"/>
        </w:rPr>
      </w:pPr>
      <w:r w:rsidRPr="6485B768">
        <w:rPr>
          <w:sz w:val="24"/>
          <w:szCs w:val="24"/>
        </w:rPr>
        <w:t>What steps has the United States taken to ensure access to counsel and/or guidance with important civil issues like avoiding and appealing adverse housing decisions, sealing criminal records, and restoring civil rights?</w:t>
      </w:r>
    </w:p>
    <w:p w14:paraId="6A3BB0CE" w14:textId="1112D310" w:rsidR="00D75334" w:rsidRPr="006116B4" w:rsidRDefault="00D75334" w:rsidP="00092D6B">
      <w:pPr>
        <w:pStyle w:val="ListParagraph"/>
        <w:spacing w:after="120" w:line="240" w:lineRule="auto"/>
        <w:ind w:left="360"/>
        <w:contextualSpacing w:val="0"/>
        <w:jc w:val="both"/>
        <w:rPr>
          <w:rFonts w:ascii="Times New Roman" w:hAnsi="Times New Roman"/>
          <w:sz w:val="24"/>
          <w:szCs w:val="24"/>
        </w:rPr>
      </w:pPr>
    </w:p>
    <w:sectPr w:rsidR="00D75334" w:rsidRPr="006116B4" w:rsidSect="004B1E4E">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1C81" w14:textId="77777777" w:rsidR="00D97F0E" w:rsidRDefault="00D97F0E">
      <w:r>
        <w:separator/>
      </w:r>
    </w:p>
  </w:endnote>
  <w:endnote w:type="continuationSeparator" w:id="0">
    <w:p w14:paraId="2D86B1F1" w14:textId="77777777" w:rsidR="00D97F0E" w:rsidRDefault="00D97F0E">
      <w:r>
        <w:continuationSeparator/>
      </w:r>
    </w:p>
  </w:endnote>
  <w:endnote w:type="continuationNotice" w:id="1">
    <w:p w14:paraId="7D8D928D" w14:textId="77777777" w:rsidR="00D97F0E" w:rsidRDefault="00D9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7F32" w14:textId="77777777" w:rsidR="00804604" w:rsidRDefault="00804604">
    <w:pPr>
      <w:pStyle w:val="Footer"/>
      <w:jc w:val="center"/>
    </w:pPr>
    <w:r>
      <w:fldChar w:fldCharType="begin"/>
    </w:r>
    <w:r>
      <w:instrText xml:space="preserve"> PAGE   \* MERGEFORMAT </w:instrText>
    </w:r>
    <w:r>
      <w:fldChar w:fldCharType="separate"/>
    </w:r>
    <w:r w:rsidR="00596B08">
      <w:rPr>
        <w:noProof/>
      </w:rPr>
      <w:t>2</w:t>
    </w:r>
    <w:r>
      <w:rPr>
        <w:noProof/>
      </w:rPr>
      <w:fldChar w:fldCharType="end"/>
    </w:r>
  </w:p>
  <w:p w14:paraId="1066A677" w14:textId="77777777" w:rsidR="00804604" w:rsidRPr="00C26130" w:rsidRDefault="00804604"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63BC" w14:textId="34F39768" w:rsidR="00804604" w:rsidRPr="000F3447" w:rsidRDefault="0056409D" w:rsidP="000F3447">
    <w:pPr>
      <w:widowControl w:val="0"/>
      <w:jc w:val="center"/>
      <w:rPr>
        <w:color w:val="333333"/>
        <w:lang w:val="en"/>
      </w:rPr>
    </w:pPr>
    <w:r w:rsidRPr="000F3447">
      <w:rPr>
        <w:noProof/>
        <w:color w:val="800080"/>
      </w:rPr>
      <mc:AlternateContent>
        <mc:Choice Requires="wps">
          <w:drawing>
            <wp:anchor distT="0" distB="0" distL="114300" distR="114300" simplePos="0" relativeHeight="251658241" behindDoc="0" locked="0" layoutInCell="1" allowOverlap="1" wp14:anchorId="7DD8AF1B" wp14:editId="70CAF3B0">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20"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2EB3D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"/>
          </w:pict>
        </mc:Fallback>
      </mc:AlternateContent>
    </w:r>
  </w:p>
  <w:p w14:paraId="388F098A" w14:textId="77777777" w:rsidR="00804604" w:rsidRPr="000F3447" w:rsidRDefault="00804604" w:rsidP="000F3447">
    <w:pPr>
      <w:widowControl w:val="0"/>
      <w:jc w:val="center"/>
      <w:rPr>
        <w:i/>
        <w:iCs/>
        <w:color w:val="542344"/>
        <w:lang w:val="en"/>
      </w:rPr>
    </w:pPr>
    <w:r w:rsidRPr="000F3447">
      <w:rPr>
        <w:color w:val="333333"/>
        <w:lang w:val="en"/>
      </w:rPr>
      <w:t>330 Second Avenue South • Suite 800 • Minneapo</w:t>
    </w:r>
    <w:r w:rsidR="000C380B" w:rsidRPr="000F3447">
      <w:rPr>
        <w:color w:val="333333"/>
        <w:lang w:val="en"/>
      </w:rPr>
      <w:t xml:space="preserve">lis, MN </w:t>
    </w:r>
    <w:r w:rsidRPr="000F3447">
      <w:rPr>
        <w:color w:val="333333"/>
        <w:lang w:val="en"/>
      </w:rPr>
      <w:t>55401</w:t>
    </w:r>
    <w:r w:rsidR="000C380B" w:rsidRPr="000F3447">
      <w:rPr>
        <w:color w:val="333333"/>
        <w:lang w:val="en"/>
      </w:rPr>
      <w:t xml:space="preserve"> </w:t>
    </w:r>
    <w:r w:rsidRPr="000F3447">
      <w:rPr>
        <w:color w:val="333333"/>
        <w:lang w:val="en"/>
      </w:rPr>
      <w:t>• USA</w:t>
    </w:r>
  </w:p>
  <w:p w14:paraId="626DB405" w14:textId="4510B68D" w:rsidR="00804604" w:rsidRPr="000F3447" w:rsidRDefault="00804604" w:rsidP="000F3447">
    <w:pPr>
      <w:widowControl w:val="0"/>
      <w:jc w:val="center"/>
      <w:rPr>
        <w:color w:val="333333"/>
        <w:lang w:val="en"/>
      </w:rPr>
    </w:pPr>
    <w:r w:rsidRPr="000F3447">
      <w:rPr>
        <w:color w:val="333333"/>
        <w:lang w:val="en"/>
      </w:rPr>
      <w:t>Tel</w:t>
    </w:r>
    <w:r w:rsidR="000F3447">
      <w:rPr>
        <w:color w:val="333333"/>
        <w:lang w:val="en"/>
      </w:rPr>
      <w:t xml:space="preserve">: </w:t>
    </w:r>
    <w:r w:rsidR="0009644E" w:rsidRPr="000F3447">
      <w:rPr>
        <w:color w:val="333333"/>
        <w:lang w:val="en"/>
      </w:rPr>
      <w:t>612-341-</w:t>
    </w:r>
    <w:r w:rsidR="00AD0AA1" w:rsidRPr="000F3447">
      <w:rPr>
        <w:color w:val="333333"/>
        <w:lang w:val="en"/>
      </w:rPr>
      <w:t>3302</w:t>
    </w:r>
    <w:r w:rsidRPr="000F3447">
      <w:rPr>
        <w:color w:val="333333"/>
        <w:lang w:val="en"/>
      </w:rPr>
      <w:t xml:space="preserve"> •</w:t>
    </w:r>
    <w:r w:rsidR="0009644E" w:rsidRPr="000F3447">
      <w:rPr>
        <w:color w:val="333333"/>
        <w:lang w:val="en"/>
      </w:rPr>
      <w:t xml:space="preserve"> Fax:</w:t>
    </w:r>
    <w:r w:rsidR="00F165D0">
      <w:rPr>
        <w:color w:val="333333"/>
        <w:lang w:val="en"/>
      </w:rPr>
      <w:t xml:space="preserve"> </w:t>
    </w:r>
    <w:r w:rsidR="0009644E" w:rsidRPr="000F3447">
      <w:rPr>
        <w:color w:val="333333"/>
        <w:lang w:val="en"/>
      </w:rPr>
      <w:t>612-341-</w:t>
    </w:r>
    <w:r w:rsidRPr="000F3447">
      <w:rPr>
        <w:color w:val="333333"/>
        <w:lang w:val="en"/>
      </w:rPr>
      <w:t>2971 •</w:t>
    </w:r>
    <w:r w:rsidR="00AD0AA1" w:rsidRPr="000F3447">
      <w:rPr>
        <w:color w:val="333333"/>
        <w:lang w:val="en"/>
      </w:rPr>
      <w:t xml:space="preserve"> Email: hrights@advrights.org</w:t>
    </w:r>
    <w:r w:rsidRPr="000F3447">
      <w:rPr>
        <w:color w:val="333333"/>
        <w:lang w:val="en"/>
      </w:rPr>
      <w:t xml:space="preserve"> •</w:t>
    </w:r>
    <w:r w:rsidR="000F3447" w:rsidRPr="000F3447">
      <w:rPr>
        <w:color w:val="333333"/>
        <w:lang w:val="en"/>
      </w:rPr>
      <w:t xml:space="preserve"> </w:t>
    </w:r>
    <w:r w:rsidR="0009644E" w:rsidRPr="000F3447">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AB8D" w14:textId="77777777" w:rsidR="00D97F0E" w:rsidRDefault="00D97F0E">
      <w:r>
        <w:separator/>
      </w:r>
    </w:p>
  </w:footnote>
  <w:footnote w:type="continuationSeparator" w:id="0">
    <w:p w14:paraId="5FBCD3E7" w14:textId="77777777" w:rsidR="00D97F0E" w:rsidRDefault="00D97F0E">
      <w:r>
        <w:continuationSeparator/>
      </w:r>
    </w:p>
  </w:footnote>
  <w:footnote w:type="continuationNotice" w:id="1">
    <w:p w14:paraId="08627B69" w14:textId="77777777" w:rsidR="00D97F0E" w:rsidRDefault="00D97F0E"/>
  </w:footnote>
  <w:footnote w:id="2">
    <w:p w14:paraId="52D82388" w14:textId="2AF50934" w:rsidR="007C2E35" w:rsidRPr="00EB61E8" w:rsidRDefault="007C2E35" w:rsidP="006C529E">
      <w:pPr>
        <w:pStyle w:val="FootnoteText"/>
      </w:pPr>
      <w:r w:rsidRPr="00EB61E8">
        <w:rPr>
          <w:rStyle w:val="FootnoteReference"/>
        </w:rPr>
        <w:footnoteRef/>
      </w:r>
      <w:r w:rsidRPr="00EB61E8">
        <w:t xml:space="preserve"> Committee on the Elimination of Racial Discrimination</w:t>
      </w:r>
      <w:r w:rsidRPr="00EB61E8">
        <w:rPr>
          <w:i/>
          <w:iCs/>
        </w:rPr>
        <w:t xml:space="preserve">, </w:t>
      </w:r>
      <w:proofErr w:type="gramStart"/>
      <w:r w:rsidRPr="00EB61E8">
        <w:rPr>
          <w:i/>
          <w:iCs/>
        </w:rPr>
        <w:t>Concluding</w:t>
      </w:r>
      <w:proofErr w:type="gramEnd"/>
      <w:r w:rsidRPr="00EB61E8">
        <w:rPr>
          <w:i/>
          <w:iCs/>
        </w:rPr>
        <w:t xml:space="preserve"> observations on the combined seventh to ninth periodic reports of the United States of American, adopted by the Committee at its 2317th session</w:t>
      </w:r>
      <w:r w:rsidRPr="00EB61E8">
        <w:t xml:space="preserve"> (26 August 2014), U.N. Doc CERD/C/USA/CO/7-9, ⁋ 12</w:t>
      </w:r>
      <w:r>
        <w:t>.</w:t>
      </w:r>
    </w:p>
  </w:footnote>
  <w:footnote w:id="3">
    <w:p w14:paraId="6D73AEDF" w14:textId="4FB9CEF9" w:rsidR="007C2E35" w:rsidRDefault="007C2E35" w:rsidP="00F83876">
      <w:pPr>
        <w:pStyle w:val="FootnoteText"/>
      </w:pPr>
      <w:r w:rsidRPr="6C962F17">
        <w:rPr>
          <w:rStyle w:val="FootnoteReference"/>
          <w:color w:val="000000" w:themeColor="text1"/>
        </w:rPr>
        <w:footnoteRef/>
      </w:r>
      <w:r w:rsidRPr="69FDE4EF">
        <w:rPr>
          <w:color w:val="000000" w:themeColor="text1"/>
        </w:rPr>
        <w:t xml:space="preserve"> </w:t>
      </w:r>
      <w:r>
        <w:t>Committee on the Elimination of Racial Discrimination</w:t>
      </w:r>
      <w:r w:rsidRPr="69FDE4EF">
        <w:rPr>
          <w:i/>
          <w:iCs/>
        </w:rPr>
        <w:t>, Concluding observations on the combined seventh to ninth periodic reports of the United States of American, adopted by the Committee at its 2317th session</w:t>
      </w:r>
      <w:r>
        <w:t xml:space="preserve"> (26 August 2014), U.N. Doc CERD/C/USA/CO/7-9, ⁋ 12 (</w:t>
      </w:r>
      <w:proofErr w:type="gramStart"/>
      <w:r>
        <w:t>c )</w:t>
      </w:r>
      <w:proofErr w:type="gramEnd"/>
    </w:p>
  </w:footnote>
  <w:footnote w:id="4">
    <w:p w14:paraId="73A9BD74" w14:textId="4A651133" w:rsidR="007C2E35" w:rsidRDefault="007C2E35" w:rsidP="00E267D1">
      <w:pPr>
        <w:pStyle w:val="FootnoteText"/>
      </w:pPr>
      <w:r>
        <w:rPr>
          <w:rStyle w:val="FootnoteReference"/>
        </w:rPr>
        <w:footnoteRef/>
      </w:r>
      <w:r w:rsidRPr="00EB61E8">
        <w:t xml:space="preserve"> </w:t>
      </w:r>
      <w:r w:rsidR="0026511A">
        <w:t>National Law Center on Homelessness &amp; Poverty</w:t>
      </w:r>
      <w:r w:rsidR="0026511A" w:rsidRPr="00F27BA7">
        <w:t xml:space="preserve">, </w:t>
      </w:r>
      <w:r w:rsidRPr="00F27BA7">
        <w:rPr>
          <w:i/>
        </w:rPr>
        <w:t>Housing Not Handcuffs</w:t>
      </w:r>
      <w:r w:rsidR="0026511A" w:rsidRPr="00F27BA7">
        <w:rPr>
          <w:i/>
        </w:rPr>
        <w:t xml:space="preserve">: </w:t>
      </w:r>
      <w:r w:rsidR="00B724F5" w:rsidRPr="00F27BA7">
        <w:rPr>
          <w:i/>
        </w:rPr>
        <w:t>Ending the Criminalization of Homelessness in U.S. Cities,</w:t>
      </w:r>
      <w:r w:rsidR="3609440E" w:rsidRPr="00F27BA7">
        <w:t xml:space="preserve"> (Dec.</w:t>
      </w:r>
      <w:r w:rsidRPr="00F27BA7">
        <w:t xml:space="preserve"> 2019</w:t>
      </w:r>
      <w:r w:rsidR="3609440E" w:rsidRPr="00F27BA7">
        <w:t>),</w:t>
      </w:r>
      <w:r w:rsidRPr="00F27BA7">
        <w:t xml:space="preserve"> 32</w:t>
      </w:r>
      <w:r w:rsidR="00F27BA7" w:rsidRPr="00F27BA7">
        <w:t>.</w:t>
      </w:r>
    </w:p>
  </w:footnote>
  <w:footnote w:id="5">
    <w:p w14:paraId="4BBF602D" w14:textId="624B0A27" w:rsidR="007C2E35" w:rsidRDefault="007C2E35" w:rsidP="00F67B23">
      <w:pPr>
        <w:pStyle w:val="FootnoteText"/>
      </w:pPr>
      <w:r>
        <w:rPr>
          <w:rStyle w:val="FootnoteReference"/>
        </w:rPr>
        <w:footnoteRef/>
      </w:r>
      <w:r w:rsidRPr="00EB61E8">
        <w:t xml:space="preserve"> </w:t>
      </w:r>
      <w:r w:rsidR="00F27BA7">
        <w:t>National Law Center on Homelessness &amp; Poverty</w:t>
      </w:r>
      <w:r w:rsidR="00F27BA7" w:rsidRPr="00F27BA7">
        <w:t xml:space="preserve">, </w:t>
      </w:r>
      <w:r w:rsidR="00F27BA7" w:rsidRPr="00F27BA7">
        <w:rPr>
          <w:i/>
        </w:rPr>
        <w:t>Housing Not Handcuffs: Ending the Criminalization of Homelessness in U.S. Cities,</w:t>
      </w:r>
      <w:r w:rsidR="00F27BA7" w:rsidRPr="00F27BA7">
        <w:t xml:space="preserve"> (Dec. 2019), 32.</w:t>
      </w:r>
    </w:p>
  </w:footnote>
  <w:footnote w:id="6">
    <w:p w14:paraId="51D6057F" w14:textId="3C34E5D7" w:rsidR="007C2E35" w:rsidRDefault="007C2E35" w:rsidP="00E267D1">
      <w:pPr>
        <w:pStyle w:val="FootnoteText"/>
      </w:pPr>
      <w:r>
        <w:rPr>
          <w:rStyle w:val="FootnoteReference"/>
        </w:rPr>
        <w:footnoteRef/>
      </w:r>
      <w:r>
        <w:t xml:space="preserve"> </w:t>
      </w:r>
      <w:r w:rsidR="00F27BA7">
        <w:t>National Law Center on Homelessness &amp; Poverty</w:t>
      </w:r>
      <w:r w:rsidR="00F27BA7" w:rsidRPr="00F27BA7">
        <w:t xml:space="preserve">, </w:t>
      </w:r>
      <w:r w:rsidR="00F27BA7" w:rsidRPr="00F27BA7">
        <w:rPr>
          <w:i/>
        </w:rPr>
        <w:t>Housing Not Handcuffs: Ending the Criminalization of Homelessness in U.S. Cities,</w:t>
      </w:r>
      <w:r w:rsidR="00F27BA7" w:rsidRPr="00F27BA7">
        <w:t xml:space="preserve"> (Dec. 2019), </w:t>
      </w:r>
      <w:r w:rsidR="00F27BA7">
        <w:t>50.</w:t>
      </w:r>
    </w:p>
  </w:footnote>
  <w:footnote w:id="7">
    <w:p w14:paraId="1A9DCACE" w14:textId="5F7733AA" w:rsidR="007C2E35" w:rsidRDefault="007C2E35" w:rsidP="00E267D1">
      <w:pPr>
        <w:pStyle w:val="FootnoteText"/>
      </w:pPr>
      <w:r>
        <w:rPr>
          <w:rStyle w:val="FootnoteReference"/>
        </w:rPr>
        <w:footnoteRef/>
      </w:r>
      <w:r>
        <w:t xml:space="preserve"> </w:t>
      </w:r>
      <w:r w:rsidR="00F27BA7">
        <w:t>National Law Center on Homelessness &amp; Poverty</w:t>
      </w:r>
      <w:r w:rsidR="00F27BA7" w:rsidRPr="00F27BA7">
        <w:t xml:space="preserve">, </w:t>
      </w:r>
      <w:r w:rsidR="00F27BA7" w:rsidRPr="00F27BA7">
        <w:rPr>
          <w:i/>
        </w:rPr>
        <w:t>Housing Not Handcuffs: Ending the Criminalization of Homelessness in U.S. Cities,</w:t>
      </w:r>
      <w:r w:rsidR="00F27BA7" w:rsidRPr="00F27BA7">
        <w:t xml:space="preserve"> (Dec. 2019), </w:t>
      </w:r>
      <w:r w:rsidR="00F27BA7">
        <w:t>51.</w:t>
      </w:r>
    </w:p>
  </w:footnote>
  <w:footnote w:id="8">
    <w:p w14:paraId="6DD13053" w14:textId="60B30A25" w:rsidR="007C2E35" w:rsidRPr="00F86C25" w:rsidRDefault="007C2E35" w:rsidP="00D92C35">
      <w:pPr>
        <w:pStyle w:val="FootnoteText"/>
      </w:pPr>
      <w:r>
        <w:rPr>
          <w:rStyle w:val="FootnoteReference"/>
        </w:rPr>
        <w:footnoteRef/>
      </w:r>
      <w:r>
        <w:t xml:space="preserve"> Jeremy Travis, “Invisible Punishment: An Instrument of Social Exclusion,” in Marc Mauer and </w:t>
      </w:r>
      <w:proofErr w:type="spellStart"/>
      <w:r>
        <w:t>Meda</w:t>
      </w:r>
      <w:proofErr w:type="spellEnd"/>
      <w:r>
        <w:t xml:space="preserve"> Chesney-Lind (eds.), </w:t>
      </w:r>
      <w:r>
        <w:rPr>
          <w:i/>
          <w:iCs/>
        </w:rPr>
        <w:t xml:space="preserve">Invisible Punishment: The Collateral Consequences of Mass Imprisonment </w:t>
      </w:r>
      <w:r>
        <w:t xml:space="preserve">(2002), 16. Professor Gabriel J. Chin expanded on this phenomenon in Gabriel J. Chin and Richard W. Holmes Jr., </w:t>
      </w:r>
      <w:r>
        <w:rPr>
          <w:i/>
          <w:iCs/>
        </w:rPr>
        <w:t xml:space="preserve">Effective Assistance of </w:t>
      </w:r>
      <w:proofErr w:type="gramStart"/>
      <w:r>
        <w:rPr>
          <w:i/>
          <w:iCs/>
        </w:rPr>
        <w:t>Counsel</w:t>
      </w:r>
      <w:proofErr w:type="gramEnd"/>
      <w:r>
        <w:rPr>
          <w:i/>
          <w:iCs/>
        </w:rPr>
        <w:t xml:space="preserve"> and the Consequences of Guilty Pleas</w:t>
      </w:r>
      <w:r>
        <w:t>, 87 Cornell Law Review 697 (2002).</w:t>
      </w:r>
    </w:p>
  </w:footnote>
  <w:footnote w:id="9">
    <w:p w14:paraId="0D37E095" w14:textId="3FA6CCFC" w:rsidR="007C2E35" w:rsidRDefault="007C2E35" w:rsidP="00D92C35">
      <w:pPr>
        <w:pStyle w:val="FootnoteText"/>
      </w:pPr>
      <w:r>
        <w:rPr>
          <w:rStyle w:val="FootnoteReference"/>
        </w:rPr>
        <w:footnoteRef/>
      </w:r>
      <w:r>
        <w:t xml:space="preserve"> Jeremy Travis, “Invisible Punishment: An Instrument of Social Exclusion,” in Marc Mauer and </w:t>
      </w:r>
      <w:proofErr w:type="spellStart"/>
      <w:r>
        <w:t>Meda</w:t>
      </w:r>
      <w:proofErr w:type="spellEnd"/>
      <w:r>
        <w:t xml:space="preserve"> Chesney-Lind (eds.), </w:t>
      </w:r>
      <w:r>
        <w:rPr>
          <w:i/>
          <w:iCs/>
        </w:rPr>
        <w:t xml:space="preserve">Invisible Punishment: The Collateral Consequences of Mass Imprisonment </w:t>
      </w:r>
      <w:r>
        <w:t>(2002), 16.</w:t>
      </w:r>
    </w:p>
  </w:footnote>
  <w:footnote w:id="10">
    <w:p w14:paraId="33AF747E" w14:textId="77777777" w:rsidR="007C2E35" w:rsidRPr="00C016B5" w:rsidRDefault="007C2E35" w:rsidP="00D92C35">
      <w:pPr>
        <w:pStyle w:val="FootnoteText"/>
      </w:pPr>
      <w:r w:rsidRPr="004A15FC">
        <w:rPr>
          <w:rStyle w:val="FootnoteReference"/>
        </w:rPr>
        <w:footnoteRef/>
      </w:r>
      <w:r w:rsidRPr="004A15FC">
        <w:t xml:space="preserve"> </w:t>
      </w:r>
      <w:r>
        <w:t xml:space="preserve">Margaret Colgate Love, Jenny Roberts, and Cecelia </w:t>
      </w:r>
      <w:proofErr w:type="spellStart"/>
      <w:r>
        <w:t>Klingele</w:t>
      </w:r>
      <w:proofErr w:type="spellEnd"/>
      <w:r>
        <w:t xml:space="preserve">, </w:t>
      </w:r>
      <w:r>
        <w:rPr>
          <w:i/>
          <w:iCs/>
        </w:rPr>
        <w:t>Collateral Consequences of Criminal Convictions: Law, Policy, and Practice</w:t>
      </w:r>
      <w:r>
        <w:t xml:space="preserve"> </w:t>
      </w:r>
      <w:r w:rsidRPr="003B27B6">
        <w:t xml:space="preserve">(book is published in 2013 by Thomson West </w:t>
      </w:r>
      <w:r>
        <w:t xml:space="preserve">and is </w:t>
      </w:r>
      <w:r w:rsidRPr="003B27B6">
        <w:t xml:space="preserve">regularly updated </w:t>
      </w:r>
      <w:r>
        <w:t>online</w:t>
      </w:r>
      <w:r w:rsidRPr="003B27B6">
        <w:t xml:space="preserve"> on Westlaw - last updated Nov. 2021).</w:t>
      </w:r>
    </w:p>
  </w:footnote>
  <w:footnote w:id="11">
    <w:p w14:paraId="6D14E0BC" w14:textId="7CD3660D" w:rsidR="007C2E35" w:rsidRDefault="007C2E35" w:rsidP="00D92C35">
      <w:pPr>
        <w:pStyle w:val="FootnoteText"/>
      </w:pPr>
      <w:r>
        <w:rPr>
          <w:rStyle w:val="FootnoteReference"/>
        </w:rPr>
        <w:footnoteRef/>
      </w:r>
      <w:r>
        <w:t xml:space="preserve"> </w:t>
      </w:r>
      <w:r w:rsidRPr="00666B14">
        <w:t>National Inventory of Collateral Consequences of Conviction</w:t>
      </w:r>
      <w:r>
        <w:t xml:space="preserve">, </w:t>
      </w:r>
      <w:r w:rsidR="004A68F3">
        <w:t xml:space="preserve">"Collateral Consequences Inventory," accessed May 12, 2022, </w:t>
      </w:r>
      <w:r w:rsidRPr="00666B14">
        <w:t>https://niccc.nationalreentryresourcecenter.org/consequences</w:t>
      </w:r>
      <w:r w:rsidR="004A68F3">
        <w:t>.</w:t>
      </w:r>
    </w:p>
  </w:footnote>
  <w:footnote w:id="12">
    <w:p w14:paraId="54FE79C4" w14:textId="35AB9B35" w:rsidR="007C2E35" w:rsidRDefault="007C2E35" w:rsidP="00D92C35">
      <w:pPr>
        <w:pStyle w:val="FootnoteText"/>
      </w:pPr>
      <w:r>
        <w:rPr>
          <w:rStyle w:val="FootnoteReference"/>
        </w:rPr>
        <w:footnoteRef/>
      </w:r>
      <w:r>
        <w:t xml:space="preserve"> </w:t>
      </w:r>
      <w:r w:rsidR="003144EF">
        <w:t xml:space="preserve">Cameron Kimble and Ames </w:t>
      </w:r>
      <w:proofErr w:type="spellStart"/>
      <w:r w:rsidR="00680101">
        <w:t>Grawert</w:t>
      </w:r>
      <w:proofErr w:type="spellEnd"/>
      <w:r w:rsidR="00680101">
        <w:t xml:space="preserve">, </w:t>
      </w:r>
      <w:r w:rsidR="00742118" w:rsidRPr="00742118">
        <w:rPr>
          <w:i/>
          <w:iCs/>
        </w:rPr>
        <w:t>Collateral Consequences and the Enduring Nature of Punishment</w:t>
      </w:r>
      <w:r w:rsidR="00742118">
        <w:t xml:space="preserve">, </w:t>
      </w:r>
      <w:r w:rsidR="0090385F">
        <w:t xml:space="preserve">Brennan Center for Justice, </w:t>
      </w:r>
      <w:r w:rsidR="008B0325">
        <w:t>Jun. 21, 2021,</w:t>
      </w:r>
      <w:r>
        <w:t xml:space="preserve"> </w:t>
      </w:r>
      <w:r w:rsidRPr="007D0252">
        <w:t>https://www.brennancenter.org/our-work/analysis-opinion/collateral-consequences-and-enduring-nature-punishment</w:t>
      </w:r>
      <w:r w:rsidR="008B0325">
        <w:t>.</w:t>
      </w:r>
    </w:p>
  </w:footnote>
  <w:footnote w:id="13">
    <w:p w14:paraId="41923C94" w14:textId="77777777" w:rsidR="007C2E35" w:rsidRPr="00D60B5D" w:rsidRDefault="007C2E35" w:rsidP="00D92C35">
      <w:pPr>
        <w:pStyle w:val="FootnoteText"/>
        <w:rPr>
          <w:i/>
          <w:iCs/>
        </w:rPr>
      </w:pPr>
      <w:r>
        <w:rPr>
          <w:rStyle w:val="FootnoteReference"/>
        </w:rPr>
        <w:footnoteRef/>
      </w:r>
      <w:r>
        <w:t xml:space="preserve"> </w:t>
      </w:r>
      <w:r>
        <w:rPr>
          <w:i/>
          <w:iCs/>
        </w:rPr>
        <w:t>See e.g.</w:t>
      </w:r>
      <w:r>
        <w:t xml:space="preserve">, 42 U.S.C. § 13663; 24 C.F.R. </w:t>
      </w:r>
      <w:r w:rsidRPr="6617F073">
        <w:rPr>
          <w:rFonts w:ascii="Calibri" w:eastAsia="Calibri" w:hAnsi="Calibri" w:cs="Calibri"/>
          <w:color w:val="000000" w:themeColor="text1"/>
          <w:sz w:val="22"/>
          <w:szCs w:val="22"/>
        </w:rPr>
        <w:t>§</w:t>
      </w:r>
      <w:r>
        <w:t xml:space="preserve"> 982.553(a)(2)(</w:t>
      </w:r>
      <w:proofErr w:type="spellStart"/>
      <w:r>
        <w:t>i</w:t>
      </w:r>
      <w:proofErr w:type="spellEnd"/>
      <w:r>
        <w:t>) (sex offenses); 42 U.S.C. § 1437n(f)(1); 24 C.F.R. § 982.553(a)(1)(ii)(C) (serious drug offenses)</w:t>
      </w:r>
    </w:p>
  </w:footnote>
  <w:footnote w:id="14">
    <w:p w14:paraId="222AD495" w14:textId="5DEA68D2" w:rsidR="007C2E35" w:rsidRDefault="007C2E35" w:rsidP="00D92C35">
      <w:pPr>
        <w:pStyle w:val="FootnoteText"/>
      </w:pPr>
      <w:r>
        <w:rPr>
          <w:rStyle w:val="FootnoteReference"/>
        </w:rPr>
        <w:footnoteRef/>
      </w:r>
      <w:r>
        <w:t xml:space="preserve"> 21 U.S.C. § 862(a)(1). Over 180,000 women in states that adopted the federal welfare ban were denied access to public benefits between 1996 and 2011. Marc Mauer and Virginia McCalmont, “</w:t>
      </w:r>
      <w:r w:rsidRPr="00A70E79">
        <w:rPr>
          <w:i/>
          <w:iCs/>
        </w:rPr>
        <w:t>A Lifetime of Punishment: The Impact of the Felony Drug Ban on Welfare Benefits</w:t>
      </w:r>
      <w:r w:rsidR="000D3E11">
        <w:rPr>
          <w:i/>
          <w:iCs/>
        </w:rPr>
        <w:t>,</w:t>
      </w:r>
      <w:r>
        <w:t xml:space="preserve">” </w:t>
      </w:r>
      <w:r w:rsidRPr="00A70E79">
        <w:rPr>
          <w:smallCaps/>
        </w:rPr>
        <w:t>Sentencing Report</w:t>
      </w:r>
      <w:r>
        <w:t xml:space="preserve"> (2013), </w:t>
      </w:r>
      <w:r w:rsidRPr="00A70E79">
        <w:t>https://www.sentencingproject.org/publications/a-lifetime-of-punishment-the-impact-of-the-felony-drug-ban-on-welfare-benefits/</w:t>
      </w:r>
      <w:r>
        <w:t>.</w:t>
      </w:r>
    </w:p>
  </w:footnote>
  <w:footnote w:id="15">
    <w:p w14:paraId="602A114C" w14:textId="77777777" w:rsidR="007C2E35" w:rsidRDefault="007C2E35" w:rsidP="00D92C35">
      <w:pPr>
        <w:pStyle w:val="FootnoteText"/>
      </w:pPr>
      <w:r>
        <w:rPr>
          <w:rStyle w:val="FootnoteReference"/>
        </w:rPr>
        <w:footnoteRef/>
      </w:r>
      <w:r>
        <w:t xml:space="preserve"> </w:t>
      </w:r>
      <w:r w:rsidRPr="00233F1C">
        <w:t>34 U.S.</w:t>
      </w:r>
      <w:r>
        <w:t>C</w:t>
      </w:r>
      <w:r w:rsidRPr="00233F1C">
        <w:t xml:space="preserve"> §</w:t>
      </w:r>
      <w:r>
        <w:t>§</w:t>
      </w:r>
      <w:r w:rsidRPr="00233F1C">
        <w:t xml:space="preserve"> 20913</w:t>
      </w:r>
      <w:r>
        <w:t>-15.</w:t>
      </w:r>
    </w:p>
  </w:footnote>
  <w:footnote w:id="16">
    <w:p w14:paraId="48E68127" w14:textId="77777777" w:rsidR="007C2E35" w:rsidRDefault="007C2E35" w:rsidP="00D92C35">
      <w:pPr>
        <w:pStyle w:val="FootnoteText"/>
      </w:pPr>
      <w:r>
        <w:rPr>
          <w:rStyle w:val="FootnoteReference"/>
        </w:rPr>
        <w:footnoteRef/>
      </w:r>
      <w:r>
        <w:t xml:space="preserve"> </w:t>
      </w:r>
      <w:r w:rsidRPr="00233F1C">
        <w:t>34 U.S.</w:t>
      </w:r>
      <w:r>
        <w:t>C</w:t>
      </w:r>
      <w:r w:rsidRPr="00233F1C">
        <w:t xml:space="preserve"> § 2091</w:t>
      </w:r>
      <w:r>
        <w:t>4(a)(7); 18 U.S.C. § 2250</w:t>
      </w:r>
    </w:p>
  </w:footnote>
  <w:footnote w:id="17">
    <w:p w14:paraId="4DF58843" w14:textId="44B6D03A" w:rsidR="007C2E35" w:rsidRDefault="007C2E35" w:rsidP="00D92C35">
      <w:pPr>
        <w:pStyle w:val="FootnoteText"/>
      </w:pPr>
      <w:r>
        <w:rPr>
          <w:rStyle w:val="FootnoteReference"/>
        </w:rPr>
        <w:footnoteRef/>
      </w:r>
      <w:r>
        <w:t xml:space="preserve"> Felony disenfranchisement laws vary state-by-state, but some include lifetime bans on voting or impose bans unless people undergo burdensome procedures to restore their civil rights. </w:t>
      </w:r>
      <w:r>
        <w:rPr>
          <w:i/>
          <w:iCs/>
        </w:rPr>
        <w:t>See</w:t>
      </w:r>
      <w:r>
        <w:t xml:space="preserve"> </w:t>
      </w:r>
      <w:r w:rsidRPr="00EB5F1B">
        <w:t>50-State Comparison: Loss and Restoration of Civil Rights &amp; Firearms Rights, Restoration of Rights Project, Collateral Consequences Res. Ctr. http://ccresourcecenter.org/state-restoration-profiles/chart-1-loss-and-restoration-of-civil-rights-and-firearms-privileges</w:t>
      </w:r>
      <w:r>
        <w:t xml:space="preserve">. Notably, </w:t>
      </w:r>
      <w:r w:rsidRPr="00C1363E">
        <w:t>Missouri</w:t>
      </w:r>
      <w:r>
        <w:t xml:space="preserve"> has a law where any misdemeanor conviction related to “the </w:t>
      </w:r>
      <w:r w:rsidRPr="00C1363E">
        <w:t>exercise of the right of suffrage” is permanently disenfranchised. Mo. Rev. Stat. § 561.026(2).</w:t>
      </w:r>
      <w:r>
        <w:t xml:space="preserve"> States have charged and convicted people for unlawfully voting even where the voter did not realize they were ineligible. Sam Levine, </w:t>
      </w:r>
      <w:r w:rsidRPr="001E59B8">
        <w:rPr>
          <w:i/>
          <w:iCs/>
        </w:rPr>
        <w:t xml:space="preserve">A </w:t>
      </w:r>
      <w:r>
        <w:rPr>
          <w:i/>
          <w:iCs/>
        </w:rPr>
        <w:t>W</w:t>
      </w:r>
      <w:r w:rsidRPr="001E59B8">
        <w:rPr>
          <w:i/>
          <w:iCs/>
        </w:rPr>
        <w:t xml:space="preserve">hite </w:t>
      </w:r>
      <w:r>
        <w:rPr>
          <w:i/>
          <w:iCs/>
        </w:rPr>
        <w:t>M</w:t>
      </w:r>
      <w:r w:rsidRPr="001E59B8">
        <w:rPr>
          <w:i/>
          <w:iCs/>
        </w:rPr>
        <w:t xml:space="preserve">an </w:t>
      </w:r>
      <w:r>
        <w:rPr>
          <w:i/>
          <w:iCs/>
        </w:rPr>
        <w:t>G</w:t>
      </w:r>
      <w:r w:rsidRPr="001E59B8">
        <w:rPr>
          <w:i/>
          <w:iCs/>
        </w:rPr>
        <w:t xml:space="preserve">ot </w:t>
      </w:r>
      <w:r>
        <w:rPr>
          <w:i/>
          <w:iCs/>
        </w:rPr>
        <w:t>P</w:t>
      </w:r>
      <w:r w:rsidRPr="001E59B8">
        <w:rPr>
          <w:i/>
          <w:iCs/>
        </w:rPr>
        <w:t xml:space="preserve">robation for </w:t>
      </w:r>
      <w:r>
        <w:rPr>
          <w:i/>
          <w:iCs/>
        </w:rPr>
        <w:t>V</w:t>
      </w:r>
      <w:r w:rsidRPr="001E59B8">
        <w:rPr>
          <w:i/>
          <w:iCs/>
        </w:rPr>
        <w:t xml:space="preserve">oting </w:t>
      </w:r>
      <w:r>
        <w:rPr>
          <w:i/>
          <w:iCs/>
        </w:rPr>
        <w:t>F</w:t>
      </w:r>
      <w:r w:rsidRPr="001E59B8">
        <w:rPr>
          <w:i/>
          <w:iCs/>
        </w:rPr>
        <w:t xml:space="preserve">raud. A Black </w:t>
      </w:r>
      <w:r>
        <w:rPr>
          <w:i/>
          <w:iCs/>
        </w:rPr>
        <w:t>W</w:t>
      </w:r>
      <w:r w:rsidRPr="001E59B8">
        <w:rPr>
          <w:i/>
          <w:iCs/>
        </w:rPr>
        <w:t xml:space="preserve">oman </w:t>
      </w:r>
      <w:r>
        <w:rPr>
          <w:i/>
          <w:iCs/>
        </w:rPr>
        <w:t>F</w:t>
      </w:r>
      <w:r w:rsidRPr="001E59B8">
        <w:rPr>
          <w:i/>
          <w:iCs/>
        </w:rPr>
        <w:t xml:space="preserve">aced </w:t>
      </w:r>
      <w:r>
        <w:rPr>
          <w:i/>
          <w:iCs/>
        </w:rPr>
        <w:t>S</w:t>
      </w:r>
      <w:r w:rsidRPr="001E59B8">
        <w:rPr>
          <w:i/>
          <w:iCs/>
        </w:rPr>
        <w:t xml:space="preserve">ix </w:t>
      </w:r>
      <w:r>
        <w:rPr>
          <w:i/>
          <w:iCs/>
        </w:rPr>
        <w:t>Y</w:t>
      </w:r>
      <w:r w:rsidRPr="001E59B8">
        <w:rPr>
          <w:i/>
          <w:iCs/>
        </w:rPr>
        <w:t xml:space="preserve">ears in </w:t>
      </w:r>
      <w:r>
        <w:rPr>
          <w:i/>
          <w:iCs/>
        </w:rPr>
        <w:t>P</w:t>
      </w:r>
      <w:r w:rsidRPr="001E59B8">
        <w:rPr>
          <w:i/>
          <w:iCs/>
        </w:rPr>
        <w:t xml:space="preserve">rison for an </w:t>
      </w:r>
      <w:r>
        <w:rPr>
          <w:i/>
          <w:iCs/>
        </w:rPr>
        <w:t>E</w:t>
      </w:r>
      <w:r w:rsidRPr="001E59B8">
        <w:rPr>
          <w:i/>
          <w:iCs/>
        </w:rPr>
        <w:t>rror</w:t>
      </w:r>
      <w:r>
        <w:t xml:space="preserve">, </w:t>
      </w:r>
      <w:r w:rsidR="000D3E11">
        <w:t xml:space="preserve">The </w:t>
      </w:r>
      <w:r w:rsidRPr="00EC6267">
        <w:rPr>
          <w:smallCaps/>
        </w:rPr>
        <w:t>Guardian</w:t>
      </w:r>
      <w:r>
        <w:t xml:space="preserve"> (Mar. 3, 2022) </w:t>
      </w:r>
      <w:r w:rsidRPr="00F85D60">
        <w:t>https://www.theguardian.com/us-news/2022/mar/03/voter-fraud-election-crime-sentencing-racial-disparity</w:t>
      </w:r>
      <w:r w:rsidR="000D3E11">
        <w:t>.</w:t>
      </w:r>
    </w:p>
  </w:footnote>
  <w:footnote w:id="18">
    <w:p w14:paraId="5F795D09" w14:textId="77777777" w:rsidR="007C2E35" w:rsidRDefault="007C2E35" w:rsidP="00D92C35">
      <w:pPr>
        <w:pStyle w:val="FootnoteText"/>
      </w:pPr>
      <w:r>
        <w:rPr>
          <w:rStyle w:val="FootnoteReference"/>
        </w:rPr>
        <w:footnoteRef/>
      </w:r>
      <w:r>
        <w:t xml:space="preserve"> </w:t>
      </w:r>
      <w:r w:rsidRPr="000C674A">
        <w:rPr>
          <w:i/>
          <w:iCs/>
        </w:rPr>
        <w:t>See</w:t>
      </w:r>
      <w:r w:rsidRPr="000C674A">
        <w:t> 50-State Comparison: Loss and Restoration of Civil Rights &amp; Firearms Rights, Restoration of Rights Project, Collateral Consequences Res. Ctr., http://ccresourcecenter.org/state-restoration-profiles/chart-1-loss-and-restoration-of-civil-rights-and-firearms-privileges/ for a survey of state laws on loss and restoration of jury rights</w:t>
      </w:r>
      <w:r>
        <w:t xml:space="preserve">. </w:t>
      </w:r>
      <w:r w:rsidRPr="004A3E9A">
        <w:t xml:space="preserve">New Jersey's Forfeiture Act </w:t>
      </w:r>
      <w:r>
        <w:t>provides an especially strict example, and state courts have interpreted it t</w:t>
      </w:r>
      <w:r w:rsidRPr="004A3E9A">
        <w:t xml:space="preserve">o bar those convicted of “an offense involving or touching on his public office, </w:t>
      </w:r>
      <w:proofErr w:type="gramStart"/>
      <w:r w:rsidRPr="004A3E9A">
        <w:t>position</w:t>
      </w:r>
      <w:proofErr w:type="gramEnd"/>
      <w:r w:rsidRPr="004A3E9A">
        <w:t xml:space="preserve"> or employment …” from </w:t>
      </w:r>
      <w:r w:rsidRPr="02009D7D">
        <w:rPr>
          <w:i/>
        </w:rPr>
        <w:t xml:space="preserve">all </w:t>
      </w:r>
      <w:r w:rsidRPr="004A3E9A">
        <w:t>government employment. </w:t>
      </w:r>
      <w:r w:rsidRPr="004A3E9A">
        <w:rPr>
          <w:i/>
          <w:iCs/>
        </w:rPr>
        <w:t>See</w:t>
      </w:r>
      <w:r w:rsidRPr="004A3E9A">
        <w:t> </w:t>
      </w:r>
      <w:r w:rsidRPr="007D04FB">
        <w:t>N.J. Stat. Ann. § 2C:51-2(d)</w:t>
      </w:r>
      <w:r w:rsidRPr="004A3E9A">
        <w:t>;</w:t>
      </w:r>
      <w:r>
        <w:t xml:space="preserve"> </w:t>
      </w:r>
      <w:r w:rsidRPr="00E07A0C">
        <w:rPr>
          <w:i/>
          <w:iCs/>
        </w:rPr>
        <w:t>Cedeno v. Montclair State University</w:t>
      </w:r>
      <w:r w:rsidRPr="00E07A0C">
        <w:t>, 163 N.J. 473, 750 A.2d 73</w:t>
      </w:r>
      <w:r>
        <w:t xml:space="preserve"> </w:t>
      </w:r>
      <w:r w:rsidRPr="00E07A0C">
        <w:t xml:space="preserve">(2000); </w:t>
      </w:r>
      <w:r w:rsidRPr="3ECB2847">
        <w:rPr>
          <w:i/>
        </w:rPr>
        <w:t>Pastore v. County of Essex</w:t>
      </w:r>
      <w:r w:rsidRPr="00E07A0C">
        <w:t>, 237 N.J. Super. 371, 568 A.2d 81 (App. Div. 1989).</w:t>
      </w:r>
    </w:p>
  </w:footnote>
  <w:footnote w:id="19">
    <w:p w14:paraId="4DF31549" w14:textId="64212AC0" w:rsidR="007C2E35" w:rsidRDefault="007C2E35" w:rsidP="00D92C35">
      <w:pPr>
        <w:pStyle w:val="FootnoteText"/>
      </w:pPr>
      <w:r>
        <w:rPr>
          <w:rStyle w:val="FootnoteReference"/>
        </w:rPr>
        <w:footnoteRef/>
      </w:r>
      <w:r>
        <w:t xml:space="preserve"> </w:t>
      </w:r>
      <w:r w:rsidRPr="00350D05">
        <w:t xml:space="preserve">Margaret Love &amp; David </w:t>
      </w:r>
      <w:proofErr w:type="spellStart"/>
      <w:r w:rsidRPr="00350D05">
        <w:t>Schlussel</w:t>
      </w:r>
      <w:proofErr w:type="spellEnd"/>
      <w:r w:rsidRPr="00350D05">
        <w:t xml:space="preserve">, </w:t>
      </w:r>
      <w:r w:rsidRPr="00350D05">
        <w:rPr>
          <w:i/>
          <w:iCs/>
        </w:rPr>
        <w:t xml:space="preserve">Waiting for Relief: A National Survey of Waiting Periods for Record Clearing, </w:t>
      </w:r>
      <w:r w:rsidRPr="00350D05">
        <w:t>Collateral Consequences Res. Ctr. (Feb. 2022)</w:t>
      </w:r>
      <w:r w:rsidR="006613E4">
        <w:t>.</w:t>
      </w:r>
    </w:p>
  </w:footnote>
  <w:footnote w:id="20">
    <w:p w14:paraId="28F58868" w14:textId="45AC4F52" w:rsidR="3609440E" w:rsidRDefault="3609440E" w:rsidP="005C07EA">
      <w:pPr>
        <w:pStyle w:val="FootnoteText"/>
        <w:rPr>
          <w:color w:val="000000" w:themeColor="text1"/>
        </w:rPr>
      </w:pPr>
      <w:r w:rsidRPr="3609440E">
        <w:rPr>
          <w:rStyle w:val="FootnoteReference"/>
          <w:color w:val="000000" w:themeColor="text1"/>
        </w:rPr>
        <w:footnoteRef/>
      </w:r>
      <w:r w:rsidRPr="3609440E">
        <w:rPr>
          <w:color w:val="000000" w:themeColor="text1"/>
        </w:rPr>
        <w:t xml:space="preserve"> Cameron Kimble &amp; Ames </w:t>
      </w:r>
      <w:proofErr w:type="spellStart"/>
      <w:r w:rsidRPr="3609440E">
        <w:rPr>
          <w:color w:val="000000" w:themeColor="text1"/>
        </w:rPr>
        <w:t>Grawert</w:t>
      </w:r>
      <w:proofErr w:type="spellEnd"/>
      <w:r w:rsidRPr="3609440E">
        <w:rPr>
          <w:color w:val="000000" w:themeColor="text1"/>
        </w:rPr>
        <w:t xml:space="preserve">, </w:t>
      </w:r>
      <w:r w:rsidRPr="3609440E">
        <w:rPr>
          <w:i/>
          <w:iCs/>
          <w:color w:val="000000" w:themeColor="text1"/>
        </w:rPr>
        <w:t>Collateral Consequences and the Enduring Nature of Punishment</w:t>
      </w:r>
      <w:r w:rsidRPr="3609440E">
        <w:rPr>
          <w:color w:val="000000" w:themeColor="text1"/>
        </w:rPr>
        <w:t>, The Brennan Center for Justice (June 2021), https://www.brennancenter.org/our-work/analysis-opinion/collateral-consequences-and-enduring-nature-punishment</w:t>
      </w:r>
      <w:r w:rsidR="00087636">
        <w:rPr>
          <w:color w:val="000000" w:themeColor="text1"/>
        </w:rPr>
        <w:t>.</w:t>
      </w:r>
    </w:p>
  </w:footnote>
  <w:footnote w:id="21">
    <w:p w14:paraId="6E20C408" w14:textId="50062CA5" w:rsidR="52BE1DF5" w:rsidRDefault="52BE1DF5" w:rsidP="005C07EA">
      <w:pPr>
        <w:pStyle w:val="FootnoteText"/>
        <w:rPr>
          <w:color w:val="000000" w:themeColor="text1"/>
        </w:rPr>
      </w:pPr>
      <w:r w:rsidRPr="52BE1DF5">
        <w:rPr>
          <w:rStyle w:val="FootnoteReference"/>
          <w:color w:val="000000" w:themeColor="text1"/>
        </w:rPr>
        <w:footnoteRef/>
      </w:r>
      <w:r w:rsidRPr="52BE1DF5">
        <w:rPr>
          <w:color w:val="000000" w:themeColor="text1"/>
        </w:rPr>
        <w:t xml:space="preserve"> For example, many laws prohibit loitering and vagrancy, but are vaguely defined and selectively enforced. Just about everyone in the United States has lingered in a public place, but someone who appears visibly </w:t>
      </w:r>
      <w:proofErr w:type="gramStart"/>
      <w:r w:rsidRPr="52BE1DF5">
        <w:rPr>
          <w:color w:val="000000" w:themeColor="text1"/>
        </w:rPr>
        <w:t>homeless</w:t>
      </w:r>
      <w:proofErr w:type="gramEnd"/>
      <w:r w:rsidRPr="52BE1DF5">
        <w:rPr>
          <w:color w:val="000000" w:themeColor="text1"/>
        </w:rPr>
        <w:t xml:space="preserve"> or poor is more likely to have received a citation for it. </w:t>
      </w:r>
      <w:r w:rsidR="00F27BA7">
        <w:t>National Law Center on Homelessness &amp; Poverty</w:t>
      </w:r>
      <w:r w:rsidR="00F27BA7" w:rsidRPr="00F27BA7">
        <w:t xml:space="preserve">, </w:t>
      </w:r>
      <w:r w:rsidR="00F27BA7" w:rsidRPr="00F27BA7">
        <w:rPr>
          <w:i/>
        </w:rPr>
        <w:t>Housing Not Handcuffs: Ending the Criminalization of Homelessness in U.S. Cities,</w:t>
      </w:r>
      <w:r w:rsidR="00F27BA7" w:rsidRPr="00F27BA7">
        <w:t xml:space="preserve"> (Dec. 2019), </w:t>
      </w:r>
      <w:r w:rsidR="00F27BA7">
        <w:t>50.</w:t>
      </w:r>
    </w:p>
  </w:footnote>
  <w:footnote w:id="22">
    <w:p w14:paraId="2A45B7CD" w14:textId="369A767C" w:rsidR="52BE1DF5" w:rsidRPr="005C07EA" w:rsidRDefault="52BE1DF5" w:rsidP="005C07EA">
      <w:pPr>
        <w:pStyle w:val="FootnoteText"/>
        <w:rPr>
          <w:color w:val="000000" w:themeColor="text1"/>
        </w:rPr>
      </w:pPr>
      <w:r w:rsidRPr="52BE1DF5">
        <w:rPr>
          <w:rStyle w:val="FootnoteReference"/>
          <w:color w:val="000000" w:themeColor="text1"/>
        </w:rPr>
        <w:footnoteRef/>
      </w:r>
      <w:r w:rsidRPr="52BE1DF5">
        <w:rPr>
          <w:color w:val="000000" w:themeColor="text1"/>
        </w:rPr>
        <w:t xml:space="preserve"> </w:t>
      </w:r>
      <w:r w:rsidRPr="005C07EA">
        <w:rPr>
          <w:color w:val="000000" w:themeColor="text1"/>
        </w:rPr>
        <w:t>Madeline Bailey</w:t>
      </w:r>
      <w:r w:rsidRPr="52BE1DF5">
        <w:rPr>
          <w:color w:val="000000" w:themeColor="text1"/>
        </w:rPr>
        <w:t xml:space="preserve">, Erica Crew, &amp; </w:t>
      </w:r>
      <w:proofErr w:type="spellStart"/>
      <w:r w:rsidRPr="52BE1DF5">
        <w:rPr>
          <w:color w:val="000000" w:themeColor="text1"/>
        </w:rPr>
        <w:t>Madz</w:t>
      </w:r>
      <w:proofErr w:type="spellEnd"/>
      <w:r w:rsidRPr="52BE1DF5">
        <w:rPr>
          <w:color w:val="000000" w:themeColor="text1"/>
        </w:rPr>
        <w:t xml:space="preserve"> Reeve, </w:t>
      </w:r>
      <w:r w:rsidRPr="52BE1DF5">
        <w:rPr>
          <w:i/>
          <w:iCs/>
          <w:color w:val="000000" w:themeColor="text1"/>
        </w:rPr>
        <w:t>No Access to Justice: Breaking the Cycle of Homelessness and Jail</w:t>
      </w:r>
      <w:r w:rsidRPr="52BE1DF5">
        <w:rPr>
          <w:color w:val="000000" w:themeColor="text1"/>
        </w:rPr>
        <w:t>, Vera Institute (Aug. 2020), https://www.safetyandjusticechallenge.org/wp-content/uploads/2020/08/homelessness-brief-web.pdf.</w:t>
      </w:r>
    </w:p>
  </w:footnote>
  <w:footnote w:id="23">
    <w:p w14:paraId="63EEAAF6" w14:textId="5BA8101A" w:rsidR="007C2E35" w:rsidRDefault="007C2E35" w:rsidP="00E267D1">
      <w:pPr>
        <w:pStyle w:val="FootnoteText"/>
      </w:pPr>
      <w:r>
        <w:rPr>
          <w:rStyle w:val="FootnoteReference"/>
        </w:rPr>
        <w:footnoteRef/>
      </w:r>
      <w:r w:rsidR="00C158E3">
        <w:t xml:space="preserve"> Center on Budget and Policy Priorities,</w:t>
      </w:r>
      <w:r>
        <w:t xml:space="preserve"> </w:t>
      </w:r>
      <w:r w:rsidR="00BE0646">
        <w:rPr>
          <w:i/>
          <w:iCs/>
        </w:rPr>
        <w:t xml:space="preserve">Prohibiting Discrimination Against Renters Using Housing Vouchers </w:t>
      </w:r>
      <w:r w:rsidR="00BE0646" w:rsidRPr="008A4C99">
        <w:rPr>
          <w:i/>
          <w:iCs/>
        </w:rPr>
        <w:t xml:space="preserve">Improves Results, </w:t>
      </w:r>
      <w:r w:rsidR="00760EE0" w:rsidRPr="008A4C99">
        <w:t xml:space="preserve">by Alison Bell, Barbara Sard, and Becky </w:t>
      </w:r>
      <w:proofErr w:type="spellStart"/>
      <w:r w:rsidR="00760EE0" w:rsidRPr="008A4C99">
        <w:t>Koepnick</w:t>
      </w:r>
      <w:proofErr w:type="spellEnd"/>
      <w:r w:rsidR="00F8406B" w:rsidRPr="008A4C99">
        <w:t xml:space="preserve"> (</w:t>
      </w:r>
      <w:r w:rsidR="0091177C" w:rsidRPr="008A4C99">
        <w:t>Washington, D.C.</w:t>
      </w:r>
      <w:r w:rsidR="00C158E3" w:rsidRPr="008A4C99">
        <w:t>, 2018)</w:t>
      </w:r>
      <w:r w:rsidR="008A4C99" w:rsidRPr="008A4C99">
        <w:t xml:space="preserve">, available online at </w:t>
      </w:r>
      <w:r w:rsidRPr="008A4C99">
        <w:t>https://www.cbpp.org/research/housing/prohibiting-discrimination-against-renters-using-housing-vouchers-improves-results</w:t>
      </w:r>
      <w:r w:rsidR="008A4C99" w:rsidRPr="008A4C99">
        <w:t>.</w:t>
      </w:r>
    </w:p>
  </w:footnote>
  <w:footnote w:id="24">
    <w:p w14:paraId="56218A24" w14:textId="77777777" w:rsidR="007C2E35" w:rsidRPr="004D4F5F" w:rsidRDefault="007C2E35" w:rsidP="00E267D1">
      <w:pPr>
        <w:pStyle w:val="FootnoteText"/>
      </w:pPr>
      <w:r>
        <w:rPr>
          <w:rStyle w:val="FootnoteReference"/>
        </w:rPr>
        <w:footnoteRef/>
      </w:r>
      <w:r>
        <w:t xml:space="preserve"> </w:t>
      </w:r>
      <w:r w:rsidRPr="004D4F5F">
        <w:rPr>
          <w:i/>
          <w:iCs/>
        </w:rPr>
        <w:t>Martin v. City of Boise</w:t>
      </w:r>
      <w:r>
        <w:rPr>
          <w:i/>
          <w:iCs/>
        </w:rPr>
        <w:t xml:space="preserve">, </w:t>
      </w:r>
      <w:r w:rsidRPr="004506C7">
        <w:t>902 F.3d 1031, 1048 (9th Cir. 2018) (“[A]s long as there is no option of sleeping indoors, the government cannot criminalize indigent, homeless people for sleeping outdoors, on public property, on the false premise they had a choice in the matter.”)</w:t>
      </w:r>
      <w:r w:rsidRPr="004506C7">
        <w:rPr>
          <w:i/>
          <w:iCs/>
        </w:rPr>
        <w:t>.</w:t>
      </w:r>
    </w:p>
  </w:footnote>
  <w:footnote w:id="25">
    <w:p w14:paraId="7F474E78" w14:textId="77777777" w:rsidR="007C2E35" w:rsidRPr="00EB61E8" w:rsidRDefault="007C2E35" w:rsidP="00B427B0">
      <w:pPr>
        <w:pStyle w:val="FootnoteText"/>
      </w:pPr>
      <w:r w:rsidRPr="00EB61E8">
        <w:rPr>
          <w:rStyle w:val="FootnoteReference"/>
        </w:rPr>
        <w:footnoteRef/>
      </w:r>
      <w:r w:rsidRPr="00EB61E8">
        <w:t xml:space="preserve"> Committee on the Elimination of Racial Discrimination</w:t>
      </w:r>
      <w:r w:rsidRPr="00EB61E8">
        <w:rPr>
          <w:i/>
          <w:iCs/>
        </w:rPr>
        <w:t xml:space="preserve">, </w:t>
      </w:r>
      <w:proofErr w:type="gramStart"/>
      <w:r w:rsidRPr="00EB61E8">
        <w:rPr>
          <w:i/>
          <w:iCs/>
        </w:rPr>
        <w:t>Concluding</w:t>
      </w:r>
      <w:proofErr w:type="gramEnd"/>
      <w:r w:rsidRPr="00EB61E8">
        <w:rPr>
          <w:i/>
          <w:iCs/>
        </w:rPr>
        <w:t xml:space="preserve"> observations on the combined seventh to ninth periodic reports of the United States of American, adopted by the Committee at its 2317th session</w:t>
      </w:r>
      <w:r w:rsidRPr="00EB61E8">
        <w:t xml:space="preserve"> (26 August 2014), U.N. Doc CERD/C/USA/CO/7-9, ⁋ 13.</w:t>
      </w:r>
    </w:p>
  </w:footnote>
  <w:footnote w:id="26">
    <w:p w14:paraId="6D9A414F" w14:textId="77777777" w:rsidR="007C2E35" w:rsidRPr="00EB61E8" w:rsidRDefault="007C2E35" w:rsidP="00B427B0">
      <w:pPr>
        <w:pStyle w:val="FootnoteText"/>
      </w:pPr>
      <w:r w:rsidRPr="00EB61E8">
        <w:rPr>
          <w:rStyle w:val="FootnoteReference"/>
        </w:rPr>
        <w:footnoteRef/>
      </w:r>
      <w:r w:rsidRPr="00EB61E8">
        <w:t xml:space="preserve"> Committee on the Elimination of Racial Discrimination</w:t>
      </w:r>
      <w:r w:rsidRPr="00EB61E8">
        <w:rPr>
          <w:i/>
          <w:iCs/>
        </w:rPr>
        <w:t xml:space="preserve">, </w:t>
      </w:r>
      <w:proofErr w:type="gramStart"/>
      <w:r w:rsidRPr="00EB61E8">
        <w:rPr>
          <w:i/>
          <w:iCs/>
        </w:rPr>
        <w:t>Concluding</w:t>
      </w:r>
      <w:proofErr w:type="gramEnd"/>
      <w:r w:rsidRPr="00EB61E8">
        <w:rPr>
          <w:i/>
          <w:iCs/>
        </w:rPr>
        <w:t xml:space="preserve"> observations on the combined seventh to ninth periodic reports of the United States of American, adopted by the Committee at its 2317th session</w:t>
      </w:r>
      <w:r w:rsidRPr="00EB61E8">
        <w:t xml:space="preserve"> (26 August 2014), U.N. Doc CERD/C/USA/CO/7-9, ⁋ 12(a), ¶¶ 13(a), (b).</w:t>
      </w:r>
    </w:p>
  </w:footnote>
  <w:footnote w:id="27">
    <w:p w14:paraId="2ADABA30" w14:textId="4DDD768D" w:rsidR="007C2E35" w:rsidRPr="00EB61E8" w:rsidRDefault="007C2E35" w:rsidP="003B736A">
      <w:r w:rsidRPr="00EB61E8">
        <w:rPr>
          <w:rStyle w:val="FootnoteReference"/>
        </w:rPr>
        <w:footnoteRef/>
      </w:r>
      <w:r w:rsidRPr="00EB61E8">
        <w:t xml:space="preserve"> Committee on the Elimination of Racial Discrimination</w:t>
      </w:r>
      <w:r w:rsidR="00E02668" w:rsidRPr="00EB61E8">
        <w:rPr>
          <w:i/>
          <w:iCs/>
        </w:rPr>
        <w:t>,</w:t>
      </w:r>
      <w:r w:rsidRPr="00EB61E8">
        <w:t xml:space="preserve"> </w:t>
      </w:r>
      <w:proofErr w:type="gramStart"/>
      <w:r w:rsidRPr="00EB61E8">
        <w:rPr>
          <w:i/>
        </w:rPr>
        <w:t>Combined</w:t>
      </w:r>
      <w:proofErr w:type="gramEnd"/>
      <w:r w:rsidRPr="00EB61E8">
        <w:rPr>
          <w:i/>
        </w:rPr>
        <w:t xml:space="preserve"> tenth to twelfth periodic reports submitted by the United States of America under article 9 of the Convention</w:t>
      </w:r>
      <w:r w:rsidRPr="00EB61E8">
        <w:t>,</w:t>
      </w:r>
      <w:r w:rsidRPr="00EB61E8">
        <w:rPr>
          <w:i/>
        </w:rPr>
        <w:t xml:space="preserve"> due in 2017,</w:t>
      </w:r>
      <w:r w:rsidRPr="00EB61E8">
        <w:t xml:space="preserve"> (2 June 2021), U.N. Doc. CERD/C/USA/10-12, ¶ 45.</w:t>
      </w:r>
    </w:p>
  </w:footnote>
  <w:footnote w:id="28">
    <w:p w14:paraId="75CF8244" w14:textId="07E34CFC" w:rsidR="007C2E35" w:rsidRPr="00E9688A" w:rsidRDefault="007C2E35">
      <w:pPr>
        <w:pStyle w:val="FootnoteText"/>
        <w:rPr>
          <w:lang w:val="es-GT"/>
        </w:rPr>
      </w:pPr>
      <w:r>
        <w:rPr>
          <w:rStyle w:val="FootnoteReference"/>
        </w:rPr>
        <w:footnoteRef/>
      </w:r>
      <w:r>
        <w:t xml:space="preserve"> </w:t>
      </w:r>
      <w:r w:rsidRPr="00EB61E8">
        <w:t xml:space="preserve">Committee on the Elimination of Racial </w:t>
      </w:r>
      <w:proofErr w:type="gramStart"/>
      <w:r w:rsidRPr="00EB61E8">
        <w:t>Discrimination</w:t>
      </w:r>
      <w:r w:rsidRPr="00EB61E8">
        <w:rPr>
          <w:i/>
          <w:iCs/>
        </w:rPr>
        <w:t>,</w:t>
      </w:r>
      <w:r w:rsidRPr="00EB61E8">
        <w:t>,</w:t>
      </w:r>
      <w:proofErr w:type="gramEnd"/>
      <w:r w:rsidRPr="00EB61E8">
        <w:t xml:space="preserve"> </w:t>
      </w:r>
      <w:r w:rsidRPr="00EB61E8">
        <w:rPr>
          <w:i/>
        </w:rPr>
        <w:t>Combined tenth to twelfth periodic reports submitted by the United States of America under article 9 of the Convention</w:t>
      </w:r>
      <w:r w:rsidRPr="00EB61E8">
        <w:t>,</w:t>
      </w:r>
      <w:r w:rsidRPr="00EB61E8">
        <w:rPr>
          <w:i/>
        </w:rPr>
        <w:t xml:space="preserve"> due in 2017,</w:t>
      </w:r>
      <w:r w:rsidRPr="00EB61E8">
        <w:t xml:space="preserve"> (2 June 2021), U.N. Doc. </w:t>
      </w:r>
      <w:r w:rsidRPr="00E9688A">
        <w:rPr>
          <w:lang w:val="es-GT"/>
        </w:rPr>
        <w:t>CERD/C/USA/10-12, ¶ 45.</w:t>
      </w:r>
    </w:p>
  </w:footnote>
  <w:footnote w:id="29">
    <w:p w14:paraId="0D26A200" w14:textId="77777777" w:rsidR="007C2E35" w:rsidRPr="00E9688A" w:rsidRDefault="007C2E35" w:rsidP="00FA391F">
      <w:pPr>
        <w:pStyle w:val="FootnoteText"/>
        <w:rPr>
          <w:color w:val="000000" w:themeColor="text1"/>
          <w:lang w:val="es-GT"/>
        </w:rPr>
      </w:pPr>
      <w:r w:rsidRPr="5A8787CF">
        <w:rPr>
          <w:rStyle w:val="FootnoteReference"/>
          <w:color w:val="000000" w:themeColor="text1"/>
        </w:rPr>
        <w:footnoteRef/>
      </w:r>
      <w:r w:rsidRPr="00E9688A">
        <w:rPr>
          <w:color w:val="000000" w:themeColor="text1"/>
          <w:lang w:val="es-GT"/>
        </w:rPr>
        <w:t xml:space="preserve"> </w:t>
      </w:r>
      <w:r w:rsidRPr="00E9688A">
        <w:rPr>
          <w:lang w:val="es-GT"/>
        </w:rPr>
        <w:t>42 U.S.C. § 1437d(q)(1)(A).</w:t>
      </w:r>
    </w:p>
  </w:footnote>
  <w:footnote w:id="30">
    <w:p w14:paraId="1E2191F9" w14:textId="77777777" w:rsidR="007C2E35" w:rsidRPr="00E9688A" w:rsidRDefault="007C2E35" w:rsidP="00FA391F">
      <w:pPr>
        <w:pStyle w:val="FootnoteText"/>
        <w:rPr>
          <w:color w:val="000000" w:themeColor="text1"/>
          <w:lang w:val="es-GT"/>
        </w:rPr>
      </w:pPr>
      <w:r w:rsidRPr="5A8787CF">
        <w:rPr>
          <w:rStyle w:val="FootnoteReference"/>
          <w:color w:val="000000" w:themeColor="text1"/>
        </w:rPr>
        <w:footnoteRef/>
      </w:r>
      <w:r w:rsidRPr="00E9688A">
        <w:rPr>
          <w:color w:val="000000" w:themeColor="text1"/>
          <w:lang w:val="es-GT"/>
        </w:rPr>
        <w:t xml:space="preserve"> </w:t>
      </w:r>
      <w:r w:rsidRPr="00E9688A">
        <w:rPr>
          <w:lang w:val="es-GT"/>
        </w:rPr>
        <w:t>24 CFR § 966.4(1)(5)(</w:t>
      </w:r>
      <w:proofErr w:type="spellStart"/>
      <w:r w:rsidRPr="00E9688A">
        <w:rPr>
          <w:lang w:val="es-GT"/>
        </w:rPr>
        <w:t>vii</w:t>
      </w:r>
      <w:proofErr w:type="spellEnd"/>
      <w:r w:rsidRPr="00E9688A">
        <w:rPr>
          <w:lang w:val="es-GT"/>
        </w:rPr>
        <w:t>).</w:t>
      </w:r>
    </w:p>
  </w:footnote>
  <w:footnote w:id="31">
    <w:p w14:paraId="08E9CB3C" w14:textId="77777777" w:rsidR="007C2E35" w:rsidRDefault="007C2E35" w:rsidP="00FA391F">
      <w:pPr>
        <w:pStyle w:val="FootnoteText"/>
      </w:pPr>
      <w:r>
        <w:rPr>
          <w:rStyle w:val="FootnoteReference"/>
        </w:rPr>
        <w:footnoteRef/>
      </w:r>
      <w:r>
        <w:t xml:space="preserve"> 42 U.S.C. § 13663; 24 C.F.R. 982.553(a)(2)(</w:t>
      </w:r>
      <w:proofErr w:type="spellStart"/>
      <w:r>
        <w:t>i</w:t>
      </w:r>
      <w:proofErr w:type="spellEnd"/>
      <w:r>
        <w:t>).</w:t>
      </w:r>
    </w:p>
  </w:footnote>
  <w:footnote w:id="32">
    <w:p w14:paraId="4EB4C9B1" w14:textId="77777777" w:rsidR="007C2E35" w:rsidRPr="001805DC" w:rsidRDefault="007C2E35" w:rsidP="00BA229C">
      <w:pPr>
        <w:pStyle w:val="FootnoteText"/>
      </w:pPr>
      <w:r>
        <w:rPr>
          <w:rStyle w:val="FootnoteReference"/>
        </w:rPr>
        <w:footnoteRef/>
      </w:r>
      <w:r>
        <w:t xml:space="preserve"> 42 U.S.C. § 1437n(f)(1); 24 C.F.R. § 982.553(a)(1)(ii)(C). </w:t>
      </w:r>
      <w:r w:rsidRPr="28532AD7">
        <w:rPr>
          <w:i/>
          <w:iCs/>
        </w:rPr>
        <w:t>See e.g.,</w:t>
      </w:r>
      <w:r w:rsidRPr="5A8787CF">
        <w:rPr>
          <w:sz w:val="22"/>
          <w:szCs w:val="22"/>
        </w:rPr>
        <w:t xml:space="preserve"> </w:t>
      </w:r>
      <w:r w:rsidRPr="001805DC">
        <w:t xml:space="preserve">42 U.S.C. § 1437n(f)(1) (permanent prohibition from public housing for people convicted of manufacturing or otherwise producing methamphetamine); 24 C.F.R. § 982.553 (Denial of admission and termination of assistance for criminals and alcohol abusers, including a three-year prohibition from the date of eviction of any household member for drug-related criminal activity). Requiring housing authorities to deny admission to applicants whose household members have had an eviction for drug-related activity in the last three years is troubling, because different regulations give housing authorities wide latitude for eviction actions. </w:t>
      </w:r>
      <w:r w:rsidRPr="001805DC">
        <w:rPr>
          <w:i/>
          <w:iCs/>
        </w:rPr>
        <w:t>See</w:t>
      </w:r>
      <w:r w:rsidRPr="001805DC">
        <w:t xml:space="preserve"> 24 C.F.R. § 966.4(l)(5)(</w:t>
      </w:r>
      <w:proofErr w:type="spellStart"/>
      <w:r w:rsidRPr="001805DC">
        <w:t>i</w:t>
      </w:r>
      <w:proofErr w:type="spellEnd"/>
      <w:r w:rsidRPr="001805DC">
        <w:t>) (eviction allowed for “drug-related criminal activity engaged in on or off the premises by any tenant, member of the tenant's household or guest, and any such activity engaged in on the premises by any other person under the tenant's control”).</w:t>
      </w:r>
    </w:p>
    <w:p w14:paraId="0C26851B" w14:textId="08AA7674" w:rsidR="007C2E35" w:rsidRPr="00DA2B8E" w:rsidRDefault="007C2E35" w:rsidP="00BA229C">
      <w:pPr>
        <w:pStyle w:val="FootnoteText"/>
        <w:rPr>
          <w:color w:val="auto"/>
        </w:rPr>
      </w:pPr>
      <w:r w:rsidRPr="00DA2B8E">
        <w:rPr>
          <w:rStyle w:val="FootnoteReference"/>
          <w:color w:val="auto"/>
        </w:rPr>
        <w:footnoteRef/>
      </w:r>
      <w:r w:rsidRPr="00DA2B8E">
        <w:rPr>
          <w:color w:val="auto"/>
        </w:rPr>
        <w:t xml:space="preserve"> Federal Interagency Reentry Council, </w:t>
      </w:r>
      <w:r w:rsidRPr="00B30F24">
        <w:rPr>
          <w:i/>
          <w:color w:val="auto"/>
        </w:rPr>
        <w:t>A Record of Progress and Roadmap for the Future</w:t>
      </w:r>
      <w:r w:rsidRPr="00DA2B8E">
        <w:rPr>
          <w:color w:val="auto"/>
        </w:rPr>
        <w:t xml:space="preserve"> (Aug. 2016), </w:t>
      </w:r>
      <w:hyperlink r:id="rId1" w:history="1">
        <w:r w:rsidRPr="00DA2B8E">
          <w:rPr>
            <w:rStyle w:val="Hyperlink"/>
            <w:color w:val="auto"/>
            <w:u w:val="none"/>
          </w:rPr>
          <w:t>https://nicic.gov/federal-interagency-reentry-council-record-progress-and-roadmap-future-0</w:t>
        </w:r>
      </w:hyperlink>
      <w:r w:rsidRPr="00DA2B8E">
        <w:rPr>
          <w:color w:val="auto"/>
        </w:rPr>
        <w:t>; Adam Looney &amp; Nicholas Turner, Work and Opportunity Before and After Incarceration, Brookings Institution (Mar. 2018), https://www.brookings.edu/wp-content/uploads/2018/03/es_20180314_looneyincarceration_final.pdf</w:t>
      </w:r>
    </w:p>
  </w:footnote>
  <w:footnote w:id="33">
    <w:p w14:paraId="3CCD1B26" w14:textId="77777777" w:rsidR="007C2E35" w:rsidRPr="00DA2B8E" w:rsidRDefault="007C2E35" w:rsidP="00FA391F">
      <w:pPr>
        <w:pStyle w:val="FootnoteText"/>
        <w:rPr>
          <w:color w:val="auto"/>
        </w:rPr>
      </w:pPr>
      <w:r w:rsidRPr="00DA2B8E">
        <w:rPr>
          <w:rStyle w:val="FootnoteReference"/>
          <w:color w:val="auto"/>
        </w:rPr>
        <w:footnoteRef/>
      </w:r>
      <w:r w:rsidRPr="00DA2B8E">
        <w:rPr>
          <w:color w:val="auto"/>
        </w:rPr>
        <w:t xml:space="preserve"> 42 U.S.C § 13661(a). The statute does allow housing authorities to waive this ineligibility, but first, the evicted tenant must complete a rehabilitation program that has been approved by the housing authority. </w:t>
      </w:r>
    </w:p>
  </w:footnote>
  <w:footnote w:id="34">
    <w:p w14:paraId="637B4326" w14:textId="7BD43B37" w:rsidR="007C2E35" w:rsidRDefault="007C2E35" w:rsidP="00C90AD9">
      <w:pPr>
        <w:pStyle w:val="FootnoteText"/>
        <w:rPr>
          <w:rFonts w:ascii="Segoe UI" w:eastAsia="Segoe UI" w:hAnsi="Segoe UI" w:cs="Segoe UI"/>
          <w:color w:val="000000" w:themeColor="text1"/>
        </w:rPr>
      </w:pPr>
      <w:r w:rsidRPr="00DA2B8E">
        <w:rPr>
          <w:rStyle w:val="FootnoteReference"/>
          <w:color w:val="auto"/>
        </w:rPr>
        <w:footnoteRef/>
      </w:r>
      <w:r w:rsidRPr="00DA2B8E">
        <w:rPr>
          <w:color w:val="auto"/>
        </w:rPr>
        <w:t xml:space="preserve"> Federal Interagency Reentry Council, </w:t>
      </w:r>
      <w:r w:rsidRPr="00DA2B8E">
        <w:rPr>
          <w:i/>
          <w:color w:val="auto"/>
        </w:rPr>
        <w:t>A Record of Progress and Roadmap for the Future</w:t>
      </w:r>
      <w:r w:rsidRPr="00DA2B8E">
        <w:rPr>
          <w:color w:val="auto"/>
        </w:rPr>
        <w:t xml:space="preserve"> (Aug. 2016), </w:t>
      </w:r>
      <w:hyperlink r:id="rId2" w:history="1">
        <w:r w:rsidRPr="00DA2B8E">
          <w:rPr>
            <w:rStyle w:val="Hyperlink"/>
            <w:color w:val="auto"/>
            <w:u w:val="none"/>
          </w:rPr>
          <w:t>https://nicic.gov/federal-interagency-reentry-council-record-progress-and-roadmap-future-0</w:t>
        </w:r>
      </w:hyperlink>
      <w:r w:rsidRPr="00DA2B8E">
        <w:rPr>
          <w:color w:val="auto"/>
        </w:rPr>
        <w:t xml:space="preserve">; Adam Looney &amp; Nicholas Turner, </w:t>
      </w:r>
      <w:r w:rsidRPr="00837BAE">
        <w:rPr>
          <w:i/>
          <w:color w:val="auto"/>
        </w:rPr>
        <w:t>Work and Opportunity Before and After Incarceration</w:t>
      </w:r>
      <w:r w:rsidRPr="00DA2B8E">
        <w:rPr>
          <w:color w:val="auto"/>
        </w:rPr>
        <w:t>, Brookings Institution (Mar. 2018), https://www.brookings.edu/wp-content/uploads/2018/03/es_20180314_looneyincarceration_final.pdf</w:t>
      </w:r>
      <w:r w:rsidR="00F57454">
        <w:rPr>
          <w:color w:val="auto"/>
        </w:rPr>
        <w:t>.</w:t>
      </w:r>
    </w:p>
  </w:footnote>
  <w:footnote w:id="35">
    <w:p w14:paraId="28D23929" w14:textId="77777777" w:rsidR="007C2E35" w:rsidRDefault="007C2E35" w:rsidP="00144BF6">
      <w:pPr>
        <w:pStyle w:val="FootnoteText"/>
      </w:pPr>
      <w:r>
        <w:rPr>
          <w:rStyle w:val="FootnoteReference"/>
        </w:rPr>
        <w:footnoteRef/>
      </w:r>
      <w:r>
        <w:t xml:space="preserve"> 42 U.S.C. § 13661(c); 24 C.F.R. § 5.855 (allowing housing providers to deny admission to federally assisted housing for four categories of criminal activity that is ongoing or occurred prior to application)</w:t>
      </w:r>
    </w:p>
  </w:footnote>
  <w:footnote w:id="36">
    <w:p w14:paraId="23E79F48" w14:textId="77777777" w:rsidR="007C2E35" w:rsidRDefault="007C2E35" w:rsidP="00144BF6">
      <w:pPr>
        <w:pStyle w:val="FootnoteText"/>
      </w:pPr>
      <w:r w:rsidRPr="00BE4EC7">
        <w:rPr>
          <w:rStyle w:val="FootnoteReference"/>
        </w:rPr>
        <w:footnoteRef/>
      </w:r>
      <w:r w:rsidRPr="00BE4EC7">
        <w:t xml:space="preserve"> </w:t>
      </w:r>
      <w:r>
        <w:t xml:space="preserve">Marie Claire Tran-Leung, Sargent Shriver </w:t>
      </w:r>
      <w:proofErr w:type="spellStart"/>
      <w:r>
        <w:t>Nat’l</w:t>
      </w:r>
      <w:proofErr w:type="spellEnd"/>
      <w:r>
        <w:t xml:space="preserve"> Center on Poverty Law, </w:t>
      </w:r>
      <w:r w:rsidRPr="00BE4EC7">
        <w:rPr>
          <w:i/>
          <w:iCs/>
        </w:rPr>
        <w:t>When Discretion Means Denial</w:t>
      </w:r>
      <w:r>
        <w:rPr>
          <w:i/>
          <w:iCs/>
        </w:rPr>
        <w:t>: A National Perspective on Criminal Records Barriers to Federally Subsidized Housing</w:t>
      </w:r>
      <w:r>
        <w:t xml:space="preserve"> 9 (2015), </w:t>
      </w:r>
      <w:r w:rsidRPr="005F0AA0">
        <w:t>https://www.povertylaw.org/article/when-discretion-means-denial</w:t>
      </w:r>
      <w:r>
        <w:t>.</w:t>
      </w:r>
    </w:p>
  </w:footnote>
  <w:footnote w:id="37">
    <w:p w14:paraId="3AF0F17B" w14:textId="23893039" w:rsidR="007C2E35" w:rsidRDefault="007C2E35" w:rsidP="005F3904">
      <w:pPr>
        <w:pStyle w:val="FootnoteText"/>
      </w:pPr>
      <w:r>
        <w:rPr>
          <w:rStyle w:val="FootnoteReference"/>
        </w:rPr>
        <w:footnoteRef/>
      </w:r>
      <w:r>
        <w:t xml:space="preserve"> Human Rights Watch, </w:t>
      </w:r>
      <w:r w:rsidRPr="00F36A75">
        <w:rPr>
          <w:i/>
        </w:rPr>
        <w:t>No Second Chance: People with Criminal Records Denied Access to Public Housing</w:t>
      </w:r>
      <w:r>
        <w:t xml:space="preserve"> (2004)</w:t>
      </w:r>
      <w:r w:rsidR="00F36A75">
        <w:t>,</w:t>
      </w:r>
      <w:r>
        <w:t xml:space="preserve"> 46. </w:t>
      </w:r>
    </w:p>
  </w:footnote>
  <w:footnote w:id="38">
    <w:p w14:paraId="087B8C8E" w14:textId="77777777" w:rsidR="007C2E35" w:rsidRDefault="007C2E35" w:rsidP="00FF1946">
      <w:pPr>
        <w:pStyle w:val="FootnoteText"/>
        <w:rPr>
          <w:color w:val="000000" w:themeColor="text1"/>
        </w:rPr>
      </w:pPr>
      <w:r w:rsidRPr="5A8787CF">
        <w:rPr>
          <w:rStyle w:val="FootnoteReference"/>
          <w:color w:val="000000" w:themeColor="text1"/>
        </w:rPr>
        <w:footnoteRef/>
      </w:r>
      <w:r w:rsidRPr="5A8787CF">
        <w:rPr>
          <w:color w:val="000000" w:themeColor="text1"/>
        </w:rPr>
        <w:t xml:space="preserve"> 24 C.F.R. § 982.553(c) </w:t>
      </w:r>
      <w:r w:rsidRPr="0077690D">
        <w:t>(“The PHA</w:t>
      </w:r>
      <w:r w:rsidRPr="5A8787CF">
        <w:rPr>
          <w:color w:val="000000" w:themeColor="text1"/>
        </w:rPr>
        <w:t xml:space="preserve"> may terminate assistance for criminal activity by a household member as authorized in this section if the PHA determines, based on a preponderance of the evidence, that the household member has engaged in the activity, regardless of whether the household member has been arrested or convicted for such activity.”)</w:t>
      </w:r>
    </w:p>
  </w:footnote>
  <w:footnote w:id="39">
    <w:p w14:paraId="06CBD1E5" w14:textId="77777777" w:rsidR="007C2E35" w:rsidRDefault="007C2E35" w:rsidP="00FF1946">
      <w:pPr>
        <w:pStyle w:val="FootnoteText"/>
      </w:pPr>
      <w:r>
        <w:rPr>
          <w:rStyle w:val="FootnoteReference"/>
        </w:rPr>
        <w:footnoteRef/>
      </w:r>
      <w:r>
        <w:t xml:space="preserve"> </w:t>
      </w:r>
      <w:r w:rsidRPr="008F4D43">
        <w:rPr>
          <w:i/>
          <w:iCs/>
        </w:rPr>
        <w:t>Department of Housing and Urban Development v. Rucker</w:t>
      </w:r>
      <w:r>
        <w:t>, 535 U.S. 125 (2002) included in its holding that a set of grandparents were rightfully evicted after their grandsons were charged with smoking marijuana in a parking lot near their apartment, a tenant was rightfully evicted after police found cocaine on his caregiver, and a father was rightfully evicted because his daughter was arrested, a few blocks from home, for possession of cocaine. Michelle Alexander, The New Jim Crow, 183-84 (2020).</w:t>
      </w:r>
    </w:p>
  </w:footnote>
  <w:footnote w:id="40">
    <w:p w14:paraId="543FFB68" w14:textId="501E6D3B" w:rsidR="007C2E35" w:rsidRDefault="007C2E35" w:rsidP="00FF1946">
      <w:pPr>
        <w:pStyle w:val="FootnoteText"/>
      </w:pPr>
      <w:r>
        <w:rPr>
          <w:rStyle w:val="FootnoteReference"/>
        </w:rPr>
        <w:footnoteRef/>
      </w:r>
      <w:r>
        <w:t xml:space="preserve"> 42 U.S.C. § 13661(c) (screening of applicants for federally assisted housing). Private landlords can usually implement their own screening procedures, and nine out of ten use criminal background checks, some of which are supplied by companies that are unregulated and not required to register with a government agency. </w:t>
      </w:r>
      <w:proofErr w:type="spellStart"/>
      <w:r>
        <w:t>Jaboa</w:t>
      </w:r>
      <w:proofErr w:type="spellEnd"/>
      <w:r>
        <w:t xml:space="preserve"> Lake, </w:t>
      </w:r>
      <w:r w:rsidRPr="047855E2">
        <w:rPr>
          <w:i/>
        </w:rPr>
        <w:t xml:space="preserve">Preventing and Removing Barriers to Housing Security for People </w:t>
      </w:r>
      <w:r w:rsidRPr="047855E2">
        <w:rPr>
          <w:i/>
          <w:iCs/>
        </w:rPr>
        <w:t>with</w:t>
      </w:r>
      <w:r w:rsidRPr="047855E2">
        <w:rPr>
          <w:i/>
        </w:rPr>
        <w:t xml:space="preserve"> Criminal Convictions</w:t>
      </w:r>
      <w:r>
        <w:t>, Center for American Progress (Apr. 2021), https://www.americanprogress.org/article/preventing-removing-barriers-housing-security-people-criminal-convictions.</w:t>
      </w:r>
    </w:p>
  </w:footnote>
  <w:footnote w:id="41">
    <w:p w14:paraId="3FDDEDC6" w14:textId="77777777" w:rsidR="007C2E35" w:rsidRDefault="007C2E35" w:rsidP="00FF1946">
      <w:pPr>
        <w:pStyle w:val="FootnoteText"/>
      </w:pPr>
      <w:r>
        <w:rPr>
          <w:rStyle w:val="FootnoteReference"/>
        </w:rPr>
        <w:footnoteRef/>
      </w:r>
      <w:r>
        <w:t xml:space="preserve"> President Bill Clinton, State of the Union Address, January 23, 1996.</w:t>
      </w:r>
    </w:p>
  </w:footnote>
  <w:footnote w:id="42">
    <w:p w14:paraId="3FF78D50" w14:textId="3C06FA8B" w:rsidR="007C2E35" w:rsidRDefault="007C2E35" w:rsidP="00FF1946">
      <w:pPr>
        <w:pStyle w:val="FootnoteText"/>
      </w:pPr>
      <w:r>
        <w:rPr>
          <w:rStyle w:val="FootnoteReference"/>
        </w:rPr>
        <w:footnoteRef/>
      </w:r>
      <w:r>
        <w:t xml:space="preserve"> </w:t>
      </w:r>
      <w:r w:rsidRPr="00B27E82">
        <w:t xml:space="preserve">U.S. </w:t>
      </w:r>
      <w:proofErr w:type="spellStart"/>
      <w:r w:rsidRPr="00B27E82">
        <w:t>Dep’t</w:t>
      </w:r>
      <w:proofErr w:type="spellEnd"/>
      <w:r w:rsidRPr="00B27E82">
        <w:t xml:space="preserve"> of </w:t>
      </w:r>
      <w:proofErr w:type="spellStart"/>
      <w:r w:rsidRPr="00B27E82">
        <w:t>Hous</w:t>
      </w:r>
      <w:proofErr w:type="spellEnd"/>
      <w:r>
        <w:t>.</w:t>
      </w:r>
      <w:r w:rsidRPr="00B27E82">
        <w:t xml:space="preserve"> </w:t>
      </w:r>
      <w:r>
        <w:t>&amp;</w:t>
      </w:r>
      <w:r w:rsidRPr="00B27E82">
        <w:t xml:space="preserve"> Urban Dev</w:t>
      </w:r>
      <w:r>
        <w:t>.</w:t>
      </w:r>
      <w:r w:rsidRPr="00B27E82">
        <w:t xml:space="preserve">, “One Strike and </w:t>
      </w:r>
      <w:r>
        <w:t>Y</w:t>
      </w:r>
      <w:r w:rsidRPr="00B27E82">
        <w:t>ou’re Out” Policy in Public Housing 3 (1996), reprinted in Office of Pub</w:t>
      </w:r>
      <w:r>
        <w:t>.</w:t>
      </w:r>
      <w:r w:rsidRPr="00B27E82">
        <w:t xml:space="preserve"> and Indian </w:t>
      </w:r>
      <w:proofErr w:type="spellStart"/>
      <w:r w:rsidRPr="00B27E82">
        <w:t>Hou</w:t>
      </w:r>
      <w:r>
        <w:t>s</w:t>
      </w:r>
      <w:proofErr w:type="spellEnd"/>
      <w:r>
        <w:t>.</w:t>
      </w:r>
      <w:r w:rsidRPr="00B27E82">
        <w:t xml:space="preserve">, U.S. </w:t>
      </w:r>
      <w:proofErr w:type="spellStart"/>
      <w:r w:rsidRPr="00B27E82">
        <w:t>Depa</w:t>
      </w:r>
      <w:r>
        <w:t>’</w:t>
      </w:r>
      <w:r w:rsidRPr="00B27E82">
        <w:t>t</w:t>
      </w:r>
      <w:proofErr w:type="spellEnd"/>
      <w:r w:rsidRPr="00B27E82">
        <w:t xml:space="preserve"> of </w:t>
      </w:r>
      <w:proofErr w:type="spellStart"/>
      <w:r w:rsidRPr="00B27E82">
        <w:t>Hous</w:t>
      </w:r>
      <w:proofErr w:type="spellEnd"/>
      <w:r>
        <w:t>.</w:t>
      </w:r>
      <w:r w:rsidRPr="00B27E82">
        <w:t xml:space="preserve"> and Urban Dev</w:t>
      </w:r>
      <w:r>
        <w:t>.,</w:t>
      </w:r>
      <w:r w:rsidRPr="00B27E82">
        <w:t xml:space="preserve"> </w:t>
      </w:r>
      <w:r>
        <w:t>N</w:t>
      </w:r>
      <w:r w:rsidRPr="00B27E82">
        <w:t>otice</w:t>
      </w:r>
      <w:r>
        <w:t xml:space="preserve"> </w:t>
      </w:r>
      <w:r w:rsidRPr="00B27E82">
        <w:t>PIH 96-16 (HA) “One Strike and You’re Out</w:t>
      </w:r>
      <w:r>
        <w:t>”</w:t>
      </w:r>
      <w:r w:rsidRPr="00B27E82">
        <w:t xml:space="preserve"> Screening and Eviction Guidelines for Public Housing Authorities</w:t>
      </w:r>
      <w:r>
        <w:t xml:space="preserve"> (HAs)</w:t>
      </w:r>
      <w:r w:rsidRPr="00B27E82">
        <w:t xml:space="preserve"> </w:t>
      </w:r>
      <w:r>
        <w:t>(</w:t>
      </w:r>
      <w:r w:rsidRPr="00B27E82">
        <w:t>1996</w:t>
      </w:r>
      <w:r>
        <w:t>).</w:t>
      </w:r>
    </w:p>
  </w:footnote>
  <w:footnote w:id="43">
    <w:p w14:paraId="16F4FB60" w14:textId="77777777" w:rsidR="007C2E35" w:rsidRDefault="007C2E35" w:rsidP="00FF1946">
      <w:pPr>
        <w:pStyle w:val="FootnoteText"/>
        <w:rPr>
          <w:color w:val="000000" w:themeColor="text1"/>
        </w:rPr>
      </w:pPr>
      <w:r w:rsidRPr="67042842">
        <w:rPr>
          <w:rStyle w:val="FootnoteReference"/>
          <w:color w:val="000000" w:themeColor="text1"/>
        </w:rPr>
        <w:footnoteRef/>
      </w:r>
      <w:r w:rsidRPr="67042842">
        <w:rPr>
          <w:color w:val="000000" w:themeColor="text1"/>
        </w:rPr>
        <w:t xml:space="preserve"> Minn. Stat. § 504B.321.</w:t>
      </w:r>
    </w:p>
  </w:footnote>
  <w:footnote w:id="44">
    <w:p w14:paraId="796E7E9E" w14:textId="77777777" w:rsidR="008E5358" w:rsidRDefault="008E5358" w:rsidP="008E5358">
      <w:pPr>
        <w:pStyle w:val="FootnoteText"/>
      </w:pPr>
      <w:r>
        <w:rPr>
          <w:rStyle w:val="FootnoteReference"/>
        </w:rPr>
        <w:footnoteRef/>
      </w:r>
      <w:r>
        <w:t xml:space="preserve"> </w:t>
      </w:r>
      <w:r w:rsidRPr="00EB61E8">
        <w:t>Committee on the Elimination of Racial Discrimination</w:t>
      </w:r>
      <w:r w:rsidRPr="00EB61E8">
        <w:rPr>
          <w:i/>
          <w:iCs/>
        </w:rPr>
        <w:t>,</w:t>
      </w:r>
      <w:r w:rsidRPr="00EB61E8">
        <w:t xml:space="preserve"> </w:t>
      </w:r>
      <w:proofErr w:type="gramStart"/>
      <w:r w:rsidRPr="00EB61E8">
        <w:rPr>
          <w:i/>
        </w:rPr>
        <w:t>Combined</w:t>
      </w:r>
      <w:proofErr w:type="gramEnd"/>
      <w:r w:rsidRPr="00EB61E8">
        <w:rPr>
          <w:i/>
        </w:rPr>
        <w:t xml:space="preserve"> tenth to twelfth periodic reports submitted by the United States of America under article 9 of the Convention</w:t>
      </w:r>
      <w:r w:rsidRPr="00EB61E8">
        <w:t>,</w:t>
      </w:r>
      <w:r w:rsidRPr="00EB61E8">
        <w:rPr>
          <w:i/>
        </w:rPr>
        <w:t xml:space="preserve"> due in 2017,</w:t>
      </w:r>
      <w:r w:rsidRPr="00EB61E8">
        <w:t xml:space="preserve"> (2 June 2021), U.N. Doc. CERD/C/USA/10-12, ¶ </w:t>
      </w:r>
      <w:r>
        <w:t>52</w:t>
      </w:r>
      <w:r w:rsidRPr="00EB61E8">
        <w:t>.</w:t>
      </w:r>
    </w:p>
  </w:footnote>
  <w:footnote w:id="45">
    <w:p w14:paraId="21F73E35" w14:textId="77777777" w:rsidR="007C2E35" w:rsidRPr="00D67F2A" w:rsidRDefault="007C2E35" w:rsidP="00FF1946">
      <w:pPr>
        <w:pStyle w:val="FootnoteText"/>
      </w:pPr>
      <w:r>
        <w:rPr>
          <w:rStyle w:val="FootnoteReference"/>
        </w:rPr>
        <w:footnoteRef/>
      </w:r>
      <w:r>
        <w:t xml:space="preserve"> Consumer Financial Protection Bureau, </w:t>
      </w:r>
      <w:r>
        <w:rPr>
          <w:i/>
          <w:iCs/>
        </w:rPr>
        <w:t xml:space="preserve">Justice-Involved </w:t>
      </w:r>
      <w:proofErr w:type="gramStart"/>
      <w:r>
        <w:rPr>
          <w:i/>
          <w:iCs/>
        </w:rPr>
        <w:t>Individuals</w:t>
      </w:r>
      <w:proofErr w:type="gramEnd"/>
      <w:r>
        <w:rPr>
          <w:i/>
          <w:iCs/>
        </w:rPr>
        <w:t xml:space="preserve"> and the Consumer Financial Marketplace</w:t>
      </w:r>
      <w:r>
        <w:t xml:space="preserve"> at 30 (Jan. 2022).</w:t>
      </w:r>
    </w:p>
  </w:footnote>
  <w:footnote w:id="46">
    <w:p w14:paraId="0FF5EE00" w14:textId="647614BA" w:rsidR="7190EF52" w:rsidRPr="00B23CC2" w:rsidRDefault="7190EF52" w:rsidP="005C07EA">
      <w:pPr>
        <w:pStyle w:val="FootnoteText"/>
      </w:pPr>
      <w:r w:rsidRPr="7190EF52">
        <w:rPr>
          <w:rStyle w:val="FootnoteReference"/>
          <w:color w:val="000000" w:themeColor="text1"/>
        </w:rPr>
        <w:footnoteRef/>
      </w:r>
      <w:r w:rsidRPr="7190EF52">
        <w:rPr>
          <w:color w:val="000000" w:themeColor="text1"/>
        </w:rPr>
        <w:t xml:space="preserve"> </w:t>
      </w:r>
      <w:r w:rsidR="001446B9">
        <w:t xml:space="preserve">Consumer Financial Protection Bureau, </w:t>
      </w:r>
      <w:r w:rsidR="001446B9">
        <w:rPr>
          <w:i/>
          <w:iCs/>
        </w:rPr>
        <w:t xml:space="preserve">Justice-Involved </w:t>
      </w:r>
      <w:proofErr w:type="gramStart"/>
      <w:r w:rsidR="001446B9">
        <w:rPr>
          <w:i/>
          <w:iCs/>
        </w:rPr>
        <w:t>Individuals</w:t>
      </w:r>
      <w:proofErr w:type="gramEnd"/>
      <w:r w:rsidR="001446B9">
        <w:rPr>
          <w:i/>
          <w:iCs/>
        </w:rPr>
        <w:t xml:space="preserve"> and the Consumer Financial Marketplace</w:t>
      </w:r>
      <w:r w:rsidR="001446B9">
        <w:t xml:space="preserve"> at 3</w:t>
      </w:r>
      <w:r w:rsidR="00B23CC2">
        <w:t>2</w:t>
      </w:r>
      <w:r w:rsidR="001446B9">
        <w:t xml:space="preserve"> (Jan. 2022)</w:t>
      </w:r>
      <w:r w:rsidR="00D86108">
        <w:rPr>
          <w:color w:val="000000" w:themeColor="text1"/>
        </w:rPr>
        <w:t xml:space="preserve">. </w:t>
      </w:r>
      <w:r w:rsidR="00D86108" w:rsidRPr="00D86108">
        <w:rPr>
          <w:color w:val="000000" w:themeColor="text1"/>
        </w:rPr>
        <w:t>"For tenant screening, a landlord needs to inform the prospective tenant that there was an adverse action, advise them of their dispute rights, and share the name and contact information of the consumer reporting company used so that the prospective tenant can request a report from that company; the landlord need not provide a copy of the report itself."</w:t>
      </w:r>
    </w:p>
  </w:footnote>
  <w:footnote w:id="47">
    <w:p w14:paraId="1A1E1ACB" w14:textId="77777777" w:rsidR="007C2E35" w:rsidRDefault="007C2E35" w:rsidP="00696DE7">
      <w:pPr>
        <w:pStyle w:val="FootnoteText"/>
      </w:pPr>
      <w:r>
        <w:rPr>
          <w:rStyle w:val="FootnoteReference"/>
        </w:rPr>
        <w:footnoteRef/>
      </w:r>
      <w:r>
        <w:t xml:space="preserve"> </w:t>
      </w:r>
      <w:r w:rsidRPr="00EB61E8">
        <w:t>Committee on the Elimination of Racial Discrimination</w:t>
      </w:r>
      <w:r w:rsidRPr="00EB61E8">
        <w:rPr>
          <w:i/>
          <w:iCs/>
        </w:rPr>
        <w:t xml:space="preserve">, </w:t>
      </w:r>
      <w:proofErr w:type="gramStart"/>
      <w:r w:rsidRPr="00EB61E8">
        <w:rPr>
          <w:i/>
          <w:iCs/>
        </w:rPr>
        <w:t>Concluding</w:t>
      </w:r>
      <w:proofErr w:type="gramEnd"/>
      <w:r w:rsidRPr="00EB61E8">
        <w:rPr>
          <w:i/>
          <w:iCs/>
        </w:rPr>
        <w:t xml:space="preserve"> observations on the combined seventh to ninth periodic reports of the United States of American, adopted by the Committee at its 2317th session</w:t>
      </w:r>
      <w:r w:rsidRPr="00EB61E8">
        <w:t xml:space="preserve"> (26 August 2014), U.N. Doc CERD/C/USA/CO/7-9, ⁋ </w:t>
      </w:r>
      <w:r>
        <w:t>20</w:t>
      </w:r>
      <w:r w:rsidRPr="00EB61E8">
        <w:t>.</w:t>
      </w:r>
    </w:p>
  </w:footnote>
  <w:footnote w:id="48">
    <w:p w14:paraId="74CB00FD" w14:textId="25434865" w:rsidR="007C2E35" w:rsidRDefault="007C2E35">
      <w:pPr>
        <w:pStyle w:val="FootnoteText"/>
      </w:pPr>
      <w:r>
        <w:rPr>
          <w:rStyle w:val="FootnoteReference"/>
        </w:rPr>
        <w:footnoteRef/>
      </w:r>
      <w:r>
        <w:t xml:space="preserve"> </w:t>
      </w:r>
      <w:r w:rsidRPr="00EB61E8">
        <w:t>Committee on the Elimination of Racial Discrimination</w:t>
      </w:r>
      <w:r w:rsidR="006B124E" w:rsidRPr="00EB61E8">
        <w:rPr>
          <w:i/>
          <w:iCs/>
        </w:rPr>
        <w:t>,</w:t>
      </w:r>
      <w:r w:rsidRPr="00EB61E8">
        <w:t xml:space="preserve"> </w:t>
      </w:r>
      <w:proofErr w:type="gramStart"/>
      <w:r w:rsidRPr="00EB61E8">
        <w:rPr>
          <w:i/>
        </w:rPr>
        <w:t>Combined</w:t>
      </w:r>
      <w:proofErr w:type="gramEnd"/>
      <w:r w:rsidRPr="00EB61E8">
        <w:rPr>
          <w:i/>
        </w:rPr>
        <w:t xml:space="preserve"> tenth to twelfth periodic reports submitted by the United States of America under article 9 of the Convention</w:t>
      </w:r>
      <w:r w:rsidRPr="00EB61E8">
        <w:t>,</w:t>
      </w:r>
      <w:r w:rsidRPr="00EB61E8">
        <w:rPr>
          <w:i/>
        </w:rPr>
        <w:t xml:space="preserve"> due in 2017,</w:t>
      </w:r>
      <w:r w:rsidRPr="00EB61E8">
        <w:t xml:space="preserve"> (2 June 2021), U.N. Doc. CERD/C/USA/10-12, ¶ </w:t>
      </w:r>
      <w:r>
        <w:t>114.</w:t>
      </w:r>
    </w:p>
  </w:footnote>
  <w:footnote w:id="49">
    <w:p w14:paraId="3810BD46" w14:textId="3718AA31" w:rsidR="007C2E35" w:rsidRDefault="007C2E35" w:rsidP="00892EBA">
      <w:pPr>
        <w:pStyle w:val="FootnoteText"/>
      </w:pPr>
      <w:r>
        <w:rPr>
          <w:rStyle w:val="FootnoteReference"/>
        </w:rPr>
        <w:footnoteRef/>
      </w:r>
      <w:r w:rsidR="006D4551">
        <w:t xml:space="preserve"> </w:t>
      </w:r>
      <w:proofErr w:type="spellStart"/>
      <w:r w:rsidRPr="00187CE8">
        <w:t>Nazgol</w:t>
      </w:r>
      <w:proofErr w:type="spellEnd"/>
      <w:r w:rsidRPr="00187CE8">
        <w:t xml:space="preserve"> </w:t>
      </w:r>
      <w:proofErr w:type="spellStart"/>
      <w:r w:rsidRPr="00187CE8">
        <w:t>Ghandnoosh</w:t>
      </w:r>
      <w:proofErr w:type="spellEnd"/>
      <w:r>
        <w:t xml:space="preserve">, </w:t>
      </w:r>
      <w:r w:rsidRPr="009A5BDF">
        <w:rPr>
          <w:i/>
          <w:iCs/>
        </w:rPr>
        <w:t>Black Lives Matter: Eliminating Racial Inequity in the Criminal Justice System</w:t>
      </w:r>
      <w:r w:rsidRPr="6617F073">
        <w:rPr>
          <w:i/>
          <w:iCs/>
        </w:rPr>
        <w:t>,</w:t>
      </w:r>
      <w:r>
        <w:t xml:space="preserve"> </w:t>
      </w:r>
      <w:r w:rsidRPr="009A5BDF">
        <w:rPr>
          <w:smallCaps/>
        </w:rPr>
        <w:t>Sentencing Project</w:t>
      </w:r>
      <w:r>
        <w:t xml:space="preserve"> 10-12, 15-18 (2015) </w:t>
      </w:r>
      <w:r w:rsidRPr="009A5BDF">
        <w:t>https://www.sentencingproject.org/publications/black-lives-matter-eliminating-racial-inequity-in-the-criminal-justice-system/</w:t>
      </w:r>
      <w:r>
        <w:t>.</w:t>
      </w:r>
    </w:p>
  </w:footnote>
  <w:footnote w:id="50">
    <w:p w14:paraId="05D92215" w14:textId="66D800E4" w:rsidR="007C2E35" w:rsidRDefault="007C2E35" w:rsidP="001A4ED7">
      <w:pPr>
        <w:pStyle w:val="FootnoteText"/>
      </w:pPr>
      <w:r>
        <w:rPr>
          <w:rStyle w:val="FootnoteReference"/>
        </w:rPr>
        <w:footnoteRef/>
      </w:r>
      <w:r>
        <w:t xml:space="preserve"> The Sentencing Project, “Report of The Sentencing Project to the United Nations Special Rapporteur on Contemporary Forms of Racism, Racial Discrimination, Xenophobia, and Related Intolerance” (Mar. 2018), </w:t>
      </w:r>
      <w:r w:rsidRPr="008140D0">
        <w:t>https://www.sentencingproject.org/publications/un-report-on-racial-disparities/</w:t>
      </w:r>
      <w:r w:rsidR="006311A0">
        <w:t>.</w:t>
      </w:r>
    </w:p>
  </w:footnote>
  <w:footnote w:id="51">
    <w:p w14:paraId="7AB1219E" w14:textId="1EF2E215" w:rsidR="5CD9E78D" w:rsidRDefault="5CD9E78D" w:rsidP="004D6454">
      <w:pPr>
        <w:pStyle w:val="FootnoteText"/>
        <w:rPr>
          <w:color w:val="000000" w:themeColor="text1"/>
        </w:rPr>
      </w:pPr>
      <w:r w:rsidRPr="5CD9E78D">
        <w:rPr>
          <w:rStyle w:val="FootnoteReference"/>
          <w:color w:val="000000" w:themeColor="text1"/>
        </w:rPr>
        <w:footnoteRef/>
      </w:r>
      <w:r w:rsidRPr="5CD9E78D">
        <w:rPr>
          <w:color w:val="000000" w:themeColor="text1"/>
        </w:rPr>
        <w:t xml:space="preserve"> </w:t>
      </w:r>
      <w:r w:rsidR="006311A0">
        <w:t xml:space="preserve">The Sentencing Project, “Report of The Sentencing Project to the United Nations Special Rapporteur on Contemporary Forms of Racism, Racial Discrimination, Xenophobia, and Related Intolerance” (Mar. 2018), </w:t>
      </w:r>
      <w:r w:rsidR="006311A0" w:rsidRPr="008140D0">
        <w:t>https://www.sentencingproject.org/publications/un-report-on-racial-disparities/</w:t>
      </w:r>
      <w:r w:rsidR="006311A0">
        <w:t>.</w:t>
      </w:r>
    </w:p>
  </w:footnote>
  <w:footnote w:id="52">
    <w:p w14:paraId="75FD2397" w14:textId="77777777" w:rsidR="007C2E35" w:rsidRDefault="007C2E35" w:rsidP="001A4ED7">
      <w:pPr>
        <w:pStyle w:val="FootnoteText"/>
      </w:pPr>
      <w:r>
        <w:rPr>
          <w:rStyle w:val="FootnoteReference"/>
        </w:rPr>
        <w:footnoteRef/>
      </w:r>
      <w:r>
        <w:t xml:space="preserve"> The Sentencing Project, “Report of The Sentencing Project to the United Nations Special Rapporteur on Contemporary Forms of Racism, Racial Discrimination, Xenophobia, and Related Intolerance” (Mar. 2018), </w:t>
      </w:r>
      <w:r w:rsidRPr="008140D0">
        <w:t>https://www.sentencingproject.org/publications/un-report-on-racial-disparities/</w:t>
      </w:r>
    </w:p>
  </w:footnote>
  <w:footnote w:id="53">
    <w:p w14:paraId="2268B6B2" w14:textId="77777777" w:rsidR="006311A0" w:rsidRPr="009F0AB2" w:rsidRDefault="007C2E35" w:rsidP="006311A0">
      <w:pPr>
        <w:pStyle w:val="FootnoteText"/>
      </w:pPr>
      <w:r w:rsidRPr="6617F073">
        <w:rPr>
          <w:rStyle w:val="FootnoteReference"/>
          <w:color w:val="000000" w:themeColor="text1"/>
        </w:rPr>
        <w:footnoteRef/>
      </w:r>
      <w:r w:rsidRPr="6617F073">
        <w:rPr>
          <w:color w:val="000000" w:themeColor="text1"/>
        </w:rPr>
        <w:t xml:space="preserve"> </w:t>
      </w:r>
      <w:r w:rsidR="006311A0">
        <w:t xml:space="preserve">The Sentencing Project, "State-by-State Data," accessed May 12, 2022, </w:t>
      </w:r>
      <w:r w:rsidR="006311A0" w:rsidRPr="009F0AB2">
        <w:t xml:space="preserve">https://www.sentencingproject.org/the-facts/#detail?state1Option=U.S.%20Total&amp;state2Option=Minnesota </w:t>
      </w:r>
    </w:p>
    <w:p w14:paraId="6591FCC7" w14:textId="65F80B48" w:rsidR="007C2E35" w:rsidRPr="006311A0" w:rsidRDefault="006311A0" w:rsidP="006311A0">
      <w:pPr>
        <w:pStyle w:val="FootnoteText"/>
        <w:rPr>
          <w:color w:val="000000" w:themeColor="text1"/>
          <w:highlight w:val="yellow"/>
        </w:rPr>
      </w:pPr>
      <w:r w:rsidRPr="009F0AB2">
        <w:rPr>
          <w:color w:val="000000" w:themeColor="text1"/>
        </w:rPr>
        <w:t xml:space="preserve"> “Racial/Ethnic Disparity in Imprisonment (2019)”</w:t>
      </w:r>
      <w:r>
        <w:rPr>
          <w:color w:val="000000" w:themeColor="text1"/>
        </w:rPr>
        <w:t>.</w:t>
      </w:r>
    </w:p>
  </w:footnote>
  <w:footnote w:id="54">
    <w:p w14:paraId="11DA48C2" w14:textId="77777777" w:rsidR="007C2E35" w:rsidRPr="0038730A" w:rsidRDefault="007C2E35" w:rsidP="00AD31A3">
      <w:pPr>
        <w:pStyle w:val="FootnoteText"/>
        <w:rPr>
          <w:b/>
          <w:bCs/>
        </w:rPr>
      </w:pPr>
      <w:r>
        <w:rPr>
          <w:rStyle w:val="FootnoteReference"/>
        </w:rPr>
        <w:footnoteRef/>
      </w:r>
      <w:r>
        <w:t xml:space="preserve"> Ashley </w:t>
      </w:r>
      <w:proofErr w:type="spellStart"/>
      <w:r>
        <w:t>Nellis</w:t>
      </w:r>
      <w:proofErr w:type="spellEnd"/>
      <w:r>
        <w:t xml:space="preserve">, </w:t>
      </w:r>
      <w:r w:rsidRPr="0038730A">
        <w:rPr>
          <w:i/>
          <w:iCs/>
        </w:rPr>
        <w:t>The Color of Justice: Racial and Ethnic Disparity in State Prisons</w:t>
      </w:r>
      <w:r w:rsidRPr="0038730A">
        <w:t xml:space="preserve">, </w:t>
      </w:r>
      <w:r w:rsidRPr="0038730A">
        <w:rPr>
          <w:smallCaps/>
        </w:rPr>
        <w:t>Sentencing Project</w:t>
      </w:r>
      <w:r>
        <w:t xml:space="preserve"> 6,9 (2021) </w:t>
      </w:r>
      <w:r w:rsidRPr="00E93EB8">
        <w:t>https://www.sentencingproject.org/wp-content/uploads/2016/06/The-Color-of-Justice-Racial-and-Ethnic-Disparity-in-State-Prisons.pdf</w:t>
      </w:r>
      <w:r>
        <w:t xml:space="preserve"> </w:t>
      </w:r>
    </w:p>
  </w:footnote>
  <w:footnote w:id="55">
    <w:p w14:paraId="2C9B5907" w14:textId="5C73B4EC" w:rsidR="007C2E35" w:rsidRPr="009F0AB2" w:rsidRDefault="007C2E35" w:rsidP="001A4ED7">
      <w:pPr>
        <w:pStyle w:val="FootnoteText"/>
      </w:pPr>
      <w:r w:rsidRPr="009F0AB2">
        <w:rPr>
          <w:rStyle w:val="FootnoteReference"/>
        </w:rPr>
        <w:footnoteRef/>
      </w:r>
      <w:r w:rsidRPr="009F0AB2">
        <w:t xml:space="preserve"> </w:t>
      </w:r>
      <w:r w:rsidR="00783A8B">
        <w:t xml:space="preserve">The Sentencing Project, "State-by-State Data," </w:t>
      </w:r>
      <w:r w:rsidR="00134959">
        <w:t xml:space="preserve">accessed May </w:t>
      </w:r>
      <w:r w:rsidR="006311A0">
        <w:t xml:space="preserve">12, 2022, </w:t>
      </w:r>
      <w:r w:rsidRPr="009F0AB2">
        <w:t xml:space="preserve">https://www.sentencingproject.org/the-facts/#detail?state1Option=U.S.%20Total&amp;state2Option=Minnesota </w:t>
      </w:r>
    </w:p>
    <w:p w14:paraId="5EB3293F" w14:textId="5DF09966" w:rsidR="007C2E35" w:rsidRDefault="007C2E35" w:rsidP="001A4ED7">
      <w:pPr>
        <w:pStyle w:val="FootnoteText"/>
        <w:rPr>
          <w:color w:val="000000" w:themeColor="text1"/>
          <w:highlight w:val="yellow"/>
        </w:rPr>
      </w:pPr>
      <w:r w:rsidRPr="009F0AB2">
        <w:rPr>
          <w:color w:val="000000" w:themeColor="text1"/>
        </w:rPr>
        <w:t xml:space="preserve"> “Racial/Ethnic Disparity in Imprisonment (2019)”</w:t>
      </w:r>
      <w:r w:rsidR="006311A0">
        <w:rPr>
          <w:color w:val="000000" w:themeColor="text1"/>
        </w:rPr>
        <w:t>.</w:t>
      </w:r>
    </w:p>
  </w:footnote>
  <w:footnote w:id="56">
    <w:p w14:paraId="59956E5C" w14:textId="77777777" w:rsidR="007C2E35" w:rsidRDefault="007C2E35" w:rsidP="0016754B">
      <w:pPr>
        <w:pStyle w:val="FootnoteText"/>
        <w:rPr>
          <w:color w:val="000000" w:themeColor="text1"/>
        </w:rPr>
      </w:pPr>
      <w:r>
        <w:rPr>
          <w:rStyle w:val="FootnoteReference"/>
        </w:rPr>
        <w:footnoteRef/>
      </w:r>
      <w:r>
        <w:t xml:space="preserve"> </w:t>
      </w:r>
      <w:r w:rsidRPr="4D5683B6">
        <w:t>Minn. Stat. § 609.02, Minn. Stat.</w:t>
      </w:r>
      <w:r>
        <w:t xml:space="preserve"> § </w:t>
      </w:r>
      <w:r w:rsidRPr="00536C10">
        <w:t>609.535</w:t>
      </w:r>
    </w:p>
  </w:footnote>
  <w:footnote w:id="57">
    <w:p w14:paraId="54B79A16" w14:textId="77777777" w:rsidR="007C2E35" w:rsidRDefault="007C2E35" w:rsidP="0016754B">
      <w:pPr>
        <w:pStyle w:val="FootnoteText"/>
      </w:pPr>
      <w:r w:rsidRPr="5A8787CF">
        <w:rPr>
          <w:rStyle w:val="FootnoteReference"/>
          <w:color w:val="000000" w:themeColor="text1"/>
        </w:rPr>
        <w:footnoteRef/>
      </w:r>
      <w:r w:rsidRPr="5A8787CF">
        <w:rPr>
          <w:color w:val="000000" w:themeColor="text1"/>
        </w:rPr>
        <w:t xml:space="preserve"> The Personal Responsibility and Work Opportunity Reconciliation Act of 1996, Pub. L. No. 104–193, 110 Stat. 2015; </w:t>
      </w:r>
      <w:r w:rsidRPr="009F0AB2">
        <w:t>21 U.S.C. § 862(a)</w:t>
      </w:r>
      <w:r w:rsidRPr="0077690D">
        <w:t>(1)(C).</w:t>
      </w:r>
      <w:r w:rsidRPr="00F25873">
        <w:t xml:space="preserve"> The Act authorized states to make exceptions to or fully opt out of these lifetime bans. </w:t>
      </w:r>
      <w:r w:rsidRPr="5A8787CF">
        <w:t xml:space="preserve">Many states have done so today, but there is still substantial variation between states and policies that restrict government assistance, even for finite periods of time, exacerbate ongoing poverty rates. </w:t>
      </w:r>
      <w:r w:rsidRPr="5A8787CF">
        <w:rPr>
          <w:i/>
          <w:iCs/>
        </w:rPr>
        <w:t xml:space="preserve">See </w:t>
      </w:r>
      <w:r w:rsidRPr="5A8787CF">
        <w:t xml:space="preserve">Amanda </w:t>
      </w:r>
      <w:proofErr w:type="spellStart"/>
      <w:r w:rsidRPr="5A8787CF">
        <w:t>Sheely</w:t>
      </w:r>
      <w:proofErr w:type="spellEnd"/>
      <w:r w:rsidRPr="5A8787CF">
        <w:t xml:space="preserve">, </w:t>
      </w:r>
      <w:r w:rsidRPr="009F0AB2">
        <w:rPr>
          <w:i/>
          <w:iCs/>
        </w:rPr>
        <w:t>State Supervision, Punishment and Poverty: The Case of Drug Bans on Welfare Receipt</w:t>
      </w:r>
      <w:r w:rsidRPr="5A8787CF">
        <w:t>, 23 Punishment &amp; Society 413 (2021).</w:t>
      </w:r>
    </w:p>
  </w:footnote>
  <w:footnote w:id="58">
    <w:p w14:paraId="229F0F97" w14:textId="7895B5CB" w:rsidR="007C2E35" w:rsidRDefault="007C2E35" w:rsidP="0016754B">
      <w:pPr>
        <w:pStyle w:val="FootnoteText"/>
      </w:pPr>
      <w:r w:rsidRPr="2DDB9597">
        <w:rPr>
          <w:rStyle w:val="FootnoteReference"/>
          <w:color w:val="000000" w:themeColor="text1"/>
        </w:rPr>
        <w:footnoteRef/>
      </w:r>
      <w:r w:rsidR="00420C5B">
        <w:rPr>
          <w:color w:val="000000" w:themeColor="text1"/>
        </w:rPr>
        <w:t xml:space="preserve"> Minnesota Sentencing Guidelines Commission, </w:t>
      </w:r>
      <w:r w:rsidR="00283159" w:rsidRPr="00283159">
        <w:rPr>
          <w:i/>
          <w:iCs/>
        </w:rPr>
        <w:t>MINNESOTA SENTENCING GUIDELINES AND COMMENTARY</w:t>
      </w:r>
      <w:r w:rsidR="00283159">
        <w:rPr>
          <w:i/>
          <w:iCs/>
        </w:rPr>
        <w:t xml:space="preserve">, </w:t>
      </w:r>
      <w:r w:rsidR="0047022E">
        <w:t>(Saint Paul, Minnesota: September 2021),</w:t>
      </w:r>
      <w:r w:rsidRPr="00283159">
        <w:rPr>
          <w:i/>
          <w:color w:val="000000" w:themeColor="text1"/>
        </w:rPr>
        <w:t xml:space="preserve"> </w:t>
      </w:r>
      <w:r w:rsidRPr="5CE81432">
        <w:rPr>
          <w:color w:val="000000" w:themeColor="text1"/>
        </w:rPr>
        <w:t>https://mn.gov/sentencing-guidelines/assets/2021Sept15MinnSentencingGuidelinesCommentary_tcm30-497682.pdf</w:t>
      </w:r>
      <w:r w:rsidR="0047022E">
        <w:rPr>
          <w:color w:val="000000" w:themeColor="text1"/>
        </w:rPr>
        <w:t>.</w:t>
      </w:r>
    </w:p>
  </w:footnote>
  <w:footnote w:id="59">
    <w:p w14:paraId="4B25E647" w14:textId="77777777" w:rsidR="007C2E35" w:rsidRDefault="007C2E35" w:rsidP="0016754B">
      <w:pPr>
        <w:pStyle w:val="FootnoteText"/>
      </w:pPr>
      <w:r>
        <w:rPr>
          <w:rStyle w:val="FootnoteReference"/>
        </w:rPr>
        <w:footnoteRef/>
      </w:r>
      <w:r>
        <w:t xml:space="preserve"> Ashley </w:t>
      </w:r>
      <w:proofErr w:type="spellStart"/>
      <w:r>
        <w:t>Nellis</w:t>
      </w:r>
      <w:proofErr w:type="spellEnd"/>
      <w:r>
        <w:t xml:space="preserve">, </w:t>
      </w:r>
      <w:r w:rsidRPr="1FD7C1D3">
        <w:rPr>
          <w:i/>
          <w:iCs/>
        </w:rPr>
        <w:t>The Color of Justice: Racial and Ethnic Disparity in State Prisons</w:t>
      </w:r>
      <w:r>
        <w:t xml:space="preserve">, </w:t>
      </w:r>
      <w:r w:rsidRPr="1FD7C1D3">
        <w:rPr>
          <w:smallCaps/>
        </w:rPr>
        <w:t>Sentencing Project</w:t>
      </w:r>
      <w:r>
        <w:t xml:space="preserve"> 14 n.52 (2021) https://www.sentencingproject.org/wp-content/uploads/2016/06/The-Color-of-Justice-Racial-and-Ethnic-Disparity-in-State-Prisons.pdf (citing </w:t>
      </w:r>
      <w:proofErr w:type="spellStart"/>
      <w:r w:rsidRPr="008750AD">
        <w:t>Frase</w:t>
      </w:r>
      <w:proofErr w:type="spellEnd"/>
      <w:r w:rsidRPr="008750AD">
        <w:t xml:space="preserve">, R. &amp; Roberts, J. V. (2019). </w:t>
      </w:r>
      <w:r w:rsidRPr="00CB038E">
        <w:rPr>
          <w:i/>
          <w:iCs/>
        </w:rPr>
        <w:t>Paying for the past: The case against prior record sentencing enhancements</w:t>
      </w:r>
      <w:r w:rsidRPr="008750AD">
        <w:t>. Oxford University Press).</w:t>
      </w:r>
    </w:p>
  </w:footnote>
  <w:footnote w:id="60">
    <w:p w14:paraId="6238A284" w14:textId="77777777" w:rsidR="007C2E35" w:rsidRPr="001C63B0" w:rsidRDefault="007C2E35" w:rsidP="005E48B7">
      <w:pPr>
        <w:pStyle w:val="FootnoteText"/>
      </w:pPr>
      <w:r>
        <w:rPr>
          <w:rStyle w:val="FootnoteReference"/>
        </w:rPr>
        <w:footnoteRef/>
      </w:r>
      <w:r>
        <w:t xml:space="preserve"> </w:t>
      </w:r>
      <w:r>
        <w:rPr>
          <w:i/>
          <w:iCs/>
        </w:rPr>
        <w:t>See e.g.,</w:t>
      </w:r>
      <w:r>
        <w:t xml:space="preserve"> Wendy Sawyer &amp; Peter Wagner, Mass Incarceration: The Whole Pie 2022, </w:t>
      </w:r>
      <w:r>
        <w:rPr>
          <w:smallCaps/>
        </w:rPr>
        <w:t xml:space="preserve">Prison </w:t>
      </w:r>
      <w:proofErr w:type="spellStart"/>
      <w:r>
        <w:rPr>
          <w:smallCaps/>
        </w:rPr>
        <w:t>Pol’y</w:t>
      </w:r>
      <w:proofErr w:type="spellEnd"/>
      <w:r>
        <w:rPr>
          <w:smallCaps/>
        </w:rPr>
        <w:t xml:space="preserve"> Initiative </w:t>
      </w:r>
      <w:r w:rsidRPr="00EB3724">
        <w:t>(2022) https://www.prisonpolicy.org/reports/pie2022.html</w:t>
      </w:r>
      <w:r>
        <w:rPr>
          <w:smallCaps/>
        </w:rPr>
        <w:t xml:space="preserve"> (“</w:t>
      </w:r>
      <w:r w:rsidRPr="00F171D0">
        <w:t xml:space="preserve">Far more people are impacted by mass incarceration than the 1.9 million currently confined. An estimated 19 million people are burdened with the collateral consequences of a felony conviction </w:t>
      </w:r>
      <w:r>
        <w:t>…</w:t>
      </w:r>
      <w:r w:rsidRPr="00F171D0">
        <w:t>and an estimated 79 million have a criminal record of some kind; even this is likely an underestimate, leaving out many people who have been arrested for misdemeanors. Finally</w:t>
      </w:r>
      <w:r>
        <w:t>…</w:t>
      </w:r>
      <w:r w:rsidRPr="00F171D0">
        <w:t>113 million adults (45%) have had an immediate family member incarcerated for at least one night</w:t>
      </w:r>
      <w:r>
        <w:t xml:space="preserve">. … </w:t>
      </w:r>
      <w:r w:rsidRPr="002E4AB6">
        <w:t>racial disparities are particularly stark for Black Americans, who make up 38% of the incarcerated population despite representing only 12% of U.S residents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B9C4" w14:textId="77777777" w:rsidR="00804604" w:rsidRDefault="00804604"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61E" w14:textId="34F5DE6D" w:rsidR="00804604" w:rsidRDefault="0056409D">
    <w:pPr>
      <w:pStyle w:val="Header"/>
    </w:pPr>
    <w:r>
      <w:rPr>
        <w:noProof/>
      </w:rPr>
      <w:drawing>
        <wp:anchor distT="0" distB="0" distL="114300" distR="114300" simplePos="0" relativeHeight="251658240" behindDoc="1" locked="0" layoutInCell="1" allowOverlap="1" wp14:anchorId="5D6B70F1" wp14:editId="3695BF27">
          <wp:simplePos x="0" y="0"/>
          <wp:positionH relativeFrom="margin">
            <wp:align>center</wp:align>
          </wp:positionH>
          <wp:positionV relativeFrom="paragraph">
            <wp:posOffset>-635</wp:posOffset>
          </wp:positionV>
          <wp:extent cx="2085975" cy="798830"/>
          <wp:effectExtent l="0" t="0" r="9525" b="1270"/>
          <wp:wrapTight wrapText="bothSides">
            <wp:wrapPolygon edited="0">
              <wp:start x="0" y="0"/>
              <wp:lineTo x="0" y="21119"/>
              <wp:lineTo x="21501" y="21119"/>
              <wp:lineTo x="215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8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58F"/>
    <w:multiLevelType w:val="hybridMultilevel"/>
    <w:tmpl w:val="25B4AE16"/>
    <w:lvl w:ilvl="0" w:tplc="70586D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937"/>
    <w:multiLevelType w:val="hybridMultilevel"/>
    <w:tmpl w:val="FFFFFFFF"/>
    <w:lvl w:ilvl="0" w:tplc="211CA776">
      <w:start w:val="1"/>
      <w:numFmt w:val="decimal"/>
      <w:lvlText w:val="%1."/>
      <w:lvlJc w:val="left"/>
      <w:pPr>
        <w:ind w:left="720" w:hanging="360"/>
      </w:pPr>
    </w:lvl>
    <w:lvl w:ilvl="1" w:tplc="F790FA68">
      <w:start w:val="1"/>
      <w:numFmt w:val="lowerLetter"/>
      <w:lvlText w:val="%2."/>
      <w:lvlJc w:val="left"/>
      <w:pPr>
        <w:ind w:left="1440" w:hanging="360"/>
      </w:pPr>
    </w:lvl>
    <w:lvl w:ilvl="2" w:tplc="0052929E">
      <w:start w:val="1"/>
      <w:numFmt w:val="lowerRoman"/>
      <w:lvlText w:val="%3."/>
      <w:lvlJc w:val="right"/>
      <w:pPr>
        <w:ind w:left="2160" w:hanging="180"/>
      </w:pPr>
    </w:lvl>
    <w:lvl w:ilvl="3" w:tplc="45CAAC64">
      <w:start w:val="1"/>
      <w:numFmt w:val="decimal"/>
      <w:lvlText w:val="%4."/>
      <w:lvlJc w:val="left"/>
      <w:pPr>
        <w:ind w:left="2880" w:hanging="360"/>
      </w:pPr>
    </w:lvl>
    <w:lvl w:ilvl="4" w:tplc="0310D8D0">
      <w:start w:val="1"/>
      <w:numFmt w:val="lowerLetter"/>
      <w:lvlText w:val="%5."/>
      <w:lvlJc w:val="left"/>
      <w:pPr>
        <w:ind w:left="3600" w:hanging="360"/>
      </w:pPr>
    </w:lvl>
    <w:lvl w:ilvl="5" w:tplc="47365990">
      <w:start w:val="1"/>
      <w:numFmt w:val="lowerRoman"/>
      <w:lvlText w:val="%6."/>
      <w:lvlJc w:val="right"/>
      <w:pPr>
        <w:ind w:left="4320" w:hanging="180"/>
      </w:pPr>
    </w:lvl>
    <w:lvl w:ilvl="6" w:tplc="3F786B6E">
      <w:start w:val="1"/>
      <w:numFmt w:val="decimal"/>
      <w:lvlText w:val="%7."/>
      <w:lvlJc w:val="left"/>
      <w:pPr>
        <w:ind w:left="5040" w:hanging="360"/>
      </w:pPr>
    </w:lvl>
    <w:lvl w:ilvl="7" w:tplc="B98E2212">
      <w:start w:val="1"/>
      <w:numFmt w:val="lowerLetter"/>
      <w:lvlText w:val="%8."/>
      <w:lvlJc w:val="left"/>
      <w:pPr>
        <w:ind w:left="5760" w:hanging="360"/>
      </w:pPr>
    </w:lvl>
    <w:lvl w:ilvl="8" w:tplc="74647B22">
      <w:start w:val="1"/>
      <w:numFmt w:val="lowerRoman"/>
      <w:lvlText w:val="%9."/>
      <w:lvlJc w:val="right"/>
      <w:pPr>
        <w:ind w:left="6480" w:hanging="180"/>
      </w:pPr>
    </w:lvl>
  </w:abstractNum>
  <w:abstractNum w:abstractNumId="2"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6F94"/>
    <w:multiLevelType w:val="hybridMultilevel"/>
    <w:tmpl w:val="FFFFFFFF"/>
    <w:lvl w:ilvl="0" w:tplc="93B85DF0">
      <w:start w:val="1"/>
      <w:numFmt w:val="decimal"/>
      <w:lvlText w:val="%1."/>
      <w:lvlJc w:val="left"/>
      <w:pPr>
        <w:ind w:left="720" w:hanging="360"/>
      </w:pPr>
    </w:lvl>
    <w:lvl w:ilvl="1" w:tplc="44AABD40">
      <w:start w:val="1"/>
      <w:numFmt w:val="lowerLetter"/>
      <w:lvlText w:val="%2."/>
      <w:lvlJc w:val="left"/>
      <w:pPr>
        <w:ind w:left="1440" w:hanging="360"/>
      </w:pPr>
    </w:lvl>
    <w:lvl w:ilvl="2" w:tplc="D974E3C4">
      <w:start w:val="1"/>
      <w:numFmt w:val="lowerRoman"/>
      <w:lvlText w:val="%3."/>
      <w:lvlJc w:val="right"/>
      <w:pPr>
        <w:ind w:left="2160" w:hanging="180"/>
      </w:pPr>
    </w:lvl>
    <w:lvl w:ilvl="3" w:tplc="71A4240E">
      <w:start w:val="1"/>
      <w:numFmt w:val="decimal"/>
      <w:lvlText w:val="%4."/>
      <w:lvlJc w:val="left"/>
      <w:pPr>
        <w:ind w:left="2880" w:hanging="360"/>
      </w:pPr>
    </w:lvl>
    <w:lvl w:ilvl="4" w:tplc="7564E8CC">
      <w:start w:val="1"/>
      <w:numFmt w:val="lowerLetter"/>
      <w:lvlText w:val="%5."/>
      <w:lvlJc w:val="left"/>
      <w:pPr>
        <w:ind w:left="3600" w:hanging="360"/>
      </w:pPr>
    </w:lvl>
    <w:lvl w:ilvl="5" w:tplc="6DAA815C">
      <w:start w:val="1"/>
      <w:numFmt w:val="lowerRoman"/>
      <w:lvlText w:val="%6."/>
      <w:lvlJc w:val="right"/>
      <w:pPr>
        <w:ind w:left="4320" w:hanging="180"/>
      </w:pPr>
    </w:lvl>
    <w:lvl w:ilvl="6" w:tplc="31CA5F3C">
      <w:start w:val="1"/>
      <w:numFmt w:val="decimal"/>
      <w:lvlText w:val="%7."/>
      <w:lvlJc w:val="left"/>
      <w:pPr>
        <w:ind w:left="5040" w:hanging="360"/>
      </w:pPr>
    </w:lvl>
    <w:lvl w:ilvl="7" w:tplc="13F8544C">
      <w:start w:val="1"/>
      <w:numFmt w:val="lowerLetter"/>
      <w:lvlText w:val="%8."/>
      <w:lvlJc w:val="left"/>
      <w:pPr>
        <w:ind w:left="5760" w:hanging="360"/>
      </w:pPr>
    </w:lvl>
    <w:lvl w:ilvl="8" w:tplc="6396F7E4">
      <w:start w:val="1"/>
      <w:numFmt w:val="lowerRoman"/>
      <w:lvlText w:val="%9."/>
      <w:lvlJc w:val="right"/>
      <w:pPr>
        <w:ind w:left="6480" w:hanging="180"/>
      </w:pPr>
    </w:lvl>
  </w:abstractNum>
  <w:abstractNum w:abstractNumId="4"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45A4C"/>
    <w:multiLevelType w:val="hybridMultilevel"/>
    <w:tmpl w:val="FFFFFFFF"/>
    <w:lvl w:ilvl="0" w:tplc="D4E61F50">
      <w:start w:val="1"/>
      <w:numFmt w:val="decimal"/>
      <w:lvlText w:val="%1."/>
      <w:lvlJc w:val="left"/>
      <w:pPr>
        <w:ind w:left="720" w:hanging="360"/>
      </w:pPr>
    </w:lvl>
    <w:lvl w:ilvl="1" w:tplc="9E28E8B8">
      <w:start w:val="1"/>
      <w:numFmt w:val="lowerLetter"/>
      <w:lvlText w:val="%2."/>
      <w:lvlJc w:val="left"/>
      <w:pPr>
        <w:ind w:left="1440" w:hanging="360"/>
      </w:pPr>
    </w:lvl>
    <w:lvl w:ilvl="2" w:tplc="5C9AECB8">
      <w:start w:val="1"/>
      <w:numFmt w:val="lowerRoman"/>
      <w:lvlText w:val="%3."/>
      <w:lvlJc w:val="right"/>
      <w:pPr>
        <w:ind w:left="2160" w:hanging="180"/>
      </w:pPr>
    </w:lvl>
    <w:lvl w:ilvl="3" w:tplc="D8EA08A8">
      <w:start w:val="1"/>
      <w:numFmt w:val="decimal"/>
      <w:lvlText w:val="%4."/>
      <w:lvlJc w:val="left"/>
      <w:pPr>
        <w:ind w:left="2880" w:hanging="360"/>
      </w:pPr>
    </w:lvl>
    <w:lvl w:ilvl="4" w:tplc="64E2B5FC">
      <w:start w:val="1"/>
      <w:numFmt w:val="lowerLetter"/>
      <w:lvlText w:val="%5."/>
      <w:lvlJc w:val="left"/>
      <w:pPr>
        <w:ind w:left="3600" w:hanging="360"/>
      </w:pPr>
    </w:lvl>
    <w:lvl w:ilvl="5" w:tplc="06067328">
      <w:start w:val="1"/>
      <w:numFmt w:val="lowerRoman"/>
      <w:lvlText w:val="%6."/>
      <w:lvlJc w:val="right"/>
      <w:pPr>
        <w:ind w:left="4320" w:hanging="180"/>
      </w:pPr>
    </w:lvl>
    <w:lvl w:ilvl="6" w:tplc="4B741372">
      <w:start w:val="1"/>
      <w:numFmt w:val="decimal"/>
      <w:lvlText w:val="%7."/>
      <w:lvlJc w:val="left"/>
      <w:pPr>
        <w:ind w:left="5040" w:hanging="360"/>
      </w:pPr>
    </w:lvl>
    <w:lvl w:ilvl="7" w:tplc="4DB0ED84">
      <w:start w:val="1"/>
      <w:numFmt w:val="lowerLetter"/>
      <w:lvlText w:val="%8."/>
      <w:lvlJc w:val="left"/>
      <w:pPr>
        <w:ind w:left="5760" w:hanging="360"/>
      </w:pPr>
    </w:lvl>
    <w:lvl w:ilvl="8" w:tplc="A508C9D2">
      <w:start w:val="1"/>
      <w:numFmt w:val="lowerRoman"/>
      <w:lvlText w:val="%9."/>
      <w:lvlJc w:val="right"/>
      <w:pPr>
        <w:ind w:left="6480" w:hanging="180"/>
      </w:pPr>
    </w:lvl>
  </w:abstractNum>
  <w:abstractNum w:abstractNumId="6" w15:restartNumberingAfterBreak="0">
    <w:nsid w:val="188E44B8"/>
    <w:multiLevelType w:val="hybridMultilevel"/>
    <w:tmpl w:val="4D565AF8"/>
    <w:lvl w:ilvl="0" w:tplc="3A8A413E">
      <w:start w:val="1"/>
      <w:numFmt w:val="decimal"/>
      <w:lvlText w:val="%1."/>
      <w:lvlJc w:val="left"/>
      <w:pPr>
        <w:ind w:left="720" w:hanging="360"/>
      </w:pPr>
      <w:rPr>
        <w:sz w:val="24"/>
        <w:szCs w:val="24"/>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8" w15:restartNumberingAfterBreak="0">
    <w:nsid w:val="1D5153BE"/>
    <w:multiLevelType w:val="hybridMultilevel"/>
    <w:tmpl w:val="0FE2A7A6"/>
    <w:lvl w:ilvl="0" w:tplc="4086DB6A">
      <w:start w:val="1"/>
      <w:numFmt w:val="decimal"/>
      <w:lvlText w:val="%1."/>
      <w:lvlJc w:val="left"/>
      <w:pPr>
        <w:ind w:left="720" w:hanging="360"/>
      </w:pPr>
      <w:rPr>
        <w:sz w:val="24"/>
        <w:szCs w:val="24"/>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B51B3"/>
    <w:multiLevelType w:val="hybridMultilevel"/>
    <w:tmpl w:val="FFFFFFFF"/>
    <w:lvl w:ilvl="0" w:tplc="310C046A">
      <w:start w:val="1"/>
      <w:numFmt w:val="decimal"/>
      <w:lvlText w:val="%1."/>
      <w:lvlJc w:val="left"/>
      <w:pPr>
        <w:ind w:left="720" w:hanging="360"/>
      </w:pPr>
    </w:lvl>
    <w:lvl w:ilvl="1" w:tplc="BDBA0872">
      <w:start w:val="1"/>
      <w:numFmt w:val="lowerLetter"/>
      <w:lvlText w:val="%2."/>
      <w:lvlJc w:val="left"/>
      <w:pPr>
        <w:ind w:left="1440" w:hanging="360"/>
      </w:pPr>
    </w:lvl>
    <w:lvl w:ilvl="2" w:tplc="598A9AEE">
      <w:start w:val="1"/>
      <w:numFmt w:val="lowerRoman"/>
      <w:lvlText w:val="%3."/>
      <w:lvlJc w:val="right"/>
      <w:pPr>
        <w:ind w:left="2160" w:hanging="180"/>
      </w:pPr>
    </w:lvl>
    <w:lvl w:ilvl="3" w:tplc="3224FFF6">
      <w:start w:val="1"/>
      <w:numFmt w:val="decimal"/>
      <w:lvlText w:val="%4."/>
      <w:lvlJc w:val="left"/>
      <w:pPr>
        <w:ind w:left="2880" w:hanging="360"/>
      </w:pPr>
    </w:lvl>
    <w:lvl w:ilvl="4" w:tplc="26C47C12">
      <w:start w:val="1"/>
      <w:numFmt w:val="lowerLetter"/>
      <w:lvlText w:val="%5."/>
      <w:lvlJc w:val="left"/>
      <w:pPr>
        <w:ind w:left="3600" w:hanging="360"/>
      </w:pPr>
    </w:lvl>
    <w:lvl w:ilvl="5" w:tplc="5C26AA88">
      <w:start w:val="1"/>
      <w:numFmt w:val="lowerRoman"/>
      <w:lvlText w:val="%6."/>
      <w:lvlJc w:val="right"/>
      <w:pPr>
        <w:ind w:left="4320" w:hanging="180"/>
      </w:pPr>
    </w:lvl>
    <w:lvl w:ilvl="6" w:tplc="98F6B2FA">
      <w:start w:val="1"/>
      <w:numFmt w:val="decimal"/>
      <w:lvlText w:val="%7."/>
      <w:lvlJc w:val="left"/>
      <w:pPr>
        <w:ind w:left="5040" w:hanging="360"/>
      </w:pPr>
    </w:lvl>
    <w:lvl w:ilvl="7" w:tplc="C06ED40E">
      <w:start w:val="1"/>
      <w:numFmt w:val="lowerLetter"/>
      <w:lvlText w:val="%8."/>
      <w:lvlJc w:val="left"/>
      <w:pPr>
        <w:ind w:left="5760" w:hanging="360"/>
      </w:pPr>
    </w:lvl>
    <w:lvl w:ilvl="8" w:tplc="B0867C4A">
      <w:start w:val="1"/>
      <w:numFmt w:val="lowerRoman"/>
      <w:lvlText w:val="%9."/>
      <w:lvlJc w:val="right"/>
      <w:pPr>
        <w:ind w:left="6480" w:hanging="180"/>
      </w:pPr>
    </w:lvl>
  </w:abstractNum>
  <w:abstractNum w:abstractNumId="10" w15:restartNumberingAfterBreak="0">
    <w:nsid w:val="22A30B75"/>
    <w:multiLevelType w:val="hybridMultilevel"/>
    <w:tmpl w:val="FFFFFFFF"/>
    <w:lvl w:ilvl="0" w:tplc="4C2220DC">
      <w:start w:val="1"/>
      <w:numFmt w:val="decimal"/>
      <w:lvlText w:val="%1."/>
      <w:lvlJc w:val="left"/>
      <w:pPr>
        <w:ind w:left="720" w:hanging="360"/>
      </w:pPr>
    </w:lvl>
    <w:lvl w:ilvl="1" w:tplc="053291F2">
      <w:start w:val="1"/>
      <w:numFmt w:val="lowerLetter"/>
      <w:lvlText w:val="%2."/>
      <w:lvlJc w:val="left"/>
      <w:pPr>
        <w:ind w:left="1440" w:hanging="360"/>
      </w:pPr>
    </w:lvl>
    <w:lvl w:ilvl="2" w:tplc="7B4C8632">
      <w:start w:val="1"/>
      <w:numFmt w:val="lowerRoman"/>
      <w:lvlText w:val="%3."/>
      <w:lvlJc w:val="right"/>
      <w:pPr>
        <w:ind w:left="2160" w:hanging="180"/>
      </w:pPr>
    </w:lvl>
    <w:lvl w:ilvl="3" w:tplc="9E42EDC8">
      <w:start w:val="1"/>
      <w:numFmt w:val="decimal"/>
      <w:lvlText w:val="%4."/>
      <w:lvlJc w:val="left"/>
      <w:pPr>
        <w:ind w:left="2880" w:hanging="360"/>
      </w:pPr>
    </w:lvl>
    <w:lvl w:ilvl="4" w:tplc="C2A6D724">
      <w:start w:val="1"/>
      <w:numFmt w:val="lowerLetter"/>
      <w:lvlText w:val="%5."/>
      <w:lvlJc w:val="left"/>
      <w:pPr>
        <w:ind w:left="3600" w:hanging="360"/>
      </w:pPr>
    </w:lvl>
    <w:lvl w:ilvl="5" w:tplc="156051BE">
      <w:start w:val="1"/>
      <w:numFmt w:val="lowerRoman"/>
      <w:lvlText w:val="%6."/>
      <w:lvlJc w:val="right"/>
      <w:pPr>
        <w:ind w:left="4320" w:hanging="180"/>
      </w:pPr>
    </w:lvl>
    <w:lvl w:ilvl="6" w:tplc="3EB643F8">
      <w:start w:val="1"/>
      <w:numFmt w:val="decimal"/>
      <w:lvlText w:val="%7."/>
      <w:lvlJc w:val="left"/>
      <w:pPr>
        <w:ind w:left="5040" w:hanging="360"/>
      </w:pPr>
    </w:lvl>
    <w:lvl w:ilvl="7" w:tplc="CC7A0666">
      <w:start w:val="1"/>
      <w:numFmt w:val="lowerLetter"/>
      <w:lvlText w:val="%8."/>
      <w:lvlJc w:val="left"/>
      <w:pPr>
        <w:ind w:left="5760" w:hanging="360"/>
      </w:pPr>
    </w:lvl>
    <w:lvl w:ilvl="8" w:tplc="CF7E8CC8">
      <w:start w:val="1"/>
      <w:numFmt w:val="lowerRoman"/>
      <w:lvlText w:val="%9."/>
      <w:lvlJc w:val="right"/>
      <w:pPr>
        <w:ind w:left="6480" w:hanging="180"/>
      </w:pPr>
    </w:lvl>
  </w:abstractNum>
  <w:abstractNum w:abstractNumId="11"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7330A"/>
    <w:multiLevelType w:val="hybridMultilevel"/>
    <w:tmpl w:val="FFFFFFFF"/>
    <w:lvl w:ilvl="0" w:tplc="9686F61A">
      <w:start w:val="1"/>
      <w:numFmt w:val="decimal"/>
      <w:lvlText w:val="%1."/>
      <w:lvlJc w:val="left"/>
      <w:pPr>
        <w:ind w:left="720" w:hanging="360"/>
      </w:pPr>
    </w:lvl>
    <w:lvl w:ilvl="1" w:tplc="E10AF224">
      <w:start w:val="1"/>
      <w:numFmt w:val="lowerLetter"/>
      <w:lvlText w:val="%2."/>
      <w:lvlJc w:val="left"/>
      <w:pPr>
        <w:ind w:left="1440" w:hanging="360"/>
      </w:pPr>
    </w:lvl>
    <w:lvl w:ilvl="2" w:tplc="F74222F6">
      <w:start w:val="1"/>
      <w:numFmt w:val="lowerRoman"/>
      <w:lvlText w:val="%3."/>
      <w:lvlJc w:val="right"/>
      <w:pPr>
        <w:ind w:left="2160" w:hanging="180"/>
      </w:pPr>
    </w:lvl>
    <w:lvl w:ilvl="3" w:tplc="B0C87718">
      <w:start w:val="1"/>
      <w:numFmt w:val="decimal"/>
      <w:lvlText w:val="%4."/>
      <w:lvlJc w:val="left"/>
      <w:pPr>
        <w:ind w:left="2880" w:hanging="360"/>
      </w:pPr>
    </w:lvl>
    <w:lvl w:ilvl="4" w:tplc="790E89BA">
      <w:start w:val="1"/>
      <w:numFmt w:val="lowerLetter"/>
      <w:lvlText w:val="%5."/>
      <w:lvlJc w:val="left"/>
      <w:pPr>
        <w:ind w:left="3600" w:hanging="360"/>
      </w:pPr>
    </w:lvl>
    <w:lvl w:ilvl="5" w:tplc="2D4E8F92">
      <w:start w:val="1"/>
      <w:numFmt w:val="lowerRoman"/>
      <w:lvlText w:val="%6."/>
      <w:lvlJc w:val="right"/>
      <w:pPr>
        <w:ind w:left="4320" w:hanging="180"/>
      </w:pPr>
    </w:lvl>
    <w:lvl w:ilvl="6" w:tplc="79F889FE">
      <w:start w:val="1"/>
      <w:numFmt w:val="decimal"/>
      <w:lvlText w:val="%7."/>
      <w:lvlJc w:val="left"/>
      <w:pPr>
        <w:ind w:left="5040" w:hanging="360"/>
      </w:pPr>
    </w:lvl>
    <w:lvl w:ilvl="7" w:tplc="4712F644">
      <w:start w:val="1"/>
      <w:numFmt w:val="lowerLetter"/>
      <w:lvlText w:val="%8."/>
      <w:lvlJc w:val="left"/>
      <w:pPr>
        <w:ind w:left="5760" w:hanging="360"/>
      </w:pPr>
    </w:lvl>
    <w:lvl w:ilvl="8" w:tplc="4DA65242">
      <w:start w:val="1"/>
      <w:numFmt w:val="lowerRoman"/>
      <w:lvlText w:val="%9."/>
      <w:lvlJc w:val="right"/>
      <w:pPr>
        <w:ind w:left="6480" w:hanging="180"/>
      </w:pPr>
    </w:lvl>
  </w:abstractNum>
  <w:abstractNum w:abstractNumId="13"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90030F"/>
    <w:multiLevelType w:val="hybridMultilevel"/>
    <w:tmpl w:val="6F00E90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45EE23B2">
      <w:start w:val="29"/>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5C01"/>
    <w:multiLevelType w:val="hybridMultilevel"/>
    <w:tmpl w:val="FFFFFFFF"/>
    <w:lvl w:ilvl="0" w:tplc="9BA8064C">
      <w:start w:val="1"/>
      <w:numFmt w:val="decimal"/>
      <w:lvlText w:val="%1."/>
      <w:lvlJc w:val="left"/>
      <w:pPr>
        <w:ind w:left="720" w:hanging="360"/>
      </w:pPr>
    </w:lvl>
    <w:lvl w:ilvl="1" w:tplc="F0C69B76">
      <w:start w:val="1"/>
      <w:numFmt w:val="lowerLetter"/>
      <w:lvlText w:val="%2."/>
      <w:lvlJc w:val="left"/>
      <w:pPr>
        <w:ind w:left="1440" w:hanging="360"/>
      </w:pPr>
    </w:lvl>
    <w:lvl w:ilvl="2" w:tplc="AC0499B0">
      <w:start w:val="1"/>
      <w:numFmt w:val="lowerRoman"/>
      <w:lvlText w:val="%3."/>
      <w:lvlJc w:val="right"/>
      <w:pPr>
        <w:ind w:left="2160" w:hanging="180"/>
      </w:pPr>
    </w:lvl>
    <w:lvl w:ilvl="3" w:tplc="9B20B378">
      <w:start w:val="1"/>
      <w:numFmt w:val="decimal"/>
      <w:lvlText w:val="%4."/>
      <w:lvlJc w:val="left"/>
      <w:pPr>
        <w:ind w:left="2880" w:hanging="360"/>
      </w:pPr>
    </w:lvl>
    <w:lvl w:ilvl="4" w:tplc="AE961EAC">
      <w:start w:val="1"/>
      <w:numFmt w:val="lowerLetter"/>
      <w:lvlText w:val="%5."/>
      <w:lvlJc w:val="left"/>
      <w:pPr>
        <w:ind w:left="3600" w:hanging="360"/>
      </w:pPr>
    </w:lvl>
    <w:lvl w:ilvl="5" w:tplc="226A8E0A">
      <w:start w:val="1"/>
      <w:numFmt w:val="lowerRoman"/>
      <w:lvlText w:val="%6."/>
      <w:lvlJc w:val="right"/>
      <w:pPr>
        <w:ind w:left="4320" w:hanging="180"/>
      </w:pPr>
    </w:lvl>
    <w:lvl w:ilvl="6" w:tplc="A1327226">
      <w:start w:val="1"/>
      <w:numFmt w:val="decimal"/>
      <w:lvlText w:val="%7."/>
      <w:lvlJc w:val="left"/>
      <w:pPr>
        <w:ind w:left="5040" w:hanging="360"/>
      </w:pPr>
    </w:lvl>
    <w:lvl w:ilvl="7" w:tplc="8AB6DD08">
      <w:start w:val="1"/>
      <w:numFmt w:val="lowerLetter"/>
      <w:lvlText w:val="%8."/>
      <w:lvlJc w:val="left"/>
      <w:pPr>
        <w:ind w:left="5760" w:hanging="360"/>
      </w:pPr>
    </w:lvl>
    <w:lvl w:ilvl="8" w:tplc="24262F24">
      <w:start w:val="1"/>
      <w:numFmt w:val="lowerRoman"/>
      <w:lvlText w:val="%9."/>
      <w:lvlJc w:val="right"/>
      <w:pPr>
        <w:ind w:left="6480" w:hanging="180"/>
      </w:pPr>
    </w:lvl>
  </w:abstractNum>
  <w:abstractNum w:abstractNumId="17" w15:restartNumberingAfterBreak="0">
    <w:nsid w:val="35BE6D38"/>
    <w:multiLevelType w:val="hybridMultilevel"/>
    <w:tmpl w:val="C122D798"/>
    <w:lvl w:ilvl="0" w:tplc="5B10D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141C0"/>
    <w:multiLevelType w:val="multilevel"/>
    <w:tmpl w:val="371ECA50"/>
    <w:lvl w:ilvl="0">
      <w:start w:val="1"/>
      <w:numFmt w:val="decimal"/>
      <w:lvlText w:val="%1."/>
      <w:lvlJc w:val="left"/>
      <w:pPr>
        <w:ind w:left="360" w:hanging="360"/>
      </w:pPr>
      <w:rPr>
        <w:b w:val="0"/>
        <w:i w:val="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488C6E59"/>
    <w:multiLevelType w:val="hybridMultilevel"/>
    <w:tmpl w:val="FFFFFFFF"/>
    <w:lvl w:ilvl="0" w:tplc="51E429B2">
      <w:start w:val="1"/>
      <w:numFmt w:val="decimal"/>
      <w:lvlText w:val="%1."/>
      <w:lvlJc w:val="left"/>
      <w:pPr>
        <w:ind w:left="720" w:hanging="360"/>
      </w:pPr>
    </w:lvl>
    <w:lvl w:ilvl="1" w:tplc="E9C611A4">
      <w:start w:val="1"/>
      <w:numFmt w:val="lowerLetter"/>
      <w:lvlText w:val="%2."/>
      <w:lvlJc w:val="left"/>
      <w:pPr>
        <w:ind w:left="1440" w:hanging="360"/>
      </w:pPr>
    </w:lvl>
    <w:lvl w:ilvl="2" w:tplc="12769F3E">
      <w:start w:val="1"/>
      <w:numFmt w:val="lowerRoman"/>
      <w:lvlText w:val="%3."/>
      <w:lvlJc w:val="right"/>
      <w:pPr>
        <w:ind w:left="2160" w:hanging="180"/>
      </w:pPr>
    </w:lvl>
    <w:lvl w:ilvl="3" w:tplc="7488055A">
      <w:start w:val="1"/>
      <w:numFmt w:val="decimal"/>
      <w:lvlText w:val="%4."/>
      <w:lvlJc w:val="left"/>
      <w:pPr>
        <w:ind w:left="2880" w:hanging="360"/>
      </w:pPr>
    </w:lvl>
    <w:lvl w:ilvl="4" w:tplc="BB1A74DE">
      <w:start w:val="1"/>
      <w:numFmt w:val="lowerLetter"/>
      <w:lvlText w:val="%5."/>
      <w:lvlJc w:val="left"/>
      <w:pPr>
        <w:ind w:left="3600" w:hanging="360"/>
      </w:pPr>
    </w:lvl>
    <w:lvl w:ilvl="5" w:tplc="F6FCCC72">
      <w:start w:val="1"/>
      <w:numFmt w:val="lowerRoman"/>
      <w:lvlText w:val="%6."/>
      <w:lvlJc w:val="right"/>
      <w:pPr>
        <w:ind w:left="4320" w:hanging="180"/>
      </w:pPr>
    </w:lvl>
    <w:lvl w:ilvl="6" w:tplc="C50C1070">
      <w:start w:val="1"/>
      <w:numFmt w:val="decimal"/>
      <w:lvlText w:val="%7."/>
      <w:lvlJc w:val="left"/>
      <w:pPr>
        <w:ind w:left="5040" w:hanging="360"/>
      </w:pPr>
    </w:lvl>
    <w:lvl w:ilvl="7" w:tplc="F0323028">
      <w:start w:val="1"/>
      <w:numFmt w:val="lowerLetter"/>
      <w:lvlText w:val="%8."/>
      <w:lvlJc w:val="left"/>
      <w:pPr>
        <w:ind w:left="5760" w:hanging="360"/>
      </w:pPr>
    </w:lvl>
    <w:lvl w:ilvl="8" w:tplc="CECCE8BA">
      <w:start w:val="1"/>
      <w:numFmt w:val="lowerRoman"/>
      <w:lvlText w:val="%9."/>
      <w:lvlJc w:val="right"/>
      <w:pPr>
        <w:ind w:left="6480" w:hanging="180"/>
      </w:pPr>
    </w:lvl>
  </w:abstractNum>
  <w:abstractNum w:abstractNumId="20" w15:restartNumberingAfterBreak="0">
    <w:nsid w:val="52BB28DC"/>
    <w:multiLevelType w:val="hybridMultilevel"/>
    <w:tmpl w:val="4048538A"/>
    <w:lvl w:ilvl="0" w:tplc="FFFFFFFF">
      <w:start w:val="1"/>
      <w:numFmt w:val="decimal"/>
      <w:lvlText w:val="%1."/>
      <w:lvlJc w:val="left"/>
      <w:pPr>
        <w:ind w:left="720" w:hanging="360"/>
      </w:pPr>
      <w:rPr>
        <w:sz w:val="24"/>
        <w:szCs w:val="24"/>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AE315A"/>
    <w:multiLevelType w:val="hybridMultilevel"/>
    <w:tmpl w:val="FFFFFFFF"/>
    <w:lvl w:ilvl="0" w:tplc="1C44D48C">
      <w:start w:val="1"/>
      <w:numFmt w:val="decimal"/>
      <w:lvlText w:val="%1."/>
      <w:lvlJc w:val="left"/>
      <w:pPr>
        <w:ind w:left="720" w:hanging="360"/>
      </w:pPr>
    </w:lvl>
    <w:lvl w:ilvl="1" w:tplc="A53C5B7C">
      <w:start w:val="1"/>
      <w:numFmt w:val="lowerLetter"/>
      <w:lvlText w:val="%2."/>
      <w:lvlJc w:val="left"/>
      <w:pPr>
        <w:ind w:left="1440" w:hanging="360"/>
      </w:pPr>
    </w:lvl>
    <w:lvl w:ilvl="2" w:tplc="2F02D32A">
      <w:start w:val="1"/>
      <w:numFmt w:val="lowerRoman"/>
      <w:lvlText w:val="%3."/>
      <w:lvlJc w:val="right"/>
      <w:pPr>
        <w:ind w:left="2160" w:hanging="180"/>
      </w:pPr>
    </w:lvl>
    <w:lvl w:ilvl="3" w:tplc="8618D06E">
      <w:start w:val="1"/>
      <w:numFmt w:val="decimal"/>
      <w:lvlText w:val="%4."/>
      <w:lvlJc w:val="left"/>
      <w:pPr>
        <w:ind w:left="2880" w:hanging="360"/>
      </w:pPr>
    </w:lvl>
    <w:lvl w:ilvl="4" w:tplc="C78E1F9A">
      <w:start w:val="1"/>
      <w:numFmt w:val="lowerLetter"/>
      <w:lvlText w:val="%5."/>
      <w:lvlJc w:val="left"/>
      <w:pPr>
        <w:ind w:left="3600" w:hanging="360"/>
      </w:pPr>
    </w:lvl>
    <w:lvl w:ilvl="5" w:tplc="CC626A6E">
      <w:start w:val="1"/>
      <w:numFmt w:val="lowerRoman"/>
      <w:lvlText w:val="%6."/>
      <w:lvlJc w:val="right"/>
      <w:pPr>
        <w:ind w:left="4320" w:hanging="180"/>
      </w:pPr>
    </w:lvl>
    <w:lvl w:ilvl="6" w:tplc="6314896A">
      <w:start w:val="1"/>
      <w:numFmt w:val="decimal"/>
      <w:lvlText w:val="%7."/>
      <w:lvlJc w:val="left"/>
      <w:pPr>
        <w:ind w:left="5040" w:hanging="360"/>
      </w:pPr>
    </w:lvl>
    <w:lvl w:ilvl="7" w:tplc="3BF69680">
      <w:start w:val="1"/>
      <w:numFmt w:val="lowerLetter"/>
      <w:lvlText w:val="%8."/>
      <w:lvlJc w:val="left"/>
      <w:pPr>
        <w:ind w:left="5760" w:hanging="360"/>
      </w:pPr>
    </w:lvl>
    <w:lvl w:ilvl="8" w:tplc="21425A4E">
      <w:start w:val="1"/>
      <w:numFmt w:val="lowerRoman"/>
      <w:lvlText w:val="%9."/>
      <w:lvlJc w:val="right"/>
      <w:pPr>
        <w:ind w:left="6480" w:hanging="180"/>
      </w:pPr>
    </w:lvl>
  </w:abstractNum>
  <w:abstractNum w:abstractNumId="23" w15:restartNumberingAfterBreak="0">
    <w:nsid w:val="64747EDE"/>
    <w:multiLevelType w:val="hybridMultilevel"/>
    <w:tmpl w:val="FFFFFFFF"/>
    <w:lvl w:ilvl="0" w:tplc="A8AC5728">
      <w:start w:val="1"/>
      <w:numFmt w:val="decimal"/>
      <w:lvlText w:val="%1."/>
      <w:lvlJc w:val="left"/>
      <w:pPr>
        <w:ind w:left="720" w:hanging="360"/>
      </w:pPr>
    </w:lvl>
    <w:lvl w:ilvl="1" w:tplc="10A84E6A">
      <w:start w:val="1"/>
      <w:numFmt w:val="lowerLetter"/>
      <w:lvlText w:val="%2."/>
      <w:lvlJc w:val="left"/>
      <w:pPr>
        <w:ind w:left="1440" w:hanging="360"/>
      </w:pPr>
    </w:lvl>
    <w:lvl w:ilvl="2" w:tplc="8E74658A">
      <w:start w:val="1"/>
      <w:numFmt w:val="lowerRoman"/>
      <w:lvlText w:val="%3."/>
      <w:lvlJc w:val="right"/>
      <w:pPr>
        <w:ind w:left="2160" w:hanging="180"/>
      </w:pPr>
    </w:lvl>
    <w:lvl w:ilvl="3" w:tplc="D570C554">
      <w:start w:val="1"/>
      <w:numFmt w:val="decimal"/>
      <w:lvlText w:val="%4."/>
      <w:lvlJc w:val="left"/>
      <w:pPr>
        <w:ind w:left="2880" w:hanging="360"/>
      </w:pPr>
    </w:lvl>
    <w:lvl w:ilvl="4" w:tplc="CEB44376">
      <w:start w:val="1"/>
      <w:numFmt w:val="lowerLetter"/>
      <w:lvlText w:val="%5."/>
      <w:lvlJc w:val="left"/>
      <w:pPr>
        <w:ind w:left="3600" w:hanging="360"/>
      </w:pPr>
    </w:lvl>
    <w:lvl w:ilvl="5" w:tplc="670CD11A">
      <w:start w:val="1"/>
      <w:numFmt w:val="lowerRoman"/>
      <w:lvlText w:val="%6."/>
      <w:lvlJc w:val="right"/>
      <w:pPr>
        <w:ind w:left="4320" w:hanging="180"/>
      </w:pPr>
    </w:lvl>
    <w:lvl w:ilvl="6" w:tplc="5D8EAEBA">
      <w:start w:val="1"/>
      <w:numFmt w:val="decimal"/>
      <w:lvlText w:val="%7."/>
      <w:lvlJc w:val="left"/>
      <w:pPr>
        <w:ind w:left="5040" w:hanging="360"/>
      </w:pPr>
    </w:lvl>
    <w:lvl w:ilvl="7" w:tplc="B2A60A90">
      <w:start w:val="1"/>
      <w:numFmt w:val="lowerLetter"/>
      <w:lvlText w:val="%8."/>
      <w:lvlJc w:val="left"/>
      <w:pPr>
        <w:ind w:left="5760" w:hanging="360"/>
      </w:pPr>
    </w:lvl>
    <w:lvl w:ilvl="8" w:tplc="B73C1142">
      <w:start w:val="1"/>
      <w:numFmt w:val="lowerRoman"/>
      <w:lvlText w:val="%9."/>
      <w:lvlJc w:val="right"/>
      <w:pPr>
        <w:ind w:left="6480" w:hanging="180"/>
      </w:pPr>
    </w:lvl>
  </w:abstractNum>
  <w:abstractNum w:abstractNumId="24"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90A3A"/>
    <w:multiLevelType w:val="hybridMultilevel"/>
    <w:tmpl w:val="FFFFFFFF"/>
    <w:lvl w:ilvl="0" w:tplc="26EEDF62">
      <w:start w:val="1"/>
      <w:numFmt w:val="decimal"/>
      <w:lvlText w:val="%1."/>
      <w:lvlJc w:val="left"/>
      <w:pPr>
        <w:ind w:left="720" w:hanging="360"/>
      </w:pPr>
    </w:lvl>
    <w:lvl w:ilvl="1" w:tplc="3EF4A718">
      <w:start w:val="1"/>
      <w:numFmt w:val="lowerLetter"/>
      <w:lvlText w:val="%2."/>
      <w:lvlJc w:val="left"/>
      <w:pPr>
        <w:ind w:left="1440" w:hanging="360"/>
      </w:pPr>
    </w:lvl>
    <w:lvl w:ilvl="2" w:tplc="EA5C4A0C">
      <w:start w:val="1"/>
      <w:numFmt w:val="lowerRoman"/>
      <w:lvlText w:val="%3."/>
      <w:lvlJc w:val="right"/>
      <w:pPr>
        <w:ind w:left="2160" w:hanging="180"/>
      </w:pPr>
    </w:lvl>
    <w:lvl w:ilvl="3" w:tplc="15DAC28A">
      <w:start w:val="1"/>
      <w:numFmt w:val="decimal"/>
      <w:lvlText w:val="%4."/>
      <w:lvlJc w:val="left"/>
      <w:pPr>
        <w:ind w:left="2880" w:hanging="360"/>
      </w:pPr>
    </w:lvl>
    <w:lvl w:ilvl="4" w:tplc="DEBEDA68">
      <w:start w:val="1"/>
      <w:numFmt w:val="lowerLetter"/>
      <w:lvlText w:val="%5."/>
      <w:lvlJc w:val="left"/>
      <w:pPr>
        <w:ind w:left="3600" w:hanging="360"/>
      </w:pPr>
    </w:lvl>
    <w:lvl w:ilvl="5" w:tplc="81A63054">
      <w:start w:val="1"/>
      <w:numFmt w:val="lowerRoman"/>
      <w:lvlText w:val="%6."/>
      <w:lvlJc w:val="right"/>
      <w:pPr>
        <w:ind w:left="4320" w:hanging="180"/>
      </w:pPr>
    </w:lvl>
    <w:lvl w:ilvl="6" w:tplc="916EC9F4">
      <w:start w:val="1"/>
      <w:numFmt w:val="decimal"/>
      <w:lvlText w:val="%7."/>
      <w:lvlJc w:val="left"/>
      <w:pPr>
        <w:ind w:left="5040" w:hanging="360"/>
      </w:pPr>
    </w:lvl>
    <w:lvl w:ilvl="7" w:tplc="394C8E6A">
      <w:start w:val="1"/>
      <w:numFmt w:val="lowerLetter"/>
      <w:lvlText w:val="%8."/>
      <w:lvlJc w:val="left"/>
      <w:pPr>
        <w:ind w:left="5760" w:hanging="360"/>
      </w:pPr>
    </w:lvl>
    <w:lvl w:ilvl="8" w:tplc="F55ED3E6">
      <w:start w:val="1"/>
      <w:numFmt w:val="lowerRoman"/>
      <w:lvlText w:val="%9."/>
      <w:lvlJc w:val="right"/>
      <w:pPr>
        <w:ind w:left="6480" w:hanging="180"/>
      </w:pPr>
    </w:lvl>
  </w:abstractNum>
  <w:abstractNum w:abstractNumId="26" w15:restartNumberingAfterBreak="0">
    <w:nsid w:val="6BE04892"/>
    <w:multiLevelType w:val="hybridMultilevel"/>
    <w:tmpl w:val="25B4AE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245840"/>
    <w:multiLevelType w:val="hybridMultilevel"/>
    <w:tmpl w:val="77044C8A"/>
    <w:lvl w:ilvl="0" w:tplc="FFFFFFFF">
      <w:start w:val="1"/>
      <w:numFmt w:val="upperRoman"/>
      <w:lvlText w:val="%1."/>
      <w:lvlJc w:val="left"/>
      <w:pPr>
        <w:ind w:left="1080" w:hanging="72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9707519">
    <w:abstractNumId w:val="13"/>
  </w:num>
  <w:num w:numId="2" w16cid:durableId="297145582">
    <w:abstractNumId w:val="11"/>
  </w:num>
  <w:num w:numId="3" w16cid:durableId="1269658284">
    <w:abstractNumId w:val="21"/>
  </w:num>
  <w:num w:numId="4" w16cid:durableId="179975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575391">
    <w:abstractNumId w:val="15"/>
  </w:num>
  <w:num w:numId="6" w16cid:durableId="1121194636">
    <w:abstractNumId w:val="2"/>
  </w:num>
  <w:num w:numId="7" w16cid:durableId="6447912">
    <w:abstractNumId w:val="8"/>
  </w:num>
  <w:num w:numId="8" w16cid:durableId="335961938">
    <w:abstractNumId w:val="24"/>
  </w:num>
  <w:num w:numId="9" w16cid:durableId="1706901015">
    <w:abstractNumId w:val="4"/>
  </w:num>
  <w:num w:numId="10" w16cid:durableId="288820286">
    <w:abstractNumId w:val="14"/>
  </w:num>
  <w:num w:numId="11" w16cid:durableId="1099106299">
    <w:abstractNumId w:val="0"/>
  </w:num>
  <w:num w:numId="12" w16cid:durableId="135609280">
    <w:abstractNumId w:val="6"/>
  </w:num>
  <w:num w:numId="13" w16cid:durableId="1629428892">
    <w:abstractNumId w:val="26"/>
  </w:num>
  <w:num w:numId="14" w16cid:durableId="826633694">
    <w:abstractNumId w:val="20"/>
  </w:num>
  <w:num w:numId="15" w16cid:durableId="1242330172">
    <w:abstractNumId w:val="27"/>
  </w:num>
  <w:num w:numId="16" w16cid:durableId="2119131721">
    <w:abstractNumId w:val="17"/>
  </w:num>
  <w:num w:numId="17" w16cid:durableId="541796242">
    <w:abstractNumId w:val="9"/>
  </w:num>
  <w:num w:numId="18" w16cid:durableId="485899974">
    <w:abstractNumId w:val="5"/>
  </w:num>
  <w:num w:numId="19" w16cid:durableId="1363358293">
    <w:abstractNumId w:val="16"/>
  </w:num>
  <w:num w:numId="20" w16cid:durableId="2024700812">
    <w:abstractNumId w:val="25"/>
  </w:num>
  <w:num w:numId="21" w16cid:durableId="1002777129">
    <w:abstractNumId w:val="22"/>
  </w:num>
  <w:num w:numId="22" w16cid:durableId="436414281">
    <w:abstractNumId w:val="1"/>
  </w:num>
  <w:num w:numId="23" w16cid:durableId="661354941">
    <w:abstractNumId w:val="23"/>
  </w:num>
  <w:num w:numId="24" w16cid:durableId="519005581">
    <w:abstractNumId w:val="3"/>
  </w:num>
  <w:num w:numId="25" w16cid:durableId="1491368310">
    <w:abstractNumId w:val="12"/>
  </w:num>
  <w:num w:numId="26" w16cid:durableId="848836602">
    <w:abstractNumId w:val="19"/>
  </w:num>
  <w:num w:numId="27" w16cid:durableId="979336233">
    <w:abstractNumId w:val="10"/>
  </w:num>
  <w:num w:numId="28" w16cid:durableId="909584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04AB2"/>
    <w:rsid w:val="00005E9F"/>
    <w:rsid w:val="0000634E"/>
    <w:rsid w:val="00010883"/>
    <w:rsid w:val="000123D5"/>
    <w:rsid w:val="0001271A"/>
    <w:rsid w:val="000129F1"/>
    <w:rsid w:val="000143CF"/>
    <w:rsid w:val="000165CE"/>
    <w:rsid w:val="00021C5F"/>
    <w:rsid w:val="00024E33"/>
    <w:rsid w:val="00026630"/>
    <w:rsid w:val="00030BFA"/>
    <w:rsid w:val="00030F59"/>
    <w:rsid w:val="000342B6"/>
    <w:rsid w:val="00034468"/>
    <w:rsid w:val="00036073"/>
    <w:rsid w:val="000365F3"/>
    <w:rsid w:val="00036623"/>
    <w:rsid w:val="000409C4"/>
    <w:rsid w:val="000420CB"/>
    <w:rsid w:val="000439F6"/>
    <w:rsid w:val="00044942"/>
    <w:rsid w:val="000454B2"/>
    <w:rsid w:val="00046377"/>
    <w:rsid w:val="00047E67"/>
    <w:rsid w:val="00050879"/>
    <w:rsid w:val="00051FFB"/>
    <w:rsid w:val="0005370C"/>
    <w:rsid w:val="00056664"/>
    <w:rsid w:val="00056CF5"/>
    <w:rsid w:val="00057419"/>
    <w:rsid w:val="000576BA"/>
    <w:rsid w:val="00062239"/>
    <w:rsid w:val="00062D4F"/>
    <w:rsid w:val="000641A1"/>
    <w:rsid w:val="00067477"/>
    <w:rsid w:val="00072087"/>
    <w:rsid w:val="000734A4"/>
    <w:rsid w:val="00073C61"/>
    <w:rsid w:val="00077E71"/>
    <w:rsid w:val="00082081"/>
    <w:rsid w:val="0008238F"/>
    <w:rsid w:val="00085935"/>
    <w:rsid w:val="00086B2B"/>
    <w:rsid w:val="0008720A"/>
    <w:rsid w:val="00087636"/>
    <w:rsid w:val="00087698"/>
    <w:rsid w:val="0009066F"/>
    <w:rsid w:val="000908B8"/>
    <w:rsid w:val="00090B13"/>
    <w:rsid w:val="000910FC"/>
    <w:rsid w:val="00092D6B"/>
    <w:rsid w:val="0009525E"/>
    <w:rsid w:val="00095B18"/>
    <w:rsid w:val="0009644E"/>
    <w:rsid w:val="00096476"/>
    <w:rsid w:val="00096F60"/>
    <w:rsid w:val="000A187F"/>
    <w:rsid w:val="000A1AFD"/>
    <w:rsid w:val="000A1F17"/>
    <w:rsid w:val="000A4730"/>
    <w:rsid w:val="000A64DE"/>
    <w:rsid w:val="000A66B8"/>
    <w:rsid w:val="000A6F09"/>
    <w:rsid w:val="000A7CB3"/>
    <w:rsid w:val="000B042D"/>
    <w:rsid w:val="000B16EB"/>
    <w:rsid w:val="000B3BF8"/>
    <w:rsid w:val="000B4DB3"/>
    <w:rsid w:val="000C1B11"/>
    <w:rsid w:val="000C34C0"/>
    <w:rsid w:val="000C380B"/>
    <w:rsid w:val="000C47FF"/>
    <w:rsid w:val="000C6340"/>
    <w:rsid w:val="000D3E11"/>
    <w:rsid w:val="000D417A"/>
    <w:rsid w:val="000D47B3"/>
    <w:rsid w:val="000D5FF4"/>
    <w:rsid w:val="000D6A57"/>
    <w:rsid w:val="000E10CF"/>
    <w:rsid w:val="000E1DDC"/>
    <w:rsid w:val="000E3815"/>
    <w:rsid w:val="000E409D"/>
    <w:rsid w:val="000E79B7"/>
    <w:rsid w:val="000F1A15"/>
    <w:rsid w:val="000F1E67"/>
    <w:rsid w:val="000F3447"/>
    <w:rsid w:val="000F3F44"/>
    <w:rsid w:val="000F4037"/>
    <w:rsid w:val="000F4F4E"/>
    <w:rsid w:val="000F56E0"/>
    <w:rsid w:val="000F5881"/>
    <w:rsid w:val="000F7092"/>
    <w:rsid w:val="000F7611"/>
    <w:rsid w:val="001008D1"/>
    <w:rsid w:val="0010272B"/>
    <w:rsid w:val="0010312A"/>
    <w:rsid w:val="00104CDD"/>
    <w:rsid w:val="00104FE7"/>
    <w:rsid w:val="00106A7F"/>
    <w:rsid w:val="0010720F"/>
    <w:rsid w:val="00110F19"/>
    <w:rsid w:val="0011158A"/>
    <w:rsid w:val="00111994"/>
    <w:rsid w:val="00114808"/>
    <w:rsid w:val="001154FF"/>
    <w:rsid w:val="0011570E"/>
    <w:rsid w:val="001215B4"/>
    <w:rsid w:val="00124130"/>
    <w:rsid w:val="00125011"/>
    <w:rsid w:val="00132F99"/>
    <w:rsid w:val="00134959"/>
    <w:rsid w:val="00136514"/>
    <w:rsid w:val="0014186C"/>
    <w:rsid w:val="00143423"/>
    <w:rsid w:val="001446B9"/>
    <w:rsid w:val="001449FD"/>
    <w:rsid w:val="00144BF6"/>
    <w:rsid w:val="00147EA4"/>
    <w:rsid w:val="00152818"/>
    <w:rsid w:val="00153E31"/>
    <w:rsid w:val="00155ABD"/>
    <w:rsid w:val="00156026"/>
    <w:rsid w:val="001565F9"/>
    <w:rsid w:val="00160BDA"/>
    <w:rsid w:val="00164645"/>
    <w:rsid w:val="00166A66"/>
    <w:rsid w:val="0016754B"/>
    <w:rsid w:val="00171101"/>
    <w:rsid w:val="00171831"/>
    <w:rsid w:val="00171CB3"/>
    <w:rsid w:val="001727D6"/>
    <w:rsid w:val="00172ACF"/>
    <w:rsid w:val="0017300D"/>
    <w:rsid w:val="00175095"/>
    <w:rsid w:val="00175384"/>
    <w:rsid w:val="0017732D"/>
    <w:rsid w:val="00177C41"/>
    <w:rsid w:val="001805DC"/>
    <w:rsid w:val="001809B8"/>
    <w:rsid w:val="00180AF8"/>
    <w:rsid w:val="00181037"/>
    <w:rsid w:val="00181B2A"/>
    <w:rsid w:val="00181B88"/>
    <w:rsid w:val="00182708"/>
    <w:rsid w:val="0018319A"/>
    <w:rsid w:val="001861DE"/>
    <w:rsid w:val="0018642B"/>
    <w:rsid w:val="00187313"/>
    <w:rsid w:val="00187940"/>
    <w:rsid w:val="00190AC5"/>
    <w:rsid w:val="00191275"/>
    <w:rsid w:val="00193973"/>
    <w:rsid w:val="00196F37"/>
    <w:rsid w:val="001A3E82"/>
    <w:rsid w:val="001A4805"/>
    <w:rsid w:val="001A4ED7"/>
    <w:rsid w:val="001A59C1"/>
    <w:rsid w:val="001A5ED5"/>
    <w:rsid w:val="001A6FB7"/>
    <w:rsid w:val="001A77BA"/>
    <w:rsid w:val="001A7AF4"/>
    <w:rsid w:val="001B0DA0"/>
    <w:rsid w:val="001B1AC4"/>
    <w:rsid w:val="001B247F"/>
    <w:rsid w:val="001B2487"/>
    <w:rsid w:val="001B27D7"/>
    <w:rsid w:val="001B33AE"/>
    <w:rsid w:val="001B46C2"/>
    <w:rsid w:val="001B48BA"/>
    <w:rsid w:val="001B5E1E"/>
    <w:rsid w:val="001B64D9"/>
    <w:rsid w:val="001B799A"/>
    <w:rsid w:val="001C10EA"/>
    <w:rsid w:val="001C42EB"/>
    <w:rsid w:val="001C56A3"/>
    <w:rsid w:val="001C597E"/>
    <w:rsid w:val="001D18AD"/>
    <w:rsid w:val="001D4D68"/>
    <w:rsid w:val="001D50DF"/>
    <w:rsid w:val="001E1324"/>
    <w:rsid w:val="001E18BF"/>
    <w:rsid w:val="001E3411"/>
    <w:rsid w:val="001E78EF"/>
    <w:rsid w:val="001F1B41"/>
    <w:rsid w:val="001F2F13"/>
    <w:rsid w:val="001F61A8"/>
    <w:rsid w:val="00203289"/>
    <w:rsid w:val="00204A53"/>
    <w:rsid w:val="00204EAA"/>
    <w:rsid w:val="002107A8"/>
    <w:rsid w:val="0021358C"/>
    <w:rsid w:val="00213720"/>
    <w:rsid w:val="0021B5A1"/>
    <w:rsid w:val="00220A96"/>
    <w:rsid w:val="00220C3B"/>
    <w:rsid w:val="00220D48"/>
    <w:rsid w:val="00221621"/>
    <w:rsid w:val="00221A8F"/>
    <w:rsid w:val="0022635B"/>
    <w:rsid w:val="00226427"/>
    <w:rsid w:val="0022708F"/>
    <w:rsid w:val="0022784B"/>
    <w:rsid w:val="00230570"/>
    <w:rsid w:val="0023365F"/>
    <w:rsid w:val="00233B5E"/>
    <w:rsid w:val="00236EA1"/>
    <w:rsid w:val="00237556"/>
    <w:rsid w:val="00237832"/>
    <w:rsid w:val="00237C8C"/>
    <w:rsid w:val="0024004B"/>
    <w:rsid w:val="00240914"/>
    <w:rsid w:val="00240A68"/>
    <w:rsid w:val="00240EE0"/>
    <w:rsid w:val="00241A23"/>
    <w:rsid w:val="00242F64"/>
    <w:rsid w:val="002430DD"/>
    <w:rsid w:val="002439A3"/>
    <w:rsid w:val="00243E14"/>
    <w:rsid w:val="00243F78"/>
    <w:rsid w:val="002440E9"/>
    <w:rsid w:val="002469D1"/>
    <w:rsid w:val="00250985"/>
    <w:rsid w:val="00251075"/>
    <w:rsid w:val="00251546"/>
    <w:rsid w:val="00252840"/>
    <w:rsid w:val="00253EAE"/>
    <w:rsid w:val="00255789"/>
    <w:rsid w:val="00260505"/>
    <w:rsid w:val="00264100"/>
    <w:rsid w:val="0026511A"/>
    <w:rsid w:val="002658CA"/>
    <w:rsid w:val="00266A39"/>
    <w:rsid w:val="00266AA3"/>
    <w:rsid w:val="00267A35"/>
    <w:rsid w:val="00270B5C"/>
    <w:rsid w:val="0027139C"/>
    <w:rsid w:val="00272519"/>
    <w:rsid w:val="002734D9"/>
    <w:rsid w:val="00273DD8"/>
    <w:rsid w:val="0027705B"/>
    <w:rsid w:val="00282223"/>
    <w:rsid w:val="00283159"/>
    <w:rsid w:val="00283859"/>
    <w:rsid w:val="002859A6"/>
    <w:rsid w:val="00290F9E"/>
    <w:rsid w:val="00291BE8"/>
    <w:rsid w:val="00293DA1"/>
    <w:rsid w:val="002950E7"/>
    <w:rsid w:val="0029569D"/>
    <w:rsid w:val="00296714"/>
    <w:rsid w:val="00296749"/>
    <w:rsid w:val="002975A6"/>
    <w:rsid w:val="002A0797"/>
    <w:rsid w:val="002A1310"/>
    <w:rsid w:val="002A1889"/>
    <w:rsid w:val="002A4838"/>
    <w:rsid w:val="002B0461"/>
    <w:rsid w:val="002B20A3"/>
    <w:rsid w:val="002B2A7B"/>
    <w:rsid w:val="002B3F55"/>
    <w:rsid w:val="002C21E5"/>
    <w:rsid w:val="002C3F0A"/>
    <w:rsid w:val="002C4001"/>
    <w:rsid w:val="002C57BC"/>
    <w:rsid w:val="002D247D"/>
    <w:rsid w:val="002D36C6"/>
    <w:rsid w:val="002D495A"/>
    <w:rsid w:val="002D511D"/>
    <w:rsid w:val="002E0D5B"/>
    <w:rsid w:val="002E34EA"/>
    <w:rsid w:val="002E599D"/>
    <w:rsid w:val="002E6B81"/>
    <w:rsid w:val="002F12B6"/>
    <w:rsid w:val="002F2ACE"/>
    <w:rsid w:val="002F383A"/>
    <w:rsid w:val="0030051C"/>
    <w:rsid w:val="00300FEB"/>
    <w:rsid w:val="00302603"/>
    <w:rsid w:val="00311D0E"/>
    <w:rsid w:val="00311F60"/>
    <w:rsid w:val="0031263F"/>
    <w:rsid w:val="00313998"/>
    <w:rsid w:val="003144EF"/>
    <w:rsid w:val="00314F4D"/>
    <w:rsid w:val="00315853"/>
    <w:rsid w:val="00315C53"/>
    <w:rsid w:val="00316FB8"/>
    <w:rsid w:val="003172B5"/>
    <w:rsid w:val="003176E9"/>
    <w:rsid w:val="00322CB1"/>
    <w:rsid w:val="003232DD"/>
    <w:rsid w:val="003233C6"/>
    <w:rsid w:val="0032621C"/>
    <w:rsid w:val="00332FBB"/>
    <w:rsid w:val="00333860"/>
    <w:rsid w:val="00333EE9"/>
    <w:rsid w:val="0033438F"/>
    <w:rsid w:val="003369A6"/>
    <w:rsid w:val="00337B89"/>
    <w:rsid w:val="00340484"/>
    <w:rsid w:val="00341C44"/>
    <w:rsid w:val="00344140"/>
    <w:rsid w:val="00344556"/>
    <w:rsid w:val="00345B90"/>
    <w:rsid w:val="00346FD8"/>
    <w:rsid w:val="003514FA"/>
    <w:rsid w:val="0035378E"/>
    <w:rsid w:val="0035424D"/>
    <w:rsid w:val="00355465"/>
    <w:rsid w:val="00362A29"/>
    <w:rsid w:val="0036319B"/>
    <w:rsid w:val="00372D78"/>
    <w:rsid w:val="00373CFC"/>
    <w:rsid w:val="0037586D"/>
    <w:rsid w:val="00376965"/>
    <w:rsid w:val="00376C41"/>
    <w:rsid w:val="00381CAA"/>
    <w:rsid w:val="00383695"/>
    <w:rsid w:val="0038537A"/>
    <w:rsid w:val="00385541"/>
    <w:rsid w:val="0038615F"/>
    <w:rsid w:val="003867F6"/>
    <w:rsid w:val="00390AC3"/>
    <w:rsid w:val="00391754"/>
    <w:rsid w:val="00392985"/>
    <w:rsid w:val="003937C6"/>
    <w:rsid w:val="003945F6"/>
    <w:rsid w:val="003A0BC2"/>
    <w:rsid w:val="003A11AE"/>
    <w:rsid w:val="003A176E"/>
    <w:rsid w:val="003A1D3E"/>
    <w:rsid w:val="003A5A9A"/>
    <w:rsid w:val="003A6BA4"/>
    <w:rsid w:val="003A6F6D"/>
    <w:rsid w:val="003A7630"/>
    <w:rsid w:val="003A77A4"/>
    <w:rsid w:val="003B181D"/>
    <w:rsid w:val="003B283A"/>
    <w:rsid w:val="003B2E38"/>
    <w:rsid w:val="003B31D7"/>
    <w:rsid w:val="003B359A"/>
    <w:rsid w:val="003B736A"/>
    <w:rsid w:val="003C11DE"/>
    <w:rsid w:val="003C1E49"/>
    <w:rsid w:val="003C3A39"/>
    <w:rsid w:val="003C60FE"/>
    <w:rsid w:val="003C6156"/>
    <w:rsid w:val="003C62D9"/>
    <w:rsid w:val="003D10BA"/>
    <w:rsid w:val="003D45D9"/>
    <w:rsid w:val="003D4CC9"/>
    <w:rsid w:val="003D50E6"/>
    <w:rsid w:val="003D5E65"/>
    <w:rsid w:val="003D6C29"/>
    <w:rsid w:val="003D7F44"/>
    <w:rsid w:val="003E0829"/>
    <w:rsid w:val="003E352D"/>
    <w:rsid w:val="003E4459"/>
    <w:rsid w:val="003F02E0"/>
    <w:rsid w:val="003F471F"/>
    <w:rsid w:val="003F4BFD"/>
    <w:rsid w:val="003F768F"/>
    <w:rsid w:val="00403263"/>
    <w:rsid w:val="0040598F"/>
    <w:rsid w:val="00406EFE"/>
    <w:rsid w:val="00411F68"/>
    <w:rsid w:val="00413D11"/>
    <w:rsid w:val="00417CE5"/>
    <w:rsid w:val="00420875"/>
    <w:rsid w:val="00420C5B"/>
    <w:rsid w:val="004212EA"/>
    <w:rsid w:val="00421741"/>
    <w:rsid w:val="00424670"/>
    <w:rsid w:val="00424824"/>
    <w:rsid w:val="00425246"/>
    <w:rsid w:val="004264B0"/>
    <w:rsid w:val="0042680D"/>
    <w:rsid w:val="004269AE"/>
    <w:rsid w:val="00430A63"/>
    <w:rsid w:val="0043223D"/>
    <w:rsid w:val="00436B42"/>
    <w:rsid w:val="0044193C"/>
    <w:rsid w:val="00442107"/>
    <w:rsid w:val="004428CB"/>
    <w:rsid w:val="00443A86"/>
    <w:rsid w:val="0044517E"/>
    <w:rsid w:val="00446A94"/>
    <w:rsid w:val="00447E44"/>
    <w:rsid w:val="00450118"/>
    <w:rsid w:val="00450405"/>
    <w:rsid w:val="00452E8B"/>
    <w:rsid w:val="00453314"/>
    <w:rsid w:val="004533B4"/>
    <w:rsid w:val="00453925"/>
    <w:rsid w:val="004545BF"/>
    <w:rsid w:val="004618B9"/>
    <w:rsid w:val="0046400E"/>
    <w:rsid w:val="0047022E"/>
    <w:rsid w:val="004727F3"/>
    <w:rsid w:val="00476CC4"/>
    <w:rsid w:val="00480191"/>
    <w:rsid w:val="004801B3"/>
    <w:rsid w:val="00480938"/>
    <w:rsid w:val="00481D25"/>
    <w:rsid w:val="00483530"/>
    <w:rsid w:val="00486525"/>
    <w:rsid w:val="004866AE"/>
    <w:rsid w:val="004906DD"/>
    <w:rsid w:val="004A0749"/>
    <w:rsid w:val="004A17D9"/>
    <w:rsid w:val="004A3DCC"/>
    <w:rsid w:val="004A5B01"/>
    <w:rsid w:val="004A68F3"/>
    <w:rsid w:val="004A6DC8"/>
    <w:rsid w:val="004A7482"/>
    <w:rsid w:val="004A7D93"/>
    <w:rsid w:val="004A7ED2"/>
    <w:rsid w:val="004A7FF9"/>
    <w:rsid w:val="004B1E4E"/>
    <w:rsid w:val="004B4CAF"/>
    <w:rsid w:val="004B6364"/>
    <w:rsid w:val="004B73AF"/>
    <w:rsid w:val="004C054A"/>
    <w:rsid w:val="004C23BA"/>
    <w:rsid w:val="004C5BB3"/>
    <w:rsid w:val="004C7863"/>
    <w:rsid w:val="004D167F"/>
    <w:rsid w:val="004D2568"/>
    <w:rsid w:val="004D25A2"/>
    <w:rsid w:val="004D3EE9"/>
    <w:rsid w:val="004D6454"/>
    <w:rsid w:val="004D79F7"/>
    <w:rsid w:val="004E195B"/>
    <w:rsid w:val="004E6539"/>
    <w:rsid w:val="004E7176"/>
    <w:rsid w:val="004E783D"/>
    <w:rsid w:val="004F0452"/>
    <w:rsid w:val="004F080D"/>
    <w:rsid w:val="004F2465"/>
    <w:rsid w:val="004F34E5"/>
    <w:rsid w:val="004F3620"/>
    <w:rsid w:val="004F3EDC"/>
    <w:rsid w:val="004F57B6"/>
    <w:rsid w:val="004F7777"/>
    <w:rsid w:val="00507F2B"/>
    <w:rsid w:val="005109EA"/>
    <w:rsid w:val="0051122E"/>
    <w:rsid w:val="00511BD2"/>
    <w:rsid w:val="005132BB"/>
    <w:rsid w:val="0051679D"/>
    <w:rsid w:val="005169AE"/>
    <w:rsid w:val="00520210"/>
    <w:rsid w:val="00520240"/>
    <w:rsid w:val="00520793"/>
    <w:rsid w:val="00520A46"/>
    <w:rsid w:val="00521F20"/>
    <w:rsid w:val="00524166"/>
    <w:rsid w:val="00524C18"/>
    <w:rsid w:val="00524C71"/>
    <w:rsid w:val="00525B65"/>
    <w:rsid w:val="0052699E"/>
    <w:rsid w:val="00527A60"/>
    <w:rsid w:val="0053255A"/>
    <w:rsid w:val="005336C2"/>
    <w:rsid w:val="00534C5B"/>
    <w:rsid w:val="00534CED"/>
    <w:rsid w:val="005403E3"/>
    <w:rsid w:val="0054125A"/>
    <w:rsid w:val="00542E3A"/>
    <w:rsid w:val="00544A4D"/>
    <w:rsid w:val="00546825"/>
    <w:rsid w:val="00546AFB"/>
    <w:rsid w:val="005536AD"/>
    <w:rsid w:val="0055461C"/>
    <w:rsid w:val="00556B0D"/>
    <w:rsid w:val="00560BF3"/>
    <w:rsid w:val="0056409D"/>
    <w:rsid w:val="00564B76"/>
    <w:rsid w:val="00565849"/>
    <w:rsid w:val="005716EB"/>
    <w:rsid w:val="00571EF6"/>
    <w:rsid w:val="00577EB4"/>
    <w:rsid w:val="00582C7E"/>
    <w:rsid w:val="005839D1"/>
    <w:rsid w:val="0058529F"/>
    <w:rsid w:val="005930CE"/>
    <w:rsid w:val="00593BE1"/>
    <w:rsid w:val="005940BB"/>
    <w:rsid w:val="005945B3"/>
    <w:rsid w:val="00594DDF"/>
    <w:rsid w:val="00595329"/>
    <w:rsid w:val="0059568D"/>
    <w:rsid w:val="00596B08"/>
    <w:rsid w:val="0059754B"/>
    <w:rsid w:val="005A3F92"/>
    <w:rsid w:val="005A4CA4"/>
    <w:rsid w:val="005B0C1B"/>
    <w:rsid w:val="005B13E3"/>
    <w:rsid w:val="005B1C6A"/>
    <w:rsid w:val="005B1EC8"/>
    <w:rsid w:val="005B394A"/>
    <w:rsid w:val="005B3B66"/>
    <w:rsid w:val="005B440D"/>
    <w:rsid w:val="005B4D7B"/>
    <w:rsid w:val="005C07EA"/>
    <w:rsid w:val="005C0CF0"/>
    <w:rsid w:val="005C0D34"/>
    <w:rsid w:val="005C183B"/>
    <w:rsid w:val="005C32D3"/>
    <w:rsid w:val="005C3881"/>
    <w:rsid w:val="005C58B6"/>
    <w:rsid w:val="005C5BF7"/>
    <w:rsid w:val="005C664A"/>
    <w:rsid w:val="005C7789"/>
    <w:rsid w:val="005C7E4C"/>
    <w:rsid w:val="005D1E09"/>
    <w:rsid w:val="005D2D15"/>
    <w:rsid w:val="005D46DC"/>
    <w:rsid w:val="005D471E"/>
    <w:rsid w:val="005D4EE6"/>
    <w:rsid w:val="005D50A6"/>
    <w:rsid w:val="005D6280"/>
    <w:rsid w:val="005D6822"/>
    <w:rsid w:val="005D7403"/>
    <w:rsid w:val="005E3AB8"/>
    <w:rsid w:val="005E48B7"/>
    <w:rsid w:val="005E49EB"/>
    <w:rsid w:val="005E74FE"/>
    <w:rsid w:val="005E7EF0"/>
    <w:rsid w:val="005F04BB"/>
    <w:rsid w:val="005F1F96"/>
    <w:rsid w:val="005F2A19"/>
    <w:rsid w:val="005F3904"/>
    <w:rsid w:val="005F5EBD"/>
    <w:rsid w:val="005F6166"/>
    <w:rsid w:val="005F69F7"/>
    <w:rsid w:val="005F71E9"/>
    <w:rsid w:val="005F7F17"/>
    <w:rsid w:val="0060001F"/>
    <w:rsid w:val="0060142D"/>
    <w:rsid w:val="006037D7"/>
    <w:rsid w:val="00604F55"/>
    <w:rsid w:val="0060568A"/>
    <w:rsid w:val="006116B4"/>
    <w:rsid w:val="006119B2"/>
    <w:rsid w:val="00611DB1"/>
    <w:rsid w:val="00613D87"/>
    <w:rsid w:val="00615F4D"/>
    <w:rsid w:val="0061656C"/>
    <w:rsid w:val="0061778F"/>
    <w:rsid w:val="00620195"/>
    <w:rsid w:val="006231AD"/>
    <w:rsid w:val="00624A10"/>
    <w:rsid w:val="00624EDC"/>
    <w:rsid w:val="00626C39"/>
    <w:rsid w:val="00626E67"/>
    <w:rsid w:val="006311A0"/>
    <w:rsid w:val="006316A6"/>
    <w:rsid w:val="00635C4F"/>
    <w:rsid w:val="006363E7"/>
    <w:rsid w:val="00636636"/>
    <w:rsid w:val="0063755D"/>
    <w:rsid w:val="00642C08"/>
    <w:rsid w:val="0064388B"/>
    <w:rsid w:val="00643D7A"/>
    <w:rsid w:val="00646D29"/>
    <w:rsid w:val="00647429"/>
    <w:rsid w:val="00647CE6"/>
    <w:rsid w:val="00647E48"/>
    <w:rsid w:val="00650720"/>
    <w:rsid w:val="00651088"/>
    <w:rsid w:val="006511C3"/>
    <w:rsid w:val="00653A1D"/>
    <w:rsid w:val="006547C7"/>
    <w:rsid w:val="00657404"/>
    <w:rsid w:val="00657768"/>
    <w:rsid w:val="006613E4"/>
    <w:rsid w:val="006616EA"/>
    <w:rsid w:val="0066266F"/>
    <w:rsid w:val="0066318F"/>
    <w:rsid w:val="00663FBE"/>
    <w:rsid w:val="00671C60"/>
    <w:rsid w:val="00673829"/>
    <w:rsid w:val="00675D3D"/>
    <w:rsid w:val="00675F6C"/>
    <w:rsid w:val="00680101"/>
    <w:rsid w:val="0068192C"/>
    <w:rsid w:val="006825DB"/>
    <w:rsid w:val="00683156"/>
    <w:rsid w:val="00683459"/>
    <w:rsid w:val="00683A03"/>
    <w:rsid w:val="0068631A"/>
    <w:rsid w:val="00686B8D"/>
    <w:rsid w:val="00686E1D"/>
    <w:rsid w:val="00691FFD"/>
    <w:rsid w:val="006927DD"/>
    <w:rsid w:val="00694DFD"/>
    <w:rsid w:val="0069506E"/>
    <w:rsid w:val="00696A8E"/>
    <w:rsid w:val="00696DE7"/>
    <w:rsid w:val="006A1E9D"/>
    <w:rsid w:val="006A27D4"/>
    <w:rsid w:val="006A2CBB"/>
    <w:rsid w:val="006A2E69"/>
    <w:rsid w:val="006A39BA"/>
    <w:rsid w:val="006A4D38"/>
    <w:rsid w:val="006A53D1"/>
    <w:rsid w:val="006A620F"/>
    <w:rsid w:val="006B107F"/>
    <w:rsid w:val="006B124E"/>
    <w:rsid w:val="006B2140"/>
    <w:rsid w:val="006B33DC"/>
    <w:rsid w:val="006B3424"/>
    <w:rsid w:val="006B54C2"/>
    <w:rsid w:val="006B6C19"/>
    <w:rsid w:val="006B7B89"/>
    <w:rsid w:val="006C1207"/>
    <w:rsid w:val="006C529E"/>
    <w:rsid w:val="006D029B"/>
    <w:rsid w:val="006D0D88"/>
    <w:rsid w:val="006D1307"/>
    <w:rsid w:val="006D2E38"/>
    <w:rsid w:val="006D351A"/>
    <w:rsid w:val="006D39C4"/>
    <w:rsid w:val="006D41CC"/>
    <w:rsid w:val="006D4551"/>
    <w:rsid w:val="006D6B22"/>
    <w:rsid w:val="006E048F"/>
    <w:rsid w:val="006E05B2"/>
    <w:rsid w:val="006E3304"/>
    <w:rsid w:val="006E430F"/>
    <w:rsid w:val="006E4D5E"/>
    <w:rsid w:val="006E540B"/>
    <w:rsid w:val="006E557D"/>
    <w:rsid w:val="006E5D7C"/>
    <w:rsid w:val="006E6207"/>
    <w:rsid w:val="006E7D5B"/>
    <w:rsid w:val="006F582F"/>
    <w:rsid w:val="006F5C8F"/>
    <w:rsid w:val="00700633"/>
    <w:rsid w:val="00701D8E"/>
    <w:rsid w:val="007031EC"/>
    <w:rsid w:val="00704D5F"/>
    <w:rsid w:val="00707B90"/>
    <w:rsid w:val="007143B8"/>
    <w:rsid w:val="007153AF"/>
    <w:rsid w:val="0072358B"/>
    <w:rsid w:val="00725BC5"/>
    <w:rsid w:val="007315BA"/>
    <w:rsid w:val="007316AA"/>
    <w:rsid w:val="00740472"/>
    <w:rsid w:val="007417FF"/>
    <w:rsid w:val="00741B9C"/>
    <w:rsid w:val="00742118"/>
    <w:rsid w:val="007421F4"/>
    <w:rsid w:val="00746B35"/>
    <w:rsid w:val="00746C34"/>
    <w:rsid w:val="00746CE3"/>
    <w:rsid w:val="0075176F"/>
    <w:rsid w:val="00751D0F"/>
    <w:rsid w:val="00752A9B"/>
    <w:rsid w:val="00757A1C"/>
    <w:rsid w:val="0076017E"/>
    <w:rsid w:val="007605E8"/>
    <w:rsid w:val="00760EE0"/>
    <w:rsid w:val="007619F8"/>
    <w:rsid w:val="007623F0"/>
    <w:rsid w:val="0076249A"/>
    <w:rsid w:val="007637D8"/>
    <w:rsid w:val="00763B97"/>
    <w:rsid w:val="007652AD"/>
    <w:rsid w:val="00765753"/>
    <w:rsid w:val="00765EBC"/>
    <w:rsid w:val="00767B8D"/>
    <w:rsid w:val="0077231B"/>
    <w:rsid w:val="00774643"/>
    <w:rsid w:val="00774B76"/>
    <w:rsid w:val="00775738"/>
    <w:rsid w:val="00781044"/>
    <w:rsid w:val="00783811"/>
    <w:rsid w:val="007838DE"/>
    <w:rsid w:val="00783A8B"/>
    <w:rsid w:val="0078640E"/>
    <w:rsid w:val="007876E0"/>
    <w:rsid w:val="00787FB6"/>
    <w:rsid w:val="00790963"/>
    <w:rsid w:val="00795D52"/>
    <w:rsid w:val="00797297"/>
    <w:rsid w:val="007A226B"/>
    <w:rsid w:val="007A3C8A"/>
    <w:rsid w:val="007B026A"/>
    <w:rsid w:val="007B14DA"/>
    <w:rsid w:val="007B323E"/>
    <w:rsid w:val="007B510F"/>
    <w:rsid w:val="007B790E"/>
    <w:rsid w:val="007B7BCC"/>
    <w:rsid w:val="007C0145"/>
    <w:rsid w:val="007C0FBD"/>
    <w:rsid w:val="007C2E35"/>
    <w:rsid w:val="007C4387"/>
    <w:rsid w:val="007C53F3"/>
    <w:rsid w:val="007D1C94"/>
    <w:rsid w:val="007D1D67"/>
    <w:rsid w:val="007D1FD4"/>
    <w:rsid w:val="007D2FB7"/>
    <w:rsid w:val="007D5EA8"/>
    <w:rsid w:val="007D605A"/>
    <w:rsid w:val="007E0412"/>
    <w:rsid w:val="007E14EA"/>
    <w:rsid w:val="007E24CA"/>
    <w:rsid w:val="007E2810"/>
    <w:rsid w:val="007E3043"/>
    <w:rsid w:val="007E39CE"/>
    <w:rsid w:val="007E3BAF"/>
    <w:rsid w:val="007E3EB4"/>
    <w:rsid w:val="007E79C4"/>
    <w:rsid w:val="007F017E"/>
    <w:rsid w:val="007F0282"/>
    <w:rsid w:val="007F097B"/>
    <w:rsid w:val="007F23A8"/>
    <w:rsid w:val="007F32F0"/>
    <w:rsid w:val="007F360A"/>
    <w:rsid w:val="007F7925"/>
    <w:rsid w:val="007F7CB2"/>
    <w:rsid w:val="00801E33"/>
    <w:rsid w:val="0080322F"/>
    <w:rsid w:val="00804604"/>
    <w:rsid w:val="00804A40"/>
    <w:rsid w:val="00804E31"/>
    <w:rsid w:val="0081221D"/>
    <w:rsid w:val="008129D5"/>
    <w:rsid w:val="008214B4"/>
    <w:rsid w:val="0082181F"/>
    <w:rsid w:val="00821B4E"/>
    <w:rsid w:val="00821FB9"/>
    <w:rsid w:val="00822C83"/>
    <w:rsid w:val="008257F5"/>
    <w:rsid w:val="00826961"/>
    <w:rsid w:val="00827BDB"/>
    <w:rsid w:val="00832BF4"/>
    <w:rsid w:val="00835A23"/>
    <w:rsid w:val="00836428"/>
    <w:rsid w:val="00837BAE"/>
    <w:rsid w:val="0084261B"/>
    <w:rsid w:val="00842836"/>
    <w:rsid w:val="00842DD7"/>
    <w:rsid w:val="00844143"/>
    <w:rsid w:val="00844E8E"/>
    <w:rsid w:val="00847C78"/>
    <w:rsid w:val="00847E8C"/>
    <w:rsid w:val="00852B97"/>
    <w:rsid w:val="00853492"/>
    <w:rsid w:val="00853D84"/>
    <w:rsid w:val="00854243"/>
    <w:rsid w:val="00861D11"/>
    <w:rsid w:val="00870521"/>
    <w:rsid w:val="00874965"/>
    <w:rsid w:val="00874CFB"/>
    <w:rsid w:val="00874F1B"/>
    <w:rsid w:val="00875650"/>
    <w:rsid w:val="0087642D"/>
    <w:rsid w:val="00881326"/>
    <w:rsid w:val="00882E72"/>
    <w:rsid w:val="008856D7"/>
    <w:rsid w:val="00886EB0"/>
    <w:rsid w:val="00887FF4"/>
    <w:rsid w:val="008902EE"/>
    <w:rsid w:val="00892EBA"/>
    <w:rsid w:val="00893B1F"/>
    <w:rsid w:val="0089523C"/>
    <w:rsid w:val="008952B0"/>
    <w:rsid w:val="008958AD"/>
    <w:rsid w:val="00896357"/>
    <w:rsid w:val="008974FE"/>
    <w:rsid w:val="008A1C69"/>
    <w:rsid w:val="008A39C9"/>
    <w:rsid w:val="008A4294"/>
    <w:rsid w:val="008A4644"/>
    <w:rsid w:val="008A4C99"/>
    <w:rsid w:val="008A66EC"/>
    <w:rsid w:val="008A6898"/>
    <w:rsid w:val="008B0325"/>
    <w:rsid w:val="008B0585"/>
    <w:rsid w:val="008B1D73"/>
    <w:rsid w:val="008B22C2"/>
    <w:rsid w:val="008B759D"/>
    <w:rsid w:val="008C009B"/>
    <w:rsid w:val="008C016B"/>
    <w:rsid w:val="008C0823"/>
    <w:rsid w:val="008C22EE"/>
    <w:rsid w:val="008C3B9B"/>
    <w:rsid w:val="008C3DFB"/>
    <w:rsid w:val="008C4F53"/>
    <w:rsid w:val="008C5446"/>
    <w:rsid w:val="008C54A3"/>
    <w:rsid w:val="008C5718"/>
    <w:rsid w:val="008C78BB"/>
    <w:rsid w:val="008C7B1F"/>
    <w:rsid w:val="008C7B63"/>
    <w:rsid w:val="008D0C86"/>
    <w:rsid w:val="008D30EF"/>
    <w:rsid w:val="008D56BF"/>
    <w:rsid w:val="008D785D"/>
    <w:rsid w:val="008E5358"/>
    <w:rsid w:val="008F0BDD"/>
    <w:rsid w:val="008F1995"/>
    <w:rsid w:val="008F1F25"/>
    <w:rsid w:val="008F20E3"/>
    <w:rsid w:val="008F2F99"/>
    <w:rsid w:val="008F38ED"/>
    <w:rsid w:val="008F421D"/>
    <w:rsid w:val="008F4C4A"/>
    <w:rsid w:val="008F5157"/>
    <w:rsid w:val="008F6084"/>
    <w:rsid w:val="008F7F6E"/>
    <w:rsid w:val="00900578"/>
    <w:rsid w:val="00902BE6"/>
    <w:rsid w:val="0090385F"/>
    <w:rsid w:val="009057C8"/>
    <w:rsid w:val="00905F0A"/>
    <w:rsid w:val="0091177C"/>
    <w:rsid w:val="00913867"/>
    <w:rsid w:val="00915D26"/>
    <w:rsid w:val="0091752D"/>
    <w:rsid w:val="00917CB1"/>
    <w:rsid w:val="0092001B"/>
    <w:rsid w:val="009202F1"/>
    <w:rsid w:val="009228EB"/>
    <w:rsid w:val="00923A86"/>
    <w:rsid w:val="00923F0C"/>
    <w:rsid w:val="0092418B"/>
    <w:rsid w:val="00925501"/>
    <w:rsid w:val="00926CB7"/>
    <w:rsid w:val="0092771F"/>
    <w:rsid w:val="00930E22"/>
    <w:rsid w:val="0093193B"/>
    <w:rsid w:val="00931CA6"/>
    <w:rsid w:val="00931FF5"/>
    <w:rsid w:val="00933603"/>
    <w:rsid w:val="00934349"/>
    <w:rsid w:val="00934375"/>
    <w:rsid w:val="009401A6"/>
    <w:rsid w:val="00944297"/>
    <w:rsid w:val="009450ED"/>
    <w:rsid w:val="00947170"/>
    <w:rsid w:val="00947B3D"/>
    <w:rsid w:val="00947C8E"/>
    <w:rsid w:val="00951232"/>
    <w:rsid w:val="00952398"/>
    <w:rsid w:val="00956E94"/>
    <w:rsid w:val="00960CE1"/>
    <w:rsid w:val="00960E9D"/>
    <w:rsid w:val="009627A1"/>
    <w:rsid w:val="00963485"/>
    <w:rsid w:val="009636BE"/>
    <w:rsid w:val="009649BF"/>
    <w:rsid w:val="00965C47"/>
    <w:rsid w:val="009712FE"/>
    <w:rsid w:val="00972C98"/>
    <w:rsid w:val="00973F73"/>
    <w:rsid w:val="00974E48"/>
    <w:rsid w:val="00977299"/>
    <w:rsid w:val="0097A621"/>
    <w:rsid w:val="00981147"/>
    <w:rsid w:val="0098201A"/>
    <w:rsid w:val="009865A2"/>
    <w:rsid w:val="0098752E"/>
    <w:rsid w:val="009875AD"/>
    <w:rsid w:val="009924AF"/>
    <w:rsid w:val="00993239"/>
    <w:rsid w:val="00994A28"/>
    <w:rsid w:val="00996A22"/>
    <w:rsid w:val="009A0BDC"/>
    <w:rsid w:val="009A19DF"/>
    <w:rsid w:val="009A32F7"/>
    <w:rsid w:val="009A3E27"/>
    <w:rsid w:val="009A4367"/>
    <w:rsid w:val="009A666E"/>
    <w:rsid w:val="009A78AF"/>
    <w:rsid w:val="009A7F71"/>
    <w:rsid w:val="009B0162"/>
    <w:rsid w:val="009B4022"/>
    <w:rsid w:val="009B51D7"/>
    <w:rsid w:val="009B6581"/>
    <w:rsid w:val="009C34ED"/>
    <w:rsid w:val="009C5418"/>
    <w:rsid w:val="009D1363"/>
    <w:rsid w:val="009D1775"/>
    <w:rsid w:val="009D3BEA"/>
    <w:rsid w:val="009D5161"/>
    <w:rsid w:val="009D5566"/>
    <w:rsid w:val="009E34B6"/>
    <w:rsid w:val="009E4D16"/>
    <w:rsid w:val="009E4E52"/>
    <w:rsid w:val="009F0704"/>
    <w:rsid w:val="009F12E2"/>
    <w:rsid w:val="009F224D"/>
    <w:rsid w:val="009F3358"/>
    <w:rsid w:val="009F478B"/>
    <w:rsid w:val="009F69C1"/>
    <w:rsid w:val="009F7FAE"/>
    <w:rsid w:val="00A0040B"/>
    <w:rsid w:val="00A03F1B"/>
    <w:rsid w:val="00A06A2C"/>
    <w:rsid w:val="00A07918"/>
    <w:rsid w:val="00A1323E"/>
    <w:rsid w:val="00A16414"/>
    <w:rsid w:val="00A20640"/>
    <w:rsid w:val="00A21DB4"/>
    <w:rsid w:val="00A23A61"/>
    <w:rsid w:val="00A2423C"/>
    <w:rsid w:val="00A26923"/>
    <w:rsid w:val="00A31193"/>
    <w:rsid w:val="00A3321E"/>
    <w:rsid w:val="00A33459"/>
    <w:rsid w:val="00A340DF"/>
    <w:rsid w:val="00A34B44"/>
    <w:rsid w:val="00A40A68"/>
    <w:rsid w:val="00A40EE1"/>
    <w:rsid w:val="00A423CA"/>
    <w:rsid w:val="00A423ED"/>
    <w:rsid w:val="00A43DF0"/>
    <w:rsid w:val="00A473C4"/>
    <w:rsid w:val="00A4756F"/>
    <w:rsid w:val="00A47F50"/>
    <w:rsid w:val="00A5067A"/>
    <w:rsid w:val="00A536F3"/>
    <w:rsid w:val="00A56FDB"/>
    <w:rsid w:val="00A62289"/>
    <w:rsid w:val="00A63D29"/>
    <w:rsid w:val="00A66359"/>
    <w:rsid w:val="00A67391"/>
    <w:rsid w:val="00A71FCA"/>
    <w:rsid w:val="00A77332"/>
    <w:rsid w:val="00A77B59"/>
    <w:rsid w:val="00A80E26"/>
    <w:rsid w:val="00A812A3"/>
    <w:rsid w:val="00A81C06"/>
    <w:rsid w:val="00A82511"/>
    <w:rsid w:val="00A830B1"/>
    <w:rsid w:val="00A909A5"/>
    <w:rsid w:val="00A9166B"/>
    <w:rsid w:val="00A91D08"/>
    <w:rsid w:val="00A942B1"/>
    <w:rsid w:val="00A94CBC"/>
    <w:rsid w:val="00A97EDD"/>
    <w:rsid w:val="00AA14C3"/>
    <w:rsid w:val="00AA281D"/>
    <w:rsid w:val="00AA2FE9"/>
    <w:rsid w:val="00AA3593"/>
    <w:rsid w:val="00AA6176"/>
    <w:rsid w:val="00AA6318"/>
    <w:rsid w:val="00AA6678"/>
    <w:rsid w:val="00AA6E4A"/>
    <w:rsid w:val="00AA7293"/>
    <w:rsid w:val="00AA7FCB"/>
    <w:rsid w:val="00AB436D"/>
    <w:rsid w:val="00AB59AE"/>
    <w:rsid w:val="00AB5BD9"/>
    <w:rsid w:val="00AC20E4"/>
    <w:rsid w:val="00AC3167"/>
    <w:rsid w:val="00AC41C2"/>
    <w:rsid w:val="00AC6278"/>
    <w:rsid w:val="00AC71FC"/>
    <w:rsid w:val="00AD0AA1"/>
    <w:rsid w:val="00AD304B"/>
    <w:rsid w:val="00AD31A3"/>
    <w:rsid w:val="00AD4188"/>
    <w:rsid w:val="00AD605F"/>
    <w:rsid w:val="00AE07A3"/>
    <w:rsid w:val="00AE1A85"/>
    <w:rsid w:val="00AE1D3D"/>
    <w:rsid w:val="00AE2447"/>
    <w:rsid w:val="00AE2BE2"/>
    <w:rsid w:val="00AE3104"/>
    <w:rsid w:val="00AE372A"/>
    <w:rsid w:val="00AE6783"/>
    <w:rsid w:val="00AE6B98"/>
    <w:rsid w:val="00AF5B8F"/>
    <w:rsid w:val="00B00178"/>
    <w:rsid w:val="00B005B2"/>
    <w:rsid w:val="00B021FF"/>
    <w:rsid w:val="00B04909"/>
    <w:rsid w:val="00B060C8"/>
    <w:rsid w:val="00B06222"/>
    <w:rsid w:val="00B06610"/>
    <w:rsid w:val="00B12DF0"/>
    <w:rsid w:val="00B16757"/>
    <w:rsid w:val="00B16E93"/>
    <w:rsid w:val="00B21BEE"/>
    <w:rsid w:val="00B21D5C"/>
    <w:rsid w:val="00B21DA9"/>
    <w:rsid w:val="00B23CC2"/>
    <w:rsid w:val="00B23DFB"/>
    <w:rsid w:val="00B275A9"/>
    <w:rsid w:val="00B306AA"/>
    <w:rsid w:val="00B309C1"/>
    <w:rsid w:val="00B30F24"/>
    <w:rsid w:val="00B312E2"/>
    <w:rsid w:val="00B318B9"/>
    <w:rsid w:val="00B321F8"/>
    <w:rsid w:val="00B32892"/>
    <w:rsid w:val="00B3419B"/>
    <w:rsid w:val="00B34BAE"/>
    <w:rsid w:val="00B37B7A"/>
    <w:rsid w:val="00B40DBF"/>
    <w:rsid w:val="00B41FB9"/>
    <w:rsid w:val="00B427B0"/>
    <w:rsid w:val="00B42CB9"/>
    <w:rsid w:val="00B42DC0"/>
    <w:rsid w:val="00B439A8"/>
    <w:rsid w:val="00B43CCD"/>
    <w:rsid w:val="00B44231"/>
    <w:rsid w:val="00B457C4"/>
    <w:rsid w:val="00B46644"/>
    <w:rsid w:val="00B46E61"/>
    <w:rsid w:val="00B5097C"/>
    <w:rsid w:val="00B5215F"/>
    <w:rsid w:val="00B54060"/>
    <w:rsid w:val="00B54EAA"/>
    <w:rsid w:val="00B567BA"/>
    <w:rsid w:val="00B60690"/>
    <w:rsid w:val="00B62FEC"/>
    <w:rsid w:val="00B6370A"/>
    <w:rsid w:val="00B641E0"/>
    <w:rsid w:val="00B64418"/>
    <w:rsid w:val="00B64CD5"/>
    <w:rsid w:val="00B66858"/>
    <w:rsid w:val="00B71178"/>
    <w:rsid w:val="00B724F5"/>
    <w:rsid w:val="00B7607C"/>
    <w:rsid w:val="00B80A9A"/>
    <w:rsid w:val="00B8418B"/>
    <w:rsid w:val="00B85693"/>
    <w:rsid w:val="00B86FC9"/>
    <w:rsid w:val="00B914A2"/>
    <w:rsid w:val="00B91C91"/>
    <w:rsid w:val="00B92A8F"/>
    <w:rsid w:val="00B936D9"/>
    <w:rsid w:val="00B9539B"/>
    <w:rsid w:val="00B9541E"/>
    <w:rsid w:val="00B9550A"/>
    <w:rsid w:val="00B96B6C"/>
    <w:rsid w:val="00B97587"/>
    <w:rsid w:val="00B976F7"/>
    <w:rsid w:val="00B97A05"/>
    <w:rsid w:val="00BA225B"/>
    <w:rsid w:val="00BA229C"/>
    <w:rsid w:val="00BA4CDE"/>
    <w:rsid w:val="00BA5FF5"/>
    <w:rsid w:val="00BA6C7E"/>
    <w:rsid w:val="00BB0488"/>
    <w:rsid w:val="00BB16BC"/>
    <w:rsid w:val="00BB1D8C"/>
    <w:rsid w:val="00BB3ED5"/>
    <w:rsid w:val="00BB45BB"/>
    <w:rsid w:val="00BB4AB9"/>
    <w:rsid w:val="00BB5551"/>
    <w:rsid w:val="00BB6E5A"/>
    <w:rsid w:val="00BC07C0"/>
    <w:rsid w:val="00BC0C42"/>
    <w:rsid w:val="00BC55E3"/>
    <w:rsid w:val="00BC5B7D"/>
    <w:rsid w:val="00BD2170"/>
    <w:rsid w:val="00BD3CFF"/>
    <w:rsid w:val="00BD5F62"/>
    <w:rsid w:val="00BD6227"/>
    <w:rsid w:val="00BE0646"/>
    <w:rsid w:val="00BE0AC6"/>
    <w:rsid w:val="00BE2A6A"/>
    <w:rsid w:val="00BE59BD"/>
    <w:rsid w:val="00BE66D3"/>
    <w:rsid w:val="00BE7278"/>
    <w:rsid w:val="00BF244D"/>
    <w:rsid w:val="00BF4D19"/>
    <w:rsid w:val="00BF55BE"/>
    <w:rsid w:val="00BF685C"/>
    <w:rsid w:val="00C00D6E"/>
    <w:rsid w:val="00C0174A"/>
    <w:rsid w:val="00C01C27"/>
    <w:rsid w:val="00C01F38"/>
    <w:rsid w:val="00C027AA"/>
    <w:rsid w:val="00C03F5B"/>
    <w:rsid w:val="00C04D6C"/>
    <w:rsid w:val="00C05D9B"/>
    <w:rsid w:val="00C1221F"/>
    <w:rsid w:val="00C158E3"/>
    <w:rsid w:val="00C1649C"/>
    <w:rsid w:val="00C20177"/>
    <w:rsid w:val="00C2132F"/>
    <w:rsid w:val="00C21766"/>
    <w:rsid w:val="00C250E0"/>
    <w:rsid w:val="00C26130"/>
    <w:rsid w:val="00C26824"/>
    <w:rsid w:val="00C27D0C"/>
    <w:rsid w:val="00C3003A"/>
    <w:rsid w:val="00C315B6"/>
    <w:rsid w:val="00C31C71"/>
    <w:rsid w:val="00C31F89"/>
    <w:rsid w:val="00C32A0C"/>
    <w:rsid w:val="00C36A6F"/>
    <w:rsid w:val="00C37077"/>
    <w:rsid w:val="00C37546"/>
    <w:rsid w:val="00C376F3"/>
    <w:rsid w:val="00C40D3E"/>
    <w:rsid w:val="00C41076"/>
    <w:rsid w:val="00C4132F"/>
    <w:rsid w:val="00C448C7"/>
    <w:rsid w:val="00C44B6C"/>
    <w:rsid w:val="00C463D2"/>
    <w:rsid w:val="00C46733"/>
    <w:rsid w:val="00C50AA8"/>
    <w:rsid w:val="00C52CC0"/>
    <w:rsid w:val="00C53BCF"/>
    <w:rsid w:val="00C577CC"/>
    <w:rsid w:val="00C57DF2"/>
    <w:rsid w:val="00C6086E"/>
    <w:rsid w:val="00C62A44"/>
    <w:rsid w:val="00C62AF2"/>
    <w:rsid w:val="00C637B0"/>
    <w:rsid w:val="00C63CFA"/>
    <w:rsid w:val="00C63FA4"/>
    <w:rsid w:val="00C6695D"/>
    <w:rsid w:val="00C700D1"/>
    <w:rsid w:val="00C71F6D"/>
    <w:rsid w:val="00C722A5"/>
    <w:rsid w:val="00C730C1"/>
    <w:rsid w:val="00C73455"/>
    <w:rsid w:val="00C75F57"/>
    <w:rsid w:val="00C764F3"/>
    <w:rsid w:val="00C80A39"/>
    <w:rsid w:val="00C81936"/>
    <w:rsid w:val="00C82132"/>
    <w:rsid w:val="00C8219F"/>
    <w:rsid w:val="00C83AA1"/>
    <w:rsid w:val="00C8436E"/>
    <w:rsid w:val="00C84C4C"/>
    <w:rsid w:val="00C859B0"/>
    <w:rsid w:val="00C90AD9"/>
    <w:rsid w:val="00C91BEC"/>
    <w:rsid w:val="00C92EED"/>
    <w:rsid w:val="00C937B3"/>
    <w:rsid w:val="00C9446B"/>
    <w:rsid w:val="00C94BA1"/>
    <w:rsid w:val="00C969BC"/>
    <w:rsid w:val="00CA0DA2"/>
    <w:rsid w:val="00CA295C"/>
    <w:rsid w:val="00CA53FA"/>
    <w:rsid w:val="00CA719C"/>
    <w:rsid w:val="00CA7401"/>
    <w:rsid w:val="00CA7D78"/>
    <w:rsid w:val="00CB0CEC"/>
    <w:rsid w:val="00CB4DB4"/>
    <w:rsid w:val="00CB5D88"/>
    <w:rsid w:val="00CB631F"/>
    <w:rsid w:val="00CB7E52"/>
    <w:rsid w:val="00CC0A9B"/>
    <w:rsid w:val="00CC19B4"/>
    <w:rsid w:val="00CC310E"/>
    <w:rsid w:val="00CC4659"/>
    <w:rsid w:val="00CC5314"/>
    <w:rsid w:val="00CC5A80"/>
    <w:rsid w:val="00CC65F5"/>
    <w:rsid w:val="00CD34FC"/>
    <w:rsid w:val="00CD4543"/>
    <w:rsid w:val="00CD5294"/>
    <w:rsid w:val="00CD52C5"/>
    <w:rsid w:val="00CD71FA"/>
    <w:rsid w:val="00CE1BC3"/>
    <w:rsid w:val="00CE2872"/>
    <w:rsid w:val="00CE2F48"/>
    <w:rsid w:val="00CE45CF"/>
    <w:rsid w:val="00CE52E8"/>
    <w:rsid w:val="00CE58A1"/>
    <w:rsid w:val="00CE624F"/>
    <w:rsid w:val="00CE787E"/>
    <w:rsid w:val="00CF3305"/>
    <w:rsid w:val="00CF3601"/>
    <w:rsid w:val="00CF61CE"/>
    <w:rsid w:val="00CF7BC9"/>
    <w:rsid w:val="00CF7E91"/>
    <w:rsid w:val="00D0019C"/>
    <w:rsid w:val="00D01D99"/>
    <w:rsid w:val="00D024CB"/>
    <w:rsid w:val="00D1627E"/>
    <w:rsid w:val="00D17F80"/>
    <w:rsid w:val="00D20FD8"/>
    <w:rsid w:val="00D21093"/>
    <w:rsid w:val="00D22B0F"/>
    <w:rsid w:val="00D25C36"/>
    <w:rsid w:val="00D2674E"/>
    <w:rsid w:val="00D26F47"/>
    <w:rsid w:val="00D27BEA"/>
    <w:rsid w:val="00D3182B"/>
    <w:rsid w:val="00D3202B"/>
    <w:rsid w:val="00D32546"/>
    <w:rsid w:val="00D4161F"/>
    <w:rsid w:val="00D45839"/>
    <w:rsid w:val="00D4698E"/>
    <w:rsid w:val="00D47A5B"/>
    <w:rsid w:val="00D52001"/>
    <w:rsid w:val="00D528E4"/>
    <w:rsid w:val="00D52AD6"/>
    <w:rsid w:val="00D52B49"/>
    <w:rsid w:val="00D5393F"/>
    <w:rsid w:val="00D5444E"/>
    <w:rsid w:val="00D55D2E"/>
    <w:rsid w:val="00D609BA"/>
    <w:rsid w:val="00D61116"/>
    <w:rsid w:val="00D62840"/>
    <w:rsid w:val="00D63764"/>
    <w:rsid w:val="00D647C4"/>
    <w:rsid w:val="00D65ED9"/>
    <w:rsid w:val="00D70624"/>
    <w:rsid w:val="00D72D7F"/>
    <w:rsid w:val="00D73432"/>
    <w:rsid w:val="00D7476F"/>
    <w:rsid w:val="00D75334"/>
    <w:rsid w:val="00D761CA"/>
    <w:rsid w:val="00D77751"/>
    <w:rsid w:val="00D777DC"/>
    <w:rsid w:val="00D80383"/>
    <w:rsid w:val="00D81A78"/>
    <w:rsid w:val="00D81C31"/>
    <w:rsid w:val="00D84A5F"/>
    <w:rsid w:val="00D84E92"/>
    <w:rsid w:val="00D859F2"/>
    <w:rsid w:val="00D86108"/>
    <w:rsid w:val="00D861C1"/>
    <w:rsid w:val="00D8640C"/>
    <w:rsid w:val="00D86901"/>
    <w:rsid w:val="00D87AFC"/>
    <w:rsid w:val="00D90B39"/>
    <w:rsid w:val="00D92835"/>
    <w:rsid w:val="00D92C35"/>
    <w:rsid w:val="00D92F23"/>
    <w:rsid w:val="00D94424"/>
    <w:rsid w:val="00D95B95"/>
    <w:rsid w:val="00D97F0E"/>
    <w:rsid w:val="00DA0312"/>
    <w:rsid w:val="00DA10D5"/>
    <w:rsid w:val="00DA1C76"/>
    <w:rsid w:val="00DA2B8E"/>
    <w:rsid w:val="00DA3E78"/>
    <w:rsid w:val="00DA5607"/>
    <w:rsid w:val="00DA56B0"/>
    <w:rsid w:val="00DA68FA"/>
    <w:rsid w:val="00DA6DB6"/>
    <w:rsid w:val="00DA752F"/>
    <w:rsid w:val="00DA7F54"/>
    <w:rsid w:val="00DB65F1"/>
    <w:rsid w:val="00DB78EB"/>
    <w:rsid w:val="00DC2927"/>
    <w:rsid w:val="00DC3A09"/>
    <w:rsid w:val="00DC41C9"/>
    <w:rsid w:val="00DC4FA5"/>
    <w:rsid w:val="00DC50F9"/>
    <w:rsid w:val="00DC5473"/>
    <w:rsid w:val="00DC60DB"/>
    <w:rsid w:val="00DD2F76"/>
    <w:rsid w:val="00DD3500"/>
    <w:rsid w:val="00DD3819"/>
    <w:rsid w:val="00DD6A82"/>
    <w:rsid w:val="00DD7219"/>
    <w:rsid w:val="00DE1DB2"/>
    <w:rsid w:val="00DE2314"/>
    <w:rsid w:val="00DE24E1"/>
    <w:rsid w:val="00DE4E3B"/>
    <w:rsid w:val="00DE5ED1"/>
    <w:rsid w:val="00DE6472"/>
    <w:rsid w:val="00DE6FE8"/>
    <w:rsid w:val="00DE7053"/>
    <w:rsid w:val="00DF340D"/>
    <w:rsid w:val="00DF5472"/>
    <w:rsid w:val="00DF71DB"/>
    <w:rsid w:val="00E00B65"/>
    <w:rsid w:val="00E02668"/>
    <w:rsid w:val="00E04A52"/>
    <w:rsid w:val="00E114C5"/>
    <w:rsid w:val="00E129BB"/>
    <w:rsid w:val="00E13D93"/>
    <w:rsid w:val="00E15266"/>
    <w:rsid w:val="00E162F5"/>
    <w:rsid w:val="00E1766E"/>
    <w:rsid w:val="00E17D14"/>
    <w:rsid w:val="00E17DFD"/>
    <w:rsid w:val="00E21468"/>
    <w:rsid w:val="00E2515A"/>
    <w:rsid w:val="00E267D1"/>
    <w:rsid w:val="00E30B7E"/>
    <w:rsid w:val="00E3173C"/>
    <w:rsid w:val="00E31C8C"/>
    <w:rsid w:val="00E3230E"/>
    <w:rsid w:val="00E32371"/>
    <w:rsid w:val="00E342C3"/>
    <w:rsid w:val="00E34955"/>
    <w:rsid w:val="00E35356"/>
    <w:rsid w:val="00E35775"/>
    <w:rsid w:val="00E372A1"/>
    <w:rsid w:val="00E405C8"/>
    <w:rsid w:val="00E425B0"/>
    <w:rsid w:val="00E42EFD"/>
    <w:rsid w:val="00E45F7B"/>
    <w:rsid w:val="00E47514"/>
    <w:rsid w:val="00E51925"/>
    <w:rsid w:val="00E536E8"/>
    <w:rsid w:val="00E53A85"/>
    <w:rsid w:val="00E552D2"/>
    <w:rsid w:val="00E62CCD"/>
    <w:rsid w:val="00E639B2"/>
    <w:rsid w:val="00E63AA4"/>
    <w:rsid w:val="00E64344"/>
    <w:rsid w:val="00E65C94"/>
    <w:rsid w:val="00E67992"/>
    <w:rsid w:val="00E67B50"/>
    <w:rsid w:val="00E71DA4"/>
    <w:rsid w:val="00E7306F"/>
    <w:rsid w:val="00E73F3B"/>
    <w:rsid w:val="00E7448B"/>
    <w:rsid w:val="00E763CA"/>
    <w:rsid w:val="00E826D1"/>
    <w:rsid w:val="00E8483A"/>
    <w:rsid w:val="00E85F4C"/>
    <w:rsid w:val="00E87791"/>
    <w:rsid w:val="00E95CF7"/>
    <w:rsid w:val="00E9688A"/>
    <w:rsid w:val="00EA0EEB"/>
    <w:rsid w:val="00EA11AF"/>
    <w:rsid w:val="00EA122F"/>
    <w:rsid w:val="00EA3DC8"/>
    <w:rsid w:val="00EA7255"/>
    <w:rsid w:val="00EB08EB"/>
    <w:rsid w:val="00EB369B"/>
    <w:rsid w:val="00EB6EE2"/>
    <w:rsid w:val="00EC3634"/>
    <w:rsid w:val="00EC4DAF"/>
    <w:rsid w:val="00EC52B5"/>
    <w:rsid w:val="00EC6D7B"/>
    <w:rsid w:val="00EC72F4"/>
    <w:rsid w:val="00EC7659"/>
    <w:rsid w:val="00ED07B8"/>
    <w:rsid w:val="00ED2DCC"/>
    <w:rsid w:val="00EE0600"/>
    <w:rsid w:val="00EE1E78"/>
    <w:rsid w:val="00EE223D"/>
    <w:rsid w:val="00EE4054"/>
    <w:rsid w:val="00EF2BE5"/>
    <w:rsid w:val="00EF681A"/>
    <w:rsid w:val="00EF781B"/>
    <w:rsid w:val="00F000B9"/>
    <w:rsid w:val="00F0148E"/>
    <w:rsid w:val="00F02D6E"/>
    <w:rsid w:val="00F03246"/>
    <w:rsid w:val="00F0340E"/>
    <w:rsid w:val="00F042FA"/>
    <w:rsid w:val="00F074DB"/>
    <w:rsid w:val="00F10854"/>
    <w:rsid w:val="00F11C55"/>
    <w:rsid w:val="00F12343"/>
    <w:rsid w:val="00F13C7D"/>
    <w:rsid w:val="00F13EAC"/>
    <w:rsid w:val="00F165D0"/>
    <w:rsid w:val="00F17247"/>
    <w:rsid w:val="00F2008A"/>
    <w:rsid w:val="00F22813"/>
    <w:rsid w:val="00F2442A"/>
    <w:rsid w:val="00F26B09"/>
    <w:rsid w:val="00F27BA7"/>
    <w:rsid w:val="00F27C45"/>
    <w:rsid w:val="00F3236A"/>
    <w:rsid w:val="00F35CD4"/>
    <w:rsid w:val="00F36A33"/>
    <w:rsid w:val="00F36A75"/>
    <w:rsid w:val="00F41532"/>
    <w:rsid w:val="00F419DE"/>
    <w:rsid w:val="00F424BB"/>
    <w:rsid w:val="00F42BC3"/>
    <w:rsid w:val="00F445CC"/>
    <w:rsid w:val="00F45B28"/>
    <w:rsid w:val="00F4624F"/>
    <w:rsid w:val="00F47CD8"/>
    <w:rsid w:val="00F51117"/>
    <w:rsid w:val="00F51AFD"/>
    <w:rsid w:val="00F53330"/>
    <w:rsid w:val="00F53D01"/>
    <w:rsid w:val="00F54D6A"/>
    <w:rsid w:val="00F56E65"/>
    <w:rsid w:val="00F57454"/>
    <w:rsid w:val="00F60FE7"/>
    <w:rsid w:val="00F612FF"/>
    <w:rsid w:val="00F616E6"/>
    <w:rsid w:val="00F64906"/>
    <w:rsid w:val="00F6493F"/>
    <w:rsid w:val="00F65674"/>
    <w:rsid w:val="00F6644C"/>
    <w:rsid w:val="00F67B23"/>
    <w:rsid w:val="00F7190F"/>
    <w:rsid w:val="00F71991"/>
    <w:rsid w:val="00F71AB6"/>
    <w:rsid w:val="00F73343"/>
    <w:rsid w:val="00F7389D"/>
    <w:rsid w:val="00F73F8C"/>
    <w:rsid w:val="00F75663"/>
    <w:rsid w:val="00F811E7"/>
    <w:rsid w:val="00F8278A"/>
    <w:rsid w:val="00F82C85"/>
    <w:rsid w:val="00F83876"/>
    <w:rsid w:val="00F8406B"/>
    <w:rsid w:val="00F9056C"/>
    <w:rsid w:val="00F92EE6"/>
    <w:rsid w:val="00F96230"/>
    <w:rsid w:val="00F96D16"/>
    <w:rsid w:val="00F97E56"/>
    <w:rsid w:val="00FA2944"/>
    <w:rsid w:val="00FA320F"/>
    <w:rsid w:val="00FA391F"/>
    <w:rsid w:val="00FA6307"/>
    <w:rsid w:val="00FA6A92"/>
    <w:rsid w:val="00FA7E89"/>
    <w:rsid w:val="00FB0C24"/>
    <w:rsid w:val="00FB1C7A"/>
    <w:rsid w:val="00FB1F96"/>
    <w:rsid w:val="00FB4891"/>
    <w:rsid w:val="00FC0405"/>
    <w:rsid w:val="00FC285C"/>
    <w:rsid w:val="00FC5AAC"/>
    <w:rsid w:val="00FC661A"/>
    <w:rsid w:val="00FC686F"/>
    <w:rsid w:val="00FC7FBE"/>
    <w:rsid w:val="00FD3635"/>
    <w:rsid w:val="00FD36F5"/>
    <w:rsid w:val="00FD4C7A"/>
    <w:rsid w:val="00FD518C"/>
    <w:rsid w:val="00FE0378"/>
    <w:rsid w:val="00FE2347"/>
    <w:rsid w:val="00FF15FC"/>
    <w:rsid w:val="00FF1946"/>
    <w:rsid w:val="00FF2473"/>
    <w:rsid w:val="00FF4145"/>
    <w:rsid w:val="00FF52A5"/>
    <w:rsid w:val="01343A34"/>
    <w:rsid w:val="017AC4BA"/>
    <w:rsid w:val="018B0372"/>
    <w:rsid w:val="019C4566"/>
    <w:rsid w:val="01B07910"/>
    <w:rsid w:val="01BF5702"/>
    <w:rsid w:val="01D616E7"/>
    <w:rsid w:val="01D6217F"/>
    <w:rsid w:val="021C475E"/>
    <w:rsid w:val="02435093"/>
    <w:rsid w:val="024419E1"/>
    <w:rsid w:val="02D5F44A"/>
    <w:rsid w:val="02F05C51"/>
    <w:rsid w:val="031B4FE0"/>
    <w:rsid w:val="03520BE8"/>
    <w:rsid w:val="0377114C"/>
    <w:rsid w:val="0390DBB9"/>
    <w:rsid w:val="03C77F1F"/>
    <w:rsid w:val="03FB1575"/>
    <w:rsid w:val="04A683FF"/>
    <w:rsid w:val="04AA6E59"/>
    <w:rsid w:val="04B37510"/>
    <w:rsid w:val="04B988B9"/>
    <w:rsid w:val="04BBE699"/>
    <w:rsid w:val="04C34D61"/>
    <w:rsid w:val="04F7C82F"/>
    <w:rsid w:val="04F8588A"/>
    <w:rsid w:val="05419888"/>
    <w:rsid w:val="056A85EE"/>
    <w:rsid w:val="059EA295"/>
    <w:rsid w:val="060B3827"/>
    <w:rsid w:val="06F4E285"/>
    <w:rsid w:val="075CC57E"/>
    <w:rsid w:val="078C0F2B"/>
    <w:rsid w:val="079EA8DD"/>
    <w:rsid w:val="07C98FEB"/>
    <w:rsid w:val="08104625"/>
    <w:rsid w:val="0824B9DF"/>
    <w:rsid w:val="083DDB1F"/>
    <w:rsid w:val="08A48490"/>
    <w:rsid w:val="08B7BC1B"/>
    <w:rsid w:val="090B90FC"/>
    <w:rsid w:val="091DD9A7"/>
    <w:rsid w:val="097D529C"/>
    <w:rsid w:val="0991B4A1"/>
    <w:rsid w:val="0996E5C2"/>
    <w:rsid w:val="09A4C795"/>
    <w:rsid w:val="09A87F1E"/>
    <w:rsid w:val="09D1F7E8"/>
    <w:rsid w:val="09FDB4C5"/>
    <w:rsid w:val="0A216B18"/>
    <w:rsid w:val="0A63FE05"/>
    <w:rsid w:val="0A82EE00"/>
    <w:rsid w:val="0A8C362A"/>
    <w:rsid w:val="0AA2CDD6"/>
    <w:rsid w:val="0AC0F483"/>
    <w:rsid w:val="0B40C3AA"/>
    <w:rsid w:val="0BA6E136"/>
    <w:rsid w:val="0C036BF0"/>
    <w:rsid w:val="0C399073"/>
    <w:rsid w:val="0C3B7709"/>
    <w:rsid w:val="0C56391F"/>
    <w:rsid w:val="0C767D9C"/>
    <w:rsid w:val="0C86F9BD"/>
    <w:rsid w:val="0D3BE869"/>
    <w:rsid w:val="0DD1F0B7"/>
    <w:rsid w:val="0E1450D3"/>
    <w:rsid w:val="0E3B6BBD"/>
    <w:rsid w:val="0E76068C"/>
    <w:rsid w:val="0E859C8E"/>
    <w:rsid w:val="0E87EA90"/>
    <w:rsid w:val="0FBA39C9"/>
    <w:rsid w:val="100E8ADB"/>
    <w:rsid w:val="10104356"/>
    <w:rsid w:val="101B2539"/>
    <w:rsid w:val="1057FCCC"/>
    <w:rsid w:val="10973861"/>
    <w:rsid w:val="10E8766F"/>
    <w:rsid w:val="110E89A7"/>
    <w:rsid w:val="11342AF9"/>
    <w:rsid w:val="1143A063"/>
    <w:rsid w:val="11652BA7"/>
    <w:rsid w:val="11667AB8"/>
    <w:rsid w:val="11D480F4"/>
    <w:rsid w:val="11D6DB92"/>
    <w:rsid w:val="11F33CD2"/>
    <w:rsid w:val="12239EEB"/>
    <w:rsid w:val="122D0D58"/>
    <w:rsid w:val="1231D3B0"/>
    <w:rsid w:val="128FF91E"/>
    <w:rsid w:val="12BB5168"/>
    <w:rsid w:val="12E1CDA9"/>
    <w:rsid w:val="130181CB"/>
    <w:rsid w:val="136FB796"/>
    <w:rsid w:val="13CE6D5F"/>
    <w:rsid w:val="146ACF9C"/>
    <w:rsid w:val="14708680"/>
    <w:rsid w:val="14B38531"/>
    <w:rsid w:val="14E3055A"/>
    <w:rsid w:val="14EF60A5"/>
    <w:rsid w:val="14F95723"/>
    <w:rsid w:val="15288BE1"/>
    <w:rsid w:val="15388C96"/>
    <w:rsid w:val="154E53D7"/>
    <w:rsid w:val="1575C8D0"/>
    <w:rsid w:val="158FEC51"/>
    <w:rsid w:val="15D5D93D"/>
    <w:rsid w:val="15E4B634"/>
    <w:rsid w:val="16029BAA"/>
    <w:rsid w:val="160ED2A3"/>
    <w:rsid w:val="161A92A8"/>
    <w:rsid w:val="1645A8C1"/>
    <w:rsid w:val="1696BB1B"/>
    <w:rsid w:val="16BCDC3E"/>
    <w:rsid w:val="173BF548"/>
    <w:rsid w:val="1747AB11"/>
    <w:rsid w:val="17C1BEDE"/>
    <w:rsid w:val="17F050F2"/>
    <w:rsid w:val="182F971F"/>
    <w:rsid w:val="18386E14"/>
    <w:rsid w:val="184FE1BE"/>
    <w:rsid w:val="1859F3FD"/>
    <w:rsid w:val="185BDE65"/>
    <w:rsid w:val="185F4573"/>
    <w:rsid w:val="18F64084"/>
    <w:rsid w:val="193B196D"/>
    <w:rsid w:val="196F0E9C"/>
    <w:rsid w:val="19AB5947"/>
    <w:rsid w:val="19DF2BEB"/>
    <w:rsid w:val="19F0FE3A"/>
    <w:rsid w:val="1A827A1E"/>
    <w:rsid w:val="1A88D312"/>
    <w:rsid w:val="1AACB519"/>
    <w:rsid w:val="1AAF3EAD"/>
    <w:rsid w:val="1AD7A8A8"/>
    <w:rsid w:val="1AF76E7F"/>
    <w:rsid w:val="1B11F7A2"/>
    <w:rsid w:val="1B3B6232"/>
    <w:rsid w:val="1B557FB0"/>
    <w:rsid w:val="1B682968"/>
    <w:rsid w:val="1B7E5C6D"/>
    <w:rsid w:val="1B818E33"/>
    <w:rsid w:val="1B88C57D"/>
    <w:rsid w:val="1B8E8AAC"/>
    <w:rsid w:val="1B9B7FDE"/>
    <w:rsid w:val="1BCC407C"/>
    <w:rsid w:val="1BDB3C50"/>
    <w:rsid w:val="1BE46BBF"/>
    <w:rsid w:val="1D40FD10"/>
    <w:rsid w:val="1D452AF5"/>
    <w:rsid w:val="1D54A681"/>
    <w:rsid w:val="1D580B18"/>
    <w:rsid w:val="1D5B90CB"/>
    <w:rsid w:val="1D776DA5"/>
    <w:rsid w:val="1D8B701B"/>
    <w:rsid w:val="1DB119C9"/>
    <w:rsid w:val="1DB2D065"/>
    <w:rsid w:val="1DD5A498"/>
    <w:rsid w:val="1E020ABB"/>
    <w:rsid w:val="1E40E131"/>
    <w:rsid w:val="1E51521E"/>
    <w:rsid w:val="1E600C82"/>
    <w:rsid w:val="1E710640"/>
    <w:rsid w:val="1E76BE05"/>
    <w:rsid w:val="1E8F5184"/>
    <w:rsid w:val="1EB3D220"/>
    <w:rsid w:val="1ED6E9DE"/>
    <w:rsid w:val="1EE1CBC1"/>
    <w:rsid w:val="1EE5B61B"/>
    <w:rsid w:val="1F897F20"/>
    <w:rsid w:val="1F8F2FE2"/>
    <w:rsid w:val="1F9AA93D"/>
    <w:rsid w:val="1FB76807"/>
    <w:rsid w:val="20097CA2"/>
    <w:rsid w:val="200B3BED"/>
    <w:rsid w:val="201AB157"/>
    <w:rsid w:val="203AC8C4"/>
    <w:rsid w:val="20972209"/>
    <w:rsid w:val="209DADCE"/>
    <w:rsid w:val="20E122DB"/>
    <w:rsid w:val="20FD9E1A"/>
    <w:rsid w:val="21A5D592"/>
    <w:rsid w:val="21AA664D"/>
    <w:rsid w:val="21AAFDC5"/>
    <w:rsid w:val="22697BA1"/>
    <w:rsid w:val="22B56A19"/>
    <w:rsid w:val="22B81036"/>
    <w:rsid w:val="22E02AD7"/>
    <w:rsid w:val="22FB8EFD"/>
    <w:rsid w:val="2319D0A4"/>
    <w:rsid w:val="231B431F"/>
    <w:rsid w:val="2373DD5D"/>
    <w:rsid w:val="238FF2FA"/>
    <w:rsid w:val="239DD4CD"/>
    <w:rsid w:val="23C24E4C"/>
    <w:rsid w:val="23DD1062"/>
    <w:rsid w:val="2432D664"/>
    <w:rsid w:val="2455685F"/>
    <w:rsid w:val="246F167F"/>
    <w:rsid w:val="253089B3"/>
    <w:rsid w:val="25337E10"/>
    <w:rsid w:val="2544C37F"/>
    <w:rsid w:val="2580406E"/>
    <w:rsid w:val="25F48BA2"/>
    <w:rsid w:val="26015C67"/>
    <w:rsid w:val="2613C250"/>
    <w:rsid w:val="269180E1"/>
    <w:rsid w:val="26D77A19"/>
    <w:rsid w:val="275CD2BC"/>
    <w:rsid w:val="27619F36"/>
    <w:rsid w:val="277AF347"/>
    <w:rsid w:val="27D971A1"/>
    <w:rsid w:val="27DC4A7B"/>
    <w:rsid w:val="2883E18D"/>
    <w:rsid w:val="289E80E7"/>
    <w:rsid w:val="28BE952E"/>
    <w:rsid w:val="296EF4C9"/>
    <w:rsid w:val="29A02030"/>
    <w:rsid w:val="29A8D704"/>
    <w:rsid w:val="29F7B3B7"/>
    <w:rsid w:val="2AF652FE"/>
    <w:rsid w:val="2B327ACB"/>
    <w:rsid w:val="2B76386E"/>
    <w:rsid w:val="2B9E04CF"/>
    <w:rsid w:val="2BA293E0"/>
    <w:rsid w:val="2C03BCB9"/>
    <w:rsid w:val="2C110CA9"/>
    <w:rsid w:val="2C77D1A1"/>
    <w:rsid w:val="2C8ADD78"/>
    <w:rsid w:val="2C97B07C"/>
    <w:rsid w:val="2CFF28AC"/>
    <w:rsid w:val="2D4A8652"/>
    <w:rsid w:val="2D5E75ED"/>
    <w:rsid w:val="2DA10EFC"/>
    <w:rsid w:val="2DEACC43"/>
    <w:rsid w:val="2DF77393"/>
    <w:rsid w:val="2E18F8B5"/>
    <w:rsid w:val="2E1CF3C9"/>
    <w:rsid w:val="2E4D945F"/>
    <w:rsid w:val="2E751EC8"/>
    <w:rsid w:val="2E7B7ED9"/>
    <w:rsid w:val="2EA6363B"/>
    <w:rsid w:val="2F0E5FF9"/>
    <w:rsid w:val="2F625C18"/>
    <w:rsid w:val="2F6491BF"/>
    <w:rsid w:val="2F7FE52B"/>
    <w:rsid w:val="2F8C5388"/>
    <w:rsid w:val="2FA72036"/>
    <w:rsid w:val="2FBF89DD"/>
    <w:rsid w:val="2FF6FD7E"/>
    <w:rsid w:val="303CBDBB"/>
    <w:rsid w:val="317FFAFB"/>
    <w:rsid w:val="318AE059"/>
    <w:rsid w:val="318BAAA2"/>
    <w:rsid w:val="31984896"/>
    <w:rsid w:val="31EA7220"/>
    <w:rsid w:val="32142C27"/>
    <w:rsid w:val="322545E2"/>
    <w:rsid w:val="32549A27"/>
    <w:rsid w:val="32822F21"/>
    <w:rsid w:val="32A8A7FB"/>
    <w:rsid w:val="32AA029F"/>
    <w:rsid w:val="32E1E204"/>
    <w:rsid w:val="33036D48"/>
    <w:rsid w:val="33A9E71F"/>
    <w:rsid w:val="33AD411E"/>
    <w:rsid w:val="33CA0A80"/>
    <w:rsid w:val="33E0FAD2"/>
    <w:rsid w:val="340A3C12"/>
    <w:rsid w:val="342F7447"/>
    <w:rsid w:val="344B0EB9"/>
    <w:rsid w:val="345C0605"/>
    <w:rsid w:val="3478F7A0"/>
    <w:rsid w:val="347D2CA2"/>
    <w:rsid w:val="34D48C5D"/>
    <w:rsid w:val="350D0C88"/>
    <w:rsid w:val="354456BA"/>
    <w:rsid w:val="35E573BC"/>
    <w:rsid w:val="36088B7A"/>
    <w:rsid w:val="3609440E"/>
    <w:rsid w:val="360B79B5"/>
    <w:rsid w:val="361FE652"/>
    <w:rsid w:val="362F94AF"/>
    <w:rsid w:val="36D5CAFB"/>
    <w:rsid w:val="375ECD74"/>
    <w:rsid w:val="3761D6D9"/>
    <w:rsid w:val="37F2FEA0"/>
    <w:rsid w:val="3811254D"/>
    <w:rsid w:val="3813AEE1"/>
    <w:rsid w:val="385CA801"/>
    <w:rsid w:val="38736C5C"/>
    <w:rsid w:val="3890F474"/>
    <w:rsid w:val="389E7F80"/>
    <w:rsid w:val="38B7D1F5"/>
    <w:rsid w:val="38FA8C20"/>
    <w:rsid w:val="394AA978"/>
    <w:rsid w:val="394AD52C"/>
    <w:rsid w:val="39643581"/>
    <w:rsid w:val="39884A59"/>
    <w:rsid w:val="39A79717"/>
    <w:rsid w:val="39D45D68"/>
    <w:rsid w:val="39E4A33D"/>
    <w:rsid w:val="3A12DA47"/>
    <w:rsid w:val="3A402ABB"/>
    <w:rsid w:val="3A509C44"/>
    <w:rsid w:val="3B065FD1"/>
    <w:rsid w:val="3B130B97"/>
    <w:rsid w:val="3B947477"/>
    <w:rsid w:val="3B969F86"/>
    <w:rsid w:val="3C43D7F3"/>
    <w:rsid w:val="3C6B3BC2"/>
    <w:rsid w:val="3C87955A"/>
    <w:rsid w:val="3CB7CBBF"/>
    <w:rsid w:val="3CC73A0C"/>
    <w:rsid w:val="3D007A37"/>
    <w:rsid w:val="3D34FF9D"/>
    <w:rsid w:val="3D6B5D20"/>
    <w:rsid w:val="3D9521BF"/>
    <w:rsid w:val="3DFEC4FE"/>
    <w:rsid w:val="3EDAF32B"/>
    <w:rsid w:val="3EE40EA6"/>
    <w:rsid w:val="3F39117C"/>
    <w:rsid w:val="3F69DF59"/>
    <w:rsid w:val="3F849B4D"/>
    <w:rsid w:val="3F8FBA99"/>
    <w:rsid w:val="3F9FB4CB"/>
    <w:rsid w:val="3FBADFFE"/>
    <w:rsid w:val="401867D2"/>
    <w:rsid w:val="405A0AE4"/>
    <w:rsid w:val="4081A56F"/>
    <w:rsid w:val="40883756"/>
    <w:rsid w:val="409677AE"/>
    <w:rsid w:val="4117ADBD"/>
    <w:rsid w:val="41292D1A"/>
    <w:rsid w:val="412EE3FE"/>
    <w:rsid w:val="42142EA1"/>
    <w:rsid w:val="42187DA2"/>
    <w:rsid w:val="435EECA8"/>
    <w:rsid w:val="43634641"/>
    <w:rsid w:val="43748213"/>
    <w:rsid w:val="4378048C"/>
    <w:rsid w:val="437D9D8E"/>
    <w:rsid w:val="438F1BF0"/>
    <w:rsid w:val="44049614"/>
    <w:rsid w:val="440BB951"/>
    <w:rsid w:val="441903AC"/>
    <w:rsid w:val="4427E0A3"/>
    <w:rsid w:val="4443DC41"/>
    <w:rsid w:val="445D8A61"/>
    <w:rsid w:val="44605780"/>
    <w:rsid w:val="4478EE87"/>
    <w:rsid w:val="448B1F5B"/>
    <w:rsid w:val="44D326F4"/>
    <w:rsid w:val="44D7114E"/>
    <w:rsid w:val="44E87EF6"/>
    <w:rsid w:val="44F73134"/>
    <w:rsid w:val="4517172C"/>
    <w:rsid w:val="4525EE01"/>
    <w:rsid w:val="452626F4"/>
    <w:rsid w:val="45268579"/>
    <w:rsid w:val="457D292E"/>
    <w:rsid w:val="457F518D"/>
    <w:rsid w:val="459D01DE"/>
    <w:rsid w:val="45DDDBA2"/>
    <w:rsid w:val="45EC40C1"/>
    <w:rsid w:val="45FB9069"/>
    <w:rsid w:val="462009E8"/>
    <w:rsid w:val="4699863D"/>
    <w:rsid w:val="4706B551"/>
    <w:rsid w:val="474A18A9"/>
    <w:rsid w:val="474DACA3"/>
    <w:rsid w:val="4775125A"/>
    <w:rsid w:val="47A911FD"/>
    <w:rsid w:val="47DAFD15"/>
    <w:rsid w:val="47E2B0AD"/>
    <w:rsid w:val="48010A2B"/>
    <w:rsid w:val="48045D0D"/>
    <w:rsid w:val="48865D65"/>
    <w:rsid w:val="48D2EDED"/>
    <w:rsid w:val="48F12F94"/>
    <w:rsid w:val="49080ACB"/>
    <w:rsid w:val="4933FB74"/>
    <w:rsid w:val="497A2058"/>
    <w:rsid w:val="499D3911"/>
    <w:rsid w:val="49B39DEC"/>
    <w:rsid w:val="49C9AA5C"/>
    <w:rsid w:val="49D5AEF3"/>
    <w:rsid w:val="4A267B27"/>
    <w:rsid w:val="4A2EBB9E"/>
    <w:rsid w:val="4A4AA354"/>
    <w:rsid w:val="4A67366A"/>
    <w:rsid w:val="4A9C338B"/>
    <w:rsid w:val="4AF1B4A3"/>
    <w:rsid w:val="4B1264E4"/>
    <w:rsid w:val="4B2142D6"/>
    <w:rsid w:val="4B308474"/>
    <w:rsid w:val="4B972EE0"/>
    <w:rsid w:val="4BEE9311"/>
    <w:rsid w:val="4C0BDEBB"/>
    <w:rsid w:val="4C4F73E9"/>
    <w:rsid w:val="4C6DEFBF"/>
    <w:rsid w:val="4C8170B6"/>
    <w:rsid w:val="4D281641"/>
    <w:rsid w:val="4D44D50B"/>
    <w:rsid w:val="4D64A1B0"/>
    <w:rsid w:val="4D956B17"/>
    <w:rsid w:val="4DAD3EC2"/>
    <w:rsid w:val="4DB0DC4C"/>
    <w:rsid w:val="4DCACDF7"/>
    <w:rsid w:val="4DE207B3"/>
    <w:rsid w:val="4E1D4BAF"/>
    <w:rsid w:val="4E4FF9F3"/>
    <w:rsid w:val="4EB7A2CC"/>
    <w:rsid w:val="4EC02F19"/>
    <w:rsid w:val="4EDA7F49"/>
    <w:rsid w:val="4EECE910"/>
    <w:rsid w:val="4F2504E3"/>
    <w:rsid w:val="4F3646D7"/>
    <w:rsid w:val="4F4A67EE"/>
    <w:rsid w:val="4F992463"/>
    <w:rsid w:val="4FBE9A01"/>
    <w:rsid w:val="500C14F3"/>
    <w:rsid w:val="50284362"/>
    <w:rsid w:val="507C068E"/>
    <w:rsid w:val="508BBF83"/>
    <w:rsid w:val="50CC7461"/>
    <w:rsid w:val="51843D3B"/>
    <w:rsid w:val="51D86FA6"/>
    <w:rsid w:val="51EB1CF8"/>
    <w:rsid w:val="51FFE49F"/>
    <w:rsid w:val="52115CDF"/>
    <w:rsid w:val="52B599F2"/>
    <w:rsid w:val="52BE1DF5"/>
    <w:rsid w:val="53069D64"/>
    <w:rsid w:val="533DF439"/>
    <w:rsid w:val="537118D9"/>
    <w:rsid w:val="53828681"/>
    <w:rsid w:val="539A2169"/>
    <w:rsid w:val="53AB3407"/>
    <w:rsid w:val="53B1E0E8"/>
    <w:rsid w:val="54110E08"/>
    <w:rsid w:val="5444FBF6"/>
    <w:rsid w:val="544D4706"/>
    <w:rsid w:val="54579793"/>
    <w:rsid w:val="546A92B0"/>
    <w:rsid w:val="547D56B4"/>
    <w:rsid w:val="54BA54FE"/>
    <w:rsid w:val="54C005C0"/>
    <w:rsid w:val="54F528C0"/>
    <w:rsid w:val="54FC192C"/>
    <w:rsid w:val="5508FEE0"/>
    <w:rsid w:val="5514711E"/>
    <w:rsid w:val="5540AB74"/>
    <w:rsid w:val="554DB149"/>
    <w:rsid w:val="5559353C"/>
    <w:rsid w:val="55A78099"/>
    <w:rsid w:val="55AAAC3D"/>
    <w:rsid w:val="55F8C5C4"/>
    <w:rsid w:val="5658028C"/>
    <w:rsid w:val="56711329"/>
    <w:rsid w:val="56DBE45D"/>
    <w:rsid w:val="570FCB6F"/>
    <w:rsid w:val="573C9DF7"/>
    <w:rsid w:val="575C0D93"/>
    <w:rsid w:val="576DB8A4"/>
    <w:rsid w:val="579B4D9E"/>
    <w:rsid w:val="579F1266"/>
    <w:rsid w:val="5806EF3D"/>
    <w:rsid w:val="58135D9A"/>
    <w:rsid w:val="5827D154"/>
    <w:rsid w:val="58BFD2DB"/>
    <w:rsid w:val="58CD2F9D"/>
    <w:rsid w:val="58E44C5A"/>
    <w:rsid w:val="58F7EFA9"/>
    <w:rsid w:val="59222D97"/>
    <w:rsid w:val="592CA0C3"/>
    <w:rsid w:val="595CC573"/>
    <w:rsid w:val="596748D1"/>
    <w:rsid w:val="597CAC66"/>
    <w:rsid w:val="59800F2A"/>
    <w:rsid w:val="598504B5"/>
    <w:rsid w:val="5993DE3D"/>
    <w:rsid w:val="5A03721B"/>
    <w:rsid w:val="5A08CB75"/>
    <w:rsid w:val="5A571B48"/>
    <w:rsid w:val="5A86A163"/>
    <w:rsid w:val="5AEC2777"/>
    <w:rsid w:val="5B0E599A"/>
    <w:rsid w:val="5B138499"/>
    <w:rsid w:val="5B3766A0"/>
    <w:rsid w:val="5B985210"/>
    <w:rsid w:val="5BA07889"/>
    <w:rsid w:val="5BBC3B34"/>
    <w:rsid w:val="5BFB6FAC"/>
    <w:rsid w:val="5BFB90C8"/>
    <w:rsid w:val="5C324BD5"/>
    <w:rsid w:val="5C38685B"/>
    <w:rsid w:val="5C3FC806"/>
    <w:rsid w:val="5C623EAF"/>
    <w:rsid w:val="5C7A1700"/>
    <w:rsid w:val="5CAC9273"/>
    <w:rsid w:val="5CBB11E0"/>
    <w:rsid w:val="5CD9E78D"/>
    <w:rsid w:val="5D0E0587"/>
    <w:rsid w:val="5D1F8925"/>
    <w:rsid w:val="5D59FCB6"/>
    <w:rsid w:val="5D71979E"/>
    <w:rsid w:val="5D9FEFC4"/>
    <w:rsid w:val="5DCB60CC"/>
    <w:rsid w:val="5DE72377"/>
    <w:rsid w:val="5DEB46C4"/>
    <w:rsid w:val="5DFEDF7B"/>
    <w:rsid w:val="5E87CA1D"/>
    <w:rsid w:val="5F0C4A70"/>
    <w:rsid w:val="5F2FE248"/>
    <w:rsid w:val="5F3D0F0D"/>
    <w:rsid w:val="5F70AB2D"/>
    <w:rsid w:val="5F908339"/>
    <w:rsid w:val="5F91C637"/>
    <w:rsid w:val="5F99DF71"/>
    <w:rsid w:val="5FA102AE"/>
    <w:rsid w:val="6043F6D2"/>
    <w:rsid w:val="607DCE75"/>
    <w:rsid w:val="60E40600"/>
    <w:rsid w:val="613E66A6"/>
    <w:rsid w:val="61462060"/>
    <w:rsid w:val="61617E64"/>
    <w:rsid w:val="61D0D887"/>
    <w:rsid w:val="61F230FA"/>
    <w:rsid w:val="6216341D"/>
    <w:rsid w:val="621807D2"/>
    <w:rsid w:val="621869C4"/>
    <w:rsid w:val="621A691F"/>
    <w:rsid w:val="625E2A01"/>
    <w:rsid w:val="627BF69F"/>
    <w:rsid w:val="6282D651"/>
    <w:rsid w:val="628D5292"/>
    <w:rsid w:val="62931509"/>
    <w:rsid w:val="62A5E377"/>
    <w:rsid w:val="62AD483A"/>
    <w:rsid w:val="62BCF17F"/>
    <w:rsid w:val="62D612BF"/>
    <w:rsid w:val="63209954"/>
    <w:rsid w:val="6355BD4F"/>
    <w:rsid w:val="63622BAC"/>
    <w:rsid w:val="6369550B"/>
    <w:rsid w:val="63A36B12"/>
    <w:rsid w:val="63C54948"/>
    <w:rsid w:val="640A0744"/>
    <w:rsid w:val="642CBA5B"/>
    <w:rsid w:val="642E80C3"/>
    <w:rsid w:val="643A9B33"/>
    <w:rsid w:val="646242FD"/>
    <w:rsid w:val="6482877A"/>
    <w:rsid w:val="6485B768"/>
    <w:rsid w:val="6495AD80"/>
    <w:rsid w:val="64A9C285"/>
    <w:rsid w:val="64B93E11"/>
    <w:rsid w:val="64CBA1B6"/>
    <w:rsid w:val="64CE4321"/>
    <w:rsid w:val="6598C01B"/>
    <w:rsid w:val="659E607B"/>
    <w:rsid w:val="65CD6EB0"/>
    <w:rsid w:val="65D693CD"/>
    <w:rsid w:val="660C52BB"/>
    <w:rsid w:val="661C32EE"/>
    <w:rsid w:val="66B0CFDE"/>
    <w:rsid w:val="67407916"/>
    <w:rsid w:val="67457144"/>
    <w:rsid w:val="677A2F9D"/>
    <w:rsid w:val="677AC425"/>
    <w:rsid w:val="67F89366"/>
    <w:rsid w:val="67FC44FD"/>
    <w:rsid w:val="680A8AD7"/>
    <w:rsid w:val="681E936D"/>
    <w:rsid w:val="6826F8CB"/>
    <w:rsid w:val="685A491F"/>
    <w:rsid w:val="6875489E"/>
    <w:rsid w:val="68858039"/>
    <w:rsid w:val="68B6E58E"/>
    <w:rsid w:val="68DBEAF2"/>
    <w:rsid w:val="691EE286"/>
    <w:rsid w:val="6934196C"/>
    <w:rsid w:val="6948E113"/>
    <w:rsid w:val="69A9AB67"/>
    <w:rsid w:val="69B8B097"/>
    <w:rsid w:val="69FDE4EF"/>
    <w:rsid w:val="6A19C8B6"/>
    <w:rsid w:val="6A1EC706"/>
    <w:rsid w:val="6A8E53FA"/>
    <w:rsid w:val="6AAE65A6"/>
    <w:rsid w:val="6B141D90"/>
    <w:rsid w:val="6B4FF904"/>
    <w:rsid w:val="6B814587"/>
    <w:rsid w:val="6BD22C2D"/>
    <w:rsid w:val="6BD243ED"/>
    <w:rsid w:val="6BDF9AD1"/>
    <w:rsid w:val="6BE42A30"/>
    <w:rsid w:val="6C0025CE"/>
    <w:rsid w:val="6C1FD9F0"/>
    <w:rsid w:val="6C962F17"/>
    <w:rsid w:val="6CA20D19"/>
    <w:rsid w:val="6CC557A8"/>
    <w:rsid w:val="6D04BEF1"/>
    <w:rsid w:val="6D33B4B1"/>
    <w:rsid w:val="6D865385"/>
    <w:rsid w:val="6E06FA34"/>
    <w:rsid w:val="6E419503"/>
    <w:rsid w:val="6E43CAAA"/>
    <w:rsid w:val="6E4C55CA"/>
    <w:rsid w:val="6E957A9E"/>
    <w:rsid w:val="6E9F9EF7"/>
    <w:rsid w:val="6ECC7F00"/>
    <w:rsid w:val="6F08BF1B"/>
    <w:rsid w:val="6F3DBADD"/>
    <w:rsid w:val="6F430D1A"/>
    <w:rsid w:val="6F528284"/>
    <w:rsid w:val="6F577395"/>
    <w:rsid w:val="6F64EFC6"/>
    <w:rsid w:val="6F9971B1"/>
    <w:rsid w:val="6FE584C0"/>
    <w:rsid w:val="6FE88AD2"/>
    <w:rsid w:val="6FF5D52D"/>
    <w:rsid w:val="7004E4F5"/>
    <w:rsid w:val="701619AA"/>
    <w:rsid w:val="7092EFFE"/>
    <w:rsid w:val="70AAC84F"/>
    <w:rsid w:val="711BE7DF"/>
    <w:rsid w:val="718DB417"/>
    <w:rsid w:val="7190EF52"/>
    <w:rsid w:val="71C057C3"/>
    <w:rsid w:val="71CD4399"/>
    <w:rsid w:val="71E70D0B"/>
    <w:rsid w:val="71E7D037"/>
    <w:rsid w:val="724365EF"/>
    <w:rsid w:val="7257D37D"/>
    <w:rsid w:val="728760BF"/>
    <w:rsid w:val="72878C73"/>
    <w:rsid w:val="72A2815A"/>
    <w:rsid w:val="72AD8EF1"/>
    <w:rsid w:val="72AD9989"/>
    <w:rsid w:val="72C4596E"/>
    <w:rsid w:val="730A89E5"/>
    <w:rsid w:val="7316C332"/>
    <w:rsid w:val="73625667"/>
    <w:rsid w:val="736CD61B"/>
    <w:rsid w:val="736E050B"/>
    <w:rsid w:val="73888E2E"/>
    <w:rsid w:val="739E30D8"/>
    <w:rsid w:val="73B6BAA0"/>
    <w:rsid w:val="73C69F49"/>
    <w:rsid w:val="73C6D83C"/>
    <w:rsid w:val="73CD8FB5"/>
    <w:rsid w:val="73D6DE01"/>
    <w:rsid w:val="73F126C8"/>
    <w:rsid w:val="742B834D"/>
    <w:rsid w:val="74BEE2AA"/>
    <w:rsid w:val="74EBB5DC"/>
    <w:rsid w:val="7572AE62"/>
    <w:rsid w:val="7589DD86"/>
    <w:rsid w:val="75B5E606"/>
    <w:rsid w:val="75BB3843"/>
    <w:rsid w:val="75BE6A09"/>
    <w:rsid w:val="764625BB"/>
    <w:rsid w:val="764B4C44"/>
    <w:rsid w:val="765CD891"/>
    <w:rsid w:val="76A41953"/>
    <w:rsid w:val="76BE7A3D"/>
    <w:rsid w:val="7726455F"/>
    <w:rsid w:val="7740AD66"/>
    <w:rsid w:val="77B68C31"/>
    <w:rsid w:val="77C00D4E"/>
    <w:rsid w:val="77C832CC"/>
    <w:rsid w:val="77CBB87F"/>
    <w:rsid w:val="78177EBE"/>
    <w:rsid w:val="78226B39"/>
    <w:rsid w:val="7836AF75"/>
    <w:rsid w:val="784963B4"/>
    <w:rsid w:val="786359DD"/>
    <w:rsid w:val="788153D3"/>
    <w:rsid w:val="78899EE3"/>
    <w:rsid w:val="78CCA4B1"/>
    <w:rsid w:val="795C7527"/>
    <w:rsid w:val="799A81CC"/>
    <w:rsid w:val="799CEA44"/>
    <w:rsid w:val="7A6EBC51"/>
    <w:rsid w:val="7B149EB0"/>
    <w:rsid w:val="7B1E8474"/>
    <w:rsid w:val="7B349B41"/>
    <w:rsid w:val="7B8E4DD6"/>
    <w:rsid w:val="7B9EF135"/>
    <w:rsid w:val="7BCF3BA7"/>
    <w:rsid w:val="7BD3A96C"/>
    <w:rsid w:val="7BD5DB98"/>
    <w:rsid w:val="7BDA035B"/>
    <w:rsid w:val="7BFB1E65"/>
    <w:rsid w:val="7C2C43AA"/>
    <w:rsid w:val="7C54E076"/>
    <w:rsid w:val="7C5685C2"/>
    <w:rsid w:val="7C68DDD4"/>
    <w:rsid w:val="7C814680"/>
    <w:rsid w:val="7C8C9427"/>
    <w:rsid w:val="7D292935"/>
    <w:rsid w:val="7D3DC186"/>
    <w:rsid w:val="7D72B2B0"/>
    <w:rsid w:val="7D977F21"/>
    <w:rsid w:val="7D9F40F3"/>
    <w:rsid w:val="7DA85551"/>
    <w:rsid w:val="7DC11907"/>
    <w:rsid w:val="7DD0D1FC"/>
    <w:rsid w:val="7DF08FBB"/>
    <w:rsid w:val="7E055FAC"/>
    <w:rsid w:val="7E7C89E4"/>
    <w:rsid w:val="7E8B8377"/>
    <w:rsid w:val="7ED20D8D"/>
    <w:rsid w:val="7F57645A"/>
    <w:rsid w:val="7FBC85C7"/>
    <w:rsid w:val="7FCEBCBD"/>
    <w:rsid w:val="7FF35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94135"/>
  <w15:chartTrackingRefBased/>
  <w15:docId w15:val="{1C58E6A3-9123-42A1-A6AE-2615126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34"/>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uiPriority w:val="99"/>
    <w:rsid w:val="00D17F80"/>
  </w:style>
  <w:style w:type="character" w:customStyle="1" w:styleId="FootnoteTextChar">
    <w:name w:val="Footnote Text Char"/>
    <w:link w:val="FootnoteText"/>
    <w:uiPriority w:val="99"/>
    <w:rsid w:val="00D17F80"/>
    <w:rPr>
      <w:color w:val="000000"/>
      <w:kern w:val="28"/>
    </w:rPr>
  </w:style>
  <w:style w:type="character" w:styleId="FootnoteReference">
    <w:name w:val="footnote reference"/>
    <w:uiPriority w:val="99"/>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paragraph" w:customStyle="1" w:styleId="SingleTxtG">
    <w:name w:val="_ Single Txt_G"/>
    <w:basedOn w:val="Normal"/>
    <w:link w:val="SingleTxtGChar"/>
    <w:qFormat/>
    <w:rsid w:val="00CD34FC"/>
    <w:pPr>
      <w:tabs>
        <w:tab w:val="left" w:pos="1701"/>
        <w:tab w:val="left" w:pos="2268"/>
      </w:tabs>
      <w:suppressAutoHyphens/>
      <w:spacing w:after="120" w:line="240" w:lineRule="atLeast"/>
      <w:ind w:left="1134" w:right="1134"/>
      <w:jc w:val="both"/>
    </w:pPr>
    <w:rPr>
      <w:rFonts w:eastAsia="SimSun"/>
      <w:color w:val="auto"/>
      <w:kern w:val="0"/>
      <w:lang w:val="en-GB" w:eastAsia="zh-CN"/>
    </w:rPr>
  </w:style>
  <w:style w:type="character" w:customStyle="1" w:styleId="SingleTxtGChar">
    <w:name w:val="_ Single Txt_G Char"/>
    <w:link w:val="SingleTxtG"/>
    <w:locked/>
    <w:rsid w:val="00CD34FC"/>
    <w:rPr>
      <w:rFonts w:eastAsia="SimSun"/>
      <w:lang w:val="en-GB" w:eastAsia="zh-CN"/>
    </w:rPr>
  </w:style>
  <w:style w:type="paragraph" w:styleId="Revision">
    <w:name w:val="Revision"/>
    <w:hidden/>
    <w:uiPriority w:val="99"/>
    <w:semiHidden/>
    <w:rsid w:val="00A62289"/>
    <w:rPr>
      <w:color w:val="000000"/>
      <w:kern w:val="28"/>
      <w:lang w:eastAsia="en-US"/>
    </w:rPr>
  </w:style>
  <w:style w:type="paragraph" w:styleId="EndnoteText">
    <w:name w:val="endnote text"/>
    <w:basedOn w:val="Normal"/>
    <w:link w:val="EndnoteTextChar"/>
    <w:uiPriority w:val="99"/>
    <w:unhideWhenUsed/>
    <w:rsid w:val="00F616E6"/>
    <w:rPr>
      <w:color w:val="auto"/>
      <w:kern w:val="0"/>
    </w:rPr>
  </w:style>
  <w:style w:type="character" w:customStyle="1" w:styleId="EndnoteTextChar">
    <w:name w:val="Endnote Text Char"/>
    <w:basedOn w:val="DefaultParagraphFont"/>
    <w:link w:val="EndnoteText"/>
    <w:uiPriority w:val="99"/>
    <w:rsid w:val="00F616E6"/>
    <w:rPr>
      <w:lang w:eastAsia="en-US"/>
    </w:rPr>
  </w:style>
  <w:style w:type="character" w:styleId="EndnoteReference">
    <w:name w:val="endnote reference"/>
    <w:basedOn w:val="DefaultParagraphFont"/>
    <w:uiPriority w:val="99"/>
    <w:unhideWhenUsed/>
    <w:rsid w:val="00F61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377271156">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732000572">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nicic.gov/federal-interagency-reentry-council-record-progress-and-roadmap-future-0" TargetMode="External"/><Relationship Id="rId1" Type="http://schemas.openxmlformats.org/officeDocument/2006/relationships/hyperlink" Target="https://nicic.gov/federal-interagency-reentry-council-record-progress-and-roadmap-future-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8FE1F-3AA1-4336-BAA7-BD39AE85E6AC}">
  <ds:schemaRefs>
    <ds:schemaRef ds:uri="http://schemas.microsoft.com/office/2006/metadata/longProperties"/>
  </ds:schemaRefs>
</ds:datastoreItem>
</file>

<file path=customXml/itemProps2.xml><?xml version="1.0" encoding="utf-8"?>
<ds:datastoreItem xmlns:ds="http://schemas.openxmlformats.org/officeDocument/2006/customXml" ds:itemID="{8BF93020-BD7A-49E4-8B46-65B5D137BA13}"/>
</file>

<file path=customXml/itemProps3.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4.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customXml/itemProps5.xml><?xml version="1.0" encoding="utf-8"?>
<ds:datastoreItem xmlns:ds="http://schemas.openxmlformats.org/officeDocument/2006/customXml" ds:itemID="{CA5FC6A2-AFC7-447B-A80E-3C440CD5929A}">
  <ds:schemaRefs>
    <ds:schemaRef ds:uri="http://schemas.microsoft.com/office/2006/metadata/properties"/>
    <ds:schemaRef ds:uri="http://schemas.microsoft.com/office/infopath/2007/PartnerControls"/>
    <ds:schemaRef ds:uri="e968d4b9-9f0d-4b6f-81c6-222446f6098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3634</Words>
  <Characters>20715</Characters>
  <Application>Microsoft Office Word</Application>
  <DocSecurity>0</DocSecurity>
  <Lines>172</Lines>
  <Paragraphs>48</Paragraphs>
  <ScaleCrop>false</ScaleCrop>
  <Company>Minnesota Advocates for Human Rights</Company>
  <LinksUpToDate>false</LinksUpToDate>
  <CharactersWithSpaces>24301</CharactersWithSpaces>
  <SharedDoc>false</SharedDoc>
  <HLinks>
    <vt:vector size="12" baseType="variant">
      <vt:variant>
        <vt:i4>7274548</vt:i4>
      </vt:variant>
      <vt:variant>
        <vt:i4>3</vt:i4>
      </vt:variant>
      <vt:variant>
        <vt:i4>0</vt:i4>
      </vt:variant>
      <vt:variant>
        <vt:i4>5</vt:i4>
      </vt:variant>
      <vt:variant>
        <vt:lpwstr>https://nicic.gov/federal-interagency-reentry-council-record-progress-and-roadmap-future-0</vt:lpwstr>
      </vt:variant>
      <vt:variant>
        <vt:lpwstr/>
      </vt:variant>
      <vt:variant>
        <vt:i4>7274548</vt:i4>
      </vt:variant>
      <vt:variant>
        <vt:i4>0</vt:i4>
      </vt:variant>
      <vt:variant>
        <vt:i4>0</vt:i4>
      </vt:variant>
      <vt:variant>
        <vt:i4>5</vt:i4>
      </vt:variant>
      <vt:variant>
        <vt:lpwstr>https://nicic.gov/federal-interagency-reentry-council-record-progress-and-roadmap-future-0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Jennifer Prestholdt</cp:lastModifiedBy>
  <cp:revision>257</cp:revision>
  <cp:lastPrinted>2011-09-16T20:52:00Z</cp:lastPrinted>
  <dcterms:created xsi:type="dcterms:W3CDTF">2022-05-09T19:19:00Z</dcterms:created>
  <dcterms:modified xsi:type="dcterms:W3CDTF">2022-05-16T22:16:00Z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0x010100619F83A6D186D14591065E56FDFCE7B0</vt:lpwstr>
  </property>
</Properties>
</file>