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72F3" w14:textId="6340494F" w:rsidR="005156FA" w:rsidRDefault="005156FA" w:rsidP="00D8191F">
      <w:pPr>
        <w:pStyle w:val="NormalWeb"/>
        <w:shd w:val="clear" w:color="auto" w:fill="FFFFFF"/>
        <w:jc w:val="center"/>
        <w:rPr>
          <w:rFonts w:ascii="MetaNormal-Roman" w:hAnsi="MetaNormal-Roman" w:cs="Times New Roman"/>
          <w:b/>
          <w:bCs/>
          <w:color w:val="201F1E"/>
        </w:rPr>
      </w:pPr>
      <w:r>
        <w:rPr>
          <w:noProof/>
        </w:rPr>
        <w:drawing>
          <wp:inline distT="0" distB="0" distL="0" distR="0" wp14:anchorId="5E88B632" wp14:editId="3EBFE851">
            <wp:extent cx="1212850" cy="1574800"/>
            <wp:effectExtent l="0" t="0" r="6350" b="6350"/>
            <wp:docPr id="1" name="Picture 1" descr="logo_URL_CMYK_upd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URL_CMYK_updat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2850" cy="1574800"/>
                    </a:xfrm>
                    <a:prstGeom prst="rect">
                      <a:avLst/>
                    </a:prstGeom>
                    <a:noFill/>
                    <a:ln>
                      <a:noFill/>
                    </a:ln>
                  </pic:spPr>
                </pic:pic>
              </a:graphicData>
            </a:graphic>
          </wp:inline>
        </w:drawing>
      </w:r>
    </w:p>
    <w:p w14:paraId="6BF190A8" w14:textId="45F66074" w:rsidR="00244912" w:rsidRPr="00C55A13" w:rsidRDefault="00272DAB" w:rsidP="004C1EC0">
      <w:pPr>
        <w:pStyle w:val="NormalWeb"/>
        <w:shd w:val="clear" w:color="auto" w:fill="FFFFFF"/>
        <w:rPr>
          <w:rFonts w:ascii="MetaNormal-Roman" w:hAnsi="MetaNormal-Roman" w:cs="Times New Roman"/>
          <w:b/>
          <w:bCs/>
          <w:color w:val="201F1E"/>
        </w:rPr>
      </w:pPr>
      <w:r w:rsidRPr="00C55A13">
        <w:rPr>
          <w:rFonts w:ascii="MetaNormal-Roman" w:hAnsi="MetaNormal-Roman" w:cs="Times New Roman"/>
          <w:b/>
          <w:bCs/>
          <w:color w:val="201F1E"/>
        </w:rPr>
        <w:t xml:space="preserve">Human Rights Watch </w:t>
      </w:r>
      <w:r w:rsidR="00153E3D" w:rsidRPr="00C55A13">
        <w:rPr>
          <w:rFonts w:ascii="MetaNormal-Roman" w:hAnsi="MetaNormal-Roman" w:cs="Times New Roman"/>
          <w:b/>
          <w:bCs/>
          <w:color w:val="201F1E"/>
        </w:rPr>
        <w:t>S</w:t>
      </w:r>
      <w:r w:rsidR="009576D1" w:rsidRPr="00C55A13">
        <w:rPr>
          <w:rFonts w:ascii="MetaNormal-Roman" w:hAnsi="MetaNormal-Roman" w:cs="Times New Roman"/>
          <w:b/>
          <w:bCs/>
          <w:color w:val="201F1E"/>
        </w:rPr>
        <w:t xml:space="preserve">ubmission </w:t>
      </w:r>
      <w:r w:rsidR="00244912" w:rsidRPr="00C55A13">
        <w:rPr>
          <w:rFonts w:ascii="MetaNormal-Roman" w:hAnsi="MetaNormal-Roman" w:cs="Times New Roman"/>
          <w:b/>
          <w:bCs/>
          <w:color w:val="201F1E"/>
        </w:rPr>
        <w:t xml:space="preserve">to the Committee on the Elimination of </w:t>
      </w:r>
      <w:r w:rsidRPr="00C55A13">
        <w:rPr>
          <w:rFonts w:ascii="MetaNormal-Roman" w:hAnsi="MetaNormal-Roman" w:cs="Times New Roman"/>
          <w:b/>
          <w:bCs/>
          <w:color w:val="201F1E"/>
        </w:rPr>
        <w:t>A</w:t>
      </w:r>
      <w:r w:rsidR="00244912" w:rsidRPr="00C55A13">
        <w:rPr>
          <w:rFonts w:ascii="MetaNormal-Roman" w:hAnsi="MetaNormal-Roman" w:cs="Times New Roman"/>
          <w:b/>
          <w:bCs/>
          <w:color w:val="201F1E"/>
        </w:rPr>
        <w:t>ll Forms of Discrimination against Women on Turkey</w:t>
      </w:r>
      <w:r w:rsidR="00581590" w:rsidRPr="00C55A13">
        <w:rPr>
          <w:rFonts w:ascii="MetaNormal-Roman" w:hAnsi="MetaNormal-Roman" w:cs="Times New Roman"/>
          <w:b/>
          <w:bCs/>
          <w:color w:val="201F1E"/>
        </w:rPr>
        <w:t xml:space="preserve"> - </w:t>
      </w:r>
      <w:r w:rsidR="00244912" w:rsidRPr="00C55A13">
        <w:rPr>
          <w:rFonts w:ascii="MetaNormal-Roman" w:hAnsi="MetaNormal-Roman" w:cs="Times New Roman"/>
          <w:b/>
          <w:bCs/>
          <w:color w:val="201F1E"/>
        </w:rPr>
        <w:t xml:space="preserve">CEDAW </w:t>
      </w:r>
      <w:r w:rsidR="00153E3D" w:rsidRPr="00C55A13">
        <w:rPr>
          <w:rFonts w:ascii="MetaNormal-Roman" w:hAnsi="MetaNormal-Roman" w:cs="Times New Roman"/>
          <w:b/>
          <w:bCs/>
          <w:color w:val="201F1E"/>
        </w:rPr>
        <w:t>82</w:t>
      </w:r>
      <w:r w:rsidR="00153E3D" w:rsidRPr="00C55A13">
        <w:rPr>
          <w:rFonts w:ascii="MetaNormal-Roman" w:hAnsi="MetaNormal-Roman" w:cs="Times New Roman"/>
          <w:b/>
          <w:bCs/>
          <w:color w:val="201F1E"/>
          <w:vertAlign w:val="superscript"/>
        </w:rPr>
        <w:t>nd</w:t>
      </w:r>
      <w:r w:rsidR="00153E3D" w:rsidRPr="00C55A13">
        <w:rPr>
          <w:rFonts w:ascii="MetaNormal-Roman" w:hAnsi="MetaNormal-Roman" w:cs="Times New Roman"/>
          <w:b/>
          <w:bCs/>
          <w:color w:val="201F1E"/>
        </w:rPr>
        <w:t xml:space="preserve"> Session</w:t>
      </w:r>
      <w:r w:rsidR="00244912" w:rsidRPr="00C55A13">
        <w:rPr>
          <w:rFonts w:ascii="MetaNormal-Roman" w:hAnsi="MetaNormal-Roman" w:cs="Times New Roman"/>
          <w:b/>
          <w:bCs/>
          <w:color w:val="201F1E"/>
        </w:rPr>
        <w:t xml:space="preserve"> </w:t>
      </w:r>
    </w:p>
    <w:p w14:paraId="7073C5D6" w14:textId="550B5952" w:rsidR="00C55A13" w:rsidRPr="00C55A13" w:rsidRDefault="00C55A13" w:rsidP="004C1EC0">
      <w:pPr>
        <w:pStyle w:val="NormalWeb"/>
        <w:shd w:val="clear" w:color="auto" w:fill="FFFFFF"/>
        <w:rPr>
          <w:rFonts w:ascii="MetaNormal-Roman" w:hAnsi="MetaNormal-Roman" w:cstheme="minorHAnsi"/>
          <w:i/>
          <w:iCs/>
          <w:color w:val="444444"/>
        </w:rPr>
      </w:pPr>
      <w:r w:rsidRPr="00C55A13">
        <w:rPr>
          <w:rFonts w:ascii="MetaNormal-Roman" w:hAnsi="MetaNormal-Roman" w:cstheme="minorHAnsi"/>
          <w:i/>
          <w:iCs/>
          <w:color w:val="444444"/>
        </w:rPr>
        <w:t>Introduction</w:t>
      </w:r>
    </w:p>
    <w:p w14:paraId="7CB17112" w14:textId="1DD107F9" w:rsidR="009576D1" w:rsidRPr="00C55A13" w:rsidRDefault="00153E3D" w:rsidP="004C1EC0">
      <w:pPr>
        <w:pStyle w:val="NormalWeb"/>
        <w:shd w:val="clear" w:color="auto" w:fill="FFFFFF"/>
        <w:rPr>
          <w:rFonts w:ascii="MetaNormal-Roman" w:hAnsi="MetaNormal-Roman" w:cstheme="minorHAnsi"/>
          <w:color w:val="444444"/>
        </w:rPr>
      </w:pPr>
      <w:r w:rsidRPr="00C55A13">
        <w:rPr>
          <w:rFonts w:ascii="MetaNormal-Roman" w:hAnsi="MetaNormal-Roman" w:cstheme="minorHAnsi"/>
          <w:color w:val="444444"/>
        </w:rPr>
        <w:t xml:space="preserve">Human Rights Watch writes in advance of the </w:t>
      </w:r>
      <w:r w:rsidR="00255FA3" w:rsidRPr="00C55A13">
        <w:rPr>
          <w:rFonts w:ascii="MetaNormal-Roman" w:hAnsi="MetaNormal-Roman" w:cstheme="minorHAnsi"/>
          <w:color w:val="444444"/>
        </w:rPr>
        <w:t>82</w:t>
      </w:r>
      <w:r w:rsidR="00255FA3" w:rsidRPr="00481C69">
        <w:rPr>
          <w:rFonts w:ascii="MetaNormal-Roman" w:hAnsi="MetaNormal-Roman" w:cstheme="minorHAnsi"/>
          <w:color w:val="444444"/>
          <w:vertAlign w:val="superscript"/>
        </w:rPr>
        <w:t>nd</w:t>
      </w:r>
      <w:r w:rsidR="00BA122B">
        <w:rPr>
          <w:rFonts w:ascii="MetaNormal-Roman" w:hAnsi="MetaNormal-Roman" w:cstheme="minorHAnsi"/>
          <w:color w:val="444444"/>
        </w:rPr>
        <w:t xml:space="preserve"> </w:t>
      </w:r>
      <w:r w:rsidRPr="00C55A13">
        <w:rPr>
          <w:rFonts w:ascii="MetaNormal-Roman" w:hAnsi="MetaNormal-Roman" w:cstheme="minorHAnsi"/>
          <w:color w:val="444444"/>
        </w:rPr>
        <w:t>session of the Committee on the Elimination of Discrimination against Women</w:t>
      </w:r>
      <w:r w:rsidR="004960DE" w:rsidRPr="00C55A13">
        <w:rPr>
          <w:rFonts w:ascii="MetaNormal-Roman" w:hAnsi="MetaNormal-Roman" w:cstheme="minorHAnsi"/>
          <w:color w:val="444444"/>
        </w:rPr>
        <w:t xml:space="preserve"> (“the Committee”)</w:t>
      </w:r>
      <w:r w:rsidRPr="00C55A13">
        <w:rPr>
          <w:rFonts w:ascii="MetaNormal-Roman" w:hAnsi="MetaNormal-Roman" w:cstheme="minorHAnsi"/>
          <w:color w:val="444444"/>
        </w:rPr>
        <w:t xml:space="preserve"> relating to </w:t>
      </w:r>
      <w:r w:rsidR="004960DE" w:rsidRPr="00C55A13">
        <w:rPr>
          <w:rFonts w:ascii="MetaNormal-Roman" w:hAnsi="MetaNormal-Roman" w:cstheme="minorHAnsi"/>
          <w:color w:val="444444"/>
        </w:rPr>
        <w:t>Turkey</w:t>
      </w:r>
      <w:r w:rsidRPr="00C55A13">
        <w:rPr>
          <w:rFonts w:ascii="MetaNormal-Roman" w:hAnsi="MetaNormal-Roman" w:cstheme="minorHAnsi"/>
          <w:color w:val="444444"/>
        </w:rPr>
        <w:t xml:space="preserve">’s </w:t>
      </w:r>
      <w:r w:rsidR="009B00BD" w:rsidRPr="00C55A13">
        <w:rPr>
          <w:rFonts w:ascii="MetaNormal-Roman" w:hAnsi="MetaNormal-Roman" w:cstheme="minorHAnsi"/>
          <w:color w:val="444444"/>
        </w:rPr>
        <w:t xml:space="preserve">(“the Government”) </w:t>
      </w:r>
      <w:r w:rsidRPr="00C55A13">
        <w:rPr>
          <w:rFonts w:ascii="MetaNormal-Roman" w:hAnsi="MetaNormal-Roman" w:cstheme="minorHAnsi"/>
          <w:color w:val="444444"/>
        </w:rPr>
        <w:t>compliance with the Convention on the Elimination of All Forms of Discrimination against Women (“the Convention”)</w:t>
      </w:r>
      <w:r w:rsidR="00BC2E0D" w:rsidRPr="00C55A13">
        <w:rPr>
          <w:rFonts w:ascii="MetaNormal-Roman" w:hAnsi="MetaNormal-Roman" w:cstheme="minorHAnsi"/>
          <w:color w:val="444444"/>
        </w:rPr>
        <w:t xml:space="preserve"> in its eighth periodic report</w:t>
      </w:r>
      <w:r w:rsidRPr="00C55A13">
        <w:rPr>
          <w:rFonts w:ascii="MetaNormal-Roman" w:hAnsi="MetaNormal-Roman" w:cstheme="minorHAnsi"/>
          <w:color w:val="444444"/>
        </w:rPr>
        <w:t>.</w:t>
      </w:r>
    </w:p>
    <w:p w14:paraId="5891FE74" w14:textId="091CC7D0" w:rsidR="004D0063" w:rsidRPr="00C55A13" w:rsidRDefault="00272DAB" w:rsidP="00272DAB">
      <w:pPr>
        <w:contextualSpacing/>
        <w:rPr>
          <w:rFonts w:ascii="MetaNormal-Roman" w:eastAsia="Calibri" w:hAnsi="MetaNormal-Roman" w:cstheme="minorHAnsi"/>
        </w:rPr>
      </w:pPr>
      <w:r w:rsidRPr="00C55A13">
        <w:rPr>
          <w:rFonts w:ascii="MetaNormal-Roman" w:hAnsi="MetaNormal-Roman" w:cstheme="minorHAnsi"/>
        </w:rPr>
        <w:t>Human Rights Watch recalls that</w:t>
      </w:r>
      <w:r w:rsidR="00C819D8" w:rsidRPr="00C55A13">
        <w:rPr>
          <w:rFonts w:ascii="MetaNormal-Roman" w:hAnsi="MetaNormal-Roman" w:cstheme="minorHAnsi"/>
        </w:rPr>
        <w:t>,</w:t>
      </w:r>
      <w:r w:rsidRPr="00C55A13">
        <w:rPr>
          <w:rFonts w:ascii="MetaNormal-Roman" w:hAnsi="MetaNormal-Roman" w:cstheme="minorHAnsi"/>
        </w:rPr>
        <w:t xml:space="preserve"> in its 2016 review of Turkey’s seventh periodic report, the Committee leveled robust criticism at the Turkish authorities for </w:t>
      </w:r>
      <w:r w:rsidR="00BA122B">
        <w:rPr>
          <w:rFonts w:ascii="MetaNormal-Roman" w:hAnsi="MetaNormal-Roman" w:cstheme="minorHAnsi"/>
        </w:rPr>
        <w:t>implementation failures</w:t>
      </w:r>
      <w:r w:rsidRPr="00C55A13">
        <w:rPr>
          <w:rFonts w:ascii="MetaNormal-Roman" w:hAnsi="MetaNormal-Roman" w:cstheme="minorHAnsi"/>
        </w:rPr>
        <w:t xml:space="preserve"> </w:t>
      </w:r>
      <w:r w:rsidR="001C53B9">
        <w:rPr>
          <w:rFonts w:ascii="MetaNormal-Roman" w:hAnsi="MetaNormal-Roman" w:cstheme="minorHAnsi"/>
        </w:rPr>
        <w:t xml:space="preserve">with respect to </w:t>
      </w:r>
      <w:r w:rsidRPr="00C55A13">
        <w:rPr>
          <w:rFonts w:ascii="MetaNormal-Roman" w:hAnsi="MetaNormal-Roman" w:cstheme="minorHAnsi"/>
        </w:rPr>
        <w:t xml:space="preserve">legislation concerning the protection of women from violence. </w:t>
      </w:r>
      <w:r w:rsidR="001C53B9">
        <w:rPr>
          <w:rFonts w:ascii="MetaNormal-Roman" w:hAnsi="MetaNormal-Roman" w:cstheme="minorHAnsi"/>
        </w:rPr>
        <w:t xml:space="preserve">In reference to </w:t>
      </w:r>
      <w:r w:rsidR="00CA5353" w:rsidRPr="00C55A13">
        <w:rPr>
          <w:rFonts w:ascii="MetaNormal-Roman" w:hAnsi="MetaNormal-Roman" w:cstheme="minorHAnsi"/>
        </w:rPr>
        <w:t>T</w:t>
      </w:r>
      <w:r w:rsidRPr="00C55A13">
        <w:rPr>
          <w:rFonts w:ascii="MetaNormal-Roman" w:hAnsi="MetaNormal-Roman" w:cstheme="minorHAnsi"/>
        </w:rPr>
        <w:t xml:space="preserve">urkey’s implementation of protective orders and injunctions (in the scope of Turkey’s </w:t>
      </w:r>
      <w:r w:rsidR="00EB448B" w:rsidRPr="00C55A13">
        <w:rPr>
          <w:rFonts w:ascii="MetaNormal-Roman" w:hAnsi="MetaNormal-Roman" w:cstheme="minorHAnsi"/>
          <w:color w:val="201F1E"/>
        </w:rPr>
        <w:t>Law to Protect the Family and Prevent Violence against Women, no.</w:t>
      </w:r>
      <w:r w:rsidRPr="00C55A13">
        <w:rPr>
          <w:rFonts w:ascii="MetaNormal-Roman" w:hAnsi="MetaNormal-Roman" w:cstheme="minorHAnsi"/>
        </w:rPr>
        <w:t xml:space="preserve"> 6</w:t>
      </w:r>
      <w:r w:rsidR="00EB448B" w:rsidRPr="00C55A13">
        <w:rPr>
          <w:rFonts w:ascii="MetaNormal-Roman" w:hAnsi="MetaNormal-Roman" w:cstheme="minorHAnsi"/>
        </w:rPr>
        <w:t>2</w:t>
      </w:r>
      <w:r w:rsidRPr="00C55A13">
        <w:rPr>
          <w:rFonts w:ascii="MetaNormal-Roman" w:hAnsi="MetaNormal-Roman" w:cstheme="minorHAnsi"/>
        </w:rPr>
        <w:t>84)</w:t>
      </w:r>
      <w:r w:rsidR="00CA5353" w:rsidRPr="00C55A13">
        <w:rPr>
          <w:rFonts w:ascii="MetaNormal-Roman" w:hAnsi="MetaNormal-Roman" w:cstheme="minorHAnsi"/>
        </w:rPr>
        <w:t>,</w:t>
      </w:r>
      <w:r w:rsidRPr="00C55A13">
        <w:rPr>
          <w:rFonts w:ascii="MetaNormal-Roman" w:hAnsi="MetaNormal-Roman" w:cstheme="minorHAnsi"/>
        </w:rPr>
        <w:t xml:space="preserve"> </w:t>
      </w:r>
      <w:r w:rsidR="00CA5353" w:rsidRPr="00C55A13">
        <w:rPr>
          <w:rFonts w:ascii="MetaNormal-Roman" w:hAnsi="MetaNormal-Roman" w:cstheme="minorHAnsi"/>
        </w:rPr>
        <w:t xml:space="preserve">the Committee noted </w:t>
      </w:r>
      <w:r w:rsidR="0086300C" w:rsidRPr="00C55A13">
        <w:rPr>
          <w:rFonts w:ascii="MetaNormal-Roman" w:hAnsi="MetaNormal-Roman" w:cstheme="minorHAnsi"/>
        </w:rPr>
        <w:t xml:space="preserve">in its concluding observations </w:t>
      </w:r>
      <w:r w:rsidRPr="00C55A13">
        <w:rPr>
          <w:rFonts w:ascii="MetaNormal-Roman" w:hAnsi="MetaNormal-Roman" w:cstheme="minorHAnsi"/>
        </w:rPr>
        <w:t>that: “…</w:t>
      </w:r>
      <w:r w:rsidRPr="00C55A13">
        <w:rPr>
          <w:rFonts w:ascii="MetaNormal-Roman" w:eastAsia="Calibri" w:hAnsi="MetaNormal-Roman" w:cstheme="minorHAnsi"/>
        </w:rPr>
        <w:t>protection orders are rarely implemented and are insufficiently monitored, with such failure often resulting in prolonged gender-based violence against women or the killing of the women concerned.”</w:t>
      </w:r>
      <w:r w:rsidRPr="00C55A13">
        <w:rPr>
          <w:rStyle w:val="FootnoteReference"/>
          <w:rFonts w:ascii="MetaNormal-Roman" w:eastAsia="Calibri" w:hAnsi="MetaNormal-Roman" w:cstheme="minorHAnsi"/>
        </w:rPr>
        <w:footnoteReference w:id="1"/>
      </w:r>
      <w:r w:rsidRPr="00C55A13">
        <w:rPr>
          <w:rFonts w:ascii="MetaNormal-Roman" w:eastAsia="Calibri" w:hAnsi="MetaNormal-Roman" w:cstheme="minorHAnsi"/>
        </w:rPr>
        <w:t xml:space="preserve"> </w:t>
      </w:r>
    </w:p>
    <w:p w14:paraId="49387349" w14:textId="77777777" w:rsidR="004D0063" w:rsidRPr="00C55A13" w:rsidRDefault="004D0063" w:rsidP="00272DAB">
      <w:pPr>
        <w:contextualSpacing/>
        <w:rPr>
          <w:rFonts w:ascii="MetaNormal-Roman" w:eastAsia="Calibri" w:hAnsi="MetaNormal-Roman" w:cstheme="minorHAnsi"/>
        </w:rPr>
      </w:pPr>
    </w:p>
    <w:p w14:paraId="43264E84" w14:textId="0CEC88B7" w:rsidR="00272DAB" w:rsidRPr="00C55A13" w:rsidRDefault="00096FAE" w:rsidP="00272DAB">
      <w:pPr>
        <w:contextualSpacing/>
        <w:rPr>
          <w:rFonts w:ascii="MetaNormal-Roman" w:eastAsia="Calibri" w:hAnsi="MetaNormal-Roman" w:cstheme="minorHAnsi"/>
        </w:rPr>
      </w:pPr>
      <w:r w:rsidRPr="00C55A13">
        <w:rPr>
          <w:rFonts w:ascii="MetaNormal-Roman" w:eastAsia="Calibri" w:hAnsi="MetaNormal-Roman" w:cstheme="minorHAnsi"/>
        </w:rPr>
        <w:t>In its 2016 review, t</w:t>
      </w:r>
      <w:r w:rsidR="00272DAB" w:rsidRPr="00C55A13">
        <w:rPr>
          <w:rFonts w:ascii="MetaNormal-Roman" w:eastAsia="Calibri" w:hAnsi="MetaNormal-Roman" w:cstheme="minorHAnsi"/>
        </w:rPr>
        <w:t xml:space="preserve">he Committee </w:t>
      </w:r>
      <w:r w:rsidR="0086300C" w:rsidRPr="00C55A13">
        <w:rPr>
          <w:rFonts w:ascii="MetaNormal-Roman" w:eastAsia="Calibri" w:hAnsi="MetaNormal-Roman" w:cstheme="minorHAnsi"/>
        </w:rPr>
        <w:t xml:space="preserve">therefore </w:t>
      </w:r>
      <w:r w:rsidR="00272DAB" w:rsidRPr="00C55A13">
        <w:rPr>
          <w:rFonts w:ascii="MetaNormal-Roman" w:eastAsia="Calibri" w:hAnsi="MetaNormal-Roman" w:cstheme="minorHAnsi"/>
        </w:rPr>
        <w:t>recommend</w:t>
      </w:r>
      <w:r w:rsidR="0086300C" w:rsidRPr="00C55A13">
        <w:rPr>
          <w:rFonts w:ascii="MetaNormal-Roman" w:eastAsia="Calibri" w:hAnsi="MetaNormal-Roman" w:cstheme="minorHAnsi"/>
        </w:rPr>
        <w:t xml:space="preserve">ed </w:t>
      </w:r>
      <w:r w:rsidR="00272DAB" w:rsidRPr="00C55A13">
        <w:rPr>
          <w:rFonts w:ascii="MetaNormal-Roman" w:eastAsia="Calibri" w:hAnsi="MetaNormal-Roman" w:cstheme="minorHAnsi"/>
        </w:rPr>
        <w:t>that the Turkish authorities: “[v]</w:t>
      </w:r>
      <w:proofErr w:type="spellStart"/>
      <w:r w:rsidR="00272DAB" w:rsidRPr="00C55A13">
        <w:rPr>
          <w:rFonts w:ascii="MetaNormal-Roman" w:eastAsia="Calibri" w:hAnsi="MetaNormal-Roman" w:cstheme="minorHAnsi"/>
        </w:rPr>
        <w:t>igorously</w:t>
      </w:r>
      <w:proofErr w:type="spellEnd"/>
      <w:r w:rsidR="00272DAB" w:rsidRPr="00C55A13">
        <w:rPr>
          <w:rFonts w:ascii="MetaNormal-Roman" w:eastAsia="Calibri" w:hAnsi="MetaNormal-Roman" w:cstheme="minorHAnsi"/>
        </w:rPr>
        <w:t xml:space="preserve"> monitor protection orders and sanction their </w:t>
      </w:r>
      <w:proofErr w:type="gramStart"/>
      <w:r w:rsidR="00272DAB" w:rsidRPr="00C55A13">
        <w:rPr>
          <w:rFonts w:ascii="MetaNormal-Roman" w:eastAsia="Calibri" w:hAnsi="MetaNormal-Roman" w:cstheme="minorHAnsi"/>
        </w:rPr>
        <w:t>violation, and</w:t>
      </w:r>
      <w:proofErr w:type="gramEnd"/>
      <w:r w:rsidR="00272DAB" w:rsidRPr="00C55A13">
        <w:rPr>
          <w:rFonts w:ascii="MetaNormal-Roman" w:eastAsia="Calibri" w:hAnsi="MetaNormal-Roman" w:cstheme="minorHAnsi"/>
        </w:rPr>
        <w:t xml:space="preserve"> investigate and hold law enforcement officials and judiciary personnel accountable for failure to register complaints and issue and enforce protection orders.”</w:t>
      </w:r>
      <w:r w:rsidR="00272DAB" w:rsidRPr="00C55A13">
        <w:rPr>
          <w:rStyle w:val="FootnoteReference"/>
          <w:rFonts w:ascii="MetaNormal-Roman" w:eastAsia="Calibri" w:hAnsi="MetaNormal-Roman" w:cstheme="minorHAnsi"/>
        </w:rPr>
        <w:footnoteReference w:id="2"/>
      </w:r>
      <w:r w:rsidR="00272DAB" w:rsidRPr="00C55A13">
        <w:rPr>
          <w:rFonts w:ascii="MetaNormal-Roman" w:eastAsia="Calibri" w:hAnsi="MetaNormal-Roman" w:cstheme="minorHAnsi"/>
        </w:rPr>
        <w:t xml:space="preserve"> </w:t>
      </w:r>
    </w:p>
    <w:p w14:paraId="56FD73C9" w14:textId="77777777" w:rsidR="00CF405C" w:rsidRPr="00C55A13" w:rsidRDefault="000E3F9F" w:rsidP="004C1EC0">
      <w:pPr>
        <w:pStyle w:val="NormalWeb"/>
        <w:shd w:val="clear" w:color="auto" w:fill="FFFFFF"/>
        <w:rPr>
          <w:rFonts w:ascii="MetaNormal-Roman" w:hAnsi="MetaNormal-Roman" w:cstheme="minorHAnsi"/>
          <w:i/>
          <w:iCs/>
          <w:color w:val="201F1E"/>
        </w:rPr>
      </w:pPr>
      <w:r w:rsidRPr="00C55A13">
        <w:rPr>
          <w:rFonts w:ascii="MetaNormal-Roman" w:hAnsi="MetaNormal-Roman" w:cstheme="minorHAnsi"/>
          <w:i/>
          <w:iCs/>
          <w:color w:val="201F1E"/>
        </w:rPr>
        <w:t xml:space="preserve">Lack of effective enforcement of </w:t>
      </w:r>
      <w:r w:rsidR="00D32400" w:rsidRPr="00C55A13">
        <w:rPr>
          <w:rFonts w:ascii="MetaNormal-Roman" w:hAnsi="MetaNormal-Roman" w:cstheme="minorHAnsi"/>
          <w:i/>
          <w:iCs/>
          <w:color w:val="201F1E"/>
        </w:rPr>
        <w:t xml:space="preserve">protective and preventive </w:t>
      </w:r>
      <w:r w:rsidRPr="00C55A13">
        <w:rPr>
          <w:rFonts w:ascii="MetaNormal-Roman" w:hAnsi="MetaNormal-Roman" w:cstheme="minorHAnsi"/>
          <w:i/>
          <w:iCs/>
          <w:color w:val="201F1E"/>
        </w:rPr>
        <w:t xml:space="preserve">orders </w:t>
      </w:r>
    </w:p>
    <w:p w14:paraId="4B3FC03C" w14:textId="427F3BB2" w:rsidR="0062601B" w:rsidRPr="00C55A13" w:rsidRDefault="004A6777" w:rsidP="004C1EC0">
      <w:pPr>
        <w:pStyle w:val="NormalWeb"/>
        <w:shd w:val="clear" w:color="auto" w:fill="FFFFFF"/>
        <w:rPr>
          <w:rFonts w:ascii="MetaNormal-Roman" w:hAnsi="MetaNormal-Roman" w:cstheme="minorHAnsi"/>
          <w:i/>
          <w:iCs/>
          <w:color w:val="201F1E"/>
        </w:rPr>
      </w:pPr>
      <w:r w:rsidRPr="00C55A13">
        <w:rPr>
          <w:rFonts w:ascii="MetaNormal-Roman" w:hAnsi="MetaNormal-Roman" w:cstheme="minorHAnsi"/>
          <w:color w:val="201F1E"/>
        </w:rPr>
        <w:t xml:space="preserve">Relevant to the </w:t>
      </w:r>
      <w:r w:rsidR="00C819D8" w:rsidRPr="00C55A13">
        <w:rPr>
          <w:rFonts w:ascii="MetaNormal-Roman" w:hAnsi="MetaNormal-Roman" w:cstheme="minorHAnsi"/>
          <w:color w:val="201F1E"/>
        </w:rPr>
        <w:t xml:space="preserve">Committee’s above-mentioned </w:t>
      </w:r>
      <w:r w:rsidR="00CA5353" w:rsidRPr="00C55A13">
        <w:rPr>
          <w:rFonts w:ascii="MetaNormal-Roman" w:hAnsi="MetaNormal-Roman" w:cstheme="minorHAnsi"/>
          <w:color w:val="201F1E"/>
        </w:rPr>
        <w:t xml:space="preserve">observation and </w:t>
      </w:r>
      <w:r w:rsidR="00C819D8" w:rsidRPr="00C55A13">
        <w:rPr>
          <w:rFonts w:ascii="MetaNormal-Roman" w:hAnsi="MetaNormal-Roman" w:cstheme="minorHAnsi"/>
          <w:color w:val="201F1E"/>
        </w:rPr>
        <w:t xml:space="preserve">recommendation, </w:t>
      </w:r>
      <w:r w:rsidR="00272DAB" w:rsidRPr="00C55A13">
        <w:rPr>
          <w:rFonts w:ascii="MetaNormal-Roman" w:hAnsi="MetaNormal-Roman" w:cstheme="minorHAnsi"/>
          <w:color w:val="201F1E"/>
        </w:rPr>
        <w:t>H</w:t>
      </w:r>
      <w:r w:rsidR="0062601B" w:rsidRPr="00C55A13">
        <w:rPr>
          <w:rFonts w:ascii="MetaNormal-Roman" w:hAnsi="MetaNormal-Roman" w:cstheme="minorHAnsi"/>
          <w:color w:val="201F1E"/>
        </w:rPr>
        <w:t>uman Rights Watch</w:t>
      </w:r>
      <w:r w:rsidR="00CF405C" w:rsidRPr="00C55A13">
        <w:rPr>
          <w:rFonts w:ascii="MetaNormal-Roman" w:hAnsi="MetaNormal-Roman" w:cstheme="minorHAnsi"/>
          <w:color w:val="201F1E"/>
        </w:rPr>
        <w:t xml:space="preserve"> </w:t>
      </w:r>
      <w:r w:rsidRPr="00C55A13">
        <w:rPr>
          <w:rFonts w:ascii="MetaNormal-Roman" w:hAnsi="MetaNormal-Roman" w:cstheme="minorHAnsi"/>
          <w:color w:val="201F1E"/>
        </w:rPr>
        <w:t xml:space="preserve">shares in </w:t>
      </w:r>
      <w:r w:rsidR="0062601B" w:rsidRPr="00C55A13">
        <w:rPr>
          <w:rFonts w:ascii="MetaNormal-Roman" w:hAnsi="MetaNormal-Roman" w:cstheme="minorHAnsi"/>
          <w:color w:val="201F1E"/>
        </w:rPr>
        <w:t xml:space="preserve">this submission the findings of its latest </w:t>
      </w:r>
      <w:r w:rsidR="00BC2E0D" w:rsidRPr="00C55A13">
        <w:rPr>
          <w:rFonts w:ascii="MetaNormal-Roman" w:hAnsi="MetaNormal-Roman" w:cstheme="minorHAnsi"/>
          <w:color w:val="201F1E"/>
        </w:rPr>
        <w:t xml:space="preserve">research on Turkey published in a </w:t>
      </w:r>
      <w:r w:rsidR="0062601B" w:rsidRPr="00C55A13">
        <w:rPr>
          <w:rFonts w:ascii="MetaNormal-Roman" w:hAnsi="MetaNormal-Roman" w:cstheme="minorHAnsi"/>
          <w:color w:val="201F1E"/>
        </w:rPr>
        <w:t>report entitled “Combatting Domestic Violence in Turkey: The Deadly Impact of Failure to Protec</w:t>
      </w:r>
      <w:r w:rsidR="00272DAB" w:rsidRPr="00C55A13">
        <w:rPr>
          <w:rFonts w:ascii="MetaNormal-Roman" w:hAnsi="MetaNormal-Roman" w:cstheme="minorHAnsi"/>
          <w:color w:val="201F1E"/>
        </w:rPr>
        <w:t>t</w:t>
      </w:r>
      <w:r w:rsidR="0062601B" w:rsidRPr="00C55A13">
        <w:rPr>
          <w:rFonts w:ascii="MetaNormal-Roman" w:hAnsi="MetaNormal-Roman" w:cstheme="minorHAnsi"/>
          <w:color w:val="201F1E"/>
        </w:rPr>
        <w:t>”</w:t>
      </w:r>
      <w:r w:rsidR="00272DAB" w:rsidRPr="00C55A13">
        <w:rPr>
          <w:rFonts w:ascii="MetaNormal-Roman" w:hAnsi="MetaNormal-Roman" w:cstheme="minorHAnsi"/>
          <w:color w:val="201F1E"/>
        </w:rPr>
        <w:t xml:space="preserve"> (</w:t>
      </w:r>
      <w:r w:rsidR="00EB4374">
        <w:rPr>
          <w:rFonts w:ascii="MetaNormal-Roman" w:hAnsi="MetaNormal-Roman" w:cstheme="minorHAnsi"/>
          <w:color w:val="201F1E"/>
        </w:rPr>
        <w:t>submitted as an a</w:t>
      </w:r>
      <w:r w:rsidR="00272DAB" w:rsidRPr="00C55A13">
        <w:rPr>
          <w:rFonts w:ascii="MetaNormal-Roman" w:hAnsi="MetaNormal-Roman" w:cstheme="minorHAnsi"/>
          <w:color w:val="201F1E"/>
        </w:rPr>
        <w:t>ppendix).</w:t>
      </w:r>
      <w:r w:rsidR="00C819D8" w:rsidRPr="00C55A13">
        <w:rPr>
          <w:rStyle w:val="FootnoteReference"/>
          <w:rFonts w:ascii="MetaNormal-Roman" w:hAnsi="MetaNormal-Roman" w:cstheme="minorHAnsi"/>
          <w:color w:val="201F1E"/>
        </w:rPr>
        <w:t xml:space="preserve"> </w:t>
      </w:r>
      <w:r w:rsidR="00C819D8" w:rsidRPr="00C55A13">
        <w:rPr>
          <w:rStyle w:val="FootnoteReference"/>
          <w:rFonts w:ascii="MetaNormal-Roman" w:hAnsi="MetaNormal-Roman" w:cstheme="minorHAnsi"/>
          <w:color w:val="201F1E"/>
        </w:rPr>
        <w:footnoteReference w:id="3"/>
      </w:r>
      <w:r w:rsidR="00C819D8" w:rsidRPr="00C55A13">
        <w:rPr>
          <w:rFonts w:ascii="MetaNormal-Roman" w:hAnsi="MetaNormal-Roman" w:cstheme="minorHAnsi"/>
          <w:color w:val="201F1E"/>
        </w:rPr>
        <w:t xml:space="preserve"> </w:t>
      </w:r>
      <w:r w:rsidR="00272DAB" w:rsidRPr="00C55A13">
        <w:rPr>
          <w:rFonts w:ascii="MetaNormal-Roman" w:hAnsi="MetaNormal-Roman" w:cstheme="minorHAnsi"/>
          <w:color w:val="201F1E"/>
        </w:rPr>
        <w:t xml:space="preserve"> </w:t>
      </w:r>
      <w:r w:rsidR="0062601B" w:rsidRPr="00C55A13">
        <w:rPr>
          <w:rFonts w:ascii="MetaNormal-Roman" w:hAnsi="MetaNormal-Roman" w:cstheme="minorHAnsi"/>
          <w:color w:val="201F1E"/>
        </w:rPr>
        <w:t xml:space="preserve"> </w:t>
      </w:r>
      <w:r w:rsidR="007F0909">
        <w:rPr>
          <w:rFonts w:ascii="MetaNormal-Roman" w:hAnsi="MetaNormal-Roman" w:cstheme="minorHAnsi"/>
          <w:color w:val="201F1E"/>
        </w:rPr>
        <w:t>Human Rights Watch’s research shows</w:t>
      </w:r>
      <w:r w:rsidRPr="00C55A13">
        <w:rPr>
          <w:rFonts w:ascii="MetaNormal-Roman" w:hAnsi="MetaNormal-Roman" w:cstheme="minorHAnsi"/>
          <w:color w:val="201F1E"/>
        </w:rPr>
        <w:t xml:space="preserve"> continuing problems with</w:t>
      </w:r>
      <w:r w:rsidR="001C53B9">
        <w:rPr>
          <w:rFonts w:ascii="MetaNormal-Roman" w:hAnsi="MetaNormal-Roman" w:cstheme="minorHAnsi"/>
          <w:color w:val="201F1E"/>
        </w:rPr>
        <w:t xml:space="preserve"> the Government’s efforts to</w:t>
      </w:r>
      <w:r w:rsidRPr="00C55A13">
        <w:rPr>
          <w:rFonts w:ascii="MetaNormal-Roman" w:hAnsi="MetaNormal-Roman" w:cstheme="minorHAnsi"/>
          <w:color w:val="201F1E"/>
        </w:rPr>
        <w:t xml:space="preserve"> effectively protect women from domestic violence, </w:t>
      </w:r>
      <w:r w:rsidR="0062601B" w:rsidRPr="00C55A13">
        <w:rPr>
          <w:rFonts w:ascii="MetaNormal-Roman" w:hAnsi="MetaNormal-Roman" w:cstheme="minorHAnsi"/>
          <w:color w:val="201F1E"/>
        </w:rPr>
        <w:t xml:space="preserve">prevent its recurrence, </w:t>
      </w:r>
      <w:r w:rsidR="0062601B" w:rsidRPr="00C55A13">
        <w:rPr>
          <w:rFonts w:ascii="MetaNormal-Roman" w:hAnsi="MetaNormal-Roman" w:cstheme="minorHAnsi"/>
          <w:color w:val="201F1E"/>
        </w:rPr>
        <w:lastRenderedPageBreak/>
        <w:t>and hold perpetrators to account</w:t>
      </w:r>
      <w:r w:rsidRPr="00C55A13">
        <w:rPr>
          <w:rFonts w:ascii="MetaNormal-Roman" w:hAnsi="MetaNormal-Roman" w:cstheme="minorHAnsi"/>
          <w:color w:val="201F1E"/>
        </w:rPr>
        <w:t xml:space="preserve">. </w:t>
      </w:r>
      <w:r w:rsidR="009B2677">
        <w:rPr>
          <w:rFonts w:ascii="MetaNormal-Roman" w:hAnsi="MetaNormal-Roman" w:cstheme="minorHAnsi"/>
          <w:color w:val="201F1E"/>
        </w:rPr>
        <w:t>The</w:t>
      </w:r>
      <w:r w:rsidR="00CF405C" w:rsidRPr="00C55A13">
        <w:rPr>
          <w:rFonts w:ascii="MetaNormal-Roman" w:hAnsi="MetaNormal-Roman" w:cstheme="minorHAnsi"/>
          <w:color w:val="201F1E"/>
        </w:rPr>
        <w:t xml:space="preserve"> </w:t>
      </w:r>
      <w:r w:rsidR="00C819D8" w:rsidRPr="00C55A13">
        <w:rPr>
          <w:rFonts w:ascii="MetaNormal-Roman" w:hAnsi="MetaNormal-Roman" w:cstheme="minorHAnsi"/>
          <w:color w:val="201F1E"/>
        </w:rPr>
        <w:t xml:space="preserve">research </w:t>
      </w:r>
      <w:r w:rsidR="00333B8F" w:rsidRPr="00C55A13">
        <w:rPr>
          <w:rFonts w:ascii="MetaNormal-Roman" w:hAnsi="MetaNormal-Roman" w:cstheme="minorHAnsi"/>
          <w:color w:val="201F1E"/>
        </w:rPr>
        <w:t>focuse</w:t>
      </w:r>
      <w:r w:rsidR="00D32400" w:rsidRPr="00C55A13">
        <w:rPr>
          <w:rFonts w:ascii="MetaNormal-Roman" w:hAnsi="MetaNormal-Roman" w:cstheme="minorHAnsi"/>
          <w:color w:val="201F1E"/>
        </w:rPr>
        <w:t>d</w:t>
      </w:r>
      <w:r w:rsidR="00333B8F" w:rsidRPr="00C55A13">
        <w:rPr>
          <w:rFonts w:ascii="MetaNormal-Roman" w:hAnsi="MetaNormal-Roman" w:cstheme="minorHAnsi"/>
          <w:color w:val="201F1E"/>
        </w:rPr>
        <w:t xml:space="preserve"> on </w:t>
      </w:r>
      <w:r w:rsidR="0062601B" w:rsidRPr="00C55A13">
        <w:rPr>
          <w:rFonts w:ascii="MetaNormal-Roman" w:hAnsi="MetaNormal-Roman" w:cstheme="minorHAnsi"/>
          <w:color w:val="201F1E"/>
        </w:rPr>
        <w:t>the use of protective and</w:t>
      </w:r>
      <w:proofErr w:type="gramStart"/>
      <w:r w:rsidR="0062601B" w:rsidRPr="00C55A13">
        <w:rPr>
          <w:rFonts w:ascii="MetaNormal-Roman" w:hAnsi="MetaNormal-Roman" w:cstheme="minorHAnsi"/>
          <w:color w:val="201F1E"/>
        </w:rPr>
        <w:t>, in particular, preventive</w:t>
      </w:r>
      <w:proofErr w:type="gramEnd"/>
      <w:r w:rsidR="0062601B" w:rsidRPr="00C55A13">
        <w:rPr>
          <w:rFonts w:ascii="MetaNormal-Roman" w:hAnsi="MetaNormal-Roman" w:cstheme="minorHAnsi"/>
          <w:color w:val="201F1E"/>
        </w:rPr>
        <w:t xml:space="preserve"> </w:t>
      </w:r>
      <w:r w:rsidR="00D33D0D" w:rsidRPr="00C55A13">
        <w:rPr>
          <w:rFonts w:ascii="MetaNormal-Roman" w:hAnsi="MetaNormal-Roman" w:cstheme="minorHAnsi"/>
          <w:color w:val="201F1E"/>
        </w:rPr>
        <w:t>(</w:t>
      </w:r>
      <w:r w:rsidR="00D32400" w:rsidRPr="00C55A13">
        <w:rPr>
          <w:rFonts w:ascii="MetaNormal-Roman" w:hAnsi="MetaNormal-Roman" w:cstheme="minorHAnsi"/>
          <w:color w:val="201F1E"/>
        </w:rPr>
        <w:t xml:space="preserve">restraining) </w:t>
      </w:r>
      <w:r w:rsidR="0062601B" w:rsidRPr="00C55A13">
        <w:rPr>
          <w:rFonts w:ascii="MetaNormal-Roman" w:hAnsi="MetaNormal-Roman" w:cstheme="minorHAnsi"/>
          <w:color w:val="201F1E"/>
        </w:rPr>
        <w:t xml:space="preserve">cautionary orders issued by courts and law enforcement officials under </w:t>
      </w:r>
      <w:r w:rsidR="00EB448B" w:rsidRPr="00C55A13">
        <w:rPr>
          <w:rFonts w:ascii="MetaNormal-Roman" w:hAnsi="MetaNormal-Roman" w:cstheme="minorHAnsi"/>
          <w:color w:val="201F1E"/>
        </w:rPr>
        <w:t>Law 6284</w:t>
      </w:r>
      <w:r w:rsidR="0062601B" w:rsidRPr="00C55A13">
        <w:rPr>
          <w:rFonts w:ascii="MetaNormal-Roman" w:hAnsi="MetaNormal-Roman" w:cstheme="minorHAnsi"/>
          <w:color w:val="201F1E"/>
        </w:rPr>
        <w:t>.</w:t>
      </w:r>
      <w:r w:rsidR="00333B8F" w:rsidRPr="00C55A13">
        <w:rPr>
          <w:rFonts w:ascii="MetaNormal-Roman" w:hAnsi="MetaNormal-Roman" w:cstheme="minorHAnsi"/>
          <w:color w:val="201F1E"/>
        </w:rPr>
        <w:t xml:space="preserve"> </w:t>
      </w:r>
    </w:p>
    <w:p w14:paraId="14C1A0E6" w14:textId="5CA4AE4B" w:rsidR="004D0063" w:rsidRPr="00C55A13" w:rsidRDefault="00CF405C" w:rsidP="004D0063">
      <w:pPr>
        <w:pStyle w:val="NormalWeb"/>
        <w:shd w:val="clear" w:color="auto" w:fill="FFFFFF"/>
        <w:rPr>
          <w:rFonts w:ascii="MetaNormal-Roman" w:hAnsi="MetaNormal-Roman"/>
        </w:rPr>
      </w:pPr>
      <w:r w:rsidRPr="00C55A13">
        <w:rPr>
          <w:rFonts w:ascii="MetaNormal-Roman" w:hAnsi="MetaNormal-Roman"/>
        </w:rPr>
        <w:t xml:space="preserve">The findings are based on </w:t>
      </w:r>
      <w:r w:rsidR="004D0063" w:rsidRPr="00C55A13">
        <w:rPr>
          <w:rFonts w:ascii="MetaNormal-Roman" w:hAnsi="MetaNormal-Roman"/>
        </w:rPr>
        <w:t xml:space="preserve">interviews with victims of domestic violence and their lawyers, police officers, </w:t>
      </w:r>
      <w:proofErr w:type="gramStart"/>
      <w:r w:rsidR="004D0063" w:rsidRPr="00C55A13">
        <w:rPr>
          <w:rFonts w:ascii="MetaNormal-Roman" w:hAnsi="MetaNormal-Roman"/>
        </w:rPr>
        <w:t>judges</w:t>
      </w:r>
      <w:proofErr w:type="gramEnd"/>
      <w:r w:rsidR="004D0063" w:rsidRPr="00C55A13">
        <w:rPr>
          <w:rFonts w:ascii="MetaNormal-Roman" w:hAnsi="MetaNormal-Roman"/>
        </w:rPr>
        <w:t xml:space="preserve"> and prosecutors</w:t>
      </w:r>
      <w:r w:rsidRPr="00C55A13">
        <w:rPr>
          <w:rFonts w:ascii="MetaNormal-Roman" w:hAnsi="MetaNormal-Roman"/>
        </w:rPr>
        <w:t xml:space="preserve">, and include detailed examination of </w:t>
      </w:r>
      <w:r w:rsidR="004D0063" w:rsidRPr="00C55A13">
        <w:rPr>
          <w:rFonts w:ascii="MetaNormal-Roman" w:hAnsi="MetaNormal-Roman"/>
        </w:rPr>
        <w:t>18 cases – 17 of them from the period 2019-2022 – where women lodged complaints to the police or the prosecutor and had secured preventive orders barring the perpetrator from contact with the victim</w:t>
      </w:r>
      <w:r w:rsidR="000D7FFB">
        <w:rPr>
          <w:rFonts w:ascii="MetaNormal-Roman" w:hAnsi="MetaNormal-Roman"/>
        </w:rPr>
        <w:t>,</w:t>
      </w:r>
      <w:r w:rsidR="004D0063" w:rsidRPr="00C55A13">
        <w:rPr>
          <w:rFonts w:ascii="MetaNormal-Roman" w:hAnsi="MetaNormal-Roman"/>
        </w:rPr>
        <w:t xml:space="preserve"> or protective measures such as shelter accommodation. In six of the cases examined, the woman was killed by the abusive current or former husband or partner despite having secured </w:t>
      </w:r>
      <w:r w:rsidR="0086300C" w:rsidRPr="00C55A13">
        <w:rPr>
          <w:rFonts w:ascii="MetaNormal-Roman" w:hAnsi="MetaNormal-Roman"/>
        </w:rPr>
        <w:t xml:space="preserve">preventive (restraining) </w:t>
      </w:r>
      <w:r w:rsidR="00D32400" w:rsidRPr="00C55A13">
        <w:rPr>
          <w:rFonts w:ascii="MetaNormal-Roman" w:hAnsi="MetaNormal-Roman"/>
        </w:rPr>
        <w:t>orders</w:t>
      </w:r>
      <w:r w:rsidR="00790FE8">
        <w:rPr>
          <w:rFonts w:ascii="MetaNormal-Roman" w:hAnsi="MetaNormal-Roman"/>
        </w:rPr>
        <w:t xml:space="preserve"> and therefore </w:t>
      </w:r>
      <w:r w:rsidR="00790FE8" w:rsidRPr="00C55A13">
        <w:rPr>
          <w:rFonts w:ascii="MetaNormal-Roman" w:hAnsi="MetaNormal-Roman"/>
        </w:rPr>
        <w:t>being known to the authorities to be at risk</w:t>
      </w:r>
      <w:r w:rsidR="00D32400" w:rsidRPr="00C55A13">
        <w:rPr>
          <w:rFonts w:ascii="MetaNormal-Roman" w:hAnsi="MetaNormal-Roman"/>
        </w:rPr>
        <w:t xml:space="preserve">. </w:t>
      </w:r>
      <w:r w:rsidR="004D0063" w:rsidRPr="00C55A13">
        <w:rPr>
          <w:rFonts w:ascii="MetaNormal-Roman" w:hAnsi="MetaNormal-Roman"/>
        </w:rPr>
        <w:t xml:space="preserve">In other </w:t>
      </w:r>
      <w:proofErr w:type="gramStart"/>
      <w:r w:rsidR="004D0063" w:rsidRPr="00C55A13">
        <w:rPr>
          <w:rFonts w:ascii="MetaNormal-Roman" w:hAnsi="MetaNormal-Roman"/>
        </w:rPr>
        <w:t>cases</w:t>
      </w:r>
      <w:proofErr w:type="gramEnd"/>
      <w:r w:rsidR="004D0063" w:rsidRPr="00C55A13">
        <w:rPr>
          <w:rFonts w:ascii="MetaNormal-Roman" w:hAnsi="MetaNormal-Roman"/>
        </w:rPr>
        <w:t xml:space="preserve"> examined, women secured multiple preventive orders but abuser</w:t>
      </w:r>
      <w:r w:rsidR="00790FE8">
        <w:rPr>
          <w:rFonts w:ascii="MetaNormal-Roman" w:hAnsi="MetaNormal-Roman"/>
        </w:rPr>
        <w:t>s</w:t>
      </w:r>
      <w:r w:rsidR="004D0063" w:rsidRPr="00C55A13">
        <w:rPr>
          <w:rFonts w:ascii="MetaNormal-Roman" w:hAnsi="MetaNormal-Roman"/>
        </w:rPr>
        <w:t xml:space="preserve"> repeatedly breached order</w:t>
      </w:r>
      <w:r w:rsidR="00790FE8">
        <w:rPr>
          <w:rFonts w:ascii="MetaNormal-Roman" w:hAnsi="MetaNormal-Roman"/>
        </w:rPr>
        <w:t>s</w:t>
      </w:r>
      <w:r w:rsidR="004D0063" w:rsidRPr="00C55A13">
        <w:rPr>
          <w:rFonts w:ascii="MetaNormal-Roman" w:hAnsi="MetaNormal-Roman"/>
        </w:rPr>
        <w:t xml:space="preserve"> barring any contact and the cycle of abuse continued. The re</w:t>
      </w:r>
      <w:r w:rsidR="00D32400" w:rsidRPr="00C55A13">
        <w:rPr>
          <w:rFonts w:ascii="MetaNormal-Roman" w:hAnsi="MetaNormal-Roman"/>
        </w:rPr>
        <w:t xml:space="preserve">search also examined </w:t>
      </w:r>
      <w:r w:rsidR="004D0063" w:rsidRPr="00C55A13">
        <w:rPr>
          <w:rFonts w:ascii="MetaNormal-Roman" w:hAnsi="MetaNormal-Roman"/>
        </w:rPr>
        <w:t>cases where preventive orders were effectiv</w:t>
      </w:r>
      <w:r w:rsidR="00B65D2A" w:rsidRPr="00C55A13">
        <w:rPr>
          <w:rFonts w:ascii="MetaNormal-Roman" w:hAnsi="MetaNormal-Roman"/>
        </w:rPr>
        <w:t xml:space="preserve">e. </w:t>
      </w:r>
    </w:p>
    <w:p w14:paraId="65B37076" w14:textId="32017861" w:rsidR="00D33D0D" w:rsidRPr="00C55A13" w:rsidRDefault="004D0063" w:rsidP="004D0063">
      <w:pPr>
        <w:contextualSpacing/>
        <w:rPr>
          <w:rFonts w:ascii="MetaNormal-Roman" w:hAnsi="MetaNormal-Roman"/>
        </w:rPr>
      </w:pPr>
      <w:r w:rsidRPr="00C55A13">
        <w:rPr>
          <w:rFonts w:ascii="MetaNormal-Roman" w:hAnsi="MetaNormal-Roman"/>
        </w:rPr>
        <w:t>Human Rights Watch</w:t>
      </w:r>
      <w:r w:rsidR="00D33D0D" w:rsidRPr="00C55A13">
        <w:rPr>
          <w:rFonts w:ascii="MetaNormal-Roman" w:hAnsi="MetaNormal-Roman"/>
        </w:rPr>
        <w:t xml:space="preserve">’s main findings </w:t>
      </w:r>
      <w:r w:rsidR="00B65D2A" w:rsidRPr="00C55A13">
        <w:rPr>
          <w:rFonts w:ascii="MetaNormal-Roman" w:hAnsi="MetaNormal-Roman"/>
        </w:rPr>
        <w:t xml:space="preserve">include the following: </w:t>
      </w:r>
      <w:r w:rsidR="00D33D0D" w:rsidRPr="00C55A13">
        <w:rPr>
          <w:rFonts w:ascii="MetaNormal-Roman" w:hAnsi="MetaNormal-Roman"/>
        </w:rPr>
        <w:t xml:space="preserve"> </w:t>
      </w:r>
    </w:p>
    <w:p w14:paraId="7DD588FD" w14:textId="30440095" w:rsidR="001F5F78" w:rsidRPr="00C55A13" w:rsidRDefault="001F5F78" w:rsidP="001F5F78">
      <w:pPr>
        <w:pStyle w:val="ListParagraph"/>
        <w:numPr>
          <w:ilvl w:val="0"/>
          <w:numId w:val="8"/>
        </w:numPr>
        <w:rPr>
          <w:rFonts w:ascii="MetaNormal-Roman" w:hAnsi="MetaNormal-Roman"/>
        </w:rPr>
      </w:pPr>
      <w:r w:rsidRPr="00C55A13">
        <w:rPr>
          <w:rFonts w:ascii="MetaNormal-Roman" w:hAnsi="MetaNormal-Roman"/>
        </w:rPr>
        <w:t xml:space="preserve">While </w:t>
      </w:r>
      <w:r w:rsidR="00B65D2A" w:rsidRPr="00C55A13">
        <w:rPr>
          <w:rFonts w:ascii="MetaNormal-Roman" w:hAnsi="MetaNormal-Roman"/>
        </w:rPr>
        <w:t xml:space="preserve">courts and police are issuing </w:t>
      </w:r>
      <w:r w:rsidRPr="00C55A13">
        <w:rPr>
          <w:rFonts w:ascii="MetaNormal-Roman" w:hAnsi="MetaNormal-Roman"/>
        </w:rPr>
        <w:t>an increasing number of protective and preventive orders</w:t>
      </w:r>
      <w:r w:rsidR="0086300C" w:rsidRPr="00C55A13">
        <w:rPr>
          <w:rFonts w:ascii="MetaNormal-Roman" w:hAnsi="MetaNormal-Roman"/>
        </w:rPr>
        <w:t xml:space="preserve"> from year to year</w:t>
      </w:r>
      <w:r w:rsidRPr="00C55A13">
        <w:rPr>
          <w:rFonts w:ascii="MetaNormal-Roman" w:hAnsi="MetaNormal-Roman"/>
        </w:rPr>
        <w:t xml:space="preserve">, there are still major concerns about a lack of effective </w:t>
      </w:r>
      <w:proofErr w:type="gramStart"/>
      <w:r w:rsidRPr="00C55A13">
        <w:rPr>
          <w:rFonts w:ascii="MetaNormal-Roman" w:hAnsi="MetaNormal-Roman"/>
        </w:rPr>
        <w:t>enforcement</w:t>
      </w:r>
      <w:r w:rsidR="00B65D2A" w:rsidRPr="00C55A13">
        <w:rPr>
          <w:rFonts w:ascii="MetaNormal-Roman" w:hAnsi="MetaNormal-Roman"/>
        </w:rPr>
        <w:t>;</w:t>
      </w:r>
      <w:proofErr w:type="gramEnd"/>
    </w:p>
    <w:p w14:paraId="7AE40D00" w14:textId="2D950764" w:rsidR="00D33D0D" w:rsidRPr="00C55A13" w:rsidRDefault="00B65D2A" w:rsidP="001F5F78">
      <w:pPr>
        <w:pStyle w:val="ListParagraph"/>
        <w:numPr>
          <w:ilvl w:val="0"/>
          <w:numId w:val="8"/>
        </w:numPr>
        <w:rPr>
          <w:rFonts w:ascii="MetaNormal-Roman" w:hAnsi="MetaNormal-Roman"/>
        </w:rPr>
      </w:pPr>
      <w:r w:rsidRPr="00C55A13">
        <w:rPr>
          <w:rFonts w:ascii="MetaNormal-Roman" w:hAnsi="MetaNormal-Roman"/>
        </w:rPr>
        <w:t>C</w:t>
      </w:r>
      <w:r w:rsidR="004D0063" w:rsidRPr="00C55A13">
        <w:rPr>
          <w:rFonts w:ascii="MetaNormal-Roman" w:hAnsi="MetaNormal-Roman"/>
        </w:rPr>
        <w:t xml:space="preserve">ourts often issue </w:t>
      </w:r>
      <w:r w:rsidR="0086300C" w:rsidRPr="00C55A13">
        <w:rPr>
          <w:rFonts w:ascii="MetaNormal-Roman" w:hAnsi="MetaNormal-Roman"/>
        </w:rPr>
        <w:t xml:space="preserve">preventive (restraining) </w:t>
      </w:r>
      <w:r w:rsidR="004D0063" w:rsidRPr="00C55A13">
        <w:rPr>
          <w:rFonts w:ascii="MetaNormal-Roman" w:hAnsi="MetaNormal-Roman"/>
        </w:rPr>
        <w:t xml:space="preserve">orders for </w:t>
      </w:r>
      <w:r w:rsidR="006B6969">
        <w:rPr>
          <w:rFonts w:ascii="MetaNormal-Roman" w:hAnsi="MetaNormal-Roman"/>
        </w:rPr>
        <w:t xml:space="preserve">short </w:t>
      </w:r>
      <w:r w:rsidR="004D0063" w:rsidRPr="00C55A13">
        <w:rPr>
          <w:rFonts w:ascii="MetaNormal-Roman" w:hAnsi="MetaNormal-Roman"/>
        </w:rPr>
        <w:t>periods</w:t>
      </w:r>
      <w:r w:rsidR="00EE1243">
        <w:rPr>
          <w:rFonts w:ascii="MetaNormal-Roman" w:hAnsi="MetaNormal-Roman"/>
        </w:rPr>
        <w:t xml:space="preserve">, in some cases </w:t>
      </w:r>
      <w:r w:rsidR="00517D59">
        <w:rPr>
          <w:rFonts w:ascii="MetaNormal-Roman" w:hAnsi="MetaNormal-Roman"/>
        </w:rPr>
        <w:t xml:space="preserve">just </w:t>
      </w:r>
      <w:r w:rsidR="006B6969">
        <w:rPr>
          <w:rFonts w:ascii="MetaNormal-Roman" w:hAnsi="MetaNormal-Roman"/>
        </w:rPr>
        <w:t>weeks or a month, irrespective of the persistent risk and threat of violence</w:t>
      </w:r>
      <w:r w:rsidRPr="00C55A13">
        <w:rPr>
          <w:rFonts w:ascii="MetaNormal-Roman" w:hAnsi="MetaNormal-Roman"/>
        </w:rPr>
        <w:t>;</w:t>
      </w:r>
      <w:r w:rsidR="004D0063" w:rsidRPr="00C55A13">
        <w:rPr>
          <w:rFonts w:ascii="MetaNormal-Roman" w:hAnsi="MetaNormal-Roman"/>
        </w:rPr>
        <w:t xml:space="preserve"> </w:t>
      </w:r>
      <w:r w:rsidR="006B6969">
        <w:rPr>
          <w:rFonts w:ascii="MetaNormal-Roman" w:hAnsi="MetaNormal-Roman"/>
        </w:rPr>
        <w:t>In particular</w:t>
      </w:r>
      <w:r w:rsidR="00CE3ABE">
        <w:rPr>
          <w:rFonts w:ascii="MetaNormal-Roman" w:hAnsi="MetaNormal-Roman"/>
        </w:rPr>
        <w:t>,</w:t>
      </w:r>
      <w:r w:rsidR="006B6969">
        <w:rPr>
          <w:rFonts w:ascii="MetaNormal-Roman" w:hAnsi="MetaNormal-Roman"/>
        </w:rPr>
        <w:t xml:space="preserve"> </w:t>
      </w:r>
      <w:r w:rsidR="007666B2">
        <w:rPr>
          <w:rFonts w:ascii="MetaNormal-Roman" w:hAnsi="MetaNormal-Roman"/>
        </w:rPr>
        <w:t xml:space="preserve">there is no indication that </w:t>
      </w:r>
      <w:r w:rsidR="006B6969">
        <w:rPr>
          <w:rFonts w:ascii="MetaNormal-Roman" w:hAnsi="MetaNormal-Roman"/>
        </w:rPr>
        <w:t xml:space="preserve">orders are routinely </w:t>
      </w:r>
      <w:r w:rsidR="00C85E33">
        <w:rPr>
          <w:rFonts w:ascii="MetaNormal-Roman" w:hAnsi="MetaNormal-Roman"/>
        </w:rPr>
        <w:t xml:space="preserve">issued </w:t>
      </w:r>
      <w:r w:rsidR="006B6969">
        <w:rPr>
          <w:rFonts w:ascii="MetaNormal-Roman" w:hAnsi="MetaNormal-Roman"/>
        </w:rPr>
        <w:t xml:space="preserve">to protect women for the pre-trial period, when the alleged abuser is being </w:t>
      </w:r>
      <w:proofErr w:type="gramStart"/>
      <w:r w:rsidR="006B6969">
        <w:rPr>
          <w:rFonts w:ascii="MetaNormal-Roman" w:hAnsi="MetaNormal-Roman"/>
        </w:rPr>
        <w:t>prosecuted</w:t>
      </w:r>
      <w:r w:rsidR="001B52BB">
        <w:rPr>
          <w:rFonts w:ascii="MetaNormal-Roman" w:hAnsi="MetaNormal-Roman"/>
        </w:rPr>
        <w:t>;</w:t>
      </w:r>
      <w:proofErr w:type="gramEnd"/>
    </w:p>
    <w:p w14:paraId="31AFFC1F" w14:textId="2AEC05D3" w:rsidR="00B65D2A" w:rsidRPr="00C55A13" w:rsidRDefault="00C831D4" w:rsidP="00D33D0D">
      <w:pPr>
        <w:pStyle w:val="ListParagraph"/>
        <w:numPr>
          <w:ilvl w:val="0"/>
          <w:numId w:val="8"/>
        </w:numPr>
        <w:rPr>
          <w:rFonts w:ascii="MetaNormal-Roman" w:hAnsi="MetaNormal-Roman"/>
        </w:rPr>
      </w:pPr>
      <w:r>
        <w:rPr>
          <w:rFonts w:ascii="MetaNormal-Roman" w:hAnsi="MetaNormal-Roman"/>
        </w:rPr>
        <w:t>I</w:t>
      </w:r>
      <w:r w:rsidR="004D0063" w:rsidRPr="00C55A13">
        <w:rPr>
          <w:rFonts w:ascii="MetaNormal-Roman" w:hAnsi="MetaNormal-Roman"/>
        </w:rPr>
        <w:t>n practice</w:t>
      </w:r>
      <w:r>
        <w:rPr>
          <w:rFonts w:ascii="MetaNormal-Roman" w:hAnsi="MetaNormal-Roman"/>
        </w:rPr>
        <w:t>,</w:t>
      </w:r>
      <w:r w:rsidR="004D0063" w:rsidRPr="00C55A13">
        <w:rPr>
          <w:rFonts w:ascii="MetaNormal-Roman" w:hAnsi="MetaNormal-Roman"/>
        </w:rPr>
        <w:t xml:space="preserve"> the authorities fail to undertake effective risk assessments or monitor the effectiveness of the orders, leaving survivors of domestic violence at risk of ongoing</w:t>
      </w:r>
      <w:r w:rsidR="00096FAE" w:rsidRPr="00C55A13">
        <w:rPr>
          <w:rFonts w:ascii="MetaNormal-Roman" w:hAnsi="MetaNormal-Roman"/>
        </w:rPr>
        <w:t xml:space="preserve">, </w:t>
      </w:r>
      <w:r w:rsidR="004D0063" w:rsidRPr="00C55A13">
        <w:rPr>
          <w:rFonts w:ascii="MetaNormal-Roman" w:hAnsi="MetaNormal-Roman"/>
        </w:rPr>
        <w:t>and at times deadly</w:t>
      </w:r>
      <w:r w:rsidR="00096FAE" w:rsidRPr="00C55A13">
        <w:rPr>
          <w:rFonts w:ascii="MetaNormal-Roman" w:hAnsi="MetaNormal-Roman"/>
        </w:rPr>
        <w:t xml:space="preserve">, </w:t>
      </w:r>
      <w:proofErr w:type="gramStart"/>
      <w:r w:rsidR="004D0063" w:rsidRPr="00C55A13">
        <w:rPr>
          <w:rFonts w:ascii="MetaNormal-Roman" w:hAnsi="MetaNormal-Roman"/>
        </w:rPr>
        <w:t>abuse</w:t>
      </w:r>
      <w:r w:rsidR="00B65D2A" w:rsidRPr="00C55A13">
        <w:rPr>
          <w:rFonts w:ascii="MetaNormal-Roman" w:hAnsi="MetaNormal-Roman"/>
        </w:rPr>
        <w:t>;</w:t>
      </w:r>
      <w:proofErr w:type="gramEnd"/>
    </w:p>
    <w:p w14:paraId="6EAA0815" w14:textId="059230E6" w:rsidR="00D33D0D" w:rsidRPr="00C55A13" w:rsidRDefault="00B65D2A" w:rsidP="00D33D0D">
      <w:pPr>
        <w:pStyle w:val="ListParagraph"/>
        <w:numPr>
          <w:ilvl w:val="0"/>
          <w:numId w:val="8"/>
        </w:numPr>
        <w:rPr>
          <w:rFonts w:ascii="MetaNormal-Roman" w:hAnsi="MetaNormal-Roman"/>
        </w:rPr>
      </w:pPr>
      <w:r w:rsidRPr="00C55A13">
        <w:rPr>
          <w:rFonts w:ascii="MetaNormal-Roman" w:hAnsi="MetaNormal-Roman"/>
        </w:rPr>
        <w:t>S</w:t>
      </w:r>
      <w:r w:rsidR="004D0063" w:rsidRPr="00C55A13">
        <w:rPr>
          <w:rFonts w:ascii="MetaNormal-Roman" w:hAnsi="MetaNormal-Roman"/>
        </w:rPr>
        <w:t xml:space="preserve">ome perpetrators breach the terms of preventive orders without </w:t>
      </w:r>
      <w:proofErr w:type="gramStart"/>
      <w:r w:rsidR="004D0063" w:rsidRPr="00C55A13">
        <w:rPr>
          <w:rFonts w:ascii="MetaNormal-Roman" w:hAnsi="MetaNormal-Roman"/>
        </w:rPr>
        <w:t>penalty</w:t>
      </w:r>
      <w:proofErr w:type="gramEnd"/>
      <w:r w:rsidR="001F5F78" w:rsidRPr="00C55A13">
        <w:rPr>
          <w:rFonts w:ascii="MetaNormal-Roman" w:hAnsi="MetaNormal-Roman"/>
        </w:rPr>
        <w:t xml:space="preserve"> but the authorities are not recording these breaches or providing transparent data</w:t>
      </w:r>
      <w:r w:rsidR="004D0063" w:rsidRPr="00C55A13">
        <w:rPr>
          <w:rFonts w:ascii="MetaNormal-Roman" w:hAnsi="MetaNormal-Roman"/>
        </w:rPr>
        <w:t xml:space="preserve"> </w:t>
      </w:r>
      <w:r w:rsidRPr="00C55A13">
        <w:rPr>
          <w:rFonts w:ascii="MetaNormal-Roman" w:hAnsi="MetaNormal-Roman"/>
        </w:rPr>
        <w:t>on the incidence of breaches;</w:t>
      </w:r>
    </w:p>
    <w:p w14:paraId="63465E83" w14:textId="6A66E366" w:rsidR="004D0063" w:rsidRPr="00301919" w:rsidRDefault="003D3A63" w:rsidP="00AA3825">
      <w:pPr>
        <w:pStyle w:val="ListParagraph"/>
        <w:numPr>
          <w:ilvl w:val="0"/>
          <w:numId w:val="8"/>
        </w:numPr>
        <w:rPr>
          <w:rFonts w:ascii="MetaNormal-Roman" w:hAnsi="MetaNormal-Roman"/>
        </w:rPr>
      </w:pPr>
      <w:r>
        <w:rPr>
          <w:rFonts w:ascii="MetaNormal-Roman" w:hAnsi="MetaNormal-Roman"/>
        </w:rPr>
        <w:t xml:space="preserve">When </w:t>
      </w:r>
      <w:r w:rsidR="006B6969">
        <w:rPr>
          <w:rFonts w:ascii="MetaNormal-Roman" w:hAnsi="MetaNormal-Roman"/>
        </w:rPr>
        <w:t xml:space="preserve">courts </w:t>
      </w:r>
      <w:r w:rsidR="00617965">
        <w:rPr>
          <w:rFonts w:ascii="MetaNormal-Roman" w:hAnsi="MetaNormal-Roman"/>
        </w:rPr>
        <w:t xml:space="preserve">convict </w:t>
      </w:r>
      <w:r>
        <w:rPr>
          <w:rFonts w:ascii="MetaNormal-Roman" w:hAnsi="MetaNormal-Roman"/>
        </w:rPr>
        <w:t>p</w:t>
      </w:r>
      <w:r w:rsidR="00D33D0D" w:rsidRPr="00C55A13">
        <w:rPr>
          <w:rFonts w:ascii="MetaNormal-Roman" w:hAnsi="MetaNormal-Roman"/>
        </w:rPr>
        <w:t xml:space="preserve">erpetrators </w:t>
      </w:r>
      <w:r w:rsidR="00F67AC6">
        <w:rPr>
          <w:rFonts w:ascii="MetaNormal-Roman" w:hAnsi="MetaNormal-Roman"/>
        </w:rPr>
        <w:t xml:space="preserve">of </w:t>
      </w:r>
      <w:r w:rsidR="00617965">
        <w:rPr>
          <w:rFonts w:ascii="MetaNormal-Roman" w:hAnsi="MetaNormal-Roman"/>
        </w:rPr>
        <w:t>domestic violence</w:t>
      </w:r>
      <w:r w:rsidR="00F67AC6">
        <w:rPr>
          <w:rFonts w:ascii="MetaNormal-Roman" w:hAnsi="MetaNormal-Roman"/>
        </w:rPr>
        <w:t xml:space="preserve"> for crimes such as intentional injury, threats</w:t>
      </w:r>
      <w:r w:rsidR="00F47BC6">
        <w:rPr>
          <w:rFonts w:ascii="MetaNormal-Roman" w:hAnsi="MetaNormal-Roman"/>
        </w:rPr>
        <w:t xml:space="preserve"> and insults,</w:t>
      </w:r>
      <w:r>
        <w:rPr>
          <w:rFonts w:ascii="MetaNormal-Roman" w:hAnsi="MetaNormal-Roman"/>
        </w:rPr>
        <w:t xml:space="preserve"> th</w:t>
      </w:r>
      <w:r w:rsidR="002143A1">
        <w:rPr>
          <w:rFonts w:ascii="MetaNormal-Roman" w:hAnsi="MetaNormal-Roman"/>
        </w:rPr>
        <w:t>e</w:t>
      </w:r>
      <w:r w:rsidR="006B6969">
        <w:rPr>
          <w:rFonts w:ascii="MetaNormal-Roman" w:hAnsi="MetaNormal-Roman"/>
        </w:rPr>
        <w:t xml:space="preserve"> penalties</w:t>
      </w:r>
      <w:r>
        <w:rPr>
          <w:rFonts w:ascii="MetaNormal-Roman" w:hAnsi="MetaNormal-Roman"/>
        </w:rPr>
        <w:t xml:space="preserve"> are often</w:t>
      </w:r>
      <w:r w:rsidR="006B6969">
        <w:rPr>
          <w:rFonts w:ascii="MetaNormal-Roman" w:hAnsi="MetaNormal-Roman"/>
        </w:rPr>
        <w:t xml:space="preserve"> </w:t>
      </w:r>
      <w:r w:rsidR="00F47BC6">
        <w:rPr>
          <w:rFonts w:ascii="MetaNormal-Roman" w:hAnsi="MetaNormal-Roman"/>
        </w:rPr>
        <w:t xml:space="preserve">issued </w:t>
      </w:r>
      <w:r w:rsidR="004D0063" w:rsidRPr="00C55A13">
        <w:rPr>
          <w:rFonts w:ascii="MetaNormal-Roman" w:hAnsi="MetaNormal-Roman"/>
        </w:rPr>
        <w:t>late and are too little to constitute an effective deter</w:t>
      </w:r>
      <w:r w:rsidR="001E652A" w:rsidRPr="00C55A13">
        <w:rPr>
          <w:rFonts w:ascii="MetaNormal-Roman" w:hAnsi="MetaNormal-Roman"/>
        </w:rPr>
        <w:t>r</w:t>
      </w:r>
      <w:r w:rsidR="004D0063" w:rsidRPr="00C55A13">
        <w:rPr>
          <w:rFonts w:ascii="MetaNormal-Roman" w:hAnsi="MetaNormal-Roman"/>
        </w:rPr>
        <w:t>ent</w:t>
      </w:r>
      <w:r w:rsidR="00FD5C6C">
        <w:rPr>
          <w:rFonts w:ascii="MetaNormal-Roman" w:hAnsi="MetaNormal-Roman"/>
        </w:rPr>
        <w:t xml:space="preserve"> to prevent further </w:t>
      </w:r>
      <w:proofErr w:type="gramStart"/>
      <w:r w:rsidR="00FD5C6C">
        <w:rPr>
          <w:rFonts w:ascii="MetaNormal-Roman" w:hAnsi="MetaNormal-Roman"/>
        </w:rPr>
        <w:t>abuse</w:t>
      </w:r>
      <w:r w:rsidR="00B65D2A" w:rsidRPr="00C55A13">
        <w:rPr>
          <w:rFonts w:ascii="MetaNormal-Roman" w:hAnsi="MetaNormal-Roman"/>
        </w:rPr>
        <w:t>;</w:t>
      </w:r>
      <w:proofErr w:type="gramEnd"/>
      <w:r w:rsidR="004D0063" w:rsidRPr="00301919">
        <w:rPr>
          <w:rFonts w:ascii="MetaNormal-Roman" w:hAnsi="MetaNormal-Roman"/>
        </w:rPr>
        <w:t xml:space="preserve"> </w:t>
      </w:r>
    </w:p>
    <w:p w14:paraId="483F3561" w14:textId="4B3759BD" w:rsidR="001F5F78" w:rsidRPr="00C55A13" w:rsidRDefault="006C454F" w:rsidP="001F5F78">
      <w:pPr>
        <w:pStyle w:val="ListParagraph"/>
        <w:numPr>
          <w:ilvl w:val="0"/>
          <w:numId w:val="8"/>
        </w:numPr>
        <w:rPr>
          <w:rFonts w:ascii="MetaNormal-Roman" w:hAnsi="MetaNormal-Roman"/>
        </w:rPr>
      </w:pPr>
      <w:r w:rsidRPr="00C55A13">
        <w:rPr>
          <w:rFonts w:ascii="MetaNormal-Roman" w:hAnsi="MetaNormal-Roman"/>
        </w:rPr>
        <w:t xml:space="preserve">While perpetrators of femicides are generally punished, the Turkish authorities do not routinely investigate or hold public officials to account for failure to exercise due diligence in protecting victims of domestic violence they know to be at </w:t>
      </w:r>
      <w:proofErr w:type="gramStart"/>
      <w:r w:rsidRPr="00C55A13">
        <w:rPr>
          <w:rFonts w:ascii="MetaNormal-Roman" w:hAnsi="MetaNormal-Roman"/>
        </w:rPr>
        <w:t>risk</w:t>
      </w:r>
      <w:r w:rsidR="00B65D2A" w:rsidRPr="00C55A13">
        <w:rPr>
          <w:rFonts w:ascii="MetaNormal-Roman" w:hAnsi="MetaNormal-Roman"/>
        </w:rPr>
        <w:t>;</w:t>
      </w:r>
      <w:proofErr w:type="gramEnd"/>
    </w:p>
    <w:p w14:paraId="6263116F" w14:textId="627B6527" w:rsidR="00B65D2A" w:rsidRPr="00C55A13" w:rsidRDefault="00B65D2A" w:rsidP="00B65D2A">
      <w:pPr>
        <w:pStyle w:val="NormalWeb"/>
        <w:numPr>
          <w:ilvl w:val="0"/>
          <w:numId w:val="8"/>
        </w:numPr>
        <w:shd w:val="clear" w:color="auto" w:fill="FFFFFF"/>
        <w:rPr>
          <w:rFonts w:ascii="MetaNormal-Roman" w:hAnsi="MetaNormal-Roman" w:cstheme="minorHAnsi"/>
          <w:color w:val="444444"/>
        </w:rPr>
      </w:pPr>
      <w:r w:rsidRPr="00C55A13">
        <w:rPr>
          <w:rFonts w:ascii="MetaNormal-Roman" w:hAnsi="MetaNormal-Roman"/>
        </w:rPr>
        <w:t xml:space="preserve">Poor data collection prevents authorities and the public from having a solid grasp on the scale of domestic violence in Turkey or the gaps in implementing protection which contribute to ongoing risks for </w:t>
      </w:r>
      <w:proofErr w:type="gramStart"/>
      <w:r w:rsidRPr="00C55A13">
        <w:rPr>
          <w:rFonts w:ascii="MetaNormal-Roman" w:hAnsi="MetaNormal-Roman"/>
        </w:rPr>
        <w:t>victims</w:t>
      </w:r>
      <w:r w:rsidR="00BB0F8D">
        <w:rPr>
          <w:rFonts w:ascii="MetaNormal-Roman" w:hAnsi="MetaNormal-Roman"/>
        </w:rPr>
        <w:t>;</w:t>
      </w:r>
      <w:proofErr w:type="gramEnd"/>
      <w:r w:rsidRPr="00C55A13">
        <w:rPr>
          <w:rFonts w:ascii="MetaNormal-Roman" w:hAnsi="MetaNormal-Roman"/>
        </w:rPr>
        <w:t xml:space="preserve"> </w:t>
      </w:r>
    </w:p>
    <w:p w14:paraId="1F66B022" w14:textId="4056B3B5" w:rsidR="00330E26" w:rsidRPr="00C55A13" w:rsidRDefault="00B65D2A" w:rsidP="005F5E05">
      <w:pPr>
        <w:pStyle w:val="NormalWeb"/>
        <w:numPr>
          <w:ilvl w:val="0"/>
          <w:numId w:val="8"/>
        </w:numPr>
        <w:shd w:val="clear" w:color="auto" w:fill="FFFFFF"/>
        <w:rPr>
          <w:rFonts w:ascii="MetaNormal-Roman" w:hAnsi="MetaNormal-Roman" w:cstheme="minorHAnsi"/>
          <w:color w:val="444444"/>
        </w:rPr>
      </w:pPr>
      <w:r w:rsidRPr="00C55A13">
        <w:rPr>
          <w:rFonts w:ascii="MetaNormal-Roman" w:hAnsi="MetaNormal-Roman"/>
        </w:rPr>
        <w:t>There is no data</w:t>
      </w:r>
      <w:r w:rsidR="005F5E05" w:rsidRPr="00C55A13">
        <w:rPr>
          <w:rFonts w:ascii="MetaNormal-Roman" w:hAnsi="MetaNormal-Roman"/>
        </w:rPr>
        <w:t xml:space="preserve"> publicly</w:t>
      </w:r>
      <w:r w:rsidRPr="00C55A13">
        <w:rPr>
          <w:rFonts w:ascii="MetaNormal-Roman" w:hAnsi="MetaNormal-Roman"/>
        </w:rPr>
        <w:t xml:space="preserve"> available about the work of the </w:t>
      </w:r>
      <w:r w:rsidR="005F5E05" w:rsidRPr="00C55A13">
        <w:rPr>
          <w:rFonts w:ascii="MetaNormal-Roman" w:hAnsi="MetaNormal-Roman"/>
        </w:rPr>
        <w:t xml:space="preserve">provincial </w:t>
      </w:r>
      <w:r w:rsidRPr="00C55A13">
        <w:rPr>
          <w:rFonts w:ascii="MetaNormal-Roman" w:hAnsi="MetaNormal-Roman"/>
        </w:rPr>
        <w:t>Violence Prevention and Monitoring Centers under the Min</w:t>
      </w:r>
      <w:r w:rsidR="005F5E05" w:rsidRPr="00C55A13">
        <w:rPr>
          <w:rFonts w:ascii="MetaNormal-Roman" w:hAnsi="MetaNormal-Roman"/>
        </w:rPr>
        <w:t xml:space="preserve">istry of Family and Social Services, responsible for overseeing and monitoring the implementation of protective and preventive </w:t>
      </w:r>
      <w:proofErr w:type="gramStart"/>
      <w:r w:rsidR="005F5E05" w:rsidRPr="00C55A13">
        <w:rPr>
          <w:rFonts w:ascii="MetaNormal-Roman" w:hAnsi="MetaNormal-Roman"/>
        </w:rPr>
        <w:t>orders</w:t>
      </w:r>
      <w:r w:rsidR="001B52BB">
        <w:rPr>
          <w:rFonts w:ascii="MetaNormal-Roman" w:hAnsi="MetaNormal-Roman"/>
        </w:rPr>
        <w:t>;</w:t>
      </w:r>
      <w:proofErr w:type="gramEnd"/>
      <w:r w:rsidR="005F5E05" w:rsidRPr="00C55A13">
        <w:rPr>
          <w:rFonts w:ascii="MetaNormal-Roman" w:hAnsi="MetaNormal-Roman"/>
        </w:rPr>
        <w:t xml:space="preserve"> </w:t>
      </w:r>
    </w:p>
    <w:p w14:paraId="417FD90D" w14:textId="6016AF7E" w:rsidR="00330E26" w:rsidRPr="00C55A13" w:rsidRDefault="00404D51" w:rsidP="00330E26">
      <w:pPr>
        <w:pStyle w:val="ListParagraph"/>
        <w:numPr>
          <w:ilvl w:val="0"/>
          <w:numId w:val="8"/>
        </w:numPr>
        <w:rPr>
          <w:rFonts w:ascii="MetaNormal-Roman" w:hAnsi="MetaNormal-Roman"/>
        </w:rPr>
      </w:pPr>
      <w:r>
        <w:rPr>
          <w:rFonts w:ascii="MetaNormal-Roman" w:hAnsi="MetaNormal-Roman"/>
        </w:rPr>
        <w:t>Survivors of violence, families of victims</w:t>
      </w:r>
      <w:r w:rsidR="00D94D46">
        <w:rPr>
          <w:rFonts w:ascii="MetaNormal-Roman" w:hAnsi="MetaNormal-Roman"/>
        </w:rPr>
        <w:t xml:space="preserve">, </w:t>
      </w:r>
      <w:r w:rsidR="00330E26" w:rsidRPr="00C55A13">
        <w:rPr>
          <w:rFonts w:ascii="MetaNormal-Roman" w:hAnsi="MetaNormal-Roman"/>
        </w:rPr>
        <w:t xml:space="preserve">or their lawyers often resort to appeals via social media, and sometimes in print media or television, </w:t>
      </w:r>
      <w:proofErr w:type="gramStart"/>
      <w:r w:rsidR="00330E26" w:rsidRPr="00C55A13">
        <w:rPr>
          <w:rFonts w:ascii="MetaNormal-Roman" w:hAnsi="MetaNormal-Roman"/>
        </w:rPr>
        <w:t>in an effort to</w:t>
      </w:r>
      <w:proofErr w:type="gramEnd"/>
      <w:r w:rsidR="00330E26" w:rsidRPr="00C55A13">
        <w:rPr>
          <w:rFonts w:ascii="MetaNormal-Roman" w:hAnsi="MetaNormal-Roman"/>
        </w:rPr>
        <w:t xml:space="preserve"> trigger action by the authorities. While successful in some cases, the need to resort to such tactics is an indictment of the authorities’ failure to provide protection or to respond adequately to the </w:t>
      </w:r>
      <w:proofErr w:type="gramStart"/>
      <w:r w:rsidR="00330E26" w:rsidRPr="00C55A13">
        <w:rPr>
          <w:rFonts w:ascii="MetaNormal-Roman" w:hAnsi="MetaNormal-Roman"/>
        </w:rPr>
        <w:t>risks</w:t>
      </w:r>
      <w:proofErr w:type="gramEnd"/>
      <w:r w:rsidR="00330E26" w:rsidRPr="00C55A13">
        <w:rPr>
          <w:rFonts w:ascii="MetaNormal-Roman" w:hAnsi="MetaNormal-Roman"/>
        </w:rPr>
        <w:t xml:space="preserve"> victims face. </w:t>
      </w:r>
    </w:p>
    <w:p w14:paraId="7C14D9E7" w14:textId="77777777" w:rsidR="00330E26" w:rsidRPr="00C55A13" w:rsidRDefault="00330E26" w:rsidP="004D0063">
      <w:pPr>
        <w:rPr>
          <w:rFonts w:ascii="MetaNormal-Roman" w:hAnsi="MetaNormal-Roman"/>
        </w:rPr>
      </w:pPr>
    </w:p>
    <w:p w14:paraId="4FE5E9BA" w14:textId="7B2FA9DC" w:rsidR="004D0063" w:rsidRPr="00C55A13" w:rsidRDefault="00D94D46" w:rsidP="004D0063">
      <w:pPr>
        <w:rPr>
          <w:rFonts w:ascii="MetaNormal-Roman" w:hAnsi="MetaNormal-Roman"/>
        </w:rPr>
      </w:pPr>
      <w:r>
        <w:rPr>
          <w:rFonts w:ascii="MetaNormal-Roman" w:hAnsi="MetaNormal-Roman"/>
        </w:rPr>
        <w:t>T</w:t>
      </w:r>
      <w:r w:rsidRPr="00C55A13">
        <w:rPr>
          <w:rFonts w:ascii="MetaNormal-Roman" w:hAnsi="MetaNormal-Roman"/>
        </w:rPr>
        <w:t>he government’s own data</w:t>
      </w:r>
      <w:r>
        <w:rPr>
          <w:rFonts w:ascii="MetaNormal-Roman" w:hAnsi="MetaNormal-Roman"/>
        </w:rPr>
        <w:t xml:space="preserve"> shows a</w:t>
      </w:r>
      <w:r w:rsidRPr="00C55A13">
        <w:rPr>
          <w:rFonts w:ascii="MetaNormal-Roman" w:hAnsi="MetaNormal-Roman"/>
        </w:rPr>
        <w:t xml:space="preserve"> </w:t>
      </w:r>
      <w:r>
        <w:rPr>
          <w:rFonts w:ascii="MetaNormal-Roman" w:hAnsi="MetaNormal-Roman"/>
        </w:rPr>
        <w:t>l</w:t>
      </w:r>
      <w:r w:rsidR="001F5F78" w:rsidRPr="00C55A13">
        <w:rPr>
          <w:rFonts w:ascii="MetaNormal-Roman" w:hAnsi="MetaNormal-Roman"/>
        </w:rPr>
        <w:t xml:space="preserve">ack of effective enforcement of protective and preventive orders. </w:t>
      </w:r>
      <w:r w:rsidR="004D0063" w:rsidRPr="00C55A13">
        <w:rPr>
          <w:rFonts w:ascii="MetaNormal-Roman" w:hAnsi="MetaNormal-Roman"/>
        </w:rPr>
        <w:t xml:space="preserve">The Interior Ministry’s figures presented to a parliamentary commission on violence against women demonstrate that in around 8.5 percent of cases of women killed between 2016 and 2021, the woman had been granted an ongoing protective or preventive order at the time of her </w:t>
      </w:r>
      <w:r w:rsidR="006B6969">
        <w:rPr>
          <w:rFonts w:ascii="MetaNormal-Roman" w:hAnsi="MetaNormal-Roman"/>
        </w:rPr>
        <w:t>death</w:t>
      </w:r>
      <w:r w:rsidR="004D0063" w:rsidRPr="00C55A13">
        <w:rPr>
          <w:rFonts w:ascii="MetaNormal-Roman" w:hAnsi="MetaNormal-Roman"/>
        </w:rPr>
        <w:t xml:space="preserve">. In 2021, </w:t>
      </w:r>
      <w:r w:rsidR="001F5F78" w:rsidRPr="00C55A13">
        <w:rPr>
          <w:rFonts w:ascii="MetaNormal-Roman" w:hAnsi="MetaNormal-Roman"/>
        </w:rPr>
        <w:t xml:space="preserve">the Interior Ministry </w:t>
      </w:r>
      <w:r w:rsidR="009F4BD9" w:rsidRPr="00C55A13">
        <w:rPr>
          <w:rFonts w:ascii="MetaNormal-Roman" w:hAnsi="MetaNormal-Roman"/>
        </w:rPr>
        <w:t>record</w:t>
      </w:r>
      <w:r w:rsidR="009F4BD9">
        <w:rPr>
          <w:rFonts w:ascii="MetaNormal-Roman" w:hAnsi="MetaNormal-Roman"/>
        </w:rPr>
        <w:t>ed</w:t>
      </w:r>
      <w:r w:rsidR="009F4BD9" w:rsidRPr="00C55A13">
        <w:rPr>
          <w:rFonts w:ascii="MetaNormal-Roman" w:hAnsi="MetaNormal-Roman"/>
        </w:rPr>
        <w:t xml:space="preserve"> </w:t>
      </w:r>
      <w:r w:rsidR="001F5F78" w:rsidRPr="00C55A13">
        <w:rPr>
          <w:rFonts w:ascii="MetaNormal-Roman" w:hAnsi="MetaNormal-Roman"/>
        </w:rPr>
        <w:t xml:space="preserve">that </w:t>
      </w:r>
      <w:r w:rsidR="004D0063" w:rsidRPr="00C55A13">
        <w:rPr>
          <w:rFonts w:ascii="MetaNormal-Roman" w:hAnsi="MetaNormal-Roman"/>
        </w:rPr>
        <w:t>38 of the 307 women killed were under protection, the highest number over the previous five-year period for which figures are recorded.</w:t>
      </w:r>
      <w:r w:rsidR="004D0063" w:rsidRPr="00C55A13">
        <w:rPr>
          <w:rStyle w:val="FootnoteReference"/>
          <w:rFonts w:ascii="MetaNormal-Roman" w:hAnsi="MetaNormal-Roman"/>
        </w:rPr>
        <w:footnoteReference w:id="4"/>
      </w:r>
    </w:p>
    <w:p w14:paraId="5542842B" w14:textId="74935868" w:rsidR="004D0063" w:rsidRDefault="002A1554" w:rsidP="004D0063">
      <w:pPr>
        <w:contextualSpacing/>
        <w:rPr>
          <w:rFonts w:ascii="MetaNormal-Roman" w:hAnsi="MetaNormal-Roman"/>
        </w:rPr>
      </w:pPr>
      <w:r>
        <w:rPr>
          <w:rFonts w:ascii="MetaNormal-Roman" w:hAnsi="MetaNormal-Roman"/>
        </w:rPr>
        <w:t xml:space="preserve">In its 2016 review, the Committee (as stated above) recommended that the Government take steps to </w:t>
      </w:r>
      <w:r w:rsidR="004A6C9F">
        <w:rPr>
          <w:rFonts w:ascii="MetaNormal-Roman" w:hAnsi="MetaNormal-Roman"/>
        </w:rPr>
        <w:t xml:space="preserve">hold public officials to account for failures to ensure effective protection of women. There are few signs that </w:t>
      </w:r>
      <w:r w:rsidR="00FC0125">
        <w:rPr>
          <w:rFonts w:ascii="MetaNormal-Roman" w:hAnsi="MetaNormal-Roman"/>
        </w:rPr>
        <w:t xml:space="preserve">the Government has taken such steps. Human Rights Watch considers that </w:t>
      </w:r>
      <w:r w:rsidR="00317CEF">
        <w:rPr>
          <w:rFonts w:ascii="MetaNormal-Roman" w:hAnsi="MetaNormal-Roman"/>
        </w:rPr>
        <w:t>its latest research demonstrates the need for c</w:t>
      </w:r>
      <w:r w:rsidR="004D0063" w:rsidRPr="00C55A13">
        <w:rPr>
          <w:rFonts w:ascii="MetaNormal-Roman" w:hAnsi="MetaNormal-Roman"/>
        </w:rPr>
        <w:t xml:space="preserve">lear processes for investigating and holding to account public authorities in cases where they have not exercised due diligence in preventing and protecting victims of domestic violence. </w:t>
      </w:r>
    </w:p>
    <w:p w14:paraId="7D9DB1D7" w14:textId="77777777" w:rsidR="00446DD6" w:rsidRPr="00C55A13" w:rsidRDefault="00446DD6" w:rsidP="004D0063">
      <w:pPr>
        <w:contextualSpacing/>
        <w:rPr>
          <w:rFonts w:ascii="MetaNormal-Roman" w:hAnsi="MetaNormal-Roman"/>
        </w:rPr>
      </w:pPr>
    </w:p>
    <w:p w14:paraId="56E2042F" w14:textId="4D06164D" w:rsidR="004D0063" w:rsidRPr="00C55A13" w:rsidRDefault="004D0063" w:rsidP="004D0063">
      <w:pPr>
        <w:contextualSpacing/>
        <w:rPr>
          <w:rFonts w:ascii="MetaNormal-Roman" w:eastAsia="Calibri" w:hAnsi="MetaNormal-Roman" w:cs="Calibri"/>
        </w:rPr>
      </w:pPr>
      <w:r w:rsidRPr="00C55A13">
        <w:rPr>
          <w:rFonts w:ascii="MetaNormal-Roman" w:eastAsia="Calibri" w:hAnsi="MetaNormal-Roman" w:cs="Calibri"/>
        </w:rPr>
        <w:t>In this respect, a judgment of Turkey’s Constitutional Court published in December 2021 breaks new ground. In the case of T.A. (no. 2017/32972), the court identified a catalogue of state failures amounting to violation of a woman’s right to life in substantive and procedural terms. The court determined that public officials, prosecutors, and judges had failed to take the necessary steps to protect a woman who had lodged multiple complaints with the authorities before she was killed by her former husband.</w:t>
      </w:r>
      <w:r w:rsidR="005F5E05" w:rsidRPr="00C55A13">
        <w:rPr>
          <w:rFonts w:ascii="MetaNormal-Roman" w:eastAsia="Calibri" w:hAnsi="MetaNormal-Roman" w:cs="Calibri"/>
        </w:rPr>
        <w:t xml:space="preserve"> </w:t>
      </w:r>
      <w:r w:rsidR="00317CEF">
        <w:rPr>
          <w:rFonts w:ascii="MetaNormal-Roman" w:eastAsia="Calibri" w:hAnsi="MetaNormal-Roman" w:cs="Calibri"/>
        </w:rPr>
        <w:t>The decision</w:t>
      </w:r>
      <w:r w:rsidR="007E46D7">
        <w:rPr>
          <w:rFonts w:ascii="MetaNormal-Roman" w:eastAsia="Calibri" w:hAnsi="MetaNormal-Roman" w:cs="Calibri"/>
        </w:rPr>
        <w:t xml:space="preserve"> </w:t>
      </w:r>
      <w:r w:rsidR="006B6969">
        <w:rPr>
          <w:rFonts w:ascii="MetaNormal-Roman" w:eastAsia="Calibri" w:hAnsi="MetaNormal-Roman" w:cs="Calibri"/>
        </w:rPr>
        <w:t xml:space="preserve">is consistent </w:t>
      </w:r>
      <w:r w:rsidR="007E46D7">
        <w:rPr>
          <w:rFonts w:ascii="MetaNormal-Roman" w:eastAsia="Calibri" w:hAnsi="MetaNormal-Roman" w:cs="Calibri"/>
        </w:rPr>
        <w:t xml:space="preserve">with the case law of the European Court of Human Rights. </w:t>
      </w:r>
    </w:p>
    <w:p w14:paraId="04D7CD15" w14:textId="77777777" w:rsidR="004D0063" w:rsidRPr="00C55A13" w:rsidRDefault="004D0063" w:rsidP="004D0063">
      <w:pPr>
        <w:contextualSpacing/>
        <w:rPr>
          <w:rFonts w:ascii="MetaNormal-Roman" w:hAnsi="MetaNormal-Roman"/>
        </w:rPr>
      </w:pPr>
    </w:p>
    <w:p w14:paraId="644DA251" w14:textId="607DE87B" w:rsidR="00333B8F" w:rsidRPr="00B109EF" w:rsidRDefault="00333B8F" w:rsidP="00D142E9">
      <w:pPr>
        <w:rPr>
          <w:rFonts w:ascii="Times New Roman" w:eastAsia="Times New Roman" w:hAnsi="Times New Roman" w:cs="Times New Roman"/>
        </w:rPr>
      </w:pPr>
      <w:r w:rsidRPr="0055451F">
        <w:rPr>
          <w:rFonts w:ascii="MetaNormal-Roman" w:eastAsia="Calibri" w:hAnsi="MetaNormal-Roman" w:cs="Calibri"/>
          <w:i/>
          <w:iCs/>
        </w:rPr>
        <w:t>Withdrawal from th</w:t>
      </w:r>
      <w:r w:rsidR="0055451F" w:rsidRPr="0055451F">
        <w:rPr>
          <w:rFonts w:ascii="MetaNormal-Roman" w:eastAsia="Calibri" w:hAnsi="MetaNormal-Roman" w:cs="Calibri"/>
          <w:i/>
          <w:iCs/>
        </w:rPr>
        <w:t xml:space="preserve">e Council of Europe Convention on </w:t>
      </w:r>
      <w:r w:rsidR="005923AF">
        <w:rPr>
          <w:rFonts w:ascii="MetaNormal-Roman" w:eastAsia="Calibri" w:hAnsi="MetaNormal-Roman" w:cs="Calibri"/>
          <w:i/>
          <w:iCs/>
        </w:rPr>
        <w:t>P</w:t>
      </w:r>
      <w:r w:rsidR="0055451F" w:rsidRPr="0055451F">
        <w:rPr>
          <w:rFonts w:ascii="MetaNormal-Roman" w:eastAsia="Calibri" w:hAnsi="MetaNormal-Roman" w:cs="Calibri"/>
          <w:i/>
          <w:iCs/>
        </w:rPr>
        <w:t xml:space="preserve">reventing and </w:t>
      </w:r>
      <w:r w:rsidR="005923AF">
        <w:rPr>
          <w:rFonts w:ascii="MetaNormal-Roman" w:eastAsia="Calibri" w:hAnsi="MetaNormal-Roman" w:cs="Calibri"/>
          <w:i/>
          <w:iCs/>
        </w:rPr>
        <w:t>C</w:t>
      </w:r>
      <w:r w:rsidR="0055451F" w:rsidRPr="0055451F">
        <w:rPr>
          <w:rFonts w:ascii="MetaNormal-Roman" w:eastAsia="Calibri" w:hAnsi="MetaNormal-Roman" w:cs="Calibri"/>
          <w:i/>
          <w:iCs/>
        </w:rPr>
        <w:t xml:space="preserve">ombating </w:t>
      </w:r>
      <w:r w:rsidR="005923AF">
        <w:rPr>
          <w:rFonts w:ascii="MetaNormal-Roman" w:eastAsia="Calibri" w:hAnsi="MetaNormal-Roman" w:cs="Calibri"/>
          <w:i/>
          <w:iCs/>
        </w:rPr>
        <w:t>V</w:t>
      </w:r>
      <w:r w:rsidR="005923AF" w:rsidRPr="0055451F">
        <w:rPr>
          <w:rFonts w:ascii="MetaNormal-Roman" w:eastAsia="Calibri" w:hAnsi="MetaNormal-Roman" w:cs="Calibri"/>
          <w:i/>
          <w:iCs/>
        </w:rPr>
        <w:t xml:space="preserve">iolence </w:t>
      </w:r>
      <w:r w:rsidR="0055451F" w:rsidRPr="0055451F">
        <w:rPr>
          <w:rFonts w:ascii="MetaNormal-Roman" w:eastAsia="Calibri" w:hAnsi="MetaNormal-Roman" w:cs="Calibri"/>
          <w:i/>
          <w:iCs/>
        </w:rPr>
        <w:t xml:space="preserve">against </w:t>
      </w:r>
      <w:r w:rsidR="005C6CD8">
        <w:rPr>
          <w:rFonts w:ascii="MetaNormal-Roman" w:eastAsia="Calibri" w:hAnsi="MetaNormal-Roman" w:cs="Calibri"/>
          <w:i/>
          <w:iCs/>
        </w:rPr>
        <w:t>W</w:t>
      </w:r>
      <w:r w:rsidR="0055451F" w:rsidRPr="0055451F">
        <w:rPr>
          <w:rFonts w:ascii="MetaNormal-Roman" w:eastAsia="Calibri" w:hAnsi="MetaNormal-Roman" w:cs="Calibri"/>
          <w:i/>
          <w:iCs/>
        </w:rPr>
        <w:t xml:space="preserve">omen and </w:t>
      </w:r>
      <w:r w:rsidR="005C6CD8">
        <w:rPr>
          <w:rFonts w:ascii="MetaNormal-Roman" w:eastAsia="Calibri" w:hAnsi="MetaNormal-Roman" w:cs="Calibri"/>
          <w:i/>
          <w:iCs/>
        </w:rPr>
        <w:t>D</w:t>
      </w:r>
      <w:r w:rsidR="0055451F" w:rsidRPr="0055451F">
        <w:rPr>
          <w:rFonts w:ascii="MetaNormal-Roman" w:eastAsia="Calibri" w:hAnsi="MetaNormal-Roman" w:cs="Calibri"/>
          <w:i/>
          <w:iCs/>
        </w:rPr>
        <w:t xml:space="preserve">omestic </w:t>
      </w:r>
      <w:r w:rsidR="005C6CD8">
        <w:rPr>
          <w:rFonts w:ascii="MetaNormal-Roman" w:eastAsia="Calibri" w:hAnsi="MetaNormal-Roman" w:cs="Calibri"/>
          <w:i/>
          <w:iCs/>
        </w:rPr>
        <w:t>V</w:t>
      </w:r>
      <w:r w:rsidR="0055451F" w:rsidRPr="0055451F">
        <w:rPr>
          <w:rFonts w:ascii="MetaNormal-Roman" w:eastAsia="Calibri" w:hAnsi="MetaNormal-Roman" w:cs="Calibri"/>
          <w:i/>
          <w:iCs/>
        </w:rPr>
        <w:t xml:space="preserve">iolence </w:t>
      </w:r>
      <w:r w:rsidR="0055451F">
        <w:rPr>
          <w:rFonts w:ascii="Times New Roman" w:eastAsia="Times New Roman" w:hAnsi="Times New Roman" w:cs="Times New Roman"/>
        </w:rPr>
        <w:t>(</w:t>
      </w:r>
      <w:r w:rsidR="0055451F">
        <w:rPr>
          <w:rFonts w:ascii="MetaNormal-Roman" w:eastAsia="Calibri" w:hAnsi="MetaNormal-Roman" w:cs="Calibri"/>
          <w:i/>
          <w:iCs/>
        </w:rPr>
        <w:t>the</w:t>
      </w:r>
      <w:r w:rsidRPr="00C55A13">
        <w:rPr>
          <w:rFonts w:ascii="MetaNormal-Roman" w:eastAsia="Calibri" w:hAnsi="MetaNormal-Roman" w:cs="Calibri"/>
          <w:i/>
          <w:iCs/>
        </w:rPr>
        <w:t xml:space="preserve"> Istanbul Convention</w:t>
      </w:r>
      <w:r w:rsidR="0055451F">
        <w:rPr>
          <w:rFonts w:ascii="MetaNormal-Roman" w:eastAsia="Calibri" w:hAnsi="MetaNormal-Roman" w:cs="Calibri"/>
          <w:i/>
          <w:iCs/>
        </w:rPr>
        <w:t>)</w:t>
      </w:r>
    </w:p>
    <w:p w14:paraId="522803DB" w14:textId="77777777" w:rsidR="00333B8F" w:rsidRPr="00C55A13" w:rsidRDefault="00333B8F" w:rsidP="00333B8F">
      <w:pPr>
        <w:contextualSpacing/>
        <w:rPr>
          <w:rFonts w:ascii="MetaNormal-Roman" w:hAnsi="MetaNormal-Roman"/>
        </w:rPr>
      </w:pPr>
    </w:p>
    <w:p w14:paraId="6E4C432E" w14:textId="395016B0" w:rsidR="00855264" w:rsidRDefault="005F5E05" w:rsidP="005F5E05">
      <w:pPr>
        <w:contextualSpacing/>
        <w:rPr>
          <w:rFonts w:ascii="MetaNormal-Roman" w:hAnsi="MetaNormal-Roman" w:cs="Times New Roman"/>
          <w:color w:val="201F1E"/>
        </w:rPr>
      </w:pPr>
      <w:r w:rsidRPr="00C55A13">
        <w:rPr>
          <w:rFonts w:ascii="MetaNormal-Roman" w:hAnsi="MetaNormal-Roman"/>
        </w:rPr>
        <w:t xml:space="preserve">Human Rights Watch would like to emphasize that </w:t>
      </w:r>
      <w:r w:rsidR="00333B8F" w:rsidRPr="00C55A13">
        <w:rPr>
          <w:rFonts w:ascii="MetaNormal-Roman" w:hAnsi="MetaNormal-Roman"/>
        </w:rPr>
        <w:t>Turkey’s 2021 withdrawal from the</w:t>
      </w:r>
      <w:r w:rsidR="0055451F">
        <w:rPr>
          <w:rFonts w:ascii="MetaNormal-Roman" w:hAnsi="MetaNormal-Roman"/>
        </w:rPr>
        <w:t xml:space="preserve"> </w:t>
      </w:r>
      <w:r w:rsidR="00333B8F" w:rsidRPr="00C55A13">
        <w:rPr>
          <w:rFonts w:ascii="MetaNormal-Roman" w:hAnsi="MetaNormal-Roman"/>
        </w:rPr>
        <w:t>Istanbul Convention triggered alarm among domestic women’s rights groups</w:t>
      </w:r>
      <w:r w:rsidR="00D6271D" w:rsidRPr="00C55A13">
        <w:rPr>
          <w:rFonts w:ascii="MetaNormal-Roman" w:hAnsi="MetaNormal-Roman"/>
        </w:rPr>
        <w:t xml:space="preserve"> and civil society, </w:t>
      </w:r>
      <w:r w:rsidR="00333B8F" w:rsidRPr="00C55A13">
        <w:rPr>
          <w:rFonts w:ascii="MetaNormal-Roman" w:hAnsi="MetaNormal-Roman"/>
        </w:rPr>
        <w:t>a</w:t>
      </w:r>
      <w:r w:rsidR="001E652A" w:rsidRPr="00C55A13">
        <w:rPr>
          <w:rFonts w:ascii="MetaNormal-Roman" w:hAnsi="MetaNormal-Roman"/>
        </w:rPr>
        <w:t xml:space="preserve">s well as </w:t>
      </w:r>
      <w:r w:rsidR="00333B8F" w:rsidRPr="00C55A13">
        <w:rPr>
          <w:rFonts w:ascii="MetaNormal-Roman" w:hAnsi="MetaNormal-Roman"/>
        </w:rPr>
        <w:t>internationally.</w:t>
      </w:r>
      <w:r w:rsidR="00D6271D" w:rsidRPr="00C55A13">
        <w:rPr>
          <w:rFonts w:ascii="MetaNormal-Roman" w:hAnsi="MetaNormal-Roman"/>
        </w:rPr>
        <w:t xml:space="preserve"> As the Committee is aware, the move </w:t>
      </w:r>
      <w:r w:rsidRPr="00C55A13">
        <w:rPr>
          <w:rFonts w:ascii="MetaNormal-Roman" w:hAnsi="MetaNormal-Roman"/>
        </w:rPr>
        <w:t xml:space="preserve">has </w:t>
      </w:r>
      <w:r w:rsidR="00D6271D" w:rsidRPr="00C55A13">
        <w:rPr>
          <w:rFonts w:ascii="MetaNormal-Roman" w:hAnsi="MetaNormal-Roman"/>
        </w:rPr>
        <w:t>raise</w:t>
      </w:r>
      <w:r w:rsidR="00581590" w:rsidRPr="00C55A13">
        <w:rPr>
          <w:rFonts w:ascii="MetaNormal-Roman" w:hAnsi="MetaNormal-Roman"/>
        </w:rPr>
        <w:t>d</w:t>
      </w:r>
      <w:r w:rsidR="00D6271D" w:rsidRPr="00C55A13">
        <w:rPr>
          <w:rFonts w:ascii="MetaNormal-Roman" w:hAnsi="MetaNormal-Roman"/>
        </w:rPr>
        <w:t xml:space="preserve"> deep concern</w:t>
      </w:r>
      <w:r w:rsidR="00581590" w:rsidRPr="00C55A13">
        <w:rPr>
          <w:rFonts w:ascii="MetaNormal-Roman" w:hAnsi="MetaNormal-Roman"/>
        </w:rPr>
        <w:t>s</w:t>
      </w:r>
      <w:r w:rsidR="00D6271D" w:rsidRPr="00C55A13">
        <w:rPr>
          <w:rFonts w:ascii="MetaNormal-Roman" w:hAnsi="MetaNormal-Roman"/>
        </w:rPr>
        <w:t xml:space="preserve"> </w:t>
      </w:r>
      <w:r w:rsidR="00581590" w:rsidRPr="00C55A13">
        <w:rPr>
          <w:rFonts w:ascii="MetaNormal-Roman" w:hAnsi="MetaNormal-Roman"/>
        </w:rPr>
        <w:t xml:space="preserve">about the Government’s commitment to </w:t>
      </w:r>
      <w:r w:rsidR="00333B8F" w:rsidRPr="00C55A13">
        <w:rPr>
          <w:rFonts w:ascii="MetaNormal-Roman" w:hAnsi="MetaNormal-Roman"/>
        </w:rPr>
        <w:t>protecting women from violence and</w:t>
      </w:r>
      <w:r w:rsidR="00C17E0B">
        <w:rPr>
          <w:rFonts w:ascii="MetaNormal-Roman" w:hAnsi="MetaNormal-Roman"/>
        </w:rPr>
        <w:t>,</w:t>
      </w:r>
      <w:r w:rsidR="00D6271D" w:rsidRPr="00C55A13">
        <w:rPr>
          <w:rFonts w:ascii="MetaNormal-Roman" w:hAnsi="MetaNormal-Roman"/>
        </w:rPr>
        <w:t xml:space="preserve"> more broadly</w:t>
      </w:r>
      <w:r w:rsidR="00C17E0B">
        <w:rPr>
          <w:rFonts w:ascii="MetaNormal-Roman" w:hAnsi="MetaNormal-Roman"/>
        </w:rPr>
        <w:t>,</w:t>
      </w:r>
      <w:r w:rsidR="00D6271D" w:rsidRPr="00C55A13">
        <w:rPr>
          <w:rFonts w:ascii="MetaNormal-Roman" w:hAnsi="MetaNormal-Roman"/>
        </w:rPr>
        <w:t xml:space="preserve"> </w:t>
      </w:r>
      <w:r w:rsidR="00333B8F" w:rsidRPr="00C55A13">
        <w:rPr>
          <w:rFonts w:ascii="MetaNormal-Roman" w:hAnsi="MetaNormal-Roman"/>
        </w:rPr>
        <w:t>to promoting gender equality</w:t>
      </w:r>
      <w:r w:rsidR="00D6271D" w:rsidRPr="00C55A13">
        <w:rPr>
          <w:rFonts w:ascii="MetaNormal-Roman" w:hAnsi="MetaNormal-Roman"/>
        </w:rPr>
        <w:t xml:space="preserve"> and combatting discrimination</w:t>
      </w:r>
      <w:r w:rsidR="00333B8F" w:rsidRPr="00C55A13">
        <w:rPr>
          <w:rFonts w:ascii="MetaNormal-Roman" w:hAnsi="MetaNormal-Roman"/>
        </w:rPr>
        <w:t>.</w:t>
      </w:r>
      <w:r w:rsidR="00333B8F" w:rsidRPr="00C55A13">
        <w:rPr>
          <w:rStyle w:val="FootnoteReference"/>
          <w:rFonts w:ascii="MetaNormal-Roman" w:hAnsi="MetaNormal-Roman"/>
        </w:rPr>
        <w:footnoteReference w:id="5"/>
      </w:r>
      <w:r w:rsidR="00333B8F" w:rsidRPr="00C55A13">
        <w:rPr>
          <w:rFonts w:ascii="MetaNormal-Roman" w:hAnsi="MetaNormal-Roman"/>
        </w:rPr>
        <w:t xml:space="preserve"> </w:t>
      </w:r>
      <w:r w:rsidRPr="00C55A13">
        <w:rPr>
          <w:rFonts w:ascii="MetaNormal-Roman" w:hAnsi="MetaNormal-Roman"/>
        </w:rPr>
        <w:t xml:space="preserve">The Government </w:t>
      </w:r>
      <w:r w:rsidR="00EF3552" w:rsidRPr="00C55A13">
        <w:rPr>
          <w:rFonts w:ascii="MetaNormal-Roman" w:hAnsi="MetaNormal-Roman" w:cs="Times New Roman"/>
          <w:color w:val="201F1E"/>
        </w:rPr>
        <w:t xml:space="preserve">has made efforts to repudiate </w:t>
      </w:r>
      <w:r w:rsidR="00F233E5" w:rsidRPr="00C55A13">
        <w:rPr>
          <w:rFonts w:ascii="MetaNormal-Roman" w:hAnsi="MetaNormal-Roman" w:cs="Times New Roman"/>
          <w:color w:val="201F1E"/>
        </w:rPr>
        <w:lastRenderedPageBreak/>
        <w:t>suggestion</w:t>
      </w:r>
      <w:r w:rsidR="00CE3B7F" w:rsidRPr="00C55A13">
        <w:rPr>
          <w:rFonts w:ascii="MetaNormal-Roman" w:hAnsi="MetaNormal-Roman" w:cs="Times New Roman"/>
          <w:color w:val="201F1E"/>
        </w:rPr>
        <w:t>s</w:t>
      </w:r>
      <w:r w:rsidR="00F233E5" w:rsidRPr="00C55A13">
        <w:rPr>
          <w:rFonts w:ascii="MetaNormal-Roman" w:hAnsi="MetaNormal-Roman" w:cs="Times New Roman"/>
          <w:color w:val="201F1E"/>
        </w:rPr>
        <w:t xml:space="preserve"> </w:t>
      </w:r>
      <w:r w:rsidR="00EF3552" w:rsidRPr="00C55A13">
        <w:rPr>
          <w:rFonts w:ascii="MetaNormal-Roman" w:hAnsi="MetaNormal-Roman" w:cs="Times New Roman"/>
          <w:color w:val="201F1E"/>
        </w:rPr>
        <w:t>that withdrawal undermines efforts to combat violence against women</w:t>
      </w:r>
      <w:r w:rsidR="00330E26" w:rsidRPr="00C55A13">
        <w:rPr>
          <w:rFonts w:ascii="MetaNormal-Roman" w:hAnsi="MetaNormal-Roman" w:cs="Times New Roman"/>
          <w:color w:val="201F1E"/>
        </w:rPr>
        <w:t xml:space="preserve"> and, in i</w:t>
      </w:r>
      <w:r w:rsidR="009B00BD" w:rsidRPr="00C55A13">
        <w:rPr>
          <w:rFonts w:ascii="MetaNormal-Roman" w:hAnsi="MetaNormal-Roman" w:cs="Times New Roman"/>
          <w:color w:val="201F1E"/>
        </w:rPr>
        <w:t xml:space="preserve">ts reply to the Committee’s List of Issues, </w:t>
      </w:r>
      <w:r w:rsidR="00F35EE4" w:rsidRPr="00C55A13">
        <w:rPr>
          <w:rFonts w:ascii="MetaNormal-Roman" w:hAnsi="MetaNormal-Roman"/>
        </w:rPr>
        <w:t xml:space="preserve">asserts that it has the necessary </w:t>
      </w:r>
      <w:r w:rsidR="009B00BD" w:rsidRPr="00C55A13">
        <w:rPr>
          <w:rFonts w:ascii="MetaNormal-Roman" w:hAnsi="MetaNormal-Roman"/>
        </w:rPr>
        <w:t xml:space="preserve">domestic </w:t>
      </w:r>
      <w:r w:rsidR="00F35EE4" w:rsidRPr="00C55A13">
        <w:rPr>
          <w:rFonts w:ascii="MetaNormal-Roman" w:hAnsi="MetaNormal-Roman"/>
        </w:rPr>
        <w:t xml:space="preserve">legal infrastructure </w:t>
      </w:r>
      <w:r w:rsidR="008534B0" w:rsidRPr="00C55A13">
        <w:rPr>
          <w:rFonts w:ascii="MetaNormal-Roman" w:hAnsi="MetaNormal-Roman"/>
        </w:rPr>
        <w:t>in place</w:t>
      </w:r>
      <w:r w:rsidR="00814B44">
        <w:rPr>
          <w:rFonts w:ascii="MetaNormal-Roman" w:hAnsi="MetaNormal-Roman"/>
        </w:rPr>
        <w:t>.</w:t>
      </w:r>
      <w:r w:rsidR="008534B0" w:rsidRPr="00C55A13">
        <w:rPr>
          <w:rFonts w:ascii="MetaNormal-Roman" w:hAnsi="MetaNormal-Roman"/>
        </w:rPr>
        <w:t xml:space="preserve"> </w:t>
      </w:r>
      <w:r w:rsidR="00814B44">
        <w:rPr>
          <w:rFonts w:ascii="MetaNormal-Roman" w:hAnsi="MetaNormal-Roman"/>
        </w:rPr>
        <w:t>M</w:t>
      </w:r>
      <w:r w:rsidR="008534B0" w:rsidRPr="00C55A13">
        <w:rPr>
          <w:rFonts w:ascii="MetaNormal-Roman" w:hAnsi="MetaNormal-Roman"/>
        </w:rPr>
        <w:t>oreover</w:t>
      </w:r>
      <w:r w:rsidR="00814B44">
        <w:rPr>
          <w:rFonts w:ascii="MetaNormal-Roman" w:hAnsi="MetaNormal-Roman"/>
        </w:rPr>
        <w:t>, it insists</w:t>
      </w:r>
      <w:r w:rsidR="008534B0" w:rsidRPr="00C55A13">
        <w:rPr>
          <w:rFonts w:ascii="MetaNormal-Roman" w:hAnsi="MetaNormal-Roman"/>
        </w:rPr>
        <w:t xml:space="preserve"> that its commitment to combatting violence against women is supported by its </w:t>
      </w:r>
      <w:r w:rsidR="00EF3552" w:rsidRPr="00C55A13">
        <w:rPr>
          <w:rFonts w:ascii="MetaNormal-Roman" w:hAnsi="MetaNormal-Roman" w:cs="Times New Roman"/>
          <w:color w:val="201F1E"/>
        </w:rPr>
        <w:t>introduction of</w:t>
      </w:r>
      <w:r w:rsidR="00497059" w:rsidRPr="00C55A13">
        <w:rPr>
          <w:rFonts w:ascii="MetaNormal-Roman" w:hAnsi="MetaNormal-Roman" w:cs="Times New Roman"/>
          <w:color w:val="201F1E"/>
        </w:rPr>
        <w:t xml:space="preserve"> a </w:t>
      </w:r>
      <w:r w:rsidR="00F35EE4" w:rsidRPr="00C55A13">
        <w:rPr>
          <w:rFonts w:ascii="MetaNormal-Roman" w:hAnsi="MetaNormal-Roman" w:cs="Times New Roman"/>
          <w:color w:val="201F1E"/>
        </w:rPr>
        <w:t xml:space="preserve">human rights action plan, </w:t>
      </w:r>
      <w:r w:rsidR="00ED1BD5" w:rsidRPr="00C55A13">
        <w:rPr>
          <w:rFonts w:ascii="MetaNormal-Roman" w:hAnsi="MetaNormal-Roman" w:cs="Times New Roman"/>
          <w:color w:val="201F1E"/>
        </w:rPr>
        <w:t xml:space="preserve">a </w:t>
      </w:r>
      <w:r w:rsidR="00F233E5" w:rsidRPr="00C55A13">
        <w:rPr>
          <w:rFonts w:ascii="MetaNormal-Roman" w:hAnsi="MetaNormal-Roman" w:cs="Times New Roman"/>
          <w:color w:val="201F1E"/>
        </w:rPr>
        <w:t>fourth</w:t>
      </w:r>
      <w:r w:rsidR="009C0F04" w:rsidRPr="00C55A13">
        <w:rPr>
          <w:rFonts w:ascii="MetaNormal-Roman" w:hAnsi="MetaNormal-Roman" w:cs="Times New Roman"/>
          <w:color w:val="201F1E"/>
        </w:rPr>
        <w:t xml:space="preserve"> </w:t>
      </w:r>
      <w:r w:rsidR="00497059" w:rsidRPr="00C55A13">
        <w:rPr>
          <w:rFonts w:ascii="MetaNormal-Roman" w:hAnsi="MetaNormal-Roman" w:cs="Times New Roman"/>
          <w:color w:val="201F1E"/>
        </w:rPr>
        <w:t xml:space="preserve">five-year </w:t>
      </w:r>
      <w:r w:rsidR="00ED1BD5" w:rsidRPr="00C55A13">
        <w:rPr>
          <w:rFonts w:ascii="MetaNormal-Roman" w:hAnsi="MetaNormal-Roman" w:cs="Times New Roman"/>
          <w:color w:val="201F1E"/>
        </w:rPr>
        <w:t xml:space="preserve">national </w:t>
      </w:r>
      <w:r w:rsidR="009C0F04" w:rsidRPr="00C55A13">
        <w:rPr>
          <w:rFonts w:ascii="MetaNormal-Roman" w:hAnsi="MetaNormal-Roman" w:cs="Times New Roman"/>
          <w:color w:val="201F1E"/>
        </w:rPr>
        <w:t>action plan</w:t>
      </w:r>
      <w:r w:rsidR="00F233E5" w:rsidRPr="00C55A13">
        <w:rPr>
          <w:rFonts w:ascii="MetaNormal-Roman" w:hAnsi="MetaNormal-Roman" w:cs="Times New Roman"/>
          <w:color w:val="201F1E"/>
        </w:rPr>
        <w:t xml:space="preserve"> to combat violence against women</w:t>
      </w:r>
      <w:r w:rsidR="009C0F04" w:rsidRPr="00C55A13">
        <w:rPr>
          <w:rFonts w:ascii="MetaNormal-Roman" w:hAnsi="MetaNormal-Roman" w:cs="Times New Roman"/>
          <w:color w:val="201F1E"/>
        </w:rPr>
        <w:t>,</w:t>
      </w:r>
      <w:r w:rsidR="00497059" w:rsidRPr="00C55A13">
        <w:rPr>
          <w:rFonts w:ascii="MetaNormal-Roman" w:hAnsi="MetaNormal-Roman" w:cs="Times New Roman"/>
          <w:color w:val="201F1E"/>
        </w:rPr>
        <w:t xml:space="preserve"> </w:t>
      </w:r>
      <w:r w:rsidR="00814B44">
        <w:rPr>
          <w:rFonts w:ascii="MetaNormal-Roman" w:hAnsi="MetaNormal-Roman" w:cs="Times New Roman"/>
          <w:color w:val="201F1E"/>
        </w:rPr>
        <w:t xml:space="preserve">and </w:t>
      </w:r>
      <w:r w:rsidR="009C0F04" w:rsidRPr="00C55A13">
        <w:rPr>
          <w:rFonts w:ascii="MetaNormal-Roman" w:hAnsi="MetaNormal-Roman" w:cs="Times New Roman"/>
          <w:color w:val="201F1E"/>
        </w:rPr>
        <w:t xml:space="preserve">a parliamentary commission </w:t>
      </w:r>
      <w:r w:rsidR="00497059" w:rsidRPr="00C55A13">
        <w:rPr>
          <w:rFonts w:ascii="MetaNormal-Roman" w:hAnsi="MetaNormal-Roman" w:cs="Times New Roman"/>
          <w:color w:val="201F1E"/>
        </w:rPr>
        <w:t>examining the causes of violence against women</w:t>
      </w:r>
      <w:r w:rsidR="0068424B">
        <w:rPr>
          <w:rFonts w:ascii="MetaNormal-Roman" w:hAnsi="MetaNormal-Roman" w:cs="Times New Roman"/>
          <w:color w:val="201F1E"/>
        </w:rPr>
        <w:t>,</w:t>
      </w:r>
      <w:r w:rsidR="009B00BD" w:rsidRPr="00C55A13">
        <w:rPr>
          <w:rFonts w:ascii="MetaNormal-Roman" w:hAnsi="MetaNormal-Roman" w:cs="Times New Roman"/>
          <w:color w:val="201F1E"/>
        </w:rPr>
        <w:t xml:space="preserve"> among other measures</w:t>
      </w:r>
      <w:r w:rsidR="008534B0" w:rsidRPr="00C55A13">
        <w:rPr>
          <w:rFonts w:ascii="MetaNormal-Roman" w:hAnsi="MetaNormal-Roman" w:cs="Times New Roman"/>
          <w:color w:val="201F1E"/>
        </w:rPr>
        <w:t>.</w:t>
      </w:r>
      <w:r w:rsidR="00ED1BD5" w:rsidRPr="00C55A13">
        <w:rPr>
          <w:rStyle w:val="FootnoteReference"/>
          <w:rFonts w:ascii="MetaNormal-Roman" w:hAnsi="MetaNormal-Roman" w:cs="Times New Roman"/>
          <w:color w:val="201F1E"/>
        </w:rPr>
        <w:footnoteReference w:id="6"/>
      </w:r>
      <w:r w:rsidR="009B00BD" w:rsidRPr="00C55A13">
        <w:rPr>
          <w:rFonts w:ascii="MetaNormal-Roman" w:hAnsi="MetaNormal-Roman" w:cs="Times New Roman"/>
          <w:color w:val="201F1E"/>
        </w:rPr>
        <w:t xml:space="preserve"> </w:t>
      </w:r>
    </w:p>
    <w:p w14:paraId="764D2919" w14:textId="77777777" w:rsidR="00814B44" w:rsidRPr="00C55A13" w:rsidRDefault="00814B44" w:rsidP="005F5E05">
      <w:pPr>
        <w:contextualSpacing/>
        <w:rPr>
          <w:rFonts w:ascii="MetaNormal-Roman" w:hAnsi="MetaNormal-Roman" w:cs="Times New Roman"/>
          <w:color w:val="201F1E"/>
        </w:rPr>
      </w:pPr>
    </w:p>
    <w:p w14:paraId="27935C11" w14:textId="76BFE551" w:rsidR="004D0063" w:rsidRPr="00C55A13" w:rsidRDefault="001E652A" w:rsidP="005F5E05">
      <w:pPr>
        <w:contextualSpacing/>
        <w:rPr>
          <w:rFonts w:ascii="MetaNormal-Roman" w:hAnsi="MetaNormal-Roman"/>
        </w:rPr>
      </w:pPr>
      <w:r w:rsidRPr="00C55A13">
        <w:rPr>
          <w:rFonts w:ascii="MetaNormal-Roman" w:hAnsi="MetaNormal-Roman" w:cs="Times New Roman"/>
          <w:color w:val="201F1E"/>
        </w:rPr>
        <w:t>Human Rights Watch’s latest research demonstrates</w:t>
      </w:r>
      <w:r w:rsidR="00855264" w:rsidRPr="00C55A13">
        <w:rPr>
          <w:rFonts w:ascii="MetaNormal-Roman" w:hAnsi="MetaNormal-Roman" w:cs="Times New Roman"/>
          <w:color w:val="201F1E"/>
        </w:rPr>
        <w:t>, however, that regardless of action plans and other recent government policies and legislation,</w:t>
      </w:r>
      <w:r w:rsidRPr="00C55A13">
        <w:rPr>
          <w:rFonts w:ascii="MetaNormal-Roman" w:hAnsi="MetaNormal-Roman" w:cs="Times New Roman"/>
          <w:color w:val="201F1E"/>
        </w:rPr>
        <w:t xml:space="preserve"> there are deep</w:t>
      </w:r>
      <w:r w:rsidR="00585ECC">
        <w:rPr>
          <w:rFonts w:ascii="MetaNormal-Roman" w:hAnsi="MetaNormal-Roman" w:cs="Times New Roman"/>
          <w:color w:val="201F1E"/>
        </w:rPr>
        <w:t>,</w:t>
      </w:r>
      <w:r w:rsidRPr="00C55A13">
        <w:rPr>
          <w:rFonts w:ascii="MetaNormal-Roman" w:hAnsi="MetaNormal-Roman" w:cs="Times New Roman"/>
          <w:color w:val="201F1E"/>
        </w:rPr>
        <w:t xml:space="preserve"> ongoing challenges </w:t>
      </w:r>
      <w:r w:rsidR="00585ECC">
        <w:rPr>
          <w:rFonts w:ascii="MetaNormal-Roman" w:hAnsi="MetaNormal-Roman" w:cs="Times New Roman"/>
          <w:color w:val="201F1E"/>
        </w:rPr>
        <w:t xml:space="preserve">regarding </w:t>
      </w:r>
      <w:r w:rsidRPr="00C55A13">
        <w:rPr>
          <w:rFonts w:ascii="MetaNormal-Roman" w:hAnsi="MetaNormal-Roman" w:cs="Times New Roman"/>
          <w:color w:val="201F1E"/>
        </w:rPr>
        <w:t>effective implementation and enforcement of protection measures</w:t>
      </w:r>
      <w:r w:rsidR="003F1EA1">
        <w:rPr>
          <w:rFonts w:ascii="MetaNormal-Roman" w:hAnsi="MetaNormal-Roman" w:cs="Times New Roman"/>
          <w:color w:val="201F1E"/>
        </w:rPr>
        <w:t>.</w:t>
      </w:r>
      <w:r w:rsidR="0078663B" w:rsidRPr="00C55A13">
        <w:rPr>
          <w:rFonts w:ascii="MetaNormal-Roman" w:hAnsi="MetaNormal-Roman" w:cs="Times New Roman"/>
          <w:color w:val="201F1E"/>
        </w:rPr>
        <w:t xml:space="preserve"> </w:t>
      </w:r>
      <w:r w:rsidR="00DB3BD0">
        <w:rPr>
          <w:rFonts w:ascii="MetaNormal-Roman" w:hAnsi="MetaNormal-Roman" w:cs="Times New Roman"/>
          <w:color w:val="201F1E"/>
        </w:rPr>
        <w:t>I</w:t>
      </w:r>
      <w:r w:rsidR="0078663B" w:rsidRPr="00C55A13">
        <w:rPr>
          <w:rFonts w:ascii="MetaNormal-Roman" w:hAnsi="MetaNormal-Roman" w:cs="Times New Roman"/>
          <w:color w:val="201F1E"/>
        </w:rPr>
        <w:t xml:space="preserve">t is </w:t>
      </w:r>
      <w:r w:rsidRPr="00C55A13">
        <w:rPr>
          <w:rFonts w:ascii="MetaNormal-Roman" w:hAnsi="MetaNormal-Roman" w:cs="Times New Roman"/>
          <w:color w:val="201F1E"/>
        </w:rPr>
        <w:t xml:space="preserve">imperative that Turkey pursue further steps to combat domestic violence and all other forms </w:t>
      </w:r>
      <w:r w:rsidR="0078663B" w:rsidRPr="00C55A13">
        <w:rPr>
          <w:rFonts w:ascii="MetaNormal-Roman" w:hAnsi="MetaNormal-Roman" w:cs="Times New Roman"/>
          <w:color w:val="201F1E"/>
        </w:rPr>
        <w:t xml:space="preserve">of </w:t>
      </w:r>
      <w:r w:rsidRPr="00C55A13">
        <w:rPr>
          <w:rFonts w:ascii="MetaNormal-Roman" w:hAnsi="MetaNormal-Roman" w:cs="Times New Roman"/>
          <w:color w:val="201F1E"/>
        </w:rPr>
        <w:t xml:space="preserve">violence against women to comply with its obligations under the Convention. </w:t>
      </w:r>
    </w:p>
    <w:p w14:paraId="3FA43336" w14:textId="194D7D7B" w:rsidR="005E6974" w:rsidRPr="00FB3F2C" w:rsidRDefault="005E6974" w:rsidP="0036381A">
      <w:pPr>
        <w:contextualSpacing/>
        <w:rPr>
          <w:rFonts w:ascii="MetaNormal-Roman" w:hAnsi="MetaNormal-Roman"/>
        </w:rPr>
      </w:pPr>
    </w:p>
    <w:p w14:paraId="721CD83E" w14:textId="54D1C93B" w:rsidR="005E6974" w:rsidRPr="00531001" w:rsidRDefault="005E6974" w:rsidP="005E6974">
      <w:pPr>
        <w:pStyle w:val="Heading2"/>
        <w:rPr>
          <w:rFonts w:ascii="MetaNormal-Roman" w:hAnsi="MetaNormal-Roman"/>
          <w:b/>
          <w:bCs w:val="0"/>
          <w:i/>
          <w:iCs/>
          <w:sz w:val="22"/>
          <w:szCs w:val="22"/>
        </w:rPr>
      </w:pPr>
      <w:bookmarkStart w:id="0" w:name="_Toc103781656"/>
      <w:r w:rsidRPr="00531001">
        <w:rPr>
          <w:rFonts w:ascii="MetaNormal-Roman" w:hAnsi="MetaNormal-Roman"/>
          <w:b/>
          <w:bCs w:val="0"/>
          <w:i/>
          <w:iCs/>
          <w:sz w:val="22"/>
          <w:szCs w:val="22"/>
        </w:rPr>
        <w:t>Recommendations</w:t>
      </w:r>
    </w:p>
    <w:p w14:paraId="0F21B261" w14:textId="77777777" w:rsidR="00FB3F2C" w:rsidRPr="00531001" w:rsidRDefault="00FB3F2C" w:rsidP="00FB3F2C">
      <w:pPr>
        <w:rPr>
          <w:b/>
          <w:lang w:eastAsia="zh-CN"/>
        </w:rPr>
      </w:pPr>
    </w:p>
    <w:p w14:paraId="6A4F3869" w14:textId="4C7E898F" w:rsidR="005E6974" w:rsidRPr="00FB3F2C" w:rsidRDefault="005E6974" w:rsidP="005E6974">
      <w:pPr>
        <w:pStyle w:val="Heading2"/>
        <w:rPr>
          <w:rFonts w:ascii="MetaNormal-Roman" w:hAnsi="MetaNormal-Roman"/>
          <w:sz w:val="22"/>
          <w:szCs w:val="22"/>
        </w:rPr>
      </w:pPr>
      <w:r w:rsidRPr="00FB3F2C">
        <w:rPr>
          <w:rFonts w:ascii="MetaNormal-Roman" w:hAnsi="MetaNormal-Roman"/>
          <w:sz w:val="22"/>
          <w:szCs w:val="22"/>
        </w:rPr>
        <w:t>The CEDAW Committee should press the Government of Turkey</w:t>
      </w:r>
      <w:bookmarkEnd w:id="0"/>
      <w:r w:rsidR="003E571D" w:rsidRPr="00FB3F2C">
        <w:rPr>
          <w:rFonts w:ascii="MetaNormal-Roman" w:hAnsi="MetaNormal-Roman"/>
          <w:sz w:val="22"/>
          <w:szCs w:val="22"/>
        </w:rPr>
        <w:t xml:space="preserve"> to carry out the following recommendations:  </w:t>
      </w:r>
    </w:p>
    <w:p w14:paraId="1CEB0CF0" w14:textId="77777777" w:rsidR="0078663B" w:rsidRPr="00FB3F2C" w:rsidRDefault="0078663B" w:rsidP="005E6974">
      <w:pPr>
        <w:pStyle w:val="Heading3"/>
        <w:rPr>
          <w:rFonts w:ascii="MetaNormal-Roman" w:hAnsi="MetaNormal-Roman"/>
          <w:sz w:val="22"/>
          <w:szCs w:val="22"/>
        </w:rPr>
      </w:pPr>
    </w:p>
    <w:p w14:paraId="7C33FB78" w14:textId="35125F9E" w:rsidR="005E6974" w:rsidRPr="007476C4" w:rsidRDefault="005E6974" w:rsidP="005E6974">
      <w:pPr>
        <w:pStyle w:val="Heading3"/>
        <w:rPr>
          <w:rFonts w:ascii="MetaNormal-Roman" w:hAnsi="MetaNormal-Roman"/>
          <w:i/>
          <w:iCs w:val="0"/>
          <w:sz w:val="22"/>
          <w:szCs w:val="22"/>
        </w:rPr>
      </w:pPr>
      <w:r w:rsidRPr="007476C4">
        <w:rPr>
          <w:rFonts w:ascii="MetaNormal-Roman" w:hAnsi="MetaNormal-Roman"/>
          <w:i/>
          <w:iCs w:val="0"/>
          <w:sz w:val="22"/>
          <w:szCs w:val="22"/>
        </w:rPr>
        <w:t>Recommit to and comply with international law on combatting violence against women and domestic violence</w:t>
      </w:r>
    </w:p>
    <w:p w14:paraId="547634D6" w14:textId="3CD89856" w:rsidR="003E571D" w:rsidRPr="00FB3F2C" w:rsidRDefault="003E571D" w:rsidP="003E571D">
      <w:pPr>
        <w:pStyle w:val="ListParagraph"/>
        <w:numPr>
          <w:ilvl w:val="0"/>
          <w:numId w:val="4"/>
        </w:numPr>
        <w:spacing w:line="259" w:lineRule="auto"/>
        <w:ind w:hanging="360"/>
        <w:rPr>
          <w:rFonts w:ascii="MetaNormal-Roman" w:eastAsiaTheme="minorEastAsia" w:hAnsi="MetaNormal-Roman"/>
        </w:rPr>
      </w:pPr>
      <w:r w:rsidRPr="00FB3F2C">
        <w:rPr>
          <w:rFonts w:ascii="MetaNormal-Roman" w:eastAsiaTheme="minorEastAsia" w:hAnsi="MetaNormal-Roman"/>
        </w:rPr>
        <w:t>Reverse Turkey’s withdrawal from the Istanbul Convention and promptly reaffirm Turkey’s commitment to eliminating all forms of violence against women at the national, regional, and international levels by rejoining the convention.</w:t>
      </w:r>
    </w:p>
    <w:p w14:paraId="714316F0" w14:textId="61369129" w:rsidR="005E6974" w:rsidRPr="00FB3F2C" w:rsidRDefault="005E6974" w:rsidP="005E6974">
      <w:pPr>
        <w:pStyle w:val="ListParagraph"/>
        <w:numPr>
          <w:ilvl w:val="0"/>
          <w:numId w:val="4"/>
        </w:numPr>
        <w:spacing w:after="160" w:line="259" w:lineRule="auto"/>
        <w:ind w:hanging="360"/>
        <w:rPr>
          <w:rFonts w:ascii="MetaNormal-Roman" w:eastAsiaTheme="minorEastAsia" w:hAnsi="MetaNormal-Roman"/>
        </w:rPr>
      </w:pPr>
      <w:r w:rsidRPr="00FB3F2C">
        <w:rPr>
          <w:rFonts w:ascii="MetaNormal-Roman" w:eastAsiaTheme="minorEastAsia" w:hAnsi="MetaNormal-Roman"/>
        </w:rPr>
        <w:t xml:space="preserve">Ensure full implementation of all measures required to prevent further violations identified in the European Court of Human Rights </w:t>
      </w:r>
      <w:proofErr w:type="spellStart"/>
      <w:r w:rsidRPr="00FB3F2C">
        <w:rPr>
          <w:rFonts w:ascii="MetaNormal-Roman" w:eastAsiaTheme="minorEastAsia" w:hAnsi="MetaNormal-Roman"/>
        </w:rPr>
        <w:t>Opuz</w:t>
      </w:r>
      <w:proofErr w:type="spellEnd"/>
      <w:r w:rsidRPr="00FB3F2C">
        <w:rPr>
          <w:rFonts w:ascii="MetaNormal-Roman" w:eastAsiaTheme="minorEastAsia" w:hAnsi="MetaNormal-Roman"/>
        </w:rPr>
        <w:t xml:space="preserve"> v. Turkey case</w:t>
      </w:r>
      <w:r w:rsidR="003E571D" w:rsidRPr="00FB3F2C">
        <w:rPr>
          <w:rFonts w:ascii="MetaNormal-Roman" w:eastAsiaTheme="minorEastAsia" w:hAnsi="MetaNormal-Roman"/>
        </w:rPr>
        <w:t xml:space="preserve"> and related cases</w:t>
      </w:r>
      <w:r w:rsidRPr="00FB3F2C">
        <w:rPr>
          <w:rFonts w:ascii="MetaNormal-Roman" w:eastAsiaTheme="minorEastAsia" w:hAnsi="MetaNormal-Roman"/>
        </w:rPr>
        <w:t xml:space="preserve"> under enhanced supervision before the Council of Europe Committee of </w:t>
      </w:r>
      <w:proofErr w:type="gramStart"/>
      <w:r w:rsidRPr="00FB3F2C">
        <w:rPr>
          <w:rFonts w:ascii="MetaNormal-Roman" w:eastAsiaTheme="minorEastAsia" w:hAnsi="MetaNormal-Roman"/>
        </w:rPr>
        <w:t>Ministers;</w:t>
      </w:r>
      <w:proofErr w:type="gramEnd"/>
    </w:p>
    <w:p w14:paraId="16426CC3" w14:textId="77777777" w:rsidR="005E6974" w:rsidRPr="007476C4" w:rsidRDefault="005E6974" w:rsidP="005E6974">
      <w:pPr>
        <w:pStyle w:val="Heading3"/>
        <w:rPr>
          <w:rFonts w:ascii="MetaNormal-Roman" w:hAnsi="MetaNormal-Roman"/>
          <w:i/>
          <w:iCs w:val="0"/>
          <w:sz w:val="22"/>
          <w:szCs w:val="22"/>
        </w:rPr>
      </w:pPr>
      <w:r w:rsidRPr="007476C4">
        <w:rPr>
          <w:rFonts w:ascii="MetaNormal-Roman" w:hAnsi="MetaNormal-Roman"/>
          <w:i/>
          <w:iCs w:val="0"/>
          <w:sz w:val="22"/>
          <w:szCs w:val="22"/>
        </w:rPr>
        <w:t>Strengthen the application of preventive and protective orders under Law No. 6284</w:t>
      </w:r>
    </w:p>
    <w:p w14:paraId="0D53209A" w14:textId="77777777" w:rsidR="005E6974" w:rsidRPr="00FB3F2C" w:rsidRDefault="005E6974" w:rsidP="005E6974">
      <w:pPr>
        <w:pStyle w:val="ListParagraph"/>
        <w:numPr>
          <w:ilvl w:val="0"/>
          <w:numId w:val="5"/>
        </w:numPr>
        <w:spacing w:after="160" w:line="259" w:lineRule="auto"/>
        <w:rPr>
          <w:rFonts w:ascii="MetaNormal-Roman" w:eastAsiaTheme="minorEastAsia" w:hAnsi="MetaNormal-Roman"/>
        </w:rPr>
      </w:pPr>
      <w:r w:rsidRPr="00FB3F2C">
        <w:rPr>
          <w:rFonts w:ascii="MetaNormal-Roman" w:eastAsiaTheme="minorEastAsia" w:hAnsi="MetaNormal-Roman"/>
        </w:rPr>
        <w:t xml:space="preserve">Ensure that despite withdrawal from the Istanbul Convention, police units, prosecutors, and courts across Turkey strengthen their commitment to applying protective and preventive orders under Law No. 6284 in response to reports of domestic violence and violence against women; and that the orders are applied and served promptly, are commensurate with the level of risk carefully assessed and are tailored to the needs of the victim, relying on the full range of measures </w:t>
      </w:r>
      <w:proofErr w:type="gramStart"/>
      <w:r w:rsidRPr="00FB3F2C">
        <w:rPr>
          <w:rFonts w:ascii="MetaNormal-Roman" w:eastAsiaTheme="minorEastAsia" w:hAnsi="MetaNormal-Roman"/>
        </w:rPr>
        <w:t>available;</w:t>
      </w:r>
      <w:proofErr w:type="gramEnd"/>
    </w:p>
    <w:p w14:paraId="7BFD66BB" w14:textId="5CC61FA3" w:rsidR="005E6974" w:rsidRPr="00721FAE" w:rsidRDefault="005E6974" w:rsidP="00C30A38">
      <w:pPr>
        <w:pStyle w:val="ListParagraph"/>
        <w:numPr>
          <w:ilvl w:val="0"/>
          <w:numId w:val="5"/>
        </w:numPr>
        <w:spacing w:after="160" w:line="259" w:lineRule="auto"/>
        <w:rPr>
          <w:rFonts w:ascii="MetaNormal-Roman" w:eastAsiaTheme="minorEastAsia" w:hAnsi="MetaNormal-Roman"/>
        </w:rPr>
      </w:pPr>
      <w:r w:rsidRPr="00FB3F2C">
        <w:rPr>
          <w:rFonts w:ascii="MetaNormal-Roman" w:eastAsiaTheme="minorEastAsia" w:hAnsi="MetaNormal-Roman"/>
        </w:rPr>
        <w:t xml:space="preserve">Ensure that it is mandatory for police units to inform all victims of their rights under the law, </w:t>
      </w:r>
      <w:r w:rsidR="003979B6">
        <w:rPr>
          <w:rFonts w:ascii="MetaNormal-Roman" w:eastAsiaTheme="minorEastAsia" w:hAnsi="MetaNormal-Roman"/>
        </w:rPr>
        <w:t xml:space="preserve">including </w:t>
      </w:r>
      <w:r w:rsidRPr="00FB3F2C">
        <w:rPr>
          <w:rFonts w:ascii="MetaNormal-Roman" w:eastAsiaTheme="minorEastAsia" w:hAnsi="MetaNormal-Roman"/>
        </w:rPr>
        <w:t>the details of the protective and preventive orders available to them and their right to legal aid</w:t>
      </w:r>
      <w:r w:rsidR="00961D2B">
        <w:rPr>
          <w:rFonts w:ascii="MetaNormal-Roman" w:eastAsiaTheme="minorEastAsia" w:hAnsi="MetaNormal-Roman"/>
        </w:rPr>
        <w:t xml:space="preserve">, including </w:t>
      </w:r>
      <w:r w:rsidR="00C30A38">
        <w:rPr>
          <w:rFonts w:ascii="MetaNormal-Roman" w:eastAsiaTheme="minorEastAsia" w:hAnsi="MetaNormal-Roman"/>
        </w:rPr>
        <w:t xml:space="preserve">through provision of interpreters for </w:t>
      </w:r>
      <w:r w:rsidRPr="00721FAE">
        <w:rPr>
          <w:rFonts w:ascii="MetaNormal-Roman" w:eastAsiaTheme="minorEastAsia" w:hAnsi="MetaNormal-Roman"/>
        </w:rPr>
        <w:t xml:space="preserve">victims </w:t>
      </w:r>
      <w:r w:rsidR="00C30A38">
        <w:rPr>
          <w:rFonts w:ascii="MetaNormal-Roman" w:eastAsiaTheme="minorEastAsia" w:hAnsi="MetaNormal-Roman"/>
        </w:rPr>
        <w:t xml:space="preserve">who </w:t>
      </w:r>
      <w:r w:rsidRPr="00721FAE">
        <w:rPr>
          <w:rFonts w:ascii="MetaNormal-Roman" w:eastAsiaTheme="minorEastAsia" w:hAnsi="MetaNormal-Roman"/>
        </w:rPr>
        <w:t xml:space="preserve">do not speak Turkish </w:t>
      </w:r>
      <w:r w:rsidRPr="00721FAE">
        <w:rPr>
          <w:rFonts w:ascii="MetaNormal-Roman" w:eastAsiaTheme="minorEastAsia" w:hAnsi="MetaNormal-Roman"/>
        </w:rPr>
        <w:lastRenderedPageBreak/>
        <w:t xml:space="preserve">or are from disadvantaged groups (including foreign nationals who are asylum seekers or other migrants, including Syrians with temporary protection status), </w:t>
      </w:r>
    </w:p>
    <w:p w14:paraId="435B084C" w14:textId="5299FDF7" w:rsidR="005E6974" w:rsidRPr="00FB3F2C" w:rsidRDefault="005E6974" w:rsidP="005E6974">
      <w:pPr>
        <w:pStyle w:val="ListParagraph"/>
        <w:numPr>
          <w:ilvl w:val="0"/>
          <w:numId w:val="5"/>
        </w:numPr>
        <w:spacing w:after="160" w:line="259" w:lineRule="auto"/>
        <w:rPr>
          <w:rFonts w:ascii="MetaNormal-Roman" w:eastAsiaTheme="minorEastAsia" w:hAnsi="MetaNormal-Roman"/>
        </w:rPr>
      </w:pPr>
      <w:r w:rsidRPr="00FB3F2C">
        <w:rPr>
          <w:rFonts w:ascii="MetaNormal-Roman" w:eastAsiaTheme="minorEastAsia" w:hAnsi="MetaNormal-Roman"/>
        </w:rPr>
        <w:t xml:space="preserve">Ensure that police, prosecutors and family courts take an inclusive approach to all victims of domestic violence and offer the same protection to all, avoiding any discrimination on the basis of sexual orientation </w:t>
      </w:r>
      <w:r w:rsidR="00A73485">
        <w:rPr>
          <w:rFonts w:ascii="MetaNormal-Roman" w:eastAsiaTheme="minorEastAsia" w:hAnsi="MetaNormal-Roman"/>
        </w:rPr>
        <w:t>or</w:t>
      </w:r>
      <w:r w:rsidR="00A73485" w:rsidRPr="00FB3F2C">
        <w:rPr>
          <w:rFonts w:ascii="MetaNormal-Roman" w:eastAsiaTheme="minorEastAsia" w:hAnsi="MetaNormal-Roman"/>
        </w:rPr>
        <w:t xml:space="preserve"> </w:t>
      </w:r>
      <w:r w:rsidRPr="00FB3F2C">
        <w:rPr>
          <w:rFonts w:ascii="MetaNormal-Roman" w:eastAsiaTheme="minorEastAsia" w:hAnsi="MetaNormal-Roman"/>
        </w:rPr>
        <w:t xml:space="preserve">gender </w:t>
      </w:r>
      <w:proofErr w:type="gramStart"/>
      <w:r w:rsidRPr="00FB3F2C">
        <w:rPr>
          <w:rFonts w:ascii="MetaNormal-Roman" w:eastAsiaTheme="minorEastAsia" w:hAnsi="MetaNormal-Roman"/>
        </w:rPr>
        <w:t>identity;</w:t>
      </w:r>
      <w:proofErr w:type="gramEnd"/>
    </w:p>
    <w:p w14:paraId="165A28E6" w14:textId="77777777" w:rsidR="005E6974" w:rsidRPr="00FB3F2C" w:rsidRDefault="005E6974" w:rsidP="005E6974">
      <w:pPr>
        <w:pStyle w:val="ListParagraph"/>
        <w:numPr>
          <w:ilvl w:val="0"/>
          <w:numId w:val="5"/>
        </w:numPr>
        <w:spacing w:after="160" w:line="259" w:lineRule="auto"/>
        <w:rPr>
          <w:rFonts w:ascii="MetaNormal-Roman" w:eastAsiaTheme="minorEastAsia" w:hAnsi="MetaNormal-Roman"/>
        </w:rPr>
      </w:pPr>
      <w:r w:rsidRPr="00FB3F2C">
        <w:rPr>
          <w:rFonts w:ascii="MetaNormal-Roman" w:eastAsiaTheme="minorEastAsia" w:hAnsi="MetaNormal-Roman"/>
        </w:rPr>
        <w:t xml:space="preserve">Establish systems that clarify roles and responsibilities and ensure full and effective coordination among different agencies operating under the Ministry of Interior, Ministry of Justice, and Ministry of Family and Social Services. Ensure each takes full responsibility for their role in (i) applying protective and preventive orders according to detailed risk assessments; (ii) monitoring their ongoing implementation; and (iii) maintaining follow-up communication with victims in a timely, survivor-centered, and responsive manner to ensure their continuing </w:t>
      </w:r>
      <w:proofErr w:type="gramStart"/>
      <w:r w:rsidRPr="00FB3F2C">
        <w:rPr>
          <w:rFonts w:ascii="MetaNormal-Roman" w:eastAsiaTheme="minorEastAsia" w:hAnsi="MetaNormal-Roman"/>
        </w:rPr>
        <w:t>safety;</w:t>
      </w:r>
      <w:proofErr w:type="gramEnd"/>
    </w:p>
    <w:p w14:paraId="1BDFB881" w14:textId="05E1FEB2" w:rsidR="005E6974" w:rsidRPr="00531001" w:rsidRDefault="005E6974" w:rsidP="005E6974">
      <w:pPr>
        <w:pStyle w:val="ListParagraph"/>
        <w:numPr>
          <w:ilvl w:val="0"/>
          <w:numId w:val="5"/>
        </w:numPr>
        <w:pBdr>
          <w:between w:val="nil"/>
        </w:pBdr>
        <w:spacing w:line="259" w:lineRule="auto"/>
        <w:rPr>
          <w:rFonts w:ascii="MetaNormal-Roman" w:eastAsiaTheme="minorEastAsia" w:hAnsi="MetaNormal-Roman"/>
        </w:rPr>
      </w:pPr>
      <w:r w:rsidRPr="00FB3F2C">
        <w:rPr>
          <w:rFonts w:ascii="MetaNormal-Roman" w:eastAsia="MetaPro-Norm" w:hAnsi="MetaNormal-Roman" w:cs="MetaPro-Norm"/>
        </w:rPr>
        <w:t>Ensure that legal aid through Bar Associations is accessible to all domestic violence victims.</w:t>
      </w:r>
    </w:p>
    <w:p w14:paraId="758F0741" w14:textId="77777777" w:rsidR="00531001" w:rsidRDefault="00531001" w:rsidP="005E6974">
      <w:pPr>
        <w:pStyle w:val="Heading3"/>
        <w:rPr>
          <w:rFonts w:ascii="MetaNormal-Roman" w:hAnsi="MetaNormal-Roman"/>
          <w:i/>
          <w:iCs w:val="0"/>
          <w:sz w:val="22"/>
          <w:szCs w:val="22"/>
        </w:rPr>
      </w:pPr>
    </w:p>
    <w:p w14:paraId="0CB1382D" w14:textId="4767D624" w:rsidR="005E6974" w:rsidRPr="007476C4" w:rsidRDefault="005E6974" w:rsidP="005E6974">
      <w:pPr>
        <w:pStyle w:val="Heading3"/>
        <w:rPr>
          <w:rFonts w:ascii="MetaNormal-Roman" w:hAnsi="MetaNormal-Roman"/>
          <w:i/>
          <w:iCs w:val="0"/>
          <w:sz w:val="22"/>
          <w:szCs w:val="22"/>
        </w:rPr>
      </w:pPr>
      <w:r w:rsidRPr="007476C4">
        <w:rPr>
          <w:rFonts w:ascii="MetaNormal-Roman" w:hAnsi="MetaNormal-Roman"/>
          <w:i/>
          <w:iCs w:val="0"/>
          <w:sz w:val="22"/>
          <w:szCs w:val="22"/>
        </w:rPr>
        <w:t>Strengthen the implementation of preventive orders through sanctions for breaches</w:t>
      </w:r>
    </w:p>
    <w:p w14:paraId="05C4D9B6" w14:textId="77777777" w:rsidR="005E6974" w:rsidRPr="00FB3F2C" w:rsidRDefault="005E6974" w:rsidP="005E6974">
      <w:pPr>
        <w:pStyle w:val="ListParagraph"/>
        <w:numPr>
          <w:ilvl w:val="0"/>
          <w:numId w:val="1"/>
        </w:numPr>
        <w:spacing w:after="160" w:line="259" w:lineRule="auto"/>
        <w:ind w:hanging="360"/>
        <w:rPr>
          <w:rFonts w:ascii="MetaNormal-Roman" w:eastAsiaTheme="minorEastAsia" w:hAnsi="MetaNormal-Roman"/>
        </w:rPr>
      </w:pPr>
      <w:r w:rsidRPr="00FB3F2C">
        <w:rPr>
          <w:rFonts w:ascii="MetaNormal-Roman" w:eastAsiaTheme="minorEastAsia" w:hAnsi="MetaNormal-Roman"/>
        </w:rPr>
        <w:t xml:space="preserve">Ensure that detention is imposed as a sanction for breaches of protective and preventive </w:t>
      </w:r>
      <w:proofErr w:type="gramStart"/>
      <w:r w:rsidRPr="00FB3F2C">
        <w:rPr>
          <w:rFonts w:ascii="MetaNormal-Roman" w:eastAsiaTheme="minorEastAsia" w:hAnsi="MetaNormal-Roman"/>
        </w:rPr>
        <w:t>orders;</w:t>
      </w:r>
      <w:proofErr w:type="gramEnd"/>
      <w:r w:rsidRPr="00FB3F2C">
        <w:rPr>
          <w:rFonts w:ascii="MetaNormal-Roman" w:eastAsiaTheme="minorEastAsia" w:hAnsi="MetaNormal-Roman"/>
        </w:rPr>
        <w:t xml:space="preserve"> </w:t>
      </w:r>
    </w:p>
    <w:p w14:paraId="6BE0D9E8" w14:textId="77777777" w:rsidR="005E6974" w:rsidRPr="00FB3F2C" w:rsidRDefault="005E6974" w:rsidP="005E6974">
      <w:pPr>
        <w:pStyle w:val="ListParagraph"/>
        <w:numPr>
          <w:ilvl w:val="0"/>
          <w:numId w:val="1"/>
        </w:numPr>
        <w:spacing w:after="160" w:line="259" w:lineRule="auto"/>
        <w:ind w:hanging="360"/>
        <w:rPr>
          <w:rFonts w:ascii="MetaNormal-Roman" w:eastAsiaTheme="minorEastAsia" w:hAnsi="MetaNormal-Roman"/>
        </w:rPr>
      </w:pPr>
      <w:r w:rsidRPr="00FB3F2C">
        <w:rPr>
          <w:rFonts w:ascii="MetaNormal-Roman" w:eastAsiaTheme="minorEastAsia" w:hAnsi="MetaNormal-Roman"/>
        </w:rPr>
        <w:t xml:space="preserve">Continue to develop and extend the use of electronic tags for perpetrators of domestic violence who breach protective and preventive </w:t>
      </w:r>
      <w:proofErr w:type="gramStart"/>
      <w:r w:rsidRPr="00FB3F2C">
        <w:rPr>
          <w:rFonts w:ascii="MetaNormal-Roman" w:eastAsiaTheme="minorEastAsia" w:hAnsi="MetaNormal-Roman"/>
        </w:rPr>
        <w:t>orders;</w:t>
      </w:r>
      <w:proofErr w:type="gramEnd"/>
    </w:p>
    <w:p w14:paraId="28CD6FC9" w14:textId="77777777" w:rsidR="005E6974" w:rsidRPr="00FB3F2C" w:rsidRDefault="005E6974" w:rsidP="005E6974">
      <w:pPr>
        <w:pStyle w:val="ListParagraph"/>
        <w:numPr>
          <w:ilvl w:val="0"/>
          <w:numId w:val="1"/>
        </w:numPr>
        <w:spacing w:after="160" w:line="259" w:lineRule="auto"/>
        <w:ind w:hanging="360"/>
        <w:rPr>
          <w:rFonts w:ascii="MetaNormal-Roman" w:eastAsiaTheme="minorEastAsia" w:hAnsi="MetaNormal-Roman"/>
        </w:rPr>
      </w:pPr>
      <w:r w:rsidRPr="00FB3F2C">
        <w:rPr>
          <w:rFonts w:ascii="MetaNormal-Roman" w:eastAsiaTheme="minorEastAsia" w:hAnsi="MetaNormal-Roman"/>
        </w:rPr>
        <w:t xml:space="preserve">Provide clear guidelines to prosecutors and courts that repeated breaches of protective and preventive orders may constitute grounds for suspects to be placed in pretrial detention in the context of a criminal investigation on the grounds that they pose a threat to the safety of the victim and </w:t>
      </w:r>
      <w:proofErr w:type="gramStart"/>
      <w:r w:rsidRPr="00FB3F2C">
        <w:rPr>
          <w:rFonts w:ascii="MetaNormal-Roman" w:eastAsiaTheme="minorEastAsia" w:hAnsi="MetaNormal-Roman"/>
        </w:rPr>
        <w:t>witnesses;</w:t>
      </w:r>
      <w:proofErr w:type="gramEnd"/>
      <w:r w:rsidRPr="00FB3F2C">
        <w:rPr>
          <w:rFonts w:ascii="MetaNormal-Roman" w:eastAsiaTheme="minorEastAsia" w:hAnsi="MetaNormal-Roman"/>
        </w:rPr>
        <w:t xml:space="preserve"> </w:t>
      </w:r>
    </w:p>
    <w:p w14:paraId="6C46330E" w14:textId="0C47707E" w:rsidR="005E6974" w:rsidRPr="00FB3F2C" w:rsidRDefault="005E6974" w:rsidP="004C0598">
      <w:pPr>
        <w:pStyle w:val="ListParagraph"/>
        <w:numPr>
          <w:ilvl w:val="0"/>
          <w:numId w:val="1"/>
        </w:numPr>
        <w:spacing w:line="259" w:lineRule="auto"/>
        <w:ind w:hanging="360"/>
        <w:rPr>
          <w:rFonts w:ascii="MetaNormal-Roman" w:eastAsiaTheme="minorEastAsia" w:hAnsi="MetaNormal-Roman"/>
        </w:rPr>
      </w:pPr>
      <w:r w:rsidRPr="00633862">
        <w:rPr>
          <w:rFonts w:ascii="MetaNormal-Roman" w:eastAsiaTheme="minorEastAsia" w:hAnsi="MetaNormal-Roman"/>
        </w:rPr>
        <w:t>Ensure that the Ministry of Family and Social Services conducts a full evaluation and publishes detailed information and statistics about the performance of provincial Violence Prevention and Monitoring Centers in overseeing the implementation of protective and preventive orders. The ministry should consult on the substance of any plan to reform or restructure the centers with civil society groups focused on combatting violence against women and the women’s rights commissions and centers of provincial bar associations, as well as with other relevant ministries.</w:t>
      </w:r>
    </w:p>
    <w:p w14:paraId="5C219366" w14:textId="07DFE084" w:rsidR="005E6974" w:rsidRPr="00633862" w:rsidRDefault="005E6974" w:rsidP="004B1A10">
      <w:pPr>
        <w:rPr>
          <w:rFonts w:ascii="MetaNormal-Roman" w:eastAsiaTheme="minorEastAsia" w:hAnsi="MetaNormal-Roman"/>
        </w:rPr>
      </w:pPr>
    </w:p>
    <w:p w14:paraId="0F209EE0" w14:textId="77777777" w:rsidR="005E6974" w:rsidRPr="007476C4" w:rsidRDefault="005E6974" w:rsidP="005E6974">
      <w:pPr>
        <w:pStyle w:val="Heading3"/>
        <w:rPr>
          <w:rFonts w:ascii="MetaNormal-Roman" w:hAnsi="MetaNormal-Roman"/>
          <w:i/>
          <w:iCs w:val="0"/>
          <w:sz w:val="22"/>
          <w:szCs w:val="22"/>
        </w:rPr>
      </w:pPr>
      <w:r w:rsidRPr="007476C4">
        <w:rPr>
          <w:rFonts w:ascii="MetaNormal-Roman" w:hAnsi="MetaNormal-Roman"/>
          <w:i/>
          <w:iCs w:val="0"/>
          <w:sz w:val="22"/>
          <w:szCs w:val="22"/>
        </w:rPr>
        <w:t>Strengthen steps to ensure justice and redress for victims</w:t>
      </w:r>
    </w:p>
    <w:p w14:paraId="717BC3A6" w14:textId="77777777" w:rsidR="005E6974" w:rsidRPr="00FB3F2C" w:rsidRDefault="005E6974" w:rsidP="005E6974">
      <w:pPr>
        <w:pStyle w:val="ListParagraph"/>
        <w:numPr>
          <w:ilvl w:val="0"/>
          <w:numId w:val="2"/>
        </w:numPr>
        <w:spacing w:after="160" w:line="259" w:lineRule="auto"/>
        <w:ind w:hanging="360"/>
        <w:rPr>
          <w:rFonts w:ascii="MetaNormal-Roman" w:eastAsiaTheme="minorEastAsia" w:hAnsi="MetaNormal-Roman"/>
        </w:rPr>
      </w:pPr>
      <w:r w:rsidRPr="00FB3F2C">
        <w:rPr>
          <w:rFonts w:ascii="MetaNormal-Roman" w:eastAsiaTheme="minorEastAsia" w:hAnsi="MetaNormal-Roman"/>
        </w:rPr>
        <w:t xml:space="preserve">Ensure that prosecutors conduct thorough, timely, and effective investigations into allegations of domestic violence and violence against women and girls capable of leading to the prosecution of perpetrators and their conviction on charges appropriate to the severity of the crime in a fair trial. </w:t>
      </w:r>
    </w:p>
    <w:p w14:paraId="340DB410" w14:textId="77777777" w:rsidR="005E6974" w:rsidRPr="00FB3F2C" w:rsidRDefault="005E6974" w:rsidP="005E6974">
      <w:pPr>
        <w:pStyle w:val="ListParagraph"/>
        <w:numPr>
          <w:ilvl w:val="0"/>
          <w:numId w:val="2"/>
        </w:numPr>
        <w:spacing w:after="160" w:line="259" w:lineRule="auto"/>
        <w:ind w:hanging="360"/>
        <w:rPr>
          <w:rFonts w:ascii="MetaNormal-Roman" w:eastAsiaTheme="minorEastAsia" w:hAnsi="MetaNormal-Roman"/>
        </w:rPr>
      </w:pPr>
      <w:r w:rsidRPr="00FB3F2C">
        <w:rPr>
          <w:rFonts w:ascii="MetaNormal-Roman" w:eastAsiaTheme="minorEastAsia" w:hAnsi="MetaNormal-Roman"/>
        </w:rPr>
        <w:t xml:space="preserve">Ensure that prosecutors can secure court decisions on preventive orders against alleged perpetrators of domestic violence that will ensure the safety of victims for the duration of a criminal investigation, while maintaining each process as separate and independent so as not to undermine the presumption of innocence in criminal </w:t>
      </w:r>
      <w:proofErr w:type="gramStart"/>
      <w:r w:rsidRPr="00FB3F2C">
        <w:rPr>
          <w:rFonts w:ascii="MetaNormal-Roman" w:eastAsiaTheme="minorEastAsia" w:hAnsi="MetaNormal-Roman"/>
        </w:rPr>
        <w:t>law;</w:t>
      </w:r>
      <w:proofErr w:type="gramEnd"/>
    </w:p>
    <w:p w14:paraId="0CC18DED" w14:textId="77777777" w:rsidR="005E6974" w:rsidRPr="00FB3F2C" w:rsidRDefault="005E6974" w:rsidP="005E6974">
      <w:pPr>
        <w:pStyle w:val="ListParagraph"/>
        <w:numPr>
          <w:ilvl w:val="0"/>
          <w:numId w:val="2"/>
        </w:numPr>
        <w:spacing w:line="259" w:lineRule="auto"/>
        <w:ind w:hanging="360"/>
        <w:rPr>
          <w:rFonts w:ascii="MetaNormal-Roman" w:eastAsiaTheme="minorEastAsia" w:hAnsi="MetaNormal-Roman"/>
        </w:rPr>
      </w:pPr>
      <w:r w:rsidRPr="00FB3F2C">
        <w:rPr>
          <w:rFonts w:ascii="MetaNormal-Roman" w:eastAsiaTheme="minorEastAsia" w:hAnsi="MetaNormal-Roman"/>
        </w:rPr>
        <w:t xml:space="preserve">The Ministry of Justice should develop guidelines to discourage courts from issuing decisions of non-pronouncement of verdict (a form of suspended sentence) in cases where perpetrators have repeatedly breached preventive orders issued against </w:t>
      </w:r>
      <w:proofErr w:type="gramStart"/>
      <w:r w:rsidRPr="00FB3F2C">
        <w:rPr>
          <w:rFonts w:ascii="MetaNormal-Roman" w:eastAsiaTheme="minorEastAsia" w:hAnsi="MetaNormal-Roman"/>
        </w:rPr>
        <w:t>them;</w:t>
      </w:r>
      <w:proofErr w:type="gramEnd"/>
    </w:p>
    <w:p w14:paraId="786E74D7" w14:textId="657892C0" w:rsidR="005E6974" w:rsidRPr="00FB3F2C" w:rsidRDefault="005E6974" w:rsidP="005E6974">
      <w:pPr>
        <w:pStyle w:val="ListParagraph"/>
        <w:numPr>
          <w:ilvl w:val="0"/>
          <w:numId w:val="2"/>
        </w:numPr>
        <w:spacing w:line="259" w:lineRule="auto"/>
        <w:ind w:hanging="360"/>
        <w:rPr>
          <w:rFonts w:ascii="MetaNormal-Roman" w:eastAsiaTheme="minorEastAsia" w:hAnsi="MetaNormal-Roman"/>
        </w:rPr>
      </w:pPr>
      <w:r w:rsidRPr="00FB3F2C">
        <w:rPr>
          <w:rFonts w:ascii="MetaNormal-Roman" w:eastAsiaTheme="minorEastAsia" w:hAnsi="MetaNormal-Roman"/>
        </w:rPr>
        <w:lastRenderedPageBreak/>
        <w:t xml:space="preserve">Ensure that, in instances of alleged failure by the relevant authorities to take timely and effective steps to protect victims who have sought their protection, the officials in question are subject to </w:t>
      </w:r>
      <w:r w:rsidR="00E514C1">
        <w:rPr>
          <w:rFonts w:ascii="MetaNormal-Roman" w:eastAsiaTheme="minorEastAsia" w:hAnsi="MetaNormal-Roman"/>
        </w:rPr>
        <w:t xml:space="preserve">administrative </w:t>
      </w:r>
      <w:r w:rsidRPr="00FB3F2C">
        <w:rPr>
          <w:rFonts w:ascii="MetaNormal-Roman" w:eastAsiaTheme="minorEastAsia" w:hAnsi="MetaNormal-Roman"/>
        </w:rPr>
        <w:t xml:space="preserve">investigation and if found at fault, disciplinary </w:t>
      </w:r>
      <w:proofErr w:type="gramStart"/>
      <w:r w:rsidRPr="00FB3F2C">
        <w:rPr>
          <w:rFonts w:ascii="MetaNormal-Roman" w:eastAsiaTheme="minorEastAsia" w:hAnsi="MetaNormal-Roman"/>
        </w:rPr>
        <w:t>action;</w:t>
      </w:r>
      <w:proofErr w:type="gramEnd"/>
    </w:p>
    <w:p w14:paraId="408561B4" w14:textId="77777777" w:rsidR="005E6974" w:rsidRPr="00FB3F2C" w:rsidRDefault="005E6974" w:rsidP="005E6974">
      <w:pPr>
        <w:pStyle w:val="ListParagraph"/>
        <w:numPr>
          <w:ilvl w:val="0"/>
          <w:numId w:val="2"/>
        </w:numPr>
        <w:spacing w:line="259" w:lineRule="auto"/>
        <w:ind w:hanging="360"/>
        <w:rPr>
          <w:rFonts w:ascii="MetaNormal-Roman" w:eastAsiaTheme="minorEastAsia" w:hAnsi="MetaNormal-Roman"/>
        </w:rPr>
      </w:pPr>
      <w:r w:rsidRPr="00FB3F2C">
        <w:rPr>
          <w:rFonts w:ascii="MetaNormal-Roman" w:eastAsiaTheme="minorEastAsia" w:hAnsi="MetaNormal-Roman"/>
        </w:rPr>
        <w:t xml:space="preserve">In accordance with the Constitutional Court’s decision in the T.A. application (no. 2017/32972) and the European Court of Human Rights </w:t>
      </w:r>
      <w:proofErr w:type="spellStart"/>
      <w:r w:rsidRPr="00FB3F2C">
        <w:rPr>
          <w:rFonts w:ascii="MetaNormal-Roman" w:eastAsiaTheme="minorEastAsia" w:hAnsi="MetaNormal-Roman"/>
        </w:rPr>
        <w:t>Opuz</w:t>
      </w:r>
      <w:proofErr w:type="spellEnd"/>
      <w:r w:rsidRPr="00FB3F2C">
        <w:rPr>
          <w:rFonts w:ascii="MetaNormal-Roman" w:eastAsiaTheme="minorEastAsia" w:hAnsi="MetaNormal-Roman"/>
        </w:rPr>
        <w:t xml:space="preserve"> v. Turkey decision and other relevant caselaw, ensure that the authorities are held to account through criminal investigation leading to the possibility of prosecution and conviction for failures to exercise due diligence in providing protection to victims that contribute to or result in harm to the victim or threats to </w:t>
      </w:r>
      <w:proofErr w:type="gramStart"/>
      <w:r w:rsidRPr="00FB3F2C">
        <w:rPr>
          <w:rFonts w:ascii="MetaNormal-Roman" w:eastAsiaTheme="minorEastAsia" w:hAnsi="MetaNormal-Roman"/>
        </w:rPr>
        <w:t>life;</w:t>
      </w:r>
      <w:proofErr w:type="gramEnd"/>
      <w:r w:rsidRPr="00FB3F2C">
        <w:rPr>
          <w:rFonts w:ascii="MetaNormal-Roman" w:eastAsiaTheme="minorEastAsia" w:hAnsi="MetaNormal-Roman"/>
        </w:rPr>
        <w:t xml:space="preserve"> </w:t>
      </w:r>
    </w:p>
    <w:p w14:paraId="58020B22" w14:textId="65F11AAC" w:rsidR="005E6974" w:rsidRPr="002B501A" w:rsidRDefault="002B501A" w:rsidP="002B501A">
      <w:pPr>
        <w:numPr>
          <w:ilvl w:val="0"/>
          <w:numId w:val="2"/>
        </w:numPr>
        <w:pBdr>
          <w:between w:val="nil"/>
        </w:pBdr>
        <w:spacing w:after="0"/>
        <w:ind w:left="720" w:hanging="360"/>
        <w:contextualSpacing/>
        <w:rPr>
          <w:rFonts w:ascii="MetaNormal-Roman" w:hAnsi="MetaNormal-Roman"/>
        </w:rPr>
      </w:pPr>
      <w:r w:rsidRPr="00FB3F2C">
        <w:rPr>
          <w:rFonts w:ascii="MetaNormal-Roman" w:hAnsi="MetaNormal-Roman"/>
        </w:rPr>
        <w:t>Ensure that settlement processes do not become a means by which perpetrators of violence can avoid being held accountable for their crimes</w:t>
      </w:r>
      <w:r>
        <w:rPr>
          <w:rFonts w:ascii="MetaNormal-Roman" w:hAnsi="MetaNormal-Roman"/>
        </w:rPr>
        <w:t xml:space="preserve"> and </w:t>
      </w:r>
      <w:r w:rsidR="005E6974" w:rsidRPr="002B501A">
        <w:rPr>
          <w:rFonts w:ascii="MetaNormal-Roman" w:hAnsi="MetaNormal-Roman"/>
        </w:rPr>
        <w:t>that</w:t>
      </w:r>
      <w:r>
        <w:rPr>
          <w:rFonts w:ascii="MetaNormal-Roman" w:hAnsi="MetaNormal-Roman"/>
        </w:rPr>
        <w:t>,</w:t>
      </w:r>
      <w:r w:rsidR="005E6974" w:rsidRPr="002B501A">
        <w:rPr>
          <w:rFonts w:ascii="MetaNormal-Roman" w:hAnsi="MetaNormal-Roman"/>
        </w:rPr>
        <w:t xml:space="preserve"> in cases of domestic violence where preventive and protective orders have been issued, there is no attempt at that stage to resort to a settlement process which would bring together the parties in breach of the terms of the </w:t>
      </w:r>
      <w:proofErr w:type="gramStart"/>
      <w:r w:rsidR="005E6974" w:rsidRPr="002B501A">
        <w:rPr>
          <w:rFonts w:ascii="MetaNormal-Roman" w:hAnsi="MetaNormal-Roman"/>
        </w:rPr>
        <w:t>orders;</w:t>
      </w:r>
      <w:proofErr w:type="gramEnd"/>
    </w:p>
    <w:p w14:paraId="6E805784" w14:textId="24C5A164" w:rsidR="00090DE9" w:rsidRPr="00162F61" w:rsidRDefault="005E6974" w:rsidP="00162F61">
      <w:pPr>
        <w:numPr>
          <w:ilvl w:val="0"/>
          <w:numId w:val="2"/>
        </w:numPr>
        <w:pBdr>
          <w:between w:val="nil"/>
        </w:pBdr>
        <w:spacing w:after="0"/>
        <w:ind w:left="720" w:hanging="360"/>
        <w:contextualSpacing/>
        <w:rPr>
          <w:rFonts w:ascii="MetaNormal-Roman" w:hAnsi="MetaNormal-Roman"/>
        </w:rPr>
      </w:pPr>
      <w:r w:rsidRPr="00162F61">
        <w:rPr>
          <w:rFonts w:ascii="MetaNormal-Roman" w:hAnsi="MetaNormal-Roman"/>
        </w:rPr>
        <w:t xml:space="preserve">Ensure that those conducting the settlement process are properly trained to understand the particular complexity of domestic violence cases, have a duty to make it clear to victims that settlement is never mandatory and should not be means to encourage victims to consent to impunity for </w:t>
      </w:r>
      <w:proofErr w:type="gramStart"/>
      <w:r w:rsidRPr="00162F61">
        <w:rPr>
          <w:rFonts w:ascii="MetaNormal-Roman" w:hAnsi="MetaNormal-Roman"/>
        </w:rPr>
        <w:t>perpetrators;</w:t>
      </w:r>
      <w:proofErr w:type="gramEnd"/>
    </w:p>
    <w:p w14:paraId="5969D341" w14:textId="77777777" w:rsidR="00531001" w:rsidRDefault="00531001" w:rsidP="005E6974">
      <w:pPr>
        <w:pStyle w:val="Heading3"/>
        <w:spacing w:before="0"/>
        <w:rPr>
          <w:rFonts w:ascii="MetaNormal-Roman" w:hAnsi="MetaNormal-Roman"/>
          <w:i/>
          <w:iCs w:val="0"/>
          <w:sz w:val="22"/>
          <w:szCs w:val="22"/>
        </w:rPr>
      </w:pPr>
    </w:p>
    <w:p w14:paraId="23208A11" w14:textId="53A76F68" w:rsidR="005E6974" w:rsidRPr="007476C4" w:rsidRDefault="005E6974" w:rsidP="005E6974">
      <w:pPr>
        <w:pStyle w:val="Heading3"/>
        <w:spacing w:before="0"/>
        <w:rPr>
          <w:rFonts w:ascii="MetaNormal-Roman" w:hAnsi="MetaNormal-Roman"/>
          <w:i/>
          <w:iCs w:val="0"/>
          <w:sz w:val="22"/>
          <w:szCs w:val="22"/>
        </w:rPr>
      </w:pPr>
      <w:r w:rsidRPr="007476C4">
        <w:rPr>
          <w:rFonts w:ascii="MetaNormal-Roman" w:hAnsi="MetaNormal-Roman"/>
          <w:i/>
          <w:iCs w:val="0"/>
          <w:sz w:val="22"/>
          <w:szCs w:val="22"/>
        </w:rPr>
        <w:t>Strengthen the collection of data to enable measurement of the effectiveness of protective and preventive orders issued under Law No. 6284</w:t>
      </w:r>
    </w:p>
    <w:p w14:paraId="66665472" w14:textId="13BBFCE0" w:rsidR="00D8579E" w:rsidRDefault="00FF6301" w:rsidP="005E6974">
      <w:pPr>
        <w:pStyle w:val="ListParagraph"/>
        <w:numPr>
          <w:ilvl w:val="0"/>
          <w:numId w:val="3"/>
        </w:numPr>
        <w:spacing w:after="160" w:line="259" w:lineRule="auto"/>
        <w:ind w:left="720"/>
        <w:rPr>
          <w:rFonts w:ascii="MetaNormal-Roman" w:eastAsiaTheme="minorEastAsia" w:hAnsi="MetaNormal-Roman"/>
        </w:rPr>
      </w:pPr>
      <w:r>
        <w:rPr>
          <w:rFonts w:ascii="MetaNormal-Roman" w:eastAsiaTheme="minorEastAsia" w:hAnsi="MetaNormal-Roman"/>
        </w:rPr>
        <w:t>E</w:t>
      </w:r>
      <w:r w:rsidR="00D8579E" w:rsidRPr="00FB3F2C">
        <w:rPr>
          <w:rFonts w:ascii="MetaNormal-Roman" w:eastAsiaTheme="minorEastAsia" w:hAnsi="MetaNormal-Roman"/>
        </w:rPr>
        <w:t xml:space="preserve">nsure that the Ministry of Justice coordinates the creation of an effective system for recording all breaches of protective and preventive orders (via the UYAP online judicial data system), categorizing the form of breach and the response to the breach, </w:t>
      </w:r>
      <w:r w:rsidR="00DE6F13">
        <w:rPr>
          <w:rFonts w:ascii="MetaNormal-Roman" w:eastAsiaTheme="minorEastAsia" w:hAnsi="MetaNormal-Roman"/>
        </w:rPr>
        <w:t>and publish full data regarding the breaches</w:t>
      </w:r>
    </w:p>
    <w:p w14:paraId="19AE9287" w14:textId="1605C8BB" w:rsidR="005E6974" w:rsidRPr="00EF0E00" w:rsidRDefault="005E6974" w:rsidP="005E6974">
      <w:pPr>
        <w:pStyle w:val="Heading3"/>
        <w:rPr>
          <w:rFonts w:ascii="MetaNormal-Roman" w:hAnsi="MetaNormal-Roman"/>
          <w:i/>
          <w:iCs w:val="0"/>
          <w:sz w:val="22"/>
          <w:szCs w:val="22"/>
        </w:rPr>
      </w:pPr>
      <w:r w:rsidRPr="00EF0E00">
        <w:rPr>
          <w:rFonts w:ascii="MetaNormal-Roman" w:hAnsi="MetaNormal-Roman"/>
          <w:i/>
          <w:iCs w:val="0"/>
          <w:sz w:val="22"/>
          <w:szCs w:val="22"/>
        </w:rPr>
        <w:t xml:space="preserve">Strengthen the collection </w:t>
      </w:r>
      <w:r w:rsidR="00CB6951">
        <w:rPr>
          <w:rFonts w:ascii="MetaNormal-Roman" w:hAnsi="MetaNormal-Roman"/>
          <w:i/>
          <w:iCs w:val="0"/>
          <w:sz w:val="22"/>
          <w:szCs w:val="22"/>
        </w:rPr>
        <w:t xml:space="preserve">and publication </w:t>
      </w:r>
      <w:r w:rsidRPr="00EF0E00">
        <w:rPr>
          <w:rFonts w:ascii="MetaNormal-Roman" w:hAnsi="MetaNormal-Roman"/>
          <w:i/>
          <w:iCs w:val="0"/>
          <w:sz w:val="22"/>
          <w:szCs w:val="22"/>
        </w:rPr>
        <w:t xml:space="preserve">of data to support justice and redress for victims: </w:t>
      </w:r>
    </w:p>
    <w:p w14:paraId="4191BBCD" w14:textId="321C8683" w:rsidR="005E6974" w:rsidRPr="00B31DCF" w:rsidRDefault="005E6974" w:rsidP="00301919">
      <w:pPr>
        <w:pStyle w:val="ListParagraph"/>
        <w:numPr>
          <w:ilvl w:val="0"/>
          <w:numId w:val="6"/>
        </w:numPr>
        <w:spacing w:line="259" w:lineRule="auto"/>
      </w:pPr>
      <w:r w:rsidRPr="00FB3F2C">
        <w:rPr>
          <w:rFonts w:ascii="MetaNormal-Roman" w:eastAsiaTheme="minorEastAsia" w:hAnsi="MetaNormal-Roman"/>
        </w:rPr>
        <w:t>Ensure that the Ministry of Justice Department of Judicial Statistics supplies detailed disaggregated data about the outcome of criminal investigations, prosecutions, convictions, and acquittals of perpetrators of violence against women and domestic violence under all articles of the Turkish Penal Code</w:t>
      </w:r>
      <w:r w:rsidR="00F8603D">
        <w:rPr>
          <w:rFonts w:ascii="MetaNormal-Roman" w:eastAsiaTheme="minorEastAsia" w:hAnsi="MetaNormal-Roman"/>
        </w:rPr>
        <w:t>, including</w:t>
      </w:r>
      <w:r w:rsidRPr="00FB3F2C">
        <w:rPr>
          <w:rFonts w:ascii="MetaNormal-Roman" w:eastAsiaTheme="minorEastAsia" w:hAnsi="MetaNormal-Roman"/>
        </w:rPr>
        <w:t xml:space="preserve"> cases of physical assault, rape and sexual violence (including marital rape), verbal and online or other harassment, threats, insults, stalking, attacks on property, </w:t>
      </w:r>
      <w:r w:rsidR="00F8603D">
        <w:rPr>
          <w:rFonts w:ascii="MetaNormal-Roman" w:eastAsiaTheme="minorEastAsia" w:hAnsi="MetaNormal-Roman"/>
        </w:rPr>
        <w:t xml:space="preserve">and ensure </w:t>
      </w:r>
      <w:r w:rsidRPr="00BF6B71">
        <w:rPr>
          <w:rFonts w:eastAsia="MetaPro-Norm" w:cs="MetaPro-Norm"/>
        </w:rPr>
        <w:t xml:space="preserve">that data relating to all aspects of the authorities’ measures to protect victims from domestic violence, including the implementation of preventive and protective cautionary orders, breaches of such orders, measures taken against perpetrators in response to breaches, and </w:t>
      </w:r>
      <w:r w:rsidR="00480195">
        <w:rPr>
          <w:rFonts w:eastAsia="MetaPro-Norm" w:cs="MetaPro-Norm"/>
        </w:rPr>
        <w:t>reasons for</w:t>
      </w:r>
      <w:r w:rsidRPr="00BF6B71">
        <w:rPr>
          <w:rFonts w:eastAsia="MetaPro-Norm" w:cs="MetaPro-Norm"/>
        </w:rPr>
        <w:t xml:space="preserve"> decision</w:t>
      </w:r>
      <w:r w:rsidR="000614D8" w:rsidRPr="00BF6B71">
        <w:rPr>
          <w:rFonts w:eastAsia="MetaPro-Norm" w:cs="MetaPro-Norm"/>
        </w:rPr>
        <w:t>s</w:t>
      </w:r>
      <w:r w:rsidRPr="00BF6B71">
        <w:rPr>
          <w:rFonts w:eastAsia="MetaPro-Norm" w:cs="MetaPro-Norm"/>
        </w:rPr>
        <w:t xml:space="preserve"> to prosecute perpetrators</w:t>
      </w:r>
      <w:r w:rsidR="00480195">
        <w:rPr>
          <w:rFonts w:eastAsia="MetaPro-Norm" w:cs="MetaPro-Norm"/>
        </w:rPr>
        <w:t xml:space="preserve"> or not</w:t>
      </w:r>
      <w:r w:rsidRPr="00B31DCF">
        <w:rPr>
          <w:rFonts w:eastAsia="MetaPro-Norm" w:cs="MetaPro-Norm"/>
        </w:rPr>
        <w:t xml:space="preserve"> is </w:t>
      </w:r>
      <w:r w:rsidR="00B31DCF">
        <w:rPr>
          <w:rFonts w:eastAsia="MetaPro-Norm" w:cs="MetaPro-Norm"/>
        </w:rPr>
        <w:t xml:space="preserve">made </w:t>
      </w:r>
      <w:r w:rsidR="007F47E6" w:rsidRPr="00B31DCF">
        <w:rPr>
          <w:rFonts w:eastAsia="MetaPro-Norm" w:cs="MetaPro-Norm"/>
        </w:rPr>
        <w:t>publicly available</w:t>
      </w:r>
      <w:r w:rsidRPr="00B31DCF">
        <w:rPr>
          <w:rFonts w:eastAsia="MetaPro-Norm" w:cs="MetaPro-Norm"/>
        </w:rPr>
        <w:t xml:space="preserve"> on a regular basis</w:t>
      </w:r>
      <w:r w:rsidR="00F8603D">
        <w:rPr>
          <w:rFonts w:eastAsia="MetaPro-Norm" w:cs="MetaPro-Norm"/>
        </w:rPr>
        <w:t>.</w:t>
      </w:r>
      <w:r w:rsidRPr="00B31DCF">
        <w:rPr>
          <w:rFonts w:eastAsia="MetaPro-Norm" w:cs="MetaPro-Norm"/>
        </w:rPr>
        <w:t xml:space="preserve"> </w:t>
      </w:r>
    </w:p>
    <w:p w14:paraId="0EDE8A28" w14:textId="77777777" w:rsidR="005E6974" w:rsidRPr="00FB3F2C" w:rsidRDefault="005E6974" w:rsidP="005E6974">
      <w:pPr>
        <w:contextualSpacing/>
        <w:rPr>
          <w:rFonts w:ascii="MetaNormal-Roman" w:eastAsiaTheme="minorEastAsia" w:hAnsi="MetaNormal-Roman"/>
        </w:rPr>
      </w:pPr>
    </w:p>
    <w:p w14:paraId="0A66DC7A" w14:textId="77777777" w:rsidR="005E6974" w:rsidRPr="00EF0E00" w:rsidRDefault="005E6974" w:rsidP="005E6974">
      <w:pPr>
        <w:pStyle w:val="Heading3"/>
        <w:rPr>
          <w:rFonts w:ascii="MetaNormal-Roman" w:hAnsi="MetaNormal-Roman"/>
          <w:i/>
          <w:iCs w:val="0"/>
          <w:sz w:val="22"/>
          <w:szCs w:val="22"/>
        </w:rPr>
      </w:pPr>
      <w:r w:rsidRPr="00EF0E00">
        <w:rPr>
          <w:rFonts w:ascii="MetaNormal-Roman" w:hAnsi="MetaNormal-Roman"/>
          <w:i/>
          <w:iCs w:val="0"/>
          <w:sz w:val="22"/>
          <w:szCs w:val="22"/>
        </w:rPr>
        <w:t xml:space="preserve">Increase the capacity, </w:t>
      </w:r>
      <w:proofErr w:type="gramStart"/>
      <w:r w:rsidRPr="00EF0E00">
        <w:rPr>
          <w:rFonts w:ascii="MetaNormal-Roman" w:hAnsi="MetaNormal-Roman"/>
          <w:i/>
          <w:iCs w:val="0"/>
          <w:sz w:val="22"/>
          <w:szCs w:val="22"/>
        </w:rPr>
        <w:t>resources</w:t>
      </w:r>
      <w:proofErr w:type="gramEnd"/>
      <w:r w:rsidRPr="00EF0E00">
        <w:rPr>
          <w:rFonts w:ascii="MetaNormal-Roman" w:hAnsi="MetaNormal-Roman"/>
          <w:i/>
          <w:iCs w:val="0"/>
          <w:sz w:val="22"/>
          <w:szCs w:val="22"/>
        </w:rPr>
        <w:t xml:space="preserve"> and support to combatting domestic violence and violence against women</w:t>
      </w:r>
    </w:p>
    <w:p w14:paraId="1BD34308" w14:textId="5B66F8FF" w:rsidR="005E6974" w:rsidRPr="00E72CF0" w:rsidRDefault="005E6974" w:rsidP="0010702B">
      <w:pPr>
        <w:pStyle w:val="ListParagraph"/>
        <w:numPr>
          <w:ilvl w:val="0"/>
          <w:numId w:val="3"/>
        </w:numPr>
        <w:spacing w:after="160" w:line="259" w:lineRule="auto"/>
        <w:ind w:left="810"/>
        <w:rPr>
          <w:rFonts w:ascii="MetaNormal-Roman" w:eastAsiaTheme="minorEastAsia" w:hAnsi="MetaNormal-Roman"/>
        </w:rPr>
      </w:pPr>
      <w:r w:rsidRPr="00FB3F2C">
        <w:rPr>
          <w:rFonts w:ascii="MetaNormal-Roman" w:eastAsiaTheme="minorEastAsia" w:hAnsi="MetaNormal-Roman"/>
        </w:rPr>
        <w:t>Provide police units dealing with domestic violence and violence against women with sufficient capacity and resources to respond to violence against women in line with international best practice standards</w:t>
      </w:r>
      <w:r w:rsidR="00480195">
        <w:rPr>
          <w:rFonts w:ascii="MetaNormal-Roman" w:eastAsiaTheme="minorEastAsia" w:hAnsi="MetaNormal-Roman"/>
        </w:rPr>
        <w:t>, and p</w:t>
      </w:r>
      <w:r w:rsidRPr="00BD4517">
        <w:rPr>
          <w:rFonts w:ascii="MetaNormal-Roman" w:eastAsiaTheme="minorEastAsia" w:hAnsi="MetaNormal-Roman"/>
        </w:rPr>
        <w:t xml:space="preserve">rovide courts </w:t>
      </w:r>
      <w:r w:rsidRPr="00E72CF0">
        <w:rPr>
          <w:rFonts w:ascii="MetaNormal-Roman" w:eastAsiaTheme="minorEastAsia" w:hAnsi="MetaNormal-Roman"/>
        </w:rPr>
        <w:t xml:space="preserve">focused on issuing protective and preventive orders and prosecutorial authorities with increased capacity to reduce their </w:t>
      </w:r>
      <w:r w:rsidRPr="00E72CF0">
        <w:rPr>
          <w:rFonts w:ascii="MetaNormal-Roman" w:eastAsiaTheme="minorEastAsia" w:hAnsi="MetaNormal-Roman"/>
        </w:rPr>
        <w:lastRenderedPageBreak/>
        <w:t xml:space="preserve">caseload per </w:t>
      </w:r>
      <w:r w:rsidR="0010702B">
        <w:rPr>
          <w:rFonts w:ascii="MetaNormal-Roman" w:eastAsiaTheme="minorEastAsia" w:hAnsi="MetaNormal-Roman"/>
        </w:rPr>
        <w:t>judge</w:t>
      </w:r>
      <w:r w:rsidRPr="00E72CF0">
        <w:rPr>
          <w:rFonts w:ascii="MetaNormal-Roman" w:eastAsiaTheme="minorEastAsia" w:hAnsi="MetaNormal-Roman"/>
        </w:rPr>
        <w:t xml:space="preserve"> and to enable them to take time to interview victims in person where appropriate</w:t>
      </w:r>
    </w:p>
    <w:p w14:paraId="12BF3B49" w14:textId="77777777" w:rsidR="005E6974" w:rsidRPr="00EF0E00" w:rsidRDefault="005E6974" w:rsidP="005E6974">
      <w:pPr>
        <w:pStyle w:val="Heading3"/>
        <w:spacing w:before="0"/>
        <w:rPr>
          <w:rFonts w:ascii="MetaNormal-Roman" w:hAnsi="MetaNormal-Roman"/>
          <w:i/>
          <w:iCs w:val="0"/>
          <w:sz w:val="22"/>
          <w:szCs w:val="22"/>
        </w:rPr>
      </w:pPr>
      <w:r w:rsidRPr="00EF0E00">
        <w:rPr>
          <w:rFonts w:ascii="MetaNormal-Roman" w:hAnsi="MetaNormal-Roman"/>
          <w:i/>
          <w:iCs w:val="0"/>
          <w:sz w:val="22"/>
          <w:szCs w:val="22"/>
        </w:rPr>
        <w:t>Increase cooperation with civil society organizations with expertise in working on domestic violence and violence against women</w:t>
      </w:r>
    </w:p>
    <w:p w14:paraId="4D522DE5" w14:textId="108B2D5A" w:rsidR="005E6974" w:rsidRPr="00FB3F2C" w:rsidRDefault="005E6974" w:rsidP="005E6974">
      <w:pPr>
        <w:pStyle w:val="ListParagraph"/>
        <w:numPr>
          <w:ilvl w:val="0"/>
          <w:numId w:val="7"/>
        </w:numPr>
        <w:spacing w:after="160" w:line="259" w:lineRule="auto"/>
        <w:rPr>
          <w:rFonts w:ascii="MetaNormal-Roman" w:eastAsiaTheme="minorEastAsia" w:hAnsi="MetaNormal-Roman"/>
        </w:rPr>
      </w:pPr>
      <w:r w:rsidRPr="00FB3F2C">
        <w:rPr>
          <w:rFonts w:ascii="MetaNormal-Roman" w:eastAsiaTheme="minorEastAsia" w:hAnsi="MetaNormal-Roman"/>
        </w:rPr>
        <w:t>Ensure effective and ongoing consultation during legislative drafting and policy planning between the ministries of family and social services, justice</w:t>
      </w:r>
      <w:r w:rsidR="00AB6E58">
        <w:rPr>
          <w:rFonts w:ascii="MetaNormal-Roman" w:eastAsiaTheme="minorEastAsia" w:hAnsi="MetaNormal-Roman"/>
        </w:rPr>
        <w:t>,</w:t>
      </w:r>
      <w:r w:rsidRPr="00FB3F2C">
        <w:rPr>
          <w:rFonts w:ascii="MetaNormal-Roman" w:eastAsiaTheme="minorEastAsia" w:hAnsi="MetaNormal-Roman"/>
        </w:rPr>
        <w:t xml:space="preserve"> and interior and civil society organizations with recognized expertise in the area</w:t>
      </w:r>
      <w:r w:rsidR="00AB6E58">
        <w:rPr>
          <w:rFonts w:ascii="MetaNormal-Roman" w:eastAsiaTheme="minorEastAsia" w:hAnsi="MetaNormal-Roman"/>
        </w:rPr>
        <w:t>s</w:t>
      </w:r>
      <w:r w:rsidRPr="00FB3F2C">
        <w:rPr>
          <w:rFonts w:ascii="MetaNormal-Roman" w:eastAsiaTheme="minorEastAsia" w:hAnsi="MetaNormal-Roman"/>
        </w:rPr>
        <w:t xml:space="preserve"> of domestic violence and violence against </w:t>
      </w:r>
      <w:proofErr w:type="gramStart"/>
      <w:r w:rsidRPr="00FB3F2C">
        <w:rPr>
          <w:rFonts w:ascii="MetaNormal-Roman" w:eastAsiaTheme="minorEastAsia" w:hAnsi="MetaNormal-Roman"/>
        </w:rPr>
        <w:t>women;</w:t>
      </w:r>
      <w:proofErr w:type="gramEnd"/>
    </w:p>
    <w:p w14:paraId="64B783E1" w14:textId="22AFA119" w:rsidR="005E6974" w:rsidRPr="00FB3F2C" w:rsidRDefault="005E6974" w:rsidP="005E6974">
      <w:pPr>
        <w:pStyle w:val="ListParagraph"/>
        <w:numPr>
          <w:ilvl w:val="0"/>
          <w:numId w:val="7"/>
        </w:numPr>
        <w:spacing w:line="259" w:lineRule="auto"/>
        <w:rPr>
          <w:rFonts w:ascii="MetaNormal-Roman" w:eastAsiaTheme="minorEastAsia" w:hAnsi="MetaNormal-Roman"/>
        </w:rPr>
      </w:pPr>
      <w:r w:rsidRPr="00FB3F2C">
        <w:rPr>
          <w:rFonts w:ascii="MetaNormal-Roman" w:eastAsiaTheme="minorEastAsia" w:hAnsi="MetaNormal-Roman"/>
        </w:rPr>
        <w:t>Cease judicial harassment of civil society organizations</w:t>
      </w:r>
      <w:r w:rsidR="00AB6E58">
        <w:rPr>
          <w:rFonts w:ascii="MetaNormal-Roman" w:eastAsiaTheme="minorEastAsia" w:hAnsi="MetaNormal-Roman"/>
        </w:rPr>
        <w:t xml:space="preserve">, </w:t>
      </w:r>
      <w:r w:rsidRPr="00FB3F2C">
        <w:rPr>
          <w:rFonts w:ascii="MetaNormal-Roman" w:eastAsiaTheme="minorEastAsia" w:hAnsi="MetaNormal-Roman"/>
        </w:rPr>
        <w:t xml:space="preserve">including any judicial proceedings against </w:t>
      </w:r>
      <w:r w:rsidR="006A35A1">
        <w:rPr>
          <w:rFonts w:ascii="MetaNormal-Roman" w:eastAsiaTheme="minorEastAsia" w:hAnsi="MetaNormal-Roman"/>
        </w:rPr>
        <w:t xml:space="preserve">the </w:t>
      </w:r>
      <w:r w:rsidRPr="00FB3F2C">
        <w:rPr>
          <w:rFonts w:ascii="MetaNormal-Roman" w:eastAsiaTheme="minorEastAsia" w:hAnsi="MetaNormal-Roman"/>
        </w:rPr>
        <w:t xml:space="preserve">We Will Stop Femicide Platform Association seeking to </w:t>
      </w:r>
      <w:proofErr w:type="gramStart"/>
      <w:r w:rsidRPr="00FB3F2C">
        <w:rPr>
          <w:rFonts w:ascii="MetaNormal-Roman" w:eastAsiaTheme="minorEastAsia" w:hAnsi="MetaNormal-Roman"/>
        </w:rPr>
        <w:t>close down</w:t>
      </w:r>
      <w:proofErr w:type="gramEnd"/>
      <w:r w:rsidRPr="00FB3F2C">
        <w:rPr>
          <w:rFonts w:ascii="MetaNormal-Roman" w:eastAsiaTheme="minorEastAsia" w:hAnsi="MetaNormal-Roman"/>
        </w:rPr>
        <w:t xml:space="preserve"> the association for “violating law and morality”.</w:t>
      </w:r>
    </w:p>
    <w:p w14:paraId="4CD38983" w14:textId="77777777" w:rsidR="005E6974" w:rsidRPr="00FB3F2C" w:rsidRDefault="005E6974" w:rsidP="0036381A">
      <w:pPr>
        <w:contextualSpacing/>
        <w:rPr>
          <w:rFonts w:ascii="MetaNormal-Roman" w:hAnsi="MetaNormal-Roman"/>
        </w:rPr>
      </w:pPr>
    </w:p>
    <w:p w14:paraId="713DC2EF" w14:textId="77777777" w:rsidR="0036381A" w:rsidRPr="00FB3F2C" w:rsidRDefault="0036381A">
      <w:pPr>
        <w:rPr>
          <w:rFonts w:ascii="MetaNormal-Roman" w:hAnsi="MetaNormal-Roman"/>
        </w:rPr>
      </w:pPr>
    </w:p>
    <w:sectPr w:rsidR="0036381A" w:rsidRPr="00FB3F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1498" w14:textId="77777777" w:rsidR="00A3367E" w:rsidRDefault="00A3367E" w:rsidP="005C6F08">
      <w:pPr>
        <w:spacing w:after="0" w:line="240" w:lineRule="auto"/>
      </w:pPr>
      <w:r>
        <w:separator/>
      </w:r>
    </w:p>
  </w:endnote>
  <w:endnote w:type="continuationSeparator" w:id="0">
    <w:p w14:paraId="3E9E36A1" w14:textId="77777777" w:rsidR="00A3367E" w:rsidRDefault="00A3367E" w:rsidP="005C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ro-CondMedi">
    <w:altName w:val="Calibri"/>
    <w:panose1 w:val="020B0606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riaArabic-Bold">
    <w:altName w:val="Tahoma"/>
    <w:panose1 w:val="02000000000000000000"/>
    <w:charset w:val="00"/>
    <w:family w:val="modern"/>
    <w:notTrueType/>
    <w:pitch w:val="variable"/>
    <w:sig w:usb0="A00020AF" w:usb1="D000A05A" w:usb2="00000008" w:usb3="00000000" w:csb0="00000151" w:csb1="00000000"/>
  </w:font>
  <w:font w:name="MetaPro-CondBookIta">
    <w:altName w:val="Calibri"/>
    <w:panose1 w:val="020B0606030101020102"/>
    <w:charset w:val="00"/>
    <w:family w:val="swiss"/>
    <w:notTrueType/>
    <w:pitch w:val="variable"/>
    <w:sig w:usb0="A00002FF" w:usb1="4000207B" w:usb2="00000000" w:usb3="00000000" w:csb0="0000009F" w:csb1="00000000"/>
  </w:font>
  <w:font w:name="MetaPro-Norm">
    <w:altName w:val="Calibri"/>
    <w:panose1 w:val="020B0504030101020102"/>
    <w:charset w:val="00"/>
    <w:family w:val="swiss"/>
    <w:notTrueType/>
    <w:pitch w:val="variable"/>
    <w:sig w:usb0="A00002FF" w:usb1="4000207B" w:usb2="00000000" w:usb3="00000000" w:csb0="0000009F" w:csb1="00000000"/>
  </w:font>
  <w:font w:name="MetaNormal-Roman">
    <w:altName w:val="Calibri"/>
    <w:panose1 w:val="020B050203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69411"/>
      <w:docPartObj>
        <w:docPartGallery w:val="Page Numbers (Bottom of Page)"/>
        <w:docPartUnique/>
      </w:docPartObj>
    </w:sdtPr>
    <w:sdtEndPr>
      <w:rPr>
        <w:noProof/>
      </w:rPr>
    </w:sdtEndPr>
    <w:sdtContent>
      <w:p w14:paraId="6FCE1DFA" w14:textId="7FB1E966" w:rsidR="00330935" w:rsidRDefault="003309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84CC9" w14:textId="77777777" w:rsidR="00330935" w:rsidRDefault="00330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6749" w14:textId="77777777" w:rsidR="00A3367E" w:rsidRDefault="00A3367E" w:rsidP="005C6F08">
      <w:pPr>
        <w:spacing w:after="0" w:line="240" w:lineRule="auto"/>
      </w:pPr>
      <w:r>
        <w:separator/>
      </w:r>
    </w:p>
  </w:footnote>
  <w:footnote w:type="continuationSeparator" w:id="0">
    <w:p w14:paraId="46C8130A" w14:textId="77777777" w:rsidR="00A3367E" w:rsidRDefault="00A3367E" w:rsidP="005C6F08">
      <w:pPr>
        <w:spacing w:after="0" w:line="240" w:lineRule="auto"/>
      </w:pPr>
      <w:r>
        <w:continuationSeparator/>
      </w:r>
    </w:p>
  </w:footnote>
  <w:footnote w:id="1">
    <w:p w14:paraId="01724E77" w14:textId="77777777" w:rsidR="00272DAB" w:rsidRPr="00E95EB8" w:rsidRDefault="00272DAB" w:rsidP="00272DAB">
      <w:pPr>
        <w:spacing w:after="40" w:line="220" w:lineRule="exact"/>
        <w:contextualSpacing/>
        <w:rPr>
          <w:rFonts w:ascii="MetaNormal-Roman" w:hAnsi="MetaNormal-Roman"/>
          <w:sz w:val="18"/>
          <w:szCs w:val="18"/>
        </w:rPr>
      </w:pPr>
      <w:r w:rsidRPr="00E95EB8">
        <w:rPr>
          <w:rStyle w:val="FootnoteReference"/>
          <w:rFonts w:ascii="MetaNormal-Roman" w:eastAsia="MetaPro-Norm" w:hAnsi="MetaNormal-Roman" w:cs="MetaPro-Norm"/>
          <w:sz w:val="18"/>
          <w:szCs w:val="18"/>
        </w:rPr>
        <w:footnoteRef/>
      </w:r>
      <w:r w:rsidRPr="00E95EB8">
        <w:rPr>
          <w:rFonts w:ascii="MetaNormal-Roman" w:eastAsia="MetaPro-Norm" w:hAnsi="MetaNormal-Roman" w:cs="MetaPro-Norm"/>
          <w:sz w:val="18"/>
          <w:szCs w:val="18"/>
        </w:rPr>
        <w:t xml:space="preserve"> CEDAW, </w:t>
      </w:r>
      <w:r w:rsidRPr="00E95EB8">
        <w:rPr>
          <w:rFonts w:ascii="MetaNormal-Roman" w:eastAsia="MetaPro-Norm" w:hAnsi="MetaNormal-Roman" w:cs="MetaPro-Norm"/>
          <w:i/>
          <w:iCs/>
          <w:sz w:val="18"/>
          <w:szCs w:val="18"/>
        </w:rPr>
        <w:t xml:space="preserve">Concluding observations on the seventh periodic report of Turkey, </w:t>
      </w:r>
      <w:r w:rsidRPr="00E95EB8">
        <w:rPr>
          <w:rFonts w:ascii="MetaNormal-Roman" w:eastAsia="MetaPro-Norm" w:hAnsi="MetaNormal-Roman" w:cs="MetaPro-Norm"/>
          <w:sz w:val="18"/>
          <w:szCs w:val="18"/>
        </w:rPr>
        <w:t xml:space="preserve">25 July 2016, https://documents-dds-ny.un.org/doc/UNDOC/GEN/N16/233/44/PDF/N1623344.pdf?OpenElement (accessed </w:t>
      </w:r>
      <w:r w:rsidRPr="00E95EB8">
        <w:rPr>
          <w:rFonts w:ascii="MetaNormal-Roman" w:hAnsi="MetaNormal-Roman"/>
          <w:sz w:val="18"/>
          <w:szCs w:val="18"/>
        </w:rPr>
        <w:t>May 18, 2022</w:t>
      </w:r>
      <w:r w:rsidRPr="00E95EB8">
        <w:rPr>
          <w:rFonts w:ascii="MetaNormal-Roman" w:eastAsia="MetaPro-Norm" w:hAnsi="MetaNormal-Roman" w:cs="MetaPro-Norm"/>
          <w:sz w:val="18"/>
          <w:szCs w:val="18"/>
        </w:rPr>
        <w:t>),</w:t>
      </w:r>
      <w:r w:rsidRPr="00E95EB8">
        <w:rPr>
          <w:rStyle w:val="Hyperlink"/>
          <w:rFonts w:ascii="MetaNormal-Roman" w:eastAsia="MetaPro-Norm" w:hAnsi="MetaNormal-Roman" w:cs="MetaPro-Norm"/>
          <w:sz w:val="18"/>
          <w:szCs w:val="18"/>
        </w:rPr>
        <w:t xml:space="preserve"> para. 32/b.</w:t>
      </w:r>
    </w:p>
  </w:footnote>
  <w:footnote w:id="2">
    <w:p w14:paraId="1938D3D8" w14:textId="77777777" w:rsidR="00272DAB" w:rsidRPr="000F6D60" w:rsidRDefault="00272DAB" w:rsidP="00272DAB">
      <w:pPr>
        <w:pStyle w:val="FootnoteText"/>
        <w:spacing w:after="40" w:line="220" w:lineRule="exact"/>
        <w:contextualSpacing/>
        <w:rPr>
          <w:rFonts w:ascii="MetaNormal-Roman" w:hAnsi="MetaNormal-Roman"/>
          <w:sz w:val="18"/>
          <w:szCs w:val="18"/>
        </w:rPr>
      </w:pPr>
      <w:r w:rsidRPr="000F6D60">
        <w:rPr>
          <w:rStyle w:val="FootnoteReference"/>
          <w:rFonts w:ascii="MetaNormal-Roman" w:eastAsia="MetaPro-Norm" w:hAnsi="MetaNormal-Roman" w:cs="MetaPro-Norm"/>
          <w:sz w:val="18"/>
          <w:szCs w:val="18"/>
        </w:rPr>
        <w:footnoteRef/>
      </w:r>
      <w:r w:rsidRPr="000F6D60">
        <w:rPr>
          <w:rFonts w:ascii="MetaNormal-Roman" w:eastAsia="MetaPro-Norm" w:hAnsi="MetaNormal-Roman" w:cs="MetaPro-Norm"/>
          <w:sz w:val="18"/>
          <w:szCs w:val="18"/>
        </w:rPr>
        <w:t xml:space="preserve"> Ibid, paragraph 33/c.</w:t>
      </w:r>
    </w:p>
  </w:footnote>
  <w:footnote w:id="3">
    <w:p w14:paraId="20748273" w14:textId="60FAFB8E" w:rsidR="00C819D8" w:rsidRPr="00652340" w:rsidRDefault="00C819D8" w:rsidP="00C819D8">
      <w:pPr>
        <w:pStyle w:val="FootnoteText"/>
        <w:rPr>
          <w:rFonts w:ascii="MetaNormal-Roman" w:hAnsi="MetaNormal-Roman"/>
          <w:sz w:val="18"/>
          <w:szCs w:val="18"/>
        </w:rPr>
      </w:pPr>
      <w:r w:rsidRPr="000F6D60">
        <w:rPr>
          <w:rStyle w:val="FootnoteReference"/>
          <w:rFonts w:ascii="MetaNormal-Roman" w:hAnsi="MetaNormal-Roman"/>
          <w:sz w:val="18"/>
          <w:szCs w:val="18"/>
        </w:rPr>
        <w:footnoteRef/>
      </w:r>
      <w:r w:rsidRPr="00652340">
        <w:rPr>
          <w:rFonts w:ascii="MetaNormal-Roman" w:hAnsi="MetaNormal-Roman"/>
          <w:sz w:val="18"/>
          <w:szCs w:val="18"/>
        </w:rPr>
        <w:t xml:space="preserve"> </w:t>
      </w:r>
      <w:r w:rsidRPr="000F6D60">
        <w:rPr>
          <w:rFonts w:ascii="MetaNormal-Roman" w:hAnsi="MetaNormal-Roman"/>
          <w:sz w:val="18"/>
          <w:szCs w:val="18"/>
        </w:rPr>
        <w:t xml:space="preserve">Human Rights Watch, “Combatting Domestic Violence in Turkey: the deadly impact of failure to protect,” May 26, 2022: </w:t>
      </w:r>
      <w:hyperlink r:id="rId1" w:history="1">
        <w:r w:rsidR="000F6D60" w:rsidRPr="000F6D60">
          <w:rPr>
            <w:rStyle w:val="Hyperlink"/>
            <w:rFonts w:ascii="MetaNormal-Roman" w:hAnsi="MetaNormal-Roman"/>
            <w:sz w:val="18"/>
            <w:szCs w:val="18"/>
          </w:rPr>
          <w:t>Combatting Domestic Violence in Turkey: The Deadly Impact of Failure to Protect | HRW</w:t>
        </w:r>
      </w:hyperlink>
    </w:p>
  </w:footnote>
  <w:footnote w:id="4">
    <w:p w14:paraId="37F377F1" w14:textId="0F81B6C3" w:rsidR="00855264" w:rsidRPr="000F6D60" w:rsidRDefault="004D0063" w:rsidP="00855264">
      <w:pPr>
        <w:pStyle w:val="FootnoteText"/>
        <w:spacing w:after="40" w:line="220" w:lineRule="exact"/>
        <w:contextualSpacing/>
        <w:rPr>
          <w:rFonts w:ascii="MetaNormal-Roman" w:hAnsi="MetaNormal-Roman"/>
          <w:sz w:val="18"/>
          <w:szCs w:val="18"/>
        </w:rPr>
      </w:pPr>
      <w:r w:rsidRPr="000F6D60">
        <w:rPr>
          <w:rStyle w:val="FootnoteReference"/>
          <w:rFonts w:ascii="MetaNormal-Roman" w:hAnsi="MetaNormal-Roman"/>
          <w:sz w:val="18"/>
          <w:szCs w:val="18"/>
        </w:rPr>
        <w:footnoteRef/>
      </w:r>
      <w:r w:rsidRPr="000F6D60">
        <w:rPr>
          <w:rFonts w:ascii="MetaNormal-Roman" w:hAnsi="MetaNormal-Roman"/>
          <w:sz w:val="18"/>
          <w:szCs w:val="18"/>
        </w:rPr>
        <w:t xml:space="preserve"> </w:t>
      </w:r>
      <w:r w:rsidR="00855264" w:rsidRPr="000F6D60">
        <w:rPr>
          <w:rFonts w:ascii="MetaNormal-Roman" w:eastAsia="MetaPro-Norm" w:hAnsi="MetaNormal-Roman" w:cs="MetaPro-Norm"/>
          <w:sz w:val="18"/>
          <w:szCs w:val="18"/>
        </w:rPr>
        <w:t xml:space="preserve">Interior Ministry numbers are cited in the final report by the Parliamentary Enquiry Commission Investigating all aspects of the reasons for violence against women… (TBMM </w:t>
      </w:r>
      <w:proofErr w:type="spellStart"/>
      <w:r w:rsidR="00855264" w:rsidRPr="000F6D60">
        <w:rPr>
          <w:rFonts w:ascii="MetaNormal-Roman" w:eastAsia="MetaPro-Norm" w:hAnsi="MetaNormal-Roman" w:cs="MetaPro-Norm"/>
          <w:sz w:val="18"/>
          <w:szCs w:val="18"/>
        </w:rPr>
        <w:t>Kadına</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Yönelik</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Calibri" w:eastAsia="MetaPro-Norm" w:hAnsi="Calibri" w:cs="Calibri"/>
          <w:sz w:val="18"/>
          <w:szCs w:val="18"/>
        </w:rPr>
        <w:t>Ş</w:t>
      </w:r>
      <w:r w:rsidR="00855264" w:rsidRPr="000F6D60">
        <w:rPr>
          <w:rFonts w:ascii="MetaNormal-Roman" w:eastAsia="MetaPro-Norm" w:hAnsi="MetaNormal-Roman" w:cs="MetaPro-Norm"/>
          <w:sz w:val="18"/>
          <w:szCs w:val="18"/>
        </w:rPr>
        <w:t>iddetin</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Sebeplerinin</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T</w:t>
      </w:r>
      <w:r w:rsidR="00855264" w:rsidRPr="000F6D60">
        <w:rPr>
          <w:rFonts w:ascii="MetaNormal-Roman" w:eastAsia="MetaPro-Norm" w:hAnsi="MetaNormal-Roman" w:cs="MetaNormal-Roman"/>
          <w:sz w:val="18"/>
          <w:szCs w:val="18"/>
        </w:rPr>
        <w:t>ü</w:t>
      </w:r>
      <w:r w:rsidR="00855264" w:rsidRPr="000F6D60">
        <w:rPr>
          <w:rFonts w:ascii="MetaNormal-Roman" w:eastAsia="MetaPro-Norm" w:hAnsi="MetaNormal-Roman" w:cs="MetaPro-Norm"/>
          <w:sz w:val="18"/>
          <w:szCs w:val="18"/>
        </w:rPr>
        <w:t>m</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Y</w:t>
      </w:r>
      <w:r w:rsidR="00855264" w:rsidRPr="000F6D60">
        <w:rPr>
          <w:rFonts w:ascii="MetaNormal-Roman" w:eastAsia="MetaPro-Norm" w:hAnsi="MetaNormal-Roman" w:cs="MetaNormal-Roman"/>
          <w:sz w:val="18"/>
          <w:szCs w:val="18"/>
        </w:rPr>
        <w:t>ö</w:t>
      </w:r>
      <w:r w:rsidR="00855264" w:rsidRPr="000F6D60">
        <w:rPr>
          <w:rFonts w:ascii="MetaNormal-Roman" w:eastAsia="MetaPro-Norm" w:hAnsi="MetaNormal-Roman" w:cs="MetaPro-Norm"/>
          <w:sz w:val="18"/>
          <w:szCs w:val="18"/>
        </w:rPr>
        <w:t>nleriyle</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Ara</w:t>
      </w:r>
      <w:r w:rsidR="00855264" w:rsidRPr="000F6D60">
        <w:rPr>
          <w:rFonts w:ascii="Calibri" w:eastAsia="MetaPro-Norm" w:hAnsi="Calibri" w:cs="Calibri"/>
          <w:sz w:val="18"/>
          <w:szCs w:val="18"/>
        </w:rPr>
        <w:t>ş</w:t>
      </w:r>
      <w:r w:rsidR="00855264" w:rsidRPr="000F6D60">
        <w:rPr>
          <w:rFonts w:ascii="MetaNormal-Roman" w:eastAsia="MetaPro-Norm" w:hAnsi="MetaNormal-Roman" w:cs="MetaPro-Norm"/>
          <w:sz w:val="18"/>
          <w:szCs w:val="18"/>
        </w:rPr>
        <w:t>t</w:t>
      </w:r>
      <w:r w:rsidR="00855264" w:rsidRPr="000F6D60">
        <w:rPr>
          <w:rFonts w:ascii="MetaNormal-Roman" w:eastAsia="MetaPro-Norm" w:hAnsi="MetaNormal-Roman" w:cs="MetaNormal-Roman"/>
          <w:sz w:val="18"/>
          <w:szCs w:val="18"/>
        </w:rPr>
        <w:t>ı</w:t>
      </w:r>
      <w:r w:rsidR="00855264" w:rsidRPr="000F6D60">
        <w:rPr>
          <w:rFonts w:ascii="MetaNormal-Roman" w:eastAsia="MetaPro-Norm" w:hAnsi="MetaNormal-Roman" w:cs="MetaPro-Norm"/>
          <w:sz w:val="18"/>
          <w:szCs w:val="18"/>
        </w:rPr>
        <w:t>r</w:t>
      </w:r>
      <w:r w:rsidR="00855264" w:rsidRPr="000F6D60">
        <w:rPr>
          <w:rFonts w:ascii="MetaNormal-Roman" w:eastAsia="MetaPro-Norm" w:hAnsi="MetaNormal-Roman" w:cs="MetaNormal-Roman"/>
          <w:sz w:val="18"/>
          <w:szCs w:val="18"/>
        </w:rPr>
        <w:t>ı</w:t>
      </w:r>
      <w:r w:rsidR="00855264" w:rsidRPr="000F6D60">
        <w:rPr>
          <w:rFonts w:ascii="MetaNormal-Roman" w:eastAsia="MetaPro-Norm" w:hAnsi="MetaNormal-Roman" w:cs="MetaPro-Norm"/>
          <w:sz w:val="18"/>
          <w:szCs w:val="18"/>
        </w:rPr>
        <w:t>larak</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Al</w:t>
      </w:r>
      <w:r w:rsidR="00855264" w:rsidRPr="000F6D60">
        <w:rPr>
          <w:rFonts w:ascii="MetaNormal-Roman" w:eastAsia="MetaPro-Norm" w:hAnsi="MetaNormal-Roman" w:cs="MetaNormal-Roman"/>
          <w:sz w:val="18"/>
          <w:szCs w:val="18"/>
        </w:rPr>
        <w:t>ı</w:t>
      </w:r>
      <w:r w:rsidR="00855264" w:rsidRPr="000F6D60">
        <w:rPr>
          <w:rFonts w:ascii="MetaNormal-Roman" w:eastAsia="MetaPro-Norm" w:hAnsi="MetaNormal-Roman" w:cs="MetaPro-Norm"/>
          <w:sz w:val="18"/>
          <w:szCs w:val="18"/>
        </w:rPr>
        <w:t>nmas</w:t>
      </w:r>
      <w:r w:rsidR="00855264" w:rsidRPr="000F6D60">
        <w:rPr>
          <w:rFonts w:ascii="MetaNormal-Roman" w:eastAsia="MetaPro-Norm" w:hAnsi="MetaNormal-Roman" w:cs="MetaNormal-Roman"/>
          <w:sz w:val="18"/>
          <w:szCs w:val="18"/>
        </w:rPr>
        <w:t>ı</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Gereken</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Tedbirlerin</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Belirlenmesi</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Amac</w:t>
      </w:r>
      <w:r w:rsidR="00855264" w:rsidRPr="000F6D60">
        <w:rPr>
          <w:rFonts w:ascii="MetaNormal-Roman" w:eastAsia="MetaPro-Norm" w:hAnsi="MetaNormal-Roman" w:cs="MetaNormal-Roman"/>
          <w:sz w:val="18"/>
          <w:szCs w:val="18"/>
        </w:rPr>
        <w:t>ı</w:t>
      </w:r>
      <w:r w:rsidR="00855264" w:rsidRPr="000F6D60">
        <w:rPr>
          <w:rFonts w:ascii="MetaNormal-Roman" w:eastAsia="MetaPro-Norm" w:hAnsi="MetaNormal-Roman" w:cs="MetaPro-Norm"/>
          <w:sz w:val="18"/>
          <w:szCs w:val="18"/>
        </w:rPr>
        <w:t>yla</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Kurulan</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Meclis</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Ara</w:t>
      </w:r>
      <w:r w:rsidR="00855264" w:rsidRPr="000F6D60">
        <w:rPr>
          <w:rFonts w:ascii="Calibri" w:eastAsia="MetaPro-Norm" w:hAnsi="Calibri" w:cs="Calibri"/>
          <w:sz w:val="18"/>
          <w:szCs w:val="18"/>
        </w:rPr>
        <w:t>ş</w:t>
      </w:r>
      <w:r w:rsidR="00855264" w:rsidRPr="000F6D60">
        <w:rPr>
          <w:rFonts w:ascii="MetaNormal-Roman" w:eastAsia="MetaPro-Norm" w:hAnsi="MetaNormal-Roman" w:cs="MetaPro-Norm"/>
          <w:sz w:val="18"/>
          <w:szCs w:val="18"/>
        </w:rPr>
        <w:t>t</w:t>
      </w:r>
      <w:r w:rsidR="00855264" w:rsidRPr="000F6D60">
        <w:rPr>
          <w:rFonts w:ascii="MetaNormal-Roman" w:eastAsia="MetaPro-Norm" w:hAnsi="MetaNormal-Roman" w:cs="MetaNormal-Roman"/>
          <w:sz w:val="18"/>
          <w:szCs w:val="18"/>
        </w:rPr>
        <w:t>ı</w:t>
      </w:r>
      <w:r w:rsidR="00855264" w:rsidRPr="000F6D60">
        <w:rPr>
          <w:rFonts w:ascii="MetaNormal-Roman" w:eastAsia="MetaPro-Norm" w:hAnsi="MetaNormal-Roman" w:cs="MetaPro-Norm"/>
          <w:sz w:val="18"/>
          <w:szCs w:val="18"/>
        </w:rPr>
        <w:t>rmas</w:t>
      </w:r>
      <w:r w:rsidR="00855264" w:rsidRPr="000F6D60">
        <w:rPr>
          <w:rFonts w:ascii="MetaNormal-Roman" w:eastAsia="MetaPro-Norm" w:hAnsi="MetaNormal-Roman" w:cs="MetaNormal-Roman"/>
          <w:sz w:val="18"/>
          <w:szCs w:val="18"/>
        </w:rPr>
        <w:t>ı</w:t>
      </w:r>
      <w:proofErr w:type="spellEnd"/>
      <w:r w:rsidR="00855264" w:rsidRPr="000F6D60">
        <w:rPr>
          <w:rFonts w:ascii="MetaNormal-Roman" w:eastAsia="MetaPro-Norm" w:hAnsi="MetaNormal-Roman" w:cs="MetaPro-Norm"/>
          <w:sz w:val="18"/>
          <w:szCs w:val="18"/>
        </w:rPr>
        <w:t xml:space="preserve"> </w:t>
      </w:r>
      <w:proofErr w:type="spellStart"/>
      <w:r w:rsidR="00855264" w:rsidRPr="000F6D60">
        <w:rPr>
          <w:rFonts w:ascii="MetaNormal-Roman" w:eastAsia="MetaPro-Norm" w:hAnsi="MetaNormal-Roman" w:cs="MetaPro-Norm"/>
          <w:sz w:val="18"/>
          <w:szCs w:val="18"/>
        </w:rPr>
        <w:t>Komisyonu</w:t>
      </w:r>
      <w:proofErr w:type="spellEnd"/>
      <w:r w:rsidR="00855264" w:rsidRPr="000F6D60">
        <w:rPr>
          <w:rFonts w:ascii="MetaNormal-Roman" w:eastAsia="MetaPro-Norm" w:hAnsi="MetaNormal-Roman" w:cs="MetaPro-Norm"/>
          <w:sz w:val="18"/>
          <w:szCs w:val="18"/>
        </w:rPr>
        <w:t xml:space="preserve">), March 6, 2022: see </w:t>
      </w:r>
      <w:r w:rsidR="00855264" w:rsidRPr="000F6D60">
        <w:rPr>
          <w:rFonts w:ascii="MetaNormal-Roman" w:hAnsi="MetaNormal-Roman"/>
          <w:sz w:val="18"/>
          <w:szCs w:val="18"/>
        </w:rPr>
        <w:t>https://www5.tbmm.gov.tr//sirasayi/donem27/yil01/ss315.pdf</w:t>
      </w:r>
      <w:r w:rsidR="00855264" w:rsidRPr="000F6D60">
        <w:rPr>
          <w:rFonts w:ascii="MetaNormal-Roman" w:eastAsia="MetaPro-Norm" w:hAnsi="MetaNormal-Roman" w:cs="MetaPro-Norm"/>
          <w:sz w:val="18"/>
          <w:szCs w:val="18"/>
        </w:rPr>
        <w:t xml:space="preserve"> (accessed March 13, 2022), p.219-20.</w:t>
      </w:r>
    </w:p>
    <w:p w14:paraId="5EC0113C" w14:textId="124D1BEA" w:rsidR="004D0063" w:rsidRPr="000F6D60" w:rsidRDefault="004D0063" w:rsidP="004D0063">
      <w:pPr>
        <w:pStyle w:val="FootnoteText"/>
        <w:rPr>
          <w:rFonts w:ascii="MetaNormal-Roman" w:hAnsi="MetaNormal-Roman"/>
          <w:sz w:val="18"/>
          <w:szCs w:val="18"/>
        </w:rPr>
      </w:pPr>
    </w:p>
  </w:footnote>
  <w:footnote w:id="5">
    <w:p w14:paraId="1B5066D9" w14:textId="77777777" w:rsidR="00333B8F" w:rsidRPr="000F6D60" w:rsidRDefault="00333B8F" w:rsidP="00333B8F">
      <w:pPr>
        <w:pStyle w:val="FootnoteText"/>
        <w:spacing w:after="40" w:line="220" w:lineRule="exact"/>
        <w:contextualSpacing/>
        <w:rPr>
          <w:rFonts w:ascii="MetaNormal-Roman" w:hAnsi="MetaNormal-Roman"/>
          <w:sz w:val="18"/>
          <w:szCs w:val="18"/>
        </w:rPr>
      </w:pPr>
      <w:r w:rsidRPr="000F6D60">
        <w:rPr>
          <w:rStyle w:val="FootnoteReference"/>
          <w:rFonts w:ascii="MetaNormal-Roman" w:eastAsia="MetaPro-Norm" w:hAnsi="MetaNormal-Roman" w:cs="MetaPro-Norm"/>
          <w:sz w:val="18"/>
          <w:szCs w:val="18"/>
        </w:rPr>
        <w:footnoteRef/>
      </w:r>
      <w:r w:rsidRPr="000F6D60">
        <w:rPr>
          <w:rFonts w:ascii="MetaNormal-Roman" w:eastAsia="MetaPro-Norm" w:hAnsi="MetaNormal-Roman" w:cs="MetaPro-Norm"/>
          <w:sz w:val="18"/>
          <w:szCs w:val="18"/>
        </w:rPr>
        <w:t xml:space="preserve"> See, for example: “Council of Europe leaders react to Turkey’s announced withdrawal from the Istanbul Convention,” </w:t>
      </w:r>
      <w:r w:rsidRPr="000F6D60">
        <w:rPr>
          <w:rFonts w:ascii="MetaNormal-Roman" w:eastAsia="MetaPro-Norm" w:hAnsi="MetaNormal-Roman" w:cs="MetaPro-Norm"/>
          <w:i/>
          <w:iCs/>
          <w:sz w:val="18"/>
          <w:szCs w:val="18"/>
        </w:rPr>
        <w:t>Council of Europe</w:t>
      </w:r>
      <w:r w:rsidRPr="000F6D60">
        <w:rPr>
          <w:rFonts w:ascii="MetaNormal-Roman" w:eastAsia="MetaPro-Norm" w:hAnsi="MetaNormal-Roman" w:cs="MetaPro-Norm"/>
          <w:sz w:val="18"/>
          <w:szCs w:val="18"/>
        </w:rPr>
        <w:t xml:space="preserve">, March 21, 2021, https://www.coe.int/en/web/portal/-/council-of-europe-leaders-react-to-turkey-s-announced-withdrawal-from-the-istanbul-conventi-1 (accessed </w:t>
      </w:r>
      <w:r w:rsidRPr="000F6D60">
        <w:rPr>
          <w:rFonts w:ascii="MetaNormal-Roman" w:hAnsi="MetaNormal-Roman"/>
          <w:sz w:val="18"/>
          <w:szCs w:val="18"/>
        </w:rPr>
        <w:t>May 18, 2022</w:t>
      </w:r>
      <w:r w:rsidRPr="000F6D60">
        <w:rPr>
          <w:rFonts w:ascii="MetaNormal-Roman" w:eastAsia="MetaPro-Norm" w:hAnsi="MetaNormal-Roman" w:cs="MetaPro-Norm"/>
          <w:sz w:val="18"/>
          <w:szCs w:val="18"/>
        </w:rPr>
        <w:t xml:space="preserve">); “Turkey’s announced withdrawal from the Istanbul Convention endangers women’s rights,” </w:t>
      </w:r>
      <w:r w:rsidRPr="000F6D60">
        <w:rPr>
          <w:rFonts w:ascii="MetaNormal-Roman" w:eastAsia="MetaPro-Norm" w:hAnsi="MetaNormal-Roman" w:cs="MetaPro-Norm"/>
          <w:i/>
          <w:iCs/>
          <w:sz w:val="18"/>
          <w:szCs w:val="18"/>
        </w:rPr>
        <w:t>Commissioner for Human Rights</w:t>
      </w:r>
      <w:r w:rsidRPr="000F6D60">
        <w:rPr>
          <w:rFonts w:ascii="MetaNormal-Roman" w:eastAsia="MetaPro-Norm" w:hAnsi="MetaNormal-Roman" w:cs="MetaPro-Norm"/>
          <w:sz w:val="18"/>
          <w:szCs w:val="18"/>
        </w:rPr>
        <w:t xml:space="preserve">, March 22, 2021, https://www.coe.int/en/web/commissioner/-/turkey-s-announced-withdrawal-from-the-istanbul-convention-endangers-women-s-rights (accessed </w:t>
      </w:r>
      <w:r w:rsidRPr="000F6D60">
        <w:rPr>
          <w:rFonts w:ascii="MetaNormal-Roman" w:hAnsi="MetaNormal-Roman"/>
          <w:sz w:val="18"/>
          <w:szCs w:val="18"/>
        </w:rPr>
        <w:t>May 18, 2022</w:t>
      </w:r>
      <w:r w:rsidRPr="000F6D60">
        <w:rPr>
          <w:rFonts w:ascii="MetaNormal-Roman" w:eastAsia="MetaPro-Norm" w:hAnsi="MetaNormal-Roman" w:cs="MetaPro-Norm"/>
          <w:sz w:val="18"/>
          <w:szCs w:val="18"/>
        </w:rPr>
        <w:t xml:space="preserve">); “Turkey: Withdrawal from Istanbul Convention is a pushback against women’s rights, say human rights experts,” </w:t>
      </w:r>
      <w:r w:rsidRPr="000F6D60">
        <w:rPr>
          <w:rFonts w:ascii="MetaNormal-Roman" w:eastAsia="MetaPro-Norm" w:hAnsi="MetaNormal-Roman" w:cs="MetaPro-Norm"/>
          <w:i/>
          <w:iCs/>
          <w:sz w:val="18"/>
          <w:szCs w:val="18"/>
        </w:rPr>
        <w:t>United Nations Human Rights Office of the High Commissioner,</w:t>
      </w:r>
      <w:r w:rsidRPr="000F6D60">
        <w:rPr>
          <w:rFonts w:ascii="MetaNormal-Roman" w:eastAsia="MetaPro-Norm" w:hAnsi="MetaNormal-Roman" w:cs="MetaPro-Norm"/>
          <w:sz w:val="18"/>
          <w:szCs w:val="18"/>
        </w:rPr>
        <w:t xml:space="preserve"> March 23, 2021, https://www.ohchr.org/en/press-releases/2021/03/turkey-withdrawal-istanbul-convention-pushback-against-womens-rights-say?LangID=E&amp;NewsID=26936 (accessed </w:t>
      </w:r>
      <w:r w:rsidRPr="000F6D60">
        <w:rPr>
          <w:rFonts w:ascii="MetaNormal-Roman" w:hAnsi="MetaNormal-Roman"/>
          <w:sz w:val="18"/>
          <w:szCs w:val="18"/>
        </w:rPr>
        <w:t>May 18, 2022</w:t>
      </w:r>
      <w:r w:rsidRPr="000F6D60">
        <w:rPr>
          <w:rFonts w:ascii="MetaNormal-Roman" w:eastAsia="MetaPro-Norm" w:hAnsi="MetaNormal-Roman" w:cs="MetaPro-Norm"/>
          <w:sz w:val="18"/>
          <w:szCs w:val="18"/>
        </w:rPr>
        <w:t xml:space="preserve">); “UN women’s rights committee urges Turkey to reconsider withdrawal from Istanbul Convention as decision takes effect,” </w:t>
      </w:r>
      <w:r w:rsidRPr="000F6D60">
        <w:rPr>
          <w:rFonts w:ascii="MetaNormal-Roman" w:eastAsia="MetaPro-Norm" w:hAnsi="MetaNormal-Roman" w:cs="MetaPro-Norm"/>
          <w:i/>
          <w:iCs/>
          <w:sz w:val="18"/>
          <w:szCs w:val="18"/>
        </w:rPr>
        <w:t>United Nations Human Rights Office of the High Commissioner,</w:t>
      </w:r>
      <w:r w:rsidRPr="000F6D60">
        <w:rPr>
          <w:rFonts w:ascii="MetaNormal-Roman" w:eastAsia="MetaPro-Norm" w:hAnsi="MetaNormal-Roman" w:cs="MetaPro-Norm"/>
          <w:sz w:val="18"/>
          <w:szCs w:val="18"/>
        </w:rPr>
        <w:t xml:space="preserve"> July 1, 2021, https://www.ohchr.org/en/press-releases/2021/07/un-womens-rights-committee-urges-turkey-reconsider-withdrawal-istanbul?LangID=E&amp;NewsID=27242 (accessed </w:t>
      </w:r>
      <w:r w:rsidRPr="000F6D60">
        <w:rPr>
          <w:rFonts w:ascii="MetaNormal-Roman" w:hAnsi="MetaNormal-Roman"/>
          <w:sz w:val="18"/>
          <w:szCs w:val="18"/>
        </w:rPr>
        <w:t>May 18, 2022</w:t>
      </w:r>
      <w:r w:rsidRPr="000F6D60">
        <w:rPr>
          <w:rFonts w:ascii="MetaNormal-Roman" w:eastAsia="MetaPro-Norm" w:hAnsi="MetaNormal-Roman" w:cs="MetaPro-Norm"/>
          <w:sz w:val="18"/>
          <w:szCs w:val="18"/>
        </w:rPr>
        <w:t xml:space="preserve">); “Turkey: Statement by High Representative/Vice-President </w:t>
      </w:r>
      <w:proofErr w:type="spellStart"/>
      <w:r w:rsidRPr="000F6D60">
        <w:rPr>
          <w:rFonts w:ascii="MetaNormal-Roman" w:eastAsia="MetaPro-Norm" w:hAnsi="MetaNormal-Roman" w:cs="MetaPro-Norm"/>
          <w:sz w:val="18"/>
          <w:szCs w:val="18"/>
        </w:rPr>
        <w:t>Josep</w:t>
      </w:r>
      <w:proofErr w:type="spellEnd"/>
      <w:r w:rsidRPr="000F6D60">
        <w:rPr>
          <w:rFonts w:ascii="MetaNormal-Roman" w:eastAsia="MetaPro-Norm" w:hAnsi="MetaNormal-Roman" w:cs="MetaPro-Norm"/>
          <w:sz w:val="18"/>
          <w:szCs w:val="18"/>
        </w:rPr>
        <w:t xml:space="preserve"> Borrell on Turkey’s withdrawal of the Istanbul Convention,” </w:t>
      </w:r>
      <w:r w:rsidRPr="000F6D60">
        <w:rPr>
          <w:rFonts w:ascii="MetaNormal-Roman" w:eastAsia="MetaPro-Norm" w:hAnsi="MetaNormal-Roman" w:cs="MetaPro-Norm"/>
          <w:i/>
          <w:iCs/>
          <w:sz w:val="18"/>
          <w:szCs w:val="18"/>
        </w:rPr>
        <w:t xml:space="preserve">European Commission Directorate-General for </w:t>
      </w:r>
      <w:proofErr w:type="spellStart"/>
      <w:r w:rsidRPr="000F6D60">
        <w:rPr>
          <w:rFonts w:ascii="MetaNormal-Roman" w:eastAsia="MetaPro-Norm" w:hAnsi="MetaNormal-Roman" w:cs="MetaPro-Norm"/>
          <w:i/>
          <w:iCs/>
          <w:sz w:val="18"/>
          <w:szCs w:val="18"/>
        </w:rPr>
        <w:t>Neighbourhood</w:t>
      </w:r>
      <w:proofErr w:type="spellEnd"/>
      <w:r w:rsidRPr="000F6D60">
        <w:rPr>
          <w:rFonts w:ascii="MetaNormal-Roman" w:eastAsia="MetaPro-Norm" w:hAnsi="MetaNormal-Roman" w:cs="MetaPro-Norm"/>
          <w:i/>
          <w:iCs/>
          <w:sz w:val="18"/>
          <w:szCs w:val="18"/>
        </w:rPr>
        <w:t xml:space="preserve"> and Enlargement Negotiations</w:t>
      </w:r>
      <w:r w:rsidRPr="000F6D60">
        <w:rPr>
          <w:rFonts w:ascii="MetaNormal-Roman" w:eastAsia="MetaPro-Norm" w:hAnsi="MetaNormal-Roman" w:cs="MetaPro-Norm"/>
          <w:sz w:val="18"/>
          <w:szCs w:val="18"/>
        </w:rPr>
        <w:t xml:space="preserve">, March 20, 2021, https://ec.europa.eu/neighbourhood-enlargement/news/turkey-statement-high-representativevice-president-josep-borrell-turkeys-withdrawal-istanbul-2021-03-20_en (accessed </w:t>
      </w:r>
      <w:r w:rsidRPr="000F6D60">
        <w:rPr>
          <w:rFonts w:ascii="MetaNormal-Roman" w:hAnsi="MetaNormal-Roman"/>
          <w:sz w:val="18"/>
          <w:szCs w:val="18"/>
        </w:rPr>
        <w:t>May 18, 2022</w:t>
      </w:r>
      <w:r w:rsidRPr="000F6D60">
        <w:rPr>
          <w:rFonts w:ascii="MetaNormal-Roman" w:eastAsia="MetaPro-Norm" w:hAnsi="MetaNormal-Roman" w:cs="MetaPro-Norm"/>
          <w:sz w:val="18"/>
          <w:szCs w:val="18"/>
        </w:rPr>
        <w:t>).</w:t>
      </w:r>
    </w:p>
  </w:footnote>
  <w:footnote w:id="6">
    <w:p w14:paraId="5F41B50F" w14:textId="01366AAC" w:rsidR="00ED1BD5" w:rsidRPr="0010410A" w:rsidRDefault="00ED1BD5">
      <w:pPr>
        <w:pStyle w:val="FootnoteText"/>
        <w:rPr>
          <w:rFonts w:ascii="MetaNormal-Roman" w:hAnsi="MetaNormal-Roman"/>
          <w:sz w:val="18"/>
          <w:szCs w:val="18"/>
        </w:rPr>
      </w:pPr>
      <w:r w:rsidRPr="000F6D60">
        <w:rPr>
          <w:rStyle w:val="FootnoteReference"/>
          <w:rFonts w:ascii="MetaNormal-Roman" w:hAnsi="MetaNormal-Roman"/>
          <w:sz w:val="18"/>
          <w:szCs w:val="18"/>
        </w:rPr>
        <w:footnoteRef/>
      </w:r>
      <w:r w:rsidRPr="000F6D60">
        <w:rPr>
          <w:rFonts w:ascii="MetaNormal-Roman" w:hAnsi="MetaNormal-Roman"/>
          <w:sz w:val="18"/>
          <w:szCs w:val="18"/>
        </w:rPr>
        <w:t xml:space="preserve"> </w:t>
      </w:r>
      <w:hyperlink r:id="rId2" w:history="1">
        <w:r w:rsidRPr="000F6D60">
          <w:rPr>
            <w:rFonts w:ascii="MetaNormal-Roman" w:hAnsi="MetaNormal-Roman"/>
            <w:sz w:val="18"/>
            <w:szCs w:val="18"/>
          </w:rPr>
          <w:t xml:space="preserve">See </w:t>
        </w:r>
        <w:r w:rsidRPr="0010410A">
          <w:rPr>
            <w:rFonts w:ascii="MetaNormal-Roman" w:hAnsi="MetaNormal-Roman"/>
            <w:sz w:val="18"/>
            <w:szCs w:val="18"/>
          </w:rPr>
          <w:t>CEDAW/C/TUR/RQ/</w:t>
        </w:r>
        <w:proofErr w:type="gramStart"/>
        <w:r w:rsidRPr="0010410A">
          <w:rPr>
            <w:rFonts w:ascii="MetaNormal-Roman" w:hAnsi="MetaNormal-Roman"/>
            <w:sz w:val="18"/>
            <w:szCs w:val="18"/>
          </w:rPr>
          <w:t>8 ,</w:t>
        </w:r>
        <w:proofErr w:type="gramEnd"/>
        <w:r w:rsidRPr="000F6D60">
          <w:rPr>
            <w:rFonts w:ascii="MetaNormal-Roman" w:hAnsi="MetaNormal-Roman"/>
            <w:sz w:val="18"/>
            <w:szCs w:val="18"/>
          </w:rPr>
          <w:t xml:space="preserve">“Replies of Turkey to the list of issues and questions in relation to its eighth period report,” February 22, 2022: </w:t>
        </w:r>
        <w:r w:rsidRPr="000F6D60">
          <w:rPr>
            <w:rStyle w:val="Hyperlink"/>
            <w:rFonts w:ascii="MetaNormal-Roman" w:hAnsi="MetaNormal-Roman"/>
            <w:sz w:val="18"/>
            <w:szCs w:val="18"/>
          </w:rPr>
          <w:t>N2226934.pdf (un.org)</w:t>
        </w:r>
      </w:hyperlink>
      <w:r w:rsidR="0010410A">
        <w:rPr>
          <w:rStyle w:val="Hyperlink"/>
          <w:rFonts w:ascii="MetaNormal-Roman" w:hAnsi="MetaNormal-Roman"/>
          <w:sz w:val="18"/>
          <w:szCs w:val="18"/>
        </w:rPr>
        <w:t>.</w:t>
      </w:r>
      <w:r w:rsidRPr="0010410A">
        <w:rPr>
          <w:rFonts w:ascii="MetaNormal-Roman" w:hAnsi="MetaNormal-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A31"/>
    <w:multiLevelType w:val="hybridMultilevel"/>
    <w:tmpl w:val="E2A4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87A7E"/>
    <w:multiLevelType w:val="hybridMultilevel"/>
    <w:tmpl w:val="D9902BAE"/>
    <w:lvl w:ilvl="0" w:tplc="04090001">
      <w:start w:val="1"/>
      <w:numFmt w:val="bullet"/>
      <w:lvlText w:val=""/>
      <w:lvlJc w:val="left"/>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 w15:restartNumberingAfterBreak="0">
    <w:nsid w:val="545C2565"/>
    <w:multiLevelType w:val="hybridMultilevel"/>
    <w:tmpl w:val="0738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B03DE"/>
    <w:multiLevelType w:val="hybridMultilevel"/>
    <w:tmpl w:val="40C8ADD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F464E"/>
    <w:multiLevelType w:val="hybridMultilevel"/>
    <w:tmpl w:val="926EF50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C75A6"/>
    <w:multiLevelType w:val="hybridMultilevel"/>
    <w:tmpl w:val="5CB4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926D5"/>
    <w:multiLevelType w:val="hybridMultilevel"/>
    <w:tmpl w:val="CB58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05B4D"/>
    <w:multiLevelType w:val="hybridMultilevel"/>
    <w:tmpl w:val="3CD2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133903">
    <w:abstractNumId w:val="4"/>
  </w:num>
  <w:num w:numId="2" w16cid:durableId="1491560454">
    <w:abstractNumId w:val="3"/>
  </w:num>
  <w:num w:numId="3" w16cid:durableId="52437583">
    <w:abstractNumId w:val="0"/>
  </w:num>
  <w:num w:numId="4" w16cid:durableId="2067600207">
    <w:abstractNumId w:val="1"/>
  </w:num>
  <w:num w:numId="5" w16cid:durableId="54933016">
    <w:abstractNumId w:val="7"/>
  </w:num>
  <w:num w:numId="6" w16cid:durableId="1938323347">
    <w:abstractNumId w:val="6"/>
  </w:num>
  <w:num w:numId="7" w16cid:durableId="115680401">
    <w:abstractNumId w:val="5"/>
  </w:num>
  <w:num w:numId="8" w16cid:durableId="930702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C0"/>
    <w:rsid w:val="000614D8"/>
    <w:rsid w:val="00090DE9"/>
    <w:rsid w:val="00096FAE"/>
    <w:rsid w:val="000D222B"/>
    <w:rsid w:val="000D7FFB"/>
    <w:rsid w:val="000E0DA3"/>
    <w:rsid w:val="000E3F9F"/>
    <w:rsid w:val="000F6D60"/>
    <w:rsid w:val="0010410A"/>
    <w:rsid w:val="0010702B"/>
    <w:rsid w:val="00113494"/>
    <w:rsid w:val="00142D6B"/>
    <w:rsid w:val="00153E3D"/>
    <w:rsid w:val="00162F61"/>
    <w:rsid w:val="001717AF"/>
    <w:rsid w:val="001B52BB"/>
    <w:rsid w:val="001C53B9"/>
    <w:rsid w:val="001E652A"/>
    <w:rsid w:val="001F5F78"/>
    <w:rsid w:val="00203507"/>
    <w:rsid w:val="002113B0"/>
    <w:rsid w:val="002143A1"/>
    <w:rsid w:val="00244912"/>
    <w:rsid w:val="00255FA3"/>
    <w:rsid w:val="00272DAB"/>
    <w:rsid w:val="002A1554"/>
    <w:rsid w:val="002B501A"/>
    <w:rsid w:val="002E262F"/>
    <w:rsid w:val="002F538D"/>
    <w:rsid w:val="00301919"/>
    <w:rsid w:val="00317CEF"/>
    <w:rsid w:val="00330935"/>
    <w:rsid w:val="00330E26"/>
    <w:rsid w:val="00333B8F"/>
    <w:rsid w:val="00351459"/>
    <w:rsid w:val="0036381A"/>
    <w:rsid w:val="003979B6"/>
    <w:rsid w:val="003C5950"/>
    <w:rsid w:val="003D24D3"/>
    <w:rsid w:val="003D3A63"/>
    <w:rsid w:val="003E571D"/>
    <w:rsid w:val="003F1EA1"/>
    <w:rsid w:val="00404D51"/>
    <w:rsid w:val="00405DA5"/>
    <w:rsid w:val="00446DD6"/>
    <w:rsid w:val="00465E78"/>
    <w:rsid w:val="00480195"/>
    <w:rsid w:val="00481C69"/>
    <w:rsid w:val="00495F7F"/>
    <w:rsid w:val="004960DE"/>
    <w:rsid w:val="00497059"/>
    <w:rsid w:val="004A6777"/>
    <w:rsid w:val="004A6C9F"/>
    <w:rsid w:val="004B1A10"/>
    <w:rsid w:val="004C1EC0"/>
    <w:rsid w:val="004C49A9"/>
    <w:rsid w:val="004D0063"/>
    <w:rsid w:val="005156FA"/>
    <w:rsid w:val="00517D59"/>
    <w:rsid w:val="00531001"/>
    <w:rsid w:val="0055451F"/>
    <w:rsid w:val="00554D13"/>
    <w:rsid w:val="00581590"/>
    <w:rsid w:val="0058524B"/>
    <w:rsid w:val="00585CCD"/>
    <w:rsid w:val="00585ECC"/>
    <w:rsid w:val="005923AF"/>
    <w:rsid w:val="00596B78"/>
    <w:rsid w:val="005A13E3"/>
    <w:rsid w:val="005C6CD8"/>
    <w:rsid w:val="005C6F08"/>
    <w:rsid w:val="005D1249"/>
    <w:rsid w:val="005E6974"/>
    <w:rsid w:val="005E787E"/>
    <w:rsid w:val="005F5E05"/>
    <w:rsid w:val="0060498F"/>
    <w:rsid w:val="00617965"/>
    <w:rsid w:val="0062601B"/>
    <w:rsid w:val="00633862"/>
    <w:rsid w:val="00652340"/>
    <w:rsid w:val="0068424B"/>
    <w:rsid w:val="006A35A1"/>
    <w:rsid w:val="006B6969"/>
    <w:rsid w:val="006C454F"/>
    <w:rsid w:val="00721FAE"/>
    <w:rsid w:val="007476C4"/>
    <w:rsid w:val="00765928"/>
    <w:rsid w:val="007666B2"/>
    <w:rsid w:val="007806E8"/>
    <w:rsid w:val="0078663B"/>
    <w:rsid w:val="00787B0A"/>
    <w:rsid w:val="00790FE8"/>
    <w:rsid w:val="007B5A85"/>
    <w:rsid w:val="007E46D7"/>
    <w:rsid w:val="007F0909"/>
    <w:rsid w:val="007F47E6"/>
    <w:rsid w:val="00805F71"/>
    <w:rsid w:val="00814B44"/>
    <w:rsid w:val="008534B0"/>
    <w:rsid w:val="00855264"/>
    <w:rsid w:val="0086300C"/>
    <w:rsid w:val="008B108F"/>
    <w:rsid w:val="008B3966"/>
    <w:rsid w:val="00942DD4"/>
    <w:rsid w:val="009576D1"/>
    <w:rsid w:val="00961D2B"/>
    <w:rsid w:val="009A75A1"/>
    <w:rsid w:val="009B00BD"/>
    <w:rsid w:val="009B2677"/>
    <w:rsid w:val="009C0F04"/>
    <w:rsid w:val="009E6E5C"/>
    <w:rsid w:val="009F4BD9"/>
    <w:rsid w:val="00A31708"/>
    <w:rsid w:val="00A3367E"/>
    <w:rsid w:val="00A73485"/>
    <w:rsid w:val="00A91C95"/>
    <w:rsid w:val="00AA3825"/>
    <w:rsid w:val="00AB3F1C"/>
    <w:rsid w:val="00AB6E58"/>
    <w:rsid w:val="00B109EF"/>
    <w:rsid w:val="00B31DCF"/>
    <w:rsid w:val="00B65D2A"/>
    <w:rsid w:val="00BA122B"/>
    <w:rsid w:val="00BB0F8D"/>
    <w:rsid w:val="00BC2E0D"/>
    <w:rsid w:val="00BD4517"/>
    <w:rsid w:val="00BF6B71"/>
    <w:rsid w:val="00C17E0B"/>
    <w:rsid w:val="00C30A38"/>
    <w:rsid w:val="00C55A13"/>
    <w:rsid w:val="00C56563"/>
    <w:rsid w:val="00C819D8"/>
    <w:rsid w:val="00C831D4"/>
    <w:rsid w:val="00C85E33"/>
    <w:rsid w:val="00CA5353"/>
    <w:rsid w:val="00CB6951"/>
    <w:rsid w:val="00CE3ABE"/>
    <w:rsid w:val="00CE3B7F"/>
    <w:rsid w:val="00CF405C"/>
    <w:rsid w:val="00D142E9"/>
    <w:rsid w:val="00D32400"/>
    <w:rsid w:val="00D33D0D"/>
    <w:rsid w:val="00D5267D"/>
    <w:rsid w:val="00D6271D"/>
    <w:rsid w:val="00D8191F"/>
    <w:rsid w:val="00D82584"/>
    <w:rsid w:val="00D8579E"/>
    <w:rsid w:val="00D94D46"/>
    <w:rsid w:val="00DB3BD0"/>
    <w:rsid w:val="00DB4E04"/>
    <w:rsid w:val="00DE08B3"/>
    <w:rsid w:val="00DE6F13"/>
    <w:rsid w:val="00DF1764"/>
    <w:rsid w:val="00E514C1"/>
    <w:rsid w:val="00E63EE4"/>
    <w:rsid w:val="00E72CF0"/>
    <w:rsid w:val="00E7700A"/>
    <w:rsid w:val="00E87179"/>
    <w:rsid w:val="00E91FCE"/>
    <w:rsid w:val="00E925BB"/>
    <w:rsid w:val="00E95EB8"/>
    <w:rsid w:val="00E96BD2"/>
    <w:rsid w:val="00EB15ED"/>
    <w:rsid w:val="00EB4374"/>
    <w:rsid w:val="00EB448B"/>
    <w:rsid w:val="00EC2712"/>
    <w:rsid w:val="00EC56E4"/>
    <w:rsid w:val="00ED1BD5"/>
    <w:rsid w:val="00EE1243"/>
    <w:rsid w:val="00EF0E00"/>
    <w:rsid w:val="00EF3552"/>
    <w:rsid w:val="00F233E5"/>
    <w:rsid w:val="00F35EE4"/>
    <w:rsid w:val="00F47BC6"/>
    <w:rsid w:val="00F67AC6"/>
    <w:rsid w:val="00F8603D"/>
    <w:rsid w:val="00FB0449"/>
    <w:rsid w:val="00FB3F2C"/>
    <w:rsid w:val="00FC0125"/>
    <w:rsid w:val="00FD5C6C"/>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EE75"/>
  <w15:chartTrackingRefBased/>
  <w15:docId w15:val="{DEB75EB1-A821-4887-83D1-B52B7DE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EC0"/>
  </w:style>
  <w:style w:type="paragraph" w:styleId="Heading2">
    <w:name w:val="heading 2"/>
    <w:basedOn w:val="Normal"/>
    <w:next w:val="Normal"/>
    <w:link w:val="Heading2Char"/>
    <w:uiPriority w:val="9"/>
    <w:unhideWhenUsed/>
    <w:qFormat/>
    <w:rsid w:val="005E6974"/>
    <w:pPr>
      <w:spacing w:before="60" w:after="60" w:line="240" w:lineRule="auto"/>
      <w:outlineLvl w:val="1"/>
    </w:pPr>
    <w:rPr>
      <w:rFonts w:ascii="MetaPro-CondMedi" w:eastAsia="SimSun" w:hAnsi="MetaPro-CondMedi" w:cs="SeriaArabic-Bold"/>
      <w:bCs/>
      <w:sz w:val="30"/>
      <w:szCs w:val="32"/>
      <w:lang w:eastAsia="zh-CN"/>
    </w:rPr>
  </w:style>
  <w:style w:type="paragraph" w:styleId="Heading3">
    <w:name w:val="heading 3"/>
    <w:basedOn w:val="Normal"/>
    <w:next w:val="Normal"/>
    <w:link w:val="Heading3Char"/>
    <w:uiPriority w:val="9"/>
    <w:unhideWhenUsed/>
    <w:qFormat/>
    <w:rsid w:val="005E6974"/>
    <w:pPr>
      <w:keepNext/>
      <w:keepLines/>
      <w:spacing w:before="40" w:after="0" w:line="264" w:lineRule="auto"/>
      <w:outlineLvl w:val="2"/>
    </w:pPr>
    <w:rPr>
      <w:rFonts w:ascii="MetaPro-CondBookIta" w:eastAsia="SimSun" w:hAnsi="MetaPro-CondBookIta" w:cs="SeriaArabic-Bold"/>
      <w:bCs/>
      <w:iCs/>
      <w:sz w:val="26"/>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EC0"/>
    <w:pPr>
      <w:spacing w:before="100" w:beforeAutospacing="1" w:after="100" w:afterAutospacing="1" w:line="240" w:lineRule="auto"/>
    </w:pPr>
    <w:rPr>
      <w:rFonts w:ascii="Calibri" w:hAnsi="Calibri" w:cs="Calibri"/>
    </w:rPr>
  </w:style>
  <w:style w:type="paragraph" w:styleId="FootnoteText">
    <w:name w:val="footnote text"/>
    <w:basedOn w:val="Normal"/>
    <w:link w:val="FootnoteTextChar"/>
    <w:uiPriority w:val="99"/>
    <w:unhideWhenUsed/>
    <w:rsid w:val="005C6F08"/>
    <w:pPr>
      <w:spacing w:after="0" w:line="240" w:lineRule="auto"/>
    </w:pPr>
    <w:rPr>
      <w:sz w:val="20"/>
      <w:szCs w:val="20"/>
    </w:rPr>
  </w:style>
  <w:style w:type="character" w:customStyle="1" w:styleId="FootnoteTextChar">
    <w:name w:val="Footnote Text Char"/>
    <w:basedOn w:val="DefaultParagraphFont"/>
    <w:link w:val="FootnoteText"/>
    <w:uiPriority w:val="99"/>
    <w:rsid w:val="005C6F08"/>
    <w:rPr>
      <w:sz w:val="20"/>
      <w:szCs w:val="20"/>
    </w:rPr>
  </w:style>
  <w:style w:type="character" w:styleId="FootnoteReference">
    <w:name w:val="footnote reference"/>
    <w:basedOn w:val="DefaultParagraphFont"/>
    <w:uiPriority w:val="99"/>
    <w:semiHidden/>
    <w:unhideWhenUsed/>
    <w:rsid w:val="005C6F08"/>
    <w:rPr>
      <w:vertAlign w:val="superscript"/>
    </w:rPr>
  </w:style>
  <w:style w:type="character" w:styleId="Hyperlink">
    <w:name w:val="Hyperlink"/>
    <w:basedOn w:val="DefaultParagraphFont"/>
    <w:uiPriority w:val="99"/>
    <w:semiHidden/>
    <w:unhideWhenUsed/>
    <w:rsid w:val="005C6F08"/>
    <w:rPr>
      <w:color w:val="0000FF"/>
      <w:u w:val="single"/>
    </w:rPr>
  </w:style>
  <w:style w:type="table" w:styleId="TableGrid">
    <w:name w:val="Table Grid"/>
    <w:basedOn w:val="TableNormal"/>
    <w:uiPriority w:val="59"/>
    <w:rsid w:val="003638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E6974"/>
    <w:rPr>
      <w:rFonts w:ascii="MetaPro-CondMedi" w:eastAsia="SimSun" w:hAnsi="MetaPro-CondMedi" w:cs="SeriaArabic-Bold"/>
      <w:bCs/>
      <w:sz w:val="30"/>
      <w:szCs w:val="32"/>
      <w:lang w:eastAsia="zh-CN"/>
    </w:rPr>
  </w:style>
  <w:style w:type="character" w:customStyle="1" w:styleId="Heading3Char">
    <w:name w:val="Heading 3 Char"/>
    <w:basedOn w:val="DefaultParagraphFont"/>
    <w:link w:val="Heading3"/>
    <w:uiPriority w:val="9"/>
    <w:rsid w:val="005E6974"/>
    <w:rPr>
      <w:rFonts w:ascii="MetaPro-CondBookIta" w:eastAsia="SimSun" w:hAnsi="MetaPro-CondBookIta" w:cs="SeriaArabic-Bold"/>
      <w:bCs/>
      <w:iCs/>
      <w:sz w:val="26"/>
      <w:szCs w:val="28"/>
      <w:lang w:eastAsia="zh-CN"/>
    </w:rPr>
  </w:style>
  <w:style w:type="paragraph" w:styleId="ListParagraph">
    <w:name w:val="List Paragraph"/>
    <w:basedOn w:val="Normal"/>
    <w:uiPriority w:val="34"/>
    <w:qFormat/>
    <w:rsid w:val="005E6974"/>
    <w:pPr>
      <w:spacing w:after="0" w:line="264" w:lineRule="auto"/>
      <w:ind w:left="720"/>
      <w:contextualSpacing/>
    </w:pPr>
    <w:rPr>
      <w:rFonts w:ascii="MetaPro-Norm" w:hAnsi="MetaPro-Norm"/>
    </w:rPr>
  </w:style>
  <w:style w:type="paragraph" w:styleId="Revision">
    <w:name w:val="Revision"/>
    <w:hidden/>
    <w:uiPriority w:val="99"/>
    <w:semiHidden/>
    <w:rsid w:val="00255FA3"/>
    <w:pPr>
      <w:spacing w:after="0" w:line="240" w:lineRule="auto"/>
    </w:pPr>
  </w:style>
  <w:style w:type="character" w:styleId="CommentReference">
    <w:name w:val="annotation reference"/>
    <w:basedOn w:val="DefaultParagraphFont"/>
    <w:uiPriority w:val="99"/>
    <w:semiHidden/>
    <w:unhideWhenUsed/>
    <w:rsid w:val="00790FE8"/>
    <w:rPr>
      <w:sz w:val="16"/>
      <w:szCs w:val="16"/>
    </w:rPr>
  </w:style>
  <w:style w:type="paragraph" w:styleId="CommentText">
    <w:name w:val="annotation text"/>
    <w:basedOn w:val="Normal"/>
    <w:link w:val="CommentTextChar"/>
    <w:uiPriority w:val="99"/>
    <w:semiHidden/>
    <w:unhideWhenUsed/>
    <w:rsid w:val="00790FE8"/>
    <w:pPr>
      <w:spacing w:line="240" w:lineRule="auto"/>
    </w:pPr>
    <w:rPr>
      <w:sz w:val="20"/>
      <w:szCs w:val="20"/>
    </w:rPr>
  </w:style>
  <w:style w:type="character" w:customStyle="1" w:styleId="CommentTextChar">
    <w:name w:val="Comment Text Char"/>
    <w:basedOn w:val="DefaultParagraphFont"/>
    <w:link w:val="CommentText"/>
    <w:uiPriority w:val="99"/>
    <w:semiHidden/>
    <w:rsid w:val="00790FE8"/>
    <w:rPr>
      <w:sz w:val="20"/>
      <w:szCs w:val="20"/>
    </w:rPr>
  </w:style>
  <w:style w:type="paragraph" w:styleId="CommentSubject">
    <w:name w:val="annotation subject"/>
    <w:basedOn w:val="CommentText"/>
    <w:next w:val="CommentText"/>
    <w:link w:val="CommentSubjectChar"/>
    <w:uiPriority w:val="99"/>
    <w:semiHidden/>
    <w:unhideWhenUsed/>
    <w:rsid w:val="00790FE8"/>
    <w:rPr>
      <w:b/>
      <w:bCs/>
    </w:rPr>
  </w:style>
  <w:style w:type="character" w:customStyle="1" w:styleId="CommentSubjectChar">
    <w:name w:val="Comment Subject Char"/>
    <w:basedOn w:val="CommentTextChar"/>
    <w:link w:val="CommentSubject"/>
    <w:uiPriority w:val="99"/>
    <w:semiHidden/>
    <w:rsid w:val="00790FE8"/>
    <w:rPr>
      <w:b/>
      <w:bCs/>
      <w:sz w:val="20"/>
      <w:szCs w:val="20"/>
    </w:rPr>
  </w:style>
  <w:style w:type="character" w:styleId="Strong">
    <w:name w:val="Strong"/>
    <w:basedOn w:val="DefaultParagraphFont"/>
    <w:uiPriority w:val="22"/>
    <w:qFormat/>
    <w:rsid w:val="0055451F"/>
    <w:rPr>
      <w:b/>
      <w:bCs/>
    </w:rPr>
  </w:style>
  <w:style w:type="paragraph" w:styleId="Header">
    <w:name w:val="header"/>
    <w:basedOn w:val="Normal"/>
    <w:link w:val="HeaderChar"/>
    <w:uiPriority w:val="99"/>
    <w:unhideWhenUsed/>
    <w:rsid w:val="00330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935"/>
  </w:style>
  <w:style w:type="paragraph" w:styleId="Footer">
    <w:name w:val="footer"/>
    <w:basedOn w:val="Normal"/>
    <w:link w:val="FooterChar"/>
    <w:uiPriority w:val="99"/>
    <w:unhideWhenUsed/>
    <w:rsid w:val="00330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86A26.865D69C0"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documents-dds-ny.un.org/doc/UNDOC/GEN/N22/269/34/PDF/N2226934.pdf?OpenElement" TargetMode="External"/><Relationship Id="rId1" Type="http://schemas.openxmlformats.org/officeDocument/2006/relationships/hyperlink" Target="https://www.hrw.org/report/2022/05/26/combatting-domestic-violence-turkey/deadly-impact-failure-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B5B37-024B-4839-B6C9-1D3E297BA90E}">
  <ds:schemaRefs>
    <ds:schemaRef ds:uri="http://schemas.openxmlformats.org/officeDocument/2006/bibliography"/>
  </ds:schemaRefs>
</ds:datastoreItem>
</file>

<file path=customXml/itemProps2.xml><?xml version="1.0" encoding="utf-8"?>
<ds:datastoreItem xmlns:ds="http://schemas.openxmlformats.org/officeDocument/2006/customXml" ds:itemID="{E1ADFCD5-0AAA-474B-B21E-034F2D00F6D1}"/>
</file>

<file path=customXml/itemProps3.xml><?xml version="1.0" encoding="utf-8"?>
<ds:datastoreItem xmlns:ds="http://schemas.openxmlformats.org/officeDocument/2006/customXml" ds:itemID="{CE14C8D0-3B91-4B73-8CE2-A564644D025A}"/>
</file>

<file path=customXml/itemProps4.xml><?xml version="1.0" encoding="utf-8"?>
<ds:datastoreItem xmlns:ds="http://schemas.openxmlformats.org/officeDocument/2006/customXml" ds:itemID="{84DE1A63-77B2-493E-A9C1-F7F5A7AA5CA3}"/>
</file>

<file path=docProps/app.xml><?xml version="1.0" encoding="utf-8"?>
<Properties xmlns="http://schemas.openxmlformats.org/officeDocument/2006/extended-properties" xmlns:vt="http://schemas.openxmlformats.org/officeDocument/2006/docPropsVTypes">
  <Template>Normal</Template>
  <TotalTime>1</TotalTime>
  <Pages>7</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Sinclair-Webb</dc:creator>
  <cp:keywords/>
  <dc:description/>
  <cp:lastModifiedBy>Emma Sinclair-Webb</cp:lastModifiedBy>
  <cp:revision>2</cp:revision>
  <dcterms:created xsi:type="dcterms:W3CDTF">2022-06-01T12:10:00Z</dcterms:created>
  <dcterms:modified xsi:type="dcterms:W3CDTF">2022-06-01T12:10:00Z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