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4.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4.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A7A80BF" w14:textId="716E86FB" w:rsidR="00993498" w:rsidRDefault="00993498" w:rsidP="00993498">
      <w:bookmarkStart w:id="0" w:name="_GoBack"/>
      <w:bookmarkEnd w:id="0"/>
    </w:p>
    <w:p w14:paraId="28A9F34F" w14:textId="77777777" w:rsidR="003F3D5D" w:rsidRDefault="003F3D5D" w:rsidP="003F3D5D">
      <w:r w:rsidRPr="00B351A2">
        <w:rPr>
          <w:noProof/>
          <w:lang w:val="en-GB" w:eastAsia="en-GB"/>
        </w:rPr>
        <mc:AlternateContent>
          <mc:Choice Requires="wps">
            <w:drawing>
              <wp:anchor distT="0" distB="0" distL="114300" distR="114300" simplePos="0" relativeHeight="251643904" behindDoc="0" locked="0" layoutInCell="1" allowOverlap="1" wp14:anchorId="57CEF2C6" wp14:editId="394470AB">
                <wp:simplePos x="0" y="0"/>
                <wp:positionH relativeFrom="column">
                  <wp:posOffset>-670560</wp:posOffset>
                </wp:positionH>
                <wp:positionV relativeFrom="paragraph">
                  <wp:posOffset>356870</wp:posOffset>
                </wp:positionV>
                <wp:extent cx="3495675" cy="485029"/>
                <wp:effectExtent l="0" t="0" r="0" b="0"/>
                <wp:wrapNone/>
                <wp:docPr id="20" name="Rectángulo 3"/>
                <wp:cNvGraphicFramePr/>
                <a:graphic xmlns:a="http://schemas.openxmlformats.org/drawingml/2006/main">
                  <a:graphicData uri="http://schemas.microsoft.com/office/word/2010/wordprocessingShape">
                    <wps:wsp>
                      <wps:cNvSpPr/>
                      <wps:spPr>
                        <a:xfrm>
                          <a:off x="0" y="0"/>
                          <a:ext cx="3495675" cy="485029"/>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11A328B1" w14:textId="77777777" w:rsidR="003F3D5D" w:rsidRPr="003F3D5D" w:rsidRDefault="009535A4" w:rsidP="003F3D5D">
                            <w:pPr>
                              <w:jc w:val="center"/>
                              <w:rPr>
                                <w:b/>
                                <w:color w:val="92D050"/>
                                <w:sz w:val="36"/>
                              </w:rPr>
                            </w:pPr>
                            <w:r>
                              <w:rPr>
                                <w:b/>
                                <w:color w:val="767171" w:themeColor="background2" w:themeShade="80"/>
                                <w:sz w:val="36"/>
                              </w:rPr>
                              <w:t xml:space="preserve">    </w:t>
                            </w:r>
                            <w:r w:rsidRPr="009535A4">
                              <w:rPr>
                                <w:b/>
                                <w:color w:val="767171" w:themeColor="background2" w:themeShade="80"/>
                                <w:sz w:val="36"/>
                              </w:rPr>
                              <w:t>SUBMITTING</w:t>
                            </w:r>
                            <w:r>
                              <w:rPr>
                                <w:b/>
                                <w:color w:val="767171" w:themeColor="background2" w:themeShade="80"/>
                                <w:sz w:val="36"/>
                              </w:rPr>
                              <w:t xml:space="preserve"> </w:t>
                            </w:r>
                            <w:r w:rsidRPr="009535A4">
                              <w:rPr>
                                <w:b/>
                                <w:color w:val="92D050"/>
                                <w:sz w:val="36"/>
                              </w:rPr>
                              <w:t>ORGANISATION</w:t>
                            </w:r>
                            <w:r w:rsidR="003F3D5D" w:rsidRPr="003F3D5D">
                              <w:rPr>
                                <w:b/>
                                <w:color w:val="92D050"/>
                                <w:sz w:val="36"/>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7CEF2C6" id="Rectángulo 3" o:spid="_x0000_s1026" style="position:absolute;margin-left:-52.8pt;margin-top:28.1pt;width:275.25pt;height:38.2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" filled="f" stroked="f" strokeweight=".5pt">
                <v:textbox>
                  <w:txbxContent>
                    <w:p w14:paraId="11A328B1" w14:textId="77777777" w:rsidR="003F3D5D" w:rsidRPr="003F3D5D" w:rsidRDefault="009535A4" w:rsidP="003F3D5D">
                      <w:pPr>
                        <w:jc w:val="center"/>
                        <w:rPr>
                          <w:b/>
                          <w:color w:val="92D050"/>
                          <w:sz w:val="36"/>
                        </w:rPr>
                      </w:pPr>
                      <w:r>
                        <w:rPr>
                          <w:b/>
                          <w:color w:val="767171" w:themeColor="background2" w:themeShade="80"/>
                          <w:sz w:val="36"/>
                        </w:rPr>
                        <w:t xml:space="preserve">    </w:t>
                      </w:r>
                      <w:r w:rsidRPr="009535A4">
                        <w:rPr>
                          <w:b/>
                          <w:color w:val="767171" w:themeColor="background2" w:themeShade="80"/>
                          <w:sz w:val="36"/>
                        </w:rPr>
                        <w:t>SUBMITTING</w:t>
                      </w:r>
                      <w:r>
                        <w:rPr>
                          <w:b/>
                          <w:color w:val="767171" w:themeColor="background2" w:themeShade="80"/>
                          <w:sz w:val="36"/>
                        </w:rPr>
                        <w:t xml:space="preserve"> </w:t>
                      </w:r>
                      <w:r w:rsidRPr="009535A4">
                        <w:rPr>
                          <w:b/>
                          <w:color w:val="92D050"/>
                          <w:sz w:val="36"/>
                        </w:rPr>
                        <w:t>ORGANISATION</w:t>
                      </w:r>
                      <w:r w:rsidR="003F3D5D" w:rsidRPr="003F3D5D">
                        <w:rPr>
                          <w:b/>
                          <w:color w:val="92D050"/>
                          <w:sz w:val="36"/>
                        </w:rPr>
                        <w:t xml:space="preserve"> </w:t>
                      </w:r>
                    </w:p>
                  </w:txbxContent>
                </v:textbox>
              </v:rect>
            </w:pict>
          </mc:Fallback>
        </mc:AlternateContent>
      </w:r>
    </w:p>
    <w:p w14:paraId="1AE7E1F6" w14:textId="77777777" w:rsidR="00993498" w:rsidRPr="003F3D5D" w:rsidRDefault="00993498" w:rsidP="003F3D5D"/>
    <w:p w14:paraId="4CD4600D" w14:textId="77777777" w:rsidR="003F3D5D" w:rsidRDefault="009535A4" w:rsidP="003F3D5D">
      <w:r w:rsidRPr="00B351A2">
        <w:rPr>
          <w:noProof/>
          <w:lang w:val="en-GB" w:eastAsia="en-GB"/>
        </w:rPr>
        <mc:AlternateContent>
          <mc:Choice Requires="wps">
            <w:drawing>
              <wp:anchor distT="0" distB="0" distL="114300" distR="114300" simplePos="0" relativeHeight="251639808" behindDoc="0" locked="0" layoutInCell="1" allowOverlap="1" wp14:anchorId="6A803160" wp14:editId="52F30F1C">
                <wp:simplePos x="0" y="0"/>
                <wp:positionH relativeFrom="column">
                  <wp:posOffset>-314960</wp:posOffset>
                </wp:positionH>
                <wp:positionV relativeFrom="paragraph">
                  <wp:posOffset>115570</wp:posOffset>
                </wp:positionV>
                <wp:extent cx="3220085" cy="484505"/>
                <wp:effectExtent l="0" t="0" r="0" b="0"/>
                <wp:wrapNone/>
                <wp:docPr id="26" name="Rectángulo 3"/>
                <wp:cNvGraphicFramePr/>
                <a:graphic xmlns:a="http://schemas.openxmlformats.org/drawingml/2006/main">
                  <a:graphicData uri="http://schemas.microsoft.com/office/word/2010/wordprocessingShape">
                    <wps:wsp>
                      <wps:cNvSpPr/>
                      <wps:spPr>
                        <a:xfrm>
                          <a:off x="0" y="0"/>
                          <a:ext cx="3220085" cy="484505"/>
                        </a:xfrm>
                        <a:prstGeom prst="rect">
                          <a:avLst/>
                        </a:prstGeom>
                        <a:noFill/>
                        <a:ln>
                          <a:noFill/>
                        </a:ln>
                      </wps:spPr>
                      <wps:style>
                        <a:lnRef idx="1">
                          <a:schemeClr val="accent1"/>
                        </a:lnRef>
                        <a:fillRef idx="3">
                          <a:schemeClr val="accent1"/>
                        </a:fillRef>
                        <a:effectRef idx="2">
                          <a:schemeClr val="accent1"/>
                        </a:effectRef>
                        <a:fontRef idx="minor">
                          <a:schemeClr val="lt1"/>
                        </a:fontRef>
                      </wps:style>
                      <wps:txbx>
                        <w:txbxContent>
                          <w:p w14:paraId="6EC814E1" w14:textId="0900632F" w:rsidR="003F3D5D" w:rsidRPr="00632307" w:rsidRDefault="009535A4" w:rsidP="003F3D5D">
                            <w:pPr>
                              <w:rPr>
                                <w:i/>
                                <w:color w:val="767171" w:themeColor="background2" w:themeShade="80"/>
                                <w:lang w:val="es-ES"/>
                              </w:rPr>
                            </w:pPr>
                            <w:r w:rsidRPr="00632307">
                              <w:rPr>
                                <w:i/>
                                <w:color w:val="767171" w:themeColor="background2" w:themeShade="80"/>
                                <w:lang w:val="es-ES"/>
                              </w:rPr>
                              <w:t>Madrid</w:t>
                            </w:r>
                            <w:r w:rsidR="003F3D5D" w:rsidRPr="00632307">
                              <w:rPr>
                                <w:i/>
                                <w:color w:val="767171" w:themeColor="background2" w:themeShade="80"/>
                                <w:lang w:val="es-ES"/>
                              </w:rPr>
                              <w:t xml:space="preserve">, </w:t>
                            </w:r>
                            <w:r w:rsidR="00632307" w:rsidRPr="00632307">
                              <w:rPr>
                                <w:i/>
                                <w:color w:val="767171" w:themeColor="background2" w:themeShade="80"/>
                                <w:lang w:val="es-ES"/>
                              </w:rPr>
                              <w:t>España</w:t>
                            </w:r>
                            <w:r w:rsidRPr="00632307">
                              <w:rPr>
                                <w:i/>
                                <w:color w:val="767171" w:themeColor="background2" w:themeShade="80"/>
                                <w:lang w:val="es-ES"/>
                              </w:rPr>
                              <w:t xml:space="preserve">. </w:t>
                            </w:r>
                            <w:r w:rsidR="003F3D5D" w:rsidRPr="00632307">
                              <w:rPr>
                                <w:i/>
                                <w:color w:val="767171" w:themeColor="background2" w:themeShade="80"/>
                                <w:lang w:val="es-ES"/>
                              </w:rPr>
                              <w:t xml:space="preserve"> </w:t>
                            </w:r>
                            <w:r w:rsidRPr="00632307">
                              <w:rPr>
                                <w:i/>
                                <w:color w:val="767171" w:themeColor="background2" w:themeShade="80"/>
                                <w:lang w:val="es-ES"/>
                              </w:rPr>
                              <w:t>31</w:t>
                            </w:r>
                            <w:r w:rsidR="00632307" w:rsidRPr="00632307">
                              <w:rPr>
                                <w:i/>
                                <w:color w:val="767171" w:themeColor="background2" w:themeShade="80"/>
                                <w:lang w:val="es-ES"/>
                              </w:rPr>
                              <w:t xml:space="preserve"> de Enero de </w:t>
                            </w:r>
                            <w:r w:rsidRPr="00632307">
                              <w:rPr>
                                <w:i/>
                                <w:color w:val="767171" w:themeColor="background2" w:themeShade="80"/>
                                <w:lang w:val="es-ES"/>
                              </w:rPr>
                              <w:t>2019</w:t>
                            </w:r>
                            <w:r w:rsidR="003F3D5D" w:rsidRPr="00632307">
                              <w:rPr>
                                <w:i/>
                                <w:color w:val="767171" w:themeColor="background2" w:themeShade="80"/>
                                <w:lang w:val="es-ES"/>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A803160" id="_x0000_s1027" style="position:absolute;margin-left:-24.8pt;margin-top:9.1pt;width:253.55pt;height:38.15pt;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" filled="f" stroked="f" strokeweight=".5pt">
                <v:textbox>
                  <w:txbxContent>
                    <w:p w14:paraId="6EC814E1" w14:textId="0900632F" w:rsidR="003F3D5D" w:rsidRPr="00632307" w:rsidRDefault="009535A4" w:rsidP="003F3D5D">
                      <w:pPr>
                        <w:rPr>
                          <w:i/>
                          <w:color w:val="767171" w:themeColor="background2" w:themeShade="80"/>
                          <w:lang w:val="es-ES"/>
                        </w:rPr>
                      </w:pPr>
                      <w:r w:rsidRPr="00632307">
                        <w:rPr>
                          <w:i/>
                          <w:color w:val="767171" w:themeColor="background2" w:themeShade="80"/>
                          <w:lang w:val="es-ES"/>
                        </w:rPr>
                        <w:t>Madrid</w:t>
                      </w:r>
                      <w:r w:rsidR="003F3D5D" w:rsidRPr="00632307">
                        <w:rPr>
                          <w:i/>
                          <w:color w:val="767171" w:themeColor="background2" w:themeShade="80"/>
                          <w:lang w:val="es-ES"/>
                        </w:rPr>
                        <w:t xml:space="preserve">, </w:t>
                      </w:r>
                      <w:r w:rsidR="00632307" w:rsidRPr="00632307">
                        <w:rPr>
                          <w:i/>
                          <w:color w:val="767171" w:themeColor="background2" w:themeShade="80"/>
                          <w:lang w:val="es-ES"/>
                        </w:rPr>
                        <w:t>España</w:t>
                      </w:r>
                      <w:r w:rsidRPr="00632307">
                        <w:rPr>
                          <w:i/>
                          <w:color w:val="767171" w:themeColor="background2" w:themeShade="80"/>
                          <w:lang w:val="es-ES"/>
                        </w:rPr>
                        <w:t xml:space="preserve">. </w:t>
                      </w:r>
                      <w:r w:rsidR="003F3D5D" w:rsidRPr="00632307">
                        <w:rPr>
                          <w:i/>
                          <w:color w:val="767171" w:themeColor="background2" w:themeShade="80"/>
                          <w:lang w:val="es-ES"/>
                        </w:rPr>
                        <w:t xml:space="preserve"> </w:t>
                      </w:r>
                      <w:r w:rsidRPr="00632307">
                        <w:rPr>
                          <w:i/>
                          <w:color w:val="767171" w:themeColor="background2" w:themeShade="80"/>
                          <w:lang w:val="es-ES"/>
                        </w:rPr>
                        <w:t>31</w:t>
                      </w:r>
                      <w:r w:rsidR="00632307" w:rsidRPr="00632307">
                        <w:rPr>
                          <w:i/>
                          <w:color w:val="767171" w:themeColor="background2" w:themeShade="80"/>
                          <w:lang w:val="es-ES"/>
                        </w:rPr>
                        <w:t xml:space="preserve"> de Enero de </w:t>
                      </w:r>
                      <w:r w:rsidRPr="00632307">
                        <w:rPr>
                          <w:i/>
                          <w:color w:val="767171" w:themeColor="background2" w:themeShade="80"/>
                          <w:lang w:val="es-ES"/>
                        </w:rPr>
                        <w:t>2019</w:t>
                      </w:r>
                      <w:r w:rsidR="003F3D5D" w:rsidRPr="00632307">
                        <w:rPr>
                          <w:i/>
                          <w:color w:val="767171" w:themeColor="background2" w:themeShade="80"/>
                          <w:lang w:val="es-ES"/>
                        </w:rPr>
                        <w:t xml:space="preserve"> </w:t>
                      </w:r>
                    </w:p>
                  </w:txbxContent>
                </v:textbox>
              </v:rect>
            </w:pict>
          </mc:Fallback>
        </mc:AlternateContent>
      </w:r>
      <w:r>
        <w:rPr>
          <w:noProof/>
          <w:lang w:val="en-GB" w:eastAsia="en-GB"/>
        </w:rPr>
        <mc:AlternateContent>
          <mc:Choice Requires="wps">
            <w:drawing>
              <wp:anchor distT="0" distB="0" distL="114300" distR="114300" simplePos="0" relativeHeight="251683840" behindDoc="0" locked="0" layoutInCell="1" allowOverlap="1" wp14:anchorId="1E8919AE" wp14:editId="0CAAF40B">
                <wp:simplePos x="0" y="0"/>
                <wp:positionH relativeFrom="column">
                  <wp:posOffset>-222885</wp:posOffset>
                </wp:positionH>
                <wp:positionV relativeFrom="paragraph">
                  <wp:posOffset>147320</wp:posOffset>
                </wp:positionV>
                <wp:extent cx="2857500" cy="19050"/>
                <wp:effectExtent l="0" t="0" r="19050" b="19050"/>
                <wp:wrapNone/>
                <wp:docPr id="24" name="Conector recto 24"/>
                <wp:cNvGraphicFramePr/>
                <a:graphic xmlns:a="http://schemas.openxmlformats.org/drawingml/2006/main">
                  <a:graphicData uri="http://schemas.microsoft.com/office/word/2010/wordprocessingShape">
                    <wps:wsp>
                      <wps:cNvCnPr/>
                      <wps:spPr>
                        <a:xfrm>
                          <a:off x="0" y="0"/>
                          <a:ext cx="2857500" cy="19050"/>
                        </a:xfrm>
                        <a:prstGeom prst="line">
                          <a:avLst/>
                        </a:prstGeom>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20C66FCD" id="Conector recto 24" o:spid="_x0000_s1026" style="position:absolute;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55pt,11.6pt" to="207.45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" strokecolor="#70ad47 [3209]" strokeweight=".5pt">
                <v:stroke joinstyle="miter"/>
              </v:line>
            </w:pict>
          </mc:Fallback>
        </mc:AlternateContent>
      </w:r>
    </w:p>
    <w:p w14:paraId="0A75A9B8" w14:textId="49E60741" w:rsidR="00553895" w:rsidRDefault="003F3D5D" w:rsidP="003F3D5D">
      <w:pPr>
        <w:tabs>
          <w:tab w:val="left" w:pos="2637"/>
        </w:tabs>
      </w:pPr>
      <w:r>
        <w:tab/>
      </w:r>
    </w:p>
    <w:p w14:paraId="18B132F0" w14:textId="0C6A5E47" w:rsidR="0059149B" w:rsidRPr="00FB785C" w:rsidRDefault="00632307" w:rsidP="0059149B">
      <w:pPr>
        <w:shd w:val="clear" w:color="auto" w:fill="FFFFFF"/>
        <w:spacing w:after="0" w:line="240" w:lineRule="auto"/>
        <w:rPr>
          <w:b/>
          <w:color w:val="92D050"/>
          <w:sz w:val="36"/>
          <w:lang w:val="es-ES"/>
        </w:rPr>
      </w:pPr>
      <w:r>
        <w:rPr>
          <w:b/>
          <w:color w:val="92D050"/>
          <w:sz w:val="36"/>
          <w:lang w:val="es-ES"/>
        </w:rPr>
        <w:t>D</w:t>
      </w:r>
      <w:r w:rsidRPr="00632307">
        <w:rPr>
          <w:b/>
          <w:color w:val="92D050"/>
          <w:sz w:val="36"/>
          <w:lang w:val="es-ES"/>
        </w:rPr>
        <w:t>escripción de la OPD</w:t>
      </w:r>
    </w:p>
    <w:p w14:paraId="60FBF15C" w14:textId="77777777" w:rsidR="0059149B" w:rsidRPr="00FB785C" w:rsidRDefault="0059149B" w:rsidP="0059149B">
      <w:pPr>
        <w:shd w:val="clear" w:color="auto" w:fill="FFFFFF"/>
        <w:spacing w:after="0" w:line="240" w:lineRule="auto"/>
        <w:rPr>
          <w:color w:val="767171" w:themeColor="background2" w:themeShade="80"/>
          <w:sz w:val="24"/>
          <w:lang w:val="es-ES"/>
        </w:rPr>
      </w:pPr>
      <w:r w:rsidRPr="00FB785C">
        <w:rPr>
          <w:color w:val="767171" w:themeColor="background2" w:themeShade="80"/>
          <w:sz w:val="24"/>
          <w:lang w:val="es-ES"/>
        </w:rPr>
        <w:t xml:space="preserve"> </w:t>
      </w:r>
    </w:p>
    <w:p w14:paraId="74BAEBD4" w14:textId="6536B919" w:rsidR="00AC6D2C" w:rsidRPr="00AC6D2C" w:rsidRDefault="00AC6D2C" w:rsidP="00E0477C">
      <w:pPr>
        <w:shd w:val="clear" w:color="auto" w:fill="FFFFFF"/>
        <w:spacing w:after="0" w:line="240" w:lineRule="auto"/>
        <w:ind w:firstLine="708"/>
        <w:rPr>
          <w:color w:val="767171" w:themeColor="background2" w:themeShade="80"/>
          <w:sz w:val="24"/>
          <w:lang w:val="es-ES"/>
        </w:rPr>
      </w:pPr>
      <w:r w:rsidRPr="00AC6D2C">
        <w:rPr>
          <w:color w:val="767171" w:themeColor="background2" w:themeShade="80"/>
          <w:sz w:val="24"/>
          <w:lang w:val="es-ES"/>
        </w:rPr>
        <w:t>La asociación “Inclusiva Sí, Especial TAMBIÉN” en una Organización para Personas con Discapacidad, y está formada por personas con discapacidad intelectual, sus familias y docentes, que creemos y defendemos el derecho de todas las personas con discapacidad a gozar de una inclusión real en la sociedad en todos sus ámbitos, y pensamos que ello se puede lograr estando escolarizados tanto en centros ordinarios como en centros de Educación Especial. No pertenecemos a ningún partido político ni organización sectorial. Tampoco estamos adscritos a ninguna confesión religiosa.</w:t>
      </w:r>
    </w:p>
    <w:p w14:paraId="3C673DE6" w14:textId="21CE1523" w:rsidR="0059149B" w:rsidRPr="00A77965" w:rsidRDefault="00AC6D2C" w:rsidP="00AC6D2C">
      <w:pPr>
        <w:shd w:val="clear" w:color="auto" w:fill="FFFFFF"/>
        <w:spacing w:after="0" w:line="240" w:lineRule="auto"/>
        <w:rPr>
          <w:color w:val="767171" w:themeColor="background2" w:themeShade="80"/>
          <w:sz w:val="24"/>
          <w:lang w:val="es-ES"/>
        </w:rPr>
      </w:pPr>
      <w:r w:rsidRPr="00AC6D2C">
        <w:rPr>
          <w:color w:val="767171" w:themeColor="background2" w:themeShade="80"/>
          <w:sz w:val="24"/>
          <w:lang w:val="es-ES"/>
        </w:rPr>
        <w:t xml:space="preserve"> </w:t>
      </w:r>
      <w:hyperlink r:id="rId7" w:history="1">
        <w:r w:rsidRPr="00A77965">
          <w:rPr>
            <w:rStyle w:val="Hyperlink"/>
            <w:sz w:val="24"/>
            <w:lang w:val="es-ES"/>
          </w:rPr>
          <w:t>https://www.inclusivasiespecialtambien.org/</w:t>
        </w:r>
      </w:hyperlink>
      <w:r w:rsidR="00A66440">
        <w:rPr>
          <w:color w:val="767171" w:themeColor="background2" w:themeShade="80"/>
          <w:sz w:val="24"/>
          <w:lang w:val="en-GB"/>
        </w:rPr>
        <w:t xml:space="preserve"> .</w:t>
      </w:r>
    </w:p>
    <w:p w14:paraId="5FBE7479" w14:textId="77777777" w:rsidR="0059149B" w:rsidRPr="00A77965" w:rsidRDefault="0059149B" w:rsidP="0059149B">
      <w:pPr>
        <w:shd w:val="clear" w:color="auto" w:fill="FFFFFF"/>
        <w:spacing w:after="0" w:line="240" w:lineRule="auto"/>
        <w:rPr>
          <w:color w:val="767171" w:themeColor="background2" w:themeShade="80"/>
          <w:sz w:val="24"/>
          <w:lang w:val="es-ES"/>
        </w:rPr>
      </w:pPr>
      <w:r w:rsidRPr="00A77965">
        <w:rPr>
          <w:color w:val="767171" w:themeColor="background2" w:themeShade="80"/>
          <w:sz w:val="24"/>
          <w:lang w:val="es-ES"/>
        </w:rPr>
        <w:t xml:space="preserve"> </w:t>
      </w:r>
    </w:p>
    <w:p w14:paraId="28873095" w14:textId="01C2BCF4" w:rsidR="0059149B" w:rsidRPr="00A77965" w:rsidRDefault="00A77965" w:rsidP="0059149B">
      <w:pPr>
        <w:shd w:val="clear" w:color="auto" w:fill="FFFFFF"/>
        <w:spacing w:after="0" w:line="240" w:lineRule="auto"/>
        <w:rPr>
          <w:b/>
          <w:color w:val="92D050"/>
          <w:sz w:val="36"/>
          <w:lang w:val="es-ES"/>
        </w:rPr>
      </w:pPr>
      <w:r w:rsidRPr="00A77965">
        <w:rPr>
          <w:b/>
          <w:color w:val="92D050"/>
          <w:sz w:val="36"/>
          <w:lang w:val="es-ES"/>
        </w:rPr>
        <w:t>Objetivos de la OPD</w:t>
      </w:r>
    </w:p>
    <w:p w14:paraId="655F89CF" w14:textId="77777777" w:rsidR="0059149B" w:rsidRPr="00A77965" w:rsidRDefault="0059149B" w:rsidP="0059149B">
      <w:pPr>
        <w:shd w:val="clear" w:color="auto" w:fill="FFFFFF"/>
        <w:spacing w:after="0" w:line="240" w:lineRule="auto"/>
        <w:rPr>
          <w:color w:val="767171" w:themeColor="background2" w:themeShade="80"/>
          <w:sz w:val="24"/>
          <w:lang w:val="es-ES"/>
        </w:rPr>
      </w:pPr>
      <w:r w:rsidRPr="00A77965">
        <w:rPr>
          <w:color w:val="767171" w:themeColor="background2" w:themeShade="80"/>
          <w:sz w:val="24"/>
          <w:lang w:val="es-ES"/>
        </w:rPr>
        <w:t xml:space="preserve"> </w:t>
      </w:r>
    </w:p>
    <w:p w14:paraId="0F9B9468" w14:textId="34BAE916" w:rsidR="00705116" w:rsidRPr="00705116" w:rsidRDefault="00705116" w:rsidP="00E0477C">
      <w:pPr>
        <w:shd w:val="clear" w:color="auto" w:fill="FFFFFF"/>
        <w:spacing w:after="0" w:line="240" w:lineRule="auto"/>
        <w:ind w:firstLine="708"/>
        <w:rPr>
          <w:color w:val="767171" w:themeColor="background2" w:themeShade="80"/>
          <w:sz w:val="24"/>
          <w:lang w:val="es-ES"/>
        </w:rPr>
      </w:pPr>
      <w:r w:rsidRPr="00705116">
        <w:rPr>
          <w:color w:val="767171" w:themeColor="background2" w:themeShade="80"/>
          <w:sz w:val="24"/>
          <w:lang w:val="es-ES"/>
        </w:rPr>
        <w:t>El objetivo de la Plataforma es garantizar el derecho de los alumnos y alumnas con discapacidad a seguir escolarizados en los centros de Educación Especial y en aulas específicas.</w:t>
      </w:r>
    </w:p>
    <w:p w14:paraId="5E9922C3" w14:textId="77777777" w:rsidR="00705116" w:rsidRPr="00705116" w:rsidRDefault="00705116" w:rsidP="00705116">
      <w:pPr>
        <w:shd w:val="clear" w:color="auto" w:fill="FFFFFF"/>
        <w:spacing w:after="0" w:line="240" w:lineRule="auto"/>
        <w:rPr>
          <w:color w:val="767171" w:themeColor="background2" w:themeShade="80"/>
          <w:sz w:val="24"/>
          <w:lang w:val="es-ES"/>
        </w:rPr>
      </w:pPr>
    </w:p>
    <w:p w14:paraId="33D76988" w14:textId="77777777" w:rsidR="00705116" w:rsidRPr="00705116" w:rsidRDefault="00705116" w:rsidP="00E0477C">
      <w:pPr>
        <w:shd w:val="clear" w:color="auto" w:fill="FFFFFF"/>
        <w:spacing w:after="0" w:line="240" w:lineRule="auto"/>
        <w:ind w:firstLine="708"/>
        <w:rPr>
          <w:color w:val="767171" w:themeColor="background2" w:themeShade="80"/>
          <w:sz w:val="24"/>
          <w:lang w:val="es-ES"/>
        </w:rPr>
      </w:pPr>
      <w:r w:rsidRPr="00705116">
        <w:rPr>
          <w:color w:val="767171" w:themeColor="background2" w:themeShade="80"/>
          <w:sz w:val="24"/>
          <w:lang w:val="es-ES"/>
        </w:rPr>
        <w:t>Nosotros luchamos para que todas las personas con discapacidad reciban una educación de calidad que les permita una inclusión real en la sociedad en la que viven.</w:t>
      </w:r>
    </w:p>
    <w:p w14:paraId="69F86650" w14:textId="77777777" w:rsidR="00705116" w:rsidRPr="00705116" w:rsidRDefault="00705116" w:rsidP="00705116">
      <w:pPr>
        <w:shd w:val="clear" w:color="auto" w:fill="FFFFFF"/>
        <w:spacing w:after="0" w:line="240" w:lineRule="auto"/>
        <w:rPr>
          <w:color w:val="767171" w:themeColor="background2" w:themeShade="80"/>
          <w:sz w:val="24"/>
          <w:lang w:val="es-ES"/>
        </w:rPr>
      </w:pPr>
    </w:p>
    <w:p w14:paraId="7979F814" w14:textId="77777777" w:rsidR="00705116" w:rsidRPr="00705116" w:rsidRDefault="00705116" w:rsidP="00E0477C">
      <w:pPr>
        <w:shd w:val="clear" w:color="auto" w:fill="FFFFFF"/>
        <w:spacing w:after="0" w:line="240" w:lineRule="auto"/>
        <w:ind w:firstLine="708"/>
        <w:rPr>
          <w:color w:val="767171" w:themeColor="background2" w:themeShade="80"/>
          <w:sz w:val="24"/>
          <w:lang w:val="es-ES"/>
        </w:rPr>
      </w:pPr>
      <w:r w:rsidRPr="00705116">
        <w:rPr>
          <w:color w:val="767171" w:themeColor="background2" w:themeShade="80"/>
          <w:sz w:val="24"/>
          <w:lang w:val="es-ES"/>
        </w:rPr>
        <w:t>Para que la sociedad sea inclusiva no es obligatorio que todos los niños y niñas asistan a aulas ordinarias. Los que van a centros de Educación Especial están perfectamente integrados e incluidos en la sociedad, a través de otras actividades no académicas.</w:t>
      </w:r>
    </w:p>
    <w:p w14:paraId="572F227B" w14:textId="77777777" w:rsidR="00705116" w:rsidRPr="00705116" w:rsidRDefault="00705116" w:rsidP="00705116">
      <w:pPr>
        <w:shd w:val="clear" w:color="auto" w:fill="FFFFFF"/>
        <w:spacing w:after="0" w:line="240" w:lineRule="auto"/>
        <w:rPr>
          <w:color w:val="767171" w:themeColor="background2" w:themeShade="80"/>
          <w:sz w:val="24"/>
          <w:lang w:val="es-ES"/>
        </w:rPr>
      </w:pPr>
    </w:p>
    <w:p w14:paraId="60ACCAE6" w14:textId="44CCFC31" w:rsidR="0059149B" w:rsidRPr="007E167A" w:rsidRDefault="00705116" w:rsidP="00E0477C">
      <w:pPr>
        <w:shd w:val="clear" w:color="auto" w:fill="FFFFFF"/>
        <w:spacing w:after="0" w:line="240" w:lineRule="auto"/>
        <w:ind w:firstLine="708"/>
        <w:rPr>
          <w:color w:val="767171" w:themeColor="background2" w:themeShade="80"/>
          <w:sz w:val="24"/>
          <w:lang w:val="en-GB"/>
        </w:rPr>
      </w:pPr>
      <w:r w:rsidRPr="00705116">
        <w:rPr>
          <w:color w:val="767171" w:themeColor="background2" w:themeShade="80"/>
          <w:sz w:val="24"/>
          <w:lang w:val="es-ES"/>
        </w:rPr>
        <w:t xml:space="preserve">Apoyamos que los padres y madres que lo deseen puedan llevar a sus hijos e hijas a centros ordinarios. Pero queremos dejar claro que la inclusión no se circunscribe a la educación en centros ordinarios. </w:t>
      </w:r>
      <w:r w:rsidRPr="00705116">
        <w:rPr>
          <w:color w:val="767171" w:themeColor="background2" w:themeShade="80"/>
          <w:sz w:val="24"/>
          <w:lang w:val="en-GB"/>
        </w:rPr>
        <w:t>La inclusión es social, familiar, laboral, en el ocio, ...</w:t>
      </w:r>
    </w:p>
    <w:p w14:paraId="5FF0BFE8" w14:textId="77777777" w:rsidR="0059149B" w:rsidRPr="007E167A" w:rsidRDefault="0059149B" w:rsidP="0059149B">
      <w:pPr>
        <w:shd w:val="clear" w:color="auto" w:fill="FFFFFF"/>
        <w:spacing w:after="0" w:line="240" w:lineRule="auto"/>
        <w:rPr>
          <w:color w:val="767171" w:themeColor="background2" w:themeShade="80"/>
          <w:sz w:val="24"/>
          <w:lang w:val="en-GB"/>
        </w:rPr>
      </w:pPr>
      <w:r w:rsidRPr="007E167A">
        <w:rPr>
          <w:color w:val="767171" w:themeColor="background2" w:themeShade="80"/>
          <w:sz w:val="24"/>
          <w:lang w:val="en-GB"/>
        </w:rPr>
        <w:t xml:space="preserve"> </w:t>
      </w:r>
    </w:p>
    <w:p w14:paraId="331B1090" w14:textId="77777777" w:rsidR="00957DD8" w:rsidRDefault="00957DD8" w:rsidP="0059149B">
      <w:pPr>
        <w:shd w:val="clear" w:color="auto" w:fill="FFFFFF"/>
        <w:spacing w:after="0" w:line="240" w:lineRule="auto"/>
        <w:rPr>
          <w:b/>
          <w:color w:val="92D050"/>
          <w:sz w:val="36"/>
          <w:lang w:val="en-GB"/>
        </w:rPr>
      </w:pPr>
    </w:p>
    <w:p w14:paraId="1AC214D4" w14:textId="77777777" w:rsidR="00957DD8" w:rsidRDefault="00957DD8" w:rsidP="0059149B">
      <w:pPr>
        <w:shd w:val="clear" w:color="auto" w:fill="FFFFFF"/>
        <w:spacing w:after="0" w:line="240" w:lineRule="auto"/>
        <w:rPr>
          <w:b/>
          <w:color w:val="92D050"/>
          <w:sz w:val="36"/>
          <w:lang w:val="en-GB"/>
        </w:rPr>
      </w:pPr>
    </w:p>
    <w:p w14:paraId="4F53505F" w14:textId="77777777" w:rsidR="00957DD8" w:rsidRDefault="00957DD8" w:rsidP="0059149B">
      <w:pPr>
        <w:shd w:val="clear" w:color="auto" w:fill="FFFFFF"/>
        <w:spacing w:after="0" w:line="240" w:lineRule="auto"/>
        <w:rPr>
          <w:b/>
          <w:color w:val="92D050"/>
          <w:sz w:val="36"/>
          <w:lang w:val="en-GB"/>
        </w:rPr>
      </w:pPr>
    </w:p>
    <w:p w14:paraId="31FF05C4" w14:textId="22A5D7C4" w:rsidR="0059149B" w:rsidRPr="00E0477C" w:rsidRDefault="00957DD8" w:rsidP="0059149B">
      <w:pPr>
        <w:shd w:val="clear" w:color="auto" w:fill="FFFFFF"/>
        <w:spacing w:after="0" w:line="240" w:lineRule="auto"/>
        <w:rPr>
          <w:b/>
          <w:color w:val="92D050"/>
          <w:sz w:val="36"/>
          <w:lang w:val="es-ES"/>
        </w:rPr>
      </w:pPr>
      <w:r w:rsidRPr="00E0477C">
        <w:rPr>
          <w:b/>
          <w:color w:val="92D050"/>
          <w:sz w:val="36"/>
          <w:lang w:val="es-ES"/>
        </w:rPr>
        <w:t>Miembros de la OPD</w:t>
      </w:r>
    </w:p>
    <w:p w14:paraId="7F6EEB60" w14:textId="77777777" w:rsidR="00E0477C" w:rsidRDefault="0059149B" w:rsidP="0059149B">
      <w:pPr>
        <w:shd w:val="clear" w:color="auto" w:fill="FFFFFF"/>
        <w:spacing w:after="0" w:line="240" w:lineRule="auto"/>
        <w:rPr>
          <w:color w:val="767171" w:themeColor="background2" w:themeShade="80"/>
          <w:sz w:val="24"/>
          <w:lang w:val="es-ES"/>
        </w:rPr>
      </w:pPr>
      <w:r w:rsidRPr="00E0477C">
        <w:rPr>
          <w:color w:val="767171" w:themeColor="background2" w:themeShade="80"/>
          <w:sz w:val="24"/>
          <w:lang w:val="es-ES"/>
        </w:rPr>
        <w:t xml:space="preserve"> </w:t>
      </w:r>
    </w:p>
    <w:p w14:paraId="010EF670" w14:textId="3B88028A" w:rsidR="0059149B" w:rsidRPr="00E0477C" w:rsidRDefault="00E0477C" w:rsidP="00067E0E">
      <w:pPr>
        <w:shd w:val="clear" w:color="auto" w:fill="FFFFFF"/>
        <w:spacing w:after="0" w:line="240" w:lineRule="auto"/>
        <w:ind w:firstLine="708"/>
        <w:rPr>
          <w:color w:val="767171" w:themeColor="background2" w:themeShade="80"/>
          <w:sz w:val="24"/>
          <w:lang w:val="es-ES"/>
        </w:rPr>
      </w:pPr>
      <w:r w:rsidRPr="00E0477C">
        <w:rPr>
          <w:color w:val="767171" w:themeColor="background2" w:themeShade="80"/>
          <w:sz w:val="24"/>
          <w:lang w:val="es-ES"/>
        </w:rPr>
        <w:t xml:space="preserve">Actualmente contamos con más de 90 entidades adheridas, entre las que se cuentan colegios de educación especial de reconocido prestigio, centros de atención temprana, centros especiales de empleo, y grupos de ocio e inclusión deportiva, Fundaciones y el apoyo de más de 200.000 personas físicas que han firmado en apoyo de una petición para eliminar una fuente probada y documentada de inclusión en España. La lista completa de entidades se puede consultar en </w:t>
      </w:r>
      <w:hyperlink r:id="rId8" w:history="1">
        <w:r w:rsidR="008D3894" w:rsidRPr="00355D3C">
          <w:rPr>
            <w:rStyle w:val="Hyperlink"/>
            <w:sz w:val="24"/>
            <w:lang w:val="es-ES"/>
          </w:rPr>
          <w:t>https://www.inclusivasiespecialtambien.org/entidades-adheridas</w:t>
        </w:r>
      </w:hyperlink>
      <w:r w:rsidR="008D3894">
        <w:rPr>
          <w:color w:val="767171" w:themeColor="background2" w:themeShade="80"/>
          <w:sz w:val="24"/>
          <w:lang w:val="es-ES"/>
        </w:rPr>
        <w:t xml:space="preserve"> </w:t>
      </w:r>
      <w:r w:rsidRPr="00E0477C">
        <w:rPr>
          <w:color w:val="767171" w:themeColor="background2" w:themeShade="80"/>
          <w:sz w:val="24"/>
          <w:lang w:val="es-ES"/>
        </w:rPr>
        <w:t>.</w:t>
      </w:r>
    </w:p>
    <w:p w14:paraId="3610E5C7" w14:textId="77777777" w:rsidR="0059149B" w:rsidRPr="00E0477C" w:rsidRDefault="0059149B" w:rsidP="0059149B">
      <w:pPr>
        <w:spacing w:after="0" w:line="240" w:lineRule="auto"/>
        <w:rPr>
          <w:color w:val="767171" w:themeColor="background2" w:themeShade="80"/>
          <w:sz w:val="24"/>
          <w:lang w:val="es-ES"/>
        </w:rPr>
      </w:pPr>
    </w:p>
    <w:p w14:paraId="414BDAE3" w14:textId="438D5044" w:rsidR="0059149B" w:rsidRPr="00E0477C" w:rsidRDefault="0059149B" w:rsidP="0059149B">
      <w:pPr>
        <w:rPr>
          <w:rFonts w:ascii="Arial" w:eastAsia="Times New Roman" w:hAnsi="Arial" w:cs="Arial"/>
          <w:b/>
          <w:bCs/>
          <w:color w:val="000000"/>
          <w:lang w:val="es-ES" w:eastAsia="es-ES"/>
        </w:rPr>
      </w:pPr>
    </w:p>
    <w:p w14:paraId="1619025F" w14:textId="0651D65F" w:rsidR="0059149B" w:rsidRPr="008F6BD6" w:rsidRDefault="00D27F28" w:rsidP="0059149B">
      <w:pPr>
        <w:spacing w:after="0" w:line="240" w:lineRule="auto"/>
        <w:rPr>
          <w:b/>
          <w:color w:val="92D050"/>
          <w:sz w:val="36"/>
          <w:lang w:val="es-ES"/>
        </w:rPr>
      </w:pPr>
      <w:r w:rsidRPr="008F6BD6">
        <w:rPr>
          <w:b/>
          <w:color w:val="92D050"/>
          <w:sz w:val="36"/>
          <w:lang w:val="es-ES"/>
        </w:rPr>
        <w:t>Resumen Ejecutivo</w:t>
      </w:r>
    </w:p>
    <w:p w14:paraId="587CAA10" w14:textId="77777777" w:rsidR="0059149B" w:rsidRPr="008F6BD6" w:rsidRDefault="0059149B" w:rsidP="0059149B">
      <w:pPr>
        <w:spacing w:after="0" w:line="240" w:lineRule="auto"/>
        <w:rPr>
          <w:color w:val="767171" w:themeColor="background2" w:themeShade="80"/>
          <w:sz w:val="24"/>
          <w:lang w:val="es-ES"/>
        </w:rPr>
      </w:pPr>
    </w:p>
    <w:p w14:paraId="3722F23C" w14:textId="44EC8340" w:rsidR="008F6BD6" w:rsidRPr="008F6BD6" w:rsidRDefault="008F6BD6" w:rsidP="008F6BD6">
      <w:pPr>
        <w:shd w:val="clear" w:color="auto" w:fill="FFFFFF"/>
        <w:spacing w:after="0" w:line="240" w:lineRule="auto"/>
        <w:ind w:firstLine="708"/>
        <w:rPr>
          <w:color w:val="767171" w:themeColor="background2" w:themeShade="80"/>
          <w:sz w:val="24"/>
          <w:lang w:val="es-ES"/>
        </w:rPr>
      </w:pPr>
      <w:r w:rsidRPr="008F6BD6">
        <w:rPr>
          <w:color w:val="767171" w:themeColor="background2" w:themeShade="80"/>
          <w:sz w:val="24"/>
          <w:lang w:val="es-ES"/>
        </w:rPr>
        <w:t xml:space="preserve">La discapacidad intelectual es diversa en todas sus manifestaciones (capacidad de aprendizaje, inteligencia emocional y conductas adaptativas). El derecho humano a la educación es indivisible e interdependiente con otros derechos humanos tales como la seguridad, el bienestar emocional, la salud, la habilitación o la protección social. La evaluación de los niños con este tipo de discapacidad se ha de hacer de manera holística y teniendo en cuenta la opinión del menor (os sus padres, según la edad que tenga), los profesionales educadores y las autoridades relevantes. </w:t>
      </w:r>
    </w:p>
    <w:p w14:paraId="52B3AFF4" w14:textId="77777777" w:rsidR="008F6BD6" w:rsidRPr="008F6BD6" w:rsidRDefault="008F6BD6" w:rsidP="008F6BD6">
      <w:pPr>
        <w:shd w:val="clear" w:color="auto" w:fill="FFFFFF"/>
        <w:spacing w:after="0" w:line="240" w:lineRule="auto"/>
        <w:rPr>
          <w:color w:val="767171" w:themeColor="background2" w:themeShade="80"/>
          <w:sz w:val="24"/>
          <w:lang w:val="es-ES"/>
        </w:rPr>
      </w:pPr>
    </w:p>
    <w:p w14:paraId="5271FA68" w14:textId="77777777" w:rsidR="008F6BD6" w:rsidRPr="008F6BD6" w:rsidRDefault="008F6BD6" w:rsidP="008F6BD6">
      <w:pPr>
        <w:shd w:val="clear" w:color="auto" w:fill="FFFFFF"/>
        <w:spacing w:after="0" w:line="240" w:lineRule="auto"/>
        <w:ind w:firstLine="708"/>
        <w:rPr>
          <w:color w:val="767171" w:themeColor="background2" w:themeShade="80"/>
          <w:sz w:val="24"/>
          <w:lang w:val="es-ES"/>
        </w:rPr>
      </w:pPr>
      <w:r w:rsidRPr="008F6BD6">
        <w:rPr>
          <w:color w:val="767171" w:themeColor="background2" w:themeShade="80"/>
          <w:sz w:val="24"/>
          <w:lang w:val="es-ES"/>
        </w:rPr>
        <w:t>En este proceso se habrá de valorar si las modificaciones y adaptaciones que se deben realizar para que un menor con discapacidad intelectual acuda a un centro escolar ordinario son razonables, es decir, si son eficaces para el menor o le van a producir una carga indebida. La eficacia ha de tener en cuenta todos los derechos humanos del menor en juego, que incluyen la educación, la salud, la habilitación, la protección social, el bienestar emocional, etc. Este proceso de decisión se realizará con base en el interés superior del menor, tomándose siempre aquella medida que asegure la máxima satisfacción de todos los derechos humanos afectados que sea posible.</w:t>
      </w:r>
    </w:p>
    <w:p w14:paraId="79A04EA8" w14:textId="77777777" w:rsidR="008F6BD6" w:rsidRPr="008F6BD6" w:rsidRDefault="008F6BD6" w:rsidP="008F6BD6">
      <w:pPr>
        <w:shd w:val="clear" w:color="auto" w:fill="FFFFFF"/>
        <w:spacing w:after="0" w:line="240" w:lineRule="auto"/>
        <w:rPr>
          <w:color w:val="767171" w:themeColor="background2" w:themeShade="80"/>
          <w:sz w:val="24"/>
          <w:lang w:val="es-ES"/>
        </w:rPr>
      </w:pPr>
    </w:p>
    <w:p w14:paraId="15F66BEF" w14:textId="77777777" w:rsidR="008F6BD6" w:rsidRPr="008F6BD6" w:rsidRDefault="008F6BD6" w:rsidP="008F6BD6">
      <w:pPr>
        <w:shd w:val="clear" w:color="auto" w:fill="FFFFFF"/>
        <w:spacing w:after="0" w:line="240" w:lineRule="auto"/>
        <w:ind w:firstLine="708"/>
        <w:rPr>
          <w:color w:val="767171" w:themeColor="background2" w:themeShade="80"/>
          <w:sz w:val="24"/>
          <w:lang w:val="es-ES"/>
        </w:rPr>
      </w:pPr>
      <w:r w:rsidRPr="008F6BD6">
        <w:rPr>
          <w:color w:val="767171" w:themeColor="background2" w:themeShade="80"/>
          <w:sz w:val="24"/>
          <w:lang w:val="es-ES"/>
        </w:rPr>
        <w:t>Cuando en este proceso de valoración individual, una vez ponderados todos los derechos humanos en juego, se concluya que la escolarización del menor con discapacidad intelectual en un centro ordinario no es razonable, al no ser eficaz para el titular del derecho y además, poderle producir cargas indebidas, el menor con discapacidad intelectual ejercerá su derecho a la educación en un centro de educación especializada siempre que este centro cumpla con todas las dimensiones de calidad recomendadas por la UNESCO. La mayoría de las escuelas especializadas en España cumplen con estos requisitos.</w:t>
      </w:r>
    </w:p>
    <w:p w14:paraId="29976EB1" w14:textId="77777777" w:rsidR="008F6BD6" w:rsidRPr="008F6BD6" w:rsidRDefault="008F6BD6" w:rsidP="008F6BD6">
      <w:pPr>
        <w:shd w:val="clear" w:color="auto" w:fill="FFFFFF"/>
        <w:spacing w:after="0" w:line="240" w:lineRule="auto"/>
        <w:rPr>
          <w:color w:val="767171" w:themeColor="background2" w:themeShade="80"/>
          <w:sz w:val="24"/>
          <w:lang w:val="es-ES"/>
        </w:rPr>
      </w:pPr>
    </w:p>
    <w:p w14:paraId="317E3EFD" w14:textId="77777777" w:rsidR="008F6BD6" w:rsidRPr="008F6BD6" w:rsidRDefault="008F6BD6" w:rsidP="008F6BD6">
      <w:pPr>
        <w:shd w:val="clear" w:color="auto" w:fill="FFFFFF"/>
        <w:spacing w:after="0" w:line="240" w:lineRule="auto"/>
        <w:ind w:firstLine="708"/>
        <w:rPr>
          <w:color w:val="767171" w:themeColor="background2" w:themeShade="80"/>
          <w:sz w:val="24"/>
          <w:lang w:val="es-ES"/>
        </w:rPr>
      </w:pPr>
      <w:r w:rsidRPr="008F6BD6">
        <w:rPr>
          <w:color w:val="767171" w:themeColor="background2" w:themeShade="80"/>
          <w:sz w:val="24"/>
          <w:lang w:val="es-ES"/>
        </w:rPr>
        <w:t>En consecuencia, no se puede interpretar el artículo 24 de la Convención como una vía de eliminación del actual modelo de educación especializada, que es un modelo que ha probado su eficacia como fórmula de éxito para garantizar el pleno desarrollo del potencial humano de las personas con discapacidad intelectual (incluido el máximo desarrollo de su personalidad, talento y creatividad), así como de sus aptitudes mentales y físicas para alcanzar la participación efectiva en la sociedad.</w:t>
      </w:r>
    </w:p>
    <w:p w14:paraId="53433CB6" w14:textId="77777777" w:rsidR="008F6BD6" w:rsidRPr="008F6BD6" w:rsidRDefault="008F6BD6" w:rsidP="008F6BD6">
      <w:pPr>
        <w:shd w:val="clear" w:color="auto" w:fill="FFFFFF"/>
        <w:spacing w:after="0" w:line="240" w:lineRule="auto"/>
        <w:rPr>
          <w:color w:val="767171" w:themeColor="background2" w:themeShade="80"/>
          <w:sz w:val="24"/>
          <w:lang w:val="es-ES"/>
        </w:rPr>
      </w:pPr>
    </w:p>
    <w:p w14:paraId="703D85BE" w14:textId="40F68E8B" w:rsidR="0059149B" w:rsidRDefault="008F6BD6" w:rsidP="008F6BD6">
      <w:pPr>
        <w:shd w:val="clear" w:color="auto" w:fill="FFFFFF"/>
        <w:spacing w:after="0" w:line="240" w:lineRule="auto"/>
        <w:ind w:firstLine="708"/>
        <w:rPr>
          <w:color w:val="767171" w:themeColor="background2" w:themeShade="80"/>
          <w:sz w:val="24"/>
          <w:lang w:val="es-ES"/>
        </w:rPr>
      </w:pPr>
      <w:r w:rsidRPr="008F6BD6">
        <w:rPr>
          <w:color w:val="767171" w:themeColor="background2" w:themeShade="80"/>
          <w:sz w:val="24"/>
          <w:lang w:val="es-ES"/>
        </w:rPr>
        <w:t>Una interpretación fundamentalista de la Convención pone en peligro el interés superior del menor, que debe primar sobre cualquier cálculo de beneficio colectivo.</w:t>
      </w:r>
    </w:p>
    <w:p w14:paraId="4DC73101" w14:textId="77777777" w:rsidR="008F6BD6" w:rsidRPr="008F6BD6" w:rsidRDefault="008F6BD6" w:rsidP="008F6BD6">
      <w:pPr>
        <w:shd w:val="clear" w:color="auto" w:fill="FFFFFF"/>
        <w:spacing w:after="0" w:line="240" w:lineRule="auto"/>
        <w:ind w:firstLine="708"/>
        <w:rPr>
          <w:color w:val="767171" w:themeColor="background2" w:themeShade="80"/>
          <w:sz w:val="24"/>
          <w:lang w:val="es-ES"/>
        </w:rPr>
      </w:pPr>
    </w:p>
    <w:p w14:paraId="0340B89F" w14:textId="77777777" w:rsidR="0059149B" w:rsidRPr="008F6BD6" w:rsidRDefault="0059149B" w:rsidP="0059149B">
      <w:pPr>
        <w:spacing w:after="0" w:line="240" w:lineRule="auto"/>
        <w:rPr>
          <w:color w:val="767171" w:themeColor="background2" w:themeShade="80"/>
          <w:sz w:val="24"/>
          <w:lang w:val="es-ES"/>
        </w:rPr>
      </w:pPr>
    </w:p>
    <w:p w14:paraId="64F76322" w14:textId="6FAF4DF6" w:rsidR="0059149B" w:rsidRPr="00EE6283" w:rsidRDefault="00EE6283" w:rsidP="0059149B">
      <w:pPr>
        <w:spacing w:after="0" w:line="240" w:lineRule="auto"/>
        <w:rPr>
          <w:b/>
          <w:color w:val="92D050"/>
          <w:sz w:val="36"/>
          <w:lang w:val="es-ES"/>
        </w:rPr>
      </w:pPr>
      <w:r w:rsidRPr="00EE6283">
        <w:rPr>
          <w:b/>
          <w:color w:val="92D050"/>
          <w:sz w:val="36"/>
          <w:lang w:val="es-ES"/>
        </w:rPr>
        <w:t>Artículos de la Convención tratados en este documento</w:t>
      </w:r>
    </w:p>
    <w:p w14:paraId="01A2F21D" w14:textId="77777777" w:rsidR="0059149B" w:rsidRPr="00EE6283" w:rsidRDefault="0059149B" w:rsidP="0059149B">
      <w:pPr>
        <w:spacing w:after="0" w:line="240" w:lineRule="auto"/>
        <w:rPr>
          <w:color w:val="767171" w:themeColor="background2" w:themeShade="80"/>
          <w:sz w:val="24"/>
          <w:lang w:val="es-ES"/>
        </w:rPr>
      </w:pPr>
    </w:p>
    <w:p w14:paraId="632EF616" w14:textId="194D665D" w:rsidR="0059149B" w:rsidRPr="00AD6808" w:rsidRDefault="00AD6808" w:rsidP="00905BEE">
      <w:pPr>
        <w:spacing w:after="200" w:line="240" w:lineRule="auto"/>
        <w:ind w:firstLine="708"/>
        <w:jc w:val="both"/>
        <w:rPr>
          <w:color w:val="767171" w:themeColor="background2" w:themeShade="80"/>
          <w:sz w:val="24"/>
          <w:lang w:val="es-ES"/>
        </w:rPr>
      </w:pPr>
      <w:r w:rsidRPr="00AD6808">
        <w:rPr>
          <w:color w:val="767171" w:themeColor="background2" w:themeShade="80"/>
          <w:sz w:val="24"/>
          <w:lang w:val="es-ES"/>
        </w:rPr>
        <w:t>El artículo 24 de la Convención de Derechos de las Personas con Discapacidad debería asegurar una inclusión real y efectiva en la sociedad a través de la mejor educación posible basada en las necesidades individuales del menor.</w:t>
      </w:r>
    </w:p>
    <w:p w14:paraId="6228DAEF" w14:textId="71C35EF9" w:rsidR="00224F00" w:rsidRPr="00905BEE" w:rsidRDefault="00A25C7C" w:rsidP="00224F00">
      <w:pPr>
        <w:spacing w:after="200" w:line="240" w:lineRule="auto"/>
        <w:jc w:val="both"/>
        <w:rPr>
          <w:color w:val="767171" w:themeColor="background2" w:themeShade="80"/>
          <w:sz w:val="24"/>
          <w:lang w:val="es-ES"/>
        </w:rPr>
      </w:pPr>
      <w:r w:rsidRPr="00905BEE">
        <w:rPr>
          <w:b/>
          <w:color w:val="92D050"/>
          <w:sz w:val="36"/>
          <w:lang w:val="es-ES"/>
        </w:rPr>
        <w:t>INTRODUCCIÓN</w:t>
      </w:r>
    </w:p>
    <w:p w14:paraId="0AD5DF29" w14:textId="2E08E997" w:rsidR="00905BEE" w:rsidRPr="00905BEE" w:rsidRDefault="00905BEE" w:rsidP="00905BEE">
      <w:pPr>
        <w:spacing w:after="200" w:line="240" w:lineRule="auto"/>
        <w:ind w:firstLine="708"/>
        <w:jc w:val="both"/>
        <w:rPr>
          <w:color w:val="767171" w:themeColor="background2" w:themeShade="80"/>
          <w:sz w:val="24"/>
          <w:lang w:val="es-ES"/>
        </w:rPr>
      </w:pPr>
      <w:r w:rsidRPr="00905BEE">
        <w:rPr>
          <w:color w:val="767171" w:themeColor="background2" w:themeShade="80"/>
          <w:sz w:val="24"/>
          <w:lang w:val="es-ES"/>
        </w:rPr>
        <w:t xml:space="preserve">En el mes de diciembre pasado se cumplieron doce años de la aprobación de la Convención sobre los Derechos de las Personas con Discapacidad, un instrumento jurídico llamado a proporcionar un nuevo código universal y vinculante para proteger y promover los derechos humanos de la población con discapacidad. Pese a los avances legislativos en algunos países en materia de protección de las personas con discapacidad, los promotores de la Convención seguían constatando amplias lagunas legales que dejaban al colectivo en una situación de absoluta indefensión en otros muchos estados.  </w:t>
      </w:r>
    </w:p>
    <w:p w14:paraId="73226D3F" w14:textId="77777777" w:rsidR="00EC08AE" w:rsidRDefault="00EC08AE" w:rsidP="00905BEE">
      <w:pPr>
        <w:spacing w:after="200" w:line="240" w:lineRule="auto"/>
        <w:ind w:firstLine="708"/>
        <w:jc w:val="both"/>
        <w:rPr>
          <w:color w:val="767171" w:themeColor="background2" w:themeShade="80"/>
          <w:sz w:val="24"/>
          <w:lang w:val="es-ES"/>
        </w:rPr>
      </w:pPr>
    </w:p>
    <w:p w14:paraId="49DEEAE1" w14:textId="2A5AA96C" w:rsidR="00905BEE" w:rsidRDefault="00905BEE" w:rsidP="00905BEE">
      <w:pPr>
        <w:spacing w:after="200" w:line="240" w:lineRule="auto"/>
        <w:ind w:firstLine="708"/>
        <w:jc w:val="both"/>
        <w:rPr>
          <w:color w:val="767171" w:themeColor="background2" w:themeShade="80"/>
          <w:sz w:val="24"/>
          <w:lang w:val="es-ES"/>
        </w:rPr>
      </w:pPr>
      <w:r w:rsidRPr="00905BEE">
        <w:rPr>
          <w:color w:val="767171" w:themeColor="background2" w:themeShade="80"/>
          <w:sz w:val="24"/>
          <w:lang w:val="es-ES"/>
        </w:rPr>
        <w:t>La Convención nació para paliar la desigualdad y la discriminación que sufre un colectivo extremadamente vulnerable, la minoría más extensa del planeta. Pero, además, el texto trasciende la consideración biomédica de la discapacidad para poner el foco en su dimensión social. En este sentido, la Convención ha impulsado un cambio de paradigma: en la percepción de la persona con discapacidad deja de imperar la compasión para abrir paso a la reivindicación de su dignidad humana en tanto sujeto de derechos.</w:t>
      </w:r>
    </w:p>
    <w:p w14:paraId="32F6FA0B" w14:textId="77777777" w:rsidR="00EC08AE" w:rsidRDefault="00EC08AE" w:rsidP="00905BEE">
      <w:pPr>
        <w:spacing w:after="200" w:line="240" w:lineRule="auto"/>
        <w:ind w:firstLine="708"/>
        <w:jc w:val="both"/>
        <w:rPr>
          <w:color w:val="767171" w:themeColor="background2" w:themeShade="80"/>
          <w:sz w:val="24"/>
          <w:lang w:val="es-ES"/>
        </w:rPr>
      </w:pPr>
    </w:p>
    <w:p w14:paraId="4A96E6DA" w14:textId="77777777" w:rsidR="000F3C0C" w:rsidRDefault="00905BEE" w:rsidP="00905BEE">
      <w:pPr>
        <w:spacing w:after="200" w:line="240" w:lineRule="auto"/>
        <w:ind w:firstLine="708"/>
        <w:jc w:val="both"/>
        <w:rPr>
          <w:color w:val="767171" w:themeColor="background2" w:themeShade="80"/>
          <w:sz w:val="24"/>
          <w:lang w:val="es-ES"/>
        </w:rPr>
        <w:sectPr w:rsidR="000F3C0C" w:rsidSect="006367D5">
          <w:headerReference w:type="default" r:id="rId9"/>
          <w:footerReference w:type="default" r:id="rId10"/>
          <w:pgSz w:w="12240" w:h="15840"/>
          <w:pgMar w:top="1417" w:right="1701" w:bottom="1417" w:left="1701" w:header="708" w:footer="708" w:gutter="0"/>
          <w:cols w:space="708"/>
          <w:docGrid w:linePitch="360"/>
        </w:sectPr>
      </w:pPr>
      <w:r w:rsidRPr="00905BEE">
        <w:rPr>
          <w:color w:val="767171" w:themeColor="background2" w:themeShade="80"/>
          <w:sz w:val="24"/>
          <w:lang w:val="es-ES"/>
        </w:rPr>
        <w:t>La Convención reafirma además la “</w:t>
      </w:r>
      <w:r w:rsidRPr="003615B6">
        <w:rPr>
          <w:b/>
          <w:color w:val="767171" w:themeColor="background2" w:themeShade="80"/>
          <w:sz w:val="24"/>
          <w:lang w:val="es-ES"/>
        </w:rPr>
        <w:t>universalidad, la indivisibilidad y la interdependencia</w:t>
      </w:r>
      <w:r w:rsidRPr="00905BEE">
        <w:rPr>
          <w:color w:val="767171" w:themeColor="background2" w:themeShade="80"/>
          <w:sz w:val="24"/>
          <w:lang w:val="es-ES"/>
        </w:rPr>
        <w:t xml:space="preserve">” de los derechos humanos. En esta línea, establece una gama de </w:t>
      </w:r>
    </w:p>
    <w:p w14:paraId="7239C09A" w14:textId="77777777" w:rsidR="00670775" w:rsidRDefault="00670775" w:rsidP="00670775">
      <w:pPr>
        <w:spacing w:after="200" w:line="240" w:lineRule="auto"/>
        <w:jc w:val="both"/>
        <w:rPr>
          <w:color w:val="767171" w:themeColor="background2" w:themeShade="80"/>
          <w:sz w:val="24"/>
          <w:lang w:val="es-ES"/>
        </w:rPr>
        <w:sectPr w:rsidR="00670775" w:rsidSect="000F3C0C">
          <w:type w:val="continuous"/>
          <w:pgSz w:w="12240" w:h="15840"/>
          <w:pgMar w:top="1417" w:right="1701" w:bottom="1417" w:left="1701" w:header="708" w:footer="708" w:gutter="0"/>
          <w:cols w:space="708"/>
          <w:docGrid w:linePitch="360"/>
        </w:sectPr>
      </w:pPr>
    </w:p>
    <w:p w14:paraId="07E5A26B" w14:textId="3553FDBB" w:rsidR="00905BEE" w:rsidRPr="00905BEE" w:rsidRDefault="00905BEE" w:rsidP="00670775">
      <w:pPr>
        <w:spacing w:after="200" w:line="240" w:lineRule="auto"/>
        <w:jc w:val="both"/>
        <w:rPr>
          <w:color w:val="767171" w:themeColor="background2" w:themeShade="80"/>
          <w:sz w:val="24"/>
          <w:lang w:val="es-ES"/>
        </w:rPr>
      </w:pPr>
      <w:r w:rsidRPr="00905BEE">
        <w:rPr>
          <w:color w:val="767171" w:themeColor="background2" w:themeShade="80"/>
          <w:sz w:val="24"/>
          <w:lang w:val="es-ES"/>
        </w:rPr>
        <w:lastRenderedPageBreak/>
        <w:t>conceptos jurídicos, algunos de ellos bastantes innovadores en ciertos ordenamientos internos, como las nociones de (a)discapacidad, (b) discriminación, (c) ajustes razonables</w:t>
      </w:r>
      <w:r w:rsidR="00050C05" w:rsidRPr="005A09AB">
        <w:rPr>
          <w:rFonts w:ascii="&amp;quot" w:hAnsi="&amp;quot"/>
          <w:color w:val="2F2F2F"/>
          <w:sz w:val="20"/>
          <w:szCs w:val="20"/>
          <w:vertAlign w:val="superscript"/>
        </w:rPr>
        <w:t>1</w:t>
      </w:r>
      <w:r w:rsidRPr="00905BEE">
        <w:rPr>
          <w:color w:val="767171" w:themeColor="background2" w:themeShade="80"/>
          <w:sz w:val="24"/>
          <w:lang w:val="es-ES"/>
        </w:rPr>
        <w:t>.</w:t>
      </w:r>
    </w:p>
    <w:p w14:paraId="245356EC" w14:textId="0F948CD6" w:rsidR="00224F00" w:rsidRPr="00905BEE" w:rsidRDefault="00905BEE" w:rsidP="00050C05">
      <w:pPr>
        <w:spacing w:after="200" w:line="240" w:lineRule="auto"/>
        <w:ind w:firstLine="708"/>
        <w:jc w:val="both"/>
        <w:rPr>
          <w:color w:val="767171" w:themeColor="background2" w:themeShade="80"/>
          <w:sz w:val="24"/>
          <w:lang w:val="es-ES"/>
        </w:rPr>
      </w:pPr>
      <w:r w:rsidRPr="00905BEE">
        <w:rPr>
          <w:color w:val="767171" w:themeColor="background2" w:themeShade="80"/>
          <w:sz w:val="24"/>
          <w:lang w:val="es-ES"/>
        </w:rPr>
        <w:t>A través de este texto, y como Asociación que defiende el derecho de todas las personas con discapacidad intelectual a una educación equitativa y de calidad, con el objeto de alcanzar todo su potencial humano para lograr la participación efectiva en la sociedad, abordaremos todos estos conceptos jurídicos de una manera trasversal, con el fin de poner de manifiesto que cuando hablamos de la discapacidad intelectual nos adentramos en un campo complejo en el que no existen las soluciones únicas.</w:t>
      </w:r>
    </w:p>
    <w:p w14:paraId="2C3A6A8F" w14:textId="77777777" w:rsidR="00224F00" w:rsidRPr="00905BEE" w:rsidRDefault="00224F00" w:rsidP="00224F00">
      <w:pPr>
        <w:spacing w:after="0" w:line="240" w:lineRule="auto"/>
        <w:rPr>
          <w:color w:val="767171" w:themeColor="background2" w:themeShade="80"/>
          <w:sz w:val="24"/>
          <w:lang w:val="es-ES"/>
        </w:rPr>
      </w:pPr>
    </w:p>
    <w:p w14:paraId="35763326" w14:textId="7AEC0FAA" w:rsidR="002E4C5D" w:rsidRPr="00B21347" w:rsidRDefault="00B21347" w:rsidP="00224F00">
      <w:pPr>
        <w:spacing w:after="200" w:line="240" w:lineRule="auto"/>
        <w:jc w:val="both"/>
        <w:rPr>
          <w:color w:val="767171" w:themeColor="background2" w:themeShade="80"/>
          <w:sz w:val="24"/>
          <w:lang w:val="es-ES"/>
        </w:rPr>
      </w:pPr>
      <w:r w:rsidRPr="00B21347">
        <w:rPr>
          <w:b/>
          <w:color w:val="92D050"/>
          <w:sz w:val="36"/>
          <w:lang w:val="es-ES"/>
        </w:rPr>
        <w:t>DERECHO A LA EDUCACIÓN.</w:t>
      </w:r>
      <w:r w:rsidR="00296C4C">
        <w:rPr>
          <w:b/>
          <w:color w:val="92D050"/>
          <w:sz w:val="36"/>
          <w:lang w:val="es-ES"/>
        </w:rPr>
        <w:t xml:space="preserve"> </w:t>
      </w:r>
      <w:r w:rsidRPr="00B21347">
        <w:rPr>
          <w:b/>
          <w:color w:val="92D050"/>
          <w:sz w:val="36"/>
          <w:lang w:val="es-ES"/>
        </w:rPr>
        <w:t>El derecho a la educación es indivisible e interdependiente con otros derechos humanos</w:t>
      </w:r>
    </w:p>
    <w:p w14:paraId="0ADCA766" w14:textId="573492DF" w:rsidR="00383D6D" w:rsidRPr="00E773E9" w:rsidRDefault="00383D6D" w:rsidP="00E773E9">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 xml:space="preserve">El artículo 24 de la Convención sobre los Derechos de las Personas con Discapacidad reconoce de forma explícita el </w:t>
      </w:r>
      <w:r w:rsidRPr="001276D4">
        <w:rPr>
          <w:b/>
          <w:color w:val="767171" w:themeColor="background2" w:themeShade="80"/>
          <w:sz w:val="24"/>
          <w:lang w:val="es-ES"/>
        </w:rPr>
        <w:t>derecho de todas las personas con discapacidad a la educación</w:t>
      </w:r>
      <w:r w:rsidRPr="00E773E9">
        <w:rPr>
          <w:color w:val="767171" w:themeColor="background2" w:themeShade="80"/>
          <w:sz w:val="24"/>
          <w:lang w:val="es-ES"/>
        </w:rPr>
        <w:t xml:space="preserve">. Se establece que este </w:t>
      </w:r>
      <w:r w:rsidRPr="007E45D0">
        <w:rPr>
          <w:b/>
          <w:color w:val="767171" w:themeColor="background2" w:themeShade="80"/>
          <w:sz w:val="24"/>
          <w:lang w:val="es-ES"/>
        </w:rPr>
        <w:t>derecho a la educación deberá realizarse sin discriminación</w:t>
      </w:r>
      <w:r w:rsidRPr="00E773E9">
        <w:rPr>
          <w:color w:val="767171" w:themeColor="background2" w:themeShade="80"/>
          <w:sz w:val="24"/>
          <w:lang w:val="es-ES"/>
        </w:rPr>
        <w:t xml:space="preserve"> y sobre la base de la igualdad de oportunidades. En este sentido, el propio artículo 2 de la Convención, cuando define la “</w:t>
      </w:r>
      <w:r w:rsidRPr="007E45D0">
        <w:rPr>
          <w:b/>
          <w:color w:val="767171" w:themeColor="background2" w:themeShade="80"/>
          <w:sz w:val="24"/>
          <w:lang w:val="es-ES"/>
        </w:rPr>
        <w:t>discriminación por motivos de discapacidad</w:t>
      </w:r>
      <w:r w:rsidRPr="00E773E9">
        <w:rPr>
          <w:color w:val="767171" w:themeColor="background2" w:themeShade="80"/>
          <w:sz w:val="24"/>
          <w:lang w:val="es-ES"/>
        </w:rPr>
        <w:t xml:space="preserve">”, la entiende como “cualquier distinción, exclusión o restricción por motivos de discapacidad que tenga el propósito o el efecto de obstaculizar o dejar sin efecto el reconocimiento, goce o ejercicio, en igualdad de condiciones, de todos los derechos humanos o libertades fundamentales en los ámbitos político, económico, social, cultural, civil o de otro tipo. Incluye todas las formas de discriminación, entre ellas, la </w:t>
      </w:r>
      <w:r w:rsidRPr="00A0485B">
        <w:rPr>
          <w:b/>
          <w:color w:val="767171" w:themeColor="background2" w:themeShade="80"/>
          <w:sz w:val="24"/>
          <w:lang w:val="es-ES"/>
        </w:rPr>
        <w:t>denegación de ajustes razonables</w:t>
      </w:r>
      <w:r w:rsidRPr="00E773E9">
        <w:rPr>
          <w:color w:val="767171" w:themeColor="background2" w:themeShade="80"/>
          <w:sz w:val="24"/>
          <w:lang w:val="es-ES"/>
        </w:rPr>
        <w:t>”.</w:t>
      </w:r>
    </w:p>
    <w:p w14:paraId="4E0EB937" w14:textId="77777777" w:rsidR="00383D6D" w:rsidRPr="00E773E9" w:rsidRDefault="00383D6D" w:rsidP="00E773E9">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 xml:space="preserve">Centrándonos en la </w:t>
      </w:r>
      <w:r w:rsidRPr="00A0485B">
        <w:rPr>
          <w:b/>
          <w:color w:val="767171" w:themeColor="background2" w:themeShade="80"/>
          <w:sz w:val="24"/>
          <w:lang w:val="es-ES"/>
        </w:rPr>
        <w:t>discriminación por motivos de discapacidad</w:t>
      </w:r>
      <w:r w:rsidRPr="00E773E9">
        <w:rPr>
          <w:color w:val="767171" w:themeColor="background2" w:themeShade="80"/>
          <w:sz w:val="24"/>
          <w:lang w:val="es-ES"/>
        </w:rPr>
        <w:t xml:space="preserve"> en sí misma, porque de los ajustes razonables nos referiremos más adelante, el propio texto de la Convención afirma que el derecho humano a la educación debe quedar garantizado a todas las personas con discapacidad y que se considerará discriminatorio por motivos de discapacidad, cualquier distinción, exclusión o restricción que tenga el propósito o el efecto de obstaculizar o dejar sin efecto su goce o ejercicio, en igualdad de condiciones. </w:t>
      </w:r>
    </w:p>
    <w:p w14:paraId="7AA1079A" w14:textId="77777777" w:rsidR="00EF30DC" w:rsidRDefault="00383D6D" w:rsidP="00E773E9">
      <w:pPr>
        <w:spacing w:after="200" w:line="240" w:lineRule="auto"/>
        <w:ind w:firstLine="708"/>
        <w:jc w:val="both"/>
        <w:rPr>
          <w:b/>
          <w:color w:val="767171" w:themeColor="background2" w:themeShade="80"/>
          <w:sz w:val="24"/>
          <w:lang w:val="es-ES"/>
        </w:rPr>
        <w:sectPr w:rsidR="00EF30DC" w:rsidSect="000F3C0C">
          <w:footerReference w:type="default" r:id="rId11"/>
          <w:type w:val="continuous"/>
          <w:pgSz w:w="12240" w:h="15840"/>
          <w:pgMar w:top="1417" w:right="1701" w:bottom="1417" w:left="1701" w:header="708" w:footer="708" w:gutter="0"/>
          <w:cols w:space="708"/>
          <w:docGrid w:linePitch="360"/>
        </w:sectPr>
      </w:pPr>
      <w:r w:rsidRPr="00E773E9">
        <w:rPr>
          <w:color w:val="767171" w:themeColor="background2" w:themeShade="80"/>
          <w:sz w:val="24"/>
          <w:lang w:val="es-ES"/>
        </w:rPr>
        <w:t xml:space="preserve">Adicionalmente, la Convención recoge que los Estados Parte asegurarán un sistema educativo inclusivo a todos los niveles, así como la enseñanza a lo largo de toda la vida. Para alcanzar esta finalidad, el Comité sobre los Derechos de las Personas con Discapacidad estableció en su Observación General núm. 4 (2016) que “para hacer efectivo el artículo 24 párrafo 1, apartado a), y en consonancia con la Declaración Universal de Derechos Humanos, el Pacto Internacional de Derechos Económicos, Sociales y Culturales y la Convención sobre los Derechos del Niño, </w:t>
      </w:r>
      <w:r w:rsidRPr="00115899">
        <w:rPr>
          <w:b/>
          <w:color w:val="767171" w:themeColor="background2" w:themeShade="80"/>
          <w:sz w:val="24"/>
          <w:lang w:val="es-ES"/>
        </w:rPr>
        <w:t xml:space="preserve">la enseñanza debe estar orientada a desarrollar </w:t>
      </w:r>
    </w:p>
    <w:p w14:paraId="25E43F8F" w14:textId="2DA6FF68" w:rsidR="00383D6D" w:rsidRPr="00E773E9" w:rsidRDefault="00383D6D" w:rsidP="005B7985">
      <w:pPr>
        <w:spacing w:after="200" w:line="240" w:lineRule="auto"/>
        <w:jc w:val="both"/>
        <w:rPr>
          <w:color w:val="767171" w:themeColor="background2" w:themeShade="80"/>
          <w:sz w:val="24"/>
          <w:lang w:val="es-ES"/>
        </w:rPr>
      </w:pPr>
      <w:r w:rsidRPr="00115899">
        <w:rPr>
          <w:b/>
          <w:color w:val="767171" w:themeColor="background2" w:themeShade="80"/>
          <w:sz w:val="24"/>
          <w:lang w:val="es-ES"/>
        </w:rPr>
        <w:t>plenamente el potencial humano y el sentido de la dignidad y la autoestima</w:t>
      </w:r>
      <w:r w:rsidRPr="00E773E9">
        <w:rPr>
          <w:color w:val="767171" w:themeColor="background2" w:themeShade="80"/>
          <w:sz w:val="24"/>
          <w:lang w:val="es-ES"/>
        </w:rPr>
        <w:t xml:space="preserve"> y reforzar el respeto por los derechos humanos y la diversidad humana”.</w:t>
      </w:r>
    </w:p>
    <w:p w14:paraId="40671CDA" w14:textId="77777777" w:rsidR="00383D6D" w:rsidRPr="00E773E9" w:rsidRDefault="00383D6D" w:rsidP="00E773E9">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 xml:space="preserve">Posteriormente, se indica por parte del Comité que la exclusión directa de las personas con discapacidad “consistiría en </w:t>
      </w:r>
      <w:r w:rsidRPr="00F57E40">
        <w:rPr>
          <w:b/>
          <w:color w:val="767171" w:themeColor="background2" w:themeShade="80"/>
          <w:sz w:val="24"/>
          <w:lang w:val="es-ES"/>
        </w:rPr>
        <w:t xml:space="preserve">clasificar a determinados alumnos como </w:t>
      </w:r>
      <w:r w:rsidRPr="00553307">
        <w:rPr>
          <w:b/>
          <w:color w:val="767171" w:themeColor="background2" w:themeShade="80"/>
          <w:sz w:val="24"/>
          <w:lang w:val="es-ES"/>
        </w:rPr>
        <w:t>‘ineducables’</w:t>
      </w:r>
      <w:r w:rsidRPr="00553307">
        <w:rPr>
          <w:color w:val="767171" w:themeColor="background2" w:themeShade="80"/>
          <w:sz w:val="24"/>
          <w:lang w:val="es-ES"/>
        </w:rPr>
        <w:t xml:space="preserve"> </w:t>
      </w:r>
      <w:r w:rsidRPr="006408EB">
        <w:rPr>
          <w:color w:val="767171" w:themeColor="background2" w:themeShade="80"/>
          <w:sz w:val="24"/>
          <w:lang w:val="es-ES"/>
        </w:rPr>
        <w:t xml:space="preserve">y que, por consiguiente, </w:t>
      </w:r>
      <w:r w:rsidRPr="00553307">
        <w:rPr>
          <w:b/>
          <w:color w:val="767171" w:themeColor="background2" w:themeShade="80"/>
          <w:sz w:val="24"/>
          <w:lang w:val="es-ES"/>
        </w:rPr>
        <w:t>no reúnen las condiciones para acceder a la educación</w:t>
      </w:r>
      <w:r w:rsidRPr="006408EB">
        <w:rPr>
          <w:color w:val="767171" w:themeColor="background2" w:themeShade="80"/>
          <w:sz w:val="24"/>
          <w:lang w:val="es-ES"/>
        </w:rPr>
        <w:t>.</w:t>
      </w:r>
      <w:r w:rsidRPr="00E773E9">
        <w:rPr>
          <w:color w:val="767171" w:themeColor="background2" w:themeShade="80"/>
          <w:sz w:val="24"/>
          <w:lang w:val="es-ES"/>
        </w:rPr>
        <w:t xml:space="preserve"> La exclusión indirecta consistiría en imponer el requisito de aprobar un examen común como condición para asistir a la escuela sin realizar los ajustes razonables ni ofrecer el apoyo pertinente”.</w:t>
      </w:r>
    </w:p>
    <w:p w14:paraId="4ECAB11C" w14:textId="77777777" w:rsidR="00383D6D" w:rsidRPr="00E773E9" w:rsidRDefault="00383D6D" w:rsidP="00E773E9">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 xml:space="preserve">El Comité resalta su preocupación porque muchos millones de personas con discapacidad se ven </w:t>
      </w:r>
      <w:r w:rsidRPr="00FB363B">
        <w:rPr>
          <w:b/>
          <w:color w:val="767171" w:themeColor="background2" w:themeShade="80"/>
          <w:sz w:val="24"/>
          <w:lang w:val="es-ES"/>
        </w:rPr>
        <w:t>privadas del derecho a la educación</w:t>
      </w:r>
      <w:r w:rsidRPr="00E773E9">
        <w:rPr>
          <w:color w:val="767171" w:themeColor="background2" w:themeShade="80"/>
          <w:sz w:val="24"/>
          <w:lang w:val="es-ES"/>
        </w:rPr>
        <w:t xml:space="preserve"> y muchas más solo disponen de ella en entornos en que las </w:t>
      </w:r>
      <w:r w:rsidRPr="00FB363B">
        <w:rPr>
          <w:b/>
          <w:color w:val="767171" w:themeColor="background2" w:themeShade="80"/>
          <w:sz w:val="24"/>
          <w:lang w:val="es-ES"/>
        </w:rPr>
        <w:t>personas con discapacidad están aisladas de sus compañeros y donde reciben una educación de una calidad inferior</w:t>
      </w:r>
      <w:r w:rsidRPr="00E773E9">
        <w:rPr>
          <w:color w:val="767171" w:themeColor="background2" w:themeShade="80"/>
          <w:sz w:val="24"/>
          <w:lang w:val="es-ES"/>
        </w:rPr>
        <w:t>.</w:t>
      </w:r>
    </w:p>
    <w:p w14:paraId="50F957D0" w14:textId="5085088A" w:rsidR="00383D6D" w:rsidRPr="00E773E9" w:rsidRDefault="00383D6D" w:rsidP="00E773E9">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Efectivamente es una preocupación constante por parte de las organizaciones que representamos a las personas con discapacidad el número de niños con discapacidad que no asisten a la escuela, así como el número de personas con discapacidad que se encuentran incluidas en entornos de acogida institucionales sin escolarizar, fruto en determinadas ocasiones de la propia incapacidad de sus padres de admitir la existencia de un hijo con discapacidad</w:t>
      </w:r>
      <w:r w:rsidR="00900499" w:rsidRPr="005A09AB">
        <w:rPr>
          <w:rFonts w:ascii="&amp;quot" w:hAnsi="&amp;quot"/>
          <w:color w:val="2F2F2F"/>
          <w:sz w:val="20"/>
          <w:szCs w:val="20"/>
          <w:vertAlign w:val="superscript"/>
        </w:rPr>
        <w:t>2</w:t>
      </w:r>
      <w:r w:rsidRPr="00E773E9">
        <w:rPr>
          <w:color w:val="767171" w:themeColor="background2" w:themeShade="80"/>
          <w:sz w:val="24"/>
          <w:lang w:val="es-ES"/>
        </w:rPr>
        <w:t xml:space="preserve">. No nos cansaremos de </w:t>
      </w:r>
      <w:r w:rsidRPr="004D5169">
        <w:rPr>
          <w:b/>
          <w:color w:val="767171" w:themeColor="background2" w:themeShade="80"/>
          <w:sz w:val="24"/>
          <w:lang w:val="es-ES"/>
        </w:rPr>
        <w:t>exigir el derecho a la educación como derecho humano primordial de todas las personas con discapacidad</w:t>
      </w:r>
      <w:r w:rsidRPr="00E773E9">
        <w:rPr>
          <w:color w:val="767171" w:themeColor="background2" w:themeShade="80"/>
          <w:sz w:val="24"/>
          <w:lang w:val="es-ES"/>
        </w:rPr>
        <w:t xml:space="preserve">. Esta exigencia no es incompatible, por otro lado, con la existencia de </w:t>
      </w:r>
      <w:r w:rsidRPr="00900499">
        <w:rPr>
          <w:b/>
          <w:color w:val="767171" w:themeColor="background2" w:themeShade="80"/>
          <w:sz w:val="24"/>
          <w:lang w:val="es-ES"/>
        </w:rPr>
        <w:t>centros de educación especializada</w:t>
      </w:r>
      <w:r w:rsidRPr="00E773E9">
        <w:rPr>
          <w:color w:val="767171" w:themeColor="background2" w:themeShade="80"/>
          <w:sz w:val="24"/>
          <w:lang w:val="es-ES"/>
        </w:rPr>
        <w:t xml:space="preserve"> con una verdadera y prioritaria vocación de inclusión integral de todos sus alumnos.</w:t>
      </w:r>
    </w:p>
    <w:p w14:paraId="08AA9BD6" w14:textId="77777777" w:rsidR="00383D6D" w:rsidRPr="00E773E9" w:rsidRDefault="00383D6D" w:rsidP="00E773E9">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En este sentido</w:t>
      </w:r>
      <w:r w:rsidRPr="00984D0B">
        <w:rPr>
          <w:b/>
          <w:color w:val="767171" w:themeColor="background2" w:themeShade="80"/>
          <w:sz w:val="24"/>
          <w:lang w:val="es-ES"/>
        </w:rPr>
        <w:t>, la existencia de centros de educación especializada que ofrezcan el derecho a una educación de calidad y equitativa a menores con discapacidad intelectual y que persiguen</w:t>
      </w:r>
      <w:r w:rsidRPr="00E773E9">
        <w:rPr>
          <w:color w:val="767171" w:themeColor="background2" w:themeShade="80"/>
          <w:sz w:val="24"/>
          <w:lang w:val="es-ES"/>
        </w:rPr>
        <w:t xml:space="preserve"> como objetivo último para estas personas el pleno desarrollo de su potencial humano (incluido el máximo desarrollo de su personalidad, talento y creatividad), así como de sus aptitudes mentales y físicas para alcanzar la participación efectiva en la sociedad, </w:t>
      </w:r>
      <w:r w:rsidRPr="00984D0B">
        <w:rPr>
          <w:b/>
          <w:color w:val="767171" w:themeColor="background2" w:themeShade="80"/>
          <w:sz w:val="24"/>
          <w:u w:val="single"/>
          <w:lang w:val="es-ES"/>
        </w:rPr>
        <w:t>no se puede considerar en ningún caso contraria al contenido de la Convención</w:t>
      </w:r>
      <w:r w:rsidRPr="00E773E9">
        <w:rPr>
          <w:color w:val="767171" w:themeColor="background2" w:themeShade="80"/>
          <w:sz w:val="24"/>
          <w:lang w:val="es-ES"/>
        </w:rPr>
        <w:t>.</w:t>
      </w:r>
    </w:p>
    <w:p w14:paraId="0AC8D817" w14:textId="77777777" w:rsidR="00610656" w:rsidRDefault="00383D6D" w:rsidP="00E773E9">
      <w:pPr>
        <w:spacing w:after="200" w:line="240" w:lineRule="auto"/>
        <w:ind w:firstLine="708"/>
        <w:jc w:val="both"/>
        <w:rPr>
          <w:color w:val="767171" w:themeColor="background2" w:themeShade="80"/>
          <w:sz w:val="24"/>
          <w:lang w:val="es-ES"/>
        </w:rPr>
        <w:sectPr w:rsidR="00610656" w:rsidSect="000F3C0C">
          <w:footerReference w:type="default" r:id="rId12"/>
          <w:type w:val="continuous"/>
          <w:pgSz w:w="12240" w:h="15840"/>
          <w:pgMar w:top="1417" w:right="1701" w:bottom="1417" w:left="1701" w:header="708" w:footer="708" w:gutter="0"/>
          <w:cols w:space="708"/>
          <w:docGrid w:linePitch="360"/>
        </w:sectPr>
      </w:pPr>
      <w:r w:rsidRPr="00E773E9">
        <w:rPr>
          <w:color w:val="767171" w:themeColor="background2" w:themeShade="80"/>
          <w:sz w:val="24"/>
          <w:lang w:val="es-ES"/>
        </w:rPr>
        <w:t xml:space="preserve">El propio texto de la Convención recoge que con carácter genérico los Estados Parte asegurarán un sistema de educación inclusivo a todos los niveles, pero también admite que para hacer efectivo este derecho se </w:t>
      </w:r>
      <w:r w:rsidRPr="005F5898">
        <w:rPr>
          <w:b/>
          <w:color w:val="767171" w:themeColor="background2" w:themeShade="80"/>
          <w:sz w:val="24"/>
          <w:lang w:val="es-ES"/>
        </w:rPr>
        <w:t xml:space="preserve">deberán realizar los </w:t>
      </w:r>
      <w:r w:rsidRPr="00AE61E0">
        <w:rPr>
          <w:b/>
          <w:color w:val="767171" w:themeColor="background2" w:themeShade="80"/>
          <w:sz w:val="24"/>
          <w:u w:val="single"/>
          <w:lang w:val="es-ES"/>
        </w:rPr>
        <w:t>ajustes razonables</w:t>
      </w:r>
      <w:r w:rsidRPr="005F5898">
        <w:rPr>
          <w:b/>
          <w:color w:val="767171" w:themeColor="background2" w:themeShade="80"/>
          <w:sz w:val="24"/>
          <w:lang w:val="es-ES"/>
        </w:rPr>
        <w:t xml:space="preserve"> en función de las necesidades individuales</w:t>
      </w:r>
      <w:r w:rsidRPr="00E773E9">
        <w:rPr>
          <w:color w:val="767171" w:themeColor="background2" w:themeShade="80"/>
          <w:sz w:val="24"/>
          <w:lang w:val="es-ES"/>
        </w:rPr>
        <w:t xml:space="preserve">. Por tanto, una vez garantizada la accesibilidad universal (artículo 9 de la Convención) a la educación inclusiva habrá que acudir a valorar las necesidades individuales de la persona concreta para realizar los ajustes precisos cuando estos sean razonables. En este sentido, es de resaltar que el texto de la Convención cuando se refiere a la adopción de medidas pertinentes para otorgar a las personas con discapacidad la posibilidad de aprender habilidades para la vida y desarrollo </w:t>
      </w:r>
      <w:r w:rsidR="004A39BD" w:rsidRPr="00E773E9">
        <w:rPr>
          <w:color w:val="767171" w:themeColor="background2" w:themeShade="80"/>
          <w:sz w:val="24"/>
          <w:lang w:val="es-ES"/>
        </w:rPr>
        <w:t>social</w:t>
      </w:r>
      <w:r w:rsidR="004A39BD">
        <w:rPr>
          <w:color w:val="767171" w:themeColor="background2" w:themeShade="80"/>
          <w:sz w:val="24"/>
          <w:lang w:val="es-ES"/>
        </w:rPr>
        <w:t>,</w:t>
      </w:r>
      <w:r w:rsidRPr="00E773E9">
        <w:rPr>
          <w:color w:val="767171" w:themeColor="background2" w:themeShade="80"/>
          <w:sz w:val="24"/>
          <w:lang w:val="es-ES"/>
        </w:rPr>
        <w:t xml:space="preserve"> solo </w:t>
      </w:r>
    </w:p>
    <w:p w14:paraId="24BAE71F" w14:textId="77777777" w:rsidR="002F46F3" w:rsidRDefault="002F46F3" w:rsidP="00610656">
      <w:pPr>
        <w:spacing w:after="200" w:line="240" w:lineRule="auto"/>
        <w:jc w:val="both"/>
        <w:rPr>
          <w:color w:val="767171" w:themeColor="background2" w:themeShade="80"/>
          <w:sz w:val="24"/>
          <w:lang w:val="es-ES"/>
        </w:rPr>
        <w:sectPr w:rsidR="002F46F3" w:rsidSect="000F3C0C">
          <w:footerReference w:type="default" r:id="rId13"/>
          <w:type w:val="continuous"/>
          <w:pgSz w:w="12240" w:h="15840"/>
          <w:pgMar w:top="1417" w:right="1701" w:bottom="1417" w:left="1701" w:header="708" w:footer="708" w:gutter="0"/>
          <w:cols w:space="708"/>
          <w:docGrid w:linePitch="360"/>
        </w:sectPr>
      </w:pPr>
    </w:p>
    <w:p w14:paraId="142908FB" w14:textId="72B855A7" w:rsidR="00383D6D" w:rsidRPr="00E773E9" w:rsidRDefault="00383D6D" w:rsidP="00610656">
      <w:pPr>
        <w:spacing w:after="200" w:line="240" w:lineRule="auto"/>
        <w:jc w:val="both"/>
        <w:rPr>
          <w:color w:val="767171" w:themeColor="background2" w:themeShade="80"/>
          <w:sz w:val="24"/>
          <w:lang w:val="es-ES"/>
        </w:rPr>
      </w:pPr>
      <w:r w:rsidRPr="00E773E9">
        <w:rPr>
          <w:color w:val="767171" w:themeColor="background2" w:themeShade="80"/>
          <w:sz w:val="24"/>
          <w:lang w:val="es-ES"/>
        </w:rPr>
        <w:t xml:space="preserve">detalla medidas para las personas ciegas, sordas o sordociegas. No se hace referencia a otros grupos o colectivos de </w:t>
      </w:r>
      <w:r w:rsidRPr="00AE61E0">
        <w:rPr>
          <w:b/>
          <w:color w:val="767171" w:themeColor="background2" w:themeShade="80"/>
          <w:sz w:val="24"/>
          <w:lang w:val="es-ES"/>
        </w:rPr>
        <w:t>personas con discapacidad como son las personas con discapacidad intelectual o discapacidades múltiples y las personas con autismo</w:t>
      </w:r>
      <w:r w:rsidRPr="00E773E9">
        <w:rPr>
          <w:color w:val="767171" w:themeColor="background2" w:themeShade="80"/>
          <w:sz w:val="24"/>
          <w:lang w:val="es-ES"/>
        </w:rPr>
        <w:t>.</w:t>
      </w:r>
    </w:p>
    <w:p w14:paraId="054A4D6B" w14:textId="12D62A62" w:rsidR="00383D6D" w:rsidRPr="00E773E9" w:rsidRDefault="00383D6D" w:rsidP="00C427A1">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 xml:space="preserve">Es este grupo de personas con discapacidad especialmente vulnerable sobre el que se deberá realizar un </w:t>
      </w:r>
      <w:r w:rsidRPr="00141B99">
        <w:rPr>
          <w:b/>
          <w:color w:val="767171" w:themeColor="background2" w:themeShade="80"/>
          <w:sz w:val="24"/>
          <w:lang w:val="es-ES"/>
        </w:rPr>
        <w:t>análisis exhaustivo de sus necesidades individuales</w:t>
      </w:r>
      <w:r w:rsidRPr="00E773E9">
        <w:rPr>
          <w:color w:val="767171" w:themeColor="background2" w:themeShade="80"/>
          <w:sz w:val="24"/>
          <w:lang w:val="es-ES"/>
        </w:rPr>
        <w:t xml:space="preserve">, caso por caso, y valorar si los ajustes a realizar para su inclusión en centros ordinarios de educación son razonables o, por el </w:t>
      </w:r>
      <w:r w:rsidR="00C427A1" w:rsidRPr="00E773E9">
        <w:rPr>
          <w:color w:val="767171" w:themeColor="background2" w:themeShade="80"/>
          <w:sz w:val="24"/>
          <w:lang w:val="es-ES"/>
        </w:rPr>
        <w:t>contrario</w:t>
      </w:r>
      <w:r w:rsidRPr="00E773E9">
        <w:rPr>
          <w:color w:val="767171" w:themeColor="background2" w:themeShade="80"/>
          <w:sz w:val="24"/>
          <w:lang w:val="es-ES"/>
        </w:rPr>
        <w:t xml:space="preserve">, </w:t>
      </w:r>
      <w:r w:rsidRPr="00141B99">
        <w:rPr>
          <w:b/>
          <w:color w:val="767171" w:themeColor="background2" w:themeShade="80"/>
          <w:sz w:val="24"/>
          <w:lang w:val="es-ES"/>
        </w:rPr>
        <w:t>implicarán una carga desproporcionada o indebida a esta persona</w:t>
      </w:r>
      <w:r w:rsidRPr="00E773E9">
        <w:rPr>
          <w:color w:val="767171" w:themeColor="background2" w:themeShade="80"/>
          <w:sz w:val="24"/>
          <w:lang w:val="es-ES"/>
        </w:rPr>
        <w:t>.</w:t>
      </w:r>
    </w:p>
    <w:p w14:paraId="63F26649" w14:textId="0E88B93F" w:rsidR="00224F00" w:rsidRPr="00E773E9" w:rsidRDefault="00383D6D" w:rsidP="00C427A1">
      <w:pPr>
        <w:spacing w:after="200" w:line="240" w:lineRule="auto"/>
        <w:ind w:firstLine="708"/>
        <w:jc w:val="both"/>
        <w:rPr>
          <w:color w:val="767171" w:themeColor="background2" w:themeShade="80"/>
          <w:sz w:val="24"/>
          <w:lang w:val="es-ES"/>
        </w:rPr>
      </w:pPr>
      <w:r w:rsidRPr="00E773E9">
        <w:rPr>
          <w:color w:val="767171" w:themeColor="background2" w:themeShade="80"/>
          <w:sz w:val="24"/>
          <w:lang w:val="es-ES"/>
        </w:rPr>
        <w:t xml:space="preserve">Cabe destacar que el propio Preámbulo de la Convención se refiere a la </w:t>
      </w:r>
      <w:r w:rsidRPr="0007021C">
        <w:rPr>
          <w:b/>
          <w:color w:val="767171" w:themeColor="background2" w:themeShade="80"/>
          <w:sz w:val="24"/>
          <w:lang w:val="es-ES"/>
        </w:rPr>
        <w:t>diversidad de las personas con discapacidad</w:t>
      </w:r>
      <w:r w:rsidRPr="00E773E9">
        <w:rPr>
          <w:color w:val="767171" w:themeColor="background2" w:themeShade="80"/>
          <w:sz w:val="24"/>
          <w:lang w:val="es-ES"/>
        </w:rPr>
        <w:t xml:space="preserve">, incluidas aquellas que necesitan un apoyo más intenso. Es la propia Convención la que establece la conveniencia de </w:t>
      </w:r>
      <w:r w:rsidRPr="0007021C">
        <w:rPr>
          <w:b/>
          <w:color w:val="767171" w:themeColor="background2" w:themeShade="80"/>
          <w:sz w:val="24"/>
          <w:u w:val="single"/>
          <w:lang w:val="es-ES"/>
        </w:rPr>
        <w:t>promover y proteger todos los derechos humanos de estas personas, reconociendo la indivisibilidad e interdependencia entre estos derechos</w:t>
      </w:r>
      <w:r w:rsidRPr="00E773E9">
        <w:rPr>
          <w:color w:val="767171" w:themeColor="background2" w:themeShade="80"/>
          <w:sz w:val="24"/>
          <w:lang w:val="es-ES"/>
        </w:rPr>
        <w:t>.</w:t>
      </w:r>
    </w:p>
    <w:p w14:paraId="654AEA0A" w14:textId="77777777" w:rsidR="00224F00" w:rsidRPr="00E773E9" w:rsidRDefault="00224F00" w:rsidP="00224F00">
      <w:pPr>
        <w:spacing w:after="0" w:line="240" w:lineRule="auto"/>
        <w:rPr>
          <w:color w:val="767171" w:themeColor="background2" w:themeShade="80"/>
          <w:sz w:val="24"/>
          <w:lang w:val="es-ES"/>
        </w:rPr>
      </w:pPr>
    </w:p>
    <w:p w14:paraId="1FDAD449" w14:textId="1924F8E3" w:rsidR="003F6B7F" w:rsidRPr="0032648F" w:rsidRDefault="0032648F" w:rsidP="00224F00">
      <w:pPr>
        <w:spacing w:after="200" w:line="240" w:lineRule="auto"/>
        <w:jc w:val="both"/>
        <w:rPr>
          <w:color w:val="767171" w:themeColor="background2" w:themeShade="80"/>
          <w:sz w:val="24"/>
          <w:lang w:val="es-ES"/>
        </w:rPr>
      </w:pPr>
      <w:r w:rsidRPr="0032648F">
        <w:rPr>
          <w:b/>
          <w:color w:val="92D050"/>
          <w:sz w:val="36"/>
          <w:lang w:val="es-ES"/>
        </w:rPr>
        <w:t>EL CONCEPTO DE AJUSTES RAZONABLES. Proceso de diálogo, multilateral, participativo e inclusivo</w:t>
      </w:r>
      <w:r>
        <w:rPr>
          <w:color w:val="767171" w:themeColor="background2" w:themeShade="80"/>
          <w:sz w:val="24"/>
          <w:lang w:val="es-ES"/>
        </w:rPr>
        <w:t>.</w:t>
      </w:r>
    </w:p>
    <w:p w14:paraId="52FDD0E0" w14:textId="1FEA1870" w:rsidR="000A4E1C" w:rsidRPr="000A4E1C" w:rsidRDefault="000A4E1C" w:rsidP="008E0F16">
      <w:pPr>
        <w:spacing w:after="200" w:line="240" w:lineRule="auto"/>
        <w:ind w:firstLine="708"/>
        <w:jc w:val="both"/>
        <w:rPr>
          <w:color w:val="767171" w:themeColor="background2" w:themeShade="80"/>
          <w:sz w:val="24"/>
          <w:lang w:val="es-ES"/>
        </w:rPr>
      </w:pPr>
      <w:r w:rsidRPr="000A4E1C">
        <w:rPr>
          <w:color w:val="767171" w:themeColor="background2" w:themeShade="80"/>
          <w:sz w:val="24"/>
          <w:lang w:val="es-ES"/>
        </w:rPr>
        <w:t xml:space="preserve">La noción de </w:t>
      </w:r>
      <w:r w:rsidRPr="008350C9">
        <w:rPr>
          <w:b/>
          <w:color w:val="767171" w:themeColor="background2" w:themeShade="80"/>
          <w:sz w:val="24"/>
          <w:lang w:val="es-ES"/>
        </w:rPr>
        <w:t>ajuste razonable</w:t>
      </w:r>
      <w:r w:rsidRPr="000A4E1C">
        <w:rPr>
          <w:color w:val="767171" w:themeColor="background2" w:themeShade="80"/>
          <w:sz w:val="24"/>
          <w:lang w:val="es-ES"/>
        </w:rPr>
        <w:t xml:space="preserve"> se originó en los Estados Unidos, cuando se aprobó el Equal Employment Opportunity Act de 1972, con la finalidad de combatir la discriminación en el mercado de trabajo. El término se utilizó originariamente en el campo de la discriminación religiosa y exigía que el empleador probara que no podía adaptarse razonablemente a las prácticas religiosas de sus empleados sin sufrir una carga indebida. Desde entonces, las expresiones ajuste razonable y carga indebida (undue burden en el término original en inglés) figuran en el derecho estadounidense. Sin embargo, fue con la aprobación de la American with Disabilities Act (ADA), en 1990, cuando estas ganaron más espacio y fueron objeto de discusiones más intensas, tanto en la doctrina como en la jurisprudencia (USA, 1990)</w:t>
      </w:r>
      <w:r w:rsidR="002F46F3" w:rsidRPr="002F46F3">
        <w:rPr>
          <w:rFonts w:ascii="&amp;quot" w:hAnsi="&amp;quot"/>
          <w:color w:val="2F2F2F"/>
          <w:sz w:val="17"/>
          <w:szCs w:val="17"/>
          <w:vertAlign w:val="superscript"/>
        </w:rPr>
        <w:t xml:space="preserve"> </w:t>
      </w:r>
      <w:r w:rsidR="002F46F3" w:rsidRPr="00B27A0A">
        <w:rPr>
          <w:rFonts w:ascii="&amp;quot" w:hAnsi="&amp;quot"/>
          <w:color w:val="2F2F2F"/>
          <w:sz w:val="20"/>
          <w:szCs w:val="20"/>
          <w:vertAlign w:val="superscript"/>
        </w:rPr>
        <w:t>3</w:t>
      </w:r>
      <w:r w:rsidRPr="000A4E1C">
        <w:rPr>
          <w:color w:val="767171" w:themeColor="background2" w:themeShade="80"/>
          <w:sz w:val="24"/>
          <w:lang w:val="es-ES"/>
        </w:rPr>
        <w:t>.</w:t>
      </w:r>
    </w:p>
    <w:p w14:paraId="6E43161C" w14:textId="77777777" w:rsidR="000A4E1C" w:rsidRPr="008E0F16" w:rsidRDefault="000A4E1C" w:rsidP="008E0F16">
      <w:pPr>
        <w:spacing w:after="200" w:line="240" w:lineRule="auto"/>
        <w:ind w:firstLine="708"/>
        <w:jc w:val="both"/>
        <w:rPr>
          <w:color w:val="767171" w:themeColor="background2" w:themeShade="80"/>
          <w:sz w:val="24"/>
          <w:lang w:val="es-ES"/>
        </w:rPr>
      </w:pPr>
      <w:r w:rsidRPr="000A4E1C">
        <w:rPr>
          <w:color w:val="767171" w:themeColor="background2" w:themeShade="80"/>
          <w:sz w:val="24"/>
          <w:lang w:val="es-ES"/>
        </w:rPr>
        <w:t xml:space="preserve">También puede considerarse a Canadá una de las cunas del principio de ajuste razonable. </w:t>
      </w:r>
      <w:r w:rsidRPr="008E0F16">
        <w:rPr>
          <w:color w:val="767171" w:themeColor="background2" w:themeShade="80"/>
          <w:sz w:val="24"/>
          <w:lang w:val="es-ES"/>
        </w:rPr>
        <w:t xml:space="preserve">Su construcción jurisprudencial floreció, de hecho, más en Canadá que en los Estados Unidos, convirtiendo la línea seguida por los tribunales canadienses en una referencia en la materia. Particularmente, estos avances ayudaron a desarrollar notablemente el </w:t>
      </w:r>
      <w:r w:rsidRPr="00690732">
        <w:rPr>
          <w:b/>
          <w:color w:val="767171" w:themeColor="background2" w:themeShade="80"/>
          <w:sz w:val="24"/>
          <w:lang w:val="es-ES"/>
        </w:rPr>
        <w:t>procedimiento</w:t>
      </w:r>
      <w:r w:rsidRPr="008E0F16">
        <w:rPr>
          <w:color w:val="767171" w:themeColor="background2" w:themeShade="80"/>
          <w:sz w:val="24"/>
          <w:lang w:val="es-ES"/>
        </w:rPr>
        <w:t xml:space="preserve"> para llegar al denominado ajuste razonable. La Corte canadiense lo interpretó como un espacio dialógico, en el cual todos los implicados participan. </w:t>
      </w:r>
      <w:r w:rsidRPr="009B52CC">
        <w:rPr>
          <w:b/>
          <w:color w:val="767171" w:themeColor="background2" w:themeShade="80"/>
          <w:sz w:val="24"/>
          <w:lang w:val="es-ES"/>
        </w:rPr>
        <w:t>La búsqueda del ajuste razonable se traduce, por tanto, en un proceso de diálogo, multilateral, participativo e inclusivo</w:t>
      </w:r>
      <w:r w:rsidRPr="008E0F16">
        <w:rPr>
          <w:color w:val="767171" w:themeColor="background2" w:themeShade="80"/>
          <w:sz w:val="24"/>
          <w:lang w:val="es-ES"/>
        </w:rPr>
        <w:t>.</w:t>
      </w:r>
    </w:p>
    <w:p w14:paraId="16BB48A7" w14:textId="77777777" w:rsidR="00F059B5" w:rsidRDefault="00F059B5" w:rsidP="008E0F16">
      <w:pPr>
        <w:spacing w:after="200" w:line="240" w:lineRule="auto"/>
        <w:ind w:firstLine="708"/>
        <w:jc w:val="both"/>
        <w:rPr>
          <w:color w:val="767171" w:themeColor="background2" w:themeShade="80"/>
          <w:sz w:val="24"/>
          <w:lang w:val="es-ES"/>
        </w:rPr>
        <w:sectPr w:rsidR="00F059B5" w:rsidSect="000F3C0C">
          <w:footerReference w:type="default" r:id="rId14"/>
          <w:type w:val="continuous"/>
          <w:pgSz w:w="12240" w:h="15840"/>
          <w:pgMar w:top="1417" w:right="1701" w:bottom="1417" w:left="1701" w:header="708" w:footer="708" w:gutter="0"/>
          <w:cols w:space="708"/>
          <w:docGrid w:linePitch="360"/>
        </w:sectPr>
      </w:pPr>
    </w:p>
    <w:p w14:paraId="1EB4303A" w14:textId="48C70944"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En la primera década del siglo XXI, países europeos y la propia Unión Europea enriquecieron sus ordenamientos con los conceptos de ajustes razonables y cargas indebidas. Concretamente se produjo cuando el Consejo de la Unión Europea adoptó la Directiva de Igualdad en el Empleo (Directiva 2000/78/UE). A partir de entonces, ambos conceptos se expandieron por los ordenamientos internos, y además se fortaleció con la autorización y ratificación por parte de la Unión, de la CDPD/ONU en 2017 y 2019, respectivamente.</w:t>
      </w:r>
    </w:p>
    <w:p w14:paraId="01AAE4E2" w14:textId="6640965C"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Sin embargo, autores como Waddington demuestran que los conceptos se forjaron de modo muy discutible en los Estados Unidos, por lo cual la referencia elegida mostró ser compleja y dudosa. Las respuestas de los países europeos al desafío de construir los conceptos no son unánimes, lo que confiere a su aplicación un carácter aún más desafiante</w:t>
      </w:r>
      <w:r w:rsidR="00524042">
        <w:rPr>
          <w:rFonts w:ascii="&amp;quot" w:hAnsi="&amp;quot"/>
          <w:color w:val="2F2F2F"/>
          <w:sz w:val="17"/>
          <w:szCs w:val="17"/>
          <w:vertAlign w:val="superscript"/>
        </w:rPr>
        <w:t>4</w:t>
      </w:r>
      <w:r w:rsidR="00931847" w:rsidRPr="000A4E1C">
        <w:rPr>
          <w:color w:val="767171" w:themeColor="background2" w:themeShade="80"/>
          <w:sz w:val="24"/>
          <w:lang w:val="es-ES"/>
        </w:rPr>
        <w:t>.</w:t>
      </w:r>
      <w:r w:rsidRPr="008E0F16">
        <w:rPr>
          <w:color w:val="767171" w:themeColor="background2" w:themeShade="80"/>
          <w:sz w:val="24"/>
          <w:lang w:val="es-ES"/>
        </w:rPr>
        <w:t xml:space="preserve"> </w:t>
      </w:r>
    </w:p>
    <w:p w14:paraId="141B7457" w14:textId="77777777"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En el texto de la Convención sobre los Derechos de las Personas con Discapacidad, el término ajuste razonable aparece recogido en dos ocasiones en el artículo 24 dedicado al derecho a la educación. Concretamente en el apartado 2, párrafo c) cuando se menciona que para hacer efectivo el derecho a la educación los Estados Parte asegurarán que “se hagan ajustes razonables en función de las necesidades individuales” y en su apartado 5 cuando dispone que “los Estados Parte asegurarán que las personas con discapacidad tengan acceso general a la educación superior, la formación profesional, la educación para adultos y el aprendizaje para toda la vida sin discriminación y en igualdad de condiciones con los demás. A tal fin, los Estados Parte asegurarán que se realicen ajustes razonables para las personas con discapacidad”.</w:t>
      </w:r>
    </w:p>
    <w:p w14:paraId="7C4AF6F6" w14:textId="099A7297" w:rsidR="000A4E1C"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Los ajustes razonables aparecen definidos en el artículo 2 del texto del Convención, como “las modificaciones y adaptaciones necesarias y adecuadas </w:t>
      </w:r>
      <w:r w:rsidRPr="007A4D20">
        <w:rPr>
          <w:b/>
          <w:color w:val="767171" w:themeColor="background2" w:themeShade="80"/>
          <w:sz w:val="24"/>
          <w:lang w:val="es-ES"/>
        </w:rPr>
        <w:t>que no impongan una carga desproporcionada o indebida</w:t>
      </w:r>
      <w:r w:rsidRPr="008E0F16">
        <w:rPr>
          <w:color w:val="767171" w:themeColor="background2" w:themeShade="80"/>
          <w:sz w:val="24"/>
          <w:lang w:val="es-ES"/>
        </w:rPr>
        <w:t>, cuando se requieran en un caso particular, para garantizar a las personas con discapacidad el goce o ejercicio, en igualdad de condiciones con los demás, de todos los derechos humanos y libertades fundamentales”.</w:t>
      </w:r>
    </w:p>
    <w:p w14:paraId="052AB771" w14:textId="77777777" w:rsidR="00F74AAC" w:rsidRPr="008E0F16" w:rsidRDefault="00F74AAC" w:rsidP="008E0F16">
      <w:pPr>
        <w:spacing w:after="200" w:line="240" w:lineRule="auto"/>
        <w:ind w:firstLine="708"/>
        <w:jc w:val="both"/>
        <w:rPr>
          <w:color w:val="767171" w:themeColor="background2" w:themeShade="80"/>
          <w:sz w:val="24"/>
          <w:lang w:val="es-ES"/>
        </w:rPr>
      </w:pPr>
    </w:p>
    <w:p w14:paraId="3E9A3A54" w14:textId="37492B1F" w:rsidR="00500932" w:rsidRDefault="000A4E1C" w:rsidP="00500932">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De esta definición se deducen las siguientes características acerca del concepto de ajuste razonable:</w:t>
      </w:r>
    </w:p>
    <w:p w14:paraId="583A07CE" w14:textId="3DBC82CE" w:rsidR="000A4E1C" w:rsidRPr="008E0F16" w:rsidRDefault="002E67AA" w:rsidP="00500932">
      <w:pPr>
        <w:spacing w:after="200" w:line="240" w:lineRule="auto"/>
        <w:ind w:firstLine="708"/>
        <w:jc w:val="both"/>
        <w:rPr>
          <w:color w:val="767171" w:themeColor="background2" w:themeShade="80"/>
          <w:sz w:val="24"/>
          <w:lang w:val="es-ES"/>
        </w:rPr>
      </w:pPr>
      <w:r>
        <w:rPr>
          <w:color w:val="767171" w:themeColor="background2" w:themeShade="80"/>
          <w:sz w:val="24"/>
          <w:lang w:val="es-ES"/>
        </w:rPr>
        <w:t>1.</w:t>
      </w:r>
      <w:r w:rsidR="00500932">
        <w:rPr>
          <w:color w:val="767171" w:themeColor="background2" w:themeShade="80"/>
          <w:sz w:val="24"/>
          <w:lang w:val="es-ES"/>
        </w:rPr>
        <w:tab/>
      </w:r>
      <w:r w:rsidR="000A4E1C" w:rsidRPr="008E0F16">
        <w:rPr>
          <w:color w:val="767171" w:themeColor="background2" w:themeShade="80"/>
          <w:sz w:val="24"/>
          <w:lang w:val="es-ES"/>
        </w:rPr>
        <w:t xml:space="preserve">Se aplica de manera </w:t>
      </w:r>
      <w:r w:rsidR="000A4E1C" w:rsidRPr="00295604">
        <w:rPr>
          <w:b/>
          <w:color w:val="767171" w:themeColor="background2" w:themeShade="80"/>
          <w:sz w:val="24"/>
          <w:lang w:val="es-ES"/>
        </w:rPr>
        <w:t>individual</w:t>
      </w:r>
      <w:r w:rsidR="000A4E1C" w:rsidRPr="008E0F16">
        <w:rPr>
          <w:color w:val="767171" w:themeColor="background2" w:themeShade="80"/>
          <w:sz w:val="24"/>
          <w:lang w:val="es-ES"/>
        </w:rPr>
        <w:t>, caso por caso.</w:t>
      </w:r>
    </w:p>
    <w:p w14:paraId="454A6086" w14:textId="111FCBB3" w:rsidR="000A4E1C" w:rsidRDefault="002E67AA" w:rsidP="00500932">
      <w:pPr>
        <w:spacing w:after="200" w:line="240" w:lineRule="auto"/>
        <w:ind w:left="1413" w:hanging="705"/>
        <w:jc w:val="both"/>
        <w:rPr>
          <w:color w:val="767171" w:themeColor="background2" w:themeShade="80"/>
          <w:sz w:val="24"/>
          <w:lang w:val="es-ES"/>
        </w:rPr>
      </w:pPr>
      <w:r>
        <w:rPr>
          <w:color w:val="767171" w:themeColor="background2" w:themeShade="80"/>
          <w:sz w:val="24"/>
          <w:lang w:val="es-ES"/>
        </w:rPr>
        <w:t>2.</w:t>
      </w:r>
      <w:r w:rsidR="00500932">
        <w:rPr>
          <w:color w:val="767171" w:themeColor="background2" w:themeShade="80"/>
          <w:sz w:val="24"/>
          <w:lang w:val="es-ES"/>
        </w:rPr>
        <w:tab/>
      </w:r>
      <w:r w:rsidR="000A4E1C" w:rsidRPr="008E0F16">
        <w:rPr>
          <w:color w:val="767171" w:themeColor="background2" w:themeShade="80"/>
          <w:sz w:val="24"/>
          <w:lang w:val="es-ES"/>
        </w:rPr>
        <w:t xml:space="preserve">Son modificaciones y adaptaciones que deben ser </w:t>
      </w:r>
      <w:r w:rsidR="000A4E1C" w:rsidRPr="00295604">
        <w:rPr>
          <w:b/>
          <w:color w:val="767171" w:themeColor="background2" w:themeShade="80"/>
          <w:sz w:val="24"/>
          <w:lang w:val="es-ES"/>
        </w:rPr>
        <w:t>necesarias y adecuadas</w:t>
      </w:r>
      <w:r w:rsidR="000A4E1C" w:rsidRPr="008E0F16">
        <w:rPr>
          <w:color w:val="767171" w:themeColor="background2" w:themeShade="80"/>
          <w:sz w:val="24"/>
          <w:lang w:val="es-ES"/>
        </w:rPr>
        <w:t>. En otras palabras, el ajuste debe ser eficaz para el titular del derecho.</w:t>
      </w:r>
    </w:p>
    <w:p w14:paraId="0BD64CB3" w14:textId="77777777" w:rsidR="00F74AAC" w:rsidRPr="008E0F16" w:rsidRDefault="00F74AAC" w:rsidP="00500932">
      <w:pPr>
        <w:spacing w:after="200" w:line="240" w:lineRule="auto"/>
        <w:ind w:left="1413" w:hanging="705"/>
        <w:jc w:val="both"/>
        <w:rPr>
          <w:color w:val="767171" w:themeColor="background2" w:themeShade="80"/>
          <w:sz w:val="24"/>
          <w:lang w:val="es-ES"/>
        </w:rPr>
      </w:pPr>
    </w:p>
    <w:p w14:paraId="16207F26" w14:textId="77777777" w:rsidR="00F74AAC" w:rsidRDefault="00F74AAC" w:rsidP="00500932">
      <w:pPr>
        <w:spacing w:after="200" w:line="240" w:lineRule="auto"/>
        <w:ind w:left="1413" w:hanging="705"/>
        <w:jc w:val="both"/>
        <w:rPr>
          <w:color w:val="767171" w:themeColor="background2" w:themeShade="80"/>
          <w:sz w:val="24"/>
          <w:lang w:val="es-ES"/>
        </w:rPr>
        <w:sectPr w:rsidR="00F74AAC" w:rsidSect="000F3C0C">
          <w:footerReference w:type="default" r:id="rId15"/>
          <w:type w:val="continuous"/>
          <w:pgSz w:w="12240" w:h="15840"/>
          <w:pgMar w:top="1417" w:right="1701" w:bottom="1417" w:left="1701" w:header="708" w:footer="708" w:gutter="0"/>
          <w:cols w:space="708"/>
          <w:docGrid w:linePitch="360"/>
        </w:sectPr>
      </w:pPr>
    </w:p>
    <w:p w14:paraId="4F072A3E" w14:textId="77777777" w:rsidR="003332CE" w:rsidRDefault="003332CE" w:rsidP="00500932">
      <w:pPr>
        <w:spacing w:after="200" w:line="240" w:lineRule="auto"/>
        <w:ind w:left="1413" w:hanging="705"/>
        <w:jc w:val="both"/>
        <w:rPr>
          <w:color w:val="767171" w:themeColor="background2" w:themeShade="80"/>
          <w:sz w:val="24"/>
          <w:lang w:val="es-ES"/>
        </w:rPr>
        <w:sectPr w:rsidR="003332CE" w:rsidSect="000F3C0C">
          <w:footerReference w:type="default" r:id="rId16"/>
          <w:type w:val="continuous"/>
          <w:pgSz w:w="12240" w:h="15840"/>
          <w:pgMar w:top="1417" w:right="1701" w:bottom="1417" w:left="1701" w:header="708" w:footer="708" w:gutter="0"/>
          <w:cols w:space="708"/>
          <w:docGrid w:linePitch="360"/>
        </w:sectPr>
      </w:pPr>
    </w:p>
    <w:p w14:paraId="5165C3BA" w14:textId="1D5B34D9" w:rsidR="00F059B5" w:rsidRDefault="002E67AA" w:rsidP="00500932">
      <w:pPr>
        <w:spacing w:after="200" w:line="240" w:lineRule="auto"/>
        <w:ind w:left="1413" w:hanging="705"/>
        <w:jc w:val="both"/>
        <w:rPr>
          <w:color w:val="767171" w:themeColor="background2" w:themeShade="80"/>
          <w:sz w:val="24"/>
          <w:lang w:val="es-ES"/>
        </w:rPr>
      </w:pPr>
      <w:r>
        <w:rPr>
          <w:color w:val="767171" w:themeColor="background2" w:themeShade="80"/>
          <w:sz w:val="24"/>
          <w:lang w:val="es-ES"/>
        </w:rPr>
        <w:t>3.</w:t>
      </w:r>
      <w:r w:rsidR="00500932">
        <w:rPr>
          <w:color w:val="767171" w:themeColor="background2" w:themeShade="80"/>
          <w:sz w:val="24"/>
          <w:lang w:val="es-ES"/>
        </w:rPr>
        <w:tab/>
      </w:r>
      <w:r w:rsidR="000A4E1C" w:rsidRPr="008E0F16">
        <w:rPr>
          <w:color w:val="767171" w:themeColor="background2" w:themeShade="80"/>
          <w:sz w:val="24"/>
          <w:lang w:val="es-ES"/>
        </w:rPr>
        <w:t xml:space="preserve">No pueden imponer una </w:t>
      </w:r>
      <w:r w:rsidR="000A4E1C" w:rsidRPr="00295604">
        <w:rPr>
          <w:b/>
          <w:color w:val="767171" w:themeColor="background2" w:themeShade="80"/>
          <w:sz w:val="24"/>
          <w:lang w:val="es-ES"/>
        </w:rPr>
        <w:t>carga desproporcionada o indebida</w:t>
      </w:r>
      <w:r w:rsidR="000A4E1C" w:rsidRPr="008E0F16">
        <w:rPr>
          <w:color w:val="767171" w:themeColor="background2" w:themeShade="80"/>
          <w:sz w:val="24"/>
          <w:lang w:val="es-ES"/>
        </w:rPr>
        <w:t>, límite a partir del cual cesa su efectividad desapareciendo la obligación de llevarlo a término</w:t>
      </w:r>
      <w:r w:rsidR="00AC33AF" w:rsidRPr="000C3851">
        <w:rPr>
          <w:rFonts w:ascii="&amp;quot" w:hAnsi="&amp;quot"/>
          <w:color w:val="2F2F2F"/>
          <w:sz w:val="20"/>
          <w:szCs w:val="20"/>
          <w:vertAlign w:val="superscript"/>
        </w:rPr>
        <w:t>5</w:t>
      </w:r>
      <w:r w:rsidR="000A4E1C" w:rsidRPr="008E0F16">
        <w:rPr>
          <w:color w:val="767171" w:themeColor="background2" w:themeShade="80"/>
          <w:sz w:val="24"/>
          <w:lang w:val="es-ES"/>
        </w:rPr>
        <w:t>.</w:t>
      </w:r>
    </w:p>
    <w:p w14:paraId="4812A89C" w14:textId="5BDB08B0" w:rsidR="000A4E1C" w:rsidRPr="008E0F16" w:rsidRDefault="00500932" w:rsidP="00500932">
      <w:pPr>
        <w:spacing w:after="200" w:line="240" w:lineRule="auto"/>
        <w:ind w:left="1413" w:hanging="705"/>
        <w:jc w:val="both"/>
        <w:rPr>
          <w:color w:val="767171" w:themeColor="background2" w:themeShade="80"/>
          <w:sz w:val="24"/>
          <w:lang w:val="es-ES"/>
        </w:rPr>
      </w:pPr>
      <w:r>
        <w:rPr>
          <w:color w:val="767171" w:themeColor="background2" w:themeShade="80"/>
          <w:sz w:val="24"/>
          <w:lang w:val="es-ES"/>
        </w:rPr>
        <w:t>4.</w:t>
      </w:r>
      <w:r>
        <w:rPr>
          <w:color w:val="767171" w:themeColor="background2" w:themeShade="80"/>
          <w:sz w:val="24"/>
          <w:lang w:val="es-ES"/>
        </w:rPr>
        <w:tab/>
      </w:r>
      <w:r w:rsidR="000A4E1C" w:rsidRPr="008E0F16">
        <w:rPr>
          <w:color w:val="767171" w:themeColor="background2" w:themeShade="80"/>
          <w:sz w:val="24"/>
          <w:lang w:val="es-ES"/>
        </w:rPr>
        <w:t xml:space="preserve">Tienen por </w:t>
      </w:r>
      <w:r w:rsidR="000A4E1C" w:rsidRPr="00A30691">
        <w:rPr>
          <w:b/>
          <w:color w:val="767171" w:themeColor="background2" w:themeShade="80"/>
          <w:sz w:val="24"/>
          <w:lang w:val="es-ES"/>
        </w:rPr>
        <w:t>objeto el goce o ejercicio de todos los derechos humanos y libertades fundamentales</w:t>
      </w:r>
      <w:r w:rsidR="000A4E1C" w:rsidRPr="008E0F16">
        <w:rPr>
          <w:color w:val="767171" w:themeColor="background2" w:themeShade="80"/>
          <w:sz w:val="24"/>
          <w:lang w:val="es-ES"/>
        </w:rPr>
        <w:t>, en igualdad de condiciones con los demás.</w:t>
      </w:r>
    </w:p>
    <w:p w14:paraId="0EDB540C" w14:textId="77777777"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Como se indica en la Comunicación nº 5/2011 sobre el Dictamen del Comité sobre los Derechos de las Personas con Discapacidad, a tenor del artículo 5 del Protocolo Facultativo de la Convención sobre los Derechos de las Personas con Discapacidad (12º período de sesiones), los ajustes razonables se deben </w:t>
      </w:r>
      <w:r w:rsidRPr="00811D38">
        <w:rPr>
          <w:b/>
          <w:color w:val="767171" w:themeColor="background2" w:themeShade="80"/>
          <w:sz w:val="24"/>
          <w:lang w:val="es-ES"/>
        </w:rPr>
        <w:t>analizar caso por caso</w:t>
      </w:r>
      <w:r w:rsidRPr="008E0F16">
        <w:rPr>
          <w:color w:val="767171" w:themeColor="background2" w:themeShade="80"/>
          <w:sz w:val="24"/>
          <w:lang w:val="es-ES"/>
        </w:rPr>
        <w:t xml:space="preserve">, y la razonabilidad y la proporcionalidad de las medidas de ajuste propuestas deben evaluarse </w:t>
      </w:r>
      <w:r w:rsidRPr="00811D38">
        <w:rPr>
          <w:b/>
          <w:color w:val="767171" w:themeColor="background2" w:themeShade="80"/>
          <w:sz w:val="24"/>
          <w:lang w:val="es-ES"/>
        </w:rPr>
        <w:t>teniendo en cuenta el contexto en el que se necesitan</w:t>
      </w:r>
      <w:r w:rsidRPr="008E0F16">
        <w:rPr>
          <w:color w:val="767171" w:themeColor="background2" w:themeShade="80"/>
          <w:sz w:val="24"/>
          <w:lang w:val="es-ES"/>
        </w:rPr>
        <w:t xml:space="preserve">. </w:t>
      </w:r>
      <w:r w:rsidRPr="004940C8">
        <w:rPr>
          <w:b/>
          <w:color w:val="767171" w:themeColor="background2" w:themeShade="80"/>
          <w:sz w:val="24"/>
          <w:lang w:val="es-ES"/>
        </w:rPr>
        <w:t>(…) Los Estados parte gozan de cierto margen de discrecionalidad</w:t>
      </w:r>
      <w:r w:rsidRPr="008E0F16">
        <w:rPr>
          <w:color w:val="767171" w:themeColor="background2" w:themeShade="80"/>
          <w:sz w:val="24"/>
          <w:lang w:val="es-ES"/>
        </w:rPr>
        <w:t xml:space="preserve"> al evaluar la razonabilidad de las medidas de ajuste y la cuestión de la carga indebida en un caso particular.</w:t>
      </w:r>
    </w:p>
    <w:p w14:paraId="0F340F01" w14:textId="1052F205"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De esta misma manera lo entiende el Presidente del Comité Español de Representantes de Personas con Discapacidad (CERMI), cuando afirma que la noción de ajustes razonables de la Convención establece el límite de que la realización de los mismos no imponga una carga desproporcionada o indebida, pero no ofrece, a diferencia de otras legislaciones (europea y española, verbigracia) criterios orientadores para determinar cuándo una carga es o no excesiva. Aquí </w:t>
      </w:r>
      <w:r w:rsidRPr="003B6225">
        <w:rPr>
          <w:b/>
          <w:color w:val="767171" w:themeColor="background2" w:themeShade="80"/>
          <w:sz w:val="24"/>
          <w:lang w:val="es-ES"/>
        </w:rPr>
        <w:t>la Convención ha sido omisiva, y deja a los Estados parte libertad para concretar, en su Derecho interno, esos criterios</w:t>
      </w:r>
      <w:r w:rsidR="00E61B6F" w:rsidRPr="000C3851">
        <w:rPr>
          <w:rFonts w:ascii="&amp;quot" w:hAnsi="&amp;quot"/>
          <w:color w:val="2F2F2F"/>
          <w:sz w:val="20"/>
          <w:szCs w:val="20"/>
          <w:vertAlign w:val="superscript"/>
        </w:rPr>
        <w:t>6</w:t>
      </w:r>
      <w:r w:rsidRPr="008E0F16">
        <w:rPr>
          <w:color w:val="767171" w:themeColor="background2" w:themeShade="80"/>
          <w:sz w:val="24"/>
          <w:lang w:val="es-ES"/>
        </w:rPr>
        <w:t>.</w:t>
      </w:r>
    </w:p>
    <w:p w14:paraId="5B304725" w14:textId="77777777"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En esta misma línea se manifestó el TEDH en su Sentencia de 30 de enero de 2018, Enver Sahin c. Turquía al afirmar que la función de definir en qué consisten esos “ajustes razonables”, no corresponde al TEDH, ya que </w:t>
      </w:r>
      <w:r w:rsidRPr="00153E8E">
        <w:rPr>
          <w:b/>
          <w:color w:val="767171" w:themeColor="background2" w:themeShade="80"/>
          <w:sz w:val="24"/>
          <w:lang w:val="es-ES"/>
        </w:rPr>
        <w:t>en el ámbito de la educación caben diversas alternativas, materiales e inmateriales, a fin de satisfacer las necesidades educativas de las personas en una situación de desventaja</w:t>
      </w:r>
      <w:r w:rsidRPr="008E0F16">
        <w:rPr>
          <w:color w:val="767171" w:themeColor="background2" w:themeShade="80"/>
          <w:sz w:val="24"/>
          <w:lang w:val="es-ES"/>
        </w:rPr>
        <w:t xml:space="preserve">, estando las autoridades nacionales mucho mejor situadas para hacerlo. Si bien es cierto que estas últimas deben poner especial atención a la hora de </w:t>
      </w:r>
      <w:r w:rsidRPr="00B25B31">
        <w:rPr>
          <w:b/>
          <w:color w:val="767171" w:themeColor="background2" w:themeShade="80"/>
          <w:sz w:val="24"/>
          <w:lang w:val="es-ES"/>
        </w:rPr>
        <w:t>elegir las medidas más adecuadas en esta área, dado el impacto de estas elecciones en las personas con discapacidades, cuya vulnerabilidad particular no puede ser ignorada</w:t>
      </w:r>
      <w:r w:rsidRPr="008E0F16">
        <w:rPr>
          <w:color w:val="767171" w:themeColor="background2" w:themeShade="80"/>
          <w:sz w:val="24"/>
          <w:lang w:val="es-ES"/>
        </w:rPr>
        <w:t>.</w:t>
      </w:r>
    </w:p>
    <w:p w14:paraId="581242BC" w14:textId="77777777" w:rsidR="003332CE" w:rsidRDefault="000A4E1C" w:rsidP="008E0F16">
      <w:pPr>
        <w:spacing w:after="200" w:line="240" w:lineRule="auto"/>
        <w:ind w:firstLine="708"/>
        <w:jc w:val="both"/>
        <w:rPr>
          <w:color w:val="767171" w:themeColor="background2" w:themeShade="80"/>
          <w:sz w:val="24"/>
          <w:lang w:val="es-ES"/>
        </w:rPr>
        <w:sectPr w:rsidR="003332CE" w:rsidSect="000F3C0C">
          <w:footerReference w:type="default" r:id="rId17"/>
          <w:type w:val="continuous"/>
          <w:pgSz w:w="12240" w:h="15840"/>
          <w:pgMar w:top="1417" w:right="1701" w:bottom="1417" w:left="1701" w:header="708" w:footer="708" w:gutter="0"/>
          <w:cols w:space="708"/>
          <w:docGrid w:linePitch="360"/>
        </w:sectPr>
      </w:pPr>
      <w:r w:rsidRPr="008E0F16">
        <w:rPr>
          <w:color w:val="767171" w:themeColor="background2" w:themeShade="80"/>
          <w:sz w:val="24"/>
          <w:lang w:val="es-ES"/>
        </w:rPr>
        <w:t xml:space="preserve">Por tanto, a partir de ese margen de discrecionalidad que el propio texto de la Convención permite, trataremos de delimitar qué se entiende por un ajuste razonable cuando se refiere al ejercicio de los derechos humanos y libertades fundamentales de </w:t>
      </w:r>
    </w:p>
    <w:p w14:paraId="7867386A" w14:textId="77777777" w:rsidR="00B17130" w:rsidRDefault="00B17130" w:rsidP="003332CE">
      <w:pPr>
        <w:spacing w:after="200" w:line="240" w:lineRule="auto"/>
        <w:jc w:val="both"/>
        <w:rPr>
          <w:color w:val="767171" w:themeColor="background2" w:themeShade="80"/>
          <w:sz w:val="24"/>
          <w:lang w:val="es-ES"/>
        </w:rPr>
        <w:sectPr w:rsidR="00B17130" w:rsidSect="000F3C0C">
          <w:footerReference w:type="default" r:id="rId18"/>
          <w:type w:val="continuous"/>
          <w:pgSz w:w="12240" w:h="15840"/>
          <w:pgMar w:top="1417" w:right="1701" w:bottom="1417" w:left="1701" w:header="708" w:footer="708" w:gutter="0"/>
          <w:cols w:space="708"/>
          <w:docGrid w:linePitch="360"/>
        </w:sectPr>
      </w:pPr>
    </w:p>
    <w:p w14:paraId="66262F9B" w14:textId="4D8B69D0" w:rsidR="00F74AAC" w:rsidRDefault="000A4E1C" w:rsidP="003332CE">
      <w:pPr>
        <w:spacing w:after="200" w:line="240" w:lineRule="auto"/>
        <w:jc w:val="both"/>
        <w:rPr>
          <w:color w:val="767171" w:themeColor="background2" w:themeShade="80"/>
          <w:sz w:val="24"/>
          <w:lang w:val="es-ES"/>
        </w:rPr>
      </w:pPr>
      <w:r w:rsidRPr="008E0F16">
        <w:rPr>
          <w:color w:val="767171" w:themeColor="background2" w:themeShade="80"/>
          <w:sz w:val="24"/>
          <w:lang w:val="es-ES"/>
        </w:rPr>
        <w:t>personas con discapacidad intelectual o discapacidades múltiples y las personas con autismo.</w:t>
      </w:r>
    </w:p>
    <w:p w14:paraId="771AF89A" w14:textId="77777777" w:rsidR="00615A6D" w:rsidRDefault="00615A6D" w:rsidP="008E0F16">
      <w:pPr>
        <w:spacing w:after="200" w:line="240" w:lineRule="auto"/>
        <w:ind w:firstLine="708"/>
        <w:jc w:val="both"/>
        <w:rPr>
          <w:color w:val="767171" w:themeColor="background2" w:themeShade="80"/>
          <w:sz w:val="24"/>
          <w:lang w:val="es-ES"/>
        </w:rPr>
        <w:sectPr w:rsidR="00615A6D" w:rsidSect="000F3C0C">
          <w:footerReference w:type="default" r:id="rId19"/>
          <w:type w:val="continuous"/>
          <w:pgSz w:w="12240" w:h="15840"/>
          <w:pgMar w:top="1417" w:right="1701" w:bottom="1417" w:left="1701" w:header="708" w:footer="708" w:gutter="0"/>
          <w:cols w:space="708"/>
          <w:docGrid w:linePitch="360"/>
        </w:sectPr>
      </w:pPr>
    </w:p>
    <w:p w14:paraId="61FD2CFE" w14:textId="27AE9A04"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Como se ha detallado anteriormente, el ajuste razonable surge normalmente para acomodarse a las necesidades particulares de una persona, pero </w:t>
      </w:r>
      <w:r w:rsidRPr="0091434B">
        <w:rPr>
          <w:b/>
          <w:color w:val="767171" w:themeColor="background2" w:themeShade="80"/>
          <w:sz w:val="24"/>
          <w:lang w:val="es-ES"/>
        </w:rPr>
        <w:t>siempre teniendo en cuenta la singularidad de los obstáculos a los que se puede enfrentar esa persona en su ejercicio, ya sea su cuerpo o su mente</w:t>
      </w:r>
      <w:r w:rsidRPr="008E0F16">
        <w:rPr>
          <w:color w:val="767171" w:themeColor="background2" w:themeShade="80"/>
          <w:sz w:val="24"/>
          <w:lang w:val="es-ES"/>
        </w:rPr>
        <w:t xml:space="preserve">. Por tanto, el primer requisito para que </w:t>
      </w:r>
      <w:r w:rsidRPr="007649AE">
        <w:rPr>
          <w:b/>
          <w:color w:val="767171" w:themeColor="background2" w:themeShade="80"/>
          <w:sz w:val="24"/>
          <w:lang w:val="es-ES"/>
        </w:rPr>
        <w:t>un ajuste sea razonable es que sea efectivo para el titular del derecho</w:t>
      </w:r>
      <w:r w:rsidRPr="008E0F16">
        <w:rPr>
          <w:color w:val="767171" w:themeColor="background2" w:themeShade="80"/>
          <w:sz w:val="24"/>
          <w:lang w:val="es-ES"/>
        </w:rPr>
        <w:t>. En este sentido, un ajuste puede ser considerado como no razonable sin que ni siquiera se haya aplicado el patrón de la carga indebida</w:t>
      </w:r>
      <w:r w:rsidR="00F5238B" w:rsidRPr="00B14D9F">
        <w:rPr>
          <w:rFonts w:ascii="&amp;quot" w:hAnsi="&amp;quot"/>
          <w:color w:val="2F2F2F"/>
          <w:sz w:val="20"/>
          <w:szCs w:val="20"/>
          <w:vertAlign w:val="superscript"/>
        </w:rPr>
        <w:t>7</w:t>
      </w:r>
      <w:r w:rsidRPr="008E0F16">
        <w:rPr>
          <w:color w:val="767171" w:themeColor="background2" w:themeShade="80"/>
          <w:sz w:val="24"/>
          <w:lang w:val="es-ES"/>
        </w:rPr>
        <w:t xml:space="preserve">. Por tanto, se trata de un asunto que se habrá de valorar caso por caso, evitando tanto la </w:t>
      </w:r>
      <w:r w:rsidRPr="00615A6D">
        <w:rPr>
          <w:b/>
          <w:color w:val="767171" w:themeColor="background2" w:themeShade="80"/>
          <w:sz w:val="24"/>
          <w:lang w:val="es-ES"/>
        </w:rPr>
        <w:t>subinclusión</w:t>
      </w:r>
      <w:r w:rsidRPr="008E0F16">
        <w:rPr>
          <w:color w:val="767171" w:themeColor="background2" w:themeShade="80"/>
          <w:sz w:val="24"/>
          <w:lang w:val="es-ES"/>
        </w:rPr>
        <w:t xml:space="preserve"> como la eventual </w:t>
      </w:r>
      <w:r w:rsidRPr="00615A6D">
        <w:rPr>
          <w:b/>
          <w:color w:val="767171" w:themeColor="background2" w:themeShade="80"/>
          <w:sz w:val="24"/>
          <w:lang w:val="es-ES"/>
        </w:rPr>
        <w:t>sobreinclusión</w:t>
      </w:r>
      <w:r w:rsidR="00027A24" w:rsidRPr="00B14D9F">
        <w:rPr>
          <w:rFonts w:ascii="&amp;quot" w:hAnsi="&amp;quot"/>
          <w:color w:val="2F2F2F"/>
          <w:sz w:val="20"/>
          <w:szCs w:val="20"/>
          <w:vertAlign w:val="superscript"/>
        </w:rPr>
        <w:t>8</w:t>
      </w:r>
      <w:r w:rsidRPr="008E0F16">
        <w:rPr>
          <w:color w:val="767171" w:themeColor="background2" w:themeShade="80"/>
          <w:sz w:val="24"/>
          <w:lang w:val="es-ES"/>
        </w:rPr>
        <w:t>.</w:t>
      </w:r>
    </w:p>
    <w:p w14:paraId="48B3E464" w14:textId="7861EFF2"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Como identifica Humberto Ávila, </w:t>
      </w:r>
      <w:r w:rsidRPr="008906D4">
        <w:rPr>
          <w:b/>
          <w:color w:val="767171" w:themeColor="background2" w:themeShade="80"/>
          <w:sz w:val="24"/>
          <w:lang w:val="es-ES"/>
        </w:rPr>
        <w:t>la razonabilidad como equidad</w:t>
      </w:r>
      <w:r w:rsidRPr="008E0F16">
        <w:rPr>
          <w:color w:val="767171" w:themeColor="background2" w:themeShade="80"/>
          <w:sz w:val="24"/>
          <w:lang w:val="es-ES"/>
        </w:rPr>
        <w:t xml:space="preserve"> es vista como la que más se aproxima al ajuste razonable, una vez que indica la adaptación del enunciado general y abstracto a las particularidades del caso. En este sentido, el término “razonable” solo será un limitador del ajuste si éste </w:t>
      </w:r>
      <w:r w:rsidRPr="0035547F">
        <w:rPr>
          <w:b/>
          <w:color w:val="767171" w:themeColor="background2" w:themeShade="80"/>
          <w:sz w:val="24"/>
          <w:lang w:val="es-ES"/>
        </w:rPr>
        <w:t>carece de toda eficacia</w:t>
      </w:r>
      <w:r w:rsidR="0035547F">
        <w:rPr>
          <w:rFonts w:ascii="&amp;quot" w:hAnsi="&amp;quot"/>
          <w:color w:val="2F2F2F"/>
          <w:sz w:val="20"/>
          <w:szCs w:val="20"/>
          <w:vertAlign w:val="superscript"/>
        </w:rPr>
        <w:t>9</w:t>
      </w:r>
      <w:r w:rsidRPr="008E0F16">
        <w:rPr>
          <w:color w:val="767171" w:themeColor="background2" w:themeShade="80"/>
          <w:sz w:val="24"/>
          <w:lang w:val="es-ES"/>
        </w:rPr>
        <w:t>.</w:t>
      </w:r>
    </w:p>
    <w:p w14:paraId="384D9B2F" w14:textId="77777777" w:rsidR="000A4E1C" w:rsidRPr="008E0F16" w:rsidRDefault="000A4E1C" w:rsidP="008E0F16">
      <w:pPr>
        <w:spacing w:after="200" w:line="240" w:lineRule="auto"/>
        <w:ind w:firstLine="708"/>
        <w:jc w:val="both"/>
        <w:rPr>
          <w:color w:val="767171" w:themeColor="background2" w:themeShade="80"/>
          <w:sz w:val="24"/>
          <w:lang w:val="es-ES"/>
        </w:rPr>
      </w:pPr>
      <w:r w:rsidRPr="008E0F16">
        <w:rPr>
          <w:color w:val="767171" w:themeColor="background2" w:themeShade="80"/>
          <w:sz w:val="24"/>
          <w:lang w:val="es-ES"/>
        </w:rPr>
        <w:t xml:space="preserve">En resumen, el término “razonable” deberá ser interpretado como </w:t>
      </w:r>
      <w:r w:rsidRPr="00920DF1">
        <w:rPr>
          <w:b/>
          <w:color w:val="767171" w:themeColor="background2" w:themeShade="80"/>
          <w:sz w:val="24"/>
          <w:lang w:val="es-ES"/>
        </w:rPr>
        <w:t>aquello que es eficaz para las necesidades de las personas con discapacidad</w:t>
      </w:r>
      <w:r w:rsidRPr="008E0F16">
        <w:rPr>
          <w:color w:val="767171" w:themeColor="background2" w:themeShade="80"/>
          <w:sz w:val="24"/>
          <w:lang w:val="es-ES"/>
        </w:rPr>
        <w:t xml:space="preserve">. Eficaz no solo se restringiría a aspectos prácticos, sino que </w:t>
      </w:r>
      <w:r w:rsidRPr="00920DF1">
        <w:rPr>
          <w:b/>
          <w:color w:val="767171" w:themeColor="background2" w:themeShade="80"/>
          <w:sz w:val="24"/>
          <w:u w:val="single"/>
          <w:lang w:val="es-ES"/>
        </w:rPr>
        <w:t>buscaría la ponderación de todos los derechos humanos en juego</w:t>
      </w:r>
      <w:r w:rsidRPr="008E0F16">
        <w:rPr>
          <w:color w:val="767171" w:themeColor="background2" w:themeShade="80"/>
          <w:sz w:val="24"/>
          <w:lang w:val="es-ES"/>
        </w:rPr>
        <w:t>. En este caso, habría que valorar a su vez los derechos a la educación, a la salud, a la habilitación, a la protección social, el bienestar, etc.</w:t>
      </w:r>
    </w:p>
    <w:p w14:paraId="5A4B82DD" w14:textId="77777777" w:rsidR="00B17130" w:rsidRDefault="000A4E1C" w:rsidP="0081296B">
      <w:pPr>
        <w:spacing w:after="200" w:line="240" w:lineRule="auto"/>
        <w:ind w:firstLine="708"/>
        <w:jc w:val="both"/>
        <w:rPr>
          <w:color w:val="767171" w:themeColor="background2" w:themeShade="80"/>
          <w:sz w:val="24"/>
          <w:lang w:val="es-ES"/>
        </w:rPr>
        <w:sectPr w:rsidR="00B17130" w:rsidSect="000F3C0C">
          <w:type w:val="continuous"/>
          <w:pgSz w:w="12240" w:h="15840"/>
          <w:pgMar w:top="1417" w:right="1701" w:bottom="1417" w:left="1701" w:header="708" w:footer="708" w:gutter="0"/>
          <w:cols w:space="708"/>
          <w:docGrid w:linePitch="360"/>
        </w:sectPr>
      </w:pPr>
      <w:r w:rsidRPr="008E0F16">
        <w:rPr>
          <w:color w:val="767171" w:themeColor="background2" w:themeShade="80"/>
          <w:sz w:val="24"/>
          <w:lang w:val="es-ES"/>
        </w:rPr>
        <w:t xml:space="preserve">Tal y como se refirió el Comité sobre los Derechos de las Personas con Discapacidad en su Observación General núm. 4 (2016), “a fin de garantizar que el ajuste responda a las necesidades, la voluntad, las preferencias y las opciones de los alumnos y que la institución proveedora esté en condiciones de realizarlo, </w:t>
      </w:r>
      <w:r w:rsidRPr="0081296B">
        <w:rPr>
          <w:b/>
          <w:color w:val="767171" w:themeColor="background2" w:themeShade="80"/>
          <w:sz w:val="24"/>
          <w:lang w:val="es-ES"/>
        </w:rPr>
        <w:t>deben celebrarse consultas entre las autoridades y los proveedores educativos, la institución académica, los alumnos con discapacidad y, cuando proceda, en función de la edad y la capacidad de los alumnos, sus padres, cuidadores u otros familiares</w:t>
      </w:r>
      <w:r w:rsidRPr="008E0F16">
        <w:rPr>
          <w:color w:val="767171" w:themeColor="background2" w:themeShade="80"/>
          <w:sz w:val="24"/>
          <w:lang w:val="es-ES"/>
        </w:rPr>
        <w:t xml:space="preserve">”. Esta idea de la participación de la familia viene ligada al propio preámbulo de la Convención cuando afirma que están convencidos “de que </w:t>
      </w:r>
    </w:p>
    <w:p w14:paraId="7569621E" w14:textId="10DF1C40" w:rsidR="00F33ED8" w:rsidRDefault="000A4E1C" w:rsidP="00B17130">
      <w:pPr>
        <w:spacing w:after="200" w:line="240" w:lineRule="auto"/>
        <w:jc w:val="both"/>
        <w:rPr>
          <w:color w:val="767171" w:themeColor="background2" w:themeShade="80"/>
          <w:sz w:val="24"/>
          <w:lang w:val="es-ES"/>
        </w:rPr>
        <w:sectPr w:rsidR="00F33ED8" w:rsidSect="000F3C0C">
          <w:type w:val="continuous"/>
          <w:pgSz w:w="12240" w:h="15840"/>
          <w:pgMar w:top="1417" w:right="1701" w:bottom="1417" w:left="1701" w:header="708" w:footer="708" w:gutter="0"/>
          <w:cols w:space="708"/>
          <w:docGrid w:linePitch="360"/>
        </w:sectPr>
      </w:pPr>
      <w:r w:rsidRPr="008E0F16">
        <w:rPr>
          <w:color w:val="767171" w:themeColor="background2" w:themeShade="80"/>
          <w:sz w:val="24"/>
          <w:lang w:val="es-ES"/>
        </w:rPr>
        <w:t xml:space="preserve">la familia es la unidad colectiva natural y fundamental de la sociedad y tiene derecho a recibir protección de ésta y del Estado, y de que las personas con discapacidad y sus </w:t>
      </w:r>
    </w:p>
    <w:p w14:paraId="160F0F10" w14:textId="77777777" w:rsidR="00AA3F0C" w:rsidRDefault="00AA3F0C" w:rsidP="00F33ED8">
      <w:pPr>
        <w:spacing w:after="200" w:line="240" w:lineRule="auto"/>
        <w:jc w:val="both"/>
        <w:rPr>
          <w:color w:val="767171" w:themeColor="background2" w:themeShade="80"/>
          <w:sz w:val="24"/>
          <w:lang w:val="es-ES"/>
        </w:rPr>
        <w:sectPr w:rsidR="00AA3F0C" w:rsidSect="000F3C0C">
          <w:footerReference w:type="default" r:id="rId20"/>
          <w:type w:val="continuous"/>
          <w:pgSz w:w="12240" w:h="15840"/>
          <w:pgMar w:top="1417" w:right="1701" w:bottom="1417" w:left="1701" w:header="708" w:footer="708" w:gutter="0"/>
          <w:cols w:space="708"/>
          <w:docGrid w:linePitch="360"/>
        </w:sectPr>
      </w:pPr>
    </w:p>
    <w:p w14:paraId="03AB7803" w14:textId="7044AF89" w:rsidR="008E0F16" w:rsidRDefault="000A4E1C" w:rsidP="00F33ED8">
      <w:pPr>
        <w:spacing w:after="200" w:line="240" w:lineRule="auto"/>
        <w:jc w:val="both"/>
        <w:rPr>
          <w:color w:val="767171" w:themeColor="background2" w:themeShade="80"/>
          <w:sz w:val="24"/>
          <w:lang w:val="es-ES"/>
        </w:rPr>
      </w:pPr>
      <w:r w:rsidRPr="008E0F16">
        <w:rPr>
          <w:color w:val="767171" w:themeColor="background2" w:themeShade="80"/>
          <w:sz w:val="24"/>
          <w:lang w:val="es-ES"/>
        </w:rPr>
        <w:t>familiares deben recibir la protección y las asistencias necesarias para que las familias puedan contribuir a que las personas con discapacidad gocen de sus derechos plenamente y en igualdad de condiciones”.</w:t>
      </w:r>
    </w:p>
    <w:p w14:paraId="5BD6D78A" w14:textId="5C17BADF" w:rsidR="0081296B" w:rsidRDefault="0081296B" w:rsidP="0081296B">
      <w:pPr>
        <w:spacing w:after="200" w:line="240" w:lineRule="auto"/>
        <w:jc w:val="both"/>
        <w:rPr>
          <w:color w:val="767171" w:themeColor="background2" w:themeShade="80"/>
          <w:sz w:val="24"/>
          <w:lang w:val="es-ES"/>
        </w:rPr>
      </w:pPr>
    </w:p>
    <w:p w14:paraId="1568F2E0" w14:textId="2C0DC19E" w:rsidR="0081296B" w:rsidRDefault="0081296B" w:rsidP="0081296B">
      <w:pPr>
        <w:spacing w:after="200" w:line="240" w:lineRule="auto"/>
        <w:jc w:val="both"/>
        <w:rPr>
          <w:color w:val="767171" w:themeColor="background2" w:themeShade="80"/>
          <w:sz w:val="24"/>
          <w:lang w:val="es-ES"/>
        </w:rPr>
      </w:pPr>
      <w:r w:rsidRPr="0081296B">
        <w:rPr>
          <w:b/>
          <w:color w:val="92D050"/>
          <w:sz w:val="36"/>
          <w:lang w:val="es-ES"/>
        </w:rPr>
        <w:t>CARGA INDEBIDA. EL INTERÉS SUPERIOR DEL MENOR. Se debe garantizar el bienestar del niño: Necesidades materiales, físicas, educativas y emocionales básicas, así como su necesidad de afecto y seguridad.</w:t>
      </w:r>
    </w:p>
    <w:p w14:paraId="40B7D4E3" w14:textId="676ECDC5" w:rsidR="0081296B" w:rsidRDefault="0081296B" w:rsidP="008E0F16">
      <w:pPr>
        <w:spacing w:after="200" w:line="240" w:lineRule="auto"/>
        <w:ind w:firstLine="708"/>
        <w:jc w:val="both"/>
        <w:rPr>
          <w:color w:val="767171" w:themeColor="background2" w:themeShade="80"/>
          <w:sz w:val="24"/>
          <w:lang w:val="es-ES"/>
        </w:rPr>
      </w:pPr>
    </w:p>
    <w:p w14:paraId="6B5E21CD" w14:textId="77777777" w:rsidR="00F33ED8" w:rsidRPr="00F33ED8" w:rsidRDefault="00F33ED8" w:rsidP="006A6D72">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El artículo 2 de la Convención sobre los Derechos de las Personas con Discapacidad limita el ajuste razonable a que el mismo </w:t>
      </w:r>
      <w:r w:rsidRPr="008F5F5B">
        <w:rPr>
          <w:b/>
          <w:color w:val="767171" w:themeColor="background2" w:themeShade="80"/>
          <w:sz w:val="24"/>
          <w:lang w:val="es-ES"/>
        </w:rPr>
        <w:t>no suponga una carga desproporcionada o indebida</w:t>
      </w:r>
      <w:r w:rsidRPr="00F33ED8">
        <w:rPr>
          <w:color w:val="767171" w:themeColor="background2" w:themeShade="80"/>
          <w:sz w:val="24"/>
          <w:lang w:val="es-ES"/>
        </w:rPr>
        <w:t>. Estos dos conceptos tampoco aparecen definidos por la Convención. El Comité sobre los Derechos de las Personas con Discapacidad en su Observación General núm. 4 (2016), solo ha afirmado que la definición de lo que es proporcionado variará necesariamente en función del contexto. Es más, se afirma que no existe un enfoque único para los ajustes razonables, ya que diferentes alumnos con la misma deficiencia pueden requerir ajustes diferentes.</w:t>
      </w:r>
    </w:p>
    <w:p w14:paraId="1543B348" w14:textId="77777777" w:rsidR="00F33ED8" w:rsidRPr="00F33ED8" w:rsidRDefault="00F33ED8" w:rsidP="006A6D72">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A la hora de determinar si un ajuste implica una carga indebida no solo nos deberíamos referir al coste, entendiendo el coste financiero, sino también el beneficio que dicha modificación o adaptación implica para la persona con discapacidad, además de ponderar los diferentes derechos humanos que pueden colisionar o entrar en conflicto a la hora de adoptar la misma. En este sentido, el Comité sobre los Derechos de las Personas con Discapacidad en el caso Jungelin v. Sweden afirmó que los Estados Parte cuentan con un </w:t>
      </w:r>
      <w:r w:rsidRPr="008F5F5B">
        <w:rPr>
          <w:b/>
          <w:color w:val="767171" w:themeColor="background2" w:themeShade="80"/>
          <w:sz w:val="24"/>
          <w:lang w:val="es-ES"/>
        </w:rPr>
        <w:t>margen de discrecionalidad</w:t>
      </w:r>
      <w:r w:rsidRPr="00F33ED8">
        <w:rPr>
          <w:color w:val="767171" w:themeColor="background2" w:themeShade="80"/>
          <w:sz w:val="24"/>
          <w:lang w:val="es-ES"/>
        </w:rPr>
        <w:t xml:space="preserve"> no solo en la formulación de la razonabilidad de la medida de ajuste, sino también </w:t>
      </w:r>
      <w:r w:rsidRPr="004C2E4E">
        <w:rPr>
          <w:b/>
          <w:color w:val="767171" w:themeColor="background2" w:themeShade="80"/>
          <w:sz w:val="24"/>
          <w:lang w:val="es-ES"/>
        </w:rPr>
        <w:t>con relación a la decisión de cuándo una carga se puede considerar desproporcionada o indebida</w:t>
      </w:r>
      <w:r w:rsidRPr="00F33ED8">
        <w:rPr>
          <w:color w:val="767171" w:themeColor="background2" w:themeShade="80"/>
          <w:sz w:val="24"/>
          <w:lang w:val="es-ES"/>
        </w:rPr>
        <w:t>.</w:t>
      </w:r>
    </w:p>
    <w:p w14:paraId="614183BB" w14:textId="77777777" w:rsidR="00F33ED8" w:rsidRPr="00F33ED8" w:rsidRDefault="00F33ED8" w:rsidP="006A6D72">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En este sentido, y de acuerdo con el texto de la Convención, este margen de discrecionalidad del Estado Parte para decidir si una carga se puede considerar desproporcionada o indebida se debe ligar primordialmente con el </w:t>
      </w:r>
      <w:r w:rsidRPr="00C03EED">
        <w:rPr>
          <w:b/>
          <w:color w:val="767171" w:themeColor="background2" w:themeShade="80"/>
          <w:sz w:val="24"/>
          <w:lang w:val="es-ES"/>
        </w:rPr>
        <w:t>interés superior del menor</w:t>
      </w:r>
      <w:r w:rsidRPr="00F33ED8">
        <w:rPr>
          <w:color w:val="767171" w:themeColor="background2" w:themeShade="80"/>
          <w:sz w:val="24"/>
          <w:lang w:val="es-ES"/>
        </w:rPr>
        <w:t>.</w:t>
      </w:r>
    </w:p>
    <w:p w14:paraId="67FFA9D9" w14:textId="77777777" w:rsidR="00583BEC" w:rsidRDefault="00F33ED8" w:rsidP="008E4D63">
      <w:pPr>
        <w:spacing w:after="200" w:line="240" w:lineRule="auto"/>
        <w:ind w:firstLine="708"/>
        <w:jc w:val="both"/>
        <w:rPr>
          <w:color w:val="767171" w:themeColor="background2" w:themeShade="80"/>
          <w:sz w:val="24"/>
          <w:lang w:val="es-ES"/>
        </w:rPr>
        <w:sectPr w:rsidR="00583BEC" w:rsidSect="000F3C0C">
          <w:footerReference w:type="default" r:id="rId21"/>
          <w:type w:val="continuous"/>
          <w:pgSz w:w="12240" w:h="15840"/>
          <w:pgMar w:top="1417" w:right="1701" w:bottom="1417" w:left="1701" w:header="708" w:footer="708" w:gutter="0"/>
          <w:cols w:space="708"/>
          <w:docGrid w:linePitch="360"/>
        </w:sectPr>
      </w:pPr>
      <w:r w:rsidRPr="00F33ED8">
        <w:rPr>
          <w:color w:val="767171" w:themeColor="background2" w:themeShade="80"/>
          <w:sz w:val="24"/>
          <w:lang w:val="es-ES"/>
        </w:rPr>
        <w:t xml:space="preserve">Con relación a la aplicación de este principio fundamental, la Convención Internacional sobre los Derechos del Niño afirmó que prima sobre cualquier otra </w:t>
      </w:r>
    </w:p>
    <w:p w14:paraId="29678E14" w14:textId="7E0A30D0"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consideración cultural que pueda afectarlos, así como </w:t>
      </w:r>
      <w:r w:rsidRPr="005B1313">
        <w:rPr>
          <w:b/>
          <w:color w:val="767171" w:themeColor="background2" w:themeShade="80"/>
          <w:sz w:val="24"/>
          <w:lang w:val="es-ES"/>
        </w:rPr>
        <w:t>sobre cualquier otro cálculo de beneficio colectivo</w:t>
      </w:r>
      <w:r w:rsidRPr="00F33ED8">
        <w:rPr>
          <w:color w:val="767171" w:themeColor="background2" w:themeShade="80"/>
          <w:sz w:val="24"/>
          <w:lang w:val="es-ES"/>
        </w:rPr>
        <w:t xml:space="preserve">. Afirmando, además, que actuará como “principio” que permita resolver los conflictos entre diferentes derechos en los que se vean involucrados los niños. En este sentido, lo que impone el principio del interés superior del niño es una limitación, una obligación, una prescripción de carácter imperativo hacia las autoridades. Por ello, su correcta aplicación requiere un análisis conjunto de todos los derechos afectados y de los que se puedan afectar, </w:t>
      </w:r>
      <w:r w:rsidRPr="00067AB0">
        <w:rPr>
          <w:b/>
          <w:color w:val="767171" w:themeColor="background2" w:themeShade="80"/>
          <w:sz w:val="24"/>
          <w:lang w:val="es-ES"/>
        </w:rPr>
        <w:t>tomándose siempre aquella medida que asegure la máxima satisfacción de los derechos que sea posible, y la menor restricción de ellos, esto no solo considerando el número de derechos afectados, sino también su importancia relativa</w:t>
      </w:r>
      <w:r w:rsidR="00F9213F">
        <w:rPr>
          <w:rFonts w:ascii="&amp;quot" w:hAnsi="&amp;quot"/>
          <w:color w:val="2F2F2F"/>
          <w:sz w:val="20"/>
          <w:szCs w:val="20"/>
          <w:vertAlign w:val="superscript"/>
        </w:rPr>
        <w:t>10</w:t>
      </w:r>
      <w:r w:rsidRPr="00F33ED8">
        <w:rPr>
          <w:color w:val="767171" w:themeColor="background2" w:themeShade="80"/>
          <w:sz w:val="24"/>
          <w:lang w:val="es-ES"/>
        </w:rPr>
        <w:t xml:space="preserve">. Por tanto, teniendo en cuenta, estrictamente, el interés superior del menor, y refiriéndonos al ámbito educativo y, en concreto, a la escuela inclusiva, se podría concluir que la estancia de un menor con discapacidad intelectual en un colegio ordinario debería favorecerse únicamente cuando las modificaciones o adaptaciones que hubiera que contemplar para ello, fueran efectivos (razonables) para el titular del derecho (el menor) y que en ningún caso supusieran una carga indebida para el menor. Este proceso requerirá de una valoración caso por caso en la que se ponderarán la totalidad de los derechos humanos en juego. </w:t>
      </w:r>
    </w:p>
    <w:p w14:paraId="04C25363"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Con relación a su aplicación, el Comité de los Derechos del Niño en su observación general 14 explicitó que al evaluar el interés superior de un niño (…) debe tenerse en cuenta </w:t>
      </w:r>
      <w:r w:rsidRPr="006B0E3F">
        <w:rPr>
          <w:b/>
          <w:color w:val="767171" w:themeColor="background2" w:themeShade="80"/>
          <w:sz w:val="24"/>
          <w:lang w:val="es-ES"/>
        </w:rPr>
        <w:t xml:space="preserve">la obligación del Estado de asegurar al niño la protección y el cuidado que sean necesarios para su bienestar. </w:t>
      </w:r>
      <w:r w:rsidRPr="006D215D">
        <w:rPr>
          <w:color w:val="767171" w:themeColor="background2" w:themeShade="80"/>
          <w:sz w:val="24"/>
          <w:lang w:val="es-ES"/>
        </w:rPr>
        <w:t xml:space="preserve">Los términos “protección” y “cuidado” también deben interpretarse en un sentido amplio, ya que su objetivo no se expresa con una fórmula limitada o negativa, sino en relación con el </w:t>
      </w:r>
      <w:r w:rsidRPr="00BE75AD">
        <w:rPr>
          <w:b/>
          <w:color w:val="767171" w:themeColor="background2" w:themeShade="80"/>
          <w:sz w:val="24"/>
          <w:lang w:val="es-ES"/>
        </w:rPr>
        <w:t xml:space="preserve">ideal amplio de garantizar el “bienestar” y el desarrollo del niño. </w:t>
      </w:r>
      <w:r w:rsidRPr="00790F62">
        <w:rPr>
          <w:color w:val="767171" w:themeColor="background2" w:themeShade="80"/>
          <w:sz w:val="24"/>
          <w:lang w:val="es-ES"/>
        </w:rPr>
        <w:t>El bienestar del niño</w:t>
      </w:r>
      <w:r w:rsidRPr="00F33ED8">
        <w:rPr>
          <w:color w:val="767171" w:themeColor="background2" w:themeShade="80"/>
          <w:sz w:val="24"/>
          <w:lang w:val="es-ES"/>
        </w:rPr>
        <w:t xml:space="preserve">, en un sentido amplio, abarca sus </w:t>
      </w:r>
      <w:r w:rsidRPr="0081016C">
        <w:rPr>
          <w:b/>
          <w:color w:val="767171" w:themeColor="background2" w:themeShade="80"/>
          <w:sz w:val="24"/>
          <w:lang w:val="es-ES"/>
        </w:rPr>
        <w:t>necesidades materiales, físicas, educativas y emocionales básicas, así como su necesidad de afecto y seguridad</w:t>
      </w:r>
      <w:r w:rsidRPr="00F33ED8">
        <w:rPr>
          <w:color w:val="767171" w:themeColor="background2" w:themeShade="80"/>
          <w:sz w:val="24"/>
          <w:lang w:val="es-ES"/>
        </w:rPr>
        <w:t>. Todas estas necesidades pueden garantizarse para los alumnos con discapacidad intelectual o en un centro ordinario o en un centro especializado. Dependerá de cada caso. En este sentido, al valorar la conveniencia de que un alumno con discapacidad intelectual acuda a una escuela ordinaria se debe tener en cuenta el bienestar en sentido global y no solo el aspecto académico o curricular. Es la forma de garantizar el interés superior del menor, tal como encomienda la Convención, y de protegerlo ante posibles cargas indebidas.</w:t>
      </w:r>
    </w:p>
    <w:p w14:paraId="2E05A055"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Así, la evaluación del interés superior del niño debe tener en cuenta su </w:t>
      </w:r>
      <w:r w:rsidRPr="0075322C">
        <w:rPr>
          <w:b/>
          <w:color w:val="767171" w:themeColor="background2" w:themeShade="80"/>
          <w:sz w:val="24"/>
          <w:lang w:val="es-ES"/>
        </w:rPr>
        <w:t>seguridad</w:t>
      </w:r>
      <w:r w:rsidRPr="00F33ED8">
        <w:rPr>
          <w:color w:val="767171" w:themeColor="background2" w:themeShade="80"/>
          <w:sz w:val="24"/>
          <w:lang w:val="es-ES"/>
        </w:rPr>
        <w:t xml:space="preserve">, es decir, el derecho del niño a la protección contra toda forma de perjuicio o abuso físico o mental (art. 19), el acoso sexual, la presión ejercida por compañeros, la intimidación y los tratos degradantes. Aplicar el enfoque del interés superior del niño en el proceso de toma de decisiones entraña evaluar la </w:t>
      </w:r>
      <w:r w:rsidRPr="0075322C">
        <w:rPr>
          <w:b/>
          <w:color w:val="767171" w:themeColor="background2" w:themeShade="80"/>
          <w:sz w:val="24"/>
          <w:lang w:val="es-ES"/>
        </w:rPr>
        <w:t>seguridad y la integridad del niño</w:t>
      </w:r>
      <w:r w:rsidRPr="00F33ED8">
        <w:rPr>
          <w:color w:val="767171" w:themeColor="background2" w:themeShade="80"/>
          <w:sz w:val="24"/>
          <w:lang w:val="es-ES"/>
        </w:rPr>
        <w:t xml:space="preserve"> en ese preciso momento; sin embargo, el principio de precaución exige valorar también la </w:t>
      </w:r>
      <w:r w:rsidRPr="00402D37">
        <w:rPr>
          <w:b/>
          <w:color w:val="767171" w:themeColor="background2" w:themeShade="80"/>
          <w:sz w:val="24"/>
          <w:lang w:val="es-ES"/>
        </w:rPr>
        <w:t>posibilidad de riesgos y daños futuros y otras consecuencias de la decisión en la seguridad del niño</w:t>
      </w:r>
      <w:r w:rsidRPr="00F33ED8">
        <w:rPr>
          <w:color w:val="767171" w:themeColor="background2" w:themeShade="80"/>
          <w:sz w:val="24"/>
          <w:lang w:val="es-ES"/>
        </w:rPr>
        <w:t>.</w:t>
      </w:r>
    </w:p>
    <w:p w14:paraId="74B2EA59" w14:textId="77777777" w:rsidR="0055148D" w:rsidRDefault="0055148D" w:rsidP="008E4D63">
      <w:pPr>
        <w:spacing w:after="200" w:line="240" w:lineRule="auto"/>
        <w:ind w:firstLine="708"/>
        <w:jc w:val="both"/>
        <w:rPr>
          <w:color w:val="767171" w:themeColor="background2" w:themeShade="80"/>
          <w:sz w:val="24"/>
          <w:lang w:val="es-ES"/>
        </w:rPr>
        <w:sectPr w:rsidR="0055148D" w:rsidSect="000F3C0C">
          <w:footerReference w:type="default" r:id="rId22"/>
          <w:type w:val="continuous"/>
          <w:pgSz w:w="12240" w:h="15840"/>
          <w:pgMar w:top="1417" w:right="1701" w:bottom="1417" w:left="1701" w:header="708" w:footer="708" w:gutter="0"/>
          <w:cols w:space="708"/>
          <w:docGrid w:linePitch="360"/>
        </w:sectPr>
      </w:pPr>
    </w:p>
    <w:p w14:paraId="28E4AC88" w14:textId="2B5EF392"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El Comité sigue ahondando en este enfoque al afirmar que el interés superior de un niño en una situación concreta de vulnerabilidad no será el mismo que el de todos los niños en la misma situación de vulnerabilidad. Las autoridades y los responsables de la toma de decisiones deben tener en cuenta los diferentes tipos y grados de vulnerabilidad de cada niño, ya que cada niño es único y cada situación debe evaluarse de acuerdo con su condición única, debiendo realizarse una </w:t>
      </w:r>
      <w:r w:rsidRPr="0055148D">
        <w:rPr>
          <w:b/>
          <w:color w:val="767171" w:themeColor="background2" w:themeShade="80"/>
          <w:sz w:val="24"/>
          <w:lang w:val="es-ES"/>
        </w:rPr>
        <w:t>evaluación individualizada</w:t>
      </w:r>
      <w:r w:rsidRPr="00F33ED8">
        <w:rPr>
          <w:color w:val="767171" w:themeColor="background2" w:themeShade="80"/>
          <w:sz w:val="24"/>
          <w:lang w:val="es-ES"/>
        </w:rPr>
        <w:t>.</w:t>
      </w:r>
    </w:p>
    <w:p w14:paraId="67BB941A"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Esta vulnerabilidad es todavía más acusada cuando nos referimos a personas con discapacidad intelectual o discapacidades múltiples y las personas con autismo. Estas personas cuentan con limitaciones significativas tanto en las funciones intelectuales (razonamiento, aprendizaje y resolución de problemas), como en los comportamientos adaptativos (dominio conceptual, social y práctico).</w:t>
      </w:r>
    </w:p>
    <w:p w14:paraId="222D9A37"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En este marco conceptual, el niño o adolescente con discapacidad intelectual se “clasifica”, según la necesidad intermitente, limitada, extensa o completa de “apoyo ambiental”, con respecto a un determinado conjunto de dominios de funciones adaptativas. Estas incluyen la comunicación, los cuidados personales, las habilidades sociales, el uso de los recursos comunitarios, el autocontrol, las habilidades funcionales, el rendimiento académico, y la salud</w:t>
      </w:r>
      <w:r w:rsidRPr="00D94893">
        <w:rPr>
          <w:b/>
          <w:color w:val="767171" w:themeColor="background2" w:themeShade="80"/>
          <w:sz w:val="24"/>
          <w:lang w:val="es-ES"/>
        </w:rPr>
        <w:t>. No parecen procedentes, por tanto, soluciones únicas y homogéneas a la escolarización de menores con discapacidad intelectual</w:t>
      </w:r>
      <w:r w:rsidRPr="00F33ED8">
        <w:rPr>
          <w:color w:val="767171" w:themeColor="background2" w:themeShade="80"/>
          <w:sz w:val="24"/>
          <w:lang w:val="es-ES"/>
        </w:rPr>
        <w:t>. Tal como refiere el Comité, cada caso ha de evaluarse de forma única, para no someter al niño a una “carga indebida”, que puede ser aún más lesiva dada su especial vulnerabilidad.</w:t>
      </w:r>
    </w:p>
    <w:p w14:paraId="4A81F19E"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Para que una persona con discapacidad intelectual se incluya de manera positiva en la sociedad, es fundamental la existencia de </w:t>
      </w:r>
      <w:r w:rsidRPr="00D94893">
        <w:rPr>
          <w:b/>
          <w:color w:val="767171" w:themeColor="background2" w:themeShade="80"/>
          <w:sz w:val="24"/>
          <w:lang w:val="es-ES"/>
        </w:rPr>
        <w:t>un proyecto de vida, unas expectativas de futuro, y un grado aceptable de bienestar emocional y de salud mental</w:t>
      </w:r>
      <w:r w:rsidRPr="00F33ED8">
        <w:rPr>
          <w:color w:val="767171" w:themeColor="background2" w:themeShade="80"/>
          <w:sz w:val="24"/>
          <w:lang w:val="es-ES"/>
        </w:rPr>
        <w:t>. Este objetivo de las personas con discapacidad intelectual de alcanzar la participación efectiva en la sociedad no se alcanza exclusivamente con apoyos curriculares y educativos. Es imprescindible ir más allá.</w:t>
      </w:r>
    </w:p>
    <w:p w14:paraId="761F18BB" w14:textId="77777777" w:rsidR="00F33ED8" w:rsidRPr="00667C1D" w:rsidRDefault="00F33ED8" w:rsidP="00667C1D">
      <w:pPr>
        <w:spacing w:after="200" w:line="240" w:lineRule="auto"/>
        <w:ind w:firstLine="708"/>
        <w:jc w:val="both"/>
        <w:rPr>
          <w:color w:val="767171" w:themeColor="background2" w:themeShade="80"/>
          <w:sz w:val="24"/>
          <w:lang w:val="es-ES"/>
        </w:rPr>
      </w:pPr>
      <w:r w:rsidRPr="00667C1D">
        <w:rPr>
          <w:color w:val="767171" w:themeColor="background2" w:themeShade="80"/>
          <w:sz w:val="24"/>
          <w:lang w:val="es-ES"/>
        </w:rPr>
        <w:t xml:space="preserve">Tal y como recogió A. H Maslow, las necesidades humanas son las siguientes: </w:t>
      </w:r>
    </w:p>
    <w:p w14:paraId="2204B213" w14:textId="77777777" w:rsidR="00F33ED8" w:rsidRPr="00667C1D" w:rsidRDefault="00F33ED8" w:rsidP="00360D04">
      <w:pPr>
        <w:pStyle w:val="ListParagraph"/>
        <w:numPr>
          <w:ilvl w:val="0"/>
          <w:numId w:val="7"/>
        </w:numPr>
        <w:spacing w:after="200" w:line="240" w:lineRule="auto"/>
        <w:jc w:val="both"/>
        <w:rPr>
          <w:b/>
          <w:color w:val="767171" w:themeColor="background2" w:themeShade="80"/>
          <w:sz w:val="24"/>
          <w:lang w:val="es-ES"/>
        </w:rPr>
      </w:pPr>
      <w:r w:rsidRPr="00667C1D">
        <w:rPr>
          <w:b/>
          <w:color w:val="767171" w:themeColor="background2" w:themeShade="80"/>
          <w:sz w:val="24"/>
          <w:lang w:val="es-ES"/>
        </w:rPr>
        <w:t>Necesidades fisiológicas.</w:t>
      </w:r>
    </w:p>
    <w:p w14:paraId="29304B5C" w14:textId="77777777" w:rsidR="00F33ED8" w:rsidRPr="00667C1D" w:rsidRDefault="00F33ED8" w:rsidP="00360D04">
      <w:pPr>
        <w:pStyle w:val="ListParagraph"/>
        <w:numPr>
          <w:ilvl w:val="0"/>
          <w:numId w:val="7"/>
        </w:numPr>
        <w:spacing w:after="200" w:line="240" w:lineRule="auto"/>
        <w:jc w:val="both"/>
        <w:rPr>
          <w:b/>
          <w:color w:val="767171" w:themeColor="background2" w:themeShade="80"/>
          <w:sz w:val="24"/>
          <w:lang w:val="es-ES"/>
        </w:rPr>
      </w:pPr>
      <w:r w:rsidRPr="00667C1D">
        <w:rPr>
          <w:b/>
          <w:color w:val="767171" w:themeColor="background2" w:themeShade="80"/>
          <w:sz w:val="24"/>
          <w:lang w:val="es-ES"/>
        </w:rPr>
        <w:t>Necesidades de seguridad y protección.</w:t>
      </w:r>
    </w:p>
    <w:p w14:paraId="3CC7D4B3" w14:textId="77777777" w:rsidR="00F33ED8" w:rsidRPr="00667C1D" w:rsidRDefault="00F33ED8" w:rsidP="00360D04">
      <w:pPr>
        <w:pStyle w:val="ListParagraph"/>
        <w:numPr>
          <w:ilvl w:val="0"/>
          <w:numId w:val="7"/>
        </w:numPr>
        <w:spacing w:after="200" w:line="240" w:lineRule="auto"/>
        <w:jc w:val="both"/>
        <w:rPr>
          <w:b/>
          <w:color w:val="767171" w:themeColor="background2" w:themeShade="80"/>
          <w:sz w:val="24"/>
          <w:lang w:val="es-ES"/>
        </w:rPr>
      </w:pPr>
      <w:r w:rsidRPr="00667C1D">
        <w:rPr>
          <w:b/>
          <w:color w:val="767171" w:themeColor="background2" w:themeShade="80"/>
          <w:sz w:val="24"/>
          <w:lang w:val="es-ES"/>
        </w:rPr>
        <w:t>Necesidades de pertenencia a una estructura social básica.</w:t>
      </w:r>
    </w:p>
    <w:p w14:paraId="5937AD6B" w14:textId="77777777" w:rsidR="00F33ED8" w:rsidRPr="00667C1D" w:rsidRDefault="00F33ED8" w:rsidP="00667C1D">
      <w:pPr>
        <w:pStyle w:val="ListParagraph"/>
        <w:numPr>
          <w:ilvl w:val="0"/>
          <w:numId w:val="7"/>
        </w:numPr>
        <w:spacing w:after="200" w:line="240" w:lineRule="auto"/>
        <w:jc w:val="both"/>
        <w:rPr>
          <w:color w:val="767171" w:themeColor="background2" w:themeShade="80"/>
          <w:sz w:val="24"/>
          <w:lang w:val="es-ES"/>
        </w:rPr>
      </w:pPr>
      <w:r w:rsidRPr="00667C1D">
        <w:rPr>
          <w:b/>
          <w:color w:val="767171" w:themeColor="background2" w:themeShade="80"/>
          <w:sz w:val="24"/>
          <w:lang w:val="es-ES"/>
        </w:rPr>
        <w:t>Necesidad de pertenencia a una estructura social mayor</w:t>
      </w:r>
      <w:r w:rsidRPr="00667C1D">
        <w:rPr>
          <w:color w:val="767171" w:themeColor="background2" w:themeShade="80"/>
          <w:sz w:val="24"/>
          <w:lang w:val="es-ES"/>
        </w:rPr>
        <w:t>, en la que la persona pueda percibir que pertenece realmente. Si eso ocurre, la persona se sentirá valorada y lo reflejará en su autoestima, poniendo en marcha su motivación.</w:t>
      </w:r>
    </w:p>
    <w:p w14:paraId="4804CC45"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Las menores con discapacidad intelectual pueden tener dañada alguna parte del sistema nervioso central o del sistema nervioso periférico. Por tanto, los criterios de neuroplasticidad, poda neural y factor de crecimiento ligado a la motivación, han de estar continuamente presentes en las intervenciones y apoyos. Por ejemplo: los alumnos con daño en cerebelo y médula espinal en su sistema de interneuronas, necesitan restablecer los reflejos posturales básicos. Necesitan disponer de una intensa estimulación temprana, dado que es necesario el movimiento libre para el buen desarrollo de los canales sensoriales, para la visión y audición en profundidad.</w:t>
      </w:r>
    </w:p>
    <w:p w14:paraId="7B1D4A34"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En otras ocasiones, otros alumnos cuentan con daño en los núcleos interpuestos, entre el cerebro y el tronco cerebral. Estas personas necesitan una intervención diaria y muy especializada, en ambientes tranquilos y generalmente individualizados.</w:t>
      </w:r>
    </w:p>
    <w:p w14:paraId="2DB4B69C"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Los alumnos con grave trastorno sensorial (trastorno de espectro autista) tienen dificultad para captar la información del entorno. Al tener disfunción entre diferentes circuitos cerebrales, hace que retiren la mirada por no entender los mensajes que reciben. Si sometemos a los alumnos a situación erráticas, pueden terminar por desordenar más las conexiones.</w:t>
      </w:r>
    </w:p>
    <w:p w14:paraId="08CE531F" w14:textId="7419078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En el síndrome de Down existen alteraciones estructurales en las neuronas del aparato receptor de la información. Todas estas alteraciones se van a traducir en la lentitud para captar la información, procesarla, elaborarla y remitir respuestas adecuadas. Es decir, van a estar afectados los mecanismos de atención, abstracción, memoria y deducción lógica. Esto conlleva dificultades para el aprendizaje y afectación del lenguaje.</w:t>
      </w:r>
    </w:p>
    <w:p w14:paraId="6E577492"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Todas estas personas además pueden contar con problemas de control emocional, por lo que habría que recurrir a técnicas de modificación de conducta, además de problemas para poder organizar pequeños planes de acción o una sucesión de ellos.</w:t>
      </w:r>
    </w:p>
    <w:p w14:paraId="2C1FFA9A"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De esta manera, si el ambiente escolar fuera inadecuado, se convertiría en un estresor para esta persona con discapacidad intelectual, pudiéndole ocasionar un daño que no permitirá su pleno desarrollo. Como hemos detallado, conforme a las características descritas, todas las personas con discapacidad intelectual tienen dificultades, en mayor o menor medida, para la percepción del ambiente de forma correcta, de forma que años de estrés, pueden comenzar a generar conductas irritativas más o menos conflictivas que pueden </w:t>
      </w:r>
      <w:r w:rsidRPr="00FD29C0">
        <w:rPr>
          <w:b/>
          <w:color w:val="767171" w:themeColor="background2" w:themeShade="80"/>
          <w:sz w:val="24"/>
          <w:lang w:val="es-ES"/>
        </w:rPr>
        <w:t>causar perjuicios implícitos para la salud, la habilitación, o el bienestar emocional</w:t>
      </w:r>
      <w:r w:rsidRPr="00F33ED8">
        <w:rPr>
          <w:color w:val="767171" w:themeColor="background2" w:themeShade="80"/>
          <w:sz w:val="24"/>
          <w:lang w:val="es-ES"/>
        </w:rPr>
        <w:t>.</w:t>
      </w:r>
    </w:p>
    <w:p w14:paraId="61DDBFA2" w14:textId="77777777" w:rsidR="00F33ED8" w:rsidRPr="00F33ED8" w:rsidRDefault="00F33ED8" w:rsidP="008E4D63">
      <w:pPr>
        <w:spacing w:after="200" w:line="240" w:lineRule="auto"/>
        <w:ind w:firstLine="708"/>
        <w:jc w:val="both"/>
        <w:rPr>
          <w:color w:val="767171" w:themeColor="background2" w:themeShade="80"/>
          <w:sz w:val="24"/>
          <w:lang w:val="es-ES"/>
        </w:rPr>
      </w:pPr>
      <w:r w:rsidRPr="00F33ED8">
        <w:rPr>
          <w:color w:val="767171" w:themeColor="background2" w:themeShade="80"/>
          <w:sz w:val="24"/>
          <w:lang w:val="es-ES"/>
        </w:rPr>
        <w:t xml:space="preserve">Según lo hasta ahora expuesto, podemos afirmar que las personas con discapacidad intelectual se diferencian del resto de la población por la </w:t>
      </w:r>
      <w:r w:rsidRPr="009358E8">
        <w:rPr>
          <w:b/>
          <w:color w:val="767171" w:themeColor="background2" w:themeShade="80"/>
          <w:sz w:val="24"/>
          <w:lang w:val="es-ES"/>
        </w:rPr>
        <w:t>naturaleza y la intensidad de los apoyos que necesitan para participar en la vida comunitaria</w:t>
      </w:r>
      <w:r w:rsidRPr="00F33ED8">
        <w:rPr>
          <w:color w:val="767171" w:themeColor="background2" w:themeShade="80"/>
          <w:sz w:val="24"/>
          <w:lang w:val="es-ES"/>
        </w:rPr>
        <w:t>. Su menor nivel intelectual y las limitaciones en su conducta adaptativa se manifiestan en la vida cotidiana. Se enfrentan a retos importantes en su aprendizaje y desarrollo, tienen en ocasiones dificultades para participar en algunos ámbitos de la vida diaria dentro de sus respectivas comunidades y son especialmente vulnerables a la explotación por parte de otros. De ahí la importancia que adquieran apoyos: su patrón y su intensidad guardan relación con el grado en que la persona ha de participar en las actividades relacionadas con un comportamiento individual estándar.</w:t>
      </w:r>
    </w:p>
    <w:p w14:paraId="20D8FF72" w14:textId="130D93F4" w:rsidR="0081296B" w:rsidRPr="009358E8" w:rsidRDefault="00F33ED8" w:rsidP="008E4D63">
      <w:pPr>
        <w:spacing w:after="200" w:line="240" w:lineRule="auto"/>
        <w:ind w:firstLine="708"/>
        <w:jc w:val="both"/>
        <w:rPr>
          <w:b/>
          <w:color w:val="767171" w:themeColor="background2" w:themeShade="80"/>
          <w:sz w:val="24"/>
          <w:lang w:val="es-ES"/>
        </w:rPr>
      </w:pPr>
      <w:r w:rsidRPr="00F33ED8">
        <w:rPr>
          <w:color w:val="767171" w:themeColor="background2" w:themeShade="80"/>
          <w:sz w:val="24"/>
          <w:lang w:val="es-ES"/>
        </w:rPr>
        <w:t xml:space="preserve">Disponer de estos apoyos es otra de las condiciones que favorecen el bienestar emocional. A veces </w:t>
      </w:r>
      <w:r w:rsidRPr="009358E8">
        <w:rPr>
          <w:b/>
          <w:color w:val="767171" w:themeColor="background2" w:themeShade="80"/>
          <w:sz w:val="24"/>
          <w:lang w:val="es-ES"/>
        </w:rPr>
        <w:t xml:space="preserve">la intensidad de los apoyos que necesitan estas personas con discapacidad intelectual en la etapa escolar es tal y su variabilidad tan grande, que requieren de una </w:t>
      </w:r>
      <w:r w:rsidRPr="007744D0">
        <w:rPr>
          <w:b/>
          <w:color w:val="767171" w:themeColor="background2" w:themeShade="80"/>
          <w:sz w:val="24"/>
          <w:u w:val="single"/>
          <w:lang w:val="es-ES"/>
        </w:rPr>
        <w:t>educación especializada</w:t>
      </w:r>
      <w:r w:rsidRPr="009358E8">
        <w:rPr>
          <w:b/>
          <w:color w:val="767171" w:themeColor="background2" w:themeShade="80"/>
          <w:sz w:val="24"/>
          <w:lang w:val="es-ES"/>
        </w:rPr>
        <w:t xml:space="preserve"> que les provea de un entorno que les garantice de una forma holística una educación de calidad, un bienestar emocional, un entorno seguro y una protección de la salud imprescindibles para alcanzar su plena participación en la sociedad.</w:t>
      </w:r>
    </w:p>
    <w:p w14:paraId="2C760940" w14:textId="77777777" w:rsidR="00224F00" w:rsidRPr="008E0F16" w:rsidRDefault="00224F00" w:rsidP="00224F00">
      <w:pPr>
        <w:spacing w:after="0" w:line="240" w:lineRule="auto"/>
        <w:rPr>
          <w:color w:val="767171" w:themeColor="background2" w:themeShade="80"/>
          <w:sz w:val="24"/>
          <w:lang w:val="es-ES"/>
        </w:rPr>
      </w:pPr>
    </w:p>
    <w:p w14:paraId="474DA455" w14:textId="326DB8F3" w:rsidR="00224F00" w:rsidRPr="007E167A" w:rsidRDefault="00224F00" w:rsidP="00224F00">
      <w:pPr>
        <w:spacing w:after="200" w:line="240" w:lineRule="auto"/>
        <w:jc w:val="both"/>
        <w:rPr>
          <w:color w:val="767171" w:themeColor="background2" w:themeShade="80"/>
          <w:sz w:val="24"/>
          <w:lang w:val="en-GB"/>
        </w:rPr>
      </w:pPr>
      <w:r w:rsidRPr="008E0F16">
        <w:rPr>
          <w:color w:val="767171" w:themeColor="background2" w:themeShade="80"/>
          <w:sz w:val="24"/>
          <w:lang w:val="es-ES"/>
        </w:rPr>
        <w:t xml:space="preserve"> </w:t>
      </w:r>
      <w:r w:rsidR="00BD5036" w:rsidRPr="00BD5036">
        <w:rPr>
          <w:b/>
          <w:color w:val="92D050"/>
          <w:sz w:val="36"/>
          <w:lang w:val="en-GB"/>
        </w:rPr>
        <w:t>CONCLUSIONES:</w:t>
      </w:r>
    </w:p>
    <w:p w14:paraId="53B79829" w14:textId="752B772F" w:rsidR="0039261A" w:rsidRPr="0039261A"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La </w:t>
      </w:r>
      <w:r w:rsidRPr="000B67FC">
        <w:rPr>
          <w:b/>
          <w:color w:val="767171" w:themeColor="background2" w:themeShade="80"/>
          <w:sz w:val="24"/>
          <w:lang w:val="es-ES"/>
        </w:rPr>
        <w:t>discapacidad intelectual es diversa</w:t>
      </w:r>
      <w:r w:rsidRPr="0039261A">
        <w:rPr>
          <w:color w:val="767171" w:themeColor="background2" w:themeShade="80"/>
          <w:sz w:val="24"/>
          <w:lang w:val="es-ES"/>
        </w:rPr>
        <w:t xml:space="preserve"> en todas sus manifestaciones (capacidad de aprendizaje, inteligencia emocional y conductas adaptativas).</w:t>
      </w:r>
    </w:p>
    <w:p w14:paraId="455550E2" w14:textId="77777777" w:rsidR="0039261A" w:rsidRPr="0039261A"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El </w:t>
      </w:r>
      <w:r w:rsidRPr="000B67FC">
        <w:rPr>
          <w:b/>
          <w:color w:val="767171" w:themeColor="background2" w:themeShade="80"/>
          <w:sz w:val="24"/>
          <w:lang w:val="es-ES"/>
        </w:rPr>
        <w:t>derecho humano a la educación es indivisible e interdependiente con otros derechos humanos</w:t>
      </w:r>
      <w:r w:rsidRPr="0039261A">
        <w:rPr>
          <w:color w:val="767171" w:themeColor="background2" w:themeShade="80"/>
          <w:sz w:val="24"/>
          <w:lang w:val="es-ES"/>
        </w:rPr>
        <w:t xml:space="preserve"> tales como la seguridad, el bienestar emocional, la salud, la habilitación o la protección social. </w:t>
      </w:r>
    </w:p>
    <w:p w14:paraId="750CCED5" w14:textId="77777777" w:rsidR="0039261A" w:rsidRPr="00987DF5"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El menor con discapacidad intelectual requiere de una valoración individualizada, en el marco de un </w:t>
      </w:r>
      <w:r w:rsidRPr="000B67FC">
        <w:rPr>
          <w:b/>
          <w:color w:val="767171" w:themeColor="background2" w:themeShade="80"/>
          <w:sz w:val="24"/>
          <w:lang w:val="es-ES"/>
        </w:rPr>
        <w:t>proceso de diálogo, multilateral, participativo e inclusivo</w:t>
      </w:r>
      <w:r w:rsidRPr="0039261A">
        <w:rPr>
          <w:color w:val="767171" w:themeColor="background2" w:themeShade="80"/>
          <w:sz w:val="24"/>
          <w:lang w:val="es-ES"/>
        </w:rPr>
        <w:t xml:space="preserve">, en el que participen las autoridades y los proveedores educativos, la institución académica, </w:t>
      </w:r>
      <w:r w:rsidRPr="00987DF5">
        <w:rPr>
          <w:color w:val="767171" w:themeColor="background2" w:themeShade="80"/>
          <w:sz w:val="24"/>
          <w:lang w:val="es-ES"/>
        </w:rPr>
        <w:t xml:space="preserve">los alumnos con discapacidad y, cuando proceda, en función de la edad y la capacidad de los alumnos, sus padres, cuidadores u otros familiares. </w:t>
      </w:r>
    </w:p>
    <w:p w14:paraId="0767AE54" w14:textId="77777777" w:rsidR="0039261A" w:rsidRPr="00631893" w:rsidRDefault="0039261A" w:rsidP="0039261A">
      <w:pPr>
        <w:numPr>
          <w:ilvl w:val="0"/>
          <w:numId w:val="3"/>
        </w:numPr>
        <w:spacing w:after="0" w:line="240" w:lineRule="auto"/>
        <w:jc w:val="both"/>
        <w:textAlignment w:val="baseline"/>
        <w:rPr>
          <w:b/>
          <w:color w:val="767171" w:themeColor="background2" w:themeShade="80"/>
          <w:sz w:val="24"/>
          <w:lang w:val="es-ES"/>
        </w:rPr>
      </w:pPr>
      <w:r w:rsidRPr="00987DF5">
        <w:rPr>
          <w:color w:val="767171" w:themeColor="background2" w:themeShade="80"/>
          <w:sz w:val="24"/>
          <w:lang w:val="es-ES"/>
        </w:rPr>
        <w:t xml:space="preserve">En este proceso se habrá de valorar si las modificaciones y adaptaciones que se deben </w:t>
      </w:r>
      <w:r w:rsidRPr="0039261A">
        <w:rPr>
          <w:color w:val="767171" w:themeColor="background2" w:themeShade="80"/>
          <w:sz w:val="24"/>
          <w:lang w:val="es-ES"/>
        </w:rPr>
        <w:t xml:space="preserve">realizar para que un menor con discapacidad intelectual acuda a un centro escolar ordinario son </w:t>
      </w:r>
      <w:r w:rsidRPr="00631893">
        <w:rPr>
          <w:b/>
          <w:color w:val="767171" w:themeColor="background2" w:themeShade="80"/>
          <w:sz w:val="24"/>
          <w:lang w:val="es-ES"/>
        </w:rPr>
        <w:t xml:space="preserve">razonables, es decir, </w:t>
      </w:r>
      <w:r w:rsidRPr="00631893">
        <w:rPr>
          <w:b/>
          <w:color w:val="767171" w:themeColor="background2" w:themeShade="80"/>
          <w:sz w:val="24"/>
          <w:u w:val="single"/>
          <w:lang w:val="es-ES"/>
        </w:rPr>
        <w:t>si son eficaces para el menor</w:t>
      </w:r>
      <w:r w:rsidRPr="00631893">
        <w:rPr>
          <w:b/>
          <w:color w:val="767171" w:themeColor="background2" w:themeShade="80"/>
          <w:sz w:val="24"/>
          <w:lang w:val="es-ES"/>
        </w:rPr>
        <w:t xml:space="preserve"> o, a sensu contrario, le van a producir una carga indebida. Eficaz no solo se restringiría a aspectos prácticos, sino que buscaría la </w:t>
      </w:r>
      <w:r w:rsidRPr="007B1537">
        <w:rPr>
          <w:b/>
          <w:color w:val="767171" w:themeColor="background2" w:themeShade="80"/>
          <w:sz w:val="24"/>
          <w:u w:val="single"/>
          <w:lang w:val="es-ES"/>
        </w:rPr>
        <w:t>ponderación y equilibrio de todos los derechos humanos en juego</w:t>
      </w:r>
      <w:r w:rsidRPr="00631893">
        <w:rPr>
          <w:b/>
          <w:color w:val="767171" w:themeColor="background2" w:themeShade="80"/>
          <w:sz w:val="24"/>
          <w:lang w:val="es-ES"/>
        </w:rPr>
        <w:t xml:space="preserve">. En este caso, habría que valorar a su vez los derechos a la educación, a la salud, a la habilitación, a la protección social, el bienestar emocional, etc. </w:t>
      </w:r>
    </w:p>
    <w:p w14:paraId="2F978430" w14:textId="7C048CC8" w:rsidR="0039261A"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Este proceso de decisión se realizará con base en el </w:t>
      </w:r>
      <w:r w:rsidRPr="007B1537">
        <w:rPr>
          <w:b/>
          <w:color w:val="767171" w:themeColor="background2" w:themeShade="80"/>
          <w:sz w:val="24"/>
          <w:lang w:val="es-ES"/>
        </w:rPr>
        <w:t>interés superior del menor</w:t>
      </w:r>
      <w:r w:rsidRPr="0039261A">
        <w:rPr>
          <w:color w:val="767171" w:themeColor="background2" w:themeShade="80"/>
          <w:sz w:val="24"/>
          <w:lang w:val="es-ES"/>
        </w:rPr>
        <w:t xml:space="preserve">, tomándose siempre aquella medida que asegure la máxima satisfacción de todos los derechos humanos afectados que sea posible, y la menor restricción de ellos. La decisión debe </w:t>
      </w:r>
      <w:r w:rsidRPr="007B1537">
        <w:rPr>
          <w:b/>
          <w:color w:val="767171" w:themeColor="background2" w:themeShade="80"/>
          <w:sz w:val="24"/>
          <w:lang w:val="es-ES"/>
        </w:rPr>
        <w:t>garantizar el bienestar del niño</w:t>
      </w:r>
      <w:r w:rsidRPr="0039261A">
        <w:rPr>
          <w:color w:val="767171" w:themeColor="background2" w:themeShade="80"/>
          <w:sz w:val="24"/>
          <w:lang w:val="es-ES"/>
        </w:rPr>
        <w:t xml:space="preserve">, entendiendo el bienestar del niño, en un sentido amplio, que abarca sus </w:t>
      </w:r>
      <w:r w:rsidRPr="00987DF5">
        <w:rPr>
          <w:b/>
          <w:color w:val="767171" w:themeColor="background2" w:themeShade="80"/>
          <w:sz w:val="24"/>
          <w:lang w:val="es-ES"/>
        </w:rPr>
        <w:t>necesidades materiales, físicas, educativas y emocionales básicas, así como su necesidad de afecto y seguridad</w:t>
      </w:r>
      <w:r w:rsidRPr="0039261A">
        <w:rPr>
          <w:color w:val="767171" w:themeColor="background2" w:themeShade="80"/>
          <w:sz w:val="24"/>
          <w:lang w:val="es-ES"/>
        </w:rPr>
        <w:t>.</w:t>
      </w:r>
    </w:p>
    <w:p w14:paraId="5599DCA6" w14:textId="77777777" w:rsidR="00987DF5" w:rsidRPr="0039261A" w:rsidRDefault="00987DF5" w:rsidP="00987DF5">
      <w:pPr>
        <w:spacing w:after="0" w:line="240" w:lineRule="auto"/>
        <w:jc w:val="both"/>
        <w:textAlignment w:val="baseline"/>
        <w:rPr>
          <w:color w:val="767171" w:themeColor="background2" w:themeShade="80"/>
          <w:sz w:val="24"/>
          <w:lang w:val="es-ES"/>
        </w:rPr>
      </w:pPr>
    </w:p>
    <w:p w14:paraId="62B6FDB4" w14:textId="77777777" w:rsidR="0039261A" w:rsidRPr="0039261A"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Cuando en este proceso de valoración individual y una vez ponderados todos los derechos humanos en juego, se concluya que la escolarización del menor con discapacidad intelectual en un centro ordinario no es razonable, </w:t>
      </w:r>
      <w:r w:rsidRPr="003E319D">
        <w:rPr>
          <w:b/>
          <w:color w:val="767171" w:themeColor="background2" w:themeShade="80"/>
          <w:sz w:val="24"/>
          <w:lang w:val="es-ES"/>
        </w:rPr>
        <w:t>al no ser eficaz para el titular del derecho y además, poderle producir cargas indebidas</w:t>
      </w:r>
      <w:r w:rsidRPr="0039261A">
        <w:rPr>
          <w:color w:val="767171" w:themeColor="background2" w:themeShade="80"/>
          <w:sz w:val="24"/>
          <w:lang w:val="es-ES"/>
        </w:rPr>
        <w:t xml:space="preserve">, el menor con discapacidad intelectual ejercerá su derecho a la educación en un </w:t>
      </w:r>
      <w:r w:rsidRPr="003E319D">
        <w:rPr>
          <w:b/>
          <w:color w:val="767171" w:themeColor="background2" w:themeShade="80"/>
          <w:sz w:val="24"/>
          <w:u w:val="single"/>
          <w:lang w:val="es-ES"/>
        </w:rPr>
        <w:t>centro de educación especializada</w:t>
      </w:r>
      <w:r w:rsidRPr="0039261A">
        <w:rPr>
          <w:color w:val="767171" w:themeColor="background2" w:themeShade="80"/>
          <w:sz w:val="24"/>
          <w:lang w:val="es-ES"/>
        </w:rPr>
        <w:t xml:space="preserve"> siempre que este centro cumpla con todas las dimensiones de calidad recomendadas por la </w:t>
      </w:r>
      <w:r w:rsidRPr="00D37972">
        <w:rPr>
          <w:b/>
          <w:color w:val="767171" w:themeColor="background2" w:themeShade="80"/>
          <w:sz w:val="24"/>
          <w:lang w:val="es-ES"/>
        </w:rPr>
        <w:t>UNESCO</w:t>
      </w:r>
      <w:r w:rsidRPr="0039261A">
        <w:rPr>
          <w:color w:val="767171" w:themeColor="background2" w:themeShade="80"/>
          <w:sz w:val="24"/>
          <w:lang w:val="es-ES"/>
        </w:rPr>
        <w:t>:</w:t>
      </w:r>
    </w:p>
    <w:p w14:paraId="212FBB2F" w14:textId="77777777" w:rsidR="0039261A" w:rsidRPr="0039261A" w:rsidRDefault="0039261A" w:rsidP="003E319D">
      <w:pPr>
        <w:spacing w:after="0" w:line="240" w:lineRule="auto"/>
        <w:ind w:left="360"/>
        <w:jc w:val="both"/>
        <w:textAlignment w:val="baseline"/>
        <w:rPr>
          <w:color w:val="767171" w:themeColor="background2" w:themeShade="80"/>
          <w:sz w:val="24"/>
          <w:lang w:val="es-ES"/>
        </w:rPr>
      </w:pPr>
    </w:p>
    <w:p w14:paraId="3F2CB6EB" w14:textId="4BB9B723" w:rsidR="0039261A" w:rsidRPr="00D37972" w:rsidRDefault="00D37972" w:rsidP="00D37972">
      <w:pPr>
        <w:pStyle w:val="ListParagraph"/>
        <w:numPr>
          <w:ilvl w:val="0"/>
          <w:numId w:val="8"/>
        </w:numPr>
        <w:spacing w:after="0" w:line="240" w:lineRule="auto"/>
        <w:jc w:val="both"/>
        <w:textAlignment w:val="baseline"/>
        <w:rPr>
          <w:color w:val="767171" w:themeColor="background2" w:themeShade="80"/>
          <w:sz w:val="24"/>
          <w:lang w:val="es-ES"/>
        </w:rPr>
      </w:pPr>
      <w:r>
        <w:rPr>
          <w:color w:val="767171" w:themeColor="background2" w:themeShade="80"/>
          <w:sz w:val="24"/>
          <w:lang w:val="es-ES"/>
        </w:rPr>
        <w:t>L</w:t>
      </w:r>
      <w:r w:rsidR="0039261A" w:rsidRPr="00D37972">
        <w:rPr>
          <w:color w:val="767171" w:themeColor="background2" w:themeShade="80"/>
          <w:sz w:val="24"/>
          <w:lang w:val="es-ES"/>
        </w:rPr>
        <w:t>os estudiantes (sanos y motivados)</w:t>
      </w:r>
    </w:p>
    <w:p w14:paraId="31721BBB" w14:textId="3A364000" w:rsidR="0039261A" w:rsidRPr="00D37972" w:rsidRDefault="00D37972" w:rsidP="00D37972">
      <w:pPr>
        <w:pStyle w:val="ListParagraph"/>
        <w:numPr>
          <w:ilvl w:val="0"/>
          <w:numId w:val="8"/>
        </w:numPr>
        <w:spacing w:after="0" w:line="240" w:lineRule="auto"/>
        <w:jc w:val="both"/>
        <w:textAlignment w:val="baseline"/>
        <w:rPr>
          <w:color w:val="767171" w:themeColor="background2" w:themeShade="80"/>
          <w:sz w:val="24"/>
          <w:lang w:val="es-ES"/>
        </w:rPr>
      </w:pPr>
      <w:r>
        <w:rPr>
          <w:color w:val="767171" w:themeColor="background2" w:themeShade="80"/>
          <w:sz w:val="24"/>
          <w:lang w:val="es-ES"/>
        </w:rPr>
        <w:t>L</w:t>
      </w:r>
      <w:r w:rsidR="0039261A" w:rsidRPr="00D37972">
        <w:rPr>
          <w:color w:val="767171" w:themeColor="background2" w:themeShade="80"/>
          <w:sz w:val="24"/>
          <w:lang w:val="es-ES"/>
        </w:rPr>
        <w:t>os procesos (docentes competentes que utilizan pedagogías activas)</w:t>
      </w:r>
    </w:p>
    <w:p w14:paraId="019E9DEB" w14:textId="5798ADC7" w:rsidR="0039261A" w:rsidRPr="00D37972" w:rsidRDefault="00D37972" w:rsidP="00D37972">
      <w:pPr>
        <w:pStyle w:val="ListParagraph"/>
        <w:numPr>
          <w:ilvl w:val="0"/>
          <w:numId w:val="8"/>
        </w:numPr>
        <w:spacing w:after="0" w:line="240" w:lineRule="auto"/>
        <w:jc w:val="both"/>
        <w:textAlignment w:val="baseline"/>
        <w:rPr>
          <w:color w:val="767171" w:themeColor="background2" w:themeShade="80"/>
          <w:sz w:val="24"/>
          <w:lang w:val="es-ES"/>
        </w:rPr>
      </w:pPr>
      <w:r>
        <w:rPr>
          <w:color w:val="767171" w:themeColor="background2" w:themeShade="80"/>
          <w:sz w:val="24"/>
          <w:lang w:val="es-ES"/>
        </w:rPr>
        <w:t>L</w:t>
      </w:r>
      <w:r w:rsidR="0039261A" w:rsidRPr="00D37972">
        <w:rPr>
          <w:color w:val="767171" w:themeColor="background2" w:themeShade="80"/>
          <w:sz w:val="24"/>
          <w:lang w:val="es-ES"/>
        </w:rPr>
        <w:t>os contenidos (programas de estudios relevantes), y</w:t>
      </w:r>
    </w:p>
    <w:p w14:paraId="3D1CF0B3" w14:textId="63485D47" w:rsidR="0039261A" w:rsidRPr="00D37972" w:rsidRDefault="00D37972" w:rsidP="00D37972">
      <w:pPr>
        <w:pStyle w:val="ListParagraph"/>
        <w:numPr>
          <w:ilvl w:val="0"/>
          <w:numId w:val="8"/>
        </w:numPr>
        <w:spacing w:after="0" w:line="240" w:lineRule="auto"/>
        <w:jc w:val="both"/>
        <w:textAlignment w:val="baseline"/>
        <w:rPr>
          <w:color w:val="767171" w:themeColor="background2" w:themeShade="80"/>
          <w:sz w:val="24"/>
          <w:lang w:val="es-ES"/>
        </w:rPr>
      </w:pPr>
      <w:r>
        <w:rPr>
          <w:color w:val="767171" w:themeColor="background2" w:themeShade="80"/>
          <w:sz w:val="24"/>
          <w:lang w:val="es-ES"/>
        </w:rPr>
        <w:t>L</w:t>
      </w:r>
      <w:r w:rsidR="0039261A" w:rsidRPr="00D37972">
        <w:rPr>
          <w:color w:val="767171" w:themeColor="background2" w:themeShade="80"/>
          <w:sz w:val="24"/>
          <w:lang w:val="es-ES"/>
        </w:rPr>
        <w:t>os sistemas (buena administración y distribución de recursos equitativa, entornos educativos seguros, sanos e integrados, a fin de favorecer un excelente aprendizaje y niveles bien definidos de rendimiento para todos).</w:t>
      </w:r>
    </w:p>
    <w:p w14:paraId="1A4AE2F0" w14:textId="77777777" w:rsidR="0039261A" w:rsidRPr="0039261A" w:rsidRDefault="0039261A" w:rsidP="008F6892">
      <w:pPr>
        <w:spacing w:after="0" w:line="240" w:lineRule="auto"/>
        <w:ind w:left="720"/>
        <w:jc w:val="both"/>
        <w:textAlignment w:val="baseline"/>
        <w:rPr>
          <w:color w:val="767171" w:themeColor="background2" w:themeShade="80"/>
          <w:sz w:val="24"/>
          <w:lang w:val="es-ES"/>
        </w:rPr>
      </w:pPr>
    </w:p>
    <w:p w14:paraId="45F0E34F" w14:textId="77777777" w:rsidR="0039261A" w:rsidRPr="0039261A"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En definitiva, y con base en los argumentos anteriores, no se puede interpretar la Convención como una vía de eliminación del actual modelo de educación especializada, que es un </w:t>
      </w:r>
      <w:r w:rsidRPr="008F6892">
        <w:rPr>
          <w:b/>
          <w:color w:val="767171" w:themeColor="background2" w:themeShade="80"/>
          <w:sz w:val="24"/>
          <w:lang w:val="es-ES"/>
        </w:rPr>
        <w:t>modelo que ha probado su eficacia como fórmula de éxito para garantizar el pleno desarrollo del potencial humano de las personas con discapacidad intelectual</w:t>
      </w:r>
      <w:r w:rsidRPr="0039261A">
        <w:rPr>
          <w:color w:val="767171" w:themeColor="background2" w:themeShade="80"/>
          <w:sz w:val="24"/>
          <w:lang w:val="es-ES"/>
        </w:rPr>
        <w:t xml:space="preserve"> (incluido el máximo desarrollo de su personalidad, talento y creatividad), así como de sus aptitudes mentales y físicas para alcanzar la participación efectiva en la sociedad.</w:t>
      </w:r>
    </w:p>
    <w:p w14:paraId="454D2A89" w14:textId="77777777" w:rsidR="0039261A" w:rsidRPr="0039261A" w:rsidRDefault="0039261A" w:rsidP="00FC734B">
      <w:pPr>
        <w:spacing w:after="0" w:line="240" w:lineRule="auto"/>
        <w:ind w:left="720"/>
        <w:jc w:val="both"/>
        <w:textAlignment w:val="baseline"/>
        <w:rPr>
          <w:color w:val="767171" w:themeColor="background2" w:themeShade="80"/>
          <w:sz w:val="24"/>
          <w:lang w:val="es-ES"/>
        </w:rPr>
      </w:pPr>
    </w:p>
    <w:p w14:paraId="2BE38EBB" w14:textId="3C65A5A2" w:rsidR="002C0593" w:rsidRPr="0039261A" w:rsidRDefault="0039261A" w:rsidP="0039261A">
      <w:pPr>
        <w:numPr>
          <w:ilvl w:val="0"/>
          <w:numId w:val="3"/>
        </w:numPr>
        <w:spacing w:after="0" w:line="240" w:lineRule="auto"/>
        <w:jc w:val="both"/>
        <w:textAlignment w:val="baseline"/>
        <w:rPr>
          <w:color w:val="767171" w:themeColor="background2" w:themeShade="80"/>
          <w:sz w:val="24"/>
          <w:lang w:val="es-ES"/>
        </w:rPr>
      </w:pPr>
      <w:r w:rsidRPr="0039261A">
        <w:rPr>
          <w:color w:val="767171" w:themeColor="background2" w:themeShade="80"/>
          <w:sz w:val="24"/>
          <w:lang w:val="es-ES"/>
        </w:rPr>
        <w:t xml:space="preserve">Una interpretación estricta y limitada de la Convención </w:t>
      </w:r>
      <w:r w:rsidRPr="00616C86">
        <w:rPr>
          <w:b/>
          <w:color w:val="767171" w:themeColor="background2" w:themeShade="80"/>
          <w:sz w:val="24"/>
          <w:lang w:val="es-ES"/>
        </w:rPr>
        <w:t>pone en peligro el interés superior del menor</w:t>
      </w:r>
      <w:r w:rsidRPr="0039261A">
        <w:rPr>
          <w:color w:val="767171" w:themeColor="background2" w:themeShade="80"/>
          <w:sz w:val="24"/>
          <w:lang w:val="es-ES"/>
        </w:rPr>
        <w:t xml:space="preserve">.  Este interés superior de menor prima sobre cualquier cálculo de beneficio colectivo. </w:t>
      </w:r>
      <w:r w:rsidRPr="00616C86">
        <w:rPr>
          <w:b/>
          <w:color w:val="767171" w:themeColor="background2" w:themeShade="80"/>
          <w:sz w:val="24"/>
          <w:lang w:val="es-ES"/>
        </w:rPr>
        <w:t>Su correcta aplicación requiere un análisis conjunto de todos los derechos humanos afectados y de los que se puedan afectar</w:t>
      </w:r>
      <w:r w:rsidRPr="0039261A">
        <w:rPr>
          <w:color w:val="767171" w:themeColor="background2" w:themeShade="80"/>
          <w:sz w:val="24"/>
          <w:lang w:val="es-ES"/>
        </w:rPr>
        <w:t>, tomándose siempre aquella medida que asegure la máxima satisfacción de los derechos que sea posible.</w:t>
      </w:r>
    </w:p>
    <w:sectPr w:rsidR="002C0593" w:rsidRPr="0039261A" w:rsidSect="000F3C0C">
      <w:footerReference w:type="default" r:id="rId23"/>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19DEAB" w14:textId="77777777" w:rsidR="005C07C9" w:rsidRDefault="005C07C9" w:rsidP="00132674">
      <w:pPr>
        <w:spacing w:after="0" w:line="240" w:lineRule="auto"/>
      </w:pPr>
      <w:r>
        <w:separator/>
      </w:r>
    </w:p>
  </w:endnote>
  <w:endnote w:type="continuationSeparator" w:id="0">
    <w:p w14:paraId="2AAD2E29" w14:textId="77777777" w:rsidR="005C07C9" w:rsidRDefault="005C07C9" w:rsidP="001326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9AC1AF" w14:textId="7D3B8B36" w:rsidR="002238BA" w:rsidRDefault="002238BA">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lang w:val="es-ES"/>
      </w:rPr>
      <w:t>P</w:t>
    </w:r>
    <w:r w:rsidR="00EC1ED8">
      <w:rPr>
        <w:color w:val="8496B0" w:themeColor="text2" w:themeTint="99"/>
        <w:spacing w:val="60"/>
        <w:sz w:val="24"/>
        <w:szCs w:val="24"/>
        <w:lang w:val="es-ES"/>
      </w:rPr>
      <w:t>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2B5D4C" w14:textId="77777777" w:rsidR="00EF30DC" w:rsidRDefault="00B0177A" w:rsidP="00EF30DC">
    <w:pPr>
      <w:tabs>
        <w:tab w:val="left" w:pos="2407"/>
        <w:tab w:val="center" w:pos="4550"/>
        <w:tab w:val="left" w:pos="5818"/>
        <w:tab w:val="right" w:pos="8578"/>
      </w:tabs>
      <w:ind w:right="260"/>
      <w:rPr>
        <w:color w:val="8496B0" w:themeColor="text2" w:themeTint="99"/>
        <w:spacing w:val="60"/>
        <w:sz w:val="24"/>
        <w:szCs w:val="24"/>
        <w:lang w:val="es-ES"/>
      </w:rPr>
    </w:pPr>
    <w:r>
      <w:rPr>
        <w:rFonts w:ascii="&amp;quot" w:hAnsi="&amp;quot"/>
        <w:color w:val="2F2F2F"/>
        <w:sz w:val="17"/>
        <w:szCs w:val="17"/>
        <w:vertAlign w:val="superscript"/>
      </w:rPr>
      <w:t>1</w:t>
    </w:r>
    <w:r w:rsidR="00CF11B1" w:rsidRPr="000E4079">
      <w:rPr>
        <w:rFonts w:ascii="Calibri" w:hAnsi="Calibri"/>
        <w:color w:val="000000"/>
        <w:sz w:val="16"/>
        <w:szCs w:val="16"/>
      </w:rPr>
      <w:t>Ajuste razonable: Un nuevo concepto desde la óptica de una gramática constitucional inclusiva. De Campos Velho Martel. SUR. V.8. N.14. jun 2011. Pág. 91</w:t>
    </w:r>
    <w:r w:rsidR="00CF11B1" w:rsidRPr="000E4079">
      <w:rPr>
        <w:color w:val="8496B0" w:themeColor="text2" w:themeTint="99"/>
        <w:spacing w:val="60"/>
        <w:sz w:val="16"/>
        <w:szCs w:val="16"/>
        <w:lang w:val="es-ES"/>
      </w:rPr>
      <w:tab/>
    </w:r>
    <w:r w:rsidR="00CF11B1">
      <w:rPr>
        <w:color w:val="8496B0" w:themeColor="text2" w:themeTint="99"/>
        <w:spacing w:val="60"/>
        <w:sz w:val="24"/>
        <w:szCs w:val="24"/>
        <w:lang w:val="es-ES"/>
      </w:rPr>
      <w:tab/>
    </w:r>
    <w:r w:rsidR="00CF11B1">
      <w:rPr>
        <w:color w:val="8496B0" w:themeColor="text2" w:themeTint="99"/>
        <w:spacing w:val="60"/>
        <w:sz w:val="24"/>
        <w:szCs w:val="24"/>
        <w:lang w:val="es-ES"/>
      </w:rPr>
      <w:tab/>
    </w:r>
  </w:p>
  <w:p w14:paraId="2AD63D96" w14:textId="0A8F5E49" w:rsidR="00F124C3" w:rsidRDefault="00F124C3"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4</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54AC17" w14:textId="22A2CA20" w:rsidR="005B7985" w:rsidRDefault="005B7985" w:rsidP="00EF30DC">
    <w:pPr>
      <w:tabs>
        <w:tab w:val="left" w:pos="2407"/>
        <w:tab w:val="center" w:pos="4550"/>
        <w:tab w:val="left" w:pos="5818"/>
        <w:tab w:val="right" w:pos="8578"/>
      </w:tabs>
      <w:ind w:right="260"/>
      <w:rPr>
        <w:color w:val="8496B0" w:themeColor="text2" w:themeTint="99"/>
        <w:spacing w:val="60"/>
        <w:sz w:val="24"/>
        <w:szCs w:val="24"/>
        <w:lang w:val="es-ES"/>
      </w:rPr>
    </w:pPr>
    <w:r>
      <w:rPr>
        <w:rFonts w:ascii="&amp;quot" w:hAnsi="&amp;quot"/>
        <w:color w:val="2F2F2F"/>
        <w:sz w:val="17"/>
        <w:szCs w:val="17"/>
        <w:vertAlign w:val="superscript"/>
      </w:rPr>
      <w:t>2</w:t>
    </w:r>
    <w:r w:rsidR="00080B3C" w:rsidRPr="00080B3C">
      <w:rPr>
        <w:rFonts w:ascii="Calibri" w:hAnsi="Calibri"/>
        <w:color w:val="000000"/>
        <w:sz w:val="16"/>
        <w:szCs w:val="16"/>
      </w:rPr>
      <w:t>Observación General núm</w:t>
    </w:r>
    <w:r w:rsidR="00080B3C" w:rsidRPr="00080B3C">
      <w:rPr>
        <w:rFonts w:ascii="Calibri" w:hAnsi="Calibri"/>
        <w:color w:val="FF0000"/>
        <w:sz w:val="16"/>
        <w:szCs w:val="16"/>
      </w:rPr>
      <w:t>.</w:t>
    </w:r>
    <w:r w:rsidR="00080B3C" w:rsidRPr="00080B3C">
      <w:rPr>
        <w:rFonts w:ascii="Calibri" w:hAnsi="Calibri"/>
        <w:color w:val="000000"/>
        <w:sz w:val="16"/>
        <w:szCs w:val="16"/>
      </w:rPr>
      <w:t xml:space="preserve"> 4 (2016) sobre el derecho a la educación inclusiva. Comité sobre los Derechos de las Personas con Discapacidad. Pág. 21</w:t>
    </w:r>
    <w:r w:rsidR="00080B3C" w:rsidRPr="00080B3C">
      <w:rPr>
        <w:rFonts w:ascii="Calibri" w:hAnsi="Calibri"/>
        <w:color w:val="FF0000"/>
        <w:sz w:val="16"/>
        <w:szCs w:val="16"/>
      </w:rPr>
      <w:t>.</w:t>
    </w:r>
    <w:r>
      <w:rPr>
        <w:color w:val="8496B0" w:themeColor="text2" w:themeTint="99"/>
        <w:spacing w:val="60"/>
        <w:sz w:val="24"/>
        <w:szCs w:val="24"/>
        <w:lang w:val="es-ES"/>
      </w:rPr>
      <w:tab/>
    </w:r>
    <w:r>
      <w:rPr>
        <w:color w:val="8496B0" w:themeColor="text2" w:themeTint="99"/>
        <w:spacing w:val="60"/>
        <w:sz w:val="24"/>
        <w:szCs w:val="24"/>
        <w:lang w:val="es-ES"/>
      </w:rPr>
      <w:tab/>
    </w:r>
  </w:p>
  <w:p w14:paraId="4A5AA700" w14:textId="3F7CA4FB" w:rsidR="005B7985" w:rsidRDefault="005B7985"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5</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E5B022" w14:textId="158E8A43" w:rsidR="00610656" w:rsidRDefault="00610656" w:rsidP="00EF30DC">
    <w:pPr>
      <w:tabs>
        <w:tab w:val="left" w:pos="2407"/>
        <w:tab w:val="center" w:pos="4550"/>
        <w:tab w:val="left" w:pos="5818"/>
        <w:tab w:val="right" w:pos="8578"/>
      </w:tabs>
      <w:ind w:right="260"/>
      <w:rPr>
        <w:color w:val="8496B0" w:themeColor="text2" w:themeTint="99"/>
        <w:spacing w:val="60"/>
        <w:sz w:val="24"/>
        <w:szCs w:val="24"/>
        <w:lang w:val="es-ES"/>
      </w:rPr>
    </w:pPr>
    <w:r>
      <w:rPr>
        <w:color w:val="8496B0" w:themeColor="text2" w:themeTint="99"/>
        <w:spacing w:val="60"/>
        <w:sz w:val="24"/>
        <w:szCs w:val="24"/>
        <w:lang w:val="es-ES"/>
      </w:rPr>
      <w:tab/>
    </w:r>
    <w:r>
      <w:rPr>
        <w:color w:val="8496B0" w:themeColor="text2" w:themeTint="99"/>
        <w:spacing w:val="60"/>
        <w:sz w:val="24"/>
        <w:szCs w:val="24"/>
        <w:lang w:val="es-ES"/>
      </w:rPr>
      <w:tab/>
    </w:r>
  </w:p>
  <w:p w14:paraId="12A315F8" w14:textId="77777777" w:rsidR="00610656" w:rsidRDefault="00610656"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42DE84" w14:textId="334DE911" w:rsidR="002F46F3" w:rsidRPr="00B85E52" w:rsidRDefault="00B85E52" w:rsidP="00EF30DC">
    <w:pPr>
      <w:tabs>
        <w:tab w:val="left" w:pos="2407"/>
        <w:tab w:val="center" w:pos="4550"/>
        <w:tab w:val="left" w:pos="5818"/>
        <w:tab w:val="right" w:pos="8578"/>
      </w:tabs>
      <w:ind w:right="260"/>
      <w:rPr>
        <w:color w:val="8496B0" w:themeColor="text2" w:themeTint="99"/>
        <w:spacing w:val="60"/>
        <w:sz w:val="16"/>
        <w:szCs w:val="16"/>
        <w:lang w:val="es-ES"/>
      </w:rPr>
    </w:pPr>
    <w:r>
      <w:rPr>
        <w:rFonts w:ascii="&amp;quot" w:hAnsi="&amp;quot"/>
        <w:color w:val="2F2F2F"/>
        <w:sz w:val="17"/>
        <w:szCs w:val="17"/>
        <w:vertAlign w:val="superscript"/>
      </w:rPr>
      <w:t>3</w:t>
    </w:r>
    <w:r w:rsidRPr="00B85E52">
      <w:rPr>
        <w:rFonts w:ascii="Calibri" w:hAnsi="Calibri"/>
        <w:color w:val="000000"/>
        <w:sz w:val="16"/>
        <w:szCs w:val="16"/>
      </w:rPr>
      <w:t>Ajuste razonable: Un nuevo concepto desde la óptica de una gramática constitucional inclusiva. De Campos Velho Martel, L. SUR. V.8. N.14. jun 2011. Pág. 93.</w:t>
    </w:r>
    <w:r w:rsidR="002F46F3" w:rsidRPr="00B85E52">
      <w:rPr>
        <w:color w:val="8496B0" w:themeColor="text2" w:themeTint="99"/>
        <w:spacing w:val="60"/>
        <w:sz w:val="16"/>
        <w:szCs w:val="16"/>
        <w:lang w:val="es-ES"/>
      </w:rPr>
      <w:tab/>
    </w:r>
    <w:r w:rsidR="002F46F3" w:rsidRPr="00B85E52">
      <w:rPr>
        <w:color w:val="8496B0" w:themeColor="text2" w:themeTint="99"/>
        <w:spacing w:val="60"/>
        <w:sz w:val="16"/>
        <w:szCs w:val="16"/>
        <w:lang w:val="es-ES"/>
      </w:rPr>
      <w:tab/>
    </w:r>
  </w:p>
  <w:p w14:paraId="4E5F2D6B" w14:textId="7E9CBA3A" w:rsidR="002F46F3" w:rsidRDefault="002F46F3"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6</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E21668" w14:textId="1C0A6C36" w:rsidR="00F059B5" w:rsidRPr="00F74AAC" w:rsidRDefault="00524042" w:rsidP="00EF30DC">
    <w:pPr>
      <w:tabs>
        <w:tab w:val="left" w:pos="2407"/>
        <w:tab w:val="center" w:pos="4550"/>
        <w:tab w:val="left" w:pos="5818"/>
        <w:tab w:val="right" w:pos="8578"/>
      </w:tabs>
      <w:ind w:right="260"/>
      <w:rPr>
        <w:rFonts w:ascii="Calibri" w:hAnsi="Calibri"/>
        <w:color w:val="000000"/>
        <w:sz w:val="16"/>
        <w:szCs w:val="16"/>
      </w:rPr>
    </w:pPr>
    <w:r w:rsidRPr="005E417B">
      <w:rPr>
        <w:rFonts w:ascii="&amp;quot" w:hAnsi="&amp;quot"/>
        <w:color w:val="2F2F2F"/>
        <w:sz w:val="17"/>
        <w:szCs w:val="17"/>
        <w:vertAlign w:val="superscript"/>
        <w:lang w:val="en-GB"/>
      </w:rPr>
      <w:t>4</w:t>
    </w:r>
    <w:r w:rsidR="005E417B" w:rsidRPr="005E417B">
      <w:rPr>
        <w:rFonts w:ascii="Calibri" w:hAnsi="Calibri"/>
        <w:color w:val="000000"/>
        <w:sz w:val="16"/>
        <w:szCs w:val="16"/>
        <w:lang w:val="en-GB"/>
      </w:rPr>
      <w:t xml:space="preserve">When it is reasonable for Europeans to be confused: understanding a when disability accommodation is “reasonable” from a comparative perspective. Waddington, L. Comparative Labor Law and Policy Journal, v 29, n.3, págs. </w:t>
    </w:r>
    <w:r w:rsidR="005E417B" w:rsidRPr="005E417B">
      <w:rPr>
        <w:rFonts w:ascii="Calibri" w:hAnsi="Calibri"/>
        <w:color w:val="000000"/>
        <w:sz w:val="16"/>
        <w:szCs w:val="16"/>
      </w:rPr>
      <w:t>318-319.</w:t>
    </w:r>
    <w:r w:rsidR="00F059B5" w:rsidRPr="00B85E52">
      <w:rPr>
        <w:color w:val="8496B0" w:themeColor="text2" w:themeTint="99"/>
        <w:spacing w:val="60"/>
        <w:sz w:val="16"/>
        <w:szCs w:val="16"/>
        <w:lang w:val="es-ES"/>
      </w:rPr>
      <w:tab/>
    </w:r>
    <w:r w:rsidR="00F059B5" w:rsidRPr="00B85E52">
      <w:rPr>
        <w:color w:val="8496B0" w:themeColor="text2" w:themeTint="99"/>
        <w:spacing w:val="60"/>
        <w:sz w:val="16"/>
        <w:szCs w:val="16"/>
        <w:lang w:val="es-ES"/>
      </w:rPr>
      <w:tab/>
    </w:r>
  </w:p>
  <w:p w14:paraId="6182545E" w14:textId="48425636" w:rsidR="00F059B5" w:rsidRDefault="00F059B5"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7</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66BC8" w14:textId="7262D8A2" w:rsidR="00F5238B" w:rsidRDefault="00F5238B" w:rsidP="00F5238B">
    <w:pPr>
      <w:tabs>
        <w:tab w:val="left" w:pos="2407"/>
        <w:tab w:val="center" w:pos="4550"/>
        <w:tab w:val="left" w:pos="5818"/>
        <w:tab w:val="right" w:pos="8578"/>
      </w:tabs>
      <w:ind w:right="260"/>
      <w:rPr>
        <w:rFonts w:ascii="Calibri" w:hAnsi="Calibri"/>
        <w:color w:val="000000"/>
        <w:sz w:val="16"/>
        <w:szCs w:val="16"/>
      </w:rPr>
    </w:pPr>
    <w:r>
      <w:rPr>
        <w:rFonts w:ascii="&amp;quot" w:hAnsi="&amp;quot"/>
        <w:color w:val="2F2F2F"/>
        <w:sz w:val="17"/>
        <w:szCs w:val="17"/>
        <w:vertAlign w:val="superscript"/>
      </w:rPr>
      <w:t>7</w:t>
    </w:r>
    <w:r w:rsidR="00666DBD" w:rsidRPr="00666DBD">
      <w:rPr>
        <w:rFonts w:ascii="Calibri" w:hAnsi="Calibri"/>
        <w:color w:val="000000"/>
        <w:sz w:val="16"/>
        <w:szCs w:val="16"/>
      </w:rPr>
      <w:t>Ajuste razonable: Un nuevo concepto desde la óptica de una gramática constitucional inclusiva. De Campos Velho Martel, L. SUR. V.8. N.14. jun 2011. Pág. 104.</w:t>
    </w:r>
  </w:p>
  <w:p w14:paraId="70B313C7" w14:textId="6FF8EEA3" w:rsidR="00666DBD" w:rsidRPr="00666DBD" w:rsidRDefault="00666DBD" w:rsidP="00666DBD">
    <w:pPr>
      <w:tabs>
        <w:tab w:val="left" w:pos="2407"/>
        <w:tab w:val="center" w:pos="4550"/>
        <w:tab w:val="left" w:pos="5818"/>
        <w:tab w:val="right" w:pos="8578"/>
      </w:tabs>
      <w:ind w:right="260"/>
      <w:rPr>
        <w:color w:val="8496B0" w:themeColor="text2" w:themeTint="99"/>
        <w:spacing w:val="60"/>
        <w:sz w:val="16"/>
        <w:szCs w:val="16"/>
        <w:lang w:val="es-ES"/>
      </w:rPr>
    </w:pPr>
    <w:r>
      <w:rPr>
        <w:rFonts w:ascii="&amp;quot" w:hAnsi="&amp;quot"/>
        <w:color w:val="2F2F2F"/>
        <w:sz w:val="17"/>
        <w:szCs w:val="17"/>
        <w:vertAlign w:val="superscript"/>
      </w:rPr>
      <w:t>8</w:t>
    </w:r>
    <w:r w:rsidRPr="00666DBD">
      <w:rPr>
        <w:rFonts w:ascii="Calibri" w:hAnsi="Calibri"/>
        <w:color w:val="000000"/>
        <w:sz w:val="16"/>
        <w:szCs w:val="16"/>
      </w:rPr>
      <w:t>Ajuste razonable: Un nuevo concepto desde la óptica de una gramática constitucional inclusiva. De Campos Velho Martel, L. SUR. V.8. N.14. jun 2011. Pág. 10</w:t>
    </w:r>
    <w:r>
      <w:rPr>
        <w:rFonts w:ascii="Calibri" w:hAnsi="Calibri"/>
        <w:color w:val="000000"/>
        <w:sz w:val="16"/>
        <w:szCs w:val="16"/>
      </w:rPr>
      <w:t>6</w:t>
    </w:r>
    <w:r w:rsidRPr="00666DBD">
      <w:rPr>
        <w:rFonts w:ascii="Calibri" w:hAnsi="Calibri"/>
        <w:color w:val="000000"/>
        <w:sz w:val="16"/>
        <w:szCs w:val="16"/>
      </w:rPr>
      <w:t>.</w:t>
    </w:r>
  </w:p>
  <w:p w14:paraId="551DBB9B" w14:textId="77777777" w:rsidR="00666DBD" w:rsidRPr="00666DBD" w:rsidRDefault="00666DBD" w:rsidP="00F5238B">
    <w:pPr>
      <w:tabs>
        <w:tab w:val="left" w:pos="2407"/>
        <w:tab w:val="center" w:pos="4550"/>
        <w:tab w:val="left" w:pos="5818"/>
        <w:tab w:val="right" w:pos="8578"/>
      </w:tabs>
      <w:ind w:right="260"/>
      <w:rPr>
        <w:color w:val="8496B0" w:themeColor="text2" w:themeTint="99"/>
        <w:spacing w:val="60"/>
        <w:sz w:val="16"/>
        <w:szCs w:val="16"/>
        <w:lang w:val="es-ES"/>
      </w:rPr>
    </w:pPr>
  </w:p>
  <w:p w14:paraId="287DB523" w14:textId="177A41C7" w:rsidR="00F74AAC" w:rsidRPr="00F74AAC" w:rsidRDefault="00F74AAC"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799AB789" w14:textId="77777777" w:rsidR="00F74AAC" w:rsidRDefault="00F74AAC"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BAEF15" w14:textId="14B5C968" w:rsidR="00DA67DC" w:rsidRPr="00DA67DC" w:rsidRDefault="00DA67DC" w:rsidP="00F5238B">
    <w:pPr>
      <w:tabs>
        <w:tab w:val="left" w:pos="2407"/>
        <w:tab w:val="center" w:pos="4550"/>
        <w:tab w:val="left" w:pos="5818"/>
        <w:tab w:val="right" w:pos="8578"/>
      </w:tabs>
      <w:ind w:right="260"/>
      <w:rPr>
        <w:rFonts w:ascii="&amp;quot" w:hAnsi="&amp;quot"/>
        <w:color w:val="2F2F2F"/>
        <w:sz w:val="16"/>
        <w:szCs w:val="16"/>
        <w:vertAlign w:val="superscript"/>
      </w:rPr>
    </w:pPr>
    <w:r>
      <w:rPr>
        <w:rFonts w:ascii="&amp;quot" w:hAnsi="&amp;quot"/>
        <w:color w:val="2F2F2F"/>
        <w:sz w:val="17"/>
        <w:szCs w:val="17"/>
        <w:vertAlign w:val="superscript"/>
      </w:rPr>
      <w:t>5</w:t>
    </w:r>
    <w:r w:rsidRPr="00DA67DC">
      <w:rPr>
        <w:rFonts w:ascii="Calibri" w:hAnsi="Calibri"/>
        <w:color w:val="000000"/>
        <w:sz w:val="16"/>
        <w:szCs w:val="16"/>
      </w:rPr>
      <w:t>La configuración jurídica de los ajustes razonables. Pérez Bueno, L.C. Presidente del Comité Español de Representantes de Personas con Discapacidad (CERMI). Pág. 11.</w:t>
    </w:r>
  </w:p>
  <w:p w14:paraId="6621AF99" w14:textId="259E51F5" w:rsidR="003332CE" w:rsidRPr="00E31598" w:rsidRDefault="00E31598" w:rsidP="00F5238B">
    <w:pPr>
      <w:tabs>
        <w:tab w:val="left" w:pos="2407"/>
        <w:tab w:val="center" w:pos="4550"/>
        <w:tab w:val="left" w:pos="5818"/>
        <w:tab w:val="right" w:pos="8578"/>
      </w:tabs>
      <w:ind w:right="260"/>
      <w:rPr>
        <w:color w:val="8496B0" w:themeColor="text2" w:themeTint="99"/>
        <w:spacing w:val="60"/>
        <w:sz w:val="16"/>
        <w:szCs w:val="16"/>
        <w:lang w:val="es-ES"/>
      </w:rPr>
    </w:pPr>
    <w:r>
      <w:rPr>
        <w:rFonts w:ascii="&amp;quot" w:hAnsi="&amp;quot"/>
        <w:color w:val="2F2F2F"/>
        <w:sz w:val="17"/>
        <w:szCs w:val="17"/>
        <w:vertAlign w:val="superscript"/>
      </w:rPr>
      <w:t>6</w:t>
    </w:r>
    <w:r w:rsidRPr="00E31598">
      <w:rPr>
        <w:rFonts w:ascii="Calibri" w:hAnsi="Calibri"/>
        <w:color w:val="000000"/>
        <w:sz w:val="16"/>
        <w:szCs w:val="16"/>
      </w:rPr>
      <w:t>La configuración jurídica de los ajustes razonables. Pérez Bueno, L.C. Presidente del Comité Español de Representantes de Personas con Discapacidad (CERMI). Pág. 11.</w:t>
    </w:r>
  </w:p>
  <w:p w14:paraId="355A7EFD" w14:textId="77777777" w:rsidR="003332CE" w:rsidRPr="00F74AAC" w:rsidRDefault="003332CE"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6BC673CB" w14:textId="647AE348" w:rsidR="003332CE" w:rsidRDefault="003332CE"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8</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997E7A" w14:textId="77777777" w:rsidR="003332CE" w:rsidRDefault="003332CE" w:rsidP="00F5238B">
    <w:pPr>
      <w:tabs>
        <w:tab w:val="left" w:pos="2407"/>
        <w:tab w:val="center" w:pos="4550"/>
        <w:tab w:val="left" w:pos="5818"/>
        <w:tab w:val="right" w:pos="8578"/>
      </w:tabs>
      <w:ind w:right="260"/>
      <w:rPr>
        <w:rFonts w:ascii="Calibri" w:hAnsi="Calibri"/>
        <w:color w:val="000000"/>
        <w:sz w:val="16"/>
        <w:szCs w:val="16"/>
      </w:rPr>
    </w:pPr>
    <w:r>
      <w:rPr>
        <w:rFonts w:ascii="&amp;quot" w:hAnsi="&amp;quot"/>
        <w:color w:val="2F2F2F"/>
        <w:sz w:val="17"/>
        <w:szCs w:val="17"/>
        <w:vertAlign w:val="superscript"/>
      </w:rPr>
      <w:t>7</w:t>
    </w:r>
    <w:r w:rsidRPr="00666DBD">
      <w:rPr>
        <w:rFonts w:ascii="Calibri" w:hAnsi="Calibri"/>
        <w:color w:val="000000"/>
        <w:sz w:val="16"/>
        <w:szCs w:val="16"/>
      </w:rPr>
      <w:t>Ajuste razonable: Un nuevo concepto desde la óptica de una gramática constitucional inclusiva. De Campos Velho Martel, L. SUR. V.8. N.14. jun 2011. Pág. 104.</w:t>
    </w:r>
  </w:p>
  <w:p w14:paraId="4C95E8D5" w14:textId="48E0D391" w:rsidR="003332CE" w:rsidRDefault="003332CE" w:rsidP="00666DBD">
    <w:pPr>
      <w:tabs>
        <w:tab w:val="left" w:pos="2407"/>
        <w:tab w:val="center" w:pos="4550"/>
        <w:tab w:val="left" w:pos="5818"/>
        <w:tab w:val="right" w:pos="8578"/>
      </w:tabs>
      <w:ind w:right="260"/>
      <w:rPr>
        <w:rFonts w:ascii="Calibri" w:hAnsi="Calibri"/>
        <w:color w:val="000000"/>
        <w:sz w:val="16"/>
        <w:szCs w:val="16"/>
      </w:rPr>
    </w:pPr>
    <w:r>
      <w:rPr>
        <w:rFonts w:ascii="&amp;quot" w:hAnsi="&amp;quot"/>
        <w:color w:val="2F2F2F"/>
        <w:sz w:val="17"/>
        <w:szCs w:val="17"/>
        <w:vertAlign w:val="superscript"/>
      </w:rPr>
      <w:t>8</w:t>
    </w:r>
    <w:r w:rsidRPr="00666DBD">
      <w:rPr>
        <w:rFonts w:ascii="Calibri" w:hAnsi="Calibri"/>
        <w:color w:val="000000"/>
        <w:sz w:val="16"/>
        <w:szCs w:val="16"/>
      </w:rPr>
      <w:t>Ajuste razonable: Un nuevo concepto desde la óptica de una gramática constitucional inclusiva. De Campos Velho Martel, L. SUR. V.8. N.14. jun 2011. Pág. 10</w:t>
    </w:r>
    <w:r>
      <w:rPr>
        <w:rFonts w:ascii="Calibri" w:hAnsi="Calibri"/>
        <w:color w:val="000000"/>
        <w:sz w:val="16"/>
        <w:szCs w:val="16"/>
      </w:rPr>
      <w:t>6</w:t>
    </w:r>
    <w:r w:rsidRPr="00666DBD">
      <w:rPr>
        <w:rFonts w:ascii="Calibri" w:hAnsi="Calibri"/>
        <w:color w:val="000000"/>
        <w:sz w:val="16"/>
        <w:szCs w:val="16"/>
      </w:rPr>
      <w:t>.</w:t>
    </w:r>
  </w:p>
  <w:p w14:paraId="7421379E" w14:textId="1DF4E418" w:rsidR="001D12BD" w:rsidRPr="001A5293" w:rsidRDefault="001D12BD" w:rsidP="00666DBD">
    <w:pPr>
      <w:tabs>
        <w:tab w:val="left" w:pos="2407"/>
        <w:tab w:val="center" w:pos="4550"/>
        <w:tab w:val="left" w:pos="5818"/>
        <w:tab w:val="right" w:pos="8578"/>
      </w:tabs>
      <w:ind w:right="260"/>
      <w:rPr>
        <w:color w:val="8496B0" w:themeColor="text2" w:themeTint="99"/>
        <w:spacing w:val="60"/>
        <w:sz w:val="16"/>
        <w:szCs w:val="16"/>
        <w:lang w:val="es-ES"/>
      </w:rPr>
    </w:pPr>
    <w:r>
      <w:rPr>
        <w:rFonts w:ascii="&amp;quot" w:hAnsi="&amp;quot"/>
        <w:color w:val="2F2F2F"/>
        <w:sz w:val="17"/>
        <w:szCs w:val="17"/>
        <w:vertAlign w:val="superscript"/>
      </w:rPr>
      <w:t>9</w:t>
    </w:r>
    <w:r w:rsidR="001A5293" w:rsidRPr="001A5293">
      <w:rPr>
        <w:rFonts w:ascii="Calibri" w:hAnsi="Calibri"/>
        <w:color w:val="000000"/>
        <w:sz w:val="16"/>
        <w:szCs w:val="16"/>
      </w:rPr>
      <w:t>Teoría dos principios: de la definición a la aplicación de dos principios jurídicos. Ávila, H. Sao Paulo.</w:t>
    </w:r>
  </w:p>
  <w:p w14:paraId="2E121D67" w14:textId="77777777" w:rsidR="003332CE" w:rsidRPr="00666DBD" w:rsidRDefault="003332CE" w:rsidP="00F5238B">
    <w:pPr>
      <w:tabs>
        <w:tab w:val="left" w:pos="2407"/>
        <w:tab w:val="center" w:pos="4550"/>
        <w:tab w:val="left" w:pos="5818"/>
        <w:tab w:val="right" w:pos="8578"/>
      </w:tabs>
      <w:ind w:right="260"/>
      <w:rPr>
        <w:color w:val="8496B0" w:themeColor="text2" w:themeTint="99"/>
        <w:spacing w:val="60"/>
        <w:sz w:val="16"/>
        <w:szCs w:val="16"/>
        <w:lang w:val="es-ES"/>
      </w:rPr>
    </w:pPr>
  </w:p>
  <w:p w14:paraId="07FED316" w14:textId="77777777" w:rsidR="003332CE" w:rsidRPr="00F74AAC" w:rsidRDefault="003332CE"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55F49E3A" w14:textId="77777777" w:rsidR="003332CE" w:rsidRDefault="003332CE"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6F54E1" w14:textId="77777777" w:rsidR="00B17130" w:rsidRDefault="00B17130" w:rsidP="00F5238B">
    <w:pPr>
      <w:tabs>
        <w:tab w:val="left" w:pos="2407"/>
        <w:tab w:val="center" w:pos="4550"/>
        <w:tab w:val="left" w:pos="5818"/>
        <w:tab w:val="right" w:pos="8578"/>
      </w:tabs>
      <w:ind w:right="260"/>
      <w:rPr>
        <w:rFonts w:ascii="Calibri" w:hAnsi="Calibri"/>
        <w:color w:val="000000"/>
        <w:sz w:val="16"/>
        <w:szCs w:val="16"/>
      </w:rPr>
    </w:pPr>
    <w:r>
      <w:rPr>
        <w:rFonts w:ascii="&amp;quot" w:hAnsi="&amp;quot"/>
        <w:color w:val="2F2F2F"/>
        <w:sz w:val="17"/>
        <w:szCs w:val="17"/>
        <w:vertAlign w:val="superscript"/>
      </w:rPr>
      <w:t>7</w:t>
    </w:r>
    <w:r w:rsidRPr="00666DBD">
      <w:rPr>
        <w:rFonts w:ascii="Calibri" w:hAnsi="Calibri"/>
        <w:color w:val="000000"/>
        <w:sz w:val="16"/>
        <w:szCs w:val="16"/>
      </w:rPr>
      <w:t>Ajuste razonable: Un nuevo concepto desde la óptica de una gramática constitucional inclusiva. De Campos Velho Martel, L. SUR. V.8. N.14. jun 2011. Pág. 104.</w:t>
    </w:r>
  </w:p>
  <w:p w14:paraId="441804CB" w14:textId="77777777" w:rsidR="00B17130" w:rsidRDefault="00B17130" w:rsidP="00666DBD">
    <w:pPr>
      <w:tabs>
        <w:tab w:val="left" w:pos="2407"/>
        <w:tab w:val="center" w:pos="4550"/>
        <w:tab w:val="left" w:pos="5818"/>
        <w:tab w:val="right" w:pos="8578"/>
      </w:tabs>
      <w:ind w:right="260"/>
      <w:rPr>
        <w:rFonts w:ascii="Calibri" w:hAnsi="Calibri"/>
        <w:color w:val="000000"/>
        <w:sz w:val="16"/>
        <w:szCs w:val="16"/>
      </w:rPr>
    </w:pPr>
    <w:r>
      <w:rPr>
        <w:rFonts w:ascii="&amp;quot" w:hAnsi="&amp;quot"/>
        <w:color w:val="2F2F2F"/>
        <w:sz w:val="17"/>
        <w:szCs w:val="17"/>
        <w:vertAlign w:val="superscript"/>
      </w:rPr>
      <w:t>8</w:t>
    </w:r>
    <w:r w:rsidRPr="00666DBD">
      <w:rPr>
        <w:rFonts w:ascii="Calibri" w:hAnsi="Calibri"/>
        <w:color w:val="000000"/>
        <w:sz w:val="16"/>
        <w:szCs w:val="16"/>
      </w:rPr>
      <w:t>Ajuste razonable: Un nuevo concepto desde la óptica de una gramática constitucional inclusiva. De Campos Velho Martel, L. SUR. V.8. N.14. jun 2011. Pág. 10</w:t>
    </w:r>
    <w:r>
      <w:rPr>
        <w:rFonts w:ascii="Calibri" w:hAnsi="Calibri"/>
        <w:color w:val="000000"/>
        <w:sz w:val="16"/>
        <w:szCs w:val="16"/>
      </w:rPr>
      <w:t>6</w:t>
    </w:r>
    <w:r w:rsidRPr="00666DBD">
      <w:rPr>
        <w:rFonts w:ascii="Calibri" w:hAnsi="Calibri"/>
        <w:color w:val="000000"/>
        <w:sz w:val="16"/>
        <w:szCs w:val="16"/>
      </w:rPr>
      <w:t>.</w:t>
    </w:r>
  </w:p>
  <w:p w14:paraId="687CBD68" w14:textId="77777777" w:rsidR="00B17130" w:rsidRPr="001A5293" w:rsidRDefault="00B17130" w:rsidP="00666DBD">
    <w:pPr>
      <w:tabs>
        <w:tab w:val="left" w:pos="2407"/>
        <w:tab w:val="center" w:pos="4550"/>
        <w:tab w:val="left" w:pos="5818"/>
        <w:tab w:val="right" w:pos="8578"/>
      </w:tabs>
      <w:ind w:right="260"/>
      <w:rPr>
        <w:color w:val="8496B0" w:themeColor="text2" w:themeTint="99"/>
        <w:spacing w:val="60"/>
        <w:sz w:val="16"/>
        <w:szCs w:val="16"/>
        <w:lang w:val="es-ES"/>
      </w:rPr>
    </w:pPr>
    <w:r>
      <w:rPr>
        <w:rFonts w:ascii="&amp;quot" w:hAnsi="&amp;quot"/>
        <w:color w:val="2F2F2F"/>
        <w:sz w:val="17"/>
        <w:szCs w:val="17"/>
        <w:vertAlign w:val="superscript"/>
      </w:rPr>
      <w:t>9</w:t>
    </w:r>
    <w:r w:rsidRPr="001A5293">
      <w:rPr>
        <w:rFonts w:ascii="Calibri" w:hAnsi="Calibri"/>
        <w:color w:val="000000"/>
        <w:sz w:val="16"/>
        <w:szCs w:val="16"/>
      </w:rPr>
      <w:t>Teoría dos principios: de la definición a la aplicación de dos principios jurídicos. Ávila, H. Sao Paulo.</w:t>
    </w:r>
  </w:p>
  <w:p w14:paraId="147B1A92" w14:textId="77777777" w:rsidR="00B17130" w:rsidRPr="00666DBD" w:rsidRDefault="00B17130" w:rsidP="00F5238B">
    <w:pPr>
      <w:tabs>
        <w:tab w:val="left" w:pos="2407"/>
        <w:tab w:val="center" w:pos="4550"/>
        <w:tab w:val="left" w:pos="5818"/>
        <w:tab w:val="right" w:pos="8578"/>
      </w:tabs>
      <w:ind w:right="260"/>
      <w:rPr>
        <w:color w:val="8496B0" w:themeColor="text2" w:themeTint="99"/>
        <w:spacing w:val="60"/>
        <w:sz w:val="16"/>
        <w:szCs w:val="16"/>
        <w:lang w:val="es-ES"/>
      </w:rPr>
    </w:pPr>
  </w:p>
  <w:p w14:paraId="51B71A12" w14:textId="77777777" w:rsidR="00B17130" w:rsidRPr="00F74AAC" w:rsidRDefault="00B17130"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787005DE" w14:textId="4099FD6C" w:rsidR="00B17130" w:rsidRDefault="00B17130"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9</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8303F9" w14:textId="77777777" w:rsidR="00F33ED8" w:rsidRPr="00666DBD" w:rsidRDefault="00F33ED8" w:rsidP="00F5238B">
    <w:pPr>
      <w:tabs>
        <w:tab w:val="left" w:pos="2407"/>
        <w:tab w:val="center" w:pos="4550"/>
        <w:tab w:val="left" w:pos="5818"/>
        <w:tab w:val="right" w:pos="8578"/>
      </w:tabs>
      <w:ind w:right="260"/>
      <w:rPr>
        <w:color w:val="8496B0" w:themeColor="text2" w:themeTint="99"/>
        <w:spacing w:val="60"/>
        <w:sz w:val="16"/>
        <w:szCs w:val="16"/>
        <w:lang w:val="es-ES"/>
      </w:rPr>
    </w:pPr>
  </w:p>
  <w:p w14:paraId="3B3C1D7B" w14:textId="77777777" w:rsidR="00F33ED8" w:rsidRPr="00F74AAC" w:rsidRDefault="00F33ED8"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0C43D01A" w14:textId="77777777" w:rsidR="00F33ED8" w:rsidRDefault="00F33ED8"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Pr>
        <w:color w:val="323E4F" w:themeColor="text2" w:themeShade="BF"/>
        <w:sz w:val="24"/>
        <w:szCs w:val="24"/>
        <w:lang w:val="es-ES"/>
      </w:rPr>
      <w:t>1</w:t>
    </w:r>
    <w:r>
      <w:rPr>
        <w:color w:val="323E4F" w:themeColor="text2" w:themeShade="BF"/>
        <w:sz w:val="24"/>
        <w:szCs w:val="24"/>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1DB2B" w14:textId="77777777" w:rsidR="00AA3F0C" w:rsidRPr="00666DBD" w:rsidRDefault="00AA3F0C" w:rsidP="00F5238B">
    <w:pPr>
      <w:tabs>
        <w:tab w:val="left" w:pos="2407"/>
        <w:tab w:val="center" w:pos="4550"/>
        <w:tab w:val="left" w:pos="5818"/>
        <w:tab w:val="right" w:pos="8578"/>
      </w:tabs>
      <w:ind w:right="260"/>
      <w:rPr>
        <w:color w:val="8496B0" w:themeColor="text2" w:themeTint="99"/>
        <w:spacing w:val="60"/>
        <w:sz w:val="16"/>
        <w:szCs w:val="16"/>
        <w:lang w:val="es-ES"/>
      </w:rPr>
    </w:pPr>
  </w:p>
  <w:p w14:paraId="3491ED58" w14:textId="77777777" w:rsidR="00AA3F0C" w:rsidRPr="00F74AAC" w:rsidRDefault="00AA3F0C"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5D4B11F3" w14:textId="05291CFF" w:rsidR="00AA3F0C" w:rsidRDefault="00AA3F0C"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10</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B6819C" w14:textId="19A6C6E9" w:rsidR="00583BEC" w:rsidRPr="00551F6B" w:rsidRDefault="00551F6B" w:rsidP="00F5238B">
    <w:pPr>
      <w:tabs>
        <w:tab w:val="left" w:pos="2407"/>
        <w:tab w:val="center" w:pos="4550"/>
        <w:tab w:val="left" w:pos="5818"/>
        <w:tab w:val="right" w:pos="8578"/>
      </w:tabs>
      <w:ind w:right="260"/>
      <w:rPr>
        <w:color w:val="8496B0" w:themeColor="text2" w:themeTint="99"/>
        <w:spacing w:val="60"/>
        <w:sz w:val="16"/>
        <w:szCs w:val="16"/>
        <w:lang w:val="es-ES"/>
      </w:rPr>
    </w:pPr>
    <w:r>
      <w:rPr>
        <w:rFonts w:ascii="&amp;quot" w:hAnsi="&amp;quot"/>
        <w:color w:val="2F2F2F"/>
        <w:sz w:val="20"/>
        <w:szCs w:val="20"/>
        <w:vertAlign w:val="superscript"/>
      </w:rPr>
      <w:t>10</w:t>
    </w:r>
    <w:r w:rsidRPr="00551F6B">
      <w:rPr>
        <w:rFonts w:ascii="Calibri" w:hAnsi="Calibri"/>
        <w:color w:val="000000"/>
        <w:sz w:val="16"/>
        <w:szCs w:val="16"/>
      </w:rPr>
      <w:t>El interés superior del niño en el marco de la Convención Internacional sobre los Derechos del Niño. Cillero Bruñol, M.</w:t>
    </w:r>
  </w:p>
  <w:p w14:paraId="1596F978" w14:textId="77777777" w:rsidR="00583BEC" w:rsidRPr="00F74AAC" w:rsidRDefault="00583BEC"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5BED221F" w14:textId="4E65053A" w:rsidR="00583BEC" w:rsidRDefault="00583BEC"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11</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86A8C15" w14:textId="77777777" w:rsidR="0055148D" w:rsidRPr="00F74AAC" w:rsidRDefault="0055148D" w:rsidP="00EF30DC">
    <w:pPr>
      <w:tabs>
        <w:tab w:val="left" w:pos="2407"/>
        <w:tab w:val="center" w:pos="4550"/>
        <w:tab w:val="left" w:pos="5818"/>
        <w:tab w:val="right" w:pos="8578"/>
      </w:tabs>
      <w:ind w:right="260"/>
      <w:rPr>
        <w:rFonts w:ascii="Calibri" w:hAnsi="Calibri"/>
        <w:color w:val="000000"/>
        <w:sz w:val="16"/>
        <w:szCs w:val="16"/>
      </w:rPr>
    </w:pPr>
    <w:r w:rsidRPr="00B85E52">
      <w:rPr>
        <w:color w:val="8496B0" w:themeColor="text2" w:themeTint="99"/>
        <w:spacing w:val="60"/>
        <w:sz w:val="16"/>
        <w:szCs w:val="16"/>
        <w:lang w:val="es-ES"/>
      </w:rPr>
      <w:tab/>
    </w:r>
    <w:r w:rsidRPr="00B85E52">
      <w:rPr>
        <w:color w:val="8496B0" w:themeColor="text2" w:themeTint="99"/>
        <w:spacing w:val="60"/>
        <w:sz w:val="16"/>
        <w:szCs w:val="16"/>
        <w:lang w:val="es-ES"/>
      </w:rPr>
      <w:tab/>
    </w:r>
  </w:p>
  <w:p w14:paraId="5A8CE775" w14:textId="690AF110" w:rsidR="0055148D" w:rsidRDefault="0055148D" w:rsidP="00EF30DC">
    <w:pPr>
      <w:tabs>
        <w:tab w:val="left" w:pos="2407"/>
        <w:tab w:val="center" w:pos="4550"/>
        <w:tab w:val="left" w:pos="5818"/>
        <w:tab w:val="right" w:pos="8578"/>
      </w:tabs>
      <w:ind w:right="260"/>
      <w:jc w:val="right"/>
      <w:rPr>
        <w:color w:val="222A35" w:themeColor="text2" w:themeShade="80"/>
        <w:sz w:val="24"/>
        <w:szCs w:val="24"/>
      </w:rPr>
    </w:pPr>
    <w:r>
      <w:rPr>
        <w:color w:val="8496B0" w:themeColor="text2" w:themeTint="99"/>
        <w:spacing w:val="60"/>
        <w:sz w:val="24"/>
        <w:szCs w:val="24"/>
        <w:lang w:val="es-ES"/>
      </w:rPr>
      <w:t>Page</w:t>
    </w:r>
    <w:r>
      <w:rPr>
        <w:color w:val="8496B0" w:themeColor="text2" w:themeTint="99"/>
        <w:sz w:val="24"/>
        <w:szCs w:val="24"/>
        <w:lang w:val="es-ES"/>
      </w:rPr>
      <w:t xml:space="preserve"> </w:t>
    </w:r>
    <w:r>
      <w:rPr>
        <w:color w:val="323E4F" w:themeColor="text2" w:themeShade="BF"/>
        <w:sz w:val="24"/>
        <w:szCs w:val="24"/>
      </w:rPr>
      <w:fldChar w:fldCharType="begin"/>
    </w:r>
    <w:r>
      <w:rPr>
        <w:color w:val="323E4F" w:themeColor="text2" w:themeShade="BF"/>
        <w:sz w:val="24"/>
        <w:szCs w:val="24"/>
      </w:rPr>
      <w:instrText>PAGE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r>
      <w:rPr>
        <w:color w:val="323E4F" w:themeColor="text2" w:themeShade="BF"/>
        <w:sz w:val="24"/>
        <w:szCs w:val="24"/>
        <w:lang w:val="es-ES"/>
      </w:rPr>
      <w:t xml:space="preserve"> | </w:t>
    </w:r>
    <w:r>
      <w:rPr>
        <w:color w:val="323E4F" w:themeColor="text2" w:themeShade="BF"/>
        <w:sz w:val="24"/>
        <w:szCs w:val="24"/>
      </w:rPr>
      <w:fldChar w:fldCharType="begin"/>
    </w:r>
    <w:r>
      <w:rPr>
        <w:color w:val="323E4F" w:themeColor="text2" w:themeShade="BF"/>
        <w:sz w:val="24"/>
        <w:szCs w:val="24"/>
      </w:rPr>
      <w:instrText>NUMPAGES  \* Arabic  \* MERGEFORMAT</w:instrText>
    </w:r>
    <w:r>
      <w:rPr>
        <w:color w:val="323E4F" w:themeColor="text2" w:themeShade="BF"/>
        <w:sz w:val="24"/>
        <w:szCs w:val="24"/>
      </w:rPr>
      <w:fldChar w:fldCharType="separate"/>
    </w:r>
    <w:r w:rsidR="00017BA8" w:rsidRPr="00017BA8">
      <w:rPr>
        <w:noProof/>
        <w:color w:val="323E4F" w:themeColor="text2" w:themeShade="BF"/>
        <w:sz w:val="24"/>
        <w:szCs w:val="24"/>
        <w:lang w:val="es-ES"/>
      </w:rPr>
      <w:t>15</w:t>
    </w:r>
    <w:r>
      <w:rPr>
        <w:color w:val="323E4F" w:themeColor="text2" w:themeShade="BF"/>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2EB10" w14:textId="77777777" w:rsidR="005C07C9" w:rsidRDefault="005C07C9" w:rsidP="00132674">
      <w:pPr>
        <w:spacing w:after="0" w:line="240" w:lineRule="auto"/>
      </w:pPr>
      <w:r>
        <w:separator/>
      </w:r>
    </w:p>
  </w:footnote>
  <w:footnote w:type="continuationSeparator" w:id="0">
    <w:p w14:paraId="3ABA0765" w14:textId="77777777" w:rsidR="005C07C9" w:rsidRDefault="005C07C9" w:rsidP="001326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205CD3" w14:textId="711B2179" w:rsidR="00132674" w:rsidRDefault="00AB633F">
    <w:pPr>
      <w:pStyle w:val="Header"/>
    </w:pPr>
    <w:r>
      <w:rPr>
        <w:noProof/>
        <w:lang w:val="en-GB" w:eastAsia="en-GB"/>
      </w:rPr>
      <w:drawing>
        <wp:inline distT="0" distB="0" distL="0" distR="0" wp14:anchorId="48D1D6DA" wp14:editId="352C32B3">
          <wp:extent cx="4038600" cy="871420"/>
          <wp:effectExtent l="0" t="0" r="0" b="5080"/>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f0826abd-37e5-4b65-ab3d-d6d730e2e35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073965" cy="879051"/>
                  </a:xfrm>
                  <a:prstGeom prst="rect">
                    <a:avLst/>
                  </a:prstGeom>
                </pic:spPr>
              </pic:pic>
            </a:graphicData>
          </a:graphic>
        </wp:inline>
      </w:drawing>
    </w:r>
  </w:p>
  <w:p w14:paraId="1B2CF942" w14:textId="77777777" w:rsidR="00132674" w:rsidRPr="008B0135" w:rsidRDefault="00132674">
    <w:pPr>
      <w:pStyle w:val="Head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5D0820"/>
    <w:multiLevelType w:val="multilevel"/>
    <w:tmpl w:val="EEDE3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D9520A"/>
    <w:multiLevelType w:val="multilevel"/>
    <w:tmpl w:val="0E02C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6F0083"/>
    <w:multiLevelType w:val="hybridMultilevel"/>
    <w:tmpl w:val="EA5AFD0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3" w15:restartNumberingAfterBreak="0">
    <w:nsid w:val="26857EDC"/>
    <w:multiLevelType w:val="multilevel"/>
    <w:tmpl w:val="1E8C3BF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F3481D"/>
    <w:multiLevelType w:val="multilevel"/>
    <w:tmpl w:val="7D768E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9B0170F"/>
    <w:multiLevelType w:val="multilevel"/>
    <w:tmpl w:val="979EEE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B2D21F6"/>
    <w:multiLevelType w:val="hybridMultilevel"/>
    <w:tmpl w:val="BDB2022C"/>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7E321DA3"/>
    <w:multiLevelType w:val="multilevel"/>
    <w:tmpl w:val="60FAF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1"/>
  </w:num>
  <w:num w:numId="3">
    <w:abstractNumId w:val="7"/>
  </w:num>
  <w:num w:numId="4">
    <w:abstractNumId w:val="0"/>
  </w:num>
  <w:num w:numId="5">
    <w:abstractNumId w:val="4"/>
    <w:lvlOverride w:ilvl="0">
      <w:lvl w:ilvl="0">
        <w:numFmt w:val="decimal"/>
        <w:lvlText w:val="%1."/>
        <w:lvlJc w:val="left"/>
      </w:lvl>
    </w:lvlOverride>
  </w:num>
  <w:num w:numId="6">
    <w:abstractNumId w:val="3"/>
    <w:lvlOverride w:ilvl="0">
      <w:lvl w:ilvl="0">
        <w:numFmt w:val="decimal"/>
        <w:lvlText w:val="%1."/>
        <w:lvlJc w:val="left"/>
      </w:lvl>
    </w:lvlOverride>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s-ES" w:vendorID="64" w:dllVersion="131078" w:nlCheck="1" w:checkStyle="0"/>
  <w:activeWritingStyle w:appName="MSWord" w:lang="es-PE" w:vendorID="64" w:dllVersion="131078" w:nlCheck="1" w:checkStyle="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1A2"/>
    <w:rsid w:val="00017BA8"/>
    <w:rsid w:val="00027A24"/>
    <w:rsid w:val="00050C05"/>
    <w:rsid w:val="00067AB0"/>
    <w:rsid w:val="00067E0E"/>
    <w:rsid w:val="0007021C"/>
    <w:rsid w:val="00080B3C"/>
    <w:rsid w:val="000A1834"/>
    <w:rsid w:val="000A4E1C"/>
    <w:rsid w:val="000A4FB4"/>
    <w:rsid w:val="000B67FC"/>
    <w:rsid w:val="000C3851"/>
    <w:rsid w:val="000D2851"/>
    <w:rsid w:val="000D2FC8"/>
    <w:rsid w:val="000D3D46"/>
    <w:rsid w:val="000E4079"/>
    <w:rsid w:val="000F3C0C"/>
    <w:rsid w:val="001010D4"/>
    <w:rsid w:val="00115899"/>
    <w:rsid w:val="001276D4"/>
    <w:rsid w:val="00132674"/>
    <w:rsid w:val="00141B99"/>
    <w:rsid w:val="00153E8E"/>
    <w:rsid w:val="001A5293"/>
    <w:rsid w:val="001D12BD"/>
    <w:rsid w:val="002171C7"/>
    <w:rsid w:val="002238BA"/>
    <w:rsid w:val="00224F00"/>
    <w:rsid w:val="00250306"/>
    <w:rsid w:val="00270C4E"/>
    <w:rsid w:val="00295604"/>
    <w:rsid w:val="00296C4C"/>
    <w:rsid w:val="002C0593"/>
    <w:rsid w:val="002E4C5D"/>
    <w:rsid w:val="002E67AA"/>
    <w:rsid w:val="002F46F3"/>
    <w:rsid w:val="00300BF3"/>
    <w:rsid w:val="00306462"/>
    <w:rsid w:val="0032648F"/>
    <w:rsid w:val="003332CE"/>
    <w:rsid w:val="0035547F"/>
    <w:rsid w:val="00360D04"/>
    <w:rsid w:val="003615B6"/>
    <w:rsid w:val="00383D6D"/>
    <w:rsid w:val="00391DD1"/>
    <w:rsid w:val="0039261A"/>
    <w:rsid w:val="003B6225"/>
    <w:rsid w:val="003E319D"/>
    <w:rsid w:val="003F3D5D"/>
    <w:rsid w:val="003F6B7F"/>
    <w:rsid w:val="00402D37"/>
    <w:rsid w:val="00410D05"/>
    <w:rsid w:val="004205C7"/>
    <w:rsid w:val="00436AB8"/>
    <w:rsid w:val="00492EF1"/>
    <w:rsid w:val="004940C8"/>
    <w:rsid w:val="004A39BD"/>
    <w:rsid w:val="004C2E4E"/>
    <w:rsid w:val="004D5169"/>
    <w:rsid w:val="004E645E"/>
    <w:rsid w:val="00500932"/>
    <w:rsid w:val="00504EB0"/>
    <w:rsid w:val="00524042"/>
    <w:rsid w:val="00547B20"/>
    <w:rsid w:val="0055148D"/>
    <w:rsid w:val="00551F6B"/>
    <w:rsid w:val="00553307"/>
    <w:rsid w:val="00553895"/>
    <w:rsid w:val="00573A28"/>
    <w:rsid w:val="00583BEC"/>
    <w:rsid w:val="0059149B"/>
    <w:rsid w:val="005A09AB"/>
    <w:rsid w:val="005B1313"/>
    <w:rsid w:val="005B7985"/>
    <w:rsid w:val="005C07C9"/>
    <w:rsid w:val="005C2A15"/>
    <w:rsid w:val="005E417B"/>
    <w:rsid w:val="005F5898"/>
    <w:rsid w:val="00604374"/>
    <w:rsid w:val="00610656"/>
    <w:rsid w:val="00615A6D"/>
    <w:rsid w:val="00616C86"/>
    <w:rsid w:val="00631893"/>
    <w:rsid w:val="00632307"/>
    <w:rsid w:val="006367D5"/>
    <w:rsid w:val="006408EB"/>
    <w:rsid w:val="00666DBD"/>
    <w:rsid w:val="00667C1D"/>
    <w:rsid w:val="00670775"/>
    <w:rsid w:val="00690732"/>
    <w:rsid w:val="00692764"/>
    <w:rsid w:val="006A6D72"/>
    <w:rsid w:val="006B0E3F"/>
    <w:rsid w:val="006B6167"/>
    <w:rsid w:val="006D215D"/>
    <w:rsid w:val="006E32E9"/>
    <w:rsid w:val="00703B76"/>
    <w:rsid w:val="00705116"/>
    <w:rsid w:val="00724266"/>
    <w:rsid w:val="0075322C"/>
    <w:rsid w:val="007649AE"/>
    <w:rsid w:val="007744D0"/>
    <w:rsid w:val="00790F62"/>
    <w:rsid w:val="007A4D20"/>
    <w:rsid w:val="007B1537"/>
    <w:rsid w:val="007E167A"/>
    <w:rsid w:val="007E45D0"/>
    <w:rsid w:val="0081016C"/>
    <w:rsid w:val="00811D38"/>
    <w:rsid w:val="0081296B"/>
    <w:rsid w:val="008350C9"/>
    <w:rsid w:val="00851E8D"/>
    <w:rsid w:val="008655EB"/>
    <w:rsid w:val="008670DD"/>
    <w:rsid w:val="00885519"/>
    <w:rsid w:val="008906D4"/>
    <w:rsid w:val="008B0135"/>
    <w:rsid w:val="008C5520"/>
    <w:rsid w:val="008D3894"/>
    <w:rsid w:val="008E0F16"/>
    <w:rsid w:val="008E4D63"/>
    <w:rsid w:val="008F5F5B"/>
    <w:rsid w:val="008F6892"/>
    <w:rsid w:val="008F6BD6"/>
    <w:rsid w:val="00900499"/>
    <w:rsid w:val="00902CC0"/>
    <w:rsid w:val="00905BEE"/>
    <w:rsid w:val="0091434B"/>
    <w:rsid w:val="00920DF1"/>
    <w:rsid w:val="0092724F"/>
    <w:rsid w:val="00931847"/>
    <w:rsid w:val="009358E8"/>
    <w:rsid w:val="009535A4"/>
    <w:rsid w:val="00957DD8"/>
    <w:rsid w:val="00984D0B"/>
    <w:rsid w:val="00987DF5"/>
    <w:rsid w:val="00993498"/>
    <w:rsid w:val="009B52CC"/>
    <w:rsid w:val="009E5306"/>
    <w:rsid w:val="00A0485B"/>
    <w:rsid w:val="00A25C7C"/>
    <w:rsid w:val="00A30691"/>
    <w:rsid w:val="00A66440"/>
    <w:rsid w:val="00A77965"/>
    <w:rsid w:val="00AA3EDB"/>
    <w:rsid w:val="00AA3F0C"/>
    <w:rsid w:val="00AB633F"/>
    <w:rsid w:val="00AC33AF"/>
    <w:rsid w:val="00AC6D2C"/>
    <w:rsid w:val="00AD6808"/>
    <w:rsid w:val="00AE61E0"/>
    <w:rsid w:val="00B0177A"/>
    <w:rsid w:val="00B14D9F"/>
    <w:rsid w:val="00B17130"/>
    <w:rsid w:val="00B21347"/>
    <w:rsid w:val="00B25B31"/>
    <w:rsid w:val="00B27A0A"/>
    <w:rsid w:val="00B351A2"/>
    <w:rsid w:val="00B85E52"/>
    <w:rsid w:val="00BD2C4A"/>
    <w:rsid w:val="00BD5036"/>
    <w:rsid w:val="00BE75AD"/>
    <w:rsid w:val="00C03EED"/>
    <w:rsid w:val="00C14C1A"/>
    <w:rsid w:val="00C301FE"/>
    <w:rsid w:val="00C427A1"/>
    <w:rsid w:val="00C96794"/>
    <w:rsid w:val="00CF11B1"/>
    <w:rsid w:val="00D27F28"/>
    <w:rsid w:val="00D31226"/>
    <w:rsid w:val="00D37972"/>
    <w:rsid w:val="00D748CE"/>
    <w:rsid w:val="00D82299"/>
    <w:rsid w:val="00D94893"/>
    <w:rsid w:val="00DA67DC"/>
    <w:rsid w:val="00DB71BA"/>
    <w:rsid w:val="00E0477C"/>
    <w:rsid w:val="00E31598"/>
    <w:rsid w:val="00E61B6F"/>
    <w:rsid w:val="00E72E8B"/>
    <w:rsid w:val="00E773E9"/>
    <w:rsid w:val="00EC08AE"/>
    <w:rsid w:val="00EC1ED8"/>
    <w:rsid w:val="00EC2333"/>
    <w:rsid w:val="00EE6283"/>
    <w:rsid w:val="00EF30DC"/>
    <w:rsid w:val="00F059B5"/>
    <w:rsid w:val="00F124C3"/>
    <w:rsid w:val="00F33ED8"/>
    <w:rsid w:val="00F5238B"/>
    <w:rsid w:val="00F57E40"/>
    <w:rsid w:val="00F74AAC"/>
    <w:rsid w:val="00F9213F"/>
    <w:rsid w:val="00FA3A9F"/>
    <w:rsid w:val="00FA7F04"/>
    <w:rsid w:val="00FB363B"/>
    <w:rsid w:val="00FB785C"/>
    <w:rsid w:val="00FC734B"/>
    <w:rsid w:val="00FD29C0"/>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9408FE1"/>
  <w15:chartTrackingRefBased/>
  <w15:docId w15:val="{81E2619F-53FB-455C-97A7-1355F9719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32674"/>
    <w:pPr>
      <w:tabs>
        <w:tab w:val="center" w:pos="4252"/>
        <w:tab w:val="right" w:pos="8504"/>
      </w:tabs>
      <w:spacing w:after="0" w:line="240" w:lineRule="auto"/>
    </w:pPr>
  </w:style>
  <w:style w:type="character" w:customStyle="1" w:styleId="HeaderChar">
    <w:name w:val="Header Char"/>
    <w:basedOn w:val="DefaultParagraphFont"/>
    <w:link w:val="Header"/>
    <w:uiPriority w:val="99"/>
    <w:rsid w:val="00132674"/>
  </w:style>
  <w:style w:type="paragraph" w:styleId="Footer">
    <w:name w:val="footer"/>
    <w:basedOn w:val="Normal"/>
    <w:link w:val="FooterChar"/>
    <w:uiPriority w:val="99"/>
    <w:unhideWhenUsed/>
    <w:rsid w:val="00132674"/>
    <w:pPr>
      <w:tabs>
        <w:tab w:val="center" w:pos="4252"/>
        <w:tab w:val="right" w:pos="8504"/>
      </w:tabs>
      <w:spacing w:after="0" w:line="240" w:lineRule="auto"/>
    </w:pPr>
  </w:style>
  <w:style w:type="character" w:customStyle="1" w:styleId="FooterChar">
    <w:name w:val="Footer Char"/>
    <w:basedOn w:val="DefaultParagraphFont"/>
    <w:link w:val="Footer"/>
    <w:uiPriority w:val="99"/>
    <w:rsid w:val="00132674"/>
  </w:style>
  <w:style w:type="character" w:styleId="Hyperlink">
    <w:name w:val="Hyperlink"/>
    <w:basedOn w:val="DefaultParagraphFont"/>
    <w:uiPriority w:val="99"/>
    <w:unhideWhenUsed/>
    <w:rsid w:val="00AC6D2C"/>
    <w:rPr>
      <w:color w:val="0563C1" w:themeColor="hyperlink"/>
      <w:u w:val="single"/>
    </w:rPr>
  </w:style>
  <w:style w:type="character" w:customStyle="1" w:styleId="UnresolvedMention">
    <w:name w:val="Unresolved Mention"/>
    <w:basedOn w:val="DefaultParagraphFont"/>
    <w:uiPriority w:val="99"/>
    <w:semiHidden/>
    <w:unhideWhenUsed/>
    <w:rsid w:val="00AC6D2C"/>
    <w:rPr>
      <w:color w:val="605E5C"/>
      <w:shd w:val="clear" w:color="auto" w:fill="E1DFDD"/>
    </w:rPr>
  </w:style>
  <w:style w:type="character" w:styleId="FollowedHyperlink">
    <w:name w:val="FollowedHyperlink"/>
    <w:basedOn w:val="DefaultParagraphFont"/>
    <w:uiPriority w:val="99"/>
    <w:semiHidden/>
    <w:unhideWhenUsed/>
    <w:rsid w:val="00067E0E"/>
    <w:rPr>
      <w:color w:val="954F72" w:themeColor="followedHyperlink"/>
      <w:u w:val="single"/>
    </w:rPr>
  </w:style>
  <w:style w:type="paragraph" w:styleId="ListParagraph">
    <w:name w:val="List Paragraph"/>
    <w:basedOn w:val="Normal"/>
    <w:uiPriority w:val="34"/>
    <w:qFormat/>
    <w:rsid w:val="00360D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clusivasiespecialtambien.org/entidades-adheridas" TargetMode="External"/><Relationship Id="rId13" Type="http://schemas.openxmlformats.org/officeDocument/2006/relationships/footer" Target="footer4.xml"/><Relationship Id="rId18" Type="http://schemas.openxmlformats.org/officeDocument/2006/relationships/footer" Target="footer9.xml"/><Relationship Id="rId26" Type="http://schemas.openxmlformats.org/officeDocument/2006/relationships/customXml" Target="../customXml/item1.xml"/><Relationship Id="rId3" Type="http://schemas.openxmlformats.org/officeDocument/2006/relationships/settings" Target="settings.xml"/><Relationship Id="rId21" Type="http://schemas.openxmlformats.org/officeDocument/2006/relationships/footer" Target="footer12.xml"/><Relationship Id="rId7" Type="http://schemas.openxmlformats.org/officeDocument/2006/relationships/hyperlink" Target="https://www.inclusivasiespecialtambien.org/" TargetMode="External"/><Relationship Id="rId12" Type="http://schemas.openxmlformats.org/officeDocument/2006/relationships/footer" Target="footer3.xml"/><Relationship Id="rId17" Type="http://schemas.openxmlformats.org/officeDocument/2006/relationships/footer" Target="footer8.xm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oter" Target="footer7.xml"/><Relationship Id="rId20" Type="http://schemas.openxmlformats.org/officeDocument/2006/relationships/footer" Target="footer1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6.xml"/><Relationship Id="rId23" Type="http://schemas.openxmlformats.org/officeDocument/2006/relationships/footer" Target="footer14.xml"/><Relationship Id="rId28"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footer" Target="footer10.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13.xml"/><Relationship Id="rId27"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b6b8121d0674b80e35b989978c092dc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5CDBE53-1328-4EBE-9AE8-8D8C516FF3FE}"/>
</file>

<file path=customXml/itemProps2.xml><?xml version="1.0" encoding="utf-8"?>
<ds:datastoreItem xmlns:ds="http://schemas.openxmlformats.org/officeDocument/2006/customXml" ds:itemID="{E6B807D5-5049-4369-9FD3-EFEBA3A2574A}"/>
</file>

<file path=customXml/itemProps3.xml><?xml version="1.0" encoding="utf-8"?>
<ds:datastoreItem xmlns:ds="http://schemas.openxmlformats.org/officeDocument/2006/customXml" ds:itemID="{EA414E5B-E67A-4D9C-A5EB-05F5B8523B67}"/>
</file>

<file path=docProps/app.xml><?xml version="1.0" encoding="utf-8"?>
<Properties xmlns="http://schemas.openxmlformats.org/officeDocument/2006/extended-properties" xmlns:vt="http://schemas.openxmlformats.org/officeDocument/2006/docPropsVTypes">
  <Template>Normal.dotm</Template>
  <TotalTime>0</TotalTime>
  <Pages>15</Pages>
  <Words>5580</Words>
  <Characters>31807</Characters>
  <Application>Microsoft Office Word</Application>
  <DocSecurity>4</DocSecurity>
  <Lines>265</Lines>
  <Paragraphs>74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37313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MIGUEL</dc:creator>
  <cp:keywords/>
  <dc:description/>
  <cp:lastModifiedBy>CAILLOT Lucille</cp:lastModifiedBy>
  <cp:revision>2</cp:revision>
  <dcterms:created xsi:type="dcterms:W3CDTF">2019-02-19T15:48:00Z</dcterms:created>
  <dcterms:modified xsi:type="dcterms:W3CDTF">2019-02-19T15:48:00Z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