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D368AF" w14:textId="77777777" w:rsidR="00762A74" w:rsidRDefault="00A47368">
      <w:pPr>
        <w:pBdr>
          <w:top w:val="nil"/>
          <w:left w:val="nil"/>
          <w:bottom w:val="nil"/>
          <w:right w:val="nil"/>
          <w:between w:val="nil"/>
        </w:pBdr>
        <w:spacing w:before="1540" w:after="240" w:line="240" w:lineRule="auto"/>
        <w:jc w:val="center"/>
        <w:rPr>
          <w:color w:val="5B9BD5"/>
          <w:sz w:val="28"/>
          <w:szCs w:val="28"/>
        </w:rPr>
      </w:pPr>
      <w:r>
        <w:rPr>
          <w:noProof/>
        </w:rPr>
        <w:drawing>
          <wp:anchor distT="0" distB="0" distL="114300" distR="114300" simplePos="0" relativeHeight="251658240" behindDoc="0" locked="0" layoutInCell="1" hidden="0" allowOverlap="1" wp14:anchorId="577204BC" wp14:editId="4C2C939C">
            <wp:simplePos x="0" y="0"/>
            <wp:positionH relativeFrom="column">
              <wp:posOffset>1</wp:posOffset>
            </wp:positionH>
            <wp:positionV relativeFrom="paragraph">
              <wp:posOffset>71120</wp:posOffset>
            </wp:positionV>
            <wp:extent cx="5612130" cy="7938135"/>
            <wp:effectExtent l="0" t="0" r="0" b="0"/>
            <wp:wrapSquare wrapText="bothSides" distT="0" distB="0" distL="114300" distR="1143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5612130" cy="7938135"/>
                    </a:xfrm>
                    <a:prstGeom prst="rect">
                      <a:avLst/>
                    </a:prstGeom>
                    <a:ln/>
                  </pic:spPr>
                </pic:pic>
              </a:graphicData>
            </a:graphic>
          </wp:anchor>
        </w:drawing>
      </w:r>
    </w:p>
    <w:p w14:paraId="3263FA23" w14:textId="77777777" w:rsidR="00762A74" w:rsidRDefault="00762A74">
      <w:pPr>
        <w:pBdr>
          <w:top w:val="nil"/>
          <w:left w:val="nil"/>
          <w:bottom w:val="nil"/>
          <w:right w:val="nil"/>
          <w:between w:val="nil"/>
        </w:pBdr>
        <w:spacing w:before="480" w:after="0" w:line="240" w:lineRule="auto"/>
        <w:jc w:val="center"/>
        <w:rPr>
          <w:color w:val="5B9BD5"/>
        </w:rPr>
      </w:pPr>
    </w:p>
    <w:p w14:paraId="407FCE3B" w14:textId="77777777" w:rsidR="00762A74" w:rsidRDefault="00762A74">
      <w:pPr>
        <w:rPr>
          <w:b/>
        </w:rPr>
      </w:pPr>
    </w:p>
    <w:p w14:paraId="02178C26" w14:textId="77777777" w:rsidR="00762A74" w:rsidRDefault="00A47368">
      <w:pPr>
        <w:keepNext/>
        <w:keepLines/>
        <w:pBdr>
          <w:top w:val="nil"/>
          <w:left w:val="nil"/>
          <w:bottom w:val="nil"/>
          <w:right w:val="nil"/>
          <w:between w:val="nil"/>
        </w:pBdr>
        <w:spacing w:before="240" w:after="0" w:line="480" w:lineRule="auto"/>
        <w:jc w:val="center"/>
        <w:rPr>
          <w:color w:val="FFC000"/>
          <w:sz w:val="28"/>
          <w:szCs w:val="28"/>
        </w:rPr>
      </w:pPr>
      <w:r>
        <w:rPr>
          <w:color w:val="FFC000"/>
          <w:sz w:val="28"/>
          <w:szCs w:val="28"/>
        </w:rPr>
        <w:t>Tabla de contenido</w:t>
      </w:r>
    </w:p>
    <w:sdt>
      <w:sdtPr>
        <w:id w:val="-1343151896"/>
        <w:docPartObj>
          <w:docPartGallery w:val="Table of Contents"/>
          <w:docPartUnique/>
        </w:docPartObj>
      </w:sdtPr>
      <w:sdtEndPr/>
      <w:sdtContent>
        <w:p w14:paraId="5C6831B2" w14:textId="77777777" w:rsidR="00762A74" w:rsidRDefault="00A47368">
          <w:pPr>
            <w:widowControl w:val="0"/>
            <w:tabs>
              <w:tab w:val="right" w:leader="hyphen" w:pos="12000"/>
            </w:tabs>
            <w:spacing w:before="60" w:after="0" w:line="240" w:lineRule="auto"/>
            <w:rPr>
              <w:rFonts w:ascii="Arial" w:eastAsia="Arial" w:hAnsi="Arial" w:cs="Arial"/>
              <w:b/>
              <w:color w:val="000000"/>
            </w:rPr>
          </w:pPr>
          <w:r>
            <w:fldChar w:fldCharType="begin"/>
          </w:r>
          <w:r>
            <w:instrText xml:space="preserve"> TOC \h \u \z \t "Heading 1,1,Heading 2,2,Heading 3,3,"</w:instrText>
          </w:r>
          <w:r>
            <w:fldChar w:fldCharType="separate"/>
          </w:r>
          <w:hyperlink w:anchor="_gjdgxs">
            <w:r>
              <w:rPr>
                <w:b/>
                <w:color w:val="000000"/>
              </w:rPr>
              <w:t>Defensoría de los Habitantes y su ámbito de acción</w:t>
            </w:r>
            <w:r>
              <w:rPr>
                <w:b/>
                <w:color w:val="000000"/>
              </w:rPr>
              <w:tab/>
              <w:t>1</w:t>
            </w:r>
          </w:hyperlink>
        </w:p>
        <w:p w14:paraId="244753BB" w14:textId="77777777" w:rsidR="00762A74" w:rsidRDefault="00A47368">
          <w:pPr>
            <w:widowControl w:val="0"/>
            <w:tabs>
              <w:tab w:val="right" w:leader="hyphen" w:pos="12000"/>
            </w:tabs>
            <w:spacing w:before="60" w:after="0" w:line="240" w:lineRule="auto"/>
            <w:rPr>
              <w:rFonts w:ascii="Arial" w:eastAsia="Arial" w:hAnsi="Arial" w:cs="Arial"/>
              <w:b/>
              <w:color w:val="000000"/>
            </w:rPr>
          </w:pPr>
          <w:hyperlink w:anchor="_30j0zll">
            <w:r>
              <w:rPr>
                <w:b/>
                <w:color w:val="000000"/>
              </w:rPr>
              <w:t>Posición institucional en defensa de los derechos de las personas con discapacidad</w:t>
            </w:r>
            <w:r>
              <w:rPr>
                <w:b/>
                <w:color w:val="000000"/>
              </w:rPr>
              <w:tab/>
              <w:t>2</w:t>
            </w:r>
          </w:hyperlink>
        </w:p>
        <w:p w14:paraId="5F640426" w14:textId="77777777" w:rsidR="00762A74" w:rsidRDefault="00A47368">
          <w:pPr>
            <w:widowControl w:val="0"/>
            <w:tabs>
              <w:tab w:val="right" w:leader="hyphen" w:pos="12000"/>
            </w:tabs>
            <w:spacing w:before="60" w:after="0" w:line="240" w:lineRule="auto"/>
            <w:ind w:left="360"/>
            <w:rPr>
              <w:rFonts w:ascii="Arial" w:eastAsia="Arial" w:hAnsi="Arial" w:cs="Arial"/>
              <w:color w:val="000000"/>
            </w:rPr>
          </w:pPr>
          <w:hyperlink w:anchor="_1fob9te">
            <w:r>
              <w:rPr>
                <w:b/>
                <w:color w:val="000000"/>
              </w:rPr>
              <w:t>Mujeres con discapacidad</w:t>
            </w:r>
            <w:r>
              <w:rPr>
                <w:b/>
                <w:color w:val="000000"/>
              </w:rPr>
              <w:tab/>
              <w:t>2</w:t>
            </w:r>
          </w:hyperlink>
        </w:p>
        <w:p w14:paraId="1B001021" w14:textId="77777777" w:rsidR="00762A74" w:rsidRDefault="00A47368">
          <w:pPr>
            <w:widowControl w:val="0"/>
            <w:tabs>
              <w:tab w:val="right" w:leader="hyphen" w:pos="12000"/>
            </w:tabs>
            <w:spacing w:before="60" w:after="0" w:line="240" w:lineRule="auto"/>
            <w:ind w:left="360"/>
            <w:rPr>
              <w:rFonts w:ascii="Arial" w:eastAsia="Arial" w:hAnsi="Arial" w:cs="Arial"/>
              <w:color w:val="000000"/>
            </w:rPr>
          </w:pPr>
          <w:hyperlink w:anchor="_3znysh7">
            <w:r>
              <w:rPr>
                <w:b/>
                <w:color w:val="000000"/>
              </w:rPr>
              <w:t>Certificado único de discapacidad</w:t>
            </w:r>
            <w:r>
              <w:rPr>
                <w:b/>
                <w:color w:val="000000"/>
              </w:rPr>
              <w:tab/>
              <w:t>3</w:t>
            </w:r>
          </w:hyperlink>
        </w:p>
        <w:p w14:paraId="6C779229" w14:textId="77777777" w:rsidR="00762A74" w:rsidRDefault="00A47368">
          <w:pPr>
            <w:widowControl w:val="0"/>
            <w:tabs>
              <w:tab w:val="right" w:leader="hyphen" w:pos="12000"/>
            </w:tabs>
            <w:spacing w:before="60" w:after="0" w:line="240" w:lineRule="auto"/>
            <w:ind w:left="360"/>
            <w:rPr>
              <w:rFonts w:ascii="Arial" w:eastAsia="Arial" w:hAnsi="Arial" w:cs="Arial"/>
              <w:color w:val="000000"/>
            </w:rPr>
          </w:pPr>
          <w:hyperlink w:anchor="_2et92p0">
            <w:r>
              <w:rPr>
                <w:b/>
                <w:color w:val="000000"/>
              </w:rPr>
              <w:t>Discapacidad y No discriminación</w:t>
            </w:r>
            <w:r>
              <w:rPr>
                <w:b/>
                <w:color w:val="000000"/>
              </w:rPr>
              <w:tab/>
              <w:t>4</w:t>
            </w:r>
          </w:hyperlink>
        </w:p>
        <w:p w14:paraId="422F165F" w14:textId="77777777" w:rsidR="00762A74" w:rsidRDefault="00A47368">
          <w:pPr>
            <w:widowControl w:val="0"/>
            <w:tabs>
              <w:tab w:val="right" w:leader="hyphen" w:pos="12000"/>
            </w:tabs>
            <w:spacing w:before="60" w:after="0" w:line="240" w:lineRule="auto"/>
            <w:ind w:left="360"/>
            <w:rPr>
              <w:rFonts w:ascii="Arial" w:eastAsia="Arial" w:hAnsi="Arial" w:cs="Arial"/>
              <w:color w:val="000000"/>
            </w:rPr>
          </w:pPr>
          <w:hyperlink w:anchor="_tyjcwt">
            <w:r>
              <w:rPr>
                <w:b/>
                <w:color w:val="000000"/>
              </w:rPr>
              <w:t>Niños y niñas con discapacidad</w:t>
            </w:r>
            <w:r>
              <w:rPr>
                <w:b/>
                <w:color w:val="000000"/>
              </w:rPr>
              <w:tab/>
              <w:t>5</w:t>
            </w:r>
          </w:hyperlink>
        </w:p>
        <w:p w14:paraId="237A0E82" w14:textId="77777777" w:rsidR="00762A74" w:rsidRDefault="00A47368">
          <w:pPr>
            <w:widowControl w:val="0"/>
            <w:tabs>
              <w:tab w:val="right" w:leader="hyphen" w:pos="12000"/>
            </w:tabs>
            <w:spacing w:before="60" w:after="0" w:line="240" w:lineRule="auto"/>
            <w:ind w:left="360"/>
            <w:rPr>
              <w:rFonts w:ascii="Arial" w:eastAsia="Arial" w:hAnsi="Arial" w:cs="Arial"/>
              <w:color w:val="000000"/>
            </w:rPr>
          </w:pPr>
          <w:hyperlink w:anchor="_3dy6vkm">
            <w:r>
              <w:rPr>
                <w:b/>
                <w:color w:val="000000"/>
                <w:highlight w:val="white"/>
              </w:rPr>
              <w:t>Niñez y educación</w:t>
            </w:r>
            <w:r>
              <w:rPr>
                <w:b/>
                <w:color w:val="000000"/>
                <w:highlight w:val="white"/>
              </w:rPr>
              <w:tab/>
              <w:t>5</w:t>
            </w:r>
          </w:hyperlink>
        </w:p>
        <w:p w14:paraId="1C8B5C75" w14:textId="77777777" w:rsidR="00762A74" w:rsidRDefault="00A47368">
          <w:pPr>
            <w:widowControl w:val="0"/>
            <w:tabs>
              <w:tab w:val="right" w:leader="hyphen" w:pos="12000"/>
            </w:tabs>
            <w:spacing w:before="60" w:after="0" w:line="240" w:lineRule="auto"/>
            <w:ind w:left="360"/>
            <w:rPr>
              <w:rFonts w:ascii="Arial" w:eastAsia="Arial" w:hAnsi="Arial" w:cs="Arial"/>
              <w:color w:val="000000"/>
            </w:rPr>
          </w:pPr>
          <w:hyperlink w:anchor="_1t3h5sf">
            <w:r>
              <w:rPr>
                <w:b/>
                <w:color w:val="000000"/>
                <w:highlight w:val="white"/>
              </w:rPr>
              <w:t>Salud y discapacidad</w:t>
            </w:r>
            <w:r>
              <w:rPr>
                <w:b/>
                <w:color w:val="000000"/>
                <w:highlight w:val="white"/>
              </w:rPr>
              <w:tab/>
              <w:t>6</w:t>
            </w:r>
          </w:hyperlink>
        </w:p>
        <w:p w14:paraId="2966B611" w14:textId="77777777" w:rsidR="00762A74" w:rsidRDefault="00A47368">
          <w:pPr>
            <w:widowControl w:val="0"/>
            <w:tabs>
              <w:tab w:val="right" w:leader="hyphen" w:pos="12000"/>
            </w:tabs>
            <w:spacing w:before="60" w:after="0" w:line="240" w:lineRule="auto"/>
            <w:ind w:left="360"/>
            <w:rPr>
              <w:rFonts w:ascii="Arial" w:eastAsia="Arial" w:hAnsi="Arial" w:cs="Arial"/>
              <w:color w:val="000000"/>
            </w:rPr>
          </w:pPr>
          <w:hyperlink w:anchor="_4d34og8">
            <w:r>
              <w:rPr>
                <w:b/>
                <w:color w:val="000000"/>
                <w:highlight w:val="white"/>
              </w:rPr>
              <w:t>Nivel de vida adecuado y protección social para personas con discapacidad</w:t>
            </w:r>
            <w:r>
              <w:rPr>
                <w:b/>
                <w:color w:val="000000"/>
                <w:highlight w:val="white"/>
              </w:rPr>
              <w:tab/>
              <w:t>7</w:t>
            </w:r>
          </w:hyperlink>
        </w:p>
        <w:p w14:paraId="6463818A" w14:textId="77777777" w:rsidR="00762A74" w:rsidRDefault="00A47368">
          <w:pPr>
            <w:widowControl w:val="0"/>
            <w:tabs>
              <w:tab w:val="right" w:leader="hyphen" w:pos="12000"/>
            </w:tabs>
            <w:spacing w:before="60" w:after="0" w:line="240" w:lineRule="auto"/>
            <w:ind w:left="360"/>
            <w:rPr>
              <w:rFonts w:ascii="Arial" w:eastAsia="Arial" w:hAnsi="Arial" w:cs="Arial"/>
              <w:color w:val="000000"/>
            </w:rPr>
          </w:pPr>
          <w:hyperlink w:anchor="_2s8eyo1">
            <w:r>
              <w:rPr>
                <w:b/>
                <w:color w:val="000000"/>
              </w:rPr>
              <w:t>Acceso a la información</w:t>
            </w:r>
            <w:r>
              <w:rPr>
                <w:b/>
                <w:color w:val="000000"/>
              </w:rPr>
              <w:tab/>
              <w:t>8</w:t>
            </w:r>
          </w:hyperlink>
        </w:p>
        <w:p w14:paraId="586D8364" w14:textId="77777777" w:rsidR="00762A74" w:rsidRDefault="00A47368">
          <w:pPr>
            <w:widowControl w:val="0"/>
            <w:tabs>
              <w:tab w:val="right" w:leader="hyphen" w:pos="12000"/>
            </w:tabs>
            <w:spacing w:before="60" w:after="0" w:line="240" w:lineRule="auto"/>
            <w:ind w:left="360"/>
            <w:rPr>
              <w:rFonts w:ascii="Arial" w:eastAsia="Arial" w:hAnsi="Arial" w:cs="Arial"/>
              <w:color w:val="000000"/>
            </w:rPr>
          </w:pPr>
          <w:hyperlink w:anchor="_17dp8vu">
            <w:r>
              <w:rPr>
                <w:b/>
                <w:color w:val="000000"/>
              </w:rPr>
              <w:t>Trabajo y empleo</w:t>
            </w:r>
            <w:r>
              <w:rPr>
                <w:b/>
                <w:color w:val="000000"/>
              </w:rPr>
              <w:tab/>
              <w:t>9</w:t>
            </w:r>
          </w:hyperlink>
        </w:p>
        <w:p w14:paraId="7C56819F" w14:textId="77777777" w:rsidR="00762A74" w:rsidRDefault="00A47368">
          <w:pPr>
            <w:widowControl w:val="0"/>
            <w:tabs>
              <w:tab w:val="right" w:leader="hyphen" w:pos="12000"/>
            </w:tabs>
            <w:spacing w:before="60" w:after="0" w:line="240" w:lineRule="auto"/>
            <w:ind w:left="360"/>
            <w:rPr>
              <w:rFonts w:ascii="Arial" w:eastAsia="Arial" w:hAnsi="Arial" w:cs="Arial"/>
              <w:color w:val="000000"/>
            </w:rPr>
          </w:pPr>
          <w:hyperlink w:anchor="_3rdcrjn">
            <w:r>
              <w:rPr>
                <w:b/>
                <w:color w:val="000000"/>
              </w:rPr>
              <w:t>Participación ciudadana</w:t>
            </w:r>
            <w:r>
              <w:rPr>
                <w:b/>
                <w:color w:val="000000"/>
              </w:rPr>
              <w:tab/>
              <w:t>9</w:t>
            </w:r>
          </w:hyperlink>
        </w:p>
        <w:p w14:paraId="1DB798FD" w14:textId="77777777" w:rsidR="00762A74" w:rsidRDefault="00A47368">
          <w:pPr>
            <w:widowControl w:val="0"/>
            <w:tabs>
              <w:tab w:val="right" w:leader="hyphen" w:pos="12000"/>
            </w:tabs>
            <w:spacing w:before="60" w:after="0" w:line="240" w:lineRule="auto"/>
            <w:ind w:left="360"/>
            <w:rPr>
              <w:rFonts w:ascii="Arial" w:eastAsia="Arial" w:hAnsi="Arial" w:cs="Arial"/>
              <w:color w:val="000000"/>
            </w:rPr>
          </w:pPr>
          <w:hyperlink w:anchor="_26in1rg">
            <w:r>
              <w:rPr>
                <w:b/>
                <w:color w:val="000000"/>
              </w:rPr>
              <w:t>Personas privadas de libertad y accesibilidad</w:t>
            </w:r>
            <w:r>
              <w:rPr>
                <w:b/>
                <w:color w:val="000000"/>
              </w:rPr>
              <w:tab/>
              <w:t>10</w:t>
            </w:r>
          </w:hyperlink>
          <w:r>
            <w:fldChar w:fldCharType="end"/>
          </w:r>
        </w:p>
      </w:sdtContent>
    </w:sdt>
    <w:p w14:paraId="2774EEDD" w14:textId="77777777" w:rsidR="00762A74" w:rsidRDefault="00762A74">
      <w:pPr>
        <w:spacing w:after="0" w:line="240" w:lineRule="auto"/>
        <w:jc w:val="both"/>
        <w:rPr>
          <w:b/>
        </w:rPr>
      </w:pPr>
    </w:p>
    <w:p w14:paraId="4BFC5CAA" w14:textId="77777777" w:rsidR="00762A74" w:rsidRDefault="00762A74">
      <w:pPr>
        <w:spacing w:after="0" w:line="240" w:lineRule="auto"/>
        <w:jc w:val="both"/>
        <w:rPr>
          <w:b/>
        </w:rPr>
      </w:pPr>
    </w:p>
    <w:p w14:paraId="2B7BD16E" w14:textId="77777777" w:rsidR="00762A74" w:rsidRDefault="00762A74">
      <w:pPr>
        <w:spacing w:after="0" w:line="240" w:lineRule="auto"/>
        <w:jc w:val="both"/>
        <w:rPr>
          <w:b/>
        </w:rPr>
      </w:pPr>
    </w:p>
    <w:p w14:paraId="481E4379" w14:textId="77777777" w:rsidR="00762A74" w:rsidRDefault="00762A74">
      <w:pPr>
        <w:spacing w:after="0" w:line="240" w:lineRule="auto"/>
        <w:jc w:val="both"/>
        <w:rPr>
          <w:b/>
        </w:rPr>
      </w:pPr>
    </w:p>
    <w:p w14:paraId="4C0F62FB" w14:textId="77777777" w:rsidR="00762A74" w:rsidRDefault="00762A74">
      <w:pPr>
        <w:spacing w:after="0" w:line="240" w:lineRule="auto"/>
        <w:jc w:val="both"/>
        <w:rPr>
          <w:b/>
        </w:rPr>
      </w:pPr>
    </w:p>
    <w:p w14:paraId="055511DA" w14:textId="77777777" w:rsidR="00762A74" w:rsidRDefault="00762A74">
      <w:pPr>
        <w:spacing w:after="0" w:line="240" w:lineRule="auto"/>
        <w:jc w:val="both"/>
        <w:rPr>
          <w:b/>
        </w:rPr>
      </w:pPr>
    </w:p>
    <w:p w14:paraId="2B9A836E" w14:textId="77777777" w:rsidR="00762A74" w:rsidRDefault="00762A74">
      <w:pPr>
        <w:spacing w:after="0" w:line="240" w:lineRule="auto"/>
        <w:jc w:val="both"/>
        <w:rPr>
          <w:b/>
        </w:rPr>
      </w:pPr>
    </w:p>
    <w:p w14:paraId="61B0E561" w14:textId="77777777" w:rsidR="00762A74" w:rsidRDefault="00762A74">
      <w:pPr>
        <w:spacing w:after="0" w:line="240" w:lineRule="auto"/>
        <w:jc w:val="both"/>
        <w:rPr>
          <w:b/>
        </w:rPr>
      </w:pPr>
    </w:p>
    <w:p w14:paraId="5A5CB2F2" w14:textId="77777777" w:rsidR="00762A74" w:rsidRDefault="00762A74">
      <w:pPr>
        <w:spacing w:after="0" w:line="240" w:lineRule="auto"/>
        <w:jc w:val="both"/>
        <w:rPr>
          <w:b/>
        </w:rPr>
      </w:pPr>
    </w:p>
    <w:p w14:paraId="3149DFA8" w14:textId="77777777" w:rsidR="00762A74" w:rsidRDefault="00762A74">
      <w:pPr>
        <w:spacing w:after="0" w:line="240" w:lineRule="auto"/>
        <w:jc w:val="both"/>
        <w:rPr>
          <w:b/>
        </w:rPr>
      </w:pPr>
    </w:p>
    <w:p w14:paraId="7A15FF87" w14:textId="77777777" w:rsidR="00762A74" w:rsidRDefault="00762A74">
      <w:pPr>
        <w:spacing w:after="0" w:line="240" w:lineRule="auto"/>
        <w:jc w:val="both"/>
        <w:rPr>
          <w:b/>
        </w:rPr>
      </w:pPr>
    </w:p>
    <w:p w14:paraId="38F8D388" w14:textId="77777777" w:rsidR="00762A74" w:rsidRDefault="00762A74">
      <w:pPr>
        <w:spacing w:after="0" w:line="240" w:lineRule="auto"/>
        <w:jc w:val="both"/>
        <w:rPr>
          <w:b/>
        </w:rPr>
      </w:pPr>
    </w:p>
    <w:p w14:paraId="3CD7DB0D" w14:textId="77777777" w:rsidR="00762A74" w:rsidRDefault="00762A74">
      <w:pPr>
        <w:spacing w:after="0" w:line="240" w:lineRule="auto"/>
        <w:jc w:val="both"/>
        <w:rPr>
          <w:b/>
        </w:rPr>
      </w:pPr>
    </w:p>
    <w:p w14:paraId="3FFB68F9" w14:textId="77777777" w:rsidR="00762A74" w:rsidRDefault="00762A74">
      <w:pPr>
        <w:spacing w:after="0" w:line="240" w:lineRule="auto"/>
        <w:jc w:val="both"/>
        <w:rPr>
          <w:b/>
        </w:rPr>
      </w:pPr>
    </w:p>
    <w:p w14:paraId="2AF6FDD6" w14:textId="77777777" w:rsidR="00762A74" w:rsidRDefault="00762A74">
      <w:pPr>
        <w:spacing w:after="0" w:line="240" w:lineRule="auto"/>
        <w:jc w:val="both"/>
        <w:rPr>
          <w:b/>
        </w:rPr>
      </w:pPr>
    </w:p>
    <w:p w14:paraId="6074CB5D" w14:textId="77777777" w:rsidR="00762A74" w:rsidRDefault="00762A74">
      <w:pPr>
        <w:spacing w:after="0" w:line="240" w:lineRule="auto"/>
        <w:jc w:val="both"/>
      </w:pPr>
    </w:p>
    <w:p w14:paraId="7BAA99B4" w14:textId="77777777" w:rsidR="00762A74" w:rsidRDefault="00762A74">
      <w:pPr>
        <w:spacing w:after="0" w:line="240" w:lineRule="auto"/>
        <w:jc w:val="both"/>
      </w:pPr>
    </w:p>
    <w:p w14:paraId="5AD7964F" w14:textId="77777777" w:rsidR="00762A74" w:rsidRDefault="00762A74">
      <w:pPr>
        <w:spacing w:after="0" w:line="240" w:lineRule="auto"/>
        <w:jc w:val="both"/>
      </w:pPr>
    </w:p>
    <w:p w14:paraId="1BAE41B9" w14:textId="77777777" w:rsidR="00762A74" w:rsidRDefault="00762A74">
      <w:pPr>
        <w:spacing w:after="0" w:line="240" w:lineRule="auto"/>
        <w:jc w:val="both"/>
      </w:pPr>
    </w:p>
    <w:p w14:paraId="07B15362" w14:textId="77777777" w:rsidR="00A90D5E" w:rsidRDefault="00A90D5E">
      <w:pPr>
        <w:spacing w:after="0" w:line="240" w:lineRule="auto"/>
        <w:jc w:val="both"/>
      </w:pPr>
    </w:p>
    <w:p w14:paraId="071C14B3" w14:textId="77777777" w:rsidR="00762A74" w:rsidRDefault="00762A74">
      <w:pPr>
        <w:spacing w:after="0" w:line="240" w:lineRule="auto"/>
        <w:jc w:val="both"/>
      </w:pPr>
    </w:p>
    <w:p w14:paraId="5B52DD3C" w14:textId="77777777" w:rsidR="00762A74" w:rsidRDefault="00762A74">
      <w:pPr>
        <w:spacing w:after="0" w:line="240" w:lineRule="auto"/>
        <w:jc w:val="both"/>
      </w:pPr>
    </w:p>
    <w:p w14:paraId="14FE2835" w14:textId="77777777" w:rsidR="00762A74" w:rsidRDefault="00A47368">
      <w:pPr>
        <w:pStyle w:val="Heading1"/>
        <w:jc w:val="center"/>
        <w:rPr>
          <w:b/>
          <w:sz w:val="22"/>
          <w:szCs w:val="22"/>
        </w:rPr>
      </w:pPr>
      <w:bookmarkStart w:id="0" w:name="_gjdgxs" w:colFirst="0" w:colLast="0"/>
      <w:bookmarkEnd w:id="0"/>
      <w:r>
        <w:rPr>
          <w:b/>
          <w:sz w:val="22"/>
          <w:szCs w:val="22"/>
        </w:rPr>
        <w:lastRenderedPageBreak/>
        <w:t>Defensoría de los Habitantes y su ámbito de acción</w:t>
      </w:r>
    </w:p>
    <w:p w14:paraId="755931D2" w14:textId="77777777" w:rsidR="00762A74" w:rsidRDefault="00762A74">
      <w:pPr>
        <w:spacing w:after="0" w:line="240" w:lineRule="auto"/>
        <w:jc w:val="both"/>
      </w:pPr>
    </w:p>
    <w:p w14:paraId="79D94ACF" w14:textId="77777777" w:rsidR="00762A74" w:rsidRDefault="00A47368">
      <w:pPr>
        <w:spacing w:after="0" w:line="240" w:lineRule="auto"/>
        <w:jc w:val="both"/>
      </w:pPr>
      <w:r>
        <w:t xml:space="preserve">La Defensoría de los Habitantes, como órgano de control de legalidad, de la moralidad y del desempeño del Estado, estableció en su Plan Estratégico </w:t>
      </w:r>
      <w:r>
        <w:t>Institucional 2024-2028, la misión de proteger a las personas habitantes ante las vulneraciones del Sector Público, educando, promoviendo y defendiendo sus derechos e intereses.</w:t>
      </w:r>
    </w:p>
    <w:p w14:paraId="2017DB6A" w14:textId="77777777" w:rsidR="00762A74" w:rsidRDefault="00762A74">
      <w:pPr>
        <w:spacing w:after="0" w:line="240" w:lineRule="auto"/>
        <w:jc w:val="both"/>
      </w:pPr>
    </w:p>
    <w:p w14:paraId="4E4940DB" w14:textId="77777777" w:rsidR="00762A74" w:rsidRDefault="00A47368">
      <w:pPr>
        <w:spacing w:after="0" w:line="240" w:lineRule="auto"/>
        <w:jc w:val="both"/>
      </w:pPr>
      <w:r>
        <w:t>Esta institución es un órgano contralor que forma parte del Poder Legislativo</w:t>
      </w:r>
      <w:r>
        <w:t>, su fin es el de velar porque la actividad del sector público se ajuste al ordenamiento jurídico y la moral, de forma tal que los derechos e intereses de las personas habitantes siempre estén protegidos.</w:t>
      </w:r>
    </w:p>
    <w:p w14:paraId="6B49F91B" w14:textId="77777777" w:rsidR="00762A74" w:rsidRDefault="00762A74">
      <w:pPr>
        <w:spacing w:after="0" w:line="240" w:lineRule="auto"/>
        <w:jc w:val="both"/>
      </w:pPr>
    </w:p>
    <w:p w14:paraId="0FE68210" w14:textId="77777777" w:rsidR="00762A74" w:rsidRDefault="00A47368">
      <w:pPr>
        <w:spacing w:after="0" w:line="240" w:lineRule="auto"/>
        <w:jc w:val="both"/>
      </w:pPr>
      <w:r>
        <w:t>Pese a ser un órgano adscrito al Poder Legislativo</w:t>
      </w:r>
      <w:r>
        <w:t>, la Defensoría de los Habitantes goza de independencia funcional, administrativa y de criterio. Ello implica que no está sujeta a la voluntad de otros órganos en el ejercicio de sus funciones, aunque, como es propio de un Estado Democrático de Derecho, es</w:t>
      </w:r>
      <w:r>
        <w:t>tá sometida a la fiscalización de otras organizaciones como la Contraloría General de la República y los tribunales de justicia, cada uno dentro de su ámbito de competencia.</w:t>
      </w:r>
    </w:p>
    <w:p w14:paraId="19186007" w14:textId="77777777" w:rsidR="00762A74" w:rsidRDefault="00762A74">
      <w:pPr>
        <w:spacing w:after="0" w:line="240" w:lineRule="auto"/>
        <w:jc w:val="both"/>
      </w:pPr>
    </w:p>
    <w:p w14:paraId="5728B991" w14:textId="77777777" w:rsidR="00762A74" w:rsidRDefault="00A47368">
      <w:pPr>
        <w:pStyle w:val="Heading1"/>
        <w:jc w:val="center"/>
        <w:rPr>
          <w:b/>
          <w:sz w:val="22"/>
          <w:szCs w:val="22"/>
        </w:rPr>
      </w:pPr>
      <w:bookmarkStart w:id="1" w:name="_30j0zll" w:colFirst="0" w:colLast="0"/>
      <w:bookmarkEnd w:id="1"/>
      <w:r>
        <w:rPr>
          <w:b/>
          <w:sz w:val="22"/>
          <w:szCs w:val="22"/>
        </w:rPr>
        <w:t>Posición institucional en defensa de los derechos de las personas con discapacida</w:t>
      </w:r>
      <w:r>
        <w:rPr>
          <w:b/>
          <w:sz w:val="22"/>
          <w:szCs w:val="22"/>
        </w:rPr>
        <w:t>d</w:t>
      </w:r>
    </w:p>
    <w:p w14:paraId="5063E563" w14:textId="77777777" w:rsidR="00762A74" w:rsidRDefault="00762A74"/>
    <w:p w14:paraId="2363EE85" w14:textId="77777777" w:rsidR="00762A74" w:rsidRDefault="00A47368">
      <w:pPr>
        <w:spacing w:after="0" w:line="240" w:lineRule="auto"/>
        <w:jc w:val="both"/>
      </w:pPr>
      <w:r>
        <w:t>Como Institución Nacional de Derechos Humanos (INDH), vemos las contribuciones a los diferentes órganos de tratado como una posibilidad para apoyar en el monitoreo al cumplimiento por parte del Estado de los derechos de las personas, incluidas las personas</w:t>
      </w:r>
      <w:r>
        <w:t xml:space="preserve"> con discapacidad. Consideramos este ejercicio fundamental para asegurar que se respeten y protejan los derechos humanos. </w:t>
      </w:r>
    </w:p>
    <w:p w14:paraId="4BC218D7" w14:textId="77777777" w:rsidR="00762A74" w:rsidRDefault="00762A74">
      <w:pPr>
        <w:spacing w:after="0" w:line="240" w:lineRule="auto"/>
        <w:jc w:val="both"/>
      </w:pPr>
    </w:p>
    <w:p w14:paraId="703FD69B" w14:textId="77777777" w:rsidR="00762A74" w:rsidRDefault="00A47368">
      <w:pPr>
        <w:spacing w:after="0" w:line="240" w:lineRule="auto"/>
        <w:jc w:val="both"/>
      </w:pPr>
      <w:r>
        <w:t>Aún existen desafíos importantes en cuanto a la sensibilización a la sociedad sobre la situación que enfrentan las personas con disc</w:t>
      </w:r>
      <w:r>
        <w:t>apacidad en el ejercicio de sus derechos, por lo que incentivamos a la no discriminación y a la promoción de una mayor inclusión en la sociedad ya que constituye un reto la mayor igualdad de oportunidades y acceso para las personas con discapacidad.</w:t>
      </w:r>
    </w:p>
    <w:p w14:paraId="5C18E4BA" w14:textId="77777777" w:rsidR="00762A74" w:rsidRDefault="00762A74">
      <w:pPr>
        <w:spacing w:after="0" w:line="240" w:lineRule="auto"/>
        <w:jc w:val="both"/>
      </w:pPr>
    </w:p>
    <w:p w14:paraId="420BAD7B" w14:textId="77777777" w:rsidR="00762A74" w:rsidRDefault="00A47368">
      <w:pPr>
        <w:spacing w:after="0" w:line="240" w:lineRule="auto"/>
        <w:jc w:val="both"/>
      </w:pPr>
      <w:r>
        <w:t>En sí</w:t>
      </w:r>
      <w:r>
        <w:t>ntesis, la presentación de contribuciones sobre los derechos de las personas con discapacidad es fundamental para garantizar el pleno disfrute de los derechos humanos y para promover una sociedad más inclusiva y equitativa para todos.</w:t>
      </w:r>
    </w:p>
    <w:p w14:paraId="550B0F77" w14:textId="77777777" w:rsidR="00762A74" w:rsidRDefault="00762A74">
      <w:pPr>
        <w:spacing w:after="0" w:line="240" w:lineRule="auto"/>
        <w:jc w:val="both"/>
      </w:pPr>
    </w:p>
    <w:p w14:paraId="245D2285" w14:textId="77777777" w:rsidR="00762A74" w:rsidRDefault="00A47368">
      <w:pPr>
        <w:spacing w:after="0" w:line="240" w:lineRule="auto"/>
        <w:jc w:val="both"/>
      </w:pPr>
      <w:r>
        <w:t>A continuación, nues</w:t>
      </w:r>
      <w:r>
        <w:t xml:space="preserve">tros principales aportes sobre diferentes tópicos en la materia: </w:t>
      </w:r>
    </w:p>
    <w:p w14:paraId="24021D70" w14:textId="77777777" w:rsidR="00762A74" w:rsidRDefault="00762A74"/>
    <w:p w14:paraId="0030125B" w14:textId="77777777" w:rsidR="00762A74" w:rsidRDefault="00A47368">
      <w:pPr>
        <w:pStyle w:val="Heading2"/>
        <w:rPr>
          <w:b/>
          <w:sz w:val="22"/>
          <w:szCs w:val="22"/>
        </w:rPr>
      </w:pPr>
      <w:bookmarkStart w:id="2" w:name="_1fob9te" w:colFirst="0" w:colLast="0"/>
      <w:bookmarkEnd w:id="2"/>
      <w:r>
        <w:rPr>
          <w:b/>
          <w:sz w:val="22"/>
          <w:szCs w:val="22"/>
        </w:rPr>
        <w:t xml:space="preserve">Mujeres con discapacidad </w:t>
      </w:r>
    </w:p>
    <w:p w14:paraId="4F3CD72B" w14:textId="77777777" w:rsidR="00762A74" w:rsidRDefault="00762A74">
      <w:pPr>
        <w:spacing w:after="0" w:line="240" w:lineRule="auto"/>
      </w:pPr>
    </w:p>
    <w:p w14:paraId="6C17699B" w14:textId="77777777" w:rsidR="00762A74" w:rsidRDefault="00A47368">
      <w:pPr>
        <w:spacing w:after="0" w:line="240" w:lineRule="auto"/>
        <w:jc w:val="both"/>
      </w:pPr>
      <w:r>
        <w:rPr>
          <w:color w:val="222222"/>
        </w:rPr>
        <w:t>En el informe emitido por el Comité sobre la eliminación de todas las formas de discriminación contra la Mujer (Comité CEDAW) con ocasión al sétimo examen periódi</w:t>
      </w:r>
      <w:r>
        <w:rPr>
          <w:color w:val="222222"/>
        </w:rPr>
        <w:t>co</w:t>
      </w:r>
      <w:r>
        <w:rPr>
          <w:color w:val="222222"/>
          <w:vertAlign w:val="superscript"/>
        </w:rPr>
        <w:footnoteReference w:id="1"/>
      </w:r>
      <w:r>
        <w:rPr>
          <w:color w:val="222222"/>
        </w:rPr>
        <w:t xml:space="preserve">, se incluyeron algunas observaciones finales relacionadas con los derechos de las mujeres con discapacidad en materia de violencia de género, ausencia de datos, educación, empoderamiento económico, medidas </w:t>
      </w:r>
      <w:r>
        <w:rPr>
          <w:color w:val="222222"/>
        </w:rPr>
        <w:lastRenderedPageBreak/>
        <w:t>especiales de carácter temporal, salud y acce</w:t>
      </w:r>
      <w:r>
        <w:rPr>
          <w:color w:val="222222"/>
        </w:rPr>
        <w:t>so a la Justicia. En el octavo examen periódico</w:t>
      </w:r>
      <w:r>
        <w:rPr>
          <w:color w:val="222222"/>
          <w:vertAlign w:val="superscript"/>
        </w:rPr>
        <w:footnoteReference w:id="2"/>
      </w:r>
      <w:r>
        <w:t>, el Comité reiteró la ausencia de avance en materia de recopilación de datos desglosados por sexo, edad, discapacidad, ubicación geográfica y otros factores pertinentes, medidas de carácter temporal, educac</w:t>
      </w:r>
      <w:r>
        <w:t>ión y acceso a la Justicia; y agregó la necesidad de generar medidas para la coordinación entre las instituciones estatales y las organizaciones de la sociedad civil, así como la sensibilización y concienciación sobre los derechos. Todos estos, aspectos ab</w:t>
      </w:r>
      <w:r>
        <w:t>ordados en la Agenda Política de las Mujeres con Discapacidad “Rompiendo Barreras”, sobre la cual la Defensoría ha reportado anteriormente un incumplimiento general.</w:t>
      </w:r>
    </w:p>
    <w:p w14:paraId="593B577E" w14:textId="77777777" w:rsidR="00762A74" w:rsidRDefault="00762A74">
      <w:pPr>
        <w:spacing w:after="0" w:line="240" w:lineRule="auto"/>
        <w:jc w:val="both"/>
      </w:pPr>
    </w:p>
    <w:p w14:paraId="54986419" w14:textId="77777777" w:rsidR="00762A74" w:rsidRDefault="00A47368">
      <w:pPr>
        <w:spacing w:after="0" w:line="240" w:lineRule="auto"/>
        <w:jc w:val="both"/>
      </w:pPr>
      <w:r>
        <w:t>La primera versión de la Agenda Política de Mujeres con Discapacidad. “Rompiendo Barreras</w:t>
      </w:r>
      <w:r>
        <w:t>”, se dio desde el año 2012 hasta 2016. En la segunda versión, abarcando el periodo 2016-2018, se ampliaron el número de ejes de cinco a siete y se contó con el respaldo, entre otros, de la Defensoría de la Mujer de la Defensoría de los Habitantes y la vic</w:t>
      </w:r>
      <w:r>
        <w:t>epresidencia de la República Nuevamente, en el año 2023, esta Agenda fue actualizada con la cooperación del Instituto Nacional de las Mujeres y la Agencia Española de Cooperación Internacional para el Desarrollo, incorporando cinco nuevos ejes. En el año 2</w:t>
      </w:r>
      <w:r>
        <w:t>019, con el respaldo de la Defensoría de la Mujer de la Defensoría de los Habitantes, se elaboró un informe sobre el cumplimiento de la institucionalidad pública, señalando demasiados pendientes con respecto a la población de mujeres con discapacidad.</w:t>
      </w:r>
    </w:p>
    <w:p w14:paraId="7544FF6D" w14:textId="77777777" w:rsidR="00762A74" w:rsidRDefault="00762A74">
      <w:pPr>
        <w:spacing w:after="0" w:line="240" w:lineRule="auto"/>
        <w:jc w:val="both"/>
      </w:pPr>
    </w:p>
    <w:p w14:paraId="7307EB76" w14:textId="77777777" w:rsidR="00762A74" w:rsidRDefault="00A47368">
      <w:pPr>
        <w:spacing w:after="0" w:line="240" w:lineRule="auto"/>
        <w:jc w:val="both"/>
      </w:pPr>
      <w:r>
        <w:t>Los</w:t>
      </w:r>
      <w:r>
        <w:t xml:space="preserve"> ejes de acción recogidos en la actualización de la agenda política, con el objetivo de mejorar la calidad de vida de las mujeres con discapacidad, aumentaron a doce, que se mencionan a continuación: : Acceso a la Justicia, Trabajo y Empleabilidad, Partici</w:t>
      </w:r>
      <w:r>
        <w:t>pación Política, Violencia, Salud Sexual y Reproductiva, Protección Social, Cuidados, Inclusión, accesibilidad, oportunidades, Educación, Ambiente, adaptación al cambio climático y gestión del riesgo, Autonomía y vida independiente y Nivel de vida adecuado</w:t>
      </w:r>
      <w:r>
        <w:t>/vivienda.</w:t>
      </w:r>
    </w:p>
    <w:p w14:paraId="11E0F93E" w14:textId="77777777" w:rsidR="00762A74" w:rsidRDefault="00762A74">
      <w:pPr>
        <w:spacing w:after="0" w:line="240" w:lineRule="auto"/>
        <w:jc w:val="both"/>
      </w:pPr>
    </w:p>
    <w:p w14:paraId="7EC67E3C" w14:textId="77777777" w:rsidR="00762A74" w:rsidRDefault="00A47368">
      <w:pPr>
        <w:spacing w:after="0" w:line="240" w:lineRule="auto"/>
        <w:jc w:val="both"/>
      </w:pPr>
      <w:r>
        <w:t>Dado el acompañamiento y reconocimiento que el Estado, a través de sus instituciones pertinentes, ha brindado a esta Agenda en diferentes momentos, y considerando la valoración de su cumplimiento parcial o generalmente incumplido, la Defensoría</w:t>
      </w:r>
      <w:r>
        <w:t xml:space="preserve"> de los Habitantes insta a retomar la Agenda Política de Mujeres con Discapacidad” Rompiendo Barreras” como punto de partida e incorporarla de manera efectiva dentro de las políticas y planes de acción del Estado costarricense.</w:t>
      </w:r>
    </w:p>
    <w:p w14:paraId="1FE5C546" w14:textId="77777777" w:rsidR="00762A74" w:rsidRDefault="00762A74">
      <w:pPr>
        <w:spacing w:after="0" w:line="240" w:lineRule="auto"/>
        <w:jc w:val="both"/>
      </w:pPr>
    </w:p>
    <w:p w14:paraId="4CCDE379" w14:textId="77777777" w:rsidR="00762A74" w:rsidRDefault="00A47368">
      <w:pPr>
        <w:spacing w:after="0" w:line="240" w:lineRule="auto"/>
        <w:jc w:val="both"/>
      </w:pPr>
      <w:r>
        <w:t>Asimismo, es crucial insist</w:t>
      </w:r>
      <w:r>
        <w:t>ir en la formulación y desagregación de los datos por parte del Estado. Se deben generar datos inclusivos y sensibles que permitan, además de la recolección, el análisis de las diferentes problemáticas que enfrentan. Sin datos desagregados, no es posible f</w:t>
      </w:r>
      <w:r>
        <w:t>ormular acciones específicas para una particularidad como lo son las mujeres con discapacidad y la desigualdad irá en aumento.</w:t>
      </w:r>
    </w:p>
    <w:p w14:paraId="119C7905" w14:textId="77777777" w:rsidR="00762A74" w:rsidRDefault="00762A74">
      <w:pPr>
        <w:spacing w:after="0" w:line="240" w:lineRule="auto"/>
        <w:jc w:val="both"/>
      </w:pPr>
    </w:p>
    <w:p w14:paraId="3ADB630C" w14:textId="77777777" w:rsidR="00762A74" w:rsidRDefault="00A47368">
      <w:pPr>
        <w:pStyle w:val="Heading2"/>
        <w:rPr>
          <w:b/>
          <w:sz w:val="22"/>
          <w:szCs w:val="22"/>
        </w:rPr>
      </w:pPr>
      <w:bookmarkStart w:id="3" w:name="_3znysh7" w:colFirst="0" w:colLast="0"/>
      <w:bookmarkEnd w:id="3"/>
      <w:r>
        <w:rPr>
          <w:b/>
          <w:sz w:val="22"/>
          <w:szCs w:val="22"/>
        </w:rPr>
        <w:t xml:space="preserve">Certificado único de discapacidad </w:t>
      </w:r>
    </w:p>
    <w:p w14:paraId="0D739FF9" w14:textId="77777777" w:rsidR="00762A74" w:rsidRDefault="00762A74">
      <w:pPr>
        <w:spacing w:after="0" w:line="240" w:lineRule="auto"/>
        <w:jc w:val="both"/>
        <w:rPr>
          <w:b/>
        </w:rPr>
      </w:pPr>
    </w:p>
    <w:p w14:paraId="27CCDA6A" w14:textId="77777777" w:rsidR="00762A74" w:rsidRDefault="00A47368">
      <w:pPr>
        <w:spacing w:after="0" w:line="240" w:lineRule="auto"/>
        <w:jc w:val="both"/>
        <w:rPr>
          <w:highlight w:val="white"/>
        </w:rPr>
      </w:pPr>
      <w:r>
        <w:t>Como alternativa al Proyecto de ley para la creación del certificado único de discapacidad b</w:t>
      </w:r>
      <w:r>
        <w:t xml:space="preserve">ajo el </w:t>
      </w:r>
      <w:proofErr w:type="spellStart"/>
      <w:r>
        <w:t>Exp</w:t>
      </w:r>
      <w:proofErr w:type="spellEnd"/>
      <w:r>
        <w:t xml:space="preserve"> </w:t>
      </w:r>
      <w:proofErr w:type="spellStart"/>
      <w:r>
        <w:t>N.°</w:t>
      </w:r>
      <w:proofErr w:type="spellEnd"/>
      <w:r>
        <w:t xml:space="preserve"> 20.360, el Estado costarricense optó por atender la necesidad mediante la emisión del Decreto Ejecutivo </w:t>
      </w:r>
      <w:proofErr w:type="spellStart"/>
      <w:r>
        <w:t>N.°</w:t>
      </w:r>
      <w:proofErr w:type="spellEnd"/>
      <w:r>
        <w:t xml:space="preserve"> 40727-MP-MTSS, CREACIÓN DEL SERVICIO DE CERTIFICACIÓN DE LA </w:t>
      </w:r>
      <w:r>
        <w:lastRenderedPageBreak/>
        <w:t>DISCAPACIDAD (SECDIS), que entró a regir el 07 de diciembre del 2017 y cu</w:t>
      </w:r>
      <w:r>
        <w:t xml:space="preserve">yo fin es, precisamente, el de verificar y evaluar la condición de discapacidad de la persona solicitante y emitir la correspondiente certificación. Lo anterior, a efectos de que dichas personas puedan </w:t>
      </w:r>
      <w:r>
        <w:rPr>
          <w:highlight w:val="white"/>
        </w:rPr>
        <w:t>acceder a determinados beneficios y servicios selectiv</w:t>
      </w:r>
      <w:r>
        <w:rPr>
          <w:highlight w:val="white"/>
        </w:rPr>
        <w:t xml:space="preserve">os, sociales, de salud, de empleo, educación, recreación, transporte, así como bienes, tecnología, comunicación u otros que estén debidamente normados. </w:t>
      </w:r>
    </w:p>
    <w:p w14:paraId="78E3EEDE" w14:textId="77777777" w:rsidR="00762A74" w:rsidRDefault="00762A74">
      <w:pPr>
        <w:spacing w:after="0" w:line="240" w:lineRule="auto"/>
        <w:jc w:val="both"/>
        <w:rPr>
          <w:highlight w:val="white"/>
        </w:rPr>
      </w:pPr>
    </w:p>
    <w:p w14:paraId="5B4FBD19" w14:textId="77777777" w:rsidR="00762A74" w:rsidRDefault="00A47368">
      <w:pPr>
        <w:spacing w:after="0" w:line="240" w:lineRule="auto"/>
        <w:jc w:val="both"/>
        <w:rPr>
          <w:highlight w:val="white"/>
        </w:rPr>
      </w:pPr>
      <w:r>
        <w:rPr>
          <w:highlight w:val="white"/>
        </w:rPr>
        <w:t>Sin embargo, el servicio ha presentado serias deficiencias y limitaciones desde su puesta en operación</w:t>
      </w:r>
      <w:r>
        <w:rPr>
          <w:highlight w:val="white"/>
        </w:rPr>
        <w:t xml:space="preserve"> debido a la falta de capacidad instalada del e</w:t>
      </w:r>
      <w:r>
        <w:rPr>
          <w:color w:val="000000"/>
        </w:rPr>
        <w:t>nte público responsable del SECDIS -Consejo Nacional de las Personas con Discapacidad (CONAPDIS)- </w:t>
      </w:r>
      <w:r>
        <w:rPr>
          <w:highlight w:val="white"/>
        </w:rPr>
        <w:t xml:space="preserve">para asumir la tarea encomendada en el decreto. A raíz de esta situación, a partir del año 2020, la Defensoría </w:t>
      </w:r>
      <w:r>
        <w:rPr>
          <w:highlight w:val="white"/>
        </w:rPr>
        <w:t xml:space="preserve">ha venido recibiendo denuncias centradas, principalmente, en la dilación del CONAPDIS, en la extensión de las certificaciones de discapacidad. </w:t>
      </w:r>
    </w:p>
    <w:p w14:paraId="1D164B11" w14:textId="77777777" w:rsidR="00762A74" w:rsidRDefault="00762A74">
      <w:pPr>
        <w:spacing w:after="0" w:line="240" w:lineRule="auto"/>
        <w:jc w:val="both"/>
        <w:rPr>
          <w:highlight w:val="white"/>
        </w:rPr>
      </w:pPr>
    </w:p>
    <w:p w14:paraId="7B4A7CA0" w14:textId="77777777" w:rsidR="00762A74" w:rsidRDefault="00A47368">
      <w:pPr>
        <w:spacing w:after="0" w:line="240" w:lineRule="auto"/>
        <w:jc w:val="both"/>
      </w:pPr>
      <w:r>
        <w:rPr>
          <w:highlight w:val="white"/>
        </w:rPr>
        <w:t>En una investigación abierta al efecto,</w:t>
      </w:r>
      <w:r>
        <w:rPr>
          <w:color w:val="252525"/>
        </w:rPr>
        <w:t xml:space="preserve"> la Defensoría de los Habitantes comprobó que una persona con discapacidad que requería y solicitaba una certificación sobre su condición, debía esperar entre 10 y 12 meses para obtenerla, siendo que se trata de un requisito indispensable para acceder a di</w:t>
      </w:r>
      <w:r>
        <w:rPr>
          <w:color w:val="252525"/>
        </w:rPr>
        <w:t xml:space="preserve">versos programas  y servicios concebidos para mejorar la calidad de vida y </w:t>
      </w:r>
      <w:r>
        <w:t>promover la autonomía personal</w:t>
      </w:r>
      <w:r>
        <w:rPr>
          <w:color w:val="252525"/>
        </w:rPr>
        <w:t xml:space="preserve"> de esta población, </w:t>
      </w:r>
      <w:r>
        <w:t>incluyendo la dotación pecuniaria de los servicios de asistencia personal previstos en la legislación.</w:t>
      </w:r>
    </w:p>
    <w:p w14:paraId="739C01D4" w14:textId="77777777" w:rsidR="00762A74" w:rsidRDefault="00762A74">
      <w:pPr>
        <w:spacing w:after="0" w:line="240" w:lineRule="auto"/>
        <w:jc w:val="both"/>
        <w:rPr>
          <w:highlight w:val="white"/>
        </w:rPr>
      </w:pPr>
    </w:p>
    <w:p w14:paraId="42FF1E06" w14:textId="77777777" w:rsidR="00762A74" w:rsidRDefault="00A47368">
      <w:pPr>
        <w:pStyle w:val="Heading2"/>
        <w:rPr>
          <w:b/>
          <w:sz w:val="22"/>
          <w:szCs w:val="22"/>
        </w:rPr>
      </w:pPr>
      <w:bookmarkStart w:id="4" w:name="_2et92p0" w:colFirst="0" w:colLast="0"/>
      <w:bookmarkEnd w:id="4"/>
      <w:r>
        <w:rPr>
          <w:b/>
          <w:sz w:val="22"/>
          <w:szCs w:val="22"/>
        </w:rPr>
        <w:t>Discapacidad y No discrimin</w:t>
      </w:r>
      <w:r>
        <w:rPr>
          <w:b/>
          <w:sz w:val="22"/>
          <w:szCs w:val="22"/>
        </w:rPr>
        <w:t xml:space="preserve">ación </w:t>
      </w:r>
    </w:p>
    <w:p w14:paraId="502F9755" w14:textId="77777777" w:rsidR="00762A74" w:rsidRDefault="00762A74">
      <w:pPr>
        <w:spacing w:after="0" w:line="240" w:lineRule="auto"/>
        <w:jc w:val="both"/>
      </w:pPr>
    </w:p>
    <w:p w14:paraId="4CCD78D6" w14:textId="77777777" w:rsidR="00762A74" w:rsidRDefault="00A47368">
      <w:pPr>
        <w:spacing w:after="0" w:line="240" w:lineRule="auto"/>
        <w:jc w:val="both"/>
        <w:rPr>
          <w:color w:val="000000"/>
        </w:rPr>
      </w:pPr>
      <w:r>
        <w:t>Durante la actual legislatura 2022-2026, el Poder Ejecutivo sometió a conocimiento y consideración de la Asamblea Legislativa el proyecto de Ley “</w:t>
      </w:r>
      <w:r>
        <w:rPr>
          <w:color w:val="000000"/>
        </w:rPr>
        <w:t>LEY DE TRANSFORMACIÓN DEL INSTITUTO MIXTO DE AYUDA SOCIAL EN EL INSTITUTO DE DESARROLLO HUMANO E INCLU</w:t>
      </w:r>
      <w:r>
        <w:rPr>
          <w:color w:val="000000"/>
        </w:rPr>
        <w:t xml:space="preserve">SIÓN SOCIAL, (IDHIS) tramitado bajo el expediente </w:t>
      </w:r>
      <w:proofErr w:type="spellStart"/>
      <w:r>
        <w:rPr>
          <w:color w:val="000000"/>
        </w:rPr>
        <w:t>N.°</w:t>
      </w:r>
      <w:proofErr w:type="spellEnd"/>
      <w:r>
        <w:t xml:space="preserve"> 23.436. Entre otros aspectos, el proyecto de ley propone la concentración de los recursos económicos y del personal de las diversas instituciones que integran el Sector Social, en una sola institución, </w:t>
      </w:r>
      <w:r>
        <w:t>el IDHIS. Dicha institución sería la responsable de canalizar todos los recursos públicos destinados a la inversión social, actualmente administrados por distintas instituciones con competencias específicas, enfocadas en la atención de poblaciones igualmen</w:t>
      </w:r>
      <w:r>
        <w:t>te diversas. Con ese propósito, el proyecto de ley plantea la reforma a las Leyes de Creación del Consejo Nacional de Personas con Discapacidad (CONAPDIS), el Consejo Nacional de la Persona Adulta Mayor (CONAPAM) y el Patronato Nacional de Ciegos (PANACI),</w:t>
      </w:r>
      <w:r>
        <w:t xml:space="preserve"> para convertirlos en órganos de desconcentración mínima del nuevo Instituto que se pretende crear, que tendría la función de rectoría técnica en el campo de la pobreza.</w:t>
      </w:r>
    </w:p>
    <w:p w14:paraId="01A1853C" w14:textId="77777777" w:rsidR="00762A74" w:rsidRDefault="00762A74">
      <w:pPr>
        <w:spacing w:after="0" w:line="240" w:lineRule="auto"/>
        <w:jc w:val="both"/>
      </w:pPr>
    </w:p>
    <w:p w14:paraId="2C80F9F5" w14:textId="77777777" w:rsidR="00762A74" w:rsidRDefault="00A47368">
      <w:pPr>
        <w:spacing w:after="0" w:line="240" w:lineRule="auto"/>
        <w:jc w:val="both"/>
      </w:pPr>
      <w:r>
        <w:t>En un criterio emitido al efecto, la Defensoría de los Habitantes advirtió sobre el r</w:t>
      </w:r>
      <w:r>
        <w:t>etroceso que representaría la eventual aprobación del proyecto, en los términos propuestos, en el camino recorrido por alcanzar el pleno ejercicio de los derechos de las personas con discapacidad y la población adulta mayor en un plano de igualdad, dado qu</w:t>
      </w:r>
      <w:r>
        <w:t>e las competencias específicas y programas diferenciados y focalizados –que se traducen en acciones afirmativas- que actualmente administran el CONAPAM y el CONAPDIS, se verían reducidas a una mínima expresión –cuando no eliminados- en favor de las compete</w:t>
      </w:r>
      <w:r>
        <w:t xml:space="preserve">ncias más generales y programas universales que estarían a cargo del IDHIS. También cuestionó la viabilidad jurídica de que el IDHIS, desde su condición de ente autónomo, ejerza funciones de rectoría, reservadas exclusivamente al Poder Ejecutivo.  </w:t>
      </w:r>
    </w:p>
    <w:p w14:paraId="6B01F775" w14:textId="77777777" w:rsidR="00762A74" w:rsidRDefault="00762A74">
      <w:pPr>
        <w:spacing w:after="0" w:line="240" w:lineRule="auto"/>
        <w:jc w:val="both"/>
      </w:pPr>
    </w:p>
    <w:p w14:paraId="457F2579" w14:textId="77777777" w:rsidR="00762A74" w:rsidRDefault="00A47368">
      <w:pPr>
        <w:spacing w:after="0" w:line="240" w:lineRule="auto"/>
        <w:jc w:val="both"/>
      </w:pPr>
      <w:r>
        <w:t>Asimis</w:t>
      </w:r>
      <w:r>
        <w:t>mo, llamó la atención sobre la falta de correspondencia que se evidencia entre el nombre que se propone dar al nuevo Instituto, que evoca a abordajes holísticos, integrales y sistemáticos y las competencias y objetivos asignados, que reflejan una visión re</w:t>
      </w:r>
      <w:r>
        <w:t xml:space="preserve">ducida del concepto de inclusión social En este sentido, señaló que a pobreza no es igual a exclusión social, siendo este último concepto mucho más amplio que el primero. Toda persona en situación de pobreza sufre exclusión social, mas no toda persona que </w:t>
      </w:r>
      <w:r>
        <w:t>sufre exclusión social es pobre. Es decir, una persona puede experimentar exclusión social por causas diferentes a su situación económica. En virtud de los señalamientos realizados, la Defensoría de los Habitantes expresó su inconformidad con la eventual a</w:t>
      </w:r>
      <w:r>
        <w:t>probación de este proyecto de ley en los términos consultados.</w:t>
      </w:r>
    </w:p>
    <w:p w14:paraId="39CD6CA6" w14:textId="77777777" w:rsidR="00762A74" w:rsidRDefault="00762A74">
      <w:pPr>
        <w:spacing w:after="0" w:line="240" w:lineRule="auto"/>
        <w:jc w:val="both"/>
      </w:pPr>
    </w:p>
    <w:p w14:paraId="18CDE00B" w14:textId="77777777" w:rsidR="00762A74" w:rsidRDefault="00A47368">
      <w:pPr>
        <w:pStyle w:val="Heading2"/>
        <w:rPr>
          <w:b/>
          <w:sz w:val="22"/>
          <w:szCs w:val="22"/>
        </w:rPr>
      </w:pPr>
      <w:bookmarkStart w:id="5" w:name="_tyjcwt" w:colFirst="0" w:colLast="0"/>
      <w:bookmarkEnd w:id="5"/>
      <w:r>
        <w:rPr>
          <w:b/>
          <w:sz w:val="22"/>
          <w:szCs w:val="22"/>
        </w:rPr>
        <w:t xml:space="preserve">Niños y niñas con discapacidad </w:t>
      </w:r>
    </w:p>
    <w:p w14:paraId="2D18C144" w14:textId="77777777" w:rsidR="00762A74" w:rsidRDefault="00762A74">
      <w:pPr>
        <w:spacing w:after="0" w:line="240" w:lineRule="auto"/>
        <w:jc w:val="both"/>
      </w:pPr>
    </w:p>
    <w:p w14:paraId="29BB1B2E" w14:textId="77777777" w:rsidR="00762A74" w:rsidRDefault="00A47368">
      <w:pPr>
        <w:spacing w:after="0" w:line="240" w:lineRule="auto"/>
        <w:jc w:val="both"/>
      </w:pPr>
      <w:r>
        <w:t xml:space="preserve">De acuerdo con el Informe de cumplimiento </w:t>
      </w:r>
      <w:proofErr w:type="spellStart"/>
      <w:r>
        <w:t>N.°</w:t>
      </w:r>
      <w:proofErr w:type="spellEnd"/>
      <w:r>
        <w:t xml:space="preserve"> VI de la Agenda Nacional la meta dispuesta para proteger del maltrato a niños, niñas y adolescentes con discapaci</w:t>
      </w:r>
      <w:r>
        <w:t>dad y prevenir su institucionalización, no se cumplió.</w:t>
      </w:r>
    </w:p>
    <w:p w14:paraId="0A0E8683" w14:textId="77777777" w:rsidR="00762A74" w:rsidRDefault="00762A74">
      <w:pPr>
        <w:spacing w:after="0" w:line="240" w:lineRule="auto"/>
        <w:jc w:val="both"/>
      </w:pPr>
    </w:p>
    <w:p w14:paraId="6A4AF80D" w14:textId="77777777" w:rsidR="00762A74" w:rsidRDefault="00A47368">
      <w:pPr>
        <w:spacing w:after="0" w:line="240" w:lineRule="auto"/>
        <w:jc w:val="both"/>
      </w:pPr>
      <w:r>
        <w:t xml:space="preserve">En materia de primera infancia, el presupuesto 2023-2024 de la Red Nacional de Cuido sufrió recortes que limitan la expansión y desarrollo de este programa social, en un contexto en el que cada vez </w:t>
      </w:r>
      <w:r>
        <w:t>más mujeres son jefas de hogar que urgen alternativas de cuidado para sus hijos e hijas mientras estudian o trabajan.</w:t>
      </w:r>
      <w:r>
        <w:rPr>
          <w:highlight w:val="white"/>
        </w:rPr>
        <w:t xml:space="preserve">  </w:t>
      </w:r>
    </w:p>
    <w:p w14:paraId="591AE7DB" w14:textId="77777777" w:rsidR="00762A74" w:rsidRDefault="00762A74">
      <w:pPr>
        <w:spacing w:after="0" w:line="240" w:lineRule="auto"/>
        <w:jc w:val="both"/>
      </w:pPr>
    </w:p>
    <w:p w14:paraId="783DB44A" w14:textId="77777777" w:rsidR="00762A74" w:rsidRDefault="00A47368">
      <w:pPr>
        <w:spacing w:after="0" w:line="240" w:lineRule="auto"/>
        <w:jc w:val="both"/>
      </w:pPr>
      <w:r>
        <w:t xml:space="preserve">Respecto al Patronato Nacional de la Infancia (PANI), a quien le corresponde crear la Contraloría de Vigilancia de Cumplimiento de los </w:t>
      </w:r>
      <w:r>
        <w:t>planes de acción, no la ha creado.  A pesar de haberse establecido en la agenda, dicha contraloría no ha sido creada, por lo que no se puede hacer un análisis de los mecanismos de monitoreo.</w:t>
      </w:r>
    </w:p>
    <w:p w14:paraId="723A851F" w14:textId="77777777" w:rsidR="00762A74" w:rsidRDefault="00762A74">
      <w:pPr>
        <w:spacing w:after="0" w:line="240" w:lineRule="auto"/>
        <w:jc w:val="both"/>
      </w:pPr>
    </w:p>
    <w:p w14:paraId="4A11FB69" w14:textId="77777777" w:rsidR="00762A74" w:rsidRDefault="00A47368">
      <w:pPr>
        <w:spacing w:after="0" w:line="240" w:lineRule="auto"/>
        <w:jc w:val="both"/>
      </w:pPr>
      <w:r>
        <w:t xml:space="preserve">En la jurisprudencia costarricense se ha producido un cambio en </w:t>
      </w:r>
      <w:r>
        <w:t xml:space="preserve">el paradigma que se tenía antes de la entrada en vigencia de la Ley </w:t>
      </w:r>
      <w:proofErr w:type="spellStart"/>
      <w:r>
        <w:t>N.°</w:t>
      </w:r>
      <w:proofErr w:type="spellEnd"/>
      <w:r>
        <w:t xml:space="preserve"> 9379 “Ley para la promoción de la Autonomía Personal de las Personas con Discapacidad”, ya que se ha producido un reconocimiento en los derechos de estas personas:  Ver resoluciones de</w:t>
      </w:r>
      <w:r>
        <w:t>l Tribunal de Familia 01052-2023 del 29 de setiembre de 2023, y el Voto 2023-0009475 de la Sala Constitucional del 25 de abril de 2023.</w:t>
      </w:r>
    </w:p>
    <w:p w14:paraId="2EE6BC71" w14:textId="77777777" w:rsidR="00762A74" w:rsidRDefault="00762A74">
      <w:pPr>
        <w:spacing w:after="0" w:line="240" w:lineRule="auto"/>
        <w:jc w:val="both"/>
      </w:pPr>
    </w:p>
    <w:p w14:paraId="64D817F6" w14:textId="77777777" w:rsidR="00762A74" w:rsidRDefault="00A47368">
      <w:pPr>
        <w:pStyle w:val="Heading2"/>
        <w:rPr>
          <w:b/>
          <w:sz w:val="22"/>
          <w:szCs w:val="22"/>
        </w:rPr>
      </w:pPr>
      <w:bookmarkStart w:id="6" w:name="_3dy6vkm" w:colFirst="0" w:colLast="0"/>
      <w:bookmarkEnd w:id="6"/>
      <w:r>
        <w:rPr>
          <w:b/>
          <w:sz w:val="22"/>
          <w:szCs w:val="22"/>
          <w:highlight w:val="white"/>
        </w:rPr>
        <w:t xml:space="preserve">Niñez y educación </w:t>
      </w:r>
    </w:p>
    <w:p w14:paraId="511C1B32" w14:textId="77777777" w:rsidR="00762A74" w:rsidRDefault="00762A74">
      <w:pPr>
        <w:spacing w:after="0" w:line="240" w:lineRule="auto"/>
        <w:jc w:val="both"/>
      </w:pPr>
    </w:p>
    <w:p w14:paraId="3E4C3D68" w14:textId="77777777" w:rsidR="00762A74" w:rsidRDefault="00A47368">
      <w:pPr>
        <w:spacing w:after="0" w:line="240" w:lineRule="auto"/>
        <w:jc w:val="both"/>
        <w:rPr>
          <w:highlight w:val="white"/>
        </w:rPr>
      </w:pPr>
      <w:r>
        <w:rPr>
          <w:highlight w:val="white"/>
        </w:rPr>
        <w:t>El artículo 24 de la Convención sobre los Derechos de las Personas con Discapacidad, insta al Estad</w:t>
      </w:r>
      <w:r>
        <w:rPr>
          <w:highlight w:val="white"/>
        </w:rPr>
        <w:t>o al desarrollo del potencial humano, dignidad, autoestima, respeto por los derechos humanos, libertades y diversidad humana. En Educación eso se traduce en la accesibilidad, en la inclusión y el aporte de todos los apoyos y ajustes necesarios para la sati</w:t>
      </w:r>
      <w:r>
        <w:rPr>
          <w:highlight w:val="white"/>
        </w:rPr>
        <w:t xml:space="preserve">sfacción del derecho a la educación por parte de las personas con discapacidad. Por ello, el Poder Ejecutivo emitió el Decreto </w:t>
      </w:r>
      <w:proofErr w:type="spellStart"/>
      <w:r>
        <w:rPr>
          <w:highlight w:val="white"/>
        </w:rPr>
        <w:t>N.°</w:t>
      </w:r>
      <w:proofErr w:type="spellEnd"/>
      <w:r>
        <w:rPr>
          <w:highlight w:val="white"/>
        </w:rPr>
        <w:t xml:space="preserve"> 40955-MEP denominado </w:t>
      </w:r>
      <w:r>
        <w:rPr>
          <w:i/>
          <w:highlight w:val="white"/>
        </w:rPr>
        <w:t xml:space="preserve">“Establecimiento de la Inclusión y la Accesibilidad al Sistema Educativo Costarricense”, </w:t>
      </w:r>
      <w:r>
        <w:rPr>
          <w:highlight w:val="white"/>
        </w:rPr>
        <w:t>en cuyo artícul</w:t>
      </w:r>
      <w:r>
        <w:rPr>
          <w:highlight w:val="white"/>
        </w:rPr>
        <w:t xml:space="preserve">o 1° se indica que </w:t>
      </w:r>
      <w:r>
        <w:rPr>
          <w:i/>
          <w:highlight w:val="white"/>
        </w:rPr>
        <w:t>“el Ministerio de Educación Pública garantizará, el ingreso equitativo y en igualdad de oportunidades, de todos los niños, niñas, jóvenes y adultos con discapacidad y en riesgo de desarrollo en el sistema educativo·, que establece la met</w:t>
      </w:r>
      <w:r>
        <w:rPr>
          <w:i/>
          <w:highlight w:val="white"/>
        </w:rPr>
        <w:t>odología y herramientas para dicha ejecución (2018)</w:t>
      </w:r>
      <w:r>
        <w:rPr>
          <w:highlight w:val="white"/>
        </w:rPr>
        <w:t xml:space="preserve">, en relación Objetivo de Desarrollo Sostenible 4, mediante </w:t>
      </w:r>
      <w:r>
        <w:rPr>
          <w:highlight w:val="white"/>
        </w:rPr>
        <w:lastRenderedPageBreak/>
        <w:t>la promoción de oportunidades de aprendizaje para todas las personas, garantizando inclusión, equidad y calidad.</w:t>
      </w:r>
    </w:p>
    <w:p w14:paraId="0DDC9C5F" w14:textId="77777777" w:rsidR="00762A74" w:rsidRDefault="00762A74">
      <w:pPr>
        <w:spacing w:after="0" w:line="240" w:lineRule="auto"/>
        <w:jc w:val="both"/>
      </w:pPr>
    </w:p>
    <w:p w14:paraId="636796F7" w14:textId="77777777" w:rsidR="00762A74" w:rsidRDefault="00A47368">
      <w:pPr>
        <w:spacing w:after="0" w:line="240" w:lineRule="auto"/>
        <w:jc w:val="both"/>
        <w:rPr>
          <w:highlight w:val="white"/>
        </w:rPr>
      </w:pPr>
      <w:r>
        <w:rPr>
          <w:highlight w:val="white"/>
        </w:rPr>
        <w:t>La Defensoría de los Habitantes</w:t>
      </w:r>
      <w:r>
        <w:rPr>
          <w:highlight w:val="white"/>
        </w:rPr>
        <w:t xml:space="preserve"> constata que, existen Centros de Educación Especial (CEE) en donde los niños y niñas ingresan en edades aptas para la estimulación temprana, son preparados durante la primera infancia para el ingreso al aula regular. Luego de la recomendación del CEE para</w:t>
      </w:r>
      <w:r>
        <w:rPr>
          <w:highlight w:val="white"/>
        </w:rPr>
        <w:t xml:space="preserve"> el ingreso al aula regular y sobre todo en zona rural, los niños y niñas son reingresados al aula integrada y no al aula regular como corresponde, dado a que las y los docentes regulares carecen de capacitación, o dichos centros no cuentan con los códigos</w:t>
      </w:r>
      <w:r>
        <w:rPr>
          <w:highlight w:val="white"/>
        </w:rPr>
        <w:t xml:space="preserve"> de docentes de apoyos educativos, dada las políticas fiscales del gobierno.</w:t>
      </w:r>
    </w:p>
    <w:p w14:paraId="18177340" w14:textId="77777777" w:rsidR="00762A74" w:rsidRDefault="00762A74">
      <w:pPr>
        <w:spacing w:after="0" w:line="240" w:lineRule="auto"/>
        <w:jc w:val="both"/>
      </w:pPr>
    </w:p>
    <w:p w14:paraId="56AD18D8" w14:textId="77777777" w:rsidR="00762A74" w:rsidRDefault="00A47368">
      <w:pPr>
        <w:spacing w:after="0" w:line="240" w:lineRule="auto"/>
        <w:jc w:val="both"/>
        <w:rPr>
          <w:highlight w:val="white"/>
        </w:rPr>
      </w:pPr>
      <w:r>
        <w:rPr>
          <w:highlight w:val="white"/>
        </w:rPr>
        <w:t>La Defensoría ve con preocupación el cierre de programas para personas sordas, programas que iniciaban con estimulación temprana hasta la compra de aparatos y adaptaciones de mue</w:t>
      </w:r>
      <w:r>
        <w:rPr>
          <w:highlight w:val="white"/>
        </w:rPr>
        <w:t>bles por falta de presupuesto del Centro Nacional de Recursos para la Educación Inclusiva (</w:t>
      </w:r>
      <w:proofErr w:type="spellStart"/>
      <w:r>
        <w:rPr>
          <w:highlight w:val="white"/>
        </w:rPr>
        <w:t>Cenarec</w:t>
      </w:r>
      <w:proofErr w:type="spellEnd"/>
      <w:r>
        <w:rPr>
          <w:highlight w:val="white"/>
        </w:rPr>
        <w:t>), fue creado por decreto ejecutivo N°30224-MEP en el año 2002, sus reformas del año 2007 la 34206-MEP y la del 2009 N°935746-MEP (instancia encargada de sati</w:t>
      </w:r>
      <w:r>
        <w:rPr>
          <w:highlight w:val="white"/>
        </w:rPr>
        <w:t xml:space="preserve">sfacer las necesidades de las personas estudiantes en situación de discapacidad, docentes y demás profesionales, familiares, personas investigadoras e integrantes de la comunidad). </w:t>
      </w:r>
    </w:p>
    <w:p w14:paraId="499EF1F5" w14:textId="77777777" w:rsidR="00762A74" w:rsidRDefault="00762A74">
      <w:pPr>
        <w:spacing w:after="0" w:line="240" w:lineRule="auto"/>
        <w:jc w:val="both"/>
        <w:rPr>
          <w:highlight w:val="white"/>
        </w:rPr>
      </w:pPr>
    </w:p>
    <w:p w14:paraId="71B51586" w14:textId="77777777" w:rsidR="00762A74" w:rsidRDefault="00A47368">
      <w:pPr>
        <w:spacing w:after="0" w:line="240" w:lineRule="auto"/>
        <w:jc w:val="both"/>
        <w:rPr>
          <w:highlight w:val="white"/>
        </w:rPr>
      </w:pPr>
      <w:r>
        <w:rPr>
          <w:highlight w:val="white"/>
        </w:rPr>
        <w:t xml:space="preserve">Existe un grado importante de impunidad en el régimen de </w:t>
      </w:r>
      <w:r>
        <w:rPr>
          <w:highlight w:val="white"/>
        </w:rPr>
        <w:t>sanciones a docentes por el maltrato físico y psicológico a personas menores de edad con discapacidad intelectual y el manejo en clase de las personas menores de edad con TEA.</w:t>
      </w:r>
    </w:p>
    <w:p w14:paraId="4B07A77F" w14:textId="77777777" w:rsidR="00762A74" w:rsidRDefault="00762A74">
      <w:pPr>
        <w:spacing w:after="0" w:line="240" w:lineRule="auto"/>
        <w:jc w:val="both"/>
        <w:rPr>
          <w:highlight w:val="white"/>
        </w:rPr>
      </w:pPr>
    </w:p>
    <w:p w14:paraId="7FB189AD" w14:textId="77777777" w:rsidR="00762A74" w:rsidRDefault="00A47368">
      <w:pPr>
        <w:spacing w:after="0" w:line="240" w:lineRule="auto"/>
        <w:jc w:val="both"/>
      </w:pPr>
      <w:r>
        <w:rPr>
          <w:highlight w:val="white"/>
        </w:rPr>
        <w:t xml:space="preserve">Aunado a lo anterior, </w:t>
      </w:r>
      <w:r>
        <w:t>para el año 2024, el presupuesto de educación es de un 5.</w:t>
      </w:r>
      <w:r>
        <w:t>2% del PIB (en el 2023, fue de 6%, el más bajo en 10 años). Este recorte presupuestario afecta directamente los Programas de Equidad (alimentación y transporte estudiantil), Educación Inclusiva (Contratación de docentes de apoyo), Infraestructura Educativa</w:t>
      </w:r>
      <w:r>
        <w:t xml:space="preserve"> (849 órdenes sanitarias, algunas de ellas relacionadas con accesibilidad), presupuesto de las Juntas de Educación y Administrativas. Con este recorte, también ha incidido en una exclusión de alrededor 17.000 estudiantes (dato del 2022).</w:t>
      </w:r>
      <w:r>
        <w:rPr>
          <w:b/>
          <w:color w:val="FF0000"/>
        </w:rPr>
        <w:t xml:space="preserve"> </w:t>
      </w:r>
      <w:r>
        <w:t>El Estado de la Ed</w:t>
      </w:r>
      <w:r>
        <w:t xml:space="preserve">ucación 2023 da cuenta de la grave crisis educativa en los ciclos preescolar, básico y diversificado del sistema educativo público debido al golpe combinado de </w:t>
      </w:r>
      <w:r>
        <w:rPr>
          <w:i/>
        </w:rPr>
        <w:t>“rezagos históricos”,</w:t>
      </w:r>
      <w:r>
        <w:t xml:space="preserve"> y de los efectos del </w:t>
      </w:r>
      <w:r>
        <w:rPr>
          <w:i/>
        </w:rPr>
        <w:t xml:space="preserve">“apagón educativo” </w:t>
      </w:r>
      <w:r>
        <w:t>ocurridos entre 2018 y 2021, impac</w:t>
      </w:r>
      <w:r>
        <w:t>tando seriamente la calidad y el acceso a la educación, y con respuestas institucionales insuficientes para salir de la crisis educativa y cerrar brechas estructurales.</w:t>
      </w:r>
    </w:p>
    <w:p w14:paraId="58FBAA2E" w14:textId="77777777" w:rsidR="00762A74" w:rsidRDefault="00762A74">
      <w:pPr>
        <w:spacing w:after="0" w:line="240" w:lineRule="auto"/>
        <w:jc w:val="both"/>
      </w:pPr>
    </w:p>
    <w:p w14:paraId="49BC9C20" w14:textId="77777777" w:rsidR="00762A74" w:rsidRDefault="00A47368">
      <w:pPr>
        <w:pStyle w:val="Heading2"/>
        <w:rPr>
          <w:b/>
          <w:sz w:val="22"/>
          <w:szCs w:val="22"/>
          <w:highlight w:val="white"/>
        </w:rPr>
      </w:pPr>
      <w:bookmarkStart w:id="7" w:name="_1t3h5sf" w:colFirst="0" w:colLast="0"/>
      <w:bookmarkEnd w:id="7"/>
      <w:r>
        <w:rPr>
          <w:b/>
          <w:sz w:val="22"/>
          <w:szCs w:val="22"/>
          <w:highlight w:val="white"/>
        </w:rPr>
        <w:t xml:space="preserve">Salud y discapacidad </w:t>
      </w:r>
    </w:p>
    <w:p w14:paraId="63BE434D" w14:textId="77777777" w:rsidR="00762A74" w:rsidRDefault="00762A74">
      <w:pPr>
        <w:spacing w:after="0" w:line="240" w:lineRule="auto"/>
        <w:jc w:val="both"/>
      </w:pPr>
    </w:p>
    <w:p w14:paraId="1528CC59" w14:textId="77777777" w:rsidR="00762A74" w:rsidRDefault="00A47368">
      <w:pPr>
        <w:spacing w:after="0" w:line="240" w:lineRule="auto"/>
        <w:jc w:val="both"/>
        <w:rPr>
          <w:highlight w:val="white"/>
        </w:rPr>
      </w:pPr>
      <w:r>
        <w:rPr>
          <w:highlight w:val="white"/>
        </w:rPr>
        <w:t>Desde el abordaje del tema de la discapacidad psicosocial, es p</w:t>
      </w:r>
      <w:r>
        <w:rPr>
          <w:highlight w:val="white"/>
        </w:rPr>
        <w:t xml:space="preserve">reciso indicar que en el marco del principio de Progresividad de los Derechos Humanos se puede señalar que en términos generales existen avances significativos en materia de desinstitucionalización, superando el enfoque </w:t>
      </w:r>
      <w:proofErr w:type="spellStart"/>
      <w:r>
        <w:rPr>
          <w:highlight w:val="white"/>
        </w:rPr>
        <w:t>manicomial</w:t>
      </w:r>
      <w:proofErr w:type="spellEnd"/>
      <w:r>
        <w:rPr>
          <w:highlight w:val="white"/>
        </w:rPr>
        <w:t xml:space="preserve"> que imperó en el pasado, </w:t>
      </w:r>
      <w:r>
        <w:rPr>
          <w:highlight w:val="white"/>
        </w:rPr>
        <w:t>en lo que respecta a la ubicación de las personas en organizaciones fuera del entorno hospitalario como parte del cambio de paradigma que debe contemplar la transformación de la manera en que la sociedad y el sistema de salud abordan el tema de la discapac</w:t>
      </w:r>
      <w:r>
        <w:rPr>
          <w:highlight w:val="white"/>
        </w:rPr>
        <w:t>idad psicosocial, en ese aspecto y en la práctica aún persisten retos para el país.</w:t>
      </w:r>
    </w:p>
    <w:p w14:paraId="593430F9" w14:textId="77777777" w:rsidR="00762A74" w:rsidRDefault="00762A74">
      <w:pPr>
        <w:spacing w:after="0" w:line="240" w:lineRule="auto"/>
        <w:jc w:val="both"/>
      </w:pPr>
    </w:p>
    <w:p w14:paraId="4247949A" w14:textId="77777777" w:rsidR="00762A74" w:rsidRDefault="00A47368">
      <w:pPr>
        <w:spacing w:after="0" w:line="240" w:lineRule="auto"/>
        <w:jc w:val="both"/>
        <w:rPr>
          <w:highlight w:val="white"/>
        </w:rPr>
      </w:pPr>
      <w:r>
        <w:rPr>
          <w:highlight w:val="white"/>
        </w:rPr>
        <w:lastRenderedPageBreak/>
        <w:t>Preocupa a la Defensoría que continúen existiendo espacios hospitalarios en los que coinciden niños, niñas y adolescentes con personas mayores de edad, siendo que el tiemp</w:t>
      </w:r>
      <w:r>
        <w:rPr>
          <w:highlight w:val="white"/>
        </w:rPr>
        <w:t>o de permanencia de ambos grupos poblacionales dependerá de la demanda de los servicios y la capacidad de atención de la seguridad social.</w:t>
      </w:r>
    </w:p>
    <w:p w14:paraId="4F1CB11C" w14:textId="77777777" w:rsidR="00762A74" w:rsidRDefault="00762A74">
      <w:pPr>
        <w:spacing w:after="0" w:line="240" w:lineRule="auto"/>
        <w:jc w:val="both"/>
        <w:rPr>
          <w:highlight w:val="white"/>
        </w:rPr>
      </w:pPr>
    </w:p>
    <w:p w14:paraId="1AC35EDC" w14:textId="77777777" w:rsidR="00762A74" w:rsidRDefault="00A47368">
      <w:pPr>
        <w:spacing w:after="0" w:line="240" w:lineRule="auto"/>
        <w:jc w:val="both"/>
        <w:rPr>
          <w:highlight w:val="white"/>
        </w:rPr>
      </w:pPr>
      <w:r>
        <w:rPr>
          <w:highlight w:val="white"/>
        </w:rPr>
        <w:t>Por otra parte, a pesar de los informes con recomendaciones que ha emitido la Defensoría de los Habitantes dirigidos</w:t>
      </w:r>
      <w:r>
        <w:rPr>
          <w:highlight w:val="white"/>
        </w:rPr>
        <w:t xml:space="preserve"> a las distintas instancias de la Caja Costarricense de Seguro Social, se observa con preocupación la dilación en la respuesta a las solicitudes de pensión promovidas por distintas personas, entre ellas las personas menores de edad, personas con discapacid</w:t>
      </w:r>
      <w:r>
        <w:rPr>
          <w:highlight w:val="white"/>
        </w:rPr>
        <w:t>ad y adultos mayores</w:t>
      </w:r>
    </w:p>
    <w:p w14:paraId="541ACFAC" w14:textId="77777777" w:rsidR="00762A74" w:rsidRDefault="00762A74">
      <w:pPr>
        <w:spacing w:after="0" w:line="240" w:lineRule="auto"/>
        <w:jc w:val="both"/>
      </w:pPr>
    </w:p>
    <w:p w14:paraId="239DEAB4" w14:textId="77777777" w:rsidR="00762A74" w:rsidRDefault="00A47368">
      <w:pPr>
        <w:pStyle w:val="Heading2"/>
        <w:rPr>
          <w:b/>
          <w:sz w:val="22"/>
          <w:szCs w:val="22"/>
          <w:highlight w:val="white"/>
        </w:rPr>
      </w:pPr>
      <w:bookmarkStart w:id="8" w:name="_4d34og8" w:colFirst="0" w:colLast="0"/>
      <w:bookmarkEnd w:id="8"/>
      <w:r>
        <w:rPr>
          <w:b/>
          <w:sz w:val="22"/>
          <w:szCs w:val="22"/>
          <w:highlight w:val="white"/>
        </w:rPr>
        <w:t xml:space="preserve">Nivel de vida adecuado y protección social para personas con discapacidad </w:t>
      </w:r>
    </w:p>
    <w:p w14:paraId="7C41C079" w14:textId="77777777" w:rsidR="00762A74" w:rsidRDefault="00762A74">
      <w:pPr>
        <w:spacing w:after="0" w:line="240" w:lineRule="auto"/>
        <w:jc w:val="both"/>
      </w:pPr>
    </w:p>
    <w:p w14:paraId="0181CDEF" w14:textId="77777777" w:rsidR="00762A74" w:rsidRDefault="00A47368">
      <w:pPr>
        <w:spacing w:after="0" w:line="240" w:lineRule="auto"/>
        <w:jc w:val="both"/>
        <w:rPr>
          <w:highlight w:val="white"/>
        </w:rPr>
      </w:pPr>
      <w:r>
        <w:rPr>
          <w:highlight w:val="white"/>
        </w:rPr>
        <w:t>Las personas con discapacidad y sus familias presentan una mayor desventaja tanto económica como social en comparación con aquellas que no tienen personas con</w:t>
      </w:r>
      <w:r>
        <w:rPr>
          <w:highlight w:val="white"/>
        </w:rPr>
        <w:t xml:space="preserve"> discapacidad, debido a que se limita el acceso a la educación, a una alimentación adecuada, a una vivienda adecuada entre otros. Debido a que se generan un mayor costo propiamente de la condición de discapacidad y que busca tener una vida digna el que se </w:t>
      </w:r>
      <w:r>
        <w:rPr>
          <w:highlight w:val="white"/>
        </w:rPr>
        <w:t>pueda gozar de los apoyos educativos tanto técnicos, como de asistencia de personal, atención en salud.</w:t>
      </w:r>
    </w:p>
    <w:p w14:paraId="6BC5F38F" w14:textId="77777777" w:rsidR="00762A74" w:rsidRDefault="00762A74">
      <w:pPr>
        <w:spacing w:after="0" w:line="240" w:lineRule="auto"/>
        <w:jc w:val="both"/>
      </w:pPr>
    </w:p>
    <w:p w14:paraId="241D9576" w14:textId="77777777" w:rsidR="00762A74" w:rsidRDefault="00A47368">
      <w:pPr>
        <w:spacing w:after="0" w:line="240" w:lineRule="auto"/>
        <w:jc w:val="both"/>
        <w:rPr>
          <w:highlight w:val="white"/>
        </w:rPr>
      </w:pPr>
      <w:r>
        <w:rPr>
          <w:highlight w:val="white"/>
        </w:rPr>
        <w:t xml:space="preserve">Como respuesta a la situación de la pobreza, el país ha implementado diferentes esfuerzos con el fin de poder reducir la pobreza a partir de distintos </w:t>
      </w:r>
      <w:r>
        <w:rPr>
          <w:highlight w:val="white"/>
        </w:rPr>
        <w:t>programas dirigidos a grupos que se encuentran en pobreza, pobreza extrema, grupos vulnerables que se puedan encontrar en situaciones de exclusión o discriminación.  No obstante, muchos programas dirigidos a la atención de la situación económica de familia</w:t>
      </w:r>
      <w:r>
        <w:rPr>
          <w:highlight w:val="white"/>
        </w:rPr>
        <w:t>s en pobreza han sufrido recortes.</w:t>
      </w:r>
    </w:p>
    <w:p w14:paraId="1DFB8D16" w14:textId="77777777" w:rsidR="00762A74" w:rsidRDefault="00762A74">
      <w:pPr>
        <w:spacing w:after="0" w:line="240" w:lineRule="auto"/>
        <w:jc w:val="both"/>
        <w:rPr>
          <w:highlight w:val="white"/>
        </w:rPr>
      </w:pPr>
    </w:p>
    <w:p w14:paraId="566047D4" w14:textId="77777777" w:rsidR="00762A74" w:rsidRDefault="00A47368">
      <w:pPr>
        <w:spacing w:after="0" w:line="240" w:lineRule="auto"/>
        <w:jc w:val="both"/>
      </w:pPr>
      <w:r>
        <w:rPr>
          <w:highlight w:val="white"/>
        </w:rPr>
        <w:t>Ejemplo de ello es el r</w:t>
      </w:r>
      <w:r>
        <w:t>ecorte al presupuesto del PANI genera serias afectaciones a los derechos de niños, niñas y adolescentes que tienen la posibilidad de ingresar al Programa de Acogimiento Familiar. El presupuesto del</w:t>
      </w:r>
      <w:r>
        <w:t xml:space="preserve"> PANI respecto del programa de acogimiento familiar con subvención son familias a las que se les gira una subvención para evitar la institucionalización, cuyos subsidios pasaron de 132,000 a 109,000 (se rebajaron 17,31%) y de 158,000 a 123,000 para hogares</w:t>
      </w:r>
      <w:r>
        <w:t xml:space="preserve"> de acogida de personas con discapacidad (sufrió una disminución del 21,8%).</w:t>
      </w:r>
    </w:p>
    <w:p w14:paraId="46B06AC1" w14:textId="77777777" w:rsidR="00762A74" w:rsidRDefault="00762A74">
      <w:pPr>
        <w:pBdr>
          <w:top w:val="nil"/>
          <w:left w:val="nil"/>
          <w:bottom w:val="nil"/>
          <w:right w:val="nil"/>
          <w:between w:val="nil"/>
        </w:pBdr>
        <w:spacing w:after="0" w:line="240" w:lineRule="auto"/>
        <w:jc w:val="both"/>
        <w:rPr>
          <w:color w:val="000000"/>
        </w:rPr>
      </w:pPr>
    </w:p>
    <w:p w14:paraId="78FC46AD" w14:textId="77777777" w:rsidR="00762A74" w:rsidRDefault="00A47368">
      <w:pPr>
        <w:pBdr>
          <w:top w:val="nil"/>
          <w:left w:val="nil"/>
          <w:bottom w:val="nil"/>
          <w:right w:val="nil"/>
          <w:between w:val="nil"/>
        </w:pBdr>
        <w:spacing w:after="0" w:line="240" w:lineRule="auto"/>
        <w:jc w:val="both"/>
        <w:rPr>
          <w:color w:val="000000"/>
        </w:rPr>
      </w:pPr>
      <w:r>
        <w:rPr>
          <w:color w:val="000000"/>
        </w:rPr>
        <w:t xml:space="preserve">Conforme los dispuesto en el artículo 14 de la Ley </w:t>
      </w:r>
      <w:proofErr w:type="spellStart"/>
      <w:r>
        <w:rPr>
          <w:color w:val="000000"/>
        </w:rPr>
        <w:t>N.°</w:t>
      </w:r>
      <w:proofErr w:type="spellEnd"/>
      <w:r>
        <w:rPr>
          <w:color w:val="000000"/>
        </w:rPr>
        <w:t xml:space="preserve"> 9379, Ley para la Promoción de la Autonomía Personal de las Personas con Discapacidad, a la fecha el servicio de asistencia</w:t>
      </w:r>
      <w:r>
        <w:rPr>
          <w:color w:val="000000"/>
        </w:rPr>
        <w:t xml:space="preserve"> personal continúa siendo de carácter selectivo, reservado para la población con discapacidad que, además, se encuentre en situación de pobreza o pobreza extrema, según los parámetros definidos en el Sistema Nacional de Información y Registro Único de Bene</w:t>
      </w:r>
      <w:r>
        <w:rPr>
          <w:color w:val="000000"/>
        </w:rPr>
        <w:t>ficiarios del Estado –SINERUBE-.</w:t>
      </w:r>
    </w:p>
    <w:p w14:paraId="01304F84" w14:textId="77777777" w:rsidR="00762A74" w:rsidRDefault="00762A74">
      <w:pPr>
        <w:pBdr>
          <w:top w:val="nil"/>
          <w:left w:val="nil"/>
          <w:bottom w:val="nil"/>
          <w:right w:val="nil"/>
          <w:between w:val="nil"/>
        </w:pBdr>
        <w:spacing w:after="0" w:line="240" w:lineRule="auto"/>
        <w:jc w:val="both"/>
        <w:rPr>
          <w:color w:val="000000"/>
        </w:rPr>
      </w:pPr>
    </w:p>
    <w:p w14:paraId="35672763" w14:textId="77777777" w:rsidR="00762A74" w:rsidRDefault="00A47368">
      <w:pPr>
        <w:pBdr>
          <w:top w:val="nil"/>
          <w:left w:val="nil"/>
          <w:bottom w:val="nil"/>
          <w:right w:val="nil"/>
          <w:between w:val="nil"/>
        </w:pBdr>
        <w:spacing w:after="0" w:line="240" w:lineRule="auto"/>
        <w:jc w:val="both"/>
        <w:rPr>
          <w:color w:val="000000"/>
        </w:rPr>
      </w:pPr>
      <w:r>
        <w:rPr>
          <w:color w:val="000000"/>
        </w:rPr>
        <w:t xml:space="preserve">Las limitadas oportunidades y posibilidades que tienen las personas con discapacidad de participar e incidir en los factores determinantes de la economía, como en la vida política del país, ha redundado en una presencia importante de esta población en los </w:t>
      </w:r>
      <w:r>
        <w:rPr>
          <w:color w:val="000000"/>
        </w:rPr>
        <w:t xml:space="preserve">quintiles más bajos en la escala socioeconómica.  Esta situación se constituye en un ciclo perverso que reproduce la exclusión y la pobreza de las personas con discapacidad y en un obstáculo para su movilización social y finalmente para el disfrute de sus </w:t>
      </w:r>
      <w:r>
        <w:rPr>
          <w:color w:val="000000"/>
        </w:rPr>
        <w:t xml:space="preserve">derechos humanos en condiciones de igualdad. </w:t>
      </w:r>
    </w:p>
    <w:p w14:paraId="515ECFCA" w14:textId="77777777" w:rsidR="00762A74" w:rsidRDefault="00762A74">
      <w:pPr>
        <w:pBdr>
          <w:top w:val="nil"/>
          <w:left w:val="nil"/>
          <w:bottom w:val="nil"/>
          <w:right w:val="nil"/>
          <w:between w:val="nil"/>
        </w:pBdr>
        <w:spacing w:after="0" w:line="240" w:lineRule="auto"/>
        <w:jc w:val="both"/>
        <w:rPr>
          <w:color w:val="000000"/>
        </w:rPr>
      </w:pPr>
    </w:p>
    <w:p w14:paraId="3D5660FC" w14:textId="77777777" w:rsidR="00762A74" w:rsidRDefault="00A47368">
      <w:pPr>
        <w:pBdr>
          <w:top w:val="nil"/>
          <w:left w:val="nil"/>
          <w:bottom w:val="nil"/>
          <w:right w:val="nil"/>
          <w:between w:val="nil"/>
        </w:pBdr>
        <w:spacing w:after="0" w:line="240" w:lineRule="auto"/>
        <w:jc w:val="both"/>
        <w:rPr>
          <w:color w:val="000000"/>
        </w:rPr>
      </w:pPr>
      <w:r>
        <w:rPr>
          <w:color w:val="000000"/>
        </w:rPr>
        <w:lastRenderedPageBreak/>
        <w:t>Históricamente, la Defensoría ha conocido de las denuncias vinculadas con la dilación o denegación injustificada de una opción de pensión para las personas con de discapacidad, a cargo del Régimen No Contribut</w:t>
      </w:r>
      <w:r>
        <w:rPr>
          <w:color w:val="000000"/>
        </w:rPr>
        <w:t>ivo. Este régimen -al igual que el de Invalidez, Vejez y Muerte, de naturaleza contributiva- es administrado por la Caja Costarricense de Seguro Social; sin embargo, su presupuesto proviene del Fondo de Desarrollo Social y Asignaciones Familiares, creado m</w:t>
      </w:r>
      <w:r>
        <w:rPr>
          <w:color w:val="000000"/>
        </w:rPr>
        <w:t>ediante la Ley 5662, Ley de Desarrollo Social y Asignaciones Familiares del 23 de diciembre de 1974. De conformidad con esta ley, el régimen No Contributivo da cobertura a determinadas tipologías de beneficiarios que, como condición adicional, deben encont</w:t>
      </w:r>
      <w:r>
        <w:rPr>
          <w:color w:val="000000"/>
        </w:rPr>
        <w:t xml:space="preserve">rarse en condición de pobreza o pobreza extrema </w:t>
      </w:r>
    </w:p>
    <w:p w14:paraId="35D36CE7" w14:textId="77777777" w:rsidR="00762A74" w:rsidRDefault="00762A74">
      <w:pPr>
        <w:pBdr>
          <w:top w:val="nil"/>
          <w:left w:val="nil"/>
          <w:bottom w:val="nil"/>
          <w:right w:val="nil"/>
          <w:between w:val="nil"/>
        </w:pBdr>
        <w:spacing w:after="0" w:line="240" w:lineRule="auto"/>
        <w:jc w:val="both"/>
        <w:rPr>
          <w:color w:val="000000"/>
        </w:rPr>
      </w:pPr>
    </w:p>
    <w:p w14:paraId="0B05AD18" w14:textId="77777777" w:rsidR="00762A74" w:rsidRDefault="00A47368">
      <w:pPr>
        <w:pBdr>
          <w:top w:val="nil"/>
          <w:left w:val="nil"/>
          <w:bottom w:val="nil"/>
          <w:right w:val="nil"/>
          <w:between w:val="nil"/>
        </w:pBdr>
        <w:spacing w:after="0" w:line="240" w:lineRule="auto"/>
        <w:jc w:val="both"/>
        <w:rPr>
          <w:color w:val="000000"/>
        </w:rPr>
      </w:pPr>
      <w:r>
        <w:rPr>
          <w:color w:val="000000"/>
        </w:rPr>
        <w:t>Una de esas tipologías es la de “personas inválidas”. A diferencia de la discapacidad, la invalidez exige la pérdida de un porcentaje de la capacidad general para realizar labores productivas e incorporarse</w:t>
      </w:r>
      <w:r>
        <w:rPr>
          <w:color w:val="000000"/>
        </w:rPr>
        <w:t xml:space="preserve"> al mercado laboral o económico, por consiguiente, implica la realización de pericias y valoraciones médicas. La oferta está determinada por las cuotas o compromisos establecidos en los Planes Nacionales de Desarrollo, o lo que es lo mismo el Plan de Gobie</w:t>
      </w:r>
      <w:r>
        <w:rPr>
          <w:color w:val="000000"/>
        </w:rPr>
        <w:t>rno de las administraciones de turno y la disponibilidad presupuestaria, sin que necesariamente responda a estudios sustentados en la demanda. En los últimos años el Régimen No contributivo ha venido presentando signos de insuficiencia para atender la crec</w:t>
      </w:r>
      <w:r>
        <w:rPr>
          <w:color w:val="000000"/>
        </w:rPr>
        <w:t>iente demanda producto de la inclusión de nuevas tipologías y más recientemente ha sufrido los recortes generalizados de los presupuestos destinados a los programas sociales, incluido el Fondo de Desarrollo Social y Asignaciones Familiares (</w:t>
      </w:r>
      <w:proofErr w:type="spellStart"/>
      <w:r>
        <w:rPr>
          <w:color w:val="000000"/>
        </w:rPr>
        <w:t>Fodesaf</w:t>
      </w:r>
      <w:proofErr w:type="spellEnd"/>
      <w:r>
        <w:rPr>
          <w:color w:val="000000"/>
        </w:rPr>
        <w:t>).</w:t>
      </w:r>
    </w:p>
    <w:p w14:paraId="73CE16A8" w14:textId="77777777" w:rsidR="00762A74" w:rsidRDefault="00762A74">
      <w:pPr>
        <w:pBdr>
          <w:top w:val="nil"/>
          <w:left w:val="nil"/>
          <w:bottom w:val="nil"/>
          <w:right w:val="nil"/>
          <w:between w:val="nil"/>
        </w:pBdr>
        <w:spacing w:after="0" w:line="240" w:lineRule="auto"/>
        <w:jc w:val="both"/>
        <w:rPr>
          <w:color w:val="000000"/>
        </w:rPr>
      </w:pPr>
    </w:p>
    <w:p w14:paraId="444819ED" w14:textId="77777777" w:rsidR="00762A74" w:rsidRDefault="00A47368">
      <w:pPr>
        <w:pBdr>
          <w:top w:val="nil"/>
          <w:left w:val="nil"/>
          <w:bottom w:val="nil"/>
          <w:right w:val="nil"/>
          <w:between w:val="nil"/>
        </w:pBdr>
        <w:spacing w:after="0" w:line="240" w:lineRule="auto"/>
        <w:jc w:val="both"/>
        <w:rPr>
          <w:color w:val="000000"/>
        </w:rPr>
      </w:pPr>
      <w:r>
        <w:rPr>
          <w:color w:val="000000"/>
        </w:rPr>
        <w:t>Esta</w:t>
      </w:r>
      <w:r>
        <w:rPr>
          <w:color w:val="000000"/>
        </w:rPr>
        <w:t xml:space="preserve"> situación ha derivado en situaciones donde la condición de invalidez ya ha sido declarada por la Comisión Certificadora del Grado de Invalidez y la situación de pobreza también ha sido verificada, pero la solicitud de pensión no se resuelve debido a la fa</w:t>
      </w:r>
      <w:r>
        <w:rPr>
          <w:color w:val="000000"/>
        </w:rPr>
        <w:t>lta de presupuesto, generando así listas de espera.</w:t>
      </w:r>
    </w:p>
    <w:p w14:paraId="1D176C58" w14:textId="77777777" w:rsidR="00762A74" w:rsidRDefault="00762A74">
      <w:pPr>
        <w:pBdr>
          <w:top w:val="nil"/>
          <w:left w:val="nil"/>
          <w:bottom w:val="nil"/>
          <w:right w:val="nil"/>
          <w:between w:val="nil"/>
        </w:pBdr>
        <w:spacing w:after="0" w:line="240" w:lineRule="auto"/>
        <w:jc w:val="both"/>
        <w:rPr>
          <w:color w:val="000000"/>
        </w:rPr>
      </w:pPr>
    </w:p>
    <w:p w14:paraId="26A43E3E" w14:textId="77777777" w:rsidR="00762A74" w:rsidRDefault="00A47368">
      <w:pPr>
        <w:pStyle w:val="Heading2"/>
        <w:rPr>
          <w:b/>
          <w:sz w:val="22"/>
          <w:szCs w:val="22"/>
        </w:rPr>
      </w:pPr>
      <w:bookmarkStart w:id="9" w:name="_2s8eyo1" w:colFirst="0" w:colLast="0"/>
      <w:bookmarkEnd w:id="9"/>
      <w:r>
        <w:rPr>
          <w:b/>
          <w:sz w:val="22"/>
          <w:szCs w:val="22"/>
        </w:rPr>
        <w:t xml:space="preserve">Acceso a la información </w:t>
      </w:r>
    </w:p>
    <w:p w14:paraId="05F494F0" w14:textId="77777777" w:rsidR="00762A74" w:rsidRDefault="00762A74">
      <w:pPr>
        <w:pBdr>
          <w:top w:val="nil"/>
          <w:left w:val="nil"/>
          <w:bottom w:val="nil"/>
          <w:right w:val="nil"/>
          <w:between w:val="nil"/>
        </w:pBdr>
        <w:spacing w:after="0" w:line="240" w:lineRule="auto"/>
        <w:jc w:val="both"/>
        <w:rPr>
          <w:color w:val="000000"/>
        </w:rPr>
      </w:pPr>
    </w:p>
    <w:p w14:paraId="13026872" w14:textId="77777777" w:rsidR="00762A74" w:rsidRDefault="00A47368">
      <w:pPr>
        <w:pBdr>
          <w:top w:val="nil"/>
          <w:left w:val="nil"/>
          <w:bottom w:val="nil"/>
          <w:right w:val="nil"/>
          <w:between w:val="nil"/>
        </w:pBdr>
        <w:spacing w:after="0" w:line="240" w:lineRule="auto"/>
        <w:jc w:val="both"/>
        <w:rPr>
          <w:color w:val="000000"/>
        </w:rPr>
      </w:pPr>
      <w:r>
        <w:rPr>
          <w:color w:val="000000"/>
        </w:rPr>
        <w:t>Este es un aspecto respecto del cual el Estado aún mantiene una deuda. Salvo casos excepcionales, son muy limitados los avances en materia de acceso a la información para las pe</w:t>
      </w:r>
      <w:r>
        <w:rPr>
          <w:color w:val="000000"/>
        </w:rPr>
        <w:t xml:space="preserve">rsonas con discapacidad. La situación adquiere matices particulares cuando se vincula con el derecho al trabajo y con la ausencia de los medios tecnológicos necesarios para ejercer este derecho. En el año 2023, la Defensoría tramitó el caso de una abogada </w:t>
      </w:r>
      <w:r>
        <w:rPr>
          <w:color w:val="000000"/>
        </w:rPr>
        <w:t>con una discapacidad visual que denunció que las páginas del Poder Judicial, que son de acceso público y que debía consultar para cumplir con sus obligaciones profesionales, no estaban adecuadas a los requerimientos de las personas con discapacidad visual.</w:t>
      </w:r>
      <w:r>
        <w:rPr>
          <w:color w:val="000000"/>
        </w:rPr>
        <w:t xml:space="preserve">  Indicó que a pesar de las gestiones que había realizado, los ajustes no se habían realizado y, consecuentemente, afectaban su ejercicio profesional. En su investigación, la Defensoría pudo constatar que, en efecto, la información que consta en dichas pág</w:t>
      </w:r>
      <w:r>
        <w:rPr>
          <w:color w:val="000000"/>
        </w:rPr>
        <w:t xml:space="preserve">inas no está disponible en formatos accesibles ni cumple con los requerimientos tecnológicos adecuados para las personas con discapacidad visual. En virtud de ello, emitió informe con recomendaciones a la Corte Suprema de Justicia con el fin de que adopte </w:t>
      </w:r>
      <w:r>
        <w:rPr>
          <w:color w:val="000000"/>
        </w:rPr>
        <w:t>los cambios tecnológicos requeridos.</w:t>
      </w:r>
    </w:p>
    <w:p w14:paraId="5E6DAC2A" w14:textId="77777777" w:rsidR="00762A74" w:rsidRDefault="00762A74">
      <w:pPr>
        <w:pBdr>
          <w:top w:val="nil"/>
          <w:left w:val="nil"/>
          <w:bottom w:val="nil"/>
          <w:right w:val="nil"/>
          <w:between w:val="nil"/>
        </w:pBdr>
        <w:spacing w:after="0" w:line="240" w:lineRule="auto"/>
        <w:jc w:val="both"/>
        <w:rPr>
          <w:color w:val="000000"/>
        </w:rPr>
      </w:pPr>
    </w:p>
    <w:p w14:paraId="64D462D8" w14:textId="77777777" w:rsidR="00A90D5E" w:rsidRDefault="00A90D5E">
      <w:pPr>
        <w:pBdr>
          <w:top w:val="nil"/>
          <w:left w:val="nil"/>
          <w:bottom w:val="nil"/>
          <w:right w:val="nil"/>
          <w:between w:val="nil"/>
        </w:pBdr>
        <w:spacing w:after="0" w:line="240" w:lineRule="auto"/>
        <w:jc w:val="both"/>
        <w:rPr>
          <w:color w:val="000000"/>
        </w:rPr>
      </w:pPr>
    </w:p>
    <w:p w14:paraId="4719050D" w14:textId="77777777" w:rsidR="00A90D5E" w:rsidRDefault="00A90D5E">
      <w:pPr>
        <w:pBdr>
          <w:top w:val="nil"/>
          <w:left w:val="nil"/>
          <w:bottom w:val="nil"/>
          <w:right w:val="nil"/>
          <w:between w:val="nil"/>
        </w:pBdr>
        <w:spacing w:after="0" w:line="240" w:lineRule="auto"/>
        <w:jc w:val="both"/>
        <w:rPr>
          <w:color w:val="000000"/>
        </w:rPr>
      </w:pPr>
    </w:p>
    <w:p w14:paraId="30729D6D" w14:textId="77777777" w:rsidR="00762A74" w:rsidRDefault="00A47368">
      <w:pPr>
        <w:pStyle w:val="Heading2"/>
        <w:rPr>
          <w:b/>
          <w:sz w:val="22"/>
          <w:szCs w:val="22"/>
        </w:rPr>
      </w:pPr>
      <w:bookmarkStart w:id="10" w:name="_17dp8vu" w:colFirst="0" w:colLast="0"/>
      <w:bookmarkEnd w:id="10"/>
      <w:r>
        <w:rPr>
          <w:b/>
          <w:sz w:val="22"/>
          <w:szCs w:val="22"/>
        </w:rPr>
        <w:lastRenderedPageBreak/>
        <w:t xml:space="preserve">Trabajo y empleo </w:t>
      </w:r>
    </w:p>
    <w:p w14:paraId="380E3417" w14:textId="77777777" w:rsidR="00762A74" w:rsidRDefault="00762A74">
      <w:pPr>
        <w:spacing w:after="0" w:line="240" w:lineRule="auto"/>
      </w:pPr>
    </w:p>
    <w:p w14:paraId="13F139DD" w14:textId="77777777" w:rsidR="00762A74" w:rsidRDefault="00A47368">
      <w:pPr>
        <w:spacing w:after="0" w:line="240" w:lineRule="auto"/>
        <w:jc w:val="both"/>
        <w:rPr>
          <w:color w:val="000000"/>
        </w:rPr>
      </w:pPr>
      <w:r>
        <w:rPr>
          <w:color w:val="000000"/>
        </w:rPr>
        <w:t>Sobre este aspecto, es preciso indicar que persisten las barreras, actitudinales y de acceso para que las persona con discapacidad logren incorporarse al mercado laboral, en general y, particularmente al empleo en el sector público en pie de igualdad.</w:t>
      </w:r>
    </w:p>
    <w:p w14:paraId="28458F28" w14:textId="77777777" w:rsidR="00762A74" w:rsidRDefault="00762A74">
      <w:pPr>
        <w:spacing w:after="0" w:line="240" w:lineRule="auto"/>
        <w:jc w:val="both"/>
        <w:rPr>
          <w:color w:val="000000"/>
        </w:rPr>
      </w:pPr>
    </w:p>
    <w:p w14:paraId="0F91AA08" w14:textId="77777777" w:rsidR="00762A74" w:rsidRDefault="00A47368">
      <w:pPr>
        <w:spacing w:after="0" w:line="240" w:lineRule="auto"/>
        <w:jc w:val="both"/>
        <w:rPr>
          <w:color w:val="000000"/>
        </w:rPr>
      </w:pPr>
      <w:r>
        <w:rPr>
          <w:color w:val="000000"/>
        </w:rPr>
        <w:t xml:space="preserve">En </w:t>
      </w:r>
      <w:r>
        <w:rPr>
          <w:color w:val="000000"/>
        </w:rPr>
        <w:t>una investigación desarrollada durante el año 2023, a raíz de una denuncia planteada por una persona con discapacidad, desempleada, de 57 años de edad, la Defensoría pudo constatar el avance mínimo que reporta el Estado costarricense en la aplicación de la</w:t>
      </w:r>
      <w:r>
        <w:rPr>
          <w:color w:val="000000"/>
        </w:rPr>
        <w:t xml:space="preserve"> Ley </w:t>
      </w:r>
      <w:proofErr w:type="spellStart"/>
      <w:r>
        <w:rPr>
          <w:color w:val="000000"/>
        </w:rPr>
        <w:t>N.°</w:t>
      </w:r>
      <w:proofErr w:type="spellEnd"/>
      <w:r>
        <w:rPr>
          <w:color w:val="000000"/>
        </w:rPr>
        <w:t xml:space="preserve"> 8862, Inclusión y Protección Laboral para personas con Discapacidad en el Sector Público, del 16 de setiembre de 2010,  cuyo artículo único establece, a manera de acción afirmativa, la obligación de las instituciones públicas de reservar del 5% o </w:t>
      </w:r>
      <w:r>
        <w:rPr>
          <w:color w:val="000000"/>
        </w:rPr>
        <w:t>más de las vacantes en los requerimientos de contratación por parte de las instituciones del Estado, para ser ocupadas por personas con discapacidad, siempre que exista oferta de empleo y se superen las pruebas selectivas y de idoneidad.</w:t>
      </w:r>
    </w:p>
    <w:p w14:paraId="6234A6BB" w14:textId="77777777" w:rsidR="00762A74" w:rsidRDefault="00762A74">
      <w:pPr>
        <w:spacing w:after="0" w:line="240" w:lineRule="auto"/>
        <w:jc w:val="both"/>
        <w:rPr>
          <w:color w:val="000000"/>
        </w:rPr>
      </w:pPr>
    </w:p>
    <w:p w14:paraId="18ED4C1F" w14:textId="77777777" w:rsidR="00762A74" w:rsidRDefault="00A47368">
      <w:pPr>
        <w:spacing w:after="0" w:line="240" w:lineRule="auto"/>
        <w:jc w:val="both"/>
        <w:rPr>
          <w:color w:val="000000"/>
        </w:rPr>
      </w:pPr>
      <w:r>
        <w:rPr>
          <w:color w:val="000000"/>
        </w:rPr>
        <w:t xml:space="preserve">Según datos del Ministerio de Trabajo para el año 2022 se reportó de apenas 882 personas con discapacidad laborando en el sector público, de las cuales 644 fueron contratadas mediante los procedimientos ordinarios y 238 en aplicación de la Ley </w:t>
      </w:r>
      <w:proofErr w:type="spellStart"/>
      <w:r>
        <w:rPr>
          <w:color w:val="000000"/>
        </w:rPr>
        <w:t>N.°</w:t>
      </w:r>
      <w:proofErr w:type="spellEnd"/>
      <w:r>
        <w:rPr>
          <w:color w:val="000000"/>
        </w:rPr>
        <w:t xml:space="preserve"> 8862. Ta</w:t>
      </w:r>
      <w:r>
        <w:rPr>
          <w:color w:val="000000"/>
        </w:rPr>
        <w:t>mbién se reportó que para el mismo año solamente 7 instituciones cumplieron con la reserva de plazas conforme al mandato de la ley mencionada. Al cabo de la investigación, la defensoría recomendó al Ministerio de Trabajo, como institución rectora en materi</w:t>
      </w:r>
      <w:r>
        <w:rPr>
          <w:color w:val="000000"/>
        </w:rPr>
        <w:t xml:space="preserve">a de empleo, desarrollar una estrategia para que las instituciones públicas ejecuten planes remediales orientados a dar cumplimiento a la Ley </w:t>
      </w:r>
      <w:proofErr w:type="spellStart"/>
      <w:r>
        <w:rPr>
          <w:color w:val="000000"/>
        </w:rPr>
        <w:t>N.°</w:t>
      </w:r>
      <w:proofErr w:type="spellEnd"/>
      <w:r>
        <w:rPr>
          <w:color w:val="000000"/>
        </w:rPr>
        <w:t xml:space="preserve"> 8862, su reglamento y la Directriz Presidencial emitida al efecto. Adicionalmente, recomendó continuar con los</w:t>
      </w:r>
      <w:r>
        <w:rPr>
          <w:color w:val="000000"/>
        </w:rPr>
        <w:t xml:space="preserve"> procesos de capacitación dirigidos a la institucionalidad pública acerca de la aplicación efectiva de esta medida afirmativa en favor de la población con discapacidad.</w:t>
      </w:r>
    </w:p>
    <w:p w14:paraId="628E0239" w14:textId="77777777" w:rsidR="00762A74" w:rsidRDefault="00762A74">
      <w:pPr>
        <w:spacing w:after="0" w:line="240" w:lineRule="auto"/>
        <w:jc w:val="both"/>
        <w:rPr>
          <w:color w:val="000000"/>
        </w:rPr>
      </w:pPr>
    </w:p>
    <w:p w14:paraId="7CF8310D" w14:textId="77777777" w:rsidR="00762A74" w:rsidRDefault="00A47368">
      <w:pPr>
        <w:pStyle w:val="Heading2"/>
        <w:rPr>
          <w:b/>
          <w:sz w:val="22"/>
          <w:szCs w:val="22"/>
        </w:rPr>
      </w:pPr>
      <w:bookmarkStart w:id="11" w:name="_3rdcrjn" w:colFirst="0" w:colLast="0"/>
      <w:bookmarkEnd w:id="11"/>
      <w:r>
        <w:rPr>
          <w:b/>
          <w:sz w:val="22"/>
          <w:szCs w:val="22"/>
        </w:rPr>
        <w:t xml:space="preserve">Participación ciudadana  </w:t>
      </w:r>
    </w:p>
    <w:p w14:paraId="587EB296" w14:textId="77777777" w:rsidR="00762A74" w:rsidRDefault="00762A74">
      <w:pPr>
        <w:spacing w:after="0" w:line="240" w:lineRule="auto"/>
        <w:jc w:val="both"/>
      </w:pPr>
    </w:p>
    <w:p w14:paraId="0F960FDE" w14:textId="77777777" w:rsidR="00762A74" w:rsidRDefault="00A47368">
      <w:pPr>
        <w:pBdr>
          <w:top w:val="nil"/>
          <w:left w:val="nil"/>
          <w:bottom w:val="nil"/>
          <w:right w:val="nil"/>
          <w:between w:val="nil"/>
        </w:pBdr>
        <w:spacing w:after="0" w:line="240" w:lineRule="auto"/>
        <w:jc w:val="both"/>
        <w:rPr>
          <w:color w:val="000000"/>
        </w:rPr>
      </w:pPr>
      <w:r>
        <w:rPr>
          <w:color w:val="000000"/>
        </w:rPr>
        <w:t>El derecho de participación de la población con discapacida</w:t>
      </w:r>
      <w:r>
        <w:rPr>
          <w:color w:val="000000"/>
        </w:rPr>
        <w:t xml:space="preserve">d en las decisiones políticas-administrativas o legislativas-, continúa siendo una deuda pendiente del Estado costarricense.  </w:t>
      </w:r>
    </w:p>
    <w:p w14:paraId="0AEB764B" w14:textId="77777777" w:rsidR="00762A74" w:rsidRDefault="00762A74">
      <w:pPr>
        <w:pBdr>
          <w:top w:val="nil"/>
          <w:left w:val="nil"/>
          <w:bottom w:val="nil"/>
          <w:right w:val="nil"/>
          <w:between w:val="nil"/>
        </w:pBdr>
        <w:spacing w:after="0" w:line="240" w:lineRule="auto"/>
        <w:jc w:val="both"/>
        <w:rPr>
          <w:color w:val="000000"/>
        </w:rPr>
      </w:pPr>
    </w:p>
    <w:p w14:paraId="0625C908" w14:textId="77777777" w:rsidR="00762A74" w:rsidRDefault="00A47368">
      <w:pPr>
        <w:pBdr>
          <w:top w:val="nil"/>
          <w:left w:val="nil"/>
          <w:bottom w:val="nil"/>
          <w:right w:val="nil"/>
          <w:between w:val="nil"/>
        </w:pBdr>
        <w:spacing w:after="0" w:line="240" w:lineRule="auto"/>
        <w:jc w:val="both"/>
        <w:rPr>
          <w:color w:val="000000"/>
        </w:rPr>
      </w:pPr>
      <w:r>
        <w:rPr>
          <w:color w:val="000000"/>
        </w:rPr>
        <w:t>Durante el año 2023 se discutieron iniciativas legislativas relacionadas con la extensión de la vida útil de la flotilla de buse</w:t>
      </w:r>
      <w:r>
        <w:rPr>
          <w:color w:val="000000"/>
        </w:rPr>
        <w:t>s que brindan el servicio de transporte colectivo de personas. La ley N. ° 7600- ley de Igualdad de Oportunidades para las personas con discapacidad- establece en su artículo 46 bis, un plazo de quince años para el cambio de las unidades destinadas al tran</w:t>
      </w:r>
      <w:r>
        <w:rPr>
          <w:color w:val="000000"/>
        </w:rPr>
        <w:t xml:space="preserve">sporte público colectivo.  Sin embargo, han sido reiterados los intentos por ampliar ese plazo por la vía de reforma a la ley N. ° 7600. Una de esas iniciativas fue el proyecto de Ley </w:t>
      </w:r>
      <w:proofErr w:type="spellStart"/>
      <w:r>
        <w:rPr>
          <w:color w:val="000000"/>
        </w:rPr>
        <w:t>N.°</w:t>
      </w:r>
      <w:proofErr w:type="spellEnd"/>
      <w:r>
        <w:rPr>
          <w:color w:val="000000"/>
        </w:rPr>
        <w:t xml:space="preserve"> 23.782, que planteaba ampliar por un año más la vida útil de estas u</w:t>
      </w:r>
      <w:r>
        <w:rPr>
          <w:color w:val="000000"/>
        </w:rPr>
        <w:t>nidades de transporte público para las pequeñas y medianas empresas. Importante señalar que la Defensoría de la Habitantes ha reiterado e insistido que cualquier reforma que se pretenda introducir a la Ley 7600, que pudiera afectar de manera directa o indi</w:t>
      </w:r>
      <w:r>
        <w:rPr>
          <w:color w:val="000000"/>
        </w:rPr>
        <w:t>recta los derechos e intereses de las personas con discapacidad, obligatoriamente debe ser sometida a consulta de estas personas y de las organizaciones que las representa.</w:t>
      </w:r>
    </w:p>
    <w:p w14:paraId="729DEAB4" w14:textId="77777777" w:rsidR="00762A74" w:rsidRDefault="00762A74">
      <w:pPr>
        <w:pBdr>
          <w:top w:val="nil"/>
          <w:left w:val="nil"/>
          <w:bottom w:val="nil"/>
          <w:right w:val="nil"/>
          <w:between w:val="nil"/>
        </w:pBdr>
        <w:spacing w:after="0" w:line="240" w:lineRule="auto"/>
        <w:jc w:val="both"/>
        <w:rPr>
          <w:color w:val="000000"/>
        </w:rPr>
      </w:pPr>
    </w:p>
    <w:p w14:paraId="2F420170" w14:textId="77777777" w:rsidR="00762A74" w:rsidRDefault="00A47368">
      <w:pPr>
        <w:pBdr>
          <w:top w:val="nil"/>
          <w:left w:val="nil"/>
          <w:bottom w:val="nil"/>
          <w:right w:val="nil"/>
          <w:between w:val="nil"/>
        </w:pBdr>
        <w:spacing w:after="0" w:line="240" w:lineRule="auto"/>
        <w:jc w:val="both"/>
        <w:rPr>
          <w:color w:val="000000"/>
        </w:rPr>
      </w:pPr>
      <w:r>
        <w:rPr>
          <w:color w:val="000000"/>
        </w:rPr>
        <w:t xml:space="preserve">En el caso particular del proyecto </w:t>
      </w:r>
      <w:proofErr w:type="spellStart"/>
      <w:r>
        <w:rPr>
          <w:color w:val="000000"/>
        </w:rPr>
        <w:t>N.°</w:t>
      </w:r>
      <w:proofErr w:type="spellEnd"/>
      <w:r>
        <w:rPr>
          <w:color w:val="000000"/>
        </w:rPr>
        <w:t xml:space="preserve"> 23.782, la Defensoría externó su criterio d</w:t>
      </w:r>
      <w:r>
        <w:rPr>
          <w:color w:val="000000"/>
        </w:rPr>
        <w:t xml:space="preserve">e inconformidad justamente por la omisión en que se incurrió durante la tramitación del proyecto, de esta obligación. </w:t>
      </w:r>
      <w:r>
        <w:rPr>
          <w:color w:val="000000"/>
        </w:rPr>
        <w:lastRenderedPageBreak/>
        <w:t>Finalmente, se optó por presentar un texto sustitutivo que proponía la ampliación de la vida útil de las unidades de transporte público en</w:t>
      </w:r>
      <w:r>
        <w:rPr>
          <w:color w:val="000000"/>
        </w:rPr>
        <w:t xml:space="preserve"> las modalidades indicadas, mediante la reforma, ya no a la Ley 7600, sino a la Ley de Tránsito por vías terrestres y Seguridad Vial –ley </w:t>
      </w:r>
      <w:proofErr w:type="spellStart"/>
      <w:r>
        <w:rPr>
          <w:color w:val="000000"/>
        </w:rPr>
        <w:t>N.°</w:t>
      </w:r>
      <w:proofErr w:type="spellEnd"/>
      <w:r>
        <w:rPr>
          <w:color w:val="000000"/>
        </w:rPr>
        <w:t xml:space="preserve"> 9078-.  Pese a las objeciones formuladas por la Defensoría y por la sociedad civil, el proyecto fue aprobado para </w:t>
      </w:r>
      <w:r>
        <w:rPr>
          <w:color w:val="000000"/>
        </w:rPr>
        <w:t xml:space="preserve">convertirse en ley de la República </w:t>
      </w:r>
      <w:proofErr w:type="spellStart"/>
      <w:r>
        <w:rPr>
          <w:color w:val="000000"/>
        </w:rPr>
        <w:t>N.°</w:t>
      </w:r>
      <w:proofErr w:type="spellEnd"/>
      <w:r>
        <w:rPr>
          <w:color w:val="000000"/>
        </w:rPr>
        <w:t xml:space="preserve"> 10.444, Ley para Garantizar el Servicio de Autobús para los Usuarios.”</w:t>
      </w:r>
    </w:p>
    <w:p w14:paraId="123DFDE2" w14:textId="77777777" w:rsidR="00762A74" w:rsidRDefault="00762A74">
      <w:pPr>
        <w:pBdr>
          <w:top w:val="nil"/>
          <w:left w:val="nil"/>
          <w:bottom w:val="nil"/>
          <w:right w:val="nil"/>
          <w:between w:val="nil"/>
        </w:pBdr>
        <w:spacing w:after="0" w:line="240" w:lineRule="auto"/>
        <w:jc w:val="both"/>
        <w:rPr>
          <w:color w:val="000000"/>
        </w:rPr>
      </w:pPr>
    </w:p>
    <w:p w14:paraId="6F41728F" w14:textId="77777777" w:rsidR="00762A74" w:rsidRDefault="00A47368">
      <w:pPr>
        <w:spacing w:after="0" w:line="240" w:lineRule="auto"/>
        <w:jc w:val="both"/>
      </w:pPr>
      <w:r>
        <w:t xml:space="preserve">Mediante la resolución </w:t>
      </w:r>
      <w:proofErr w:type="spellStart"/>
      <w:r>
        <w:t>N.°</w:t>
      </w:r>
      <w:proofErr w:type="spellEnd"/>
      <w:r>
        <w:t xml:space="preserve"> 2023-030483, la Sala Constitucional evacuó la Consulta de Constitucionalidad presentada por la Defensoría de los Habit</w:t>
      </w:r>
      <w:r>
        <w:t>antes y mediante voto de por mayoría resolvió que la ley en cuestión no contraviene el principio de consulta obligatoria ni el Derecho de la Constitución. En referencia a dicha resolución, el 23 de noviembre del 2023, la Defensoría de los Habitantes señaló</w:t>
      </w:r>
      <w:r>
        <w:t xml:space="preserve"> en un comunicado de prensa que “respeta en todos sus extremos, la resolución de la Sala IV ante la consulta de constitucionalidad presentada ante el proyecto de ley 23.782 que pretende la ampliación de la vida útil de los autobuses por un año más; sin emb</w:t>
      </w:r>
      <w:r>
        <w:t>argo, hizo un respetuoso llamado a la Asamblea Legislativa para que este sea el último plazo y definitivo, y que se proceda como corresponde a la sustitución de la flota que supere la vida útil.</w:t>
      </w:r>
    </w:p>
    <w:p w14:paraId="3CD4BF47" w14:textId="77777777" w:rsidR="00762A74" w:rsidRDefault="00762A74">
      <w:pPr>
        <w:pBdr>
          <w:top w:val="nil"/>
          <w:left w:val="nil"/>
          <w:bottom w:val="nil"/>
          <w:right w:val="nil"/>
          <w:between w:val="nil"/>
        </w:pBdr>
        <w:spacing w:after="0" w:line="240" w:lineRule="auto"/>
        <w:jc w:val="both"/>
        <w:rPr>
          <w:color w:val="000000"/>
        </w:rPr>
      </w:pPr>
    </w:p>
    <w:p w14:paraId="48BACCDA" w14:textId="77777777" w:rsidR="00762A74" w:rsidRDefault="00A47368">
      <w:pPr>
        <w:pStyle w:val="Heading2"/>
        <w:rPr>
          <w:b/>
          <w:sz w:val="22"/>
          <w:szCs w:val="22"/>
        </w:rPr>
      </w:pPr>
      <w:bookmarkStart w:id="12" w:name="_26in1rg" w:colFirst="0" w:colLast="0"/>
      <w:bookmarkEnd w:id="12"/>
      <w:r>
        <w:rPr>
          <w:b/>
          <w:sz w:val="22"/>
          <w:szCs w:val="22"/>
        </w:rPr>
        <w:t xml:space="preserve">Personas privadas de libertad y accesibilidad </w:t>
      </w:r>
    </w:p>
    <w:p w14:paraId="41519AAA" w14:textId="77777777" w:rsidR="00762A74" w:rsidRDefault="00762A74">
      <w:pPr>
        <w:spacing w:after="0" w:line="240" w:lineRule="auto"/>
      </w:pPr>
    </w:p>
    <w:p w14:paraId="72A752EE" w14:textId="77777777" w:rsidR="00762A74" w:rsidRDefault="00A47368">
      <w:pPr>
        <w:spacing w:after="0" w:line="240" w:lineRule="auto"/>
        <w:jc w:val="both"/>
      </w:pPr>
      <w:r>
        <w:t>Según los da</w:t>
      </w:r>
      <w:r>
        <w:t>tos estadísticos, a enero 2024, en el sistema penitenciario costarricense hay un total de 253 personas privadas de libertad con discapacidad, el cual se caracteriza por la sobrepoblación carcelaria, condiciones materiales limitadas en los dormitorios y áre</w:t>
      </w:r>
      <w:r>
        <w:t>as comunes, establecimientos con una alta dinámica de encierro, y una atención médica deficiente.</w:t>
      </w:r>
    </w:p>
    <w:p w14:paraId="1825793D" w14:textId="77777777" w:rsidR="00762A74" w:rsidRDefault="00762A74">
      <w:pPr>
        <w:spacing w:after="0" w:line="240" w:lineRule="auto"/>
        <w:jc w:val="both"/>
      </w:pPr>
    </w:p>
    <w:p w14:paraId="70A8C78A" w14:textId="77777777" w:rsidR="00762A74" w:rsidRDefault="00A47368">
      <w:pPr>
        <w:spacing w:after="0" w:line="240" w:lineRule="auto"/>
        <w:jc w:val="both"/>
      </w:pPr>
      <w:r>
        <w:t>Durante las inspecciones a los diferentes centros de privación de libertad, el Mecanismo Nacional de Prevención de la Tortura (MNPT) ha identificado que la m</w:t>
      </w:r>
      <w:r>
        <w:t>ayoría de establecimientos penitenciarios no cumplen con los criterios de accesibilidad de la infraestructura, y las pocas cárceles que mantienen algunas condiciones adecuadas de la planta física, vienen en detrimento de otras medidas adicionales de protec</w:t>
      </w:r>
      <w:r>
        <w:t>ción. El requerimiento de los cumplimientos legales en cuanto a medidas de puertas, servicios sanitarios y demás, no implica que un centro penitenciario sea apto para darle atención digna a las personas con discapacidad.</w:t>
      </w:r>
    </w:p>
    <w:p w14:paraId="15FBE3AF" w14:textId="77777777" w:rsidR="00762A74" w:rsidRDefault="00762A74">
      <w:pPr>
        <w:spacing w:after="0" w:line="240" w:lineRule="auto"/>
        <w:jc w:val="both"/>
      </w:pPr>
    </w:p>
    <w:p w14:paraId="7B5A6F70" w14:textId="77777777" w:rsidR="00762A74" w:rsidRDefault="00A47368">
      <w:pPr>
        <w:spacing w:after="0" w:line="240" w:lineRule="auto"/>
        <w:jc w:val="both"/>
      </w:pPr>
      <w:r>
        <w:t>Se considera que las autoridades d</w:t>
      </w:r>
      <w:r>
        <w:t xml:space="preserve">eben garantizar: espacios concretos con menor cantidad de camas en los cuales las personas con discapacidad tengan mayor accesibilidad; la presencia de personas capacitadas y de apoyo para brindar atención básica y especializada; unidades vehiculares para </w:t>
      </w:r>
      <w:r>
        <w:t xml:space="preserve">desplazar a las personas hacia las áreas de salud, y otros lugares; evitar la ubicación de personas con discapacidad en centros de alta contención física; y prohibir la práctica del aislamiento para personas con discapacidad psicosocial. Lo anterior, como </w:t>
      </w:r>
      <w:r>
        <w:t>medidas para garantizar sus derechos fundamentales en términos de accesibilidad, independencia, autonomía, y privacidad.</w:t>
      </w:r>
    </w:p>
    <w:sectPr w:rsidR="00762A74">
      <w:headerReference w:type="even" r:id="rId7"/>
      <w:headerReference w:type="default" r:id="rId8"/>
      <w:footerReference w:type="even" r:id="rId9"/>
      <w:footerReference w:type="default" r:id="rId10"/>
      <w:headerReference w:type="first" r:id="rId11"/>
      <w:footerReference w:type="first" r:id="rId12"/>
      <w:pgSz w:w="12240" w:h="15840"/>
      <w:pgMar w:top="1417" w:right="1701" w:bottom="1417" w:left="1701" w:header="708" w:footer="113"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3C0BA8" w14:textId="77777777" w:rsidR="000B3915" w:rsidRDefault="000B3915">
      <w:pPr>
        <w:spacing w:after="0" w:line="240" w:lineRule="auto"/>
      </w:pPr>
      <w:r>
        <w:separator/>
      </w:r>
    </w:p>
  </w:endnote>
  <w:endnote w:type="continuationSeparator" w:id="0">
    <w:p w14:paraId="23EE96AB" w14:textId="77777777" w:rsidR="000B3915" w:rsidRDefault="000B39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28686E" w14:textId="77777777" w:rsidR="00762A74" w:rsidRDefault="00762A74">
    <w:pPr>
      <w:pBdr>
        <w:top w:val="nil"/>
        <w:left w:val="nil"/>
        <w:bottom w:val="nil"/>
        <w:right w:val="nil"/>
        <w:between w:val="nil"/>
      </w:pBdr>
      <w:tabs>
        <w:tab w:val="center" w:pos="4419"/>
        <w:tab w:val="right" w:pos="8838"/>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837AB8" w14:textId="77777777" w:rsidR="00762A74" w:rsidRDefault="00A47368">
    <w:pPr>
      <w:pBdr>
        <w:top w:val="nil"/>
        <w:left w:val="nil"/>
        <w:bottom w:val="nil"/>
        <w:right w:val="nil"/>
        <w:between w:val="nil"/>
      </w:pBdr>
      <w:spacing w:after="0" w:line="240" w:lineRule="auto"/>
      <w:jc w:val="center"/>
      <w:rPr>
        <w:rFonts w:ascii="Tahoma" w:eastAsia="Tahoma" w:hAnsi="Tahoma" w:cs="Tahoma"/>
        <w:b/>
        <w:color w:val="003399"/>
        <w:sz w:val="20"/>
        <w:szCs w:val="20"/>
      </w:rPr>
    </w:pPr>
    <w:bookmarkStart w:id="14" w:name="_35nkun2" w:colFirst="0" w:colLast="0"/>
    <w:bookmarkEnd w:id="14"/>
    <w:r>
      <w:pict w14:anchorId="497E4045">
        <v:rect id="_x0000_i1025" style="width:0;height:1.5pt" o:hralign="center" o:hrstd="t" o:hr="t" fillcolor="#a0a0a0" stroked="f"/>
      </w:pict>
    </w:r>
  </w:p>
  <w:p w14:paraId="4707C7AD" w14:textId="77777777" w:rsidR="00762A74" w:rsidRDefault="00A47368">
    <w:pPr>
      <w:pBdr>
        <w:top w:val="nil"/>
        <w:left w:val="nil"/>
        <w:bottom w:val="nil"/>
        <w:right w:val="nil"/>
        <w:between w:val="nil"/>
      </w:pBdr>
      <w:spacing w:after="0" w:line="240" w:lineRule="auto"/>
      <w:jc w:val="center"/>
      <w:rPr>
        <w:rFonts w:ascii="Tahoma" w:eastAsia="Tahoma" w:hAnsi="Tahoma" w:cs="Tahoma"/>
        <w:b/>
        <w:color w:val="003399"/>
        <w:sz w:val="20"/>
        <w:szCs w:val="20"/>
      </w:rPr>
    </w:pPr>
    <w:r>
      <w:rPr>
        <w:rFonts w:ascii="Tahoma" w:eastAsia="Tahoma" w:hAnsi="Tahoma" w:cs="Tahoma"/>
        <w:b/>
        <w:color w:val="003399"/>
        <w:sz w:val="20"/>
        <w:szCs w:val="20"/>
      </w:rPr>
      <w:t xml:space="preserve">“30 años transformando realidades, posicionando derechos, promoviendo inclusión” </w:t>
    </w:r>
  </w:p>
  <w:p w14:paraId="108401BB" w14:textId="77777777" w:rsidR="00762A74" w:rsidRDefault="00A47368">
    <w:p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r>
      <w:rPr>
        <w:rFonts w:ascii="Tahoma" w:eastAsia="Tahoma" w:hAnsi="Tahoma" w:cs="Tahoma"/>
        <w:color w:val="808080"/>
        <w:sz w:val="14"/>
        <w:szCs w:val="14"/>
      </w:rPr>
      <w:t>Bo. México, Calle 22 Avenidas 7 y 11 - Teléfono: 4000-</w:t>
    </w:r>
    <w:proofErr w:type="gramStart"/>
    <w:r>
      <w:rPr>
        <w:rFonts w:ascii="Tahoma" w:eastAsia="Tahoma" w:hAnsi="Tahoma" w:cs="Tahoma"/>
        <w:color w:val="808080"/>
        <w:sz w:val="14"/>
        <w:szCs w:val="14"/>
      </w:rPr>
      <w:t>8500  Facsímil</w:t>
    </w:r>
    <w:proofErr w:type="gramEnd"/>
    <w:r>
      <w:rPr>
        <w:rFonts w:ascii="Tahoma" w:eastAsia="Tahoma" w:hAnsi="Tahoma" w:cs="Tahoma"/>
        <w:color w:val="808080"/>
        <w:sz w:val="14"/>
        <w:szCs w:val="14"/>
      </w:rPr>
      <w:t>: 4000-8700</w:t>
    </w:r>
  </w:p>
  <w:p w14:paraId="33431A28" w14:textId="77777777" w:rsidR="00762A74" w:rsidRDefault="00A47368">
    <w:p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r>
      <w:rPr>
        <w:rFonts w:ascii="Tahoma" w:eastAsia="Tahoma" w:hAnsi="Tahoma" w:cs="Tahoma"/>
        <w:color w:val="808080"/>
        <w:sz w:val="14"/>
        <w:szCs w:val="14"/>
      </w:rPr>
      <w:t xml:space="preserve">Apdo. Postal: 686-1005 San José - Correo </w:t>
    </w:r>
    <w:r>
      <w:rPr>
        <w:rFonts w:ascii="Tahoma" w:eastAsia="Tahoma" w:hAnsi="Tahoma" w:cs="Tahoma"/>
        <w:color w:val="808080"/>
        <w:sz w:val="14"/>
        <w:szCs w:val="14"/>
      </w:rPr>
      <w:t>electrónico: correspondencia@dhr.go.cr</w:t>
    </w:r>
  </w:p>
  <w:p w14:paraId="304F455A" w14:textId="77777777" w:rsidR="00762A74" w:rsidRDefault="00A47368">
    <w:p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r>
      <w:rPr>
        <w:rFonts w:ascii="Tahoma" w:eastAsia="Tahoma" w:hAnsi="Tahoma" w:cs="Tahoma"/>
        <w:color w:val="808080"/>
        <w:sz w:val="14"/>
        <w:szCs w:val="14"/>
      </w:rPr>
      <w:t>San José, Costa Rica</w:t>
    </w:r>
  </w:p>
  <w:p w14:paraId="6C2458D9" w14:textId="77777777" w:rsidR="00762A74" w:rsidRDefault="00A47368">
    <w:pPr>
      <w:pBdr>
        <w:top w:val="nil"/>
        <w:left w:val="nil"/>
        <w:bottom w:val="nil"/>
        <w:right w:val="nil"/>
        <w:between w:val="nil"/>
      </w:pBdr>
      <w:tabs>
        <w:tab w:val="center" w:pos="4419"/>
        <w:tab w:val="right" w:pos="8838"/>
      </w:tabs>
      <w:spacing w:after="0" w:line="240" w:lineRule="auto"/>
      <w:jc w:val="right"/>
      <w:rPr>
        <w:color w:val="002060"/>
      </w:rPr>
    </w:pPr>
    <w:r>
      <w:rPr>
        <w:color w:val="002060"/>
      </w:rPr>
      <w:fldChar w:fldCharType="begin"/>
    </w:r>
    <w:r>
      <w:rPr>
        <w:color w:val="002060"/>
      </w:rPr>
      <w:instrText>PAGE</w:instrText>
    </w:r>
    <w:r>
      <w:rPr>
        <w:color w:val="002060"/>
      </w:rPr>
      <w:fldChar w:fldCharType="separate"/>
    </w:r>
    <w:r w:rsidR="007951F7">
      <w:rPr>
        <w:noProof/>
        <w:color w:val="002060"/>
      </w:rPr>
      <w:t>1</w:t>
    </w:r>
    <w:r>
      <w:rPr>
        <w:color w:val="002060"/>
      </w:rPr>
      <w:fldChar w:fldCharType="end"/>
    </w:r>
  </w:p>
  <w:p w14:paraId="49715DCA" w14:textId="77777777" w:rsidR="00762A74" w:rsidRDefault="00762A74">
    <w:pPr>
      <w:pBdr>
        <w:top w:val="nil"/>
        <w:left w:val="nil"/>
        <w:bottom w:val="nil"/>
        <w:right w:val="nil"/>
        <w:between w:val="nil"/>
      </w:pBdr>
      <w:tabs>
        <w:tab w:val="center" w:pos="4419"/>
        <w:tab w:val="right" w:pos="8838"/>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83D194" w14:textId="77777777" w:rsidR="00762A74" w:rsidRDefault="00762A74">
    <w:pPr>
      <w:pBdr>
        <w:top w:val="nil"/>
        <w:left w:val="nil"/>
        <w:bottom w:val="nil"/>
        <w:right w:val="nil"/>
        <w:between w:val="nil"/>
      </w:pBdr>
      <w:tabs>
        <w:tab w:val="center" w:pos="4419"/>
        <w:tab w:val="right" w:pos="8838"/>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B92549" w14:textId="77777777" w:rsidR="000B3915" w:rsidRDefault="000B3915">
      <w:pPr>
        <w:spacing w:after="0" w:line="240" w:lineRule="auto"/>
      </w:pPr>
      <w:r>
        <w:separator/>
      </w:r>
    </w:p>
  </w:footnote>
  <w:footnote w:type="continuationSeparator" w:id="0">
    <w:p w14:paraId="500B59DF" w14:textId="77777777" w:rsidR="000B3915" w:rsidRDefault="000B3915">
      <w:pPr>
        <w:spacing w:after="0" w:line="240" w:lineRule="auto"/>
      </w:pPr>
      <w:r>
        <w:continuationSeparator/>
      </w:r>
    </w:p>
  </w:footnote>
  <w:footnote w:id="1">
    <w:p w14:paraId="0B746E5D" w14:textId="77777777" w:rsidR="00762A74" w:rsidRDefault="00A47368">
      <w:pPr>
        <w:pBdr>
          <w:top w:val="nil"/>
          <w:left w:val="nil"/>
          <w:bottom w:val="nil"/>
          <w:right w:val="nil"/>
          <w:between w:val="nil"/>
        </w:pBdr>
        <w:spacing w:after="0" w:line="240" w:lineRule="auto"/>
        <w:rPr>
          <w:color w:val="000000"/>
          <w:sz w:val="16"/>
          <w:szCs w:val="16"/>
        </w:rPr>
      </w:pPr>
      <w:r>
        <w:rPr>
          <w:vertAlign w:val="superscript"/>
        </w:rPr>
        <w:footnoteRef/>
      </w:r>
      <w:r>
        <w:rPr>
          <w:color w:val="000000"/>
          <w:sz w:val="16"/>
          <w:szCs w:val="16"/>
        </w:rPr>
        <w:t xml:space="preserve"> CEDAW/C/CRI/CO/7 del 21 de julio de 2017</w:t>
      </w:r>
    </w:p>
  </w:footnote>
  <w:footnote w:id="2">
    <w:p w14:paraId="0CBA8A5B" w14:textId="77777777" w:rsidR="00762A74" w:rsidRDefault="00A47368">
      <w:pPr>
        <w:pBdr>
          <w:top w:val="nil"/>
          <w:left w:val="nil"/>
          <w:bottom w:val="nil"/>
          <w:right w:val="nil"/>
          <w:between w:val="nil"/>
        </w:pBdr>
        <w:spacing w:after="0" w:line="240" w:lineRule="auto"/>
        <w:rPr>
          <w:color w:val="000000"/>
          <w:sz w:val="16"/>
          <w:szCs w:val="16"/>
        </w:rPr>
      </w:pPr>
      <w:r>
        <w:rPr>
          <w:vertAlign w:val="superscript"/>
        </w:rPr>
        <w:footnoteRef/>
      </w:r>
      <w:r>
        <w:rPr>
          <w:color w:val="000000"/>
          <w:sz w:val="16"/>
          <w:szCs w:val="16"/>
        </w:rPr>
        <w:t xml:space="preserve"> CEDAW/C/CRI/CO/8 del 2 de marzo de 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CAD26D" w14:textId="77777777" w:rsidR="00762A74" w:rsidRDefault="00762A74">
    <w:pPr>
      <w:pBdr>
        <w:top w:val="nil"/>
        <w:left w:val="nil"/>
        <w:bottom w:val="nil"/>
        <w:right w:val="nil"/>
        <w:between w:val="nil"/>
      </w:pBdr>
      <w:tabs>
        <w:tab w:val="center" w:pos="4419"/>
        <w:tab w:val="right" w:pos="8838"/>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35E7BC" w14:textId="77777777" w:rsidR="00762A74" w:rsidRDefault="00A47368">
    <w:pPr>
      <w:pBdr>
        <w:top w:val="nil"/>
        <w:left w:val="nil"/>
        <w:bottom w:val="nil"/>
        <w:right w:val="nil"/>
        <w:between w:val="nil"/>
      </w:pBdr>
      <w:tabs>
        <w:tab w:val="center" w:pos="4419"/>
        <w:tab w:val="right" w:pos="8838"/>
        <w:tab w:val="left" w:pos="3637"/>
      </w:tabs>
      <w:spacing w:after="0" w:line="240" w:lineRule="auto"/>
      <w:rPr>
        <w:color w:val="000000"/>
      </w:rPr>
    </w:pPr>
    <w:bookmarkStart w:id="13" w:name="_lnxbz9" w:colFirst="0" w:colLast="0"/>
    <w:bookmarkEnd w:id="13"/>
    <w:r>
      <w:rPr>
        <w:color w:val="000000"/>
      </w:rPr>
      <w:tab/>
    </w:r>
    <w:r>
      <w:rPr>
        <w:color w:val="000000"/>
      </w:rPr>
      <w:tab/>
    </w:r>
    <w:r>
      <w:rPr>
        <w:noProof/>
      </w:rPr>
      <w:drawing>
        <wp:anchor distT="0" distB="0" distL="114300" distR="114300" simplePos="0" relativeHeight="251658240" behindDoc="0" locked="0" layoutInCell="1" hidden="0" allowOverlap="1" wp14:anchorId="0CF8E965" wp14:editId="441E7120">
          <wp:simplePos x="0" y="0"/>
          <wp:positionH relativeFrom="column">
            <wp:posOffset>5434990</wp:posOffset>
          </wp:positionH>
          <wp:positionV relativeFrom="paragraph">
            <wp:posOffset>-354266</wp:posOffset>
          </wp:positionV>
          <wp:extent cx="981075" cy="981075"/>
          <wp:effectExtent l="0" t="0" r="0" b="0"/>
          <wp:wrapSquare wrapText="bothSides" distT="0" distB="0" distL="114300" distR="1143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981075" cy="981075"/>
                  </a:xfrm>
                  <a:prstGeom prst="rect">
                    <a:avLst/>
                  </a:prstGeom>
                  <a:ln/>
                </pic:spPr>
              </pic:pic>
            </a:graphicData>
          </a:graphic>
        </wp:anchor>
      </w:drawing>
    </w:r>
  </w:p>
  <w:p w14:paraId="7D07E6DE" w14:textId="77777777" w:rsidR="00762A74" w:rsidRDefault="00A47368">
    <w:pPr>
      <w:pBdr>
        <w:top w:val="nil"/>
        <w:left w:val="nil"/>
        <w:bottom w:val="nil"/>
        <w:right w:val="nil"/>
        <w:between w:val="nil"/>
      </w:pBdr>
      <w:tabs>
        <w:tab w:val="center" w:pos="4419"/>
        <w:tab w:val="right" w:pos="8838"/>
      </w:tabs>
      <w:spacing w:after="0" w:line="240" w:lineRule="auto"/>
      <w:jc w:val="center"/>
      <w:rPr>
        <w:rFonts w:ascii="Tahoma" w:eastAsia="Tahoma" w:hAnsi="Tahoma" w:cs="Tahoma"/>
        <w:color w:val="002060"/>
        <w:sz w:val="16"/>
        <w:szCs w:val="16"/>
      </w:rPr>
    </w:pPr>
    <w:r>
      <w:rPr>
        <w:rFonts w:ascii="Tahoma" w:eastAsia="Tahoma" w:hAnsi="Tahoma" w:cs="Tahoma"/>
        <w:color w:val="002060"/>
        <w:sz w:val="16"/>
        <w:szCs w:val="16"/>
      </w:rPr>
      <w:t>Comunicación escrita para Comité sobre los Derechos de las Personas con Discapacidad</w:t>
    </w:r>
  </w:p>
  <w:p w14:paraId="3330CF1B" w14:textId="77777777" w:rsidR="00762A74" w:rsidRDefault="00A47368">
    <w:pPr>
      <w:pBdr>
        <w:top w:val="nil"/>
        <w:left w:val="nil"/>
        <w:bottom w:val="nil"/>
        <w:right w:val="nil"/>
        <w:between w:val="nil"/>
      </w:pBdr>
      <w:tabs>
        <w:tab w:val="center" w:pos="4419"/>
        <w:tab w:val="right" w:pos="8838"/>
      </w:tabs>
      <w:spacing w:after="0" w:line="240" w:lineRule="auto"/>
      <w:jc w:val="center"/>
      <w:rPr>
        <w:rFonts w:ascii="Tahoma" w:eastAsia="Tahoma" w:hAnsi="Tahoma" w:cs="Tahoma"/>
        <w:color w:val="002060"/>
        <w:sz w:val="16"/>
        <w:szCs w:val="16"/>
      </w:rPr>
    </w:pPr>
    <w:r>
      <w:rPr>
        <w:rFonts w:ascii="Tahoma" w:eastAsia="Tahoma" w:hAnsi="Tahoma" w:cs="Tahoma"/>
        <w:color w:val="002060"/>
        <w:sz w:val="16"/>
        <w:szCs w:val="16"/>
      </w:rPr>
      <w:t xml:space="preserve">Institución Nacional de Derechos </w:t>
    </w:r>
    <w:r>
      <w:rPr>
        <w:rFonts w:ascii="Tahoma" w:eastAsia="Tahoma" w:hAnsi="Tahoma" w:cs="Tahoma"/>
        <w:color w:val="002060"/>
        <w:sz w:val="16"/>
        <w:szCs w:val="16"/>
      </w:rPr>
      <w:t>Humanos de la República de Costa Rica</w:t>
    </w:r>
  </w:p>
  <w:p w14:paraId="72860D68" w14:textId="77777777" w:rsidR="00762A74" w:rsidRDefault="00A47368">
    <w:pPr>
      <w:pBdr>
        <w:top w:val="nil"/>
        <w:left w:val="nil"/>
        <w:bottom w:val="nil"/>
        <w:right w:val="nil"/>
        <w:between w:val="nil"/>
      </w:pBdr>
      <w:tabs>
        <w:tab w:val="center" w:pos="4419"/>
        <w:tab w:val="right" w:pos="8838"/>
      </w:tabs>
      <w:spacing w:after="0" w:line="240" w:lineRule="auto"/>
      <w:rPr>
        <w:color w:val="000000"/>
      </w:rPr>
    </w:pPr>
    <w:r>
      <w:rPr>
        <w:noProof/>
      </w:rPr>
      <mc:AlternateContent>
        <mc:Choice Requires="wpg">
          <w:drawing>
            <wp:anchor distT="0" distB="0" distL="114300" distR="114300" simplePos="0" relativeHeight="251659264" behindDoc="0" locked="0" layoutInCell="1" hidden="0" allowOverlap="1" wp14:anchorId="5EE6C39F" wp14:editId="55EB9349">
              <wp:simplePos x="0" y="0"/>
              <wp:positionH relativeFrom="column">
                <wp:posOffset>1</wp:posOffset>
              </wp:positionH>
              <wp:positionV relativeFrom="paragraph">
                <wp:posOffset>139700</wp:posOffset>
              </wp:positionV>
              <wp:extent cx="5940000" cy="25400"/>
              <wp:effectExtent l="0" t="0" r="0" b="0"/>
              <wp:wrapNone/>
              <wp:docPr id="1" name="Conector recto de flecha 1"/>
              <wp:cNvGraphicFramePr/>
              <a:graphic xmlns:a="http://schemas.openxmlformats.org/drawingml/2006/main">
                <a:graphicData uri="http://schemas.microsoft.com/office/word/2010/wordprocessingShape">
                  <wps:wsp>
                    <wps:cNvCnPr/>
                    <wps:spPr>
                      <a:xfrm rot="10800000" flipH="1">
                        <a:off x="2376000" y="3778730"/>
                        <a:ext cx="5940000" cy="2540"/>
                      </a:xfrm>
                      <a:prstGeom prst="straightConnector1">
                        <a:avLst/>
                      </a:prstGeom>
                      <a:noFill/>
                      <a:ln w="25400" cap="flat" cmpd="sng">
                        <a:solidFill>
                          <a:srgbClr val="003399"/>
                        </a:solidFill>
                        <a:prstDash val="solid"/>
                        <a:miter lim="800000"/>
                        <a:headEnd type="none" w="sm" len="sm"/>
                        <a:tailEnd type="none" w="sm" len="sm"/>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wp:posOffset>
              </wp:positionH>
              <wp:positionV relativeFrom="paragraph">
                <wp:posOffset>139700</wp:posOffset>
              </wp:positionV>
              <wp:extent cx="5940000" cy="25400"/>
              <wp:effectExtent b="0" l="0" r="0" t="0"/>
              <wp:wrapNone/>
              <wp:docPr id="1" name="image3.png"/>
              <a:graphic>
                <a:graphicData uri="http://schemas.openxmlformats.org/drawingml/2006/picture">
                  <pic:pic>
                    <pic:nvPicPr>
                      <pic:cNvPr id="0" name="image3.png"/>
                      <pic:cNvPicPr preferRelativeResize="0"/>
                    </pic:nvPicPr>
                    <pic:blipFill>
                      <a:blip r:embed="rId2"/>
                      <a:srcRect/>
                      <a:stretch>
                        <a:fillRect/>
                      </a:stretch>
                    </pic:blipFill>
                    <pic:spPr>
                      <a:xfrm>
                        <a:off x="0" y="0"/>
                        <a:ext cx="5940000" cy="25400"/>
                      </a:xfrm>
                      <a:prstGeom prst="rect"/>
                      <a:ln/>
                    </pic:spPr>
                  </pic:pic>
                </a:graphicData>
              </a:graphic>
            </wp:anchor>
          </w:drawing>
        </mc:Fallback>
      </mc:AlternateContent>
    </w:r>
  </w:p>
  <w:p w14:paraId="1BBD3D61" w14:textId="77777777" w:rsidR="00762A74" w:rsidRDefault="00762A74">
    <w:pPr>
      <w:pBdr>
        <w:top w:val="nil"/>
        <w:left w:val="nil"/>
        <w:bottom w:val="nil"/>
        <w:right w:val="nil"/>
        <w:between w:val="nil"/>
      </w:pBdr>
      <w:tabs>
        <w:tab w:val="center" w:pos="4419"/>
        <w:tab w:val="right" w:pos="8838"/>
        <w:tab w:val="left" w:pos="1811"/>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49A147" w14:textId="77777777" w:rsidR="00762A74" w:rsidRDefault="00762A74">
    <w:pPr>
      <w:pBdr>
        <w:top w:val="nil"/>
        <w:left w:val="nil"/>
        <w:bottom w:val="nil"/>
        <w:right w:val="nil"/>
        <w:between w:val="nil"/>
      </w:pBdr>
      <w:tabs>
        <w:tab w:val="center" w:pos="4419"/>
        <w:tab w:val="right" w:pos="8838"/>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2A74"/>
    <w:rsid w:val="000B3915"/>
    <w:rsid w:val="00762A74"/>
    <w:rsid w:val="007951F7"/>
    <w:rsid w:val="00A47368"/>
    <w:rsid w:val="00A90D5E"/>
    <w:rsid w:val="00D51BB9"/>
  </w:rsids>
  <m:mathPr>
    <m:mathFont m:val="Cambria Math"/>
    <m:brkBin m:val="before"/>
    <m:brkBinSub m:val="--"/>
    <m:smallFrac m:val="0"/>
    <m:dispDef/>
    <m:lMargin m:val="0"/>
    <m:rMargin m:val="0"/>
    <m:defJc m:val="centerGroup"/>
    <m:wrapIndent m:val="1440"/>
    <m:intLim m:val="subSup"/>
    <m:naryLim m:val="undOvr"/>
  </m:mathPr>
  <w:themeFontLang w:val="es-C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37539B5"/>
  <w15:docId w15:val="{36BF3AE2-26A1-4C5D-AB9F-1D7FD19F5C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CR" w:eastAsia="es-C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4588</Words>
  <Characters>25649</Characters>
  <Application>Microsoft Office Word</Application>
  <DocSecurity>4</DocSecurity>
  <Lines>213</Lines>
  <Paragraphs>60</Paragraphs>
  <ScaleCrop>false</ScaleCrop>
  <Company/>
  <LinksUpToDate>false</LinksUpToDate>
  <CharactersWithSpaces>30177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OUKO Robert</dc:creator>
  <cp:lastModifiedBy>Robert OUKO</cp:lastModifiedBy>
  <cp:revision>2</cp:revision>
  <dcterms:created xsi:type="dcterms:W3CDTF">2024-02-22T11:49:00Z</dcterms:created>
  <dcterms:modified xsi:type="dcterms:W3CDTF">2024-02-22T11:49:00Z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3ff9b4b7-3fd4-4c08-895f-6c1312675942</vt:lpwstr>
  </property>
</Properties>
</file>