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iagrams/drawing1.xml" ContentType="application/vnd.ms-office.drawingml.diagramDrawing+xml"/>
  <Override PartName="/word/diagrams/quickStyle1.xml" ContentType="application/vnd.openxmlformats-officedocument.drawingml.diagramStyle+xml"/>
  <Override PartName="/word/diagrams/layout1.xml" ContentType="application/vnd.openxmlformats-officedocument.drawingml.diagramLayout+xml"/>
  <Override PartName="/word/diagrams/colors1.xml" ContentType="application/vnd.openxmlformats-officedocument.drawingml.diagramColors+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C07" w:rsidRDefault="00080C07" w:rsidP="006B52ED">
      <w:pPr>
        <w:pStyle w:val="Body2"/>
        <w:spacing w:after="0" w:line="240" w:lineRule="auto"/>
        <w:jc w:val="both"/>
        <w:rPr>
          <w:rFonts w:ascii="Montserrat" w:hAnsi="Montserrat"/>
          <w:b/>
          <w:color w:val="000000"/>
          <w:sz w:val="22"/>
          <w:szCs w:val="22"/>
          <w:lang w:val="es-MX"/>
        </w:rPr>
      </w:pPr>
      <w:r>
        <w:rPr>
          <w:rFonts w:ascii="Montserrat" w:hAnsi="Montserrat"/>
          <w:b/>
          <w:color w:val="000000"/>
          <w:sz w:val="22"/>
          <w:szCs w:val="22"/>
          <w:lang w:val="es-MX"/>
        </w:rPr>
        <w:t>Respuestas adicionales del Estado mexicano a las preguntas planteadas por el Comité contra la Tortura durante el diálogo celebrado el 25 y 26 de abril de 2019.</w:t>
      </w:r>
    </w:p>
    <w:p w:rsidR="00080C07" w:rsidRDefault="00080C07" w:rsidP="006B52ED">
      <w:pPr>
        <w:pStyle w:val="Body2"/>
        <w:spacing w:after="0" w:line="240" w:lineRule="auto"/>
        <w:jc w:val="both"/>
        <w:rPr>
          <w:rFonts w:ascii="Montserrat" w:hAnsi="Montserrat"/>
          <w:b/>
          <w:color w:val="000000"/>
          <w:sz w:val="22"/>
          <w:szCs w:val="22"/>
          <w:lang w:val="es-MX"/>
        </w:rPr>
      </w:pPr>
    </w:p>
    <w:p w:rsidR="006B52ED" w:rsidRPr="000B76CE" w:rsidRDefault="0099470B" w:rsidP="006B52ED">
      <w:pPr>
        <w:pStyle w:val="Body2"/>
        <w:spacing w:after="0" w:line="240" w:lineRule="auto"/>
        <w:jc w:val="both"/>
        <w:rPr>
          <w:rFonts w:ascii="Montserrat" w:hAnsi="Montserrat"/>
          <w:b/>
          <w:color w:val="000000"/>
          <w:sz w:val="22"/>
          <w:szCs w:val="22"/>
          <w:lang w:val="es-MX"/>
        </w:rPr>
      </w:pPr>
      <w:r w:rsidRPr="000B76CE">
        <w:rPr>
          <w:rFonts w:ascii="Montserrat" w:hAnsi="Montserrat"/>
          <w:b/>
          <w:color w:val="000000"/>
          <w:sz w:val="22"/>
          <w:szCs w:val="22"/>
          <w:lang w:val="es-MX"/>
        </w:rPr>
        <w:t>Introducción</w:t>
      </w:r>
    </w:p>
    <w:p w:rsidR="006B52ED" w:rsidRPr="000B76CE" w:rsidRDefault="006B52ED" w:rsidP="006B52ED">
      <w:pPr>
        <w:pStyle w:val="Body2"/>
        <w:spacing w:after="0" w:line="240" w:lineRule="auto"/>
        <w:jc w:val="both"/>
        <w:rPr>
          <w:rFonts w:ascii="Montserrat" w:hAnsi="Montserrat"/>
          <w:b/>
          <w:color w:val="000000"/>
          <w:sz w:val="22"/>
          <w:szCs w:val="22"/>
          <w:lang w:val="es-MX"/>
        </w:rPr>
      </w:pPr>
    </w:p>
    <w:p w:rsidR="00E27E0C" w:rsidRPr="00E27E0C" w:rsidRDefault="00E27E0C" w:rsidP="00E27E0C">
      <w:pPr>
        <w:spacing w:after="0" w:line="240" w:lineRule="auto"/>
        <w:jc w:val="both"/>
        <w:rPr>
          <w:rFonts w:ascii="Montserrat" w:eastAsiaTheme="minorHAnsi" w:hAnsi="Montserrat" w:cs="Arial"/>
          <w:color w:val="000000" w:themeColor="text1"/>
        </w:rPr>
      </w:pPr>
      <w:r>
        <w:rPr>
          <w:rFonts w:ascii="Montserrat" w:eastAsiaTheme="minorHAnsi" w:hAnsi="Montserrat" w:cs="Arial"/>
          <w:color w:val="000000" w:themeColor="text1"/>
        </w:rPr>
        <w:t>En seguimiento a la sustentación del séptimo</w:t>
      </w:r>
      <w:r w:rsidRPr="00E27E0C">
        <w:rPr>
          <w:rFonts w:ascii="Montserrat" w:eastAsiaTheme="minorHAnsi" w:hAnsi="Montserrat" w:cs="Arial"/>
          <w:color w:val="000000" w:themeColor="text1"/>
        </w:rPr>
        <w:t xml:space="preserve"> informe de México ante el Comité cont</w:t>
      </w:r>
      <w:r>
        <w:rPr>
          <w:rFonts w:ascii="Montserrat" w:eastAsiaTheme="minorHAnsi" w:hAnsi="Montserrat" w:cs="Arial"/>
          <w:color w:val="000000" w:themeColor="text1"/>
        </w:rPr>
        <w:t>ra la Tortura, el Gobierno de Mé</w:t>
      </w:r>
      <w:r w:rsidRPr="00E27E0C">
        <w:rPr>
          <w:rFonts w:ascii="Montserrat" w:eastAsiaTheme="minorHAnsi" w:hAnsi="Montserrat" w:cs="Arial"/>
          <w:color w:val="000000" w:themeColor="text1"/>
        </w:rPr>
        <w:t xml:space="preserve">xico remite información adicional a los miembros del Comité, </w:t>
      </w:r>
      <w:r w:rsidR="00080C07">
        <w:rPr>
          <w:rFonts w:ascii="Montserrat" w:eastAsiaTheme="minorHAnsi" w:hAnsi="Montserrat" w:cs="Arial"/>
          <w:color w:val="000000" w:themeColor="text1"/>
        </w:rPr>
        <w:t>esperando</w:t>
      </w:r>
      <w:r w:rsidRPr="00E27E0C">
        <w:rPr>
          <w:rFonts w:ascii="Montserrat" w:eastAsiaTheme="minorHAnsi" w:hAnsi="Montserrat" w:cs="Arial"/>
          <w:color w:val="000000" w:themeColor="text1"/>
        </w:rPr>
        <w:t xml:space="preserve"> que contribuya a clarificar los temas abordados.  Al mismo tiempo, se permite reafirmar los siguientes compromisos mencionados durante la sustentación:</w:t>
      </w:r>
    </w:p>
    <w:p w:rsidR="00E27E0C" w:rsidRPr="00E27E0C" w:rsidRDefault="00E27E0C" w:rsidP="00E27E0C">
      <w:pPr>
        <w:spacing w:after="0" w:line="240" w:lineRule="auto"/>
        <w:jc w:val="both"/>
        <w:rPr>
          <w:rFonts w:ascii="Montserrat" w:eastAsiaTheme="minorHAnsi" w:hAnsi="Montserrat" w:cs="Arial"/>
          <w:color w:val="000000" w:themeColor="text1"/>
        </w:rPr>
      </w:pP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El nuevo gobierno de México tiene un firme compromiso con los derechos humanos y está decidido </w:t>
      </w:r>
      <w:proofErr w:type="gramStart"/>
      <w:r w:rsidRPr="00E27E0C">
        <w:rPr>
          <w:rFonts w:ascii="Montserrat" w:eastAsiaTheme="minorHAnsi" w:hAnsi="Montserrat" w:cs="Arial"/>
          <w:color w:val="000000" w:themeColor="text1"/>
        </w:rPr>
        <w:t>a  redoblar</w:t>
      </w:r>
      <w:proofErr w:type="gramEnd"/>
      <w:r w:rsidRPr="00E27E0C">
        <w:rPr>
          <w:rFonts w:ascii="Montserrat" w:eastAsiaTheme="minorHAnsi" w:hAnsi="Montserrat" w:cs="Arial"/>
          <w:color w:val="000000" w:themeColor="text1"/>
        </w:rPr>
        <w:t xml:space="preserve"> esfuerzos para alcanzar los objetivos de la Convención.</w:t>
      </w:r>
    </w:p>
    <w:p w:rsidR="00E27E0C" w:rsidRPr="00E27E0C" w:rsidRDefault="00E27E0C" w:rsidP="00E27E0C">
      <w:pPr>
        <w:spacing w:after="0" w:line="240" w:lineRule="auto"/>
        <w:jc w:val="both"/>
        <w:rPr>
          <w:rFonts w:ascii="Montserrat" w:eastAsiaTheme="minorHAnsi" w:hAnsi="Montserrat" w:cs="Arial"/>
          <w:color w:val="000000" w:themeColor="text1"/>
        </w:rPr>
      </w:pP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Erradicar definitivamente la comisión del delito de tortura implica enormes retos que son del conocimiento del Comité. El nuevo Gobierno de México no escatimará esfuerzos para hacerles frente, consciente de la responsabilidad que tiene y </w:t>
      </w:r>
      <w:proofErr w:type="gramStart"/>
      <w:r w:rsidRPr="00E27E0C">
        <w:rPr>
          <w:rFonts w:ascii="Montserrat" w:eastAsiaTheme="minorHAnsi" w:hAnsi="Montserrat" w:cs="Arial"/>
          <w:color w:val="000000" w:themeColor="text1"/>
        </w:rPr>
        <w:t>del  claro</w:t>
      </w:r>
      <w:proofErr w:type="gramEnd"/>
      <w:r w:rsidRPr="00E27E0C">
        <w:rPr>
          <w:rFonts w:ascii="Montserrat" w:eastAsiaTheme="minorHAnsi" w:hAnsi="Montserrat" w:cs="Arial"/>
          <w:color w:val="000000" w:themeColor="text1"/>
        </w:rPr>
        <w:t xml:space="preserve"> mandato que recibió de la ciudadanía en las pasadas elecciones presidenciales, donde los mexicanos y las mexicanas exigieron un cambio profundo, que ponga fin a la inaceptable situación de corrupción, inseguridad, violencia e impunidad que ha prevalecido en el país desde hace más de tres lustros.</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 </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Para alcanzar sus objetivos, el Gobierno de </w:t>
      </w:r>
      <w:proofErr w:type="gramStart"/>
      <w:r w:rsidRPr="00E27E0C">
        <w:rPr>
          <w:rFonts w:ascii="Montserrat" w:eastAsiaTheme="minorHAnsi" w:hAnsi="Montserrat" w:cs="Arial"/>
          <w:color w:val="000000" w:themeColor="text1"/>
        </w:rPr>
        <w:t>México  trabajará</w:t>
      </w:r>
      <w:proofErr w:type="gramEnd"/>
      <w:r w:rsidRPr="00E27E0C">
        <w:rPr>
          <w:rFonts w:ascii="Montserrat" w:eastAsiaTheme="minorHAnsi" w:hAnsi="Montserrat" w:cs="Arial"/>
          <w:color w:val="000000" w:themeColor="text1"/>
        </w:rPr>
        <w:t xml:space="preserve"> de manera cercana con los organismos internacionales, en especial con la Oficina del Alto Comisionado de la ONU para los Derechos Humanos y los mecanismos de</w:t>
      </w:r>
      <w:r>
        <w:rPr>
          <w:rFonts w:ascii="Montserrat" w:eastAsiaTheme="minorHAnsi" w:hAnsi="Montserrat" w:cs="Arial"/>
          <w:color w:val="000000" w:themeColor="text1"/>
        </w:rPr>
        <w:t>l sistema, lo que asegurará</w:t>
      </w:r>
      <w:r w:rsidRPr="00E27E0C">
        <w:rPr>
          <w:rFonts w:ascii="Montserrat" w:eastAsiaTheme="minorHAnsi" w:hAnsi="Montserrat" w:cs="Arial"/>
          <w:color w:val="000000" w:themeColor="text1"/>
        </w:rPr>
        <w:t xml:space="preserve"> que las reformas legales que se impulsen, la construcción de instituciones y el desarrollo de capacidades, se ajusten a los más altos estándares en la materia y cumplan con los compromisos internacionales del país.</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 </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Las organizaciones de la sociedad civil, los sectores privado y académico, e instituciones y organismos nacionales son también aliados importantes del Gobierno de México. Se seguirá trabajando en consulta con ellos en el diseño e implementación de estrategias y acciones que permitan impulsar acciones contra delitos tan lacerantes como la tortura, entre otros.</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 </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Las opiniones que emita el Comité serán importantes herramientas para orientar nuestras acciones.</w:t>
      </w:r>
    </w:p>
    <w:p w:rsidR="00E27E0C"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 xml:space="preserve"> </w:t>
      </w:r>
    </w:p>
    <w:p w:rsidR="006C1014" w:rsidRPr="00E27E0C" w:rsidRDefault="00E27E0C" w:rsidP="00E27E0C">
      <w:pPr>
        <w:spacing w:after="0" w:line="240" w:lineRule="auto"/>
        <w:jc w:val="both"/>
        <w:rPr>
          <w:rFonts w:ascii="Montserrat" w:eastAsiaTheme="minorHAnsi" w:hAnsi="Montserrat" w:cs="Arial"/>
          <w:color w:val="000000" w:themeColor="text1"/>
        </w:rPr>
      </w:pPr>
      <w:r w:rsidRPr="00E27E0C">
        <w:rPr>
          <w:rFonts w:ascii="Montserrat" w:eastAsiaTheme="minorHAnsi" w:hAnsi="Montserrat" w:cs="Arial"/>
          <w:color w:val="000000" w:themeColor="text1"/>
        </w:rPr>
        <w:t>Así, las siguientes secciones amplían y detallan la información solicitada por este Comité durante la sustentación del VII informe del Estado mexicano.</w:t>
      </w:r>
    </w:p>
    <w:p w:rsidR="00E27E0C" w:rsidRDefault="00E27E0C" w:rsidP="00E27E0C">
      <w:pPr>
        <w:spacing w:after="0" w:line="240" w:lineRule="auto"/>
        <w:rPr>
          <w:rFonts w:ascii="Montserrat" w:hAnsi="Montserrat"/>
          <w:b/>
        </w:rPr>
      </w:pPr>
    </w:p>
    <w:p w:rsidR="00E27E0C" w:rsidRDefault="00E27E0C" w:rsidP="00E27E0C">
      <w:pPr>
        <w:spacing w:after="0" w:line="240" w:lineRule="auto"/>
        <w:rPr>
          <w:rFonts w:ascii="Montserrat" w:hAnsi="Montserrat"/>
          <w:b/>
        </w:rPr>
      </w:pPr>
    </w:p>
    <w:p w:rsidR="00E27E0C" w:rsidRDefault="00E27E0C" w:rsidP="00E27E0C">
      <w:pPr>
        <w:spacing w:after="0" w:line="240" w:lineRule="auto"/>
        <w:rPr>
          <w:rFonts w:ascii="Montserrat" w:hAnsi="Montserrat"/>
          <w:b/>
        </w:rPr>
      </w:pPr>
    </w:p>
    <w:p w:rsidR="00E27E0C" w:rsidRDefault="00E27E0C" w:rsidP="00E27E0C">
      <w:pPr>
        <w:spacing w:after="0" w:line="240" w:lineRule="auto"/>
        <w:rPr>
          <w:rFonts w:ascii="Montserrat" w:hAnsi="Montserrat"/>
          <w:b/>
        </w:rPr>
      </w:pPr>
    </w:p>
    <w:p w:rsidR="00E27E0C" w:rsidRDefault="00E27E0C" w:rsidP="00E27E0C">
      <w:pPr>
        <w:spacing w:after="0" w:line="240" w:lineRule="auto"/>
        <w:rPr>
          <w:rFonts w:ascii="Montserrat" w:hAnsi="Montserrat"/>
          <w:b/>
        </w:rPr>
      </w:pPr>
    </w:p>
    <w:p w:rsidR="0099470B" w:rsidRPr="000B76CE" w:rsidRDefault="0099470B" w:rsidP="006B52ED">
      <w:pPr>
        <w:spacing w:after="0" w:line="240" w:lineRule="auto"/>
        <w:jc w:val="both"/>
        <w:rPr>
          <w:rFonts w:ascii="Montserrat" w:hAnsi="Montserrat"/>
          <w:b/>
          <w:u w:val="single"/>
        </w:rPr>
      </w:pPr>
      <w:r w:rsidRPr="000B76CE">
        <w:rPr>
          <w:rFonts w:ascii="Montserrat" w:hAnsi="Montserrat"/>
          <w:b/>
          <w:u w:val="single"/>
        </w:rPr>
        <w:t>Implementación de la Ley General en materia de Tortura</w:t>
      </w:r>
    </w:p>
    <w:p w:rsidR="006B52ED" w:rsidRPr="000B76CE" w:rsidRDefault="006B52ED" w:rsidP="006B52ED">
      <w:pPr>
        <w:spacing w:after="0" w:line="240" w:lineRule="auto"/>
        <w:jc w:val="both"/>
        <w:rPr>
          <w:rFonts w:ascii="Montserrat" w:hAnsi="Montserrat"/>
          <w:b/>
          <w:u w:val="single"/>
        </w:rPr>
      </w:pPr>
    </w:p>
    <w:p w:rsidR="0099470B" w:rsidRPr="000B76CE" w:rsidRDefault="0099470B" w:rsidP="006B52ED">
      <w:pPr>
        <w:pStyle w:val="ListParagraph"/>
        <w:numPr>
          <w:ilvl w:val="0"/>
          <w:numId w:val="2"/>
        </w:numPr>
        <w:spacing w:after="0" w:line="240" w:lineRule="auto"/>
        <w:rPr>
          <w:rFonts w:ascii="Montserrat" w:hAnsi="Montserrat"/>
          <w:u w:val="single"/>
        </w:rPr>
      </w:pPr>
      <w:r w:rsidRPr="000B76CE">
        <w:rPr>
          <w:rFonts w:ascii="Montserrat" w:hAnsi="Montserrat"/>
          <w:u w:val="single"/>
        </w:rPr>
        <w:t>Tipificación de los delitos y ámbito de aplicación:</w:t>
      </w:r>
    </w:p>
    <w:p w:rsidR="006B52ED" w:rsidRPr="000B76CE" w:rsidRDefault="006B52ED" w:rsidP="006B52ED">
      <w:pPr>
        <w:pStyle w:val="ListParagraph"/>
        <w:spacing w:after="0" w:line="240" w:lineRule="auto"/>
        <w:rPr>
          <w:rFonts w:ascii="Montserrat" w:hAnsi="Montserrat"/>
          <w:u w:val="single"/>
        </w:rPr>
      </w:pPr>
    </w:p>
    <w:p w:rsidR="0099470B" w:rsidRPr="000B76CE" w:rsidRDefault="0099470B" w:rsidP="006B52ED">
      <w:pPr>
        <w:pStyle w:val="ListParagraph"/>
        <w:spacing w:after="0" w:line="240" w:lineRule="auto"/>
        <w:jc w:val="both"/>
        <w:rPr>
          <w:rFonts w:ascii="Montserrat" w:hAnsi="Montserrat" w:cs="Arial"/>
          <w:b/>
          <w:color w:val="000000" w:themeColor="text1"/>
        </w:rPr>
      </w:pPr>
      <w:r w:rsidRPr="000B76CE">
        <w:rPr>
          <w:rFonts w:ascii="Montserrat" w:hAnsi="Montserrat" w:cs="Arial"/>
          <w:color w:val="000000" w:themeColor="text1"/>
        </w:rPr>
        <w:t xml:space="preserve">La Ley General fue expedida por el Congreso mexicano, con fundamento en el artículo 73, fracción XXI de la Constitución Política de los Estados Unidos Mexicanos y define en términos de la Convención, los tipos penales de Tortura y de Tratos Crueles, Inhumanos o Degradantes, así como las penas que corresponden a quienes cometen estos ilícitos. </w:t>
      </w:r>
    </w:p>
    <w:p w:rsidR="0099470B" w:rsidRPr="000B76CE" w:rsidRDefault="0099470B" w:rsidP="006B52ED">
      <w:pPr>
        <w:pStyle w:val="ListParagraph"/>
        <w:spacing w:after="0" w:line="240" w:lineRule="auto"/>
        <w:jc w:val="both"/>
        <w:rPr>
          <w:rFonts w:ascii="Montserrat" w:hAnsi="Montserrat" w:cs="Arial"/>
          <w:color w:val="000000" w:themeColor="text1"/>
        </w:rPr>
      </w:pPr>
      <w:r w:rsidRPr="000B76CE">
        <w:rPr>
          <w:rFonts w:ascii="Montserrat" w:hAnsi="Montserrat" w:cs="Arial"/>
          <w:color w:val="000000" w:themeColor="text1"/>
        </w:rPr>
        <w:t xml:space="preserve">Este ordenamiento es de </w:t>
      </w:r>
      <w:r w:rsidRPr="000B76CE">
        <w:rPr>
          <w:rFonts w:ascii="Montserrat" w:hAnsi="Montserrat" w:cs="Arial"/>
          <w:b/>
          <w:color w:val="000000" w:themeColor="text1"/>
        </w:rPr>
        <w:t>observancia general</w:t>
      </w:r>
      <w:r w:rsidRPr="000B76CE">
        <w:rPr>
          <w:rFonts w:ascii="Montserrat" w:hAnsi="Montserrat" w:cs="Arial"/>
          <w:color w:val="000000" w:themeColor="text1"/>
        </w:rPr>
        <w:t xml:space="preserve"> </w:t>
      </w:r>
      <w:r w:rsidR="002C699A">
        <w:rPr>
          <w:rFonts w:ascii="Montserrat" w:hAnsi="Montserrat" w:cs="Arial"/>
          <w:color w:val="000000" w:themeColor="text1"/>
        </w:rPr>
        <w:t xml:space="preserve">tanto </w:t>
      </w:r>
      <w:r w:rsidRPr="000B76CE">
        <w:rPr>
          <w:rFonts w:ascii="Montserrat" w:hAnsi="Montserrat" w:cs="Arial"/>
          <w:color w:val="000000" w:themeColor="text1"/>
        </w:rPr>
        <w:t>para</w:t>
      </w:r>
      <w:r w:rsidR="002C699A">
        <w:rPr>
          <w:rFonts w:ascii="Montserrat" w:hAnsi="Montserrat" w:cs="Arial"/>
          <w:color w:val="000000" w:themeColor="text1"/>
        </w:rPr>
        <w:t xml:space="preserve"> las autoridades federales, como para las</w:t>
      </w:r>
      <w:r w:rsidRPr="000B76CE">
        <w:rPr>
          <w:rFonts w:ascii="Montserrat" w:hAnsi="Montserrat" w:cs="Arial"/>
          <w:color w:val="000000" w:themeColor="text1"/>
        </w:rPr>
        <w:t xml:space="preserve"> estatales, por lo que los tipos penales y sanciones ahí previstos constituyen el estándar para todos los niveles de gobierno. Las autoridades estatales no pueden restringir o reducir las descripciones de los delitos y las penas, por lo que no es necesario que cada una de las 32 entidades federativas homologuen sus legislaciones. Para que lo anterior se encontrara de acuerdo al orden jurídico mexicano, fue necesaria dicha reforma constitucional, facultando así al Congreso de la Unión, para legislar respecto de competencias que de manera ordinaria se encontraban en el fuero de las entidades federativas. </w:t>
      </w:r>
    </w:p>
    <w:p w:rsidR="006B52ED" w:rsidRPr="000B76CE" w:rsidRDefault="006B52ED" w:rsidP="006B52ED">
      <w:pPr>
        <w:pStyle w:val="ListParagraph"/>
        <w:spacing w:after="0" w:line="240" w:lineRule="auto"/>
        <w:jc w:val="both"/>
        <w:rPr>
          <w:rFonts w:ascii="Montserrat" w:hAnsi="Montserrat" w:cs="Arial"/>
          <w:b/>
          <w:color w:val="000000" w:themeColor="text1"/>
        </w:rPr>
      </w:pPr>
    </w:p>
    <w:p w:rsidR="0099470B" w:rsidRPr="000B76CE" w:rsidRDefault="0099470B" w:rsidP="006B52ED">
      <w:pPr>
        <w:spacing w:after="0" w:line="240" w:lineRule="auto"/>
        <w:jc w:val="both"/>
        <w:rPr>
          <w:rFonts w:ascii="Montserrat" w:hAnsi="Montserrat"/>
        </w:rPr>
      </w:pPr>
      <w:r w:rsidRPr="000B76CE">
        <w:rPr>
          <w:rFonts w:ascii="Montserrat" w:hAnsi="Montserrat"/>
          <w:b/>
        </w:rPr>
        <w:t>Anexo:</w:t>
      </w:r>
      <w:r w:rsidRPr="000B76CE">
        <w:rPr>
          <w:rFonts w:ascii="Montserrat" w:hAnsi="Montserrat"/>
        </w:rPr>
        <w:t xml:space="preserve"> Interpretación de la Suprema Corte Suprema de Justicia, respecto de leyes generales en el ordenamiento jurídico mexicano </w:t>
      </w:r>
    </w:p>
    <w:p w:rsidR="0099470B" w:rsidRPr="000B76CE" w:rsidRDefault="0099470B" w:rsidP="006B52ED">
      <w:pPr>
        <w:spacing w:after="0" w:line="240" w:lineRule="auto"/>
        <w:rPr>
          <w:rFonts w:ascii="Montserrat" w:hAnsi="Montserrat"/>
          <w:u w:val="single"/>
        </w:rPr>
      </w:pPr>
    </w:p>
    <w:p w:rsidR="0099470B" w:rsidRPr="000B76CE" w:rsidRDefault="0099470B" w:rsidP="006B52ED">
      <w:pPr>
        <w:pStyle w:val="ListParagraph"/>
        <w:numPr>
          <w:ilvl w:val="0"/>
          <w:numId w:val="2"/>
        </w:numPr>
        <w:spacing w:after="0" w:line="240" w:lineRule="auto"/>
        <w:rPr>
          <w:rFonts w:ascii="Montserrat" w:hAnsi="Montserrat"/>
          <w:u w:val="single"/>
        </w:rPr>
      </w:pPr>
      <w:r w:rsidRPr="000B76CE">
        <w:rPr>
          <w:rFonts w:ascii="Montserrat" w:hAnsi="Montserrat"/>
          <w:u w:val="single"/>
        </w:rPr>
        <w:t xml:space="preserve">Programa Nacional </w:t>
      </w:r>
    </w:p>
    <w:p w:rsidR="006B52ED" w:rsidRPr="000B76CE" w:rsidRDefault="006B52ED" w:rsidP="006B52ED">
      <w:pPr>
        <w:pStyle w:val="ListParagraph"/>
        <w:spacing w:after="0" w:line="240" w:lineRule="auto"/>
        <w:rPr>
          <w:rFonts w:ascii="Montserrat" w:hAnsi="Montserrat"/>
          <w:u w:val="single"/>
        </w:rPr>
      </w:pPr>
    </w:p>
    <w:p w:rsidR="0099470B" w:rsidRPr="000B76CE" w:rsidRDefault="0099470B" w:rsidP="006B52ED">
      <w:pPr>
        <w:spacing w:after="0" w:line="240" w:lineRule="auto"/>
        <w:jc w:val="both"/>
        <w:rPr>
          <w:rFonts w:ascii="Montserrat" w:hAnsi="Montserrat" w:cs="Arial"/>
          <w:color w:val="000000" w:themeColor="text1"/>
        </w:rPr>
      </w:pPr>
      <w:r w:rsidRPr="000B76CE">
        <w:rPr>
          <w:rFonts w:ascii="Montserrat" w:eastAsia="Times New Roman" w:hAnsi="Montserrat" w:cs="Arial"/>
          <w:color w:val="000000" w:themeColor="text1"/>
          <w:lang w:eastAsia="es-MX"/>
        </w:rPr>
        <w:t>Por lo que hace al Programa Nacional cabe aclarar que, ya fue presentado un proyecto del mismo ante el Mecanismo Nacional de Prevención de la Tortura (CNDH), ante los mecanismos estatales de derechos humanos y la Conferencia Nacional de Procuración de Justicia (CNPJ), espacio que reúne a las Procuradurías y Fiscalías federal y estatales</w:t>
      </w:r>
      <w:r w:rsidRPr="000B76CE">
        <w:rPr>
          <w:rFonts w:ascii="Montserrat" w:hAnsi="Montserrat" w:cs="Arial"/>
          <w:color w:val="000000" w:themeColor="text1"/>
        </w:rPr>
        <w:t>.</w:t>
      </w:r>
    </w:p>
    <w:p w:rsidR="006B52ED" w:rsidRPr="000B76CE" w:rsidRDefault="006B52ED" w:rsidP="006B52ED">
      <w:pPr>
        <w:spacing w:after="0" w:line="240" w:lineRule="auto"/>
        <w:jc w:val="both"/>
        <w:rPr>
          <w:rFonts w:ascii="Montserrat" w:eastAsia="Times New Roman" w:hAnsi="Montserrat" w:cs="Arial"/>
          <w:bCs/>
          <w:color w:val="000000" w:themeColor="text1"/>
          <w:lang w:eastAsia="es-MX"/>
        </w:rPr>
      </w:pPr>
    </w:p>
    <w:p w:rsidR="0099470B" w:rsidRPr="000B76CE" w:rsidRDefault="0099470B" w:rsidP="006B52ED">
      <w:pPr>
        <w:spacing w:after="0" w:line="240" w:lineRule="auto"/>
        <w:jc w:val="both"/>
        <w:rPr>
          <w:rFonts w:ascii="Montserrat" w:hAnsi="Montserrat" w:cs="Arial"/>
          <w:color w:val="000000" w:themeColor="text1"/>
          <w:lang w:val="es-ES"/>
        </w:rPr>
      </w:pPr>
      <w:r w:rsidRPr="000B76CE">
        <w:rPr>
          <w:rFonts w:ascii="Montserrat" w:hAnsi="Montserrat" w:cs="Arial"/>
          <w:color w:val="000000" w:themeColor="text1"/>
        </w:rPr>
        <w:t xml:space="preserve">Adicionalmente, </w:t>
      </w:r>
      <w:r w:rsidRPr="000B76CE">
        <w:rPr>
          <w:rFonts w:ascii="Montserrat" w:hAnsi="Montserrat" w:cs="Arial"/>
          <w:color w:val="000000" w:themeColor="text1"/>
          <w:lang w:val="es-ES"/>
        </w:rPr>
        <w:t>l</w:t>
      </w:r>
      <w:r w:rsidRPr="000B76CE">
        <w:rPr>
          <w:rFonts w:ascii="Montserrat" w:hAnsi="Montserrat" w:cs="Arial"/>
          <w:color w:val="000000" w:themeColor="text1"/>
        </w:rPr>
        <w:t xml:space="preserve">a Fiscalía </w:t>
      </w:r>
      <w:r w:rsidRPr="000B76CE">
        <w:rPr>
          <w:rFonts w:ascii="Montserrat" w:hAnsi="Montserrat" w:cs="Arial"/>
          <w:color w:val="000000" w:themeColor="text1"/>
          <w:lang w:val="es-ES"/>
        </w:rPr>
        <w:t>remitió el mes octubre pasado el citado proyecto a las Organizaciones de la Sociedad Civil, la Oficina del Alto Comisionado de la ONU en México, dependencias del gobierno mexicano competentes e instituciones académicas, a efecto de que realicen aportaciones al mismo.</w:t>
      </w:r>
    </w:p>
    <w:p w:rsidR="006B52ED" w:rsidRPr="000B76CE" w:rsidRDefault="006B52ED" w:rsidP="006B52ED">
      <w:pPr>
        <w:spacing w:after="0" w:line="240" w:lineRule="auto"/>
        <w:jc w:val="both"/>
        <w:rPr>
          <w:rFonts w:ascii="Montserrat" w:hAnsi="Montserrat" w:cs="Arial"/>
          <w:bCs/>
          <w:color w:val="000000" w:themeColor="text1"/>
          <w:lang w:val="es-ES"/>
        </w:rPr>
      </w:pPr>
    </w:p>
    <w:p w:rsidR="0099470B" w:rsidRPr="000B76CE" w:rsidRDefault="0099470B" w:rsidP="006B52ED">
      <w:pPr>
        <w:spacing w:after="0" w:line="240" w:lineRule="auto"/>
        <w:jc w:val="both"/>
        <w:rPr>
          <w:rFonts w:ascii="Montserrat" w:hAnsi="Montserrat" w:cs="Arial"/>
          <w:color w:val="000000" w:themeColor="text1"/>
        </w:rPr>
      </w:pPr>
      <w:r w:rsidRPr="000B76CE">
        <w:rPr>
          <w:rFonts w:ascii="Montserrat" w:hAnsi="Montserrat" w:cs="Arial"/>
          <w:color w:val="000000" w:themeColor="text1"/>
          <w:lang w:val="es-ES"/>
        </w:rPr>
        <w:t>Es importante señalar que el 30 de abril</w:t>
      </w:r>
      <w:r w:rsidR="002C699A">
        <w:rPr>
          <w:rFonts w:ascii="Montserrat" w:hAnsi="Montserrat" w:cs="Arial"/>
          <w:color w:val="000000" w:themeColor="text1"/>
          <w:lang w:val="es-ES"/>
        </w:rPr>
        <w:t xml:space="preserve"> de 2019</w:t>
      </w:r>
      <w:r w:rsidRPr="000B76CE">
        <w:rPr>
          <w:rFonts w:ascii="Montserrat" w:hAnsi="Montserrat" w:cs="Arial"/>
          <w:color w:val="000000" w:themeColor="text1"/>
          <w:lang w:val="es-ES"/>
        </w:rPr>
        <w:t xml:space="preserve"> se realizará en la Ciudad de México el </w:t>
      </w:r>
      <w:r w:rsidRPr="000B76CE">
        <w:rPr>
          <w:rFonts w:ascii="Montserrat" w:hAnsi="Montserrat" w:cs="Arial"/>
          <w:i/>
          <w:color w:val="000000" w:themeColor="text1"/>
          <w:lang w:val="es-ES"/>
        </w:rPr>
        <w:t>“Encuentro de Reflexión hacia un Programa para Prevenir y Sancionar la Tortura</w:t>
      </w:r>
      <w:r w:rsidRPr="000B76CE">
        <w:rPr>
          <w:rFonts w:ascii="Montserrat" w:hAnsi="Montserrat" w:cs="Arial"/>
          <w:color w:val="000000" w:themeColor="text1"/>
          <w:lang w:val="es-ES"/>
        </w:rPr>
        <w:t xml:space="preserve">” a la que han sido invitadas las Organizaciones de la Sociedad Civil, así como instancias públicas e internacionales, a fin de encontrar un consenso en términos de la Ley General, que </w:t>
      </w:r>
      <w:r w:rsidRPr="000B76CE">
        <w:rPr>
          <w:rFonts w:ascii="Montserrat" w:hAnsi="Montserrat" w:cs="Arial"/>
          <w:color w:val="000000" w:themeColor="text1"/>
        </w:rPr>
        <w:t>garantice la coordinación nacional en el diseño, elaboración, instrumentación y aplicación de dicho Programa.</w:t>
      </w:r>
    </w:p>
    <w:p w:rsidR="006B52ED" w:rsidRPr="000B76CE" w:rsidRDefault="006B52ED" w:rsidP="006B52ED">
      <w:pPr>
        <w:spacing w:after="0" w:line="240" w:lineRule="auto"/>
        <w:jc w:val="both"/>
        <w:rPr>
          <w:rFonts w:ascii="Montserrat" w:hAnsi="Montserrat" w:cs="Arial"/>
          <w:bCs/>
          <w:color w:val="000000" w:themeColor="text1"/>
        </w:rPr>
      </w:pPr>
    </w:p>
    <w:p w:rsidR="0099470B" w:rsidRPr="000B76CE" w:rsidRDefault="0099470B" w:rsidP="006B52ED">
      <w:pPr>
        <w:spacing w:after="0" w:line="240" w:lineRule="auto"/>
        <w:jc w:val="both"/>
        <w:rPr>
          <w:rFonts w:ascii="Montserrat" w:hAnsi="Montserrat" w:cs="Arial"/>
          <w:color w:val="000000" w:themeColor="text1"/>
        </w:rPr>
      </w:pPr>
      <w:r w:rsidRPr="000B76CE">
        <w:rPr>
          <w:rFonts w:ascii="Montserrat" w:hAnsi="Montserrat" w:cs="Arial"/>
          <w:color w:val="000000" w:themeColor="text1"/>
        </w:rPr>
        <w:t xml:space="preserve">Este Encuentro cuenta con el apoyo de los gobiernos de Alemania y de los Estados Unidos de América. </w:t>
      </w:r>
    </w:p>
    <w:p w:rsidR="006B52ED" w:rsidRPr="000B76CE" w:rsidRDefault="006B52ED" w:rsidP="006B52ED">
      <w:pPr>
        <w:spacing w:after="0" w:line="240" w:lineRule="auto"/>
        <w:jc w:val="both"/>
        <w:rPr>
          <w:rFonts w:ascii="Montserrat" w:hAnsi="Montserrat" w:cs="Arial"/>
          <w:bCs/>
          <w:color w:val="000000" w:themeColor="text1"/>
        </w:rPr>
      </w:pPr>
    </w:p>
    <w:p w:rsidR="0099470B" w:rsidRDefault="0099470B" w:rsidP="006B52ED">
      <w:pPr>
        <w:pStyle w:val="ListParagraph"/>
        <w:numPr>
          <w:ilvl w:val="0"/>
          <w:numId w:val="2"/>
        </w:numPr>
        <w:spacing w:after="0" w:line="240" w:lineRule="auto"/>
        <w:rPr>
          <w:rFonts w:ascii="Montserrat" w:hAnsi="Montserrat"/>
          <w:u w:val="single"/>
        </w:rPr>
      </w:pPr>
      <w:r w:rsidRPr="000B76CE">
        <w:rPr>
          <w:rFonts w:ascii="Montserrat" w:hAnsi="Montserrat"/>
          <w:u w:val="single"/>
        </w:rPr>
        <w:t>Protocolo Homologado</w:t>
      </w:r>
    </w:p>
    <w:p w:rsidR="00236014" w:rsidRPr="000B76CE" w:rsidRDefault="00236014" w:rsidP="00236014">
      <w:pPr>
        <w:pStyle w:val="ListParagraph"/>
        <w:spacing w:after="0" w:line="240" w:lineRule="auto"/>
        <w:rPr>
          <w:rFonts w:ascii="Montserrat" w:hAnsi="Montserrat"/>
          <w:u w:val="single"/>
        </w:rPr>
      </w:pPr>
    </w:p>
    <w:p w:rsidR="0099470B" w:rsidRPr="000B76CE" w:rsidRDefault="0099470B" w:rsidP="006B52ED">
      <w:pPr>
        <w:widowControl w:val="0"/>
        <w:spacing w:after="0" w:line="240" w:lineRule="auto"/>
        <w:jc w:val="both"/>
        <w:rPr>
          <w:rFonts w:ascii="Montserrat" w:hAnsi="Montserrat" w:cs="Arial"/>
          <w:color w:val="000000" w:themeColor="text1"/>
          <w:lang w:val="es-419"/>
        </w:rPr>
      </w:pPr>
      <w:r w:rsidRPr="000B76CE">
        <w:rPr>
          <w:rFonts w:ascii="Montserrat" w:hAnsi="Montserrat" w:cs="Arial"/>
          <w:color w:val="000000" w:themeColor="text1"/>
          <w:lang w:val="es-419"/>
        </w:rPr>
        <w:t xml:space="preserve">El Protocolo Homologado en el titulo relativo al </w:t>
      </w:r>
      <w:r w:rsidRPr="000B76CE">
        <w:rPr>
          <w:rFonts w:ascii="Montserrat" w:hAnsi="Montserrat" w:cs="Arial"/>
          <w:i/>
          <w:color w:val="000000" w:themeColor="text1"/>
          <w:lang w:val="es-419"/>
        </w:rPr>
        <w:t>Inicio de la Investigación</w:t>
      </w:r>
      <w:r w:rsidRPr="000B76CE">
        <w:rPr>
          <w:rFonts w:ascii="Montserrat" w:hAnsi="Montserrat" w:cs="Arial"/>
          <w:color w:val="000000" w:themeColor="text1"/>
          <w:lang w:val="es-419"/>
        </w:rPr>
        <w:t xml:space="preserve"> </w:t>
      </w:r>
      <w:proofErr w:type="gramStart"/>
      <w:r w:rsidRPr="000B76CE">
        <w:rPr>
          <w:rFonts w:ascii="Montserrat" w:hAnsi="Montserrat" w:cs="Arial"/>
          <w:color w:val="000000" w:themeColor="text1"/>
          <w:lang w:val="es-419"/>
        </w:rPr>
        <w:t>establece  lo</w:t>
      </w:r>
      <w:proofErr w:type="gramEnd"/>
      <w:r w:rsidRPr="000B76CE">
        <w:rPr>
          <w:rFonts w:ascii="Montserrat" w:hAnsi="Montserrat" w:cs="Arial"/>
          <w:color w:val="000000" w:themeColor="text1"/>
          <w:lang w:val="es-419"/>
        </w:rPr>
        <w:t xml:space="preserve"> siguiente: </w:t>
      </w:r>
    </w:p>
    <w:p w:rsidR="006B52ED" w:rsidRPr="000B76CE" w:rsidRDefault="006B52ED" w:rsidP="006B52ED">
      <w:pPr>
        <w:widowControl w:val="0"/>
        <w:spacing w:after="0" w:line="240" w:lineRule="auto"/>
        <w:jc w:val="both"/>
        <w:rPr>
          <w:rFonts w:ascii="Montserrat" w:hAnsi="Montserrat" w:cs="Arial"/>
          <w:b/>
          <w:color w:val="000000" w:themeColor="text1"/>
          <w:lang w:val="es-419"/>
        </w:rPr>
      </w:pPr>
    </w:p>
    <w:p w:rsidR="0099470B" w:rsidRPr="000B76CE" w:rsidRDefault="0099470B" w:rsidP="006B52ED">
      <w:pPr>
        <w:pStyle w:val="ListParagraph"/>
        <w:widowControl w:val="0"/>
        <w:numPr>
          <w:ilvl w:val="1"/>
          <w:numId w:val="2"/>
        </w:numPr>
        <w:spacing w:after="0" w:line="240" w:lineRule="auto"/>
        <w:jc w:val="both"/>
        <w:rPr>
          <w:rFonts w:ascii="Montserrat" w:hAnsi="Montserrat" w:cs="Arial"/>
          <w:b/>
          <w:color w:val="000000" w:themeColor="text1"/>
          <w:lang w:val="es-419"/>
        </w:rPr>
      </w:pPr>
      <w:r w:rsidRPr="000B76CE">
        <w:rPr>
          <w:rFonts w:ascii="Montserrat" w:hAnsi="Montserrat" w:cs="Arial"/>
          <w:color w:val="000000" w:themeColor="text1"/>
          <w:lang w:val="es-419"/>
        </w:rPr>
        <w:t xml:space="preserve">El Protocolo precisa </w:t>
      </w:r>
      <w:proofErr w:type="gramStart"/>
      <w:r w:rsidRPr="000B76CE">
        <w:rPr>
          <w:rFonts w:ascii="Montserrat" w:hAnsi="Montserrat" w:cs="Arial"/>
          <w:color w:val="000000" w:themeColor="text1"/>
          <w:lang w:val="es-419"/>
        </w:rPr>
        <w:t>que</w:t>
      </w:r>
      <w:proofErr w:type="gramEnd"/>
      <w:r w:rsidRPr="000B76CE">
        <w:rPr>
          <w:rFonts w:ascii="Montserrat" w:hAnsi="Montserrat" w:cs="Arial"/>
          <w:color w:val="000000" w:themeColor="text1"/>
          <w:lang w:val="es-419"/>
        </w:rPr>
        <w:t xml:space="preserve"> en caso de flagrancia o urgencia, el Ministerio Público que conozca de la denuncia o vista, deberá de realizar las diligencias que no admitan demora, solicitará la intervención de peritos médicos y psicólogos especializados, e informará a la Fiscalía Especializada correspondiente, a fin de remitirle el expediente o bien acordar que personal de dicha Fiscalía se traslade al sitio en el que se encuentra el detenido, a fin de que lo asesore.</w:t>
      </w:r>
    </w:p>
    <w:p w:rsidR="0099470B" w:rsidRPr="000B76CE" w:rsidRDefault="0099470B" w:rsidP="006B52ED">
      <w:pPr>
        <w:pStyle w:val="ListParagraph"/>
        <w:widowControl w:val="0"/>
        <w:numPr>
          <w:ilvl w:val="1"/>
          <w:numId w:val="2"/>
        </w:numPr>
        <w:spacing w:after="0" w:line="240" w:lineRule="auto"/>
        <w:jc w:val="both"/>
        <w:rPr>
          <w:rFonts w:ascii="Montserrat" w:hAnsi="Montserrat" w:cs="Arial"/>
          <w:b/>
          <w:color w:val="000000" w:themeColor="text1"/>
          <w:lang w:val="es-419"/>
        </w:rPr>
      </w:pPr>
      <w:r w:rsidRPr="000B76CE">
        <w:rPr>
          <w:rFonts w:ascii="Montserrat" w:hAnsi="Montserrat" w:cs="Arial"/>
          <w:color w:val="000000" w:themeColor="text1"/>
          <w:lang w:val="es-419"/>
        </w:rPr>
        <w:t xml:space="preserve">En caso de que los hechos se adecuen al tipo penal de tortura, la o el agente del Ministerio Público, previo a la apertura de la carpeta de investigación y su remisión a la fiscalía especializada, deberá localizar a la víctima, a la cual informará de sus derechos y entrevistará para que aporte información sobre los hechos. </w:t>
      </w:r>
    </w:p>
    <w:p w:rsidR="0099470B" w:rsidRPr="000B76CE" w:rsidRDefault="0099470B" w:rsidP="006B52ED">
      <w:pPr>
        <w:pStyle w:val="ListParagraph"/>
        <w:widowControl w:val="0"/>
        <w:numPr>
          <w:ilvl w:val="1"/>
          <w:numId w:val="2"/>
        </w:numPr>
        <w:spacing w:after="0" w:line="240" w:lineRule="auto"/>
        <w:jc w:val="both"/>
        <w:rPr>
          <w:rFonts w:ascii="Montserrat" w:hAnsi="Montserrat" w:cs="Arial"/>
          <w:b/>
          <w:color w:val="000000" w:themeColor="text1"/>
          <w:lang w:val="es-419"/>
        </w:rPr>
      </w:pPr>
      <w:r w:rsidRPr="000B76CE">
        <w:rPr>
          <w:rFonts w:ascii="Montserrat" w:hAnsi="Montserrat" w:cs="Arial"/>
          <w:color w:val="000000" w:themeColor="text1"/>
          <w:lang w:val="es-419"/>
        </w:rPr>
        <w:t>Deberá además obtener y recabar dictámenes de integridad física, psicológicos o psiquiátricos que se hayan realizado a la víctima al momento de su detención. el registro de detención, el Informe Policial, así como las entrevistas que se hayan realizado y solicitar el dictamen pericial de mecánica de lesiones y/o psicológico.</w:t>
      </w:r>
    </w:p>
    <w:p w:rsidR="006B52ED" w:rsidRPr="000B76CE" w:rsidRDefault="006B52ED" w:rsidP="006B52ED">
      <w:pPr>
        <w:pStyle w:val="ListParagraph"/>
        <w:widowControl w:val="0"/>
        <w:spacing w:after="0" w:line="240" w:lineRule="auto"/>
        <w:ind w:left="1211"/>
        <w:jc w:val="both"/>
        <w:rPr>
          <w:rFonts w:ascii="Montserrat" w:hAnsi="Montserrat" w:cs="Arial"/>
          <w:b/>
          <w:color w:val="000000" w:themeColor="text1"/>
          <w:lang w:val="es-419"/>
        </w:rPr>
      </w:pPr>
    </w:p>
    <w:p w:rsidR="0099470B" w:rsidRPr="000B76CE" w:rsidRDefault="0099470B" w:rsidP="006B52ED">
      <w:pPr>
        <w:widowControl w:val="0"/>
        <w:spacing w:after="0" w:line="240" w:lineRule="auto"/>
        <w:jc w:val="both"/>
        <w:rPr>
          <w:rFonts w:ascii="Montserrat" w:hAnsi="Montserrat" w:cs="Arial"/>
          <w:color w:val="000000" w:themeColor="text1"/>
          <w:lang w:val="es-419"/>
        </w:rPr>
      </w:pPr>
      <w:r w:rsidRPr="000B76CE">
        <w:rPr>
          <w:rFonts w:ascii="Montserrat" w:hAnsi="Montserrat" w:cs="Arial"/>
          <w:color w:val="000000" w:themeColor="text1"/>
          <w:lang w:val="es-419"/>
        </w:rPr>
        <w:t>Es necesario señalar que los lineamientos referidos, no constituye</w:t>
      </w:r>
      <w:r w:rsidR="002C699A">
        <w:rPr>
          <w:rFonts w:ascii="Montserrat" w:hAnsi="Montserrat" w:cs="Arial"/>
          <w:color w:val="000000" w:themeColor="text1"/>
          <w:lang w:val="es-419"/>
        </w:rPr>
        <w:t>n</w:t>
      </w:r>
      <w:r w:rsidRPr="000B76CE">
        <w:rPr>
          <w:rFonts w:ascii="Montserrat" w:hAnsi="Montserrat" w:cs="Arial"/>
          <w:color w:val="000000" w:themeColor="text1"/>
          <w:lang w:val="es-419"/>
        </w:rPr>
        <w:t xml:space="preserve"> una pre-investigación, una instancia adicional de investigación u obstáculo para la investigación del delito de tortura y otros malos tratos, como ha sido interpretado, sino constituye una medida para dar atención </w:t>
      </w:r>
      <w:r w:rsidR="002C699A">
        <w:rPr>
          <w:rFonts w:ascii="Montserrat" w:hAnsi="Montserrat" w:cs="Arial"/>
          <w:color w:val="000000" w:themeColor="text1"/>
          <w:lang w:val="es-419"/>
        </w:rPr>
        <w:t>temprana</w:t>
      </w:r>
      <w:r w:rsidRPr="000B76CE">
        <w:rPr>
          <w:rFonts w:ascii="Montserrat" w:hAnsi="Montserrat" w:cs="Arial"/>
          <w:color w:val="000000" w:themeColor="text1"/>
          <w:lang w:val="es-419"/>
        </w:rPr>
        <w:t xml:space="preserve"> a la probable víctima y asistir en un primer momento a las fiscalías especializadas, a fin de desahogar acciones de investigación y recabar de forma inmediata y oportuna datos de prueba.  </w:t>
      </w:r>
    </w:p>
    <w:p w:rsidR="006B52ED" w:rsidRPr="000B76CE" w:rsidRDefault="006B52ED" w:rsidP="006B52ED">
      <w:pPr>
        <w:widowControl w:val="0"/>
        <w:spacing w:after="0" w:line="240" w:lineRule="auto"/>
        <w:jc w:val="both"/>
        <w:rPr>
          <w:rFonts w:ascii="Montserrat" w:hAnsi="Montserrat" w:cs="Arial"/>
          <w:b/>
          <w:color w:val="000000" w:themeColor="text1"/>
          <w:lang w:val="es-419"/>
        </w:rPr>
      </w:pPr>
    </w:p>
    <w:p w:rsidR="0099470B" w:rsidRPr="000B76CE" w:rsidRDefault="0099470B" w:rsidP="006B52ED">
      <w:pPr>
        <w:widowControl w:val="0"/>
        <w:spacing w:after="0" w:line="240" w:lineRule="auto"/>
        <w:jc w:val="both"/>
        <w:rPr>
          <w:rFonts w:ascii="Montserrat" w:hAnsi="Montserrat" w:cs="Arial"/>
          <w:color w:val="000000" w:themeColor="text1"/>
          <w:lang w:val="es-419"/>
        </w:rPr>
      </w:pPr>
      <w:r w:rsidRPr="000B76CE">
        <w:rPr>
          <w:rFonts w:ascii="Montserrat" w:hAnsi="Montserrat" w:cs="Arial"/>
          <w:color w:val="000000" w:themeColor="text1"/>
          <w:lang w:val="es-419"/>
        </w:rPr>
        <w:t>Cabe recordar que México es una federación integrada por 32 entidades soberanas, cada una con fiscalías o procuradurías de justicia, así como que la Fiscalía General de la República cuenta con una delegación estatal y diversas subsedes en cada Estado, por lo que la noticia criminal puede ser recibida en cualquiera de sus oficinas y tramitarse bajo dicha metodología homologada, misma que da certeza del actual del ministerio público en todo el territorio nacional.</w:t>
      </w:r>
    </w:p>
    <w:p w:rsidR="006B52ED" w:rsidRPr="000B76CE" w:rsidRDefault="006B52ED" w:rsidP="006B52ED">
      <w:pPr>
        <w:widowControl w:val="0"/>
        <w:spacing w:after="0" w:line="240" w:lineRule="auto"/>
        <w:jc w:val="both"/>
        <w:rPr>
          <w:rFonts w:ascii="Montserrat" w:hAnsi="Montserrat" w:cs="Arial"/>
          <w:bCs/>
          <w:color w:val="000000" w:themeColor="text1"/>
          <w:lang w:val="es-419"/>
        </w:rPr>
      </w:pPr>
    </w:p>
    <w:p w:rsidR="0099470B" w:rsidRPr="000B76CE" w:rsidRDefault="0099470B" w:rsidP="006B52ED">
      <w:pPr>
        <w:pStyle w:val="ListParagraph"/>
        <w:numPr>
          <w:ilvl w:val="0"/>
          <w:numId w:val="2"/>
        </w:numPr>
        <w:spacing w:after="0" w:line="240" w:lineRule="auto"/>
        <w:rPr>
          <w:rFonts w:ascii="Montserrat" w:hAnsi="Montserrat"/>
          <w:u w:val="single"/>
        </w:rPr>
      </w:pPr>
      <w:r w:rsidRPr="000B76CE">
        <w:rPr>
          <w:rFonts w:ascii="Montserrat" w:hAnsi="Montserrat"/>
          <w:u w:val="single"/>
        </w:rPr>
        <w:t>Registro Nacional</w:t>
      </w:r>
      <w:r w:rsidR="002C699A">
        <w:rPr>
          <w:rFonts w:ascii="Montserrat" w:hAnsi="Montserrat"/>
          <w:u w:val="single"/>
        </w:rPr>
        <w:t xml:space="preserve"> de Tortura</w:t>
      </w:r>
    </w:p>
    <w:p w:rsidR="006B52ED" w:rsidRPr="000B76CE" w:rsidRDefault="006B52ED" w:rsidP="006B52ED">
      <w:pPr>
        <w:pStyle w:val="ListParagraph"/>
        <w:spacing w:after="0" w:line="240" w:lineRule="auto"/>
        <w:rPr>
          <w:rFonts w:ascii="Montserrat" w:hAnsi="Montserrat"/>
          <w:u w:val="single"/>
        </w:rPr>
      </w:pPr>
    </w:p>
    <w:p w:rsidR="0099470B" w:rsidRPr="000B76CE" w:rsidRDefault="0099470B" w:rsidP="006B52ED">
      <w:pPr>
        <w:spacing w:after="0" w:line="240" w:lineRule="auto"/>
        <w:jc w:val="both"/>
        <w:rPr>
          <w:rFonts w:ascii="Montserrat" w:eastAsia="Times New Roman" w:hAnsi="Montserrat" w:cs="Arial"/>
          <w:color w:val="000000"/>
          <w:lang w:eastAsia="es-MX"/>
        </w:rPr>
      </w:pPr>
      <w:r w:rsidRPr="000B76CE">
        <w:rPr>
          <w:rFonts w:ascii="Montserrat" w:eastAsia="Times New Roman" w:hAnsi="Montserrat" w:cs="Arial"/>
          <w:color w:val="000000"/>
          <w:lang w:eastAsia="es-MX"/>
        </w:rPr>
        <w:t xml:space="preserve">Uno de los principales retos que enfrenta el gobierno de México es el desarrollo de indicadores y estadísticas integrales y confiables en materia de casos de tortura y otros tratos crueles, su investigación, persecución y castigo, que reflejen de manera precisa y permitan medir los esfuerzos realizados por las autoridades para prevenir y combatir este delito. </w:t>
      </w:r>
    </w:p>
    <w:p w:rsidR="006B52ED" w:rsidRPr="000B76CE" w:rsidRDefault="006B52ED" w:rsidP="006B52ED">
      <w:pPr>
        <w:spacing w:after="0" w:line="240" w:lineRule="auto"/>
        <w:jc w:val="both"/>
        <w:rPr>
          <w:rFonts w:ascii="Montserrat" w:eastAsia="Times New Roman" w:hAnsi="Montserrat" w:cs="Arial"/>
          <w:color w:val="000000"/>
          <w:lang w:eastAsia="es-MX"/>
        </w:rPr>
      </w:pPr>
    </w:p>
    <w:p w:rsidR="0099470B" w:rsidRPr="000B76CE" w:rsidRDefault="0099470B" w:rsidP="006B52ED">
      <w:pPr>
        <w:spacing w:after="0" w:line="240" w:lineRule="auto"/>
        <w:jc w:val="both"/>
        <w:rPr>
          <w:rFonts w:ascii="Montserrat" w:eastAsia="Times New Roman" w:hAnsi="Montserrat" w:cs="Arial"/>
          <w:b/>
          <w:bCs/>
          <w:color w:val="000000"/>
          <w:lang w:eastAsia="es-MX"/>
        </w:rPr>
      </w:pPr>
      <w:r w:rsidRPr="000B76CE">
        <w:rPr>
          <w:rFonts w:ascii="Montserrat" w:eastAsia="Times New Roman" w:hAnsi="Montserrat" w:cs="Arial"/>
          <w:color w:val="000000"/>
          <w:lang w:eastAsia="es-MX"/>
        </w:rPr>
        <w:t>A este respecto, la instrumentación del Registro Nacional constituirá la herramienta fundamental para atender este compromiso del Estado mexicano.</w:t>
      </w:r>
    </w:p>
    <w:p w:rsidR="0099470B" w:rsidRPr="000B76CE" w:rsidRDefault="0099470B" w:rsidP="006B52ED">
      <w:pPr>
        <w:spacing w:after="0" w:line="240" w:lineRule="auto"/>
        <w:jc w:val="both"/>
        <w:rPr>
          <w:rFonts w:ascii="Montserrat" w:eastAsia="Times New Roman" w:hAnsi="Montserrat" w:cs="Arial"/>
          <w:color w:val="000000"/>
          <w:lang w:eastAsia="es-MX"/>
        </w:rPr>
      </w:pPr>
      <w:r w:rsidRPr="000B76CE">
        <w:rPr>
          <w:rFonts w:ascii="Montserrat" w:eastAsia="Times New Roman" w:hAnsi="Montserrat" w:cs="Arial"/>
          <w:color w:val="000000"/>
          <w:lang w:eastAsia="es-MX"/>
        </w:rPr>
        <w:lastRenderedPageBreak/>
        <w:t xml:space="preserve">En términos de la Ley General, este Registro tiene como fin integrar la información general de los hechos delictivos de tortura </w:t>
      </w:r>
      <w:r w:rsidRPr="000B76CE">
        <w:rPr>
          <w:rFonts w:ascii="Montserrat" w:eastAsia="Times New Roman" w:hAnsi="Montserrat" w:cs="Arial"/>
          <w:color w:val="000000"/>
          <w:lang w:val="es-ES" w:eastAsia="es-MX"/>
        </w:rPr>
        <w:t>y tratos o penas crueles, inhumanos o degradantes</w:t>
      </w:r>
      <w:r w:rsidRPr="000B76CE">
        <w:rPr>
          <w:rFonts w:ascii="Montserrat" w:eastAsia="Times New Roman" w:hAnsi="Montserrat" w:cs="Arial"/>
          <w:color w:val="000000"/>
          <w:lang w:eastAsia="es-MX"/>
        </w:rPr>
        <w:t xml:space="preserve">, las autoridades señaladas como posibles responsables, el estatus de las investigaciones y la información referente a las víctimas, así como los datos de las investigaciones de origen, ya sea a nivel federal o estatal. </w:t>
      </w:r>
    </w:p>
    <w:p w:rsidR="006B52ED" w:rsidRPr="000B76CE" w:rsidRDefault="006B52ED" w:rsidP="006B52ED">
      <w:pPr>
        <w:spacing w:after="0" w:line="240" w:lineRule="auto"/>
        <w:jc w:val="both"/>
        <w:rPr>
          <w:rFonts w:ascii="Montserrat" w:eastAsia="Times New Roman" w:hAnsi="Montserrat" w:cs="Arial"/>
          <w:bCs/>
          <w:color w:val="000000"/>
          <w:lang w:eastAsia="es-MX"/>
        </w:rPr>
      </w:pPr>
    </w:p>
    <w:p w:rsidR="0099470B" w:rsidRPr="000B76CE" w:rsidRDefault="0099470B" w:rsidP="006B52ED">
      <w:pPr>
        <w:spacing w:after="0" w:line="240" w:lineRule="auto"/>
        <w:jc w:val="both"/>
        <w:rPr>
          <w:rFonts w:ascii="Montserrat" w:eastAsia="Times New Roman" w:hAnsi="Montserrat" w:cs="Arial"/>
          <w:color w:val="000000"/>
          <w:lang w:eastAsia="es-MX"/>
        </w:rPr>
      </w:pPr>
      <w:r w:rsidRPr="000B76CE">
        <w:rPr>
          <w:rFonts w:ascii="Montserrat" w:eastAsia="Times New Roman" w:hAnsi="Montserrat" w:cs="Arial"/>
          <w:color w:val="000000"/>
          <w:lang w:eastAsia="es-MX"/>
        </w:rPr>
        <w:t xml:space="preserve">El sistema en su versión 1.0 </w:t>
      </w:r>
      <w:r w:rsidRPr="000B76CE">
        <w:rPr>
          <w:rFonts w:ascii="Montserrat" w:eastAsia="Times New Roman" w:hAnsi="Montserrat" w:cs="Arial"/>
          <w:color w:val="000000"/>
          <w:u w:val="single"/>
          <w:lang w:eastAsia="es-MX"/>
        </w:rPr>
        <w:t>ya se encuentra listo para operar</w:t>
      </w:r>
      <w:r w:rsidRPr="000B76CE">
        <w:rPr>
          <w:rFonts w:ascii="Montserrat" w:eastAsia="Times New Roman" w:hAnsi="Montserrat" w:cs="Arial"/>
          <w:color w:val="000000"/>
          <w:lang w:eastAsia="es-MX"/>
        </w:rPr>
        <w:t xml:space="preserve"> e iniciar la integración de la información del fuero federal y del fuero común, tan pronto como se celebren los convenios entre la Fiscalía General de la República y las Fiscalías o Procuradurías Generales de Justicia de las entidades federativas de la República Mexicana</w:t>
      </w:r>
    </w:p>
    <w:p w:rsidR="006B52ED" w:rsidRPr="000B76CE" w:rsidRDefault="006B52ED" w:rsidP="006B52ED">
      <w:pPr>
        <w:spacing w:after="0" w:line="240" w:lineRule="auto"/>
        <w:jc w:val="both"/>
        <w:rPr>
          <w:rFonts w:ascii="Montserrat" w:hAnsi="Montserrat" w:cs="Arial"/>
          <w:color w:val="000000" w:themeColor="text1"/>
          <w:u w:val="single"/>
        </w:rPr>
      </w:pPr>
    </w:p>
    <w:p w:rsidR="0099470B" w:rsidRPr="000B76CE" w:rsidRDefault="00BB32DF" w:rsidP="006B52ED">
      <w:pPr>
        <w:spacing w:after="0" w:line="240" w:lineRule="auto"/>
        <w:rPr>
          <w:rFonts w:ascii="Montserrat" w:hAnsi="Montserrat"/>
          <w:b/>
          <w:u w:val="single"/>
        </w:rPr>
      </w:pPr>
      <w:r w:rsidRPr="000B76CE">
        <w:rPr>
          <w:rFonts w:ascii="Montserrat" w:hAnsi="Montserrat"/>
          <w:b/>
          <w:u w:val="single"/>
        </w:rPr>
        <w:t>Aplicación del Protocolo de Estambul</w:t>
      </w:r>
    </w:p>
    <w:p w:rsidR="006B52ED" w:rsidRPr="000B76CE" w:rsidRDefault="006B52ED" w:rsidP="006B52ED">
      <w:pPr>
        <w:spacing w:after="0" w:line="240" w:lineRule="auto"/>
        <w:rPr>
          <w:rFonts w:ascii="Montserrat" w:hAnsi="Montserrat"/>
          <w:b/>
          <w:u w:val="single"/>
        </w:rPr>
      </w:pPr>
    </w:p>
    <w:p w:rsidR="00BB32DF" w:rsidRDefault="00BB32DF" w:rsidP="006B52ED">
      <w:pPr>
        <w:pStyle w:val="ListParagraph"/>
        <w:numPr>
          <w:ilvl w:val="0"/>
          <w:numId w:val="3"/>
        </w:numPr>
        <w:spacing w:after="0" w:line="240" w:lineRule="auto"/>
        <w:jc w:val="both"/>
        <w:rPr>
          <w:rFonts w:ascii="Montserrat" w:hAnsi="Montserrat"/>
          <w:u w:val="single"/>
        </w:rPr>
      </w:pPr>
      <w:r w:rsidRPr="000B76CE">
        <w:rPr>
          <w:rFonts w:ascii="Montserrat" w:hAnsi="Montserrat"/>
          <w:u w:val="single"/>
        </w:rPr>
        <w:t>Sobre el Protocolo de Estambul y exámenes, da una cifra impresionante para aplicarlos, pero al parecer hay una lista de espera de más de 4 años para que les apliquen los exámenes. Solicita aclaración.</w:t>
      </w:r>
    </w:p>
    <w:p w:rsidR="00236014" w:rsidRPr="000B76CE" w:rsidRDefault="00236014" w:rsidP="00236014">
      <w:pPr>
        <w:pStyle w:val="ListParagraph"/>
        <w:spacing w:after="0" w:line="240" w:lineRule="auto"/>
        <w:jc w:val="both"/>
        <w:rPr>
          <w:rFonts w:ascii="Montserrat" w:hAnsi="Montserrat"/>
          <w:u w:val="single"/>
        </w:rPr>
      </w:pPr>
    </w:p>
    <w:p w:rsidR="00BB32DF" w:rsidRPr="000B76CE" w:rsidRDefault="00BB32DF" w:rsidP="006B52ED">
      <w:pPr>
        <w:spacing w:after="0" w:line="240" w:lineRule="auto"/>
        <w:jc w:val="both"/>
        <w:rPr>
          <w:rFonts w:ascii="Montserrat" w:hAnsi="Montserrat"/>
        </w:rPr>
      </w:pPr>
      <w:r w:rsidRPr="000B76CE">
        <w:rPr>
          <w:rFonts w:ascii="Montserrat" w:hAnsi="Montserrat"/>
        </w:rPr>
        <w:t>El artículo 11 de la Ley Federal para Prevenir y Sancionar la Tortura, establecía que todo servidor público que, en el ejercicio de sus funciones, tenga conocimiento de un hecho de tortura, se encuentra obligado a denunciarlo de inmediato; y por su parte el artículo 30 de la Ley General para Prevenir, Investigar y Sancionar la Tortura y Otros Tratos o Penas Crueles, Inhumanos o Degradantes, prevé que al servidor público que sin tener la calidad de garante y teniendo conocimiento de la comisión de conductas constitutivas de tortura se abstuviere de denunciar inmediatamente las mismas, se le impondrá una pena de 3 a 6 años de prisión y de 250 a 500 días multa.</w:t>
      </w:r>
    </w:p>
    <w:p w:rsidR="00BB32DF" w:rsidRPr="000B76CE" w:rsidRDefault="00BB32DF"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La referida obligación ha generado que en todas aquellas causas penales en las que los procesados a declarar refieren haber sido torturados, se formule vista por parte del Juez a la autoridad ministerial para que realice la investigación correspondiente, sin que para ello se requiera la existencia de algún elemento probatorio que sustente el dicho del procesado.</w:t>
      </w:r>
    </w:p>
    <w:p w:rsidR="00BB32DF" w:rsidRPr="000B76CE" w:rsidRDefault="00BB32DF"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 xml:space="preserve">También se encuentra la determinación contenida en el Protocolo Homologado para la Investigación del Delito de Tortura, en el sentido de que el Ministerio Público que tenga conocimiento de la probable comisión del delito de Tortura, previo a remitir la misma al área especializada, realice diversas diligencias a efecto de verificar si los hechos pudieran ser constitutivos de delito. Además del apoyo que se otorga a otras autoridades como lo son agentes del ministerio Público del fuero local, juzgados militares, juzgados estatales, la Comisión Nacional de los Derechos Humanos y Comisiones estatales de Derechos Humanos. </w:t>
      </w:r>
    </w:p>
    <w:p w:rsidR="00BB32DF" w:rsidRPr="000B76CE" w:rsidRDefault="00BB32DF"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 xml:space="preserve">En este sentido, el número de solicitudes de aplicación del dictamen médico psicológico especializado conforme al Protocolo de Estambul se ha incrementado de forma importante, sobre todo a partir de las vistas que realiza </w:t>
      </w:r>
      <w:r w:rsidRPr="000B76CE">
        <w:rPr>
          <w:rFonts w:ascii="Montserrat" w:hAnsi="Montserrat"/>
        </w:rPr>
        <w:lastRenderedPageBreak/>
        <w:t xml:space="preserve">el Poder Judicial de la federación o las solicitudes elaboradas con carácter de urgente por parte de </w:t>
      </w:r>
      <w:r w:rsidR="00756C85">
        <w:rPr>
          <w:rFonts w:ascii="Montserrat" w:hAnsi="Montserrat"/>
        </w:rPr>
        <w:t>jueces federales. Así, de las 7</w:t>
      </w:r>
      <w:r w:rsidRPr="000B76CE">
        <w:rPr>
          <w:rFonts w:ascii="Montserrat" w:hAnsi="Montserrat"/>
        </w:rPr>
        <w:t>872 solicitudes recibidas por la Coordinación General de Servicios Periciales de la Fiscalía General de la República, del primero de enero de dos mil trece al quince de abril de dos mil diecinueve, 5102 corresponden al Poder Judicial de la Federación</w:t>
      </w:r>
      <w:r w:rsidRPr="000B76CE">
        <w:rPr>
          <w:rStyle w:val="FootnoteReference"/>
          <w:rFonts w:ascii="Montserrat" w:hAnsi="Montserrat"/>
        </w:rPr>
        <w:footnoteReference w:id="1"/>
      </w:r>
      <w:r w:rsidRPr="000B76CE">
        <w:rPr>
          <w:rFonts w:ascii="Montserrat" w:hAnsi="Montserrat"/>
        </w:rPr>
        <w:t>.</w:t>
      </w:r>
    </w:p>
    <w:p w:rsidR="00BB32DF" w:rsidRPr="000B76CE" w:rsidRDefault="00BB32DF" w:rsidP="006B52ED">
      <w:pPr>
        <w:pStyle w:val="ListParagraph"/>
        <w:spacing w:after="0" w:line="240" w:lineRule="auto"/>
        <w:jc w:val="both"/>
        <w:rPr>
          <w:rFonts w:ascii="Montserrat" w:hAnsi="Montserrat"/>
          <w:b/>
          <w:color w:val="2E74B5" w:themeColor="accent1" w:themeShade="BF"/>
        </w:rPr>
      </w:pPr>
    </w:p>
    <w:p w:rsidR="00BB32DF" w:rsidRPr="000B76CE" w:rsidRDefault="00BB32DF" w:rsidP="006B52ED">
      <w:pPr>
        <w:pStyle w:val="ListParagraph"/>
        <w:numPr>
          <w:ilvl w:val="0"/>
          <w:numId w:val="3"/>
        </w:numPr>
        <w:spacing w:after="0" w:line="240" w:lineRule="auto"/>
        <w:jc w:val="both"/>
        <w:rPr>
          <w:rFonts w:ascii="Montserrat" w:hAnsi="Montserrat"/>
          <w:u w:val="single"/>
        </w:rPr>
      </w:pPr>
      <w:r w:rsidRPr="000B76CE">
        <w:rPr>
          <w:rFonts w:ascii="Montserrat" w:hAnsi="Montserrat"/>
          <w:u w:val="single"/>
        </w:rPr>
        <w:t>Sobre información de Protocolo de Estambul, dicen que los exámenes no se ajustan a dicho protocolo y que se usa en contra de las víctimas y que incluso hay alegaciones de tortura y que la carga de la prueba está en manos de la víctima.</w:t>
      </w:r>
    </w:p>
    <w:p w:rsidR="006B52ED" w:rsidRPr="000B76CE" w:rsidRDefault="006B52ED"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Con el Protocolo Homologado para la investigación de Delito de Tortura, el Estado mexicano asume los compromisos adquiridos al ratificar las dos Convenciones Internacionales en la materia, y en el cumplimiento de las obligaciones derivadas de las recomendaciones y sentencias en materia de tortura pronunciadas por los Organismos Internacionales de Derechos Humanos, tanto del Sistema de Naciones Unidas como del Sistema Interamericano. Este Protocolo Homologado consideró también las recomendaciones del Relator Especial de Naciones Unidas en su informe de 2014.</w:t>
      </w:r>
    </w:p>
    <w:p w:rsidR="00BB32DF" w:rsidRPr="000B76CE" w:rsidRDefault="00BB32DF"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b/>
        </w:rPr>
      </w:pPr>
      <w:r w:rsidRPr="000B76CE">
        <w:rPr>
          <w:rFonts w:ascii="Montserrat" w:hAnsi="Montserrat"/>
        </w:rPr>
        <w:t xml:space="preserve">Las tesis y jurisprudencia de la Suprema Corte de Justicia de la Nación, así como su </w:t>
      </w:r>
      <w:r w:rsidRPr="000B76CE">
        <w:rPr>
          <w:rFonts w:ascii="Montserrat" w:hAnsi="Montserrat"/>
          <w:b/>
          <w:i/>
          <w:u w:val="single"/>
        </w:rPr>
        <w:t>Protocolo de actuación para quienes imparten justicia en asuntos que involucren hechos constitutivos de tortura y malos tratos</w:t>
      </w:r>
      <w:r w:rsidRPr="000B76CE">
        <w:rPr>
          <w:rFonts w:ascii="Montserrat" w:hAnsi="Montserrat"/>
          <w:i/>
        </w:rPr>
        <w:t>,</w:t>
      </w:r>
      <w:r w:rsidRPr="000B76CE">
        <w:rPr>
          <w:rFonts w:ascii="Montserrat" w:hAnsi="Montserrat"/>
        </w:rPr>
        <w:t xml:space="preserve"> fueron referencia obligada para su conformación. De especial importancia es la tesis relativa a la forma de la realización de la investigación, la cual establece que ésta debe ser imparcial, minuciosa, independiente, realizada bajo debida diligencia, excluyendo las pruebas obtenidas bajo tortura, y </w:t>
      </w:r>
      <w:r w:rsidRPr="000B76CE">
        <w:rPr>
          <w:rFonts w:ascii="Montserrat" w:hAnsi="Montserrat"/>
          <w:b/>
          <w:u w:val="single"/>
        </w:rPr>
        <w:t>trasladando la</w:t>
      </w:r>
      <w:r w:rsidRPr="000B76CE">
        <w:rPr>
          <w:rFonts w:ascii="Montserrat" w:hAnsi="Montserrat"/>
          <w:b/>
        </w:rPr>
        <w:t xml:space="preserve"> </w:t>
      </w:r>
      <w:r w:rsidRPr="000B76CE">
        <w:rPr>
          <w:rFonts w:ascii="Montserrat" w:hAnsi="Montserrat"/>
          <w:b/>
          <w:u w:val="single"/>
        </w:rPr>
        <w:t>carga de la prueba al Estado</w:t>
      </w:r>
      <w:r w:rsidRPr="000B76CE">
        <w:rPr>
          <w:rFonts w:ascii="Montserrat" w:hAnsi="Montserrat"/>
          <w:b/>
        </w:rPr>
        <w:t>.</w:t>
      </w:r>
    </w:p>
    <w:p w:rsidR="00BB32DF" w:rsidRPr="000B76CE" w:rsidRDefault="00BB32DF" w:rsidP="006B52ED">
      <w:pPr>
        <w:spacing w:after="0" w:line="240" w:lineRule="auto"/>
        <w:jc w:val="both"/>
        <w:rPr>
          <w:rFonts w:ascii="Montserrat" w:hAnsi="Montserrat"/>
          <w:b/>
        </w:rPr>
      </w:pPr>
    </w:p>
    <w:p w:rsidR="00BB32DF" w:rsidRPr="000B76CE" w:rsidRDefault="00BB32DF" w:rsidP="006B52ED">
      <w:pPr>
        <w:spacing w:after="0" w:line="240" w:lineRule="auto"/>
        <w:jc w:val="both"/>
        <w:rPr>
          <w:rFonts w:ascii="Montserrat" w:hAnsi="Montserrat"/>
        </w:rPr>
      </w:pPr>
      <w:r w:rsidRPr="000B76CE">
        <w:rPr>
          <w:rFonts w:ascii="Montserrat" w:hAnsi="Montserrat"/>
        </w:rPr>
        <w:t xml:space="preserve">Nuestro máximo Tribunal ha establecido que, conforme al marco constitucional y convencional, la prohibición de la tortura se reconoce y protege como derecho absoluto que pertenece al dominio del </w:t>
      </w:r>
      <w:proofErr w:type="spellStart"/>
      <w:r w:rsidRPr="000B76CE">
        <w:rPr>
          <w:rFonts w:ascii="Montserrat" w:hAnsi="Montserrat"/>
          <w:i/>
        </w:rPr>
        <w:t>jus</w:t>
      </w:r>
      <w:proofErr w:type="spellEnd"/>
      <w:r w:rsidRPr="000B76CE">
        <w:rPr>
          <w:rFonts w:ascii="Montserrat" w:hAnsi="Montserrat"/>
          <w:i/>
        </w:rPr>
        <w:t xml:space="preserve"> </w:t>
      </w:r>
      <w:proofErr w:type="spellStart"/>
      <w:r w:rsidRPr="000B76CE">
        <w:rPr>
          <w:rFonts w:ascii="Montserrat" w:hAnsi="Montserrat"/>
          <w:i/>
        </w:rPr>
        <w:t>cogens</w:t>
      </w:r>
      <w:proofErr w:type="spellEnd"/>
      <w:r w:rsidRPr="000B76CE">
        <w:rPr>
          <w:rFonts w:ascii="Montserrat" w:hAnsi="Montserrat"/>
        </w:rPr>
        <w:t xml:space="preserve"> internacional, mientras que sus consecuencias y efectos impactan tanto como una violación de derechos humanos como un delito. </w:t>
      </w:r>
    </w:p>
    <w:p w:rsidR="00BB32DF" w:rsidRPr="000B76CE" w:rsidRDefault="00BB32DF"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 xml:space="preserve">El </w:t>
      </w:r>
      <w:r w:rsidRPr="000B76CE">
        <w:rPr>
          <w:rFonts w:ascii="Montserrat" w:hAnsi="Montserrat"/>
          <w:b/>
          <w:i/>
          <w:u w:val="single"/>
        </w:rPr>
        <w:t>Dictamen Especializado Médico Psicológico para la Investigación y Documentación Eficaces de la Tortura</w:t>
      </w:r>
      <w:r w:rsidRPr="000B76CE">
        <w:rPr>
          <w:rFonts w:ascii="Montserrat" w:hAnsi="Montserrat"/>
        </w:rPr>
        <w:t xml:space="preserve">, mismo que está contemplado en el Protocolo Homologado, fue diseñado bajo los principios rectores del Protocolo de Estambul. </w:t>
      </w:r>
    </w:p>
    <w:p w:rsidR="00BB32DF" w:rsidRPr="000B76CE" w:rsidRDefault="00BB32DF" w:rsidP="006B52ED">
      <w:pPr>
        <w:spacing w:after="0" w:line="240" w:lineRule="auto"/>
        <w:jc w:val="both"/>
        <w:rPr>
          <w:rFonts w:ascii="Montserrat" w:hAnsi="Montserrat"/>
        </w:rPr>
      </w:pPr>
    </w:p>
    <w:p w:rsidR="00BB32DF" w:rsidRPr="000B76CE" w:rsidRDefault="00BB32DF" w:rsidP="006B52ED">
      <w:pPr>
        <w:pStyle w:val="wordsection1"/>
        <w:jc w:val="both"/>
        <w:rPr>
          <w:rFonts w:ascii="Montserrat" w:hAnsi="Montserrat"/>
          <w:sz w:val="22"/>
          <w:szCs w:val="22"/>
          <w:lang w:val="es-ES"/>
        </w:rPr>
      </w:pPr>
      <w:r w:rsidRPr="000B76CE">
        <w:rPr>
          <w:rFonts w:ascii="Montserrat" w:hAnsi="Montserrat"/>
          <w:sz w:val="22"/>
          <w:szCs w:val="22"/>
          <w:lang w:val="es-ES"/>
        </w:rPr>
        <w:t xml:space="preserve">En un inicio, el </w:t>
      </w:r>
      <w:r w:rsidRPr="000B76CE">
        <w:rPr>
          <w:rFonts w:ascii="Montserrat" w:hAnsi="Montserrat"/>
          <w:sz w:val="22"/>
          <w:szCs w:val="22"/>
        </w:rPr>
        <w:t>Dictamen Médico/Psicológico Especializado para casos de Posible Tortura y/o Maltrato</w:t>
      </w:r>
      <w:r w:rsidRPr="000B76CE">
        <w:rPr>
          <w:rFonts w:ascii="Montserrat" w:hAnsi="Montserrat"/>
          <w:sz w:val="22"/>
          <w:szCs w:val="22"/>
          <w:lang w:val="es-ES"/>
        </w:rPr>
        <w:t xml:space="preserve"> se dio como resultado del </w:t>
      </w:r>
      <w:r w:rsidRPr="000B76CE">
        <w:rPr>
          <w:rFonts w:ascii="Montserrat" w:hAnsi="Montserrat"/>
          <w:i/>
          <w:sz w:val="22"/>
          <w:szCs w:val="22"/>
          <w:lang w:val="es-ES"/>
        </w:rPr>
        <w:t>Programa de Cooperación Técnica</w:t>
      </w:r>
      <w:r w:rsidRPr="000B76CE">
        <w:rPr>
          <w:rFonts w:ascii="Montserrat" w:hAnsi="Montserrat"/>
          <w:sz w:val="22"/>
          <w:szCs w:val="22"/>
          <w:lang w:val="es-ES"/>
        </w:rPr>
        <w:t xml:space="preserve"> entre el Gobierno de México y la Oficina del Alto Comisionado para los Derechos Humanos de la Organización de las Naciones Unidas, dándose </w:t>
      </w:r>
      <w:r w:rsidRPr="000B76CE">
        <w:rPr>
          <w:rFonts w:ascii="Montserrat" w:hAnsi="Montserrat"/>
          <w:sz w:val="22"/>
          <w:szCs w:val="22"/>
          <w:shd w:val="clear" w:color="auto" w:fill="FFFFFF"/>
          <w:lang w:val="es-ES"/>
        </w:rPr>
        <w:lastRenderedPageBreak/>
        <w:t xml:space="preserve">cumplimiento a los compromisos internacionales del Estado mexicano en materia de Derechos Humanos, </w:t>
      </w:r>
      <w:r w:rsidRPr="000B76CE">
        <w:rPr>
          <w:rFonts w:ascii="Montserrat" w:hAnsi="Montserrat"/>
          <w:sz w:val="22"/>
          <w:szCs w:val="22"/>
          <w:lang w:val="es-ES"/>
        </w:rPr>
        <w:t xml:space="preserve">al publicarse el 18 de agosto de 2003 el Acuerdo A/057/2003 en el Diario Oficial de la Federación, en el cual se </w:t>
      </w:r>
      <w:r w:rsidRPr="000B76CE">
        <w:rPr>
          <w:rFonts w:ascii="Montserrat" w:hAnsi="Montserrat"/>
          <w:sz w:val="22"/>
          <w:szCs w:val="22"/>
          <w:shd w:val="clear" w:color="auto" w:fill="FFFFFF"/>
          <w:lang w:val="es-ES"/>
        </w:rPr>
        <w:t xml:space="preserve">establecieron las directrices institucionales que debían seguir los agentes del Ministerio Público de la Federación, los peritos médicos legistas y/o forenses y demás personal de la entonces Procuraduría General de la República, para la aplicación del Dictamen Médico/Psicológico Especializado para Casos de Posible Tortura y/o Maltrato, basado en el Protocolo de Estambul. Posteriormente, </w:t>
      </w:r>
      <w:r w:rsidRPr="000B76CE">
        <w:rPr>
          <w:rFonts w:ascii="Montserrat" w:hAnsi="Montserrat"/>
          <w:sz w:val="22"/>
          <w:szCs w:val="22"/>
          <w:lang w:val="es-ES"/>
        </w:rPr>
        <w:t xml:space="preserve">se abrogó el Acuerdo A/057/2003, al ser publicado el 5 de octubre de 2015 el </w:t>
      </w:r>
      <w:r w:rsidRPr="000B76CE">
        <w:rPr>
          <w:rFonts w:ascii="Montserrat" w:hAnsi="Montserrat"/>
          <w:b/>
          <w:sz w:val="22"/>
          <w:szCs w:val="22"/>
          <w:lang w:val="es-ES"/>
        </w:rPr>
        <w:t>Acuerdo A/085/15</w:t>
      </w:r>
      <w:r w:rsidRPr="000B76CE">
        <w:rPr>
          <w:rStyle w:val="FootnoteReference"/>
          <w:rFonts w:ascii="Montserrat" w:hAnsi="Montserrat"/>
          <w:sz w:val="22"/>
          <w:szCs w:val="22"/>
          <w:lang w:val="es-ES"/>
        </w:rPr>
        <w:footnoteReference w:id="2"/>
      </w:r>
      <w:r w:rsidRPr="000B76CE">
        <w:rPr>
          <w:rFonts w:ascii="Montserrat" w:hAnsi="Montserrat"/>
          <w:sz w:val="22"/>
          <w:szCs w:val="22"/>
          <w:lang w:val="es-ES"/>
        </w:rPr>
        <w:t xml:space="preserve">. (Se puede consultar en la siguiente liga </w:t>
      </w:r>
      <w:hyperlink r:id="rId7" w:history="1">
        <w:r w:rsidRPr="000B76CE">
          <w:rPr>
            <w:rFonts w:ascii="Montserrat" w:hAnsi="Montserrat"/>
            <w:sz w:val="22"/>
            <w:szCs w:val="22"/>
            <w:u w:val="single"/>
            <w:lang w:val="es-ES"/>
          </w:rPr>
          <w:t>http://dof.gob.mx/nota_detalle.php?codigo=5410519&amp;fecha=05/10/2015</w:t>
        </w:r>
      </w:hyperlink>
      <w:r w:rsidRPr="000B76CE">
        <w:rPr>
          <w:rFonts w:ascii="Montserrat" w:hAnsi="Montserrat"/>
          <w:sz w:val="22"/>
          <w:szCs w:val="22"/>
          <w:lang w:val="es-ES"/>
        </w:rPr>
        <w:t xml:space="preserve"> para pronta referencia)</w:t>
      </w:r>
    </w:p>
    <w:p w:rsidR="00BB32DF" w:rsidRPr="000B76CE" w:rsidRDefault="00BB32DF" w:rsidP="006B52ED">
      <w:pPr>
        <w:pStyle w:val="wordsection1"/>
        <w:contextualSpacing/>
        <w:jc w:val="both"/>
        <w:rPr>
          <w:rFonts w:ascii="Montserrat" w:hAnsi="Montserrat"/>
          <w:sz w:val="22"/>
          <w:szCs w:val="22"/>
          <w:lang w:val="es-ES"/>
        </w:rPr>
      </w:pPr>
    </w:p>
    <w:p w:rsidR="00BB32DF" w:rsidRPr="000B76CE" w:rsidRDefault="00BB32DF" w:rsidP="006B52ED">
      <w:pPr>
        <w:spacing w:after="0" w:line="240" w:lineRule="auto"/>
        <w:jc w:val="both"/>
        <w:rPr>
          <w:rFonts w:ascii="Montserrat" w:hAnsi="Montserrat"/>
          <w:u w:val="single"/>
        </w:rPr>
      </w:pPr>
      <w:r w:rsidRPr="000B76CE">
        <w:rPr>
          <w:rFonts w:ascii="Montserrat" w:hAnsi="Montserrat"/>
        </w:rPr>
        <w:t>El Protocolo Homologado busca establecer políticas de actuación y procedimientos apegados a los estándares internacionales de derechos humanos para la investigación de la tortura, sin reproducir lo establecido en los Códigos de Procedimientos Penales; el objetivo es que sirva como guía en las distintas etapas del procedimiento penal, que aseguren una investigación exhaustiva de los hechos y la no re-victimización de la persona que ha sufrido la tortura.</w:t>
      </w:r>
    </w:p>
    <w:p w:rsidR="00BB32DF" w:rsidRPr="000B76CE" w:rsidRDefault="00BB32DF" w:rsidP="006B52ED">
      <w:pPr>
        <w:pStyle w:val="ListParagraph"/>
        <w:spacing w:after="0" w:line="240" w:lineRule="auto"/>
        <w:jc w:val="both"/>
        <w:rPr>
          <w:rFonts w:ascii="Montserrat" w:hAnsi="Montserrat"/>
          <w:u w:val="single"/>
        </w:rPr>
      </w:pPr>
    </w:p>
    <w:p w:rsidR="00BB32DF" w:rsidRPr="000B76CE" w:rsidRDefault="00BB32DF" w:rsidP="006B52ED">
      <w:pPr>
        <w:pStyle w:val="ListParagraph"/>
        <w:numPr>
          <w:ilvl w:val="0"/>
          <w:numId w:val="3"/>
        </w:numPr>
        <w:spacing w:after="0" w:line="240" w:lineRule="auto"/>
        <w:jc w:val="both"/>
        <w:rPr>
          <w:rFonts w:ascii="Montserrat" w:hAnsi="Montserrat"/>
          <w:u w:val="single"/>
        </w:rPr>
      </w:pPr>
      <w:r w:rsidRPr="000B76CE">
        <w:rPr>
          <w:rFonts w:ascii="Montserrat" w:hAnsi="Montserrat"/>
          <w:u w:val="single"/>
        </w:rPr>
        <w:t>Toma nota de que no hay plan para cambiar las fiscalías y organismos que aplican el Protocolo y que no se establecerá un instituto independiente. Solicita se reconsidere.</w:t>
      </w:r>
    </w:p>
    <w:p w:rsidR="006B52ED" w:rsidRPr="000B76CE" w:rsidRDefault="006B52ED" w:rsidP="006B52ED">
      <w:pPr>
        <w:spacing w:after="0" w:line="240" w:lineRule="auto"/>
        <w:jc w:val="both"/>
        <w:rPr>
          <w:rFonts w:ascii="Montserrat" w:hAnsi="Montserrat"/>
        </w:rPr>
      </w:pPr>
    </w:p>
    <w:p w:rsidR="00BB32DF" w:rsidRPr="000B76CE" w:rsidRDefault="00BB32DF" w:rsidP="006B52ED">
      <w:pPr>
        <w:spacing w:after="0" w:line="240" w:lineRule="auto"/>
        <w:jc w:val="both"/>
        <w:rPr>
          <w:rFonts w:ascii="Montserrat" w:hAnsi="Montserrat"/>
        </w:rPr>
      </w:pPr>
      <w:r w:rsidRPr="000B76CE">
        <w:rPr>
          <w:rFonts w:ascii="Montserrat" w:hAnsi="Montserrat"/>
        </w:rPr>
        <w:t>Respecto al Instituto Forense autónomo, en este momento el gobierno mexicano, para la identificación de restos humanos y dar una respuesta a los familiares de personas desaparecidas, a través de la Secretaría de Gobernación y la Fiscalía General de la República está realizando un diagnóstico en los servicios periciales de todo el país para ubicar las necesidades y dotarlos del equipamiento necesario y para el diseño del Programa Nacional de Exhumaciones, sin que en este momento se haya decidido la formación de este Instituto, sino establecer un Sistema Nacional que coordine los esfuerzos en los e</w:t>
      </w:r>
      <w:r w:rsidR="006911DD" w:rsidRPr="000B76CE">
        <w:rPr>
          <w:rFonts w:ascii="Montserrat" w:hAnsi="Montserrat"/>
        </w:rPr>
        <w:t xml:space="preserve">stado y la Federación. </w:t>
      </w:r>
    </w:p>
    <w:p w:rsidR="006B52ED" w:rsidRPr="000B76CE" w:rsidRDefault="006B52ED" w:rsidP="006B52ED">
      <w:pPr>
        <w:spacing w:after="0" w:line="240" w:lineRule="auto"/>
        <w:jc w:val="both"/>
        <w:rPr>
          <w:rFonts w:ascii="Montserrat" w:hAnsi="Montserrat"/>
          <w:b/>
          <w:u w:val="single"/>
        </w:rPr>
      </w:pPr>
    </w:p>
    <w:p w:rsidR="006911DD" w:rsidRPr="000B76CE" w:rsidRDefault="006911DD" w:rsidP="006B52ED">
      <w:pPr>
        <w:spacing w:after="0" w:line="240" w:lineRule="auto"/>
        <w:jc w:val="both"/>
        <w:rPr>
          <w:rFonts w:ascii="Montserrat" w:hAnsi="Montserrat"/>
          <w:b/>
        </w:rPr>
      </w:pPr>
      <w:r w:rsidRPr="000B76CE">
        <w:rPr>
          <w:rFonts w:ascii="Montserrat" w:hAnsi="Montserrat"/>
          <w:b/>
          <w:u w:val="single"/>
        </w:rPr>
        <w:t>Mecanismo Nacional de Prevención de la Tortura (Comisión Nacional de los Derechos Humanos</w:t>
      </w:r>
      <w:r w:rsidRPr="000B76CE">
        <w:rPr>
          <w:rFonts w:ascii="Montserrat" w:hAnsi="Montserrat"/>
          <w:b/>
        </w:rPr>
        <w:t>)</w:t>
      </w:r>
    </w:p>
    <w:p w:rsidR="006B52ED" w:rsidRPr="000B76CE" w:rsidRDefault="006B52ED" w:rsidP="006B52ED">
      <w:pPr>
        <w:spacing w:after="0" w:line="240" w:lineRule="auto"/>
        <w:ind w:right="49"/>
        <w:jc w:val="both"/>
        <w:rPr>
          <w:rFonts w:ascii="Montserrat" w:hAnsi="Montserrat"/>
        </w:rPr>
      </w:pPr>
    </w:p>
    <w:p w:rsidR="006B52ED" w:rsidRPr="000B76CE" w:rsidRDefault="006911DD" w:rsidP="006B52ED">
      <w:pPr>
        <w:spacing w:after="0" w:line="240" w:lineRule="auto"/>
        <w:ind w:right="49"/>
        <w:jc w:val="both"/>
        <w:rPr>
          <w:rFonts w:ascii="Montserrat" w:hAnsi="Montserrat"/>
        </w:rPr>
      </w:pPr>
      <w:r w:rsidRPr="000B76CE">
        <w:rPr>
          <w:rFonts w:ascii="Montserrat" w:hAnsi="Montserrat"/>
        </w:rPr>
        <w:t xml:space="preserve">Por lo que se refiere a la adopción de medidas por parte del Estado para apoyar el funcionamiento de la Comisión Nacional de los Derechos Humanos como Mecanismo Nacional de Prevención de la Tortura, el Estado refrenda el respeto total a su autonomía de gestión y presupuestal, y manifiesta su compromiso para </w:t>
      </w:r>
      <w:r w:rsidRPr="000B76CE">
        <w:rPr>
          <w:rFonts w:ascii="Montserrat" w:hAnsi="Montserrat"/>
        </w:rPr>
        <w:lastRenderedPageBreak/>
        <w:t>el cumplimiento de sus recomendaciones.  Como se mencionó en el ejercicio de sustentación, para la gestión de su presupuesto, y como medida que fortalece su autonomía, la CNDH tiene línea directa con el Congreso para la gestión de sus recursos.</w:t>
      </w:r>
    </w:p>
    <w:p w:rsidR="006B52ED" w:rsidRPr="000B76CE" w:rsidRDefault="006B52ED" w:rsidP="006B52ED">
      <w:pPr>
        <w:spacing w:after="0" w:line="240" w:lineRule="auto"/>
        <w:rPr>
          <w:rFonts w:ascii="Montserrat" w:hAnsi="Montserrat"/>
          <w:b/>
          <w:u w:val="single"/>
        </w:rPr>
      </w:pPr>
    </w:p>
    <w:p w:rsidR="006B52ED" w:rsidRPr="000B76CE" w:rsidRDefault="006B52ED" w:rsidP="006B52ED">
      <w:pPr>
        <w:spacing w:after="0" w:line="240" w:lineRule="auto"/>
        <w:rPr>
          <w:rFonts w:ascii="Montserrat" w:hAnsi="Montserrat"/>
          <w:b/>
          <w:u w:val="single"/>
        </w:rPr>
      </w:pPr>
      <w:r w:rsidRPr="000B76CE">
        <w:rPr>
          <w:rFonts w:ascii="Montserrat" w:hAnsi="Montserrat"/>
          <w:b/>
          <w:u w:val="single"/>
        </w:rPr>
        <w:t xml:space="preserve">Jurisdicción Universal </w:t>
      </w:r>
    </w:p>
    <w:p w:rsidR="006B52ED" w:rsidRPr="000B76CE" w:rsidRDefault="006B52ED" w:rsidP="006B52ED">
      <w:pPr>
        <w:spacing w:after="0" w:line="240" w:lineRule="auto"/>
        <w:jc w:val="both"/>
        <w:rPr>
          <w:rFonts w:ascii="Montserrat" w:hAnsi="Montserrat"/>
        </w:rPr>
      </w:pPr>
    </w:p>
    <w:p w:rsidR="006B52ED" w:rsidRPr="000B76CE" w:rsidRDefault="006B52ED" w:rsidP="006B52ED">
      <w:pPr>
        <w:spacing w:after="0" w:line="240" w:lineRule="auto"/>
        <w:jc w:val="both"/>
        <w:rPr>
          <w:rFonts w:ascii="Montserrat" w:hAnsi="Montserrat"/>
        </w:rPr>
      </w:pPr>
      <w:r w:rsidRPr="000B76CE">
        <w:rPr>
          <w:rFonts w:ascii="Montserrat" w:hAnsi="Montserrat"/>
        </w:rPr>
        <w:t>Con relación a la condición de doble incriminación penal, s</w:t>
      </w:r>
      <w:r w:rsidRPr="000B76CE">
        <w:rPr>
          <w:rFonts w:ascii="Montserrat" w:eastAsia="Arial" w:hAnsi="Montserrat" w:cs="Arial"/>
          <w:color w:val="010101"/>
        </w:rPr>
        <w:t>e reitera que respecto a la jurisdicción para que México juzgue a personas conforme al artículo 4º del Código Penal Federal, se afirma que las condiciones para que México procese a alguien son:</w:t>
      </w:r>
    </w:p>
    <w:p w:rsidR="006B52ED" w:rsidRPr="000B76CE" w:rsidRDefault="006B52ED" w:rsidP="006B52ED">
      <w:pPr>
        <w:pStyle w:val="ListParagraph"/>
        <w:numPr>
          <w:ilvl w:val="0"/>
          <w:numId w:val="12"/>
        </w:numPr>
        <w:spacing w:after="0" w:line="240" w:lineRule="auto"/>
        <w:jc w:val="both"/>
        <w:rPr>
          <w:rFonts w:ascii="Montserrat" w:eastAsia="Calibri" w:hAnsi="Montserrat" w:cs="Times New Roman"/>
        </w:rPr>
      </w:pPr>
      <w:r w:rsidRPr="000B76CE">
        <w:rPr>
          <w:rFonts w:ascii="Montserrat" w:eastAsia="Arial" w:hAnsi="Montserrat" w:cs="Arial"/>
          <w:color w:val="010101"/>
        </w:rPr>
        <w:t xml:space="preserve">que el acusado se encuentre en México; </w:t>
      </w:r>
    </w:p>
    <w:p w:rsidR="006B52ED" w:rsidRPr="000B76CE" w:rsidRDefault="006B52ED" w:rsidP="006B52ED">
      <w:pPr>
        <w:pStyle w:val="ListParagraph"/>
        <w:numPr>
          <w:ilvl w:val="0"/>
          <w:numId w:val="12"/>
        </w:numPr>
        <w:spacing w:after="0" w:line="240" w:lineRule="auto"/>
        <w:jc w:val="both"/>
        <w:rPr>
          <w:rFonts w:ascii="Montserrat" w:eastAsia="Calibri" w:hAnsi="Montserrat" w:cs="Times New Roman"/>
        </w:rPr>
      </w:pPr>
      <w:r w:rsidRPr="000B76CE">
        <w:rPr>
          <w:rFonts w:ascii="Montserrat" w:eastAsia="Arial" w:hAnsi="Montserrat" w:cs="Arial"/>
          <w:color w:val="010101"/>
        </w:rPr>
        <w:t>que el reo no haya sido definitivamente juzgado en el país en que delinquió; y</w:t>
      </w:r>
    </w:p>
    <w:p w:rsidR="006B52ED" w:rsidRPr="000B76CE" w:rsidRDefault="006B52ED" w:rsidP="006B52ED">
      <w:pPr>
        <w:pStyle w:val="ListParagraph"/>
        <w:numPr>
          <w:ilvl w:val="0"/>
          <w:numId w:val="12"/>
        </w:numPr>
        <w:spacing w:after="0" w:line="240" w:lineRule="auto"/>
        <w:jc w:val="both"/>
        <w:rPr>
          <w:rFonts w:ascii="Montserrat" w:eastAsia="Calibri" w:hAnsi="Montserrat" w:cs="Times New Roman"/>
        </w:rPr>
      </w:pPr>
      <w:r w:rsidRPr="000B76CE">
        <w:rPr>
          <w:rFonts w:ascii="Montserrat" w:eastAsia="Arial" w:hAnsi="Montserrat" w:cs="Arial"/>
          <w:color w:val="010101"/>
        </w:rPr>
        <w:t xml:space="preserve">que la infracción de la que se le acusa tenga el carácter de delito en el país en que se ejecutó y en México. </w:t>
      </w:r>
    </w:p>
    <w:p w:rsidR="006B52ED" w:rsidRPr="000B76CE" w:rsidRDefault="006B52ED" w:rsidP="006B52ED">
      <w:pPr>
        <w:spacing w:after="0" w:line="240" w:lineRule="auto"/>
        <w:jc w:val="both"/>
        <w:rPr>
          <w:rFonts w:ascii="Montserrat" w:hAnsi="Montserrat"/>
        </w:rPr>
      </w:pPr>
      <w:r w:rsidRPr="000B76CE">
        <w:rPr>
          <w:rFonts w:ascii="Montserrat" w:eastAsia="Arial" w:hAnsi="Montserrat" w:cs="Arial"/>
          <w:color w:val="010101"/>
        </w:rPr>
        <w:t>Sin embargo, es importante señalar que nuestro Código Penal establece que los Tribunales mexicanos también serán competentes cuando se cometa un delito no previsto en la legislación nacional, cuando lo esté en un tratado internacional de observancia obligatoria en México, como pudiera ser la Convención de la ONU contra la tortura.</w:t>
      </w:r>
    </w:p>
    <w:p w:rsidR="006B52ED" w:rsidRPr="000B76CE" w:rsidRDefault="006B52ED" w:rsidP="006B52ED">
      <w:pPr>
        <w:spacing w:after="0" w:line="240" w:lineRule="auto"/>
        <w:ind w:right="616"/>
        <w:jc w:val="both"/>
        <w:rPr>
          <w:rFonts w:ascii="Montserrat" w:hAnsi="Montserrat"/>
          <w:b/>
          <w:u w:val="single"/>
        </w:rPr>
      </w:pPr>
    </w:p>
    <w:p w:rsidR="00CA269B" w:rsidRPr="000B76CE" w:rsidRDefault="00CA269B" w:rsidP="006B52ED">
      <w:pPr>
        <w:spacing w:after="0" w:line="240" w:lineRule="auto"/>
        <w:ind w:right="616"/>
        <w:jc w:val="both"/>
        <w:rPr>
          <w:rFonts w:ascii="Montserrat" w:hAnsi="Montserrat"/>
          <w:b/>
          <w:u w:val="single"/>
        </w:rPr>
      </w:pPr>
      <w:r w:rsidRPr="000B76CE">
        <w:rPr>
          <w:rFonts w:ascii="Montserrat" w:hAnsi="Montserrat"/>
          <w:b/>
          <w:u w:val="single"/>
        </w:rPr>
        <w:t>Capacitación en derechos humanos de las fuerzas armadas</w:t>
      </w:r>
    </w:p>
    <w:p w:rsidR="00CA269B" w:rsidRPr="000B76CE" w:rsidRDefault="00CA269B" w:rsidP="006B52ED">
      <w:pPr>
        <w:spacing w:after="0" w:line="240" w:lineRule="auto"/>
        <w:ind w:right="616"/>
        <w:jc w:val="both"/>
        <w:rPr>
          <w:rFonts w:ascii="Montserrat" w:hAnsi="Montserrat"/>
          <w:b/>
          <w:u w:val="single"/>
        </w:rPr>
      </w:pPr>
    </w:p>
    <w:p w:rsidR="00BB32DF" w:rsidRPr="000B76CE" w:rsidRDefault="00CA269B" w:rsidP="006B52ED">
      <w:pPr>
        <w:spacing w:after="0" w:line="240" w:lineRule="auto"/>
        <w:jc w:val="both"/>
        <w:rPr>
          <w:rFonts w:ascii="Montserrat" w:eastAsia="Arial" w:hAnsi="Montserrat" w:cs="Arial"/>
          <w:color w:val="010101"/>
        </w:rPr>
      </w:pPr>
      <w:r w:rsidRPr="000B76CE">
        <w:rPr>
          <w:rFonts w:ascii="Montserrat" w:eastAsia="Arial" w:hAnsi="Montserrat" w:cs="Arial"/>
          <w:color w:val="010101"/>
        </w:rPr>
        <w:t>Ante la convicción institucional de servir a la sociedad, los integrantes de las Fuerzas Armadas se preparan cada vez más en el reconocimiento, respeto y protección de los derechos humanos, con la fortaleza que se ha adquirido en el reforzamiento de la capacitación, que en los últimos seis años, que es precisamente el periodo que evalúa ese Honorable Comité, la capacitación intensa e integral, en la que se incluye, diplomados, maestrías y doctorados en el tema de derechos humanos en general y la prevención de la tortura en particular, se cuenta con un registro global cercano a los dos millones de capacitaciones.</w:t>
      </w:r>
    </w:p>
    <w:p w:rsidR="006B52ED" w:rsidRPr="000B76CE" w:rsidRDefault="006B52ED" w:rsidP="006B52ED">
      <w:pPr>
        <w:spacing w:after="0" w:line="240" w:lineRule="auto"/>
        <w:jc w:val="both"/>
        <w:rPr>
          <w:rFonts w:ascii="Montserrat" w:eastAsia="Arial" w:hAnsi="Montserrat" w:cs="Arial"/>
          <w:color w:val="010101"/>
        </w:rPr>
      </w:pPr>
    </w:p>
    <w:p w:rsidR="00CA269B" w:rsidRPr="000B76CE" w:rsidRDefault="00CA269B" w:rsidP="006B52ED">
      <w:pPr>
        <w:spacing w:after="0" w:line="240" w:lineRule="auto"/>
        <w:jc w:val="both"/>
        <w:rPr>
          <w:rFonts w:ascii="Montserrat" w:hAnsi="Montserrat"/>
          <w:b/>
          <w:u w:val="single"/>
        </w:rPr>
      </w:pPr>
      <w:r w:rsidRPr="000B76CE">
        <w:rPr>
          <w:rFonts w:ascii="Montserrat" w:hAnsi="Montserrat"/>
          <w:b/>
          <w:u w:val="single"/>
        </w:rPr>
        <w:t xml:space="preserve">Arraigo y prisión preventiva </w:t>
      </w:r>
    </w:p>
    <w:p w:rsidR="006B52ED" w:rsidRPr="000B76CE" w:rsidRDefault="006B52ED" w:rsidP="006B52ED">
      <w:pPr>
        <w:spacing w:after="0" w:line="240" w:lineRule="auto"/>
        <w:ind w:right="49"/>
        <w:jc w:val="both"/>
        <w:rPr>
          <w:rFonts w:ascii="Montserrat" w:hAnsi="Montserrat"/>
        </w:rPr>
      </w:pPr>
    </w:p>
    <w:p w:rsidR="00CA269B" w:rsidRPr="000B76CE" w:rsidRDefault="00CA269B" w:rsidP="006B52ED">
      <w:pPr>
        <w:spacing w:after="0" w:line="240" w:lineRule="auto"/>
        <w:ind w:right="49"/>
        <w:jc w:val="both"/>
        <w:rPr>
          <w:rFonts w:ascii="Montserrat" w:hAnsi="Montserrat"/>
        </w:rPr>
      </w:pPr>
      <w:r w:rsidRPr="000B76CE">
        <w:rPr>
          <w:rFonts w:ascii="Montserrat" w:hAnsi="Montserrat"/>
        </w:rPr>
        <w:t>En respuesta a la pregunta que se refiere al proyecto de reforma constitucional para derogar el arraigo, se informa que el proyecto de decreto se presentó en abril del 2018 en la Cámara de Diputados; el proyecto busca derogar el párrafo octavo del artículo 16 de la Constitución Política de los Estados Unidos Mexicanos. Este proyecto actualmente está en turno para análisis del Senado (Cámara revisora), y tengan certeza de que el Poder Ejecutivo será respetuoso del trabajo del constituyente permanente.</w:t>
      </w:r>
    </w:p>
    <w:p w:rsidR="006B52ED" w:rsidRPr="000B76CE" w:rsidRDefault="006B52ED" w:rsidP="006B52ED">
      <w:pPr>
        <w:spacing w:after="0" w:line="240" w:lineRule="auto"/>
        <w:ind w:right="49"/>
        <w:jc w:val="both"/>
        <w:rPr>
          <w:rFonts w:ascii="Montserrat" w:hAnsi="Montserrat"/>
        </w:rPr>
      </w:pPr>
    </w:p>
    <w:p w:rsidR="00CA269B" w:rsidRPr="000B76CE" w:rsidRDefault="00CA269B" w:rsidP="006B52ED">
      <w:pPr>
        <w:spacing w:after="0" w:line="240" w:lineRule="auto"/>
        <w:ind w:right="49"/>
        <w:jc w:val="both"/>
        <w:rPr>
          <w:rFonts w:ascii="Montserrat" w:eastAsiaTheme="minorHAnsi" w:hAnsi="Montserrat" w:cstheme="minorHAnsi"/>
        </w:rPr>
      </w:pPr>
      <w:r w:rsidRPr="000B76CE">
        <w:rPr>
          <w:rFonts w:ascii="Montserrat" w:hAnsi="Montserrat"/>
        </w:rPr>
        <w:t xml:space="preserve">Sobre la posibilidad de modificar la prisión preventiva oficiosa, aunque es cierto que se ampliaron las categorías de los delitos que ameritan prisión preventiva, previo a ello se había hecho una reducción considerablemente del catálogo con la entrada en vigor del sistema de justicia penal acusatorio, por lo que se evaluarán los resultados de las últimas reformas. </w:t>
      </w:r>
    </w:p>
    <w:p w:rsidR="006B52ED" w:rsidRPr="000B76CE" w:rsidRDefault="006B52ED" w:rsidP="006B52ED">
      <w:pPr>
        <w:spacing w:after="0" w:line="240" w:lineRule="auto"/>
        <w:jc w:val="both"/>
        <w:rPr>
          <w:rFonts w:ascii="Montserrat" w:hAnsi="Montserrat"/>
          <w:b/>
          <w:u w:val="single"/>
        </w:rPr>
      </w:pPr>
    </w:p>
    <w:p w:rsidR="00CA269B" w:rsidRPr="000B76CE" w:rsidRDefault="00CA269B" w:rsidP="006B52ED">
      <w:pPr>
        <w:spacing w:after="0" w:line="240" w:lineRule="auto"/>
        <w:jc w:val="both"/>
        <w:rPr>
          <w:rFonts w:ascii="Montserrat" w:hAnsi="Montserrat"/>
          <w:b/>
          <w:u w:val="single"/>
        </w:rPr>
      </w:pPr>
      <w:r w:rsidRPr="000B76CE">
        <w:rPr>
          <w:rFonts w:ascii="Montserrat" w:hAnsi="Montserrat"/>
          <w:b/>
          <w:u w:val="single"/>
        </w:rPr>
        <w:t>Jurisdicción militar</w:t>
      </w:r>
    </w:p>
    <w:p w:rsidR="00CA269B" w:rsidRPr="000B76CE" w:rsidRDefault="00CA269B" w:rsidP="006B52ED">
      <w:pPr>
        <w:spacing w:after="0" w:line="240" w:lineRule="auto"/>
        <w:jc w:val="both"/>
        <w:rPr>
          <w:rFonts w:ascii="Montserrat" w:hAnsi="Montserrat" w:cs="Tahoma"/>
        </w:rPr>
      </w:pPr>
    </w:p>
    <w:p w:rsidR="00CA269B" w:rsidRPr="000B76CE" w:rsidRDefault="00CA269B" w:rsidP="006B52ED">
      <w:pPr>
        <w:spacing w:after="0" w:line="240" w:lineRule="auto"/>
        <w:jc w:val="both"/>
        <w:rPr>
          <w:rFonts w:ascii="Montserrat" w:hAnsi="Montserrat"/>
        </w:rPr>
      </w:pPr>
      <w:r w:rsidRPr="000B76CE">
        <w:rPr>
          <w:rFonts w:ascii="Montserrat" w:hAnsi="Montserrat"/>
        </w:rPr>
        <w:t>Cabe precisar que el personal militar no lleva a cabo investigaciones por hechos delictivos en los que civiles tienen el carácter de víctimas; es por ello que, desde el año de 2014, en que fue reformado el artículo 57 del Código de Justicia Militar, para restringir el alcance de los tribunales castrenses, que los militares en general y los órganos de la jurisdicción militar de manera específica, no llevan a cabo investigaciones y procesos respecto de aquellos hechos en los que personas civiles tienen carácter de víctima, sino que estos ya son competencia exclusiva de los tribunales civiles.</w:t>
      </w:r>
    </w:p>
    <w:p w:rsidR="00CA269B" w:rsidRPr="000B76CE" w:rsidRDefault="00CA269B" w:rsidP="006B52ED">
      <w:pPr>
        <w:spacing w:after="0" w:line="240" w:lineRule="auto"/>
        <w:jc w:val="both"/>
        <w:rPr>
          <w:rFonts w:ascii="Montserrat" w:hAnsi="Montserrat"/>
          <w:b/>
          <w:u w:val="single"/>
        </w:rPr>
      </w:pPr>
    </w:p>
    <w:p w:rsidR="00CA269B" w:rsidRDefault="00CA269B" w:rsidP="006B52ED">
      <w:pPr>
        <w:spacing w:after="0" w:line="240" w:lineRule="auto"/>
        <w:jc w:val="both"/>
        <w:rPr>
          <w:rFonts w:ascii="Montserrat" w:hAnsi="Montserrat"/>
          <w:b/>
          <w:u w:val="single"/>
        </w:rPr>
      </w:pPr>
      <w:r w:rsidRPr="000B76CE">
        <w:rPr>
          <w:rFonts w:ascii="Montserrat" w:hAnsi="Montserrat"/>
          <w:b/>
          <w:u w:val="single"/>
        </w:rPr>
        <w:t>Representación jurídica a víctimas de tortura</w:t>
      </w:r>
    </w:p>
    <w:p w:rsidR="00756C85" w:rsidRPr="000B76CE" w:rsidRDefault="00756C85" w:rsidP="006B52ED">
      <w:pPr>
        <w:spacing w:after="0" w:line="240" w:lineRule="auto"/>
        <w:jc w:val="both"/>
        <w:rPr>
          <w:rFonts w:ascii="Montserrat" w:hAnsi="Montserrat"/>
          <w:b/>
          <w:u w:val="single"/>
        </w:rPr>
      </w:pPr>
    </w:p>
    <w:p w:rsidR="00CA269B" w:rsidRPr="000B76CE" w:rsidRDefault="00CA269B" w:rsidP="006B52ED">
      <w:pPr>
        <w:spacing w:after="0" w:line="240" w:lineRule="auto"/>
        <w:jc w:val="both"/>
        <w:rPr>
          <w:rFonts w:ascii="Montserrat" w:hAnsi="Montserrat"/>
        </w:rPr>
      </w:pPr>
      <w:r w:rsidRPr="000B76CE">
        <w:rPr>
          <w:rFonts w:ascii="Montserrat" w:hAnsi="Montserrat"/>
        </w:rPr>
        <w:t>El Poder Judicial de la Federación cuenta con el “</w:t>
      </w:r>
      <w:r w:rsidRPr="000B76CE">
        <w:rPr>
          <w:rFonts w:ascii="Montserrat" w:hAnsi="Montserrat"/>
          <w:b/>
        </w:rPr>
        <w:t>Instituto Federal de Defensoría Pública</w:t>
      </w:r>
      <w:r w:rsidRPr="000B76CE">
        <w:rPr>
          <w:rFonts w:ascii="Montserrat" w:hAnsi="Montserrat"/>
        </w:rPr>
        <w:t xml:space="preserve">”, como órgano auxiliar, </w:t>
      </w:r>
      <w:r w:rsidRPr="000B76CE">
        <w:rPr>
          <w:rFonts w:ascii="Montserrat" w:hAnsi="Montserrat"/>
          <w:b/>
        </w:rPr>
        <w:t>conformado por 884 defensores y 195 asesores jurídicos</w:t>
      </w:r>
      <w:r w:rsidRPr="000B76CE">
        <w:rPr>
          <w:rFonts w:ascii="Montserrat" w:hAnsi="Montserrat"/>
        </w:rPr>
        <w:t xml:space="preserve">, quienes proporcionan servicios de defensa pública en los asuntos de orden federal y atienden a la población menos favorecida, bajo los principios de gratuidad, probidad, honradez y profesionalismo. </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Los objetivos del Instituto Federal de Defensoría Pública son: disminuir las desigualdades sociales, preservar los derechos humanos y consolidar el estado de derecho y el principio constitucional de acceso a la justicia. </w:t>
      </w:r>
    </w:p>
    <w:p w:rsidR="00CA269B" w:rsidRPr="000B76CE" w:rsidRDefault="00CA269B" w:rsidP="006B52ED">
      <w:pPr>
        <w:spacing w:after="0" w:line="240" w:lineRule="auto"/>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En ese sentido, en el periodo comprendido del 1º de enero 2013 al 31 de diciembre del 2018, el Poder Judicial de la Federación </w:t>
      </w:r>
      <w:r w:rsidRPr="000B76CE">
        <w:rPr>
          <w:rFonts w:ascii="Montserrat" w:hAnsi="Montserrat"/>
          <w:b/>
        </w:rPr>
        <w:t>proporcionó defensa gratuita a 211,733 personas</w:t>
      </w:r>
      <w:r w:rsidRPr="000B76CE">
        <w:rPr>
          <w:rFonts w:ascii="Montserrat" w:hAnsi="Montserrat"/>
        </w:rPr>
        <w:t xml:space="preserve"> en procesos penales federales.</w:t>
      </w:r>
    </w:p>
    <w:p w:rsidR="00CA269B" w:rsidRPr="000B76CE" w:rsidRDefault="00CA269B" w:rsidP="006B52ED">
      <w:pPr>
        <w:spacing w:after="0" w:line="240" w:lineRule="auto"/>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Conforme al marco jurídico nacional, toda persona imputada de un delito tiene derecho a una defensa adecuada ejercida por una persona abogada, la cual será elegirá libremente, incluso, desde el momento de su detención. Con base en todo lo anterior, el Instituto Federal de Defensoría Pública otorga el servicio de defensoría pública en asuntos del fuero federal.  </w:t>
      </w:r>
    </w:p>
    <w:p w:rsidR="00CA269B" w:rsidRPr="000B76CE" w:rsidRDefault="00CA269B" w:rsidP="006B52ED">
      <w:pPr>
        <w:spacing w:after="0" w:line="240" w:lineRule="auto"/>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De conformidad con lo anterior, el Instituto Federal de Defensoría Pública señaló </w:t>
      </w:r>
      <w:proofErr w:type="gramStart"/>
      <w:r w:rsidRPr="000B76CE">
        <w:rPr>
          <w:rFonts w:ascii="Montserrat" w:hAnsi="Montserrat"/>
        </w:rPr>
        <w:t>que</w:t>
      </w:r>
      <w:proofErr w:type="gramEnd"/>
      <w:r w:rsidRPr="000B76CE">
        <w:rPr>
          <w:rFonts w:ascii="Montserrat" w:hAnsi="Montserrat"/>
        </w:rPr>
        <w:t xml:space="preserve"> </w:t>
      </w:r>
      <w:r w:rsidRPr="000B76CE">
        <w:rPr>
          <w:rFonts w:ascii="Montserrat" w:hAnsi="Montserrat"/>
          <w:b/>
        </w:rPr>
        <w:t>de las 211,743 personas atendidas</w:t>
      </w:r>
      <w:r w:rsidRPr="000B76CE">
        <w:rPr>
          <w:rFonts w:ascii="Montserrat" w:hAnsi="Montserrat"/>
        </w:rPr>
        <w:t xml:space="preserve"> en el periodo bajo análisis, </w:t>
      </w:r>
      <w:r w:rsidRPr="000B76CE">
        <w:rPr>
          <w:rFonts w:ascii="Montserrat" w:hAnsi="Montserrat"/>
          <w:b/>
        </w:rPr>
        <w:t>9,522 alegaron haber sido víctimas de tortura</w:t>
      </w:r>
      <w:r w:rsidRPr="000B76CE">
        <w:rPr>
          <w:rFonts w:ascii="Montserrat" w:hAnsi="Montserrat"/>
        </w:rPr>
        <w:t xml:space="preserve"> (aproximadamente el 4.4 %). En cumplimiento de las obligaciones de prevención, investigación y sanción de la tortura, el Instituto realizó las siguientes acciones: </w:t>
      </w:r>
    </w:p>
    <w:p w:rsidR="00CA269B" w:rsidRPr="000B76CE" w:rsidRDefault="00CA269B" w:rsidP="006B52ED">
      <w:pPr>
        <w:spacing w:after="0" w:line="240" w:lineRule="auto"/>
        <w:jc w:val="both"/>
        <w:rPr>
          <w:rFonts w:ascii="Montserrat" w:eastAsiaTheme="minorHAnsi" w:hAnsi="Montserrat" w:cstheme="minorBidi"/>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En materia de violación a los derechos humanos, los defensores públicos federales, adscritos a la Defensoría Pública, presentaron diversas quejas ante las comisiones estatales y la Comisión Nacional de Derechos Humanos.  </w:t>
      </w:r>
    </w:p>
    <w:p w:rsidR="00CA269B" w:rsidRPr="000B76CE" w:rsidRDefault="00CA269B" w:rsidP="006B52ED">
      <w:pPr>
        <w:pStyle w:val="ListParagraph"/>
        <w:spacing w:after="0" w:line="240" w:lineRule="auto"/>
        <w:ind w:left="78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Ante los órganos jurisdiccionales competentes, se dio vista al Ministerio Público de la Federación por la posible comisión de hechos constitutivos de delito o con apariencia de tortura. Se solicitó recabar diversas periciales en materia de medicina, psicología, fotografía y mecánica de lesiones para determinar la </w:t>
      </w:r>
      <w:r w:rsidRPr="000B76CE">
        <w:rPr>
          <w:rFonts w:ascii="Montserrat" w:hAnsi="Montserrat"/>
        </w:rPr>
        <w:lastRenderedPageBreak/>
        <w:t xml:space="preserve">tortura, las cuales se encuentran encaminados a la observancia y aplicación del Protocolo de Estambul y análisis con perspectiva de género. De acuerdo al interrogatorio efectuado ante los entes aprehensores, se promovió un incidente de exclusión de prueba ilícita. </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center"/>
        <w:textAlignment w:val="baseline"/>
        <w:rPr>
          <w:rFonts w:ascii="Montserrat" w:eastAsia="Times New Roman" w:hAnsi="Montserrat" w:cs="Segoe UI"/>
          <w:b/>
          <w:bCs/>
          <w:color w:val="FFFFFF"/>
          <w:lang w:eastAsia="es-MX"/>
        </w:rPr>
      </w:pPr>
      <w:r w:rsidRPr="000B76CE">
        <w:rPr>
          <w:rFonts w:ascii="Montserrat" w:eastAsia="Times New Roman" w:hAnsi="Montserrat" w:cs="Segoe UI"/>
          <w:b/>
          <w:bCs/>
          <w:lang w:eastAsia="es-MX"/>
        </w:rPr>
        <w:t>Asistencia gratuita otorgada en relación a procesos penales (1 de enero de 2013 al 31 de diciembre de 2018)</w:t>
      </w:r>
      <w:r w:rsidRPr="000B76CE">
        <w:rPr>
          <w:rFonts w:ascii="Montserrat" w:eastAsia="Times New Roman" w:hAnsi="Montserrat" w:cs="Segoe UI"/>
          <w:b/>
          <w:bCs/>
          <w:color w:val="FFFFFF"/>
          <w:lang w:eastAsia="es-MX"/>
        </w:rPr>
        <w:t> </w:t>
      </w:r>
    </w:p>
    <w:p w:rsidR="00CA269B" w:rsidRPr="000B76CE" w:rsidRDefault="00CA269B" w:rsidP="006B52ED">
      <w:pPr>
        <w:spacing w:after="0" w:line="240" w:lineRule="auto"/>
        <w:jc w:val="center"/>
        <w:textAlignment w:val="baseline"/>
        <w:rPr>
          <w:rFonts w:ascii="Montserrat" w:eastAsia="Times New Roman" w:hAnsi="Montserrat" w:cs="Segoe UI"/>
          <w:b/>
          <w:bCs/>
          <w:color w:val="FFFFFF"/>
          <w:lang w:eastAsia="es-MX"/>
        </w:rPr>
      </w:pPr>
      <w:r w:rsidRPr="000B76CE">
        <w:rPr>
          <w:rFonts w:ascii="Montserrat" w:eastAsia="Times New Roman" w:hAnsi="Montserrat" w:cs="Segoe UI"/>
          <w:b/>
          <w:bCs/>
          <w:color w:val="FFFFFF"/>
          <w:lang w:eastAsia="es-MX"/>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8"/>
        <w:gridCol w:w="1230"/>
        <w:gridCol w:w="1247"/>
        <w:gridCol w:w="1232"/>
        <w:gridCol w:w="1246"/>
        <w:gridCol w:w="1243"/>
        <w:gridCol w:w="1196"/>
      </w:tblGrid>
      <w:tr w:rsidR="00CA269B" w:rsidRPr="000B76CE" w:rsidTr="005F3DAF">
        <w:tc>
          <w:tcPr>
            <w:tcW w:w="1500" w:type="dxa"/>
            <w:tcBorders>
              <w:top w:val="single" w:sz="6" w:space="0" w:color="auto"/>
              <w:left w:val="single" w:sz="6" w:space="0" w:color="auto"/>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PERIODO ANUAL</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2013</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2014</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2015</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2016</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2017</w:t>
            </w:r>
            <w:r w:rsidRPr="000B76CE">
              <w:rPr>
                <w:rFonts w:ascii="Montserrat" w:eastAsia="Times New Roman" w:hAnsi="Montserrat"/>
                <w:lang w:eastAsia="es-MX"/>
              </w:rPr>
              <w:t> </w:t>
            </w:r>
          </w:p>
        </w:tc>
        <w:tc>
          <w:tcPr>
            <w:tcW w:w="1500" w:type="dxa"/>
            <w:tcBorders>
              <w:top w:val="single" w:sz="6" w:space="0" w:color="auto"/>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b/>
                <w:bCs/>
                <w:lang w:eastAsia="es-MX"/>
              </w:rPr>
              <w:t>2018</w:t>
            </w:r>
            <w:r w:rsidRPr="000B76CE">
              <w:rPr>
                <w:rFonts w:ascii="Montserrat" w:eastAsia="Times New Roman" w:hAnsi="Montserrat"/>
                <w:lang w:eastAsia="es-MX"/>
              </w:rPr>
              <w:t> </w:t>
            </w:r>
          </w:p>
        </w:tc>
      </w:tr>
      <w:tr w:rsidR="00CA269B" w:rsidRPr="000B76CE" w:rsidTr="005F3DAF">
        <w:tc>
          <w:tcPr>
            <w:tcW w:w="1500" w:type="dxa"/>
            <w:tcBorders>
              <w:top w:val="nil"/>
              <w:left w:val="single" w:sz="6" w:space="0" w:color="auto"/>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Total de atenciones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54167 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52870 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42451 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29056 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27938 </w:t>
            </w:r>
          </w:p>
        </w:tc>
        <w:tc>
          <w:tcPr>
            <w:tcW w:w="1500" w:type="dxa"/>
            <w:tcBorders>
              <w:top w:val="nil"/>
              <w:left w:val="nil"/>
              <w:bottom w:val="single" w:sz="6" w:space="0" w:color="auto"/>
              <w:right w:val="single" w:sz="6" w:space="0" w:color="auto"/>
            </w:tcBorders>
            <w:shd w:val="clear" w:color="auto" w:fill="auto"/>
            <w:hideMark/>
          </w:tcPr>
          <w:p w:rsidR="00CA269B" w:rsidRPr="000B76CE" w:rsidRDefault="00CA269B" w:rsidP="006B52ED">
            <w:pPr>
              <w:spacing w:after="0" w:line="240" w:lineRule="auto"/>
              <w:jc w:val="center"/>
              <w:textAlignment w:val="baseline"/>
              <w:rPr>
                <w:rFonts w:ascii="Montserrat" w:eastAsia="Times New Roman" w:hAnsi="Montserrat"/>
                <w:lang w:eastAsia="es-MX"/>
              </w:rPr>
            </w:pPr>
            <w:r w:rsidRPr="000B76CE">
              <w:rPr>
                <w:rFonts w:ascii="Montserrat" w:eastAsia="Times New Roman" w:hAnsi="Montserrat"/>
                <w:lang w:eastAsia="es-MX"/>
              </w:rPr>
              <w:t>5261 </w:t>
            </w:r>
          </w:p>
        </w:tc>
      </w:tr>
    </w:tbl>
    <w:p w:rsidR="00CA269B" w:rsidRPr="000B76CE" w:rsidRDefault="00CA269B" w:rsidP="006B52ED">
      <w:pPr>
        <w:spacing w:after="0" w:line="240" w:lineRule="auto"/>
        <w:jc w:val="both"/>
        <w:textAlignment w:val="baseline"/>
        <w:rPr>
          <w:rFonts w:ascii="Montserrat" w:eastAsia="Times New Roman" w:hAnsi="Montserrat" w:cs="Segoe UI"/>
          <w:b/>
          <w:bCs/>
          <w:color w:val="FFFFFF"/>
          <w:lang w:eastAsia="es-MX"/>
        </w:rPr>
      </w:pPr>
      <w:r w:rsidRPr="000B76CE">
        <w:rPr>
          <w:rFonts w:ascii="Montserrat" w:eastAsia="Times New Roman" w:hAnsi="Montserrat" w:cs="Segoe UI"/>
          <w:b/>
          <w:bCs/>
          <w:color w:val="FFFFFF"/>
          <w:lang w:eastAsia="es-MX"/>
        </w:rPr>
        <w:t> </w:t>
      </w:r>
    </w:p>
    <w:p w:rsidR="00CA269B" w:rsidRPr="000B76CE" w:rsidRDefault="00CA269B" w:rsidP="006B52ED">
      <w:pPr>
        <w:spacing w:after="0" w:line="240" w:lineRule="auto"/>
        <w:jc w:val="center"/>
        <w:textAlignment w:val="baseline"/>
        <w:rPr>
          <w:rFonts w:ascii="Montserrat" w:eastAsia="Times New Roman" w:hAnsi="Montserrat" w:cs="Segoe UI"/>
          <w:b/>
          <w:bCs/>
          <w:color w:val="FFFFFF"/>
          <w:lang w:eastAsia="es-MX"/>
        </w:rPr>
      </w:pPr>
      <w:r w:rsidRPr="000B76CE">
        <w:rPr>
          <w:rFonts w:ascii="Montserrat" w:eastAsia="Times New Roman" w:hAnsi="Montserrat" w:cs="Segoe UI"/>
          <w:b/>
          <w:bCs/>
          <w:lang w:eastAsia="es-MX"/>
        </w:rPr>
        <w:t>Información desagregada por sexo, origen étnico y nacionalidad</w:t>
      </w:r>
      <w:r w:rsidRPr="000B76CE">
        <w:rPr>
          <w:rFonts w:ascii="Montserrat" w:eastAsia="Times New Roman" w:hAnsi="Montserrat" w:cs="Segoe UI"/>
          <w:b/>
          <w:bCs/>
          <w:color w:val="FFFFFF"/>
          <w:lang w:eastAsia="es-MX"/>
        </w:rPr>
        <w:t> </w:t>
      </w:r>
    </w:p>
    <w:p w:rsidR="00CA269B" w:rsidRPr="000B76CE" w:rsidRDefault="00CA269B" w:rsidP="006B52ED">
      <w:pPr>
        <w:spacing w:after="0" w:line="240" w:lineRule="auto"/>
        <w:jc w:val="both"/>
        <w:textAlignment w:val="baseline"/>
        <w:rPr>
          <w:rFonts w:ascii="Montserrat" w:eastAsia="Times New Roman" w:hAnsi="Montserrat" w:cs="Segoe UI"/>
          <w:b/>
          <w:bCs/>
          <w:color w:val="FFFFFF"/>
          <w:lang w:eastAsia="es-MX"/>
        </w:rPr>
      </w:pPr>
      <w:r w:rsidRPr="000B76CE">
        <w:rPr>
          <w:rFonts w:ascii="Montserrat" w:eastAsia="Times New Roman" w:hAnsi="Montserrat" w:cs="Segoe UI"/>
          <w:b/>
          <w:bCs/>
          <w:lang w:eastAsia="es-MX"/>
        </w:rPr>
        <w:t>   </w:t>
      </w:r>
      <w:r w:rsidRPr="000B76CE">
        <w:rPr>
          <w:rFonts w:ascii="Montserrat" w:eastAsia="Times New Roman" w:hAnsi="Montserrat" w:cs="Segoe UI"/>
          <w:b/>
          <w:bCs/>
          <w:color w:val="FFFFFF"/>
          <w:lang w:eastAsia="es-MX"/>
        </w:rPr>
        <w:t> </w:t>
      </w:r>
    </w:p>
    <w:tbl>
      <w:tblPr>
        <w:tblStyle w:val="TableGrid"/>
        <w:tblW w:w="0" w:type="auto"/>
        <w:tblInd w:w="-5" w:type="dxa"/>
        <w:tblLook w:val="04A0" w:firstRow="1" w:lastRow="0" w:firstColumn="1" w:lastColumn="0" w:noHBand="0" w:noVBand="1"/>
      </w:tblPr>
      <w:tblGrid>
        <w:gridCol w:w="2257"/>
        <w:gridCol w:w="1966"/>
        <w:gridCol w:w="1942"/>
        <w:gridCol w:w="1334"/>
        <w:gridCol w:w="1334"/>
      </w:tblGrid>
      <w:tr w:rsidR="00CA269B" w:rsidRPr="000B76CE" w:rsidTr="005F3DAF">
        <w:trPr>
          <w:trHeight w:val="1368"/>
        </w:trPr>
        <w:tc>
          <w:tcPr>
            <w:tcW w:w="2318" w:type="dxa"/>
          </w:tcPr>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center"/>
              <w:rPr>
                <w:rFonts w:ascii="Montserrat" w:hAnsi="Montserrat"/>
              </w:rPr>
            </w:pPr>
            <w:r w:rsidRPr="000B76CE">
              <w:rPr>
                <w:rFonts w:ascii="Montserrat" w:hAnsi="Montserrat"/>
              </w:rPr>
              <w:t>Total</w:t>
            </w:r>
          </w:p>
        </w:tc>
        <w:tc>
          <w:tcPr>
            <w:tcW w:w="1999" w:type="dxa"/>
          </w:tcPr>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center"/>
              <w:rPr>
                <w:rFonts w:ascii="Montserrat" w:hAnsi="Montserrat"/>
              </w:rPr>
            </w:pPr>
            <w:r w:rsidRPr="000B76CE">
              <w:rPr>
                <w:rFonts w:ascii="Montserrat" w:hAnsi="Montserrat"/>
              </w:rPr>
              <w:t>Hombres</w:t>
            </w:r>
          </w:p>
        </w:tc>
        <w:tc>
          <w:tcPr>
            <w:tcW w:w="1981" w:type="dxa"/>
          </w:tcPr>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both"/>
              <w:rPr>
                <w:rFonts w:ascii="Montserrat" w:hAnsi="Montserrat"/>
              </w:rPr>
            </w:pPr>
          </w:p>
          <w:p w:rsidR="00CA269B" w:rsidRPr="000B76CE" w:rsidRDefault="00CA269B" w:rsidP="006B52ED">
            <w:pPr>
              <w:pStyle w:val="ListParagraph"/>
              <w:spacing w:line="240" w:lineRule="auto"/>
              <w:ind w:left="0"/>
              <w:jc w:val="center"/>
              <w:rPr>
                <w:rFonts w:ascii="Montserrat" w:hAnsi="Montserrat"/>
              </w:rPr>
            </w:pPr>
            <w:r w:rsidRPr="000B76CE">
              <w:rPr>
                <w:rFonts w:ascii="Montserrat" w:hAnsi="Montserrat"/>
              </w:rPr>
              <w:t>Mujeres</w:t>
            </w:r>
          </w:p>
        </w:tc>
        <w:tc>
          <w:tcPr>
            <w:tcW w:w="1334"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Personas atendidas que provienen de diferentes etnias</w:t>
            </w:r>
          </w:p>
        </w:tc>
        <w:tc>
          <w:tcPr>
            <w:tcW w:w="1201"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 xml:space="preserve">Personas atendidas que provienen de diferentes países  </w:t>
            </w:r>
          </w:p>
        </w:tc>
      </w:tr>
      <w:tr w:rsidR="00CA269B" w:rsidRPr="000B76CE" w:rsidTr="005F3DAF">
        <w:tc>
          <w:tcPr>
            <w:tcW w:w="2318"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211,743</w:t>
            </w:r>
          </w:p>
        </w:tc>
        <w:tc>
          <w:tcPr>
            <w:tcW w:w="1999"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195,021</w:t>
            </w:r>
          </w:p>
        </w:tc>
        <w:tc>
          <w:tcPr>
            <w:tcW w:w="1981"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16,712</w:t>
            </w:r>
          </w:p>
        </w:tc>
        <w:tc>
          <w:tcPr>
            <w:tcW w:w="1334"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1,884</w:t>
            </w:r>
          </w:p>
        </w:tc>
        <w:tc>
          <w:tcPr>
            <w:tcW w:w="1201" w:type="dxa"/>
          </w:tcPr>
          <w:p w:rsidR="00CA269B" w:rsidRPr="000B76CE" w:rsidRDefault="00CA269B" w:rsidP="006B52ED">
            <w:pPr>
              <w:pStyle w:val="ListParagraph"/>
              <w:spacing w:line="240" w:lineRule="auto"/>
              <w:ind w:left="0"/>
              <w:jc w:val="both"/>
              <w:rPr>
                <w:rFonts w:ascii="Montserrat" w:hAnsi="Montserrat"/>
              </w:rPr>
            </w:pPr>
            <w:r w:rsidRPr="000B76CE">
              <w:rPr>
                <w:rFonts w:ascii="Montserrat" w:hAnsi="Montserrat"/>
              </w:rPr>
              <w:t>5,400</w:t>
            </w:r>
          </w:p>
        </w:tc>
      </w:tr>
    </w:tbl>
    <w:p w:rsidR="00CA269B" w:rsidRPr="000B76CE" w:rsidRDefault="00CA269B" w:rsidP="006B52ED">
      <w:pPr>
        <w:spacing w:after="0" w:line="240" w:lineRule="auto"/>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Por otro lado, la </w:t>
      </w:r>
      <w:r w:rsidRPr="000B76CE">
        <w:rPr>
          <w:rFonts w:ascii="Montserrat" w:hAnsi="Montserrat"/>
          <w:b/>
        </w:rPr>
        <w:t>Comisión Ejecutiva de Atención a Víctimas</w:t>
      </w:r>
      <w:r w:rsidRPr="000B76CE">
        <w:rPr>
          <w:rFonts w:ascii="Montserrat" w:hAnsi="Montserrat"/>
        </w:rPr>
        <w:t xml:space="preserve"> (CEAV) cuenta con la </w:t>
      </w:r>
      <w:r w:rsidRPr="000B76CE">
        <w:rPr>
          <w:rFonts w:ascii="Montserrat" w:hAnsi="Montserrat"/>
          <w:b/>
        </w:rPr>
        <w:t>Asesoría Jurídica Federal</w:t>
      </w:r>
      <w:r w:rsidRPr="000B76CE">
        <w:rPr>
          <w:rFonts w:ascii="Montserrat" w:hAnsi="Montserrat"/>
        </w:rPr>
        <w:t xml:space="preserve"> (AJF), integrada por asesoras(es) jurídicas(os) de atención a víctimas, peritos y profesionistas técnicos de diversas disciplinas que se requieran para la defensa de los derechos de las víctimas. </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Actualmente, la Asesoría Jurídica Federal cuenta con </w:t>
      </w:r>
      <w:r w:rsidRPr="000B76CE">
        <w:rPr>
          <w:rFonts w:ascii="Montserrat" w:hAnsi="Montserrat"/>
          <w:b/>
        </w:rPr>
        <w:t>131 asesores(as) jurídico(as</w:t>
      </w:r>
      <w:r w:rsidRPr="000B76CE">
        <w:rPr>
          <w:rFonts w:ascii="Montserrat" w:hAnsi="Montserrat"/>
        </w:rPr>
        <w:t xml:space="preserve">), de los cuales </w:t>
      </w:r>
      <w:r w:rsidRPr="000B76CE">
        <w:rPr>
          <w:rFonts w:ascii="Montserrat" w:hAnsi="Montserrat"/>
          <w:b/>
        </w:rPr>
        <w:t>81</w:t>
      </w:r>
      <w:r w:rsidRPr="000B76CE">
        <w:rPr>
          <w:rFonts w:ascii="Montserrat" w:hAnsi="Montserrat"/>
        </w:rPr>
        <w:t xml:space="preserve"> se encuentran distribuidos en los 31 </w:t>
      </w:r>
      <w:r w:rsidRPr="000B76CE">
        <w:rPr>
          <w:rFonts w:ascii="Montserrat" w:hAnsi="Montserrat"/>
          <w:b/>
        </w:rPr>
        <w:t>Centros de Atención Integral</w:t>
      </w:r>
      <w:r w:rsidRPr="000B76CE">
        <w:rPr>
          <w:rFonts w:ascii="Montserrat" w:hAnsi="Montserrat"/>
        </w:rPr>
        <w:t xml:space="preserve"> de los distintos estados de la República, y </w:t>
      </w:r>
      <w:r w:rsidRPr="000B76CE">
        <w:rPr>
          <w:rFonts w:ascii="Montserrat" w:hAnsi="Montserrat"/>
          <w:b/>
        </w:rPr>
        <w:t>50</w:t>
      </w:r>
      <w:r w:rsidRPr="000B76CE">
        <w:rPr>
          <w:rFonts w:ascii="Montserrat" w:hAnsi="Montserrat"/>
        </w:rPr>
        <w:t xml:space="preserve"> en las </w:t>
      </w:r>
      <w:r w:rsidRPr="000B76CE">
        <w:rPr>
          <w:rFonts w:ascii="Montserrat" w:hAnsi="Montserrat"/>
          <w:b/>
        </w:rPr>
        <w:t>oficinas centrales</w:t>
      </w:r>
      <w:r w:rsidRPr="000B76CE">
        <w:rPr>
          <w:rFonts w:ascii="Montserrat" w:hAnsi="Montserrat"/>
        </w:rPr>
        <w:t xml:space="preserve"> de la Ciudad de México.</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A diferencia del defensor público, quien representa a las personas imputadas dentro de un procedimiento penal, la figura de la asesoría jurídica representa a las víctimas no sólo en el ámbito penal, sino en todo proceso relacionado con el hecho </w:t>
      </w:r>
      <w:proofErr w:type="spellStart"/>
      <w:r w:rsidRPr="000B76CE">
        <w:rPr>
          <w:rFonts w:ascii="Montserrat" w:hAnsi="Montserrat"/>
        </w:rPr>
        <w:t>victimizante</w:t>
      </w:r>
      <w:proofErr w:type="spellEnd"/>
      <w:r w:rsidRPr="000B76CE">
        <w:rPr>
          <w:rFonts w:ascii="Montserrat" w:hAnsi="Montserrat"/>
        </w:rPr>
        <w:t>, por lo que realiza todas las acciones legales tendientes a su defensa.</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En este sentido, la Asesoría Jurídica Federal coordina el servicio de representación y asesoría jurídica de las víctimas en materia penal, civil, laboral, familiar, administrativa y de derechos humanos del fuero federal, a fin de garantizar el acceso a la justicia, a la verdad y a la reparación integral.</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Asimismo, el asesor(a) jurídico(a) debe contar con experiencia en litigio y defensa jurídica en instancias jurisdiccionales y cuasi-jurisdiccionales, así como con conocimientos en derecho constitucional, derechos humanos en el ámbito </w:t>
      </w:r>
      <w:r w:rsidRPr="000B76CE">
        <w:rPr>
          <w:rFonts w:ascii="Montserrat" w:hAnsi="Montserrat"/>
        </w:rPr>
        <w:lastRenderedPageBreak/>
        <w:t>nacional e internacional, derecho penal y sistema acusatorio, derecho internacional público, derecho administrativo y derecho laboral.</w:t>
      </w:r>
    </w:p>
    <w:p w:rsidR="00CA269B" w:rsidRPr="000B76CE" w:rsidRDefault="00CA269B" w:rsidP="006B52ED">
      <w:pPr>
        <w:pStyle w:val="ListParagraph"/>
        <w:spacing w:after="0" w:line="240" w:lineRule="auto"/>
        <w:ind w:left="426"/>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El servicio de asesoría y representación jurídica se proporciona a las víctimas desde el primer momento que tienen contacto con la autoridad hasta que se agoten todas las instancias dentro de un proceso judicial o administrativo en las que pueda intervenir el asesor o se hubiere obtenido la liquidación de cualquier sentencia susceptible de ello, sin la posibilidad de presentar liquidaciones subsecuentes o recursos legales con el fin de obtener la totalidad de lo sentenciado.</w:t>
      </w:r>
    </w:p>
    <w:p w:rsidR="00CA269B" w:rsidRPr="000B76CE" w:rsidRDefault="00CA269B" w:rsidP="006B52ED">
      <w:pPr>
        <w:spacing w:after="0" w:line="240" w:lineRule="auto"/>
        <w:jc w:val="both"/>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En las oficinas centrales que se ubican en la Ciudad de México, la Asesoría Jurídica Federal está estructurada con una Dirección General de la Asesoría Jurídica Federal, que se divide a su vez en una Dirección General Adjunta para la Atención a Víctimas del Delito y una Dirección General Adjunta para la Atención a Víctimas de Violaciones a Derechos Humanos. Cada una de estas direcciones generales adjuntas se encuentra integrada por diversas direcciones de área especializadas. </w:t>
      </w:r>
    </w:p>
    <w:p w:rsidR="00CA269B" w:rsidRPr="000B76CE" w:rsidRDefault="00CA269B" w:rsidP="006B52ED">
      <w:pPr>
        <w:pStyle w:val="ListParagraph"/>
        <w:spacing w:after="0" w:line="240" w:lineRule="auto"/>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En efecto, la Dirección General Adjunta para la Atención a Víctimas del Delito se encuentra conformada por 5 direcciones de área especializadas: una en materia de secuestro, otra en materia de desaparición y desaparición forzada, una en materia de género y trata de personas, otra en delito diversos y otra en análisis forense. </w:t>
      </w:r>
    </w:p>
    <w:p w:rsidR="00CA269B" w:rsidRPr="000B76CE" w:rsidRDefault="00CA269B" w:rsidP="006B52ED">
      <w:pPr>
        <w:pStyle w:val="ListParagraph"/>
        <w:spacing w:after="0" w:line="240" w:lineRule="auto"/>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 xml:space="preserve">Por su parte la Dirección General Adjunta para la Atención a Víctimas de Violaciones a Derechos Humanos, se encuentra integrada por 4 direcciones de área especializadas: </w:t>
      </w:r>
      <w:r w:rsidRPr="000B76CE">
        <w:rPr>
          <w:rFonts w:ascii="Montserrat" w:hAnsi="Montserrat"/>
          <w:b/>
        </w:rPr>
        <w:t>una dirección de área en materia de tortura y ejecuciones extrajudiciales</w:t>
      </w:r>
      <w:r w:rsidRPr="000B76CE">
        <w:rPr>
          <w:rFonts w:ascii="Montserrat" w:hAnsi="Montserrat"/>
        </w:rPr>
        <w:t xml:space="preserve">, una en materia de derechos humanos, otra de periodistas y defensores de derechos humanos y otra de grupos en situación de vulnerabilidad. </w:t>
      </w:r>
    </w:p>
    <w:p w:rsidR="00CA269B" w:rsidRPr="000B76CE" w:rsidRDefault="00CA269B" w:rsidP="006B52ED">
      <w:pPr>
        <w:pStyle w:val="ListParagraph"/>
        <w:spacing w:after="0" w:line="240" w:lineRule="auto"/>
        <w:rPr>
          <w:rFonts w:ascii="Montserrat" w:hAnsi="Montserrat"/>
        </w:rPr>
      </w:pPr>
    </w:p>
    <w:p w:rsidR="00CA269B" w:rsidRPr="000B76CE" w:rsidRDefault="00CA269B" w:rsidP="006B52ED">
      <w:pPr>
        <w:spacing w:after="0" w:line="240" w:lineRule="auto"/>
        <w:jc w:val="both"/>
        <w:rPr>
          <w:rFonts w:ascii="Montserrat" w:hAnsi="Montserrat"/>
        </w:rPr>
      </w:pPr>
      <w:r w:rsidRPr="000B76CE">
        <w:rPr>
          <w:rFonts w:ascii="Montserrat" w:hAnsi="Montserrat"/>
        </w:rPr>
        <w:t>Lo anterior, tal como se refleja en el cuadro siguiente:</w:t>
      </w:r>
    </w:p>
    <w:p w:rsidR="00271ABC" w:rsidRPr="000B76CE" w:rsidRDefault="00271ABC" w:rsidP="006B52ED">
      <w:pPr>
        <w:spacing w:after="0" w:line="240" w:lineRule="auto"/>
        <w:jc w:val="both"/>
        <w:rPr>
          <w:rFonts w:ascii="Montserrat" w:hAnsi="Montserrat"/>
          <w:b/>
          <w:u w:val="single"/>
        </w:rPr>
      </w:pPr>
      <w:r w:rsidRPr="000B76CE">
        <w:rPr>
          <w:rFonts w:ascii="Montserrat" w:hAnsi="Montserrat"/>
          <w:noProof/>
          <w:lang w:val="en-US"/>
        </w:rPr>
        <w:lastRenderedPageBreak/>
        <w:drawing>
          <wp:inline distT="0" distB="0" distL="0" distR="0" wp14:anchorId="2157ADE9" wp14:editId="3BB78655">
            <wp:extent cx="6057900" cy="4019550"/>
            <wp:effectExtent l="0" t="0" r="0" b="1905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0B76CE">
        <w:rPr>
          <w:rFonts w:ascii="Montserrat" w:hAnsi="Montserrat"/>
          <w:b/>
          <w:u w:val="single"/>
        </w:rPr>
        <w:t>Atención médica y medidas de rehabilitación</w:t>
      </w: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La Comisión Ejecutiva de Atención a Víctimas (CEAV) cuenta con un total de 16 servidores públicos en el país, de los cuales </w:t>
      </w:r>
      <w:r w:rsidRPr="000B76CE">
        <w:rPr>
          <w:rFonts w:ascii="Montserrat" w:hAnsi="Montserrat"/>
          <w:b/>
        </w:rPr>
        <w:t>11 son médicos, 3 paramédicos y 2 son enfermeros</w:t>
      </w:r>
      <w:r w:rsidRPr="000B76CE">
        <w:rPr>
          <w:rFonts w:ascii="Montserrat" w:hAnsi="Montserrat"/>
        </w:rPr>
        <w:t xml:space="preserve">. </w:t>
      </w:r>
    </w:p>
    <w:p w:rsidR="00236014" w:rsidRDefault="00236014" w:rsidP="006B52ED">
      <w:pPr>
        <w:spacing w:after="0" w:line="240" w:lineRule="auto"/>
        <w:jc w:val="both"/>
        <w:rPr>
          <w:rFonts w:ascii="Montserrat" w:hAnsi="Montserrat"/>
        </w:rPr>
      </w:pP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El personal es </w:t>
      </w:r>
      <w:r w:rsidRPr="000B76CE">
        <w:rPr>
          <w:rFonts w:ascii="Montserrat" w:hAnsi="Montserrat"/>
          <w:b/>
        </w:rPr>
        <w:t>especializado en ciencias de la salud</w:t>
      </w:r>
      <w:r w:rsidRPr="000B76CE">
        <w:rPr>
          <w:rFonts w:ascii="Montserrat" w:hAnsi="Montserrat"/>
        </w:rPr>
        <w:t xml:space="preserve">, con </w:t>
      </w:r>
      <w:r w:rsidRPr="000B76CE">
        <w:rPr>
          <w:rFonts w:ascii="Montserrat" w:hAnsi="Montserrat"/>
          <w:b/>
        </w:rPr>
        <w:t xml:space="preserve">experiencia en </w:t>
      </w:r>
      <w:r w:rsidRPr="000B76CE">
        <w:rPr>
          <w:rFonts w:ascii="Montserrat" w:hAnsi="Montserrat"/>
        </w:rPr>
        <w:t>atención</w:t>
      </w:r>
      <w:r w:rsidRPr="000B76CE">
        <w:rPr>
          <w:rFonts w:ascii="Montserrat" w:hAnsi="Montserrat"/>
          <w:b/>
        </w:rPr>
        <w:t xml:space="preserve"> a víctimas y con capacitación permanente en derechos humanos</w:t>
      </w:r>
      <w:r w:rsidRPr="000B76CE">
        <w:rPr>
          <w:rFonts w:ascii="Montserrat" w:hAnsi="Montserrat"/>
        </w:rPr>
        <w:t xml:space="preserve"> y atención médica.</w:t>
      </w:r>
    </w:p>
    <w:p w:rsidR="00236014" w:rsidRDefault="00236014" w:rsidP="006B52ED">
      <w:pPr>
        <w:spacing w:after="0" w:line="240" w:lineRule="auto"/>
        <w:jc w:val="both"/>
        <w:rPr>
          <w:rFonts w:ascii="Montserrat" w:hAnsi="Montserrat"/>
        </w:rPr>
      </w:pP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Se ha otorgado medidas de rehabilitación a </w:t>
      </w:r>
      <w:r w:rsidRPr="000B76CE">
        <w:rPr>
          <w:rFonts w:ascii="Montserrat" w:hAnsi="Montserrat"/>
          <w:b/>
        </w:rPr>
        <w:t>403</w:t>
      </w:r>
      <w:r w:rsidRPr="000B76CE">
        <w:rPr>
          <w:rFonts w:ascii="Montserrat" w:hAnsi="Montserrat"/>
        </w:rPr>
        <w:t xml:space="preserve"> víctimas de tortura y tratos crueles, inhumanos y degradantes, de las cuales </w:t>
      </w:r>
      <w:r w:rsidRPr="000B76CE">
        <w:rPr>
          <w:rFonts w:ascii="Montserrat" w:hAnsi="Montserrat"/>
          <w:b/>
        </w:rPr>
        <w:t>56</w:t>
      </w:r>
      <w:r w:rsidRPr="000B76CE">
        <w:rPr>
          <w:rFonts w:ascii="Montserrat" w:hAnsi="Montserrat"/>
        </w:rPr>
        <w:t xml:space="preserve"> son de la Ciudad de México, </w:t>
      </w:r>
      <w:r w:rsidRPr="000B76CE">
        <w:rPr>
          <w:rFonts w:ascii="Montserrat" w:hAnsi="Montserrat"/>
          <w:b/>
        </w:rPr>
        <w:t>347</w:t>
      </w:r>
      <w:r w:rsidRPr="000B76CE">
        <w:rPr>
          <w:rFonts w:ascii="Montserrat" w:hAnsi="Montserrat"/>
        </w:rPr>
        <w:t xml:space="preserve"> de Aguascalientes, Baja California Sur, Campeche, Chihuahua, Jalisco, Morelos, Sonora y Veracruz. El resto de la República no ha proporcionado dicha medida.</w:t>
      </w:r>
    </w:p>
    <w:p w:rsidR="00236014" w:rsidRDefault="00236014" w:rsidP="006B52ED">
      <w:pPr>
        <w:spacing w:after="0" w:line="240" w:lineRule="auto"/>
        <w:jc w:val="both"/>
        <w:rPr>
          <w:rFonts w:ascii="Montserrat" w:hAnsi="Montserrat" w:cs="Arial"/>
          <w:u w:val="single"/>
        </w:rPr>
      </w:pPr>
    </w:p>
    <w:p w:rsidR="00271ABC" w:rsidRPr="000B76CE" w:rsidRDefault="00271ABC" w:rsidP="006B52ED">
      <w:pPr>
        <w:spacing w:after="0" w:line="240" w:lineRule="auto"/>
        <w:jc w:val="both"/>
        <w:rPr>
          <w:rFonts w:ascii="Montserrat" w:hAnsi="Montserrat" w:cs="Arial"/>
          <w:u w:val="single"/>
        </w:rPr>
      </w:pPr>
      <w:r w:rsidRPr="000B76CE">
        <w:rPr>
          <w:rFonts w:ascii="Montserrat" w:hAnsi="Montserrat" w:cs="Arial"/>
          <w:u w:val="single"/>
        </w:rPr>
        <w:t>Requisitos que deben cubrirse para que se proporcione la atención</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Para la atención de las víctimas en la CEAV, es necesario que sean víctimas de delitos del </w:t>
      </w:r>
      <w:r w:rsidRPr="000B76CE">
        <w:rPr>
          <w:rFonts w:ascii="Montserrat" w:hAnsi="Montserrat" w:cs="Arial"/>
          <w:b/>
        </w:rPr>
        <w:t>fuero federal</w:t>
      </w:r>
      <w:r w:rsidRPr="000B76CE">
        <w:rPr>
          <w:rFonts w:ascii="Montserrat" w:hAnsi="Montserrat" w:cs="Arial"/>
        </w:rPr>
        <w:t xml:space="preserve"> o violaciones a derechos humanos cometidas por servidores públicos federales y que la </w:t>
      </w:r>
      <w:r w:rsidRPr="000B76CE">
        <w:rPr>
          <w:rFonts w:ascii="Montserrat" w:hAnsi="Montserrat" w:cs="Arial"/>
          <w:b/>
        </w:rPr>
        <w:t>afectación</w:t>
      </w:r>
      <w:r w:rsidRPr="000B76CE">
        <w:rPr>
          <w:rFonts w:ascii="Montserrat" w:hAnsi="Montserrat" w:cs="Arial"/>
        </w:rPr>
        <w:t xml:space="preserve"> esté </w:t>
      </w:r>
      <w:r w:rsidRPr="000B76CE">
        <w:rPr>
          <w:rFonts w:ascii="Montserrat" w:hAnsi="Montserrat" w:cs="Arial"/>
          <w:b/>
        </w:rPr>
        <w:t xml:space="preserve">relacionada con el hecho </w:t>
      </w:r>
      <w:proofErr w:type="spellStart"/>
      <w:r w:rsidRPr="000B76CE">
        <w:rPr>
          <w:rFonts w:ascii="Montserrat" w:hAnsi="Montserrat" w:cs="Arial"/>
          <w:b/>
        </w:rPr>
        <w:t>victimizante</w:t>
      </w:r>
      <w:proofErr w:type="spellEnd"/>
      <w:r w:rsidRPr="000B76CE">
        <w:rPr>
          <w:rFonts w:ascii="Montserrat" w:hAnsi="Montserrat" w:cs="Arial"/>
        </w:rPr>
        <w:t xml:space="preserve">. </w:t>
      </w:r>
    </w:p>
    <w:p w:rsidR="00271ABC" w:rsidRPr="000B76CE" w:rsidRDefault="00271ABC" w:rsidP="006B52ED">
      <w:pPr>
        <w:pStyle w:val="ListParagraph"/>
        <w:spacing w:after="0" w:line="240" w:lineRule="auto"/>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Posterior a la valoración médica si </w:t>
      </w:r>
      <w:r w:rsidRPr="000B76CE">
        <w:rPr>
          <w:rFonts w:ascii="Montserrat" w:hAnsi="Montserrat" w:cs="Arial"/>
          <w:bCs/>
        </w:rPr>
        <w:t xml:space="preserve">se detecta alguna afectación a la salud, </w:t>
      </w:r>
      <w:r w:rsidRPr="000B76CE">
        <w:rPr>
          <w:rFonts w:ascii="Montserrat" w:hAnsi="Montserrat" w:cs="Arial"/>
          <w:b/>
          <w:bCs/>
        </w:rPr>
        <w:t>ind</w:t>
      </w:r>
      <w:r w:rsidR="0044172F">
        <w:rPr>
          <w:rFonts w:ascii="Montserrat" w:hAnsi="Montserrat" w:cs="Arial"/>
          <w:b/>
          <w:bCs/>
        </w:rPr>
        <w:t xml:space="preserve">ependientemente del hecho </w:t>
      </w:r>
      <w:proofErr w:type="spellStart"/>
      <w:r w:rsidR="0044172F">
        <w:rPr>
          <w:rFonts w:ascii="Montserrat" w:hAnsi="Montserrat" w:cs="Arial"/>
          <w:b/>
          <w:bCs/>
        </w:rPr>
        <w:t>vi</w:t>
      </w:r>
      <w:r w:rsidRPr="000B76CE">
        <w:rPr>
          <w:rFonts w:ascii="Montserrat" w:hAnsi="Montserrat" w:cs="Arial"/>
          <w:b/>
          <w:bCs/>
        </w:rPr>
        <w:t>ctimizante</w:t>
      </w:r>
      <w:proofErr w:type="spellEnd"/>
      <w:r w:rsidRPr="000B76CE">
        <w:rPr>
          <w:rFonts w:ascii="Montserrat" w:hAnsi="Montserrat" w:cs="Arial"/>
          <w:b/>
          <w:bCs/>
        </w:rPr>
        <w:t xml:space="preserve">, se realiza la gestión a la unidad </w:t>
      </w:r>
      <w:r w:rsidRPr="000B76CE">
        <w:rPr>
          <w:rFonts w:ascii="Montserrat" w:hAnsi="Montserrat" w:cs="Arial"/>
          <w:b/>
          <w:bCs/>
        </w:rPr>
        <w:lastRenderedPageBreak/>
        <w:t>médica de salud</w:t>
      </w:r>
      <w:r w:rsidRPr="000B76CE">
        <w:rPr>
          <w:rFonts w:ascii="Montserrat" w:hAnsi="Montserrat" w:cs="Arial"/>
          <w:bCs/>
        </w:rPr>
        <w:t xml:space="preserve"> que, de acuerdo al padecimiento, tenga la infraestructura para su atención.</w:t>
      </w:r>
    </w:p>
    <w:p w:rsidR="00271ABC" w:rsidRPr="000B76CE" w:rsidRDefault="00271ABC" w:rsidP="006B52ED">
      <w:pPr>
        <w:spacing w:after="0" w:line="240" w:lineRule="auto"/>
        <w:jc w:val="both"/>
        <w:rPr>
          <w:rFonts w:ascii="Montserrat" w:hAnsi="Montserrat" w:cs="Arial"/>
          <w:u w:val="single"/>
        </w:rPr>
      </w:pPr>
    </w:p>
    <w:p w:rsidR="00271ABC" w:rsidRPr="000B76CE" w:rsidRDefault="00271ABC" w:rsidP="006B52ED">
      <w:pPr>
        <w:spacing w:after="0" w:line="240" w:lineRule="auto"/>
        <w:ind w:left="66"/>
        <w:jc w:val="both"/>
        <w:rPr>
          <w:rFonts w:ascii="Montserrat" w:hAnsi="Montserrat" w:cs="Arial"/>
          <w:u w:val="single"/>
        </w:rPr>
      </w:pPr>
      <w:r w:rsidRPr="000B76CE">
        <w:rPr>
          <w:rFonts w:ascii="Montserrat" w:hAnsi="Montserrat" w:cs="Arial"/>
          <w:u w:val="single"/>
        </w:rPr>
        <w:t>Modelo de Atención Integral en Salud</w:t>
      </w:r>
    </w:p>
    <w:p w:rsidR="00271ABC" w:rsidRPr="000B76CE" w:rsidRDefault="00271ABC" w:rsidP="006B52ED">
      <w:pPr>
        <w:spacing w:after="0" w:line="240" w:lineRule="auto"/>
        <w:ind w:left="6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La Comisión Ejecutiva cuenta con un </w:t>
      </w:r>
      <w:r w:rsidRPr="000B76CE">
        <w:rPr>
          <w:rFonts w:ascii="Montserrat" w:hAnsi="Montserrat" w:cs="Arial"/>
          <w:b/>
        </w:rPr>
        <w:t>Modelo de Atención Integral en Salud</w:t>
      </w:r>
      <w:r w:rsidRPr="000B76CE">
        <w:rPr>
          <w:rFonts w:ascii="Montserrat" w:hAnsi="Montserrat" w:cs="Arial"/>
        </w:rPr>
        <w:t xml:space="preserve"> (MAIS), con la finalidad de dar cumplimiento a lo previsto en el artículo 32 de la Ley General de Víctimas, el cual materializa las medidas que deben otorgarse a las personas en situación de víctimas en materia de salud, cuando lo requieran, a consecuencia del hecho </w:t>
      </w:r>
      <w:proofErr w:type="spellStart"/>
      <w:r w:rsidRPr="000B76CE">
        <w:rPr>
          <w:rFonts w:ascii="Montserrat" w:hAnsi="Montserrat" w:cs="Arial"/>
        </w:rPr>
        <w:t>victimizante</w:t>
      </w:r>
      <w:proofErr w:type="spellEnd"/>
      <w:r w:rsidRPr="000B76CE">
        <w:rPr>
          <w:rFonts w:ascii="Montserrat" w:hAnsi="Montserrat" w:cs="Arial"/>
        </w:rPr>
        <w:t>; además de que establece las bases de articulación para ello.</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El Modelo de Atención Integral en Salud es el resultado del trabajo colaborativo, interdisciplinario y plural que se realizó de manera interinstitucional, en el que </w:t>
      </w:r>
      <w:r w:rsidRPr="000B76CE">
        <w:rPr>
          <w:rFonts w:ascii="Montserrat" w:hAnsi="Montserrat" w:cs="Arial"/>
          <w:b/>
        </w:rPr>
        <w:t>participaron las principales instituciones de salud pública a nivel federal, así como la Secretaría de Salud de la Ciudad de México</w:t>
      </w:r>
      <w:r w:rsidRPr="000B76CE">
        <w:rPr>
          <w:rFonts w:ascii="Montserrat" w:hAnsi="Montserrat" w:cs="Arial"/>
        </w:rPr>
        <w:t>.</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Dicho Modelo fue aprobado por el Pleno de la CEAV, en su versión final, en la Quinta Sesión Ordinaria de 2015, celebrada el 6 de febrero del mismo año, y </w:t>
      </w:r>
      <w:r w:rsidRPr="000B76CE">
        <w:rPr>
          <w:rFonts w:ascii="Montserrat" w:hAnsi="Montserrat" w:cs="Arial"/>
          <w:b/>
        </w:rPr>
        <w:t>el 8 de octubre de 2015 se publicó en el Diario Oficial de la Federación</w:t>
      </w:r>
      <w:r w:rsidRPr="000B76CE">
        <w:rPr>
          <w:rFonts w:ascii="Montserrat" w:hAnsi="Montserrat" w:cs="Arial"/>
        </w:rPr>
        <w:t xml:space="preserve"> el Aviso mediante el cual se informa de la publicación del Modelo de Atención Integral en Salud.</w:t>
      </w:r>
    </w:p>
    <w:p w:rsidR="00271ABC" w:rsidRPr="000B76CE" w:rsidRDefault="00271ABC" w:rsidP="006B52ED">
      <w:pPr>
        <w:spacing w:after="0" w:line="240" w:lineRule="auto"/>
        <w:jc w:val="both"/>
        <w:rPr>
          <w:rFonts w:ascii="Montserrat" w:eastAsiaTheme="minorHAnsi"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La CEAV impulsa la implementación del Modelo de Atención Integral en Salud en las instituciones de salud pública y realiza actividades de difusión, capacitación y seguimiento.  Además, lleva a la práctica los procedimientos de canalización o referencia a las instituciones de salud pública que correspondan a las personas en situación de víctimas que lo requieran.</w:t>
      </w:r>
    </w:p>
    <w:p w:rsidR="00271ABC" w:rsidRPr="000B76CE" w:rsidRDefault="00271ABC" w:rsidP="006B52ED">
      <w:pPr>
        <w:pStyle w:val="ListParagraph"/>
        <w:spacing w:after="0" w:line="240" w:lineRule="auto"/>
        <w:rPr>
          <w:rFonts w:ascii="Montserrat" w:hAnsi="Montserrat" w:cs="Arial"/>
        </w:rPr>
      </w:pPr>
    </w:p>
    <w:p w:rsidR="00271ABC" w:rsidRPr="0044172F" w:rsidRDefault="00271ABC" w:rsidP="006B52ED">
      <w:pPr>
        <w:spacing w:after="0" w:line="240" w:lineRule="auto"/>
        <w:jc w:val="both"/>
        <w:rPr>
          <w:rFonts w:ascii="Montserrat" w:hAnsi="Montserrat" w:cs="Arial"/>
          <w:b/>
        </w:rPr>
      </w:pPr>
      <w:r w:rsidRPr="0044172F">
        <w:rPr>
          <w:rFonts w:ascii="Montserrat" w:hAnsi="Montserrat" w:cs="Arial"/>
          <w:b/>
        </w:rPr>
        <w:t>Niveles de atención médica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u w:val="single"/>
        </w:rPr>
      </w:pPr>
      <w:r w:rsidRPr="000B76CE">
        <w:rPr>
          <w:rFonts w:ascii="Montserrat" w:hAnsi="Montserrat" w:cs="Arial"/>
          <w:u w:val="single"/>
        </w:rPr>
        <w:t>Primer nivel de atención: centros de salud.</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Son unidades que son </w:t>
      </w:r>
      <w:r w:rsidRPr="000B76CE">
        <w:rPr>
          <w:rFonts w:ascii="Montserrat" w:hAnsi="Montserrat" w:cs="Arial"/>
          <w:b/>
        </w:rPr>
        <w:t>atendidas por médicos generales o familiares</w:t>
      </w:r>
      <w:r w:rsidRPr="000B76CE">
        <w:rPr>
          <w:rFonts w:ascii="Montserrat" w:hAnsi="Montserrat" w:cs="Arial"/>
        </w:rPr>
        <w:t xml:space="preserve"> que brindan atención a </w:t>
      </w:r>
      <w:r w:rsidRPr="000B76CE">
        <w:rPr>
          <w:rFonts w:ascii="Montserrat" w:hAnsi="Montserrat" w:cs="Arial"/>
          <w:b/>
        </w:rPr>
        <w:t>pacientes ambulatorios que no requieren manejo por médico especialista, ni recursos complejos de diagnóstico y tratamiento</w:t>
      </w:r>
      <w:r w:rsidRPr="000B76CE">
        <w:rPr>
          <w:rFonts w:ascii="Montserrat" w:hAnsi="Montserrat" w:cs="Arial"/>
        </w:rPr>
        <w:t>, y en caso de requerir atención especializada se refiere al paciente a un segundo nivel de atención.</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Representa el </w:t>
      </w:r>
      <w:r w:rsidRPr="000B76CE">
        <w:rPr>
          <w:rFonts w:ascii="Montserrat" w:hAnsi="Montserrat" w:cs="Arial"/>
          <w:b/>
        </w:rPr>
        <w:t>primer contacto del usuario con los servicios de salud</w:t>
      </w:r>
      <w:r w:rsidRPr="000B76CE">
        <w:rPr>
          <w:rFonts w:ascii="Montserrat" w:hAnsi="Montserrat" w:cs="Arial"/>
        </w:rPr>
        <w:t xml:space="preserve"> y tiene primordialmente un enfoque de atención primaria a la salud; servicio de consulta externa por médicos familiares, acciones de prevención y atención dental, servicios de planificación familiar, aplicación del esquema de vacunación, laboratorio básico, etcétera.</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De acuerdo a su ubicación geográfica y al número de comunidad que atiendan, algunas unidades médicas de primer nivel otorgan adicionalmente el servicio de </w:t>
      </w:r>
      <w:r w:rsidRPr="000B76CE">
        <w:rPr>
          <w:rFonts w:ascii="Montserrat" w:hAnsi="Montserrat" w:cs="Arial"/>
        </w:rPr>
        <w:lastRenderedPageBreak/>
        <w:t>imagen, y en muchas de ellas se encuentran instalados los módulos de atención para afiliación al sistema de protección social en salud (seguro popular).</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u w:val="single"/>
        </w:rPr>
      </w:pPr>
      <w:r w:rsidRPr="000B76CE">
        <w:rPr>
          <w:rFonts w:ascii="Montserrat" w:hAnsi="Montserrat" w:cs="Arial"/>
          <w:u w:val="single"/>
        </w:rPr>
        <w:t>Segundo nivel de atención: hospitales generales y hospitales regionales generales</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Son unidades médicas hospitalarias </w:t>
      </w:r>
      <w:r w:rsidRPr="000B76CE">
        <w:rPr>
          <w:rFonts w:ascii="Montserrat" w:hAnsi="Montserrat" w:cs="Arial"/>
          <w:b/>
        </w:rPr>
        <w:t>con servicios de atención quirúrgica ambulatoria e internamiento de pacientes atendidos por especialistas</w:t>
      </w:r>
      <w:r w:rsidRPr="000B76CE">
        <w:rPr>
          <w:rFonts w:ascii="Montserrat" w:hAnsi="Montserrat" w:cs="Arial"/>
        </w:rPr>
        <w:t xml:space="preserve"> en medicina familiar, pediatría, </w:t>
      </w:r>
      <w:proofErr w:type="spellStart"/>
      <w:r w:rsidRPr="000B76CE">
        <w:rPr>
          <w:rFonts w:ascii="Montserrat" w:hAnsi="Montserrat" w:cs="Arial"/>
        </w:rPr>
        <w:t>gineco</w:t>
      </w:r>
      <w:proofErr w:type="spellEnd"/>
      <w:r w:rsidRPr="000B76CE">
        <w:rPr>
          <w:rFonts w:ascii="Montserrat" w:hAnsi="Montserrat" w:cs="Arial"/>
        </w:rPr>
        <w:t>-obstetricia, cirugía general y medicina interna, que cuentan con recursos de diagnóstico y tratamiento más complejos que el primer nivel de atención.</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Estos son los Hospitales Generales y Hospitales Regionales Generales. Para el caso particular de atención pediátrica existen hospitales, pediátricos y materno-infantiles que tienen sub-especialistas en sus respectivas ramas.</w:t>
      </w:r>
    </w:p>
    <w:p w:rsidR="00271ABC" w:rsidRPr="000B76CE" w:rsidRDefault="00271ABC" w:rsidP="006B52ED">
      <w:pPr>
        <w:pStyle w:val="ListParagraph"/>
        <w:spacing w:after="0" w:line="240" w:lineRule="auto"/>
        <w:ind w:left="426"/>
        <w:jc w:val="both"/>
        <w:rPr>
          <w:rFonts w:ascii="Montserrat" w:hAnsi="Montserrat" w:cs="Arial"/>
        </w:rPr>
      </w:pPr>
    </w:p>
    <w:p w:rsidR="00271ABC" w:rsidRPr="000B76CE" w:rsidRDefault="00271ABC" w:rsidP="006B52ED">
      <w:pPr>
        <w:spacing w:after="0" w:line="240" w:lineRule="auto"/>
        <w:jc w:val="both"/>
        <w:rPr>
          <w:rFonts w:ascii="Montserrat" w:hAnsi="Montserrat" w:cs="Arial"/>
          <w:u w:val="single"/>
        </w:rPr>
      </w:pPr>
      <w:r w:rsidRPr="000B76CE">
        <w:rPr>
          <w:rFonts w:ascii="Montserrat" w:hAnsi="Montserrat" w:cs="Arial"/>
          <w:u w:val="single"/>
        </w:rPr>
        <w:t>Tercer nivel de atención:</w:t>
      </w: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 </w:t>
      </w: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Son unidades que tienen como </w:t>
      </w:r>
      <w:r w:rsidRPr="000B76CE">
        <w:rPr>
          <w:rFonts w:ascii="Montserrat" w:hAnsi="Montserrat" w:cs="Arial"/>
          <w:b/>
        </w:rPr>
        <w:t>funciones la investigación, docencia y asistencia; trabajan con especialistas y sub-especialistas</w:t>
      </w:r>
      <w:r w:rsidRPr="000B76CE">
        <w:rPr>
          <w:rFonts w:ascii="Montserrat" w:hAnsi="Montserrat" w:cs="Arial"/>
        </w:rPr>
        <w:t xml:space="preserve"> en la materia utilizando tecnología de vanguardia.  </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De conformidad con lo que dispone el artículo 70 del reglamento de la Ley General de Salud en Materia de Prestación de Servicios de Atención Médica, los hospitales se clasificarán atendiendo a su grado de complejidad y poder de resolución de la siguiente manera.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i/>
        </w:rPr>
      </w:pPr>
      <w:r w:rsidRPr="000B76CE">
        <w:rPr>
          <w:rFonts w:ascii="Montserrat" w:hAnsi="Montserrat" w:cs="Arial"/>
          <w:i/>
        </w:rPr>
        <w:t>Hospital general</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Es el establecimiento de segundo o tercer nivel para la atención de pacientes, en las cuatro especialidades básicas de la medicina: Cirugía General, </w:t>
      </w:r>
      <w:proofErr w:type="spellStart"/>
      <w:r w:rsidRPr="000B76CE">
        <w:rPr>
          <w:rFonts w:ascii="Montserrat" w:hAnsi="Montserrat" w:cs="Arial"/>
        </w:rPr>
        <w:t>Gíneco</w:t>
      </w:r>
      <w:proofErr w:type="spellEnd"/>
      <w:r w:rsidRPr="000B76CE">
        <w:rPr>
          <w:rFonts w:ascii="Montserrat" w:hAnsi="Montserrat" w:cs="Arial"/>
        </w:rPr>
        <w:t>-Obstetricia, Medicina Interna, Pediatría y otras especialidades complementarias y de apoyo derivadas de las mismas, que prestan servicios de urgencias, consulta externa y hospitalización.</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El área de hospitalización contará en los hospitales generales con camas de Cirugía General, </w:t>
      </w:r>
      <w:proofErr w:type="spellStart"/>
      <w:r w:rsidRPr="000B76CE">
        <w:rPr>
          <w:rFonts w:ascii="Montserrat" w:hAnsi="Montserrat" w:cs="Arial"/>
        </w:rPr>
        <w:t>Gíneco</w:t>
      </w:r>
      <w:proofErr w:type="spellEnd"/>
      <w:r w:rsidRPr="000B76CE">
        <w:rPr>
          <w:rFonts w:ascii="Montserrat" w:hAnsi="Montserrat" w:cs="Arial"/>
        </w:rPr>
        <w:t>-Obstetricia, Medicina Interna y Pediatría, donde se dará atención de las diferentes especialidades de la rama.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Además, deberá realizar, a favor de los usuarios, actividades de prevención, curación, rehabilitación y de cuidados paliativos, así como de formación y desarrollo de personal para la salud y de investigación científica.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i/>
        </w:rPr>
      </w:pPr>
      <w:r w:rsidRPr="000B76CE">
        <w:rPr>
          <w:rFonts w:ascii="Montserrat" w:hAnsi="Montserrat" w:cs="Arial"/>
          <w:i/>
        </w:rPr>
        <w:t>Hospital de especialidades</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Es el establecimiento de segundo y tercer nivel para la atención de pacientes, de una o varias especialidades médicas, quirúrgicas o médico-quirúrgicas que presta servicios de urgencias, consulta externa, hospitalización y que deberá </w:t>
      </w:r>
      <w:r w:rsidRPr="000B76CE">
        <w:rPr>
          <w:rFonts w:ascii="Montserrat" w:hAnsi="Montserrat" w:cs="Arial"/>
        </w:rPr>
        <w:lastRenderedPageBreak/>
        <w:t>realizar, a favor de los usuarios, actividades de prevención, curación, rehabilitación y de cuidados paliativos, así como de formación y desarrollo de personal para la salud, y de investigación científica.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i/>
        </w:rPr>
      </w:pPr>
      <w:r w:rsidRPr="000B76CE">
        <w:rPr>
          <w:rFonts w:ascii="Montserrat" w:hAnsi="Montserrat" w:cs="Arial"/>
          <w:i/>
        </w:rPr>
        <w:t>Instituto</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Es el establecimiento de tercer nivel, destinado principalmente a la investigación científica, la formación y el desarrollo de personal para la salud. Podrá prestar servicios de urgencias, consulta externa, de hospitalización y de cuidados paliativos, a personas que tengan una enfermedad específica, afección de un sistema o enfermedades que afecten a un grupo de edad.</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Por su parte, la Ley de los Institutos Nacionales de Salud, establece que dichos Institutos atenderán padecimientos de alta complejidad diagnóstica y de tratamiento, así como urgencias y que, una vez diagnosticado, resuelto o controlado el problema de tercer nivel que dio origen a la atención podrán referir a los pacientes a los otros niveles de atención, de conformidad con el sistema de referencia y </w:t>
      </w:r>
      <w:proofErr w:type="spellStart"/>
      <w:r w:rsidRPr="000B76CE">
        <w:rPr>
          <w:rFonts w:ascii="Montserrat" w:hAnsi="Montserrat" w:cs="Arial"/>
        </w:rPr>
        <w:t>contrarreferencia</w:t>
      </w:r>
      <w:proofErr w:type="spellEnd"/>
      <w:r w:rsidRPr="000B76CE">
        <w:rPr>
          <w:rFonts w:ascii="Montserrat" w:hAnsi="Montserrat" w:cs="Arial"/>
        </w:rPr>
        <w:t xml:space="preserve">. También indica que recibirán a usuarios referidos por los otros dos niveles de atención o a los que requieran atención médica especializada, conforme al diagnóstico previo que efectúe el servicio de </w:t>
      </w:r>
      <w:proofErr w:type="spellStart"/>
      <w:r w:rsidRPr="000B76CE">
        <w:rPr>
          <w:rFonts w:ascii="Montserrat" w:hAnsi="Montserrat" w:cs="Arial"/>
        </w:rPr>
        <w:t>preconsulta</w:t>
      </w:r>
      <w:proofErr w:type="spellEnd"/>
      <w:r w:rsidRPr="000B76CE">
        <w:rPr>
          <w:rFonts w:ascii="Montserrat" w:hAnsi="Montserrat" w:cs="Arial"/>
        </w:rPr>
        <w:t xml:space="preserve"> del Instituto de que se trate.</w:t>
      </w:r>
    </w:p>
    <w:p w:rsidR="00271ABC" w:rsidRPr="000B76CE" w:rsidRDefault="00271ABC" w:rsidP="006B52ED">
      <w:pPr>
        <w:spacing w:after="0" w:line="240" w:lineRule="auto"/>
        <w:jc w:val="both"/>
        <w:rPr>
          <w:rFonts w:ascii="Montserrat" w:eastAsiaTheme="minorHAnsi"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Con base en el procedimiento establecido por el</w:t>
      </w:r>
      <w:r w:rsidRPr="000B76CE">
        <w:rPr>
          <w:rFonts w:ascii="Montserrat" w:hAnsi="Montserrat"/>
        </w:rPr>
        <w:t xml:space="preserve"> </w:t>
      </w:r>
      <w:r w:rsidRPr="000B76CE">
        <w:rPr>
          <w:rFonts w:ascii="Montserrat" w:hAnsi="Montserrat" w:cs="Arial"/>
        </w:rPr>
        <w:t xml:space="preserve">Modelo de Atención Integral en Salud, el </w:t>
      </w:r>
      <w:r w:rsidRPr="000B76CE">
        <w:rPr>
          <w:rFonts w:ascii="Montserrat" w:hAnsi="Montserrat" w:cs="Arial"/>
          <w:b/>
        </w:rPr>
        <w:t>personal del área médica realiza las valoraciones y referencias necesarias a las instituciones del Sistema Nacional de Salud</w:t>
      </w:r>
      <w:r w:rsidRPr="000B76CE">
        <w:rPr>
          <w:rFonts w:ascii="Montserrat" w:hAnsi="Montserrat" w:cs="Arial"/>
        </w:rPr>
        <w:t xml:space="preserve"> para el control de su padecimiento.</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b/>
        </w:rPr>
      </w:pPr>
      <w:r w:rsidRPr="000B76CE">
        <w:rPr>
          <w:rFonts w:ascii="Montserrat" w:hAnsi="Montserrat" w:cs="Arial"/>
          <w:b/>
        </w:rPr>
        <w:t>Interacción con instituciones privadas</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La atención médica se proporciona en hospitales gubernamentales. En caso de que un hospital no tenga la especialidad o capacidad necesaria para la atención a la víctima, se canaliza a otro hospital gubernamental para su atención.</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 xml:space="preserve">Hasta el momento, la CEAV </w:t>
      </w:r>
      <w:r w:rsidRPr="000B76CE">
        <w:rPr>
          <w:rFonts w:ascii="Montserrat" w:hAnsi="Montserrat" w:cs="Arial"/>
          <w:b/>
        </w:rPr>
        <w:t>ha canalizado a 9 víctimas a hospitales privados en casos de urgencias quirúrgicas</w:t>
      </w:r>
      <w:r w:rsidRPr="000B76CE">
        <w:rPr>
          <w:rFonts w:ascii="Montserrat" w:hAnsi="Montserrat" w:cs="Arial"/>
        </w:rPr>
        <w:t>, mismas que son reembolsadas por parte del Fondo de Ayuda.</w:t>
      </w:r>
    </w:p>
    <w:p w:rsidR="00271ABC" w:rsidRPr="000B76CE" w:rsidRDefault="00271ABC" w:rsidP="006B52ED">
      <w:pPr>
        <w:spacing w:after="0" w:line="240" w:lineRule="auto"/>
        <w:jc w:val="both"/>
        <w:rPr>
          <w:rFonts w:ascii="Montserrat" w:hAnsi="Montserrat" w:cs="Arial"/>
        </w:rPr>
      </w:pPr>
    </w:p>
    <w:p w:rsidR="00271ABC" w:rsidRPr="000B76CE" w:rsidRDefault="00271ABC" w:rsidP="006B52ED">
      <w:pPr>
        <w:spacing w:after="0" w:line="240" w:lineRule="auto"/>
        <w:jc w:val="both"/>
        <w:rPr>
          <w:rFonts w:ascii="Montserrat" w:hAnsi="Montserrat" w:cs="Arial"/>
        </w:rPr>
      </w:pPr>
      <w:r w:rsidRPr="000B76CE">
        <w:rPr>
          <w:rFonts w:ascii="Montserrat" w:hAnsi="Montserrat" w:cs="Arial"/>
        </w:rPr>
        <w:t>En los casos en que un hospital gubernamental no cuenta con el medicamento que la víctima necesita, se solicita acceso al Fondo de Ayuda para su reembolso.</w:t>
      </w:r>
    </w:p>
    <w:p w:rsidR="0099470B" w:rsidRPr="000B76CE" w:rsidRDefault="00271ABC" w:rsidP="006B52ED">
      <w:pPr>
        <w:spacing w:after="0" w:line="240" w:lineRule="auto"/>
        <w:rPr>
          <w:rFonts w:ascii="Montserrat" w:hAnsi="Montserrat"/>
          <w:b/>
        </w:rPr>
      </w:pPr>
      <w:r w:rsidRPr="000B76CE">
        <w:rPr>
          <w:rFonts w:ascii="Montserrat" w:hAnsi="Montserrat" w:cs="Arial"/>
          <w:noProof/>
          <w:lang w:val="en-US"/>
        </w:rPr>
        <w:lastRenderedPageBreak/>
        <w:drawing>
          <wp:inline distT="0" distB="0" distL="0" distR="0" wp14:anchorId="4D12D607" wp14:editId="66A9B3BE">
            <wp:extent cx="6410325" cy="3828648"/>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17254" cy="3832786"/>
                    </a:xfrm>
                    <a:prstGeom prst="rect">
                      <a:avLst/>
                    </a:prstGeom>
                    <a:noFill/>
                    <a:ln>
                      <a:noFill/>
                    </a:ln>
                  </pic:spPr>
                </pic:pic>
              </a:graphicData>
            </a:graphic>
          </wp:inline>
        </w:drawing>
      </w:r>
    </w:p>
    <w:p w:rsidR="00271ABC" w:rsidRPr="000B76CE" w:rsidRDefault="00271ABC" w:rsidP="006B52ED">
      <w:pPr>
        <w:spacing w:after="0" w:line="240" w:lineRule="auto"/>
        <w:jc w:val="both"/>
        <w:rPr>
          <w:rFonts w:ascii="Montserrat" w:hAnsi="Montserrat"/>
          <w:b/>
          <w:u w:val="single"/>
        </w:rPr>
      </w:pPr>
      <w:r w:rsidRPr="000B76CE">
        <w:rPr>
          <w:rFonts w:ascii="Montserrat" w:hAnsi="Montserrat"/>
          <w:b/>
          <w:u w:val="single"/>
        </w:rPr>
        <w:t>Medidas de reparación integral a víctimas de tortura y otros tratos crueles, inhumanos y degradantes</w:t>
      </w: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De 2014 a 2018, la Comisión Ejecutiva de Atención a Víctimas ha recibido </w:t>
      </w:r>
      <w:r w:rsidRPr="000B76CE">
        <w:rPr>
          <w:rFonts w:ascii="Montserrat" w:hAnsi="Montserrat"/>
          <w:b/>
        </w:rPr>
        <w:t>241</w:t>
      </w:r>
      <w:r w:rsidRPr="000B76CE">
        <w:rPr>
          <w:rFonts w:ascii="Montserrat" w:hAnsi="Montserrat"/>
        </w:rPr>
        <w:t xml:space="preserve"> </w:t>
      </w:r>
      <w:r w:rsidRPr="000B76CE">
        <w:rPr>
          <w:rFonts w:ascii="Montserrat" w:hAnsi="Montserrat"/>
          <w:b/>
        </w:rPr>
        <w:t>solicitudes en materia de compensación</w:t>
      </w:r>
      <w:r w:rsidRPr="000B76CE">
        <w:rPr>
          <w:rFonts w:ascii="Montserrat" w:hAnsi="Montserrat"/>
        </w:rPr>
        <w:t xml:space="preserve"> por violaciones a derechos humanos y compensación subsidiaria de víctimas, derivadas del delito de tortura, entre otras violaciones.</w:t>
      </w:r>
    </w:p>
    <w:p w:rsidR="00271ABC" w:rsidRPr="000B76CE" w:rsidRDefault="00271ABC" w:rsidP="006B52ED">
      <w:pPr>
        <w:pStyle w:val="ListParagraph"/>
        <w:spacing w:after="0" w:line="240" w:lineRule="auto"/>
        <w:ind w:left="426"/>
        <w:jc w:val="both"/>
        <w:rPr>
          <w:rFonts w:ascii="Montserrat" w:hAnsi="Montserrat"/>
        </w:rPr>
      </w:pP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De estas solicitudes, la Comisión Ejecutiva de Atención a Víctimas (CEAV) </w:t>
      </w:r>
      <w:r w:rsidRPr="000B76CE">
        <w:rPr>
          <w:rFonts w:ascii="Montserrat" w:hAnsi="Montserrat"/>
          <w:b/>
        </w:rPr>
        <w:t>ha emitido 51 resoluciones en materia de reparación integral</w:t>
      </w:r>
      <w:r w:rsidRPr="000B76CE">
        <w:rPr>
          <w:rFonts w:ascii="Montserrat" w:hAnsi="Montserrat"/>
        </w:rPr>
        <w:t xml:space="preserve">, en las cuales se acreditó – entre otras violaciones a derechos humanos- tortura y tratos crueles. </w:t>
      </w:r>
      <w:r w:rsidRPr="000B76CE">
        <w:rPr>
          <w:rFonts w:ascii="Montserrat" w:hAnsi="Montserrat"/>
          <w:b/>
        </w:rPr>
        <w:t>En estas resoluciones se atendieron 217 solicitudes de compensación de víctimas</w:t>
      </w:r>
      <w:r w:rsidRPr="000B76CE">
        <w:rPr>
          <w:rFonts w:ascii="Montserrat" w:hAnsi="Montserrat"/>
        </w:rPr>
        <w:t>, de las cuales 52 víctimas directas (3 mujeres y 48 hombres) y 165 víctimas indirectas (se desconoce su sexo).</w:t>
      </w:r>
    </w:p>
    <w:p w:rsidR="00271ABC" w:rsidRPr="000B76CE" w:rsidRDefault="00271ABC" w:rsidP="006B52ED">
      <w:pPr>
        <w:spacing w:after="0" w:line="240" w:lineRule="auto"/>
        <w:jc w:val="both"/>
        <w:rPr>
          <w:rFonts w:ascii="Montserrat" w:eastAsiaTheme="minorHAnsi" w:hAnsi="Montserrat" w:cstheme="minorBidi"/>
        </w:rPr>
      </w:pPr>
    </w:p>
    <w:p w:rsidR="00271ABC" w:rsidRPr="000B76CE" w:rsidRDefault="00271ABC" w:rsidP="006B52ED">
      <w:pPr>
        <w:spacing w:after="0" w:line="240" w:lineRule="auto"/>
        <w:jc w:val="both"/>
        <w:rPr>
          <w:rFonts w:ascii="Montserrat" w:hAnsi="Montserrat"/>
        </w:rPr>
      </w:pPr>
      <w:r w:rsidRPr="000B76CE">
        <w:rPr>
          <w:rFonts w:ascii="Montserrat" w:hAnsi="Montserrat"/>
          <w:b/>
        </w:rPr>
        <w:t>Por lo que respecta a las 24 solicitudes restantes, estas se encuentran en etapa de integración</w:t>
      </w:r>
      <w:r w:rsidRPr="000B76CE">
        <w:rPr>
          <w:rFonts w:ascii="Montserrat" w:hAnsi="Montserrat"/>
        </w:rPr>
        <w:t>, de conformidad con la normatividad vigente en la materia. Es importante señalar que la CEAV no ha emitido ninguna resolución donde se niegue o resulte improcedente la solicitud.</w:t>
      </w:r>
    </w:p>
    <w:p w:rsidR="00271ABC" w:rsidRPr="000B76CE" w:rsidRDefault="00271ABC" w:rsidP="006B52ED">
      <w:pPr>
        <w:spacing w:after="0" w:line="240" w:lineRule="auto"/>
        <w:jc w:val="both"/>
        <w:rPr>
          <w:rFonts w:ascii="Montserrat" w:eastAsiaTheme="minorHAnsi" w:hAnsi="Montserrat" w:cstheme="minorBidi"/>
        </w:rPr>
      </w:pP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Con las resoluciones emitidas la CEAV ha erogado del Fideicomiso del Fondo de Ayuda, Asistencia y Reparación Integral, </w:t>
      </w:r>
      <w:r w:rsidRPr="000B76CE">
        <w:rPr>
          <w:rFonts w:ascii="Montserrat" w:hAnsi="Montserrat"/>
          <w:b/>
        </w:rPr>
        <w:t>la cantidad aproximada de $10,272,009.94 dólares</w:t>
      </w:r>
      <w:r w:rsidRPr="000B76CE">
        <w:rPr>
          <w:rFonts w:ascii="Montserrat" w:hAnsi="Montserrat"/>
        </w:rPr>
        <w:t xml:space="preserve"> (diez millones doscientos setenta y dos mil nueve con noventa y cuatro centavos de dólares).</w:t>
      </w:r>
    </w:p>
    <w:p w:rsidR="00271ABC" w:rsidRPr="000B76CE" w:rsidRDefault="00271ABC" w:rsidP="006B52ED">
      <w:pPr>
        <w:spacing w:after="0" w:line="240" w:lineRule="auto"/>
        <w:jc w:val="both"/>
        <w:rPr>
          <w:rFonts w:ascii="Montserrat" w:hAnsi="Montserrat"/>
        </w:rPr>
      </w:pPr>
    </w:p>
    <w:p w:rsidR="00271ABC" w:rsidRPr="000B76CE" w:rsidRDefault="00271ABC" w:rsidP="006B52ED">
      <w:pPr>
        <w:spacing w:after="0" w:line="240" w:lineRule="auto"/>
        <w:jc w:val="both"/>
        <w:rPr>
          <w:rFonts w:ascii="Montserrat" w:hAnsi="Montserrat"/>
        </w:rPr>
      </w:pPr>
      <w:r w:rsidRPr="000B76CE">
        <w:rPr>
          <w:rFonts w:ascii="Montserrat" w:hAnsi="Montserrat"/>
        </w:rPr>
        <w:t xml:space="preserve">Es importante señalar que los planes de reparación integral contemplaron los principales criterios establecidos en el artículo 5 de la Ley General de Víctimas: </w:t>
      </w:r>
      <w:r w:rsidRPr="000B76CE">
        <w:rPr>
          <w:rFonts w:ascii="Montserrat" w:hAnsi="Montserrat"/>
        </w:rPr>
        <w:lastRenderedPageBreak/>
        <w:t xml:space="preserve">enfoque diferencial y especializado, dignidad, igualdad y no discriminación, máxima protección, complementariedad, y siempre en concordancia con la situación y hechos </w:t>
      </w:r>
      <w:proofErr w:type="spellStart"/>
      <w:r w:rsidRPr="000B76CE">
        <w:rPr>
          <w:rFonts w:ascii="Montserrat" w:hAnsi="Montserrat"/>
        </w:rPr>
        <w:t>víctimizantes</w:t>
      </w:r>
      <w:proofErr w:type="spellEnd"/>
      <w:r w:rsidRPr="000B76CE">
        <w:rPr>
          <w:rFonts w:ascii="Montserrat" w:hAnsi="Montserrat"/>
        </w:rPr>
        <w:t xml:space="preserve"> de cada una de las víctimas, como son: situación migratoria, menores de edad, grado de vulnerabilidad, entre otras. </w:t>
      </w:r>
    </w:p>
    <w:p w:rsidR="00271ABC" w:rsidRPr="000B76CE" w:rsidRDefault="00271ABC" w:rsidP="006B52ED">
      <w:pPr>
        <w:spacing w:after="0" w:line="240" w:lineRule="auto"/>
        <w:jc w:val="both"/>
        <w:rPr>
          <w:rFonts w:ascii="Montserrat" w:eastAsiaTheme="minorHAnsi" w:hAnsi="Montserrat" w:cstheme="minorBidi"/>
        </w:rPr>
      </w:pPr>
    </w:p>
    <w:p w:rsidR="00271ABC" w:rsidRPr="000B76CE" w:rsidRDefault="00271ABC" w:rsidP="006B52ED">
      <w:pPr>
        <w:spacing w:after="0" w:line="240" w:lineRule="auto"/>
        <w:jc w:val="both"/>
        <w:rPr>
          <w:rFonts w:ascii="Montserrat" w:hAnsi="Montserrat"/>
        </w:rPr>
      </w:pPr>
      <w:r w:rsidRPr="000B76CE">
        <w:rPr>
          <w:rFonts w:ascii="Montserrat" w:hAnsi="Montserrat"/>
        </w:rPr>
        <w:t>De conformidad con el Titulo Quinto de la Ley General de Víctimas, la jurisprudencia en la materia y las buenas prácticas, los planes de reparación contemplan, según sea el caso, las siguientes medidas, las cuales están orientadas a reestablecer el proyecto de vida y condición de vulnerabilidad de las víctimas: restitución, rehabilitación, satisfacción, no repetición y compensación.</w:t>
      </w:r>
    </w:p>
    <w:p w:rsidR="00271ABC" w:rsidRPr="000B76CE" w:rsidRDefault="00271ABC" w:rsidP="006B52ED">
      <w:pPr>
        <w:spacing w:after="0" w:line="240" w:lineRule="auto"/>
        <w:jc w:val="both"/>
        <w:rPr>
          <w:rFonts w:ascii="Montserrat" w:eastAsiaTheme="minorHAnsi" w:hAnsi="Montserrat" w:cstheme="minorBidi"/>
        </w:rPr>
      </w:pPr>
    </w:p>
    <w:p w:rsidR="00271ABC" w:rsidRPr="000B76CE" w:rsidRDefault="00271ABC" w:rsidP="006B52ED">
      <w:pPr>
        <w:spacing w:after="0" w:line="240" w:lineRule="auto"/>
        <w:jc w:val="both"/>
        <w:rPr>
          <w:rFonts w:ascii="Montserrat" w:hAnsi="Montserrat"/>
        </w:rPr>
      </w:pPr>
      <w:r w:rsidRPr="000B76CE">
        <w:rPr>
          <w:rFonts w:ascii="Montserrat" w:hAnsi="Montserrat"/>
        </w:rPr>
        <w:t>En cuanto al establecimiento de las medidas de reparación, se consideran los más altos estándares en materia de derechos humanos y protección a las víctimas, contenidos tanto en la legislación nacional e internacional, como en la jurisprudencia de la Suprema Corte de Justicia de la Nación y de manera particular, en sentencias de la Corte Interamericana de Derechos Humanos (Corte IDH), tomando como eje rector el principio pro persona reconocido en el artículo 1° párrafo segundo de la Constitución Federal.</w:t>
      </w:r>
    </w:p>
    <w:p w:rsidR="00271ABC" w:rsidRPr="000B76CE" w:rsidRDefault="00271ABC" w:rsidP="006B52ED">
      <w:pPr>
        <w:pStyle w:val="ListParagraph"/>
        <w:spacing w:after="0" w:line="240" w:lineRule="auto"/>
        <w:rPr>
          <w:rFonts w:ascii="Montserrat" w:hAnsi="Montserrat"/>
        </w:rPr>
      </w:pPr>
    </w:p>
    <w:p w:rsidR="00271ABC" w:rsidRDefault="00271ABC" w:rsidP="006B52ED">
      <w:pPr>
        <w:spacing w:after="0" w:line="240" w:lineRule="auto"/>
        <w:jc w:val="both"/>
        <w:rPr>
          <w:rFonts w:ascii="Montserrat" w:hAnsi="Montserrat"/>
          <w:b/>
          <w:u w:val="single"/>
        </w:rPr>
      </w:pPr>
      <w:r w:rsidRPr="000B76CE">
        <w:rPr>
          <w:rFonts w:ascii="Montserrat" w:hAnsi="Montserrat"/>
          <w:b/>
          <w:u w:val="single"/>
        </w:rPr>
        <w:t>Inadmisibilidad de la prueba obtenida bajo tortura</w:t>
      </w:r>
    </w:p>
    <w:p w:rsidR="00E30B1E" w:rsidRPr="000B76CE" w:rsidRDefault="00E30B1E" w:rsidP="006B52ED">
      <w:pPr>
        <w:spacing w:after="0" w:line="240" w:lineRule="auto"/>
        <w:jc w:val="both"/>
        <w:rPr>
          <w:rFonts w:ascii="Montserrat" w:hAnsi="Montserrat"/>
          <w:b/>
          <w:u w:val="single"/>
        </w:rPr>
      </w:pPr>
    </w:p>
    <w:p w:rsidR="00271ABC" w:rsidRPr="002D6DE9" w:rsidRDefault="002536C6" w:rsidP="006B52ED">
      <w:pPr>
        <w:spacing w:after="0" w:line="240" w:lineRule="auto"/>
        <w:jc w:val="both"/>
        <w:rPr>
          <w:rFonts w:ascii="Montserrat" w:eastAsia="Arial" w:hAnsi="Montserrat" w:cs="Arial"/>
          <w:b/>
        </w:rPr>
      </w:pPr>
      <w:bookmarkStart w:id="0" w:name="_ftnref1"/>
      <w:r>
        <w:rPr>
          <w:rFonts w:ascii="Montserrat" w:hAnsi="Montserrat"/>
        </w:rPr>
        <w:t>L</w:t>
      </w:r>
      <w:r w:rsidR="00271ABC" w:rsidRPr="000B76CE">
        <w:rPr>
          <w:rFonts w:ascii="Montserrat" w:hAnsi="Montserrat"/>
        </w:rPr>
        <w:t>a legislación mexican</w:t>
      </w:r>
      <w:bookmarkEnd w:id="0"/>
      <w:r w:rsidR="002D6DE9">
        <w:rPr>
          <w:rFonts w:ascii="Montserrat" w:hAnsi="Montserrat"/>
        </w:rPr>
        <w:t xml:space="preserve">a establece </w:t>
      </w:r>
      <w:r w:rsidR="00E30B1E">
        <w:rPr>
          <w:rFonts w:ascii="Montserrat" w:eastAsia="Arial" w:hAnsi="Montserrat" w:cs="Arial"/>
          <w:b/>
        </w:rPr>
        <w:t>que s</w:t>
      </w:r>
      <w:r w:rsidR="00271ABC" w:rsidRPr="000B76CE">
        <w:rPr>
          <w:rFonts w:ascii="Montserrat" w:eastAsia="Arial" w:hAnsi="Montserrat" w:cs="Arial"/>
          <w:b/>
        </w:rPr>
        <w:t>erán excluidas o declaradas nulas, por carecer de valor probatorio, todas las pruebas obtenidas directamente a través de actos de tortura</w:t>
      </w:r>
      <w:r w:rsidR="00271ABC" w:rsidRPr="000B76CE">
        <w:rPr>
          <w:rFonts w:ascii="Montserrat" w:eastAsia="Arial" w:hAnsi="Montserrat" w:cs="Arial"/>
        </w:rPr>
        <w:t xml:space="preserve"> y de cualquier otra violación a derechos humanos o fundamentales, así como las pruebas obtenidas por medios legales pero derivadas de dichos actos, y cuando el Juez advierta la existencia de cualquier dato o medio de prueba obtenido a través de un acto de tortura, dará vista con efectos de denuncia a la Fiscalía Especial competente a efecto de que se inicie la investigación penal correspondiente.</w:t>
      </w:r>
    </w:p>
    <w:p w:rsidR="00236014" w:rsidRDefault="00236014" w:rsidP="006B52ED">
      <w:pPr>
        <w:spacing w:after="0" w:line="240" w:lineRule="auto"/>
        <w:jc w:val="both"/>
        <w:rPr>
          <w:rFonts w:ascii="Montserrat" w:eastAsia="Times New Roman" w:hAnsi="Montserrat" w:cs="Arial"/>
          <w:lang w:eastAsia="es-MX"/>
        </w:rPr>
      </w:pPr>
    </w:p>
    <w:p w:rsidR="00271ABC" w:rsidRPr="000B76CE" w:rsidRDefault="00271ABC" w:rsidP="006B52ED">
      <w:pPr>
        <w:spacing w:after="0" w:line="240" w:lineRule="auto"/>
        <w:jc w:val="both"/>
        <w:rPr>
          <w:rFonts w:ascii="Montserrat" w:eastAsia="Times New Roman" w:hAnsi="Montserrat" w:cs="Arial"/>
          <w:lang w:eastAsia="es-MX"/>
        </w:rPr>
      </w:pPr>
      <w:r w:rsidRPr="000B76CE">
        <w:rPr>
          <w:rFonts w:ascii="Montserrat" w:eastAsia="Times New Roman" w:hAnsi="Montserrat" w:cs="Arial"/>
          <w:lang w:eastAsia="es-MX"/>
        </w:rPr>
        <w:t>C</w:t>
      </w:r>
      <w:proofErr w:type="spellStart"/>
      <w:r w:rsidRPr="000B76CE">
        <w:rPr>
          <w:rFonts w:ascii="Montserrat" w:eastAsia="Times New Roman" w:hAnsi="Montserrat" w:cs="Arial"/>
          <w:lang w:val="es-ES_tradnl" w:eastAsia="es-MX"/>
        </w:rPr>
        <w:t>uando</w:t>
      </w:r>
      <w:proofErr w:type="spellEnd"/>
      <w:r w:rsidRPr="000B76CE">
        <w:rPr>
          <w:rFonts w:ascii="Montserrat" w:eastAsia="Times New Roman" w:hAnsi="Montserrat" w:cs="Arial"/>
          <w:lang w:val="es-ES_tradnl" w:eastAsia="es-MX"/>
        </w:rPr>
        <w:t xml:space="preserve"> la tortura es empleada como medio para obtener pruebas que permiten someter a una persona a un procedimiento penal, la Suprema Corte de Justicia </w:t>
      </w:r>
      <w:proofErr w:type="gramStart"/>
      <w:r w:rsidRPr="000B76CE">
        <w:rPr>
          <w:rFonts w:ascii="Montserrat" w:eastAsia="Times New Roman" w:hAnsi="Montserrat" w:cs="Arial"/>
          <w:lang w:val="es-ES_tradnl" w:eastAsia="es-MX"/>
        </w:rPr>
        <w:t>de  la</w:t>
      </w:r>
      <w:proofErr w:type="gramEnd"/>
      <w:r w:rsidRPr="000B76CE">
        <w:rPr>
          <w:rFonts w:ascii="Montserrat" w:eastAsia="Times New Roman" w:hAnsi="Montserrat" w:cs="Arial"/>
          <w:lang w:val="es-ES_tradnl" w:eastAsia="es-MX"/>
        </w:rPr>
        <w:t xml:space="preserve"> Nación ha establecido con toda claridad que dichas pruebas deben excluirse, pues además de afectar la integridad personal, dicha violación impacta en otros derechos humanos, como la libertad, y la defensa técnica adecuada y oportuna. En este sentido, </w:t>
      </w:r>
      <w:r w:rsidRPr="000B76CE">
        <w:rPr>
          <w:rFonts w:ascii="Montserrat" w:eastAsia="Times New Roman" w:hAnsi="Montserrat" w:cs="Arial"/>
          <w:lang w:eastAsia="es-MX"/>
        </w:rPr>
        <w:t>pueden presentarse dos escenarios.</w:t>
      </w:r>
    </w:p>
    <w:p w:rsidR="00236014" w:rsidRDefault="00236014" w:rsidP="006B52ED">
      <w:pPr>
        <w:pStyle w:val="NoSpacing"/>
        <w:ind w:left="7"/>
        <w:jc w:val="both"/>
        <w:rPr>
          <w:rFonts w:ascii="Montserrat" w:eastAsia="Times New Roman" w:hAnsi="Montserrat" w:cs="Arial"/>
          <w:lang w:eastAsia="es-MX"/>
        </w:rPr>
      </w:pPr>
    </w:p>
    <w:p w:rsidR="00271ABC" w:rsidRPr="000B76CE" w:rsidRDefault="00271ABC" w:rsidP="006B52ED">
      <w:pPr>
        <w:pStyle w:val="NoSpacing"/>
        <w:ind w:left="7"/>
        <w:jc w:val="both"/>
        <w:rPr>
          <w:rFonts w:ascii="Montserrat" w:eastAsia="Times New Roman" w:hAnsi="Montserrat" w:cs="Arial"/>
          <w:lang w:val="es-ES_tradnl" w:eastAsia="es-MX"/>
        </w:rPr>
      </w:pPr>
      <w:r w:rsidRPr="000B76CE">
        <w:rPr>
          <w:rFonts w:ascii="Montserrat" w:eastAsia="Times New Roman" w:hAnsi="Montserrat" w:cs="Arial"/>
          <w:lang w:eastAsia="es-MX"/>
        </w:rPr>
        <w:t xml:space="preserve">En el primero, cuando con el material probatorio existente en la causa se puede acreditar la existencia de la tortura, es innecesario reponer el procedimiento penal, pues en ese escenario la autoridad judicial está en condiciones de </w:t>
      </w:r>
      <w:r w:rsidRPr="000B76CE">
        <w:rPr>
          <w:rFonts w:ascii="Montserrat" w:eastAsia="Times New Roman" w:hAnsi="Montserrat" w:cs="Arial"/>
          <w:lang w:val="es-ES_tradnl" w:eastAsia="es-MX"/>
        </w:rPr>
        <w:t xml:space="preserve">analizar si dicha violación a derechos humanos tuvo un impacto en la generación, introducción o desahogo de pruebas, porque de ser así tendrá que excluir todo medio de convicción que haya sido obtenido directamente de la misma o que derive de ésta. Lo cual comprende declaraciones, confesiones y </w:t>
      </w:r>
      <w:r w:rsidRPr="000B76CE">
        <w:rPr>
          <w:rFonts w:ascii="Montserrat" w:eastAsia="Times New Roman" w:hAnsi="Montserrat" w:cs="Arial"/>
          <w:b/>
          <w:u w:val="single"/>
          <w:lang w:val="es-ES_tradnl" w:eastAsia="es-MX"/>
        </w:rPr>
        <w:t>toda clase de información incriminatoria</w:t>
      </w:r>
      <w:r w:rsidRPr="000B76CE">
        <w:rPr>
          <w:rFonts w:ascii="Montserrat" w:eastAsia="Times New Roman" w:hAnsi="Montserrat" w:cs="Arial"/>
          <w:lang w:val="es-ES_tradnl" w:eastAsia="es-MX"/>
        </w:rPr>
        <w:t xml:space="preserve"> resultado de éstas.</w:t>
      </w:r>
    </w:p>
    <w:p w:rsidR="00271ABC" w:rsidRPr="000B76CE" w:rsidRDefault="00271ABC" w:rsidP="006B52ED">
      <w:pPr>
        <w:pStyle w:val="NoSpacing"/>
        <w:ind w:left="7"/>
        <w:jc w:val="both"/>
        <w:rPr>
          <w:rFonts w:ascii="Montserrat" w:eastAsia="Times New Roman" w:hAnsi="Montserrat" w:cs="Arial"/>
          <w:lang w:val="es-ES_tradnl" w:eastAsia="es-MX"/>
        </w:rPr>
      </w:pPr>
    </w:p>
    <w:p w:rsidR="00271ABC" w:rsidRPr="000B76CE" w:rsidRDefault="00271ABC" w:rsidP="006B52ED">
      <w:pPr>
        <w:pStyle w:val="NoSpacing"/>
        <w:ind w:left="7"/>
        <w:jc w:val="both"/>
        <w:rPr>
          <w:rFonts w:ascii="Montserrat" w:eastAsia="Times New Roman" w:hAnsi="Montserrat" w:cs="Arial"/>
          <w:vertAlign w:val="superscript"/>
          <w:lang w:eastAsia="es-MX"/>
        </w:rPr>
      </w:pPr>
      <w:r w:rsidRPr="000B76CE">
        <w:rPr>
          <w:rFonts w:ascii="Montserrat" w:eastAsia="Times New Roman" w:hAnsi="Montserrat" w:cs="Arial"/>
          <w:lang w:eastAsia="es-MX"/>
        </w:rPr>
        <w:t>En el segundo escenario, cuando no se tiene por acreditada la existencia de tortura con los elementos que obran en el expediente, pero haya “</w:t>
      </w:r>
      <w:r w:rsidRPr="000B76CE">
        <w:rPr>
          <w:rFonts w:ascii="Montserrat" w:eastAsia="Times New Roman" w:hAnsi="Montserrat" w:cs="Arial"/>
          <w:b/>
          <w:lang w:eastAsia="es-MX"/>
        </w:rPr>
        <w:t xml:space="preserve">declaraciones, </w:t>
      </w:r>
      <w:r w:rsidRPr="000B76CE">
        <w:rPr>
          <w:rFonts w:ascii="Montserrat" w:eastAsia="Times New Roman" w:hAnsi="Montserrat" w:cs="Arial"/>
          <w:b/>
          <w:lang w:eastAsia="es-MX"/>
        </w:rPr>
        <w:lastRenderedPageBreak/>
        <w:t xml:space="preserve">confesiones y </w:t>
      </w:r>
      <w:r w:rsidRPr="000B76CE">
        <w:rPr>
          <w:rFonts w:ascii="Montserrat" w:eastAsia="Times New Roman" w:hAnsi="Montserrat" w:cs="Arial"/>
          <w:b/>
          <w:u w:val="single"/>
          <w:lang w:eastAsia="es-MX"/>
        </w:rPr>
        <w:t>toda clase de información incriminatoria</w:t>
      </w:r>
      <w:r w:rsidRPr="000B76CE">
        <w:rPr>
          <w:rFonts w:ascii="Montserrat" w:eastAsia="Times New Roman" w:hAnsi="Montserrat" w:cs="Arial"/>
          <w:lang w:eastAsia="es-MX"/>
        </w:rPr>
        <w:t xml:space="preserve"> resultado de [dichos actos]” que pudieran llegar a excluirse,</w:t>
      </w:r>
      <w:r w:rsidRPr="000B76CE">
        <w:rPr>
          <w:rFonts w:ascii="Montserrat" w:eastAsia="Times New Roman" w:hAnsi="Montserrat" w:cs="Arial"/>
          <w:lang w:val="es-ES_tradnl" w:eastAsia="es-MX"/>
        </w:rPr>
        <w:t xml:space="preserve"> en el extremo de que la tortura llegara a acreditarse</w:t>
      </w:r>
      <w:r w:rsidRPr="000B76CE">
        <w:rPr>
          <w:rFonts w:ascii="Montserrat" w:eastAsia="Times New Roman" w:hAnsi="Montserrat" w:cs="Arial"/>
          <w:lang w:eastAsia="es-MX"/>
        </w:rPr>
        <w:t>,</w:t>
      </w:r>
      <w:r w:rsidRPr="000B76CE">
        <w:rPr>
          <w:rStyle w:val="FootnoteReference"/>
          <w:rFonts w:ascii="Montserrat" w:eastAsia="Times New Roman" w:hAnsi="Montserrat" w:cs="Arial"/>
          <w:lang w:eastAsia="es-MX"/>
        </w:rPr>
        <w:footnoteReference w:id="3"/>
      </w:r>
      <w:r w:rsidRPr="000B76CE">
        <w:rPr>
          <w:rFonts w:ascii="Montserrat" w:eastAsia="Times New Roman" w:hAnsi="Montserrat" w:cs="Arial"/>
          <w:lang w:eastAsia="es-MX"/>
        </w:rPr>
        <w:t xml:space="preserve"> se debe reponer el proceso </w:t>
      </w:r>
      <w:r w:rsidRPr="000B76CE">
        <w:rPr>
          <w:rFonts w:ascii="Montserrat" w:eastAsia="Times New Roman" w:hAnsi="Montserrat" w:cs="Arial"/>
          <w:lang w:val="es-ES_tradnl" w:eastAsia="es-MX"/>
        </w:rPr>
        <w:t>hasta la diligencia inmediata anterior al auto de cierre de instrucción</w:t>
      </w:r>
      <w:r w:rsidRPr="000B76CE">
        <w:rPr>
          <w:rFonts w:ascii="Montserrat" w:eastAsia="Times New Roman" w:hAnsi="Montserrat" w:cs="Arial"/>
          <w:lang w:eastAsia="es-MX"/>
        </w:rPr>
        <w:t xml:space="preserve"> para que se realice una investigación en el propio proceso penal que permita determinar si aconteció o no la comisión de actos de tortura. En caso de una conclusión afirmativa, al momento de dictar sentencia, la autoridad que tenga a cargo resolver la situación jurídica de la víctima de violación a derechos humanos estará obligada a realizar un estudio escrupuloso de los elementos en que se sustenta la imputación al tenor de los parámetros constitucionales fijados en relación con las reglas de exclusión de las pruebas ilícitas</w:t>
      </w:r>
      <w:r w:rsidRPr="000B76CE">
        <w:rPr>
          <w:rFonts w:ascii="Montserrat" w:eastAsia="Times New Roman" w:hAnsi="Montserrat" w:cs="Arial"/>
          <w:vertAlign w:val="superscript"/>
          <w:lang w:eastAsia="es-MX"/>
        </w:rPr>
        <w:t>.</w:t>
      </w:r>
      <w:r w:rsidRPr="000B76CE">
        <w:rPr>
          <w:rStyle w:val="FootnoteReference"/>
          <w:rFonts w:ascii="Montserrat" w:eastAsia="Times New Roman" w:hAnsi="Montserrat" w:cs="Arial"/>
          <w:vertAlign w:val="superscript"/>
          <w:lang w:eastAsia="es-MX"/>
        </w:rPr>
        <w:footnoteReference w:id="4"/>
      </w:r>
    </w:p>
    <w:p w:rsidR="00271ABC" w:rsidRPr="000B76CE" w:rsidRDefault="00271ABC" w:rsidP="006B52ED">
      <w:pPr>
        <w:pStyle w:val="NoSpacing"/>
        <w:ind w:left="7"/>
        <w:jc w:val="both"/>
        <w:rPr>
          <w:rFonts w:ascii="Montserrat" w:eastAsia="Times New Roman" w:hAnsi="Montserrat" w:cs="Arial"/>
          <w:b/>
          <w:vertAlign w:val="superscript"/>
          <w:lang w:eastAsia="es-MX"/>
        </w:rPr>
      </w:pPr>
    </w:p>
    <w:p w:rsidR="00271ABC" w:rsidRPr="000B76CE" w:rsidRDefault="00271ABC" w:rsidP="006B52ED">
      <w:pPr>
        <w:pStyle w:val="NoSpacing"/>
        <w:ind w:left="7"/>
        <w:jc w:val="both"/>
        <w:rPr>
          <w:rFonts w:ascii="Montserrat" w:eastAsia="Times New Roman" w:hAnsi="Montserrat" w:cs="Arial"/>
          <w:lang w:eastAsia="es-MX"/>
        </w:rPr>
      </w:pPr>
      <w:r w:rsidRPr="000B76CE">
        <w:rPr>
          <w:rFonts w:ascii="Montserrat" w:eastAsia="Times New Roman" w:hAnsi="Montserrat" w:cs="Arial"/>
          <w:lang w:eastAsia="es-MX"/>
        </w:rPr>
        <w:t xml:space="preserve">Este criterio no sólo es consistente con el estándar recogido en el artículo 15 de la Convención contra la Tortura y Otros Tratos o Penas Crueles, Inhumanos o Degradantes, sino que incluso es más protector, pues no sólo contempla la exclusión de declaraciones hechas como resultado de actos de tortura, sino </w:t>
      </w:r>
      <w:r w:rsidRPr="000B76CE">
        <w:rPr>
          <w:rFonts w:ascii="Montserrat" w:eastAsia="Times New Roman" w:hAnsi="Montserrat" w:cs="Arial"/>
          <w:b/>
          <w:u w:val="single"/>
          <w:lang w:eastAsia="es-MX"/>
        </w:rPr>
        <w:t>toda información incriminatoria</w:t>
      </w:r>
      <w:r w:rsidRPr="000B76CE">
        <w:rPr>
          <w:rFonts w:ascii="Montserrat" w:eastAsia="Times New Roman" w:hAnsi="Montserrat" w:cs="Arial"/>
          <w:lang w:eastAsia="es-MX"/>
        </w:rPr>
        <w:t xml:space="preserve">, como pudiera ser, por ejemplo, evidencia material en la que, a través de tortura, se obligara a una persona a imprimir en ella sus </w:t>
      </w:r>
      <w:r w:rsidRPr="000B76CE">
        <w:rPr>
          <w:rFonts w:ascii="Montserrat" w:eastAsia="Times New Roman" w:hAnsi="Montserrat" w:cs="Arial"/>
          <w:lang w:eastAsia="es-MX"/>
        </w:rPr>
        <w:lastRenderedPageBreak/>
        <w:t xml:space="preserve">huellas digitales para incriminarla o la declaración de algún testigo o coinculpado. </w:t>
      </w:r>
    </w:p>
    <w:p w:rsidR="00271ABC" w:rsidRPr="000B76CE" w:rsidRDefault="00271ABC" w:rsidP="006B52ED">
      <w:pPr>
        <w:pStyle w:val="NoSpacing"/>
        <w:jc w:val="both"/>
        <w:rPr>
          <w:rFonts w:ascii="Montserrat" w:eastAsia="Times New Roman" w:hAnsi="Montserrat" w:cs="Arial"/>
          <w:lang w:eastAsia="es-MX"/>
        </w:rPr>
      </w:pPr>
    </w:p>
    <w:p w:rsidR="00271ABC" w:rsidRPr="000B76CE" w:rsidRDefault="00271ABC" w:rsidP="006B52ED">
      <w:pPr>
        <w:pStyle w:val="NoSpacing"/>
        <w:jc w:val="both"/>
        <w:rPr>
          <w:rFonts w:ascii="Montserrat" w:eastAsia="Times New Roman" w:hAnsi="Montserrat" w:cs="Arial"/>
          <w:lang w:val="es-ES_tradnl" w:eastAsia="es-MX"/>
        </w:rPr>
      </w:pPr>
      <w:r w:rsidRPr="000B76CE">
        <w:rPr>
          <w:rFonts w:ascii="Montserrat" w:eastAsia="Times New Roman" w:hAnsi="Montserrat" w:cs="Arial"/>
          <w:lang w:eastAsia="es-MX"/>
        </w:rPr>
        <w:t xml:space="preserve">Sobre este último aspecto la SCJN ha reconocido expresamente y con toda claridad que puede haber </w:t>
      </w:r>
      <w:r w:rsidRPr="000B76CE">
        <w:rPr>
          <w:rFonts w:ascii="Montserrat" w:eastAsia="Times New Roman" w:hAnsi="Montserrat" w:cs="Arial"/>
          <w:lang w:val="es-ES_tradnl" w:eastAsia="es-MX"/>
        </w:rPr>
        <w:t xml:space="preserve">“específicos supuestos en los que se acredite que existen </w:t>
      </w:r>
      <w:r w:rsidRPr="000B76CE">
        <w:rPr>
          <w:rFonts w:ascii="Montserrat" w:eastAsia="Times New Roman" w:hAnsi="Montserrat" w:cs="Arial"/>
          <w:b/>
          <w:u w:val="single"/>
          <w:lang w:val="es-ES_tradnl" w:eastAsia="es-MX"/>
        </w:rPr>
        <w:t>declaraciones, datos o información que si bien no entran en el contexto de la confesión, sí pueden encontrarse vinculados con el proceso penal y deben ser considerados pruebas ilícitas</w:t>
      </w:r>
      <w:r w:rsidRPr="000B76CE">
        <w:rPr>
          <w:rFonts w:ascii="Montserrat" w:eastAsia="Times New Roman" w:hAnsi="Montserrat" w:cs="Arial"/>
          <w:lang w:val="es-ES_tradnl" w:eastAsia="es-MX"/>
        </w:rPr>
        <w:t xml:space="preserve">, pues no debe descartarse que en razón de la tortura pudiere obtenerse </w:t>
      </w:r>
      <w:r w:rsidRPr="000B76CE">
        <w:rPr>
          <w:rFonts w:ascii="Montserrat" w:eastAsia="Times New Roman" w:hAnsi="Montserrat" w:cs="Arial"/>
          <w:b/>
          <w:u w:val="single"/>
          <w:lang w:val="es-ES_tradnl" w:eastAsia="es-MX"/>
        </w:rPr>
        <w:t>la declaración de algún testigo o coinculpado</w:t>
      </w:r>
      <w:r w:rsidRPr="000B76CE">
        <w:rPr>
          <w:rFonts w:ascii="Montserrat" w:eastAsia="Times New Roman" w:hAnsi="Montserrat" w:cs="Arial"/>
          <w:lang w:val="es-ES_tradnl" w:eastAsia="es-MX"/>
        </w:rPr>
        <w:t>, cuyas deposiciones, si bien no constituyen una confesión, si pueden incidir directamente en la determinación judicial al momento de emitir el fallo que corresponda.”</w:t>
      </w:r>
      <w:r w:rsidRPr="000B76CE">
        <w:rPr>
          <w:rFonts w:ascii="Montserrat" w:eastAsia="Times New Roman" w:hAnsi="Montserrat" w:cs="Arial"/>
          <w:vertAlign w:val="superscript"/>
          <w:lang w:val="es-ES_tradnl" w:eastAsia="es-MX"/>
        </w:rPr>
        <w:footnoteReference w:id="5"/>
      </w:r>
    </w:p>
    <w:p w:rsidR="00271ABC" w:rsidRPr="000B76CE" w:rsidRDefault="00271ABC" w:rsidP="006B52ED">
      <w:pPr>
        <w:pStyle w:val="NoSpacing"/>
        <w:jc w:val="both"/>
        <w:rPr>
          <w:rFonts w:ascii="Montserrat" w:eastAsia="Times New Roman" w:hAnsi="Montserrat" w:cs="Arial"/>
          <w:lang w:eastAsia="es-MX"/>
        </w:rPr>
      </w:pPr>
    </w:p>
    <w:p w:rsidR="00271ABC" w:rsidRPr="000B76CE" w:rsidRDefault="00271ABC" w:rsidP="006B52ED">
      <w:pPr>
        <w:pStyle w:val="NoSpacing"/>
        <w:ind w:left="7"/>
        <w:jc w:val="both"/>
        <w:rPr>
          <w:rFonts w:ascii="Montserrat" w:eastAsia="Times New Roman" w:hAnsi="Montserrat" w:cs="Arial"/>
          <w:lang w:eastAsia="es-MX"/>
        </w:rPr>
      </w:pPr>
      <w:r w:rsidRPr="000B76CE">
        <w:rPr>
          <w:rFonts w:ascii="Montserrat" w:eastAsia="Times New Roman" w:hAnsi="Montserrat" w:cs="Arial"/>
          <w:lang w:eastAsia="es-MX"/>
        </w:rPr>
        <w:t xml:space="preserve">Ahora bien, en ambas vertientes, para tener demostrada la tortura como violación a derechos humanos basta con que existan </w:t>
      </w:r>
      <w:r w:rsidRPr="000B76CE">
        <w:rPr>
          <w:rFonts w:ascii="Montserrat" w:eastAsia="Times New Roman" w:hAnsi="Montserrat" w:cs="Arial"/>
          <w:lang w:val="es-ES_tradnl" w:eastAsia="es-MX"/>
        </w:rPr>
        <w:t>indicios que permitan sostener razonablemente que la hubo, aun cuando no se sepa la identidad del o los torturadores</w:t>
      </w:r>
      <w:r w:rsidRPr="000B76CE">
        <w:rPr>
          <w:rFonts w:ascii="Montserrat" w:eastAsia="Times New Roman" w:hAnsi="Montserrat" w:cs="Arial"/>
          <w:lang w:eastAsia="es-MX"/>
        </w:rPr>
        <w:t>, lo que implica un estándar de prueba más bajo que el de “más allá de toda duda razonable” exigido para la configuración del delito de tortura.</w:t>
      </w:r>
      <w:r w:rsidRPr="000B76CE">
        <w:rPr>
          <w:rFonts w:ascii="Montserrat" w:eastAsia="Times New Roman" w:hAnsi="Montserrat" w:cs="Arial"/>
          <w:vertAlign w:val="superscript"/>
          <w:lang w:eastAsia="es-MX"/>
        </w:rPr>
        <w:footnoteReference w:id="6"/>
      </w:r>
      <w:r w:rsidRPr="000B76CE">
        <w:rPr>
          <w:rFonts w:ascii="Montserrat" w:eastAsia="Times New Roman" w:hAnsi="Montserrat" w:cs="Arial"/>
          <w:lang w:eastAsia="es-MX"/>
        </w:rPr>
        <w:t xml:space="preserve"> Y que si bien el Protocolo de Estambul es uno de los medios a través de los cuales puede acreditarse la tortura, ello no impide que sea posible realizar otros exámenes o pruebas que permitan probarla.</w:t>
      </w:r>
      <w:r w:rsidRPr="000B76CE">
        <w:rPr>
          <w:rFonts w:ascii="Montserrat" w:eastAsia="Times New Roman" w:hAnsi="Montserrat" w:cs="Arial"/>
          <w:vertAlign w:val="superscript"/>
          <w:lang w:eastAsia="es-MX"/>
        </w:rPr>
        <w:footnoteReference w:id="7"/>
      </w:r>
      <w:r w:rsidRPr="000B76CE">
        <w:rPr>
          <w:rFonts w:ascii="Montserrat" w:eastAsia="Times New Roman" w:hAnsi="Montserrat" w:cs="Arial"/>
          <w:lang w:eastAsia="es-MX"/>
        </w:rPr>
        <w:t xml:space="preserve"> </w:t>
      </w:r>
    </w:p>
    <w:p w:rsidR="00271ABC" w:rsidRPr="000B76CE" w:rsidRDefault="00271ABC" w:rsidP="006B52ED">
      <w:pPr>
        <w:pStyle w:val="NoSpacing"/>
        <w:ind w:left="7"/>
        <w:jc w:val="both"/>
        <w:rPr>
          <w:rFonts w:ascii="Montserrat" w:eastAsia="Times New Roman" w:hAnsi="Montserrat" w:cs="Arial"/>
          <w:lang w:eastAsia="es-MX"/>
        </w:rPr>
      </w:pPr>
    </w:p>
    <w:p w:rsidR="00271ABC" w:rsidRPr="000B76CE" w:rsidRDefault="00271ABC" w:rsidP="006B52ED">
      <w:pPr>
        <w:pStyle w:val="NoSpacing"/>
        <w:ind w:left="7"/>
        <w:jc w:val="both"/>
        <w:rPr>
          <w:rFonts w:ascii="Montserrat" w:eastAsia="Times New Roman" w:hAnsi="Montserrat" w:cs="Arial"/>
          <w:lang w:eastAsia="es-MX"/>
        </w:rPr>
      </w:pPr>
      <w:r w:rsidRPr="000B76CE">
        <w:rPr>
          <w:rFonts w:ascii="Montserrat" w:eastAsia="Times New Roman" w:hAnsi="Montserrat" w:cs="Arial"/>
          <w:lang w:eastAsia="es-MX"/>
        </w:rPr>
        <w:t xml:space="preserve">De esta manera, la SCJN desarrolló un criterio que incluso es más protector que la propia Convención contra la Tortura y Otros Tratos o Penas Crueles, Inhumanos o Degradantes, toda vez que de manera expresa reduce el estándar de prueba para acreditar la tortura entendida como violación a los derechos humanos de la persona sometida a procedimiento penal que se realiza con la finalidad de </w:t>
      </w:r>
      <w:r w:rsidRPr="000B76CE">
        <w:rPr>
          <w:rFonts w:ascii="Montserrat" w:eastAsia="Times New Roman" w:hAnsi="Montserrat" w:cs="Arial"/>
          <w:lang w:eastAsia="es-MX"/>
        </w:rPr>
        <w:lastRenderedPageBreak/>
        <w:t>obtener pruebas en su contra —en comparación con el estándar de prueba del proceso penal—, y no exige la identificación de los perpetradores para tenerla por demostrada.</w:t>
      </w:r>
    </w:p>
    <w:p w:rsidR="00271ABC" w:rsidRPr="000B76CE" w:rsidRDefault="00271ABC" w:rsidP="006B52ED">
      <w:pPr>
        <w:spacing w:after="0" w:line="240" w:lineRule="auto"/>
        <w:jc w:val="both"/>
        <w:rPr>
          <w:rFonts w:ascii="Montserrat" w:hAnsi="Montserrat"/>
          <w:b/>
          <w:u w:val="single"/>
        </w:rPr>
      </w:pPr>
    </w:p>
    <w:p w:rsidR="00271ABC" w:rsidRPr="000B76CE" w:rsidRDefault="00271ABC" w:rsidP="006B52ED">
      <w:pPr>
        <w:spacing w:after="0" w:line="240" w:lineRule="auto"/>
        <w:jc w:val="both"/>
        <w:rPr>
          <w:rFonts w:ascii="Montserrat" w:hAnsi="Montserrat" w:cstheme="minorHAnsi"/>
          <w:b/>
          <w:u w:val="single"/>
        </w:rPr>
      </w:pPr>
      <w:r w:rsidRPr="000B76CE">
        <w:rPr>
          <w:rFonts w:ascii="Montserrat" w:hAnsi="Montserrat" w:cstheme="minorHAnsi"/>
          <w:b/>
          <w:u w:val="single"/>
        </w:rPr>
        <w:t>Seguridad de periodistas y personas defensoras de derechos humanos</w:t>
      </w:r>
    </w:p>
    <w:p w:rsidR="00271ABC" w:rsidRPr="000B76CE" w:rsidRDefault="00271ABC" w:rsidP="006B52ED">
      <w:pPr>
        <w:spacing w:after="0" w:line="240" w:lineRule="auto"/>
        <w:jc w:val="both"/>
        <w:rPr>
          <w:rFonts w:ascii="Montserrat" w:hAnsi="Montserrat"/>
          <w:b/>
        </w:rPr>
      </w:pPr>
      <w:r w:rsidRPr="000B76CE">
        <w:rPr>
          <w:rFonts w:ascii="Montserrat" w:hAnsi="Montserrat" w:cstheme="minorHAnsi"/>
        </w:rPr>
        <w:t xml:space="preserve">Sobre la protección a personas periodistas y defensores, en julio del 2012 se creó el Mecanismo Nacional para dar cumplimiento al artículo 1 de la Ley para la Protección de Personas Defensoras de Derechos Humanos y Periodistas. Uno de sus ejes de actuación es la cooperación entre la federación y las entidades federativas para implementar medidas de protección que garanticen vida, integridad, libertad y seguridad de las personas que se encuentran en situación de riesgo. </w:t>
      </w:r>
    </w:p>
    <w:p w:rsidR="00271ABC" w:rsidRPr="000B76CE" w:rsidRDefault="00271ABC" w:rsidP="006B52ED">
      <w:pPr>
        <w:spacing w:after="0" w:line="240" w:lineRule="auto"/>
        <w:ind w:right="49"/>
        <w:jc w:val="both"/>
        <w:rPr>
          <w:rFonts w:ascii="Montserrat" w:hAnsi="Montserrat" w:cstheme="minorHAnsi"/>
        </w:rPr>
      </w:pPr>
      <w:r w:rsidRPr="000B76CE">
        <w:rPr>
          <w:rFonts w:ascii="Montserrat" w:hAnsi="Montserrat" w:cstheme="minorHAnsi"/>
        </w:rPr>
        <w:t xml:space="preserve">La forma en la que se garantiza que en el Mecanismo participe sociedad civil, es a través de la conformación de un Consejo Ciudadano integrado por 4 defensores y 4 periodistas que forma parte de la Junta de Gobierno, que aprueba las líneas generales de trabajo del Mecanismo y los planes de protección individualizados que se otorgan a las personas incorporadas. Cabe precisar que la Oficina en México de la Alta Comisionada de los Derechos Humanos es invitado permanente en la Junta de Gobierno con derecho a voz.  </w:t>
      </w:r>
    </w:p>
    <w:p w:rsidR="00271ABC" w:rsidRPr="000B76CE" w:rsidRDefault="00271ABC" w:rsidP="006B52ED">
      <w:pPr>
        <w:spacing w:after="0" w:line="240" w:lineRule="auto"/>
        <w:ind w:right="49"/>
        <w:jc w:val="both"/>
        <w:rPr>
          <w:rFonts w:ascii="Montserrat" w:hAnsi="Montserrat" w:cstheme="minorHAnsi"/>
        </w:rPr>
      </w:pPr>
      <w:r w:rsidRPr="000B76CE">
        <w:rPr>
          <w:rFonts w:ascii="Montserrat" w:hAnsi="Montserrat" w:cstheme="minorHAnsi"/>
        </w:rPr>
        <w:t xml:space="preserve">Algunas de las medidas de protección que implementa el Mecanismo son extracción, reubicación y otorgamiento de refugios, escoltas, y protección de los inmuebles que ocupan las personas en riesgo, entre otras.  </w:t>
      </w:r>
    </w:p>
    <w:p w:rsidR="00271ABC" w:rsidRPr="000B76CE" w:rsidRDefault="00271ABC" w:rsidP="006B52ED">
      <w:pPr>
        <w:spacing w:after="0" w:line="240" w:lineRule="auto"/>
        <w:ind w:right="49"/>
        <w:jc w:val="both"/>
        <w:rPr>
          <w:rFonts w:ascii="Montserrat" w:hAnsi="Montserrat" w:cstheme="minorHAnsi"/>
        </w:rPr>
      </w:pPr>
      <w:r w:rsidRPr="000B76CE">
        <w:rPr>
          <w:rFonts w:ascii="Montserrat" w:hAnsi="Montserrat" w:cstheme="minorHAnsi"/>
        </w:rPr>
        <w:t xml:space="preserve">La Prevención se realiza a través de los siguientes ejes:  </w:t>
      </w:r>
    </w:p>
    <w:p w:rsidR="00C25053" w:rsidRPr="000B76CE" w:rsidRDefault="00271ABC" w:rsidP="006B52ED">
      <w:pPr>
        <w:pStyle w:val="ListParagraph"/>
        <w:numPr>
          <w:ilvl w:val="0"/>
          <w:numId w:val="3"/>
        </w:numPr>
        <w:spacing w:after="0" w:line="240" w:lineRule="auto"/>
        <w:ind w:right="49"/>
        <w:jc w:val="both"/>
        <w:rPr>
          <w:rFonts w:ascii="Montserrat" w:hAnsi="Montserrat" w:cstheme="minorHAnsi"/>
        </w:rPr>
      </w:pPr>
      <w:r w:rsidRPr="000B76CE">
        <w:rPr>
          <w:rFonts w:ascii="Montserrat" w:hAnsi="Montserrat" w:cstheme="minorHAnsi"/>
        </w:rPr>
        <w:t xml:space="preserve">Difusión y capacitación sobre la importancia del trabajo de las personas defensoras y periodistas, particularmente a los funcionarios públicos. </w:t>
      </w:r>
    </w:p>
    <w:p w:rsidR="00C25053" w:rsidRPr="000B76CE" w:rsidRDefault="00271ABC" w:rsidP="006B52ED">
      <w:pPr>
        <w:pStyle w:val="ListParagraph"/>
        <w:numPr>
          <w:ilvl w:val="0"/>
          <w:numId w:val="3"/>
        </w:numPr>
        <w:spacing w:after="0" w:line="240" w:lineRule="auto"/>
        <w:ind w:right="49"/>
        <w:jc w:val="both"/>
        <w:rPr>
          <w:rFonts w:ascii="Montserrat" w:hAnsi="Montserrat" w:cstheme="minorHAnsi"/>
        </w:rPr>
      </w:pPr>
      <w:r w:rsidRPr="000B76CE">
        <w:rPr>
          <w:rFonts w:ascii="Montserrat" w:hAnsi="Montserrat" w:cstheme="minorHAnsi"/>
        </w:rPr>
        <w:t>Instructivos, Manuales, cursos de auto protección, acompañamiento de observadores de derechos humanos y periodistas.</w:t>
      </w:r>
    </w:p>
    <w:p w:rsidR="00C25053" w:rsidRPr="000B76CE" w:rsidRDefault="00271ABC" w:rsidP="006B52ED">
      <w:pPr>
        <w:pStyle w:val="ListParagraph"/>
        <w:numPr>
          <w:ilvl w:val="0"/>
          <w:numId w:val="3"/>
        </w:numPr>
        <w:spacing w:after="0" w:line="240" w:lineRule="auto"/>
        <w:ind w:right="49"/>
        <w:jc w:val="both"/>
        <w:rPr>
          <w:rFonts w:ascii="Montserrat" w:hAnsi="Montserrat" w:cstheme="minorHAnsi"/>
        </w:rPr>
      </w:pPr>
      <w:r w:rsidRPr="000B76CE">
        <w:rPr>
          <w:rFonts w:ascii="Montserrat" w:hAnsi="Montserrat" w:cstheme="minorHAnsi"/>
        </w:rPr>
        <w:t>Creación de conciencia pública sobre la importancia de los derechos humanos; y</w:t>
      </w:r>
    </w:p>
    <w:p w:rsidR="00271ABC" w:rsidRPr="000B76CE" w:rsidRDefault="00271ABC" w:rsidP="006B52ED">
      <w:pPr>
        <w:pStyle w:val="ListParagraph"/>
        <w:numPr>
          <w:ilvl w:val="0"/>
          <w:numId w:val="3"/>
        </w:numPr>
        <w:spacing w:after="0" w:line="240" w:lineRule="auto"/>
        <w:ind w:right="49"/>
        <w:jc w:val="both"/>
        <w:rPr>
          <w:rFonts w:ascii="Montserrat" w:hAnsi="Montserrat" w:cstheme="minorHAnsi"/>
        </w:rPr>
      </w:pPr>
      <w:r w:rsidRPr="000B76CE">
        <w:rPr>
          <w:rFonts w:ascii="Montserrat" w:hAnsi="Montserrat" w:cstheme="minorHAnsi"/>
        </w:rPr>
        <w:t xml:space="preserve">Monitoreo en fuentes abiertas para crear posibles patrones de riesgo. </w:t>
      </w:r>
    </w:p>
    <w:p w:rsidR="00271ABC" w:rsidRPr="000B76CE" w:rsidRDefault="00271ABC" w:rsidP="006B52ED">
      <w:pPr>
        <w:tabs>
          <w:tab w:val="left" w:pos="5103"/>
        </w:tabs>
        <w:spacing w:after="0" w:line="240" w:lineRule="auto"/>
        <w:ind w:left="142" w:right="49"/>
        <w:jc w:val="both"/>
        <w:rPr>
          <w:rFonts w:ascii="Montserrat" w:hAnsi="Montserrat" w:cstheme="minorHAnsi"/>
        </w:rPr>
      </w:pPr>
      <w:r w:rsidRPr="000B76CE">
        <w:rPr>
          <w:rFonts w:ascii="Montserrat" w:hAnsi="Montserrat" w:cstheme="minorHAnsi"/>
        </w:rPr>
        <w:t>A la llegada del nuevo Gobierno, el Mecanismo tenía incorporadas a 790 personas, 292 periodistas (37%) y 498 defensores y defensoras (63%).</w:t>
      </w:r>
    </w:p>
    <w:p w:rsidR="00271ABC" w:rsidRPr="000B76CE" w:rsidRDefault="00271ABC" w:rsidP="006B52ED">
      <w:pPr>
        <w:spacing w:after="0" w:line="240" w:lineRule="auto"/>
        <w:ind w:left="142" w:right="49"/>
        <w:jc w:val="both"/>
        <w:rPr>
          <w:rFonts w:ascii="Montserrat" w:hAnsi="Montserrat" w:cstheme="minorHAnsi"/>
        </w:rPr>
      </w:pPr>
      <w:r w:rsidRPr="000B76CE">
        <w:rPr>
          <w:rFonts w:ascii="Montserrat" w:hAnsi="Montserrat" w:cstheme="minorHAnsi"/>
        </w:rPr>
        <w:t xml:space="preserve">No cabe duda que el Mecanismo aún es perfectible, para afrontar los retos y desafíos ya se están considerando mejoras, para ello, recientemente se realizó una auditoría a los fondos que se administran para el funcionamiento del Mecanismo; y se solicitó una evaluación externa del Mecanismo por parte de las Oficinas en México de la Alta Comisionada de las Naciones Unidas sobre Derechos Humanos, bajo la conducción de la Junta de Gobierno. </w:t>
      </w:r>
    </w:p>
    <w:p w:rsidR="00271ABC" w:rsidRPr="000B76CE" w:rsidRDefault="00271ABC" w:rsidP="006B52ED">
      <w:pPr>
        <w:spacing w:after="0" w:line="240" w:lineRule="auto"/>
        <w:ind w:left="142" w:right="49"/>
        <w:jc w:val="both"/>
        <w:rPr>
          <w:rFonts w:ascii="Montserrat" w:hAnsi="Montserrat" w:cstheme="minorHAnsi"/>
        </w:rPr>
      </w:pPr>
      <w:r w:rsidRPr="000B76CE">
        <w:rPr>
          <w:rFonts w:ascii="Montserrat" w:hAnsi="Montserrat" w:cstheme="minorHAnsi"/>
        </w:rPr>
        <w:t>Adicionalmente está en proceso:</w:t>
      </w:r>
    </w:p>
    <w:p w:rsidR="00271ABC" w:rsidRPr="000B76CE" w:rsidRDefault="00271ABC" w:rsidP="006B52ED">
      <w:pPr>
        <w:pStyle w:val="ListParagraph"/>
        <w:numPr>
          <w:ilvl w:val="0"/>
          <w:numId w:val="11"/>
        </w:numPr>
        <w:spacing w:after="0" w:line="240" w:lineRule="auto"/>
        <w:ind w:right="49"/>
        <w:jc w:val="both"/>
        <w:rPr>
          <w:rFonts w:ascii="Montserrat" w:hAnsi="Montserrat" w:cstheme="minorHAnsi"/>
        </w:rPr>
      </w:pPr>
      <w:r w:rsidRPr="000B76CE">
        <w:rPr>
          <w:rFonts w:ascii="Montserrat" w:hAnsi="Montserrat" w:cstheme="minorHAnsi"/>
        </w:rPr>
        <w:t xml:space="preserve">La sustitución de escoltas privados por escoltas de elementos de policía del Estado mexicano. </w:t>
      </w:r>
    </w:p>
    <w:p w:rsidR="00271ABC" w:rsidRPr="000B76CE" w:rsidRDefault="00271ABC" w:rsidP="006B52ED">
      <w:pPr>
        <w:pStyle w:val="ListParagraph"/>
        <w:numPr>
          <w:ilvl w:val="0"/>
          <w:numId w:val="11"/>
        </w:numPr>
        <w:spacing w:after="0" w:line="240" w:lineRule="auto"/>
        <w:ind w:right="49"/>
        <w:jc w:val="both"/>
        <w:rPr>
          <w:rFonts w:ascii="Montserrat" w:hAnsi="Montserrat" w:cstheme="minorHAnsi"/>
        </w:rPr>
      </w:pPr>
      <w:r w:rsidRPr="000B76CE">
        <w:rPr>
          <w:rFonts w:ascii="Montserrat" w:hAnsi="Montserrat" w:cstheme="minorHAnsi"/>
        </w:rPr>
        <w:t xml:space="preserve">Para el caso de los periodistas se están analizando las formas de involucrar a los dueños de los medios de comunicación en la corresponsabilidad de las tareas de protección. </w:t>
      </w:r>
    </w:p>
    <w:p w:rsidR="00271ABC" w:rsidRPr="000B76CE" w:rsidRDefault="00271ABC" w:rsidP="006B52ED">
      <w:pPr>
        <w:pStyle w:val="ListParagraph"/>
        <w:numPr>
          <w:ilvl w:val="0"/>
          <w:numId w:val="11"/>
        </w:numPr>
        <w:spacing w:after="0" w:line="240" w:lineRule="auto"/>
        <w:ind w:right="49"/>
        <w:jc w:val="both"/>
        <w:rPr>
          <w:rFonts w:ascii="Montserrat" w:hAnsi="Montserrat" w:cstheme="minorHAnsi"/>
        </w:rPr>
      </w:pPr>
      <w:r w:rsidRPr="000B76CE">
        <w:rPr>
          <w:rFonts w:ascii="Montserrat" w:hAnsi="Montserrat" w:cstheme="minorHAnsi"/>
        </w:rPr>
        <w:t xml:space="preserve">También se analiza la posibilidad de generar alertas de riesgo a partir del monitoreo focalizado en fuentes abiertas. </w:t>
      </w:r>
    </w:p>
    <w:p w:rsidR="00271ABC" w:rsidRPr="000B76CE" w:rsidRDefault="00271ABC" w:rsidP="006B52ED">
      <w:pPr>
        <w:pStyle w:val="ListParagraph"/>
        <w:numPr>
          <w:ilvl w:val="0"/>
          <w:numId w:val="11"/>
        </w:numPr>
        <w:spacing w:after="0" w:line="240" w:lineRule="auto"/>
        <w:ind w:right="49"/>
        <w:jc w:val="both"/>
        <w:rPr>
          <w:rFonts w:ascii="Montserrat" w:hAnsi="Montserrat" w:cstheme="minorHAnsi"/>
        </w:rPr>
      </w:pPr>
      <w:r w:rsidRPr="000B76CE">
        <w:rPr>
          <w:rFonts w:ascii="Montserrat" w:hAnsi="Montserrat" w:cstheme="minorHAnsi"/>
        </w:rPr>
        <w:t xml:space="preserve">Se promueve la cooperación internacional para fortalecer la operación del Mecanismo </w:t>
      </w:r>
    </w:p>
    <w:p w:rsidR="006C1014" w:rsidRDefault="00271ABC" w:rsidP="00DC2340">
      <w:pPr>
        <w:pStyle w:val="ListParagraph"/>
        <w:numPr>
          <w:ilvl w:val="0"/>
          <w:numId w:val="11"/>
        </w:numPr>
        <w:spacing w:after="0" w:line="240" w:lineRule="auto"/>
        <w:ind w:right="49"/>
        <w:jc w:val="both"/>
        <w:rPr>
          <w:rFonts w:ascii="Montserrat" w:hAnsi="Montserrat" w:cstheme="minorHAnsi"/>
        </w:rPr>
      </w:pPr>
      <w:r w:rsidRPr="000B76CE">
        <w:rPr>
          <w:rFonts w:ascii="Montserrat" w:hAnsi="Montserrat" w:cstheme="minorHAnsi"/>
        </w:rPr>
        <w:lastRenderedPageBreak/>
        <w:t xml:space="preserve">Sobre los casos particulares de Herón Sixto López, Alberto López Bello, Arturo Hernández Cardona, Félix Rafael Bandera Román y Ángel Román Ramírez, ninguno se encontraba incorporado al Mecanismo. </w:t>
      </w:r>
    </w:p>
    <w:p w:rsidR="002C699A" w:rsidRDefault="002C699A" w:rsidP="002C699A">
      <w:pPr>
        <w:spacing w:after="0" w:line="240" w:lineRule="auto"/>
        <w:rPr>
          <w:rFonts w:ascii="Montserrat" w:hAnsi="Montserrat"/>
          <w:u w:val="single"/>
        </w:rPr>
      </w:pPr>
    </w:p>
    <w:p w:rsidR="002C699A" w:rsidRPr="0044172F" w:rsidRDefault="002C699A" w:rsidP="002C699A">
      <w:pPr>
        <w:spacing w:after="0" w:line="240" w:lineRule="auto"/>
        <w:rPr>
          <w:rFonts w:ascii="Montserrat" w:hAnsi="Montserrat"/>
          <w:b/>
        </w:rPr>
      </w:pPr>
      <w:r w:rsidRPr="0044172F">
        <w:rPr>
          <w:rFonts w:ascii="Montserrat" w:hAnsi="Montserrat"/>
          <w:b/>
        </w:rPr>
        <w:t>Casos sobre Defensores de Derechos Humanos</w:t>
      </w:r>
    </w:p>
    <w:p w:rsidR="002C699A" w:rsidRPr="002C699A" w:rsidRDefault="002C699A" w:rsidP="002C699A">
      <w:pPr>
        <w:pStyle w:val="ListParagraph"/>
        <w:spacing w:after="0" w:line="240" w:lineRule="auto"/>
        <w:ind w:left="502"/>
        <w:jc w:val="both"/>
        <w:rPr>
          <w:rFonts w:ascii="Montserrat" w:hAnsi="Montserrat"/>
        </w:rPr>
      </w:pPr>
    </w:p>
    <w:p w:rsidR="002C699A" w:rsidRPr="002C699A" w:rsidRDefault="002C699A" w:rsidP="002C699A">
      <w:pPr>
        <w:spacing w:after="0" w:line="240" w:lineRule="auto"/>
        <w:jc w:val="both"/>
        <w:rPr>
          <w:rFonts w:ascii="Montserrat" w:hAnsi="Montserrat"/>
        </w:rPr>
      </w:pPr>
      <w:r w:rsidRPr="002C699A">
        <w:rPr>
          <w:rFonts w:ascii="Montserrat" w:hAnsi="Montserrat"/>
        </w:rPr>
        <w:t xml:space="preserve">La Fiscalía General de la República únicamente tuvo bajo su competencia federal dos casos: la averiguación previa AP92/2013 respecto de la víctima </w:t>
      </w:r>
      <w:r w:rsidRPr="002C699A">
        <w:rPr>
          <w:rFonts w:ascii="Montserrat" w:hAnsi="Montserrat"/>
          <w:b/>
        </w:rPr>
        <w:t>Alberto López Bello</w:t>
      </w:r>
      <w:r w:rsidRPr="002C699A">
        <w:rPr>
          <w:rFonts w:ascii="Montserrat" w:hAnsi="Montserrat"/>
        </w:rPr>
        <w:t xml:space="preserve">, misma que fue declinada a la Fiscalía de Oaxaca el 19 de noviembre de 2013. La misma fue iniciada en virtud de una nota periodística. </w:t>
      </w:r>
    </w:p>
    <w:p w:rsidR="00A94C7B" w:rsidRPr="000B76CE" w:rsidRDefault="00A94C7B" w:rsidP="006B52ED">
      <w:pPr>
        <w:spacing w:after="0" w:line="240" w:lineRule="auto"/>
        <w:rPr>
          <w:rFonts w:ascii="Montserrat" w:eastAsia="Times New Roman" w:hAnsi="Montserrat"/>
        </w:rPr>
      </w:pPr>
      <w:bookmarkStart w:id="1" w:name="_GoBack"/>
      <w:bookmarkEnd w:id="1"/>
    </w:p>
    <w:p w:rsidR="00A94C7B" w:rsidRPr="000B76CE" w:rsidRDefault="006C1014" w:rsidP="006B52ED">
      <w:pPr>
        <w:spacing w:after="0" w:line="240" w:lineRule="auto"/>
        <w:jc w:val="both"/>
        <w:rPr>
          <w:rFonts w:ascii="Montserrat" w:hAnsi="Montserrat" w:cs="Tahoma"/>
          <w:b/>
          <w:u w:val="single"/>
        </w:rPr>
      </w:pPr>
      <w:r w:rsidRPr="000B76CE">
        <w:rPr>
          <w:rFonts w:ascii="Montserrat" w:hAnsi="Montserrat" w:cs="Tahoma"/>
          <w:b/>
          <w:u w:val="single"/>
        </w:rPr>
        <w:t xml:space="preserve">Asuntos no incluidos en la lista de cuestiones </w:t>
      </w:r>
    </w:p>
    <w:p w:rsidR="006C1014" w:rsidRPr="000B76CE" w:rsidRDefault="006C1014" w:rsidP="006B52ED">
      <w:pPr>
        <w:spacing w:after="0" w:line="240" w:lineRule="auto"/>
        <w:jc w:val="both"/>
        <w:rPr>
          <w:rFonts w:ascii="Montserrat" w:hAnsi="Montserrat" w:cs="Tahoma"/>
          <w:b/>
        </w:rPr>
      </w:pPr>
    </w:p>
    <w:p w:rsidR="000B1DB2" w:rsidRPr="000B76CE" w:rsidRDefault="000B1DB2" w:rsidP="006B52ED">
      <w:pPr>
        <w:spacing w:after="0" w:line="240" w:lineRule="auto"/>
        <w:ind w:left="444" w:hanging="444"/>
        <w:jc w:val="both"/>
        <w:rPr>
          <w:rFonts w:ascii="Montserrat" w:hAnsi="Montserrat" w:cs="Tahoma"/>
          <w:b/>
        </w:rPr>
      </w:pPr>
      <w:r w:rsidRPr="000B76CE">
        <w:rPr>
          <w:rFonts w:ascii="Montserrat" w:hAnsi="Montserrat" w:cs="Tahoma"/>
          <w:b/>
        </w:rPr>
        <w:t xml:space="preserve">Participación de las Fuerzas Armadas </w:t>
      </w:r>
      <w:r w:rsidR="006C1014" w:rsidRPr="000B76CE">
        <w:rPr>
          <w:rFonts w:ascii="Montserrat" w:hAnsi="Montserrat" w:cs="Tahoma"/>
          <w:b/>
        </w:rPr>
        <w:t xml:space="preserve">en labores de seguridad pública  </w:t>
      </w:r>
    </w:p>
    <w:p w:rsidR="000B1DB2" w:rsidRPr="000B76CE" w:rsidRDefault="000B1DB2" w:rsidP="006B52ED">
      <w:pPr>
        <w:spacing w:after="0" w:line="240" w:lineRule="auto"/>
        <w:jc w:val="center"/>
        <w:rPr>
          <w:rFonts w:ascii="Montserrat" w:hAnsi="Montserrat" w:cs="Tahoma"/>
        </w:rPr>
      </w:pPr>
    </w:p>
    <w:p w:rsidR="000B1DB2" w:rsidRPr="000B76CE" w:rsidRDefault="000B1DB2" w:rsidP="006B52ED">
      <w:pPr>
        <w:spacing w:after="0" w:line="240" w:lineRule="auto"/>
        <w:jc w:val="both"/>
        <w:rPr>
          <w:rFonts w:ascii="Montserrat" w:hAnsi="Montserrat" w:cs="Tahoma"/>
        </w:rPr>
      </w:pPr>
      <w:r w:rsidRPr="000B76CE">
        <w:rPr>
          <w:rFonts w:ascii="Montserrat" w:hAnsi="Montserrat" w:cs="Tahoma"/>
        </w:rPr>
        <w:t>Ante el reto que implica la materia de seguridad pública, las Fuerzas Armadas se han constituido como un elemento fundamental en la tarea de restablecer la paz y la tranquilidad a los mexicanos, motivo por el cual, ante el requerimiento de la sociedad de su participación en esa necesidad de la población, y de conformidad con lo dispuesto en el artículo 16 de la Constitución Política de los Estados Unidos Mexicanos, que otorga a toda persona la facultad de detener a los probables delincuentes en flagrancia delictual, los militares participan en esta encomienda, poniendo de inmediato al infractor a disposición de las autoridades civiles competentes.</w:t>
      </w:r>
    </w:p>
    <w:p w:rsidR="000B1DB2" w:rsidRPr="000B76CE" w:rsidRDefault="000B1DB2" w:rsidP="006B52ED">
      <w:pPr>
        <w:spacing w:after="0" w:line="240" w:lineRule="auto"/>
        <w:jc w:val="both"/>
        <w:rPr>
          <w:rFonts w:ascii="Montserrat" w:hAnsi="Montserrat" w:cs="Tahoma"/>
        </w:rPr>
      </w:pPr>
    </w:p>
    <w:p w:rsidR="000B1DB2" w:rsidRPr="000B76CE" w:rsidRDefault="000B1DB2" w:rsidP="006B52ED">
      <w:pPr>
        <w:spacing w:after="0" w:line="240" w:lineRule="auto"/>
        <w:jc w:val="both"/>
        <w:rPr>
          <w:rFonts w:ascii="Montserrat" w:hAnsi="Montserrat" w:cs="Tahoma"/>
        </w:rPr>
      </w:pPr>
      <w:r w:rsidRPr="000B76CE">
        <w:rPr>
          <w:rFonts w:ascii="Montserrat" w:hAnsi="Montserrat" w:cs="Tahoma"/>
        </w:rPr>
        <w:t>Se precisa que en el periodo que se evalúa (2013-2018), el personal militar ha detenido en flagrancia delictual a un gran total de 34,782 personas en el momento preciso en que fueron sorprendidos cometiendo un delito, derivándose de este universo de acciones, un total de 230 quejas durante ese lapso de seis años, de las cuales concluyeron en recomendaciones 9 por tortura y 2 por malos tratos, las cuales equivalen alrededor de tan solo 4%.</w:t>
      </w:r>
    </w:p>
    <w:p w:rsidR="000B1DB2" w:rsidRPr="000B76CE" w:rsidRDefault="000B1DB2"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 xml:space="preserve">Además de la base constitucional que otorga el citado artículo 16, la Suprema Corte de Justicia de la Nación, emitió con carácter de jurisprudencias firmes </w:t>
      </w:r>
      <w:proofErr w:type="gramStart"/>
      <w:r w:rsidRPr="000B76CE">
        <w:rPr>
          <w:rFonts w:ascii="Montserrat" w:hAnsi="Montserrat" w:cs="Tahoma"/>
        </w:rPr>
        <w:t>y</w:t>
      </w:r>
      <w:proofErr w:type="gramEnd"/>
      <w:r w:rsidRPr="000B76CE">
        <w:rPr>
          <w:rFonts w:ascii="Montserrat" w:hAnsi="Montserrat" w:cs="Tahoma"/>
        </w:rPr>
        <w:t xml:space="preserve"> por tanto, obligatorias, las </w:t>
      </w:r>
      <w:r w:rsidR="006C1014" w:rsidRPr="000B76CE">
        <w:rPr>
          <w:rFonts w:ascii="Montserrat" w:hAnsi="Montserrat" w:cs="Tahoma"/>
        </w:rPr>
        <w:t>tesis números 37/2000 y 38/2000.</w:t>
      </w:r>
    </w:p>
    <w:p w:rsidR="006C1014" w:rsidRPr="000B76CE" w:rsidRDefault="006C1014"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En la primera de ellas se estableció que conforme al artículo 89, fracción VI, de la Constitución Política de los Estados Unidos Mexicanos, las Fuerzas Armadas están constitucionalmente facultadas para actuar, acatando órdenes del Presidente de la República, cuando sin llegar a los extremos de invasión, perturbación grave de la paz pública o de cualquier caso que ponga a la sociedad en grave peligro o conflicto, se produzca una situación que haga temer fundadamente por sus características que, de no enfrentarse de inmediato, sería inminente precipitarse en alguna o todas esas graves situaciones.</w:t>
      </w:r>
    </w:p>
    <w:p w:rsidR="006C1014" w:rsidRPr="000B76CE" w:rsidRDefault="006C1014"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En la segunda de las indicadas tesis, el más Alto Tribunal de México dispuso que las Fuerzas Armadas pueden actuar en auxilio de las autoridades civiles, cuando éstas soliciten el apoyo de la fuerza con la que disponen.</w:t>
      </w:r>
    </w:p>
    <w:p w:rsidR="006C1014" w:rsidRPr="000B76CE" w:rsidRDefault="006C1014"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 xml:space="preserve">Las anteriores razones son las que se imponen para la participación de las Fuerzas Armadas en las funciones de seguridad, actuando solamente en </w:t>
      </w:r>
      <w:proofErr w:type="spellStart"/>
      <w:r w:rsidRPr="000B76CE">
        <w:rPr>
          <w:rFonts w:ascii="Montserrat" w:hAnsi="Montserrat" w:cs="Tahoma"/>
        </w:rPr>
        <w:t>coadyuvancia</w:t>
      </w:r>
      <w:proofErr w:type="spellEnd"/>
      <w:r w:rsidRPr="000B76CE">
        <w:rPr>
          <w:rFonts w:ascii="Montserrat" w:hAnsi="Montserrat" w:cs="Tahoma"/>
        </w:rPr>
        <w:t>, a solicitud expresa fundada y motivada de las autoridades civiles y por disposición del Presidente de la República, previa coordinación con la Secretaría de Gobernación.</w:t>
      </w:r>
    </w:p>
    <w:p w:rsidR="002C699A" w:rsidRDefault="002C699A"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El producto palpable de este esfuer</w:t>
      </w:r>
      <w:r w:rsidR="002C699A">
        <w:rPr>
          <w:rFonts w:ascii="Montserrat" w:hAnsi="Montserrat" w:cs="Tahoma"/>
        </w:rPr>
        <w:t>zo del Gobierno mexicano, es una tendencia positiva</w:t>
      </w:r>
      <w:r w:rsidRPr="000B76CE">
        <w:rPr>
          <w:rFonts w:ascii="Montserrat" w:hAnsi="Montserrat" w:cs="Tahoma"/>
        </w:rPr>
        <w:t xml:space="preserve"> en </w:t>
      </w:r>
      <w:r w:rsidR="002C699A">
        <w:rPr>
          <w:rFonts w:ascii="Montserrat" w:hAnsi="Montserrat" w:cs="Tahoma"/>
        </w:rPr>
        <w:t xml:space="preserve">el número de </w:t>
      </w:r>
      <w:r w:rsidRPr="000B76CE">
        <w:rPr>
          <w:rFonts w:ascii="Montserrat" w:hAnsi="Montserrat" w:cs="Tahoma"/>
        </w:rPr>
        <w:t>quejas y recomendaciones</w:t>
      </w:r>
      <w:r w:rsidR="002C699A">
        <w:rPr>
          <w:rFonts w:ascii="Montserrat" w:hAnsi="Montserrat" w:cs="Tahoma"/>
        </w:rPr>
        <w:t xml:space="preserve"> recibidas</w:t>
      </w:r>
      <w:r w:rsidRPr="000B76CE">
        <w:rPr>
          <w:rFonts w:ascii="Montserrat" w:hAnsi="Montserrat" w:cs="Tahoma"/>
        </w:rPr>
        <w:t xml:space="preserve">, </w:t>
      </w:r>
      <w:proofErr w:type="gramStart"/>
      <w:r w:rsidRPr="000B76CE">
        <w:rPr>
          <w:rFonts w:ascii="Montserrat" w:hAnsi="Montserrat" w:cs="Tahoma"/>
        </w:rPr>
        <w:t>puesto que</w:t>
      </w:r>
      <w:proofErr w:type="gramEnd"/>
      <w:r w:rsidRPr="000B76CE">
        <w:rPr>
          <w:rFonts w:ascii="Montserrat" w:hAnsi="Montserrat" w:cs="Tahoma"/>
        </w:rPr>
        <w:t xml:space="preserve"> de dicho lapso, en el 2013, la Secretaría de la Defensa Nacional recibió un total de 836 quejas y en el 2018 registró 347, lo que representa una reducción del 59%.</w:t>
      </w:r>
    </w:p>
    <w:p w:rsidR="006C1014" w:rsidRPr="000B76CE" w:rsidRDefault="006C1014" w:rsidP="006B52ED">
      <w:pPr>
        <w:spacing w:after="0" w:line="240" w:lineRule="auto"/>
        <w:jc w:val="both"/>
        <w:rPr>
          <w:rFonts w:ascii="Montserrat" w:hAnsi="Montserrat" w:cs="Tahoma"/>
        </w:rPr>
      </w:pPr>
    </w:p>
    <w:p w:rsidR="006C1014" w:rsidRPr="000B76CE" w:rsidRDefault="000B1DB2" w:rsidP="006B52ED">
      <w:pPr>
        <w:spacing w:after="0" w:line="240" w:lineRule="auto"/>
        <w:jc w:val="both"/>
        <w:rPr>
          <w:rFonts w:ascii="Montserrat" w:hAnsi="Montserrat" w:cs="Tahoma"/>
        </w:rPr>
      </w:pPr>
      <w:r w:rsidRPr="000B76CE">
        <w:rPr>
          <w:rFonts w:ascii="Montserrat" w:hAnsi="Montserrat" w:cs="Tahoma"/>
        </w:rPr>
        <w:t>En cuanto a las recomendaciones por tortura, en el periodo previo que se evalúa, se recibieron 54 y en el lapso de</w:t>
      </w:r>
      <w:r w:rsidR="002C699A">
        <w:rPr>
          <w:rFonts w:ascii="Montserrat" w:hAnsi="Montserrat" w:cs="Tahoma"/>
        </w:rPr>
        <w:t xml:space="preserve"> 2013 a 2018, se recibieron </w:t>
      </w:r>
      <w:r w:rsidRPr="000B76CE">
        <w:rPr>
          <w:rFonts w:ascii="Montserrat" w:hAnsi="Montserrat" w:cs="Tahoma"/>
        </w:rPr>
        <w:t>11, lo que representa una disminución del 79%.</w:t>
      </w:r>
    </w:p>
    <w:p w:rsidR="006C1014" w:rsidRPr="000B76CE" w:rsidRDefault="006C1014" w:rsidP="006B52ED">
      <w:pPr>
        <w:spacing w:after="0" w:line="240" w:lineRule="auto"/>
        <w:jc w:val="both"/>
        <w:rPr>
          <w:rFonts w:ascii="Montserrat" w:hAnsi="Montserrat" w:cs="Tahoma"/>
        </w:rPr>
      </w:pPr>
    </w:p>
    <w:p w:rsidR="00DC2340" w:rsidRPr="000B76CE" w:rsidRDefault="002C699A" w:rsidP="006B52ED">
      <w:pPr>
        <w:spacing w:after="0" w:line="240" w:lineRule="auto"/>
        <w:jc w:val="both"/>
        <w:rPr>
          <w:rFonts w:ascii="Montserrat" w:hAnsi="Montserrat" w:cs="Tahoma"/>
        </w:rPr>
      </w:pPr>
      <w:r>
        <w:rPr>
          <w:rFonts w:ascii="Montserrat" w:hAnsi="Montserrat" w:cs="Tahoma"/>
        </w:rPr>
        <w:t>E</w:t>
      </w:r>
      <w:r w:rsidR="000B1DB2" w:rsidRPr="000B76CE">
        <w:rPr>
          <w:rFonts w:ascii="Montserrat" w:hAnsi="Montserrat" w:cs="Tahoma"/>
        </w:rPr>
        <w:t xml:space="preserve">ste análisis estadístico se encuentra sustentado en datos oficiales </w:t>
      </w:r>
      <w:r w:rsidR="002E540C">
        <w:rPr>
          <w:rFonts w:ascii="Montserrat" w:hAnsi="Montserrat" w:cs="Tahoma"/>
        </w:rPr>
        <w:t xml:space="preserve">y públicos </w:t>
      </w:r>
      <w:r w:rsidR="000B1DB2" w:rsidRPr="000B76CE">
        <w:rPr>
          <w:rFonts w:ascii="Montserrat" w:hAnsi="Montserrat" w:cs="Tahoma"/>
        </w:rPr>
        <w:t>de la Comisión Nacional de los Derechos Humanos, por tanto</w:t>
      </w:r>
      <w:r>
        <w:rPr>
          <w:rFonts w:ascii="Montserrat" w:hAnsi="Montserrat" w:cs="Tahoma"/>
        </w:rPr>
        <w:t>,</w:t>
      </w:r>
      <w:r w:rsidR="000B1DB2" w:rsidRPr="000B76CE">
        <w:rPr>
          <w:rFonts w:ascii="Montserrat" w:hAnsi="Montserrat" w:cs="Tahoma"/>
        </w:rPr>
        <w:t xml:space="preserve"> son registros totalmente verificables.</w:t>
      </w:r>
    </w:p>
    <w:p w:rsidR="000B1DB2" w:rsidRPr="000B76CE" w:rsidRDefault="000B1DB2" w:rsidP="006B52ED">
      <w:pPr>
        <w:spacing w:after="0" w:line="240" w:lineRule="auto"/>
        <w:rPr>
          <w:rFonts w:ascii="Montserrat" w:hAnsi="Montserrat"/>
        </w:rPr>
      </w:pPr>
    </w:p>
    <w:p w:rsidR="00E459CB" w:rsidRPr="000B76CE" w:rsidRDefault="00E459CB" w:rsidP="006B52ED">
      <w:pPr>
        <w:spacing w:after="0" w:line="240" w:lineRule="auto"/>
        <w:rPr>
          <w:rFonts w:ascii="Montserrat" w:hAnsi="Montserrat"/>
          <w:b/>
        </w:rPr>
      </w:pPr>
      <w:r w:rsidRPr="000B76CE">
        <w:rPr>
          <w:rFonts w:ascii="Montserrat" w:hAnsi="Montserrat"/>
          <w:b/>
        </w:rPr>
        <w:t>Violencia de mujeres en Ciudad Juárez</w:t>
      </w:r>
    </w:p>
    <w:p w:rsidR="00DC2340" w:rsidRPr="000B76CE" w:rsidRDefault="00DC2340" w:rsidP="006B52ED">
      <w:pPr>
        <w:spacing w:after="0" w:line="240" w:lineRule="auto"/>
        <w:rPr>
          <w:rFonts w:ascii="Montserrat" w:hAnsi="Montserrat"/>
          <w:b/>
        </w:rPr>
      </w:pPr>
    </w:p>
    <w:p w:rsidR="00E459CB" w:rsidRPr="000B76CE" w:rsidRDefault="00DC2340" w:rsidP="006B52ED">
      <w:pPr>
        <w:spacing w:after="0" w:line="240" w:lineRule="auto"/>
        <w:jc w:val="both"/>
        <w:rPr>
          <w:rFonts w:ascii="Montserrat" w:hAnsi="Montserrat"/>
        </w:rPr>
      </w:pPr>
      <w:r w:rsidRPr="000B76CE">
        <w:rPr>
          <w:rFonts w:ascii="Montserrat" w:hAnsi="Montserrat"/>
        </w:rPr>
        <w:t>L</w:t>
      </w:r>
      <w:r w:rsidR="00E459CB" w:rsidRPr="000B76CE">
        <w:rPr>
          <w:rFonts w:ascii="Montserrat" w:hAnsi="Montserrat"/>
        </w:rPr>
        <w:t xml:space="preserve">a Comisión </w:t>
      </w:r>
      <w:r w:rsidRPr="000B76CE">
        <w:rPr>
          <w:rFonts w:ascii="Montserrat" w:hAnsi="Montserrat"/>
        </w:rPr>
        <w:t xml:space="preserve">Nacional para Prevenir y Erradicar la Violencia contra las Mujeres </w:t>
      </w:r>
      <w:r w:rsidR="00E459CB" w:rsidRPr="000B76CE">
        <w:rPr>
          <w:rFonts w:ascii="Montserrat" w:hAnsi="Montserrat"/>
        </w:rPr>
        <w:t>da lineamientos en materia de atención, prevención y erradicación de la violencia contra las mujeres, de manera directa y en coordinación y supervisión a los Estados y municipios.</w:t>
      </w:r>
    </w:p>
    <w:p w:rsidR="00DC2340" w:rsidRPr="000B76CE" w:rsidRDefault="00DC2340" w:rsidP="006B52ED">
      <w:pPr>
        <w:spacing w:after="0" w:line="240" w:lineRule="auto"/>
        <w:jc w:val="both"/>
        <w:rPr>
          <w:rFonts w:ascii="Montserrat" w:hAnsi="Montserrat"/>
        </w:rPr>
      </w:pPr>
    </w:p>
    <w:p w:rsidR="00E459CB" w:rsidRPr="000B76CE" w:rsidRDefault="00E459CB" w:rsidP="006B52ED">
      <w:pPr>
        <w:spacing w:after="0" w:line="240" w:lineRule="auto"/>
        <w:jc w:val="both"/>
        <w:rPr>
          <w:rFonts w:ascii="Montserrat" w:hAnsi="Montserrat"/>
        </w:rPr>
      </w:pPr>
      <w:r w:rsidRPr="000B76CE">
        <w:rPr>
          <w:rFonts w:ascii="Montserrat" w:hAnsi="Montserrat"/>
        </w:rPr>
        <w:t>Respecto a las pregunt</w:t>
      </w:r>
      <w:r w:rsidR="002E540C">
        <w:rPr>
          <w:rFonts w:ascii="Montserrat" w:hAnsi="Montserrat"/>
        </w:rPr>
        <w:t>as del r</w:t>
      </w:r>
      <w:r w:rsidR="00DC2340" w:rsidRPr="000B76CE">
        <w:rPr>
          <w:rFonts w:ascii="Montserrat" w:hAnsi="Montserrat"/>
        </w:rPr>
        <w:t>elator Rodríguez Pinzón, se aclara que n</w:t>
      </w:r>
      <w:r w:rsidRPr="000B76CE">
        <w:rPr>
          <w:rFonts w:ascii="Montserrat" w:hAnsi="Montserrat"/>
        </w:rPr>
        <w:t>o existe alerta de violencia de género en Chihuahua y/o Ciudad Juárez,</w:t>
      </w:r>
      <w:r w:rsidR="002E540C">
        <w:rPr>
          <w:rFonts w:ascii="Montserrat" w:hAnsi="Montserrat"/>
        </w:rPr>
        <w:t xml:space="preserve"> pero</w:t>
      </w:r>
      <w:r w:rsidRPr="000B76CE">
        <w:rPr>
          <w:rFonts w:ascii="Montserrat" w:hAnsi="Montserrat"/>
        </w:rPr>
        <w:t xml:space="preserve"> eso no quiere decir que no exista violencia</w:t>
      </w:r>
      <w:r w:rsidR="002E540C">
        <w:rPr>
          <w:rFonts w:ascii="Montserrat" w:hAnsi="Montserrat"/>
        </w:rPr>
        <w:t xml:space="preserve"> contra las mujeres, ni se minimice</w:t>
      </w:r>
      <w:r w:rsidRPr="000B76CE">
        <w:rPr>
          <w:rFonts w:ascii="Montserrat" w:hAnsi="Montserrat"/>
        </w:rPr>
        <w:t xml:space="preserve"> ningún tipo de violencia contra las mujeres. Sobre datos de feminicidio podemos decir que en 2018 se integraron y tipificaron 28 casos.</w:t>
      </w:r>
      <w:r w:rsidR="00DC2340" w:rsidRPr="000B76CE">
        <w:rPr>
          <w:rFonts w:ascii="Montserrat" w:hAnsi="Montserrat"/>
        </w:rPr>
        <w:t xml:space="preserve"> E</w:t>
      </w:r>
      <w:r w:rsidRPr="000B76CE">
        <w:rPr>
          <w:rFonts w:ascii="Montserrat" w:hAnsi="Montserrat"/>
        </w:rPr>
        <w:t>n Ciudad Juárez existe una Subcomisión desde 2004 y realiza acciones de colaboración en materia de violencia contra las mujeres en coordinación y promoción de los derechos humanos con el gobierno del Estado y autoridades del municipio de Ciudad Juárez.</w:t>
      </w:r>
      <w:r w:rsidR="00DC2340" w:rsidRPr="000B76CE">
        <w:rPr>
          <w:rFonts w:ascii="Montserrat" w:hAnsi="Montserrat"/>
        </w:rPr>
        <w:t xml:space="preserve"> </w:t>
      </w:r>
      <w:r w:rsidRPr="000B76CE">
        <w:rPr>
          <w:rFonts w:ascii="Montserrat" w:hAnsi="Montserrat"/>
        </w:rPr>
        <w:t>Además, participa y coordina varias actividades como:</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La mesa de Mujeres de Ciudad Juárez</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Mesa Justicia para nuestras hijas</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Centro para el Desarrollo de la Mujer</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Seguimiento al caso “Arroyo El Naranjo”, que culminó en sentencia de 5 de los 6 indiciados el 24 de julio de 2015</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Realiza actividades de prevención de la violencia en escuelas de Ciudad Juárez</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En conjunto con el municipio se aprobó en el Cabildo el Protocolo policial de atención a víctimas de violencia de género</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t>Se creó la Red Interinstitucional de apoyo a mujeres víctimas de violencia de género</w:t>
      </w:r>
    </w:p>
    <w:p w:rsidR="00E459CB" w:rsidRPr="000B76CE" w:rsidRDefault="00E459CB" w:rsidP="006B52ED">
      <w:pPr>
        <w:pStyle w:val="ListParagraph"/>
        <w:numPr>
          <w:ilvl w:val="0"/>
          <w:numId w:val="1"/>
        </w:numPr>
        <w:spacing w:after="0" w:line="240" w:lineRule="auto"/>
        <w:jc w:val="both"/>
        <w:rPr>
          <w:rFonts w:ascii="Montserrat" w:hAnsi="Montserrat"/>
        </w:rPr>
      </w:pPr>
      <w:r w:rsidRPr="000B76CE">
        <w:rPr>
          <w:rFonts w:ascii="Montserrat" w:hAnsi="Montserrat"/>
        </w:rPr>
        <w:lastRenderedPageBreak/>
        <w:t>Se trabaja junto con la asociación de maquiladoras en garantizar transporte público seguro que ha capacitado a 1098 hombres y 26 mujeres</w:t>
      </w:r>
    </w:p>
    <w:p w:rsidR="00E459CB" w:rsidRPr="000B76CE" w:rsidRDefault="00E459CB" w:rsidP="006B52ED">
      <w:pPr>
        <w:spacing w:after="0" w:line="240" w:lineRule="auto"/>
        <w:rPr>
          <w:rFonts w:ascii="Montserrat" w:hAnsi="Montserrat"/>
        </w:rPr>
      </w:pPr>
    </w:p>
    <w:p w:rsidR="00DC2340" w:rsidRPr="000B76CE" w:rsidRDefault="00DC2340" w:rsidP="006B52ED">
      <w:pPr>
        <w:spacing w:after="0" w:line="240" w:lineRule="auto"/>
        <w:rPr>
          <w:rFonts w:ascii="Montserrat" w:eastAsiaTheme="minorHAnsi" w:hAnsi="Montserrat" w:cstheme="minorBidi"/>
          <w:b/>
        </w:rPr>
      </w:pPr>
      <w:r w:rsidRPr="000B76CE">
        <w:rPr>
          <w:rFonts w:ascii="Montserrat" w:eastAsiaTheme="minorHAnsi" w:hAnsi="Montserrat" w:cstheme="minorBidi"/>
          <w:b/>
        </w:rPr>
        <w:t>Encuesta Nacional de Población Privada de Libertad (ENPOL)</w:t>
      </w:r>
    </w:p>
    <w:p w:rsidR="00DC2340" w:rsidRPr="000B76CE" w:rsidRDefault="00DC2340" w:rsidP="006B52ED">
      <w:pPr>
        <w:spacing w:after="0" w:line="240" w:lineRule="auto"/>
        <w:rPr>
          <w:rFonts w:ascii="Montserrat" w:eastAsiaTheme="minorHAnsi" w:hAnsi="Montserrat" w:cstheme="minorBidi"/>
        </w:rPr>
      </w:pPr>
    </w:p>
    <w:p w:rsidR="00DC2340" w:rsidRPr="000B76CE" w:rsidRDefault="00DC2340" w:rsidP="00DC2340">
      <w:pPr>
        <w:spacing w:line="259" w:lineRule="auto"/>
        <w:ind w:right="49"/>
        <w:jc w:val="both"/>
        <w:rPr>
          <w:rFonts w:ascii="Montserrat" w:eastAsiaTheme="minorHAnsi" w:hAnsi="Montserrat" w:cstheme="minorBidi"/>
        </w:rPr>
      </w:pPr>
      <w:r w:rsidRPr="000B76CE">
        <w:rPr>
          <w:rFonts w:ascii="Montserrat" w:eastAsiaTheme="minorHAnsi" w:hAnsi="Montserrat" w:cstheme="minorBidi"/>
        </w:rPr>
        <w:t>Sobre la Encuesta Nacional de Población Privada de Libertad (ENPOL), el Gobierno mexicano tiene total disposición para que dicha encuesta se lleve a cabo</w:t>
      </w:r>
      <w:r w:rsidR="002E540C">
        <w:rPr>
          <w:rFonts w:ascii="Montserrat" w:eastAsiaTheme="minorHAnsi" w:hAnsi="Montserrat" w:cstheme="minorBidi"/>
        </w:rPr>
        <w:t>. Se aclara que no</w:t>
      </w:r>
      <w:r w:rsidRPr="000B76CE">
        <w:rPr>
          <w:rFonts w:ascii="Montserrat" w:eastAsiaTheme="minorHAnsi" w:hAnsi="Montserrat" w:cstheme="minorBidi"/>
        </w:rPr>
        <w:t xml:space="preserve"> existe mandato o instrucción </w:t>
      </w:r>
      <w:r w:rsidR="002E540C">
        <w:rPr>
          <w:rFonts w:ascii="Montserrat" w:eastAsiaTheme="minorHAnsi" w:hAnsi="Montserrat" w:cstheme="minorBidi"/>
        </w:rPr>
        <w:t>en sentido de que no se realice;</w:t>
      </w:r>
      <w:r w:rsidRPr="000B76CE">
        <w:rPr>
          <w:rFonts w:ascii="Montserrat" w:eastAsiaTheme="minorHAnsi" w:hAnsi="Montserrat" w:cstheme="minorBidi"/>
        </w:rPr>
        <w:t xml:space="preserve"> no obstante, su ejecución depende del Instituto Nacional de Estadística (INEGI), quien determina, como organismo autónomo, a través de su Junta de </w:t>
      </w:r>
      <w:proofErr w:type="gramStart"/>
      <w:r w:rsidRPr="000B76CE">
        <w:rPr>
          <w:rFonts w:ascii="Montserrat" w:eastAsiaTheme="minorHAnsi" w:hAnsi="Montserrat" w:cstheme="minorBidi"/>
        </w:rPr>
        <w:t>Gobierno,  las</w:t>
      </w:r>
      <w:proofErr w:type="gramEnd"/>
      <w:r w:rsidRPr="000B76CE">
        <w:rPr>
          <w:rFonts w:ascii="Montserrat" w:eastAsiaTheme="minorHAnsi" w:hAnsi="Montserrat" w:cstheme="minorBidi"/>
        </w:rPr>
        <w:t xml:space="preserve"> encuestas a realizarse. </w:t>
      </w:r>
    </w:p>
    <w:p w:rsidR="00DC2340" w:rsidRPr="000B76CE" w:rsidRDefault="00DC2340" w:rsidP="00DC2340">
      <w:pPr>
        <w:ind w:right="49"/>
        <w:jc w:val="both"/>
        <w:rPr>
          <w:rFonts w:ascii="Montserrat" w:eastAsiaTheme="minorHAnsi" w:hAnsi="Montserrat" w:cstheme="minorBidi"/>
        </w:rPr>
      </w:pPr>
      <w:r w:rsidRPr="000B76CE">
        <w:rPr>
          <w:rFonts w:ascii="Montserrat" w:eastAsiaTheme="minorHAnsi" w:hAnsi="Montserrat" w:cstheme="minorBidi"/>
        </w:rPr>
        <w:t xml:space="preserve">No </w:t>
      </w:r>
      <w:proofErr w:type="gramStart"/>
      <w:r w:rsidRPr="000B76CE">
        <w:rPr>
          <w:rFonts w:ascii="Montserrat" w:eastAsiaTheme="minorHAnsi" w:hAnsi="Montserrat" w:cstheme="minorBidi"/>
        </w:rPr>
        <w:t>obstante</w:t>
      </w:r>
      <w:proofErr w:type="gramEnd"/>
      <w:r w:rsidRPr="000B76CE">
        <w:rPr>
          <w:rFonts w:ascii="Montserrat" w:eastAsiaTheme="minorHAnsi" w:hAnsi="Montserrat" w:cstheme="minorBidi"/>
        </w:rPr>
        <w:t xml:space="preserve"> lo anterior, como se señaló en la sustentación, el Estado mexicano, en tanto la ENPOL se realiza, aplicada cada año un diagnóstico nacional penitenciario a través de la Comisión Nacional de los Derechos Humanos. Este diagnóstico también arroja datos cualitativos y cuantitativos sobre la situación de vida de las personas en prisión. </w:t>
      </w:r>
    </w:p>
    <w:p w:rsidR="00DC2340" w:rsidRPr="000B76CE" w:rsidRDefault="00DC2340" w:rsidP="00DC2340">
      <w:pPr>
        <w:ind w:right="49"/>
        <w:jc w:val="both"/>
        <w:rPr>
          <w:rFonts w:ascii="Montserrat" w:eastAsiaTheme="minorHAnsi" w:hAnsi="Montserrat" w:cstheme="minorBidi"/>
        </w:rPr>
      </w:pPr>
      <w:r w:rsidRPr="000B76CE">
        <w:rPr>
          <w:rFonts w:ascii="Montserrat" w:eastAsiaTheme="minorHAnsi" w:hAnsi="Montserrat" w:cstheme="minorBidi"/>
        </w:rPr>
        <w:t>Para este diagnóstico se aplican</w:t>
      </w:r>
      <w:r w:rsidR="002E540C">
        <w:rPr>
          <w:rFonts w:ascii="Montserrat" w:eastAsiaTheme="minorHAnsi" w:hAnsi="Montserrat" w:cstheme="minorBidi"/>
        </w:rPr>
        <w:t>,</w:t>
      </w:r>
      <w:r w:rsidRPr="000B76CE">
        <w:rPr>
          <w:rFonts w:ascii="Montserrat" w:eastAsiaTheme="minorHAnsi" w:hAnsi="Montserrat" w:cstheme="minorBidi"/>
        </w:rPr>
        <w:t xml:space="preserve"> en todas las cárceles del país federales y estatales</w:t>
      </w:r>
      <w:r w:rsidR="002E540C">
        <w:rPr>
          <w:rFonts w:ascii="Montserrat" w:eastAsiaTheme="minorHAnsi" w:hAnsi="Montserrat" w:cstheme="minorBidi"/>
        </w:rPr>
        <w:t>,</w:t>
      </w:r>
      <w:r w:rsidRPr="000B76CE">
        <w:rPr>
          <w:rFonts w:ascii="Montserrat" w:eastAsiaTheme="minorHAnsi" w:hAnsi="Montserrat" w:cstheme="minorBidi"/>
        </w:rPr>
        <w:t xml:space="preserve"> cuestionarios a autoridades penitenciarias, personal de custodia, personas reclusas e incluso familiares, apoyados en las valoraciones que hacen in situ sobre las condiciones físicas y materiales de todos los centros de reclusión.  </w:t>
      </w:r>
    </w:p>
    <w:p w:rsidR="00DC2340" w:rsidRPr="000B76CE" w:rsidRDefault="00DC2340" w:rsidP="00DC2340">
      <w:pPr>
        <w:ind w:right="49"/>
        <w:jc w:val="both"/>
        <w:rPr>
          <w:rFonts w:ascii="Montserrat" w:eastAsiaTheme="minorHAnsi" w:hAnsi="Montserrat" w:cstheme="minorBidi"/>
        </w:rPr>
      </w:pPr>
      <w:r w:rsidRPr="000B76CE">
        <w:rPr>
          <w:rFonts w:ascii="Montserrat" w:eastAsiaTheme="minorHAnsi" w:hAnsi="Montserrat" w:cstheme="minorBidi"/>
        </w:rPr>
        <w:t>Asimismo</w:t>
      </w:r>
      <w:r w:rsidR="002E540C">
        <w:rPr>
          <w:rFonts w:ascii="Montserrat" w:eastAsiaTheme="minorHAnsi" w:hAnsi="Montserrat" w:cstheme="minorBidi"/>
        </w:rPr>
        <w:t>,</w:t>
      </w:r>
      <w:r w:rsidRPr="000B76CE">
        <w:rPr>
          <w:rFonts w:ascii="Montserrat" w:eastAsiaTheme="minorHAnsi" w:hAnsi="Montserrat" w:cstheme="minorBidi"/>
        </w:rPr>
        <w:t xml:space="preserve"> el Estado mexicano cuenta con la información generada por los Censos Nacionales de Gobierno, Seguridad Pública y Sistema Penitenciario realizados por el propio INEGI, así como la información Estadística Penitenciaria Nacional, generada por la Secretaría de Seguridad Pública y Protección Ciudadana. </w:t>
      </w:r>
    </w:p>
    <w:p w:rsidR="00DC2340" w:rsidRPr="000B76CE" w:rsidRDefault="00DC2340" w:rsidP="00DC2340">
      <w:pPr>
        <w:ind w:right="49"/>
        <w:jc w:val="both"/>
        <w:rPr>
          <w:rFonts w:ascii="Montserrat" w:eastAsiaTheme="minorHAnsi" w:hAnsi="Montserrat" w:cstheme="minorBidi"/>
        </w:rPr>
      </w:pPr>
      <w:r w:rsidRPr="000B76CE">
        <w:rPr>
          <w:rFonts w:ascii="Montserrat" w:eastAsiaTheme="minorHAnsi" w:hAnsi="Montserrat" w:cstheme="minorBidi"/>
        </w:rPr>
        <w:t>Adicionalmente las comisiones estatales de derechos humanos realizan diagnósticos a profundidad sobre condiciones de vida en internamiento.</w:t>
      </w:r>
    </w:p>
    <w:p w:rsidR="00934B25" w:rsidRPr="000B76CE" w:rsidRDefault="00934B25" w:rsidP="00934B25">
      <w:pPr>
        <w:spacing w:line="259" w:lineRule="auto"/>
        <w:ind w:right="49"/>
        <w:jc w:val="both"/>
        <w:rPr>
          <w:rFonts w:ascii="Montserrat" w:eastAsiaTheme="minorHAnsi" w:hAnsi="Montserrat" w:cstheme="minorBidi"/>
          <w:b/>
        </w:rPr>
      </w:pPr>
      <w:r w:rsidRPr="000B76CE">
        <w:rPr>
          <w:rFonts w:ascii="Montserrat" w:eastAsiaTheme="minorHAnsi" w:hAnsi="Montserrat" w:cstheme="minorBidi"/>
          <w:b/>
        </w:rPr>
        <w:t>Cumplimiento de sentencia Mujeres Víctimas de Tortura Sexual en Atenco</w:t>
      </w:r>
    </w:p>
    <w:p w:rsidR="00934B25" w:rsidRPr="000B76CE" w:rsidRDefault="00934B25" w:rsidP="00934B25">
      <w:pPr>
        <w:spacing w:after="0" w:line="240" w:lineRule="auto"/>
        <w:ind w:right="51"/>
        <w:jc w:val="both"/>
        <w:rPr>
          <w:rFonts w:ascii="Montserrat" w:eastAsiaTheme="minorHAnsi" w:hAnsi="Montserrat" w:cstheme="minorBidi"/>
        </w:rPr>
      </w:pPr>
      <w:r w:rsidRPr="000B76CE">
        <w:rPr>
          <w:rFonts w:ascii="Montserrat" w:eastAsiaTheme="minorHAnsi" w:hAnsi="Montserrat" w:cstheme="minorBidi"/>
        </w:rPr>
        <w:t xml:space="preserve">Sobre las medidas que se están implementando para el cumplimiento de la </w:t>
      </w:r>
      <w:proofErr w:type="gramStart"/>
      <w:r w:rsidRPr="000B76CE">
        <w:rPr>
          <w:rFonts w:ascii="Montserrat" w:eastAsiaTheme="minorHAnsi" w:hAnsi="Montserrat" w:cstheme="minorBidi"/>
        </w:rPr>
        <w:t>sentencia  “</w:t>
      </w:r>
      <w:proofErr w:type="gramEnd"/>
      <w:r w:rsidRPr="000B76CE">
        <w:rPr>
          <w:rFonts w:ascii="Montserrat" w:eastAsiaTheme="minorHAnsi" w:hAnsi="Montserrat" w:cstheme="minorBidi"/>
        </w:rPr>
        <w:t xml:space="preserve">Mujeres Víctimas de Tortura Sexual en Atenco”, se han celebrado dos reuniones para la organización del cumplimiento de los resolutivos. En la última mesa de trabajo refrendaron el cumplimiento de la sentencia las y los titulares de los organismos y dependencias que, por atribuciones, tienen alguna tarea que ejecutar, en consecuencia se está trabajando en la investigación de las responsabilidades penales, reparación del daño y garantías de no repetición, muy particularmente me refiero a la Comisión Nacional para la Atención y Erradicación de la Violencia contra las Mujeres, quien ya presentó una iniciativa al legislativo para que se tipifique como delito autónomo la tortura sexual; además se está trabajando en coordinación con la Policía del Estado de México y la Policía Federal para revisar, de manera conjunta sus protocolos de actuación y los programas de capacitación para asegurar que tengan perspectiva de género trasversal. Adicionalmente se inició el diagnóstico para ubicar a mujeres reclusas que hayan señalado haber sido víctimas de tortura sexual. </w:t>
      </w:r>
    </w:p>
    <w:p w:rsidR="00934B25" w:rsidRPr="000B76CE" w:rsidRDefault="00934B25" w:rsidP="00934B25">
      <w:pPr>
        <w:spacing w:after="0" w:line="240" w:lineRule="auto"/>
        <w:ind w:right="51"/>
        <w:jc w:val="both"/>
        <w:rPr>
          <w:rFonts w:ascii="Montserrat" w:eastAsiaTheme="minorHAnsi" w:hAnsi="Montserrat" w:cstheme="minorBidi"/>
        </w:rPr>
      </w:pPr>
    </w:p>
    <w:p w:rsidR="00934B25" w:rsidRPr="000B76CE" w:rsidRDefault="00934B25" w:rsidP="00934B25">
      <w:pPr>
        <w:spacing w:after="0" w:line="240" w:lineRule="auto"/>
        <w:ind w:right="51"/>
        <w:jc w:val="both"/>
        <w:rPr>
          <w:rFonts w:ascii="Montserrat" w:eastAsiaTheme="minorHAnsi" w:hAnsi="Montserrat" w:cstheme="minorBidi"/>
        </w:rPr>
      </w:pPr>
      <w:r w:rsidRPr="000B76CE">
        <w:rPr>
          <w:rFonts w:ascii="Montserrat" w:eastAsiaTheme="minorHAnsi" w:hAnsi="Montserrat" w:cstheme="minorBidi"/>
        </w:rPr>
        <w:t>Sobre la investigación y sanción a los responsables del caso Valentina Rosendo Cantú, el 1° de junio de 2018, se dictó sentencia condenatoria contra dos personas por el delito de violación y tortura, con una pena de diecinueve años cinco meses un día de prisión si bien interpusieron recurso de apelación, los tribunales del país confirmaron la sentencia condenatoria.  En el caso de Inés Fernández Ortega uno de los enjuiciados falleció, por lo que la acción penal se extinguió, pero hay otro proceso abierto en el que se investiga tortura y violación, entre otros delitos.</w:t>
      </w:r>
    </w:p>
    <w:p w:rsidR="00934B25" w:rsidRPr="000B76CE" w:rsidRDefault="00934B25" w:rsidP="00934B25">
      <w:pPr>
        <w:spacing w:after="0" w:line="240" w:lineRule="auto"/>
        <w:ind w:right="51"/>
        <w:jc w:val="both"/>
        <w:rPr>
          <w:rFonts w:ascii="Montserrat" w:eastAsiaTheme="minorHAnsi" w:hAnsi="Montserrat" w:cstheme="minorBidi"/>
        </w:rPr>
      </w:pPr>
    </w:p>
    <w:p w:rsidR="00934B25" w:rsidRDefault="00934B25" w:rsidP="00934B25">
      <w:pPr>
        <w:spacing w:after="0" w:line="240" w:lineRule="auto"/>
        <w:ind w:right="51"/>
        <w:jc w:val="both"/>
        <w:rPr>
          <w:rFonts w:ascii="Montserrat" w:eastAsiaTheme="minorHAnsi" w:hAnsi="Montserrat" w:cstheme="minorBidi"/>
        </w:rPr>
      </w:pPr>
      <w:r w:rsidRPr="000B76CE">
        <w:rPr>
          <w:rFonts w:ascii="Montserrat" w:eastAsiaTheme="minorHAnsi" w:hAnsi="Montserrat" w:cstheme="minorBidi"/>
        </w:rPr>
        <w:t xml:space="preserve">En ambos procesos penales, se han garantizado los derechos de las mujeres indígenas </w:t>
      </w:r>
      <w:proofErr w:type="spellStart"/>
      <w:r w:rsidRPr="000B76CE">
        <w:rPr>
          <w:rFonts w:ascii="Montserrat" w:eastAsiaTheme="minorHAnsi" w:hAnsi="Montserrat" w:cstheme="minorBidi"/>
        </w:rPr>
        <w:t>Tlapanecas</w:t>
      </w:r>
      <w:proofErr w:type="spellEnd"/>
      <w:r w:rsidRPr="000B76CE">
        <w:rPr>
          <w:rFonts w:ascii="Montserrat" w:eastAsiaTheme="minorHAnsi" w:hAnsi="Montserrat" w:cstheme="minorBidi"/>
        </w:rPr>
        <w:t xml:space="preserve"> agraviadas.</w:t>
      </w:r>
    </w:p>
    <w:p w:rsidR="002E540C" w:rsidRDefault="002E540C" w:rsidP="00934B25">
      <w:pPr>
        <w:spacing w:after="0" w:line="240" w:lineRule="auto"/>
        <w:ind w:right="51"/>
        <w:jc w:val="both"/>
        <w:rPr>
          <w:rFonts w:ascii="Montserrat" w:eastAsiaTheme="minorHAnsi" w:hAnsi="Montserrat" w:cstheme="minorBidi"/>
        </w:rPr>
      </w:pPr>
    </w:p>
    <w:p w:rsidR="002E540C" w:rsidRPr="000B76CE" w:rsidRDefault="002E540C" w:rsidP="00934B25">
      <w:pPr>
        <w:spacing w:after="0" w:line="240" w:lineRule="auto"/>
        <w:ind w:right="51"/>
        <w:jc w:val="both"/>
        <w:rPr>
          <w:rFonts w:ascii="Montserrat" w:eastAsiaTheme="minorHAnsi" w:hAnsi="Montserrat" w:cstheme="minorBidi"/>
        </w:rPr>
      </w:pPr>
      <w:r>
        <w:rPr>
          <w:rFonts w:ascii="Montserrat" w:eastAsiaTheme="minorHAnsi" w:hAnsi="Montserrat" w:cstheme="minorBidi"/>
        </w:rPr>
        <w:t xml:space="preserve">El cumplimiento de cada uno de los resolutivos de estas tres sentencias se informa oportunamente a la propia Corte Interamericana de Derechos Humanos. </w:t>
      </w:r>
    </w:p>
    <w:p w:rsidR="00DC2340" w:rsidRPr="000B76CE" w:rsidRDefault="00DC2340" w:rsidP="006B52ED">
      <w:pPr>
        <w:spacing w:after="0" w:line="240" w:lineRule="auto"/>
        <w:rPr>
          <w:rFonts w:ascii="Montserrat" w:hAnsi="Montserrat"/>
        </w:rPr>
      </w:pPr>
    </w:p>
    <w:p w:rsidR="00934B25" w:rsidRPr="000B76CE" w:rsidRDefault="00934B25" w:rsidP="00934B25">
      <w:pPr>
        <w:spacing w:line="259" w:lineRule="auto"/>
        <w:ind w:right="49"/>
        <w:jc w:val="both"/>
        <w:rPr>
          <w:rFonts w:ascii="Montserrat" w:eastAsiaTheme="minorHAnsi" w:hAnsi="Montserrat" w:cstheme="minorBidi"/>
          <w:b/>
        </w:rPr>
      </w:pPr>
      <w:r w:rsidRPr="000B76CE">
        <w:rPr>
          <w:rFonts w:ascii="Montserrat" w:eastAsiaTheme="minorHAnsi" w:hAnsi="Montserrat" w:cstheme="minorBidi"/>
          <w:b/>
        </w:rPr>
        <w:t>Caso Daniel García</w:t>
      </w:r>
    </w:p>
    <w:p w:rsidR="00934B25" w:rsidRPr="000B76CE" w:rsidRDefault="00934B25" w:rsidP="00934B25">
      <w:pPr>
        <w:spacing w:line="259" w:lineRule="auto"/>
        <w:ind w:right="49"/>
        <w:jc w:val="both"/>
        <w:rPr>
          <w:rFonts w:ascii="Montserrat" w:eastAsiaTheme="minorHAnsi" w:hAnsi="Montserrat" w:cstheme="minorBidi"/>
        </w:rPr>
      </w:pPr>
      <w:r w:rsidRPr="000B76CE">
        <w:rPr>
          <w:rFonts w:ascii="Montserrat" w:eastAsiaTheme="minorHAnsi" w:hAnsi="Montserrat" w:cstheme="minorBidi"/>
        </w:rPr>
        <w:t xml:space="preserve">Sobre el caso de Daniel García </w:t>
      </w:r>
      <w:proofErr w:type="gramStart"/>
      <w:r w:rsidRPr="000B76CE">
        <w:rPr>
          <w:rFonts w:ascii="Montserrat" w:eastAsiaTheme="minorHAnsi" w:hAnsi="Montserrat" w:cstheme="minorBidi"/>
        </w:rPr>
        <w:t>Rodríguez  y</w:t>
      </w:r>
      <w:proofErr w:type="gramEnd"/>
      <w:r w:rsidRPr="000B76CE">
        <w:rPr>
          <w:rFonts w:ascii="Montserrat" w:eastAsiaTheme="minorHAnsi" w:hAnsi="Montserrat" w:cstheme="minorBidi"/>
        </w:rPr>
        <w:t xml:space="preserve"> Reyes </w:t>
      </w:r>
      <w:proofErr w:type="spellStart"/>
      <w:r w:rsidRPr="000B76CE">
        <w:rPr>
          <w:rFonts w:ascii="Montserrat" w:eastAsiaTheme="minorHAnsi" w:hAnsi="Montserrat" w:cstheme="minorBidi"/>
        </w:rPr>
        <w:t>Alpizar</w:t>
      </w:r>
      <w:proofErr w:type="spellEnd"/>
      <w:r w:rsidRPr="000B76CE">
        <w:rPr>
          <w:rFonts w:ascii="Montserrat" w:eastAsiaTheme="minorHAnsi" w:hAnsi="Montserrat" w:cstheme="minorBidi"/>
        </w:rPr>
        <w:t xml:space="preserve">, en el marco de las atribuciones </w:t>
      </w:r>
      <w:r w:rsidR="00A17587">
        <w:rPr>
          <w:rFonts w:ascii="Montserrat" w:eastAsiaTheme="minorHAnsi" w:hAnsi="Montserrat" w:cstheme="minorBidi"/>
        </w:rPr>
        <w:t>ante el asunto en</w:t>
      </w:r>
      <w:r w:rsidRPr="000B76CE">
        <w:rPr>
          <w:rFonts w:ascii="Montserrat" w:eastAsiaTheme="minorHAnsi" w:hAnsi="Montserrat" w:cstheme="minorBidi"/>
        </w:rPr>
        <w:t xml:space="preserve"> la Comisión Interamericana de Derechos Humanos, el Estado mexicano está en un proceso de diálogo con su representación para la posible firma de un acuerdo de solución amistosa</w:t>
      </w:r>
      <w:r w:rsidR="00A17587">
        <w:rPr>
          <w:rFonts w:ascii="Montserrat" w:eastAsiaTheme="minorHAnsi" w:hAnsi="Montserrat" w:cstheme="minorBidi"/>
        </w:rPr>
        <w:t>,</w:t>
      </w:r>
      <w:r w:rsidRPr="000B76CE">
        <w:rPr>
          <w:rFonts w:ascii="Montserrat" w:eastAsiaTheme="minorHAnsi" w:hAnsi="Montserrat" w:cstheme="minorBidi"/>
        </w:rPr>
        <w:t xml:space="preserve"> que incluye su liberación, para lo cual desde la Secretaría de Gobernación ya se realizan diversas gestiones. </w:t>
      </w:r>
    </w:p>
    <w:p w:rsidR="00465936" w:rsidRPr="000B76CE" w:rsidRDefault="00465936" w:rsidP="00465936">
      <w:pPr>
        <w:rPr>
          <w:rFonts w:ascii="Montserrat" w:hAnsi="Montserrat"/>
          <w:b/>
        </w:rPr>
      </w:pPr>
      <w:r w:rsidRPr="000B76CE">
        <w:rPr>
          <w:rFonts w:ascii="Montserrat" w:hAnsi="Montserrat"/>
          <w:b/>
        </w:rPr>
        <w:t>Facultades del Ministerio Público en México</w:t>
      </w:r>
    </w:p>
    <w:p w:rsidR="00465936" w:rsidRPr="000B76CE" w:rsidRDefault="00465936" w:rsidP="00465936">
      <w:pPr>
        <w:jc w:val="both"/>
        <w:rPr>
          <w:rFonts w:ascii="Montserrat" w:hAnsi="Montserrat"/>
        </w:rPr>
      </w:pPr>
      <w:r w:rsidRPr="000B76CE">
        <w:rPr>
          <w:rFonts w:ascii="Montserrat" w:hAnsi="Montserrat"/>
        </w:rPr>
        <w:t xml:space="preserve">Respecto a la pregunta de la experta </w:t>
      </w:r>
      <w:proofErr w:type="spellStart"/>
      <w:r w:rsidRPr="000B76CE">
        <w:rPr>
          <w:rFonts w:ascii="Montserrat" w:hAnsi="Montserrat"/>
        </w:rPr>
        <w:t>Belmir</w:t>
      </w:r>
      <w:proofErr w:type="spellEnd"/>
      <w:r w:rsidRPr="000B76CE">
        <w:rPr>
          <w:rFonts w:ascii="Montserrat" w:hAnsi="Montserrat"/>
        </w:rPr>
        <w:t xml:space="preserve"> sobre las</w:t>
      </w:r>
      <w:r w:rsidR="00A17587">
        <w:rPr>
          <w:rFonts w:ascii="Montserrat" w:hAnsi="Montserrat"/>
        </w:rPr>
        <w:t xml:space="preserve"> facultades y limitaciones del Ministerio P</w:t>
      </w:r>
      <w:r w:rsidRPr="000B76CE">
        <w:rPr>
          <w:rFonts w:ascii="Montserrat" w:hAnsi="Montserrat"/>
        </w:rPr>
        <w:t xml:space="preserve">úblico, se señala que para comprender las facultades y limitaciones que tienen los agentes del ministerio público es necesario remontarse a las siguientes legislaciones vigentes en México: </w:t>
      </w:r>
    </w:p>
    <w:p w:rsidR="00465936" w:rsidRPr="000B76CE" w:rsidRDefault="00465936" w:rsidP="00465936">
      <w:pPr>
        <w:pStyle w:val="ListParagraph"/>
        <w:numPr>
          <w:ilvl w:val="0"/>
          <w:numId w:val="13"/>
        </w:numPr>
        <w:spacing w:line="259" w:lineRule="auto"/>
        <w:jc w:val="both"/>
        <w:rPr>
          <w:rFonts w:ascii="Montserrat" w:hAnsi="Montserrat"/>
        </w:rPr>
      </w:pPr>
      <w:r w:rsidRPr="000B76CE">
        <w:rPr>
          <w:rFonts w:ascii="Montserrat" w:hAnsi="Montserrat"/>
        </w:rPr>
        <w:t>Constitución Política de los Estados Unidos Mexicanos: Debido proceso, proceso penal acusatorio y acceso a la justicia: artículos 16, 17, 18, 19, 20 y 23; facultades genéricas del Ministerio Público: artículo 21; creación de la Fiscalía General del República: artículo 102 apartado A.</w:t>
      </w:r>
      <w:r w:rsidRPr="000B76CE">
        <w:rPr>
          <w:rStyle w:val="FootnoteReference"/>
          <w:rFonts w:ascii="Montserrat" w:hAnsi="Montserrat"/>
        </w:rPr>
        <w:footnoteReference w:id="8"/>
      </w:r>
      <w:r w:rsidRPr="000B76CE">
        <w:rPr>
          <w:rFonts w:ascii="Montserrat" w:hAnsi="Montserrat"/>
        </w:rPr>
        <w:t xml:space="preserve"> </w:t>
      </w:r>
    </w:p>
    <w:p w:rsidR="00465936" w:rsidRPr="000B76CE" w:rsidRDefault="00465936" w:rsidP="00465936">
      <w:pPr>
        <w:pStyle w:val="ListParagraph"/>
        <w:numPr>
          <w:ilvl w:val="0"/>
          <w:numId w:val="13"/>
        </w:numPr>
        <w:spacing w:line="259" w:lineRule="auto"/>
        <w:jc w:val="both"/>
        <w:rPr>
          <w:rFonts w:ascii="Montserrat" w:hAnsi="Montserrat"/>
        </w:rPr>
      </w:pPr>
      <w:r w:rsidRPr="000B76CE">
        <w:rPr>
          <w:rFonts w:ascii="Montserrat" w:hAnsi="Montserrat"/>
        </w:rPr>
        <w:t>Código Nacional de Procedimientos Penales.</w:t>
      </w:r>
      <w:r w:rsidRPr="000B76CE">
        <w:rPr>
          <w:rStyle w:val="FootnoteReference"/>
          <w:rFonts w:ascii="Montserrat" w:hAnsi="Montserrat"/>
        </w:rPr>
        <w:footnoteReference w:id="9"/>
      </w:r>
    </w:p>
    <w:p w:rsidR="00465936" w:rsidRPr="000B76CE" w:rsidRDefault="00465936" w:rsidP="00465936">
      <w:pPr>
        <w:pStyle w:val="ListParagraph"/>
        <w:numPr>
          <w:ilvl w:val="0"/>
          <w:numId w:val="13"/>
        </w:numPr>
        <w:spacing w:line="259" w:lineRule="auto"/>
        <w:jc w:val="both"/>
        <w:rPr>
          <w:rFonts w:ascii="Montserrat" w:hAnsi="Montserrat"/>
        </w:rPr>
      </w:pPr>
      <w:r w:rsidRPr="000B76CE">
        <w:rPr>
          <w:rFonts w:ascii="Montserrat" w:hAnsi="Montserrat"/>
        </w:rPr>
        <w:t>Ley Orgánica de la Fiscalía General de la República.</w:t>
      </w:r>
      <w:r w:rsidRPr="000B76CE">
        <w:rPr>
          <w:rStyle w:val="FootnoteReference"/>
          <w:rFonts w:ascii="Montserrat" w:hAnsi="Montserrat"/>
        </w:rPr>
        <w:footnoteReference w:id="10"/>
      </w:r>
    </w:p>
    <w:p w:rsidR="00465936" w:rsidRPr="000B76CE" w:rsidRDefault="00465936" w:rsidP="00465936">
      <w:pPr>
        <w:pStyle w:val="ListParagraph"/>
        <w:numPr>
          <w:ilvl w:val="0"/>
          <w:numId w:val="13"/>
        </w:numPr>
        <w:spacing w:line="259" w:lineRule="auto"/>
        <w:jc w:val="both"/>
        <w:rPr>
          <w:rFonts w:ascii="Montserrat" w:hAnsi="Montserrat"/>
        </w:rPr>
      </w:pPr>
      <w:r w:rsidRPr="000B76CE">
        <w:rPr>
          <w:rFonts w:ascii="Montserrat" w:hAnsi="Montserrat"/>
        </w:rPr>
        <w:lastRenderedPageBreak/>
        <w:t>Ley General para Prevenir y Sancionar la Tortura y otros Malos Tratos</w:t>
      </w:r>
      <w:r w:rsidRPr="000B76CE">
        <w:rPr>
          <w:rStyle w:val="FootnoteReference"/>
          <w:rFonts w:ascii="Montserrat" w:hAnsi="Montserrat"/>
        </w:rPr>
        <w:footnoteReference w:id="11"/>
      </w:r>
      <w:r w:rsidRPr="000B76CE">
        <w:rPr>
          <w:rFonts w:ascii="Montserrat" w:hAnsi="Montserrat"/>
        </w:rPr>
        <w:t xml:space="preserve"> y la guía básica para entender la Ley General que fue elaborada por </w:t>
      </w:r>
      <w:r w:rsidRPr="000B76CE">
        <w:rPr>
          <w:rFonts w:ascii="Montserrat" w:hAnsi="Montserrat"/>
          <w:i/>
        </w:rPr>
        <w:t>USAID, GIZ, Enfoque DH y la OACNUDH</w:t>
      </w:r>
      <w:r w:rsidRPr="000B76CE">
        <w:rPr>
          <w:rStyle w:val="FootnoteReference"/>
          <w:rFonts w:ascii="Montserrat" w:hAnsi="Montserrat"/>
        </w:rPr>
        <w:footnoteReference w:id="12"/>
      </w:r>
      <w:r w:rsidRPr="000B76CE">
        <w:rPr>
          <w:rFonts w:ascii="Montserrat" w:hAnsi="Montserrat"/>
        </w:rPr>
        <w:t xml:space="preserve">. </w:t>
      </w:r>
    </w:p>
    <w:p w:rsidR="00465936" w:rsidRPr="000B76CE" w:rsidRDefault="00465936" w:rsidP="00465936">
      <w:pPr>
        <w:pStyle w:val="ListParagraph"/>
        <w:numPr>
          <w:ilvl w:val="0"/>
          <w:numId w:val="13"/>
        </w:numPr>
        <w:spacing w:line="259" w:lineRule="auto"/>
        <w:jc w:val="both"/>
        <w:rPr>
          <w:rFonts w:ascii="Montserrat" w:hAnsi="Montserrat"/>
        </w:rPr>
      </w:pPr>
      <w:r w:rsidRPr="000B76CE">
        <w:rPr>
          <w:rFonts w:ascii="Montserrat" w:hAnsi="Montserrat"/>
        </w:rPr>
        <w:t>Versión revisada del Protocolo Homologado para la Investigación del Delito de Tortura.</w:t>
      </w:r>
      <w:r w:rsidRPr="000B76CE">
        <w:rPr>
          <w:rStyle w:val="FootnoteReference"/>
          <w:rFonts w:ascii="Montserrat" w:hAnsi="Montserrat"/>
          <w:vertAlign w:val="superscript"/>
        </w:rPr>
        <w:footnoteReference w:id="13"/>
      </w:r>
    </w:p>
    <w:p w:rsidR="005F3DAF" w:rsidRPr="000B76CE" w:rsidRDefault="005F3DAF" w:rsidP="006B52ED">
      <w:pPr>
        <w:spacing w:after="0" w:line="240" w:lineRule="auto"/>
        <w:rPr>
          <w:rFonts w:ascii="Montserrat" w:hAnsi="Montserrat"/>
          <w:b/>
        </w:rPr>
      </w:pPr>
    </w:p>
    <w:p w:rsidR="00934B25" w:rsidRPr="000B76CE" w:rsidRDefault="005F3DAF" w:rsidP="006B52ED">
      <w:pPr>
        <w:spacing w:after="0" w:line="240" w:lineRule="auto"/>
        <w:rPr>
          <w:rFonts w:ascii="Montserrat" w:hAnsi="Montserrat"/>
          <w:b/>
        </w:rPr>
      </w:pPr>
      <w:r w:rsidRPr="000B76CE">
        <w:rPr>
          <w:rFonts w:ascii="Montserrat" w:hAnsi="Montserrat"/>
          <w:b/>
        </w:rPr>
        <w:t xml:space="preserve">Centros penitenciarios </w:t>
      </w:r>
    </w:p>
    <w:p w:rsidR="005F3DAF" w:rsidRPr="000B76CE" w:rsidRDefault="005F3DAF" w:rsidP="006B52ED">
      <w:pPr>
        <w:spacing w:after="0" w:line="240" w:lineRule="auto"/>
        <w:rPr>
          <w:rFonts w:ascii="Montserrat" w:hAnsi="Montserrat"/>
        </w:rPr>
      </w:pPr>
    </w:p>
    <w:p w:rsidR="00A17587" w:rsidRDefault="005F3DAF" w:rsidP="005F3DAF">
      <w:pPr>
        <w:jc w:val="both"/>
        <w:rPr>
          <w:rFonts w:ascii="Montserrat" w:hAnsi="Montserrat"/>
          <w:lang w:val="es-ES"/>
        </w:rPr>
      </w:pPr>
      <w:r w:rsidRPr="000B76CE">
        <w:rPr>
          <w:rFonts w:ascii="Montserrat" w:hAnsi="Montserrat"/>
          <w:lang w:val="es-ES"/>
        </w:rPr>
        <w:t>El Estado Mexicano reconoce que existen desafíos en la falta de personal de guardia y custodia en todos los centros penitenciarios en una proporción del 15% del total de los componentes del sistema penitenciario federal</w:t>
      </w:r>
      <w:r w:rsidR="00A17587">
        <w:rPr>
          <w:rFonts w:ascii="Montserrat" w:hAnsi="Montserrat"/>
          <w:lang w:val="es-ES"/>
        </w:rPr>
        <w:t>,</w:t>
      </w:r>
      <w:r w:rsidRPr="000B76CE">
        <w:rPr>
          <w:rFonts w:ascii="Montserrat" w:hAnsi="Montserrat"/>
          <w:lang w:val="es-ES"/>
        </w:rPr>
        <w:t xml:space="preserve"> a cargo del órgano desconcentrado de pr</w:t>
      </w:r>
      <w:r w:rsidR="00A17587">
        <w:rPr>
          <w:rFonts w:ascii="Montserrat" w:hAnsi="Montserrat"/>
          <w:lang w:val="es-ES"/>
        </w:rPr>
        <w:t>evención y readaptación social.</w:t>
      </w:r>
    </w:p>
    <w:p w:rsidR="005F3DAF" w:rsidRPr="000B76CE" w:rsidRDefault="005F3DAF" w:rsidP="005F3DAF">
      <w:pPr>
        <w:jc w:val="both"/>
        <w:rPr>
          <w:rFonts w:ascii="Montserrat" w:hAnsi="Montserrat"/>
          <w:lang w:val="es-ES"/>
        </w:rPr>
      </w:pPr>
      <w:r w:rsidRPr="000B76CE">
        <w:rPr>
          <w:rFonts w:ascii="Montserrat" w:hAnsi="Montserrat"/>
          <w:lang w:val="es-ES"/>
        </w:rPr>
        <w:t>No se cuenta con la estadística en la misma materia y pr</w:t>
      </w:r>
      <w:r w:rsidR="00A17587">
        <w:rPr>
          <w:rFonts w:ascii="Montserrat" w:hAnsi="Montserrat"/>
          <w:lang w:val="es-ES"/>
        </w:rPr>
        <w:t>oporcionalidad, a nivel estatal;</w:t>
      </w:r>
      <w:r w:rsidRPr="000B76CE">
        <w:rPr>
          <w:rFonts w:ascii="Montserrat" w:hAnsi="Montserrat"/>
          <w:lang w:val="es-ES"/>
        </w:rPr>
        <w:t xml:space="preserve"> sin embargo, el Diagnóstico Nacional de Supervisión Penitenciaria elaborado por la Comisión Nacional de los Derechos Humanos sirve como marco referencial para concluir que hay deficiencias considerables en la proporción de personas privadas de la liber</w:t>
      </w:r>
      <w:r w:rsidR="000B76CE">
        <w:rPr>
          <w:rFonts w:ascii="Montserrat" w:hAnsi="Montserrat"/>
          <w:lang w:val="es-ES"/>
        </w:rPr>
        <w:t>tad y el personal que custodia.</w:t>
      </w:r>
    </w:p>
    <w:p w:rsidR="00A17587" w:rsidRDefault="00361A71" w:rsidP="005F3DAF">
      <w:pPr>
        <w:jc w:val="both"/>
        <w:rPr>
          <w:rFonts w:ascii="Montserrat" w:hAnsi="Montserrat"/>
          <w:lang w:val="es-ES"/>
        </w:rPr>
      </w:pPr>
      <w:r w:rsidRPr="000B76CE">
        <w:rPr>
          <w:rFonts w:ascii="Montserrat" w:hAnsi="Montserrat"/>
          <w:lang w:val="es-ES"/>
        </w:rPr>
        <w:t>En cuanto a la pregunta sobre la</w:t>
      </w:r>
      <w:r w:rsidR="005F3DAF" w:rsidRPr="000B76CE">
        <w:rPr>
          <w:rFonts w:ascii="Montserrat" w:hAnsi="Montserrat"/>
          <w:lang w:val="es-ES"/>
        </w:rPr>
        <w:t xml:space="preserve"> certificación ACA</w:t>
      </w:r>
      <w:r w:rsidRPr="000B76CE">
        <w:rPr>
          <w:rFonts w:ascii="Montserrat" w:hAnsi="Montserrat"/>
          <w:lang w:val="es-ES"/>
        </w:rPr>
        <w:t>, se señala que ésta</w:t>
      </w:r>
      <w:r w:rsidR="005F3DAF" w:rsidRPr="000B76CE">
        <w:rPr>
          <w:rFonts w:ascii="Montserrat" w:hAnsi="Montserrat"/>
          <w:lang w:val="es-ES"/>
        </w:rPr>
        <w:t xml:space="preserve"> es coincidente con los estándares de medición que realiza la Comisión Nacional de los Derechos Humanos para realizar el Diagnóstico Nacion</w:t>
      </w:r>
      <w:r w:rsidRPr="000B76CE">
        <w:rPr>
          <w:rFonts w:ascii="Montserrat" w:hAnsi="Montserrat"/>
          <w:lang w:val="es-ES"/>
        </w:rPr>
        <w:t>al de Supervisión Penitenciaria. E</w:t>
      </w:r>
      <w:r w:rsidR="005F3DAF" w:rsidRPr="000B76CE">
        <w:rPr>
          <w:rFonts w:ascii="Montserrat" w:hAnsi="Montserrat"/>
          <w:lang w:val="es-ES"/>
        </w:rPr>
        <w:t>s decir, los aspecto</w:t>
      </w:r>
      <w:r w:rsidRPr="000B76CE">
        <w:rPr>
          <w:rFonts w:ascii="Montserrat" w:hAnsi="Montserrat"/>
          <w:lang w:val="es-ES"/>
        </w:rPr>
        <w:t>s</w:t>
      </w:r>
      <w:r w:rsidR="005F3DAF" w:rsidRPr="000B76CE">
        <w:rPr>
          <w:rFonts w:ascii="Montserrat" w:hAnsi="Montserrat"/>
          <w:lang w:val="es-ES"/>
        </w:rPr>
        <w:t xml:space="preserve"> a evaluar por un organismo y el otro son muy similares, lo que arroja un resultado coincidente respecto de que los Centros Penitenciarios Federales con mejor calificación dentro del citado diagnóstico, </w:t>
      </w:r>
      <w:r w:rsidRPr="000B76CE">
        <w:rPr>
          <w:rFonts w:ascii="Montserrat" w:hAnsi="Montserrat"/>
          <w:lang w:val="es-ES"/>
        </w:rPr>
        <w:t>cuentan con certificación ACA, p</w:t>
      </w:r>
      <w:r w:rsidR="005F3DAF" w:rsidRPr="000B76CE">
        <w:rPr>
          <w:rFonts w:ascii="Montserrat" w:hAnsi="Montserrat"/>
          <w:lang w:val="es-ES"/>
        </w:rPr>
        <w:t xml:space="preserve">or lo que hasta el momento no se tiene previsto prescindir de la certificación, salvo </w:t>
      </w:r>
      <w:r w:rsidR="00A17587">
        <w:rPr>
          <w:rFonts w:ascii="Montserrat" w:hAnsi="Montserrat"/>
          <w:lang w:val="es-ES"/>
        </w:rPr>
        <w:t>si hubiera</w:t>
      </w:r>
      <w:r w:rsidR="005F3DAF" w:rsidRPr="000B76CE">
        <w:rPr>
          <w:rFonts w:ascii="Montserrat" w:hAnsi="Montserrat"/>
          <w:lang w:val="es-ES"/>
        </w:rPr>
        <w:t xml:space="preserve"> </w:t>
      </w:r>
      <w:r w:rsidR="00A17587">
        <w:rPr>
          <w:rFonts w:ascii="Montserrat" w:hAnsi="Montserrat"/>
          <w:lang w:val="es-ES"/>
        </w:rPr>
        <w:t>alg</w:t>
      </w:r>
      <w:r w:rsidR="005F3DAF" w:rsidRPr="000B76CE">
        <w:rPr>
          <w:rFonts w:ascii="Montserrat" w:hAnsi="Montserrat"/>
          <w:lang w:val="es-ES"/>
        </w:rPr>
        <w:t>una cuestión presupuestaria, que dependería de la Secretaría</w:t>
      </w:r>
      <w:r w:rsidRPr="000B76CE">
        <w:rPr>
          <w:rFonts w:ascii="Montserrat" w:hAnsi="Montserrat"/>
          <w:lang w:val="es-ES"/>
        </w:rPr>
        <w:t xml:space="preserve"> de Hacienda y Crédito Público. El diagnóstico nacional de supervisión penitenciaria a cargo de la Comisión Nacional de los Derechos Humanos, puede ser consultado en el siguiente sitio web</w:t>
      </w:r>
      <w:r w:rsidR="00A17587">
        <w:rPr>
          <w:rFonts w:ascii="Montserrat" w:hAnsi="Montserrat"/>
          <w:lang w:val="es-ES"/>
        </w:rPr>
        <w:t xml:space="preserve">. </w:t>
      </w:r>
    </w:p>
    <w:p w:rsidR="005F3DAF" w:rsidRPr="00A17587" w:rsidRDefault="00A17587" w:rsidP="005F3DAF">
      <w:pPr>
        <w:jc w:val="both"/>
        <w:rPr>
          <w:rFonts w:ascii="Montserrat" w:hAnsi="Montserrat"/>
          <w:lang w:val="es-ES"/>
        </w:rPr>
      </w:pPr>
      <w:r>
        <w:rPr>
          <w:rFonts w:ascii="Montserrat" w:hAnsi="Montserrat"/>
          <w:b/>
          <w:lang w:val="es-ES"/>
        </w:rPr>
        <w:t>Anexo</w:t>
      </w:r>
      <w:r w:rsidR="00361A71" w:rsidRPr="000B76CE">
        <w:rPr>
          <w:rFonts w:ascii="Montserrat" w:hAnsi="Montserrat"/>
          <w:lang w:val="es-ES"/>
        </w:rPr>
        <w:t xml:space="preserve">: </w:t>
      </w:r>
      <w:hyperlink r:id="rId14" w:history="1">
        <w:r w:rsidR="00361A71" w:rsidRPr="000B76CE">
          <w:rPr>
            <w:rStyle w:val="Hyperlink"/>
            <w:rFonts w:ascii="Montserrat" w:hAnsi="Montserrat"/>
          </w:rPr>
          <w:t>http://www.cndh.org.mx/sites/all/doc/sistemas/DNSP/DNSP_2018.pdf</w:t>
        </w:r>
      </w:hyperlink>
    </w:p>
    <w:p w:rsidR="005F3DAF" w:rsidRPr="000B76CE" w:rsidRDefault="00361A71" w:rsidP="005F3DAF">
      <w:pPr>
        <w:jc w:val="both"/>
        <w:rPr>
          <w:rFonts w:ascii="Montserrat" w:hAnsi="Montserrat"/>
          <w:lang w:val="es-ES"/>
        </w:rPr>
      </w:pPr>
      <w:r w:rsidRPr="000B76CE">
        <w:rPr>
          <w:rFonts w:ascii="Montserrat" w:hAnsi="Montserrat"/>
          <w:lang w:val="es-ES"/>
        </w:rPr>
        <w:t xml:space="preserve">Respecto a la pregunta de la experta Ana </w:t>
      </w:r>
      <w:proofErr w:type="spellStart"/>
      <w:r w:rsidRPr="000B76CE">
        <w:rPr>
          <w:rFonts w:ascii="Montserrat" w:hAnsi="Montserrat"/>
          <w:lang w:val="es-ES"/>
        </w:rPr>
        <w:t>Racu</w:t>
      </w:r>
      <w:proofErr w:type="spellEnd"/>
      <w:r w:rsidRPr="000B76CE">
        <w:rPr>
          <w:rFonts w:ascii="Montserrat" w:hAnsi="Montserrat"/>
          <w:lang w:val="es-ES"/>
        </w:rPr>
        <w:t xml:space="preserve"> sobre justicia juvenil y el</w:t>
      </w:r>
      <w:r w:rsidR="005F3DAF" w:rsidRPr="000B76CE">
        <w:rPr>
          <w:rFonts w:ascii="Montserrat" w:hAnsi="Montserrat"/>
          <w:lang w:val="es-ES"/>
        </w:rPr>
        <w:t xml:space="preserve"> Centro Penitenciario Juvenil de Nuevo León, </w:t>
      </w:r>
      <w:r w:rsidRPr="000B76CE">
        <w:rPr>
          <w:rFonts w:ascii="Montserrat" w:hAnsi="Montserrat"/>
          <w:lang w:val="es-ES"/>
        </w:rPr>
        <w:t xml:space="preserve">se informa que </w:t>
      </w:r>
      <w:r w:rsidR="005F3DAF" w:rsidRPr="000B76CE">
        <w:rPr>
          <w:rFonts w:ascii="Montserrat" w:hAnsi="Montserrat"/>
          <w:lang w:val="es-ES"/>
        </w:rPr>
        <w:t>actualmente cuenta con una población de 21 niños y 4 niñas, siendo un total de 25. Por lo que no tiene sobrepoblación ya que su capa</w:t>
      </w:r>
      <w:r w:rsidRPr="000B76CE">
        <w:rPr>
          <w:rFonts w:ascii="Montserrat" w:hAnsi="Montserrat"/>
          <w:lang w:val="es-ES"/>
        </w:rPr>
        <w:t>cidad total es para 120 jóvenes.</w:t>
      </w:r>
    </w:p>
    <w:p w:rsidR="005F3DAF" w:rsidRPr="000B76CE" w:rsidRDefault="005F3DAF" w:rsidP="005F3DAF">
      <w:pPr>
        <w:jc w:val="both"/>
        <w:rPr>
          <w:rFonts w:ascii="Montserrat" w:hAnsi="Montserrat"/>
          <w:lang w:val="es-ES"/>
        </w:rPr>
      </w:pPr>
      <w:r w:rsidRPr="000B76CE">
        <w:rPr>
          <w:rFonts w:ascii="Montserrat" w:hAnsi="Montserrat"/>
          <w:lang w:val="es-ES"/>
        </w:rPr>
        <w:lastRenderedPageBreak/>
        <w:t>El hacinamiento existe</w:t>
      </w:r>
      <w:r w:rsidR="00A17587">
        <w:rPr>
          <w:rFonts w:ascii="Montserrat" w:hAnsi="Montserrat"/>
          <w:lang w:val="es-ES"/>
        </w:rPr>
        <w:t>,</w:t>
      </w:r>
      <w:r w:rsidRPr="000B76CE">
        <w:rPr>
          <w:rFonts w:ascii="Montserrat" w:hAnsi="Montserrat"/>
          <w:lang w:val="es-ES"/>
        </w:rPr>
        <w:t xml:space="preserve"> efectivamente</w:t>
      </w:r>
      <w:r w:rsidR="00A17587">
        <w:rPr>
          <w:rFonts w:ascii="Montserrat" w:hAnsi="Montserrat"/>
          <w:lang w:val="es-ES"/>
        </w:rPr>
        <w:t>,</w:t>
      </w:r>
      <w:r w:rsidRPr="000B76CE">
        <w:rPr>
          <w:rFonts w:ascii="Montserrat" w:hAnsi="Montserrat"/>
          <w:lang w:val="es-ES"/>
        </w:rPr>
        <w:t xml:space="preserve"> a nivel estatal, lo cual se puede apreciar con la población que se refiere en las estadísticas que se anexan; sin embargo, la federación no t</w:t>
      </w:r>
      <w:r w:rsidR="00A17587">
        <w:rPr>
          <w:rFonts w:ascii="Montserrat" w:hAnsi="Montserrat"/>
          <w:lang w:val="es-ES"/>
        </w:rPr>
        <w:t>iene hacinamiento penitenciario y</w:t>
      </w:r>
      <w:r w:rsidRPr="000B76CE">
        <w:rPr>
          <w:rFonts w:ascii="Montserrat" w:hAnsi="Montserrat"/>
          <w:lang w:val="es-ES"/>
        </w:rPr>
        <w:t xml:space="preserve"> realizará traslados de personas privadas de su libertad con las entidades federativas que así lo requieran</w:t>
      </w:r>
      <w:r w:rsidR="00A17587">
        <w:rPr>
          <w:rFonts w:ascii="Montserrat" w:hAnsi="Montserrat"/>
          <w:lang w:val="es-ES"/>
        </w:rPr>
        <w:t>,</w:t>
      </w:r>
      <w:r w:rsidRPr="000B76CE">
        <w:rPr>
          <w:rFonts w:ascii="Montserrat" w:hAnsi="Montserrat"/>
          <w:lang w:val="es-ES"/>
        </w:rPr>
        <w:t xml:space="preserve"> previo acuerdo con el titular del órgano desconcentrado de prevención y readaptación social. Sin embargo, este proceso no es breve, ya que </w:t>
      </w:r>
      <w:r w:rsidR="00A17587">
        <w:rPr>
          <w:rFonts w:ascii="Montserrat" w:hAnsi="Montserrat"/>
          <w:lang w:val="es-ES"/>
        </w:rPr>
        <w:t xml:space="preserve">requiere de la </w:t>
      </w:r>
      <w:r w:rsidRPr="000B76CE">
        <w:rPr>
          <w:rFonts w:ascii="Montserrat" w:hAnsi="Montserrat"/>
          <w:lang w:val="es-ES"/>
        </w:rPr>
        <w:t>intervenc</w:t>
      </w:r>
      <w:r w:rsidR="00361A71" w:rsidRPr="000B76CE">
        <w:rPr>
          <w:rFonts w:ascii="Montserrat" w:hAnsi="Montserrat"/>
          <w:lang w:val="es-ES"/>
        </w:rPr>
        <w:t xml:space="preserve">ión </w:t>
      </w:r>
      <w:r w:rsidR="00A17587">
        <w:rPr>
          <w:rFonts w:ascii="Montserrat" w:hAnsi="Montserrat"/>
          <w:lang w:val="es-ES"/>
        </w:rPr>
        <w:t>d</w:t>
      </w:r>
      <w:r w:rsidR="00361A71" w:rsidRPr="000B76CE">
        <w:rPr>
          <w:rFonts w:ascii="Montserrat" w:hAnsi="Montserrat"/>
          <w:lang w:val="es-ES"/>
        </w:rPr>
        <w:t>el juez de ejecución penal.</w:t>
      </w:r>
    </w:p>
    <w:p w:rsidR="00361A71" w:rsidRPr="000B76CE" w:rsidRDefault="00361A71" w:rsidP="005F3DAF">
      <w:pPr>
        <w:jc w:val="both"/>
        <w:rPr>
          <w:rFonts w:ascii="Montserrat" w:hAnsi="Montserrat"/>
          <w:lang w:val="es-ES"/>
        </w:rPr>
      </w:pPr>
      <w:r w:rsidRPr="000B76CE">
        <w:rPr>
          <w:rFonts w:ascii="Montserrat" w:hAnsi="Montserrat"/>
          <w:lang w:val="es-ES"/>
        </w:rPr>
        <w:t xml:space="preserve">La población penitenciaria </w:t>
      </w:r>
      <w:r w:rsidR="00A17587">
        <w:rPr>
          <w:rFonts w:ascii="Montserrat" w:hAnsi="Montserrat"/>
          <w:lang w:val="es-ES"/>
        </w:rPr>
        <w:t>(a</w:t>
      </w:r>
      <w:r w:rsidRPr="000B76CE">
        <w:rPr>
          <w:rFonts w:ascii="Montserrat" w:hAnsi="Montserrat"/>
          <w:lang w:val="es-ES"/>
        </w:rPr>
        <w:t xml:space="preserve"> diciembre de 2018 y febrero 2019</w:t>
      </w:r>
      <w:r w:rsidR="00A17587">
        <w:rPr>
          <w:rFonts w:ascii="Montserrat" w:hAnsi="Montserrat"/>
          <w:lang w:val="es-ES"/>
        </w:rPr>
        <w:t>)</w:t>
      </w:r>
      <w:r w:rsidRPr="000B76CE">
        <w:rPr>
          <w:rFonts w:ascii="Montserrat" w:hAnsi="Montserrat"/>
          <w:lang w:val="es-ES"/>
        </w:rPr>
        <w:t xml:space="preserve">, se puede consultar en el Cuaderno Mensual de Información Estadística Penitenciaria Nacional correspondiente a los citados meses, disponible en el link </w:t>
      </w:r>
      <w:r w:rsidR="00A17587" w:rsidRPr="00A17587">
        <w:rPr>
          <w:rFonts w:ascii="Montserrat" w:hAnsi="Montserrat"/>
          <w:b/>
          <w:lang w:val="es-ES"/>
        </w:rPr>
        <w:t>(</w:t>
      </w:r>
      <w:r w:rsidR="00A17587">
        <w:rPr>
          <w:rFonts w:ascii="Montserrat" w:hAnsi="Montserrat"/>
          <w:b/>
          <w:lang w:val="es-ES"/>
        </w:rPr>
        <w:t>Anexo)</w:t>
      </w:r>
      <w:r w:rsidR="00A17587" w:rsidRPr="000B76CE">
        <w:rPr>
          <w:rFonts w:ascii="Montserrat" w:hAnsi="Montserrat"/>
          <w:lang w:val="es-ES"/>
        </w:rPr>
        <w:t xml:space="preserve"> </w:t>
      </w:r>
      <w:hyperlink r:id="rId15" w:history="1">
        <w:r w:rsidRPr="000B76CE">
          <w:rPr>
            <w:rStyle w:val="Hyperlink"/>
            <w:rFonts w:ascii="Montserrat" w:hAnsi="Montserrat"/>
            <w:lang w:val="es-ES"/>
          </w:rPr>
          <w:t>http://portaltransparencia.gob.mx/pot/dependencia/showDependencia.domethod=begin&amp;_idDependencia=36700</w:t>
        </w:r>
      </w:hyperlink>
      <w:r w:rsidR="00A17587">
        <w:rPr>
          <w:rFonts w:ascii="Montserrat" w:hAnsi="Montserrat"/>
          <w:lang w:val="es-ES"/>
        </w:rPr>
        <w:t xml:space="preserve"> </w:t>
      </w:r>
      <w:r w:rsidRPr="000B76CE">
        <w:rPr>
          <w:rFonts w:ascii="Montserrat" w:hAnsi="Montserrat"/>
          <w:lang w:val="es-ES"/>
        </w:rPr>
        <w:t xml:space="preserve">del Portal de Obligaciones de Transparencia del Instituto Nacional de Transparencia, Acceso a la Información y Protección de Datos Personales. </w:t>
      </w:r>
    </w:p>
    <w:p w:rsidR="00361A71" w:rsidRPr="000B76CE" w:rsidRDefault="005F3DAF" w:rsidP="00361A71">
      <w:pPr>
        <w:jc w:val="both"/>
        <w:rPr>
          <w:rFonts w:ascii="Montserrat" w:hAnsi="Montserrat"/>
          <w:lang w:val="es-ES"/>
        </w:rPr>
      </w:pPr>
      <w:r w:rsidRPr="000B76CE">
        <w:rPr>
          <w:rFonts w:ascii="Montserrat" w:hAnsi="Montserrat"/>
          <w:lang w:val="es-ES"/>
        </w:rPr>
        <w:t>La Base Metodológica del Diagnóstico Nacional de Supervisión Penitenciaria, que efectúa de forma anual la Comisión Nacional de los Derechos Humanos, es el protocolo Minnesota</w:t>
      </w:r>
      <w:r w:rsidR="00A17587">
        <w:rPr>
          <w:rFonts w:ascii="Montserrat" w:hAnsi="Montserrat"/>
          <w:lang w:val="es-ES"/>
        </w:rPr>
        <w:t>;</w:t>
      </w:r>
      <w:r w:rsidRPr="000B76CE">
        <w:rPr>
          <w:rFonts w:ascii="Montserrat" w:hAnsi="Montserrat"/>
          <w:lang w:val="es-ES"/>
        </w:rPr>
        <w:t xml:space="preserve"> el cual</w:t>
      </w:r>
      <w:r w:rsidR="00A17587">
        <w:rPr>
          <w:rFonts w:ascii="Montserrat" w:hAnsi="Montserrat"/>
          <w:lang w:val="es-ES"/>
        </w:rPr>
        <w:t>,</w:t>
      </w:r>
      <w:r w:rsidRPr="000B76CE">
        <w:rPr>
          <w:rFonts w:ascii="Montserrat" w:hAnsi="Montserrat"/>
          <w:lang w:val="es-ES"/>
        </w:rPr>
        <w:t xml:space="preserve"> además</w:t>
      </w:r>
      <w:r w:rsidR="00A17587">
        <w:rPr>
          <w:rFonts w:ascii="Montserrat" w:hAnsi="Montserrat"/>
          <w:lang w:val="es-ES"/>
        </w:rPr>
        <w:t>,</w:t>
      </w:r>
      <w:r w:rsidRPr="000B76CE">
        <w:rPr>
          <w:rFonts w:ascii="Montserrat" w:hAnsi="Montserrat"/>
          <w:lang w:val="es-ES"/>
        </w:rPr>
        <w:t xml:space="preserve"> se aplica por el Mecanismo para prevenir y erradicar la Tortura a cargo de la Comisión Nacional de los Derechos Humanos. </w:t>
      </w:r>
      <w:r w:rsidR="00A17587">
        <w:rPr>
          <w:rFonts w:ascii="Montserrat" w:hAnsi="Montserrat"/>
          <w:lang w:val="es-ES"/>
        </w:rPr>
        <w:t>C</w:t>
      </w:r>
      <w:r w:rsidRPr="000B76CE">
        <w:rPr>
          <w:rFonts w:ascii="Montserrat" w:hAnsi="Montserrat"/>
          <w:lang w:val="es-ES"/>
        </w:rPr>
        <w:t>omo lo refiere el multicitado diagnóstico, en las cárceles federales NO existe autogobierno, ni se presenta la tortura penitenciaria, por tener presencia directa dentro de las instalaciones penitenciarias la Comisión N</w:t>
      </w:r>
      <w:r w:rsidR="00A17587">
        <w:rPr>
          <w:rFonts w:ascii="Montserrat" w:hAnsi="Montserrat"/>
          <w:lang w:val="es-ES"/>
        </w:rPr>
        <w:t>acional de los Derechos Humanos. N</w:t>
      </w:r>
      <w:r w:rsidRPr="000B76CE">
        <w:rPr>
          <w:rFonts w:ascii="Montserrat" w:hAnsi="Montserrat"/>
          <w:lang w:val="es-ES"/>
        </w:rPr>
        <w:t xml:space="preserve">o </w:t>
      </w:r>
      <w:proofErr w:type="gramStart"/>
      <w:r w:rsidRPr="000B76CE">
        <w:rPr>
          <w:rFonts w:ascii="Montserrat" w:hAnsi="Montserrat"/>
          <w:lang w:val="es-ES"/>
        </w:rPr>
        <w:t>obstante</w:t>
      </w:r>
      <w:proofErr w:type="gramEnd"/>
      <w:r w:rsidRPr="000B76CE">
        <w:rPr>
          <w:rFonts w:ascii="Montserrat" w:hAnsi="Montserrat"/>
          <w:lang w:val="es-ES"/>
        </w:rPr>
        <w:t xml:space="preserve"> los esfuerzos federales, a nivel de las Ent</w:t>
      </w:r>
      <w:r w:rsidR="00A17587">
        <w:rPr>
          <w:rFonts w:ascii="Montserrat" w:hAnsi="Montserrat"/>
          <w:lang w:val="es-ES"/>
        </w:rPr>
        <w:t xml:space="preserve">idades federativas, se presentan ambos fenómenos, </w:t>
      </w:r>
      <w:r w:rsidRPr="000B76CE">
        <w:rPr>
          <w:rFonts w:ascii="Montserrat" w:hAnsi="Montserrat"/>
          <w:lang w:val="es-ES"/>
        </w:rPr>
        <w:t xml:space="preserve">siendo </w:t>
      </w:r>
      <w:r w:rsidR="00A17587">
        <w:rPr>
          <w:rFonts w:ascii="Montserrat" w:hAnsi="Montserrat"/>
          <w:lang w:val="es-ES"/>
        </w:rPr>
        <w:t>é</w:t>
      </w:r>
      <w:r w:rsidRPr="000B76CE">
        <w:rPr>
          <w:rFonts w:ascii="Montserrat" w:hAnsi="Montserrat"/>
          <w:lang w:val="es-ES"/>
        </w:rPr>
        <w:t>ste el mayor reto del Estado mexicano.    </w:t>
      </w:r>
    </w:p>
    <w:p w:rsidR="00361A71" w:rsidRPr="000B76CE" w:rsidRDefault="0030412D" w:rsidP="00361A71">
      <w:pPr>
        <w:jc w:val="both"/>
        <w:rPr>
          <w:rFonts w:ascii="Montserrat" w:hAnsi="Montserrat"/>
          <w:lang w:val="es-ES"/>
        </w:rPr>
      </w:pPr>
      <w:r w:rsidRPr="000B76CE">
        <w:rPr>
          <w:rFonts w:ascii="Montserrat" w:hAnsi="Montserrat"/>
          <w:lang w:val="es-ES"/>
        </w:rPr>
        <w:t>De igual forma,</w:t>
      </w:r>
      <w:r w:rsidR="00361A71" w:rsidRPr="000B76CE">
        <w:rPr>
          <w:rFonts w:ascii="Montserrat" w:hAnsi="Montserrat"/>
          <w:lang w:val="es-ES"/>
        </w:rPr>
        <w:t xml:space="preserve"> se informa al Comité que el Estado mexicano cuenta con los siguientes protocolos</w:t>
      </w:r>
      <w:r w:rsidR="00A17587">
        <w:rPr>
          <w:rFonts w:ascii="Montserrat" w:hAnsi="Montserrat"/>
          <w:lang w:val="es-ES"/>
        </w:rPr>
        <w:t xml:space="preserve"> para atender esta problemática</w:t>
      </w:r>
      <w:r w:rsidR="00361A71" w:rsidRPr="000B76CE">
        <w:rPr>
          <w:rFonts w:ascii="Montserrat" w:hAnsi="Montserrat"/>
          <w:lang w:val="es-ES"/>
        </w:rPr>
        <w:t>: Ingreso</w:t>
      </w:r>
      <w:r w:rsidR="00361A71" w:rsidRPr="000B76CE">
        <w:rPr>
          <w:rFonts w:ascii="Montserrat" w:hAnsi="Montserrat"/>
        </w:rPr>
        <w:t xml:space="preserve"> de la Persona Privada de la Libertad, Manejo de motines, Atención a Lesiones o Muerte en Custodia</w:t>
      </w:r>
      <w:r w:rsidR="00361A71" w:rsidRPr="000B76CE">
        <w:rPr>
          <w:rFonts w:ascii="Montserrat" w:hAnsi="Montserrat"/>
          <w:lang w:val="es-ES"/>
        </w:rPr>
        <w:t xml:space="preserve"> </w:t>
      </w:r>
      <w:r w:rsidRPr="000B76CE">
        <w:rPr>
          <w:rFonts w:ascii="Montserrat" w:hAnsi="Montserrat"/>
          <w:lang w:val="es-ES"/>
        </w:rPr>
        <w:t xml:space="preserve">y </w:t>
      </w:r>
      <w:r w:rsidRPr="000B76CE">
        <w:rPr>
          <w:rFonts w:ascii="Montserrat" w:hAnsi="Montserrat"/>
        </w:rPr>
        <w:t>Ejecución de la Sanción de Aislamiento Temporal</w:t>
      </w:r>
      <w:r w:rsidRPr="000B76CE">
        <w:rPr>
          <w:rFonts w:ascii="Montserrat" w:hAnsi="Montserrat"/>
          <w:lang w:val="es-ES"/>
        </w:rPr>
        <w:t xml:space="preserve">.  Estos instrumentos </w:t>
      </w:r>
      <w:r w:rsidR="00361A71" w:rsidRPr="000B76CE">
        <w:rPr>
          <w:rFonts w:ascii="Montserrat" w:hAnsi="Montserrat"/>
          <w:lang w:val="es-ES"/>
        </w:rPr>
        <w:t>son de nueva creación, tienen menos de un año, por lo que se requerirá su im</w:t>
      </w:r>
      <w:r w:rsidR="00A17587">
        <w:rPr>
          <w:rFonts w:ascii="Montserrat" w:hAnsi="Montserrat"/>
          <w:lang w:val="es-ES"/>
        </w:rPr>
        <w:t>plementación por más de un</w:t>
      </w:r>
      <w:r w:rsidRPr="000B76CE">
        <w:rPr>
          <w:rFonts w:ascii="Montserrat" w:hAnsi="Montserrat"/>
          <w:lang w:val="es-ES"/>
        </w:rPr>
        <w:t xml:space="preserve"> año,</w:t>
      </w:r>
      <w:r w:rsidR="00361A71" w:rsidRPr="000B76CE">
        <w:rPr>
          <w:rFonts w:ascii="Montserrat" w:hAnsi="Montserrat"/>
          <w:lang w:val="es-ES"/>
        </w:rPr>
        <w:t xml:space="preserve"> para que se pueda hacer una eval</w:t>
      </w:r>
      <w:r w:rsidR="00A17587">
        <w:rPr>
          <w:rFonts w:ascii="Montserrat" w:hAnsi="Montserrat"/>
          <w:lang w:val="es-ES"/>
        </w:rPr>
        <w:t>uación y mejora de los mismos. Todo e</w:t>
      </w:r>
      <w:r w:rsidR="00361A71" w:rsidRPr="000B76CE">
        <w:rPr>
          <w:rFonts w:ascii="Montserrat" w:hAnsi="Montserrat"/>
          <w:lang w:val="es-ES"/>
        </w:rPr>
        <w:t>llo en el marco de la Conferencia Nacional del Sistema Penitenciario y de la Coordinación con el Secretariado Ejecutivo del Sistema Nacional de Seguridad Pública y el Consejo de Participación Ciudadana de dicho Secretariado.</w:t>
      </w:r>
    </w:p>
    <w:p w:rsidR="005F3DAF" w:rsidRPr="000B76CE" w:rsidRDefault="005F3DAF" w:rsidP="00361A71">
      <w:pPr>
        <w:jc w:val="both"/>
        <w:rPr>
          <w:rFonts w:ascii="Montserrat" w:hAnsi="Montserrat"/>
          <w:lang w:val="es-ES"/>
        </w:rPr>
      </w:pPr>
      <w:r w:rsidRPr="000B76CE">
        <w:rPr>
          <w:rFonts w:ascii="Montserrat" w:hAnsi="Montserrat"/>
          <w:lang w:val="es-ES"/>
        </w:rPr>
        <w:t>Protocolos de actuación</w:t>
      </w:r>
      <w:r w:rsidR="00A17587">
        <w:rPr>
          <w:rFonts w:ascii="Montserrat" w:hAnsi="Montserrat"/>
          <w:lang w:val="es-ES"/>
        </w:rPr>
        <w:t xml:space="preserve"> (</w:t>
      </w:r>
      <w:r w:rsidR="00A17587">
        <w:rPr>
          <w:rFonts w:ascii="Montserrat" w:hAnsi="Montserrat"/>
          <w:b/>
          <w:lang w:val="es-ES"/>
        </w:rPr>
        <w:t>Anexos)</w:t>
      </w:r>
      <w:r w:rsidRPr="000B76CE">
        <w:rPr>
          <w:rFonts w:ascii="Montserrat" w:hAnsi="Montserrat"/>
          <w:lang w:val="es-ES"/>
        </w:rPr>
        <w:t>:</w:t>
      </w:r>
    </w:p>
    <w:p w:rsidR="005F3DAF" w:rsidRPr="000B76CE" w:rsidRDefault="005F3DAF" w:rsidP="005F3DAF">
      <w:pPr>
        <w:pStyle w:val="ListParagraph"/>
        <w:ind w:left="1413"/>
        <w:jc w:val="both"/>
        <w:rPr>
          <w:rFonts w:ascii="Montserrat" w:hAnsi="Montserrat"/>
          <w:lang w:val="es-ES"/>
        </w:rPr>
      </w:pPr>
    </w:p>
    <w:tbl>
      <w:tblPr>
        <w:tblW w:w="0" w:type="auto"/>
        <w:tblInd w:w="1408" w:type="dxa"/>
        <w:tblCellMar>
          <w:left w:w="0" w:type="dxa"/>
          <w:right w:w="0" w:type="dxa"/>
        </w:tblCellMar>
        <w:tblLook w:val="04A0" w:firstRow="1" w:lastRow="0" w:firstColumn="1" w:lastColumn="0" w:noHBand="0" w:noVBand="1"/>
      </w:tblPr>
      <w:tblGrid>
        <w:gridCol w:w="596"/>
        <w:gridCol w:w="2928"/>
        <w:gridCol w:w="3886"/>
      </w:tblGrid>
      <w:tr w:rsidR="005F3DAF" w:rsidRPr="000B76CE" w:rsidTr="005F3DAF">
        <w:tc>
          <w:tcPr>
            <w:tcW w:w="5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pStyle w:val="ListParagraph"/>
              <w:ind w:left="0"/>
              <w:jc w:val="both"/>
              <w:rPr>
                <w:rFonts w:ascii="Montserrat" w:hAnsi="Montserrat"/>
                <w:b/>
                <w:bCs/>
              </w:rPr>
            </w:pPr>
            <w:r w:rsidRPr="000B76CE">
              <w:rPr>
                <w:rFonts w:ascii="Montserrat" w:hAnsi="Montserrat"/>
                <w:b/>
                <w:bCs/>
              </w:rPr>
              <w:t>No.</w:t>
            </w:r>
          </w:p>
        </w:tc>
        <w:tc>
          <w:tcPr>
            <w:tcW w:w="367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F3DAF" w:rsidRPr="000B76CE" w:rsidRDefault="005F3DAF" w:rsidP="005F3DAF">
            <w:pPr>
              <w:pStyle w:val="ListParagraph"/>
              <w:ind w:left="0"/>
              <w:jc w:val="both"/>
              <w:rPr>
                <w:rFonts w:ascii="Montserrat" w:hAnsi="Montserrat"/>
                <w:b/>
                <w:bCs/>
              </w:rPr>
            </w:pPr>
          </w:p>
        </w:tc>
        <w:tc>
          <w:tcPr>
            <w:tcW w:w="50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pStyle w:val="ListParagraph"/>
              <w:ind w:left="0"/>
              <w:jc w:val="both"/>
              <w:rPr>
                <w:rFonts w:ascii="Montserrat" w:hAnsi="Montserrat"/>
                <w:b/>
                <w:bCs/>
              </w:rPr>
            </w:pPr>
            <w:r w:rsidRPr="000B76CE">
              <w:rPr>
                <w:rFonts w:ascii="Montserrat" w:hAnsi="Montserrat"/>
                <w:b/>
                <w:bCs/>
              </w:rPr>
              <w:t>OBJETIVO GENERAL</w:t>
            </w:r>
          </w:p>
        </w:tc>
      </w:tr>
      <w:tr w:rsidR="005F3DAF" w:rsidRPr="000B76CE" w:rsidTr="005F3DAF">
        <w:tc>
          <w:tcPr>
            <w:tcW w:w="54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1</w:t>
            </w:r>
          </w:p>
        </w:tc>
        <w:tc>
          <w:tcPr>
            <w:tcW w:w="36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Ingreso de la Persona Privada de la Libertad</w:t>
            </w:r>
          </w:p>
        </w:tc>
        <w:tc>
          <w:tcPr>
            <w:tcW w:w="5005" w:type="dxa"/>
            <w:tcBorders>
              <w:top w:val="nil"/>
              <w:left w:val="nil"/>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jc w:val="both"/>
              <w:rPr>
                <w:rFonts w:ascii="Montserrat" w:hAnsi="Montserrat"/>
              </w:rPr>
            </w:pPr>
            <w:r w:rsidRPr="000B76CE">
              <w:rPr>
                <w:rFonts w:ascii="Montserrat" w:hAnsi="Montserrat"/>
              </w:rPr>
              <w:t xml:space="preserve">Ingresar a las personas privadas de la libertad al Centro Penitenciario de manera eficiente y segura con </w:t>
            </w:r>
            <w:r w:rsidRPr="000B76CE">
              <w:rPr>
                <w:rFonts w:ascii="Montserrat" w:hAnsi="Montserrat"/>
              </w:rPr>
              <w:lastRenderedPageBreak/>
              <w:t>observancia a los derechos humanos.</w:t>
            </w:r>
          </w:p>
        </w:tc>
      </w:tr>
      <w:tr w:rsidR="005F3DAF" w:rsidRPr="000B76CE" w:rsidTr="005F3DAF">
        <w:tc>
          <w:tcPr>
            <w:tcW w:w="54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lastRenderedPageBreak/>
              <w:t>2</w:t>
            </w:r>
          </w:p>
        </w:tc>
        <w:tc>
          <w:tcPr>
            <w:tcW w:w="36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Manejo de motines</w:t>
            </w:r>
          </w:p>
        </w:tc>
        <w:tc>
          <w:tcPr>
            <w:tcW w:w="5005" w:type="dxa"/>
            <w:tcBorders>
              <w:top w:val="nil"/>
              <w:left w:val="nil"/>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pStyle w:val="ListParagraph"/>
              <w:ind w:left="0"/>
              <w:jc w:val="both"/>
              <w:rPr>
                <w:rFonts w:ascii="Montserrat" w:hAnsi="Montserrat"/>
              </w:rPr>
            </w:pPr>
            <w:r w:rsidRPr="000B76CE">
              <w:rPr>
                <w:rFonts w:ascii="Montserrat" w:hAnsi="Montserrat"/>
              </w:rPr>
              <w:t>Señalar las actividades para restablecer el orden en el Centro Penitenciario y salvaguardar la integridad física de las personas y las instalaciones</w:t>
            </w:r>
          </w:p>
        </w:tc>
      </w:tr>
      <w:tr w:rsidR="005F3DAF" w:rsidRPr="000B76CE" w:rsidTr="005F3DAF">
        <w:trPr>
          <w:trHeight w:val="1074"/>
        </w:trPr>
        <w:tc>
          <w:tcPr>
            <w:tcW w:w="54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3</w:t>
            </w:r>
          </w:p>
        </w:tc>
        <w:tc>
          <w:tcPr>
            <w:tcW w:w="36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Atención a Lesiones o Muerte en Custodia</w:t>
            </w:r>
          </w:p>
        </w:tc>
        <w:tc>
          <w:tcPr>
            <w:tcW w:w="5005" w:type="dxa"/>
            <w:tcBorders>
              <w:top w:val="nil"/>
              <w:left w:val="nil"/>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pStyle w:val="ListParagraph"/>
              <w:ind w:left="0"/>
              <w:jc w:val="both"/>
              <w:rPr>
                <w:rFonts w:ascii="Montserrat" w:hAnsi="Montserrat"/>
              </w:rPr>
            </w:pPr>
            <w:r w:rsidRPr="000B76CE">
              <w:rPr>
                <w:rFonts w:ascii="Montserrat" w:hAnsi="Montserrat"/>
              </w:rPr>
              <w:t>Establecer las actividades a seguir que garanticen en todo momento el respeto a los derechos humanos de la persona privada de la libertad ante lesiones o muerte en Custodia</w:t>
            </w:r>
          </w:p>
        </w:tc>
      </w:tr>
      <w:tr w:rsidR="005F3DAF" w:rsidRPr="000B76CE" w:rsidTr="005F3DAF">
        <w:tc>
          <w:tcPr>
            <w:tcW w:w="54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4</w:t>
            </w:r>
          </w:p>
        </w:tc>
        <w:tc>
          <w:tcPr>
            <w:tcW w:w="36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F3DAF" w:rsidRPr="000B76CE" w:rsidRDefault="005F3DAF" w:rsidP="005F3DAF">
            <w:pPr>
              <w:pStyle w:val="ListParagraph"/>
              <w:ind w:left="0"/>
              <w:jc w:val="both"/>
              <w:rPr>
                <w:rFonts w:ascii="Montserrat" w:hAnsi="Montserrat"/>
              </w:rPr>
            </w:pPr>
            <w:r w:rsidRPr="000B76CE">
              <w:rPr>
                <w:rFonts w:ascii="Montserrat" w:hAnsi="Montserrat"/>
              </w:rPr>
              <w:t>Ejecución de la Sanción de Aislamiento Temporal</w:t>
            </w:r>
          </w:p>
        </w:tc>
        <w:tc>
          <w:tcPr>
            <w:tcW w:w="5005" w:type="dxa"/>
            <w:tcBorders>
              <w:top w:val="nil"/>
              <w:left w:val="nil"/>
              <w:bottom w:val="single" w:sz="8" w:space="0" w:color="auto"/>
              <w:right w:val="single" w:sz="8" w:space="0" w:color="auto"/>
            </w:tcBorders>
            <w:tcMar>
              <w:top w:w="0" w:type="dxa"/>
              <w:left w:w="108" w:type="dxa"/>
              <w:bottom w:w="0" w:type="dxa"/>
              <w:right w:w="108" w:type="dxa"/>
            </w:tcMar>
            <w:hideMark/>
          </w:tcPr>
          <w:p w:rsidR="005F3DAF" w:rsidRPr="000B76CE" w:rsidRDefault="005F3DAF" w:rsidP="005F3DAF">
            <w:pPr>
              <w:pStyle w:val="ListParagraph"/>
              <w:ind w:left="0"/>
              <w:jc w:val="both"/>
              <w:rPr>
                <w:rFonts w:ascii="Montserrat" w:hAnsi="Montserrat"/>
              </w:rPr>
            </w:pPr>
            <w:r w:rsidRPr="000B76CE">
              <w:rPr>
                <w:rFonts w:ascii="Montserrat" w:hAnsi="Montserrat"/>
              </w:rPr>
              <w:t>Establecer las actividades para aplicar la sanción disciplinaria de aislamiento temporal bajo criterios que garanticen la legalidad de la medida, así como el derecho a la salud, a la seguridad e integridad personal en áreas determinadas de los Centros Penitenciarios</w:t>
            </w:r>
          </w:p>
        </w:tc>
      </w:tr>
    </w:tbl>
    <w:p w:rsidR="005F3DAF" w:rsidRPr="000B76CE" w:rsidRDefault="005F3DAF" w:rsidP="005F3DAF">
      <w:pPr>
        <w:jc w:val="both"/>
        <w:rPr>
          <w:rFonts w:ascii="Montserrat" w:eastAsiaTheme="minorHAnsi" w:hAnsi="Montserrat" w:cs="Calibri"/>
          <w:lang w:val="es-ES"/>
        </w:rPr>
      </w:pPr>
    </w:p>
    <w:p w:rsidR="000B76CE" w:rsidRPr="000B76CE" w:rsidRDefault="00756C85" w:rsidP="000B76CE">
      <w:pPr>
        <w:jc w:val="both"/>
        <w:rPr>
          <w:rFonts w:ascii="Montserrat" w:hAnsi="Montserrat"/>
          <w:b/>
        </w:rPr>
      </w:pPr>
      <w:r w:rsidRPr="000B76CE">
        <w:rPr>
          <w:rFonts w:ascii="Montserrat" w:hAnsi="Montserrat"/>
          <w:b/>
        </w:rPr>
        <w:t>Condiciones de las estaciones migratorias</w:t>
      </w:r>
      <w:r>
        <w:rPr>
          <w:rFonts w:ascii="Montserrat" w:hAnsi="Montserrat"/>
        </w:rPr>
        <w:t xml:space="preserve">; </w:t>
      </w:r>
      <w:r w:rsidRPr="00756C85">
        <w:rPr>
          <w:rFonts w:ascii="Montserrat" w:hAnsi="Montserrat"/>
          <w:b/>
        </w:rPr>
        <w:t>s</w:t>
      </w:r>
      <w:r w:rsidR="000B76CE" w:rsidRPr="000B76CE">
        <w:rPr>
          <w:rFonts w:ascii="Montserrat" w:hAnsi="Montserrat"/>
          <w:b/>
        </w:rPr>
        <w:t xml:space="preserve">upervisión y entrada a las estaciones migratorias por parte de las </w:t>
      </w:r>
      <w:r>
        <w:rPr>
          <w:rFonts w:ascii="Montserrat" w:hAnsi="Montserrat"/>
          <w:b/>
        </w:rPr>
        <w:t>organizaciones de la sociedad civil</w:t>
      </w:r>
      <w:r w:rsidR="000B76CE" w:rsidRPr="000B76CE">
        <w:rPr>
          <w:rFonts w:ascii="Montserrat" w:hAnsi="Montserrat"/>
          <w:b/>
        </w:rPr>
        <w:t xml:space="preserve">        </w:t>
      </w:r>
    </w:p>
    <w:p w:rsidR="000B76CE" w:rsidRPr="000B76CE" w:rsidRDefault="000B76CE" w:rsidP="000B76CE">
      <w:pPr>
        <w:jc w:val="both"/>
        <w:rPr>
          <w:rFonts w:ascii="Montserrat" w:hAnsi="Montserrat"/>
        </w:rPr>
      </w:pPr>
      <w:r w:rsidRPr="000B76CE">
        <w:rPr>
          <w:rFonts w:ascii="Montserrat" w:hAnsi="Montserrat"/>
        </w:rPr>
        <w:t>Con objeto de mantener un orden y velar por la seguridad de las personas extranjeras alojadas en las instalaciones migratorias, el ingreso a las mismas por parte de las asociaciones religiosas, de la sociedad civil y de los organismos internacionales se encuentra regulado en el acuerdo por el que se emiten las normas para el funcionamiento de las estaciones migratorias y estancias provisionales del Instituto Nacional de Migración, publicado en el Diario Oficial de la Federación el 8 de noviembre de 2012. Entre los requisitos que deben cubrir las asociaciones de la sociedad civil es la de inscribirse en un directorio de acceso a estaciones migratorias que resguarda el Instituto Nacional de Migración, ya que las autoridades migratorias deben asegurarse que están legalmente constituidas por seguridad para la misma población resguardada. En su oficio de solicitud deben señalar las fechas y horarios en que desean ingresar señalar las actividades que se van a realizar y adjuntar identificación vigente de las personas que requieren ingreso.</w:t>
      </w:r>
    </w:p>
    <w:p w:rsidR="000B76CE" w:rsidRPr="000B76CE" w:rsidRDefault="000B76CE" w:rsidP="000B76CE">
      <w:pPr>
        <w:jc w:val="both"/>
        <w:rPr>
          <w:rFonts w:ascii="Montserrat" w:hAnsi="Montserrat"/>
        </w:rPr>
      </w:pPr>
      <w:r w:rsidRPr="000B76CE">
        <w:rPr>
          <w:rFonts w:ascii="Montserrat" w:hAnsi="Montserrat"/>
        </w:rPr>
        <w:t>En relación con el ingreso a las Estaciones Migratorias del “Mecanismo Nacional de Prevención de la Tortura”, me permito hacer de su conocimiento que</w:t>
      </w:r>
      <w:r w:rsidR="00756C85">
        <w:rPr>
          <w:rFonts w:ascii="Montserrat" w:hAnsi="Montserrat"/>
        </w:rPr>
        <w:t>,</w:t>
      </w:r>
      <w:r w:rsidRPr="000B76CE">
        <w:rPr>
          <w:rFonts w:ascii="Montserrat" w:hAnsi="Montserrat"/>
        </w:rPr>
        <w:t xml:space="preserve"> de </w:t>
      </w:r>
      <w:r w:rsidRPr="000B76CE">
        <w:rPr>
          <w:rFonts w:ascii="Montserrat" w:hAnsi="Montserrat"/>
        </w:rPr>
        <w:lastRenderedPageBreak/>
        <w:t xml:space="preserve">conformidad con lo establecido en el artículo 38 del Acuerdo por el que se emiten las Normas de Funcionamiento de las Estaciones Migratorias y Estancias Provisionales del Instituto Nacional de Migración, las autoridades competentes </w:t>
      </w:r>
      <w:r w:rsidR="00756C85">
        <w:rPr>
          <w:rFonts w:ascii="Montserrat" w:hAnsi="Montserrat"/>
        </w:rPr>
        <w:t>en materia de derechos humanos,</w:t>
      </w:r>
      <w:r w:rsidRPr="000B76CE">
        <w:rPr>
          <w:rFonts w:ascii="Montserrat" w:hAnsi="Montserrat"/>
        </w:rPr>
        <w:t xml:space="preserve"> podrán realizar visitas fuera de los días y horarios establecidos, siempre que se identifiquen y cumplan con las normas de seguridad. Se hace la precisión </w:t>
      </w:r>
      <w:r w:rsidR="00756C85">
        <w:rPr>
          <w:rFonts w:ascii="Montserrat" w:hAnsi="Montserrat"/>
        </w:rPr>
        <w:t xml:space="preserve">de </w:t>
      </w:r>
      <w:r w:rsidRPr="000B76CE">
        <w:rPr>
          <w:rFonts w:ascii="Montserrat" w:hAnsi="Montserrat"/>
        </w:rPr>
        <w:t>que siempre que han solicitado el ingreso se les han brindado las facilidades para la realización de su trabajo</w:t>
      </w:r>
    </w:p>
    <w:p w:rsidR="000B76CE" w:rsidRPr="000B76CE" w:rsidRDefault="000B76CE" w:rsidP="000B76CE">
      <w:pPr>
        <w:jc w:val="both"/>
        <w:rPr>
          <w:rFonts w:ascii="Montserrat" w:hAnsi="Montserrat"/>
        </w:rPr>
      </w:pPr>
      <w:r w:rsidRPr="000B76CE">
        <w:rPr>
          <w:rFonts w:ascii="Montserrat" w:hAnsi="Montserrat"/>
        </w:rPr>
        <w:t xml:space="preserve">De las 32 estaciones migratorias en 23 estados de la República Mexicana, 4 se encuentran suspendidas temporalmente (Saltillo, Morelia, Querétaro, Reynosa) además cabe resaltar que la estación migratoria El Ceibo no se utiliza para alojamiento. Mientras tanto, de las 13 estancias provisionales A (estancia máxima de 24hrs) se encuentran </w:t>
      </w:r>
      <w:proofErr w:type="gramStart"/>
      <w:r w:rsidRPr="000B76CE">
        <w:rPr>
          <w:rFonts w:ascii="Montserrat" w:hAnsi="Montserrat"/>
        </w:rPr>
        <w:t>suspendidas  temporalmente</w:t>
      </w:r>
      <w:proofErr w:type="gramEnd"/>
      <w:r w:rsidRPr="000B76CE">
        <w:rPr>
          <w:rFonts w:ascii="Montserrat" w:hAnsi="Montserrat"/>
        </w:rPr>
        <w:t xml:space="preserve"> Nogales y Tuxpan.  De las 12 estancias provisionales B (estancia máxima de 7hrs), 3 se encuentran suspendidas temporalmente </w:t>
      </w:r>
      <w:proofErr w:type="gramStart"/>
      <w:r w:rsidRPr="000B76CE">
        <w:rPr>
          <w:rFonts w:ascii="Montserrat" w:hAnsi="Montserrat"/>
        </w:rPr>
        <w:t>Torreón,  Acapulco</w:t>
      </w:r>
      <w:proofErr w:type="gramEnd"/>
      <w:r w:rsidRPr="000B76CE">
        <w:rPr>
          <w:rFonts w:ascii="Montserrat" w:hAnsi="Montserrat"/>
        </w:rPr>
        <w:t>, Monterrey así como la Ventosa en Oaxaca que se encuentra en remodelación.</w:t>
      </w:r>
    </w:p>
    <w:p w:rsidR="000B76CE" w:rsidRPr="000B76CE" w:rsidRDefault="000B76CE" w:rsidP="000B76CE">
      <w:pPr>
        <w:jc w:val="both"/>
        <w:rPr>
          <w:rFonts w:ascii="Montserrat" w:hAnsi="Montserrat"/>
        </w:rPr>
      </w:pPr>
      <w:r w:rsidRPr="000B76CE">
        <w:rPr>
          <w:rFonts w:ascii="Montserrat" w:hAnsi="Montserrat"/>
        </w:rPr>
        <w:t xml:space="preserve">Todo con base a la recomendación M7- 2017 del 27 de noviembre de 2017, emitida por el Mecanismo Nacional de </w:t>
      </w:r>
      <w:proofErr w:type="gramStart"/>
      <w:r w:rsidRPr="000B76CE">
        <w:rPr>
          <w:rFonts w:ascii="Montserrat" w:hAnsi="Montserrat"/>
        </w:rPr>
        <w:t>Prevención  de</w:t>
      </w:r>
      <w:proofErr w:type="gramEnd"/>
      <w:r w:rsidRPr="000B76CE">
        <w:rPr>
          <w:rFonts w:ascii="Montserrat" w:hAnsi="Montserrat"/>
        </w:rPr>
        <w:t xml:space="preserve"> la Tortura, por medio de las cuales se determinó su suspensión y realizar inmediatamente una evaluación sobre la ampliación, modificación y equipamiento de los lugares visitados, para asignar los recursos suficientes para que las instalaciones reúnan las condiciones de habitabilidad que permitan a las personas extranjeras en contexto de migración una estancia digna.</w:t>
      </w:r>
    </w:p>
    <w:p w:rsidR="000B76CE" w:rsidRPr="000B76CE" w:rsidRDefault="000B76CE" w:rsidP="000B76CE">
      <w:pPr>
        <w:jc w:val="both"/>
        <w:rPr>
          <w:rFonts w:ascii="Montserrat" w:hAnsi="Montserrat"/>
        </w:rPr>
      </w:pPr>
      <w:r w:rsidRPr="000B76CE">
        <w:rPr>
          <w:rFonts w:ascii="Montserrat" w:hAnsi="Montserrat"/>
        </w:rPr>
        <w:t>En los últimos meses, en Tapachula se habilitaron inmuebles para alojamiento conocidos como la Feria Mesoamericana y un centro de convivencia</w:t>
      </w:r>
    </w:p>
    <w:p w:rsidR="000B76CE" w:rsidRPr="000B76CE" w:rsidRDefault="000B76CE" w:rsidP="000B76CE">
      <w:pPr>
        <w:jc w:val="both"/>
        <w:rPr>
          <w:rFonts w:ascii="Montserrat" w:hAnsi="Montserrat"/>
        </w:rPr>
      </w:pPr>
      <w:r w:rsidRPr="000B76CE">
        <w:rPr>
          <w:rFonts w:ascii="Montserrat" w:hAnsi="Montserrat"/>
          <w:b/>
        </w:rPr>
        <w:t>Derechos y garantías de las personas migrantes</w:t>
      </w:r>
    </w:p>
    <w:p w:rsidR="000B76CE" w:rsidRPr="000B76CE" w:rsidRDefault="000B76CE" w:rsidP="000B76CE">
      <w:pPr>
        <w:jc w:val="both"/>
        <w:rPr>
          <w:rFonts w:ascii="Montserrat" w:hAnsi="Montserrat"/>
        </w:rPr>
      </w:pPr>
      <w:r w:rsidRPr="000B76CE">
        <w:rPr>
          <w:rFonts w:ascii="Montserrat" w:hAnsi="Montserrat"/>
        </w:rPr>
        <w:t>Los derechos que</w:t>
      </w:r>
      <w:r w:rsidR="00756C85">
        <w:rPr>
          <w:rFonts w:ascii="Montserrat" w:hAnsi="Montserrat"/>
        </w:rPr>
        <w:t>,</w:t>
      </w:r>
      <w:r w:rsidRPr="000B76CE">
        <w:rPr>
          <w:rFonts w:ascii="Montserrat" w:hAnsi="Montserrat"/>
        </w:rPr>
        <w:t xml:space="preserve"> conforme al debido proceso</w:t>
      </w:r>
      <w:r w:rsidR="00756C85">
        <w:rPr>
          <w:rFonts w:ascii="Montserrat" w:hAnsi="Montserrat"/>
        </w:rPr>
        <w:t>,</w:t>
      </w:r>
      <w:r w:rsidRPr="000B76CE">
        <w:rPr>
          <w:rFonts w:ascii="Montserrat" w:hAnsi="Montserrat"/>
        </w:rPr>
        <w:t xml:space="preserve"> asisten a los extranjeros que se les ha instaurado un procedimiento administrativo migratorio, de conformidad con el artículo 70 y 109 de la Ley de Migraci</w:t>
      </w:r>
      <w:r w:rsidR="00756C85">
        <w:rPr>
          <w:rFonts w:ascii="Montserrat" w:hAnsi="Montserrat"/>
        </w:rPr>
        <w:t>ón son de manera enunciativa, ma</w:t>
      </w:r>
      <w:r w:rsidRPr="000B76CE">
        <w:rPr>
          <w:rFonts w:ascii="Montserrat" w:hAnsi="Montserrat"/>
        </w:rPr>
        <w:t xml:space="preserve">s no limitativa, los siguientes: </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Ser asistido o representado legalmente por la persona que designe durante el procedimiento administrativo migratorio.</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Facilidades para que las organizaciones de la sociedad civil ofrezcan servicios de asesoría y representación legal a los migrantes en situación migratoria irregular a quienes se les haya iniciado un procedimiento administrativo migratorio.</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Que el procedimiento sea sustanciado por autoridad competente; el derecho a ofrecer pruebas y alegar lo que a su derecho convenga, a tener acceso a las constancias del expediente administrativo migratorio.</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Contar con un traductor o intérprete para facilitar la comunicación, en caso de que no hable o no entienda el español.</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lastRenderedPageBreak/>
        <w:t>Que las resoluciones de la autoridad estén debidamente fundadas y motivadas.</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Interponer un recurso efectivo contra las resoluciones del Instituto.</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Ser visitado por sus familiares y por su representante legal.</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Recibir protección de su representación consular y comunicarse con ella.</w:t>
      </w:r>
    </w:p>
    <w:p w:rsidR="000B76CE" w:rsidRPr="000B76CE" w:rsidRDefault="000B76CE" w:rsidP="000B76CE">
      <w:pPr>
        <w:pStyle w:val="ListParagraph"/>
        <w:numPr>
          <w:ilvl w:val="0"/>
          <w:numId w:val="14"/>
        </w:numPr>
        <w:spacing w:after="200" w:line="276" w:lineRule="auto"/>
        <w:jc w:val="both"/>
        <w:rPr>
          <w:rFonts w:ascii="Montserrat" w:hAnsi="Montserrat"/>
        </w:rPr>
      </w:pPr>
      <w:r w:rsidRPr="000B76CE">
        <w:rPr>
          <w:rFonts w:ascii="Montserrat" w:hAnsi="Montserrat"/>
        </w:rPr>
        <w:t>Recibir por escrito sus derechos y obligaciones.</w:t>
      </w:r>
    </w:p>
    <w:p w:rsidR="000B76CE" w:rsidRPr="000B76CE" w:rsidRDefault="000B76CE" w:rsidP="000B76CE">
      <w:pPr>
        <w:jc w:val="both"/>
        <w:rPr>
          <w:rFonts w:ascii="Montserrat" w:hAnsi="Montserrat"/>
        </w:rPr>
      </w:pPr>
      <w:r w:rsidRPr="000B76CE">
        <w:rPr>
          <w:rFonts w:ascii="Montserrat" w:hAnsi="Montserrat"/>
        </w:rPr>
        <w:t xml:space="preserve">El cumplimiento al respeto de estas prerrogativas se encuentra supervisado y auditado por las propias Áreas Centrales del INM, por un Órgano Interno de Control, por la Función Pública y por la Auditoria Superior de la Federación, y por la Comisión Nacional de los Derechos Humanos, a través de los mecanismos de supervisión inherentes a sus propias facultades y atribuciones conferidas en Ley.   </w:t>
      </w:r>
    </w:p>
    <w:p w:rsidR="000B76CE" w:rsidRPr="000B76CE" w:rsidRDefault="000B76CE" w:rsidP="000B76CE">
      <w:pPr>
        <w:jc w:val="both"/>
        <w:rPr>
          <w:rFonts w:ascii="Montserrat" w:hAnsi="Montserrat"/>
        </w:rPr>
      </w:pPr>
      <w:r w:rsidRPr="000B76CE">
        <w:rPr>
          <w:rFonts w:ascii="Montserrat" w:hAnsi="Montserrat"/>
        </w:rPr>
        <w:t xml:space="preserve">Protección de las personas reconocidas como refugiadas y recipientes de protección complementaria: </w:t>
      </w:r>
    </w:p>
    <w:p w:rsidR="000B76CE" w:rsidRPr="00756C85" w:rsidRDefault="000B76CE" w:rsidP="000B76CE">
      <w:pPr>
        <w:jc w:val="both"/>
        <w:rPr>
          <w:rFonts w:ascii="Montserrat" w:hAnsi="Montserrat"/>
          <w:b/>
        </w:rPr>
      </w:pPr>
      <w:r w:rsidRPr="00756C85">
        <w:rPr>
          <w:rFonts w:ascii="Montserrat" w:hAnsi="Montserrat"/>
          <w:b/>
        </w:rPr>
        <w:t>Sobr</w:t>
      </w:r>
      <w:r w:rsidR="00756C85">
        <w:rPr>
          <w:rFonts w:ascii="Montserrat" w:hAnsi="Montserrat"/>
          <w:b/>
        </w:rPr>
        <w:t>e el principio de no devolución</w:t>
      </w:r>
    </w:p>
    <w:p w:rsidR="000B76CE" w:rsidRPr="000B76CE" w:rsidRDefault="000B76CE" w:rsidP="000B76CE">
      <w:pPr>
        <w:jc w:val="both"/>
        <w:rPr>
          <w:rFonts w:ascii="Montserrat" w:hAnsi="Montserrat"/>
        </w:rPr>
      </w:pPr>
      <w:r w:rsidRPr="000B76CE">
        <w:rPr>
          <w:rFonts w:ascii="Montserrat" w:hAnsi="Montserrat"/>
        </w:rPr>
        <w:t>Ningún solicitante de refugio podrá ser</w:t>
      </w:r>
      <w:r w:rsidR="00756C85">
        <w:rPr>
          <w:rFonts w:ascii="Montserrat" w:hAnsi="Montserrat"/>
        </w:rPr>
        <w:t>,</w:t>
      </w:r>
      <w:r w:rsidRPr="000B76CE">
        <w:rPr>
          <w:rFonts w:ascii="Montserrat" w:hAnsi="Montserrat"/>
        </w:rPr>
        <w:t xml:space="preserve"> en modo alguno</w:t>
      </w:r>
      <w:r w:rsidR="00756C85">
        <w:rPr>
          <w:rFonts w:ascii="Montserrat" w:hAnsi="Montserrat"/>
        </w:rPr>
        <w:t>,</w:t>
      </w:r>
      <w:r w:rsidRPr="000B76CE">
        <w:rPr>
          <w:rFonts w:ascii="Montserrat" w:hAnsi="Montserrat"/>
        </w:rPr>
        <w:t xml:space="preserve"> rechazado en frontera o devuelto de cualquier forma al territorio de otro país en donde su vida peligre o en donde existen razones fundadas para considerar que la persona estaría en peligro de ser sometido a tortura u otros tratos o penas crueles, inhumanos o degradantes. (Artículo 6to de la Ley sobre Refugiados, Protección Complementaria y Asilo Político, Artículo 33 de la Convención sobre el Estatuto de los Refugiados, Artículo 3 de la Convención sobre la Tortura y otros Tratos o Penas Crueles, Inhumanos o Degradantes)</w:t>
      </w:r>
    </w:p>
    <w:p w:rsidR="000B76CE" w:rsidRPr="000B76CE" w:rsidRDefault="000B76CE" w:rsidP="000B76CE">
      <w:pPr>
        <w:jc w:val="both"/>
        <w:rPr>
          <w:rFonts w:ascii="Montserrat" w:hAnsi="Montserrat"/>
        </w:rPr>
      </w:pPr>
      <w:r w:rsidRPr="000B76CE">
        <w:rPr>
          <w:rFonts w:ascii="Montserrat" w:hAnsi="Montserrat"/>
        </w:rPr>
        <w:t>Como persona refugiada o bajo la protección complementaria las personas tienen derecho a:</w:t>
      </w:r>
    </w:p>
    <w:p w:rsidR="000B76CE" w:rsidRPr="000B76CE" w:rsidRDefault="000B76CE" w:rsidP="000B76CE">
      <w:pPr>
        <w:pStyle w:val="ListParagraph"/>
        <w:numPr>
          <w:ilvl w:val="0"/>
          <w:numId w:val="15"/>
        </w:numPr>
        <w:spacing w:after="200" w:line="276" w:lineRule="auto"/>
        <w:jc w:val="both"/>
        <w:rPr>
          <w:rFonts w:ascii="Montserrat" w:hAnsi="Montserrat"/>
        </w:rPr>
      </w:pPr>
      <w:r w:rsidRPr="000B76CE">
        <w:rPr>
          <w:rFonts w:ascii="Montserrat" w:hAnsi="Montserrat"/>
        </w:rPr>
        <w:t>Recibir apoyo de las instituciones públicas para el ejercicio y respeto de mis derechos</w:t>
      </w:r>
    </w:p>
    <w:p w:rsidR="000B76CE" w:rsidRPr="000B76CE" w:rsidRDefault="000B76CE" w:rsidP="000B76CE">
      <w:pPr>
        <w:pStyle w:val="ListParagraph"/>
        <w:numPr>
          <w:ilvl w:val="0"/>
          <w:numId w:val="15"/>
        </w:numPr>
        <w:spacing w:after="200" w:line="276" w:lineRule="auto"/>
        <w:jc w:val="both"/>
        <w:rPr>
          <w:rFonts w:ascii="Montserrat" w:hAnsi="Montserrat"/>
        </w:rPr>
      </w:pPr>
      <w:r w:rsidRPr="000B76CE">
        <w:rPr>
          <w:rFonts w:ascii="Montserrat" w:hAnsi="Montserrat"/>
        </w:rPr>
        <w:t xml:space="preserve">Recibir servicios de salud </w:t>
      </w:r>
    </w:p>
    <w:p w:rsidR="000B76CE" w:rsidRPr="000B76CE" w:rsidRDefault="000B76CE" w:rsidP="000B76CE">
      <w:pPr>
        <w:pStyle w:val="ListParagraph"/>
        <w:numPr>
          <w:ilvl w:val="0"/>
          <w:numId w:val="15"/>
        </w:numPr>
        <w:spacing w:after="200" w:line="276" w:lineRule="auto"/>
        <w:jc w:val="both"/>
        <w:rPr>
          <w:rFonts w:ascii="Montserrat" w:hAnsi="Montserrat"/>
        </w:rPr>
      </w:pPr>
      <w:r w:rsidRPr="000B76CE">
        <w:rPr>
          <w:rFonts w:ascii="Montserrat" w:hAnsi="Montserrat"/>
        </w:rPr>
        <w:t>Recibir educación y, en su caso, el reconocimiento de mis estudios</w:t>
      </w:r>
    </w:p>
    <w:p w:rsidR="000B76CE" w:rsidRPr="000B76CE" w:rsidRDefault="000B76CE" w:rsidP="000B76CE">
      <w:pPr>
        <w:pStyle w:val="ListParagraph"/>
        <w:numPr>
          <w:ilvl w:val="0"/>
          <w:numId w:val="15"/>
        </w:numPr>
        <w:spacing w:after="200" w:line="276" w:lineRule="auto"/>
        <w:jc w:val="both"/>
        <w:rPr>
          <w:rFonts w:ascii="Montserrat" w:hAnsi="Montserrat"/>
        </w:rPr>
      </w:pPr>
      <w:r w:rsidRPr="000B76CE">
        <w:rPr>
          <w:rFonts w:ascii="Montserrat" w:hAnsi="Montserrat"/>
        </w:rPr>
        <w:t xml:space="preserve">Ejercer el derecho al trabajo, dedicándome a cualquier actividad, siempre y cuando sea lícita </w:t>
      </w:r>
    </w:p>
    <w:p w:rsidR="000B76CE" w:rsidRPr="000B76CE" w:rsidRDefault="000B76CE" w:rsidP="000B76CE">
      <w:pPr>
        <w:pStyle w:val="ListParagraph"/>
        <w:numPr>
          <w:ilvl w:val="0"/>
          <w:numId w:val="15"/>
        </w:numPr>
        <w:spacing w:after="200" w:line="276" w:lineRule="auto"/>
        <w:jc w:val="both"/>
        <w:rPr>
          <w:rFonts w:ascii="Montserrat" w:hAnsi="Montserrat"/>
        </w:rPr>
      </w:pPr>
      <w:r w:rsidRPr="000B76CE">
        <w:rPr>
          <w:rFonts w:ascii="Montserrat" w:hAnsi="Montserrat"/>
        </w:rPr>
        <w:t>Obtener el documento de identidad y viaje expedido por la Secretaría de Relaciones Exteriores Obtener el documento migratorio expedido por la Secretaría, que acredite mi condición de estancia en México como residente permanente.</w:t>
      </w:r>
    </w:p>
    <w:p w:rsidR="000B76CE" w:rsidRPr="000B76CE" w:rsidRDefault="000B76CE" w:rsidP="000B76CE">
      <w:pPr>
        <w:jc w:val="both"/>
        <w:rPr>
          <w:rFonts w:ascii="Montserrat" w:hAnsi="Montserrat"/>
        </w:rPr>
      </w:pPr>
      <w:r w:rsidRPr="000B76CE">
        <w:rPr>
          <w:rFonts w:ascii="Montserrat" w:hAnsi="Montserrat"/>
        </w:rPr>
        <w:t>(Artículo 44 de la Ley sobre Refugiados, Protección Complementaria y Asilo Político).</w:t>
      </w:r>
    </w:p>
    <w:p w:rsidR="000B76CE" w:rsidRPr="000B76CE" w:rsidRDefault="000B76CE" w:rsidP="000B76CE">
      <w:pPr>
        <w:jc w:val="both"/>
        <w:rPr>
          <w:rFonts w:ascii="Montserrat" w:hAnsi="Montserrat"/>
          <w:b/>
        </w:rPr>
      </w:pPr>
      <w:r w:rsidRPr="000B76CE">
        <w:rPr>
          <w:rFonts w:ascii="Montserrat" w:hAnsi="Montserrat"/>
          <w:b/>
        </w:rPr>
        <w:t xml:space="preserve">Mecanismos de revisión y apelación disponibles </w:t>
      </w:r>
    </w:p>
    <w:p w:rsidR="000B76CE" w:rsidRPr="000B76CE" w:rsidRDefault="000B76CE" w:rsidP="000B76CE">
      <w:pPr>
        <w:jc w:val="both"/>
        <w:rPr>
          <w:rFonts w:ascii="Montserrat" w:hAnsi="Montserrat"/>
        </w:rPr>
      </w:pPr>
      <w:r w:rsidRPr="000B76CE">
        <w:rPr>
          <w:rFonts w:ascii="Montserrat" w:hAnsi="Montserrat"/>
        </w:rPr>
        <w:t>Migración:</w:t>
      </w:r>
    </w:p>
    <w:p w:rsidR="000B76CE" w:rsidRPr="000B76CE" w:rsidRDefault="000B76CE" w:rsidP="000B76CE">
      <w:pPr>
        <w:jc w:val="both"/>
        <w:rPr>
          <w:rFonts w:ascii="Montserrat" w:hAnsi="Montserrat"/>
        </w:rPr>
      </w:pPr>
      <w:r w:rsidRPr="000B76CE">
        <w:rPr>
          <w:rFonts w:ascii="Montserrat" w:hAnsi="Montserrat"/>
        </w:rPr>
        <w:lastRenderedPageBreak/>
        <w:t xml:space="preserve">Para el caso de migración existen dos </w:t>
      </w:r>
      <w:proofErr w:type="gramStart"/>
      <w:r w:rsidRPr="000B76CE">
        <w:rPr>
          <w:rFonts w:ascii="Montserrat" w:hAnsi="Montserrat"/>
        </w:rPr>
        <w:t>conceptos  que</w:t>
      </w:r>
      <w:proofErr w:type="gramEnd"/>
      <w:r w:rsidRPr="000B76CE">
        <w:rPr>
          <w:rFonts w:ascii="Montserrat" w:hAnsi="Montserrat"/>
        </w:rPr>
        <w:t xml:space="preserve"> durante la sustentación fueron usados como sinónimos de expulsión y que</w:t>
      </w:r>
      <w:r w:rsidR="00756C85">
        <w:rPr>
          <w:rFonts w:ascii="Montserrat" w:hAnsi="Montserrat"/>
        </w:rPr>
        <w:t>,</w:t>
      </w:r>
      <w:r w:rsidRPr="000B76CE">
        <w:rPr>
          <w:rFonts w:ascii="Montserrat" w:hAnsi="Montserrat"/>
        </w:rPr>
        <w:t xml:space="preserve"> legalmente, tienen connotaciones diferentes:</w:t>
      </w:r>
    </w:p>
    <w:p w:rsidR="000B76CE" w:rsidRPr="000B76CE" w:rsidRDefault="000B76CE" w:rsidP="000B76CE">
      <w:pPr>
        <w:jc w:val="both"/>
        <w:rPr>
          <w:rFonts w:ascii="Montserrat" w:hAnsi="Montserrat"/>
        </w:rPr>
      </w:pPr>
      <w:r w:rsidRPr="00756C85">
        <w:rPr>
          <w:rFonts w:ascii="Montserrat" w:hAnsi="Montserrat"/>
          <w:u w:val="single"/>
        </w:rPr>
        <w:t>Retorno asistido:</w:t>
      </w:r>
      <w:r w:rsidRPr="000B76CE">
        <w:rPr>
          <w:rFonts w:ascii="Montserrat" w:hAnsi="Montserrat"/>
        </w:rPr>
        <w:t xml:space="preserve"> La Ley de Migración define al retorno asistido como el procedimiento por el que el Instituto Nacional de Migración hace abandonar el territorio nacional a un extranjero, remitiéndolo a su país de origen o de residencia habitual.</w:t>
      </w:r>
    </w:p>
    <w:p w:rsidR="000B76CE" w:rsidRPr="000B76CE" w:rsidRDefault="000B76CE" w:rsidP="000B76CE">
      <w:pPr>
        <w:jc w:val="both"/>
        <w:rPr>
          <w:rFonts w:ascii="Montserrat" w:hAnsi="Montserrat"/>
        </w:rPr>
      </w:pPr>
      <w:r w:rsidRPr="00756C85">
        <w:rPr>
          <w:rFonts w:ascii="Montserrat" w:hAnsi="Montserrat"/>
          <w:u w:val="single"/>
        </w:rPr>
        <w:t>Deportación</w:t>
      </w:r>
      <w:r w:rsidRPr="000B76CE">
        <w:rPr>
          <w:rFonts w:ascii="Montserrat" w:hAnsi="Montserrat"/>
        </w:rPr>
        <w:t>: es la medida dictada por el Instituto mediante la cual se ordena la salida del territorio nacional de un extranjero y se determina el período durante el cual no podrá reingresar al mismo, cuando incurra en los supuestos previstos en la Ley de Migración.</w:t>
      </w:r>
    </w:p>
    <w:p w:rsidR="000B76CE" w:rsidRPr="000B76CE" w:rsidRDefault="000B76CE" w:rsidP="000B76CE">
      <w:pPr>
        <w:jc w:val="both"/>
        <w:rPr>
          <w:rFonts w:ascii="Montserrat" w:hAnsi="Montserrat"/>
        </w:rPr>
      </w:pPr>
      <w:r w:rsidRPr="000B76CE">
        <w:rPr>
          <w:rFonts w:ascii="Montserrat" w:hAnsi="Montserrat"/>
        </w:rPr>
        <w:t>Entre los mecanismos de apelación o recursos existentes para las personas en proceso de deportación se encuentran:</w:t>
      </w:r>
    </w:p>
    <w:p w:rsidR="000B76CE" w:rsidRPr="000B76CE" w:rsidRDefault="000B76CE" w:rsidP="000B76CE">
      <w:pPr>
        <w:jc w:val="both"/>
        <w:rPr>
          <w:rFonts w:ascii="Montserrat" w:hAnsi="Montserrat"/>
        </w:rPr>
      </w:pPr>
      <w:r w:rsidRPr="000B76CE">
        <w:rPr>
          <w:rFonts w:ascii="Montserrat" w:hAnsi="Montserrat"/>
        </w:rPr>
        <w:t xml:space="preserve">El </w:t>
      </w:r>
      <w:r w:rsidRPr="00756C85">
        <w:rPr>
          <w:rFonts w:ascii="Montserrat" w:hAnsi="Montserrat"/>
          <w:u w:val="single"/>
        </w:rPr>
        <w:t>recurso de revisión</w:t>
      </w:r>
      <w:r w:rsidRPr="000B76CE">
        <w:rPr>
          <w:rFonts w:ascii="Montserrat" w:hAnsi="Montserrat"/>
        </w:rPr>
        <w:t xml:space="preserve"> </w:t>
      </w:r>
      <w:r w:rsidR="00756C85">
        <w:rPr>
          <w:rFonts w:ascii="Montserrat" w:hAnsi="Montserrat"/>
        </w:rPr>
        <w:t>regulado</w:t>
      </w:r>
      <w:r w:rsidRPr="000B76CE">
        <w:rPr>
          <w:rFonts w:ascii="Montserrat" w:hAnsi="Montserrat"/>
        </w:rPr>
        <w:t xml:space="preserve"> en los artículos 83 al 96 de la Ley Federal de Procedimiento administrativo, aplicada de manera supletoria en materia migratoria</w:t>
      </w:r>
      <w:r w:rsidR="00756C85">
        <w:rPr>
          <w:rFonts w:ascii="Montserrat" w:hAnsi="Montserrat"/>
        </w:rPr>
        <w:t>,</w:t>
      </w:r>
      <w:r w:rsidRPr="000B76CE">
        <w:rPr>
          <w:rFonts w:ascii="Montserrat" w:hAnsi="Montserrat"/>
        </w:rPr>
        <w:t xml:space="preserve"> establece que los interesados afectados por los actos y resoluciones de las autoridades administrativas, como es el caso del Instituto Nacional de Migración, que pongan fin al procedimiento administrativo, a una instancia o resuelvan un expediente, podrán interponer el recurso de </w:t>
      </w:r>
      <w:r w:rsidRPr="00756C85">
        <w:rPr>
          <w:rFonts w:ascii="Montserrat" w:hAnsi="Montserrat"/>
        </w:rPr>
        <w:t>revisión</w:t>
      </w:r>
      <w:r w:rsidRPr="000B76CE">
        <w:rPr>
          <w:rFonts w:ascii="Montserrat" w:hAnsi="Montserrat"/>
        </w:rPr>
        <w:t xml:space="preserve">. Es importante señalar que de conformidad con el artículo 87 del Reglamento Interior de la Secretaría de Gobernación compete a la Dirección General Jurídica de Derechos Humanos y Transparencia, pronunciarse respecto a los recursos de revisión interpuestos por lo extranjeros. </w:t>
      </w:r>
    </w:p>
    <w:p w:rsidR="000B76CE" w:rsidRPr="000B76CE" w:rsidRDefault="000B76CE" w:rsidP="000B76CE">
      <w:pPr>
        <w:jc w:val="both"/>
        <w:rPr>
          <w:rFonts w:ascii="Montserrat" w:hAnsi="Montserrat"/>
        </w:rPr>
      </w:pPr>
      <w:r w:rsidRPr="000B76CE">
        <w:rPr>
          <w:rFonts w:ascii="Montserrat" w:hAnsi="Montserrat"/>
        </w:rPr>
        <w:t xml:space="preserve">El </w:t>
      </w:r>
      <w:r w:rsidRPr="00756C85">
        <w:rPr>
          <w:rFonts w:ascii="Montserrat" w:hAnsi="Montserrat"/>
          <w:u w:val="single"/>
        </w:rPr>
        <w:t>Juicio de Nulidad</w:t>
      </w:r>
      <w:r w:rsidRPr="00756C85">
        <w:rPr>
          <w:rFonts w:ascii="Montserrat" w:hAnsi="Montserrat"/>
        </w:rPr>
        <w:t xml:space="preserve"> </w:t>
      </w:r>
      <w:r w:rsidRPr="000B76CE">
        <w:rPr>
          <w:rFonts w:ascii="Montserrat" w:hAnsi="Montserrat"/>
        </w:rPr>
        <w:t>que podrá presentarse ante los Tribunales Administrativos competentes por Jurisdicción, de conformidad con los artículos 5, 6 y 7 de la Ley Federal de Procedimiento administrativo, aplicada de manera supletoria en materia migratoria. El Juicio de amparo que podrá presentarse ante los Juzgados de Distrito en Materia Administrativa, competentes por Jurisdicción, de conformidad con el artículo 52 de la Ley de Amparo. Es importante señalar que los resultados correspondientes</w:t>
      </w:r>
      <w:r w:rsidR="00756C85">
        <w:rPr>
          <w:rFonts w:ascii="Montserrat" w:hAnsi="Montserrat"/>
        </w:rPr>
        <w:t xml:space="preserve"> </w:t>
      </w:r>
      <w:r w:rsidRPr="000B76CE">
        <w:rPr>
          <w:rFonts w:ascii="Montserrat" w:hAnsi="Montserrat"/>
        </w:rPr>
        <w:t>obedecen a las determinaciones de las autoridades antes señaladas como competentes y que las cifras sobre los mismos no se encuentran en posesión de esta autoridad migratoria.</w:t>
      </w:r>
    </w:p>
    <w:p w:rsidR="000B76CE" w:rsidRPr="000B76CE" w:rsidRDefault="000B76CE" w:rsidP="000B76CE">
      <w:pPr>
        <w:jc w:val="both"/>
        <w:rPr>
          <w:rFonts w:ascii="Montserrat" w:hAnsi="Montserrat"/>
        </w:rPr>
      </w:pPr>
      <w:r w:rsidRPr="00756C85">
        <w:rPr>
          <w:rFonts w:ascii="Montserrat" w:hAnsi="Montserrat"/>
        </w:rPr>
        <w:t>Refugio</w:t>
      </w:r>
      <w:r w:rsidRPr="000B76CE">
        <w:rPr>
          <w:rFonts w:ascii="Montserrat" w:hAnsi="Montserrat"/>
        </w:rPr>
        <w:t>:</w:t>
      </w:r>
    </w:p>
    <w:p w:rsidR="000B76CE" w:rsidRPr="000B76CE" w:rsidRDefault="000B76CE" w:rsidP="000B76CE">
      <w:pPr>
        <w:jc w:val="both"/>
        <w:rPr>
          <w:rFonts w:ascii="Montserrat" w:hAnsi="Montserrat"/>
        </w:rPr>
      </w:pPr>
      <w:r w:rsidRPr="000B76CE">
        <w:rPr>
          <w:rFonts w:ascii="Montserrat" w:hAnsi="Montserrat"/>
        </w:rPr>
        <w:t xml:space="preserve">En el caso de la solicitud de reconocimiento de la condición de refugiado o refugiada, estando presentado en una Estación Migratoria del Instituto Nacional de Migración (INM), se debe presentar la solicitud de refugio por escrito ante el INM, para que éste lo informe de inmediato a la Coordinación General de la Comisión Mexicana de Ayuda a Refugiados (COMAR). </w:t>
      </w:r>
    </w:p>
    <w:p w:rsidR="000B76CE" w:rsidRPr="000B76CE" w:rsidRDefault="000B76CE" w:rsidP="000B76CE">
      <w:pPr>
        <w:jc w:val="both"/>
        <w:rPr>
          <w:rFonts w:ascii="Montserrat" w:hAnsi="Montserrat"/>
        </w:rPr>
      </w:pPr>
      <w:r w:rsidRPr="000B76CE">
        <w:rPr>
          <w:rFonts w:ascii="Montserrat" w:hAnsi="Montserrat"/>
        </w:rPr>
        <w:t xml:space="preserve">Si se trata una persona extranjera que no se encuentro </w:t>
      </w:r>
      <w:proofErr w:type="gramStart"/>
      <w:r w:rsidRPr="000B76CE">
        <w:rPr>
          <w:rFonts w:ascii="Montserrat" w:hAnsi="Montserrat"/>
        </w:rPr>
        <w:t>presentada,  se</w:t>
      </w:r>
      <w:proofErr w:type="gramEnd"/>
      <w:r w:rsidRPr="000B76CE">
        <w:rPr>
          <w:rFonts w:ascii="Montserrat" w:hAnsi="Montserrat"/>
        </w:rPr>
        <w:t xml:space="preserve"> puede dirigir a las oficinas del INM, o bien acudir personalmente a las oficinas de la COMAR dentro de los primeros 30 días siguientes al ingreso a territorio mexicano </w:t>
      </w:r>
      <w:r w:rsidRPr="000B76CE">
        <w:rPr>
          <w:rFonts w:ascii="Montserrat" w:hAnsi="Montserrat"/>
        </w:rPr>
        <w:lastRenderedPageBreak/>
        <w:t>para presentar mi solicitud. La COMAR se encargaría de notificar al INM de la solicitud con la finalidad de garantizar la no devolución.</w:t>
      </w:r>
    </w:p>
    <w:p w:rsidR="000B76CE" w:rsidRPr="000B76CE" w:rsidRDefault="000B76CE" w:rsidP="000B76CE">
      <w:pPr>
        <w:jc w:val="both"/>
        <w:rPr>
          <w:rFonts w:ascii="Montserrat" w:hAnsi="Montserrat"/>
        </w:rPr>
      </w:pPr>
      <w:r w:rsidRPr="000B76CE">
        <w:rPr>
          <w:rFonts w:ascii="Montserrat" w:hAnsi="Montserrat"/>
        </w:rPr>
        <w:t>La COMAR realiza una investigación a detalle de las condiciones sobre mi país de origen, en la cual recopila</w:t>
      </w:r>
      <w:r w:rsidR="00756C85">
        <w:rPr>
          <w:rFonts w:ascii="Montserrat" w:hAnsi="Montserrat"/>
        </w:rPr>
        <w:t>, para cada solicitud individual,</w:t>
      </w:r>
      <w:r w:rsidRPr="000B76CE">
        <w:rPr>
          <w:rFonts w:ascii="Montserrat" w:hAnsi="Montserrat"/>
        </w:rPr>
        <w:t xml:space="preserve"> la opinión de la Secretaría de Relaciones Exteriores con respecto al contexto del país del cual proviene él/la solicitante de la condición de refugiado o protección complementaria</w:t>
      </w:r>
      <w:r w:rsidR="00756C85">
        <w:rPr>
          <w:rFonts w:ascii="Montserrat" w:hAnsi="Montserrat"/>
        </w:rPr>
        <w:t xml:space="preserve"> y sin éste se realizan violaciones generalizadas o sistemáticas de derechos humanos, incluida la tortura y otros tratos o penas crueles, inhumanos o degradantes</w:t>
      </w:r>
      <w:r w:rsidRPr="000B76CE">
        <w:rPr>
          <w:rFonts w:ascii="Montserrat" w:hAnsi="Montserrat"/>
        </w:rPr>
        <w:t xml:space="preserve">. </w:t>
      </w:r>
    </w:p>
    <w:p w:rsidR="000B76CE" w:rsidRPr="000B76CE" w:rsidRDefault="000B76CE" w:rsidP="000B76CE">
      <w:pPr>
        <w:jc w:val="both"/>
        <w:rPr>
          <w:rFonts w:ascii="Montserrat" w:hAnsi="Montserrat"/>
        </w:rPr>
      </w:pPr>
      <w:r w:rsidRPr="000B76CE">
        <w:rPr>
          <w:rFonts w:ascii="Montserrat" w:hAnsi="Montserrat"/>
        </w:rPr>
        <w:t>Asimismo, la COMAR, tomando en cuenta los hechos narrados durante la entrevista y la investigación de información; realiza el análisis de la solicitud de reconocimiento de la condición de refugiado y dentro del plazo de 45 días hábiles posteriores a la presentación de la solicitud, debe emitir una resolución fundada y motivada respecto del reconocimiento o no de la condición de refugiado.</w:t>
      </w:r>
    </w:p>
    <w:p w:rsidR="000B76CE" w:rsidRPr="000B76CE" w:rsidRDefault="000B76CE" w:rsidP="000B76CE">
      <w:pPr>
        <w:jc w:val="both"/>
        <w:rPr>
          <w:rFonts w:ascii="Montserrat" w:hAnsi="Montserrat"/>
        </w:rPr>
      </w:pPr>
      <w:r w:rsidRPr="000B76CE">
        <w:rPr>
          <w:rFonts w:ascii="Montserrat" w:hAnsi="Montserrat"/>
        </w:rPr>
        <w:t>(Artículo 59 de la Ley de Migración, artículos 18 al 25 de la Ley sobre Refugiados, Protección Complementaria y Asilo Político).</w:t>
      </w:r>
    </w:p>
    <w:p w:rsidR="000B76CE" w:rsidRPr="00756C85" w:rsidRDefault="000B76CE" w:rsidP="000B76CE">
      <w:pPr>
        <w:jc w:val="both"/>
        <w:rPr>
          <w:rFonts w:ascii="Montserrat" w:hAnsi="Montserrat"/>
          <w:u w:val="single"/>
        </w:rPr>
      </w:pPr>
      <w:r w:rsidRPr="00756C85">
        <w:rPr>
          <w:rFonts w:ascii="Montserrat" w:hAnsi="Montserrat"/>
          <w:u w:val="single"/>
        </w:rPr>
        <w:t>Recurso de revisión</w:t>
      </w:r>
    </w:p>
    <w:p w:rsidR="000B76CE" w:rsidRPr="000B76CE" w:rsidRDefault="000B76CE" w:rsidP="000B76CE">
      <w:pPr>
        <w:jc w:val="both"/>
        <w:rPr>
          <w:rFonts w:ascii="Montserrat" w:hAnsi="Montserrat"/>
        </w:rPr>
      </w:pPr>
      <w:r w:rsidRPr="000B76CE">
        <w:rPr>
          <w:rFonts w:ascii="Montserrat" w:hAnsi="Montserrat"/>
        </w:rPr>
        <w:t>A los 45 días después de haber presentado la solicitud de reconocimiento de la condición de refugiado, la COMAR debe emitir una resolución por escrito, fundada y motivada, la cual debe notificarse al interesado. Si no obtuve el reconocimiento de la condición de refugiado ni la protección complementaria, se cuenta con la posibilidad de presentar un recurso de revisión ante la propia COMAR, ya sea personalmente o a través de un representante legal, de la solicitud dentro de los 15 días hábiles contados a partir de la notificación respectiva.</w:t>
      </w:r>
    </w:p>
    <w:p w:rsidR="00CF5D10" w:rsidRDefault="000B76CE" w:rsidP="00CF5D10">
      <w:pPr>
        <w:jc w:val="both"/>
        <w:rPr>
          <w:rFonts w:ascii="Montserrat" w:hAnsi="Montserrat"/>
        </w:rPr>
      </w:pPr>
      <w:r w:rsidRPr="000B76CE">
        <w:rPr>
          <w:rFonts w:ascii="Montserrat" w:hAnsi="Montserrat"/>
        </w:rPr>
        <w:t>Si el resultado del recurso de revisión aún no es favorable, y el interesado no está de acuerdo con el resultado, o si considera que los derechos dentro del procedimiento fueron violados, puede apelarse dicha resolución, ya sea personalmente o a través de un representante legal, ante el Poder Judicial Federal a través de un juicio de amparo o ante el Tribunal Federal de Justicia Fiscal y Administrativa a través de un juicio contencioso administrativo.</w:t>
      </w:r>
    </w:p>
    <w:p w:rsidR="00CF5D10" w:rsidRPr="00CF5D10" w:rsidRDefault="00CF5D10" w:rsidP="00CF5D10">
      <w:pPr>
        <w:jc w:val="both"/>
        <w:rPr>
          <w:rFonts w:ascii="Montserrat" w:hAnsi="Montserrat"/>
        </w:rPr>
      </w:pPr>
      <w:r w:rsidRPr="00CF5D10">
        <w:rPr>
          <w:rFonts w:ascii="Montserrat" w:hAnsi="Montserrat"/>
          <w:b/>
        </w:rPr>
        <w:t>Acuerdo ACNUDH Guardia Nacional</w:t>
      </w:r>
    </w:p>
    <w:p w:rsidR="00CF5D10" w:rsidRPr="00CF5D10" w:rsidRDefault="00CF5D10" w:rsidP="00CF5D10">
      <w:pPr>
        <w:pStyle w:val="Body"/>
        <w:spacing w:line="240" w:lineRule="auto"/>
        <w:ind w:firstLine="0"/>
        <w:jc w:val="both"/>
        <w:rPr>
          <w:rFonts w:ascii="Montserrat" w:eastAsia="Calibri" w:hAnsi="Montserrat" w:cs="Times New Roman"/>
          <w:color w:val="auto"/>
          <w:sz w:val="22"/>
          <w:szCs w:val="22"/>
          <w:bdr w:val="none" w:sz="0" w:space="0" w:color="auto"/>
          <w:lang w:eastAsia="en-US"/>
        </w:rPr>
      </w:pPr>
      <w:r w:rsidRPr="00CF5D10">
        <w:rPr>
          <w:rFonts w:ascii="Montserrat" w:eastAsia="Calibri" w:hAnsi="Montserrat" w:cs="Times New Roman"/>
          <w:color w:val="auto"/>
          <w:sz w:val="22"/>
          <w:szCs w:val="22"/>
          <w:bdr w:val="none" w:sz="0" w:space="0" w:color="auto"/>
          <w:lang w:eastAsia="en-US"/>
        </w:rPr>
        <w:t>La firma del Acuerdo entre el gobierno de México y la OACNUDH es prueba tanto del compromiso con la paz y la seguridad, como de la confianza que México deposita en el Sistema Universal de Derechos Humanos. Reconoció el valor de ese Sistema para asegurar la protección y respeto a los derechos y libertades fundamentales, así como para promover la cooperación internacional en temas comunes a todas las naciones.</w:t>
      </w:r>
    </w:p>
    <w:p w:rsidR="00CF5D10" w:rsidRPr="00CF5D10" w:rsidRDefault="00CF5D10" w:rsidP="00CF5D10">
      <w:pPr>
        <w:pStyle w:val="Body"/>
        <w:spacing w:line="240" w:lineRule="auto"/>
        <w:ind w:firstLine="0"/>
        <w:rPr>
          <w:rFonts w:ascii="Montserrat" w:eastAsia="Calibri" w:hAnsi="Montserrat" w:cs="Times New Roman"/>
          <w:color w:val="auto"/>
          <w:sz w:val="22"/>
          <w:szCs w:val="22"/>
          <w:bdr w:val="none" w:sz="0" w:space="0" w:color="auto"/>
          <w:lang w:eastAsia="en-US"/>
        </w:rPr>
      </w:pPr>
    </w:p>
    <w:p w:rsidR="00CF5D10" w:rsidRPr="00CF5D10" w:rsidRDefault="00CF5D10" w:rsidP="00CF5D10">
      <w:pPr>
        <w:pStyle w:val="Body"/>
        <w:spacing w:line="240" w:lineRule="auto"/>
        <w:ind w:firstLine="0"/>
        <w:jc w:val="both"/>
        <w:rPr>
          <w:rFonts w:ascii="Montserrat" w:eastAsia="Calibri" w:hAnsi="Montserrat" w:cs="Times New Roman"/>
          <w:color w:val="auto"/>
          <w:sz w:val="22"/>
          <w:szCs w:val="22"/>
          <w:bdr w:val="none" w:sz="0" w:space="0" w:color="auto"/>
          <w:lang w:eastAsia="en-US"/>
        </w:rPr>
      </w:pPr>
      <w:r w:rsidRPr="00CF5D10">
        <w:rPr>
          <w:rFonts w:ascii="Montserrat" w:eastAsia="Calibri" w:hAnsi="Montserrat" w:cs="Times New Roman"/>
          <w:color w:val="auto"/>
          <w:sz w:val="22"/>
          <w:szCs w:val="22"/>
          <w:bdr w:val="none" w:sz="0" w:space="0" w:color="auto"/>
          <w:lang w:eastAsia="en-US"/>
        </w:rPr>
        <w:t xml:space="preserve">De igual forma, el Plan Nacional de Paz y Seguridad 2018-2024 del Presidente Andrés Manuel López Obrador, se fundamenta en la reorientación del papel de </w:t>
      </w:r>
      <w:r w:rsidRPr="00CF5D10">
        <w:rPr>
          <w:rFonts w:ascii="Montserrat" w:eastAsia="Calibri" w:hAnsi="Montserrat" w:cs="Times New Roman"/>
          <w:color w:val="auto"/>
          <w:sz w:val="22"/>
          <w:szCs w:val="22"/>
          <w:bdr w:val="none" w:sz="0" w:space="0" w:color="auto"/>
          <w:lang w:eastAsia="en-US"/>
        </w:rPr>
        <w:lastRenderedPageBreak/>
        <w:t>las Fuerzas Armadas y la creación de una Guardia Nacional, destacando el “pleno respeto y promoción de los derechos humanos”; y reconoce que la reconstrucción de la paz, implica atender el legítimo reclamo de los familiares de personas desaparecidas y víctimas de violaciones de derechos humanos, a fin de garantizar el derecho a la verdad, a la justicia y a la reparación integral, la cual comprende medidas de restitución, rehabilitación, compensación, satisfacción y garantías la no repetición.</w:t>
      </w:r>
    </w:p>
    <w:p w:rsidR="00CF5D10" w:rsidRPr="00CF5D10" w:rsidRDefault="00CF5D10" w:rsidP="00CF5D10">
      <w:pPr>
        <w:pStyle w:val="Body"/>
        <w:spacing w:line="240" w:lineRule="auto"/>
        <w:ind w:firstLine="0"/>
        <w:jc w:val="both"/>
        <w:rPr>
          <w:rFonts w:ascii="Montserrat" w:eastAsia="Calibri" w:hAnsi="Montserrat" w:cs="Times New Roman"/>
          <w:color w:val="auto"/>
          <w:sz w:val="22"/>
          <w:szCs w:val="22"/>
          <w:bdr w:val="none" w:sz="0" w:space="0" w:color="auto"/>
          <w:lang w:eastAsia="en-US"/>
        </w:rPr>
      </w:pPr>
    </w:p>
    <w:p w:rsidR="00CF5D10" w:rsidRPr="00CF5D10" w:rsidRDefault="00CF5D10" w:rsidP="00CF5D10">
      <w:pPr>
        <w:pStyle w:val="Body"/>
        <w:spacing w:line="240" w:lineRule="auto"/>
        <w:ind w:firstLine="0"/>
        <w:jc w:val="both"/>
        <w:rPr>
          <w:rFonts w:ascii="Montserrat" w:eastAsia="Calibri" w:hAnsi="Montserrat" w:cs="Times New Roman"/>
          <w:color w:val="auto"/>
          <w:sz w:val="22"/>
          <w:szCs w:val="22"/>
          <w:bdr w:val="none" w:sz="0" w:space="0" w:color="auto"/>
          <w:lang w:eastAsia="en-US"/>
        </w:rPr>
      </w:pPr>
      <w:r w:rsidRPr="00CF5D10">
        <w:rPr>
          <w:rFonts w:ascii="Montserrat" w:eastAsia="Calibri" w:hAnsi="Montserrat" w:cs="Times New Roman"/>
          <w:color w:val="auto"/>
          <w:sz w:val="22"/>
          <w:szCs w:val="22"/>
          <w:bdr w:val="none" w:sz="0" w:space="0" w:color="auto"/>
          <w:lang w:eastAsia="en-US"/>
        </w:rPr>
        <w:t>el Acuerdo que hoy nos reúne recoge el sentir y el espíritu de la nueva relación que el Gobierno Mexicano tendrá con las Oficina de la Alta Comisionada de las Naciones Unidas para los Derechos Humanos, pues incluye el Brindar asesoría en 1) Diseño de programas para capacitadores, formación de capacitadores y su certificación en materia de derechos humanos; 2) en el desarrollo y protocolos de actuación, en temas como uso de la fuerza y prevención de violaciones a derechos humanos; particularmente aquellos que involucran la protección y atención específica a mujeres, y grupos en situación de vulnerabilidad, especialmente niños, niñas y adolescentes y personas indígenas, y 3) Colaborar con el Gobierno en el diseño de acciones para el fortalecimiento de capacidades del sector de seguridad pública y en mecanismos de participación ciudadana. Para ello, se están elaborando grupos de trabajos que operaran en etapas esas acciones.</w:t>
      </w:r>
    </w:p>
    <w:p w:rsidR="004F7A92" w:rsidRPr="000B76CE" w:rsidRDefault="004F7A92" w:rsidP="006B52ED">
      <w:pPr>
        <w:spacing w:after="0" w:line="240" w:lineRule="auto"/>
        <w:rPr>
          <w:rFonts w:ascii="Montserrat" w:hAnsi="Montserrat"/>
        </w:rPr>
      </w:pPr>
    </w:p>
    <w:sectPr w:rsidR="004F7A92" w:rsidRPr="000B76C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62F" w:rsidRDefault="0041462F" w:rsidP="00A94C7B">
      <w:pPr>
        <w:spacing w:after="0" w:line="240" w:lineRule="auto"/>
      </w:pPr>
      <w:r>
        <w:separator/>
      </w:r>
    </w:p>
  </w:endnote>
  <w:endnote w:type="continuationSeparator" w:id="0">
    <w:p w:rsidR="0041462F" w:rsidRDefault="0041462F" w:rsidP="00A9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Raleway">
    <w:altName w:val="Corbel"/>
    <w:charset w:val="00"/>
    <w:family w:val="swiss"/>
    <w:pitch w:val="variable"/>
    <w:sig w:usb0="00000001" w:usb1="5000205B" w:usb2="00000000" w:usb3="00000000" w:csb0="00000097"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62F" w:rsidRDefault="0041462F" w:rsidP="00A94C7B">
      <w:pPr>
        <w:spacing w:after="0" w:line="240" w:lineRule="auto"/>
      </w:pPr>
      <w:r>
        <w:separator/>
      </w:r>
    </w:p>
  </w:footnote>
  <w:footnote w:type="continuationSeparator" w:id="0">
    <w:p w:rsidR="0041462F" w:rsidRDefault="0041462F" w:rsidP="00A94C7B">
      <w:pPr>
        <w:spacing w:after="0" w:line="240" w:lineRule="auto"/>
      </w:pPr>
      <w:r>
        <w:continuationSeparator/>
      </w:r>
    </w:p>
  </w:footnote>
  <w:footnote w:id="1">
    <w:p w:rsidR="00756C85" w:rsidRPr="00E37437" w:rsidRDefault="00756C85" w:rsidP="00BB32DF">
      <w:pPr>
        <w:pStyle w:val="FootnoteText"/>
        <w:jc w:val="both"/>
        <w:rPr>
          <w:rFonts w:ascii="Raleway" w:hAnsi="Raleway"/>
        </w:rPr>
      </w:pPr>
      <w:r w:rsidRPr="00E37437">
        <w:rPr>
          <w:rStyle w:val="FootnoteReference"/>
          <w:rFonts w:ascii="Raleway" w:hAnsi="Raleway"/>
          <w:sz w:val="16"/>
        </w:rPr>
        <w:footnoteRef/>
      </w:r>
      <w:r w:rsidRPr="00E37437">
        <w:rPr>
          <w:rFonts w:ascii="Raleway" w:hAnsi="Raleway"/>
          <w:sz w:val="16"/>
        </w:rPr>
        <w:t xml:space="preserve"> Información proporcionada por la Dirección General de Especialidades Médicos Forenses de la Coordinación General de Servicios Periciales</w:t>
      </w:r>
      <w:r>
        <w:rPr>
          <w:rFonts w:ascii="Raleway" w:hAnsi="Raleway"/>
          <w:sz w:val="16"/>
        </w:rPr>
        <w:t xml:space="preserve"> de la Fiscalía General de la República</w:t>
      </w:r>
      <w:r w:rsidRPr="00E37437">
        <w:rPr>
          <w:rFonts w:ascii="Raleway" w:hAnsi="Raleway"/>
          <w:sz w:val="16"/>
        </w:rPr>
        <w:t>, el 22 de abril de 2019.</w:t>
      </w:r>
    </w:p>
  </w:footnote>
  <w:footnote w:id="2">
    <w:p w:rsidR="00756C85" w:rsidRDefault="00756C85" w:rsidP="00BB32DF">
      <w:pPr>
        <w:pStyle w:val="FootnoteText"/>
        <w:jc w:val="both"/>
      </w:pPr>
      <w:r>
        <w:rPr>
          <w:rStyle w:val="FootnoteReference"/>
        </w:rPr>
        <w:footnoteRef/>
      </w:r>
      <w:r>
        <w:t xml:space="preserve"> </w:t>
      </w:r>
      <w:r>
        <w:rPr>
          <w:rFonts w:ascii="Helvetica" w:hAnsi="Helvetica"/>
          <w:color w:val="2F2F2F"/>
          <w:sz w:val="18"/>
          <w:szCs w:val="18"/>
          <w:shd w:val="clear" w:color="auto" w:fill="FFFFFF"/>
        </w:rPr>
        <w:t xml:space="preserve">El presente Acuerdo tiene por objeto instruir a los agentes del Ministerio Público de la Federación, a los peritos médicos y psicólogos, y demás personal de la Procuraduría General de la República, en el ámbito de su competencia, respecto de las </w:t>
      </w:r>
      <w:r w:rsidRPr="000E72C6">
        <w:rPr>
          <w:rFonts w:ascii="Helvetica" w:hAnsi="Helvetica"/>
          <w:b/>
          <w:color w:val="2F2F2F"/>
          <w:sz w:val="18"/>
          <w:szCs w:val="18"/>
          <w:shd w:val="clear" w:color="auto" w:fill="FFFFFF"/>
        </w:rPr>
        <w:t>diligencias mínimas que deben llevar acabo ante la probable comisión del delito de tortura; así como establecer las directrices que rigen la aplicación del Dictamen Médico Psicológico Especializado para Casos de Posible Tortura u otros Tratos o Penas Crueles, Inhumanos o Degradantes.</w:t>
      </w:r>
    </w:p>
  </w:footnote>
  <w:footnote w:id="3">
    <w:p w:rsidR="00756C85" w:rsidRPr="00B3476D" w:rsidRDefault="00756C85" w:rsidP="00271ABC">
      <w:pPr>
        <w:pStyle w:val="FootnoteText"/>
        <w:ind w:right="49"/>
        <w:jc w:val="both"/>
        <w:rPr>
          <w:rFonts w:ascii="Arial" w:hAnsi="Arial" w:cs="Arial"/>
          <w:lang w:val="es-ES_tradnl"/>
        </w:rPr>
      </w:pPr>
      <w:r w:rsidRPr="00B3476D">
        <w:rPr>
          <w:rStyle w:val="FootnoteReference"/>
          <w:rFonts w:ascii="Arial" w:hAnsi="Arial" w:cs="Arial"/>
        </w:rPr>
        <w:footnoteRef/>
      </w:r>
      <w:r w:rsidRPr="00B3476D">
        <w:rPr>
          <w:rFonts w:ascii="Arial" w:hAnsi="Arial" w:cs="Arial"/>
        </w:rPr>
        <w:t xml:space="preserve"> </w:t>
      </w:r>
      <w:r>
        <w:rPr>
          <w:rFonts w:ascii="Arial" w:hAnsi="Arial" w:cs="Arial"/>
        </w:rPr>
        <w:t>A</w:t>
      </w:r>
      <w:r w:rsidRPr="001C53CF">
        <w:rPr>
          <w:rFonts w:ascii="Arial" w:hAnsi="Arial" w:cs="Arial"/>
        </w:rPr>
        <w:t>mparo directo en revisión 1249/2016, sentencia de 9 de septiembre de 2016, resuelta por unanimidad de cinco votos de los señores Ministros de la Primera Sala de la SCJN: Arturo Zaldívar Lelo de Larrea (Ponente), José Ramón Cossío, Jorge Mario Pardo Rebolledo, Alfredo Gutiérrez Ortiz Mena y Presid</w:t>
      </w:r>
      <w:r>
        <w:rPr>
          <w:rFonts w:ascii="Arial" w:hAnsi="Arial" w:cs="Arial"/>
        </w:rPr>
        <w:t xml:space="preserve">enta Norma Lucía Piña Hernández; y </w:t>
      </w:r>
      <w:r w:rsidRPr="00B3476D">
        <w:rPr>
          <w:rFonts w:ascii="Arial" w:hAnsi="Arial" w:cs="Arial"/>
        </w:rPr>
        <w:t>“</w:t>
      </w:r>
      <w:r w:rsidRPr="008C5E11">
        <w:rPr>
          <w:rFonts w:ascii="Arial" w:hAnsi="Arial" w:cs="Arial"/>
          <w:b/>
          <w:bCs/>
        </w:rPr>
        <w:t>TORTURA. ES INNECESARIO REPONER EL PROCEDIMIENTO CUANDO NO EXISTA CONFESIÓN DE LOS HECHOS IMPUTADOS O CUALQUIER ACTO QUE CONLLEVE AUTOINCRIMINACIÓN DEL INCULPADO.</w:t>
      </w:r>
      <w:r>
        <w:rPr>
          <w:rFonts w:ascii="Arial" w:hAnsi="Arial" w:cs="Arial"/>
          <w:bCs/>
        </w:rPr>
        <w:t>”</w:t>
      </w:r>
      <w:r w:rsidRPr="00B3476D">
        <w:rPr>
          <w:rFonts w:ascii="Arial" w:hAnsi="Arial" w:cs="Arial"/>
          <w:bCs/>
        </w:rPr>
        <w:t xml:space="preserve"> </w:t>
      </w:r>
      <w:r>
        <w:rPr>
          <w:rFonts w:ascii="Arial" w:hAnsi="Arial" w:cs="Arial"/>
          <w:bCs/>
        </w:rPr>
        <w:t xml:space="preserve">Tesis jurisprudencial </w:t>
      </w:r>
      <w:r>
        <w:rPr>
          <w:rFonts w:ascii="Arial" w:hAnsi="Arial" w:cs="Arial"/>
        </w:rPr>
        <w:t xml:space="preserve">101/2017, Primera Sala, décima época, tomo I, noviembre de 2017, página 323, registro </w:t>
      </w:r>
      <w:r w:rsidRPr="00B3476D">
        <w:rPr>
          <w:rFonts w:ascii="Arial" w:hAnsi="Arial" w:cs="Arial"/>
        </w:rPr>
        <w:t xml:space="preserve">2015603. Ver particularmente: Amparo Directo en Revisión 6564/2015, resuelto por mayoría de tres votos de los señores Ministros: </w:t>
      </w:r>
      <w:r w:rsidRPr="00B3476D">
        <w:rPr>
          <w:rFonts w:ascii="Arial" w:hAnsi="Arial" w:cs="Arial"/>
          <w:lang w:val="es-ES_tradnl"/>
        </w:rPr>
        <w:t xml:space="preserve">Arturo Zaldívar Lelo de Larrea, José Ramón Cossío Díaz y Jorge Mario Pardo Rebolledo (Ponente), en contra de los votos emitidos por los Ministros Norma Lucía Piña Hernández, y Presidente Alfredo Gutiérrez Ortiz Mena, quien se reserva su derecho a formular voto particular. </w:t>
      </w:r>
    </w:p>
  </w:footnote>
  <w:footnote w:id="4">
    <w:p w:rsidR="00756C85" w:rsidRPr="00B3476D" w:rsidRDefault="00756C85" w:rsidP="00271ABC">
      <w:pPr>
        <w:pStyle w:val="FootnoteText"/>
        <w:ind w:right="49"/>
        <w:jc w:val="both"/>
        <w:rPr>
          <w:rFonts w:ascii="Arial" w:hAnsi="Arial" w:cs="Arial"/>
        </w:rPr>
      </w:pPr>
      <w:r w:rsidRPr="00B3476D">
        <w:rPr>
          <w:rStyle w:val="FootnoteReference"/>
          <w:rFonts w:ascii="Arial" w:hAnsi="Arial" w:cs="Arial"/>
        </w:rPr>
        <w:footnoteRef/>
      </w:r>
      <w:r w:rsidRPr="00B3476D">
        <w:rPr>
          <w:rFonts w:ascii="Arial" w:hAnsi="Arial" w:cs="Arial"/>
        </w:rPr>
        <w:t xml:space="preserve"> Consideraciones recogidas en las tesis de rubro “</w:t>
      </w:r>
      <w:r w:rsidRPr="008C5E11">
        <w:rPr>
          <w:rFonts w:ascii="Arial" w:hAnsi="Arial" w:cs="Arial"/>
          <w:b/>
        </w:rPr>
        <w:t>ACTOS DE TORTURA. LA OMISIÓN DEL JUEZ PENAL DE INSTANCIA DE INVESTIGAR LOS DENUNCIADOS POR EL IMPUTADO, CONSTITUYE UNA VIOLACIÓN A LAS LEYES DEL PROCEDIMIENTO QUE TRASCIENDE A SU DEFENSA Y AMERITA LA REPOSICIÓN DE ÉSTE</w:t>
      </w:r>
      <w:r>
        <w:rPr>
          <w:rFonts w:ascii="Arial" w:hAnsi="Arial" w:cs="Arial"/>
        </w:rPr>
        <w:t>.</w:t>
      </w:r>
      <w:r w:rsidRPr="00B3476D">
        <w:rPr>
          <w:rFonts w:ascii="Arial" w:hAnsi="Arial" w:cs="Arial"/>
        </w:rPr>
        <w:t xml:space="preserve">” </w:t>
      </w:r>
      <w:r>
        <w:rPr>
          <w:rFonts w:ascii="Arial" w:hAnsi="Arial" w:cs="Arial"/>
        </w:rPr>
        <w:t xml:space="preserve">Tesis jurisprudencial </w:t>
      </w:r>
      <w:r w:rsidRPr="00B3476D">
        <w:rPr>
          <w:rFonts w:ascii="Arial" w:hAnsi="Arial" w:cs="Arial"/>
        </w:rPr>
        <w:t>10/2016</w:t>
      </w:r>
      <w:r>
        <w:rPr>
          <w:rFonts w:ascii="Arial" w:hAnsi="Arial" w:cs="Arial"/>
        </w:rPr>
        <w:t xml:space="preserve">, Primera Sala, décima época, tomo II, abril de 2016, página 894, registro </w:t>
      </w:r>
      <w:r w:rsidRPr="00B3476D">
        <w:rPr>
          <w:rFonts w:ascii="Arial" w:hAnsi="Arial" w:cs="Arial"/>
        </w:rPr>
        <w:t>2011521; y “</w:t>
      </w:r>
      <w:r w:rsidRPr="008C5E11">
        <w:rPr>
          <w:rFonts w:ascii="Arial" w:hAnsi="Arial" w:cs="Arial"/>
          <w:b/>
          <w:bCs/>
        </w:rPr>
        <w:t>ACTOS DE TORTURA. LA REPOSICIÓN DEL PROCEDIMIENTO, CON MOTIVO DE LA VIOLACIÓN A LAS LEYES QUE LO RIGEN POR LA OMISIÓN DE INVESTIGAR LOS DENUNCIADOS POR EL IMPUTADO, DEBE ORDENARSE A PARTIR DE LA DILIGENCIA INMEDIATA ANTERIOR AL AUTO DE CIERRE DE INSTRUCCIÓN</w:t>
      </w:r>
      <w:r>
        <w:rPr>
          <w:rFonts w:ascii="Arial" w:hAnsi="Arial" w:cs="Arial"/>
          <w:b/>
          <w:bCs/>
        </w:rPr>
        <w:t>.</w:t>
      </w:r>
      <w:r w:rsidRPr="00B3476D">
        <w:rPr>
          <w:rFonts w:ascii="Arial" w:hAnsi="Arial" w:cs="Arial"/>
          <w:bCs/>
        </w:rPr>
        <w:t>”</w:t>
      </w:r>
      <w:r>
        <w:rPr>
          <w:rFonts w:ascii="Arial" w:hAnsi="Arial" w:cs="Arial"/>
          <w:bCs/>
        </w:rPr>
        <w:t xml:space="preserve"> Tesis jurisprudencial </w:t>
      </w:r>
      <w:r>
        <w:rPr>
          <w:rFonts w:ascii="Arial" w:hAnsi="Arial" w:cs="Arial"/>
        </w:rPr>
        <w:t>11/2016, Primera Sala, décima época, tomo II, abril de 2016, página 896, registro: 2011522.</w:t>
      </w:r>
    </w:p>
  </w:footnote>
  <w:footnote w:id="5">
    <w:p w:rsidR="00756C85" w:rsidRPr="00B3476D" w:rsidRDefault="00756C85" w:rsidP="00271ABC">
      <w:pPr>
        <w:pStyle w:val="FootnoteText"/>
        <w:ind w:right="49" w:firstLine="708"/>
        <w:jc w:val="both"/>
        <w:rPr>
          <w:rFonts w:ascii="Arial" w:hAnsi="Arial" w:cs="Arial"/>
          <w:lang w:val="es-ES_tradnl"/>
        </w:rPr>
      </w:pPr>
      <w:r w:rsidRPr="00B3476D">
        <w:rPr>
          <w:rStyle w:val="FootnoteReference"/>
          <w:rFonts w:ascii="Arial" w:hAnsi="Arial" w:cs="Arial"/>
        </w:rPr>
        <w:footnoteRef/>
      </w:r>
      <w:r w:rsidRPr="00B3476D">
        <w:rPr>
          <w:rFonts w:ascii="Arial" w:hAnsi="Arial" w:cs="Arial"/>
        </w:rPr>
        <w:t xml:space="preserve"> Amparo directo en revisión 6564/2015, resuelto por mayoría de tres votos de los señores Ministros: </w:t>
      </w:r>
      <w:r w:rsidRPr="00B3476D">
        <w:rPr>
          <w:rFonts w:ascii="Arial" w:hAnsi="Arial" w:cs="Arial"/>
          <w:lang w:val="es-ES_tradnl"/>
        </w:rPr>
        <w:t xml:space="preserve">Arturo Zaldívar Lelo de Larrea, José Ramón Cossío Díaz y Jorge Mario Pardo Rebolledo (Ponente), en contra de los votos emitidos por los Ministros Norma Lucía Piña Hernández, y Presidente Alfredo Gutiérrez Ortiz Mena, quien se reserva su derecho a formular voto particular, página 83. </w:t>
      </w:r>
    </w:p>
  </w:footnote>
  <w:footnote w:id="6">
    <w:p w:rsidR="00756C85" w:rsidRPr="00B3476D" w:rsidRDefault="00756C85" w:rsidP="00271ABC">
      <w:pPr>
        <w:pStyle w:val="FootnoteText"/>
        <w:ind w:right="49" w:firstLine="851"/>
        <w:jc w:val="both"/>
        <w:rPr>
          <w:rFonts w:ascii="Arial" w:hAnsi="Arial" w:cs="Arial"/>
        </w:rPr>
      </w:pPr>
      <w:r w:rsidRPr="00B3476D">
        <w:rPr>
          <w:rStyle w:val="FootnoteReference"/>
          <w:rFonts w:ascii="Arial" w:hAnsi="Arial" w:cs="Arial"/>
        </w:rPr>
        <w:footnoteRef/>
      </w:r>
      <w:r w:rsidRPr="00B3476D">
        <w:rPr>
          <w:rFonts w:ascii="Arial" w:hAnsi="Arial" w:cs="Arial"/>
        </w:rPr>
        <w:t xml:space="preserve"> Amparo directo en revisión 4530/2014,resuelto por la Primera Sala de la Suprema Corte de Justicia de la Nación en sesión de 30 de septiembre de 2015, </w:t>
      </w:r>
      <w:r w:rsidRPr="00B3476D">
        <w:rPr>
          <w:rFonts w:ascii="Arial" w:hAnsi="Arial" w:cs="Arial"/>
          <w:color w:val="000000"/>
        </w:rPr>
        <w:t>por mayoría de cuatro votos de los señores Ministros: Arturo Zaldívar Lelo de Larrea (Ponente), José Ramón Cossío Díaz, quien se reserva el derecho de formular voto concurrente, Olga Sánchez Cordero de García Villegas, y Presidente Alfredo Gutiérrez Ortiz Mena, en contra del voto emitido por el Ministro Jorge Mario Pardo Rebolledo quien se reserva el derecho de formular voto particular.</w:t>
      </w:r>
    </w:p>
  </w:footnote>
  <w:footnote w:id="7">
    <w:p w:rsidR="00756C85" w:rsidRPr="00B3476D" w:rsidRDefault="00756C85" w:rsidP="00271ABC">
      <w:pPr>
        <w:pStyle w:val="FootnoteText"/>
        <w:ind w:right="49" w:firstLine="851"/>
        <w:jc w:val="both"/>
        <w:rPr>
          <w:rFonts w:ascii="Arial" w:hAnsi="Arial" w:cs="Arial"/>
        </w:rPr>
      </w:pPr>
      <w:r w:rsidRPr="00B3476D">
        <w:rPr>
          <w:rStyle w:val="FootnoteReference"/>
          <w:rFonts w:ascii="Arial" w:hAnsi="Arial" w:cs="Arial"/>
        </w:rPr>
        <w:footnoteRef/>
      </w:r>
      <w:r w:rsidRPr="00B3476D">
        <w:rPr>
          <w:rFonts w:ascii="Arial" w:hAnsi="Arial" w:cs="Arial"/>
        </w:rPr>
        <w:t xml:space="preserve"> Consideraciones recogidas en la tesis de rubro “</w:t>
      </w:r>
      <w:r w:rsidRPr="00B3476D">
        <w:rPr>
          <w:rFonts w:ascii="Arial" w:hAnsi="Arial" w:cs="Arial"/>
          <w:b/>
          <w:bCs/>
        </w:rPr>
        <w:t>TORTURA. MECANISMOS PARA PROBARLA DENTRO DEL PROCESO PENAL EN EL QUE SE DENUNCIA</w:t>
      </w:r>
      <w:r w:rsidRPr="00B3476D">
        <w:rPr>
          <w:rFonts w:ascii="Arial" w:hAnsi="Arial" w:cs="Arial"/>
          <w:bCs/>
        </w:rPr>
        <w:t xml:space="preserve">”, </w:t>
      </w:r>
      <w:r>
        <w:rPr>
          <w:rFonts w:ascii="Arial" w:hAnsi="Arial" w:cs="Arial"/>
          <w:bCs/>
        </w:rPr>
        <w:t xml:space="preserve">Tesis aislada </w:t>
      </w:r>
      <w:r w:rsidRPr="00B3476D">
        <w:rPr>
          <w:rFonts w:ascii="Arial" w:hAnsi="Arial" w:cs="Arial"/>
        </w:rPr>
        <w:t>I/2018</w:t>
      </w:r>
      <w:r>
        <w:rPr>
          <w:rFonts w:ascii="Arial" w:hAnsi="Arial" w:cs="Arial"/>
        </w:rPr>
        <w:t>, Pleno, décima época, tomo I, abril de 2018, página 338, registro 2016654</w:t>
      </w:r>
      <w:r w:rsidRPr="00B3476D">
        <w:rPr>
          <w:rFonts w:ascii="Arial" w:hAnsi="Arial" w:cs="Arial"/>
        </w:rPr>
        <w:t>.</w:t>
      </w:r>
    </w:p>
  </w:footnote>
  <w:footnote w:id="8">
    <w:p w:rsidR="00756C85" w:rsidRDefault="00756C85" w:rsidP="00465936">
      <w:pPr>
        <w:pStyle w:val="FootnoteText"/>
      </w:pPr>
      <w:r>
        <w:rPr>
          <w:rStyle w:val="FootnoteReference"/>
        </w:rPr>
        <w:footnoteRef/>
      </w:r>
      <w:r>
        <w:t xml:space="preserve"> </w:t>
      </w:r>
      <w:hyperlink r:id="rId1" w:history="1">
        <w:r w:rsidRPr="00D207F8">
          <w:rPr>
            <w:rStyle w:val="Hyperlink"/>
          </w:rPr>
          <w:t>http://www.diputados.gob.mx/LeyesBiblio/pdf/1_120419.pdf</w:t>
        </w:r>
      </w:hyperlink>
      <w:r>
        <w:t xml:space="preserve"> </w:t>
      </w:r>
    </w:p>
  </w:footnote>
  <w:footnote w:id="9">
    <w:p w:rsidR="00756C85" w:rsidRDefault="00756C85" w:rsidP="00465936">
      <w:pPr>
        <w:pStyle w:val="FootnoteText"/>
      </w:pPr>
      <w:r>
        <w:rPr>
          <w:rStyle w:val="FootnoteReference"/>
        </w:rPr>
        <w:footnoteRef/>
      </w:r>
      <w:r>
        <w:t xml:space="preserve"> </w:t>
      </w:r>
      <w:hyperlink r:id="rId2" w:history="1">
        <w:r w:rsidRPr="00D207F8">
          <w:rPr>
            <w:rStyle w:val="Hyperlink"/>
          </w:rPr>
          <w:t>http://www.diputados.gob.mx/LeyesBiblio/pdf/CNPP_250618.pdf</w:t>
        </w:r>
      </w:hyperlink>
      <w:r>
        <w:t xml:space="preserve"> </w:t>
      </w:r>
    </w:p>
  </w:footnote>
  <w:footnote w:id="10">
    <w:p w:rsidR="00756C85" w:rsidRDefault="00756C85" w:rsidP="00465936">
      <w:pPr>
        <w:pStyle w:val="FootnoteText"/>
      </w:pPr>
      <w:r>
        <w:rPr>
          <w:rStyle w:val="FootnoteReference"/>
        </w:rPr>
        <w:footnoteRef/>
      </w:r>
      <w:r>
        <w:t xml:space="preserve"> </w:t>
      </w:r>
      <w:hyperlink r:id="rId3" w:history="1">
        <w:r w:rsidRPr="00D207F8">
          <w:rPr>
            <w:rStyle w:val="Hyperlink"/>
          </w:rPr>
          <w:t>http://www.diputados.gob.mx/LeyesBiblio/pdf/LOFGR_201218.pdf</w:t>
        </w:r>
      </w:hyperlink>
      <w:r>
        <w:t xml:space="preserve"> </w:t>
      </w:r>
    </w:p>
  </w:footnote>
  <w:footnote w:id="11">
    <w:p w:rsidR="00756C85" w:rsidRDefault="00756C85" w:rsidP="00465936">
      <w:pPr>
        <w:pStyle w:val="FootnoteText"/>
      </w:pPr>
      <w:r>
        <w:rPr>
          <w:rStyle w:val="FootnoteReference"/>
        </w:rPr>
        <w:footnoteRef/>
      </w:r>
      <w:r>
        <w:t xml:space="preserve"> </w:t>
      </w:r>
      <w:hyperlink r:id="rId4" w:history="1">
        <w:r w:rsidRPr="00D207F8">
          <w:rPr>
            <w:rStyle w:val="Hyperlink"/>
          </w:rPr>
          <w:t>http://www.diputados.gob.mx/LeyesBiblio/pdf/LGPIST_260617.pdf</w:t>
        </w:r>
      </w:hyperlink>
      <w:r>
        <w:t xml:space="preserve"> </w:t>
      </w:r>
    </w:p>
  </w:footnote>
  <w:footnote w:id="12">
    <w:p w:rsidR="00756C85" w:rsidRDefault="00756C85" w:rsidP="00465936">
      <w:pPr>
        <w:pStyle w:val="FootnoteText"/>
      </w:pPr>
      <w:r>
        <w:rPr>
          <w:rStyle w:val="FootnoteReference"/>
        </w:rPr>
        <w:footnoteRef/>
      </w:r>
      <w:r>
        <w:t xml:space="preserve"> </w:t>
      </w:r>
      <w:hyperlink r:id="rId5" w:history="1">
        <w:r w:rsidRPr="00D207F8">
          <w:rPr>
            <w:rStyle w:val="Hyperlink"/>
          </w:rPr>
          <w:t>http://www.hchr.org.mx/images/doc_pub/Guia_Tortura_14.pdf</w:t>
        </w:r>
      </w:hyperlink>
      <w:r>
        <w:t xml:space="preserve"> </w:t>
      </w:r>
    </w:p>
  </w:footnote>
  <w:footnote w:id="13">
    <w:p w:rsidR="00756C85" w:rsidRDefault="00756C85" w:rsidP="00465936">
      <w:pPr>
        <w:pStyle w:val="FootnoteText"/>
      </w:pPr>
      <w:r>
        <w:rPr>
          <w:rStyle w:val="FootnoteReference"/>
        </w:rPr>
        <w:footnoteRef/>
      </w:r>
      <w:r>
        <w:t xml:space="preserve"> </w:t>
      </w:r>
      <w:hyperlink r:id="rId6" w:history="1">
        <w:r w:rsidRPr="00D207F8">
          <w:rPr>
            <w:rStyle w:val="Hyperlink"/>
          </w:rPr>
          <w:t>https://aplicaciones.pgr.gob.mx/normatecasustantiva/Normateca%20Sustantiva/Prot_Inv_Tortura.pdf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0E9"/>
    <w:multiLevelType w:val="hybridMultilevel"/>
    <w:tmpl w:val="5D6C8B58"/>
    <w:lvl w:ilvl="0" w:tplc="BDD8A430">
      <w:numFmt w:val="bullet"/>
      <w:lvlText w:val="-"/>
      <w:lvlJc w:val="left"/>
      <w:pPr>
        <w:ind w:left="786" w:hanging="360"/>
      </w:pPr>
      <w:rPr>
        <w:rFonts w:ascii="Montserrat" w:eastAsiaTheme="minorHAnsi" w:hAnsi="Montserrat" w:cstheme="minorBidi"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1" w15:restartNumberingAfterBreak="0">
    <w:nsid w:val="038D5BAC"/>
    <w:multiLevelType w:val="hybridMultilevel"/>
    <w:tmpl w:val="76A40DB6"/>
    <w:lvl w:ilvl="0" w:tplc="080A0003">
      <w:start w:val="1"/>
      <w:numFmt w:val="bullet"/>
      <w:lvlText w:val="o"/>
      <w:lvlJc w:val="left"/>
      <w:pPr>
        <w:ind w:left="1636" w:hanging="360"/>
      </w:pPr>
      <w:rPr>
        <w:rFonts w:ascii="Courier New" w:hAnsi="Courier New" w:cs="Courier New" w:hint="default"/>
      </w:rPr>
    </w:lvl>
    <w:lvl w:ilvl="1" w:tplc="080A0003" w:tentative="1">
      <w:start w:val="1"/>
      <w:numFmt w:val="bullet"/>
      <w:lvlText w:val="o"/>
      <w:lvlJc w:val="left"/>
      <w:pPr>
        <w:ind w:left="2356" w:hanging="360"/>
      </w:pPr>
      <w:rPr>
        <w:rFonts w:ascii="Courier New" w:hAnsi="Courier New" w:cs="Courier New" w:hint="default"/>
      </w:rPr>
    </w:lvl>
    <w:lvl w:ilvl="2" w:tplc="080A0005" w:tentative="1">
      <w:start w:val="1"/>
      <w:numFmt w:val="bullet"/>
      <w:lvlText w:val=""/>
      <w:lvlJc w:val="left"/>
      <w:pPr>
        <w:ind w:left="3076" w:hanging="360"/>
      </w:pPr>
      <w:rPr>
        <w:rFonts w:ascii="Wingdings" w:hAnsi="Wingdings" w:hint="default"/>
      </w:rPr>
    </w:lvl>
    <w:lvl w:ilvl="3" w:tplc="080A0001" w:tentative="1">
      <w:start w:val="1"/>
      <w:numFmt w:val="bullet"/>
      <w:lvlText w:val=""/>
      <w:lvlJc w:val="left"/>
      <w:pPr>
        <w:ind w:left="3796" w:hanging="360"/>
      </w:pPr>
      <w:rPr>
        <w:rFonts w:ascii="Symbol" w:hAnsi="Symbol" w:hint="default"/>
      </w:rPr>
    </w:lvl>
    <w:lvl w:ilvl="4" w:tplc="080A0003" w:tentative="1">
      <w:start w:val="1"/>
      <w:numFmt w:val="bullet"/>
      <w:lvlText w:val="o"/>
      <w:lvlJc w:val="left"/>
      <w:pPr>
        <w:ind w:left="4516" w:hanging="360"/>
      </w:pPr>
      <w:rPr>
        <w:rFonts w:ascii="Courier New" w:hAnsi="Courier New" w:cs="Courier New" w:hint="default"/>
      </w:rPr>
    </w:lvl>
    <w:lvl w:ilvl="5" w:tplc="080A0005" w:tentative="1">
      <w:start w:val="1"/>
      <w:numFmt w:val="bullet"/>
      <w:lvlText w:val=""/>
      <w:lvlJc w:val="left"/>
      <w:pPr>
        <w:ind w:left="5236" w:hanging="360"/>
      </w:pPr>
      <w:rPr>
        <w:rFonts w:ascii="Wingdings" w:hAnsi="Wingdings" w:hint="default"/>
      </w:rPr>
    </w:lvl>
    <w:lvl w:ilvl="6" w:tplc="080A0001" w:tentative="1">
      <w:start w:val="1"/>
      <w:numFmt w:val="bullet"/>
      <w:lvlText w:val=""/>
      <w:lvlJc w:val="left"/>
      <w:pPr>
        <w:ind w:left="5956" w:hanging="360"/>
      </w:pPr>
      <w:rPr>
        <w:rFonts w:ascii="Symbol" w:hAnsi="Symbol" w:hint="default"/>
      </w:rPr>
    </w:lvl>
    <w:lvl w:ilvl="7" w:tplc="080A0003" w:tentative="1">
      <w:start w:val="1"/>
      <w:numFmt w:val="bullet"/>
      <w:lvlText w:val="o"/>
      <w:lvlJc w:val="left"/>
      <w:pPr>
        <w:ind w:left="6676" w:hanging="360"/>
      </w:pPr>
      <w:rPr>
        <w:rFonts w:ascii="Courier New" w:hAnsi="Courier New" w:cs="Courier New" w:hint="default"/>
      </w:rPr>
    </w:lvl>
    <w:lvl w:ilvl="8" w:tplc="080A0005" w:tentative="1">
      <w:start w:val="1"/>
      <w:numFmt w:val="bullet"/>
      <w:lvlText w:val=""/>
      <w:lvlJc w:val="left"/>
      <w:pPr>
        <w:ind w:left="7396" w:hanging="360"/>
      </w:pPr>
      <w:rPr>
        <w:rFonts w:ascii="Wingdings" w:hAnsi="Wingdings" w:hint="default"/>
      </w:rPr>
    </w:lvl>
  </w:abstractNum>
  <w:abstractNum w:abstractNumId="2" w15:restartNumberingAfterBreak="0">
    <w:nsid w:val="0FD74E7D"/>
    <w:multiLevelType w:val="hybridMultilevel"/>
    <w:tmpl w:val="97AE9988"/>
    <w:lvl w:ilvl="0" w:tplc="080A0001">
      <w:start w:val="1"/>
      <w:numFmt w:val="bullet"/>
      <w:lvlText w:val=""/>
      <w:lvlJc w:val="left"/>
      <w:pPr>
        <w:ind w:left="502" w:hanging="360"/>
      </w:pPr>
      <w:rPr>
        <w:rFonts w:ascii="Symbol" w:hAnsi="Symbo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3" w15:restartNumberingAfterBreak="0">
    <w:nsid w:val="2636295D"/>
    <w:multiLevelType w:val="hybridMultilevel"/>
    <w:tmpl w:val="2A6E381A"/>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4" w15:restartNumberingAfterBreak="0">
    <w:nsid w:val="344B5F2D"/>
    <w:multiLevelType w:val="hybridMultilevel"/>
    <w:tmpl w:val="3942154A"/>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A191693"/>
    <w:multiLevelType w:val="hybridMultilevel"/>
    <w:tmpl w:val="588674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F3F223F"/>
    <w:multiLevelType w:val="hybridMultilevel"/>
    <w:tmpl w:val="E25222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FB53876"/>
    <w:multiLevelType w:val="hybridMultilevel"/>
    <w:tmpl w:val="C70211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55D1E1D"/>
    <w:multiLevelType w:val="hybridMultilevel"/>
    <w:tmpl w:val="04AECFF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211"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A0D38B1"/>
    <w:multiLevelType w:val="hybridMultilevel"/>
    <w:tmpl w:val="5F4696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65B42AB"/>
    <w:multiLevelType w:val="hybridMultilevel"/>
    <w:tmpl w:val="FECC5C5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1" w15:restartNumberingAfterBreak="0">
    <w:nsid w:val="7CF80C8F"/>
    <w:multiLevelType w:val="hybridMultilevel"/>
    <w:tmpl w:val="5F3E4E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E195E35"/>
    <w:multiLevelType w:val="hybridMultilevel"/>
    <w:tmpl w:val="A21460FE"/>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E281321"/>
    <w:multiLevelType w:val="hybridMultilevel"/>
    <w:tmpl w:val="3B800882"/>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7EF84471"/>
    <w:multiLevelType w:val="hybridMultilevel"/>
    <w:tmpl w:val="B920B2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4"/>
  </w:num>
  <w:num w:numId="5">
    <w:abstractNumId w:val="12"/>
  </w:num>
  <w:num w:numId="6">
    <w:abstractNumId w:val="0"/>
  </w:num>
  <w:num w:numId="7">
    <w:abstractNumId w:val="14"/>
  </w:num>
  <w:num w:numId="8">
    <w:abstractNumId w:val="13"/>
  </w:num>
  <w:num w:numId="9">
    <w:abstractNumId w:val="6"/>
  </w:num>
  <w:num w:numId="10">
    <w:abstractNumId w:val="3"/>
  </w:num>
  <w:num w:numId="11">
    <w:abstractNumId w:val="2"/>
  </w:num>
  <w:num w:numId="12">
    <w:abstractNumId w:val="11"/>
  </w:num>
  <w:num w:numId="13">
    <w:abstractNumId w:val="1"/>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DB2"/>
    <w:rsid w:val="00024150"/>
    <w:rsid w:val="00051117"/>
    <w:rsid w:val="00080C07"/>
    <w:rsid w:val="00091717"/>
    <w:rsid w:val="00096EB0"/>
    <w:rsid w:val="000B1DB2"/>
    <w:rsid w:val="000B76CE"/>
    <w:rsid w:val="000C5D31"/>
    <w:rsid w:val="00236014"/>
    <w:rsid w:val="002536C6"/>
    <w:rsid w:val="00271ABC"/>
    <w:rsid w:val="002C699A"/>
    <w:rsid w:val="002D6DE9"/>
    <w:rsid w:val="002E540C"/>
    <w:rsid w:val="0030412D"/>
    <w:rsid w:val="003108C5"/>
    <w:rsid w:val="003257DD"/>
    <w:rsid w:val="00361A71"/>
    <w:rsid w:val="0041462F"/>
    <w:rsid w:val="0044172F"/>
    <w:rsid w:val="00465936"/>
    <w:rsid w:val="004F7A92"/>
    <w:rsid w:val="005F3DAF"/>
    <w:rsid w:val="006911DD"/>
    <w:rsid w:val="006B52ED"/>
    <w:rsid w:val="006C1014"/>
    <w:rsid w:val="00756C85"/>
    <w:rsid w:val="007D0C3B"/>
    <w:rsid w:val="008A602A"/>
    <w:rsid w:val="00934B25"/>
    <w:rsid w:val="0099470B"/>
    <w:rsid w:val="00A17587"/>
    <w:rsid w:val="00A94C7B"/>
    <w:rsid w:val="00AB6413"/>
    <w:rsid w:val="00BB32DF"/>
    <w:rsid w:val="00C25053"/>
    <w:rsid w:val="00CA269B"/>
    <w:rsid w:val="00CF5D10"/>
    <w:rsid w:val="00DC2340"/>
    <w:rsid w:val="00E27E0C"/>
    <w:rsid w:val="00E30B1E"/>
    <w:rsid w:val="00E459CB"/>
    <w:rsid w:val="00F43B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B9D422-C11B-4E06-B99D-B9ED7AB93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DB2"/>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Colorful List - Accent 11,Bullet 1,F5 List Paragraph,Bullet Points,viñetas,lp1,List Paragraph2,MAIN CONTENT,Normal numbered,3,Normal Fv,DH1"/>
    <w:basedOn w:val="Normal"/>
    <w:link w:val="ListParagraphChar"/>
    <w:uiPriority w:val="34"/>
    <w:qFormat/>
    <w:rsid w:val="00E459CB"/>
    <w:pPr>
      <w:ind w:left="720"/>
      <w:contextualSpacing/>
    </w:pPr>
    <w:rPr>
      <w:rFonts w:asciiTheme="minorHAnsi" w:eastAsiaTheme="minorHAnsi" w:hAnsiTheme="minorHAnsi" w:cstheme="minorBidi"/>
    </w:rPr>
  </w:style>
  <w:style w:type="paragraph" w:styleId="FootnoteText">
    <w:name w:val="footnote text"/>
    <w:basedOn w:val="Normal"/>
    <w:link w:val="FootnoteTextChar"/>
    <w:uiPriority w:val="99"/>
    <w:unhideWhenUsed/>
    <w:rsid w:val="00A94C7B"/>
    <w:pPr>
      <w:spacing w:before="100" w:beforeAutospacing="1" w:after="100" w:afterAutospacing="1" w:line="240" w:lineRule="auto"/>
    </w:pPr>
    <w:rPr>
      <w:rFonts w:ascii="Times New Roman" w:eastAsiaTheme="minorHAnsi" w:hAnsi="Times New Roman"/>
      <w:sz w:val="24"/>
      <w:szCs w:val="24"/>
      <w:lang w:eastAsia="es-MX"/>
    </w:rPr>
  </w:style>
  <w:style w:type="character" w:customStyle="1" w:styleId="FootnoteTextChar">
    <w:name w:val="Footnote Text Char"/>
    <w:basedOn w:val="DefaultParagraphFont"/>
    <w:link w:val="FootnoteText"/>
    <w:uiPriority w:val="99"/>
    <w:rsid w:val="00A94C7B"/>
    <w:rPr>
      <w:rFonts w:ascii="Times New Roman" w:hAnsi="Times New Roman" w:cs="Times New Roman"/>
      <w:sz w:val="24"/>
      <w:szCs w:val="24"/>
      <w:lang w:eastAsia="es-MX"/>
    </w:rPr>
  </w:style>
  <w:style w:type="character" w:styleId="FootnoteReference">
    <w:name w:val="footnote reference"/>
    <w:aliases w:val="Footnotes refss,Texto de nota al pie,Ref. de nota al pie 2,Appel note de bas de page,referencia nota al pie,BVI fnr,Footnote number,f,4_G,16 Point,Superscript 6 Point,Texto nota al pie,Footnote Reference Char3,Ref,de nota al pie,ftre"/>
    <w:basedOn w:val="DefaultParagraphFont"/>
    <w:uiPriority w:val="99"/>
    <w:unhideWhenUsed/>
    <w:qFormat/>
    <w:rsid w:val="00A94C7B"/>
  </w:style>
  <w:style w:type="paragraph" w:styleId="NoSpacing">
    <w:name w:val="No Spacing"/>
    <w:uiPriority w:val="1"/>
    <w:qFormat/>
    <w:rsid w:val="00A94C7B"/>
    <w:pPr>
      <w:spacing w:after="0" w:line="240" w:lineRule="auto"/>
    </w:pPr>
  </w:style>
  <w:style w:type="paragraph" w:customStyle="1" w:styleId="Heading">
    <w:name w:val="Heading"/>
    <w:next w:val="Body2"/>
    <w:rsid w:val="006C1014"/>
    <w:pPr>
      <w:pBdr>
        <w:top w:val="nil"/>
        <w:left w:val="nil"/>
        <w:bottom w:val="nil"/>
        <w:right w:val="nil"/>
        <w:between w:val="nil"/>
        <w:bar w:val="nil"/>
      </w:pBdr>
      <w:spacing w:after="0" w:line="312" w:lineRule="auto"/>
      <w:outlineLvl w:val="0"/>
    </w:pPr>
    <w:rPr>
      <w:rFonts w:ascii="Baskerville" w:eastAsia="Arial Unicode MS" w:hAnsi="Baskerville" w:cs="Arial Unicode MS"/>
      <w:color w:val="000000"/>
      <w:sz w:val="26"/>
      <w:szCs w:val="26"/>
      <w:bdr w:val="nil"/>
      <w:lang w:val="sv-SE" w:eastAsia="es-MX"/>
    </w:rPr>
  </w:style>
  <w:style w:type="paragraph" w:customStyle="1" w:styleId="Body2">
    <w:name w:val="Body 2"/>
    <w:rsid w:val="006C1014"/>
    <w:pPr>
      <w:pBdr>
        <w:top w:val="nil"/>
        <w:left w:val="nil"/>
        <w:bottom w:val="nil"/>
        <w:right w:val="nil"/>
        <w:between w:val="nil"/>
        <w:bar w:val="nil"/>
      </w:pBdr>
      <w:spacing w:after="80" w:line="288" w:lineRule="auto"/>
    </w:pPr>
    <w:rPr>
      <w:rFonts w:ascii="Baskerville" w:eastAsia="Arial Unicode MS" w:hAnsi="Baskerville" w:cs="Arial Unicode MS"/>
      <w:color w:val="434343"/>
      <w:sz w:val="24"/>
      <w:szCs w:val="24"/>
      <w:bdr w:val="nil"/>
      <w:lang w:val="sv-SE" w:eastAsia="es-MX"/>
    </w:rPr>
  </w:style>
  <w:style w:type="paragraph" w:styleId="Subtitle">
    <w:name w:val="Subtitle"/>
    <w:next w:val="Body2"/>
    <w:link w:val="SubtitleChar"/>
    <w:rsid w:val="006C1014"/>
    <w:pPr>
      <w:pBdr>
        <w:top w:val="nil"/>
        <w:left w:val="nil"/>
        <w:bottom w:val="nil"/>
        <w:right w:val="nil"/>
        <w:between w:val="nil"/>
        <w:bar w:val="nil"/>
      </w:pBdr>
      <w:spacing w:after="0" w:line="240" w:lineRule="auto"/>
      <w:jc w:val="center"/>
    </w:pPr>
    <w:rPr>
      <w:rFonts w:ascii="Baskerville" w:eastAsia="Arial Unicode MS" w:hAnsi="Baskerville" w:cs="Arial Unicode MS"/>
      <w:color w:val="DC5921"/>
      <w:spacing w:val="6"/>
      <w:sz w:val="64"/>
      <w:szCs w:val="64"/>
      <w:bdr w:val="nil"/>
      <w:lang w:val="en-US" w:eastAsia="es-MX"/>
    </w:rPr>
  </w:style>
  <w:style w:type="character" w:customStyle="1" w:styleId="SubtitleChar">
    <w:name w:val="Subtitle Char"/>
    <w:basedOn w:val="DefaultParagraphFont"/>
    <w:link w:val="Subtitle"/>
    <w:rsid w:val="006C1014"/>
    <w:rPr>
      <w:rFonts w:ascii="Baskerville" w:eastAsia="Arial Unicode MS" w:hAnsi="Baskerville" w:cs="Arial Unicode MS"/>
      <w:color w:val="DC5921"/>
      <w:spacing w:val="6"/>
      <w:sz w:val="64"/>
      <w:szCs w:val="64"/>
      <w:bdr w:val="nil"/>
      <w:lang w:val="en-US" w:eastAsia="es-MX"/>
    </w:rPr>
  </w:style>
  <w:style w:type="paragraph" w:customStyle="1" w:styleId="Body">
    <w:name w:val="Body"/>
    <w:rsid w:val="006C1014"/>
    <w:pPr>
      <w:pBdr>
        <w:top w:val="nil"/>
        <w:left w:val="nil"/>
        <w:bottom w:val="nil"/>
        <w:right w:val="nil"/>
        <w:between w:val="nil"/>
        <w:bar w:val="nil"/>
      </w:pBdr>
      <w:spacing w:after="0" w:line="360" w:lineRule="auto"/>
      <w:ind w:firstLine="540"/>
    </w:pPr>
    <w:rPr>
      <w:rFonts w:ascii="Baskerville" w:eastAsia="Baskerville" w:hAnsi="Baskerville" w:cs="Baskerville"/>
      <w:color w:val="000000"/>
      <w:sz w:val="24"/>
      <w:szCs w:val="24"/>
      <w:bdr w:val="nil"/>
      <w:lang w:eastAsia="es-MX"/>
    </w:rPr>
  </w:style>
  <w:style w:type="character" w:customStyle="1" w:styleId="ListParagraphChar">
    <w:name w:val="List Paragraph Char"/>
    <w:aliases w:val="Dot pt Char,No Spacing1 Char,List Paragraph Char Char Char Char,Indicator Text Char,List Paragraph1 Char,Numbered Para 1 Char,Colorful List - Accent 11 Char,Bullet 1 Char,F5 List Paragraph Char,Bullet Points Char,viñetas Char,3 Char"/>
    <w:link w:val="ListParagraph"/>
    <w:uiPriority w:val="34"/>
    <w:qFormat/>
    <w:locked/>
    <w:rsid w:val="0099470B"/>
  </w:style>
  <w:style w:type="paragraph" w:customStyle="1" w:styleId="wordsection1">
    <w:name w:val="wordsection1"/>
    <w:basedOn w:val="Normal"/>
    <w:uiPriority w:val="99"/>
    <w:rsid w:val="00BB32DF"/>
    <w:pPr>
      <w:spacing w:after="0" w:line="240" w:lineRule="auto"/>
    </w:pPr>
    <w:rPr>
      <w:rFonts w:ascii="Times New Roman" w:eastAsiaTheme="minorHAnsi" w:hAnsi="Times New Roman"/>
      <w:sz w:val="24"/>
      <w:szCs w:val="24"/>
      <w:lang w:eastAsia="es-MX"/>
    </w:rPr>
  </w:style>
  <w:style w:type="table" w:styleId="TableGrid">
    <w:name w:val="Table Grid"/>
    <w:basedOn w:val="TableNormal"/>
    <w:uiPriority w:val="39"/>
    <w:rsid w:val="00CA269B"/>
    <w:pPr>
      <w:spacing w:after="0" w:line="240" w:lineRule="auto"/>
    </w:pPr>
    <w:rPr>
      <w:rFonts w:ascii="Montserrat" w:hAnsi="Montserr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9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98">
      <w:bodyDiv w:val="1"/>
      <w:marLeft w:val="0"/>
      <w:marRight w:val="0"/>
      <w:marTop w:val="0"/>
      <w:marBottom w:val="0"/>
      <w:divBdr>
        <w:top w:val="none" w:sz="0" w:space="0" w:color="auto"/>
        <w:left w:val="none" w:sz="0" w:space="0" w:color="auto"/>
        <w:bottom w:val="none" w:sz="0" w:space="0" w:color="auto"/>
        <w:right w:val="none" w:sz="0" w:space="0" w:color="auto"/>
      </w:divBdr>
    </w:div>
    <w:div w:id="285282796">
      <w:bodyDiv w:val="1"/>
      <w:marLeft w:val="0"/>
      <w:marRight w:val="0"/>
      <w:marTop w:val="0"/>
      <w:marBottom w:val="0"/>
      <w:divBdr>
        <w:top w:val="none" w:sz="0" w:space="0" w:color="auto"/>
        <w:left w:val="none" w:sz="0" w:space="0" w:color="auto"/>
        <w:bottom w:val="none" w:sz="0" w:space="0" w:color="auto"/>
        <w:right w:val="none" w:sz="0" w:space="0" w:color="auto"/>
      </w:divBdr>
    </w:div>
    <w:div w:id="168265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dof.gob.mx/nota_detalle.php?codigo=5410519&amp;fecha=05/10/2015" TargetMode="Externa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portaltransparencia.gob.mx/pot/dependencia/showDependencia.domethod=begin&amp;_idDependencia=36700" TargetMode="External"/><Relationship Id="rId10" Type="http://schemas.openxmlformats.org/officeDocument/2006/relationships/diagramQuickStyle" Target="diagrams/quickStyle1.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www.cndh.org.mx/sites/all/doc/sistemas/DNSP/DNSP_2018.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diputados.gob.mx/LeyesBiblio/pdf/LOFGR_201218.pdf" TargetMode="External"/><Relationship Id="rId2" Type="http://schemas.openxmlformats.org/officeDocument/2006/relationships/hyperlink" Target="http://www.diputados.gob.mx/LeyesBiblio/pdf/CNPP_250618.pdf" TargetMode="External"/><Relationship Id="rId1" Type="http://schemas.openxmlformats.org/officeDocument/2006/relationships/hyperlink" Target="http://www.diputados.gob.mx/LeyesBiblio/pdf/1_120419.pdf" TargetMode="External"/><Relationship Id="rId6" Type="http://schemas.openxmlformats.org/officeDocument/2006/relationships/hyperlink" Target="https://aplicaciones.pgr.gob.mx/normatecasustantiva/Normateca%20Sustantiva/Prot_Inv_Tortura.pdf" TargetMode="External"/><Relationship Id="rId5" Type="http://schemas.openxmlformats.org/officeDocument/2006/relationships/hyperlink" Target="http://www.hchr.org.mx/images/doc_pub/Guia_Tortura_14.pdf" TargetMode="External"/><Relationship Id="rId4" Type="http://schemas.openxmlformats.org/officeDocument/2006/relationships/hyperlink" Target="http://www.diputados.gob.mx/LeyesBiblio/pdf/LGPIST_260617.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EC1E76-44C6-4258-B9A6-2E7DDD8D77B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S"/>
        </a:p>
      </dgm:t>
    </dgm:pt>
    <dgm:pt modelId="{151D9D48-3F3E-412B-85D0-CA3D3BED94C3}">
      <dgm:prSet phldrT="[Texto]"/>
      <dgm:spPr/>
      <dgm:t>
        <a:bodyPr/>
        <a:lstStyle/>
        <a:p>
          <a:r>
            <a:rPr lang="es-ES"/>
            <a:t>Dirección General de la Asesoría Jurídica Federal </a:t>
          </a:r>
        </a:p>
      </dgm:t>
    </dgm:pt>
    <dgm:pt modelId="{4A56575D-2CA3-498E-BAA7-DEB08515720E}" type="parTrans" cxnId="{AFA749BB-C98D-4307-923B-4A8C0785FD57}">
      <dgm:prSet/>
      <dgm:spPr/>
      <dgm:t>
        <a:bodyPr/>
        <a:lstStyle/>
        <a:p>
          <a:endParaRPr lang="es-ES"/>
        </a:p>
      </dgm:t>
    </dgm:pt>
    <dgm:pt modelId="{406E91F1-2C27-44F9-93C4-03A3A11E46B2}" type="sibTrans" cxnId="{AFA749BB-C98D-4307-923B-4A8C0785FD57}">
      <dgm:prSet/>
      <dgm:spPr/>
      <dgm:t>
        <a:bodyPr/>
        <a:lstStyle/>
        <a:p>
          <a:endParaRPr lang="es-ES"/>
        </a:p>
      </dgm:t>
    </dgm:pt>
    <dgm:pt modelId="{6EF4FD8A-9B2D-42CA-B488-553A90FECFB2}">
      <dgm:prSet phldrT="[Texto]"/>
      <dgm:spPr/>
      <dgm:t>
        <a:bodyPr/>
        <a:lstStyle/>
        <a:p>
          <a:r>
            <a:rPr lang="es-ES"/>
            <a:t>Dirección General Adjunta para la Atención a Víctimas del Delito</a:t>
          </a:r>
        </a:p>
      </dgm:t>
    </dgm:pt>
    <dgm:pt modelId="{3CF4B13E-0746-41D8-9E22-D519B3B89F8E}" type="parTrans" cxnId="{86F35C11-73EE-4A29-B836-6860DE71E00D}">
      <dgm:prSet/>
      <dgm:spPr/>
      <dgm:t>
        <a:bodyPr/>
        <a:lstStyle/>
        <a:p>
          <a:endParaRPr lang="es-ES"/>
        </a:p>
      </dgm:t>
    </dgm:pt>
    <dgm:pt modelId="{6F43528D-BE6C-4111-9B1F-91A803F9055E}" type="sibTrans" cxnId="{86F35C11-73EE-4A29-B836-6860DE71E00D}">
      <dgm:prSet/>
      <dgm:spPr/>
      <dgm:t>
        <a:bodyPr/>
        <a:lstStyle/>
        <a:p>
          <a:endParaRPr lang="es-ES"/>
        </a:p>
      </dgm:t>
    </dgm:pt>
    <dgm:pt modelId="{496F6CD3-F30D-4A6F-B382-29035E4FA08E}">
      <dgm:prSet phldrT="[Texto]"/>
      <dgm:spPr/>
      <dgm:t>
        <a:bodyPr/>
        <a:lstStyle/>
        <a:p>
          <a:r>
            <a:rPr lang="es-ES"/>
            <a:t>Dirección General Adjunta para la Atención a Víctimas de Violaciones a Derechos Humanos </a:t>
          </a:r>
        </a:p>
      </dgm:t>
    </dgm:pt>
    <dgm:pt modelId="{F460C4D4-93DB-46F2-9AA1-9281BCBBAAA2}" type="parTrans" cxnId="{619C6B60-24DB-4EBE-9973-D3A35C5226AD}">
      <dgm:prSet/>
      <dgm:spPr/>
      <dgm:t>
        <a:bodyPr/>
        <a:lstStyle/>
        <a:p>
          <a:endParaRPr lang="es-ES"/>
        </a:p>
      </dgm:t>
    </dgm:pt>
    <dgm:pt modelId="{C5100759-8510-4B81-A92E-F403331D2039}" type="sibTrans" cxnId="{619C6B60-24DB-4EBE-9973-D3A35C5226AD}">
      <dgm:prSet/>
      <dgm:spPr/>
      <dgm:t>
        <a:bodyPr/>
        <a:lstStyle/>
        <a:p>
          <a:endParaRPr lang="es-ES"/>
        </a:p>
      </dgm:t>
    </dgm:pt>
    <dgm:pt modelId="{EACAD557-3F5C-42A9-A872-1E0C4EB4F7F1}">
      <dgm:prSet/>
      <dgm:spPr/>
      <dgm:t>
        <a:bodyPr/>
        <a:lstStyle/>
        <a:p>
          <a:r>
            <a:rPr lang="es-ES"/>
            <a:t>Dirección Especializada en Materia de Secuestro</a:t>
          </a:r>
        </a:p>
      </dgm:t>
    </dgm:pt>
    <dgm:pt modelId="{53829F96-0121-4A9E-9F10-D0014C2098CC}" type="parTrans" cxnId="{D070215F-A0EC-490F-81CD-AD8480E25D59}">
      <dgm:prSet/>
      <dgm:spPr/>
      <dgm:t>
        <a:bodyPr/>
        <a:lstStyle/>
        <a:p>
          <a:endParaRPr lang="es-ES"/>
        </a:p>
      </dgm:t>
    </dgm:pt>
    <dgm:pt modelId="{6A385EE6-5286-40A9-9276-A13770840AF6}" type="sibTrans" cxnId="{D070215F-A0EC-490F-81CD-AD8480E25D59}">
      <dgm:prSet/>
      <dgm:spPr/>
      <dgm:t>
        <a:bodyPr/>
        <a:lstStyle/>
        <a:p>
          <a:endParaRPr lang="es-ES"/>
        </a:p>
      </dgm:t>
    </dgm:pt>
    <dgm:pt modelId="{9187152B-9069-4157-AA0C-050126612FFA}">
      <dgm:prSet/>
      <dgm:spPr/>
      <dgm:t>
        <a:bodyPr/>
        <a:lstStyle/>
        <a:p>
          <a:r>
            <a:rPr lang="es-ES"/>
            <a:t>Dirección Especializada en Materia de Desaparición y Desaparición Forzada</a:t>
          </a:r>
        </a:p>
      </dgm:t>
    </dgm:pt>
    <dgm:pt modelId="{6DBE95CC-46CB-4C7C-9EAB-6652E12947E0}" type="parTrans" cxnId="{797519D4-8278-4384-A934-791F446B597F}">
      <dgm:prSet/>
      <dgm:spPr/>
      <dgm:t>
        <a:bodyPr/>
        <a:lstStyle/>
        <a:p>
          <a:endParaRPr lang="es-ES"/>
        </a:p>
      </dgm:t>
    </dgm:pt>
    <dgm:pt modelId="{45E22329-35B2-4FCE-B9CE-7E1D7A29050B}" type="sibTrans" cxnId="{797519D4-8278-4384-A934-791F446B597F}">
      <dgm:prSet/>
      <dgm:spPr/>
      <dgm:t>
        <a:bodyPr/>
        <a:lstStyle/>
        <a:p>
          <a:endParaRPr lang="es-ES"/>
        </a:p>
      </dgm:t>
    </dgm:pt>
    <dgm:pt modelId="{44685158-0641-424D-BB48-F4C2FF83ED38}">
      <dgm:prSet/>
      <dgm:spPr/>
      <dgm:t>
        <a:bodyPr/>
        <a:lstStyle/>
        <a:p>
          <a:r>
            <a:rPr lang="es-ES"/>
            <a:t>Dirección Especializada en Materia de Género y Trata de Personas</a:t>
          </a:r>
        </a:p>
      </dgm:t>
    </dgm:pt>
    <dgm:pt modelId="{2F98BF68-5A5A-4D1E-BBC2-709E798108C2}" type="parTrans" cxnId="{99576BF4-CD1A-4370-9E13-B2CEADD18A3B}">
      <dgm:prSet/>
      <dgm:spPr/>
      <dgm:t>
        <a:bodyPr/>
        <a:lstStyle/>
        <a:p>
          <a:endParaRPr lang="es-ES"/>
        </a:p>
      </dgm:t>
    </dgm:pt>
    <dgm:pt modelId="{F6BFB564-F904-430D-B3F7-07ACFC48C734}" type="sibTrans" cxnId="{99576BF4-CD1A-4370-9E13-B2CEADD18A3B}">
      <dgm:prSet/>
      <dgm:spPr/>
      <dgm:t>
        <a:bodyPr/>
        <a:lstStyle/>
        <a:p>
          <a:endParaRPr lang="es-ES"/>
        </a:p>
      </dgm:t>
    </dgm:pt>
    <dgm:pt modelId="{8538DD97-5372-4279-9CE8-7B27FBD2CDAB}">
      <dgm:prSet/>
      <dgm:spPr/>
      <dgm:t>
        <a:bodyPr/>
        <a:lstStyle/>
        <a:p>
          <a:r>
            <a:rPr lang="es-ES"/>
            <a:t>Dirección Especializada para la Atención de Delitos Diversos </a:t>
          </a:r>
        </a:p>
      </dgm:t>
    </dgm:pt>
    <dgm:pt modelId="{AF0F81DA-68E4-431E-82E4-B59A741C4D14}" type="parTrans" cxnId="{47BA165A-F7E3-49F4-A623-C40F3EF41C25}">
      <dgm:prSet/>
      <dgm:spPr/>
      <dgm:t>
        <a:bodyPr/>
        <a:lstStyle/>
        <a:p>
          <a:endParaRPr lang="es-ES"/>
        </a:p>
      </dgm:t>
    </dgm:pt>
    <dgm:pt modelId="{253C5F7E-8615-418A-971D-E913B5BCEE51}" type="sibTrans" cxnId="{47BA165A-F7E3-49F4-A623-C40F3EF41C25}">
      <dgm:prSet/>
      <dgm:spPr/>
      <dgm:t>
        <a:bodyPr/>
        <a:lstStyle/>
        <a:p>
          <a:endParaRPr lang="es-ES"/>
        </a:p>
      </dgm:t>
    </dgm:pt>
    <dgm:pt modelId="{C9207B32-BE75-4F01-9AA5-747C258D2F30}">
      <dgm:prSet/>
      <dgm:spPr/>
      <dgm:t>
        <a:bodyPr/>
        <a:lstStyle/>
        <a:p>
          <a:r>
            <a:rPr lang="es-ES"/>
            <a:t>Dirección de Análisis Forense</a:t>
          </a:r>
        </a:p>
      </dgm:t>
    </dgm:pt>
    <dgm:pt modelId="{2A35255C-6022-4976-9512-83F6C8D6F39F}" type="parTrans" cxnId="{9CAC3E21-FD3D-497D-A0D5-9BDCAB8EE324}">
      <dgm:prSet/>
      <dgm:spPr/>
      <dgm:t>
        <a:bodyPr/>
        <a:lstStyle/>
        <a:p>
          <a:endParaRPr lang="es-ES"/>
        </a:p>
      </dgm:t>
    </dgm:pt>
    <dgm:pt modelId="{2353FC44-04F2-4198-9E63-085B26457DA5}" type="sibTrans" cxnId="{9CAC3E21-FD3D-497D-A0D5-9BDCAB8EE324}">
      <dgm:prSet/>
      <dgm:spPr/>
      <dgm:t>
        <a:bodyPr/>
        <a:lstStyle/>
        <a:p>
          <a:endParaRPr lang="es-ES"/>
        </a:p>
      </dgm:t>
    </dgm:pt>
    <dgm:pt modelId="{1972917D-C3E9-4F40-A79A-75E07BB68802}">
      <dgm:prSet/>
      <dgm:spPr/>
      <dgm:t>
        <a:bodyPr/>
        <a:lstStyle/>
        <a:p>
          <a:r>
            <a:rPr lang="es-ES"/>
            <a:t>Dirección Especializada en Materia de Tortura y Ejecuciones Extrajudiciales</a:t>
          </a:r>
        </a:p>
      </dgm:t>
    </dgm:pt>
    <dgm:pt modelId="{1828826D-9BFE-4B9E-A617-0B54A5C2CA44}" type="parTrans" cxnId="{48C70202-8166-4832-831A-EDA984B1C765}">
      <dgm:prSet/>
      <dgm:spPr/>
      <dgm:t>
        <a:bodyPr/>
        <a:lstStyle/>
        <a:p>
          <a:endParaRPr lang="es-ES"/>
        </a:p>
      </dgm:t>
    </dgm:pt>
    <dgm:pt modelId="{B33F2639-FFAF-4340-8387-F839D31C9165}" type="sibTrans" cxnId="{48C70202-8166-4832-831A-EDA984B1C765}">
      <dgm:prSet/>
      <dgm:spPr/>
      <dgm:t>
        <a:bodyPr/>
        <a:lstStyle/>
        <a:p>
          <a:endParaRPr lang="es-ES"/>
        </a:p>
      </dgm:t>
    </dgm:pt>
    <dgm:pt modelId="{91D208E4-A3A6-47F9-AF47-BD5C4747368F}">
      <dgm:prSet/>
      <dgm:spPr/>
      <dgm:t>
        <a:bodyPr/>
        <a:lstStyle/>
        <a:p>
          <a:r>
            <a:rPr lang="es-ES"/>
            <a:t>Dirección Especializada en Materia de Derechos Humanos</a:t>
          </a:r>
        </a:p>
      </dgm:t>
    </dgm:pt>
    <dgm:pt modelId="{4C24ACC4-C2A4-427A-ABF3-AA30C3E8CA8D}" type="parTrans" cxnId="{FEC93D6E-9D47-4A13-B7B8-682754F9E870}">
      <dgm:prSet/>
      <dgm:spPr/>
      <dgm:t>
        <a:bodyPr/>
        <a:lstStyle/>
        <a:p>
          <a:endParaRPr lang="es-ES"/>
        </a:p>
      </dgm:t>
    </dgm:pt>
    <dgm:pt modelId="{F00312D7-8652-4079-B6A1-38B467C4364A}" type="sibTrans" cxnId="{FEC93D6E-9D47-4A13-B7B8-682754F9E870}">
      <dgm:prSet/>
      <dgm:spPr/>
      <dgm:t>
        <a:bodyPr/>
        <a:lstStyle/>
        <a:p>
          <a:endParaRPr lang="es-ES"/>
        </a:p>
      </dgm:t>
    </dgm:pt>
    <dgm:pt modelId="{3860E8F9-3553-4363-A440-AD093ADDEB33}">
      <dgm:prSet/>
      <dgm:spPr/>
      <dgm:t>
        <a:bodyPr/>
        <a:lstStyle/>
        <a:p>
          <a:r>
            <a:rPr lang="es-ES"/>
            <a:t>Dirección Especializada en Materia de Periodistas y Defensores de Derechos Humanos</a:t>
          </a:r>
        </a:p>
      </dgm:t>
    </dgm:pt>
    <dgm:pt modelId="{28960ABE-08B9-4CF4-B691-91BBAA85206C}" type="parTrans" cxnId="{700077D4-2DC7-49D7-A600-FAAAA7E012F6}">
      <dgm:prSet/>
      <dgm:spPr/>
      <dgm:t>
        <a:bodyPr/>
        <a:lstStyle/>
        <a:p>
          <a:endParaRPr lang="es-ES"/>
        </a:p>
      </dgm:t>
    </dgm:pt>
    <dgm:pt modelId="{92653989-48AA-41E4-AFF0-F554B6000B6A}" type="sibTrans" cxnId="{700077D4-2DC7-49D7-A600-FAAAA7E012F6}">
      <dgm:prSet/>
      <dgm:spPr/>
      <dgm:t>
        <a:bodyPr/>
        <a:lstStyle/>
        <a:p>
          <a:endParaRPr lang="es-ES"/>
        </a:p>
      </dgm:t>
    </dgm:pt>
    <dgm:pt modelId="{DCB1A9A3-D980-42CD-B510-4491FFE31F6D}">
      <dgm:prSet/>
      <dgm:spPr/>
      <dgm:t>
        <a:bodyPr/>
        <a:lstStyle/>
        <a:p>
          <a:r>
            <a:rPr lang="es-ES"/>
            <a:t>Dirección Especializada en Materia en Grupos en Situación de Vulnerabilidad</a:t>
          </a:r>
        </a:p>
      </dgm:t>
    </dgm:pt>
    <dgm:pt modelId="{8F10519E-0092-4DF2-ABDD-17B50553A94E}" type="parTrans" cxnId="{C5849C25-E586-44AB-ABF0-F606F1879F63}">
      <dgm:prSet/>
      <dgm:spPr/>
      <dgm:t>
        <a:bodyPr/>
        <a:lstStyle/>
        <a:p>
          <a:endParaRPr lang="es-ES"/>
        </a:p>
      </dgm:t>
    </dgm:pt>
    <dgm:pt modelId="{E325AB5F-D7A3-4D06-8323-E9470E5B79D7}" type="sibTrans" cxnId="{C5849C25-E586-44AB-ABF0-F606F1879F63}">
      <dgm:prSet/>
      <dgm:spPr/>
      <dgm:t>
        <a:bodyPr/>
        <a:lstStyle/>
        <a:p>
          <a:endParaRPr lang="es-ES"/>
        </a:p>
      </dgm:t>
    </dgm:pt>
    <dgm:pt modelId="{71974EA7-B0FD-4E11-924E-191FE4EB22A8}">
      <dgm:prSet/>
      <dgm:spPr/>
      <dgm:t>
        <a:bodyPr/>
        <a:lstStyle/>
        <a:p>
          <a:r>
            <a:rPr lang="es-ES"/>
            <a:t>Medidas de ayuda</a:t>
          </a:r>
        </a:p>
      </dgm:t>
    </dgm:pt>
    <dgm:pt modelId="{5E95DC89-1FAD-4E2A-B30F-D5EEAAF8199E}" type="sibTrans" cxnId="{847C6839-6C50-4AA6-8CAD-2D7EC427E356}">
      <dgm:prSet/>
      <dgm:spPr/>
      <dgm:t>
        <a:bodyPr/>
        <a:lstStyle/>
        <a:p>
          <a:endParaRPr lang="es-ES"/>
        </a:p>
      </dgm:t>
    </dgm:pt>
    <dgm:pt modelId="{CBECFFC2-B6A1-42A2-ADEB-5F7A87D5B247}" type="parTrans" cxnId="{847C6839-6C50-4AA6-8CAD-2D7EC427E356}">
      <dgm:prSet/>
      <dgm:spPr/>
      <dgm:t>
        <a:bodyPr/>
        <a:lstStyle/>
        <a:p>
          <a:endParaRPr lang="es-ES"/>
        </a:p>
      </dgm:t>
    </dgm:pt>
    <dgm:pt modelId="{65F8A573-722A-4A6C-B22F-F5ADF5AFD130}">
      <dgm:prSet/>
      <dgm:spPr/>
      <dgm:t>
        <a:bodyPr/>
        <a:lstStyle/>
        <a:p>
          <a:r>
            <a:rPr lang="es-ES"/>
            <a:t>Traslados</a:t>
          </a:r>
        </a:p>
      </dgm:t>
    </dgm:pt>
    <dgm:pt modelId="{E391D418-8587-4655-BA3A-7A6F71470E3E}" type="sibTrans" cxnId="{20EE5E02-A4BC-499A-A40F-1A19C8578569}">
      <dgm:prSet/>
      <dgm:spPr/>
      <dgm:t>
        <a:bodyPr/>
        <a:lstStyle/>
        <a:p>
          <a:endParaRPr lang="es-ES"/>
        </a:p>
      </dgm:t>
    </dgm:pt>
    <dgm:pt modelId="{EFC11A2E-CA83-445E-9C51-884E82C82470}" type="parTrans" cxnId="{20EE5E02-A4BC-499A-A40F-1A19C8578569}">
      <dgm:prSet/>
      <dgm:spPr/>
      <dgm:t>
        <a:bodyPr/>
        <a:lstStyle/>
        <a:p>
          <a:endParaRPr lang="es-ES"/>
        </a:p>
      </dgm:t>
    </dgm:pt>
    <dgm:pt modelId="{2251E4FB-5CEE-4C80-A3FD-36E9AAD78DA0}">
      <dgm:prSet/>
      <dgm:spPr/>
      <dgm:t>
        <a:bodyPr/>
        <a:lstStyle/>
        <a:p>
          <a:r>
            <a:rPr lang="es-ES"/>
            <a:t>Dirección de área</a:t>
          </a:r>
        </a:p>
      </dgm:t>
    </dgm:pt>
    <dgm:pt modelId="{A49382D7-E372-4608-ADDA-A6F901FD7D8A}" type="sibTrans" cxnId="{61553C66-A3F2-45A3-847C-EF4ABF392509}">
      <dgm:prSet/>
      <dgm:spPr/>
      <dgm:t>
        <a:bodyPr/>
        <a:lstStyle/>
        <a:p>
          <a:endParaRPr lang="es-ES"/>
        </a:p>
      </dgm:t>
    </dgm:pt>
    <dgm:pt modelId="{B599366B-1E5A-4F0E-ADBC-2087736E8230}" type="parTrans" cxnId="{61553C66-A3F2-45A3-847C-EF4ABF392509}">
      <dgm:prSet/>
      <dgm:spPr/>
      <dgm:t>
        <a:bodyPr/>
        <a:lstStyle/>
        <a:p>
          <a:endParaRPr lang="es-ES"/>
        </a:p>
      </dgm:t>
    </dgm:pt>
    <dgm:pt modelId="{E6C5D402-B8A5-49FC-B61E-0E6EC29FDF8A}">
      <dgm:prSet phldrT="[Texto]"/>
      <dgm:spPr/>
      <dgm:t>
        <a:bodyPr/>
        <a:lstStyle/>
        <a:p>
          <a:r>
            <a:rPr lang="es-ES"/>
            <a:t>Dirección de Información y Programas Especiales</a:t>
          </a:r>
        </a:p>
      </dgm:t>
    </dgm:pt>
    <dgm:pt modelId="{4FBDFE76-F14A-4CE6-8E55-250F1C36A49A}" type="sibTrans" cxnId="{B9A7B41F-9771-432A-8DBA-4F2A6F91804F}">
      <dgm:prSet/>
      <dgm:spPr/>
      <dgm:t>
        <a:bodyPr/>
        <a:lstStyle/>
        <a:p>
          <a:endParaRPr lang="es-ES"/>
        </a:p>
      </dgm:t>
    </dgm:pt>
    <dgm:pt modelId="{F9DFA928-9B63-4555-94B8-3BF1FB872D67}" type="parTrans" cxnId="{B9A7B41F-9771-432A-8DBA-4F2A6F91804F}">
      <dgm:prSet/>
      <dgm:spPr/>
      <dgm:t>
        <a:bodyPr/>
        <a:lstStyle/>
        <a:p>
          <a:endParaRPr lang="es-ES"/>
        </a:p>
      </dgm:t>
    </dgm:pt>
    <dgm:pt modelId="{D81F4420-AD2F-4CCA-AA2D-1CE34FDACC35}">
      <dgm:prSet/>
      <dgm:spPr/>
      <dgm:t>
        <a:bodyPr/>
        <a:lstStyle/>
        <a:p>
          <a:r>
            <a:rPr lang="es-ES"/>
            <a:t>Orientación Legal</a:t>
          </a:r>
        </a:p>
      </dgm:t>
    </dgm:pt>
    <dgm:pt modelId="{3D74ACAE-F618-4438-B56A-E7AB9C9143EC}" type="parTrans" cxnId="{18BBAF1C-8BCA-49AD-B1E3-FC0346A74160}">
      <dgm:prSet/>
      <dgm:spPr/>
      <dgm:t>
        <a:bodyPr/>
        <a:lstStyle/>
        <a:p>
          <a:endParaRPr lang="es-ES"/>
        </a:p>
      </dgm:t>
    </dgm:pt>
    <dgm:pt modelId="{7D5348C3-499C-432F-BF26-753B1DA9B0AD}" type="sibTrans" cxnId="{18BBAF1C-8BCA-49AD-B1E3-FC0346A74160}">
      <dgm:prSet/>
      <dgm:spPr/>
      <dgm:t>
        <a:bodyPr/>
        <a:lstStyle/>
        <a:p>
          <a:endParaRPr lang="es-ES"/>
        </a:p>
      </dgm:t>
    </dgm:pt>
    <dgm:pt modelId="{EC02AEA1-A237-45EA-8472-4ACE97A2ADF6}">
      <dgm:prSet/>
      <dgm:spPr/>
      <dgm:t>
        <a:bodyPr/>
        <a:lstStyle/>
        <a:p>
          <a:r>
            <a:rPr lang="es-ES"/>
            <a:t>Control de  gestión</a:t>
          </a:r>
        </a:p>
      </dgm:t>
    </dgm:pt>
    <dgm:pt modelId="{DB39ABE3-A684-4304-88EB-2E40704B76E1}" type="parTrans" cxnId="{6DCDE463-BAA7-4A86-B40E-DCEF9C9FDA51}">
      <dgm:prSet/>
      <dgm:spPr/>
      <dgm:t>
        <a:bodyPr/>
        <a:lstStyle/>
        <a:p>
          <a:endParaRPr lang="es-ES"/>
        </a:p>
      </dgm:t>
    </dgm:pt>
    <dgm:pt modelId="{48662C68-0CA3-4EA5-A40A-8A0D4EE59D40}" type="sibTrans" cxnId="{6DCDE463-BAA7-4A86-B40E-DCEF9C9FDA51}">
      <dgm:prSet/>
      <dgm:spPr/>
      <dgm:t>
        <a:bodyPr/>
        <a:lstStyle/>
        <a:p>
          <a:endParaRPr lang="es-ES"/>
        </a:p>
      </dgm:t>
    </dgm:pt>
    <dgm:pt modelId="{38CCF984-9BE3-4AAF-8DFD-1F731B0DB3BF}" type="pres">
      <dgm:prSet presAssocID="{7FEC1E76-44C6-4258-B9A6-2E7DDD8D77BE}" presName="hierChild1" presStyleCnt="0">
        <dgm:presLayoutVars>
          <dgm:orgChart val="1"/>
          <dgm:chPref val="1"/>
          <dgm:dir/>
          <dgm:animOne val="branch"/>
          <dgm:animLvl val="lvl"/>
          <dgm:resizeHandles/>
        </dgm:presLayoutVars>
      </dgm:prSet>
      <dgm:spPr/>
      <dgm:t>
        <a:bodyPr/>
        <a:lstStyle/>
        <a:p>
          <a:endParaRPr lang="es-MX"/>
        </a:p>
      </dgm:t>
    </dgm:pt>
    <dgm:pt modelId="{DDBF08E9-CAD0-47F6-B6EB-A0BE0D8337CF}" type="pres">
      <dgm:prSet presAssocID="{151D9D48-3F3E-412B-85D0-CA3D3BED94C3}" presName="hierRoot1" presStyleCnt="0">
        <dgm:presLayoutVars>
          <dgm:hierBranch val="init"/>
        </dgm:presLayoutVars>
      </dgm:prSet>
      <dgm:spPr/>
    </dgm:pt>
    <dgm:pt modelId="{4B8143B4-0996-4030-87DA-EEB1C21E5319}" type="pres">
      <dgm:prSet presAssocID="{151D9D48-3F3E-412B-85D0-CA3D3BED94C3}" presName="rootComposite1" presStyleCnt="0"/>
      <dgm:spPr/>
    </dgm:pt>
    <dgm:pt modelId="{BD2C0CE5-0C96-4ADF-88EA-4FE75D2704E9}" type="pres">
      <dgm:prSet presAssocID="{151D9D48-3F3E-412B-85D0-CA3D3BED94C3}" presName="rootText1" presStyleLbl="node0" presStyleIdx="0" presStyleCnt="1">
        <dgm:presLayoutVars>
          <dgm:chPref val="3"/>
        </dgm:presLayoutVars>
      </dgm:prSet>
      <dgm:spPr/>
      <dgm:t>
        <a:bodyPr/>
        <a:lstStyle/>
        <a:p>
          <a:endParaRPr lang="es-MX"/>
        </a:p>
      </dgm:t>
    </dgm:pt>
    <dgm:pt modelId="{A57E99D0-36DF-49BB-B9AF-9E66034D4778}" type="pres">
      <dgm:prSet presAssocID="{151D9D48-3F3E-412B-85D0-CA3D3BED94C3}" presName="rootConnector1" presStyleLbl="node1" presStyleIdx="0" presStyleCnt="0"/>
      <dgm:spPr/>
      <dgm:t>
        <a:bodyPr/>
        <a:lstStyle/>
        <a:p>
          <a:endParaRPr lang="es-MX"/>
        </a:p>
      </dgm:t>
    </dgm:pt>
    <dgm:pt modelId="{83CE982E-F103-429D-946E-6B8511EB4313}" type="pres">
      <dgm:prSet presAssocID="{151D9D48-3F3E-412B-85D0-CA3D3BED94C3}" presName="hierChild2" presStyleCnt="0"/>
      <dgm:spPr/>
    </dgm:pt>
    <dgm:pt modelId="{216B887B-DB7D-4A47-9E09-0FC239DFEDAC}" type="pres">
      <dgm:prSet presAssocID="{3CF4B13E-0746-41D8-9E22-D519B3B89F8E}" presName="Name37" presStyleLbl="parChTrans1D2" presStyleIdx="0" presStyleCnt="6"/>
      <dgm:spPr/>
      <dgm:t>
        <a:bodyPr/>
        <a:lstStyle/>
        <a:p>
          <a:endParaRPr lang="es-MX"/>
        </a:p>
      </dgm:t>
    </dgm:pt>
    <dgm:pt modelId="{8EF9665E-55B3-4B52-9E77-A7ACD21CA739}" type="pres">
      <dgm:prSet presAssocID="{6EF4FD8A-9B2D-42CA-B488-553A90FECFB2}" presName="hierRoot2" presStyleCnt="0">
        <dgm:presLayoutVars>
          <dgm:hierBranch val="init"/>
        </dgm:presLayoutVars>
      </dgm:prSet>
      <dgm:spPr/>
    </dgm:pt>
    <dgm:pt modelId="{9F321283-E9FA-4B65-A1B8-CBB43225FC68}" type="pres">
      <dgm:prSet presAssocID="{6EF4FD8A-9B2D-42CA-B488-553A90FECFB2}" presName="rootComposite" presStyleCnt="0"/>
      <dgm:spPr/>
    </dgm:pt>
    <dgm:pt modelId="{5971197A-DF2D-4DE9-96AF-15D692B18336}" type="pres">
      <dgm:prSet presAssocID="{6EF4FD8A-9B2D-42CA-B488-553A90FECFB2}" presName="rootText" presStyleLbl="node2" presStyleIdx="0" presStyleCnt="6">
        <dgm:presLayoutVars>
          <dgm:chPref val="3"/>
        </dgm:presLayoutVars>
      </dgm:prSet>
      <dgm:spPr/>
      <dgm:t>
        <a:bodyPr/>
        <a:lstStyle/>
        <a:p>
          <a:endParaRPr lang="es-MX"/>
        </a:p>
      </dgm:t>
    </dgm:pt>
    <dgm:pt modelId="{47992827-8C41-4A9D-9D68-D174999B6583}" type="pres">
      <dgm:prSet presAssocID="{6EF4FD8A-9B2D-42CA-B488-553A90FECFB2}" presName="rootConnector" presStyleLbl="node2" presStyleIdx="0" presStyleCnt="6"/>
      <dgm:spPr/>
      <dgm:t>
        <a:bodyPr/>
        <a:lstStyle/>
        <a:p>
          <a:endParaRPr lang="es-MX"/>
        </a:p>
      </dgm:t>
    </dgm:pt>
    <dgm:pt modelId="{E3C3670D-6528-49D0-A71A-A8225FACCE3D}" type="pres">
      <dgm:prSet presAssocID="{6EF4FD8A-9B2D-42CA-B488-553A90FECFB2}" presName="hierChild4" presStyleCnt="0"/>
      <dgm:spPr/>
    </dgm:pt>
    <dgm:pt modelId="{3C407230-D2DD-4102-B4CA-7270C485BCFE}" type="pres">
      <dgm:prSet presAssocID="{53829F96-0121-4A9E-9F10-D0014C2098CC}" presName="Name37" presStyleLbl="parChTrans1D3" presStyleIdx="0" presStyleCnt="11"/>
      <dgm:spPr/>
      <dgm:t>
        <a:bodyPr/>
        <a:lstStyle/>
        <a:p>
          <a:endParaRPr lang="es-MX"/>
        </a:p>
      </dgm:t>
    </dgm:pt>
    <dgm:pt modelId="{9A61BAB9-F1D1-47C4-9C81-9AA7A7A72BA0}" type="pres">
      <dgm:prSet presAssocID="{EACAD557-3F5C-42A9-A872-1E0C4EB4F7F1}" presName="hierRoot2" presStyleCnt="0">
        <dgm:presLayoutVars>
          <dgm:hierBranch val="init"/>
        </dgm:presLayoutVars>
      </dgm:prSet>
      <dgm:spPr/>
    </dgm:pt>
    <dgm:pt modelId="{CD3BF1BF-D919-4045-A0E1-D5EA48992EC7}" type="pres">
      <dgm:prSet presAssocID="{EACAD557-3F5C-42A9-A872-1E0C4EB4F7F1}" presName="rootComposite" presStyleCnt="0"/>
      <dgm:spPr/>
    </dgm:pt>
    <dgm:pt modelId="{35DD5CFC-0638-46B3-9BFD-35C83FBC5EAB}" type="pres">
      <dgm:prSet presAssocID="{EACAD557-3F5C-42A9-A872-1E0C4EB4F7F1}" presName="rootText" presStyleLbl="node3" presStyleIdx="0" presStyleCnt="11">
        <dgm:presLayoutVars>
          <dgm:chPref val="3"/>
        </dgm:presLayoutVars>
      </dgm:prSet>
      <dgm:spPr/>
      <dgm:t>
        <a:bodyPr/>
        <a:lstStyle/>
        <a:p>
          <a:endParaRPr lang="es-MX"/>
        </a:p>
      </dgm:t>
    </dgm:pt>
    <dgm:pt modelId="{0FF837CD-89B0-40BC-A198-1202610446DC}" type="pres">
      <dgm:prSet presAssocID="{EACAD557-3F5C-42A9-A872-1E0C4EB4F7F1}" presName="rootConnector" presStyleLbl="node3" presStyleIdx="0" presStyleCnt="11"/>
      <dgm:spPr/>
      <dgm:t>
        <a:bodyPr/>
        <a:lstStyle/>
        <a:p>
          <a:endParaRPr lang="es-MX"/>
        </a:p>
      </dgm:t>
    </dgm:pt>
    <dgm:pt modelId="{67AC5CF2-F2B7-4EFF-BF14-D0138B648FE8}" type="pres">
      <dgm:prSet presAssocID="{EACAD557-3F5C-42A9-A872-1E0C4EB4F7F1}" presName="hierChild4" presStyleCnt="0"/>
      <dgm:spPr/>
    </dgm:pt>
    <dgm:pt modelId="{D81AE4AF-EAEA-4DEB-8236-40FB9F2940C3}" type="pres">
      <dgm:prSet presAssocID="{EACAD557-3F5C-42A9-A872-1E0C4EB4F7F1}" presName="hierChild5" presStyleCnt="0"/>
      <dgm:spPr/>
    </dgm:pt>
    <dgm:pt modelId="{6BB9721F-ABC6-4B40-8172-86EF74D1E315}" type="pres">
      <dgm:prSet presAssocID="{6DBE95CC-46CB-4C7C-9EAB-6652E12947E0}" presName="Name37" presStyleLbl="parChTrans1D3" presStyleIdx="1" presStyleCnt="11"/>
      <dgm:spPr/>
      <dgm:t>
        <a:bodyPr/>
        <a:lstStyle/>
        <a:p>
          <a:endParaRPr lang="es-MX"/>
        </a:p>
      </dgm:t>
    </dgm:pt>
    <dgm:pt modelId="{D818C188-CF3C-42E7-9CFF-40247C331AA8}" type="pres">
      <dgm:prSet presAssocID="{9187152B-9069-4157-AA0C-050126612FFA}" presName="hierRoot2" presStyleCnt="0">
        <dgm:presLayoutVars>
          <dgm:hierBranch val="init"/>
        </dgm:presLayoutVars>
      </dgm:prSet>
      <dgm:spPr/>
    </dgm:pt>
    <dgm:pt modelId="{AF3EFAC0-A892-4966-BBB1-2FB98BB64307}" type="pres">
      <dgm:prSet presAssocID="{9187152B-9069-4157-AA0C-050126612FFA}" presName="rootComposite" presStyleCnt="0"/>
      <dgm:spPr/>
    </dgm:pt>
    <dgm:pt modelId="{DD2AD0C8-F261-46ED-A129-B1CAC45F2F1E}" type="pres">
      <dgm:prSet presAssocID="{9187152B-9069-4157-AA0C-050126612FFA}" presName="rootText" presStyleLbl="node3" presStyleIdx="1" presStyleCnt="11">
        <dgm:presLayoutVars>
          <dgm:chPref val="3"/>
        </dgm:presLayoutVars>
      </dgm:prSet>
      <dgm:spPr/>
      <dgm:t>
        <a:bodyPr/>
        <a:lstStyle/>
        <a:p>
          <a:endParaRPr lang="es-MX"/>
        </a:p>
      </dgm:t>
    </dgm:pt>
    <dgm:pt modelId="{099237A4-84B7-4F00-B1FF-5F0F9D25D3E3}" type="pres">
      <dgm:prSet presAssocID="{9187152B-9069-4157-AA0C-050126612FFA}" presName="rootConnector" presStyleLbl="node3" presStyleIdx="1" presStyleCnt="11"/>
      <dgm:spPr/>
      <dgm:t>
        <a:bodyPr/>
        <a:lstStyle/>
        <a:p>
          <a:endParaRPr lang="es-MX"/>
        </a:p>
      </dgm:t>
    </dgm:pt>
    <dgm:pt modelId="{3A08A714-479A-4C38-886B-644E5CAC0B3B}" type="pres">
      <dgm:prSet presAssocID="{9187152B-9069-4157-AA0C-050126612FFA}" presName="hierChild4" presStyleCnt="0"/>
      <dgm:spPr/>
    </dgm:pt>
    <dgm:pt modelId="{13518BBE-9802-413A-8502-4CCA0F681C9E}" type="pres">
      <dgm:prSet presAssocID="{9187152B-9069-4157-AA0C-050126612FFA}" presName="hierChild5" presStyleCnt="0"/>
      <dgm:spPr/>
    </dgm:pt>
    <dgm:pt modelId="{841F1F39-6D3B-4C29-8F7E-95B41B403EC0}" type="pres">
      <dgm:prSet presAssocID="{2F98BF68-5A5A-4D1E-BBC2-709E798108C2}" presName="Name37" presStyleLbl="parChTrans1D3" presStyleIdx="2" presStyleCnt="11"/>
      <dgm:spPr/>
      <dgm:t>
        <a:bodyPr/>
        <a:lstStyle/>
        <a:p>
          <a:endParaRPr lang="es-MX"/>
        </a:p>
      </dgm:t>
    </dgm:pt>
    <dgm:pt modelId="{F9E46724-7A8F-4EBD-862F-2C206D8DF133}" type="pres">
      <dgm:prSet presAssocID="{44685158-0641-424D-BB48-F4C2FF83ED38}" presName="hierRoot2" presStyleCnt="0">
        <dgm:presLayoutVars>
          <dgm:hierBranch val="init"/>
        </dgm:presLayoutVars>
      </dgm:prSet>
      <dgm:spPr/>
    </dgm:pt>
    <dgm:pt modelId="{95EBA45F-A789-45D3-B1BD-2D64FE9BC71C}" type="pres">
      <dgm:prSet presAssocID="{44685158-0641-424D-BB48-F4C2FF83ED38}" presName="rootComposite" presStyleCnt="0"/>
      <dgm:spPr/>
    </dgm:pt>
    <dgm:pt modelId="{73FD6395-7899-402F-BA52-467B80440D36}" type="pres">
      <dgm:prSet presAssocID="{44685158-0641-424D-BB48-F4C2FF83ED38}" presName="rootText" presStyleLbl="node3" presStyleIdx="2" presStyleCnt="11">
        <dgm:presLayoutVars>
          <dgm:chPref val="3"/>
        </dgm:presLayoutVars>
      </dgm:prSet>
      <dgm:spPr/>
      <dgm:t>
        <a:bodyPr/>
        <a:lstStyle/>
        <a:p>
          <a:endParaRPr lang="es-MX"/>
        </a:p>
      </dgm:t>
    </dgm:pt>
    <dgm:pt modelId="{52263E55-5274-49F4-B8C6-E18C6D224321}" type="pres">
      <dgm:prSet presAssocID="{44685158-0641-424D-BB48-F4C2FF83ED38}" presName="rootConnector" presStyleLbl="node3" presStyleIdx="2" presStyleCnt="11"/>
      <dgm:spPr/>
      <dgm:t>
        <a:bodyPr/>
        <a:lstStyle/>
        <a:p>
          <a:endParaRPr lang="es-MX"/>
        </a:p>
      </dgm:t>
    </dgm:pt>
    <dgm:pt modelId="{B6C88CEC-5319-4A2E-A04C-23A29104CE8C}" type="pres">
      <dgm:prSet presAssocID="{44685158-0641-424D-BB48-F4C2FF83ED38}" presName="hierChild4" presStyleCnt="0"/>
      <dgm:spPr/>
    </dgm:pt>
    <dgm:pt modelId="{BDFA8BDE-ADC5-403A-A1F5-92E390C002A9}" type="pres">
      <dgm:prSet presAssocID="{44685158-0641-424D-BB48-F4C2FF83ED38}" presName="hierChild5" presStyleCnt="0"/>
      <dgm:spPr/>
    </dgm:pt>
    <dgm:pt modelId="{F015D36D-E854-4B6C-9F4C-C6AB37B49412}" type="pres">
      <dgm:prSet presAssocID="{AF0F81DA-68E4-431E-82E4-B59A741C4D14}" presName="Name37" presStyleLbl="parChTrans1D3" presStyleIdx="3" presStyleCnt="11"/>
      <dgm:spPr/>
      <dgm:t>
        <a:bodyPr/>
        <a:lstStyle/>
        <a:p>
          <a:endParaRPr lang="es-MX"/>
        </a:p>
      </dgm:t>
    </dgm:pt>
    <dgm:pt modelId="{206C4B49-1E62-4C6A-B05A-92887471D56E}" type="pres">
      <dgm:prSet presAssocID="{8538DD97-5372-4279-9CE8-7B27FBD2CDAB}" presName="hierRoot2" presStyleCnt="0">
        <dgm:presLayoutVars>
          <dgm:hierBranch val="init"/>
        </dgm:presLayoutVars>
      </dgm:prSet>
      <dgm:spPr/>
    </dgm:pt>
    <dgm:pt modelId="{131E6BBF-0DCC-41F9-8252-B4589851FAD1}" type="pres">
      <dgm:prSet presAssocID="{8538DD97-5372-4279-9CE8-7B27FBD2CDAB}" presName="rootComposite" presStyleCnt="0"/>
      <dgm:spPr/>
    </dgm:pt>
    <dgm:pt modelId="{9CE2BF93-D8B6-49D9-B6C6-27DA0A9EEA85}" type="pres">
      <dgm:prSet presAssocID="{8538DD97-5372-4279-9CE8-7B27FBD2CDAB}" presName="rootText" presStyleLbl="node3" presStyleIdx="3" presStyleCnt="11">
        <dgm:presLayoutVars>
          <dgm:chPref val="3"/>
        </dgm:presLayoutVars>
      </dgm:prSet>
      <dgm:spPr/>
      <dgm:t>
        <a:bodyPr/>
        <a:lstStyle/>
        <a:p>
          <a:endParaRPr lang="es-MX"/>
        </a:p>
      </dgm:t>
    </dgm:pt>
    <dgm:pt modelId="{708D89E9-C515-4E2C-A986-3A4ACFE86489}" type="pres">
      <dgm:prSet presAssocID="{8538DD97-5372-4279-9CE8-7B27FBD2CDAB}" presName="rootConnector" presStyleLbl="node3" presStyleIdx="3" presStyleCnt="11"/>
      <dgm:spPr/>
      <dgm:t>
        <a:bodyPr/>
        <a:lstStyle/>
        <a:p>
          <a:endParaRPr lang="es-MX"/>
        </a:p>
      </dgm:t>
    </dgm:pt>
    <dgm:pt modelId="{87E1C782-0CF7-4913-BEB3-37DC74FC8204}" type="pres">
      <dgm:prSet presAssocID="{8538DD97-5372-4279-9CE8-7B27FBD2CDAB}" presName="hierChild4" presStyleCnt="0"/>
      <dgm:spPr/>
    </dgm:pt>
    <dgm:pt modelId="{F57F05CF-8233-4661-979A-C8E8B7177428}" type="pres">
      <dgm:prSet presAssocID="{8538DD97-5372-4279-9CE8-7B27FBD2CDAB}" presName="hierChild5" presStyleCnt="0"/>
      <dgm:spPr/>
    </dgm:pt>
    <dgm:pt modelId="{47D78689-46F9-4497-A13F-A1FE74F4B793}" type="pres">
      <dgm:prSet presAssocID="{2A35255C-6022-4976-9512-83F6C8D6F39F}" presName="Name37" presStyleLbl="parChTrans1D3" presStyleIdx="4" presStyleCnt="11"/>
      <dgm:spPr/>
      <dgm:t>
        <a:bodyPr/>
        <a:lstStyle/>
        <a:p>
          <a:endParaRPr lang="es-MX"/>
        </a:p>
      </dgm:t>
    </dgm:pt>
    <dgm:pt modelId="{D6AC2F47-B05B-4EFF-BD03-D207B2011AD2}" type="pres">
      <dgm:prSet presAssocID="{C9207B32-BE75-4F01-9AA5-747C258D2F30}" presName="hierRoot2" presStyleCnt="0">
        <dgm:presLayoutVars>
          <dgm:hierBranch val="init"/>
        </dgm:presLayoutVars>
      </dgm:prSet>
      <dgm:spPr/>
    </dgm:pt>
    <dgm:pt modelId="{117F6861-2183-41CB-92BD-771B2070A289}" type="pres">
      <dgm:prSet presAssocID="{C9207B32-BE75-4F01-9AA5-747C258D2F30}" presName="rootComposite" presStyleCnt="0"/>
      <dgm:spPr/>
    </dgm:pt>
    <dgm:pt modelId="{446DFADF-46EE-438A-8D85-48EA1E3B1A11}" type="pres">
      <dgm:prSet presAssocID="{C9207B32-BE75-4F01-9AA5-747C258D2F30}" presName="rootText" presStyleLbl="node3" presStyleIdx="4" presStyleCnt="11">
        <dgm:presLayoutVars>
          <dgm:chPref val="3"/>
        </dgm:presLayoutVars>
      </dgm:prSet>
      <dgm:spPr/>
      <dgm:t>
        <a:bodyPr/>
        <a:lstStyle/>
        <a:p>
          <a:endParaRPr lang="es-MX"/>
        </a:p>
      </dgm:t>
    </dgm:pt>
    <dgm:pt modelId="{3BEDE311-88A0-4BF8-B5F2-CAD9A201C0C8}" type="pres">
      <dgm:prSet presAssocID="{C9207B32-BE75-4F01-9AA5-747C258D2F30}" presName="rootConnector" presStyleLbl="node3" presStyleIdx="4" presStyleCnt="11"/>
      <dgm:spPr/>
      <dgm:t>
        <a:bodyPr/>
        <a:lstStyle/>
        <a:p>
          <a:endParaRPr lang="es-MX"/>
        </a:p>
      </dgm:t>
    </dgm:pt>
    <dgm:pt modelId="{84A74589-0A5A-439C-9BBF-C1775B9E5A6C}" type="pres">
      <dgm:prSet presAssocID="{C9207B32-BE75-4F01-9AA5-747C258D2F30}" presName="hierChild4" presStyleCnt="0"/>
      <dgm:spPr/>
    </dgm:pt>
    <dgm:pt modelId="{FAE409A3-2227-40C1-922B-6436230ECF0C}" type="pres">
      <dgm:prSet presAssocID="{C9207B32-BE75-4F01-9AA5-747C258D2F30}" presName="hierChild5" presStyleCnt="0"/>
      <dgm:spPr/>
    </dgm:pt>
    <dgm:pt modelId="{E3F378A2-CD85-470B-BBAB-E026D263DB1C}" type="pres">
      <dgm:prSet presAssocID="{6EF4FD8A-9B2D-42CA-B488-553A90FECFB2}" presName="hierChild5" presStyleCnt="0"/>
      <dgm:spPr/>
    </dgm:pt>
    <dgm:pt modelId="{052BC183-68EB-48C9-8B38-5846DDF496EE}" type="pres">
      <dgm:prSet presAssocID="{F460C4D4-93DB-46F2-9AA1-9281BCBBAAA2}" presName="Name37" presStyleLbl="parChTrans1D2" presStyleIdx="1" presStyleCnt="6"/>
      <dgm:spPr/>
      <dgm:t>
        <a:bodyPr/>
        <a:lstStyle/>
        <a:p>
          <a:endParaRPr lang="es-MX"/>
        </a:p>
      </dgm:t>
    </dgm:pt>
    <dgm:pt modelId="{1B088FE2-3EA1-45C0-94F5-6F2931DDF966}" type="pres">
      <dgm:prSet presAssocID="{496F6CD3-F30D-4A6F-B382-29035E4FA08E}" presName="hierRoot2" presStyleCnt="0">
        <dgm:presLayoutVars>
          <dgm:hierBranch val="init"/>
        </dgm:presLayoutVars>
      </dgm:prSet>
      <dgm:spPr/>
    </dgm:pt>
    <dgm:pt modelId="{63E41F08-E97C-4254-BC8E-9540ACB31F56}" type="pres">
      <dgm:prSet presAssocID="{496F6CD3-F30D-4A6F-B382-29035E4FA08E}" presName="rootComposite" presStyleCnt="0"/>
      <dgm:spPr/>
    </dgm:pt>
    <dgm:pt modelId="{BF222B15-39C3-49BA-A6BC-77B015763D13}" type="pres">
      <dgm:prSet presAssocID="{496F6CD3-F30D-4A6F-B382-29035E4FA08E}" presName="rootText" presStyleLbl="node2" presStyleIdx="1" presStyleCnt="6" custLinFactNeighborX="392">
        <dgm:presLayoutVars>
          <dgm:chPref val="3"/>
        </dgm:presLayoutVars>
      </dgm:prSet>
      <dgm:spPr/>
      <dgm:t>
        <a:bodyPr/>
        <a:lstStyle/>
        <a:p>
          <a:endParaRPr lang="es-MX"/>
        </a:p>
      </dgm:t>
    </dgm:pt>
    <dgm:pt modelId="{52807F18-AE8D-452E-A5F6-DD193B711432}" type="pres">
      <dgm:prSet presAssocID="{496F6CD3-F30D-4A6F-B382-29035E4FA08E}" presName="rootConnector" presStyleLbl="node2" presStyleIdx="1" presStyleCnt="6"/>
      <dgm:spPr/>
      <dgm:t>
        <a:bodyPr/>
        <a:lstStyle/>
        <a:p>
          <a:endParaRPr lang="es-MX"/>
        </a:p>
      </dgm:t>
    </dgm:pt>
    <dgm:pt modelId="{8005CAF2-4BDB-45BF-8145-6A1AD96185C8}" type="pres">
      <dgm:prSet presAssocID="{496F6CD3-F30D-4A6F-B382-29035E4FA08E}" presName="hierChild4" presStyleCnt="0"/>
      <dgm:spPr/>
    </dgm:pt>
    <dgm:pt modelId="{BC09A929-DAC0-43BB-AF4B-BAB130F3F94A}" type="pres">
      <dgm:prSet presAssocID="{1828826D-9BFE-4B9E-A617-0B54A5C2CA44}" presName="Name37" presStyleLbl="parChTrans1D3" presStyleIdx="5" presStyleCnt="11"/>
      <dgm:spPr/>
      <dgm:t>
        <a:bodyPr/>
        <a:lstStyle/>
        <a:p>
          <a:endParaRPr lang="es-MX"/>
        </a:p>
      </dgm:t>
    </dgm:pt>
    <dgm:pt modelId="{53D714B6-2693-4B06-A4B0-C4A297192464}" type="pres">
      <dgm:prSet presAssocID="{1972917D-C3E9-4F40-A79A-75E07BB68802}" presName="hierRoot2" presStyleCnt="0">
        <dgm:presLayoutVars>
          <dgm:hierBranch val="init"/>
        </dgm:presLayoutVars>
      </dgm:prSet>
      <dgm:spPr/>
    </dgm:pt>
    <dgm:pt modelId="{99248F37-A19D-49EE-BFFC-0034FD5DB6AB}" type="pres">
      <dgm:prSet presAssocID="{1972917D-C3E9-4F40-A79A-75E07BB68802}" presName="rootComposite" presStyleCnt="0"/>
      <dgm:spPr/>
    </dgm:pt>
    <dgm:pt modelId="{A6278F32-7614-4678-B319-D17ED48EC82B}" type="pres">
      <dgm:prSet presAssocID="{1972917D-C3E9-4F40-A79A-75E07BB68802}" presName="rootText" presStyleLbl="node3" presStyleIdx="5" presStyleCnt="11">
        <dgm:presLayoutVars>
          <dgm:chPref val="3"/>
        </dgm:presLayoutVars>
      </dgm:prSet>
      <dgm:spPr/>
      <dgm:t>
        <a:bodyPr/>
        <a:lstStyle/>
        <a:p>
          <a:endParaRPr lang="es-MX"/>
        </a:p>
      </dgm:t>
    </dgm:pt>
    <dgm:pt modelId="{2EF77A01-D550-4491-8E22-A7E2A97DEA06}" type="pres">
      <dgm:prSet presAssocID="{1972917D-C3E9-4F40-A79A-75E07BB68802}" presName="rootConnector" presStyleLbl="node3" presStyleIdx="5" presStyleCnt="11"/>
      <dgm:spPr/>
      <dgm:t>
        <a:bodyPr/>
        <a:lstStyle/>
        <a:p>
          <a:endParaRPr lang="es-MX"/>
        </a:p>
      </dgm:t>
    </dgm:pt>
    <dgm:pt modelId="{3FAE26FC-F5AE-4D91-A157-302A00394BDE}" type="pres">
      <dgm:prSet presAssocID="{1972917D-C3E9-4F40-A79A-75E07BB68802}" presName="hierChild4" presStyleCnt="0"/>
      <dgm:spPr/>
    </dgm:pt>
    <dgm:pt modelId="{62B98247-427B-47FD-8E92-0E8404BBD585}" type="pres">
      <dgm:prSet presAssocID="{1972917D-C3E9-4F40-A79A-75E07BB68802}" presName="hierChild5" presStyleCnt="0"/>
      <dgm:spPr/>
    </dgm:pt>
    <dgm:pt modelId="{B253356C-9816-425C-9BCE-666E1432F33B}" type="pres">
      <dgm:prSet presAssocID="{4C24ACC4-C2A4-427A-ABF3-AA30C3E8CA8D}" presName="Name37" presStyleLbl="parChTrans1D3" presStyleIdx="6" presStyleCnt="11"/>
      <dgm:spPr/>
      <dgm:t>
        <a:bodyPr/>
        <a:lstStyle/>
        <a:p>
          <a:endParaRPr lang="es-MX"/>
        </a:p>
      </dgm:t>
    </dgm:pt>
    <dgm:pt modelId="{C09A2147-17BD-4DE7-B5F1-E6B425513FE1}" type="pres">
      <dgm:prSet presAssocID="{91D208E4-A3A6-47F9-AF47-BD5C4747368F}" presName="hierRoot2" presStyleCnt="0">
        <dgm:presLayoutVars>
          <dgm:hierBranch val="init"/>
        </dgm:presLayoutVars>
      </dgm:prSet>
      <dgm:spPr/>
    </dgm:pt>
    <dgm:pt modelId="{48C5D341-E99F-47F1-A766-83A0F188ABEE}" type="pres">
      <dgm:prSet presAssocID="{91D208E4-A3A6-47F9-AF47-BD5C4747368F}" presName="rootComposite" presStyleCnt="0"/>
      <dgm:spPr/>
    </dgm:pt>
    <dgm:pt modelId="{9AD0FCED-2484-4B05-8AE0-4AAE80912282}" type="pres">
      <dgm:prSet presAssocID="{91D208E4-A3A6-47F9-AF47-BD5C4747368F}" presName="rootText" presStyleLbl="node3" presStyleIdx="6" presStyleCnt="11">
        <dgm:presLayoutVars>
          <dgm:chPref val="3"/>
        </dgm:presLayoutVars>
      </dgm:prSet>
      <dgm:spPr/>
      <dgm:t>
        <a:bodyPr/>
        <a:lstStyle/>
        <a:p>
          <a:endParaRPr lang="es-MX"/>
        </a:p>
      </dgm:t>
    </dgm:pt>
    <dgm:pt modelId="{BA2B83F9-4B0A-402A-8047-E7B4E4D19453}" type="pres">
      <dgm:prSet presAssocID="{91D208E4-A3A6-47F9-AF47-BD5C4747368F}" presName="rootConnector" presStyleLbl="node3" presStyleIdx="6" presStyleCnt="11"/>
      <dgm:spPr/>
      <dgm:t>
        <a:bodyPr/>
        <a:lstStyle/>
        <a:p>
          <a:endParaRPr lang="es-MX"/>
        </a:p>
      </dgm:t>
    </dgm:pt>
    <dgm:pt modelId="{E55BD33E-C061-45F8-AA44-F59BFF4A92AA}" type="pres">
      <dgm:prSet presAssocID="{91D208E4-A3A6-47F9-AF47-BD5C4747368F}" presName="hierChild4" presStyleCnt="0"/>
      <dgm:spPr/>
    </dgm:pt>
    <dgm:pt modelId="{B44F77DF-1C15-4C5A-A130-601E021DC3F7}" type="pres">
      <dgm:prSet presAssocID="{91D208E4-A3A6-47F9-AF47-BD5C4747368F}" presName="hierChild5" presStyleCnt="0"/>
      <dgm:spPr/>
    </dgm:pt>
    <dgm:pt modelId="{A0C9116F-77FE-4E16-A5F1-EC38E76AEFA0}" type="pres">
      <dgm:prSet presAssocID="{28960ABE-08B9-4CF4-B691-91BBAA85206C}" presName="Name37" presStyleLbl="parChTrans1D3" presStyleIdx="7" presStyleCnt="11"/>
      <dgm:spPr/>
      <dgm:t>
        <a:bodyPr/>
        <a:lstStyle/>
        <a:p>
          <a:endParaRPr lang="es-MX"/>
        </a:p>
      </dgm:t>
    </dgm:pt>
    <dgm:pt modelId="{1D2D1D2E-15B8-45D3-A43E-C51D2A8725D3}" type="pres">
      <dgm:prSet presAssocID="{3860E8F9-3553-4363-A440-AD093ADDEB33}" presName="hierRoot2" presStyleCnt="0">
        <dgm:presLayoutVars>
          <dgm:hierBranch val="init"/>
        </dgm:presLayoutVars>
      </dgm:prSet>
      <dgm:spPr/>
    </dgm:pt>
    <dgm:pt modelId="{03C063F9-BC93-44C4-9F5C-FFB05890F203}" type="pres">
      <dgm:prSet presAssocID="{3860E8F9-3553-4363-A440-AD093ADDEB33}" presName="rootComposite" presStyleCnt="0"/>
      <dgm:spPr/>
    </dgm:pt>
    <dgm:pt modelId="{65821362-A0A5-4E59-B282-3D22961DDAA6}" type="pres">
      <dgm:prSet presAssocID="{3860E8F9-3553-4363-A440-AD093ADDEB33}" presName="rootText" presStyleLbl="node3" presStyleIdx="7" presStyleCnt="11">
        <dgm:presLayoutVars>
          <dgm:chPref val="3"/>
        </dgm:presLayoutVars>
      </dgm:prSet>
      <dgm:spPr/>
      <dgm:t>
        <a:bodyPr/>
        <a:lstStyle/>
        <a:p>
          <a:endParaRPr lang="es-MX"/>
        </a:p>
      </dgm:t>
    </dgm:pt>
    <dgm:pt modelId="{864DE159-ADB7-49C9-BE7E-6F6F279C8EB6}" type="pres">
      <dgm:prSet presAssocID="{3860E8F9-3553-4363-A440-AD093ADDEB33}" presName="rootConnector" presStyleLbl="node3" presStyleIdx="7" presStyleCnt="11"/>
      <dgm:spPr/>
      <dgm:t>
        <a:bodyPr/>
        <a:lstStyle/>
        <a:p>
          <a:endParaRPr lang="es-MX"/>
        </a:p>
      </dgm:t>
    </dgm:pt>
    <dgm:pt modelId="{8F040C08-2804-4F5E-8D63-A148B2A4F17A}" type="pres">
      <dgm:prSet presAssocID="{3860E8F9-3553-4363-A440-AD093ADDEB33}" presName="hierChild4" presStyleCnt="0"/>
      <dgm:spPr/>
    </dgm:pt>
    <dgm:pt modelId="{22188E68-D37B-4694-A53C-E12AF9FDABD9}" type="pres">
      <dgm:prSet presAssocID="{3860E8F9-3553-4363-A440-AD093ADDEB33}" presName="hierChild5" presStyleCnt="0"/>
      <dgm:spPr/>
    </dgm:pt>
    <dgm:pt modelId="{8EDFD65E-CDB5-4675-8A68-7CA9D0EF3AF5}" type="pres">
      <dgm:prSet presAssocID="{8F10519E-0092-4DF2-ABDD-17B50553A94E}" presName="Name37" presStyleLbl="parChTrans1D3" presStyleIdx="8" presStyleCnt="11"/>
      <dgm:spPr/>
      <dgm:t>
        <a:bodyPr/>
        <a:lstStyle/>
        <a:p>
          <a:endParaRPr lang="es-MX"/>
        </a:p>
      </dgm:t>
    </dgm:pt>
    <dgm:pt modelId="{81A36A84-A9DD-49C9-8336-531BED68C770}" type="pres">
      <dgm:prSet presAssocID="{DCB1A9A3-D980-42CD-B510-4491FFE31F6D}" presName="hierRoot2" presStyleCnt="0">
        <dgm:presLayoutVars>
          <dgm:hierBranch val="init"/>
        </dgm:presLayoutVars>
      </dgm:prSet>
      <dgm:spPr/>
    </dgm:pt>
    <dgm:pt modelId="{CE782139-5572-4234-BDED-F352AF99FF2D}" type="pres">
      <dgm:prSet presAssocID="{DCB1A9A3-D980-42CD-B510-4491FFE31F6D}" presName="rootComposite" presStyleCnt="0"/>
      <dgm:spPr/>
    </dgm:pt>
    <dgm:pt modelId="{F557AB6A-058F-4778-A225-CE561DA84CE4}" type="pres">
      <dgm:prSet presAssocID="{DCB1A9A3-D980-42CD-B510-4491FFE31F6D}" presName="rootText" presStyleLbl="node3" presStyleIdx="8" presStyleCnt="11">
        <dgm:presLayoutVars>
          <dgm:chPref val="3"/>
        </dgm:presLayoutVars>
      </dgm:prSet>
      <dgm:spPr/>
      <dgm:t>
        <a:bodyPr/>
        <a:lstStyle/>
        <a:p>
          <a:endParaRPr lang="es-MX"/>
        </a:p>
      </dgm:t>
    </dgm:pt>
    <dgm:pt modelId="{5726F1A2-DA9E-4616-B78A-E792FD0D8D9F}" type="pres">
      <dgm:prSet presAssocID="{DCB1A9A3-D980-42CD-B510-4491FFE31F6D}" presName="rootConnector" presStyleLbl="node3" presStyleIdx="8" presStyleCnt="11"/>
      <dgm:spPr/>
      <dgm:t>
        <a:bodyPr/>
        <a:lstStyle/>
        <a:p>
          <a:endParaRPr lang="es-MX"/>
        </a:p>
      </dgm:t>
    </dgm:pt>
    <dgm:pt modelId="{43CA2FA0-5A1A-43BF-9DF3-FB2821FD4820}" type="pres">
      <dgm:prSet presAssocID="{DCB1A9A3-D980-42CD-B510-4491FFE31F6D}" presName="hierChild4" presStyleCnt="0"/>
      <dgm:spPr/>
    </dgm:pt>
    <dgm:pt modelId="{78B10E61-4DE4-4A04-A80F-4DF91AB95474}" type="pres">
      <dgm:prSet presAssocID="{DCB1A9A3-D980-42CD-B510-4491FFE31F6D}" presName="hierChild5" presStyleCnt="0"/>
      <dgm:spPr/>
    </dgm:pt>
    <dgm:pt modelId="{29B2B6EE-B78C-4F9C-9A11-F8207547FFCE}" type="pres">
      <dgm:prSet presAssocID="{496F6CD3-F30D-4A6F-B382-29035E4FA08E}" presName="hierChild5" presStyleCnt="0"/>
      <dgm:spPr/>
    </dgm:pt>
    <dgm:pt modelId="{EACD4DC4-2BA4-4AC4-911C-21FA7BD1131A}" type="pres">
      <dgm:prSet presAssocID="{F9DFA928-9B63-4555-94B8-3BF1FB872D67}" presName="Name37" presStyleLbl="parChTrans1D2" presStyleIdx="2" presStyleCnt="6"/>
      <dgm:spPr/>
      <dgm:t>
        <a:bodyPr/>
        <a:lstStyle/>
        <a:p>
          <a:endParaRPr lang="es-MX"/>
        </a:p>
      </dgm:t>
    </dgm:pt>
    <dgm:pt modelId="{DFE92A59-B18F-4FD4-AB69-70E0AC31D09D}" type="pres">
      <dgm:prSet presAssocID="{E6C5D402-B8A5-49FC-B61E-0E6EC29FDF8A}" presName="hierRoot2" presStyleCnt="0">
        <dgm:presLayoutVars>
          <dgm:hierBranch val="init"/>
        </dgm:presLayoutVars>
      </dgm:prSet>
      <dgm:spPr/>
    </dgm:pt>
    <dgm:pt modelId="{90746740-8BBE-4404-82D5-721553941DE9}" type="pres">
      <dgm:prSet presAssocID="{E6C5D402-B8A5-49FC-B61E-0E6EC29FDF8A}" presName="rootComposite" presStyleCnt="0"/>
      <dgm:spPr/>
    </dgm:pt>
    <dgm:pt modelId="{364B62C8-0650-4D01-96DE-3401DE881B9A}" type="pres">
      <dgm:prSet presAssocID="{E6C5D402-B8A5-49FC-B61E-0E6EC29FDF8A}" presName="rootText" presStyleLbl="node2" presStyleIdx="2" presStyleCnt="6">
        <dgm:presLayoutVars>
          <dgm:chPref val="3"/>
        </dgm:presLayoutVars>
      </dgm:prSet>
      <dgm:spPr/>
      <dgm:t>
        <a:bodyPr/>
        <a:lstStyle/>
        <a:p>
          <a:endParaRPr lang="es-MX"/>
        </a:p>
      </dgm:t>
    </dgm:pt>
    <dgm:pt modelId="{4A6E4037-9C45-4D02-AA40-7442CD68A66B}" type="pres">
      <dgm:prSet presAssocID="{E6C5D402-B8A5-49FC-B61E-0E6EC29FDF8A}" presName="rootConnector" presStyleLbl="node2" presStyleIdx="2" presStyleCnt="6"/>
      <dgm:spPr/>
      <dgm:t>
        <a:bodyPr/>
        <a:lstStyle/>
        <a:p>
          <a:endParaRPr lang="es-MX"/>
        </a:p>
      </dgm:t>
    </dgm:pt>
    <dgm:pt modelId="{B1B092A8-8F69-4451-81CC-8BBF3AA39FD1}" type="pres">
      <dgm:prSet presAssocID="{E6C5D402-B8A5-49FC-B61E-0E6EC29FDF8A}" presName="hierChild4" presStyleCnt="0"/>
      <dgm:spPr/>
    </dgm:pt>
    <dgm:pt modelId="{0452D67C-1BFE-436C-B5CD-6C78679AB3D2}" type="pres">
      <dgm:prSet presAssocID="{E6C5D402-B8A5-49FC-B61E-0E6EC29FDF8A}" presName="hierChild5" presStyleCnt="0"/>
      <dgm:spPr/>
    </dgm:pt>
    <dgm:pt modelId="{64341026-501A-4E3A-B115-05C9D29FCE5B}" type="pres">
      <dgm:prSet presAssocID="{B599366B-1E5A-4F0E-ADBC-2087736E8230}" presName="Name37" presStyleLbl="parChTrans1D2" presStyleIdx="3" presStyleCnt="6"/>
      <dgm:spPr/>
      <dgm:t>
        <a:bodyPr/>
        <a:lstStyle/>
        <a:p>
          <a:endParaRPr lang="es-MX"/>
        </a:p>
      </dgm:t>
    </dgm:pt>
    <dgm:pt modelId="{B4602308-3935-4680-9D17-1629C869A121}" type="pres">
      <dgm:prSet presAssocID="{2251E4FB-5CEE-4C80-A3FD-36E9AAD78DA0}" presName="hierRoot2" presStyleCnt="0">
        <dgm:presLayoutVars>
          <dgm:hierBranch val="r"/>
        </dgm:presLayoutVars>
      </dgm:prSet>
      <dgm:spPr/>
    </dgm:pt>
    <dgm:pt modelId="{2B39C47C-4C6E-4500-AE14-EB477C24F025}" type="pres">
      <dgm:prSet presAssocID="{2251E4FB-5CEE-4C80-A3FD-36E9AAD78DA0}" presName="rootComposite" presStyleCnt="0"/>
      <dgm:spPr/>
    </dgm:pt>
    <dgm:pt modelId="{53DE5BA1-9E32-4415-833A-97554494031B}" type="pres">
      <dgm:prSet presAssocID="{2251E4FB-5CEE-4C80-A3FD-36E9AAD78DA0}" presName="rootText" presStyleLbl="node2" presStyleIdx="3" presStyleCnt="6">
        <dgm:presLayoutVars>
          <dgm:chPref val="3"/>
        </dgm:presLayoutVars>
      </dgm:prSet>
      <dgm:spPr/>
      <dgm:t>
        <a:bodyPr/>
        <a:lstStyle/>
        <a:p>
          <a:endParaRPr lang="es-MX"/>
        </a:p>
      </dgm:t>
    </dgm:pt>
    <dgm:pt modelId="{5B39B214-BDFA-43A5-AF39-8ABF02C6D101}" type="pres">
      <dgm:prSet presAssocID="{2251E4FB-5CEE-4C80-A3FD-36E9AAD78DA0}" presName="rootConnector" presStyleLbl="node2" presStyleIdx="3" presStyleCnt="6"/>
      <dgm:spPr/>
      <dgm:t>
        <a:bodyPr/>
        <a:lstStyle/>
        <a:p>
          <a:endParaRPr lang="es-MX"/>
        </a:p>
      </dgm:t>
    </dgm:pt>
    <dgm:pt modelId="{D9226957-B50B-4E8D-BD6F-738462BBF7F1}" type="pres">
      <dgm:prSet presAssocID="{2251E4FB-5CEE-4C80-A3FD-36E9AAD78DA0}" presName="hierChild4" presStyleCnt="0"/>
      <dgm:spPr/>
    </dgm:pt>
    <dgm:pt modelId="{1022BB5F-659B-465F-9C3D-CED887659D48}" type="pres">
      <dgm:prSet presAssocID="{3D74ACAE-F618-4438-B56A-E7AB9C9143EC}" presName="Name50" presStyleLbl="parChTrans1D3" presStyleIdx="9" presStyleCnt="11"/>
      <dgm:spPr/>
      <dgm:t>
        <a:bodyPr/>
        <a:lstStyle/>
        <a:p>
          <a:endParaRPr lang="es-MX"/>
        </a:p>
      </dgm:t>
    </dgm:pt>
    <dgm:pt modelId="{DF97D41D-45BD-4FA9-A811-3E74AE3B81FA}" type="pres">
      <dgm:prSet presAssocID="{D81F4420-AD2F-4CCA-AA2D-1CE34FDACC35}" presName="hierRoot2" presStyleCnt="0">
        <dgm:presLayoutVars>
          <dgm:hierBranch val="init"/>
        </dgm:presLayoutVars>
      </dgm:prSet>
      <dgm:spPr/>
    </dgm:pt>
    <dgm:pt modelId="{DA8AF498-E67D-4A77-8FA8-2963DDF8AE7A}" type="pres">
      <dgm:prSet presAssocID="{D81F4420-AD2F-4CCA-AA2D-1CE34FDACC35}" presName="rootComposite" presStyleCnt="0"/>
      <dgm:spPr/>
    </dgm:pt>
    <dgm:pt modelId="{ACA3047A-F3A9-4704-B00E-50B49365A37F}" type="pres">
      <dgm:prSet presAssocID="{D81F4420-AD2F-4CCA-AA2D-1CE34FDACC35}" presName="rootText" presStyleLbl="node3" presStyleIdx="9" presStyleCnt="11">
        <dgm:presLayoutVars>
          <dgm:chPref val="3"/>
        </dgm:presLayoutVars>
      </dgm:prSet>
      <dgm:spPr/>
      <dgm:t>
        <a:bodyPr/>
        <a:lstStyle/>
        <a:p>
          <a:endParaRPr lang="es-MX"/>
        </a:p>
      </dgm:t>
    </dgm:pt>
    <dgm:pt modelId="{52DC0FE7-A422-40A8-BFE7-DCA26FF6E387}" type="pres">
      <dgm:prSet presAssocID="{D81F4420-AD2F-4CCA-AA2D-1CE34FDACC35}" presName="rootConnector" presStyleLbl="node3" presStyleIdx="9" presStyleCnt="11"/>
      <dgm:spPr/>
      <dgm:t>
        <a:bodyPr/>
        <a:lstStyle/>
        <a:p>
          <a:endParaRPr lang="es-MX"/>
        </a:p>
      </dgm:t>
    </dgm:pt>
    <dgm:pt modelId="{FB248EC8-001E-4ADC-AF9A-99985A12C02D}" type="pres">
      <dgm:prSet presAssocID="{D81F4420-AD2F-4CCA-AA2D-1CE34FDACC35}" presName="hierChild4" presStyleCnt="0"/>
      <dgm:spPr/>
    </dgm:pt>
    <dgm:pt modelId="{AAB7C441-64CC-4B8B-8DB8-BD475A0481C7}" type="pres">
      <dgm:prSet presAssocID="{D81F4420-AD2F-4CCA-AA2D-1CE34FDACC35}" presName="hierChild5" presStyleCnt="0"/>
      <dgm:spPr/>
    </dgm:pt>
    <dgm:pt modelId="{4DE6EE71-DCF0-4E18-AB52-5E5830E2BAE9}" type="pres">
      <dgm:prSet presAssocID="{DB39ABE3-A684-4304-88EB-2E40704B76E1}" presName="Name50" presStyleLbl="parChTrans1D3" presStyleIdx="10" presStyleCnt="11"/>
      <dgm:spPr/>
      <dgm:t>
        <a:bodyPr/>
        <a:lstStyle/>
        <a:p>
          <a:endParaRPr lang="es-MX"/>
        </a:p>
      </dgm:t>
    </dgm:pt>
    <dgm:pt modelId="{1C9EC06E-A7DF-4557-AEF1-228183DC780A}" type="pres">
      <dgm:prSet presAssocID="{EC02AEA1-A237-45EA-8472-4ACE97A2ADF6}" presName="hierRoot2" presStyleCnt="0">
        <dgm:presLayoutVars>
          <dgm:hierBranch val="init"/>
        </dgm:presLayoutVars>
      </dgm:prSet>
      <dgm:spPr/>
    </dgm:pt>
    <dgm:pt modelId="{6A8F8F18-06A2-4548-92A6-7CF3672AC195}" type="pres">
      <dgm:prSet presAssocID="{EC02AEA1-A237-45EA-8472-4ACE97A2ADF6}" presName="rootComposite" presStyleCnt="0"/>
      <dgm:spPr/>
    </dgm:pt>
    <dgm:pt modelId="{071F5702-D31F-4302-A54C-D362AC575432}" type="pres">
      <dgm:prSet presAssocID="{EC02AEA1-A237-45EA-8472-4ACE97A2ADF6}" presName="rootText" presStyleLbl="node3" presStyleIdx="10" presStyleCnt="11">
        <dgm:presLayoutVars>
          <dgm:chPref val="3"/>
        </dgm:presLayoutVars>
      </dgm:prSet>
      <dgm:spPr/>
      <dgm:t>
        <a:bodyPr/>
        <a:lstStyle/>
        <a:p>
          <a:endParaRPr lang="es-MX"/>
        </a:p>
      </dgm:t>
    </dgm:pt>
    <dgm:pt modelId="{B7F02E23-8F3D-40D4-B841-7B0A87073AE5}" type="pres">
      <dgm:prSet presAssocID="{EC02AEA1-A237-45EA-8472-4ACE97A2ADF6}" presName="rootConnector" presStyleLbl="node3" presStyleIdx="10" presStyleCnt="11"/>
      <dgm:spPr/>
      <dgm:t>
        <a:bodyPr/>
        <a:lstStyle/>
        <a:p>
          <a:endParaRPr lang="es-MX"/>
        </a:p>
      </dgm:t>
    </dgm:pt>
    <dgm:pt modelId="{AB18FD1A-CEA6-4836-A830-FC40D522FCCE}" type="pres">
      <dgm:prSet presAssocID="{EC02AEA1-A237-45EA-8472-4ACE97A2ADF6}" presName="hierChild4" presStyleCnt="0"/>
      <dgm:spPr/>
    </dgm:pt>
    <dgm:pt modelId="{EEBD7025-D4EA-4671-BF5A-DACAC81EB2FF}" type="pres">
      <dgm:prSet presAssocID="{EC02AEA1-A237-45EA-8472-4ACE97A2ADF6}" presName="hierChild5" presStyleCnt="0"/>
      <dgm:spPr/>
    </dgm:pt>
    <dgm:pt modelId="{AB0D290F-177A-4742-83BC-0BBD94DA160C}" type="pres">
      <dgm:prSet presAssocID="{2251E4FB-5CEE-4C80-A3FD-36E9AAD78DA0}" presName="hierChild5" presStyleCnt="0"/>
      <dgm:spPr/>
    </dgm:pt>
    <dgm:pt modelId="{557246E2-2433-414F-94C4-623639289347}" type="pres">
      <dgm:prSet presAssocID="{EFC11A2E-CA83-445E-9C51-884E82C82470}" presName="Name37" presStyleLbl="parChTrans1D2" presStyleIdx="4" presStyleCnt="6"/>
      <dgm:spPr/>
      <dgm:t>
        <a:bodyPr/>
        <a:lstStyle/>
        <a:p>
          <a:endParaRPr lang="es-MX"/>
        </a:p>
      </dgm:t>
    </dgm:pt>
    <dgm:pt modelId="{AF091232-62DA-44D2-98DB-6BBAF3E29C8B}" type="pres">
      <dgm:prSet presAssocID="{65F8A573-722A-4A6C-B22F-F5ADF5AFD130}" presName="hierRoot2" presStyleCnt="0">
        <dgm:presLayoutVars>
          <dgm:hierBranch val="init"/>
        </dgm:presLayoutVars>
      </dgm:prSet>
      <dgm:spPr/>
    </dgm:pt>
    <dgm:pt modelId="{F7DA25E1-FC16-44F3-A166-DFFC2C4CD2CD}" type="pres">
      <dgm:prSet presAssocID="{65F8A573-722A-4A6C-B22F-F5ADF5AFD130}" presName="rootComposite" presStyleCnt="0"/>
      <dgm:spPr/>
    </dgm:pt>
    <dgm:pt modelId="{655D5D3B-5F05-4B07-92D0-ABB430835D7A}" type="pres">
      <dgm:prSet presAssocID="{65F8A573-722A-4A6C-B22F-F5ADF5AFD130}" presName="rootText" presStyleLbl="node2" presStyleIdx="4" presStyleCnt="6" custLinFactY="800000" custLinFactNeighborX="-38373" custLinFactNeighborY="892947">
        <dgm:presLayoutVars>
          <dgm:chPref val="3"/>
        </dgm:presLayoutVars>
      </dgm:prSet>
      <dgm:spPr/>
      <dgm:t>
        <a:bodyPr/>
        <a:lstStyle/>
        <a:p>
          <a:endParaRPr lang="es-MX"/>
        </a:p>
      </dgm:t>
    </dgm:pt>
    <dgm:pt modelId="{84B6B6AE-2521-4F40-A50E-16C8F67C7BCD}" type="pres">
      <dgm:prSet presAssocID="{65F8A573-722A-4A6C-B22F-F5ADF5AFD130}" presName="rootConnector" presStyleLbl="node2" presStyleIdx="4" presStyleCnt="6"/>
      <dgm:spPr/>
      <dgm:t>
        <a:bodyPr/>
        <a:lstStyle/>
        <a:p>
          <a:endParaRPr lang="es-MX"/>
        </a:p>
      </dgm:t>
    </dgm:pt>
    <dgm:pt modelId="{2B50B161-5028-4E54-8B06-82E117A41B20}" type="pres">
      <dgm:prSet presAssocID="{65F8A573-722A-4A6C-B22F-F5ADF5AFD130}" presName="hierChild4" presStyleCnt="0"/>
      <dgm:spPr/>
    </dgm:pt>
    <dgm:pt modelId="{00F7C1CA-0BE1-4C3A-91FD-89CC1A316E69}" type="pres">
      <dgm:prSet presAssocID="{65F8A573-722A-4A6C-B22F-F5ADF5AFD130}" presName="hierChild5" presStyleCnt="0"/>
      <dgm:spPr/>
    </dgm:pt>
    <dgm:pt modelId="{E693772E-DB96-40BF-956B-024B7DB83379}" type="pres">
      <dgm:prSet presAssocID="{CBECFFC2-B6A1-42A2-ADEB-5F7A87D5B247}" presName="Name37" presStyleLbl="parChTrans1D2" presStyleIdx="5" presStyleCnt="6"/>
      <dgm:spPr/>
      <dgm:t>
        <a:bodyPr/>
        <a:lstStyle/>
        <a:p>
          <a:endParaRPr lang="es-MX"/>
        </a:p>
      </dgm:t>
    </dgm:pt>
    <dgm:pt modelId="{9461015C-918D-4626-85B6-B316BCDAE620}" type="pres">
      <dgm:prSet presAssocID="{71974EA7-B0FD-4E11-924E-191FE4EB22A8}" presName="hierRoot2" presStyleCnt="0">
        <dgm:presLayoutVars>
          <dgm:hierBranch val="init"/>
        </dgm:presLayoutVars>
      </dgm:prSet>
      <dgm:spPr/>
    </dgm:pt>
    <dgm:pt modelId="{37657936-2E93-49BB-885C-2CDBB9702002}" type="pres">
      <dgm:prSet presAssocID="{71974EA7-B0FD-4E11-924E-191FE4EB22A8}" presName="rootComposite" presStyleCnt="0"/>
      <dgm:spPr/>
    </dgm:pt>
    <dgm:pt modelId="{D4B3515B-71C9-4AD3-BF0B-2C94DBAF5624}" type="pres">
      <dgm:prSet presAssocID="{71974EA7-B0FD-4E11-924E-191FE4EB22A8}" presName="rootText" presStyleLbl="node2" presStyleIdx="5" presStyleCnt="6">
        <dgm:presLayoutVars>
          <dgm:chPref val="3"/>
        </dgm:presLayoutVars>
      </dgm:prSet>
      <dgm:spPr/>
      <dgm:t>
        <a:bodyPr/>
        <a:lstStyle/>
        <a:p>
          <a:endParaRPr lang="es-MX"/>
        </a:p>
      </dgm:t>
    </dgm:pt>
    <dgm:pt modelId="{AF97EAB4-41D6-435B-89C3-92F0213AF69F}" type="pres">
      <dgm:prSet presAssocID="{71974EA7-B0FD-4E11-924E-191FE4EB22A8}" presName="rootConnector" presStyleLbl="node2" presStyleIdx="5" presStyleCnt="6"/>
      <dgm:spPr/>
      <dgm:t>
        <a:bodyPr/>
        <a:lstStyle/>
        <a:p>
          <a:endParaRPr lang="es-MX"/>
        </a:p>
      </dgm:t>
    </dgm:pt>
    <dgm:pt modelId="{8C7C095F-8B9A-4C41-A1DF-D0B48B134CBA}" type="pres">
      <dgm:prSet presAssocID="{71974EA7-B0FD-4E11-924E-191FE4EB22A8}" presName="hierChild4" presStyleCnt="0"/>
      <dgm:spPr/>
    </dgm:pt>
    <dgm:pt modelId="{D8A07FED-B1E6-4023-BF2F-1FCE879AA142}" type="pres">
      <dgm:prSet presAssocID="{71974EA7-B0FD-4E11-924E-191FE4EB22A8}" presName="hierChild5" presStyleCnt="0"/>
      <dgm:spPr/>
    </dgm:pt>
    <dgm:pt modelId="{E79C75B5-35DD-4754-B5AC-94E2E3A22EAA}" type="pres">
      <dgm:prSet presAssocID="{151D9D48-3F3E-412B-85D0-CA3D3BED94C3}" presName="hierChild3" presStyleCnt="0"/>
      <dgm:spPr/>
    </dgm:pt>
  </dgm:ptLst>
  <dgm:cxnLst>
    <dgm:cxn modelId="{700077D4-2DC7-49D7-A600-FAAAA7E012F6}" srcId="{496F6CD3-F30D-4A6F-B382-29035E4FA08E}" destId="{3860E8F9-3553-4363-A440-AD093ADDEB33}" srcOrd="2" destOrd="0" parTransId="{28960ABE-08B9-4CF4-B691-91BBAA85206C}" sibTransId="{92653989-48AA-41E4-AFF0-F554B6000B6A}"/>
    <dgm:cxn modelId="{FB5BA819-C1DF-46A4-A962-0D49282DDE26}" type="presOf" srcId="{EFC11A2E-CA83-445E-9C51-884E82C82470}" destId="{557246E2-2433-414F-94C4-623639289347}" srcOrd="0" destOrd="0" presId="urn:microsoft.com/office/officeart/2005/8/layout/orgChart1"/>
    <dgm:cxn modelId="{64089AD2-821E-4910-9B9D-43E4C48C7B2E}" type="presOf" srcId="{2F98BF68-5A5A-4D1E-BBC2-709E798108C2}" destId="{841F1F39-6D3B-4C29-8F7E-95B41B403EC0}" srcOrd="0" destOrd="0" presId="urn:microsoft.com/office/officeart/2005/8/layout/orgChart1"/>
    <dgm:cxn modelId="{BD392D50-D697-4990-8E20-3BD974E48AEC}" type="presOf" srcId="{C9207B32-BE75-4F01-9AA5-747C258D2F30}" destId="{3BEDE311-88A0-4BF8-B5F2-CAD9A201C0C8}" srcOrd="1" destOrd="0" presId="urn:microsoft.com/office/officeart/2005/8/layout/orgChart1"/>
    <dgm:cxn modelId="{F83C669C-74EE-43B8-873C-FAF3DD89DE18}" type="presOf" srcId="{44685158-0641-424D-BB48-F4C2FF83ED38}" destId="{73FD6395-7899-402F-BA52-467B80440D36}" srcOrd="0" destOrd="0" presId="urn:microsoft.com/office/officeart/2005/8/layout/orgChart1"/>
    <dgm:cxn modelId="{F3DBB052-7778-4A84-9E36-68EAC4C312DF}" type="presOf" srcId="{7FEC1E76-44C6-4258-B9A6-2E7DDD8D77BE}" destId="{38CCF984-9BE3-4AAF-8DFD-1F731B0DB3BF}" srcOrd="0" destOrd="0" presId="urn:microsoft.com/office/officeart/2005/8/layout/orgChart1"/>
    <dgm:cxn modelId="{9BB9A851-8F9C-4C9D-9F4D-FF1BD08C4D21}" type="presOf" srcId="{6EF4FD8A-9B2D-42CA-B488-553A90FECFB2}" destId="{5971197A-DF2D-4DE9-96AF-15D692B18336}" srcOrd="0" destOrd="0" presId="urn:microsoft.com/office/officeart/2005/8/layout/orgChart1"/>
    <dgm:cxn modelId="{9897EDA2-9C54-49FD-8507-CD2753C3B67B}" type="presOf" srcId="{EC02AEA1-A237-45EA-8472-4ACE97A2ADF6}" destId="{071F5702-D31F-4302-A54C-D362AC575432}" srcOrd="0" destOrd="0" presId="urn:microsoft.com/office/officeart/2005/8/layout/orgChart1"/>
    <dgm:cxn modelId="{1706C76E-BDBC-454C-A961-CBB3FD403FF6}" type="presOf" srcId="{DB39ABE3-A684-4304-88EB-2E40704B76E1}" destId="{4DE6EE71-DCF0-4E18-AB52-5E5830E2BAE9}" srcOrd="0" destOrd="0" presId="urn:microsoft.com/office/officeart/2005/8/layout/orgChart1"/>
    <dgm:cxn modelId="{DD1D35CE-6E10-4003-A241-0AB6D48652DE}" type="presOf" srcId="{8538DD97-5372-4279-9CE8-7B27FBD2CDAB}" destId="{9CE2BF93-D8B6-49D9-B6C6-27DA0A9EEA85}" srcOrd="0" destOrd="0" presId="urn:microsoft.com/office/officeart/2005/8/layout/orgChart1"/>
    <dgm:cxn modelId="{9F38C913-FD0A-4495-AB46-E6C367DB977B}" type="presOf" srcId="{E6C5D402-B8A5-49FC-B61E-0E6EC29FDF8A}" destId="{364B62C8-0650-4D01-96DE-3401DE881B9A}" srcOrd="0" destOrd="0" presId="urn:microsoft.com/office/officeart/2005/8/layout/orgChart1"/>
    <dgm:cxn modelId="{797519D4-8278-4384-A934-791F446B597F}" srcId="{6EF4FD8A-9B2D-42CA-B488-553A90FECFB2}" destId="{9187152B-9069-4157-AA0C-050126612FFA}" srcOrd="1" destOrd="0" parTransId="{6DBE95CC-46CB-4C7C-9EAB-6652E12947E0}" sibTransId="{45E22329-35B2-4FCE-B9CE-7E1D7A29050B}"/>
    <dgm:cxn modelId="{BF70A7FA-959B-40D4-99F2-3CBE81AE4B50}" type="presOf" srcId="{28960ABE-08B9-4CF4-B691-91BBAA85206C}" destId="{A0C9116F-77FE-4E16-A5F1-EC38E76AEFA0}" srcOrd="0" destOrd="0" presId="urn:microsoft.com/office/officeart/2005/8/layout/orgChart1"/>
    <dgm:cxn modelId="{57E0F71A-2148-4C1E-A3D5-DD5F87D8CFA3}" type="presOf" srcId="{1828826D-9BFE-4B9E-A617-0B54A5C2CA44}" destId="{BC09A929-DAC0-43BB-AF4B-BAB130F3F94A}" srcOrd="0" destOrd="0" presId="urn:microsoft.com/office/officeart/2005/8/layout/orgChart1"/>
    <dgm:cxn modelId="{FCFE81FF-5860-41D8-9754-BD0DCA1A2141}" type="presOf" srcId="{71974EA7-B0FD-4E11-924E-191FE4EB22A8}" destId="{D4B3515B-71C9-4AD3-BF0B-2C94DBAF5624}" srcOrd="0" destOrd="0" presId="urn:microsoft.com/office/officeart/2005/8/layout/orgChart1"/>
    <dgm:cxn modelId="{C5849C25-E586-44AB-ABF0-F606F1879F63}" srcId="{496F6CD3-F30D-4A6F-B382-29035E4FA08E}" destId="{DCB1A9A3-D980-42CD-B510-4491FFE31F6D}" srcOrd="3" destOrd="0" parTransId="{8F10519E-0092-4DF2-ABDD-17B50553A94E}" sibTransId="{E325AB5F-D7A3-4D06-8323-E9470E5B79D7}"/>
    <dgm:cxn modelId="{18BBAF1C-8BCA-49AD-B1E3-FC0346A74160}" srcId="{2251E4FB-5CEE-4C80-A3FD-36E9AAD78DA0}" destId="{D81F4420-AD2F-4CCA-AA2D-1CE34FDACC35}" srcOrd="0" destOrd="0" parTransId="{3D74ACAE-F618-4438-B56A-E7AB9C9143EC}" sibTransId="{7D5348C3-499C-432F-BF26-753B1DA9B0AD}"/>
    <dgm:cxn modelId="{4592F8A8-FBEB-4F09-80CD-F15DD41D996D}" type="presOf" srcId="{6DBE95CC-46CB-4C7C-9EAB-6652E12947E0}" destId="{6BB9721F-ABC6-4B40-8172-86EF74D1E315}" srcOrd="0" destOrd="0" presId="urn:microsoft.com/office/officeart/2005/8/layout/orgChart1"/>
    <dgm:cxn modelId="{47BA165A-F7E3-49F4-A623-C40F3EF41C25}" srcId="{6EF4FD8A-9B2D-42CA-B488-553A90FECFB2}" destId="{8538DD97-5372-4279-9CE8-7B27FBD2CDAB}" srcOrd="3" destOrd="0" parTransId="{AF0F81DA-68E4-431E-82E4-B59A741C4D14}" sibTransId="{253C5F7E-8615-418A-971D-E913B5BCEE51}"/>
    <dgm:cxn modelId="{D2600C7C-075D-47CE-AB66-E7E52F2DF977}" type="presOf" srcId="{D81F4420-AD2F-4CCA-AA2D-1CE34FDACC35}" destId="{ACA3047A-F3A9-4704-B00E-50B49365A37F}" srcOrd="0" destOrd="0" presId="urn:microsoft.com/office/officeart/2005/8/layout/orgChart1"/>
    <dgm:cxn modelId="{F2928AA6-FBEB-4F46-B64C-A5D24F5C45EB}" type="presOf" srcId="{2A35255C-6022-4976-9512-83F6C8D6F39F}" destId="{47D78689-46F9-4497-A13F-A1FE74F4B793}" srcOrd="0" destOrd="0" presId="urn:microsoft.com/office/officeart/2005/8/layout/orgChart1"/>
    <dgm:cxn modelId="{9CAC3E21-FD3D-497D-A0D5-9BDCAB8EE324}" srcId="{6EF4FD8A-9B2D-42CA-B488-553A90FECFB2}" destId="{C9207B32-BE75-4F01-9AA5-747C258D2F30}" srcOrd="4" destOrd="0" parTransId="{2A35255C-6022-4976-9512-83F6C8D6F39F}" sibTransId="{2353FC44-04F2-4198-9E63-085B26457DA5}"/>
    <dgm:cxn modelId="{AFC95C15-22B6-41CF-A9B0-1E5FC69CAAF7}" type="presOf" srcId="{3860E8F9-3553-4363-A440-AD093ADDEB33}" destId="{65821362-A0A5-4E59-B282-3D22961DDAA6}" srcOrd="0" destOrd="0" presId="urn:microsoft.com/office/officeart/2005/8/layout/orgChart1"/>
    <dgm:cxn modelId="{48C70202-8166-4832-831A-EDA984B1C765}" srcId="{496F6CD3-F30D-4A6F-B382-29035E4FA08E}" destId="{1972917D-C3E9-4F40-A79A-75E07BB68802}" srcOrd="0" destOrd="0" parTransId="{1828826D-9BFE-4B9E-A617-0B54A5C2CA44}" sibTransId="{B33F2639-FFAF-4340-8387-F839D31C9165}"/>
    <dgm:cxn modelId="{28059417-20FF-4C29-8FF8-0E0D2FB14580}" type="presOf" srcId="{B599366B-1E5A-4F0E-ADBC-2087736E8230}" destId="{64341026-501A-4E3A-B115-05C9D29FCE5B}" srcOrd="0" destOrd="0" presId="urn:microsoft.com/office/officeart/2005/8/layout/orgChart1"/>
    <dgm:cxn modelId="{22E46A51-A9BD-451A-B12E-01734C292638}" type="presOf" srcId="{9187152B-9069-4157-AA0C-050126612FFA}" destId="{DD2AD0C8-F261-46ED-A129-B1CAC45F2F1E}" srcOrd="0" destOrd="0" presId="urn:microsoft.com/office/officeart/2005/8/layout/orgChart1"/>
    <dgm:cxn modelId="{ED590637-BB9F-4D31-9471-C47A1C7424B3}" type="presOf" srcId="{AF0F81DA-68E4-431E-82E4-B59A741C4D14}" destId="{F015D36D-E854-4B6C-9F4C-C6AB37B49412}" srcOrd="0" destOrd="0" presId="urn:microsoft.com/office/officeart/2005/8/layout/orgChart1"/>
    <dgm:cxn modelId="{FA43CCBD-7387-4A8C-8DFD-25695C50D1D2}" type="presOf" srcId="{65F8A573-722A-4A6C-B22F-F5ADF5AFD130}" destId="{84B6B6AE-2521-4F40-A50E-16C8F67C7BCD}" srcOrd="1" destOrd="0" presId="urn:microsoft.com/office/officeart/2005/8/layout/orgChart1"/>
    <dgm:cxn modelId="{D070215F-A0EC-490F-81CD-AD8480E25D59}" srcId="{6EF4FD8A-9B2D-42CA-B488-553A90FECFB2}" destId="{EACAD557-3F5C-42A9-A872-1E0C4EB4F7F1}" srcOrd="0" destOrd="0" parTransId="{53829F96-0121-4A9E-9F10-D0014C2098CC}" sibTransId="{6A385EE6-5286-40A9-9276-A13770840AF6}"/>
    <dgm:cxn modelId="{A0B2C401-0D51-4EE6-8390-8C5126E57F03}" type="presOf" srcId="{8538DD97-5372-4279-9CE8-7B27FBD2CDAB}" destId="{708D89E9-C515-4E2C-A986-3A4ACFE86489}" srcOrd="1" destOrd="0" presId="urn:microsoft.com/office/officeart/2005/8/layout/orgChart1"/>
    <dgm:cxn modelId="{1DB9F7CB-26F3-404E-AF2D-CB2AF39383F5}" type="presOf" srcId="{3D74ACAE-F618-4438-B56A-E7AB9C9143EC}" destId="{1022BB5F-659B-465F-9C3D-CED887659D48}" srcOrd="0" destOrd="0" presId="urn:microsoft.com/office/officeart/2005/8/layout/orgChart1"/>
    <dgm:cxn modelId="{22EF8E38-28DA-4E1E-8AF7-B0BF30B8390D}" type="presOf" srcId="{F460C4D4-93DB-46F2-9AA1-9281BCBBAAA2}" destId="{052BC183-68EB-48C9-8B38-5846DDF496EE}" srcOrd="0" destOrd="0" presId="urn:microsoft.com/office/officeart/2005/8/layout/orgChart1"/>
    <dgm:cxn modelId="{9D36741D-E180-4122-ACE2-A521CBE91DA5}" type="presOf" srcId="{EACAD557-3F5C-42A9-A872-1E0C4EB4F7F1}" destId="{0FF837CD-89B0-40BC-A198-1202610446DC}" srcOrd="1" destOrd="0" presId="urn:microsoft.com/office/officeart/2005/8/layout/orgChart1"/>
    <dgm:cxn modelId="{64A8EC3A-55EF-4D4A-A51D-F8CA96371AE9}" type="presOf" srcId="{44685158-0641-424D-BB48-F4C2FF83ED38}" destId="{52263E55-5274-49F4-B8C6-E18C6D224321}" srcOrd="1" destOrd="0" presId="urn:microsoft.com/office/officeart/2005/8/layout/orgChart1"/>
    <dgm:cxn modelId="{2A9566FA-01BF-4D8A-8D9C-988718385F43}" type="presOf" srcId="{F9DFA928-9B63-4555-94B8-3BF1FB872D67}" destId="{EACD4DC4-2BA4-4AC4-911C-21FA7BD1131A}" srcOrd="0" destOrd="0" presId="urn:microsoft.com/office/officeart/2005/8/layout/orgChart1"/>
    <dgm:cxn modelId="{C717A81F-D8F9-4EBE-B908-BE25AA031699}" type="presOf" srcId="{6EF4FD8A-9B2D-42CA-B488-553A90FECFB2}" destId="{47992827-8C41-4A9D-9D68-D174999B6583}" srcOrd="1" destOrd="0" presId="urn:microsoft.com/office/officeart/2005/8/layout/orgChart1"/>
    <dgm:cxn modelId="{0B3D9CCA-0558-4C28-8BED-388B72BBE5E9}" type="presOf" srcId="{65F8A573-722A-4A6C-B22F-F5ADF5AFD130}" destId="{655D5D3B-5F05-4B07-92D0-ABB430835D7A}" srcOrd="0" destOrd="0" presId="urn:microsoft.com/office/officeart/2005/8/layout/orgChart1"/>
    <dgm:cxn modelId="{48320797-810B-4597-B604-FDC966BDC884}" type="presOf" srcId="{4C24ACC4-C2A4-427A-ABF3-AA30C3E8CA8D}" destId="{B253356C-9816-425C-9BCE-666E1432F33B}" srcOrd="0" destOrd="0" presId="urn:microsoft.com/office/officeart/2005/8/layout/orgChart1"/>
    <dgm:cxn modelId="{75402BFB-4C37-4B8C-AFAE-CAEDB5B98FE9}" type="presOf" srcId="{D81F4420-AD2F-4CCA-AA2D-1CE34FDACC35}" destId="{52DC0FE7-A422-40A8-BFE7-DCA26FF6E387}" srcOrd="1" destOrd="0" presId="urn:microsoft.com/office/officeart/2005/8/layout/orgChart1"/>
    <dgm:cxn modelId="{C877D6AC-B930-43F8-9572-EC1D1E931DE3}" type="presOf" srcId="{8F10519E-0092-4DF2-ABDD-17B50553A94E}" destId="{8EDFD65E-CDB5-4675-8A68-7CA9D0EF3AF5}" srcOrd="0" destOrd="0" presId="urn:microsoft.com/office/officeart/2005/8/layout/orgChart1"/>
    <dgm:cxn modelId="{040A0EB3-6A40-437A-B57E-4B59AFA9795D}" type="presOf" srcId="{DCB1A9A3-D980-42CD-B510-4491FFE31F6D}" destId="{F557AB6A-058F-4778-A225-CE561DA84CE4}" srcOrd="0" destOrd="0" presId="urn:microsoft.com/office/officeart/2005/8/layout/orgChart1"/>
    <dgm:cxn modelId="{99576BF4-CD1A-4370-9E13-B2CEADD18A3B}" srcId="{6EF4FD8A-9B2D-42CA-B488-553A90FECFB2}" destId="{44685158-0641-424D-BB48-F4C2FF83ED38}" srcOrd="2" destOrd="0" parTransId="{2F98BF68-5A5A-4D1E-BBC2-709E798108C2}" sibTransId="{F6BFB564-F904-430D-B3F7-07ACFC48C734}"/>
    <dgm:cxn modelId="{8D9E6673-6928-4AFC-9E34-B7293951E1EB}" type="presOf" srcId="{2251E4FB-5CEE-4C80-A3FD-36E9AAD78DA0}" destId="{5B39B214-BDFA-43A5-AF39-8ABF02C6D101}" srcOrd="1" destOrd="0" presId="urn:microsoft.com/office/officeart/2005/8/layout/orgChart1"/>
    <dgm:cxn modelId="{5CA082EE-EAC6-429C-9122-22BE3C00E7DB}" type="presOf" srcId="{CBECFFC2-B6A1-42A2-ADEB-5F7A87D5B247}" destId="{E693772E-DB96-40BF-956B-024B7DB83379}" srcOrd="0" destOrd="0" presId="urn:microsoft.com/office/officeart/2005/8/layout/orgChart1"/>
    <dgm:cxn modelId="{6DCDE463-BAA7-4A86-B40E-DCEF9C9FDA51}" srcId="{2251E4FB-5CEE-4C80-A3FD-36E9AAD78DA0}" destId="{EC02AEA1-A237-45EA-8472-4ACE97A2ADF6}" srcOrd="1" destOrd="0" parTransId="{DB39ABE3-A684-4304-88EB-2E40704B76E1}" sibTransId="{48662C68-0CA3-4EA5-A40A-8A0D4EE59D40}"/>
    <dgm:cxn modelId="{619C6B60-24DB-4EBE-9973-D3A35C5226AD}" srcId="{151D9D48-3F3E-412B-85D0-CA3D3BED94C3}" destId="{496F6CD3-F30D-4A6F-B382-29035E4FA08E}" srcOrd="1" destOrd="0" parTransId="{F460C4D4-93DB-46F2-9AA1-9281BCBBAAA2}" sibTransId="{C5100759-8510-4B81-A92E-F403331D2039}"/>
    <dgm:cxn modelId="{765F4BD9-170A-4DB7-A2DF-31BA31644CC3}" type="presOf" srcId="{3CF4B13E-0746-41D8-9E22-D519B3B89F8E}" destId="{216B887B-DB7D-4A47-9E09-0FC239DFEDAC}" srcOrd="0" destOrd="0" presId="urn:microsoft.com/office/officeart/2005/8/layout/orgChart1"/>
    <dgm:cxn modelId="{7C0447AA-2F8A-4988-A934-AB732B4E9A18}" type="presOf" srcId="{496F6CD3-F30D-4A6F-B382-29035E4FA08E}" destId="{BF222B15-39C3-49BA-A6BC-77B015763D13}" srcOrd="0" destOrd="0" presId="urn:microsoft.com/office/officeart/2005/8/layout/orgChart1"/>
    <dgm:cxn modelId="{91480C95-7FD7-4FD8-9B7B-2D7586341CE4}" type="presOf" srcId="{151D9D48-3F3E-412B-85D0-CA3D3BED94C3}" destId="{BD2C0CE5-0C96-4ADF-88EA-4FE75D2704E9}" srcOrd="0" destOrd="0" presId="urn:microsoft.com/office/officeart/2005/8/layout/orgChart1"/>
    <dgm:cxn modelId="{86F35C11-73EE-4A29-B836-6860DE71E00D}" srcId="{151D9D48-3F3E-412B-85D0-CA3D3BED94C3}" destId="{6EF4FD8A-9B2D-42CA-B488-553A90FECFB2}" srcOrd="0" destOrd="0" parTransId="{3CF4B13E-0746-41D8-9E22-D519B3B89F8E}" sibTransId="{6F43528D-BE6C-4111-9B1F-91A803F9055E}"/>
    <dgm:cxn modelId="{94257D1D-53F4-4358-86BE-031B6111E4D5}" type="presOf" srcId="{C9207B32-BE75-4F01-9AA5-747C258D2F30}" destId="{446DFADF-46EE-438A-8D85-48EA1E3B1A11}" srcOrd="0" destOrd="0" presId="urn:microsoft.com/office/officeart/2005/8/layout/orgChart1"/>
    <dgm:cxn modelId="{2E26649A-4A38-466A-B3EF-C1E9CDDDC7FE}" type="presOf" srcId="{91D208E4-A3A6-47F9-AF47-BD5C4747368F}" destId="{BA2B83F9-4B0A-402A-8047-E7B4E4D19453}" srcOrd="1" destOrd="0" presId="urn:microsoft.com/office/officeart/2005/8/layout/orgChart1"/>
    <dgm:cxn modelId="{FAF76FAD-B6F8-4065-9375-7FD30C9D550F}" type="presOf" srcId="{EC02AEA1-A237-45EA-8472-4ACE97A2ADF6}" destId="{B7F02E23-8F3D-40D4-B841-7B0A87073AE5}" srcOrd="1" destOrd="0" presId="urn:microsoft.com/office/officeart/2005/8/layout/orgChart1"/>
    <dgm:cxn modelId="{B9A7B41F-9771-432A-8DBA-4F2A6F91804F}" srcId="{151D9D48-3F3E-412B-85D0-CA3D3BED94C3}" destId="{E6C5D402-B8A5-49FC-B61E-0E6EC29FDF8A}" srcOrd="2" destOrd="0" parTransId="{F9DFA928-9B63-4555-94B8-3BF1FB872D67}" sibTransId="{4FBDFE76-F14A-4CE6-8E55-250F1C36A49A}"/>
    <dgm:cxn modelId="{CE4C2C69-27CD-4A74-B401-9B2ABC56FAB2}" type="presOf" srcId="{2251E4FB-5CEE-4C80-A3FD-36E9AAD78DA0}" destId="{53DE5BA1-9E32-4415-833A-97554494031B}" srcOrd="0" destOrd="0" presId="urn:microsoft.com/office/officeart/2005/8/layout/orgChart1"/>
    <dgm:cxn modelId="{FEC93D6E-9D47-4A13-B7B8-682754F9E870}" srcId="{496F6CD3-F30D-4A6F-B382-29035E4FA08E}" destId="{91D208E4-A3A6-47F9-AF47-BD5C4747368F}" srcOrd="1" destOrd="0" parTransId="{4C24ACC4-C2A4-427A-ABF3-AA30C3E8CA8D}" sibTransId="{F00312D7-8652-4079-B6A1-38B467C4364A}"/>
    <dgm:cxn modelId="{89C2F156-B9CC-4E36-8C69-B0A0B26E9CA9}" type="presOf" srcId="{151D9D48-3F3E-412B-85D0-CA3D3BED94C3}" destId="{A57E99D0-36DF-49BB-B9AF-9E66034D4778}" srcOrd="1" destOrd="0" presId="urn:microsoft.com/office/officeart/2005/8/layout/orgChart1"/>
    <dgm:cxn modelId="{86667875-7C55-494A-A075-91C86AC7438B}" type="presOf" srcId="{91D208E4-A3A6-47F9-AF47-BD5C4747368F}" destId="{9AD0FCED-2484-4B05-8AE0-4AAE80912282}" srcOrd="0" destOrd="0" presId="urn:microsoft.com/office/officeart/2005/8/layout/orgChart1"/>
    <dgm:cxn modelId="{847C6839-6C50-4AA6-8CAD-2D7EC427E356}" srcId="{151D9D48-3F3E-412B-85D0-CA3D3BED94C3}" destId="{71974EA7-B0FD-4E11-924E-191FE4EB22A8}" srcOrd="5" destOrd="0" parTransId="{CBECFFC2-B6A1-42A2-ADEB-5F7A87D5B247}" sibTransId="{5E95DC89-1FAD-4E2A-B30F-D5EEAAF8199E}"/>
    <dgm:cxn modelId="{A4387A23-10DE-4B7F-AFD8-84B65E943515}" type="presOf" srcId="{53829F96-0121-4A9E-9F10-D0014C2098CC}" destId="{3C407230-D2DD-4102-B4CA-7270C485BCFE}" srcOrd="0" destOrd="0" presId="urn:microsoft.com/office/officeart/2005/8/layout/orgChart1"/>
    <dgm:cxn modelId="{DF73A21A-A07B-4AB6-AB58-A05BF21717AF}" type="presOf" srcId="{3860E8F9-3553-4363-A440-AD093ADDEB33}" destId="{864DE159-ADB7-49C9-BE7E-6F6F279C8EB6}" srcOrd="1" destOrd="0" presId="urn:microsoft.com/office/officeart/2005/8/layout/orgChart1"/>
    <dgm:cxn modelId="{73B2E15F-0B10-41E9-8EFB-DBFA8A246791}" type="presOf" srcId="{9187152B-9069-4157-AA0C-050126612FFA}" destId="{099237A4-84B7-4F00-B1FF-5F0F9D25D3E3}" srcOrd="1" destOrd="0" presId="urn:microsoft.com/office/officeart/2005/8/layout/orgChart1"/>
    <dgm:cxn modelId="{9C415640-ACAA-4F16-B06E-C31ACE933814}" type="presOf" srcId="{71974EA7-B0FD-4E11-924E-191FE4EB22A8}" destId="{AF97EAB4-41D6-435B-89C3-92F0213AF69F}" srcOrd="1" destOrd="0" presId="urn:microsoft.com/office/officeart/2005/8/layout/orgChart1"/>
    <dgm:cxn modelId="{431A5962-50BF-4C67-9DEE-ECB6624274C2}" type="presOf" srcId="{DCB1A9A3-D980-42CD-B510-4491FFE31F6D}" destId="{5726F1A2-DA9E-4616-B78A-E792FD0D8D9F}" srcOrd="1" destOrd="0" presId="urn:microsoft.com/office/officeart/2005/8/layout/orgChart1"/>
    <dgm:cxn modelId="{E4C62A88-CD2F-45AD-8C5F-E3B611AEC23F}" type="presOf" srcId="{E6C5D402-B8A5-49FC-B61E-0E6EC29FDF8A}" destId="{4A6E4037-9C45-4D02-AA40-7442CD68A66B}" srcOrd="1" destOrd="0" presId="urn:microsoft.com/office/officeart/2005/8/layout/orgChart1"/>
    <dgm:cxn modelId="{4E278201-CBF9-4E52-BFCE-05E9700848DB}" type="presOf" srcId="{1972917D-C3E9-4F40-A79A-75E07BB68802}" destId="{2EF77A01-D550-4491-8E22-A7E2A97DEA06}" srcOrd="1" destOrd="0" presId="urn:microsoft.com/office/officeart/2005/8/layout/orgChart1"/>
    <dgm:cxn modelId="{AFA749BB-C98D-4307-923B-4A8C0785FD57}" srcId="{7FEC1E76-44C6-4258-B9A6-2E7DDD8D77BE}" destId="{151D9D48-3F3E-412B-85D0-CA3D3BED94C3}" srcOrd="0" destOrd="0" parTransId="{4A56575D-2CA3-498E-BAA7-DEB08515720E}" sibTransId="{406E91F1-2C27-44F9-93C4-03A3A11E46B2}"/>
    <dgm:cxn modelId="{F1739E1E-B3CB-4C6C-A3AF-649CA5F88E73}" type="presOf" srcId="{496F6CD3-F30D-4A6F-B382-29035E4FA08E}" destId="{52807F18-AE8D-452E-A5F6-DD193B711432}" srcOrd="1" destOrd="0" presId="urn:microsoft.com/office/officeart/2005/8/layout/orgChart1"/>
    <dgm:cxn modelId="{2F9D29EA-858E-4BD6-819C-3851C9989FE3}" type="presOf" srcId="{1972917D-C3E9-4F40-A79A-75E07BB68802}" destId="{A6278F32-7614-4678-B319-D17ED48EC82B}" srcOrd="0" destOrd="0" presId="urn:microsoft.com/office/officeart/2005/8/layout/orgChart1"/>
    <dgm:cxn modelId="{61553C66-A3F2-45A3-847C-EF4ABF392509}" srcId="{151D9D48-3F3E-412B-85D0-CA3D3BED94C3}" destId="{2251E4FB-5CEE-4C80-A3FD-36E9AAD78DA0}" srcOrd="3" destOrd="0" parTransId="{B599366B-1E5A-4F0E-ADBC-2087736E8230}" sibTransId="{A49382D7-E372-4608-ADDA-A6F901FD7D8A}"/>
    <dgm:cxn modelId="{20EE5E02-A4BC-499A-A40F-1A19C8578569}" srcId="{151D9D48-3F3E-412B-85D0-CA3D3BED94C3}" destId="{65F8A573-722A-4A6C-B22F-F5ADF5AFD130}" srcOrd="4" destOrd="0" parTransId="{EFC11A2E-CA83-445E-9C51-884E82C82470}" sibTransId="{E391D418-8587-4655-BA3A-7A6F71470E3E}"/>
    <dgm:cxn modelId="{2658C599-8392-4A78-BB84-F2C683935675}" type="presOf" srcId="{EACAD557-3F5C-42A9-A872-1E0C4EB4F7F1}" destId="{35DD5CFC-0638-46B3-9BFD-35C83FBC5EAB}" srcOrd="0" destOrd="0" presId="urn:microsoft.com/office/officeart/2005/8/layout/orgChart1"/>
    <dgm:cxn modelId="{7D6228E1-B70F-4171-A83F-0C5EC7599328}" type="presParOf" srcId="{38CCF984-9BE3-4AAF-8DFD-1F731B0DB3BF}" destId="{DDBF08E9-CAD0-47F6-B6EB-A0BE0D8337CF}" srcOrd="0" destOrd="0" presId="urn:microsoft.com/office/officeart/2005/8/layout/orgChart1"/>
    <dgm:cxn modelId="{DEF27EF9-D969-48F0-9709-6D3B5B1E3406}" type="presParOf" srcId="{DDBF08E9-CAD0-47F6-B6EB-A0BE0D8337CF}" destId="{4B8143B4-0996-4030-87DA-EEB1C21E5319}" srcOrd="0" destOrd="0" presId="urn:microsoft.com/office/officeart/2005/8/layout/orgChart1"/>
    <dgm:cxn modelId="{D23801F6-2A38-4ABE-A254-A15260B02209}" type="presParOf" srcId="{4B8143B4-0996-4030-87DA-EEB1C21E5319}" destId="{BD2C0CE5-0C96-4ADF-88EA-4FE75D2704E9}" srcOrd="0" destOrd="0" presId="urn:microsoft.com/office/officeart/2005/8/layout/orgChart1"/>
    <dgm:cxn modelId="{036480B7-956A-4CA8-B19F-7279D63F64FD}" type="presParOf" srcId="{4B8143B4-0996-4030-87DA-EEB1C21E5319}" destId="{A57E99D0-36DF-49BB-B9AF-9E66034D4778}" srcOrd="1" destOrd="0" presId="urn:microsoft.com/office/officeart/2005/8/layout/orgChart1"/>
    <dgm:cxn modelId="{0A0A8442-2E92-44D1-A5B6-D45C0493DB19}" type="presParOf" srcId="{DDBF08E9-CAD0-47F6-B6EB-A0BE0D8337CF}" destId="{83CE982E-F103-429D-946E-6B8511EB4313}" srcOrd="1" destOrd="0" presId="urn:microsoft.com/office/officeart/2005/8/layout/orgChart1"/>
    <dgm:cxn modelId="{1A0CF9F9-0D46-414B-B6A5-780A825F45C9}" type="presParOf" srcId="{83CE982E-F103-429D-946E-6B8511EB4313}" destId="{216B887B-DB7D-4A47-9E09-0FC239DFEDAC}" srcOrd="0" destOrd="0" presId="urn:microsoft.com/office/officeart/2005/8/layout/orgChart1"/>
    <dgm:cxn modelId="{29EC5724-DF56-4C8A-A75C-28FA15C489FF}" type="presParOf" srcId="{83CE982E-F103-429D-946E-6B8511EB4313}" destId="{8EF9665E-55B3-4B52-9E77-A7ACD21CA739}" srcOrd="1" destOrd="0" presId="urn:microsoft.com/office/officeart/2005/8/layout/orgChart1"/>
    <dgm:cxn modelId="{3CF37E48-1C1C-46FE-A025-82E3BE56F142}" type="presParOf" srcId="{8EF9665E-55B3-4B52-9E77-A7ACD21CA739}" destId="{9F321283-E9FA-4B65-A1B8-CBB43225FC68}" srcOrd="0" destOrd="0" presId="urn:microsoft.com/office/officeart/2005/8/layout/orgChart1"/>
    <dgm:cxn modelId="{AFADEC64-C40B-448F-9FCB-DBA582203FC6}" type="presParOf" srcId="{9F321283-E9FA-4B65-A1B8-CBB43225FC68}" destId="{5971197A-DF2D-4DE9-96AF-15D692B18336}" srcOrd="0" destOrd="0" presId="urn:microsoft.com/office/officeart/2005/8/layout/orgChart1"/>
    <dgm:cxn modelId="{7F3C37CA-2B5F-4E61-B7FA-9707096838B4}" type="presParOf" srcId="{9F321283-E9FA-4B65-A1B8-CBB43225FC68}" destId="{47992827-8C41-4A9D-9D68-D174999B6583}" srcOrd="1" destOrd="0" presId="urn:microsoft.com/office/officeart/2005/8/layout/orgChart1"/>
    <dgm:cxn modelId="{3EF10AAD-AF2E-4FC9-98C0-81B02AA426B7}" type="presParOf" srcId="{8EF9665E-55B3-4B52-9E77-A7ACD21CA739}" destId="{E3C3670D-6528-49D0-A71A-A8225FACCE3D}" srcOrd="1" destOrd="0" presId="urn:microsoft.com/office/officeart/2005/8/layout/orgChart1"/>
    <dgm:cxn modelId="{8CCE3B96-4AC9-4849-971A-CE0BCD727F60}" type="presParOf" srcId="{E3C3670D-6528-49D0-A71A-A8225FACCE3D}" destId="{3C407230-D2DD-4102-B4CA-7270C485BCFE}" srcOrd="0" destOrd="0" presId="urn:microsoft.com/office/officeart/2005/8/layout/orgChart1"/>
    <dgm:cxn modelId="{74E5BC6C-810C-44EC-9CD5-B73521F11C3C}" type="presParOf" srcId="{E3C3670D-6528-49D0-A71A-A8225FACCE3D}" destId="{9A61BAB9-F1D1-47C4-9C81-9AA7A7A72BA0}" srcOrd="1" destOrd="0" presId="urn:microsoft.com/office/officeart/2005/8/layout/orgChart1"/>
    <dgm:cxn modelId="{D2F1D3F0-B96E-444A-8EA4-A4E42679E343}" type="presParOf" srcId="{9A61BAB9-F1D1-47C4-9C81-9AA7A7A72BA0}" destId="{CD3BF1BF-D919-4045-A0E1-D5EA48992EC7}" srcOrd="0" destOrd="0" presId="urn:microsoft.com/office/officeart/2005/8/layout/orgChart1"/>
    <dgm:cxn modelId="{ABCF1AFE-10F0-4B7A-9343-BC16830CCF5B}" type="presParOf" srcId="{CD3BF1BF-D919-4045-A0E1-D5EA48992EC7}" destId="{35DD5CFC-0638-46B3-9BFD-35C83FBC5EAB}" srcOrd="0" destOrd="0" presId="urn:microsoft.com/office/officeart/2005/8/layout/orgChart1"/>
    <dgm:cxn modelId="{263202AD-1075-492B-B505-3054D5971AEA}" type="presParOf" srcId="{CD3BF1BF-D919-4045-A0E1-D5EA48992EC7}" destId="{0FF837CD-89B0-40BC-A198-1202610446DC}" srcOrd="1" destOrd="0" presId="urn:microsoft.com/office/officeart/2005/8/layout/orgChart1"/>
    <dgm:cxn modelId="{47B9FF5F-AEAA-490C-9981-54C994A20B23}" type="presParOf" srcId="{9A61BAB9-F1D1-47C4-9C81-9AA7A7A72BA0}" destId="{67AC5CF2-F2B7-4EFF-BF14-D0138B648FE8}" srcOrd="1" destOrd="0" presId="urn:microsoft.com/office/officeart/2005/8/layout/orgChart1"/>
    <dgm:cxn modelId="{772F8406-D1A7-4B45-9A8F-540018391F24}" type="presParOf" srcId="{9A61BAB9-F1D1-47C4-9C81-9AA7A7A72BA0}" destId="{D81AE4AF-EAEA-4DEB-8236-40FB9F2940C3}" srcOrd="2" destOrd="0" presId="urn:microsoft.com/office/officeart/2005/8/layout/orgChart1"/>
    <dgm:cxn modelId="{ACFF4CAF-69EF-4F34-92AE-A9F6D1CC6D8A}" type="presParOf" srcId="{E3C3670D-6528-49D0-A71A-A8225FACCE3D}" destId="{6BB9721F-ABC6-4B40-8172-86EF74D1E315}" srcOrd="2" destOrd="0" presId="urn:microsoft.com/office/officeart/2005/8/layout/orgChart1"/>
    <dgm:cxn modelId="{33510195-CA9A-4BF5-A623-509501E923A3}" type="presParOf" srcId="{E3C3670D-6528-49D0-A71A-A8225FACCE3D}" destId="{D818C188-CF3C-42E7-9CFF-40247C331AA8}" srcOrd="3" destOrd="0" presId="urn:microsoft.com/office/officeart/2005/8/layout/orgChart1"/>
    <dgm:cxn modelId="{3F53C722-0AC5-4078-B23D-0E965C00EF42}" type="presParOf" srcId="{D818C188-CF3C-42E7-9CFF-40247C331AA8}" destId="{AF3EFAC0-A892-4966-BBB1-2FB98BB64307}" srcOrd="0" destOrd="0" presId="urn:microsoft.com/office/officeart/2005/8/layout/orgChart1"/>
    <dgm:cxn modelId="{73B75D26-CC3C-4B2D-BDCB-455781C2635A}" type="presParOf" srcId="{AF3EFAC0-A892-4966-BBB1-2FB98BB64307}" destId="{DD2AD0C8-F261-46ED-A129-B1CAC45F2F1E}" srcOrd="0" destOrd="0" presId="urn:microsoft.com/office/officeart/2005/8/layout/orgChart1"/>
    <dgm:cxn modelId="{7A3407FD-0951-4522-90D2-A9B163D6C68B}" type="presParOf" srcId="{AF3EFAC0-A892-4966-BBB1-2FB98BB64307}" destId="{099237A4-84B7-4F00-B1FF-5F0F9D25D3E3}" srcOrd="1" destOrd="0" presId="urn:microsoft.com/office/officeart/2005/8/layout/orgChart1"/>
    <dgm:cxn modelId="{364E1669-BB6B-4851-B33A-8E3A63BD9F0D}" type="presParOf" srcId="{D818C188-CF3C-42E7-9CFF-40247C331AA8}" destId="{3A08A714-479A-4C38-886B-644E5CAC0B3B}" srcOrd="1" destOrd="0" presId="urn:microsoft.com/office/officeart/2005/8/layout/orgChart1"/>
    <dgm:cxn modelId="{D88D5C25-BF79-4901-97F3-EDF5306C9CEB}" type="presParOf" srcId="{D818C188-CF3C-42E7-9CFF-40247C331AA8}" destId="{13518BBE-9802-413A-8502-4CCA0F681C9E}" srcOrd="2" destOrd="0" presId="urn:microsoft.com/office/officeart/2005/8/layout/orgChart1"/>
    <dgm:cxn modelId="{FBE33015-DDA3-4169-A438-100AD2E74A3B}" type="presParOf" srcId="{E3C3670D-6528-49D0-A71A-A8225FACCE3D}" destId="{841F1F39-6D3B-4C29-8F7E-95B41B403EC0}" srcOrd="4" destOrd="0" presId="urn:microsoft.com/office/officeart/2005/8/layout/orgChart1"/>
    <dgm:cxn modelId="{70A9DF59-21AB-41C1-8512-BFEEE0A4B6C7}" type="presParOf" srcId="{E3C3670D-6528-49D0-A71A-A8225FACCE3D}" destId="{F9E46724-7A8F-4EBD-862F-2C206D8DF133}" srcOrd="5" destOrd="0" presId="urn:microsoft.com/office/officeart/2005/8/layout/orgChart1"/>
    <dgm:cxn modelId="{0075FE46-0CEB-4D2A-BA68-6250A0799C3D}" type="presParOf" srcId="{F9E46724-7A8F-4EBD-862F-2C206D8DF133}" destId="{95EBA45F-A789-45D3-B1BD-2D64FE9BC71C}" srcOrd="0" destOrd="0" presId="urn:microsoft.com/office/officeart/2005/8/layout/orgChart1"/>
    <dgm:cxn modelId="{D178F46D-B46E-4EC8-A0B2-CD324AEBEC51}" type="presParOf" srcId="{95EBA45F-A789-45D3-B1BD-2D64FE9BC71C}" destId="{73FD6395-7899-402F-BA52-467B80440D36}" srcOrd="0" destOrd="0" presId="urn:microsoft.com/office/officeart/2005/8/layout/orgChart1"/>
    <dgm:cxn modelId="{F103442A-68B9-4DB9-8CA1-E9CE2E7C5A4A}" type="presParOf" srcId="{95EBA45F-A789-45D3-B1BD-2D64FE9BC71C}" destId="{52263E55-5274-49F4-B8C6-E18C6D224321}" srcOrd="1" destOrd="0" presId="urn:microsoft.com/office/officeart/2005/8/layout/orgChart1"/>
    <dgm:cxn modelId="{3C641C52-D2C4-4719-B1EE-C85CFD803106}" type="presParOf" srcId="{F9E46724-7A8F-4EBD-862F-2C206D8DF133}" destId="{B6C88CEC-5319-4A2E-A04C-23A29104CE8C}" srcOrd="1" destOrd="0" presId="urn:microsoft.com/office/officeart/2005/8/layout/orgChart1"/>
    <dgm:cxn modelId="{8CD8F6C2-AE8C-4149-B82A-FBFF6568DD8D}" type="presParOf" srcId="{F9E46724-7A8F-4EBD-862F-2C206D8DF133}" destId="{BDFA8BDE-ADC5-403A-A1F5-92E390C002A9}" srcOrd="2" destOrd="0" presId="urn:microsoft.com/office/officeart/2005/8/layout/orgChart1"/>
    <dgm:cxn modelId="{70F320FD-4A19-4766-9013-DBAFD777EBDF}" type="presParOf" srcId="{E3C3670D-6528-49D0-A71A-A8225FACCE3D}" destId="{F015D36D-E854-4B6C-9F4C-C6AB37B49412}" srcOrd="6" destOrd="0" presId="urn:microsoft.com/office/officeart/2005/8/layout/orgChart1"/>
    <dgm:cxn modelId="{AD4F03EA-5B86-4BE2-AA61-C6E9EE94BAE6}" type="presParOf" srcId="{E3C3670D-6528-49D0-A71A-A8225FACCE3D}" destId="{206C4B49-1E62-4C6A-B05A-92887471D56E}" srcOrd="7" destOrd="0" presId="urn:microsoft.com/office/officeart/2005/8/layout/orgChart1"/>
    <dgm:cxn modelId="{EBF435D8-C36F-424C-9DAA-B2D550851CC2}" type="presParOf" srcId="{206C4B49-1E62-4C6A-B05A-92887471D56E}" destId="{131E6BBF-0DCC-41F9-8252-B4589851FAD1}" srcOrd="0" destOrd="0" presId="urn:microsoft.com/office/officeart/2005/8/layout/orgChart1"/>
    <dgm:cxn modelId="{46275B43-49E5-4291-90B4-AB8C98A31010}" type="presParOf" srcId="{131E6BBF-0DCC-41F9-8252-B4589851FAD1}" destId="{9CE2BF93-D8B6-49D9-B6C6-27DA0A9EEA85}" srcOrd="0" destOrd="0" presId="urn:microsoft.com/office/officeart/2005/8/layout/orgChart1"/>
    <dgm:cxn modelId="{6A435715-C4B4-4B91-A375-3EAEBE83E858}" type="presParOf" srcId="{131E6BBF-0DCC-41F9-8252-B4589851FAD1}" destId="{708D89E9-C515-4E2C-A986-3A4ACFE86489}" srcOrd="1" destOrd="0" presId="urn:microsoft.com/office/officeart/2005/8/layout/orgChart1"/>
    <dgm:cxn modelId="{D4A5DCF4-77FB-49C6-8EF7-0DEFD1F7EBD9}" type="presParOf" srcId="{206C4B49-1E62-4C6A-B05A-92887471D56E}" destId="{87E1C782-0CF7-4913-BEB3-37DC74FC8204}" srcOrd="1" destOrd="0" presId="urn:microsoft.com/office/officeart/2005/8/layout/orgChart1"/>
    <dgm:cxn modelId="{1FD45244-504B-4EF6-B590-9ED384356C34}" type="presParOf" srcId="{206C4B49-1E62-4C6A-B05A-92887471D56E}" destId="{F57F05CF-8233-4661-979A-C8E8B7177428}" srcOrd="2" destOrd="0" presId="urn:microsoft.com/office/officeart/2005/8/layout/orgChart1"/>
    <dgm:cxn modelId="{518374F9-1CCC-481A-ACE8-D06D017C70C1}" type="presParOf" srcId="{E3C3670D-6528-49D0-A71A-A8225FACCE3D}" destId="{47D78689-46F9-4497-A13F-A1FE74F4B793}" srcOrd="8" destOrd="0" presId="urn:microsoft.com/office/officeart/2005/8/layout/orgChart1"/>
    <dgm:cxn modelId="{FA80634A-F4E2-45CB-8537-6ED446BA7344}" type="presParOf" srcId="{E3C3670D-6528-49D0-A71A-A8225FACCE3D}" destId="{D6AC2F47-B05B-4EFF-BD03-D207B2011AD2}" srcOrd="9" destOrd="0" presId="urn:microsoft.com/office/officeart/2005/8/layout/orgChart1"/>
    <dgm:cxn modelId="{F50C1880-8D55-4557-ADD2-2B3489975A1D}" type="presParOf" srcId="{D6AC2F47-B05B-4EFF-BD03-D207B2011AD2}" destId="{117F6861-2183-41CB-92BD-771B2070A289}" srcOrd="0" destOrd="0" presId="urn:microsoft.com/office/officeart/2005/8/layout/orgChart1"/>
    <dgm:cxn modelId="{35447759-8D38-438B-91C7-C76ED5BB2F26}" type="presParOf" srcId="{117F6861-2183-41CB-92BD-771B2070A289}" destId="{446DFADF-46EE-438A-8D85-48EA1E3B1A11}" srcOrd="0" destOrd="0" presId="urn:microsoft.com/office/officeart/2005/8/layout/orgChart1"/>
    <dgm:cxn modelId="{C89E0E47-C180-498E-8ED2-FA2197A9C30A}" type="presParOf" srcId="{117F6861-2183-41CB-92BD-771B2070A289}" destId="{3BEDE311-88A0-4BF8-B5F2-CAD9A201C0C8}" srcOrd="1" destOrd="0" presId="urn:microsoft.com/office/officeart/2005/8/layout/orgChart1"/>
    <dgm:cxn modelId="{1E896744-747E-486D-90FD-EE1AAACDAD82}" type="presParOf" srcId="{D6AC2F47-B05B-4EFF-BD03-D207B2011AD2}" destId="{84A74589-0A5A-439C-9BBF-C1775B9E5A6C}" srcOrd="1" destOrd="0" presId="urn:microsoft.com/office/officeart/2005/8/layout/orgChart1"/>
    <dgm:cxn modelId="{D41F9377-F38D-4269-B1D0-68C82741498A}" type="presParOf" srcId="{D6AC2F47-B05B-4EFF-BD03-D207B2011AD2}" destId="{FAE409A3-2227-40C1-922B-6436230ECF0C}" srcOrd="2" destOrd="0" presId="urn:microsoft.com/office/officeart/2005/8/layout/orgChart1"/>
    <dgm:cxn modelId="{6515C983-4EC3-4B4A-849E-C85DCA3655C2}" type="presParOf" srcId="{8EF9665E-55B3-4B52-9E77-A7ACD21CA739}" destId="{E3F378A2-CD85-470B-BBAB-E026D263DB1C}" srcOrd="2" destOrd="0" presId="urn:microsoft.com/office/officeart/2005/8/layout/orgChart1"/>
    <dgm:cxn modelId="{1A0D8FF2-8F55-4C1C-A1D2-184C4F8C869E}" type="presParOf" srcId="{83CE982E-F103-429D-946E-6B8511EB4313}" destId="{052BC183-68EB-48C9-8B38-5846DDF496EE}" srcOrd="2" destOrd="0" presId="urn:microsoft.com/office/officeart/2005/8/layout/orgChart1"/>
    <dgm:cxn modelId="{521D8504-8D1D-49BA-881C-6084A32CDEF3}" type="presParOf" srcId="{83CE982E-F103-429D-946E-6B8511EB4313}" destId="{1B088FE2-3EA1-45C0-94F5-6F2931DDF966}" srcOrd="3" destOrd="0" presId="urn:microsoft.com/office/officeart/2005/8/layout/orgChart1"/>
    <dgm:cxn modelId="{D3A3DC40-ACBC-4F45-9AED-C3546C680738}" type="presParOf" srcId="{1B088FE2-3EA1-45C0-94F5-6F2931DDF966}" destId="{63E41F08-E97C-4254-BC8E-9540ACB31F56}" srcOrd="0" destOrd="0" presId="urn:microsoft.com/office/officeart/2005/8/layout/orgChart1"/>
    <dgm:cxn modelId="{BCD4F3E5-0C11-4AEA-BCA7-1229FF6A3E35}" type="presParOf" srcId="{63E41F08-E97C-4254-BC8E-9540ACB31F56}" destId="{BF222B15-39C3-49BA-A6BC-77B015763D13}" srcOrd="0" destOrd="0" presId="urn:microsoft.com/office/officeart/2005/8/layout/orgChart1"/>
    <dgm:cxn modelId="{17768571-5081-4928-A36A-E083067D0ED3}" type="presParOf" srcId="{63E41F08-E97C-4254-BC8E-9540ACB31F56}" destId="{52807F18-AE8D-452E-A5F6-DD193B711432}" srcOrd="1" destOrd="0" presId="urn:microsoft.com/office/officeart/2005/8/layout/orgChart1"/>
    <dgm:cxn modelId="{2EDA3137-D5CD-4F95-8034-A7903564A550}" type="presParOf" srcId="{1B088FE2-3EA1-45C0-94F5-6F2931DDF966}" destId="{8005CAF2-4BDB-45BF-8145-6A1AD96185C8}" srcOrd="1" destOrd="0" presId="urn:microsoft.com/office/officeart/2005/8/layout/orgChart1"/>
    <dgm:cxn modelId="{99732B5D-3F1A-4FE2-A07E-5576BF2F01FE}" type="presParOf" srcId="{8005CAF2-4BDB-45BF-8145-6A1AD96185C8}" destId="{BC09A929-DAC0-43BB-AF4B-BAB130F3F94A}" srcOrd="0" destOrd="0" presId="urn:microsoft.com/office/officeart/2005/8/layout/orgChart1"/>
    <dgm:cxn modelId="{3DAD1DB6-EC4C-4E6B-A71E-798523D26F9D}" type="presParOf" srcId="{8005CAF2-4BDB-45BF-8145-6A1AD96185C8}" destId="{53D714B6-2693-4B06-A4B0-C4A297192464}" srcOrd="1" destOrd="0" presId="urn:microsoft.com/office/officeart/2005/8/layout/orgChart1"/>
    <dgm:cxn modelId="{CC6E7B8E-75A9-4334-8E81-1F127962B87E}" type="presParOf" srcId="{53D714B6-2693-4B06-A4B0-C4A297192464}" destId="{99248F37-A19D-49EE-BFFC-0034FD5DB6AB}" srcOrd="0" destOrd="0" presId="urn:microsoft.com/office/officeart/2005/8/layout/orgChart1"/>
    <dgm:cxn modelId="{E3189007-89BA-4E9B-8ADB-E649B7CA7F62}" type="presParOf" srcId="{99248F37-A19D-49EE-BFFC-0034FD5DB6AB}" destId="{A6278F32-7614-4678-B319-D17ED48EC82B}" srcOrd="0" destOrd="0" presId="urn:microsoft.com/office/officeart/2005/8/layout/orgChart1"/>
    <dgm:cxn modelId="{2208CBD3-7D83-492E-B9AF-0BC8C43F27E0}" type="presParOf" srcId="{99248F37-A19D-49EE-BFFC-0034FD5DB6AB}" destId="{2EF77A01-D550-4491-8E22-A7E2A97DEA06}" srcOrd="1" destOrd="0" presId="urn:microsoft.com/office/officeart/2005/8/layout/orgChart1"/>
    <dgm:cxn modelId="{44637EF4-BB51-4F1E-86E6-40E7111B2E03}" type="presParOf" srcId="{53D714B6-2693-4B06-A4B0-C4A297192464}" destId="{3FAE26FC-F5AE-4D91-A157-302A00394BDE}" srcOrd="1" destOrd="0" presId="urn:microsoft.com/office/officeart/2005/8/layout/orgChart1"/>
    <dgm:cxn modelId="{DDC23E25-6D8E-49B9-87B8-33931507CEB6}" type="presParOf" srcId="{53D714B6-2693-4B06-A4B0-C4A297192464}" destId="{62B98247-427B-47FD-8E92-0E8404BBD585}" srcOrd="2" destOrd="0" presId="urn:microsoft.com/office/officeart/2005/8/layout/orgChart1"/>
    <dgm:cxn modelId="{B40BC81C-BBE0-4430-A016-4818D8D6FC04}" type="presParOf" srcId="{8005CAF2-4BDB-45BF-8145-6A1AD96185C8}" destId="{B253356C-9816-425C-9BCE-666E1432F33B}" srcOrd="2" destOrd="0" presId="urn:microsoft.com/office/officeart/2005/8/layout/orgChart1"/>
    <dgm:cxn modelId="{E4225297-78D0-4FE5-B1F2-1F76D31D1C26}" type="presParOf" srcId="{8005CAF2-4BDB-45BF-8145-6A1AD96185C8}" destId="{C09A2147-17BD-4DE7-B5F1-E6B425513FE1}" srcOrd="3" destOrd="0" presId="urn:microsoft.com/office/officeart/2005/8/layout/orgChart1"/>
    <dgm:cxn modelId="{DD4277A5-D554-46D9-86BF-ABE8958CD509}" type="presParOf" srcId="{C09A2147-17BD-4DE7-B5F1-E6B425513FE1}" destId="{48C5D341-E99F-47F1-A766-83A0F188ABEE}" srcOrd="0" destOrd="0" presId="urn:microsoft.com/office/officeart/2005/8/layout/orgChart1"/>
    <dgm:cxn modelId="{6DBC1CC5-E928-443F-A12A-EC06C2649649}" type="presParOf" srcId="{48C5D341-E99F-47F1-A766-83A0F188ABEE}" destId="{9AD0FCED-2484-4B05-8AE0-4AAE80912282}" srcOrd="0" destOrd="0" presId="urn:microsoft.com/office/officeart/2005/8/layout/orgChart1"/>
    <dgm:cxn modelId="{0EC76585-514C-4949-AB0C-441734F6DAD2}" type="presParOf" srcId="{48C5D341-E99F-47F1-A766-83A0F188ABEE}" destId="{BA2B83F9-4B0A-402A-8047-E7B4E4D19453}" srcOrd="1" destOrd="0" presId="urn:microsoft.com/office/officeart/2005/8/layout/orgChart1"/>
    <dgm:cxn modelId="{F3AFB154-407D-4A29-842C-FCE8A27CDB80}" type="presParOf" srcId="{C09A2147-17BD-4DE7-B5F1-E6B425513FE1}" destId="{E55BD33E-C061-45F8-AA44-F59BFF4A92AA}" srcOrd="1" destOrd="0" presId="urn:microsoft.com/office/officeart/2005/8/layout/orgChart1"/>
    <dgm:cxn modelId="{EF4BF5E4-57EF-4A36-A935-321E080CE0E7}" type="presParOf" srcId="{C09A2147-17BD-4DE7-B5F1-E6B425513FE1}" destId="{B44F77DF-1C15-4C5A-A130-601E021DC3F7}" srcOrd="2" destOrd="0" presId="urn:microsoft.com/office/officeart/2005/8/layout/orgChart1"/>
    <dgm:cxn modelId="{C025359A-2F0A-4B16-8282-7C0544098241}" type="presParOf" srcId="{8005CAF2-4BDB-45BF-8145-6A1AD96185C8}" destId="{A0C9116F-77FE-4E16-A5F1-EC38E76AEFA0}" srcOrd="4" destOrd="0" presId="urn:microsoft.com/office/officeart/2005/8/layout/orgChart1"/>
    <dgm:cxn modelId="{0069E810-5AE9-44C7-BB88-BEAC2E7F4256}" type="presParOf" srcId="{8005CAF2-4BDB-45BF-8145-6A1AD96185C8}" destId="{1D2D1D2E-15B8-45D3-A43E-C51D2A8725D3}" srcOrd="5" destOrd="0" presId="urn:microsoft.com/office/officeart/2005/8/layout/orgChart1"/>
    <dgm:cxn modelId="{2D410B17-AF30-4B8D-976A-F291204BA6BA}" type="presParOf" srcId="{1D2D1D2E-15B8-45D3-A43E-C51D2A8725D3}" destId="{03C063F9-BC93-44C4-9F5C-FFB05890F203}" srcOrd="0" destOrd="0" presId="urn:microsoft.com/office/officeart/2005/8/layout/orgChart1"/>
    <dgm:cxn modelId="{A75444E0-C007-463B-98D8-FD484A986D58}" type="presParOf" srcId="{03C063F9-BC93-44C4-9F5C-FFB05890F203}" destId="{65821362-A0A5-4E59-B282-3D22961DDAA6}" srcOrd="0" destOrd="0" presId="urn:microsoft.com/office/officeart/2005/8/layout/orgChart1"/>
    <dgm:cxn modelId="{716A825A-76B3-46ED-825A-988E6DCEE491}" type="presParOf" srcId="{03C063F9-BC93-44C4-9F5C-FFB05890F203}" destId="{864DE159-ADB7-49C9-BE7E-6F6F279C8EB6}" srcOrd="1" destOrd="0" presId="urn:microsoft.com/office/officeart/2005/8/layout/orgChart1"/>
    <dgm:cxn modelId="{A06FE777-889F-412A-AE1A-F4A232CCE193}" type="presParOf" srcId="{1D2D1D2E-15B8-45D3-A43E-C51D2A8725D3}" destId="{8F040C08-2804-4F5E-8D63-A148B2A4F17A}" srcOrd="1" destOrd="0" presId="urn:microsoft.com/office/officeart/2005/8/layout/orgChart1"/>
    <dgm:cxn modelId="{016A5A1B-2EA0-4151-944B-D6DF6288D5E8}" type="presParOf" srcId="{1D2D1D2E-15B8-45D3-A43E-C51D2A8725D3}" destId="{22188E68-D37B-4694-A53C-E12AF9FDABD9}" srcOrd="2" destOrd="0" presId="urn:microsoft.com/office/officeart/2005/8/layout/orgChart1"/>
    <dgm:cxn modelId="{EB3E04E8-6917-4D02-82ED-6A523D0B6991}" type="presParOf" srcId="{8005CAF2-4BDB-45BF-8145-6A1AD96185C8}" destId="{8EDFD65E-CDB5-4675-8A68-7CA9D0EF3AF5}" srcOrd="6" destOrd="0" presId="urn:microsoft.com/office/officeart/2005/8/layout/orgChart1"/>
    <dgm:cxn modelId="{2F997870-43B6-4988-A940-8270C6D54BB3}" type="presParOf" srcId="{8005CAF2-4BDB-45BF-8145-6A1AD96185C8}" destId="{81A36A84-A9DD-49C9-8336-531BED68C770}" srcOrd="7" destOrd="0" presId="urn:microsoft.com/office/officeart/2005/8/layout/orgChart1"/>
    <dgm:cxn modelId="{8289D5D4-82EA-4214-9FEC-4B5AD05F1D1E}" type="presParOf" srcId="{81A36A84-A9DD-49C9-8336-531BED68C770}" destId="{CE782139-5572-4234-BDED-F352AF99FF2D}" srcOrd="0" destOrd="0" presId="urn:microsoft.com/office/officeart/2005/8/layout/orgChart1"/>
    <dgm:cxn modelId="{919FC675-2891-488C-B375-B18F9DDD20A7}" type="presParOf" srcId="{CE782139-5572-4234-BDED-F352AF99FF2D}" destId="{F557AB6A-058F-4778-A225-CE561DA84CE4}" srcOrd="0" destOrd="0" presId="urn:microsoft.com/office/officeart/2005/8/layout/orgChart1"/>
    <dgm:cxn modelId="{CC2215F3-8B85-4931-9B23-5479D3D28530}" type="presParOf" srcId="{CE782139-5572-4234-BDED-F352AF99FF2D}" destId="{5726F1A2-DA9E-4616-B78A-E792FD0D8D9F}" srcOrd="1" destOrd="0" presId="urn:microsoft.com/office/officeart/2005/8/layout/orgChart1"/>
    <dgm:cxn modelId="{CD4C152E-859B-4546-BA3F-F0DCEC45FE46}" type="presParOf" srcId="{81A36A84-A9DD-49C9-8336-531BED68C770}" destId="{43CA2FA0-5A1A-43BF-9DF3-FB2821FD4820}" srcOrd="1" destOrd="0" presId="urn:microsoft.com/office/officeart/2005/8/layout/orgChart1"/>
    <dgm:cxn modelId="{72AFBA2B-FBEE-4977-8B72-329AF8EFBD7F}" type="presParOf" srcId="{81A36A84-A9DD-49C9-8336-531BED68C770}" destId="{78B10E61-4DE4-4A04-A80F-4DF91AB95474}" srcOrd="2" destOrd="0" presId="urn:microsoft.com/office/officeart/2005/8/layout/orgChart1"/>
    <dgm:cxn modelId="{4CA938CA-37F5-4064-9855-5D0CB68F5FF6}" type="presParOf" srcId="{1B088FE2-3EA1-45C0-94F5-6F2931DDF966}" destId="{29B2B6EE-B78C-4F9C-9A11-F8207547FFCE}" srcOrd="2" destOrd="0" presId="urn:microsoft.com/office/officeart/2005/8/layout/orgChart1"/>
    <dgm:cxn modelId="{4205AA30-7E1F-4EC2-9A23-941121AFA80A}" type="presParOf" srcId="{83CE982E-F103-429D-946E-6B8511EB4313}" destId="{EACD4DC4-2BA4-4AC4-911C-21FA7BD1131A}" srcOrd="4" destOrd="0" presId="urn:microsoft.com/office/officeart/2005/8/layout/orgChart1"/>
    <dgm:cxn modelId="{45736B41-4687-4E6E-A7A7-8FFCFB3E5772}" type="presParOf" srcId="{83CE982E-F103-429D-946E-6B8511EB4313}" destId="{DFE92A59-B18F-4FD4-AB69-70E0AC31D09D}" srcOrd="5" destOrd="0" presId="urn:microsoft.com/office/officeart/2005/8/layout/orgChart1"/>
    <dgm:cxn modelId="{A2C73966-5FC9-4AB8-A021-3DFCE78D1DC6}" type="presParOf" srcId="{DFE92A59-B18F-4FD4-AB69-70E0AC31D09D}" destId="{90746740-8BBE-4404-82D5-721553941DE9}" srcOrd="0" destOrd="0" presId="urn:microsoft.com/office/officeart/2005/8/layout/orgChart1"/>
    <dgm:cxn modelId="{8CD351B0-3EDE-45BF-9441-2DE10B52FE9F}" type="presParOf" srcId="{90746740-8BBE-4404-82D5-721553941DE9}" destId="{364B62C8-0650-4D01-96DE-3401DE881B9A}" srcOrd="0" destOrd="0" presId="urn:microsoft.com/office/officeart/2005/8/layout/orgChart1"/>
    <dgm:cxn modelId="{39E27913-AA80-4EF3-A3C4-EED0A1F3AC50}" type="presParOf" srcId="{90746740-8BBE-4404-82D5-721553941DE9}" destId="{4A6E4037-9C45-4D02-AA40-7442CD68A66B}" srcOrd="1" destOrd="0" presId="urn:microsoft.com/office/officeart/2005/8/layout/orgChart1"/>
    <dgm:cxn modelId="{160B2216-8E93-4EDF-B1D6-B2E86BAF7DA2}" type="presParOf" srcId="{DFE92A59-B18F-4FD4-AB69-70E0AC31D09D}" destId="{B1B092A8-8F69-4451-81CC-8BBF3AA39FD1}" srcOrd="1" destOrd="0" presId="urn:microsoft.com/office/officeart/2005/8/layout/orgChart1"/>
    <dgm:cxn modelId="{ADB50AB1-8BF9-440C-85EB-DF14C49C7103}" type="presParOf" srcId="{DFE92A59-B18F-4FD4-AB69-70E0AC31D09D}" destId="{0452D67C-1BFE-436C-B5CD-6C78679AB3D2}" srcOrd="2" destOrd="0" presId="urn:microsoft.com/office/officeart/2005/8/layout/orgChart1"/>
    <dgm:cxn modelId="{7841DB29-FE56-4FD2-95CE-4473E220D222}" type="presParOf" srcId="{83CE982E-F103-429D-946E-6B8511EB4313}" destId="{64341026-501A-4E3A-B115-05C9D29FCE5B}" srcOrd="6" destOrd="0" presId="urn:microsoft.com/office/officeart/2005/8/layout/orgChart1"/>
    <dgm:cxn modelId="{505A08C6-8242-4F60-A161-77EB73CA02AF}" type="presParOf" srcId="{83CE982E-F103-429D-946E-6B8511EB4313}" destId="{B4602308-3935-4680-9D17-1629C869A121}" srcOrd="7" destOrd="0" presId="urn:microsoft.com/office/officeart/2005/8/layout/orgChart1"/>
    <dgm:cxn modelId="{3240E747-B553-48D9-97F3-3F4A02226B82}" type="presParOf" srcId="{B4602308-3935-4680-9D17-1629C869A121}" destId="{2B39C47C-4C6E-4500-AE14-EB477C24F025}" srcOrd="0" destOrd="0" presId="urn:microsoft.com/office/officeart/2005/8/layout/orgChart1"/>
    <dgm:cxn modelId="{0D870C03-52FA-4228-A0C3-3394C4BF9FFA}" type="presParOf" srcId="{2B39C47C-4C6E-4500-AE14-EB477C24F025}" destId="{53DE5BA1-9E32-4415-833A-97554494031B}" srcOrd="0" destOrd="0" presId="urn:microsoft.com/office/officeart/2005/8/layout/orgChart1"/>
    <dgm:cxn modelId="{B60D2A38-A031-4DF0-B935-E79D5DA1475B}" type="presParOf" srcId="{2B39C47C-4C6E-4500-AE14-EB477C24F025}" destId="{5B39B214-BDFA-43A5-AF39-8ABF02C6D101}" srcOrd="1" destOrd="0" presId="urn:microsoft.com/office/officeart/2005/8/layout/orgChart1"/>
    <dgm:cxn modelId="{1D955D95-EB0E-4580-A0F7-5BEB793B23D4}" type="presParOf" srcId="{B4602308-3935-4680-9D17-1629C869A121}" destId="{D9226957-B50B-4E8D-BD6F-738462BBF7F1}" srcOrd="1" destOrd="0" presId="urn:microsoft.com/office/officeart/2005/8/layout/orgChart1"/>
    <dgm:cxn modelId="{FEECDFD9-F5DA-4E5C-A693-1DD275160AF6}" type="presParOf" srcId="{D9226957-B50B-4E8D-BD6F-738462BBF7F1}" destId="{1022BB5F-659B-465F-9C3D-CED887659D48}" srcOrd="0" destOrd="0" presId="urn:microsoft.com/office/officeart/2005/8/layout/orgChart1"/>
    <dgm:cxn modelId="{701C293C-7E23-4F3D-8CE7-578237B9723B}" type="presParOf" srcId="{D9226957-B50B-4E8D-BD6F-738462BBF7F1}" destId="{DF97D41D-45BD-4FA9-A811-3E74AE3B81FA}" srcOrd="1" destOrd="0" presId="urn:microsoft.com/office/officeart/2005/8/layout/orgChart1"/>
    <dgm:cxn modelId="{4F249656-1CD6-4F34-9626-20F9254023CF}" type="presParOf" srcId="{DF97D41D-45BD-4FA9-A811-3E74AE3B81FA}" destId="{DA8AF498-E67D-4A77-8FA8-2963DDF8AE7A}" srcOrd="0" destOrd="0" presId="urn:microsoft.com/office/officeart/2005/8/layout/orgChart1"/>
    <dgm:cxn modelId="{2697AADD-5604-4F6C-9211-278963C48A0C}" type="presParOf" srcId="{DA8AF498-E67D-4A77-8FA8-2963DDF8AE7A}" destId="{ACA3047A-F3A9-4704-B00E-50B49365A37F}" srcOrd="0" destOrd="0" presId="urn:microsoft.com/office/officeart/2005/8/layout/orgChart1"/>
    <dgm:cxn modelId="{E27E7006-8BDE-4A3E-992E-F0501831C248}" type="presParOf" srcId="{DA8AF498-E67D-4A77-8FA8-2963DDF8AE7A}" destId="{52DC0FE7-A422-40A8-BFE7-DCA26FF6E387}" srcOrd="1" destOrd="0" presId="urn:microsoft.com/office/officeart/2005/8/layout/orgChart1"/>
    <dgm:cxn modelId="{987434BC-D72E-4B5B-B1B4-30B9CEE851C5}" type="presParOf" srcId="{DF97D41D-45BD-4FA9-A811-3E74AE3B81FA}" destId="{FB248EC8-001E-4ADC-AF9A-99985A12C02D}" srcOrd="1" destOrd="0" presId="urn:microsoft.com/office/officeart/2005/8/layout/orgChart1"/>
    <dgm:cxn modelId="{71C54EB3-A660-4933-B9B1-B29F81894C50}" type="presParOf" srcId="{DF97D41D-45BD-4FA9-A811-3E74AE3B81FA}" destId="{AAB7C441-64CC-4B8B-8DB8-BD475A0481C7}" srcOrd="2" destOrd="0" presId="urn:microsoft.com/office/officeart/2005/8/layout/orgChart1"/>
    <dgm:cxn modelId="{D3ED4DA6-C52B-4192-98D0-E731F1BDEB0C}" type="presParOf" srcId="{D9226957-B50B-4E8D-BD6F-738462BBF7F1}" destId="{4DE6EE71-DCF0-4E18-AB52-5E5830E2BAE9}" srcOrd="2" destOrd="0" presId="urn:microsoft.com/office/officeart/2005/8/layout/orgChart1"/>
    <dgm:cxn modelId="{CAD26CF4-4F5F-485C-9A14-166EDE3BC541}" type="presParOf" srcId="{D9226957-B50B-4E8D-BD6F-738462BBF7F1}" destId="{1C9EC06E-A7DF-4557-AEF1-228183DC780A}" srcOrd="3" destOrd="0" presId="urn:microsoft.com/office/officeart/2005/8/layout/orgChart1"/>
    <dgm:cxn modelId="{BAF2889A-E79C-4CA7-986E-2FE51A223309}" type="presParOf" srcId="{1C9EC06E-A7DF-4557-AEF1-228183DC780A}" destId="{6A8F8F18-06A2-4548-92A6-7CF3672AC195}" srcOrd="0" destOrd="0" presId="urn:microsoft.com/office/officeart/2005/8/layout/orgChart1"/>
    <dgm:cxn modelId="{FE328B59-C8DC-43E8-A67D-0908F4E1AB8E}" type="presParOf" srcId="{6A8F8F18-06A2-4548-92A6-7CF3672AC195}" destId="{071F5702-D31F-4302-A54C-D362AC575432}" srcOrd="0" destOrd="0" presId="urn:microsoft.com/office/officeart/2005/8/layout/orgChart1"/>
    <dgm:cxn modelId="{DE106A7F-0B9C-4D12-BD73-E0569C2E21F4}" type="presParOf" srcId="{6A8F8F18-06A2-4548-92A6-7CF3672AC195}" destId="{B7F02E23-8F3D-40D4-B841-7B0A87073AE5}" srcOrd="1" destOrd="0" presId="urn:microsoft.com/office/officeart/2005/8/layout/orgChart1"/>
    <dgm:cxn modelId="{BF644674-007A-4E0C-8984-315D7346A671}" type="presParOf" srcId="{1C9EC06E-A7DF-4557-AEF1-228183DC780A}" destId="{AB18FD1A-CEA6-4836-A830-FC40D522FCCE}" srcOrd="1" destOrd="0" presId="urn:microsoft.com/office/officeart/2005/8/layout/orgChart1"/>
    <dgm:cxn modelId="{41033CAD-05DD-4F40-B60C-EFC88102D9C1}" type="presParOf" srcId="{1C9EC06E-A7DF-4557-AEF1-228183DC780A}" destId="{EEBD7025-D4EA-4671-BF5A-DACAC81EB2FF}" srcOrd="2" destOrd="0" presId="urn:microsoft.com/office/officeart/2005/8/layout/orgChart1"/>
    <dgm:cxn modelId="{563B482E-A9FD-4ECF-8002-C9BC94D2FE08}" type="presParOf" srcId="{B4602308-3935-4680-9D17-1629C869A121}" destId="{AB0D290F-177A-4742-83BC-0BBD94DA160C}" srcOrd="2" destOrd="0" presId="urn:microsoft.com/office/officeart/2005/8/layout/orgChart1"/>
    <dgm:cxn modelId="{86D7A6F1-40AD-466D-8C75-954222F8698A}" type="presParOf" srcId="{83CE982E-F103-429D-946E-6B8511EB4313}" destId="{557246E2-2433-414F-94C4-623639289347}" srcOrd="8" destOrd="0" presId="urn:microsoft.com/office/officeart/2005/8/layout/orgChart1"/>
    <dgm:cxn modelId="{5B79E682-ED1F-4B43-AC4A-0610C8C0D07C}" type="presParOf" srcId="{83CE982E-F103-429D-946E-6B8511EB4313}" destId="{AF091232-62DA-44D2-98DB-6BBAF3E29C8B}" srcOrd="9" destOrd="0" presId="urn:microsoft.com/office/officeart/2005/8/layout/orgChart1"/>
    <dgm:cxn modelId="{42A8BF68-936C-4A7A-B7C0-87D330E6F554}" type="presParOf" srcId="{AF091232-62DA-44D2-98DB-6BBAF3E29C8B}" destId="{F7DA25E1-FC16-44F3-A166-DFFC2C4CD2CD}" srcOrd="0" destOrd="0" presId="urn:microsoft.com/office/officeart/2005/8/layout/orgChart1"/>
    <dgm:cxn modelId="{402C8632-B2C5-4C0F-86B2-D4166486214D}" type="presParOf" srcId="{F7DA25E1-FC16-44F3-A166-DFFC2C4CD2CD}" destId="{655D5D3B-5F05-4B07-92D0-ABB430835D7A}" srcOrd="0" destOrd="0" presId="urn:microsoft.com/office/officeart/2005/8/layout/orgChart1"/>
    <dgm:cxn modelId="{F0EF959B-7127-45DC-81AD-88EDDB5CAE5D}" type="presParOf" srcId="{F7DA25E1-FC16-44F3-A166-DFFC2C4CD2CD}" destId="{84B6B6AE-2521-4F40-A50E-16C8F67C7BCD}" srcOrd="1" destOrd="0" presId="urn:microsoft.com/office/officeart/2005/8/layout/orgChart1"/>
    <dgm:cxn modelId="{D52E3D3C-4856-456B-B337-A68C2216E3B7}" type="presParOf" srcId="{AF091232-62DA-44D2-98DB-6BBAF3E29C8B}" destId="{2B50B161-5028-4E54-8B06-82E117A41B20}" srcOrd="1" destOrd="0" presId="urn:microsoft.com/office/officeart/2005/8/layout/orgChart1"/>
    <dgm:cxn modelId="{D0239BDA-4AA0-4ABA-8D93-EB7311441FEC}" type="presParOf" srcId="{AF091232-62DA-44D2-98DB-6BBAF3E29C8B}" destId="{00F7C1CA-0BE1-4C3A-91FD-89CC1A316E69}" srcOrd="2" destOrd="0" presId="urn:microsoft.com/office/officeart/2005/8/layout/orgChart1"/>
    <dgm:cxn modelId="{0C5831D3-77EF-44E8-8CC9-FA04F1D7449C}" type="presParOf" srcId="{83CE982E-F103-429D-946E-6B8511EB4313}" destId="{E693772E-DB96-40BF-956B-024B7DB83379}" srcOrd="10" destOrd="0" presId="urn:microsoft.com/office/officeart/2005/8/layout/orgChart1"/>
    <dgm:cxn modelId="{D340E86F-891A-4843-9F80-FE08C9A15F9E}" type="presParOf" srcId="{83CE982E-F103-429D-946E-6B8511EB4313}" destId="{9461015C-918D-4626-85B6-B316BCDAE620}" srcOrd="11" destOrd="0" presId="urn:microsoft.com/office/officeart/2005/8/layout/orgChart1"/>
    <dgm:cxn modelId="{EBB9D788-FC40-43A3-8BD3-85FDF9F0D5BE}" type="presParOf" srcId="{9461015C-918D-4626-85B6-B316BCDAE620}" destId="{37657936-2E93-49BB-885C-2CDBB9702002}" srcOrd="0" destOrd="0" presId="urn:microsoft.com/office/officeart/2005/8/layout/orgChart1"/>
    <dgm:cxn modelId="{F9EF6C33-7C7B-4F5A-9E89-3EFB64B6DF78}" type="presParOf" srcId="{37657936-2E93-49BB-885C-2CDBB9702002}" destId="{D4B3515B-71C9-4AD3-BF0B-2C94DBAF5624}" srcOrd="0" destOrd="0" presId="urn:microsoft.com/office/officeart/2005/8/layout/orgChart1"/>
    <dgm:cxn modelId="{DF3C2EAC-39CC-4F8E-85C7-CD11B9EEA900}" type="presParOf" srcId="{37657936-2E93-49BB-885C-2CDBB9702002}" destId="{AF97EAB4-41D6-435B-89C3-92F0213AF69F}" srcOrd="1" destOrd="0" presId="urn:microsoft.com/office/officeart/2005/8/layout/orgChart1"/>
    <dgm:cxn modelId="{11ABA6B2-2998-4AB0-972E-D29933A3E542}" type="presParOf" srcId="{9461015C-918D-4626-85B6-B316BCDAE620}" destId="{8C7C095F-8B9A-4C41-A1DF-D0B48B134CBA}" srcOrd="1" destOrd="0" presId="urn:microsoft.com/office/officeart/2005/8/layout/orgChart1"/>
    <dgm:cxn modelId="{E88560A5-0CED-4998-B6D5-0622BD8F9561}" type="presParOf" srcId="{9461015C-918D-4626-85B6-B316BCDAE620}" destId="{D8A07FED-B1E6-4023-BF2F-1FCE879AA142}" srcOrd="2" destOrd="0" presId="urn:microsoft.com/office/officeart/2005/8/layout/orgChart1"/>
    <dgm:cxn modelId="{B6773C46-1F9C-401B-BF0F-94D9F9C5AD0E}" type="presParOf" srcId="{DDBF08E9-CAD0-47F6-B6EB-A0BE0D8337CF}" destId="{E79C75B5-35DD-4754-B5AC-94E2E3A22EAA}"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3772E-DB96-40BF-956B-024B7DB83379}">
      <dsp:nvSpPr>
        <dsp:cNvPr id="0" name=""/>
        <dsp:cNvSpPr/>
      </dsp:nvSpPr>
      <dsp:spPr>
        <a:xfrm>
          <a:off x="3028950" y="423162"/>
          <a:ext cx="2552926" cy="177227"/>
        </a:xfrm>
        <a:custGeom>
          <a:avLst/>
          <a:gdLst/>
          <a:ahLst/>
          <a:cxnLst/>
          <a:rect l="0" t="0" r="0" b="0"/>
          <a:pathLst>
            <a:path>
              <a:moveTo>
                <a:pt x="0" y="0"/>
              </a:moveTo>
              <a:lnTo>
                <a:pt x="0" y="88613"/>
              </a:lnTo>
              <a:lnTo>
                <a:pt x="2552926" y="88613"/>
              </a:lnTo>
              <a:lnTo>
                <a:pt x="2552926" y="1772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7246E2-2433-414F-94C4-623639289347}">
      <dsp:nvSpPr>
        <dsp:cNvPr id="0" name=""/>
        <dsp:cNvSpPr/>
      </dsp:nvSpPr>
      <dsp:spPr>
        <a:xfrm>
          <a:off x="3028950" y="423162"/>
          <a:ext cx="1207909" cy="3174415"/>
        </a:xfrm>
        <a:custGeom>
          <a:avLst/>
          <a:gdLst/>
          <a:ahLst/>
          <a:cxnLst/>
          <a:rect l="0" t="0" r="0" b="0"/>
          <a:pathLst>
            <a:path>
              <a:moveTo>
                <a:pt x="0" y="0"/>
              </a:moveTo>
              <a:lnTo>
                <a:pt x="0" y="3085801"/>
              </a:lnTo>
              <a:lnTo>
                <a:pt x="1207909" y="3085801"/>
              </a:lnTo>
              <a:lnTo>
                <a:pt x="1207909" y="317441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E6EE71-DCF0-4E18-AB52-5E5830E2BAE9}">
      <dsp:nvSpPr>
        <dsp:cNvPr id="0" name=""/>
        <dsp:cNvSpPr/>
      </dsp:nvSpPr>
      <dsp:spPr>
        <a:xfrm>
          <a:off x="3201958" y="1022362"/>
          <a:ext cx="126591" cy="987412"/>
        </a:xfrm>
        <a:custGeom>
          <a:avLst/>
          <a:gdLst/>
          <a:ahLst/>
          <a:cxnLst/>
          <a:rect l="0" t="0" r="0" b="0"/>
          <a:pathLst>
            <a:path>
              <a:moveTo>
                <a:pt x="0" y="0"/>
              </a:moveTo>
              <a:lnTo>
                <a:pt x="0" y="987412"/>
              </a:lnTo>
              <a:lnTo>
                <a:pt x="126591" y="9874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22BB5F-659B-465F-9C3D-CED887659D48}">
      <dsp:nvSpPr>
        <dsp:cNvPr id="0" name=""/>
        <dsp:cNvSpPr/>
      </dsp:nvSpPr>
      <dsp:spPr>
        <a:xfrm>
          <a:off x="3201958" y="1022362"/>
          <a:ext cx="126591" cy="388213"/>
        </a:xfrm>
        <a:custGeom>
          <a:avLst/>
          <a:gdLst/>
          <a:ahLst/>
          <a:cxnLst/>
          <a:rect l="0" t="0" r="0" b="0"/>
          <a:pathLst>
            <a:path>
              <a:moveTo>
                <a:pt x="0" y="0"/>
              </a:moveTo>
              <a:lnTo>
                <a:pt x="0" y="388213"/>
              </a:lnTo>
              <a:lnTo>
                <a:pt x="126591" y="3882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341026-501A-4E3A-B115-05C9D29FCE5B}">
      <dsp:nvSpPr>
        <dsp:cNvPr id="0" name=""/>
        <dsp:cNvSpPr/>
      </dsp:nvSpPr>
      <dsp:spPr>
        <a:xfrm>
          <a:off x="3028950" y="423162"/>
          <a:ext cx="510585" cy="177227"/>
        </a:xfrm>
        <a:custGeom>
          <a:avLst/>
          <a:gdLst/>
          <a:ahLst/>
          <a:cxnLst/>
          <a:rect l="0" t="0" r="0" b="0"/>
          <a:pathLst>
            <a:path>
              <a:moveTo>
                <a:pt x="0" y="0"/>
              </a:moveTo>
              <a:lnTo>
                <a:pt x="0" y="88613"/>
              </a:lnTo>
              <a:lnTo>
                <a:pt x="510585" y="88613"/>
              </a:lnTo>
              <a:lnTo>
                <a:pt x="510585" y="1772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CD4DC4-2BA4-4AC4-911C-21FA7BD1131A}">
      <dsp:nvSpPr>
        <dsp:cNvPr id="0" name=""/>
        <dsp:cNvSpPr/>
      </dsp:nvSpPr>
      <dsp:spPr>
        <a:xfrm>
          <a:off x="2518364" y="423162"/>
          <a:ext cx="510585" cy="177227"/>
        </a:xfrm>
        <a:custGeom>
          <a:avLst/>
          <a:gdLst/>
          <a:ahLst/>
          <a:cxnLst/>
          <a:rect l="0" t="0" r="0" b="0"/>
          <a:pathLst>
            <a:path>
              <a:moveTo>
                <a:pt x="510585" y="0"/>
              </a:moveTo>
              <a:lnTo>
                <a:pt x="510585" y="88613"/>
              </a:lnTo>
              <a:lnTo>
                <a:pt x="0" y="88613"/>
              </a:lnTo>
              <a:lnTo>
                <a:pt x="0" y="1772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DFD65E-CDB5-4675-8A68-7CA9D0EF3AF5}">
      <dsp:nvSpPr>
        <dsp:cNvPr id="0" name=""/>
        <dsp:cNvSpPr/>
      </dsp:nvSpPr>
      <dsp:spPr>
        <a:xfrm>
          <a:off x="1162925" y="1022362"/>
          <a:ext cx="123283" cy="2185811"/>
        </a:xfrm>
        <a:custGeom>
          <a:avLst/>
          <a:gdLst/>
          <a:ahLst/>
          <a:cxnLst/>
          <a:rect l="0" t="0" r="0" b="0"/>
          <a:pathLst>
            <a:path>
              <a:moveTo>
                <a:pt x="0" y="0"/>
              </a:moveTo>
              <a:lnTo>
                <a:pt x="0" y="2185811"/>
              </a:lnTo>
              <a:lnTo>
                <a:pt x="123283" y="21858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C9116F-77FE-4E16-A5F1-EC38E76AEFA0}">
      <dsp:nvSpPr>
        <dsp:cNvPr id="0" name=""/>
        <dsp:cNvSpPr/>
      </dsp:nvSpPr>
      <dsp:spPr>
        <a:xfrm>
          <a:off x="1162925" y="1022362"/>
          <a:ext cx="123283" cy="1586612"/>
        </a:xfrm>
        <a:custGeom>
          <a:avLst/>
          <a:gdLst/>
          <a:ahLst/>
          <a:cxnLst/>
          <a:rect l="0" t="0" r="0" b="0"/>
          <a:pathLst>
            <a:path>
              <a:moveTo>
                <a:pt x="0" y="0"/>
              </a:moveTo>
              <a:lnTo>
                <a:pt x="0" y="1586612"/>
              </a:lnTo>
              <a:lnTo>
                <a:pt x="123283" y="15866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3356C-9816-425C-9BCE-666E1432F33B}">
      <dsp:nvSpPr>
        <dsp:cNvPr id="0" name=""/>
        <dsp:cNvSpPr/>
      </dsp:nvSpPr>
      <dsp:spPr>
        <a:xfrm>
          <a:off x="1162925" y="1022362"/>
          <a:ext cx="123283" cy="987412"/>
        </a:xfrm>
        <a:custGeom>
          <a:avLst/>
          <a:gdLst/>
          <a:ahLst/>
          <a:cxnLst/>
          <a:rect l="0" t="0" r="0" b="0"/>
          <a:pathLst>
            <a:path>
              <a:moveTo>
                <a:pt x="0" y="0"/>
              </a:moveTo>
              <a:lnTo>
                <a:pt x="0" y="987412"/>
              </a:lnTo>
              <a:lnTo>
                <a:pt x="123283" y="9874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09A929-DAC0-43BB-AF4B-BAB130F3F94A}">
      <dsp:nvSpPr>
        <dsp:cNvPr id="0" name=""/>
        <dsp:cNvSpPr/>
      </dsp:nvSpPr>
      <dsp:spPr>
        <a:xfrm>
          <a:off x="1162925" y="1022362"/>
          <a:ext cx="123283" cy="388213"/>
        </a:xfrm>
        <a:custGeom>
          <a:avLst/>
          <a:gdLst/>
          <a:ahLst/>
          <a:cxnLst/>
          <a:rect l="0" t="0" r="0" b="0"/>
          <a:pathLst>
            <a:path>
              <a:moveTo>
                <a:pt x="0" y="0"/>
              </a:moveTo>
              <a:lnTo>
                <a:pt x="0" y="388213"/>
              </a:lnTo>
              <a:lnTo>
                <a:pt x="123283" y="3882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2BC183-68EB-48C9-8B38-5846DDF496EE}">
      <dsp:nvSpPr>
        <dsp:cNvPr id="0" name=""/>
        <dsp:cNvSpPr/>
      </dsp:nvSpPr>
      <dsp:spPr>
        <a:xfrm>
          <a:off x="1500502" y="423162"/>
          <a:ext cx="1528447" cy="177227"/>
        </a:xfrm>
        <a:custGeom>
          <a:avLst/>
          <a:gdLst/>
          <a:ahLst/>
          <a:cxnLst/>
          <a:rect l="0" t="0" r="0" b="0"/>
          <a:pathLst>
            <a:path>
              <a:moveTo>
                <a:pt x="1528447" y="0"/>
              </a:moveTo>
              <a:lnTo>
                <a:pt x="1528447" y="88613"/>
              </a:lnTo>
              <a:lnTo>
                <a:pt x="0" y="88613"/>
              </a:lnTo>
              <a:lnTo>
                <a:pt x="0" y="1772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D78689-46F9-4497-A13F-A1FE74F4B793}">
      <dsp:nvSpPr>
        <dsp:cNvPr id="0" name=""/>
        <dsp:cNvSpPr/>
      </dsp:nvSpPr>
      <dsp:spPr>
        <a:xfrm>
          <a:off x="138446" y="1022362"/>
          <a:ext cx="126591" cy="2785010"/>
        </a:xfrm>
        <a:custGeom>
          <a:avLst/>
          <a:gdLst/>
          <a:ahLst/>
          <a:cxnLst/>
          <a:rect l="0" t="0" r="0" b="0"/>
          <a:pathLst>
            <a:path>
              <a:moveTo>
                <a:pt x="0" y="0"/>
              </a:moveTo>
              <a:lnTo>
                <a:pt x="0" y="2785010"/>
              </a:lnTo>
              <a:lnTo>
                <a:pt x="126591" y="27850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15D36D-E854-4B6C-9F4C-C6AB37B49412}">
      <dsp:nvSpPr>
        <dsp:cNvPr id="0" name=""/>
        <dsp:cNvSpPr/>
      </dsp:nvSpPr>
      <dsp:spPr>
        <a:xfrm>
          <a:off x="138446" y="1022362"/>
          <a:ext cx="126591" cy="2185811"/>
        </a:xfrm>
        <a:custGeom>
          <a:avLst/>
          <a:gdLst/>
          <a:ahLst/>
          <a:cxnLst/>
          <a:rect l="0" t="0" r="0" b="0"/>
          <a:pathLst>
            <a:path>
              <a:moveTo>
                <a:pt x="0" y="0"/>
              </a:moveTo>
              <a:lnTo>
                <a:pt x="0" y="2185811"/>
              </a:lnTo>
              <a:lnTo>
                <a:pt x="126591" y="21858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1F1F39-6D3B-4C29-8F7E-95B41B403EC0}">
      <dsp:nvSpPr>
        <dsp:cNvPr id="0" name=""/>
        <dsp:cNvSpPr/>
      </dsp:nvSpPr>
      <dsp:spPr>
        <a:xfrm>
          <a:off x="138446" y="1022362"/>
          <a:ext cx="126591" cy="1586612"/>
        </a:xfrm>
        <a:custGeom>
          <a:avLst/>
          <a:gdLst/>
          <a:ahLst/>
          <a:cxnLst/>
          <a:rect l="0" t="0" r="0" b="0"/>
          <a:pathLst>
            <a:path>
              <a:moveTo>
                <a:pt x="0" y="0"/>
              </a:moveTo>
              <a:lnTo>
                <a:pt x="0" y="1586612"/>
              </a:lnTo>
              <a:lnTo>
                <a:pt x="126591" y="15866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B9721F-ABC6-4B40-8172-86EF74D1E315}">
      <dsp:nvSpPr>
        <dsp:cNvPr id="0" name=""/>
        <dsp:cNvSpPr/>
      </dsp:nvSpPr>
      <dsp:spPr>
        <a:xfrm>
          <a:off x="138446" y="1022362"/>
          <a:ext cx="126591" cy="987412"/>
        </a:xfrm>
        <a:custGeom>
          <a:avLst/>
          <a:gdLst/>
          <a:ahLst/>
          <a:cxnLst/>
          <a:rect l="0" t="0" r="0" b="0"/>
          <a:pathLst>
            <a:path>
              <a:moveTo>
                <a:pt x="0" y="0"/>
              </a:moveTo>
              <a:lnTo>
                <a:pt x="0" y="987412"/>
              </a:lnTo>
              <a:lnTo>
                <a:pt x="126591" y="9874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407230-D2DD-4102-B4CA-7270C485BCFE}">
      <dsp:nvSpPr>
        <dsp:cNvPr id="0" name=""/>
        <dsp:cNvSpPr/>
      </dsp:nvSpPr>
      <dsp:spPr>
        <a:xfrm>
          <a:off x="138446" y="1022362"/>
          <a:ext cx="126591" cy="388213"/>
        </a:xfrm>
        <a:custGeom>
          <a:avLst/>
          <a:gdLst/>
          <a:ahLst/>
          <a:cxnLst/>
          <a:rect l="0" t="0" r="0" b="0"/>
          <a:pathLst>
            <a:path>
              <a:moveTo>
                <a:pt x="0" y="0"/>
              </a:moveTo>
              <a:lnTo>
                <a:pt x="0" y="388213"/>
              </a:lnTo>
              <a:lnTo>
                <a:pt x="126591" y="3882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B887B-DB7D-4A47-9E09-0FC239DFEDAC}">
      <dsp:nvSpPr>
        <dsp:cNvPr id="0" name=""/>
        <dsp:cNvSpPr/>
      </dsp:nvSpPr>
      <dsp:spPr>
        <a:xfrm>
          <a:off x="476023" y="423162"/>
          <a:ext cx="2552926" cy="177227"/>
        </a:xfrm>
        <a:custGeom>
          <a:avLst/>
          <a:gdLst/>
          <a:ahLst/>
          <a:cxnLst/>
          <a:rect l="0" t="0" r="0" b="0"/>
          <a:pathLst>
            <a:path>
              <a:moveTo>
                <a:pt x="2552926" y="0"/>
              </a:moveTo>
              <a:lnTo>
                <a:pt x="2552926" y="88613"/>
              </a:lnTo>
              <a:lnTo>
                <a:pt x="0" y="88613"/>
              </a:lnTo>
              <a:lnTo>
                <a:pt x="0" y="1772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2C0CE5-0C96-4ADF-88EA-4FE75D2704E9}">
      <dsp:nvSpPr>
        <dsp:cNvPr id="0" name=""/>
        <dsp:cNvSpPr/>
      </dsp:nvSpPr>
      <dsp:spPr>
        <a:xfrm>
          <a:off x="2606978" y="1191"/>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General de la Asesoría Jurídica Federal </a:t>
          </a:r>
        </a:p>
      </dsp:txBody>
      <dsp:txXfrm>
        <a:off x="2606978" y="1191"/>
        <a:ext cx="843942" cy="421971"/>
      </dsp:txXfrm>
    </dsp:sp>
    <dsp:sp modelId="{5971197A-DF2D-4DE9-96AF-15D692B18336}">
      <dsp:nvSpPr>
        <dsp:cNvPr id="0" name=""/>
        <dsp:cNvSpPr/>
      </dsp:nvSpPr>
      <dsp:spPr>
        <a:xfrm>
          <a:off x="54052" y="6003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General Adjunta para la Atención a Víctimas del Delito</a:t>
          </a:r>
        </a:p>
      </dsp:txBody>
      <dsp:txXfrm>
        <a:off x="54052" y="600390"/>
        <a:ext cx="843942" cy="421971"/>
      </dsp:txXfrm>
    </dsp:sp>
    <dsp:sp modelId="{35DD5CFC-0638-46B3-9BFD-35C83FBC5EAB}">
      <dsp:nvSpPr>
        <dsp:cNvPr id="0" name=""/>
        <dsp:cNvSpPr/>
      </dsp:nvSpPr>
      <dsp:spPr>
        <a:xfrm>
          <a:off x="265037" y="11995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Secuestro</a:t>
          </a:r>
        </a:p>
      </dsp:txBody>
      <dsp:txXfrm>
        <a:off x="265037" y="1199590"/>
        <a:ext cx="843942" cy="421971"/>
      </dsp:txXfrm>
    </dsp:sp>
    <dsp:sp modelId="{DD2AD0C8-F261-46ED-A129-B1CAC45F2F1E}">
      <dsp:nvSpPr>
        <dsp:cNvPr id="0" name=""/>
        <dsp:cNvSpPr/>
      </dsp:nvSpPr>
      <dsp:spPr>
        <a:xfrm>
          <a:off x="265037" y="1798789"/>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Desaparición y Desaparición Forzada</a:t>
          </a:r>
        </a:p>
      </dsp:txBody>
      <dsp:txXfrm>
        <a:off x="265037" y="1798789"/>
        <a:ext cx="843942" cy="421971"/>
      </dsp:txXfrm>
    </dsp:sp>
    <dsp:sp modelId="{73FD6395-7899-402F-BA52-467B80440D36}">
      <dsp:nvSpPr>
        <dsp:cNvPr id="0" name=""/>
        <dsp:cNvSpPr/>
      </dsp:nvSpPr>
      <dsp:spPr>
        <a:xfrm>
          <a:off x="265037" y="2397988"/>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Género y Trata de Personas</a:t>
          </a:r>
        </a:p>
      </dsp:txBody>
      <dsp:txXfrm>
        <a:off x="265037" y="2397988"/>
        <a:ext cx="843942" cy="421971"/>
      </dsp:txXfrm>
    </dsp:sp>
    <dsp:sp modelId="{9CE2BF93-D8B6-49D9-B6C6-27DA0A9EEA85}">
      <dsp:nvSpPr>
        <dsp:cNvPr id="0" name=""/>
        <dsp:cNvSpPr/>
      </dsp:nvSpPr>
      <dsp:spPr>
        <a:xfrm>
          <a:off x="265037" y="2997187"/>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para la Atención de Delitos Diversos </a:t>
          </a:r>
        </a:p>
      </dsp:txBody>
      <dsp:txXfrm>
        <a:off x="265037" y="2997187"/>
        <a:ext cx="843942" cy="421971"/>
      </dsp:txXfrm>
    </dsp:sp>
    <dsp:sp modelId="{446DFADF-46EE-438A-8D85-48EA1E3B1A11}">
      <dsp:nvSpPr>
        <dsp:cNvPr id="0" name=""/>
        <dsp:cNvSpPr/>
      </dsp:nvSpPr>
      <dsp:spPr>
        <a:xfrm>
          <a:off x="265037" y="3596387"/>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de Análisis Forense</a:t>
          </a:r>
        </a:p>
      </dsp:txBody>
      <dsp:txXfrm>
        <a:off x="265037" y="3596387"/>
        <a:ext cx="843942" cy="421971"/>
      </dsp:txXfrm>
    </dsp:sp>
    <dsp:sp modelId="{BF222B15-39C3-49BA-A6BC-77B015763D13}">
      <dsp:nvSpPr>
        <dsp:cNvPr id="0" name=""/>
        <dsp:cNvSpPr/>
      </dsp:nvSpPr>
      <dsp:spPr>
        <a:xfrm>
          <a:off x="1078530" y="6003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General Adjunta para la Atención a Víctimas de Violaciones a Derechos Humanos </a:t>
          </a:r>
        </a:p>
      </dsp:txBody>
      <dsp:txXfrm>
        <a:off x="1078530" y="600390"/>
        <a:ext cx="843942" cy="421971"/>
      </dsp:txXfrm>
    </dsp:sp>
    <dsp:sp modelId="{A6278F32-7614-4678-B319-D17ED48EC82B}">
      <dsp:nvSpPr>
        <dsp:cNvPr id="0" name=""/>
        <dsp:cNvSpPr/>
      </dsp:nvSpPr>
      <dsp:spPr>
        <a:xfrm>
          <a:off x="1286208" y="11995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Tortura y Ejecuciones Extrajudiciales</a:t>
          </a:r>
        </a:p>
      </dsp:txBody>
      <dsp:txXfrm>
        <a:off x="1286208" y="1199590"/>
        <a:ext cx="843942" cy="421971"/>
      </dsp:txXfrm>
    </dsp:sp>
    <dsp:sp modelId="{9AD0FCED-2484-4B05-8AE0-4AAE80912282}">
      <dsp:nvSpPr>
        <dsp:cNvPr id="0" name=""/>
        <dsp:cNvSpPr/>
      </dsp:nvSpPr>
      <dsp:spPr>
        <a:xfrm>
          <a:off x="1286208" y="1798789"/>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Derechos Humanos</a:t>
          </a:r>
        </a:p>
      </dsp:txBody>
      <dsp:txXfrm>
        <a:off x="1286208" y="1798789"/>
        <a:ext cx="843942" cy="421971"/>
      </dsp:txXfrm>
    </dsp:sp>
    <dsp:sp modelId="{65821362-A0A5-4E59-B282-3D22961DDAA6}">
      <dsp:nvSpPr>
        <dsp:cNvPr id="0" name=""/>
        <dsp:cNvSpPr/>
      </dsp:nvSpPr>
      <dsp:spPr>
        <a:xfrm>
          <a:off x="1286208" y="2397988"/>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de Periodistas y Defensores de Derechos Humanos</a:t>
          </a:r>
        </a:p>
      </dsp:txBody>
      <dsp:txXfrm>
        <a:off x="1286208" y="2397988"/>
        <a:ext cx="843942" cy="421971"/>
      </dsp:txXfrm>
    </dsp:sp>
    <dsp:sp modelId="{F557AB6A-058F-4778-A225-CE561DA84CE4}">
      <dsp:nvSpPr>
        <dsp:cNvPr id="0" name=""/>
        <dsp:cNvSpPr/>
      </dsp:nvSpPr>
      <dsp:spPr>
        <a:xfrm>
          <a:off x="1286208" y="2997187"/>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Especializada en Materia en Grupos en Situación de Vulnerabilidad</a:t>
          </a:r>
        </a:p>
      </dsp:txBody>
      <dsp:txXfrm>
        <a:off x="1286208" y="2997187"/>
        <a:ext cx="843942" cy="421971"/>
      </dsp:txXfrm>
    </dsp:sp>
    <dsp:sp modelId="{364B62C8-0650-4D01-96DE-3401DE881B9A}">
      <dsp:nvSpPr>
        <dsp:cNvPr id="0" name=""/>
        <dsp:cNvSpPr/>
      </dsp:nvSpPr>
      <dsp:spPr>
        <a:xfrm>
          <a:off x="2096393" y="6003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de Información y Programas Especiales</a:t>
          </a:r>
        </a:p>
      </dsp:txBody>
      <dsp:txXfrm>
        <a:off x="2096393" y="600390"/>
        <a:ext cx="843942" cy="421971"/>
      </dsp:txXfrm>
    </dsp:sp>
    <dsp:sp modelId="{53DE5BA1-9E32-4415-833A-97554494031B}">
      <dsp:nvSpPr>
        <dsp:cNvPr id="0" name=""/>
        <dsp:cNvSpPr/>
      </dsp:nvSpPr>
      <dsp:spPr>
        <a:xfrm>
          <a:off x="3117563" y="6003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Dirección de área</a:t>
          </a:r>
        </a:p>
      </dsp:txBody>
      <dsp:txXfrm>
        <a:off x="3117563" y="600390"/>
        <a:ext cx="843942" cy="421971"/>
      </dsp:txXfrm>
    </dsp:sp>
    <dsp:sp modelId="{ACA3047A-F3A9-4704-B00E-50B49365A37F}">
      <dsp:nvSpPr>
        <dsp:cNvPr id="0" name=""/>
        <dsp:cNvSpPr/>
      </dsp:nvSpPr>
      <dsp:spPr>
        <a:xfrm>
          <a:off x="3328549" y="11995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Orientación Legal</a:t>
          </a:r>
        </a:p>
      </dsp:txBody>
      <dsp:txXfrm>
        <a:off x="3328549" y="1199590"/>
        <a:ext cx="843942" cy="421971"/>
      </dsp:txXfrm>
    </dsp:sp>
    <dsp:sp modelId="{071F5702-D31F-4302-A54C-D362AC575432}">
      <dsp:nvSpPr>
        <dsp:cNvPr id="0" name=""/>
        <dsp:cNvSpPr/>
      </dsp:nvSpPr>
      <dsp:spPr>
        <a:xfrm>
          <a:off x="3328549" y="1798789"/>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Control de  gestión</a:t>
          </a:r>
        </a:p>
      </dsp:txBody>
      <dsp:txXfrm>
        <a:off x="3328549" y="1798789"/>
        <a:ext cx="843942" cy="421971"/>
      </dsp:txXfrm>
    </dsp:sp>
    <dsp:sp modelId="{655D5D3B-5F05-4B07-92D0-ABB430835D7A}">
      <dsp:nvSpPr>
        <dsp:cNvPr id="0" name=""/>
        <dsp:cNvSpPr/>
      </dsp:nvSpPr>
      <dsp:spPr>
        <a:xfrm>
          <a:off x="3814888" y="3597578"/>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Traslados</a:t>
          </a:r>
        </a:p>
      </dsp:txBody>
      <dsp:txXfrm>
        <a:off x="3814888" y="3597578"/>
        <a:ext cx="843942" cy="421971"/>
      </dsp:txXfrm>
    </dsp:sp>
    <dsp:sp modelId="{D4B3515B-71C9-4AD3-BF0B-2C94DBAF5624}">
      <dsp:nvSpPr>
        <dsp:cNvPr id="0" name=""/>
        <dsp:cNvSpPr/>
      </dsp:nvSpPr>
      <dsp:spPr>
        <a:xfrm>
          <a:off x="5159905" y="600390"/>
          <a:ext cx="843942" cy="4219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s-ES" sz="600" kern="1200"/>
            <a:t>Medidas de ayuda</a:t>
          </a:r>
        </a:p>
      </dsp:txBody>
      <dsp:txXfrm>
        <a:off x="5159905" y="600390"/>
        <a:ext cx="843942" cy="42197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32F605-D9AA-4E11-8BA7-F3AB36441F8F}"/>
</file>

<file path=customXml/itemProps2.xml><?xml version="1.0" encoding="utf-8"?>
<ds:datastoreItem xmlns:ds="http://schemas.openxmlformats.org/officeDocument/2006/customXml" ds:itemID="{03CE6F20-1902-489B-AF5B-3ACCACF21764}"/>
</file>

<file path=customXml/itemProps3.xml><?xml version="1.0" encoding="utf-8"?>
<ds:datastoreItem xmlns:ds="http://schemas.openxmlformats.org/officeDocument/2006/customXml" ds:itemID="{DA557E04-8B1B-436C-8324-CAE7032DA67E}"/>
</file>

<file path=docProps/app.xml><?xml version="1.0" encoding="utf-8"?>
<Properties xmlns="http://schemas.openxmlformats.org/officeDocument/2006/extended-properties" xmlns:vt="http://schemas.openxmlformats.org/officeDocument/2006/docPropsVTypes">
  <Template>Normal.dotm</Template>
  <TotalTime>1</TotalTime>
  <Pages>31</Pages>
  <Words>10872</Words>
  <Characters>61972</Characters>
  <Application>Microsoft Office Word</Application>
  <DocSecurity>0</DocSecurity>
  <Lines>516</Lines>
  <Paragraphs>145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72699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Lavalle Arroyo, Ana Paula</dc:creator>
  <cp:keywords/>
  <dc:description/>
  <cp:lastModifiedBy>Diego Ruiz</cp:lastModifiedBy>
  <cp:revision>3</cp:revision>
  <dcterms:created xsi:type="dcterms:W3CDTF">2019-04-30T14:41:00Z</dcterms:created>
  <dcterms:modified xsi:type="dcterms:W3CDTF">2019-05-02T15:53:00Z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