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8828"/>
      </w:tblGrid>
      <w:tr w:rsidR="00E8613C" w:rsidRPr="00E8613C" w14:paraId="6E1ADD49" w14:textId="77777777" w:rsidTr="00FA4049">
        <w:tc>
          <w:tcPr>
            <w:tcW w:w="8828" w:type="dxa"/>
            <w:shd w:val="clear" w:color="auto" w:fill="82ABFE"/>
          </w:tcPr>
          <w:p w14:paraId="189A6D37" w14:textId="77777777" w:rsidR="00E8613C" w:rsidRPr="00E8613C" w:rsidRDefault="00E8613C" w:rsidP="00E8613C">
            <w:pPr>
              <w:tabs>
                <w:tab w:val="left" w:pos="3480"/>
                <w:tab w:val="center" w:pos="4419"/>
              </w:tabs>
              <w:jc w:val="center"/>
              <w:rPr>
                <w:rFonts w:ascii="Arial" w:eastAsia="Times New Roman" w:hAnsi="Arial" w:cs="Arial"/>
              </w:rPr>
            </w:pPr>
            <w:r w:rsidRPr="00E8613C">
              <w:rPr>
                <w:rFonts w:ascii="Arial" w:eastAsia="Times New Roman" w:hAnsi="Arial" w:cs="Arial"/>
                <w:color w:val="000000"/>
              </w:rPr>
              <w:t>Informe sombra</w:t>
            </w:r>
          </w:p>
          <w:p w14:paraId="775C86DB" w14:textId="70CFD20C" w:rsidR="00E8613C" w:rsidRPr="00E8613C" w:rsidRDefault="00B31711" w:rsidP="00E8613C">
            <w:pPr>
              <w:jc w:val="center"/>
              <w:rPr>
                <w:rFonts w:ascii="Arial" w:eastAsia="Times New Roman" w:hAnsi="Arial" w:cs="Arial"/>
                <w:b/>
                <w:bCs/>
                <w:sz w:val="28"/>
                <w:szCs w:val="28"/>
              </w:rPr>
            </w:pPr>
            <w:r>
              <w:rPr>
                <w:rFonts w:ascii="Arial" w:eastAsia="Times New Roman" w:hAnsi="Arial" w:cs="Arial"/>
                <w:b/>
                <w:bCs/>
                <w:sz w:val="28"/>
                <w:szCs w:val="28"/>
              </w:rPr>
              <w:t xml:space="preserve">Prácticas nocivas: </w:t>
            </w:r>
            <w:r w:rsidR="0010680C">
              <w:rPr>
                <w:rFonts w:ascii="Arial" w:eastAsia="Times New Roman" w:hAnsi="Arial" w:cs="Arial"/>
                <w:b/>
                <w:bCs/>
                <w:sz w:val="28"/>
                <w:szCs w:val="28"/>
              </w:rPr>
              <w:t>m</w:t>
            </w:r>
            <w:r w:rsidR="00E8613C" w:rsidRPr="00E8613C">
              <w:rPr>
                <w:rFonts w:ascii="Arial" w:eastAsia="Times New Roman" w:hAnsi="Arial" w:cs="Arial"/>
                <w:b/>
                <w:bCs/>
                <w:sz w:val="28"/>
                <w:szCs w:val="28"/>
              </w:rPr>
              <w:t>atrimonio, embarazo y venta de niñas y adolescentes</w:t>
            </w:r>
          </w:p>
          <w:p w14:paraId="33AE8262" w14:textId="77777777" w:rsidR="00E8613C" w:rsidRPr="00E8613C" w:rsidRDefault="00E8613C" w:rsidP="00E8613C">
            <w:pPr>
              <w:jc w:val="center"/>
              <w:rPr>
                <w:rFonts w:ascii="Arial" w:eastAsia="Times New Roman" w:hAnsi="Arial" w:cs="Arial"/>
              </w:rPr>
            </w:pPr>
          </w:p>
          <w:p w14:paraId="48CCC923" w14:textId="77777777" w:rsidR="00E8613C" w:rsidRPr="00E8613C" w:rsidRDefault="00E8613C" w:rsidP="00E8613C">
            <w:pPr>
              <w:jc w:val="center"/>
              <w:rPr>
                <w:rFonts w:ascii="Times New Roman" w:eastAsia="Times New Roman" w:hAnsi="Times New Roman"/>
              </w:rPr>
            </w:pPr>
            <w:r w:rsidRPr="00E8613C">
              <w:rPr>
                <w:rFonts w:ascii="Arial" w:eastAsia="Times New Roman" w:hAnsi="Arial" w:cs="Arial"/>
                <w:color w:val="000000"/>
              </w:rPr>
              <w:t>En seguimiento de las recomendaciones del Comité CEDAW al Estado Mexicano en ocasión del X informe de México</w:t>
            </w:r>
            <w:r w:rsidRPr="00E8613C">
              <w:rPr>
                <w:rFonts w:ascii="Calibri" w:eastAsia="Times New Roman" w:hAnsi="Calibri" w:cs="Calibri"/>
                <w:color w:val="000000"/>
              </w:rPr>
              <w:t>.</w:t>
            </w:r>
          </w:p>
          <w:p w14:paraId="734D0DE4" w14:textId="77777777" w:rsidR="00E8613C" w:rsidRPr="00E8613C" w:rsidRDefault="00E8613C" w:rsidP="00E8613C">
            <w:pPr>
              <w:tabs>
                <w:tab w:val="left" w:pos="3480"/>
                <w:tab w:val="center" w:pos="4419"/>
              </w:tabs>
              <w:rPr>
                <w:rFonts w:ascii="Calibri" w:eastAsia="Times New Roman" w:hAnsi="Calibri" w:cs="Calibri"/>
                <w:color w:val="000000"/>
              </w:rPr>
            </w:pPr>
          </w:p>
        </w:tc>
      </w:tr>
    </w:tbl>
    <w:p w14:paraId="7B2B1E18" w14:textId="20D2EF82" w:rsidR="00E8613C" w:rsidRPr="0062443A" w:rsidRDefault="00E8613C" w:rsidP="0062443A">
      <w:pPr>
        <w:tabs>
          <w:tab w:val="left" w:pos="3480"/>
          <w:tab w:val="center" w:pos="4419"/>
        </w:tabs>
        <w:spacing w:after="0" w:line="240" w:lineRule="auto"/>
        <w:rPr>
          <w:rFonts w:ascii="Calibri" w:eastAsia="Times New Roman" w:hAnsi="Calibri" w:cs="Calibri"/>
          <w:color w:val="000000"/>
        </w:rPr>
      </w:pPr>
      <w:r w:rsidRPr="00E8613C">
        <w:rPr>
          <w:rFonts w:ascii="Calibri" w:eastAsia="Times New Roman" w:hAnsi="Calibri" w:cs="Calibri"/>
          <w:color w:val="000000"/>
        </w:rPr>
        <w:tab/>
      </w:r>
    </w:p>
    <w:p w14:paraId="58AA4A83" w14:textId="69C30F34" w:rsidR="00E8613C" w:rsidRPr="00E8613C" w:rsidRDefault="00E8613C" w:rsidP="00E8613C">
      <w:pPr>
        <w:spacing w:line="276" w:lineRule="auto"/>
        <w:jc w:val="both"/>
        <w:rPr>
          <w:rFonts w:ascii="Arial" w:eastAsia="Times New Roman" w:hAnsi="Arial" w:cs="Arial"/>
        </w:rPr>
      </w:pPr>
      <w:r w:rsidRPr="00E8613C">
        <w:rPr>
          <w:rFonts w:ascii="Arial" w:eastAsia="Times New Roman" w:hAnsi="Arial" w:cs="Arial"/>
          <w:b/>
          <w:bCs/>
          <w:color w:val="000000"/>
        </w:rPr>
        <w:t>Este documento puede ser publicado en la página web del ACNUDH relativa a la CEDAW con fines de divulgación pública</w:t>
      </w:r>
    </w:p>
    <w:p w14:paraId="17F961ED" w14:textId="77777777" w:rsidR="00E8613C" w:rsidRPr="00E8613C" w:rsidRDefault="00E8613C" w:rsidP="00E8613C">
      <w:pPr>
        <w:spacing w:after="0" w:line="276" w:lineRule="auto"/>
        <w:jc w:val="both"/>
        <w:rPr>
          <w:rFonts w:ascii="Arial" w:eastAsia="Times New Roman" w:hAnsi="Arial" w:cs="Arial"/>
        </w:rPr>
      </w:pPr>
    </w:p>
    <w:p w14:paraId="3236990B" w14:textId="280AB323" w:rsidR="00B31711" w:rsidRPr="00E8613C" w:rsidRDefault="00E8613C" w:rsidP="00B31711">
      <w:pPr>
        <w:spacing w:line="276" w:lineRule="auto"/>
        <w:ind w:firstLine="720"/>
        <w:jc w:val="both"/>
        <w:rPr>
          <w:rFonts w:ascii="Arial" w:eastAsia="Times New Roman" w:hAnsi="Arial" w:cs="Arial"/>
          <w:color w:val="000000"/>
        </w:rPr>
      </w:pPr>
      <w:bookmarkStart w:id="0" w:name="OLE_LINK8"/>
      <w:r w:rsidRPr="00E8613C">
        <w:rPr>
          <w:rFonts w:ascii="Arial" w:eastAsia="Times New Roman" w:hAnsi="Arial" w:cs="Arial"/>
          <w:color w:val="000000"/>
        </w:rPr>
        <w:t xml:space="preserve">El presente informe lo envía </w:t>
      </w:r>
      <w:r w:rsidR="00B31711">
        <w:rPr>
          <w:rFonts w:ascii="Arial" w:eastAsia="Times New Roman" w:hAnsi="Arial" w:cs="Arial"/>
          <w:color w:val="000000"/>
        </w:rPr>
        <w:t>la Federación Mexicana de Universitarias A.C. y el Museo de la Mujer, en Coalición con la Red de Profesoras e Investigadoras de Derechos Humanos de México, la Comisión de Género y Derechos Humanos</w:t>
      </w:r>
      <w:r w:rsidR="0010680C">
        <w:rPr>
          <w:rFonts w:ascii="Arial" w:eastAsia="Times New Roman" w:hAnsi="Arial" w:cs="Arial"/>
          <w:color w:val="000000"/>
        </w:rPr>
        <w:t xml:space="preserve"> </w:t>
      </w:r>
      <w:r w:rsidR="001B7C75">
        <w:rPr>
          <w:rFonts w:ascii="Arial" w:eastAsia="Times New Roman" w:hAnsi="Arial" w:cs="Arial"/>
          <w:color w:val="000000"/>
        </w:rPr>
        <w:t>(</w:t>
      </w:r>
      <w:r w:rsidR="0030053C">
        <w:rPr>
          <w:rFonts w:ascii="Arial" w:eastAsia="Times New Roman" w:hAnsi="Arial" w:cs="Arial"/>
          <w:color w:val="000000"/>
        </w:rPr>
        <w:t>FCPyS) y la</w:t>
      </w:r>
      <w:bookmarkStart w:id="1" w:name="_GoBack"/>
      <w:bookmarkEnd w:id="1"/>
      <w:r w:rsidR="00B31711">
        <w:rPr>
          <w:rFonts w:ascii="Arial" w:eastAsia="Times New Roman" w:hAnsi="Arial" w:cs="Arial"/>
          <w:color w:val="000000"/>
        </w:rPr>
        <w:t xml:space="preserve"> </w:t>
      </w:r>
      <w:r w:rsidR="00B31711" w:rsidRPr="00E8613C">
        <w:rPr>
          <w:rFonts w:ascii="Arial" w:eastAsia="Times New Roman" w:hAnsi="Arial" w:cs="Arial"/>
          <w:color w:val="000000"/>
        </w:rPr>
        <w:t>Cátedra UNESCO de Derechos Humanos de la UNAM.</w:t>
      </w:r>
    </w:p>
    <w:bookmarkEnd w:id="0"/>
    <w:p w14:paraId="762BEFAE" w14:textId="77777777" w:rsidR="00E8613C" w:rsidRPr="00E8613C" w:rsidRDefault="00E8613C" w:rsidP="00E8613C">
      <w:pPr>
        <w:spacing w:line="276" w:lineRule="auto"/>
        <w:ind w:firstLine="720"/>
        <w:jc w:val="both"/>
        <w:rPr>
          <w:rFonts w:ascii="Arial" w:eastAsia="Times New Roman" w:hAnsi="Arial" w:cs="Arial"/>
          <w:color w:val="000000"/>
        </w:rPr>
      </w:pPr>
    </w:p>
    <w:p w14:paraId="0E96CAEB" w14:textId="5E2E34F2" w:rsidR="00E8613C" w:rsidRPr="00686821" w:rsidRDefault="00E8613C" w:rsidP="00B31711">
      <w:pPr>
        <w:spacing w:line="276" w:lineRule="auto"/>
        <w:jc w:val="both"/>
        <w:rPr>
          <w:rFonts w:ascii="Arial" w:eastAsia="Times New Roman" w:hAnsi="Arial" w:cs="Arial"/>
          <w:color w:val="000000"/>
        </w:rPr>
      </w:pPr>
      <w:r w:rsidRPr="00E8613C">
        <w:rPr>
          <w:rFonts w:ascii="Arial" w:eastAsia="Times New Roman" w:hAnsi="Arial" w:cs="Arial"/>
          <w:color w:val="000000"/>
        </w:rPr>
        <w:t>Coordinación: Gloria Ramírez</w:t>
      </w:r>
      <w:r w:rsidR="00B31711">
        <w:rPr>
          <w:rFonts w:ascii="Arial" w:eastAsia="Times New Roman" w:hAnsi="Arial" w:cs="Arial"/>
          <w:color w:val="000000"/>
        </w:rPr>
        <w:t xml:space="preserve">. </w:t>
      </w:r>
      <w:r w:rsidRPr="00E8613C">
        <w:rPr>
          <w:rFonts w:ascii="Arial" w:eastAsia="Times New Roman" w:hAnsi="Arial" w:cs="Arial"/>
          <w:color w:val="000000"/>
        </w:rPr>
        <w:t>(CUDH-UNAM),</w:t>
      </w:r>
      <w:r w:rsidR="008C2A1A">
        <w:rPr>
          <w:rFonts w:ascii="Arial" w:eastAsia="Times New Roman" w:hAnsi="Arial" w:cs="Arial"/>
          <w:color w:val="000000"/>
        </w:rPr>
        <w:t xml:space="preserve"> </w:t>
      </w:r>
    </w:p>
    <w:p w14:paraId="49F351A4" w14:textId="742BB523" w:rsidR="00E8613C" w:rsidRPr="00E8613C" w:rsidRDefault="00E8613C" w:rsidP="00B31711">
      <w:pPr>
        <w:spacing w:line="276" w:lineRule="auto"/>
        <w:jc w:val="both"/>
        <w:rPr>
          <w:rFonts w:ascii="Arial" w:eastAsia="Times New Roman" w:hAnsi="Arial" w:cs="Arial"/>
          <w:color w:val="000000"/>
        </w:rPr>
      </w:pPr>
      <w:r w:rsidRPr="00E8613C">
        <w:rPr>
          <w:rFonts w:ascii="Arial" w:eastAsia="Times New Roman" w:hAnsi="Arial" w:cs="Arial"/>
          <w:color w:val="000000"/>
        </w:rPr>
        <w:t>Con la participación de: Azucena Enríquez</w:t>
      </w:r>
      <w:r w:rsidR="00D27F7D">
        <w:rPr>
          <w:rFonts w:ascii="Arial" w:eastAsia="Times New Roman" w:hAnsi="Arial" w:cs="Arial"/>
          <w:color w:val="000000"/>
        </w:rPr>
        <w:t xml:space="preserve"> García</w:t>
      </w:r>
      <w:r w:rsidR="00B31711">
        <w:rPr>
          <w:rFonts w:ascii="Arial" w:eastAsia="Times New Roman" w:hAnsi="Arial" w:cs="Arial"/>
          <w:color w:val="000000"/>
        </w:rPr>
        <w:t xml:space="preserve">, </w:t>
      </w:r>
      <w:r w:rsidR="0010680C">
        <w:rPr>
          <w:rFonts w:ascii="Arial" w:eastAsia="Times New Roman" w:hAnsi="Arial" w:cs="Arial"/>
          <w:color w:val="000000"/>
        </w:rPr>
        <w:t>Ma</w:t>
      </w:r>
      <w:r w:rsidR="00C9166B">
        <w:rPr>
          <w:rFonts w:ascii="Arial" w:eastAsia="Times New Roman" w:hAnsi="Arial" w:cs="Arial"/>
          <w:color w:val="000000"/>
        </w:rPr>
        <w:t>ría</w:t>
      </w:r>
      <w:r w:rsidR="0010680C">
        <w:rPr>
          <w:rFonts w:ascii="Arial" w:eastAsia="Times New Roman" w:hAnsi="Arial" w:cs="Arial"/>
          <w:color w:val="000000"/>
        </w:rPr>
        <w:t xml:space="preserve"> de los </w:t>
      </w:r>
      <w:proofErr w:type="spellStart"/>
      <w:r w:rsidR="0010680C">
        <w:rPr>
          <w:rFonts w:ascii="Arial" w:eastAsia="Times New Roman" w:hAnsi="Arial" w:cs="Arial"/>
          <w:color w:val="000000"/>
        </w:rPr>
        <w:t>Angeles</w:t>
      </w:r>
      <w:proofErr w:type="spellEnd"/>
      <w:r w:rsidR="0010680C">
        <w:rPr>
          <w:rFonts w:ascii="Arial" w:eastAsia="Times New Roman" w:hAnsi="Arial" w:cs="Arial"/>
          <w:color w:val="000000"/>
        </w:rPr>
        <w:t xml:space="preserve"> Manzano, </w:t>
      </w:r>
      <w:r w:rsidR="008C2A1A" w:rsidRPr="008C2A1A">
        <w:rPr>
          <w:rFonts w:ascii="Arial" w:eastAsia="Times New Roman" w:hAnsi="Arial" w:cs="Arial"/>
          <w:color w:val="000000"/>
        </w:rPr>
        <w:t xml:space="preserve">Luz María Lamadrid </w:t>
      </w:r>
      <w:proofErr w:type="spellStart"/>
      <w:r w:rsidR="008C2A1A" w:rsidRPr="008C2A1A">
        <w:rPr>
          <w:rFonts w:ascii="Arial" w:eastAsia="Times New Roman" w:hAnsi="Arial" w:cs="Arial"/>
          <w:color w:val="000000"/>
        </w:rPr>
        <w:t>Santoscoy</w:t>
      </w:r>
      <w:proofErr w:type="spellEnd"/>
      <w:r w:rsidR="006571AA">
        <w:rPr>
          <w:rFonts w:ascii="Arial" w:eastAsia="Times New Roman" w:hAnsi="Arial" w:cs="Arial"/>
          <w:color w:val="000000"/>
        </w:rPr>
        <w:t>,</w:t>
      </w:r>
      <w:r w:rsidR="00B31711">
        <w:rPr>
          <w:rFonts w:ascii="Arial" w:eastAsia="Times New Roman" w:hAnsi="Arial" w:cs="Arial"/>
          <w:color w:val="000000"/>
        </w:rPr>
        <w:t xml:space="preserve"> </w:t>
      </w:r>
      <w:r w:rsidR="00B31711" w:rsidRPr="00C9166B">
        <w:rPr>
          <w:rFonts w:ascii="Arial" w:eastAsia="Times New Roman" w:hAnsi="Arial" w:cs="Arial"/>
          <w:color w:val="000000"/>
        </w:rPr>
        <w:t xml:space="preserve">Jessica Hernández </w:t>
      </w:r>
      <w:proofErr w:type="spellStart"/>
      <w:r w:rsidR="0062443A" w:rsidRPr="00C9166B">
        <w:rPr>
          <w:rFonts w:ascii="Arial" w:eastAsia="Times New Roman" w:hAnsi="Arial" w:cs="Arial"/>
          <w:color w:val="000000"/>
        </w:rPr>
        <w:t>Narcizo</w:t>
      </w:r>
      <w:proofErr w:type="spellEnd"/>
      <w:r w:rsidR="006571AA">
        <w:rPr>
          <w:rFonts w:ascii="Arial" w:eastAsia="Times New Roman" w:hAnsi="Arial" w:cs="Arial"/>
          <w:color w:val="000000"/>
        </w:rPr>
        <w:t>,</w:t>
      </w:r>
      <w:r w:rsidR="00C9166B">
        <w:rPr>
          <w:rFonts w:ascii="Arial" w:eastAsia="Times New Roman" w:hAnsi="Arial" w:cs="Arial"/>
          <w:color w:val="000000"/>
        </w:rPr>
        <w:t xml:space="preserve"> </w:t>
      </w:r>
      <w:r w:rsidR="00C9166B" w:rsidRPr="00C9166B">
        <w:rPr>
          <w:rFonts w:ascii="Arial" w:eastAsia="Times New Roman" w:hAnsi="Arial" w:cs="Arial"/>
          <w:color w:val="000000"/>
        </w:rPr>
        <w:t>Valeria Fernanda Dorantes Romero</w:t>
      </w:r>
      <w:r w:rsidR="00B31711" w:rsidRPr="00C9166B">
        <w:rPr>
          <w:rFonts w:ascii="Arial" w:eastAsia="Times New Roman" w:hAnsi="Arial" w:cs="Arial"/>
          <w:color w:val="000000"/>
        </w:rPr>
        <w:t xml:space="preserve"> </w:t>
      </w:r>
      <w:r w:rsidR="00C9166B">
        <w:rPr>
          <w:rFonts w:ascii="Arial" w:eastAsia="Times New Roman" w:hAnsi="Arial" w:cs="Arial"/>
          <w:color w:val="000000"/>
        </w:rPr>
        <w:t xml:space="preserve">y Fernando Reyes </w:t>
      </w:r>
      <w:r w:rsidR="00B31711" w:rsidRPr="00C9166B">
        <w:rPr>
          <w:rFonts w:ascii="Arial" w:eastAsia="Times New Roman" w:hAnsi="Arial" w:cs="Arial"/>
          <w:color w:val="000000"/>
        </w:rPr>
        <w:t>becarias</w:t>
      </w:r>
      <w:r w:rsidR="00B31711">
        <w:rPr>
          <w:rFonts w:ascii="Arial" w:eastAsia="Times New Roman" w:hAnsi="Arial" w:cs="Arial"/>
          <w:color w:val="000000"/>
        </w:rPr>
        <w:t xml:space="preserve"> de la CUDH</w:t>
      </w:r>
      <w:r w:rsidR="00D27F7D">
        <w:rPr>
          <w:rFonts w:ascii="Arial" w:eastAsia="Times New Roman" w:hAnsi="Arial" w:cs="Arial"/>
          <w:color w:val="000000"/>
        </w:rPr>
        <w:t>.</w:t>
      </w:r>
    </w:p>
    <w:p w14:paraId="168FEA3B" w14:textId="77777777" w:rsidR="00E8613C" w:rsidRPr="00686821" w:rsidRDefault="00E8613C" w:rsidP="00E8613C">
      <w:pPr>
        <w:spacing w:line="276" w:lineRule="auto"/>
        <w:ind w:firstLine="720"/>
        <w:jc w:val="both"/>
        <w:rPr>
          <w:rFonts w:ascii="Arial" w:eastAsia="Times New Roman" w:hAnsi="Arial" w:cs="Arial"/>
          <w:color w:val="000000"/>
        </w:rPr>
      </w:pPr>
    </w:p>
    <w:p w14:paraId="00A68D0F" w14:textId="77777777" w:rsidR="00686821" w:rsidRPr="00E8613C" w:rsidRDefault="00686821" w:rsidP="00E8613C">
      <w:pPr>
        <w:spacing w:line="276" w:lineRule="auto"/>
        <w:ind w:firstLine="720"/>
        <w:jc w:val="both"/>
        <w:rPr>
          <w:rFonts w:ascii="Arial" w:eastAsia="Times New Roman" w:hAnsi="Arial" w:cs="Arial"/>
          <w:color w:val="000000"/>
        </w:rPr>
      </w:pPr>
    </w:p>
    <w:p w14:paraId="2A199142" w14:textId="77777777" w:rsidR="00E8613C" w:rsidRPr="00E8613C" w:rsidRDefault="00E8613C" w:rsidP="00E8613C">
      <w:pPr>
        <w:spacing w:before="200" w:line="276" w:lineRule="auto"/>
        <w:jc w:val="both"/>
        <w:rPr>
          <w:rFonts w:ascii="Arial" w:hAnsi="Arial" w:cs="Arial"/>
          <w:kern w:val="2"/>
          <w:lang w:val="es-419"/>
          <w14:ligatures w14:val="standardContextual"/>
        </w:rPr>
      </w:pPr>
      <w:r w:rsidRPr="00E8613C">
        <w:rPr>
          <w:rFonts w:ascii="Arial" w:hAnsi="Arial" w:cs="Arial"/>
          <w:kern w:val="2"/>
          <w:lang w:val="es-419"/>
          <w14:ligatures w14:val="standardContextual"/>
        </w:rPr>
        <w:t>Comunicación: cedawciudadanas@gmail.com</w:t>
      </w:r>
    </w:p>
    <w:p w14:paraId="29B7FF46" w14:textId="77777777" w:rsidR="00686821" w:rsidRDefault="00686821" w:rsidP="00E8613C">
      <w:pPr>
        <w:spacing w:line="276" w:lineRule="auto"/>
        <w:jc w:val="both"/>
        <w:rPr>
          <w:rFonts w:ascii="Arial" w:eastAsia="Times New Roman" w:hAnsi="Arial" w:cs="Arial"/>
          <w:sz w:val="22"/>
          <w:szCs w:val="22"/>
        </w:rPr>
      </w:pPr>
    </w:p>
    <w:p w14:paraId="2D54C73E" w14:textId="77777777" w:rsidR="00686821" w:rsidRDefault="00686821" w:rsidP="00E8613C">
      <w:pPr>
        <w:spacing w:line="276" w:lineRule="auto"/>
        <w:jc w:val="both"/>
        <w:rPr>
          <w:rFonts w:ascii="Arial" w:eastAsia="Times New Roman" w:hAnsi="Arial" w:cs="Arial"/>
          <w:sz w:val="22"/>
          <w:szCs w:val="22"/>
        </w:rPr>
      </w:pPr>
    </w:p>
    <w:p w14:paraId="5FD7188A" w14:textId="77777777" w:rsidR="00686821" w:rsidRDefault="00686821" w:rsidP="00E8613C">
      <w:pPr>
        <w:spacing w:line="276" w:lineRule="auto"/>
        <w:jc w:val="both"/>
        <w:rPr>
          <w:rFonts w:ascii="Arial" w:eastAsia="Times New Roman" w:hAnsi="Arial" w:cs="Arial"/>
          <w:sz w:val="22"/>
          <w:szCs w:val="22"/>
        </w:rPr>
      </w:pPr>
    </w:p>
    <w:p w14:paraId="64C7A7D8" w14:textId="77777777" w:rsidR="00686821" w:rsidRDefault="00686821" w:rsidP="00E8613C">
      <w:pPr>
        <w:spacing w:line="276" w:lineRule="auto"/>
        <w:jc w:val="both"/>
        <w:rPr>
          <w:rFonts w:ascii="Arial" w:eastAsia="Times New Roman" w:hAnsi="Arial" w:cs="Arial"/>
          <w:sz w:val="22"/>
          <w:szCs w:val="22"/>
        </w:rPr>
      </w:pPr>
    </w:p>
    <w:p w14:paraId="44C81A30" w14:textId="0DF0D73A" w:rsidR="001845FD" w:rsidRDefault="00686821" w:rsidP="00686821">
      <w:pPr>
        <w:spacing w:line="276" w:lineRule="auto"/>
        <w:jc w:val="center"/>
        <w:rPr>
          <w:rFonts w:ascii="Arial" w:eastAsia="Times New Roman" w:hAnsi="Arial" w:cs="Arial"/>
        </w:rPr>
      </w:pPr>
      <w:r w:rsidRPr="00686821">
        <w:rPr>
          <w:rFonts w:ascii="Arial" w:eastAsia="Times New Roman" w:hAnsi="Arial" w:cs="Arial"/>
        </w:rPr>
        <w:t>Con apoyo del Proyecto PAPIIT IN302023 “25 años de informes ante la CEDAW en México. Balance, evaluación, resultados y avances”</w:t>
      </w:r>
    </w:p>
    <w:p w14:paraId="6B7D7E7F" w14:textId="77777777" w:rsidR="001845FD" w:rsidRDefault="001845FD" w:rsidP="00686821">
      <w:pPr>
        <w:spacing w:line="276" w:lineRule="auto"/>
        <w:jc w:val="center"/>
        <w:rPr>
          <w:rFonts w:ascii="Arial" w:eastAsia="Times New Roman" w:hAnsi="Arial" w:cs="Arial"/>
        </w:rPr>
      </w:pPr>
    </w:p>
    <w:p w14:paraId="6C0E12CF" w14:textId="4BA18179" w:rsidR="00D34ED4" w:rsidRPr="00E8613C" w:rsidRDefault="001845FD" w:rsidP="00686821">
      <w:pPr>
        <w:spacing w:line="276" w:lineRule="auto"/>
        <w:jc w:val="center"/>
        <w:rPr>
          <w:rFonts w:ascii="Arial" w:eastAsia="Times New Roman" w:hAnsi="Arial" w:cs="Arial"/>
          <w:sz w:val="22"/>
          <w:szCs w:val="22"/>
        </w:rPr>
      </w:pPr>
      <w:r w:rsidRPr="005E2E46">
        <w:rPr>
          <w:rFonts w:ascii="Arial" w:hAnsi="Arial" w:cs="Arial"/>
        </w:rPr>
        <w:t>México 17 mayo 2025</w:t>
      </w:r>
      <w:r w:rsidR="00E8613C" w:rsidRPr="00E8613C">
        <w:rPr>
          <w:rFonts w:ascii="Arial" w:eastAsia="Times New Roman" w:hAnsi="Arial" w:cs="Arial"/>
          <w:sz w:val="22"/>
          <w:szCs w:val="22"/>
        </w:rPr>
        <w:br w:type="page"/>
      </w:r>
    </w:p>
    <w:p w14:paraId="72F46D3B" w14:textId="5EF63C67" w:rsidR="00D34ED4" w:rsidRPr="00E8613C" w:rsidRDefault="00246C10" w:rsidP="00E8613C">
      <w:pPr>
        <w:spacing w:after="0" w:line="276" w:lineRule="auto"/>
        <w:jc w:val="center"/>
        <w:rPr>
          <w:rFonts w:ascii="Arial" w:eastAsia="Arial" w:hAnsi="Arial" w:cs="Arial"/>
          <w:b/>
        </w:rPr>
      </w:pPr>
      <w:r w:rsidRPr="00E8613C">
        <w:rPr>
          <w:rFonts w:ascii="Arial" w:eastAsia="Arial" w:hAnsi="Arial" w:cs="Arial"/>
          <w:b/>
        </w:rPr>
        <w:lastRenderedPageBreak/>
        <w:t xml:space="preserve">Matrimonio </w:t>
      </w:r>
      <w:r w:rsidR="00B31711">
        <w:rPr>
          <w:rFonts w:ascii="Arial" w:eastAsia="Arial" w:hAnsi="Arial" w:cs="Arial"/>
          <w:b/>
        </w:rPr>
        <w:t xml:space="preserve">forzado, venta y embarazo </w:t>
      </w:r>
      <w:r w:rsidRPr="00E8613C">
        <w:rPr>
          <w:rFonts w:ascii="Arial" w:eastAsia="Arial" w:hAnsi="Arial" w:cs="Arial"/>
          <w:b/>
        </w:rPr>
        <w:t>de niñas y adolescentes</w:t>
      </w:r>
    </w:p>
    <w:p w14:paraId="260F6F24" w14:textId="77777777" w:rsidR="00D34ED4" w:rsidRPr="00E8613C" w:rsidRDefault="00246C10" w:rsidP="00E8613C">
      <w:pPr>
        <w:spacing w:after="0" w:line="276" w:lineRule="auto"/>
        <w:jc w:val="both"/>
        <w:rPr>
          <w:rFonts w:ascii="Arial" w:eastAsia="Arial" w:hAnsi="Arial" w:cs="Arial"/>
          <w:b/>
          <w:sz w:val="22"/>
          <w:szCs w:val="22"/>
        </w:rPr>
      </w:pPr>
      <w:r>
        <w:rPr>
          <w:rFonts w:ascii="Arial" w:hAnsi="Arial" w:cs="Arial"/>
          <w:noProof/>
          <w:sz w:val="22"/>
          <w:szCs w:val="22"/>
        </w:rPr>
        <w:pict w14:anchorId="552038C5">
          <v:rect id="_x0000_i1025" alt="" style="width:441.9pt;height:.05pt;mso-width-percent:0;mso-height-percent:0;mso-width-percent:0;mso-height-percent:0" o:hralign="center" o:hrstd="t" o:hr="t" fillcolor="#a0a0a0" stroked="f"/>
        </w:pict>
      </w:r>
    </w:p>
    <w:p w14:paraId="3927718D"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b/>
          <w:sz w:val="22"/>
          <w:szCs w:val="22"/>
        </w:rPr>
        <w:t>Artículo 5 y 6 de la</w:t>
      </w:r>
      <w:r w:rsidRPr="00E8613C">
        <w:rPr>
          <w:rFonts w:ascii="Arial" w:eastAsia="Arial" w:hAnsi="Arial" w:cs="Arial"/>
          <w:b/>
          <w:sz w:val="22"/>
          <w:szCs w:val="22"/>
        </w:rPr>
        <w:t xml:space="preserve"> CEDAW, recomendación general número 31 y 38, y observación general 18 del Comité de los Derechos del niño, así como la observación 52 del noveno informe.</w:t>
      </w:r>
    </w:p>
    <w:p w14:paraId="32A37EDA" w14:textId="6F762BAA" w:rsidR="00B31711" w:rsidRPr="00507E85" w:rsidRDefault="00246C10" w:rsidP="00B31711">
      <w:pPr>
        <w:spacing w:line="276" w:lineRule="auto"/>
        <w:ind w:firstLine="720"/>
        <w:jc w:val="both"/>
        <w:rPr>
          <w:rFonts w:ascii="Arial" w:eastAsia="Times New Roman" w:hAnsi="Arial" w:cs="Arial"/>
          <w:color w:val="000000"/>
          <w:sz w:val="22"/>
          <w:szCs w:val="22"/>
        </w:rPr>
      </w:pPr>
      <w:r w:rsidRPr="00507E85">
        <w:rPr>
          <w:rFonts w:ascii="Arial" w:eastAsia="Arial" w:hAnsi="Arial" w:cs="Arial"/>
          <w:sz w:val="22"/>
          <w:szCs w:val="22"/>
        </w:rPr>
        <w:t xml:space="preserve">La Cátedra UNESCO de Derechos Humanos de la UNAM, en colaboración con la Federación Mexicana de Universitarias, A.C. y la Red para el Avance Político de las Mujeres Guerrerenses, realizó </w:t>
      </w:r>
      <w:r w:rsidR="00B31711" w:rsidRPr="00507E85">
        <w:rPr>
          <w:rFonts w:ascii="Arial" w:eastAsia="Arial" w:hAnsi="Arial" w:cs="Arial"/>
          <w:sz w:val="22"/>
          <w:szCs w:val="22"/>
        </w:rPr>
        <w:t xml:space="preserve">un informe en 2023, y en esta ocasión lo actualiza la  </w:t>
      </w:r>
      <w:r w:rsidR="00B31711" w:rsidRPr="00507E85">
        <w:rPr>
          <w:rFonts w:ascii="Arial" w:eastAsia="Times New Roman" w:hAnsi="Arial" w:cs="Arial"/>
          <w:color w:val="000000"/>
          <w:sz w:val="22"/>
          <w:szCs w:val="22"/>
        </w:rPr>
        <w:t>Federación Mexicana de Universitarias A.C. y el Museo de la Mujer de la Ciudad de México, en Coalición con la Red de Profesoras e Investigadoras de Derechos Humanos de México, la Comisión de Género y Derechos Humanos (FCPyS) y Cátedra UNESCO de Derechos Humanos de la UNAM.</w:t>
      </w:r>
    </w:p>
    <w:p w14:paraId="4B22EC9E"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 xml:space="preserve">Los matrimonios y las uniones infantiles, tempranas y forzadas (MUITF) son fenómenos complejos relacionados “…con desigualdades de género, violencia, pobreza, abandono escolar, embarazo adolescente, marcos legales y políticas inadecuadas, limitadas </w:t>
      </w:r>
      <w:r w:rsidRPr="00E8613C">
        <w:rPr>
          <w:rFonts w:ascii="Arial" w:eastAsia="Arial" w:hAnsi="Arial" w:cs="Arial"/>
          <w:sz w:val="22"/>
          <w:szCs w:val="22"/>
        </w:rPr>
        <w:t>o inexistentes, que ponen en riesgo el presente y futuro de niñas y adolescentes” (Grupo de trabajo del Programa Conjunto Interinstitucional para Poner Fin al Matrimonio Infantil y a las Uniones Tempranas en América Latina y el Caribe, 2021). Según el info</w:t>
      </w:r>
      <w:r w:rsidRPr="00E8613C">
        <w:rPr>
          <w:rFonts w:ascii="Arial" w:eastAsia="Arial" w:hAnsi="Arial" w:cs="Arial"/>
          <w:sz w:val="22"/>
          <w:szCs w:val="22"/>
        </w:rPr>
        <w:t>rme del Estado de la Población Mundial 2020 del Fondo de Población de Naciones Unidas “650 millones de niñas y mujeres vivas en la actualidad se casaron siendo niñas; en 2030 estarán casadas otros 150 millones de niñas menores de 18 años”, (Ciencia UNAM-DG</w:t>
      </w:r>
      <w:r w:rsidRPr="00E8613C">
        <w:rPr>
          <w:rFonts w:ascii="Arial" w:eastAsia="Arial" w:hAnsi="Arial" w:cs="Arial"/>
          <w:sz w:val="22"/>
          <w:szCs w:val="22"/>
        </w:rPr>
        <w:t>DC, 2021, s/p) estas cifras actuales y proyectadas muestran la necesidad de implementar acciones concretas y sostenidas que garanticen los derechos y el bienestar de las niñas, no solo para su presente, sino también su futuro.</w:t>
      </w:r>
    </w:p>
    <w:p w14:paraId="15DC5599" w14:textId="180DCFB4"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Una característica del matrim</w:t>
      </w:r>
      <w:r w:rsidRPr="00E8613C">
        <w:rPr>
          <w:rFonts w:ascii="Arial" w:eastAsia="Arial" w:hAnsi="Arial" w:cs="Arial"/>
          <w:sz w:val="22"/>
          <w:szCs w:val="22"/>
        </w:rPr>
        <w:t>onio infantil es la diferencia de edad entre la mujer y su cónyuge, “datos revelan que la mayoría (94.5%) de las adolescentes de 15 a 19 años casadas o unidas lo hicieron con parejas mayores que ellas, con importantes diferencias en algunos contextos.” (</w:t>
      </w:r>
      <w:proofErr w:type="spellStart"/>
      <w:r w:rsidRPr="00E8613C">
        <w:rPr>
          <w:rFonts w:ascii="Arial" w:eastAsia="Arial" w:hAnsi="Arial" w:cs="Arial"/>
          <w:sz w:val="22"/>
          <w:szCs w:val="22"/>
        </w:rPr>
        <w:t>Ká</w:t>
      </w:r>
      <w:r w:rsidRPr="00E8613C">
        <w:rPr>
          <w:rFonts w:ascii="Arial" w:eastAsia="Arial" w:hAnsi="Arial" w:cs="Arial"/>
          <w:sz w:val="22"/>
          <w:szCs w:val="22"/>
        </w:rPr>
        <w:t>nter</w:t>
      </w:r>
      <w:proofErr w:type="spellEnd"/>
      <w:r w:rsidRPr="00E8613C">
        <w:rPr>
          <w:rFonts w:ascii="Arial" w:eastAsia="Arial" w:hAnsi="Arial" w:cs="Arial"/>
          <w:sz w:val="22"/>
          <w:szCs w:val="22"/>
        </w:rPr>
        <w:t xml:space="preserve">, 2018, pág. 11). En varias regiones de México se realizan matrimonios forzados entre menores de edad con mayor frecuencia, en específico, en 2022 “Chihuahua registró un matrimonio de una mujer de 12 a 14 años. </w:t>
      </w:r>
    </w:p>
    <w:p w14:paraId="40CC8D26" w14:textId="20D520A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 xml:space="preserve">En el momento en que las niñas, niños y </w:t>
      </w:r>
      <w:r w:rsidRPr="00E8613C">
        <w:rPr>
          <w:rFonts w:ascii="Arial" w:eastAsia="Arial" w:hAnsi="Arial" w:cs="Arial"/>
          <w:sz w:val="22"/>
          <w:szCs w:val="22"/>
        </w:rPr>
        <w:t>adolescentes comienzan su vida de matrimonio o unión, este afecta su capacidad de alcanzar o abandonar hitos de transición hacia la vida adulta. El matrimonio infantil y las uniones tempranas son prácticas perjudiciales</w:t>
      </w:r>
      <w:r w:rsidR="0042795D">
        <w:rPr>
          <w:rFonts w:ascii="Arial" w:eastAsia="Arial" w:hAnsi="Arial" w:cs="Arial"/>
          <w:sz w:val="22"/>
          <w:szCs w:val="22"/>
        </w:rPr>
        <w:t>, nocivas</w:t>
      </w:r>
      <w:r w:rsidRPr="00E8613C">
        <w:rPr>
          <w:rFonts w:ascii="Arial" w:eastAsia="Arial" w:hAnsi="Arial" w:cs="Arial"/>
          <w:sz w:val="22"/>
          <w:szCs w:val="22"/>
        </w:rPr>
        <w:t xml:space="preserve"> que tienen un impacto negat</w:t>
      </w:r>
      <w:r w:rsidRPr="00E8613C">
        <w:rPr>
          <w:rFonts w:ascii="Arial" w:eastAsia="Arial" w:hAnsi="Arial" w:cs="Arial"/>
          <w:sz w:val="22"/>
          <w:szCs w:val="22"/>
        </w:rPr>
        <w:t>ivo en el desarrollo integral de las niñas y adolescentes, exponiéndolas a violencia, el abuso sexual,  sobrecarga de trabajo de cuidados, así como de explotación en el trabajo doméstico y agrícola. (Grupo de trabajo del Programa Conjunto Interinstituciona</w:t>
      </w:r>
      <w:r w:rsidRPr="00E8613C">
        <w:rPr>
          <w:rFonts w:ascii="Arial" w:eastAsia="Arial" w:hAnsi="Arial" w:cs="Arial"/>
          <w:sz w:val="22"/>
          <w:szCs w:val="22"/>
        </w:rPr>
        <w:t>l para Poner Fin al Matrimonio Infantil y a las Uniones Tempranas en América Latina y el Caribe, 2021).</w:t>
      </w:r>
    </w:p>
    <w:p w14:paraId="024FB7FC"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Una de las principales afecciones de esta problemática es el embarazo adolescente, pues el ”90% de los nacimientos de adolescentes tienen lugar en el co</w:t>
      </w:r>
      <w:r w:rsidRPr="00E8613C">
        <w:rPr>
          <w:rFonts w:ascii="Arial" w:eastAsia="Arial" w:hAnsi="Arial" w:cs="Arial"/>
          <w:sz w:val="22"/>
          <w:szCs w:val="22"/>
        </w:rPr>
        <w:t xml:space="preserve">ntexto del matrimonio </w:t>
      </w:r>
      <w:r w:rsidRPr="00E8613C">
        <w:rPr>
          <w:rFonts w:ascii="Arial" w:eastAsia="Arial" w:hAnsi="Arial" w:cs="Arial"/>
          <w:sz w:val="22"/>
          <w:szCs w:val="22"/>
        </w:rPr>
        <w:lastRenderedPageBreak/>
        <w:t>infantil” (</w:t>
      </w:r>
      <w:proofErr w:type="spellStart"/>
      <w:r w:rsidRPr="00E8613C">
        <w:rPr>
          <w:rFonts w:ascii="Arial" w:eastAsia="Arial" w:hAnsi="Arial" w:cs="Arial"/>
          <w:sz w:val="22"/>
          <w:szCs w:val="22"/>
        </w:rPr>
        <w:t>Girls</w:t>
      </w:r>
      <w:proofErr w:type="spellEnd"/>
      <w:r w:rsidRPr="00E8613C">
        <w:rPr>
          <w:rFonts w:ascii="Arial" w:eastAsia="Arial" w:hAnsi="Arial" w:cs="Arial"/>
          <w:sz w:val="22"/>
          <w:szCs w:val="22"/>
        </w:rPr>
        <w:t xml:space="preserve"> </w:t>
      </w:r>
      <w:proofErr w:type="spellStart"/>
      <w:r w:rsidRPr="00E8613C">
        <w:rPr>
          <w:rFonts w:ascii="Arial" w:eastAsia="Arial" w:hAnsi="Arial" w:cs="Arial"/>
          <w:sz w:val="22"/>
          <w:szCs w:val="22"/>
        </w:rPr>
        <w:t>Not</w:t>
      </w:r>
      <w:proofErr w:type="spellEnd"/>
      <w:r w:rsidRPr="00E8613C">
        <w:rPr>
          <w:rFonts w:ascii="Arial" w:eastAsia="Arial" w:hAnsi="Arial" w:cs="Arial"/>
          <w:sz w:val="22"/>
          <w:szCs w:val="22"/>
        </w:rPr>
        <w:t xml:space="preserve"> Brides, 2020, s/p) por lo que el embarazo adolescente y el matrimonio infantil tienen una estrecha relación de causa y efecto. Entre las repercusiones más graves que implica el embarazo adolescente es la muerte ma</w:t>
      </w:r>
      <w:r w:rsidRPr="00E8613C">
        <w:rPr>
          <w:rFonts w:ascii="Arial" w:eastAsia="Arial" w:hAnsi="Arial" w:cs="Arial"/>
          <w:sz w:val="22"/>
          <w:szCs w:val="22"/>
        </w:rPr>
        <w:t>terna. Según Organización Mundial de la Salud, “las complicaciones durante el embarazo y el parto son la segunda causa de muerte entre las mujeres de 15 a 19 años en todo el mundo;1 experimentar un embarazo en la adolescencia duplica el riesgo de muerte ma</w:t>
      </w:r>
      <w:r w:rsidRPr="00E8613C">
        <w:rPr>
          <w:rFonts w:ascii="Arial" w:eastAsia="Arial" w:hAnsi="Arial" w:cs="Arial"/>
          <w:sz w:val="22"/>
          <w:szCs w:val="22"/>
        </w:rPr>
        <w:t>terna en menores de 19 años y lo cuadruplica en menores de 15 años” (OMS, 2024, s/p). Por tanto, el matrimonio infantil no solo vulnera derechos, sino que pone en peligro la vida misma de quienes lo padecen, convirtiéndose en una emergencia de salud públic</w:t>
      </w:r>
      <w:r w:rsidRPr="00E8613C">
        <w:rPr>
          <w:rFonts w:ascii="Arial" w:eastAsia="Arial" w:hAnsi="Arial" w:cs="Arial"/>
          <w:sz w:val="22"/>
          <w:szCs w:val="22"/>
        </w:rPr>
        <w:t>a y una violación directa a los derechos humanos lo que subraya la necesidad de adoptar medidas integrales y efectivas para erradicar esta práctica.</w:t>
      </w:r>
    </w:p>
    <w:p w14:paraId="4751F578"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b/>
          <w:sz w:val="22"/>
          <w:szCs w:val="22"/>
        </w:rPr>
        <w:t xml:space="preserve">Marco </w:t>
      </w:r>
      <w:proofErr w:type="gramStart"/>
      <w:r w:rsidRPr="00E8613C">
        <w:rPr>
          <w:rFonts w:ascii="Arial" w:eastAsia="Arial" w:hAnsi="Arial" w:cs="Arial"/>
          <w:b/>
          <w:sz w:val="22"/>
          <w:szCs w:val="22"/>
        </w:rPr>
        <w:t>legal  internacional</w:t>
      </w:r>
      <w:proofErr w:type="gramEnd"/>
      <w:r w:rsidRPr="00E8613C">
        <w:rPr>
          <w:rFonts w:ascii="Arial" w:eastAsia="Arial" w:hAnsi="Arial" w:cs="Arial"/>
          <w:b/>
          <w:sz w:val="22"/>
          <w:szCs w:val="22"/>
        </w:rPr>
        <w:t xml:space="preserve"> y nacional</w:t>
      </w:r>
    </w:p>
    <w:p w14:paraId="2E42DBE8"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 xml:space="preserve">La Asamblea General, en el Informe del Comité para la Eliminación de </w:t>
      </w:r>
      <w:r w:rsidRPr="00E8613C">
        <w:rPr>
          <w:rFonts w:ascii="Arial" w:eastAsia="Arial" w:hAnsi="Arial" w:cs="Arial"/>
          <w:sz w:val="22"/>
          <w:szCs w:val="22"/>
        </w:rPr>
        <w:t xml:space="preserve">la Discriminación contra la Mujer A/57/38, recomienda </w:t>
      </w:r>
      <w:r w:rsidRPr="00E8613C">
        <w:rPr>
          <w:rFonts w:ascii="Arial" w:eastAsia="Arial" w:hAnsi="Arial" w:cs="Arial"/>
          <w:i/>
          <w:sz w:val="22"/>
          <w:szCs w:val="22"/>
        </w:rPr>
        <w:t>“la revisión de tal legislación, aumentando la edad mínima legal para contraer matrimonio, así como su aplicación a niñas y niños por igual de acuerdo a lo dispuesto en la Convención sobre la eliminació</w:t>
      </w:r>
      <w:r w:rsidRPr="00E8613C">
        <w:rPr>
          <w:rFonts w:ascii="Arial" w:eastAsia="Arial" w:hAnsi="Arial" w:cs="Arial"/>
          <w:i/>
          <w:sz w:val="22"/>
          <w:szCs w:val="22"/>
        </w:rPr>
        <w:t>n de todas las formas de discriminación contra la mujer y en la Convención sobre los Derechos del Niño.”</w:t>
      </w:r>
    </w:p>
    <w:p w14:paraId="55FB1F8F"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Sin embargo, en México el Matrimonio Infantil estaba prohibido desde 2014, empero el Código Civil Federal permitía el matrimonio a partir de 16 años pa</w:t>
      </w:r>
      <w:r w:rsidRPr="00E8613C">
        <w:rPr>
          <w:rFonts w:ascii="Arial" w:eastAsia="Arial" w:hAnsi="Arial" w:cs="Arial"/>
          <w:sz w:val="22"/>
          <w:szCs w:val="22"/>
        </w:rPr>
        <w:t>ra los hombres y 14 años para las mujeres.</w:t>
      </w:r>
    </w:p>
    <w:p w14:paraId="1DF68758"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 xml:space="preserve">En 2019, la Suprema Corte de Justicia de la Nación resolvió una acción de inconstitucionalidad presentada por la Comisión Estatal de Derechos Humanos de Aguascalientes. Consideraba que una reforma al Código Civil </w:t>
      </w:r>
      <w:r w:rsidRPr="00E8613C">
        <w:rPr>
          <w:rFonts w:ascii="Arial" w:eastAsia="Arial" w:hAnsi="Arial" w:cs="Arial"/>
          <w:sz w:val="22"/>
          <w:szCs w:val="22"/>
        </w:rPr>
        <w:t>estatal violentaba los derechos de los menores de edad al prohibirles contraer matrimonio, aun en casos graves y justificados. La SCJN determinó que la eliminación de las dispensas (permisos) para el matrimonio infantil es una restricción constitucionalmen</w:t>
      </w:r>
      <w:r w:rsidRPr="00E8613C">
        <w:rPr>
          <w:rFonts w:ascii="Arial" w:eastAsia="Arial" w:hAnsi="Arial" w:cs="Arial"/>
          <w:sz w:val="22"/>
          <w:szCs w:val="22"/>
        </w:rPr>
        <w:t>te válida, eficaz y razonable para proteger los derechos de la niñez, por lo que la razón no asistía a la Comisión estatal, añadió que la reforma legislativa del Congreso de Aguascalientes no violó el derecho al libre desarrollo de la personalidad –que imp</w:t>
      </w:r>
      <w:r w:rsidRPr="00E8613C">
        <w:rPr>
          <w:rFonts w:ascii="Arial" w:eastAsia="Arial" w:hAnsi="Arial" w:cs="Arial"/>
          <w:sz w:val="22"/>
          <w:szCs w:val="22"/>
        </w:rPr>
        <w:t>lica la facultad natural de toda persona a ser individualmente como quiere ser, sin coacción ni controles injustificados. (Sistema de Información Legislativa de la Secretaría de Gobernación, 2022, pág. 2). Ese mismo año en junio entraron en vigor las refor</w:t>
      </w:r>
      <w:r w:rsidRPr="00E8613C">
        <w:rPr>
          <w:rFonts w:ascii="Arial" w:eastAsia="Arial" w:hAnsi="Arial" w:cs="Arial"/>
          <w:sz w:val="22"/>
          <w:szCs w:val="22"/>
        </w:rPr>
        <w:t>mas al Código Civil Federal para establecer 18 años como la edad mínima para contraer matrimonio y se elimina la posibilidad de que autoridades locales y familiares concedieran dispensas o consentimiento para contraer matrimonio a personas menores de 18 añ</w:t>
      </w:r>
      <w:r w:rsidRPr="00E8613C">
        <w:rPr>
          <w:rFonts w:ascii="Arial" w:eastAsia="Arial" w:hAnsi="Arial" w:cs="Arial"/>
          <w:sz w:val="22"/>
          <w:szCs w:val="22"/>
        </w:rPr>
        <w:t>os. (Ortiz, 2022).</w:t>
      </w:r>
    </w:p>
    <w:p w14:paraId="15B2FF02"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Por otra parte, la Ley General para Prevenir, Sancionar y Erradicar los Delitos en Materia de Trata de Personas y para la Protección y Asistencia de las Víctimas de estos Delitos (Cámara de Diputados, 2023), señala en su artículo 28 lo s</w:t>
      </w:r>
      <w:r w:rsidRPr="00E8613C">
        <w:rPr>
          <w:rFonts w:ascii="Arial" w:eastAsia="Arial" w:hAnsi="Arial" w:cs="Arial"/>
          <w:sz w:val="22"/>
          <w:szCs w:val="22"/>
        </w:rPr>
        <w:t>iguiente:</w:t>
      </w:r>
    </w:p>
    <w:p w14:paraId="0EEDA082"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b/>
          <w:i/>
          <w:sz w:val="22"/>
          <w:szCs w:val="22"/>
        </w:rPr>
        <w:lastRenderedPageBreak/>
        <w:t xml:space="preserve">Artículo 28. </w:t>
      </w:r>
      <w:r w:rsidRPr="00E8613C">
        <w:rPr>
          <w:rFonts w:ascii="Arial" w:eastAsia="Arial" w:hAnsi="Arial" w:cs="Arial"/>
          <w:i/>
          <w:sz w:val="22"/>
          <w:szCs w:val="22"/>
        </w:rPr>
        <w:t>Se impondrá pena de 4 a 10 años de prisión y de 200 a 2 mil días multa, además de la declaratoria de nulidad de matrimonio, al que:</w:t>
      </w:r>
    </w:p>
    <w:p w14:paraId="4D335838" w14:textId="77777777" w:rsidR="00D34ED4" w:rsidRPr="00E8613C" w:rsidRDefault="00246C10" w:rsidP="00E8613C">
      <w:pPr>
        <w:numPr>
          <w:ilvl w:val="0"/>
          <w:numId w:val="1"/>
        </w:numPr>
        <w:spacing w:line="276" w:lineRule="auto"/>
        <w:jc w:val="both"/>
        <w:rPr>
          <w:rFonts w:ascii="Arial" w:eastAsia="Arial" w:hAnsi="Arial" w:cs="Arial"/>
          <w:i/>
          <w:sz w:val="22"/>
          <w:szCs w:val="22"/>
        </w:rPr>
      </w:pPr>
      <w:r w:rsidRPr="00E8613C">
        <w:rPr>
          <w:rFonts w:ascii="Arial" w:eastAsia="Arial" w:hAnsi="Arial" w:cs="Arial"/>
          <w:i/>
          <w:sz w:val="22"/>
          <w:szCs w:val="22"/>
        </w:rPr>
        <w:t>Obligue a contraer matrimonio a una persona, de manera gratuita o a cambio de pago en dinero o en esp</w:t>
      </w:r>
      <w:r w:rsidRPr="00E8613C">
        <w:rPr>
          <w:rFonts w:ascii="Arial" w:eastAsia="Arial" w:hAnsi="Arial" w:cs="Arial"/>
          <w:i/>
          <w:sz w:val="22"/>
          <w:szCs w:val="22"/>
        </w:rPr>
        <w:t>ecie entregada a sus padres, tutor, familia o a cualquier otra persona o grupo de personas que ejerza una autoridad sobre ella;</w:t>
      </w:r>
    </w:p>
    <w:p w14:paraId="45CC30A3" w14:textId="77777777" w:rsidR="00D34ED4" w:rsidRPr="00E8613C" w:rsidRDefault="00246C10" w:rsidP="00E8613C">
      <w:pPr>
        <w:numPr>
          <w:ilvl w:val="0"/>
          <w:numId w:val="1"/>
        </w:numPr>
        <w:spacing w:line="276" w:lineRule="auto"/>
        <w:jc w:val="both"/>
        <w:rPr>
          <w:rFonts w:ascii="Arial" w:eastAsia="Arial" w:hAnsi="Arial" w:cs="Arial"/>
          <w:i/>
          <w:sz w:val="22"/>
          <w:szCs w:val="22"/>
        </w:rPr>
      </w:pPr>
      <w:r w:rsidRPr="00E8613C">
        <w:rPr>
          <w:rFonts w:ascii="Arial" w:eastAsia="Arial" w:hAnsi="Arial" w:cs="Arial"/>
          <w:i/>
          <w:sz w:val="22"/>
          <w:szCs w:val="22"/>
        </w:rPr>
        <w:t>Obligue a contraer matrimonio a una persona con el fin de prostituirla o someterla a esclavitud o prácticas similares;</w:t>
      </w:r>
    </w:p>
    <w:p w14:paraId="4572C451" w14:textId="77777777" w:rsidR="00D34ED4" w:rsidRPr="00E8613C" w:rsidRDefault="00246C10" w:rsidP="00E8613C">
      <w:pPr>
        <w:numPr>
          <w:ilvl w:val="0"/>
          <w:numId w:val="1"/>
        </w:numPr>
        <w:spacing w:line="276" w:lineRule="auto"/>
        <w:jc w:val="both"/>
        <w:rPr>
          <w:rFonts w:ascii="Arial" w:eastAsia="Arial" w:hAnsi="Arial" w:cs="Arial"/>
          <w:i/>
          <w:sz w:val="22"/>
          <w:szCs w:val="22"/>
        </w:rPr>
      </w:pPr>
      <w:r w:rsidRPr="00E8613C">
        <w:rPr>
          <w:rFonts w:ascii="Arial" w:eastAsia="Arial" w:hAnsi="Arial" w:cs="Arial"/>
          <w:i/>
          <w:sz w:val="22"/>
          <w:szCs w:val="22"/>
        </w:rPr>
        <w:t>Ceda o tr</w:t>
      </w:r>
      <w:r w:rsidRPr="00E8613C">
        <w:rPr>
          <w:rFonts w:ascii="Arial" w:eastAsia="Arial" w:hAnsi="Arial" w:cs="Arial"/>
          <w:i/>
          <w:sz w:val="22"/>
          <w:szCs w:val="22"/>
        </w:rPr>
        <w:t>ansmita a una persona a un tercero, a título oneroso, de manera gratuita o de otra manera.</w:t>
      </w:r>
    </w:p>
    <w:p w14:paraId="5EE22EDE"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 xml:space="preserve">Además, el artículo 29 de este mismo ordenamiento jurídico establece que “se impondrá pena de 20 a 40 años de prisión y de 2 mil a 30 mil días multa, al que realice </w:t>
      </w:r>
      <w:r w:rsidRPr="00E8613C">
        <w:rPr>
          <w:rFonts w:ascii="Arial" w:eastAsia="Arial" w:hAnsi="Arial" w:cs="Arial"/>
          <w:sz w:val="22"/>
          <w:szCs w:val="22"/>
        </w:rPr>
        <w:t>explotación sexual aprovechándose de la relación matrimonial o concubinato. En todos los casos en que se acredite esta conducta se declarará nulo el matrimonio.” (Cámara de Diputados, 2023)</w:t>
      </w:r>
    </w:p>
    <w:p w14:paraId="262CD384"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En tanto que el artículo 10, fracción IX de esta Ley reconoce como</w:t>
      </w:r>
      <w:r w:rsidRPr="00E8613C">
        <w:rPr>
          <w:rFonts w:ascii="Arial" w:eastAsia="Arial" w:hAnsi="Arial" w:cs="Arial"/>
          <w:sz w:val="22"/>
          <w:szCs w:val="22"/>
        </w:rPr>
        <w:t xml:space="preserve"> explotación, entre otras, “el matrimonio forzoso o servil, en los términos del artículo 28 de la presente Ley, así como la situación prevista en el artículo 29”, estableciendo que “toda acción u omisión dolosa de una o varias personas para captar, enganch</w:t>
      </w:r>
      <w:r w:rsidRPr="00E8613C">
        <w:rPr>
          <w:rFonts w:ascii="Arial" w:eastAsia="Arial" w:hAnsi="Arial" w:cs="Arial"/>
          <w:sz w:val="22"/>
          <w:szCs w:val="22"/>
        </w:rPr>
        <w:t>ar, transportar, transferir, retener, entregar, recibir o alojar a una o varias personas con fines de explotación se le impondrá de 5 a 15 años de prisión y de un mil a veinte mil días multa, sin perjuicio de las sanciones que correspondan para cada uno de</w:t>
      </w:r>
      <w:r w:rsidRPr="00E8613C">
        <w:rPr>
          <w:rFonts w:ascii="Arial" w:eastAsia="Arial" w:hAnsi="Arial" w:cs="Arial"/>
          <w:sz w:val="22"/>
          <w:szCs w:val="22"/>
        </w:rPr>
        <w:t xml:space="preserve"> los delitos cometidos, previstos y sancionados en esta Ley y en los códigos penales correspondientes. (Cámara de Diputados, 2023)</w:t>
      </w:r>
    </w:p>
    <w:p w14:paraId="20BB32C4"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 xml:space="preserve">Así también, este ordenamiento jurídico señala en su artículo 11 que, “a quien tenga o mantenga a otra persona en una </w:t>
      </w:r>
      <w:r w:rsidRPr="00E8613C">
        <w:rPr>
          <w:rFonts w:ascii="Arial" w:eastAsia="Arial" w:hAnsi="Arial" w:cs="Arial"/>
          <w:sz w:val="22"/>
          <w:szCs w:val="22"/>
        </w:rPr>
        <w:t>situación de esclavitud, será sancionado con pena de 15 a 30 años prisión y de un mil a 20 mil días multa”, precisando que “se entiende por esclavitud el dominio de una persona sobre otra, dejándola sin capacidad de disponer libremente de su propia persona</w:t>
      </w:r>
      <w:r w:rsidRPr="00E8613C">
        <w:rPr>
          <w:rFonts w:ascii="Arial" w:eastAsia="Arial" w:hAnsi="Arial" w:cs="Arial"/>
          <w:sz w:val="22"/>
          <w:szCs w:val="22"/>
        </w:rPr>
        <w:t xml:space="preserve"> ni de sus bienes y se ejerciten sobre ella, de hecho, atributos del derecho de propiedad.” (Cámara de Diputados, 2023).</w:t>
      </w:r>
    </w:p>
    <w:p w14:paraId="48974B71"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b/>
          <w:sz w:val="22"/>
          <w:szCs w:val="22"/>
        </w:rPr>
        <w:t>Mecanismos de denuncia y protección.</w:t>
      </w:r>
    </w:p>
    <w:p w14:paraId="6F35F767"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Los canales para reportar matrimonio infantil en México ha sido objeto de diversas modificaciones,</w:t>
      </w:r>
      <w:r w:rsidRPr="00E8613C">
        <w:rPr>
          <w:rFonts w:ascii="Arial" w:eastAsia="Arial" w:hAnsi="Arial" w:cs="Arial"/>
          <w:sz w:val="22"/>
          <w:szCs w:val="22"/>
        </w:rPr>
        <w:t xml:space="preserve"> el 911 integra un protocolo para matrimonio infantil desde 2021 (Programa Nacional para la Protección de Niñas, Niños y Adolescentes). También opera el Protocolo de Atención a Niñas y Adolescentes en Riesgo de Matrimonio Infantil (2022), que obliga a auto</w:t>
      </w:r>
      <w:r w:rsidRPr="00E8613C">
        <w:rPr>
          <w:rFonts w:ascii="Arial" w:eastAsia="Arial" w:hAnsi="Arial" w:cs="Arial"/>
          <w:sz w:val="22"/>
          <w:szCs w:val="22"/>
        </w:rPr>
        <w:t>ridades a intervenir en 72 horas.</w:t>
      </w:r>
    </w:p>
    <w:p w14:paraId="046123F5"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En octubre de 2023, el Senado de la República realizó una reforma con miras a realizar avances simbólicos y jurídicos respecto a las acciones contra el matrimonio infantil “con 76 votos a favor, una reforma a la Ley Genera</w:t>
      </w:r>
      <w:r w:rsidRPr="00E8613C">
        <w:rPr>
          <w:rFonts w:ascii="Arial" w:eastAsia="Arial" w:hAnsi="Arial" w:cs="Arial"/>
          <w:sz w:val="22"/>
          <w:szCs w:val="22"/>
        </w:rPr>
        <w:t xml:space="preserve">l de los Derechos de Niñas, Niños y </w:t>
      </w:r>
      <w:r w:rsidRPr="00E8613C">
        <w:rPr>
          <w:rFonts w:ascii="Arial" w:eastAsia="Arial" w:hAnsi="Arial" w:cs="Arial"/>
          <w:sz w:val="22"/>
          <w:szCs w:val="22"/>
        </w:rPr>
        <w:lastRenderedPageBreak/>
        <w:t>Adolescentes. Esta modificación exige que los tres niveles de gobierno implementen estrategias integrales que garanticen la protección de la infancia frente a prácticas dañinas como el matrimonio infantil” (</w:t>
      </w:r>
      <w:proofErr w:type="spellStart"/>
      <w:r w:rsidRPr="00E8613C">
        <w:rPr>
          <w:rFonts w:ascii="Arial" w:eastAsia="Arial" w:hAnsi="Arial" w:cs="Arial"/>
          <w:sz w:val="22"/>
          <w:szCs w:val="22"/>
        </w:rPr>
        <w:t>Caceres</w:t>
      </w:r>
      <w:proofErr w:type="spellEnd"/>
      <w:r w:rsidRPr="00E8613C">
        <w:rPr>
          <w:rFonts w:ascii="Arial" w:eastAsia="Arial" w:hAnsi="Arial" w:cs="Arial"/>
          <w:sz w:val="22"/>
          <w:szCs w:val="22"/>
        </w:rPr>
        <w:t>, 2025</w:t>
      </w:r>
      <w:r w:rsidRPr="00E8613C">
        <w:rPr>
          <w:rFonts w:ascii="Arial" w:eastAsia="Arial" w:hAnsi="Arial" w:cs="Arial"/>
          <w:sz w:val="22"/>
          <w:szCs w:val="22"/>
        </w:rPr>
        <w:t xml:space="preserve">, s/p). La reforma responde a la recomendación </w:t>
      </w:r>
      <w:proofErr w:type="gramStart"/>
      <w:r w:rsidRPr="00E8613C">
        <w:rPr>
          <w:rFonts w:ascii="Arial" w:eastAsia="Arial" w:hAnsi="Arial" w:cs="Arial"/>
          <w:sz w:val="22"/>
          <w:szCs w:val="22"/>
        </w:rPr>
        <w:t>31  de</w:t>
      </w:r>
      <w:proofErr w:type="gramEnd"/>
      <w:r w:rsidRPr="00E8613C">
        <w:rPr>
          <w:rFonts w:ascii="Arial" w:eastAsia="Arial" w:hAnsi="Arial" w:cs="Arial"/>
          <w:sz w:val="22"/>
          <w:szCs w:val="22"/>
        </w:rPr>
        <w:t xml:space="preserve"> la CEDAW y el Comité de los Derechos del Niño, que han dictado a México</w:t>
      </w:r>
    </w:p>
    <w:p w14:paraId="1DAD1319" w14:textId="583962E2" w:rsidR="00D34ED4" w:rsidRPr="00E8613C" w:rsidRDefault="00C9166B" w:rsidP="00E8613C">
      <w:pPr>
        <w:spacing w:line="276" w:lineRule="auto"/>
        <w:jc w:val="both"/>
        <w:rPr>
          <w:rFonts w:ascii="Arial" w:eastAsia="Arial" w:hAnsi="Arial" w:cs="Arial"/>
          <w:sz w:val="22"/>
          <w:szCs w:val="22"/>
        </w:rPr>
      </w:pPr>
      <w:r>
        <w:rPr>
          <w:rFonts w:ascii="Arial" w:eastAsia="Arial" w:hAnsi="Arial" w:cs="Arial"/>
          <w:sz w:val="22"/>
          <w:szCs w:val="22"/>
        </w:rPr>
        <w:t>R</w:t>
      </w:r>
      <w:r w:rsidRPr="00E8613C">
        <w:rPr>
          <w:rFonts w:ascii="Arial" w:eastAsia="Arial" w:hAnsi="Arial" w:cs="Arial"/>
          <w:sz w:val="22"/>
          <w:szCs w:val="22"/>
        </w:rPr>
        <w:t xml:space="preserve">ecientemente, parte de una estrategia de </w:t>
      </w:r>
      <w:proofErr w:type="spellStart"/>
      <w:r w:rsidRPr="00E8613C">
        <w:rPr>
          <w:rFonts w:ascii="Arial" w:eastAsia="Arial" w:hAnsi="Arial" w:cs="Arial"/>
          <w:sz w:val="22"/>
          <w:szCs w:val="22"/>
        </w:rPr>
        <w:t>prohinición</w:t>
      </w:r>
      <w:proofErr w:type="spellEnd"/>
      <w:r w:rsidRPr="00E8613C">
        <w:rPr>
          <w:rFonts w:ascii="Arial" w:eastAsia="Arial" w:hAnsi="Arial" w:cs="Arial"/>
          <w:sz w:val="22"/>
          <w:szCs w:val="22"/>
        </w:rPr>
        <w:t xml:space="preserve"> “en junio de 2024 la resolución de la Suprema Corte de Justicia de la Nación, que ratificó la prohibición absoluta del matrimonio infantil en todo el país. Esta decisión reafirma el compromiso del Estado mexicano con la defensa de los derechos de la niñez, especialmente de las niñas y adolescentes, quienes son las principales víctimas de estas uniones forzadas”  (</w:t>
      </w:r>
      <w:proofErr w:type="spellStart"/>
      <w:r w:rsidRPr="00E8613C">
        <w:rPr>
          <w:rFonts w:ascii="Arial" w:eastAsia="Arial" w:hAnsi="Arial" w:cs="Arial"/>
          <w:sz w:val="22"/>
          <w:szCs w:val="22"/>
        </w:rPr>
        <w:t>Caceres</w:t>
      </w:r>
      <w:proofErr w:type="spellEnd"/>
      <w:r w:rsidRPr="00E8613C">
        <w:rPr>
          <w:rFonts w:ascii="Arial" w:eastAsia="Arial" w:hAnsi="Arial" w:cs="Arial"/>
          <w:sz w:val="22"/>
          <w:szCs w:val="22"/>
        </w:rPr>
        <w:t xml:space="preserve">, 2025, s/p), sin embargo, se siguen registrando casos, el más reciente se </w:t>
      </w:r>
      <w:proofErr w:type="spellStart"/>
      <w:r w:rsidRPr="00E8613C">
        <w:rPr>
          <w:rFonts w:ascii="Arial" w:eastAsia="Arial" w:hAnsi="Arial" w:cs="Arial"/>
          <w:sz w:val="22"/>
          <w:szCs w:val="22"/>
        </w:rPr>
        <w:t>dión</w:t>
      </w:r>
      <w:proofErr w:type="spellEnd"/>
      <w:r w:rsidRPr="00E8613C">
        <w:rPr>
          <w:rFonts w:ascii="Arial" w:eastAsia="Arial" w:hAnsi="Arial" w:cs="Arial"/>
          <w:sz w:val="22"/>
          <w:szCs w:val="22"/>
        </w:rPr>
        <w:t xml:space="preserve"> en Oaxaca, de acuerdo con el medio Infobae, “una adolescente de 14 años escapó de su hogar en Oaxaca para evitar casarse con un hombre de 62 años” (López, 2025, s/p).</w:t>
      </w:r>
    </w:p>
    <w:p w14:paraId="21713A71"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b/>
          <w:sz w:val="22"/>
          <w:szCs w:val="22"/>
        </w:rPr>
        <w:t>Diagnóstico actual sobre códigos civiles y familiares (por estado)</w:t>
      </w:r>
    </w:p>
    <w:p w14:paraId="0FDBD413" w14:textId="377B80ED"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De acuerdo con un análisis realizado por la Cátedra UNESCO de Derechos Humanos de la UNAM, con base en la revisión del Código Civil y el Código Familiar de l</w:t>
      </w:r>
      <w:r w:rsidRPr="00E8613C">
        <w:rPr>
          <w:rFonts w:ascii="Arial" w:eastAsia="Arial" w:hAnsi="Arial" w:cs="Arial"/>
          <w:sz w:val="22"/>
          <w:szCs w:val="22"/>
        </w:rPr>
        <w:t>as entidades mexicanas, los resultados son los siguientes:</w:t>
      </w:r>
    </w:p>
    <w:p w14:paraId="7F639A44"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Recientemente se ha registrado un alto grado de uniformidad en la legislación mexicana respecto a la edad mínima para contraer matrimonio. 31 de los 32 estados establecen los 18 años como requisito</w:t>
      </w:r>
      <w:r w:rsidRPr="00E8613C">
        <w:rPr>
          <w:rFonts w:ascii="Arial" w:eastAsia="Arial" w:hAnsi="Arial" w:cs="Arial"/>
          <w:sz w:val="22"/>
          <w:szCs w:val="22"/>
        </w:rPr>
        <w:t xml:space="preserve"> absoluto, sin excepciones. El único estado que aún permite dispensas es Yucatán (Artículo 55), donde el Poder Ejecutivo puede autorizar matrimonios antes de los 18 años en "casos excepcionales y por causas graves y justificadas” Esta disposición contrasta</w:t>
      </w:r>
      <w:r w:rsidRPr="00E8613C">
        <w:rPr>
          <w:rFonts w:ascii="Arial" w:eastAsia="Arial" w:hAnsi="Arial" w:cs="Arial"/>
          <w:sz w:val="22"/>
          <w:szCs w:val="22"/>
        </w:rPr>
        <w:t xml:space="preserve"> con la tendencia nacional hacia la prohibición total de matrimonios infantiles, lo que podría generar inconsistencias en la protección de menores.</w:t>
      </w:r>
    </w:p>
    <w:p w14:paraId="2B2219D7"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Asimismo, la mayoría de las reformas se realizaron entre 2016 y 2023, impulsadas por cambios en la Ley Gener</w:t>
      </w:r>
      <w:r w:rsidRPr="00E8613C">
        <w:rPr>
          <w:rFonts w:ascii="Arial" w:eastAsia="Arial" w:hAnsi="Arial" w:cs="Arial"/>
          <w:sz w:val="22"/>
          <w:szCs w:val="22"/>
        </w:rPr>
        <w:t>al de los Derechos de Niñas, Niños y Adolescentes (2014). Estados como Guanajuato, Guerrero y Querétaro eliminaron explícitamente las dispensas que antes permitían matrimonios desde los 16 años. Destacan casos como: </w:t>
      </w:r>
    </w:p>
    <w:p w14:paraId="56461FC0" w14:textId="77777777" w:rsidR="00D34ED4" w:rsidRPr="00E8613C" w:rsidRDefault="00246C10" w:rsidP="00E8613C">
      <w:pPr>
        <w:numPr>
          <w:ilvl w:val="0"/>
          <w:numId w:val="2"/>
        </w:numPr>
        <w:spacing w:line="276" w:lineRule="auto"/>
        <w:jc w:val="both"/>
        <w:rPr>
          <w:rFonts w:ascii="Arial" w:eastAsia="Arial" w:hAnsi="Arial" w:cs="Arial"/>
          <w:sz w:val="22"/>
          <w:szCs w:val="22"/>
        </w:rPr>
      </w:pPr>
      <w:r w:rsidRPr="00E8613C">
        <w:rPr>
          <w:rFonts w:ascii="Arial" w:eastAsia="Arial" w:hAnsi="Arial" w:cs="Arial"/>
          <w:sz w:val="22"/>
          <w:szCs w:val="22"/>
        </w:rPr>
        <w:t xml:space="preserve">Nuevo León (2023): Reformó su Código </w:t>
      </w:r>
      <w:r w:rsidRPr="00E8613C">
        <w:rPr>
          <w:rFonts w:ascii="Arial" w:eastAsia="Arial" w:hAnsi="Arial" w:cs="Arial"/>
          <w:sz w:val="22"/>
          <w:szCs w:val="22"/>
        </w:rPr>
        <w:t>Civil para fijar los 18 años sin excepciones. </w:t>
      </w:r>
    </w:p>
    <w:p w14:paraId="5B3CF000" w14:textId="77777777" w:rsidR="00D34ED4" w:rsidRPr="00E8613C" w:rsidRDefault="00246C10" w:rsidP="00E8613C">
      <w:pPr>
        <w:numPr>
          <w:ilvl w:val="0"/>
          <w:numId w:val="2"/>
        </w:numPr>
        <w:spacing w:line="276" w:lineRule="auto"/>
        <w:jc w:val="both"/>
        <w:rPr>
          <w:rFonts w:ascii="Arial" w:eastAsia="Arial" w:hAnsi="Arial" w:cs="Arial"/>
          <w:sz w:val="22"/>
          <w:szCs w:val="22"/>
        </w:rPr>
      </w:pPr>
      <w:r w:rsidRPr="00E8613C">
        <w:rPr>
          <w:rFonts w:ascii="Arial" w:eastAsia="Arial" w:hAnsi="Arial" w:cs="Arial"/>
          <w:sz w:val="22"/>
          <w:szCs w:val="22"/>
        </w:rPr>
        <w:t>Quintana Roo (2023): Prohibió expresamente cualquier dispensa de edad. </w:t>
      </w:r>
    </w:p>
    <w:p w14:paraId="4BD01561" w14:textId="77777777" w:rsidR="00D34ED4" w:rsidRPr="00E8613C" w:rsidRDefault="00246C10" w:rsidP="00E8613C">
      <w:pPr>
        <w:numPr>
          <w:ilvl w:val="0"/>
          <w:numId w:val="2"/>
        </w:numPr>
        <w:spacing w:line="276" w:lineRule="auto"/>
        <w:jc w:val="both"/>
        <w:rPr>
          <w:rFonts w:ascii="Arial" w:eastAsia="Arial" w:hAnsi="Arial" w:cs="Arial"/>
          <w:sz w:val="22"/>
          <w:szCs w:val="22"/>
        </w:rPr>
      </w:pPr>
      <w:r w:rsidRPr="00E8613C">
        <w:rPr>
          <w:rFonts w:ascii="Arial" w:eastAsia="Arial" w:hAnsi="Arial" w:cs="Arial"/>
          <w:sz w:val="22"/>
          <w:szCs w:val="22"/>
        </w:rPr>
        <w:t>Hidalgo y Coahuila: Derogaron artículos anteriores, trasladando la regulación a sus códigos familiares.</w:t>
      </w:r>
    </w:p>
    <w:p w14:paraId="08D0FADD"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No todos los estados regulan este</w:t>
      </w:r>
      <w:r w:rsidRPr="00E8613C">
        <w:rPr>
          <w:rFonts w:ascii="Arial" w:eastAsia="Arial" w:hAnsi="Arial" w:cs="Arial"/>
          <w:sz w:val="22"/>
          <w:szCs w:val="22"/>
        </w:rPr>
        <w:t xml:space="preserve"> tema en sus códigos civiles:</w:t>
      </w:r>
    </w:p>
    <w:p w14:paraId="5434B4D8" w14:textId="77777777" w:rsidR="00D34ED4" w:rsidRPr="00E8613C" w:rsidRDefault="00246C10" w:rsidP="00E8613C">
      <w:pPr>
        <w:numPr>
          <w:ilvl w:val="0"/>
          <w:numId w:val="3"/>
        </w:numPr>
        <w:spacing w:line="276" w:lineRule="auto"/>
        <w:jc w:val="both"/>
        <w:rPr>
          <w:rFonts w:ascii="Arial" w:eastAsia="Arial" w:hAnsi="Arial" w:cs="Arial"/>
          <w:sz w:val="22"/>
          <w:szCs w:val="22"/>
        </w:rPr>
      </w:pPr>
      <w:r w:rsidRPr="00E8613C">
        <w:rPr>
          <w:rFonts w:ascii="Arial" w:eastAsia="Arial" w:hAnsi="Arial" w:cs="Arial"/>
          <w:sz w:val="22"/>
          <w:szCs w:val="22"/>
        </w:rPr>
        <w:t>Michoacán, Morelos y Oaxaca trasladaron la normativa a sus Códigos Familiares, lo que podría indicar un enfoque más especializado en derechos familiares.</w:t>
      </w:r>
    </w:p>
    <w:p w14:paraId="050AA408" w14:textId="77777777" w:rsidR="00D34ED4" w:rsidRPr="00E8613C" w:rsidRDefault="00246C10" w:rsidP="00E8613C">
      <w:pPr>
        <w:numPr>
          <w:ilvl w:val="0"/>
          <w:numId w:val="3"/>
        </w:numPr>
        <w:spacing w:line="276" w:lineRule="auto"/>
        <w:jc w:val="both"/>
        <w:rPr>
          <w:rFonts w:ascii="Arial" w:eastAsia="Arial" w:hAnsi="Arial" w:cs="Arial"/>
          <w:sz w:val="22"/>
          <w:szCs w:val="22"/>
        </w:rPr>
      </w:pPr>
      <w:r w:rsidRPr="00E8613C">
        <w:rPr>
          <w:rFonts w:ascii="Arial" w:eastAsia="Arial" w:hAnsi="Arial" w:cs="Arial"/>
          <w:sz w:val="22"/>
          <w:szCs w:val="22"/>
        </w:rPr>
        <w:lastRenderedPageBreak/>
        <w:t>San Luis Potosí y Sinaloa adoptaron directamente el Código Civil Federal</w:t>
      </w:r>
      <w:r w:rsidRPr="00E8613C">
        <w:rPr>
          <w:rFonts w:ascii="Arial" w:eastAsia="Arial" w:hAnsi="Arial" w:cs="Arial"/>
          <w:sz w:val="22"/>
          <w:szCs w:val="22"/>
        </w:rPr>
        <w:t>, mostrando una homologación con la legislación nacional.</w:t>
      </w:r>
    </w:p>
    <w:p w14:paraId="0443670E"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Algunos estados (Querétaro, Guanajuato) enfatizan la eliminación de dispensas anteriores. Otros (Campeche) detallan protocolos de verificación de edad por registros civiles. En varios casos se espec</w:t>
      </w:r>
      <w:r w:rsidRPr="00E8613C">
        <w:rPr>
          <w:rFonts w:ascii="Arial" w:eastAsia="Arial" w:hAnsi="Arial" w:cs="Arial"/>
          <w:sz w:val="22"/>
          <w:szCs w:val="22"/>
        </w:rPr>
        <w:t>ifica que las reformas implican la derogación de artículos que permitían dispensas (como en Coahuila, Hidalgo o Sonora) y la reubicación de las disposiciones legales en códigos familiares (como en Michoacán y Oaxaca), lo que refleja un esfuerzo por alinear</w:t>
      </w:r>
      <w:r w:rsidRPr="00E8613C">
        <w:rPr>
          <w:rFonts w:ascii="Arial" w:eastAsia="Arial" w:hAnsi="Arial" w:cs="Arial"/>
          <w:sz w:val="22"/>
          <w:szCs w:val="22"/>
        </w:rPr>
        <w:t xml:space="preserve"> los marcos jurídicos estatales con los estándares internacionales en derechos humanos.</w:t>
      </w:r>
    </w:p>
    <w:p w14:paraId="28D534A4"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b/>
          <w:sz w:val="22"/>
          <w:szCs w:val="22"/>
        </w:rPr>
        <w:t>Cifras por estados</w:t>
      </w:r>
    </w:p>
    <w:p w14:paraId="16514608"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Según las estadísticas de matrimonio 2000-2022 del INEGI, analizadas por la Red por los Derechos de la Infancia en México (REDIM, 2024), en 2020 se e</w:t>
      </w:r>
      <w:r w:rsidRPr="00E8613C">
        <w:rPr>
          <w:rFonts w:ascii="Arial" w:eastAsia="Arial" w:hAnsi="Arial" w:cs="Arial"/>
          <w:sz w:val="22"/>
          <w:szCs w:val="22"/>
        </w:rPr>
        <w:t xml:space="preserve">stableció la edad mínima de 18 años para contraer matrimonio en México. Sin embargo, ese mismo año se registraron 24 uniones en las que al menos una de las contrayentes era una mujer menor de edad, con edades que oscilaban entre los 12 y los 17 años. Para </w:t>
      </w:r>
      <w:r w:rsidRPr="00E8613C">
        <w:rPr>
          <w:rFonts w:ascii="Arial" w:eastAsia="Arial" w:hAnsi="Arial" w:cs="Arial"/>
          <w:sz w:val="22"/>
          <w:szCs w:val="22"/>
        </w:rPr>
        <w:t>2021, estas uniones tempranas aumentan a 42 casos. Aunque en 2022 se observó un descenso, con 27 matrimonios registrados en estas condiciones, la persistencia de estas uniones evidencia que la prohibición legal no ha sido suficiente para erradicar la práct</w:t>
      </w:r>
      <w:r w:rsidRPr="00E8613C">
        <w:rPr>
          <w:rFonts w:ascii="Arial" w:eastAsia="Arial" w:hAnsi="Arial" w:cs="Arial"/>
          <w:sz w:val="22"/>
          <w:szCs w:val="22"/>
        </w:rPr>
        <w:t>ica (REDIM, s/p).</w:t>
      </w:r>
    </w:p>
    <w:p w14:paraId="46F85B33" w14:textId="20BB88D0"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Con la reforma al Código Civil Federal, se puede ver una disminución en 2019, registrando 58 mujeres y 11 hombres menores de 18 años que contrajeron matrimonio, en donde 15 años fue la registrada en la que 2 mujeres contrajeron nupcias. L</w:t>
      </w:r>
      <w:r w:rsidRPr="00E8613C">
        <w:rPr>
          <w:rFonts w:ascii="Arial" w:eastAsia="Arial" w:hAnsi="Arial" w:cs="Arial"/>
          <w:sz w:val="22"/>
          <w:szCs w:val="22"/>
        </w:rPr>
        <w:t>os estados que autorizaron estos matrimonios fueron Colima, Chihuahua, Durango, Guanajuato, Jalisco, Michoacán de Ocampo, Morelos, Puebla, Querétaro, San Luis Potosí, Sinaloa, Sonora, Tamaulipas, Veracruz de Ignacio de la Llave y Zacatecas. El estado que r</w:t>
      </w:r>
      <w:r w:rsidRPr="00E8613C">
        <w:rPr>
          <w:rFonts w:ascii="Arial" w:eastAsia="Arial" w:hAnsi="Arial" w:cs="Arial"/>
          <w:sz w:val="22"/>
          <w:szCs w:val="22"/>
        </w:rPr>
        <w:t>egistró más matrimonios infantiles fue Chihuahua con 16, Durango con 11 y Sonora con 19.</w:t>
      </w:r>
      <w:r w:rsidR="001B7C75">
        <w:rPr>
          <w:rFonts w:ascii="Arial" w:eastAsia="Arial" w:hAnsi="Arial" w:cs="Arial"/>
          <w:sz w:val="22"/>
          <w:szCs w:val="22"/>
        </w:rPr>
        <w:t xml:space="preserve"> </w:t>
      </w:r>
      <w:r w:rsidR="00507E85">
        <w:rPr>
          <w:rFonts w:ascii="Arial" w:eastAsia="Arial" w:hAnsi="Arial" w:cs="Arial"/>
          <w:sz w:val="22"/>
          <w:szCs w:val="22"/>
        </w:rPr>
        <w:t>(Gobierno de México, 2019).</w:t>
      </w:r>
    </w:p>
    <w:p w14:paraId="40CF9981" w14:textId="77777777" w:rsidR="00D34ED4" w:rsidRPr="00E8613C" w:rsidRDefault="00246C10" w:rsidP="00E8613C">
      <w:pPr>
        <w:spacing w:line="276" w:lineRule="auto"/>
        <w:jc w:val="both"/>
        <w:rPr>
          <w:rFonts w:ascii="Arial" w:eastAsia="Arial" w:hAnsi="Arial" w:cs="Arial"/>
          <w:sz w:val="22"/>
          <w:szCs w:val="22"/>
        </w:rPr>
      </w:pPr>
      <w:proofErr w:type="spellStart"/>
      <w:r w:rsidRPr="00E8613C">
        <w:rPr>
          <w:rFonts w:ascii="Arial" w:eastAsia="Arial" w:hAnsi="Arial" w:cs="Arial"/>
          <w:sz w:val="22"/>
          <w:szCs w:val="22"/>
        </w:rPr>
        <w:t>Asi</w:t>
      </w:r>
      <w:proofErr w:type="spellEnd"/>
      <w:r w:rsidRPr="00E8613C">
        <w:rPr>
          <w:rFonts w:ascii="Arial" w:eastAsia="Arial" w:hAnsi="Arial" w:cs="Arial"/>
          <w:sz w:val="22"/>
          <w:szCs w:val="22"/>
        </w:rPr>
        <w:t xml:space="preserve"> constatamos que incluso en los estados donde se ha prohibido el matrimonio infantil, este se realiza sin dificultad. En 2020 se tiene u</w:t>
      </w:r>
      <w:r w:rsidRPr="00E8613C">
        <w:rPr>
          <w:rFonts w:ascii="Arial" w:eastAsia="Arial" w:hAnsi="Arial" w:cs="Arial"/>
          <w:sz w:val="22"/>
          <w:szCs w:val="22"/>
        </w:rPr>
        <w:t xml:space="preserve">n registro de 2 hombres y 24 mujeres, a pesar de registrar menos matrimonios que el año anterior la edad mínima que se registró fue una mujer con 14 años. Los estados que autorizan estos matrimonios fueron Chihuahua, Durango, Guanajuato, Hidalgo, Jalisco, </w:t>
      </w:r>
      <w:r w:rsidRPr="00E8613C">
        <w:rPr>
          <w:rFonts w:ascii="Arial" w:eastAsia="Arial" w:hAnsi="Arial" w:cs="Arial"/>
          <w:sz w:val="22"/>
          <w:szCs w:val="22"/>
        </w:rPr>
        <w:t xml:space="preserve">Nuevo León, Puebla, San Luis Potosí y Zacatecas. El estado con </w:t>
      </w:r>
      <w:proofErr w:type="gramStart"/>
      <w:r w:rsidRPr="00E8613C">
        <w:rPr>
          <w:rFonts w:ascii="Arial" w:eastAsia="Arial" w:hAnsi="Arial" w:cs="Arial"/>
          <w:sz w:val="22"/>
          <w:szCs w:val="22"/>
        </w:rPr>
        <w:t>mayor registros</w:t>
      </w:r>
      <w:proofErr w:type="gramEnd"/>
      <w:r w:rsidRPr="00E8613C">
        <w:rPr>
          <w:rFonts w:ascii="Arial" w:eastAsia="Arial" w:hAnsi="Arial" w:cs="Arial"/>
          <w:sz w:val="22"/>
          <w:szCs w:val="22"/>
        </w:rPr>
        <w:t xml:space="preserve"> fue Chihuahua con 7, seguido de Durango con 5. En 2020, entre los 12 y 17 años era tres veces superior a la de hombres de la misma edad (76,322) (Red por los Derechos de la Infa</w:t>
      </w:r>
      <w:r w:rsidRPr="00E8613C">
        <w:rPr>
          <w:rFonts w:ascii="Arial" w:eastAsia="Arial" w:hAnsi="Arial" w:cs="Arial"/>
          <w:sz w:val="22"/>
          <w:szCs w:val="22"/>
        </w:rPr>
        <w:t>ncia en México, 2022).</w:t>
      </w:r>
    </w:p>
    <w:p w14:paraId="7740CBDE"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En 2021 se tiene un registro de 42 mujeres y 6 hombres menores de 18 años lo cual indica un mayor número que en el 2020, la edad más baja registrada fue de un hombre de 13 años. Los estados que autorizaron estos matrimonios fueron Ag</w:t>
      </w:r>
      <w:r w:rsidRPr="00E8613C">
        <w:rPr>
          <w:rFonts w:ascii="Arial" w:eastAsia="Arial" w:hAnsi="Arial" w:cs="Arial"/>
          <w:sz w:val="22"/>
          <w:szCs w:val="22"/>
        </w:rPr>
        <w:t xml:space="preserve">uascalientes, Chihuahua, Durango, Jalisco, Guanajuato, Michoacán de Ocampo, Nayarit, Nuevo León, Puebla, San Luis Potosí, Sonora y Tamaulipas. Los estados con mayor registro de matrimonios infantiles </w:t>
      </w:r>
      <w:r w:rsidRPr="00E8613C">
        <w:rPr>
          <w:rFonts w:ascii="Arial" w:eastAsia="Arial" w:hAnsi="Arial" w:cs="Arial"/>
          <w:sz w:val="22"/>
          <w:szCs w:val="22"/>
        </w:rPr>
        <w:lastRenderedPageBreak/>
        <w:t>fueron Durango con 14 y Chihuahua con 9. Hasta 2021, 6 d</w:t>
      </w:r>
      <w:r w:rsidRPr="00E8613C">
        <w:rPr>
          <w:rFonts w:ascii="Arial" w:eastAsia="Arial" w:hAnsi="Arial" w:cs="Arial"/>
          <w:sz w:val="22"/>
          <w:szCs w:val="22"/>
        </w:rPr>
        <w:t>e cada mil niñas de 12 a 14 años se han unido o casado (Instituto Nacional de Estadística y Geografía, 2021).</w:t>
      </w:r>
    </w:p>
    <w:p w14:paraId="6832B416" w14:textId="77777777"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b/>
          <w:sz w:val="22"/>
          <w:szCs w:val="22"/>
        </w:rPr>
        <w:t>Prácticas culturales</w:t>
      </w:r>
    </w:p>
    <w:p w14:paraId="7C339DC2" w14:textId="64E5EA6E"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El matrimonio infantil no es el mismo en las áreas rurales que urbanas y tampoco tienen la misma connotación cultural y socia</w:t>
      </w:r>
      <w:r w:rsidRPr="00E8613C">
        <w:rPr>
          <w:rFonts w:ascii="Arial" w:eastAsia="Arial" w:hAnsi="Arial" w:cs="Arial"/>
          <w:sz w:val="22"/>
          <w:szCs w:val="22"/>
        </w:rPr>
        <w:t xml:space="preserve">l, de acuerdo a </w:t>
      </w:r>
      <w:proofErr w:type="spellStart"/>
      <w:r w:rsidRPr="00E8613C">
        <w:rPr>
          <w:rFonts w:ascii="Arial" w:eastAsia="Arial" w:hAnsi="Arial" w:cs="Arial"/>
          <w:sz w:val="22"/>
          <w:szCs w:val="22"/>
        </w:rPr>
        <w:t>Santillan</w:t>
      </w:r>
      <w:proofErr w:type="spellEnd"/>
      <w:r w:rsidRPr="00E8613C">
        <w:rPr>
          <w:rFonts w:ascii="Arial" w:eastAsia="Arial" w:hAnsi="Arial" w:cs="Arial"/>
          <w:sz w:val="22"/>
          <w:szCs w:val="22"/>
        </w:rPr>
        <w:t>, en el 2021, “De las mujeres en áreas rurales, 30.9% se casaron o unieron antes de cumplir los 18 años (esta situación se agrava cuando las mujeres son hablantes de lenguas indígenas, pues el porcentaje sube a 34.8%). En cambio, e</w:t>
      </w:r>
      <w:r w:rsidRPr="00E8613C">
        <w:rPr>
          <w:rFonts w:ascii="Arial" w:eastAsia="Arial" w:hAnsi="Arial" w:cs="Arial"/>
          <w:sz w:val="22"/>
          <w:szCs w:val="22"/>
        </w:rPr>
        <w:t>n las zonas urbanas el porcentaje baja a casi 19%.” (Santillán, 2021).</w:t>
      </w:r>
    </w:p>
    <w:p w14:paraId="63381FA6" w14:textId="6D1E0483" w:rsidR="00D34ED4" w:rsidRPr="00E8613C" w:rsidRDefault="00246C10" w:rsidP="00E8613C">
      <w:pPr>
        <w:spacing w:line="276" w:lineRule="auto"/>
        <w:jc w:val="both"/>
        <w:rPr>
          <w:rFonts w:ascii="Arial" w:eastAsia="Arial" w:hAnsi="Arial" w:cs="Arial"/>
          <w:sz w:val="22"/>
          <w:szCs w:val="22"/>
        </w:rPr>
      </w:pPr>
      <w:r w:rsidRPr="00E8613C">
        <w:rPr>
          <w:rFonts w:ascii="Arial" w:eastAsia="Arial" w:hAnsi="Arial" w:cs="Arial"/>
          <w:sz w:val="22"/>
          <w:szCs w:val="22"/>
        </w:rPr>
        <w:t>En el Censo 2020 del INEGI se encontró que, a nivel nacional, 27,800 mujeres indígenas de 12 a 17 años se encontraban casadas o en unión conyugal, lo que representaba el 7.5% de la pobl</w:t>
      </w:r>
      <w:r w:rsidRPr="00E8613C">
        <w:rPr>
          <w:rFonts w:ascii="Arial" w:eastAsia="Arial" w:hAnsi="Arial" w:cs="Arial"/>
          <w:sz w:val="22"/>
          <w:szCs w:val="22"/>
        </w:rPr>
        <w:t>ación femenina indígena en ese rango de edad. La situación era aún más grave en las adolescentes más jóvenes: 1.2% de las indígenas entre 12 y 14 años ya vivían en pareja. Geográficamente, los estados con mayor prevalencia fueron Sinaloa, Baja California S</w:t>
      </w:r>
      <w:r w:rsidRPr="00E8613C">
        <w:rPr>
          <w:rFonts w:ascii="Arial" w:eastAsia="Arial" w:hAnsi="Arial" w:cs="Arial"/>
          <w:sz w:val="22"/>
          <w:szCs w:val="22"/>
        </w:rPr>
        <w:t>ur y Tamaulipas. En Sinaloa, el 18.5% de las jóvenes indígenas de 12 a 17 años estaban casadas o unidas. (REDIM, 2022)</w:t>
      </w:r>
      <w:r w:rsidR="00BA7B03">
        <w:rPr>
          <w:rFonts w:ascii="Arial" w:eastAsia="Arial" w:hAnsi="Arial" w:cs="Arial"/>
          <w:sz w:val="22"/>
          <w:szCs w:val="22"/>
        </w:rPr>
        <w:t>.</w:t>
      </w:r>
    </w:p>
    <w:p w14:paraId="3058400D" w14:textId="22F8AB68" w:rsidR="00D34ED4" w:rsidRPr="00E8613C" w:rsidRDefault="00BA7B03" w:rsidP="00E8613C">
      <w:pPr>
        <w:spacing w:line="276" w:lineRule="auto"/>
        <w:jc w:val="both"/>
        <w:rPr>
          <w:rFonts w:ascii="Arial" w:eastAsia="Arial" w:hAnsi="Arial" w:cs="Arial"/>
          <w:sz w:val="22"/>
          <w:szCs w:val="22"/>
        </w:rPr>
      </w:pPr>
      <w:r w:rsidRPr="00BA7B03">
        <w:rPr>
          <w:rFonts w:ascii="Arial" w:eastAsia="Arial" w:hAnsi="Arial" w:cs="Arial"/>
          <w:sz w:val="22"/>
          <w:szCs w:val="22"/>
        </w:rPr>
        <w:t xml:space="preserve">La Montaña de Guerrero, una de las regiones más pobres y marginadas de México, concentra altos índices de analfabetismo, aislamiento geográfico y comunidades indígenas como mixtecos, nahuas y tlapanecos. Las niñas indígenas enfrentan matrimonios forzados desde los 12 años, transaccionadas mediante trueques (animales, alcohol o dinero) bajo usos y costumbres patriarcales. En municipios como Cochoapa el Grande y </w:t>
      </w:r>
      <w:proofErr w:type="spellStart"/>
      <w:r w:rsidRPr="00BA7B03">
        <w:rPr>
          <w:rFonts w:ascii="Arial" w:eastAsia="Arial" w:hAnsi="Arial" w:cs="Arial"/>
          <w:sz w:val="22"/>
          <w:szCs w:val="22"/>
        </w:rPr>
        <w:t>Metlatónoc</w:t>
      </w:r>
      <w:proofErr w:type="spellEnd"/>
      <w:r w:rsidRPr="00BA7B03">
        <w:rPr>
          <w:rFonts w:ascii="Arial" w:eastAsia="Arial" w:hAnsi="Arial" w:cs="Arial"/>
          <w:sz w:val="22"/>
          <w:szCs w:val="22"/>
        </w:rPr>
        <w:t xml:space="preserve">, estas uniones se comercializan por hasta 250 mil pesos, con complicidad de autoridades locales. Las víctimas son sometidas a esclavitud doméstica y violencia, sin acceso a educación ni protección. La pobreza extrema, la omisión estatal y la falta de políticas públicas perpetuán esta violación sistemática de derechos humanos, denunciada por organizaciones como </w:t>
      </w:r>
      <w:proofErr w:type="spellStart"/>
      <w:r w:rsidRPr="00BA7B03">
        <w:rPr>
          <w:rFonts w:ascii="Arial" w:eastAsia="Arial" w:hAnsi="Arial" w:cs="Arial"/>
          <w:sz w:val="22"/>
          <w:szCs w:val="22"/>
        </w:rPr>
        <w:t>Tlachinollan</w:t>
      </w:r>
      <w:proofErr w:type="spellEnd"/>
      <w:r w:rsidRPr="00BA7B03">
        <w:rPr>
          <w:rFonts w:ascii="Arial" w:eastAsia="Arial" w:hAnsi="Arial" w:cs="Arial"/>
          <w:sz w:val="22"/>
          <w:szCs w:val="22"/>
        </w:rPr>
        <w:t>, sin que existan mecanismos efectivos para erradicarla.</w:t>
      </w:r>
    </w:p>
    <w:p w14:paraId="449E0AEA" w14:textId="77777777" w:rsidR="00D34ED4" w:rsidRPr="00E8613C" w:rsidRDefault="00246C10" w:rsidP="00E8613C">
      <w:pPr>
        <w:spacing w:after="0" w:line="276" w:lineRule="auto"/>
        <w:jc w:val="center"/>
        <w:rPr>
          <w:rFonts w:ascii="Arial" w:eastAsia="Arial" w:hAnsi="Arial" w:cs="Arial"/>
          <w:b/>
        </w:rPr>
      </w:pPr>
      <w:r w:rsidRPr="00E8613C">
        <w:rPr>
          <w:rFonts w:ascii="Arial" w:eastAsia="Arial" w:hAnsi="Arial" w:cs="Arial"/>
          <w:b/>
        </w:rPr>
        <w:t>Embarazo en niñas y adolescentes</w:t>
      </w:r>
    </w:p>
    <w:p w14:paraId="7E1584D3" w14:textId="77777777" w:rsidR="00D34ED4" w:rsidRPr="00E8613C" w:rsidRDefault="00246C10" w:rsidP="00E8613C">
      <w:pPr>
        <w:spacing w:after="0" w:line="276" w:lineRule="auto"/>
        <w:jc w:val="both"/>
        <w:rPr>
          <w:rFonts w:ascii="Arial" w:eastAsia="Arial" w:hAnsi="Arial" w:cs="Arial"/>
          <w:b/>
          <w:sz w:val="22"/>
          <w:szCs w:val="22"/>
        </w:rPr>
      </w:pPr>
      <w:r>
        <w:rPr>
          <w:rFonts w:ascii="Arial" w:hAnsi="Arial" w:cs="Arial"/>
          <w:noProof/>
          <w:sz w:val="22"/>
          <w:szCs w:val="22"/>
        </w:rPr>
        <w:pict w14:anchorId="502EBB73">
          <v:rect id="_x0000_i1026" alt="" style="width:441.9pt;height:.05pt;mso-width-percent:0;mso-height-percent:0;mso-width-percent:0;mso-height-percent:0" o:hralign="center" o:hrstd="t" o:hr="t" fillcolor="#a0a0a0" stroked="f"/>
        </w:pict>
      </w:r>
    </w:p>
    <w:p w14:paraId="1A95A058" w14:textId="3114089B" w:rsidR="00D34ED4" w:rsidRPr="00E8613C" w:rsidRDefault="00246C10" w:rsidP="00E8613C">
      <w:pPr>
        <w:spacing w:line="276" w:lineRule="auto"/>
        <w:jc w:val="both"/>
        <w:rPr>
          <w:rFonts w:ascii="Arial" w:hAnsi="Arial" w:cs="Arial"/>
          <w:sz w:val="22"/>
          <w:szCs w:val="22"/>
        </w:rPr>
      </w:pPr>
      <w:r w:rsidRPr="00E8613C">
        <w:rPr>
          <w:rFonts w:ascii="Arial" w:hAnsi="Arial" w:cs="Arial"/>
          <w:sz w:val="22"/>
          <w:szCs w:val="22"/>
        </w:rPr>
        <w:t>América Latina es la segunda región del mundo con mayores tasas de embarazo adolescente en el mundo y con una tendencia al alza espe</w:t>
      </w:r>
      <w:r w:rsidRPr="00E8613C">
        <w:rPr>
          <w:rFonts w:ascii="Arial" w:hAnsi="Arial" w:cs="Arial"/>
          <w:sz w:val="22"/>
          <w:szCs w:val="22"/>
        </w:rPr>
        <w:t>cíficamente en las menores de 15 años, se estima que 2 de cada 100 mujeres en la región parieron antes de los 15 años. (OPS, 2023) Si bien México no tiene el rango más alto en la región sigue esta misma tendencia con los embarazos en menores de 15 años deb</w:t>
      </w:r>
      <w:r w:rsidRPr="00E8613C">
        <w:rPr>
          <w:rFonts w:ascii="Arial" w:hAnsi="Arial" w:cs="Arial"/>
          <w:sz w:val="22"/>
          <w:szCs w:val="22"/>
        </w:rPr>
        <w:t>ido a las persistentes desigualdades que comparte con la región. (UNFPA, 2023)</w:t>
      </w:r>
      <w:r w:rsidR="001B7C75">
        <w:rPr>
          <w:rFonts w:ascii="Arial" w:hAnsi="Arial" w:cs="Arial"/>
          <w:sz w:val="22"/>
          <w:szCs w:val="22"/>
        </w:rPr>
        <w:t>. E</w:t>
      </w:r>
      <w:r w:rsidRPr="00E8613C">
        <w:rPr>
          <w:rFonts w:ascii="Arial" w:hAnsi="Arial" w:cs="Arial"/>
          <w:sz w:val="22"/>
          <w:szCs w:val="22"/>
        </w:rPr>
        <w:t>l país se encuentra en el rango más alto con una medición de 60.3 hijas/os por millar dentro del rango de 15 a 19 años y una razón de 1.69 nacimientos por millar para las niña</w:t>
      </w:r>
      <w:r w:rsidRPr="00E8613C">
        <w:rPr>
          <w:rFonts w:ascii="Arial" w:hAnsi="Arial" w:cs="Arial"/>
          <w:sz w:val="22"/>
          <w:szCs w:val="22"/>
        </w:rPr>
        <w:t>s de edades que van entre los 10 y 14 años. (INEGI, 2022).</w:t>
      </w:r>
    </w:p>
    <w:p w14:paraId="79351606" w14:textId="77777777" w:rsidR="00D34ED4" w:rsidRPr="00E8613C" w:rsidRDefault="00246C10" w:rsidP="00E8613C">
      <w:pPr>
        <w:spacing w:line="276" w:lineRule="auto"/>
        <w:jc w:val="both"/>
        <w:rPr>
          <w:rFonts w:ascii="Arial" w:hAnsi="Arial" w:cs="Arial"/>
          <w:sz w:val="22"/>
          <w:szCs w:val="22"/>
        </w:rPr>
      </w:pPr>
      <w:r w:rsidRPr="00E8613C">
        <w:rPr>
          <w:rFonts w:ascii="Arial" w:hAnsi="Arial" w:cs="Arial"/>
          <w:sz w:val="22"/>
          <w:szCs w:val="22"/>
        </w:rPr>
        <w:t>En 2015 se creó la Estrategia Nacional para la Prevención del Embarazo en Adolescentes (ENAPEA) teniendo como finalidad “reducir el número de embarazos en adolescentes en México con absoluto respet</w:t>
      </w:r>
      <w:r w:rsidRPr="00E8613C">
        <w:rPr>
          <w:rFonts w:ascii="Arial" w:hAnsi="Arial" w:cs="Arial"/>
          <w:sz w:val="22"/>
          <w:szCs w:val="22"/>
        </w:rPr>
        <w:t xml:space="preserve">o a los derechos humanos, particularmente los derechos </w:t>
      </w:r>
      <w:r w:rsidRPr="00E8613C">
        <w:rPr>
          <w:rFonts w:ascii="Arial" w:hAnsi="Arial" w:cs="Arial"/>
          <w:sz w:val="22"/>
          <w:szCs w:val="22"/>
        </w:rPr>
        <w:lastRenderedPageBreak/>
        <w:t>sexuales y reproductivos.”(CONAPO, 2015:81) Desglosando dos grandes metas para el año 2030: “1) Disminuir a cero los nacimientos en niñas de 10 a 14 años y 2) Reducir en un 50% la tasa específica de fe</w:t>
      </w:r>
      <w:r w:rsidRPr="00E8613C">
        <w:rPr>
          <w:rFonts w:ascii="Arial" w:hAnsi="Arial" w:cs="Arial"/>
          <w:sz w:val="22"/>
          <w:szCs w:val="22"/>
        </w:rPr>
        <w:t xml:space="preserve">cundidad de las adolescentes de 15 a 19 años.” (CONAPO, 2015:90) </w:t>
      </w:r>
    </w:p>
    <w:p w14:paraId="049ADE04" w14:textId="77777777" w:rsidR="00D34ED4" w:rsidRPr="00E8613C" w:rsidRDefault="00246C10" w:rsidP="00E8613C">
      <w:pPr>
        <w:spacing w:line="276" w:lineRule="auto"/>
        <w:jc w:val="both"/>
        <w:rPr>
          <w:rFonts w:ascii="Arial" w:hAnsi="Arial" w:cs="Arial"/>
          <w:sz w:val="22"/>
          <w:szCs w:val="22"/>
        </w:rPr>
      </w:pPr>
      <w:r w:rsidRPr="00E8613C">
        <w:rPr>
          <w:rFonts w:ascii="Arial" w:hAnsi="Arial" w:cs="Arial"/>
          <w:sz w:val="22"/>
          <w:szCs w:val="22"/>
        </w:rPr>
        <w:t>Cabe destacar que el diseño de la ENAPEA cuenta con un enfoque de derechos humanos y con perspectiva de género permitiendo visualizar las desigualdades que enfrentan las mujeres cuando se em</w:t>
      </w:r>
      <w:r w:rsidRPr="00E8613C">
        <w:rPr>
          <w:rFonts w:ascii="Arial" w:hAnsi="Arial" w:cs="Arial"/>
          <w:sz w:val="22"/>
          <w:szCs w:val="22"/>
        </w:rPr>
        <w:t>barazan o se convierten en madres a temprana edad, así como las razones por el cuál sucede el fenómeno y cuál es el papel de los hombres en relación con ello. Por tanto, la implementación debería realizar intervenciones en correspondencia con las necesidad</w:t>
      </w:r>
      <w:r w:rsidRPr="00E8613C">
        <w:rPr>
          <w:rFonts w:ascii="Arial" w:hAnsi="Arial" w:cs="Arial"/>
          <w:sz w:val="22"/>
          <w:szCs w:val="22"/>
        </w:rPr>
        <w:t>es y oportunidades de cada sexo buscando atacar las desigualdades de género.</w:t>
      </w:r>
    </w:p>
    <w:p w14:paraId="4444006B" w14:textId="77777777" w:rsidR="00D34ED4" w:rsidRPr="00E8613C" w:rsidRDefault="00246C10" w:rsidP="00E8613C">
      <w:pPr>
        <w:spacing w:line="276" w:lineRule="auto"/>
        <w:jc w:val="both"/>
        <w:rPr>
          <w:rFonts w:ascii="Arial" w:hAnsi="Arial" w:cs="Arial"/>
          <w:sz w:val="22"/>
          <w:szCs w:val="22"/>
        </w:rPr>
      </w:pPr>
      <w:r w:rsidRPr="00E8613C">
        <w:rPr>
          <w:rFonts w:ascii="Arial" w:hAnsi="Arial" w:cs="Arial"/>
          <w:sz w:val="22"/>
          <w:szCs w:val="22"/>
        </w:rPr>
        <w:t xml:space="preserve">Si bien desde la implementación de la ENAPEA entre 2015 y 2023, a nivel Nacional la tasa de fecundidad en adolescentes de 15 a 19 años se ha reducido 16.7%, llama la atención que </w:t>
      </w:r>
      <w:r w:rsidRPr="00E8613C">
        <w:rPr>
          <w:rFonts w:ascii="Arial" w:hAnsi="Arial" w:cs="Arial"/>
          <w:sz w:val="22"/>
          <w:szCs w:val="22"/>
        </w:rPr>
        <w:t>la tasa de fecundidad en niñas menores de 14 años tiene una tendencia al alza. Se estima que entre 2015 y 2022 la razón de fecundidad en niñas de 10 a 14 años pasó de 1.63 a 1.69 nacimientos por cada mil niñas de 10 a 14 años, específicamente en adolescent</w:t>
      </w:r>
      <w:r w:rsidRPr="00E8613C">
        <w:rPr>
          <w:rFonts w:ascii="Arial" w:hAnsi="Arial" w:cs="Arial"/>
          <w:sz w:val="22"/>
          <w:szCs w:val="22"/>
        </w:rPr>
        <w:t>es de 12 a 14 años, la tasa de fecundidad pasó de 2.71 a 2.81 nacimientos por cada mil niñas de 12 a 14 años en el mismo periodo. (CONAPO, 2022)</w:t>
      </w:r>
    </w:p>
    <w:p w14:paraId="7FD0CEDA" w14:textId="07C95A98" w:rsidR="00D34ED4" w:rsidRPr="00E8613C" w:rsidRDefault="00246C10" w:rsidP="00E8613C">
      <w:pPr>
        <w:spacing w:line="276" w:lineRule="auto"/>
        <w:jc w:val="both"/>
        <w:rPr>
          <w:rFonts w:ascii="Arial" w:hAnsi="Arial" w:cs="Arial"/>
          <w:sz w:val="22"/>
          <w:szCs w:val="22"/>
        </w:rPr>
      </w:pPr>
      <w:r w:rsidRPr="00E8613C">
        <w:rPr>
          <w:rFonts w:ascii="Arial" w:hAnsi="Arial" w:cs="Arial"/>
          <w:sz w:val="22"/>
          <w:szCs w:val="22"/>
        </w:rPr>
        <w:t>Una de las principales causas identificadas es la violencia hacia las mujeres, hablando en particular de la violencia sexual. De acuerdo con el Instituto Nacional de Estadística y Geografía (INEGI, 2022) el 50% mujeres adolescentes han enfrentado violencia</w:t>
      </w:r>
      <w:r w:rsidRPr="00E8613C">
        <w:rPr>
          <w:rFonts w:ascii="Arial" w:hAnsi="Arial" w:cs="Arial"/>
          <w:sz w:val="22"/>
          <w:szCs w:val="22"/>
        </w:rPr>
        <w:t xml:space="preserve"> emocional, 40% violencia sexual y 30% sufrieron violencia física. Con base a los datos de la Encuesta Nacional sobre la Dinámica de las Relaciones en los Hogares (ENDIREH, 2022) 12.6% de mujeres en México fueron víctimas de abuso sexual alguna vez durante</w:t>
      </w:r>
      <w:r w:rsidRPr="00E8613C">
        <w:rPr>
          <w:rFonts w:ascii="Arial" w:hAnsi="Arial" w:cs="Arial"/>
          <w:sz w:val="22"/>
          <w:szCs w:val="22"/>
        </w:rPr>
        <w:t xml:space="preserve"> su infancia, de las cuales el 9.3% indicaron que le tocaron sus partes íntimas o la obligaron a tocar las partes íntimas de otra persona sin su consentimiento, 4.7% intentaron forzarla a tener relaciones sexuales, 4% la obligaron a mostrar sus partes ínti</w:t>
      </w:r>
      <w:r w:rsidRPr="00E8613C">
        <w:rPr>
          <w:rFonts w:ascii="Arial" w:hAnsi="Arial" w:cs="Arial"/>
          <w:sz w:val="22"/>
          <w:szCs w:val="22"/>
        </w:rPr>
        <w:t xml:space="preserve">mas y/o a mirar las partes íntimas de otra persona, 3.3% la obligaron a tener relaciones sexuales bajo amenazas o usando la fuerza y 1.1% la obligaron a realizar actos sexuales a cambio de dinero o regalos. </w:t>
      </w:r>
    </w:p>
    <w:p w14:paraId="089C7410" w14:textId="77777777" w:rsidR="00D34ED4" w:rsidRPr="00E8613C" w:rsidRDefault="00246C10" w:rsidP="00E8613C">
      <w:pPr>
        <w:spacing w:line="276" w:lineRule="auto"/>
        <w:jc w:val="both"/>
        <w:rPr>
          <w:rFonts w:ascii="Arial" w:hAnsi="Arial" w:cs="Arial"/>
          <w:sz w:val="22"/>
          <w:szCs w:val="22"/>
        </w:rPr>
      </w:pPr>
      <w:r w:rsidRPr="00E8613C">
        <w:rPr>
          <w:rFonts w:ascii="Arial" w:hAnsi="Arial" w:cs="Arial"/>
          <w:sz w:val="22"/>
          <w:szCs w:val="22"/>
        </w:rPr>
        <w:t>Otro factor relevante es que en México a pesar d</w:t>
      </w:r>
      <w:r w:rsidRPr="00E8613C">
        <w:rPr>
          <w:rFonts w:ascii="Arial" w:hAnsi="Arial" w:cs="Arial"/>
          <w:sz w:val="22"/>
          <w:szCs w:val="22"/>
        </w:rPr>
        <w:t>e ser un país que se asume como Estado laico desde las Leyes de Reforma (1863) y con los mayores índices de laicidad en América Latina afín con los derechos humanos y estatutos internacionales, el protagonismo de las instancias religiosas, especialmente la</w:t>
      </w:r>
      <w:r w:rsidRPr="00E8613C">
        <w:rPr>
          <w:rFonts w:ascii="Arial" w:hAnsi="Arial" w:cs="Arial"/>
          <w:sz w:val="22"/>
          <w:szCs w:val="22"/>
        </w:rPr>
        <w:t xml:space="preserve"> católica y derivaciones, mantienen su fuerza en el ámbito de las políticas públicas a partir de la construcción de figuras como organizaciones de la sociedad civil que promueven visiones tradicionales y anti derechos, que genera una tensión en especial co</w:t>
      </w:r>
      <w:r w:rsidRPr="00E8613C">
        <w:rPr>
          <w:rFonts w:ascii="Arial" w:hAnsi="Arial" w:cs="Arial"/>
          <w:sz w:val="22"/>
          <w:szCs w:val="22"/>
        </w:rPr>
        <w:t>n los derechos sexuales y reproductivos.(Católicas por el Derecho a Decidir A.C., 2020)</w:t>
      </w:r>
    </w:p>
    <w:p w14:paraId="751D4ED2" w14:textId="77777777" w:rsidR="00D34ED4" w:rsidRPr="00E8613C" w:rsidRDefault="00246C10" w:rsidP="00E8613C">
      <w:pPr>
        <w:spacing w:line="276" w:lineRule="auto"/>
        <w:jc w:val="both"/>
        <w:rPr>
          <w:rFonts w:ascii="Arial" w:hAnsi="Arial" w:cs="Arial"/>
          <w:sz w:val="22"/>
          <w:szCs w:val="22"/>
        </w:rPr>
      </w:pPr>
      <w:r w:rsidRPr="00E8613C">
        <w:rPr>
          <w:rFonts w:ascii="Arial" w:hAnsi="Arial" w:cs="Arial"/>
          <w:sz w:val="22"/>
          <w:szCs w:val="22"/>
        </w:rPr>
        <w:t>El país cuenta con un marco normativo amplio respecto a los derechos sexuales y reproductivos desde la Constitución (artículos 1°, 3° y 4°), Leyes, reglamentos y Normas</w:t>
      </w:r>
      <w:r w:rsidRPr="00E8613C">
        <w:rPr>
          <w:rFonts w:ascii="Arial" w:hAnsi="Arial" w:cs="Arial"/>
          <w:sz w:val="22"/>
          <w:szCs w:val="22"/>
        </w:rPr>
        <w:t xml:space="preserve"> Oficiales (NOMS), sin embargo, el panorama local es bastante desigual. Tal es el caso de </w:t>
      </w:r>
      <w:r w:rsidRPr="00E8613C">
        <w:rPr>
          <w:rFonts w:ascii="Arial" w:hAnsi="Arial" w:cs="Arial"/>
          <w:sz w:val="22"/>
          <w:szCs w:val="22"/>
        </w:rPr>
        <w:lastRenderedPageBreak/>
        <w:t>la Interrupción Legal del Embarazo (ILE), donde 20 de 32 Estados han despenalizado el aborto, mientras que dos Estados (Morelos y San Luis Potosí) aún protegen la vid</w:t>
      </w:r>
      <w:r w:rsidRPr="00E8613C">
        <w:rPr>
          <w:rFonts w:ascii="Arial" w:hAnsi="Arial" w:cs="Arial"/>
          <w:sz w:val="22"/>
          <w:szCs w:val="22"/>
        </w:rPr>
        <w:t>a desde la concepción en sus constituciones locales. (GIRE, 2023) y falta avanzar en el tema ya que aún se reconoce la objeción de conciencia del personal de salud en la Ley General de Salud lo que en la práctica obstaculiza los derechos sexuales y reprodu</w:t>
      </w:r>
      <w:r w:rsidRPr="00E8613C">
        <w:rPr>
          <w:rFonts w:ascii="Arial" w:hAnsi="Arial" w:cs="Arial"/>
          <w:sz w:val="22"/>
          <w:szCs w:val="22"/>
        </w:rPr>
        <w:t>ctivos. (</w:t>
      </w:r>
      <w:proofErr w:type="gramStart"/>
      <w:r w:rsidRPr="00E8613C">
        <w:rPr>
          <w:rFonts w:ascii="Arial" w:hAnsi="Arial" w:cs="Arial"/>
          <w:sz w:val="22"/>
          <w:szCs w:val="22"/>
        </w:rPr>
        <w:t>Católicas</w:t>
      </w:r>
      <w:proofErr w:type="gramEnd"/>
      <w:r w:rsidRPr="00E8613C">
        <w:rPr>
          <w:rFonts w:ascii="Arial" w:hAnsi="Arial" w:cs="Arial"/>
          <w:sz w:val="22"/>
          <w:szCs w:val="22"/>
        </w:rPr>
        <w:t xml:space="preserve"> por el Derecho a Decidir A.C., 2020)</w:t>
      </w:r>
    </w:p>
    <w:p w14:paraId="589C1864" w14:textId="557C5EDD" w:rsidR="00D34ED4" w:rsidRPr="00E8613C" w:rsidRDefault="00246C10" w:rsidP="00E8613C">
      <w:pPr>
        <w:spacing w:line="276" w:lineRule="auto"/>
        <w:jc w:val="both"/>
        <w:rPr>
          <w:rFonts w:ascii="Arial" w:hAnsi="Arial" w:cs="Arial"/>
          <w:sz w:val="22"/>
          <w:szCs w:val="22"/>
        </w:rPr>
      </w:pPr>
      <w:r w:rsidRPr="00E8613C">
        <w:rPr>
          <w:rFonts w:ascii="Arial" w:hAnsi="Arial" w:cs="Arial"/>
          <w:sz w:val="22"/>
          <w:szCs w:val="22"/>
        </w:rPr>
        <w:t>En una investigación realizada en 2023 sobre la implementación de la ENAPEA en el Estado de Guanajuato de 2016 a 2021, se advierte que a pesar de los avances en el tema, existen aún obstáculos para la</w:t>
      </w:r>
      <w:r w:rsidRPr="00E8613C">
        <w:rPr>
          <w:rFonts w:ascii="Arial" w:hAnsi="Arial" w:cs="Arial"/>
          <w:sz w:val="22"/>
          <w:szCs w:val="22"/>
        </w:rPr>
        <w:t xml:space="preserve"> incorporación de la perspectiva de género en la implementación de la ENAPEA a nivel local, principalmente a que existe una influencia por la ideología y moral de ciertos grupos conservadores con poder y religiosos, en particular relacionados a la Interrup</w:t>
      </w:r>
      <w:r w:rsidRPr="00E8613C">
        <w:rPr>
          <w:rFonts w:ascii="Arial" w:hAnsi="Arial" w:cs="Arial"/>
          <w:sz w:val="22"/>
          <w:szCs w:val="22"/>
        </w:rPr>
        <w:t>ción Legal del Embarazo, falta de voluntad política e insuficiencia en el presupuesto asignado, insuficiencia de personal sensibilizado y capacitado en un marco de derechos tanto en instituciones públicas como en organizaciones de la sociedad civil, formac</w:t>
      </w:r>
      <w:r w:rsidRPr="00E8613C">
        <w:rPr>
          <w:rFonts w:ascii="Arial" w:hAnsi="Arial" w:cs="Arial"/>
          <w:sz w:val="22"/>
          <w:szCs w:val="22"/>
        </w:rPr>
        <w:t>ión inadecuada de instancias locales en cuestiones de diagnóstico, análisis y propuesta de soluciones pertinentes para aterrizar los enfoques de derechos, género y juventudes, así como información deficiente sobre la sexualidad y prácticas sociales específ</w:t>
      </w:r>
      <w:r w:rsidRPr="00E8613C">
        <w:rPr>
          <w:rFonts w:ascii="Arial" w:hAnsi="Arial" w:cs="Arial"/>
          <w:sz w:val="22"/>
          <w:szCs w:val="22"/>
        </w:rPr>
        <w:t>icos a la población de mujeres menores de 14 años. (Lamadrid, 2023)</w:t>
      </w:r>
    </w:p>
    <w:p w14:paraId="5DAA27ED" w14:textId="77777777" w:rsidR="00D34ED4" w:rsidRPr="00E8613C" w:rsidRDefault="00D34ED4" w:rsidP="00E8613C">
      <w:pPr>
        <w:spacing w:line="276" w:lineRule="auto"/>
        <w:jc w:val="both"/>
        <w:rPr>
          <w:rFonts w:ascii="Arial" w:hAnsi="Arial" w:cs="Arial"/>
          <w:sz w:val="22"/>
          <w:szCs w:val="22"/>
        </w:rPr>
      </w:pPr>
    </w:p>
    <w:p w14:paraId="63CAA675" w14:textId="77777777" w:rsidR="00D34ED4" w:rsidRPr="00E8613C" w:rsidRDefault="00246C10" w:rsidP="00E8613C">
      <w:pPr>
        <w:spacing w:after="0" w:line="276" w:lineRule="auto"/>
        <w:jc w:val="center"/>
        <w:rPr>
          <w:rFonts w:ascii="Arial" w:hAnsi="Arial" w:cs="Arial"/>
          <w:b/>
          <w:color w:val="000000"/>
        </w:rPr>
      </w:pPr>
      <w:r w:rsidRPr="00E8613C">
        <w:rPr>
          <w:rFonts w:ascii="Arial" w:hAnsi="Arial" w:cs="Arial"/>
          <w:b/>
          <w:color w:val="000000"/>
        </w:rPr>
        <w:t>Venta de niñas en México</w:t>
      </w:r>
    </w:p>
    <w:p w14:paraId="7060BDE7" w14:textId="77777777" w:rsidR="00D34ED4" w:rsidRPr="00E8613C" w:rsidRDefault="00246C10" w:rsidP="00E8613C">
      <w:pPr>
        <w:pStyle w:val="Ttulo3"/>
        <w:keepNext w:val="0"/>
        <w:keepLines w:val="0"/>
        <w:spacing w:before="0" w:after="0" w:line="276" w:lineRule="auto"/>
        <w:jc w:val="both"/>
        <w:rPr>
          <w:rFonts w:ascii="Arial" w:hAnsi="Arial" w:cs="Arial"/>
          <w:b/>
          <w:color w:val="000000"/>
          <w:sz w:val="22"/>
          <w:szCs w:val="22"/>
        </w:rPr>
      </w:pPr>
      <w:bookmarkStart w:id="2" w:name="_heading=h.yspq4flpb1jf" w:colFirst="0" w:colLast="0"/>
      <w:bookmarkEnd w:id="2"/>
      <w:r>
        <w:rPr>
          <w:rFonts w:ascii="Arial" w:hAnsi="Arial" w:cs="Arial"/>
          <w:noProof/>
          <w:sz w:val="22"/>
          <w:szCs w:val="22"/>
        </w:rPr>
        <w:pict w14:anchorId="2BDA1B79">
          <v:rect id="_x0000_i1027" alt="" style="width:441.9pt;height:.05pt;mso-width-percent:0;mso-height-percent:0;mso-width-percent:0;mso-height-percent:0" o:hralign="center" o:hrstd="t" o:hr="t" fillcolor="#a0a0a0" stroked="f"/>
        </w:pict>
      </w:r>
    </w:p>
    <w:p w14:paraId="4A623A3B" w14:textId="77777777" w:rsidR="00D34ED4" w:rsidRPr="00E8613C" w:rsidRDefault="00246C10" w:rsidP="00E8613C">
      <w:pPr>
        <w:spacing w:before="240" w:after="240" w:line="276" w:lineRule="auto"/>
        <w:jc w:val="both"/>
        <w:rPr>
          <w:rFonts w:ascii="Arial" w:hAnsi="Arial" w:cs="Arial"/>
          <w:sz w:val="22"/>
          <w:szCs w:val="22"/>
        </w:rPr>
      </w:pPr>
      <w:r w:rsidRPr="00E8613C">
        <w:rPr>
          <w:rFonts w:ascii="Arial" w:hAnsi="Arial" w:cs="Arial"/>
          <w:sz w:val="22"/>
          <w:szCs w:val="22"/>
        </w:rPr>
        <w:t xml:space="preserve">De acuerdo con la Recomendación General núm. 31 del Comité para la Eliminación de Todas las Formas de Discriminación contra la Mujer y la Observación General </w:t>
      </w:r>
      <w:r w:rsidRPr="00E8613C">
        <w:rPr>
          <w:rFonts w:ascii="Arial" w:hAnsi="Arial" w:cs="Arial"/>
          <w:sz w:val="22"/>
          <w:szCs w:val="22"/>
        </w:rPr>
        <w:t>núm. 18 del Comité de los Derechos del Niño sobre prácticas nocivas, el pago de dotes o el precio por una novia —que varía entre comunidades— incrementa la vulnerabilidad de mujeres y niñas a diversas formas de violencia. Esta práctica puede derivar en act</w:t>
      </w:r>
      <w:r w:rsidRPr="00E8613C">
        <w:rPr>
          <w:rFonts w:ascii="Arial" w:hAnsi="Arial" w:cs="Arial"/>
          <w:sz w:val="22"/>
          <w:szCs w:val="22"/>
        </w:rPr>
        <w:t>os como violencia física, psicológica, inmolaciones, ataques con ácido o incluso asesinatos si no se cumplen las expectativas relacionadas con el pago. Asimismo, el matrimonio temporal o "contractual" a cambio de beneficios financieros es considerado una f</w:t>
      </w:r>
      <w:r w:rsidRPr="00E8613C">
        <w:rPr>
          <w:rFonts w:ascii="Arial" w:hAnsi="Arial" w:cs="Arial"/>
          <w:sz w:val="22"/>
          <w:szCs w:val="22"/>
        </w:rPr>
        <w:t>orma de trata de personas.</w:t>
      </w:r>
    </w:p>
    <w:p w14:paraId="3560D841" w14:textId="77777777" w:rsidR="00D34ED4" w:rsidRPr="00E8613C" w:rsidRDefault="00246C10" w:rsidP="00E8613C">
      <w:pPr>
        <w:spacing w:before="240" w:after="240" w:line="276" w:lineRule="auto"/>
        <w:jc w:val="both"/>
        <w:rPr>
          <w:rFonts w:ascii="Arial" w:hAnsi="Arial" w:cs="Arial"/>
          <w:sz w:val="22"/>
          <w:szCs w:val="22"/>
        </w:rPr>
      </w:pPr>
      <w:r w:rsidRPr="00E8613C">
        <w:rPr>
          <w:rFonts w:ascii="Arial" w:hAnsi="Arial" w:cs="Arial"/>
          <w:sz w:val="22"/>
          <w:szCs w:val="22"/>
        </w:rPr>
        <w:t>Los Estados parte del Protocolo Facultativo de la Convención sobre los Derechos del Niño, relativo a la venta de niños, la prostitución infantil y la utilización de menores en pornografía, tienen la obligación de prevenir y sanci</w:t>
      </w:r>
      <w:r w:rsidRPr="00E8613C">
        <w:rPr>
          <w:rFonts w:ascii="Arial" w:hAnsi="Arial" w:cs="Arial"/>
          <w:sz w:val="22"/>
          <w:szCs w:val="22"/>
        </w:rPr>
        <w:t>onar el matrimonio infantil o forzoso, especialmente cuando este implica el pago de una dote o un precio, lo cual puede constituir una forma de venta de menores, según el artículo 2.a) del Protocolo.</w:t>
      </w:r>
    </w:p>
    <w:p w14:paraId="5F5501E4" w14:textId="77777777" w:rsidR="00D34ED4" w:rsidRPr="00E8613C" w:rsidRDefault="00246C10" w:rsidP="00E8613C">
      <w:pPr>
        <w:spacing w:before="240" w:after="240" w:line="276" w:lineRule="auto"/>
        <w:jc w:val="both"/>
        <w:rPr>
          <w:rFonts w:ascii="Arial" w:hAnsi="Arial" w:cs="Arial"/>
          <w:sz w:val="22"/>
          <w:szCs w:val="22"/>
        </w:rPr>
      </w:pPr>
      <w:r w:rsidRPr="00E8613C">
        <w:rPr>
          <w:rFonts w:ascii="Arial" w:hAnsi="Arial" w:cs="Arial"/>
          <w:sz w:val="22"/>
          <w:szCs w:val="22"/>
        </w:rPr>
        <w:t>El Comité para la Eliminación de la Discriminación contr</w:t>
      </w:r>
      <w:r w:rsidRPr="00E8613C">
        <w:rPr>
          <w:rFonts w:ascii="Arial" w:hAnsi="Arial" w:cs="Arial"/>
          <w:sz w:val="22"/>
          <w:szCs w:val="22"/>
        </w:rPr>
        <w:t>a la Mujer ha reiterado que permitir el matrimonio de una mujer a cambio de pagos o beneficios constituye una violación a su derecho de elegir libremente a su cónyuge. En su Recomendación General núm. 29, establece que estas prácticas no deben ser requisit</w:t>
      </w:r>
      <w:r w:rsidRPr="00E8613C">
        <w:rPr>
          <w:rFonts w:ascii="Arial" w:hAnsi="Arial" w:cs="Arial"/>
          <w:sz w:val="22"/>
          <w:szCs w:val="22"/>
        </w:rPr>
        <w:t>o para validar un matrimonio, ni deben ser reconocidas por los Estados.</w:t>
      </w:r>
    </w:p>
    <w:p w14:paraId="5B365E38" w14:textId="77777777" w:rsidR="00D34ED4" w:rsidRPr="00E8613C" w:rsidRDefault="00246C10" w:rsidP="00E8613C">
      <w:pPr>
        <w:pStyle w:val="Ttulo3"/>
        <w:keepNext w:val="0"/>
        <w:keepLines w:val="0"/>
        <w:spacing w:before="280" w:line="276" w:lineRule="auto"/>
        <w:jc w:val="both"/>
        <w:rPr>
          <w:rFonts w:ascii="Arial" w:hAnsi="Arial" w:cs="Arial"/>
          <w:b/>
          <w:color w:val="000000"/>
          <w:sz w:val="22"/>
          <w:szCs w:val="22"/>
        </w:rPr>
      </w:pPr>
      <w:bookmarkStart w:id="3" w:name="_heading=h.enc1ydysvb57" w:colFirst="0" w:colLast="0"/>
      <w:bookmarkEnd w:id="3"/>
      <w:r w:rsidRPr="00E8613C">
        <w:rPr>
          <w:rFonts w:ascii="Arial" w:hAnsi="Arial" w:cs="Arial"/>
          <w:b/>
          <w:color w:val="000000"/>
          <w:sz w:val="22"/>
          <w:szCs w:val="22"/>
        </w:rPr>
        <w:lastRenderedPageBreak/>
        <w:t>Contexto nacional y cifras relevantes</w:t>
      </w:r>
    </w:p>
    <w:p w14:paraId="4FC974BE" w14:textId="77777777" w:rsidR="00D34ED4" w:rsidRPr="00E8613C" w:rsidRDefault="00246C10" w:rsidP="00E8613C">
      <w:pPr>
        <w:spacing w:before="240" w:after="240" w:line="276" w:lineRule="auto"/>
        <w:jc w:val="both"/>
        <w:rPr>
          <w:rFonts w:ascii="Arial" w:hAnsi="Arial" w:cs="Arial"/>
          <w:sz w:val="22"/>
          <w:szCs w:val="22"/>
        </w:rPr>
      </w:pPr>
      <w:r w:rsidRPr="00E8613C">
        <w:rPr>
          <w:rFonts w:ascii="Arial" w:hAnsi="Arial" w:cs="Arial"/>
          <w:sz w:val="22"/>
          <w:szCs w:val="22"/>
        </w:rPr>
        <w:t>A pesar de la prohibición del matrimonio infantil, su práctica persiste bajo el amparo de "usos y costumbres", especialmente en estados como Guerr</w:t>
      </w:r>
      <w:r w:rsidRPr="00E8613C">
        <w:rPr>
          <w:rFonts w:ascii="Arial" w:hAnsi="Arial" w:cs="Arial"/>
          <w:sz w:val="22"/>
          <w:szCs w:val="22"/>
        </w:rPr>
        <w:t>ero —donde ocurre uno de cada cinco casos registrados—, seguido por el Estado de México, Michoacán, Nuevo León y Sinaloa (Arriaga Covarrubias, 2023).</w:t>
      </w:r>
    </w:p>
    <w:p w14:paraId="0426CEA0" w14:textId="1AA97B28" w:rsidR="00D34ED4" w:rsidRPr="00E8613C" w:rsidRDefault="00246C10" w:rsidP="00E8613C">
      <w:pPr>
        <w:spacing w:before="240" w:after="240" w:line="276" w:lineRule="auto"/>
        <w:jc w:val="both"/>
        <w:rPr>
          <w:rFonts w:ascii="Arial" w:hAnsi="Arial" w:cs="Arial"/>
          <w:sz w:val="22"/>
          <w:szCs w:val="22"/>
        </w:rPr>
      </w:pPr>
      <w:r w:rsidRPr="00E8613C">
        <w:rPr>
          <w:rFonts w:ascii="Arial" w:hAnsi="Arial" w:cs="Arial"/>
          <w:sz w:val="22"/>
          <w:szCs w:val="22"/>
        </w:rPr>
        <w:t xml:space="preserve">Cifras del INEGI revelan </w:t>
      </w:r>
      <w:proofErr w:type="gramStart"/>
      <w:r w:rsidRPr="00E8613C">
        <w:rPr>
          <w:rFonts w:ascii="Arial" w:hAnsi="Arial" w:cs="Arial"/>
          <w:sz w:val="22"/>
          <w:szCs w:val="22"/>
        </w:rPr>
        <w:t>que</w:t>
      </w:r>
      <w:proofErr w:type="gramEnd"/>
      <w:r w:rsidRPr="00E8613C">
        <w:rPr>
          <w:rFonts w:ascii="Arial" w:hAnsi="Arial" w:cs="Arial"/>
          <w:sz w:val="22"/>
          <w:szCs w:val="22"/>
        </w:rPr>
        <w:t xml:space="preserve"> en 2020, el 1 % de las niñas de entre 12 y 14 años en Chiapas, Guerrero y Tab</w:t>
      </w:r>
      <w:r w:rsidRPr="00E8613C">
        <w:rPr>
          <w:rFonts w:ascii="Arial" w:hAnsi="Arial" w:cs="Arial"/>
          <w:sz w:val="22"/>
          <w:szCs w:val="22"/>
        </w:rPr>
        <w:t>asco estaban casadas o en unión libre. Entre las jóvenes de 15 a 17 años, la proporción ascendía a 11.8 % en Chiapas, 11.1 % en Guerrero y 10.2 % en Michoacán.</w:t>
      </w:r>
      <w:r w:rsidR="00062529" w:rsidRPr="00062529">
        <w:t xml:space="preserve"> </w:t>
      </w:r>
      <w:r w:rsidR="00062529" w:rsidRPr="00062529">
        <w:rPr>
          <w:rFonts w:ascii="Arial" w:hAnsi="Arial" w:cs="Arial"/>
          <w:sz w:val="22"/>
          <w:szCs w:val="22"/>
        </w:rPr>
        <w:t>(INEGI, 2020).</w:t>
      </w:r>
      <w:r w:rsidR="006571AA">
        <w:rPr>
          <w:rFonts w:ascii="Arial" w:hAnsi="Arial" w:cs="Arial"/>
          <w:sz w:val="22"/>
          <w:szCs w:val="22"/>
        </w:rPr>
        <w:t xml:space="preserve"> </w:t>
      </w:r>
      <w:r w:rsidRPr="00E8613C">
        <w:rPr>
          <w:rFonts w:ascii="Arial" w:hAnsi="Arial" w:cs="Arial"/>
          <w:sz w:val="22"/>
          <w:szCs w:val="22"/>
        </w:rPr>
        <w:t>En Tamaulipas, especialmente en ejidos de municipios como Victoria, se han report</w:t>
      </w:r>
      <w:r w:rsidRPr="00E8613C">
        <w:rPr>
          <w:rFonts w:ascii="Arial" w:hAnsi="Arial" w:cs="Arial"/>
          <w:sz w:val="22"/>
          <w:szCs w:val="22"/>
        </w:rPr>
        <w:t>ado casos donde madres obligan a sus hijas a prostituirse a cambio de dinero o acceso a la educación (García, 2023). Bajo el argumento de la “tradición” o para salir de la pobreza, familias venden o arreglan matrimonios entre niñas y hombres adultos a camb</w:t>
      </w:r>
      <w:r w:rsidRPr="00E8613C">
        <w:rPr>
          <w:rFonts w:ascii="Arial" w:hAnsi="Arial" w:cs="Arial"/>
          <w:sz w:val="22"/>
          <w:szCs w:val="22"/>
        </w:rPr>
        <w:t>io de bienes como ganado o bebidas alcohólicas (Mondragón, 2023).</w:t>
      </w:r>
    </w:p>
    <w:p w14:paraId="42B12F51" w14:textId="77777777" w:rsidR="00D34ED4" w:rsidRPr="00E8613C" w:rsidRDefault="00246C10" w:rsidP="00E8613C">
      <w:pPr>
        <w:pStyle w:val="Ttulo3"/>
        <w:keepNext w:val="0"/>
        <w:keepLines w:val="0"/>
        <w:spacing w:before="280" w:line="276" w:lineRule="auto"/>
        <w:jc w:val="both"/>
        <w:rPr>
          <w:rFonts w:ascii="Arial" w:hAnsi="Arial" w:cs="Arial"/>
          <w:b/>
          <w:color w:val="000000"/>
          <w:sz w:val="22"/>
          <w:szCs w:val="22"/>
        </w:rPr>
      </w:pPr>
      <w:bookmarkStart w:id="4" w:name="_heading=h.dey2ypz2nl7n" w:colFirst="0" w:colLast="0"/>
      <w:bookmarkStart w:id="5" w:name="_heading=h.ss4mjliqfx0x" w:colFirst="0" w:colLast="0"/>
      <w:bookmarkEnd w:id="4"/>
      <w:bookmarkEnd w:id="5"/>
      <w:r w:rsidRPr="00E8613C">
        <w:rPr>
          <w:rFonts w:ascii="Arial" w:hAnsi="Arial" w:cs="Arial"/>
          <w:b/>
          <w:color w:val="000000"/>
          <w:sz w:val="22"/>
          <w:szCs w:val="22"/>
        </w:rPr>
        <w:t>Caso de venta de niñas y adolescentes en México</w:t>
      </w:r>
    </w:p>
    <w:p w14:paraId="227119DC" w14:textId="35A26FE8" w:rsidR="00D34ED4" w:rsidRPr="00E8613C" w:rsidRDefault="00507E85" w:rsidP="00E8613C">
      <w:pPr>
        <w:spacing w:before="240" w:after="240" w:line="276" w:lineRule="auto"/>
        <w:jc w:val="both"/>
        <w:rPr>
          <w:rFonts w:ascii="Arial" w:hAnsi="Arial" w:cs="Arial"/>
          <w:sz w:val="22"/>
          <w:szCs w:val="22"/>
        </w:rPr>
      </w:pPr>
      <w:r>
        <w:rPr>
          <w:rFonts w:ascii="Arial" w:hAnsi="Arial" w:cs="Arial"/>
          <w:sz w:val="22"/>
          <w:szCs w:val="22"/>
        </w:rPr>
        <w:t xml:space="preserve">De acuerdo con el medio “Resumen Latinoamericano” </w:t>
      </w:r>
      <w:r w:rsidRPr="00E8613C">
        <w:rPr>
          <w:rFonts w:ascii="Arial" w:hAnsi="Arial" w:cs="Arial"/>
          <w:sz w:val="22"/>
          <w:szCs w:val="22"/>
        </w:rPr>
        <w:t xml:space="preserve">Un caso emblemático es el de una niña </w:t>
      </w:r>
      <w:proofErr w:type="spellStart"/>
      <w:r w:rsidRPr="00E8613C">
        <w:rPr>
          <w:rFonts w:ascii="Arial" w:hAnsi="Arial" w:cs="Arial"/>
          <w:sz w:val="22"/>
          <w:szCs w:val="22"/>
        </w:rPr>
        <w:t>na’saavi</w:t>
      </w:r>
      <w:proofErr w:type="spellEnd"/>
      <w:r w:rsidRPr="00E8613C">
        <w:rPr>
          <w:rFonts w:ascii="Arial" w:hAnsi="Arial" w:cs="Arial"/>
          <w:sz w:val="22"/>
          <w:szCs w:val="22"/>
        </w:rPr>
        <w:t xml:space="preserve"> de 15 años, quien fue obligada a casarse a los 11 con un niño de 12 años a cambio de 120,000 pesos, cerveza y metates. Luego de escapar de sus captores —reconocidos como “suegros” en su comunidad— fue encarcelada por la Policía Comunitaria de Dos Ríos. Esta corporación, junto con la Coordinadora Regional de Autoridades Comunitarias (CRAC-PC), ha sido señalada como responsable directa de ejecutar matrimonios forzados, incluso mediante coerción física y psicológica.</w:t>
      </w:r>
      <w:r w:rsidRPr="00507E85">
        <w:t xml:space="preserve"> </w:t>
      </w:r>
      <w:r w:rsidRPr="00507E85">
        <w:rPr>
          <w:rFonts w:ascii="Arial" w:hAnsi="Arial" w:cs="Arial"/>
          <w:sz w:val="22"/>
          <w:szCs w:val="22"/>
        </w:rPr>
        <w:t>(Resumen Latinoamericano, 2021).</w:t>
      </w:r>
    </w:p>
    <w:p w14:paraId="5DFBA2A3" w14:textId="635F6715" w:rsidR="00212E86" w:rsidRDefault="00246C10" w:rsidP="00E8613C">
      <w:pPr>
        <w:spacing w:before="240" w:after="240" w:line="276" w:lineRule="auto"/>
        <w:jc w:val="both"/>
        <w:rPr>
          <w:rFonts w:ascii="Arial" w:hAnsi="Arial" w:cs="Arial"/>
          <w:sz w:val="22"/>
          <w:szCs w:val="22"/>
        </w:rPr>
      </w:pPr>
      <w:r w:rsidRPr="00E8613C">
        <w:rPr>
          <w:rFonts w:ascii="Arial" w:hAnsi="Arial" w:cs="Arial"/>
          <w:sz w:val="22"/>
          <w:szCs w:val="22"/>
        </w:rPr>
        <w:t xml:space="preserve">Otro caso, se dio en municipio de Chamula, ubicado en las zonas más altas de Chiapas, una </w:t>
      </w:r>
      <w:r w:rsidR="00490BA1" w:rsidRPr="00E8613C">
        <w:rPr>
          <w:rFonts w:ascii="Arial" w:hAnsi="Arial" w:cs="Arial"/>
          <w:sz w:val="22"/>
          <w:szCs w:val="22"/>
        </w:rPr>
        <w:t>niña tzotzil</w:t>
      </w:r>
      <w:r w:rsidRPr="00E8613C">
        <w:rPr>
          <w:rFonts w:ascii="Arial" w:hAnsi="Arial" w:cs="Arial"/>
          <w:sz w:val="22"/>
          <w:szCs w:val="22"/>
        </w:rPr>
        <w:t xml:space="preserve"> de 14 años fue vendida por 15 mil pesos para irse a vivir con un hombre mayor. Sin embargo, la menor fue detenida por abandonar al hombre y no pagar </w:t>
      </w:r>
      <w:proofErr w:type="gramStart"/>
      <w:r w:rsidRPr="00E8613C">
        <w:rPr>
          <w:rFonts w:ascii="Arial" w:hAnsi="Arial" w:cs="Arial"/>
          <w:sz w:val="22"/>
          <w:szCs w:val="22"/>
        </w:rPr>
        <w:t>unas</w:t>
      </w:r>
      <w:r w:rsidRPr="00E8613C">
        <w:rPr>
          <w:rFonts w:ascii="Arial" w:hAnsi="Arial" w:cs="Arial"/>
          <w:sz w:val="22"/>
          <w:szCs w:val="22"/>
        </w:rPr>
        <w:t xml:space="preserve"> suma</w:t>
      </w:r>
      <w:proofErr w:type="gramEnd"/>
      <w:r w:rsidRPr="00E8613C">
        <w:rPr>
          <w:rFonts w:ascii="Arial" w:hAnsi="Arial" w:cs="Arial"/>
          <w:sz w:val="22"/>
          <w:szCs w:val="22"/>
        </w:rPr>
        <w:t xml:space="preserve"> de 24 mil pesos, de acuerdo con el medio La vanguardia, “en noviembre se separaron, por lo que él se quejó ante las autoridades de San Juan Chamula para que la detuvieran y obligaran a los familiares de su ex compañera a que le regresen los 15 mil pe</w:t>
      </w:r>
      <w:r w:rsidRPr="00E8613C">
        <w:rPr>
          <w:rFonts w:ascii="Arial" w:hAnsi="Arial" w:cs="Arial"/>
          <w:sz w:val="22"/>
          <w:szCs w:val="22"/>
        </w:rPr>
        <w:t xml:space="preserve">sos y le paguen 9 mil de intereses” por lo que la menor fue detenida 29 horas en la cárcel de San Juan Chamula. </w:t>
      </w:r>
      <w:r w:rsidR="00507E85" w:rsidRPr="00507E85">
        <w:rPr>
          <w:rFonts w:ascii="Arial" w:hAnsi="Arial" w:cs="Arial"/>
          <w:sz w:val="22"/>
          <w:szCs w:val="22"/>
        </w:rPr>
        <w:t>(La vanguardia, 2015).</w:t>
      </w:r>
    </w:p>
    <w:p w14:paraId="67AAD561" w14:textId="34898D18" w:rsidR="00BA7B03" w:rsidRPr="00BA7B03" w:rsidRDefault="00BA7B03" w:rsidP="00E8613C">
      <w:pPr>
        <w:spacing w:before="240" w:after="240" w:line="276" w:lineRule="auto"/>
        <w:jc w:val="both"/>
        <w:rPr>
          <w:rFonts w:ascii="Arial" w:hAnsi="Arial" w:cs="Arial"/>
          <w:b/>
          <w:bCs/>
          <w:sz w:val="22"/>
          <w:szCs w:val="22"/>
        </w:rPr>
      </w:pPr>
      <w:r w:rsidRPr="00BA7B03">
        <w:rPr>
          <w:rFonts w:ascii="Arial" w:hAnsi="Arial" w:cs="Arial"/>
          <w:b/>
          <w:bCs/>
          <w:sz w:val="22"/>
          <w:szCs w:val="22"/>
        </w:rPr>
        <w:t>Recomendaciones sobre matrimonio de niñas y adolescentes</w:t>
      </w:r>
    </w:p>
    <w:p w14:paraId="228B5279" w14:textId="4D38ED4D" w:rsidR="00BA7B03" w:rsidRPr="00C9166B" w:rsidRDefault="00BA7B03" w:rsidP="00C9166B">
      <w:pPr>
        <w:pStyle w:val="Prrafodelista"/>
        <w:numPr>
          <w:ilvl w:val="0"/>
          <w:numId w:val="5"/>
        </w:numPr>
        <w:spacing w:before="240" w:after="240" w:line="276" w:lineRule="auto"/>
        <w:jc w:val="both"/>
        <w:rPr>
          <w:rFonts w:ascii="Arial" w:hAnsi="Arial" w:cs="Arial"/>
          <w:sz w:val="22"/>
          <w:szCs w:val="22"/>
        </w:rPr>
      </w:pPr>
      <w:r w:rsidRPr="00C9166B">
        <w:rPr>
          <w:rFonts w:ascii="Arial" w:hAnsi="Arial" w:cs="Arial"/>
          <w:sz w:val="22"/>
          <w:szCs w:val="22"/>
        </w:rPr>
        <w:t>Establecer un registro oficial de matrimonios que permita identificar y documentar casos de niñas y adolescentes menores de 18 años.</w:t>
      </w:r>
    </w:p>
    <w:p w14:paraId="334386D5" w14:textId="24C70130" w:rsidR="00BA7B03" w:rsidRPr="00C9166B" w:rsidRDefault="00BA7B03" w:rsidP="00BA7B03">
      <w:pPr>
        <w:pStyle w:val="Prrafodelista"/>
        <w:numPr>
          <w:ilvl w:val="0"/>
          <w:numId w:val="5"/>
        </w:numPr>
        <w:spacing w:before="240" w:after="240" w:line="276" w:lineRule="auto"/>
        <w:jc w:val="both"/>
        <w:rPr>
          <w:rFonts w:ascii="Arial" w:hAnsi="Arial" w:cs="Arial"/>
          <w:sz w:val="22"/>
          <w:szCs w:val="22"/>
        </w:rPr>
      </w:pPr>
      <w:r w:rsidRPr="00C9166B">
        <w:rPr>
          <w:rFonts w:ascii="Arial" w:hAnsi="Arial" w:cs="Arial"/>
          <w:sz w:val="22"/>
          <w:szCs w:val="22"/>
        </w:rPr>
        <w:t>Implementar mecanismos de información y capacitación obligatoria para autoridades comunitarias y municipales, a fin de garantizar el cumplimiento de la prohibición del matrimonio infantil y aplicar sanciones en casos de omisión o complicidad.</w:t>
      </w:r>
    </w:p>
    <w:p w14:paraId="31023A1D" w14:textId="054AF1E7" w:rsidR="00BA7B03" w:rsidRPr="00C9166B" w:rsidRDefault="00BA7B03" w:rsidP="00C9166B">
      <w:pPr>
        <w:pStyle w:val="Prrafodelista"/>
        <w:numPr>
          <w:ilvl w:val="0"/>
          <w:numId w:val="5"/>
        </w:numPr>
        <w:spacing w:before="240" w:after="240" w:line="276" w:lineRule="auto"/>
        <w:jc w:val="both"/>
        <w:rPr>
          <w:rFonts w:ascii="Arial" w:hAnsi="Arial" w:cs="Arial"/>
          <w:sz w:val="22"/>
          <w:szCs w:val="22"/>
        </w:rPr>
      </w:pPr>
      <w:r w:rsidRPr="00C9166B">
        <w:rPr>
          <w:rFonts w:ascii="Arial" w:hAnsi="Arial" w:cs="Arial"/>
          <w:sz w:val="22"/>
          <w:szCs w:val="22"/>
        </w:rPr>
        <w:lastRenderedPageBreak/>
        <w:t>Desarrollar campañas de sensibilización y prevención dirigidas a erradicar prácticas nocivas que vulneren los derechos de niñas y adolescentes en zonas rurales e indígenas, con enfoque intercultural y de género.</w:t>
      </w:r>
    </w:p>
    <w:p w14:paraId="6440BE12" w14:textId="272EE5F7" w:rsidR="00BA7B03" w:rsidRPr="00C9166B" w:rsidRDefault="00BA7B03" w:rsidP="00C9166B">
      <w:pPr>
        <w:pStyle w:val="Prrafodelista"/>
        <w:numPr>
          <w:ilvl w:val="0"/>
          <w:numId w:val="5"/>
        </w:numPr>
        <w:spacing w:before="240" w:after="240" w:line="276" w:lineRule="auto"/>
        <w:jc w:val="both"/>
        <w:rPr>
          <w:rFonts w:ascii="Arial" w:hAnsi="Arial" w:cs="Arial"/>
          <w:sz w:val="22"/>
          <w:szCs w:val="22"/>
        </w:rPr>
      </w:pPr>
      <w:r w:rsidRPr="00C9166B">
        <w:rPr>
          <w:rFonts w:ascii="Arial" w:hAnsi="Arial" w:cs="Arial"/>
          <w:sz w:val="22"/>
          <w:szCs w:val="22"/>
        </w:rPr>
        <w:t>Garantizar la capacitación continua de funcionarios públicos de los registros civiles, así como de síndicos estatales y municipales, en materia de derechos humanos de la infancia y estándares internacionales sobre la prohibición del matrimonio infantil.</w:t>
      </w:r>
    </w:p>
    <w:p w14:paraId="5F8830FC" w14:textId="22C89D65" w:rsidR="00BA7B03" w:rsidRPr="00C9166B" w:rsidRDefault="00BA7B03" w:rsidP="00C9166B">
      <w:pPr>
        <w:pStyle w:val="Prrafodelista"/>
        <w:numPr>
          <w:ilvl w:val="0"/>
          <w:numId w:val="5"/>
        </w:numPr>
        <w:spacing w:before="240" w:after="240" w:line="276" w:lineRule="auto"/>
        <w:jc w:val="both"/>
        <w:rPr>
          <w:rFonts w:ascii="Arial" w:hAnsi="Arial" w:cs="Arial"/>
          <w:sz w:val="22"/>
          <w:szCs w:val="22"/>
        </w:rPr>
      </w:pPr>
      <w:r w:rsidRPr="00C9166B">
        <w:rPr>
          <w:rFonts w:ascii="Arial" w:hAnsi="Arial" w:cs="Arial"/>
          <w:sz w:val="22"/>
          <w:szCs w:val="22"/>
        </w:rPr>
        <w:t>Promover, en coordinación con el Poder Legislativo, una ley general que unifique la prohibición absoluta del matrimonio infantil en todo el país, sin excepciones, y que impulse políticas públicas intersectoriales —particularmente en el ámbito educativo— para prevenir la venta, el matrimonio forzado y otras formas de explotación de niñas y adolescentes.</w:t>
      </w:r>
    </w:p>
    <w:p w14:paraId="16E97061" w14:textId="6C5CD04B" w:rsidR="00212E86" w:rsidRPr="00212E86" w:rsidRDefault="00212E86" w:rsidP="00212E86">
      <w:pPr>
        <w:spacing w:line="276" w:lineRule="auto"/>
        <w:jc w:val="both"/>
        <w:rPr>
          <w:rFonts w:ascii="Arial" w:hAnsi="Arial" w:cs="Arial"/>
          <w:b/>
          <w:bCs/>
          <w:sz w:val="22"/>
          <w:szCs w:val="22"/>
        </w:rPr>
      </w:pPr>
      <w:r w:rsidRPr="00212E86">
        <w:rPr>
          <w:rFonts w:ascii="Arial" w:hAnsi="Arial" w:cs="Arial"/>
          <w:b/>
          <w:bCs/>
          <w:sz w:val="22"/>
          <w:szCs w:val="22"/>
        </w:rPr>
        <w:t xml:space="preserve">Recomendaciones con la intención de contribuir y fortalecer la implementación de la política pública ENAPEA (mujeres adolescentes de 10 a 14 años) para erradicar el </w:t>
      </w:r>
      <w:proofErr w:type="spellStart"/>
      <w:r w:rsidRPr="00212E86">
        <w:rPr>
          <w:rFonts w:ascii="Arial" w:hAnsi="Arial" w:cs="Arial"/>
          <w:b/>
          <w:bCs/>
          <w:sz w:val="22"/>
          <w:szCs w:val="22"/>
        </w:rPr>
        <w:t>embarzo</w:t>
      </w:r>
      <w:proofErr w:type="spellEnd"/>
      <w:r w:rsidRPr="00212E86">
        <w:rPr>
          <w:rFonts w:ascii="Arial" w:hAnsi="Arial" w:cs="Arial"/>
          <w:b/>
          <w:bCs/>
          <w:sz w:val="22"/>
          <w:szCs w:val="22"/>
        </w:rPr>
        <w:t xml:space="preserve"> de adolescentes</w:t>
      </w:r>
    </w:p>
    <w:p w14:paraId="1488EE71" w14:textId="77777777" w:rsidR="00212E86" w:rsidRDefault="00212E86" w:rsidP="00212E86">
      <w:pPr>
        <w:pStyle w:val="Prrafodelista"/>
        <w:numPr>
          <w:ilvl w:val="0"/>
          <w:numId w:val="4"/>
        </w:numPr>
        <w:spacing w:line="276" w:lineRule="auto"/>
        <w:jc w:val="both"/>
        <w:rPr>
          <w:rFonts w:ascii="Arial" w:hAnsi="Arial" w:cs="Arial"/>
          <w:sz w:val="22"/>
          <w:szCs w:val="22"/>
        </w:rPr>
      </w:pPr>
      <w:r w:rsidRPr="001B7C75">
        <w:rPr>
          <w:rFonts w:ascii="Arial" w:hAnsi="Arial" w:cs="Arial"/>
          <w:sz w:val="22"/>
          <w:szCs w:val="22"/>
        </w:rPr>
        <w:t xml:space="preserve">Fortalecer la capacidad técnica de las y los integrantes de instancias locales (GEPEA) para realizar diagnósticos, analizar la información y proponer soluciones para que estén alineadas. Definiendo procedimientos y metodologías, así como que se tenga un acompañamiento y revisión de dichas propuestas por parte del GIPEA, así como de las instancias que cuentan con una mayor </w:t>
      </w:r>
      <w:proofErr w:type="spellStart"/>
      <w:r w:rsidRPr="001B7C75">
        <w:rPr>
          <w:rFonts w:ascii="Arial" w:hAnsi="Arial" w:cs="Arial"/>
          <w:sz w:val="22"/>
          <w:szCs w:val="22"/>
        </w:rPr>
        <w:t>expertise</w:t>
      </w:r>
      <w:proofErr w:type="spellEnd"/>
      <w:r w:rsidRPr="001B7C75">
        <w:rPr>
          <w:rFonts w:ascii="Arial" w:hAnsi="Arial" w:cs="Arial"/>
          <w:sz w:val="22"/>
          <w:szCs w:val="22"/>
        </w:rPr>
        <w:t xml:space="preserve"> en género para que se realicen los ajustes pertinentes en la planeación. </w:t>
      </w:r>
    </w:p>
    <w:p w14:paraId="6430172D" w14:textId="77777777" w:rsidR="00212E86" w:rsidRDefault="00212E86" w:rsidP="00212E86">
      <w:pPr>
        <w:pStyle w:val="Prrafodelista"/>
        <w:numPr>
          <w:ilvl w:val="0"/>
          <w:numId w:val="4"/>
        </w:numPr>
        <w:spacing w:line="276" w:lineRule="auto"/>
        <w:jc w:val="both"/>
        <w:rPr>
          <w:rFonts w:ascii="Arial" w:hAnsi="Arial" w:cs="Arial"/>
          <w:sz w:val="22"/>
          <w:szCs w:val="22"/>
        </w:rPr>
      </w:pPr>
      <w:r w:rsidRPr="00212E86">
        <w:rPr>
          <w:rFonts w:ascii="Arial" w:hAnsi="Arial" w:cs="Arial"/>
          <w:sz w:val="22"/>
          <w:szCs w:val="22"/>
        </w:rPr>
        <w:t>Mayor articulación entre la diversidad de instancias que participan en el GEPEA, a través de estrategias para que los acuerdos y acciones que se generan cuenten con la participación de las instancias gubernamentales que contempla y se incluyan instancias clave como los son las de Procuración de Justicia a nivel estatal, así como las voces de la sociedad civil y académica</w:t>
      </w:r>
      <w:r>
        <w:rPr>
          <w:rFonts w:ascii="Arial" w:hAnsi="Arial" w:cs="Arial"/>
          <w:sz w:val="22"/>
          <w:szCs w:val="22"/>
        </w:rPr>
        <w:t>.</w:t>
      </w:r>
    </w:p>
    <w:p w14:paraId="23F6070B" w14:textId="77777777" w:rsidR="00212E86" w:rsidRDefault="00212E86" w:rsidP="00212E86">
      <w:pPr>
        <w:pStyle w:val="Prrafodelista"/>
        <w:numPr>
          <w:ilvl w:val="0"/>
          <w:numId w:val="4"/>
        </w:numPr>
        <w:spacing w:line="276" w:lineRule="auto"/>
        <w:jc w:val="both"/>
        <w:rPr>
          <w:rFonts w:ascii="Arial" w:hAnsi="Arial" w:cs="Arial"/>
          <w:sz w:val="22"/>
          <w:szCs w:val="22"/>
        </w:rPr>
      </w:pPr>
      <w:r w:rsidRPr="00212E86">
        <w:rPr>
          <w:rFonts w:ascii="Arial" w:hAnsi="Arial" w:cs="Arial"/>
          <w:sz w:val="22"/>
          <w:szCs w:val="22"/>
        </w:rPr>
        <w:t xml:space="preserve"> El diseño de la ENAPEA es progresista en su diseño sin embargo en su implementación debe tomar en cuenta diversas consideraciones para que sea políticamente viable y tenga oportunidad de ser designada en un sistema político o de aceptación social Estatal. Estas consideraciones van más allá de calcular los recursos públicos, sino que también es necesario conocer las limitaciones constitucionales y reglamentarias, así como las reticencias e inercias de cada Estado en particular. Tomando en cuenta características socioculturales y contextos político-religiosos. </w:t>
      </w:r>
    </w:p>
    <w:p w14:paraId="307907D7" w14:textId="77777777" w:rsidR="00212E86" w:rsidRDefault="00212E86" w:rsidP="00212E86">
      <w:pPr>
        <w:pStyle w:val="Prrafodelista"/>
        <w:numPr>
          <w:ilvl w:val="0"/>
          <w:numId w:val="4"/>
        </w:numPr>
        <w:spacing w:line="276" w:lineRule="auto"/>
        <w:jc w:val="both"/>
        <w:rPr>
          <w:rFonts w:ascii="Arial" w:hAnsi="Arial" w:cs="Arial"/>
          <w:sz w:val="22"/>
          <w:szCs w:val="22"/>
        </w:rPr>
      </w:pPr>
      <w:r w:rsidRPr="00212E86">
        <w:rPr>
          <w:rFonts w:ascii="Arial" w:hAnsi="Arial" w:cs="Arial"/>
          <w:sz w:val="22"/>
          <w:szCs w:val="22"/>
        </w:rPr>
        <w:t xml:space="preserve">Fortalecer la capacidad institucional para comprender y llevar a la práctica el componente de transformación del mandato de masculinidad como dicta la segunda fase de la ENAPEA cambiando el prestigio sobre el que se funda la masculinidad que se relaciona con discriminación, desigualdad y violencia hacia las mujeres, en particular niñas y adolescentes. Así como transformar la relación imperante de la feminidad y la maternidad. </w:t>
      </w:r>
    </w:p>
    <w:p w14:paraId="2E2E8A97" w14:textId="77777777" w:rsidR="00212E86" w:rsidRDefault="00212E86" w:rsidP="00212E86">
      <w:pPr>
        <w:pStyle w:val="Prrafodelista"/>
        <w:numPr>
          <w:ilvl w:val="0"/>
          <w:numId w:val="4"/>
        </w:numPr>
        <w:spacing w:line="276" w:lineRule="auto"/>
        <w:jc w:val="both"/>
        <w:rPr>
          <w:rFonts w:ascii="Arial" w:hAnsi="Arial" w:cs="Arial"/>
          <w:sz w:val="22"/>
          <w:szCs w:val="22"/>
        </w:rPr>
      </w:pPr>
      <w:r w:rsidRPr="00212E86">
        <w:rPr>
          <w:rFonts w:ascii="Arial" w:hAnsi="Arial" w:cs="Arial"/>
          <w:sz w:val="22"/>
          <w:szCs w:val="22"/>
        </w:rPr>
        <w:t xml:space="preserve">Homologación y revisión teórica de los conceptos oficiales para nombrar el problema público de embarazo adolescente. Por un lado, del concepto embarazo infantil o </w:t>
      </w:r>
      <w:r w:rsidRPr="00212E86">
        <w:rPr>
          <w:rFonts w:ascii="Arial" w:hAnsi="Arial" w:cs="Arial"/>
          <w:sz w:val="22"/>
          <w:szCs w:val="22"/>
        </w:rPr>
        <w:lastRenderedPageBreak/>
        <w:t xml:space="preserve">embarazo forzado como apuesta política y no como utilización como un sinónimo de embarazo adolescente en menores de 14 años. Asimismo, diferenciar entre los problemas: embarazo no planeado/no planificado en adolescentes y embarazo adolescente, ya que tiene implicaciones distintas. </w:t>
      </w:r>
    </w:p>
    <w:p w14:paraId="0A9BB5E8" w14:textId="599452DB" w:rsidR="000C5876" w:rsidRPr="00C9166B" w:rsidRDefault="00212E86" w:rsidP="000C5876">
      <w:pPr>
        <w:pStyle w:val="Prrafodelista"/>
        <w:numPr>
          <w:ilvl w:val="0"/>
          <w:numId w:val="4"/>
        </w:numPr>
        <w:spacing w:line="276" w:lineRule="auto"/>
        <w:jc w:val="both"/>
        <w:rPr>
          <w:rFonts w:ascii="Arial" w:hAnsi="Arial" w:cs="Arial"/>
          <w:sz w:val="22"/>
          <w:szCs w:val="22"/>
        </w:rPr>
      </w:pPr>
      <w:r w:rsidRPr="00212E86">
        <w:rPr>
          <w:rFonts w:ascii="Arial" w:hAnsi="Arial" w:cs="Arial"/>
          <w:sz w:val="22"/>
          <w:szCs w:val="22"/>
        </w:rPr>
        <w:t>Homologación de marcos normativos con los más altos estándares de Derechos Humanos, derechos de las Mujeres y Derechos de las Niñas, Niños y Adolescentes en especial en los temas de edad para consensuar relaciones sexuales, interrupción legal del embarazo, matrimonio infantil, educación sexual integral.</w:t>
      </w:r>
    </w:p>
    <w:p w14:paraId="31754E35" w14:textId="77777777" w:rsidR="00C9166B" w:rsidRPr="00C9166B" w:rsidRDefault="00C9166B" w:rsidP="00EB01D4">
      <w:pPr>
        <w:spacing w:line="276" w:lineRule="auto"/>
        <w:jc w:val="both"/>
        <w:rPr>
          <w:rFonts w:ascii="Arial" w:hAnsi="Arial" w:cs="Arial"/>
          <w:b/>
          <w:bCs/>
          <w:sz w:val="22"/>
          <w:szCs w:val="22"/>
        </w:rPr>
      </w:pPr>
      <w:r w:rsidRPr="00C9166B">
        <w:rPr>
          <w:rFonts w:ascii="Arial" w:hAnsi="Arial" w:cs="Arial"/>
          <w:b/>
          <w:bCs/>
          <w:sz w:val="22"/>
          <w:szCs w:val="22"/>
        </w:rPr>
        <w:t>Recomendaciones sobre la venta de niñas y adolescentes</w:t>
      </w:r>
    </w:p>
    <w:p w14:paraId="38020423" w14:textId="4E59841E" w:rsidR="00C9166B" w:rsidRPr="00C9166B" w:rsidRDefault="00C9166B" w:rsidP="00C9166B">
      <w:pPr>
        <w:pStyle w:val="Prrafodelista"/>
        <w:numPr>
          <w:ilvl w:val="0"/>
          <w:numId w:val="6"/>
        </w:numPr>
        <w:spacing w:line="276" w:lineRule="auto"/>
        <w:jc w:val="both"/>
        <w:rPr>
          <w:rFonts w:ascii="Arial" w:hAnsi="Arial" w:cs="Arial"/>
          <w:sz w:val="22"/>
          <w:szCs w:val="22"/>
        </w:rPr>
      </w:pPr>
      <w:r w:rsidRPr="00C9166B">
        <w:rPr>
          <w:rFonts w:ascii="Arial" w:hAnsi="Arial" w:cs="Arial"/>
          <w:sz w:val="22"/>
          <w:szCs w:val="22"/>
        </w:rPr>
        <w:t>Instar a los tres poderes de la Unión a establecer normas y mecanismos integrales para prevenir, atender, sancionar y reparar el daño a víctimas de trata, explotación sexual y matrimonios forzados, en cumplimiento de los estándares internacionales de derechos humanos.</w:t>
      </w:r>
    </w:p>
    <w:p w14:paraId="154BC6E3" w14:textId="5468AA49" w:rsidR="00D34ED4" w:rsidRPr="00C9166B" w:rsidRDefault="00C9166B" w:rsidP="00C9166B">
      <w:pPr>
        <w:pStyle w:val="Prrafodelista"/>
        <w:numPr>
          <w:ilvl w:val="0"/>
          <w:numId w:val="6"/>
        </w:numPr>
        <w:spacing w:line="276" w:lineRule="auto"/>
        <w:jc w:val="both"/>
        <w:rPr>
          <w:rFonts w:ascii="Arial" w:hAnsi="Arial" w:cs="Arial"/>
          <w:sz w:val="22"/>
          <w:szCs w:val="22"/>
        </w:rPr>
      </w:pPr>
      <w:r w:rsidRPr="00C9166B">
        <w:rPr>
          <w:rFonts w:ascii="Arial" w:hAnsi="Arial" w:cs="Arial"/>
          <w:sz w:val="22"/>
          <w:szCs w:val="22"/>
        </w:rPr>
        <w:t>Diseñar una política pública con medidas contundentes para erradicar prácticas nocivas que contravengan la prohibición absoluta del matrimonio antes de los 18 años. Fortalecer mecanismos institucionales y recursos destinados a garantizar que niñas y adolescentes accedan a educación continua. Asegurar su inclusión en programas de bienestar social que promuevan su autonomía y proyectos de vida libres de violencia.</w:t>
      </w:r>
      <w:r w:rsidRPr="00C9166B">
        <w:rPr>
          <w:rFonts w:ascii="Arial" w:hAnsi="Arial" w:cs="Arial"/>
          <w:sz w:val="22"/>
          <w:szCs w:val="22"/>
        </w:rPr>
        <w:br w:type="page"/>
      </w:r>
    </w:p>
    <w:p w14:paraId="1719A173" w14:textId="77777777" w:rsidR="00D34ED4" w:rsidRPr="00E8613C" w:rsidRDefault="00246C10" w:rsidP="00E8613C">
      <w:pPr>
        <w:spacing w:line="240" w:lineRule="auto"/>
        <w:jc w:val="both"/>
        <w:rPr>
          <w:rFonts w:ascii="Arial" w:eastAsia="Arial" w:hAnsi="Arial" w:cs="Arial"/>
          <w:b/>
          <w:sz w:val="22"/>
          <w:szCs w:val="22"/>
        </w:rPr>
      </w:pPr>
      <w:r w:rsidRPr="00E8613C">
        <w:rPr>
          <w:rFonts w:ascii="Arial" w:eastAsia="Arial" w:hAnsi="Arial" w:cs="Arial"/>
          <w:b/>
          <w:sz w:val="22"/>
          <w:szCs w:val="22"/>
        </w:rPr>
        <w:lastRenderedPageBreak/>
        <w:t>Bibliografía:</w:t>
      </w:r>
    </w:p>
    <w:p w14:paraId="4D5367FB" w14:textId="4545459C"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Arraiga, L. (2023). </w:t>
      </w:r>
      <w:r w:rsidRPr="00E8613C">
        <w:rPr>
          <w:rFonts w:ascii="Arial" w:eastAsia="Arial" w:hAnsi="Arial" w:cs="Arial"/>
          <w:i/>
          <w:sz w:val="22"/>
          <w:szCs w:val="22"/>
        </w:rPr>
        <w:t>Matrimonio Infantil: Una realidad de</w:t>
      </w:r>
      <w:r w:rsidRPr="00E8613C">
        <w:rPr>
          <w:rFonts w:ascii="Arial" w:eastAsia="Arial" w:hAnsi="Arial" w:cs="Arial"/>
          <w:i/>
          <w:sz w:val="22"/>
          <w:szCs w:val="22"/>
        </w:rPr>
        <w:t xml:space="preserve"> la niñez mexicana.</w:t>
      </w:r>
      <w:r w:rsidRPr="00E8613C">
        <w:rPr>
          <w:rFonts w:ascii="Arial" w:eastAsia="Arial" w:hAnsi="Arial" w:cs="Arial"/>
          <w:sz w:val="22"/>
          <w:szCs w:val="22"/>
        </w:rPr>
        <w:t xml:space="preserve"> </w:t>
      </w:r>
      <w:proofErr w:type="spellStart"/>
      <w:r w:rsidRPr="00E8613C">
        <w:rPr>
          <w:rFonts w:ascii="Arial" w:eastAsia="Arial" w:hAnsi="Arial" w:cs="Arial"/>
          <w:sz w:val="22"/>
          <w:szCs w:val="22"/>
        </w:rPr>
        <w:t>Notitia</w:t>
      </w:r>
      <w:proofErr w:type="spellEnd"/>
      <w:r w:rsidRPr="00E8613C">
        <w:rPr>
          <w:rFonts w:ascii="Arial" w:eastAsia="Arial" w:hAnsi="Arial" w:cs="Arial"/>
          <w:sz w:val="22"/>
          <w:szCs w:val="22"/>
        </w:rPr>
        <w:t xml:space="preserve"> </w:t>
      </w:r>
      <w:proofErr w:type="spellStart"/>
      <w:r w:rsidRPr="00E8613C">
        <w:rPr>
          <w:rFonts w:ascii="Arial" w:eastAsia="Arial" w:hAnsi="Arial" w:cs="Arial"/>
          <w:sz w:val="22"/>
          <w:szCs w:val="22"/>
        </w:rPr>
        <w:t>Criminis</w:t>
      </w:r>
      <w:proofErr w:type="spellEnd"/>
      <w:r w:rsidRPr="00E8613C">
        <w:rPr>
          <w:rFonts w:ascii="Arial" w:eastAsia="Arial" w:hAnsi="Arial" w:cs="Arial"/>
          <w:sz w:val="22"/>
          <w:szCs w:val="22"/>
        </w:rPr>
        <w:t xml:space="preserve">. Consultado en: </w:t>
      </w:r>
      <w:hyperlink r:id="rId8" w:tooltip="Enlace">
        <w:r w:rsidR="00D34ED4" w:rsidRPr="00E8613C">
          <w:rPr>
            <w:rFonts w:ascii="Arial" w:eastAsia="Arial" w:hAnsi="Arial" w:cs="Arial"/>
            <w:color w:val="467886"/>
            <w:sz w:val="22"/>
            <w:szCs w:val="22"/>
            <w:u w:val="single"/>
          </w:rPr>
          <w:t>https://notitiacriminis.mx/tribuna/daudiencia/3129/</w:t>
        </w:r>
      </w:hyperlink>
    </w:p>
    <w:p w14:paraId="13C8F2A9" w14:textId="29D6D6FB" w:rsidR="00D34ED4" w:rsidRPr="00E8613C" w:rsidRDefault="00246C10" w:rsidP="00E8613C">
      <w:pPr>
        <w:spacing w:line="240" w:lineRule="auto"/>
        <w:jc w:val="both"/>
        <w:rPr>
          <w:rFonts w:ascii="Arial" w:eastAsia="Arial" w:hAnsi="Arial" w:cs="Arial"/>
          <w:sz w:val="22"/>
          <w:szCs w:val="22"/>
        </w:rPr>
      </w:pPr>
      <w:proofErr w:type="spellStart"/>
      <w:r w:rsidRPr="00E8613C">
        <w:rPr>
          <w:rFonts w:ascii="Arial" w:eastAsia="Arial" w:hAnsi="Arial" w:cs="Arial"/>
          <w:sz w:val="22"/>
          <w:szCs w:val="22"/>
        </w:rPr>
        <w:t>Caceres</w:t>
      </w:r>
      <w:proofErr w:type="spellEnd"/>
      <w:r w:rsidRPr="00E8613C">
        <w:rPr>
          <w:rFonts w:ascii="Arial" w:eastAsia="Arial" w:hAnsi="Arial" w:cs="Arial"/>
          <w:sz w:val="22"/>
          <w:szCs w:val="22"/>
        </w:rPr>
        <w:t xml:space="preserve">, (2025). Padres querían forzar a su hija adolescente a contraer matrimonio con un hombre de 62 años en Oaxaca, la menor huyó. </w:t>
      </w:r>
      <w:hyperlink r:id="rId9" w:history="1">
        <w:r w:rsidR="00490BA1" w:rsidRPr="00490BA1">
          <w:rPr>
            <w:rStyle w:val="Hipervnculo"/>
            <w:rFonts w:ascii="Arial" w:eastAsia="Arial" w:hAnsi="Arial" w:cs="Arial"/>
            <w:sz w:val="22"/>
            <w:szCs w:val="22"/>
          </w:rPr>
          <w:t>Adolescente huye de matrimonio forzado con hombre de 62 años en Oaxaca</w:t>
        </w:r>
      </w:hyperlink>
    </w:p>
    <w:p w14:paraId="1F11F525"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Cámara de Diputados del H. Congreso de La Unión. (1928). Código Civil Federal. En Diario Oficial de la Federación. </w:t>
      </w:r>
      <w:hyperlink r:id="rId10">
        <w:r w:rsidR="00D34ED4" w:rsidRPr="00E8613C">
          <w:rPr>
            <w:rFonts w:ascii="Arial" w:eastAsia="Arial" w:hAnsi="Arial" w:cs="Arial"/>
            <w:color w:val="1155CC"/>
            <w:sz w:val="22"/>
            <w:szCs w:val="22"/>
            <w:u w:val="single"/>
          </w:rPr>
          <w:t>https://www.diputados.gob.mx/LeyesBiblio/pdf/CCF.pdf</w:t>
        </w:r>
      </w:hyperlink>
      <w:r w:rsidRPr="00E8613C">
        <w:rPr>
          <w:rFonts w:ascii="Arial" w:eastAsia="Arial" w:hAnsi="Arial" w:cs="Arial"/>
          <w:sz w:val="22"/>
          <w:szCs w:val="22"/>
        </w:rPr>
        <w:t xml:space="preserve">  </w:t>
      </w:r>
    </w:p>
    <w:p w14:paraId="0EF64551"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Cámara de Diputados del H. Congreso de La Unión. (2012). LEY GENERAL PARA PREVENIR, SANCIONAR Y ERRADICAR LOS DELITOS EN MATERIA DE TRATA DE PERSONAS Y PARA LA PROTE</w:t>
      </w:r>
      <w:r w:rsidRPr="00E8613C">
        <w:rPr>
          <w:rFonts w:ascii="Arial" w:eastAsia="Arial" w:hAnsi="Arial" w:cs="Arial"/>
          <w:sz w:val="22"/>
          <w:szCs w:val="22"/>
        </w:rPr>
        <w:t xml:space="preserve">CCIÓN Y ASISTENCIA A LAS VÍCTIMAS DE ESTOS DELITOS. En Diario Oficial de la Federación. </w:t>
      </w:r>
      <w:hyperlink r:id="rId11">
        <w:r w:rsidR="00D34ED4" w:rsidRPr="00E8613C">
          <w:rPr>
            <w:rFonts w:ascii="Arial" w:eastAsia="Arial" w:hAnsi="Arial" w:cs="Arial"/>
            <w:color w:val="1155CC"/>
            <w:sz w:val="22"/>
            <w:szCs w:val="22"/>
            <w:u w:val="single"/>
          </w:rPr>
          <w:t>https://www.diputados.gob.mx/LeyesBiblio/pdf/LGPSEDMTP.pdf</w:t>
        </w:r>
      </w:hyperlink>
      <w:r w:rsidRPr="00E8613C">
        <w:rPr>
          <w:rFonts w:ascii="Arial" w:eastAsia="Arial" w:hAnsi="Arial" w:cs="Arial"/>
          <w:sz w:val="22"/>
          <w:szCs w:val="22"/>
        </w:rPr>
        <w:t xml:space="preserve">  </w:t>
      </w:r>
    </w:p>
    <w:p w14:paraId="18CDE2BC"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Cámara de Diputados del H. Co</w:t>
      </w:r>
      <w:r w:rsidRPr="00E8613C">
        <w:rPr>
          <w:rFonts w:ascii="Arial" w:eastAsia="Arial" w:hAnsi="Arial" w:cs="Arial"/>
          <w:sz w:val="22"/>
          <w:szCs w:val="22"/>
        </w:rPr>
        <w:t xml:space="preserve">ngreso de la Unión. (2023). Ley General para prevenir, sancionar y erradicar los delitos en materia de trata de personas y para la protección y asistencia a las víctimas de estos delitos. Diario Oficial de La Federación, pp. 1–55. </w:t>
      </w:r>
      <w:hyperlink r:id="rId12">
        <w:r w:rsidR="00D34ED4" w:rsidRPr="00E8613C">
          <w:rPr>
            <w:rFonts w:ascii="Arial" w:eastAsia="Arial" w:hAnsi="Arial" w:cs="Arial"/>
            <w:color w:val="1155CC"/>
            <w:sz w:val="22"/>
            <w:szCs w:val="22"/>
            <w:u w:val="single"/>
          </w:rPr>
          <w:t>https://tsj-tabasco.gob.mx/docs/14223/lgpsedm-trata-de-personas-actualizar-05-04-2023-pdf/</w:t>
        </w:r>
      </w:hyperlink>
      <w:r w:rsidRPr="00E8613C">
        <w:rPr>
          <w:rFonts w:ascii="Arial" w:eastAsia="Arial" w:hAnsi="Arial" w:cs="Arial"/>
          <w:sz w:val="22"/>
          <w:szCs w:val="22"/>
        </w:rPr>
        <w:t xml:space="preserve"> </w:t>
      </w:r>
    </w:p>
    <w:p w14:paraId="2D800384"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Católicas por el Derecho a Decidir A.C. (2020). Informe sobre Laicidad y Derech</w:t>
      </w:r>
      <w:r w:rsidRPr="00E8613C">
        <w:rPr>
          <w:rFonts w:ascii="Arial" w:eastAsia="Arial" w:hAnsi="Arial" w:cs="Arial"/>
          <w:sz w:val="22"/>
          <w:szCs w:val="22"/>
        </w:rPr>
        <w:t>os Sexuales y Reproductivos en América Latina y El Caribe.</w:t>
      </w:r>
    </w:p>
    <w:p w14:paraId="2313A1CB" w14:textId="7DDD2806"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Código Civil de cada entidad dentro del Capítulo 1, Libro Cuatro: Interpretación, el cual establece: “El uso o la costumbre del país se tendrán en cuenta para interpretar las ambigüedades de los co</w:t>
      </w:r>
      <w:r w:rsidRPr="00E8613C">
        <w:rPr>
          <w:rFonts w:ascii="Arial" w:eastAsia="Arial" w:hAnsi="Arial" w:cs="Arial"/>
          <w:sz w:val="22"/>
          <w:szCs w:val="22"/>
        </w:rPr>
        <w:t xml:space="preserve">ntratos.” (Código Civil del Estado de México, 2024). </w:t>
      </w:r>
    </w:p>
    <w:p w14:paraId="43329D1F" w14:textId="53216AC2"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Comité para la Eliminación de la Discriminación contra la Mujer. (2014). </w:t>
      </w:r>
      <w:r w:rsidRPr="00E8613C">
        <w:rPr>
          <w:rFonts w:ascii="Arial" w:eastAsia="Arial" w:hAnsi="Arial" w:cs="Arial"/>
          <w:i/>
          <w:sz w:val="22"/>
          <w:szCs w:val="22"/>
        </w:rPr>
        <w:t>Recomendación general núm. 31 del Comité para la Eliminación de la Discriminación contra la Mujer y observación general núm. 18 d</w:t>
      </w:r>
      <w:r w:rsidRPr="00E8613C">
        <w:rPr>
          <w:rFonts w:ascii="Arial" w:eastAsia="Arial" w:hAnsi="Arial" w:cs="Arial"/>
          <w:i/>
          <w:sz w:val="22"/>
          <w:szCs w:val="22"/>
        </w:rPr>
        <w:t>el Comité de los Derechos del Niño sobre las prácticas nocivas, adoptadas de manera conjunta</w:t>
      </w:r>
      <w:r w:rsidRPr="00E8613C">
        <w:rPr>
          <w:rFonts w:ascii="Arial" w:eastAsia="Arial" w:hAnsi="Arial" w:cs="Arial"/>
          <w:sz w:val="22"/>
          <w:szCs w:val="22"/>
        </w:rPr>
        <w:t xml:space="preserve">. </w:t>
      </w:r>
      <w:hyperlink r:id="rId13">
        <w:r w:rsidR="00D34ED4" w:rsidRPr="00E8613C">
          <w:rPr>
            <w:rFonts w:ascii="Arial" w:eastAsia="Arial" w:hAnsi="Arial" w:cs="Arial"/>
            <w:color w:val="467886"/>
            <w:sz w:val="22"/>
            <w:szCs w:val="22"/>
            <w:u w:val="single"/>
          </w:rPr>
          <w:t>https://acnur.org/fileadmin/Documentos/BDL/2014/9925.pdf</w:t>
        </w:r>
      </w:hyperlink>
      <w:r w:rsidRPr="00E8613C">
        <w:rPr>
          <w:rFonts w:ascii="Arial" w:eastAsia="Arial" w:hAnsi="Arial" w:cs="Arial"/>
          <w:sz w:val="22"/>
          <w:szCs w:val="22"/>
        </w:rPr>
        <w:t xml:space="preserve"> </w:t>
      </w:r>
    </w:p>
    <w:p w14:paraId="07C286D5"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Comité para la Eliminación d</w:t>
      </w:r>
      <w:r w:rsidRPr="00E8613C">
        <w:rPr>
          <w:rFonts w:ascii="Arial" w:eastAsia="Arial" w:hAnsi="Arial" w:cs="Arial"/>
          <w:sz w:val="22"/>
          <w:szCs w:val="22"/>
        </w:rPr>
        <w:t xml:space="preserve">e la Discriminación contra la Mujer. (2020). </w:t>
      </w:r>
      <w:r w:rsidRPr="00E8613C">
        <w:rPr>
          <w:rFonts w:ascii="Arial" w:eastAsia="Arial" w:hAnsi="Arial" w:cs="Arial"/>
          <w:i/>
          <w:sz w:val="22"/>
          <w:szCs w:val="22"/>
        </w:rPr>
        <w:t>Recomendación general núm. 38 (2020), relativa a la trata de mujeres y niñas en el contexto de la migración mundial.</w:t>
      </w:r>
      <w:r w:rsidRPr="00E8613C">
        <w:rPr>
          <w:rFonts w:ascii="Arial" w:eastAsia="Arial" w:hAnsi="Arial" w:cs="Arial"/>
          <w:sz w:val="22"/>
          <w:szCs w:val="22"/>
        </w:rPr>
        <w:t xml:space="preserve"> Naciones Unidas. </w:t>
      </w:r>
      <w:hyperlink r:id="rId14">
        <w:r w:rsidR="00D34ED4" w:rsidRPr="00E8613C">
          <w:rPr>
            <w:rFonts w:ascii="Arial" w:eastAsia="Arial" w:hAnsi="Arial" w:cs="Arial"/>
            <w:color w:val="467886"/>
            <w:sz w:val="22"/>
            <w:szCs w:val="22"/>
            <w:u w:val="single"/>
          </w:rPr>
          <w:t>https://docs.un.org/es/CEDAW/C/GC/38</w:t>
        </w:r>
      </w:hyperlink>
      <w:r w:rsidRPr="00E8613C">
        <w:rPr>
          <w:rFonts w:ascii="Arial" w:eastAsia="Arial" w:hAnsi="Arial" w:cs="Arial"/>
          <w:sz w:val="22"/>
          <w:szCs w:val="22"/>
        </w:rPr>
        <w:t xml:space="preserve"> </w:t>
      </w:r>
    </w:p>
    <w:p w14:paraId="4CBB4151"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CONAPO (2015). Estrategia Nacional para la Prevención del Embarazo.</w:t>
      </w:r>
    </w:p>
    <w:p w14:paraId="46C59326"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CONAPO (2021). Segunda Fase de la Estrategia Nacional para la Prevención del Embarazo en Adolescentes 2021-2024.</w:t>
      </w:r>
    </w:p>
    <w:p w14:paraId="24AAE0AA"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Consejo Nacional de Población. (2023)</w:t>
      </w:r>
      <w:r w:rsidRPr="00E8613C">
        <w:rPr>
          <w:rFonts w:ascii="Arial" w:eastAsia="Arial" w:hAnsi="Arial" w:cs="Arial"/>
          <w:sz w:val="22"/>
          <w:szCs w:val="22"/>
        </w:rPr>
        <w:t xml:space="preserve">. Niñez interrumpida. Matrimonio infantil y adolescente en México. Recuperado de  </w:t>
      </w:r>
      <w:hyperlink r:id="rId15">
        <w:r w:rsidR="00D34ED4" w:rsidRPr="00E8613C">
          <w:rPr>
            <w:rFonts w:ascii="Arial" w:eastAsia="Arial" w:hAnsi="Arial" w:cs="Arial"/>
            <w:color w:val="0000FF"/>
            <w:sz w:val="22"/>
            <w:szCs w:val="22"/>
            <w:u w:val="single"/>
          </w:rPr>
          <w:t>Niniez_completo_Final_WEB.pdf</w:t>
        </w:r>
      </w:hyperlink>
    </w:p>
    <w:p w14:paraId="4A7994A7" w14:textId="32BC538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Ciencia UNAM-DGDC (2021). De niñas a espo</w:t>
      </w:r>
      <w:r w:rsidRPr="00E8613C">
        <w:rPr>
          <w:rFonts w:ascii="Arial" w:eastAsia="Arial" w:hAnsi="Arial" w:cs="Arial"/>
          <w:sz w:val="22"/>
          <w:szCs w:val="22"/>
        </w:rPr>
        <w:t xml:space="preserve">sas. La problemática del matrimonio infantil. </w:t>
      </w:r>
      <w:hyperlink r:id="rId16">
        <w:r w:rsidR="00D34ED4" w:rsidRPr="00E8613C">
          <w:rPr>
            <w:rFonts w:ascii="Arial" w:eastAsia="Arial" w:hAnsi="Arial" w:cs="Arial"/>
            <w:color w:val="0000FF"/>
            <w:sz w:val="22"/>
            <w:szCs w:val="22"/>
            <w:u w:val="single"/>
          </w:rPr>
          <w:t>De niñas a esposas. La problemática del matrimonio infantil - Ciencia UNAM</w:t>
        </w:r>
      </w:hyperlink>
    </w:p>
    <w:p w14:paraId="35489BAB"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lastRenderedPageBreak/>
        <w:t>Chávez, L. (2021). Reed</w:t>
      </w:r>
      <w:r w:rsidRPr="00E8613C">
        <w:rPr>
          <w:rFonts w:ascii="Arial" w:eastAsia="Arial" w:hAnsi="Arial" w:cs="Arial"/>
          <w:sz w:val="22"/>
          <w:szCs w:val="22"/>
        </w:rPr>
        <w:t xml:space="preserve">ucan a cuatro comunitarios de Dos Ríos que no arrestaron al suegro y al papá de Angélica. El Sur. </w:t>
      </w:r>
      <w:hyperlink r:id="rId17">
        <w:r w:rsidR="00D34ED4" w:rsidRPr="00E8613C">
          <w:rPr>
            <w:rFonts w:ascii="Arial" w:eastAsia="Arial" w:hAnsi="Arial" w:cs="Arial"/>
            <w:color w:val="1155CC"/>
            <w:sz w:val="22"/>
            <w:szCs w:val="22"/>
            <w:u w:val="single"/>
          </w:rPr>
          <w:t>https://suracapulco.mx/reeducan-a-cuatro-comunitarios-de-dos-rios-que-no-arrestaron-al-suegro-y-al-papa-de-angelica/</w:t>
        </w:r>
      </w:hyperlink>
      <w:r w:rsidRPr="00E8613C">
        <w:rPr>
          <w:rFonts w:ascii="Arial" w:eastAsia="Arial" w:hAnsi="Arial" w:cs="Arial"/>
          <w:sz w:val="22"/>
          <w:szCs w:val="22"/>
        </w:rPr>
        <w:t xml:space="preserve"> </w:t>
      </w:r>
    </w:p>
    <w:p w14:paraId="3D88B029"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García, A. (2023). Matrimonio forzado: detectan venta de niñas en Tamaulipas. La silla rota. </w:t>
      </w:r>
      <w:hyperlink r:id="rId18">
        <w:r w:rsidR="00D34ED4" w:rsidRPr="00E8613C">
          <w:rPr>
            <w:rFonts w:ascii="Arial" w:eastAsia="Arial" w:hAnsi="Arial" w:cs="Arial"/>
            <w:color w:val="1155CC"/>
            <w:sz w:val="22"/>
            <w:szCs w:val="22"/>
            <w:u w:val="single"/>
          </w:rPr>
          <w:t>https://lasillarota.com/estados/2023/3/8/matrimonio-forzado-detectan-venta-de-ninas-en-tamaulipas-418285.html</w:t>
        </w:r>
      </w:hyperlink>
      <w:r w:rsidRPr="00E8613C">
        <w:rPr>
          <w:rFonts w:ascii="Arial" w:eastAsia="Arial" w:hAnsi="Arial" w:cs="Arial"/>
          <w:sz w:val="22"/>
          <w:szCs w:val="22"/>
        </w:rPr>
        <w:t xml:space="preserve">  </w:t>
      </w:r>
    </w:p>
    <w:p w14:paraId="3FDAE1D9"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Gonzáles, C &amp; Chávez L. (2021). Encarcela 11 días la Comunitaria de Dos Ríos a una</w:t>
      </w:r>
      <w:r w:rsidRPr="00E8613C">
        <w:rPr>
          <w:rFonts w:ascii="Arial" w:eastAsia="Arial" w:hAnsi="Arial" w:cs="Arial"/>
          <w:sz w:val="22"/>
          <w:szCs w:val="22"/>
        </w:rPr>
        <w:t xml:space="preserve"> adolescente que escapó tras matrimonio forzado. El Sur.  </w:t>
      </w:r>
      <w:hyperlink r:id="rId19">
        <w:r w:rsidR="00D34ED4" w:rsidRPr="00E8613C">
          <w:rPr>
            <w:rFonts w:ascii="Arial" w:eastAsia="Arial" w:hAnsi="Arial" w:cs="Arial"/>
            <w:color w:val="1155CC"/>
            <w:sz w:val="22"/>
            <w:szCs w:val="22"/>
            <w:u w:val="single"/>
          </w:rPr>
          <w:t>https://suracapulco.mx/impreso/2/encarcela-11-dias-la-comunitaria-de-dos-rios-a-una-adolescente-que-escapo-tras-matrimonio-forzado/</w:t>
        </w:r>
      </w:hyperlink>
      <w:r w:rsidRPr="00E8613C">
        <w:rPr>
          <w:rFonts w:ascii="Arial" w:eastAsia="Arial" w:hAnsi="Arial" w:cs="Arial"/>
          <w:sz w:val="22"/>
          <w:szCs w:val="22"/>
        </w:rPr>
        <w:t xml:space="preserve">  </w:t>
      </w:r>
    </w:p>
    <w:p w14:paraId="4B170A36" w14:textId="20D8C993"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González, C &amp; Ramírez, A. (2021). El caso de Angélica, de 15 años, destapó en Cochoapa el Grande el problema de los matrimonios por dinero. El Sur. </w:t>
      </w:r>
      <w:hyperlink r:id="rId20" w:history="1">
        <w:r w:rsidR="006571AA" w:rsidRPr="006571AA">
          <w:rPr>
            <w:rStyle w:val="Hipervnculo"/>
            <w:rFonts w:ascii="Arial" w:eastAsia="Arial" w:hAnsi="Arial" w:cs="Arial"/>
            <w:sz w:val="22"/>
            <w:szCs w:val="22"/>
          </w:rPr>
          <w:t xml:space="preserve">Encarcela 11 días la Comunitaria de Dos Ríos a una adolescente que escapó tras matrimonio forzado - El Sur Acapulco </w:t>
        </w:r>
        <w:proofErr w:type="spellStart"/>
        <w:r w:rsidR="006571AA" w:rsidRPr="006571AA">
          <w:rPr>
            <w:rStyle w:val="Hipervnculo"/>
            <w:rFonts w:ascii="Arial" w:eastAsia="Arial" w:hAnsi="Arial" w:cs="Arial"/>
            <w:sz w:val="22"/>
            <w:szCs w:val="22"/>
          </w:rPr>
          <w:t>suracapulco</w:t>
        </w:r>
        <w:proofErr w:type="spellEnd"/>
        <w:r w:rsidR="006571AA" w:rsidRPr="006571AA">
          <w:rPr>
            <w:rStyle w:val="Hipervnculo"/>
            <w:rFonts w:ascii="Arial" w:eastAsia="Arial" w:hAnsi="Arial" w:cs="Arial"/>
            <w:sz w:val="22"/>
            <w:szCs w:val="22"/>
          </w:rPr>
          <w:t xml:space="preserve"> I Noticias Acapulco Guerrero</w:t>
        </w:r>
      </w:hyperlink>
    </w:p>
    <w:p w14:paraId="4DEFA54A" w14:textId="211D4240"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González, C. (2022). Busca la CRAC-PC un acuerdo con la familia de Angélica, niña sometida a matrimonio forzado. El Sur. </w:t>
      </w:r>
      <w:hyperlink r:id="rId21" w:history="1">
        <w:r w:rsidR="00490BA1" w:rsidRPr="00490BA1">
          <w:rPr>
            <w:rStyle w:val="Hipervnculo"/>
            <w:rFonts w:ascii="Arial" w:eastAsia="Arial" w:hAnsi="Arial" w:cs="Arial"/>
            <w:sz w:val="22"/>
            <w:szCs w:val="22"/>
          </w:rPr>
          <w:t xml:space="preserve">Busca la CRAC-PC un acuerdo con la familia de Angélica, niña sometida a matrimonio forzado - El Sur Acapulco </w:t>
        </w:r>
        <w:proofErr w:type="spellStart"/>
        <w:r w:rsidR="00490BA1" w:rsidRPr="00490BA1">
          <w:rPr>
            <w:rStyle w:val="Hipervnculo"/>
            <w:rFonts w:ascii="Arial" w:eastAsia="Arial" w:hAnsi="Arial" w:cs="Arial"/>
            <w:sz w:val="22"/>
            <w:szCs w:val="22"/>
          </w:rPr>
          <w:t>suracapulco</w:t>
        </w:r>
        <w:proofErr w:type="spellEnd"/>
        <w:r w:rsidR="00490BA1" w:rsidRPr="00490BA1">
          <w:rPr>
            <w:rStyle w:val="Hipervnculo"/>
            <w:rFonts w:ascii="Arial" w:eastAsia="Arial" w:hAnsi="Arial" w:cs="Arial"/>
            <w:sz w:val="22"/>
            <w:szCs w:val="22"/>
          </w:rPr>
          <w:t xml:space="preserve"> I Noticias Acapulco Guerrero</w:t>
        </w:r>
      </w:hyperlink>
    </w:p>
    <w:p w14:paraId="7DA4E265" w14:textId="64046FF2"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Grupo de trabajo del Programa Conjunto Interinstitucional para Poner Fin al Matrimonio Infantil y a las Uniones Tempranas en América Latina y el Caribe. (2021). Los matrimonios y uniones infantiles, tempranos y forzados: Prá</w:t>
      </w:r>
      <w:r w:rsidRPr="00E8613C">
        <w:rPr>
          <w:rFonts w:ascii="Arial" w:eastAsia="Arial" w:hAnsi="Arial" w:cs="Arial"/>
          <w:sz w:val="22"/>
          <w:szCs w:val="22"/>
        </w:rPr>
        <w:t xml:space="preserve">cticas nocivas profundizadoras de la desigualdad de género en América Latina y el Caribe. </w:t>
      </w:r>
      <w:hyperlink r:id="rId22" w:history="1">
        <w:r w:rsidR="00490BA1" w:rsidRPr="00490BA1">
          <w:rPr>
            <w:rStyle w:val="Hipervnculo"/>
            <w:rFonts w:ascii="Arial" w:eastAsia="Arial" w:hAnsi="Arial" w:cs="Arial"/>
            <w:sz w:val="22"/>
            <w:szCs w:val="22"/>
          </w:rPr>
          <w:t>Los matrimonios y uniones infantiles tempranos y forzados: prácticas nocivas profundizadoras de la desigualdad de género en América Latina y el Caribe</w:t>
        </w:r>
      </w:hyperlink>
    </w:p>
    <w:p w14:paraId="398E26B7"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GIRE. (2021). El camino hacia la justicia reproductiva: Una década de avances y pendientes aborto violencia obstétrica muerte materna vida laboral y reproductiva reproducción asistida.</w:t>
      </w:r>
    </w:p>
    <w:p w14:paraId="1D701539" w14:textId="25A0F081"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Inst</w:t>
      </w:r>
      <w:r w:rsidRPr="00E8613C">
        <w:rPr>
          <w:rFonts w:ascii="Arial" w:eastAsia="Arial" w:hAnsi="Arial" w:cs="Arial"/>
          <w:sz w:val="22"/>
          <w:szCs w:val="22"/>
        </w:rPr>
        <w:t xml:space="preserve">ituto Nacional de Estadística y Geografía (INEGI). (2021). Comunicado de Prensa, Núm. 225/21 ESTADÍSTICAS A PROPÓSITO DEL DÍA DEL NIÑO. Obtenido de </w:t>
      </w:r>
      <w:hyperlink r:id="rId23" w:history="1">
        <w:r w:rsidR="00490BA1" w:rsidRPr="00490BA1">
          <w:rPr>
            <w:rStyle w:val="Hipervnculo"/>
            <w:rFonts w:ascii="Arial" w:eastAsia="Arial" w:hAnsi="Arial" w:cs="Arial"/>
            <w:sz w:val="22"/>
            <w:szCs w:val="22"/>
          </w:rPr>
          <w:t>EAP_Nino21.pdf</w:t>
        </w:r>
      </w:hyperlink>
    </w:p>
    <w:p w14:paraId="6FEADDE8" w14:textId="05234608"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Instituto Nacional de Estadística y Geografía [INEGI]. (2021). Comunicado de Prensa Núm. 549/21 30 de septiembre de 2021. INEGI PRESENTA LA ESTADÍSTICA DE MATRIMONIOS 2020.  </w:t>
      </w:r>
      <w:hyperlink r:id="rId24" w:history="1">
        <w:r w:rsidR="00490BA1" w:rsidRPr="00490BA1">
          <w:rPr>
            <w:rStyle w:val="Hipervnculo"/>
            <w:rFonts w:ascii="Arial" w:eastAsia="Arial" w:hAnsi="Arial" w:cs="Arial"/>
            <w:sz w:val="22"/>
            <w:szCs w:val="22"/>
          </w:rPr>
          <w:t>Comunicado. INEGI presenta la estadística de matrimonios 2020</w:t>
        </w:r>
      </w:hyperlink>
    </w:p>
    <w:p w14:paraId="205001F2" w14:textId="0ECAA132"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Instituto Nacional de Geografía y Estadística [INEGI]. (s.f.). Tabulados interactivos sobre Nupcialidad. </w:t>
      </w:r>
      <w:hyperlink r:id="rId25" w:history="1">
        <w:r w:rsidR="00490BA1" w:rsidRPr="00490BA1">
          <w:rPr>
            <w:rStyle w:val="Hipervnculo"/>
            <w:rFonts w:ascii="Arial" w:eastAsia="Arial" w:hAnsi="Arial" w:cs="Arial"/>
            <w:sz w:val="22"/>
            <w:szCs w:val="22"/>
          </w:rPr>
          <w:t>Matrimonios</w:t>
        </w:r>
      </w:hyperlink>
    </w:p>
    <w:p w14:paraId="386773B6"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INEGI. (2022). Estadística de nacimientos registrados (ENR) 2022. COMUNICADO DE PRENSA, NÚM. 553/23.</w:t>
      </w:r>
    </w:p>
    <w:p w14:paraId="73CEDBF0" w14:textId="69C37BE4"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Instituto Nacional de Estadística y Geografía. (2024). Estadís</w:t>
      </w:r>
      <w:r w:rsidRPr="00E8613C">
        <w:rPr>
          <w:rFonts w:ascii="Arial" w:eastAsia="Arial" w:hAnsi="Arial" w:cs="Arial"/>
          <w:sz w:val="22"/>
          <w:szCs w:val="22"/>
        </w:rPr>
        <w:t xml:space="preserve">tica de matrimonios (EMAT) 2023. </w:t>
      </w:r>
      <w:hyperlink r:id="rId26">
        <w:r w:rsidR="00D34ED4" w:rsidRPr="00E8613C">
          <w:rPr>
            <w:rFonts w:ascii="Arial" w:eastAsia="Arial" w:hAnsi="Arial" w:cs="Arial"/>
            <w:color w:val="0000FF"/>
            <w:sz w:val="22"/>
            <w:szCs w:val="22"/>
            <w:u w:val="single"/>
          </w:rPr>
          <w:t>*Estadística de Matrimonios (EMAT) 2023</w:t>
        </w:r>
      </w:hyperlink>
    </w:p>
    <w:p w14:paraId="61D889AF" w14:textId="558AC91E" w:rsidR="00D34ED4" w:rsidRPr="00E8613C" w:rsidRDefault="00246C10" w:rsidP="00E8613C">
      <w:pPr>
        <w:spacing w:line="240" w:lineRule="auto"/>
        <w:jc w:val="both"/>
        <w:rPr>
          <w:rFonts w:ascii="Arial" w:eastAsia="Arial" w:hAnsi="Arial" w:cs="Arial"/>
          <w:sz w:val="22"/>
          <w:szCs w:val="22"/>
        </w:rPr>
      </w:pPr>
      <w:proofErr w:type="spellStart"/>
      <w:r w:rsidRPr="00E8613C">
        <w:rPr>
          <w:rFonts w:ascii="Arial" w:eastAsia="Arial" w:hAnsi="Arial" w:cs="Arial"/>
          <w:sz w:val="22"/>
          <w:szCs w:val="22"/>
        </w:rPr>
        <w:t>Kánter</w:t>
      </w:r>
      <w:proofErr w:type="spellEnd"/>
      <w:r w:rsidRPr="00E8613C">
        <w:rPr>
          <w:rFonts w:ascii="Arial" w:eastAsia="Arial" w:hAnsi="Arial" w:cs="Arial"/>
          <w:sz w:val="22"/>
          <w:szCs w:val="22"/>
        </w:rPr>
        <w:t>, I. (2018). Matrimonio infantil y las uniones tempranas en México, Mirada L</w:t>
      </w:r>
      <w:r w:rsidRPr="00E8613C">
        <w:rPr>
          <w:rFonts w:ascii="Arial" w:eastAsia="Arial" w:hAnsi="Arial" w:cs="Arial"/>
          <w:sz w:val="22"/>
          <w:szCs w:val="22"/>
        </w:rPr>
        <w:t xml:space="preserve">egislativa, No. 141. Instituto Belisario Domínguez, Senado de la República. </w:t>
      </w:r>
      <w:hyperlink r:id="rId27" w:history="1">
        <w:r w:rsidR="00062529" w:rsidRPr="00062529">
          <w:rPr>
            <w:rStyle w:val="Hipervnculo"/>
            <w:rFonts w:ascii="Arial" w:eastAsia="Arial" w:hAnsi="Arial" w:cs="Arial"/>
            <w:sz w:val="22"/>
            <w:szCs w:val="22"/>
          </w:rPr>
          <w:t>ML 141.pdf</w:t>
        </w:r>
      </w:hyperlink>
    </w:p>
    <w:p w14:paraId="4B26F662" w14:textId="40A16DD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lastRenderedPageBreak/>
        <w:t xml:space="preserve">Infobae. (2025). A sus 14 años querían casarla </w:t>
      </w:r>
      <w:r w:rsidRPr="00E8613C">
        <w:rPr>
          <w:rFonts w:ascii="Arial" w:eastAsia="Arial" w:hAnsi="Arial" w:cs="Arial"/>
          <w:sz w:val="22"/>
          <w:szCs w:val="22"/>
        </w:rPr>
        <w:t xml:space="preserve">con un hombre de 62 en Oaxaca, pero ella hizo algo muy valiente para evitarlo. Infobae. </w:t>
      </w:r>
      <w:hyperlink r:id="rId28" w:history="1">
        <w:r w:rsidR="00062529" w:rsidRPr="00062529">
          <w:rPr>
            <w:rStyle w:val="Hipervnculo"/>
            <w:rFonts w:ascii="Arial" w:eastAsia="Arial" w:hAnsi="Arial" w:cs="Arial"/>
            <w:sz w:val="22"/>
            <w:szCs w:val="22"/>
          </w:rPr>
          <w:t>A sus 14 años querían casarla con un hombre de 62 en Oaxaca pero ella hizo algo muy valiente para evitarlo - Infobae</w:t>
        </w:r>
      </w:hyperlink>
    </w:p>
    <w:p w14:paraId="30C6F873" w14:textId="33E95346"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Naciones Unidas. (1979). Convención sobre la eliminación de todas las formas de discriminación contra la mujer. Oficina del Alto Comisionad</w:t>
      </w:r>
      <w:r w:rsidRPr="00E8613C">
        <w:rPr>
          <w:rFonts w:ascii="Arial" w:eastAsia="Arial" w:hAnsi="Arial" w:cs="Arial"/>
          <w:sz w:val="22"/>
          <w:szCs w:val="22"/>
        </w:rPr>
        <w:t xml:space="preserve">o de las Naciones Unidas para los Derechos Humanos. </w:t>
      </w:r>
      <w:hyperlink r:id="rId29" w:history="1">
        <w:r w:rsidR="00062529" w:rsidRPr="00062529">
          <w:rPr>
            <w:rStyle w:val="Hipervnculo"/>
            <w:rFonts w:ascii="Arial" w:eastAsia="Arial" w:hAnsi="Arial" w:cs="Arial"/>
            <w:sz w:val="22"/>
            <w:szCs w:val="22"/>
          </w:rPr>
          <w:t>Convención sobre la eliminación de todas las formas de discriminación contra la mujer | OHCHR</w:t>
        </w:r>
      </w:hyperlink>
    </w:p>
    <w:p w14:paraId="5C362E5D"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Naciones Unidas. (2002). Informe del Comité para la Eliminación de la Discriminación contra la Mujer; 26º y 27º Periodo de sesiones. (A/57/38). Naciones Unidas. file:///C:/Users/cated/Downloads/N0261420.pdf  </w:t>
      </w:r>
    </w:p>
    <w:p w14:paraId="259D96C7"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Naciones Unidas. (2014). Recomendación general núm. 31 del Comité para la Eliminación de la Discriminación contra la Mujer y observación general núm. 18 del Comité de los Derechos del Niño sobre las prácticas nocivas, adoptadas de manera conjunta. Naciones</w:t>
      </w:r>
      <w:r w:rsidRPr="00E8613C">
        <w:rPr>
          <w:rFonts w:ascii="Arial" w:eastAsia="Arial" w:hAnsi="Arial" w:cs="Arial"/>
          <w:sz w:val="22"/>
          <w:szCs w:val="22"/>
        </w:rPr>
        <w:t xml:space="preserve"> Unidas. </w:t>
      </w:r>
      <w:hyperlink r:id="rId30">
        <w:r w:rsidR="00D34ED4" w:rsidRPr="00E8613C">
          <w:rPr>
            <w:rFonts w:ascii="Arial" w:eastAsia="Arial" w:hAnsi="Arial" w:cs="Arial"/>
            <w:color w:val="1155CC"/>
            <w:sz w:val="22"/>
            <w:szCs w:val="22"/>
            <w:u w:val="single"/>
          </w:rPr>
          <w:t>https://docs.un.org/es/CEDAW/C/GC/31/CRC/C/GC/18</w:t>
        </w:r>
      </w:hyperlink>
      <w:r w:rsidRPr="00E8613C">
        <w:rPr>
          <w:rFonts w:ascii="Arial" w:eastAsia="Arial" w:hAnsi="Arial" w:cs="Arial"/>
          <w:sz w:val="22"/>
          <w:szCs w:val="22"/>
        </w:rPr>
        <w:t xml:space="preserve">  </w:t>
      </w:r>
    </w:p>
    <w:p w14:paraId="29AE26D6"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Nieves, H. (2022). Cambia CRAC su reglamento para prohibir venta de niñas. El Sol de Acapulco. </w:t>
      </w:r>
      <w:hyperlink r:id="rId31">
        <w:r w:rsidR="00D34ED4" w:rsidRPr="00E8613C">
          <w:rPr>
            <w:rFonts w:ascii="Arial" w:eastAsia="Arial" w:hAnsi="Arial" w:cs="Arial"/>
            <w:color w:val="1155CC"/>
            <w:sz w:val="22"/>
            <w:szCs w:val="22"/>
            <w:u w:val="single"/>
          </w:rPr>
          <w:t>https://oem.com.mx/elsoldeacapulco/local/cambia-crac-su-reglamento-para-prohibir-venta-de-ninas-17277076</w:t>
        </w:r>
      </w:hyperlink>
      <w:r w:rsidRPr="00E8613C">
        <w:rPr>
          <w:rFonts w:ascii="Arial" w:eastAsia="Arial" w:hAnsi="Arial" w:cs="Arial"/>
          <w:sz w:val="22"/>
          <w:szCs w:val="22"/>
        </w:rPr>
        <w:t xml:space="preserve">   </w:t>
      </w:r>
    </w:p>
    <w:p w14:paraId="49F28861"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Lamadrid, Luz María (2023). ENAPEA: Marcos interpretativo</w:t>
      </w:r>
      <w:r w:rsidRPr="00E8613C">
        <w:rPr>
          <w:rFonts w:ascii="Arial" w:eastAsia="Arial" w:hAnsi="Arial" w:cs="Arial"/>
          <w:sz w:val="22"/>
          <w:szCs w:val="22"/>
        </w:rPr>
        <w:t>s y género en las mujeres menores de 14 años. Caso de estudio en Guanajuato. Facultad Latinoamericana de Ciencias Sociales México.</w:t>
      </w:r>
    </w:p>
    <w:p w14:paraId="7866D557" w14:textId="1386E4C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La vanguardia. (2015). Estuve detenida 29 horas en San Juan Chamula entre basura y mierda: Niña tzotzil de 14 años</w:t>
      </w:r>
      <w:r w:rsidR="00507E85">
        <w:rPr>
          <w:rFonts w:ascii="Arial" w:eastAsia="Arial" w:hAnsi="Arial" w:cs="Arial"/>
          <w:sz w:val="22"/>
          <w:szCs w:val="22"/>
        </w:rPr>
        <w:t>.</w:t>
      </w:r>
      <w:r w:rsidRPr="00E8613C">
        <w:rPr>
          <w:rFonts w:ascii="Arial" w:eastAsia="Arial" w:hAnsi="Arial" w:cs="Arial"/>
          <w:sz w:val="22"/>
          <w:szCs w:val="22"/>
        </w:rPr>
        <w:t xml:space="preserve"> </w:t>
      </w:r>
      <w:hyperlink r:id="rId32">
        <w:r w:rsidR="00D34ED4" w:rsidRPr="00E8613C">
          <w:rPr>
            <w:rFonts w:ascii="Arial" w:eastAsia="Arial" w:hAnsi="Arial" w:cs="Arial"/>
            <w:color w:val="1155CC"/>
            <w:sz w:val="22"/>
            <w:szCs w:val="22"/>
            <w:u w:val="single"/>
          </w:rPr>
          <w:t>Estuve detenida 29 horas en San Juan Chamula entre basura y mierda: Niña tzotzil de 14 años</w:t>
        </w:r>
      </w:hyperlink>
    </w:p>
    <w:p w14:paraId="2E126EAD" w14:textId="7777777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OPS, UNFPA, &amp; UNICEF. (2023). Acelerar el progreso hacia la reducción del embarazo en la adolescencia en América Latina y el Caribe.</w:t>
      </w:r>
    </w:p>
    <w:p w14:paraId="142C9EA5" w14:textId="07682D84"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REDIM. (2022). Matrimonio y unión temprana en niñas y mujeres adolescentes de México. </w:t>
      </w:r>
      <w:hyperlink r:id="rId33">
        <w:r w:rsidR="00D34ED4" w:rsidRPr="00E8613C">
          <w:rPr>
            <w:rFonts w:ascii="Arial" w:eastAsia="Arial" w:hAnsi="Arial" w:cs="Arial"/>
            <w:color w:val="0000FF"/>
            <w:sz w:val="22"/>
            <w:szCs w:val="22"/>
            <w:u w:val="single"/>
          </w:rPr>
          <w:t>Matrimonio Y Unión Temprana En Niñas Y Mujeres Adolescentes De México - Blog De Datos E Incidencia Política De REDIM</w:t>
        </w:r>
      </w:hyperlink>
    </w:p>
    <w:p w14:paraId="0ECED179" w14:textId="7D6ADB33"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Red por los Derechos de la Infancia e</w:t>
      </w:r>
      <w:r w:rsidRPr="00E8613C">
        <w:rPr>
          <w:rFonts w:ascii="Arial" w:eastAsia="Arial" w:hAnsi="Arial" w:cs="Arial"/>
          <w:sz w:val="22"/>
          <w:szCs w:val="22"/>
        </w:rPr>
        <w:t xml:space="preserve">n México (REDIM). (2022). Matrimonio y unión temprana en niñas y mujeres adolescentes de México. </w:t>
      </w:r>
      <w:hyperlink r:id="rId34">
        <w:r w:rsidR="00D34ED4" w:rsidRPr="00E8613C">
          <w:rPr>
            <w:rFonts w:ascii="Arial" w:eastAsia="Arial" w:hAnsi="Arial" w:cs="Arial"/>
            <w:color w:val="1155CC"/>
            <w:sz w:val="22"/>
            <w:szCs w:val="22"/>
            <w:u w:val="single"/>
          </w:rPr>
          <w:t>https://blog.derechosinfancia.org.mx/2022/01/28/matrimonio-y-union-temprana-en-ninas-y-mujeres-adolescentes-de-mexico/</w:t>
        </w:r>
      </w:hyperlink>
      <w:r w:rsidRPr="00E8613C">
        <w:rPr>
          <w:rFonts w:ascii="Arial" w:eastAsia="Arial" w:hAnsi="Arial" w:cs="Arial"/>
          <w:sz w:val="22"/>
          <w:szCs w:val="22"/>
        </w:rPr>
        <w:t xml:space="preserve">   </w:t>
      </w:r>
    </w:p>
    <w:p w14:paraId="2F46C4E8" w14:textId="37240F47" w:rsidR="00D34ED4" w:rsidRPr="00E8613C" w:rsidRDefault="00246C10" w:rsidP="00E8613C">
      <w:pPr>
        <w:spacing w:line="240" w:lineRule="auto"/>
        <w:jc w:val="both"/>
        <w:rPr>
          <w:rFonts w:ascii="Arial" w:eastAsia="Arial" w:hAnsi="Arial" w:cs="Arial"/>
          <w:sz w:val="22"/>
          <w:szCs w:val="22"/>
        </w:rPr>
      </w:pPr>
      <w:r w:rsidRPr="00E8613C">
        <w:rPr>
          <w:rFonts w:ascii="Arial" w:eastAsia="Arial" w:hAnsi="Arial" w:cs="Arial"/>
          <w:sz w:val="22"/>
          <w:szCs w:val="22"/>
        </w:rPr>
        <w:t xml:space="preserve">Plan internacional (s/f). Cifras de países donde se práctica el matrimonio infantil. </w:t>
      </w:r>
      <w:hyperlink r:id="rId35">
        <w:r w:rsidR="00D34ED4" w:rsidRPr="00E8613C">
          <w:rPr>
            <w:rFonts w:ascii="Arial" w:eastAsia="Arial" w:hAnsi="Arial" w:cs="Arial"/>
            <w:color w:val="0000FF"/>
            <w:sz w:val="22"/>
            <w:szCs w:val="22"/>
            <w:u w:val="single"/>
          </w:rPr>
          <w:t>Países donde se practica el matrimonio infantil | Plan International</w:t>
        </w:r>
      </w:hyperlink>
    </w:p>
    <w:p w14:paraId="48FCC9BA" w14:textId="77777777" w:rsidR="00D34ED4" w:rsidRPr="00E8613C" w:rsidRDefault="00246C10" w:rsidP="00E8613C">
      <w:pPr>
        <w:spacing w:before="240" w:after="240" w:line="240" w:lineRule="auto"/>
        <w:jc w:val="both"/>
        <w:rPr>
          <w:rFonts w:ascii="Arial" w:eastAsia="Arial" w:hAnsi="Arial" w:cs="Arial"/>
          <w:sz w:val="22"/>
          <w:szCs w:val="22"/>
        </w:rPr>
      </w:pPr>
      <w:r w:rsidRPr="00E8613C">
        <w:rPr>
          <w:rFonts w:ascii="Arial" w:eastAsia="Arial" w:hAnsi="Arial" w:cs="Arial"/>
          <w:sz w:val="22"/>
          <w:szCs w:val="22"/>
        </w:rPr>
        <w:t>Salinas, M. (2021). Trata de niñas Indígenas en la montaña y costas de Guerrero – MURIEL SALI</w:t>
      </w:r>
      <w:r w:rsidRPr="00E8613C">
        <w:rPr>
          <w:rFonts w:ascii="Arial" w:eastAsia="Arial" w:hAnsi="Arial" w:cs="Arial"/>
          <w:sz w:val="22"/>
          <w:szCs w:val="22"/>
        </w:rPr>
        <w:t xml:space="preserve">NAS DÍAZ – LA MITAD DEL CIELO. CEPROVYSA. </w:t>
      </w:r>
      <w:hyperlink r:id="rId36">
        <w:r w:rsidR="00D34ED4" w:rsidRPr="00E8613C">
          <w:rPr>
            <w:rFonts w:ascii="Arial" w:eastAsia="Arial" w:hAnsi="Arial" w:cs="Arial"/>
            <w:color w:val="1155CC"/>
            <w:sz w:val="22"/>
            <w:szCs w:val="22"/>
            <w:u w:val="single"/>
          </w:rPr>
          <w:t>https://ceprovysa.com/?p=15807</w:t>
        </w:r>
      </w:hyperlink>
      <w:r w:rsidRPr="00E8613C">
        <w:rPr>
          <w:rFonts w:ascii="Arial" w:eastAsia="Arial" w:hAnsi="Arial" w:cs="Arial"/>
          <w:sz w:val="22"/>
          <w:szCs w:val="22"/>
        </w:rPr>
        <w:t xml:space="preserve">  </w:t>
      </w:r>
    </w:p>
    <w:p w14:paraId="24D3CF6C" w14:textId="77777777" w:rsidR="00D34ED4" w:rsidRPr="00E8613C" w:rsidRDefault="00246C10" w:rsidP="00E8613C">
      <w:pPr>
        <w:spacing w:before="240" w:after="240" w:line="240" w:lineRule="auto"/>
        <w:jc w:val="both"/>
        <w:rPr>
          <w:rFonts w:ascii="Arial" w:eastAsia="Arial" w:hAnsi="Arial" w:cs="Arial"/>
          <w:sz w:val="22"/>
          <w:szCs w:val="22"/>
        </w:rPr>
      </w:pPr>
      <w:r w:rsidRPr="00E8613C">
        <w:rPr>
          <w:rFonts w:ascii="Arial" w:eastAsia="Arial" w:hAnsi="Arial" w:cs="Arial"/>
          <w:sz w:val="22"/>
          <w:szCs w:val="22"/>
        </w:rPr>
        <w:t xml:space="preserve">Salinas, M. Un delito encubierto como “usos y costumbres” de los pueblos originarios, tolerado por el Estado. </w:t>
      </w:r>
      <w:hyperlink r:id="rId37">
        <w:r w:rsidR="00D34ED4" w:rsidRPr="00E8613C">
          <w:rPr>
            <w:rFonts w:ascii="Arial" w:eastAsia="Arial" w:hAnsi="Arial" w:cs="Arial"/>
            <w:color w:val="1155CC"/>
            <w:sz w:val="22"/>
            <w:szCs w:val="22"/>
            <w:u w:val="single"/>
          </w:rPr>
          <w:t>https://semmexico.mx/la-mitad-del-cielo-trata-de-ninas-indigenas-en-la-montana-y-costas-de-guerrero/17</w:t>
        </w:r>
      </w:hyperlink>
      <w:r w:rsidRPr="00E8613C">
        <w:rPr>
          <w:rFonts w:ascii="Arial" w:eastAsia="Arial" w:hAnsi="Arial" w:cs="Arial"/>
          <w:sz w:val="22"/>
          <w:szCs w:val="22"/>
        </w:rPr>
        <w:t xml:space="preserve">  </w:t>
      </w:r>
    </w:p>
    <w:p w14:paraId="6CC91675" w14:textId="17F3969F" w:rsidR="00D34ED4" w:rsidRPr="00E8613C" w:rsidRDefault="00246C10" w:rsidP="00E8613C">
      <w:pPr>
        <w:spacing w:before="240" w:after="240" w:line="240" w:lineRule="auto"/>
        <w:jc w:val="both"/>
        <w:rPr>
          <w:rFonts w:ascii="Arial" w:eastAsia="Arial" w:hAnsi="Arial" w:cs="Arial"/>
          <w:sz w:val="22"/>
          <w:szCs w:val="22"/>
        </w:rPr>
      </w:pPr>
      <w:r w:rsidRPr="00E8613C">
        <w:rPr>
          <w:rFonts w:ascii="Arial" w:eastAsia="Arial" w:hAnsi="Arial" w:cs="Arial"/>
          <w:sz w:val="22"/>
          <w:szCs w:val="22"/>
        </w:rPr>
        <w:lastRenderedPageBreak/>
        <w:t xml:space="preserve">Santillán, M. L. (25 de </w:t>
      </w:r>
      <w:proofErr w:type="gramStart"/>
      <w:r w:rsidRPr="00E8613C">
        <w:rPr>
          <w:rFonts w:ascii="Arial" w:eastAsia="Arial" w:hAnsi="Arial" w:cs="Arial"/>
          <w:sz w:val="22"/>
          <w:szCs w:val="22"/>
        </w:rPr>
        <w:t>Noviembre</w:t>
      </w:r>
      <w:proofErr w:type="gramEnd"/>
      <w:r w:rsidRPr="00E8613C">
        <w:rPr>
          <w:rFonts w:ascii="Arial" w:eastAsia="Arial" w:hAnsi="Arial" w:cs="Arial"/>
          <w:sz w:val="22"/>
          <w:szCs w:val="22"/>
        </w:rPr>
        <w:t xml:space="preserve"> de 2021). De niñ</w:t>
      </w:r>
      <w:r w:rsidRPr="00E8613C">
        <w:rPr>
          <w:rFonts w:ascii="Arial" w:eastAsia="Arial" w:hAnsi="Arial" w:cs="Arial"/>
          <w:sz w:val="22"/>
          <w:szCs w:val="22"/>
        </w:rPr>
        <w:t xml:space="preserve">as a esposas. La problemática del matrimonio infantil. Una forma de violencia contra las niñas. Ciencia UNAM. </w:t>
      </w:r>
      <w:hyperlink r:id="rId38" w:history="1">
        <w:r w:rsidR="00062529" w:rsidRPr="00062529">
          <w:rPr>
            <w:rStyle w:val="Hipervnculo"/>
            <w:rFonts w:ascii="Arial" w:eastAsia="Arial" w:hAnsi="Arial" w:cs="Arial"/>
            <w:sz w:val="22"/>
            <w:szCs w:val="22"/>
          </w:rPr>
          <w:t>De niñas a esposas. La problemática del matrimonio infantil - Ciencia UNAM</w:t>
        </w:r>
      </w:hyperlink>
    </w:p>
    <w:p w14:paraId="444819AE" w14:textId="0535FB29" w:rsidR="00D34ED4" w:rsidRPr="00E8613C" w:rsidRDefault="00246C10" w:rsidP="00E8613C">
      <w:pPr>
        <w:spacing w:before="240" w:after="240" w:line="240" w:lineRule="auto"/>
        <w:jc w:val="both"/>
        <w:rPr>
          <w:rFonts w:ascii="Arial" w:eastAsia="Arial" w:hAnsi="Arial" w:cs="Arial"/>
          <w:sz w:val="22"/>
          <w:szCs w:val="22"/>
        </w:rPr>
      </w:pPr>
      <w:r w:rsidRPr="00E8613C">
        <w:rPr>
          <w:rFonts w:ascii="Arial" w:eastAsia="Arial" w:hAnsi="Arial" w:cs="Arial"/>
          <w:sz w:val="22"/>
          <w:szCs w:val="22"/>
        </w:rPr>
        <w:t xml:space="preserve">Sistema de Información Legislativa de la Secretaría de Gobernación. (2022). El 6 de marzo de 2019, el pleno de la Suprema Corte de Justicia de la Nación resolvió una acción de. </w:t>
      </w:r>
      <w:hyperlink r:id="rId39" w:history="1">
        <w:r w:rsidR="00062529" w:rsidRPr="00062529">
          <w:rPr>
            <w:rStyle w:val="Hipervnculo"/>
            <w:rFonts w:ascii="Arial" w:eastAsia="Arial" w:hAnsi="Arial" w:cs="Arial"/>
            <w:sz w:val="22"/>
            <w:szCs w:val="22"/>
          </w:rPr>
          <w:t>asun_4308564_20220217_1644963213.pdf</w:t>
        </w:r>
      </w:hyperlink>
    </w:p>
    <w:p w14:paraId="1D0DFA43" w14:textId="26233C6C" w:rsidR="00D34ED4" w:rsidRPr="00E8613C" w:rsidRDefault="00246C10" w:rsidP="00E8613C">
      <w:pPr>
        <w:spacing w:before="240" w:after="240" w:line="240" w:lineRule="auto"/>
        <w:jc w:val="both"/>
        <w:rPr>
          <w:rFonts w:ascii="Arial" w:eastAsia="Arial" w:hAnsi="Arial" w:cs="Arial"/>
          <w:sz w:val="22"/>
          <w:szCs w:val="22"/>
        </w:rPr>
      </w:pPr>
      <w:r w:rsidRPr="00E8613C">
        <w:rPr>
          <w:rFonts w:ascii="Arial" w:eastAsia="Arial" w:hAnsi="Arial" w:cs="Arial"/>
          <w:sz w:val="22"/>
          <w:szCs w:val="22"/>
        </w:rPr>
        <w:t xml:space="preserve">Telemundo Digital. (2021). Activistas piden a México no minimizar la venta de niñas indígenas; “es una excepción”, dice López Obrador. </w:t>
      </w:r>
      <w:hyperlink r:id="rId40" w:history="1">
        <w:r w:rsidR="00062529" w:rsidRPr="00062529">
          <w:rPr>
            <w:rStyle w:val="Hipervnculo"/>
            <w:rFonts w:ascii="Arial" w:eastAsia="Arial" w:hAnsi="Arial" w:cs="Arial"/>
            <w:sz w:val="22"/>
            <w:szCs w:val="22"/>
          </w:rPr>
          <w:t>México: polémica por venta de niñas indígenas – Telemundo 52</w:t>
        </w:r>
      </w:hyperlink>
    </w:p>
    <w:p w14:paraId="3C468BD8" w14:textId="77777777" w:rsidR="00D34ED4" w:rsidRPr="00E8613C" w:rsidRDefault="00246C10" w:rsidP="00E8613C">
      <w:pPr>
        <w:spacing w:before="240" w:after="240" w:line="240" w:lineRule="auto"/>
        <w:jc w:val="both"/>
        <w:rPr>
          <w:rFonts w:ascii="Arial" w:eastAsia="Arial" w:hAnsi="Arial" w:cs="Arial"/>
          <w:sz w:val="22"/>
          <w:szCs w:val="22"/>
        </w:rPr>
      </w:pPr>
      <w:r w:rsidRPr="00E8613C">
        <w:rPr>
          <w:rFonts w:ascii="Arial" w:eastAsia="Arial" w:hAnsi="Arial" w:cs="Arial"/>
          <w:sz w:val="22"/>
          <w:szCs w:val="22"/>
        </w:rPr>
        <w:t>UNFPA. (2023). Consecuencias socioeconómicas del embarazo en la adolescen</w:t>
      </w:r>
      <w:r w:rsidRPr="00E8613C">
        <w:rPr>
          <w:rFonts w:ascii="Arial" w:eastAsia="Arial" w:hAnsi="Arial" w:cs="Arial"/>
          <w:sz w:val="22"/>
          <w:szCs w:val="22"/>
        </w:rPr>
        <w:t>cia América Latina y el Caribe en seis países de Implementación de la metodología para estimar el impacto socioeconómico del embarazo y la maternidad en adolescentes (Milena) en Argentina, Colombia, Ecuador, Guatemala, México y Paraguay. In Fondo de Poblac</w:t>
      </w:r>
      <w:r w:rsidRPr="00E8613C">
        <w:rPr>
          <w:rFonts w:ascii="Arial" w:eastAsia="Arial" w:hAnsi="Arial" w:cs="Arial"/>
          <w:sz w:val="22"/>
          <w:szCs w:val="22"/>
        </w:rPr>
        <w:t>ión de las Naciones Unidas - Oficina Regional.</w:t>
      </w:r>
    </w:p>
    <w:p w14:paraId="796FBD73" w14:textId="77777777" w:rsidR="00D34ED4" w:rsidRDefault="00D34ED4">
      <w:pPr>
        <w:spacing w:before="240" w:after="240" w:line="360" w:lineRule="auto"/>
        <w:jc w:val="both"/>
      </w:pPr>
    </w:p>
    <w:sectPr w:rsidR="00D34ED4">
      <w:headerReference w:type="default" r:id="rId4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EAE64" w14:textId="77777777" w:rsidR="00246C10" w:rsidRDefault="00246C10">
      <w:pPr>
        <w:spacing w:after="0" w:line="240" w:lineRule="auto"/>
      </w:pPr>
      <w:r>
        <w:separator/>
      </w:r>
    </w:p>
  </w:endnote>
  <w:endnote w:type="continuationSeparator" w:id="0">
    <w:p w14:paraId="2E93AEED" w14:textId="77777777" w:rsidR="00246C10" w:rsidRDefault="00246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298ECC62-BDF8-4F2A-AFDC-9FB10A0B76B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swiss"/>
    <w:pitch w:val="variable"/>
    <w:sig w:usb0="20000287" w:usb1="00000003" w:usb2="00000000" w:usb3="00000000" w:csb0="0000019F" w:csb1="00000000"/>
    <w:embedRegular r:id="rId2" w:fontKey="{6E0DAED2-8DAC-460C-8085-BB03F1ABA3C4}"/>
    <w:embedBold r:id="rId3" w:fontKey="{1C826B98-A2B9-4EEC-BCE7-C3726DB8BE2E}"/>
    <w:embedItalic r:id="rId4" w:fontKey="{B3FC27C4-7FB2-495F-91B3-E9F232091A22}"/>
  </w:font>
  <w:font w:name="Aptos Display">
    <w:altName w:val="Times New Roman"/>
    <w:charset w:val="00"/>
    <w:family w:val="swiss"/>
    <w:pitch w:val="variable"/>
    <w:sig w:usb0="20000287" w:usb1="00000003" w:usb2="00000000" w:usb3="00000000" w:csb0="0000019F" w:csb1="00000000"/>
    <w:embedRegular r:id="rId5" w:fontKey="{3844EE58-1236-4F3D-9B5E-9A9555E1409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96BED7CC-D76E-4383-AA38-6846373ACFC6}"/>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3F2A0" w14:textId="77777777" w:rsidR="00246C10" w:rsidRDefault="00246C10">
      <w:pPr>
        <w:spacing w:after="0" w:line="240" w:lineRule="auto"/>
      </w:pPr>
      <w:r>
        <w:separator/>
      </w:r>
    </w:p>
  </w:footnote>
  <w:footnote w:type="continuationSeparator" w:id="0">
    <w:p w14:paraId="5AEED8B6" w14:textId="77777777" w:rsidR="00246C10" w:rsidRDefault="00246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E3484" w14:textId="1873D937" w:rsidR="00D34ED4" w:rsidRDefault="00C9166B">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114300" distR="114300" simplePos="0" relativeHeight="251662336" behindDoc="0" locked="0" layoutInCell="1" allowOverlap="1" wp14:anchorId="075447FA" wp14:editId="54AD46F1">
          <wp:simplePos x="0" y="0"/>
          <wp:positionH relativeFrom="column">
            <wp:posOffset>2996565</wp:posOffset>
          </wp:positionH>
          <wp:positionV relativeFrom="paragraph">
            <wp:posOffset>-106045</wp:posOffset>
          </wp:positionV>
          <wp:extent cx="703580" cy="548640"/>
          <wp:effectExtent l="0" t="0" r="1270" b="3810"/>
          <wp:wrapNone/>
          <wp:docPr id="4665739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3580" cy="548640"/>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000000"/>
      </w:rPr>
      <w:drawing>
        <wp:anchor distT="0" distB="0" distL="114300" distR="114300" simplePos="0" relativeHeight="251663360" behindDoc="0" locked="0" layoutInCell="1" allowOverlap="1" wp14:anchorId="33F7C1A5" wp14:editId="4EB20EEB">
          <wp:simplePos x="0" y="0"/>
          <wp:positionH relativeFrom="column">
            <wp:posOffset>1579245</wp:posOffset>
          </wp:positionH>
          <wp:positionV relativeFrom="paragraph">
            <wp:posOffset>-84455</wp:posOffset>
          </wp:positionV>
          <wp:extent cx="609600" cy="533400"/>
          <wp:effectExtent l="0" t="0" r="0" b="0"/>
          <wp:wrapNone/>
          <wp:docPr id="25594199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
                    <a:extLst>
                      <a:ext uri="{28A0092B-C50C-407E-A947-70E740481C1C}">
                        <a14:useLocalDpi xmlns:a14="http://schemas.microsoft.com/office/drawing/2010/main" val="0"/>
                      </a:ext>
                    </a:extLst>
                  </a:blip>
                  <a:srcRect l="13502" t="17668" r="14416" b="13571"/>
                  <a:stretch/>
                </pic:blipFill>
                <pic:spPr bwMode="auto">
                  <a:xfrm>
                    <a:off x="0" y="0"/>
                    <a:ext cx="609600" cy="533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hidden="0" allowOverlap="1" wp14:anchorId="1E8D1249" wp14:editId="5F26FE8D">
          <wp:simplePos x="0" y="0"/>
          <wp:positionH relativeFrom="margin">
            <wp:align>right</wp:align>
          </wp:positionH>
          <wp:positionV relativeFrom="paragraph">
            <wp:posOffset>10795</wp:posOffset>
          </wp:positionV>
          <wp:extent cx="1081496" cy="396147"/>
          <wp:effectExtent l="0" t="0" r="4445" b="4445"/>
          <wp:wrapNone/>
          <wp:docPr id="12" name="image1.png" descr="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El contenido generado por IA puede ser incorrecto."/>
                  <pic:cNvPicPr preferRelativeResize="0"/>
                </pic:nvPicPr>
                <pic:blipFill>
                  <a:blip r:embed="rId3"/>
                  <a:srcRect/>
                  <a:stretch>
                    <a:fillRect/>
                  </a:stretch>
                </pic:blipFill>
                <pic:spPr>
                  <a:xfrm>
                    <a:off x="0" y="0"/>
                    <a:ext cx="1081496" cy="396147"/>
                  </a:xfrm>
                  <a:prstGeom prst="rect">
                    <a:avLst/>
                  </a:prstGeom>
                  <a:ln/>
                </pic:spPr>
              </pic:pic>
            </a:graphicData>
          </a:graphic>
          <wp14:sizeRelH relativeFrom="margin">
            <wp14:pctWidth>0</wp14:pctWidth>
          </wp14:sizeRelH>
        </wp:anchor>
      </w:drawing>
    </w:r>
    <w:r w:rsidRPr="008C2A1A">
      <w:rPr>
        <w:rFonts w:cs="Times New Roman"/>
        <w:noProof/>
        <w:kern w:val="2"/>
        <w:sz w:val="22"/>
        <w:szCs w:val="22"/>
        <w14:ligatures w14:val="standardContextual"/>
      </w:rPr>
      <w:drawing>
        <wp:anchor distT="0" distB="0" distL="114300" distR="114300" simplePos="0" relativeHeight="251661312" behindDoc="0" locked="0" layoutInCell="1" allowOverlap="1" wp14:anchorId="31BD85FD" wp14:editId="08B45D45">
          <wp:simplePos x="0" y="0"/>
          <wp:positionH relativeFrom="margin">
            <wp:align>left</wp:align>
          </wp:positionH>
          <wp:positionV relativeFrom="paragraph">
            <wp:posOffset>-144780</wp:posOffset>
          </wp:positionV>
          <wp:extent cx="815340" cy="586740"/>
          <wp:effectExtent l="0" t="0" r="381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emu.png"/>
                  <pic:cNvPicPr/>
                </pic:nvPicPr>
                <pic:blipFill rotWithShape="1">
                  <a:blip r:embed="rId4">
                    <a:extLst>
                      <a:ext uri="{28A0092B-C50C-407E-A947-70E740481C1C}">
                        <a14:useLocalDpi xmlns:a14="http://schemas.microsoft.com/office/drawing/2010/main" val="0"/>
                      </a:ext>
                    </a:extLst>
                  </a:blip>
                  <a:srcRect t="14018" b="14018"/>
                  <a:stretch/>
                </pic:blipFill>
                <pic:spPr bwMode="auto">
                  <a:xfrm>
                    <a:off x="0" y="0"/>
                    <a:ext cx="815340" cy="586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E179F4" w14:textId="42CF141C" w:rsidR="00D34ED4" w:rsidRDefault="00D34ED4">
    <w:pPr>
      <w:pBdr>
        <w:top w:val="nil"/>
        <w:left w:val="nil"/>
        <w:bottom w:val="nil"/>
        <w:right w:val="nil"/>
        <w:between w:val="nil"/>
      </w:pBdr>
      <w:tabs>
        <w:tab w:val="center" w:pos="4419"/>
        <w:tab w:val="right" w:pos="8838"/>
      </w:tabs>
      <w:spacing w:after="0" w:line="240" w:lineRule="auto"/>
      <w:rPr>
        <w:color w:val="000000"/>
      </w:rPr>
    </w:pPr>
  </w:p>
  <w:p w14:paraId="2338F3F6" w14:textId="77777777" w:rsidR="00C9166B" w:rsidRDefault="00C9166B">
    <w:pPr>
      <w:pBdr>
        <w:top w:val="nil"/>
        <w:left w:val="nil"/>
        <w:bottom w:val="nil"/>
        <w:right w:val="nil"/>
        <w:between w:val="nil"/>
      </w:pBdr>
      <w:tabs>
        <w:tab w:val="center" w:pos="4419"/>
        <w:tab w:val="right" w:pos="8838"/>
      </w:tabs>
      <w:spacing w:after="0" w:line="240" w:lineRule="auto"/>
      <w:rPr>
        <w:color w:val="000000"/>
      </w:rPr>
    </w:pPr>
  </w:p>
  <w:p w14:paraId="39AD1D89" w14:textId="77777777" w:rsidR="00D34ED4" w:rsidRDefault="00D34ED4">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578C7"/>
    <w:multiLevelType w:val="multilevel"/>
    <w:tmpl w:val="611E5A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B1678DC"/>
    <w:multiLevelType w:val="hybridMultilevel"/>
    <w:tmpl w:val="AEFEF84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822514F"/>
    <w:multiLevelType w:val="multilevel"/>
    <w:tmpl w:val="1924D9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8735231"/>
    <w:multiLevelType w:val="hybridMultilevel"/>
    <w:tmpl w:val="C18CC5B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6E423AF1"/>
    <w:multiLevelType w:val="multilevel"/>
    <w:tmpl w:val="C72C95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728245D0"/>
    <w:multiLevelType w:val="hybridMultilevel"/>
    <w:tmpl w:val="C192A87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ED4"/>
    <w:rsid w:val="00062529"/>
    <w:rsid w:val="000B1CC3"/>
    <w:rsid w:val="000C5876"/>
    <w:rsid w:val="0010680C"/>
    <w:rsid w:val="0013798F"/>
    <w:rsid w:val="001845FD"/>
    <w:rsid w:val="001B7C75"/>
    <w:rsid w:val="00212E86"/>
    <w:rsid w:val="00246C10"/>
    <w:rsid w:val="00270748"/>
    <w:rsid w:val="0030053C"/>
    <w:rsid w:val="0042795D"/>
    <w:rsid w:val="00490BA1"/>
    <w:rsid w:val="004B6542"/>
    <w:rsid w:val="00507E85"/>
    <w:rsid w:val="005717B8"/>
    <w:rsid w:val="00595C5A"/>
    <w:rsid w:val="0062443A"/>
    <w:rsid w:val="006571AA"/>
    <w:rsid w:val="00674B7D"/>
    <w:rsid w:val="00686821"/>
    <w:rsid w:val="007B072B"/>
    <w:rsid w:val="008C2A1A"/>
    <w:rsid w:val="0092463D"/>
    <w:rsid w:val="0094121B"/>
    <w:rsid w:val="009C68B4"/>
    <w:rsid w:val="00B31711"/>
    <w:rsid w:val="00BA7B03"/>
    <w:rsid w:val="00C10DA0"/>
    <w:rsid w:val="00C37A65"/>
    <w:rsid w:val="00C4066C"/>
    <w:rsid w:val="00C9166B"/>
    <w:rsid w:val="00D27F7D"/>
    <w:rsid w:val="00D34ED4"/>
    <w:rsid w:val="00DB50F8"/>
    <w:rsid w:val="00DD3ED2"/>
    <w:rsid w:val="00E8613C"/>
    <w:rsid w:val="00EB01D4"/>
    <w:rsid w:val="00EC617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3D4B4"/>
  <w15:docId w15:val="{A99A7993-DDDF-4E6C-88F6-8569E237F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D5A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BD5A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BD5A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D5A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D5A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D5A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5A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5A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5A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BD5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BD5A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5A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5A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5A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5A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5A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5A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5A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5ACF"/>
    <w:rPr>
      <w:rFonts w:eastAsiaTheme="majorEastAsia" w:cstheme="majorBidi"/>
      <w:color w:val="272727" w:themeColor="text1" w:themeTint="D8"/>
    </w:rPr>
  </w:style>
  <w:style w:type="character" w:customStyle="1" w:styleId="TtuloCar">
    <w:name w:val="Título Car"/>
    <w:basedOn w:val="Fuentedeprrafopredeter"/>
    <w:link w:val="Ttulo"/>
    <w:uiPriority w:val="10"/>
    <w:rsid w:val="00BD5A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BD5A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5ACF"/>
    <w:pPr>
      <w:spacing w:before="160"/>
      <w:jc w:val="center"/>
    </w:pPr>
    <w:rPr>
      <w:i/>
      <w:iCs/>
      <w:color w:val="404040" w:themeColor="text1" w:themeTint="BF"/>
    </w:rPr>
  </w:style>
  <w:style w:type="character" w:customStyle="1" w:styleId="CitaCar">
    <w:name w:val="Cita Car"/>
    <w:basedOn w:val="Fuentedeprrafopredeter"/>
    <w:link w:val="Cita"/>
    <w:uiPriority w:val="29"/>
    <w:rsid w:val="00BD5ACF"/>
    <w:rPr>
      <w:i/>
      <w:iCs/>
      <w:color w:val="404040" w:themeColor="text1" w:themeTint="BF"/>
    </w:rPr>
  </w:style>
  <w:style w:type="paragraph" w:styleId="Prrafodelista">
    <w:name w:val="List Paragraph"/>
    <w:basedOn w:val="Normal"/>
    <w:uiPriority w:val="34"/>
    <w:qFormat/>
    <w:rsid w:val="00BD5ACF"/>
    <w:pPr>
      <w:ind w:left="720"/>
      <w:contextualSpacing/>
    </w:pPr>
  </w:style>
  <w:style w:type="character" w:styleId="nfasisintenso">
    <w:name w:val="Intense Emphasis"/>
    <w:basedOn w:val="Fuentedeprrafopredeter"/>
    <w:uiPriority w:val="21"/>
    <w:qFormat/>
    <w:rsid w:val="00BD5ACF"/>
    <w:rPr>
      <w:i/>
      <w:iCs/>
      <w:color w:val="0F4761" w:themeColor="accent1" w:themeShade="BF"/>
    </w:rPr>
  </w:style>
  <w:style w:type="paragraph" w:styleId="Citadestacada">
    <w:name w:val="Intense Quote"/>
    <w:basedOn w:val="Normal"/>
    <w:next w:val="Normal"/>
    <w:link w:val="CitadestacadaCar"/>
    <w:uiPriority w:val="30"/>
    <w:qFormat/>
    <w:rsid w:val="00BD5A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D5ACF"/>
    <w:rPr>
      <w:i/>
      <w:iCs/>
      <w:color w:val="0F4761" w:themeColor="accent1" w:themeShade="BF"/>
    </w:rPr>
  </w:style>
  <w:style w:type="character" w:styleId="Referenciaintensa">
    <w:name w:val="Intense Reference"/>
    <w:basedOn w:val="Fuentedeprrafopredeter"/>
    <w:uiPriority w:val="32"/>
    <w:qFormat/>
    <w:rsid w:val="00BD5ACF"/>
    <w:rPr>
      <w:b/>
      <w:bCs/>
      <w:smallCaps/>
      <w:color w:val="0F4761" w:themeColor="accent1" w:themeShade="BF"/>
      <w:spacing w:val="5"/>
    </w:rPr>
  </w:style>
  <w:style w:type="paragraph" w:styleId="Textoindependiente">
    <w:name w:val="Body Text"/>
    <w:basedOn w:val="Normal"/>
    <w:link w:val="TextoindependienteCar"/>
    <w:uiPriority w:val="99"/>
    <w:semiHidden/>
    <w:unhideWhenUsed/>
    <w:rsid w:val="00BD5ACF"/>
    <w:pPr>
      <w:spacing w:after="120"/>
    </w:pPr>
  </w:style>
  <w:style w:type="character" w:customStyle="1" w:styleId="TextoindependienteCar">
    <w:name w:val="Texto independiente Car"/>
    <w:basedOn w:val="Fuentedeprrafopredeter"/>
    <w:link w:val="Textoindependiente"/>
    <w:uiPriority w:val="99"/>
    <w:semiHidden/>
    <w:rsid w:val="00BD5ACF"/>
  </w:style>
  <w:style w:type="paragraph" w:styleId="Encabezado">
    <w:name w:val="header"/>
    <w:basedOn w:val="Normal"/>
    <w:link w:val="EncabezadoCar"/>
    <w:uiPriority w:val="99"/>
    <w:unhideWhenUsed/>
    <w:rsid w:val="00BD5A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5ACF"/>
  </w:style>
  <w:style w:type="paragraph" w:styleId="Piedepgina">
    <w:name w:val="footer"/>
    <w:basedOn w:val="Normal"/>
    <w:link w:val="PiedepginaCar"/>
    <w:uiPriority w:val="99"/>
    <w:unhideWhenUsed/>
    <w:rsid w:val="00BD5A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5ACF"/>
  </w:style>
  <w:style w:type="character" w:styleId="Hipervnculo">
    <w:name w:val="Hyperlink"/>
    <w:basedOn w:val="Fuentedeprrafopredeter"/>
    <w:uiPriority w:val="99"/>
    <w:unhideWhenUsed/>
    <w:rsid w:val="00383CA7"/>
    <w:rPr>
      <w:color w:val="0000FF"/>
      <w:u w:val="single"/>
    </w:rPr>
  </w:style>
  <w:style w:type="character" w:customStyle="1" w:styleId="UnresolvedMention">
    <w:name w:val="Unresolved Mention"/>
    <w:basedOn w:val="Fuentedeprrafopredeter"/>
    <w:uiPriority w:val="99"/>
    <w:semiHidden/>
    <w:unhideWhenUsed/>
    <w:rsid w:val="00383CA7"/>
    <w:rPr>
      <w:color w:val="605E5C"/>
      <w:shd w:val="clear" w:color="auto" w:fill="E1DFDD"/>
    </w:rPr>
  </w:style>
  <w:style w:type="table" w:styleId="Tablaconcuadrcula">
    <w:name w:val="Table Grid"/>
    <w:basedOn w:val="Tablanormal"/>
    <w:uiPriority w:val="39"/>
    <w:rsid w:val="00E8613C"/>
    <w:pPr>
      <w:spacing w:after="0" w:line="240" w:lineRule="auto"/>
    </w:pPr>
    <w:rPr>
      <w:rFonts w:cs="Times New Roman"/>
      <w:kern w:val="2"/>
      <w:sz w:val="22"/>
      <w:szCs w:val="22"/>
      <w:lang w:val="es-419"/>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acnur.org/fileadmin/Documentos/BDL/2014/9925.pdf" TargetMode="External"/><Relationship Id="rId18" Type="http://schemas.openxmlformats.org/officeDocument/2006/relationships/hyperlink" Target="https://lasillarota.com/estados/2023/3/8/matrimonio-forzado-detectan-venta-de-ninas-en-tamaulipas-418285.html" TargetMode="External"/><Relationship Id="rId26" Type="http://schemas.openxmlformats.org/officeDocument/2006/relationships/hyperlink" Target="https://www.inegi.org.mx/contenidos/saladeprensa/boletines/2024/EMAT/EMAT2023.pdf" TargetMode="External"/><Relationship Id="rId39" Type="http://schemas.openxmlformats.org/officeDocument/2006/relationships/hyperlink" Target="https://sil.gobernacion.gob.mx/Archivos/Documentos/2022/02/asun_4308564_20220217_1644963213.pdf" TargetMode="External"/><Relationship Id="rId21" Type="http://schemas.openxmlformats.org/officeDocument/2006/relationships/hyperlink" Target="https://suracapulco.mx/impreso/2/busca-la-crac-pc-un-acuerdo-con-la-familia-de-angelica-nina-sometida-a-matrimonio-forzado/" TargetMode="External"/><Relationship Id="rId34" Type="http://schemas.openxmlformats.org/officeDocument/2006/relationships/hyperlink" Target="https://blog.derechosinfancia.org.mx/2022/01/28/matrimonio-y-union-temprana-en-ninas-y-mujeres-adolescentes-de-mexic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iencia.unam.mx/leer/1195/de-ninas-a-esposas-la-problematica-del-matrimonio-infantil" TargetMode="External"/><Relationship Id="rId20" Type="http://schemas.openxmlformats.org/officeDocument/2006/relationships/hyperlink" Target="https://suracapulco.mx/impreso/2/encarcela-11-dias-la-comunitaria-de-dos-rios-a-una-adolescente-que-escapo-tras-matrimonio-forzado/" TargetMode="External"/><Relationship Id="rId29" Type="http://schemas.openxmlformats.org/officeDocument/2006/relationships/hyperlink" Target="https://www.ohchr.org/es/instruments-mechanisms/instruments/convention-elimination-all-forms-discrimination-against-women"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utados.gob.mx/LeyesBiblio/pdf/LGPSEDMTP.pdf" TargetMode="External"/><Relationship Id="rId24" Type="http://schemas.openxmlformats.org/officeDocument/2006/relationships/hyperlink" Target="https://www.inegi.org.mx/contenidos/saladeprensa/boletines/2021/EstSociodemo/Matrimonios2021.pdf" TargetMode="External"/><Relationship Id="rId32" Type="http://schemas.openxmlformats.org/officeDocument/2006/relationships/hyperlink" Target="https://vanguardia.com.mx/noticias/nacional/2676607-estuve-detenida-29-horas-en-san-juan-chamula-entre-basura-y-mierda-nina-tzotzil-de-14-anos-HQVG2676607" TargetMode="External"/><Relationship Id="rId37" Type="http://schemas.openxmlformats.org/officeDocument/2006/relationships/hyperlink" Target="https://semmexico.mx/la-mitad-del-cielo-trata-de-ninas-indigenas-en-la-montana-y-costas-de-guerrero/17" TargetMode="External"/><Relationship Id="rId40" Type="http://schemas.openxmlformats.org/officeDocument/2006/relationships/hyperlink" Target="https://www.telemundo52.com/noticias/mexico/activistas-piden-a-mexico-no-minimizar-la-venta-de-ninas-indigenas/2232456/" TargetMode="External"/><Relationship Id="rId5" Type="http://schemas.openxmlformats.org/officeDocument/2006/relationships/webSettings" Target="webSettings.xml"/><Relationship Id="rId15" Type="http://schemas.openxmlformats.org/officeDocument/2006/relationships/hyperlink" Target="https://www.gob.mx/cms/uploads/attachment/file/821703/Niniez_completo_Final_WEB.pdf" TargetMode="External"/><Relationship Id="rId23" Type="http://schemas.openxmlformats.org/officeDocument/2006/relationships/hyperlink" Target="https://www.inegi.org.mx/contenidos/saladeprensa/aproposito/2021/EAP_Nino21.pdf" TargetMode="External"/><Relationship Id="rId28" Type="http://schemas.openxmlformats.org/officeDocument/2006/relationships/hyperlink" Target="https://www.infobae.com/mexico/2025/04/12/a-sus-14-anos-querian-casarla-con-un-hombre-de-62-en-oaxaca-pero-ella-hizo-algo-muy-valiente-para-evitarlo/" TargetMode="External"/><Relationship Id="rId36" Type="http://schemas.openxmlformats.org/officeDocument/2006/relationships/hyperlink" Target="https://ceprovysa.com/?p=15807" TargetMode="External"/><Relationship Id="rId10" Type="http://schemas.openxmlformats.org/officeDocument/2006/relationships/hyperlink" Target="https://www.diputados.gob.mx/LeyesBiblio/pdf/CCF.pdf" TargetMode="External"/><Relationship Id="rId19" Type="http://schemas.openxmlformats.org/officeDocument/2006/relationships/hyperlink" Target="https://suracapulco.mx/impreso/2/encarcela-11-dias-la-comunitaria-de-dos-rios-a-una-adolescente-que-escapo-tras-matrimonio-forzado/" TargetMode="External"/><Relationship Id="rId31" Type="http://schemas.openxmlformats.org/officeDocument/2006/relationships/hyperlink" Target="https://oem.com.mx/elsoldeacapulco/local/cambia-crac-su-reglamento-para-prohibir-venta-de-ninas-17277076" TargetMode="External"/><Relationship Id="rId4" Type="http://schemas.openxmlformats.org/officeDocument/2006/relationships/settings" Target="settings.xml"/><Relationship Id="rId9" Type="http://schemas.openxmlformats.org/officeDocument/2006/relationships/hyperlink" Target="https://quintafuerza.mx/mexico/padres-querian-forzar-a-su-hija-adolescente-a-contraer-matrimonio-con-un-hombre-de-62-anos-en-oaxaca-la-menor-huyo/" TargetMode="External"/><Relationship Id="rId14" Type="http://schemas.openxmlformats.org/officeDocument/2006/relationships/hyperlink" Target="https://docs.un.org/es/CEDAW/C/GC/38" TargetMode="External"/><Relationship Id="rId22" Type="http://schemas.openxmlformats.org/officeDocument/2006/relationships/hyperlink" Target="https://mexico.un.org/sites/default/files/2021-12/S2100897_es.pdf" TargetMode="External"/><Relationship Id="rId27" Type="http://schemas.openxmlformats.org/officeDocument/2006/relationships/hyperlink" Target="http://bibliodigitalibd.senado.gob.mx/bitstream/handle/123456789/3861/ML%20141.pdf?sequence=1&amp;isAllowed=y" TargetMode="External"/><Relationship Id="rId30" Type="http://schemas.openxmlformats.org/officeDocument/2006/relationships/hyperlink" Target="https://docs.un.org/es/CEDAW/C/GC/31/CRC/C/GC/18" TargetMode="External"/><Relationship Id="rId35" Type="http://schemas.openxmlformats.org/officeDocument/2006/relationships/hyperlink" Target="https://plan-international.es/las-cifras-del-matrimonio-infantil-en-el-mundo" TargetMode="External"/><Relationship Id="rId43" Type="http://schemas.openxmlformats.org/officeDocument/2006/relationships/theme" Target="theme/theme1.xml"/><Relationship Id="rId8" Type="http://schemas.openxmlformats.org/officeDocument/2006/relationships/hyperlink" Target="https://notitiacriminis.mx/tribuna/daudiencia/3129/" TargetMode="External"/><Relationship Id="rId3" Type="http://schemas.openxmlformats.org/officeDocument/2006/relationships/styles" Target="styles.xml"/><Relationship Id="rId12" Type="http://schemas.openxmlformats.org/officeDocument/2006/relationships/hyperlink" Target="https://tsj-tabasco.gob.mx/docs/14223/lgpsedm-trata-de-personas-actualizar-05-04-2023-pdf/" TargetMode="External"/><Relationship Id="rId17" Type="http://schemas.openxmlformats.org/officeDocument/2006/relationships/hyperlink" Target="https://suracapulco.mx/reeducan-a-cuatro-comunitarios-de-dos-rios-que-no-arrestaron-al-suegro-y-al-papa-de-angelica/" TargetMode="External"/><Relationship Id="rId25" Type="http://schemas.openxmlformats.org/officeDocument/2006/relationships/hyperlink" Target="https://www.inegi.org.mx/sistemas/olap/proyectos/bd/continuas/nupcialidad/matrimonios.asp?s=est&amp;c=12239&amp;proy=matrim_mat" TargetMode="External"/><Relationship Id="rId33" Type="http://schemas.openxmlformats.org/officeDocument/2006/relationships/hyperlink" Target="https://blog.derechosinfancia.org.mx/2022/01/28/matrimonio-y-union-temprana-en-ninas-y-mujeres-adolescentes-de-mexico/" TargetMode="External"/><Relationship Id="rId38" Type="http://schemas.openxmlformats.org/officeDocument/2006/relationships/hyperlink" Target="https://ciencia.unam.mx/leer/1195/de-ninas-a-esposas-la-problematica-delmatrimonio-infanti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gfP89xfFzh/MDKbth9HKZQwM/g==">CgMxLjAyDmgueXNwcTRmbHBiMWpmMg5oLmVuYzF5ZHlzdmI1NzIOaC5kZXkyeXB6Mm5sN24yDmguc3M0bWpsaXFmeDB4OAByITE4MjJWUlFuRVQ4alZyZUxfUHZJbl9hVy1RQlRLV2p1MA==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16</Pages>
  <Words>6984</Words>
  <Characters>38416</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Hernández</dc:creator>
  <cp:lastModifiedBy>CUDH</cp:lastModifiedBy>
  <cp:revision>7</cp:revision>
  <dcterms:created xsi:type="dcterms:W3CDTF">2025-05-17T17:59:00Z</dcterms:created>
  <dcterms:modified xsi:type="dcterms:W3CDTF">2025-05-17T21:39:00Z</dcterms:modified>
</cp:coreProperties>
</file>