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C90FF0" w14:textId="77777777" w:rsidR="007E60EF" w:rsidRDefault="007E60EF" w:rsidP="007E60EF">
      <w:pPr>
        <w:autoSpaceDE w:val="0"/>
        <w:autoSpaceDN w:val="0"/>
        <w:adjustRightInd w:val="0"/>
        <w:spacing w:after="0" w:line="240" w:lineRule="auto"/>
        <w:jc w:val="center"/>
        <w:rPr>
          <w:b/>
          <w:bCs/>
          <w:sz w:val="24"/>
          <w:szCs w:val="24"/>
          <w:u w:val="single"/>
          <w:lang w:val="en-US"/>
        </w:rPr>
      </w:pPr>
      <w:r w:rsidRPr="00F87699">
        <w:rPr>
          <w:noProof/>
          <w:lang w:eastAsia="fr-FR" w:bidi="ar-SA"/>
        </w:rPr>
        <w:drawing>
          <wp:inline distT="0" distB="0" distL="0" distR="0" wp14:anchorId="56BE42F4" wp14:editId="5C1B648E">
            <wp:extent cx="2282025" cy="1521350"/>
            <wp:effectExtent l="0" t="0" r="4445" b="317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467" cy="1534311"/>
                    </a:xfrm>
                    <a:prstGeom prst="rect">
                      <a:avLst/>
                    </a:prstGeom>
                    <a:noFill/>
                    <a:ln>
                      <a:noFill/>
                    </a:ln>
                  </pic:spPr>
                </pic:pic>
              </a:graphicData>
            </a:graphic>
          </wp:inline>
        </w:drawing>
      </w:r>
    </w:p>
    <w:p w14:paraId="2E753C9C" w14:textId="77777777" w:rsidR="007E60EF" w:rsidRPr="0022596C" w:rsidRDefault="007E60EF" w:rsidP="007E60EF">
      <w:pPr>
        <w:autoSpaceDE w:val="0"/>
        <w:autoSpaceDN w:val="0"/>
        <w:adjustRightInd w:val="0"/>
        <w:spacing w:after="0" w:line="240" w:lineRule="auto"/>
        <w:rPr>
          <w:sz w:val="32"/>
          <w:szCs w:val="32"/>
          <w:lang w:val="en-US"/>
        </w:rPr>
      </w:pPr>
    </w:p>
    <w:p w14:paraId="62A2FF04" w14:textId="77777777" w:rsidR="007E60EF" w:rsidRDefault="007E60EF" w:rsidP="007E60EF">
      <w:pPr>
        <w:autoSpaceDE w:val="0"/>
        <w:autoSpaceDN w:val="0"/>
        <w:adjustRightInd w:val="0"/>
        <w:spacing w:after="0" w:line="240" w:lineRule="auto"/>
        <w:jc w:val="center"/>
        <w:rPr>
          <w:sz w:val="32"/>
          <w:szCs w:val="32"/>
          <w:lang w:val="en-US"/>
        </w:rPr>
      </w:pPr>
    </w:p>
    <w:p w14:paraId="221E2E32" w14:textId="77777777" w:rsidR="007E60EF" w:rsidRDefault="007E60EF" w:rsidP="007E60EF">
      <w:pPr>
        <w:autoSpaceDE w:val="0"/>
        <w:autoSpaceDN w:val="0"/>
        <w:adjustRightInd w:val="0"/>
        <w:spacing w:after="0" w:line="240" w:lineRule="auto"/>
        <w:jc w:val="center"/>
        <w:rPr>
          <w:sz w:val="32"/>
          <w:szCs w:val="32"/>
          <w:lang w:val="en-US"/>
        </w:rPr>
      </w:pPr>
    </w:p>
    <w:p w14:paraId="7ADF03A9" w14:textId="526E5321" w:rsidR="007E60EF" w:rsidRDefault="007E60EF" w:rsidP="007E60EF">
      <w:pPr>
        <w:autoSpaceDE w:val="0"/>
        <w:autoSpaceDN w:val="0"/>
        <w:adjustRightInd w:val="0"/>
        <w:spacing w:after="0" w:line="240" w:lineRule="auto"/>
        <w:jc w:val="center"/>
        <w:rPr>
          <w:sz w:val="32"/>
          <w:szCs w:val="32"/>
          <w:lang w:val="en-US"/>
        </w:rPr>
      </w:pPr>
    </w:p>
    <w:p w14:paraId="6D77F0F4" w14:textId="77777777" w:rsidR="00205141" w:rsidRDefault="00205141" w:rsidP="007E60EF">
      <w:pPr>
        <w:autoSpaceDE w:val="0"/>
        <w:autoSpaceDN w:val="0"/>
        <w:adjustRightInd w:val="0"/>
        <w:spacing w:after="0" w:line="240" w:lineRule="auto"/>
        <w:jc w:val="center"/>
        <w:rPr>
          <w:sz w:val="32"/>
          <w:szCs w:val="32"/>
          <w:lang w:val="en-US"/>
        </w:rPr>
      </w:pPr>
    </w:p>
    <w:p w14:paraId="47B25CD7" w14:textId="77777777" w:rsidR="007D1D86" w:rsidRPr="0022596C" w:rsidRDefault="007D1D86" w:rsidP="007E60EF">
      <w:pPr>
        <w:autoSpaceDE w:val="0"/>
        <w:autoSpaceDN w:val="0"/>
        <w:adjustRightInd w:val="0"/>
        <w:spacing w:after="0" w:line="240" w:lineRule="auto"/>
        <w:jc w:val="center"/>
        <w:rPr>
          <w:sz w:val="32"/>
          <w:szCs w:val="32"/>
          <w:lang w:val="en-US"/>
        </w:rPr>
      </w:pPr>
    </w:p>
    <w:p w14:paraId="4F098CD1" w14:textId="5A9E48FA" w:rsidR="00A85DA3" w:rsidRPr="007D1D86" w:rsidRDefault="00A85DA3" w:rsidP="00835275">
      <w:pPr>
        <w:autoSpaceDE w:val="0"/>
        <w:autoSpaceDN w:val="0"/>
        <w:adjustRightInd w:val="0"/>
        <w:spacing w:after="240" w:line="360" w:lineRule="auto"/>
        <w:ind w:firstLine="709"/>
        <w:jc w:val="center"/>
        <w:rPr>
          <w:rFonts w:ascii="Cambria" w:hAnsi="Cambria" w:cs="TT163t00"/>
          <w:b/>
          <w:bCs/>
          <w:color w:val="0D0D0D" w:themeColor="text1" w:themeTint="F2"/>
          <w:sz w:val="38"/>
          <w:szCs w:val="38"/>
        </w:rPr>
      </w:pPr>
      <w:r w:rsidRPr="007D1D86">
        <w:rPr>
          <w:rFonts w:ascii="Cambria" w:hAnsi="Cambria" w:cs="TT163t00"/>
          <w:b/>
          <w:bCs/>
          <w:color w:val="0D0D0D" w:themeColor="text1" w:themeTint="F2"/>
          <w:sz w:val="38"/>
          <w:szCs w:val="38"/>
        </w:rPr>
        <w:t xml:space="preserve">Rapport </w:t>
      </w:r>
      <w:r w:rsidR="004B13D3" w:rsidRPr="007D1D86">
        <w:rPr>
          <w:rFonts w:ascii="Cambria" w:hAnsi="Cambria" w:cs="TT163t00"/>
          <w:b/>
          <w:bCs/>
          <w:color w:val="0D0D0D" w:themeColor="text1" w:themeTint="F2"/>
          <w:sz w:val="38"/>
          <w:szCs w:val="38"/>
        </w:rPr>
        <w:t>alternatif</w:t>
      </w:r>
      <w:r w:rsidRPr="007D1D86">
        <w:rPr>
          <w:rFonts w:ascii="Cambria" w:hAnsi="Cambria" w:cs="TT163t00"/>
          <w:b/>
          <w:bCs/>
          <w:color w:val="0D0D0D" w:themeColor="text1" w:themeTint="F2"/>
          <w:sz w:val="38"/>
          <w:szCs w:val="38"/>
        </w:rPr>
        <w:t xml:space="preserve"> à l’attention du</w:t>
      </w:r>
    </w:p>
    <w:p w14:paraId="74FD0B98" w14:textId="3797A108" w:rsidR="007E60EF" w:rsidRPr="007D1D86" w:rsidRDefault="00A85DA3" w:rsidP="00835275">
      <w:pPr>
        <w:autoSpaceDE w:val="0"/>
        <w:autoSpaceDN w:val="0"/>
        <w:adjustRightInd w:val="0"/>
        <w:spacing w:after="240" w:line="360" w:lineRule="auto"/>
        <w:ind w:firstLine="709"/>
        <w:jc w:val="center"/>
        <w:rPr>
          <w:rFonts w:ascii="Cambria" w:hAnsi="Cambria" w:cs="Times New Roman"/>
          <w:b/>
          <w:bCs/>
          <w:color w:val="0D0D0D" w:themeColor="text1" w:themeTint="F2"/>
          <w:sz w:val="38"/>
          <w:szCs w:val="38"/>
          <w:lang w:bidi="ar-SA"/>
        </w:rPr>
      </w:pPr>
      <w:r w:rsidRPr="007D1D86">
        <w:rPr>
          <w:rFonts w:ascii="Cambria" w:hAnsi="Cambria" w:cs="TT163t00"/>
          <w:b/>
          <w:bCs/>
          <w:color w:val="0D0D0D" w:themeColor="text1" w:themeTint="F2"/>
          <w:sz w:val="38"/>
          <w:szCs w:val="38"/>
        </w:rPr>
        <w:t>Comité des droits de l’enfant des Nations-Unies</w:t>
      </w:r>
    </w:p>
    <w:p w14:paraId="2AB2ADD9" w14:textId="77777777" w:rsidR="007E60EF" w:rsidRPr="007D1D86" w:rsidRDefault="007E60EF" w:rsidP="007E60EF">
      <w:pPr>
        <w:autoSpaceDE w:val="0"/>
        <w:autoSpaceDN w:val="0"/>
        <w:adjustRightInd w:val="0"/>
        <w:spacing w:after="0" w:line="240" w:lineRule="auto"/>
        <w:jc w:val="center"/>
        <w:rPr>
          <w:rFonts w:ascii="Cambria" w:hAnsi="Cambria" w:cs="Times New Roman"/>
          <w:sz w:val="28"/>
          <w:szCs w:val="28"/>
        </w:rPr>
      </w:pPr>
    </w:p>
    <w:p w14:paraId="23C41967" w14:textId="77777777" w:rsidR="007E60EF" w:rsidRPr="007D1D86" w:rsidRDefault="007E60EF" w:rsidP="007E60EF">
      <w:pPr>
        <w:autoSpaceDE w:val="0"/>
        <w:autoSpaceDN w:val="0"/>
        <w:adjustRightInd w:val="0"/>
        <w:spacing w:after="0" w:line="240" w:lineRule="auto"/>
        <w:jc w:val="center"/>
        <w:rPr>
          <w:rFonts w:ascii="Cambria" w:hAnsi="Cambria" w:cs="Times New Roman"/>
          <w:sz w:val="28"/>
          <w:szCs w:val="28"/>
        </w:rPr>
      </w:pPr>
    </w:p>
    <w:p w14:paraId="350F4768" w14:textId="3CEBA104" w:rsidR="007E60EF" w:rsidRPr="007D1D86" w:rsidRDefault="007E60EF" w:rsidP="007E60EF">
      <w:pPr>
        <w:autoSpaceDE w:val="0"/>
        <w:autoSpaceDN w:val="0"/>
        <w:adjustRightInd w:val="0"/>
        <w:spacing w:after="0" w:line="240" w:lineRule="auto"/>
        <w:jc w:val="center"/>
        <w:rPr>
          <w:rFonts w:ascii="Cambria" w:hAnsi="Cambria" w:cs="Times New Roman"/>
          <w:sz w:val="28"/>
          <w:szCs w:val="28"/>
        </w:rPr>
      </w:pPr>
    </w:p>
    <w:p w14:paraId="1CCF3894" w14:textId="77777777" w:rsidR="00835275" w:rsidRPr="007D1D86" w:rsidRDefault="00835275" w:rsidP="00B7798C">
      <w:pPr>
        <w:autoSpaceDE w:val="0"/>
        <w:autoSpaceDN w:val="0"/>
        <w:adjustRightInd w:val="0"/>
        <w:spacing w:after="0" w:line="240" w:lineRule="auto"/>
        <w:rPr>
          <w:rFonts w:ascii="Cambria" w:hAnsi="Cambria" w:cs="Times New Roman"/>
          <w:sz w:val="28"/>
          <w:szCs w:val="28"/>
        </w:rPr>
      </w:pPr>
    </w:p>
    <w:p w14:paraId="3B98150C" w14:textId="77777777" w:rsidR="007E60EF" w:rsidRPr="007D1D86" w:rsidRDefault="007E60EF" w:rsidP="00835275">
      <w:pPr>
        <w:autoSpaceDE w:val="0"/>
        <w:autoSpaceDN w:val="0"/>
        <w:adjustRightInd w:val="0"/>
        <w:spacing w:after="0" w:line="240" w:lineRule="auto"/>
        <w:rPr>
          <w:rFonts w:ascii="Cambria" w:hAnsi="Cambria" w:cs="Times New Roman"/>
          <w:sz w:val="28"/>
          <w:szCs w:val="28"/>
        </w:rPr>
      </w:pPr>
    </w:p>
    <w:p w14:paraId="56D4F9A4" w14:textId="77777777" w:rsidR="007E60EF" w:rsidRPr="007D1D86" w:rsidRDefault="007E60EF" w:rsidP="00835275">
      <w:pPr>
        <w:autoSpaceDE w:val="0"/>
        <w:autoSpaceDN w:val="0"/>
        <w:adjustRightInd w:val="0"/>
        <w:spacing w:after="0" w:line="240" w:lineRule="auto"/>
        <w:rPr>
          <w:rFonts w:ascii="Cambria" w:hAnsi="Cambria" w:cs="Times New Roman"/>
          <w:sz w:val="28"/>
          <w:szCs w:val="28"/>
        </w:rPr>
      </w:pPr>
    </w:p>
    <w:p w14:paraId="4379ED95" w14:textId="1AE063AE" w:rsidR="007E60EF" w:rsidRDefault="007E60EF" w:rsidP="007E60EF">
      <w:pPr>
        <w:autoSpaceDE w:val="0"/>
        <w:autoSpaceDN w:val="0"/>
        <w:adjustRightInd w:val="0"/>
        <w:spacing w:after="0" w:line="240" w:lineRule="auto"/>
        <w:jc w:val="center"/>
        <w:rPr>
          <w:rFonts w:ascii="Cambria" w:hAnsi="Cambria" w:cs="Times New Roman"/>
          <w:sz w:val="28"/>
          <w:szCs w:val="28"/>
        </w:rPr>
      </w:pPr>
    </w:p>
    <w:p w14:paraId="2D5CD9F0" w14:textId="77777777" w:rsidR="007D1D86" w:rsidRPr="007D1D86" w:rsidRDefault="007D1D86" w:rsidP="007E60EF">
      <w:pPr>
        <w:autoSpaceDE w:val="0"/>
        <w:autoSpaceDN w:val="0"/>
        <w:adjustRightInd w:val="0"/>
        <w:spacing w:after="0" w:line="240" w:lineRule="auto"/>
        <w:jc w:val="center"/>
        <w:rPr>
          <w:rFonts w:ascii="Cambria" w:hAnsi="Cambria" w:cs="Times New Roman"/>
          <w:sz w:val="28"/>
          <w:szCs w:val="28"/>
        </w:rPr>
      </w:pPr>
    </w:p>
    <w:p w14:paraId="53E8B50B" w14:textId="217656A4" w:rsidR="004B13D3" w:rsidRPr="007D1D86" w:rsidRDefault="004B13D3" w:rsidP="007E60EF">
      <w:pPr>
        <w:autoSpaceDE w:val="0"/>
        <w:autoSpaceDN w:val="0"/>
        <w:adjustRightInd w:val="0"/>
        <w:spacing w:after="0" w:line="240" w:lineRule="auto"/>
        <w:jc w:val="center"/>
        <w:rPr>
          <w:rFonts w:ascii="Cambria" w:hAnsi="Cambria" w:cs="Times New Roman"/>
          <w:sz w:val="28"/>
          <w:szCs w:val="28"/>
        </w:rPr>
      </w:pPr>
    </w:p>
    <w:p w14:paraId="53E69DC8" w14:textId="77777777" w:rsidR="004B13D3" w:rsidRPr="007D1D86" w:rsidRDefault="004B13D3" w:rsidP="007E60EF">
      <w:pPr>
        <w:autoSpaceDE w:val="0"/>
        <w:autoSpaceDN w:val="0"/>
        <w:adjustRightInd w:val="0"/>
        <w:spacing w:after="0" w:line="240" w:lineRule="auto"/>
        <w:jc w:val="center"/>
        <w:rPr>
          <w:rFonts w:ascii="Cambria" w:hAnsi="Cambria" w:cs="Times New Roman"/>
          <w:sz w:val="28"/>
          <w:szCs w:val="28"/>
        </w:rPr>
      </w:pPr>
    </w:p>
    <w:p w14:paraId="379C4146" w14:textId="77777777" w:rsidR="007E60EF" w:rsidRPr="007D1D86" w:rsidRDefault="007E60EF" w:rsidP="007E60EF">
      <w:pPr>
        <w:autoSpaceDE w:val="0"/>
        <w:autoSpaceDN w:val="0"/>
        <w:adjustRightInd w:val="0"/>
        <w:spacing w:after="0" w:line="240" w:lineRule="auto"/>
        <w:jc w:val="center"/>
        <w:rPr>
          <w:rFonts w:ascii="Cambria" w:hAnsi="Cambria" w:cs="Times New Roman"/>
          <w:sz w:val="28"/>
          <w:szCs w:val="28"/>
        </w:rPr>
      </w:pPr>
    </w:p>
    <w:p w14:paraId="0AB822AA" w14:textId="27CA280E" w:rsidR="007E60EF" w:rsidRPr="007D1D86" w:rsidRDefault="008B7DB7" w:rsidP="004B13D3">
      <w:pPr>
        <w:autoSpaceDE w:val="0"/>
        <w:autoSpaceDN w:val="0"/>
        <w:adjustRightInd w:val="0"/>
        <w:spacing w:after="240" w:line="360" w:lineRule="auto"/>
        <w:jc w:val="center"/>
        <w:rPr>
          <w:rFonts w:ascii="Cambria" w:hAnsi="Cambria" w:cs="Times New Roman"/>
          <w:sz w:val="30"/>
          <w:szCs w:val="30"/>
        </w:rPr>
      </w:pPr>
      <w:r w:rsidRPr="007D1D86">
        <w:rPr>
          <w:rFonts w:ascii="Cambria" w:hAnsi="Cambria" w:cs="Times New Roman"/>
          <w:sz w:val="30"/>
          <w:szCs w:val="30"/>
        </w:rPr>
        <w:t xml:space="preserve">Ce rapport </w:t>
      </w:r>
      <w:r w:rsidR="004B13D3" w:rsidRPr="007D1D86">
        <w:rPr>
          <w:rFonts w:ascii="Cambria" w:hAnsi="Cambria" w:cs="Times New Roman"/>
          <w:sz w:val="30"/>
          <w:szCs w:val="30"/>
        </w:rPr>
        <w:t xml:space="preserve">alternatif </w:t>
      </w:r>
      <w:r w:rsidRPr="007D1D86">
        <w:rPr>
          <w:rFonts w:ascii="Cambria" w:hAnsi="Cambria" w:cs="Times New Roman"/>
          <w:sz w:val="30"/>
          <w:szCs w:val="30"/>
        </w:rPr>
        <w:t xml:space="preserve">est présenté par </w:t>
      </w:r>
      <w:r w:rsidR="007E60EF" w:rsidRPr="007D1D86">
        <w:rPr>
          <w:rFonts w:ascii="Cambria" w:hAnsi="Cambria" w:cs="Times New Roman"/>
          <w:sz w:val="30"/>
          <w:szCs w:val="30"/>
        </w:rPr>
        <w:t xml:space="preserve">Alliance VITA </w:t>
      </w:r>
      <w:r w:rsidR="00DE7487" w:rsidRPr="007D1D86">
        <w:rPr>
          <w:rFonts w:ascii="Cambria" w:hAnsi="Cambria" w:cs="Times New Roman"/>
          <w:sz w:val="30"/>
          <w:szCs w:val="30"/>
        </w:rPr>
        <w:t>à la suite de</w:t>
      </w:r>
      <w:r w:rsidR="004B13D3" w:rsidRPr="007D1D86">
        <w:rPr>
          <w:rFonts w:ascii="Cambria" w:hAnsi="Cambria" w:cs="Times New Roman"/>
          <w:sz w:val="30"/>
          <w:szCs w:val="30"/>
        </w:rPr>
        <w:t xml:space="preserve"> la soumission du 6</w:t>
      </w:r>
      <w:r w:rsidR="004B13D3" w:rsidRPr="007D1D86">
        <w:rPr>
          <w:rFonts w:ascii="Cambria" w:hAnsi="Cambria" w:cs="Times New Roman"/>
          <w:sz w:val="30"/>
          <w:szCs w:val="30"/>
          <w:vertAlign w:val="superscript"/>
        </w:rPr>
        <w:t>ème</w:t>
      </w:r>
      <w:r w:rsidR="004B13D3" w:rsidRPr="007D1D86">
        <w:rPr>
          <w:rFonts w:ascii="Cambria" w:hAnsi="Cambria" w:cs="Times New Roman"/>
          <w:sz w:val="30"/>
          <w:szCs w:val="30"/>
        </w:rPr>
        <w:t xml:space="preserve"> rapport périodique de la France au Comité des droits de l’enfant des Nations-Unies</w:t>
      </w:r>
    </w:p>
    <w:p w14:paraId="43BFAD5E" w14:textId="513FD114" w:rsidR="00B7798C" w:rsidRDefault="00B7798C" w:rsidP="007E60EF">
      <w:pPr>
        <w:autoSpaceDE w:val="0"/>
        <w:autoSpaceDN w:val="0"/>
        <w:adjustRightInd w:val="0"/>
        <w:spacing w:after="0" w:line="240" w:lineRule="auto"/>
        <w:rPr>
          <w:rFonts w:ascii="TT163t00" w:hAnsi="TT163t00" w:cs="TT163t00"/>
        </w:rPr>
      </w:pPr>
    </w:p>
    <w:p w14:paraId="1844DACA" w14:textId="248A27CA" w:rsidR="004B13D3" w:rsidRDefault="004B13D3" w:rsidP="007E60EF">
      <w:pPr>
        <w:autoSpaceDE w:val="0"/>
        <w:autoSpaceDN w:val="0"/>
        <w:adjustRightInd w:val="0"/>
        <w:spacing w:after="0" w:line="240" w:lineRule="auto"/>
        <w:rPr>
          <w:rFonts w:ascii="TT163t00" w:hAnsi="TT163t00" w:cs="TT163t00"/>
        </w:rPr>
      </w:pPr>
    </w:p>
    <w:p w14:paraId="632530E5" w14:textId="2D63A3EC" w:rsidR="004B13D3" w:rsidRDefault="004B13D3" w:rsidP="007E60EF">
      <w:pPr>
        <w:autoSpaceDE w:val="0"/>
        <w:autoSpaceDN w:val="0"/>
        <w:adjustRightInd w:val="0"/>
        <w:spacing w:after="0" w:line="240" w:lineRule="auto"/>
        <w:rPr>
          <w:rFonts w:ascii="TT163t00" w:hAnsi="TT163t00" w:cs="TT163t00"/>
        </w:rPr>
      </w:pPr>
    </w:p>
    <w:p w14:paraId="62946222" w14:textId="77777777" w:rsidR="00205141" w:rsidRDefault="00205141" w:rsidP="007E60EF">
      <w:pPr>
        <w:autoSpaceDE w:val="0"/>
        <w:autoSpaceDN w:val="0"/>
        <w:adjustRightInd w:val="0"/>
        <w:spacing w:after="0" w:line="240" w:lineRule="auto"/>
        <w:rPr>
          <w:rFonts w:ascii="TT163t00" w:hAnsi="TT163t00" w:cs="TT163t00"/>
        </w:rPr>
      </w:pPr>
    </w:p>
    <w:p w14:paraId="551697CB" w14:textId="20A08C7C" w:rsidR="007E60EF" w:rsidRDefault="007E60EF" w:rsidP="007E60EF">
      <w:pPr>
        <w:autoSpaceDE w:val="0"/>
        <w:autoSpaceDN w:val="0"/>
        <w:adjustRightInd w:val="0"/>
        <w:spacing w:after="0" w:line="240" w:lineRule="auto"/>
        <w:rPr>
          <w:rFonts w:ascii="TT163t00" w:hAnsi="TT163t00" w:cs="TT163t00"/>
        </w:rPr>
      </w:pPr>
    </w:p>
    <w:p w14:paraId="4A3A257F" w14:textId="77777777" w:rsidR="007D1D86" w:rsidRPr="008B7DB7" w:rsidRDefault="007D1D86" w:rsidP="007E60EF">
      <w:pPr>
        <w:autoSpaceDE w:val="0"/>
        <w:autoSpaceDN w:val="0"/>
        <w:adjustRightInd w:val="0"/>
        <w:spacing w:after="0" w:line="240" w:lineRule="auto"/>
        <w:rPr>
          <w:rFonts w:ascii="TT163t00" w:hAnsi="TT163t00" w:cs="TT163t00"/>
        </w:rPr>
      </w:pPr>
    </w:p>
    <w:p w14:paraId="5ECA1DE3" w14:textId="2B5D1451" w:rsidR="007E60EF" w:rsidRPr="007D1D86" w:rsidRDefault="004B13D3" w:rsidP="007E60EF">
      <w:pPr>
        <w:autoSpaceDE w:val="0"/>
        <w:autoSpaceDN w:val="0"/>
        <w:adjustRightInd w:val="0"/>
        <w:spacing w:after="0" w:line="240" w:lineRule="auto"/>
        <w:jc w:val="center"/>
        <w:rPr>
          <w:rStyle w:val="Strong"/>
          <w:rFonts w:ascii="Cambria" w:hAnsi="Cambria"/>
          <w:sz w:val="28"/>
          <w:szCs w:val="28"/>
          <w:lang w:val="en-US"/>
        </w:rPr>
      </w:pPr>
      <w:r w:rsidRPr="007D1D86">
        <w:rPr>
          <w:rFonts w:ascii="Cambria" w:hAnsi="Cambria" w:cs="TT163t00"/>
          <w:b/>
          <w:bCs/>
          <w:sz w:val="28"/>
          <w:szCs w:val="28"/>
        </w:rPr>
        <w:t>Novembre 2022</w:t>
      </w:r>
      <w:r w:rsidR="007E60EF" w:rsidRPr="007D1D86">
        <w:rPr>
          <w:rStyle w:val="Strong"/>
          <w:rFonts w:ascii="Cambria" w:hAnsi="Cambria"/>
          <w:sz w:val="28"/>
          <w:szCs w:val="28"/>
          <w:lang w:val="en-US"/>
        </w:rPr>
        <w:br w:type="page"/>
      </w:r>
    </w:p>
    <w:p w14:paraId="0AE970D3" w14:textId="0E9808D8" w:rsidR="007E60EF" w:rsidRDefault="007E60EF" w:rsidP="007E60EF">
      <w:pPr>
        <w:spacing w:after="120" w:line="240" w:lineRule="auto"/>
        <w:jc w:val="both"/>
        <w:rPr>
          <w:rStyle w:val="Strong"/>
          <w:sz w:val="28"/>
          <w:szCs w:val="28"/>
          <w:lang w:val="en-US"/>
        </w:rPr>
      </w:pPr>
    </w:p>
    <w:p w14:paraId="3899FC96" w14:textId="53B98109" w:rsidR="007E60EF" w:rsidRPr="002515B3" w:rsidRDefault="007E60EF" w:rsidP="007E60EF">
      <w:pPr>
        <w:spacing w:after="120" w:line="240" w:lineRule="auto"/>
        <w:jc w:val="both"/>
        <w:rPr>
          <w:rStyle w:val="Strong"/>
          <w:sz w:val="28"/>
          <w:szCs w:val="28"/>
          <w:lang w:val="en-US"/>
        </w:rPr>
      </w:pPr>
      <w:r w:rsidRPr="00F87699">
        <w:rPr>
          <w:noProof/>
          <w:lang w:eastAsia="fr-FR" w:bidi="ar-SA"/>
        </w:rPr>
        <w:drawing>
          <wp:anchor distT="0" distB="0" distL="114300" distR="114300" simplePos="0" relativeHeight="251660288" behindDoc="0" locked="0" layoutInCell="1" allowOverlap="1" wp14:anchorId="21ED743A" wp14:editId="79980063">
            <wp:simplePos x="0" y="0"/>
            <wp:positionH relativeFrom="margin">
              <wp:align>center</wp:align>
            </wp:positionH>
            <wp:positionV relativeFrom="margin">
              <wp:align>top</wp:align>
            </wp:positionV>
            <wp:extent cx="1490345" cy="993140"/>
            <wp:effectExtent l="0" t="0" r="0" b="635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0345" cy="993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BC73C" w14:textId="77777777" w:rsidR="007E60EF" w:rsidRDefault="007E60EF" w:rsidP="007E60EF">
      <w:pPr>
        <w:spacing w:after="120" w:line="240" w:lineRule="auto"/>
        <w:jc w:val="both"/>
        <w:rPr>
          <w:rStyle w:val="Strong"/>
          <w:sz w:val="28"/>
          <w:szCs w:val="28"/>
          <w:lang w:val="en-US"/>
        </w:rPr>
      </w:pPr>
    </w:p>
    <w:p w14:paraId="122AC6C7" w14:textId="2DC2A17E" w:rsidR="004B13D3" w:rsidRDefault="004B13D3" w:rsidP="004B13D3">
      <w:pPr>
        <w:spacing w:after="120" w:line="240" w:lineRule="auto"/>
        <w:jc w:val="both"/>
        <w:rPr>
          <w:rStyle w:val="Strong"/>
          <w:sz w:val="28"/>
          <w:szCs w:val="28"/>
          <w:lang w:val="en-US"/>
        </w:rPr>
      </w:pPr>
      <w:bookmarkStart w:id="0" w:name="_Toc41908520"/>
      <w:bookmarkStart w:id="1" w:name="_Toc41992690"/>
      <w:bookmarkStart w:id="2" w:name="_Toc42008599"/>
      <w:bookmarkStart w:id="3" w:name="_Toc42008854"/>
      <w:bookmarkStart w:id="4" w:name="_Toc42703755"/>
      <w:bookmarkStart w:id="5" w:name="_Toc42878461"/>
      <w:bookmarkStart w:id="6" w:name="_Toc43020657"/>
      <w:bookmarkStart w:id="7" w:name="_Toc43020932"/>
      <w:bookmarkStart w:id="8" w:name="_Toc43048643"/>
      <w:bookmarkStart w:id="9" w:name="_Toc43057468"/>
      <w:bookmarkStart w:id="10" w:name="_Toc43313399"/>
      <w:bookmarkStart w:id="11" w:name="_Toc43372245"/>
      <w:bookmarkStart w:id="12" w:name="_Toc44317843"/>
    </w:p>
    <w:p w14:paraId="1EBA1A32" w14:textId="77777777" w:rsidR="007D1D86" w:rsidRPr="002515B3" w:rsidRDefault="007D1D86" w:rsidP="004B13D3">
      <w:pPr>
        <w:spacing w:after="120" w:line="240" w:lineRule="auto"/>
        <w:jc w:val="both"/>
        <w:rPr>
          <w:rStyle w:val="Strong"/>
          <w:sz w:val="28"/>
          <w:szCs w:val="28"/>
          <w:lang w:val="en-US"/>
        </w:rPr>
      </w:pPr>
    </w:p>
    <w:tbl>
      <w:tblPr>
        <w:tblW w:w="5000" w:type="pct"/>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CellMar>
          <w:left w:w="70" w:type="dxa"/>
          <w:right w:w="70" w:type="dxa"/>
        </w:tblCellMar>
        <w:tblLook w:val="0000" w:firstRow="0" w:lastRow="0" w:firstColumn="0" w:lastColumn="0" w:noHBand="0" w:noVBand="0"/>
      </w:tblPr>
      <w:tblGrid>
        <w:gridCol w:w="9268"/>
      </w:tblGrid>
      <w:tr w:rsidR="004B13D3" w:rsidRPr="007D1D86" w14:paraId="4270E684" w14:textId="77777777" w:rsidTr="00772003">
        <w:trPr>
          <w:trHeight w:val="9012"/>
        </w:trPr>
        <w:tc>
          <w:tcPr>
            <w:tcW w:w="5000" w:type="pct"/>
          </w:tcPr>
          <w:p w14:paraId="0E1887B4" w14:textId="77777777" w:rsidR="004B13D3" w:rsidRPr="007D1D86" w:rsidRDefault="004B13D3" w:rsidP="007D1D86">
            <w:pPr>
              <w:spacing w:before="120" w:after="120"/>
              <w:jc w:val="center"/>
              <w:rPr>
                <w:rStyle w:val="Strong"/>
                <w:rFonts w:ascii="Cambria" w:hAnsi="Cambria"/>
                <w:b w:val="0"/>
                <w:bCs w:val="0"/>
                <w:color w:val="0070C0"/>
                <w:sz w:val="26"/>
                <w:szCs w:val="26"/>
              </w:rPr>
            </w:pPr>
            <w:bookmarkStart w:id="13" w:name="_Toc44317841"/>
            <w:r w:rsidRPr="007D1D86">
              <w:rPr>
                <w:rStyle w:val="Strong"/>
                <w:rFonts w:ascii="Cambria" w:hAnsi="Cambria"/>
                <w:color w:val="0070C0"/>
                <w:sz w:val="26"/>
                <w:szCs w:val="26"/>
              </w:rPr>
              <w:t>Qui sommes-nous ?</w:t>
            </w:r>
            <w:bookmarkEnd w:id="13"/>
          </w:p>
          <w:p w14:paraId="5E1ABBD6" w14:textId="3E33D0DC" w:rsidR="004B13D3" w:rsidRPr="007D1D86" w:rsidRDefault="004B13D3" w:rsidP="00772003">
            <w:pPr>
              <w:spacing w:after="0"/>
              <w:jc w:val="both"/>
              <w:rPr>
                <w:rFonts w:ascii="Cambria" w:hAnsi="Cambria"/>
                <w:sz w:val="24"/>
                <w:szCs w:val="24"/>
              </w:rPr>
            </w:pPr>
            <w:r w:rsidRPr="007D1D86">
              <w:rPr>
                <w:rFonts w:ascii="Cambria" w:hAnsi="Cambria"/>
                <w:sz w:val="24"/>
                <w:szCs w:val="24"/>
              </w:rPr>
              <w:t xml:space="preserve">Notre association, fondée fin 1993 au moment des premières lois </w:t>
            </w:r>
            <w:r w:rsidR="006D6864">
              <w:rPr>
                <w:rFonts w:ascii="Cambria" w:hAnsi="Cambria"/>
                <w:sz w:val="24"/>
                <w:szCs w:val="24"/>
              </w:rPr>
              <w:t xml:space="preserve">relatives à la </w:t>
            </w:r>
            <w:r w:rsidRPr="007D1D86">
              <w:rPr>
                <w:rFonts w:ascii="Cambria" w:hAnsi="Cambria"/>
                <w:sz w:val="24"/>
                <w:szCs w:val="24"/>
              </w:rPr>
              <w:t xml:space="preserve">bioéthique, rassemble 37 000 membres sympathisants et agit sur le terrain, dans toute la France, avec des équipes rassemblant plus de 1 000 volontaires. Elle se développe à l’international, spécialement pour former aux enjeux bioéthiques et intervenir auprès des instances internationales (Union européenne, Conseil de l’Europe, ONU …). </w:t>
            </w:r>
          </w:p>
          <w:p w14:paraId="42A4EA77" w14:textId="77777777" w:rsidR="004B13D3" w:rsidRPr="007D1D86" w:rsidRDefault="004B13D3" w:rsidP="00772003">
            <w:pPr>
              <w:jc w:val="both"/>
              <w:rPr>
                <w:rFonts w:ascii="Cambria" w:hAnsi="Cambria"/>
                <w:sz w:val="24"/>
                <w:szCs w:val="24"/>
              </w:rPr>
            </w:pPr>
            <w:r w:rsidRPr="007D1D86">
              <w:rPr>
                <w:rFonts w:ascii="Cambria" w:hAnsi="Cambria"/>
                <w:sz w:val="24"/>
                <w:szCs w:val="24"/>
              </w:rPr>
              <w:t xml:space="preserve">Alliance VITA est accréditée avec un statut spécial à l’ONU auprès du Conseil économique et social (ECOSOC). Sa présidente est Anne-Charlotte Rimaud. Elle est financée uniquement par des dons de particuliers. </w:t>
            </w:r>
          </w:p>
          <w:p w14:paraId="4BC3BC62" w14:textId="6C9C5EEF" w:rsidR="004B13D3" w:rsidRPr="007D1D86" w:rsidRDefault="004B13D3" w:rsidP="00772003">
            <w:pPr>
              <w:spacing w:after="0"/>
              <w:jc w:val="both"/>
              <w:rPr>
                <w:rFonts w:ascii="Cambria" w:hAnsi="Cambria"/>
                <w:sz w:val="24"/>
                <w:szCs w:val="24"/>
              </w:rPr>
            </w:pPr>
            <w:r w:rsidRPr="007D1D86">
              <w:rPr>
                <w:rFonts w:ascii="Cambria" w:hAnsi="Cambria"/>
                <w:sz w:val="24"/>
                <w:szCs w:val="24"/>
              </w:rPr>
              <w:t xml:space="preserve">Alliance VITA agit, sur l’ensemble des </w:t>
            </w:r>
            <w:r w:rsidRPr="007D1D86">
              <w:rPr>
                <w:rFonts w:ascii="Cambria" w:hAnsi="Cambria"/>
                <w:b/>
                <w:bCs/>
                <w:sz w:val="24"/>
                <w:szCs w:val="24"/>
              </w:rPr>
              <w:t xml:space="preserve">questions touchant à la bioéthique, </w:t>
            </w:r>
            <w:r w:rsidR="004F0D36" w:rsidRPr="00B3467A">
              <w:rPr>
                <w:rFonts w:ascii="Cambria" w:hAnsi="Cambria"/>
                <w:b/>
                <w:bCs/>
                <w:sz w:val="24"/>
                <w:szCs w:val="24"/>
              </w:rPr>
              <w:t>avec deux missions</w:t>
            </w:r>
            <w:r w:rsidRPr="00B3467A">
              <w:rPr>
                <w:rFonts w:ascii="Cambria" w:hAnsi="Cambria"/>
                <w:sz w:val="24"/>
                <w:szCs w:val="24"/>
              </w:rPr>
              <w:t xml:space="preserve"> : l’écoute et l’aide aux personnes confrontées à des épreuves de la vie d’une</w:t>
            </w:r>
            <w:r w:rsidRPr="007D1D86">
              <w:rPr>
                <w:rFonts w:ascii="Cambria" w:hAnsi="Cambria"/>
                <w:sz w:val="24"/>
                <w:szCs w:val="24"/>
              </w:rPr>
              <w:t xml:space="preserve"> part, la sensibilisation de tous à la protection de la vie humaine d’autre part. </w:t>
            </w:r>
          </w:p>
          <w:p w14:paraId="2F1EDDAF" w14:textId="77777777" w:rsidR="004B13D3" w:rsidRPr="007D1D86" w:rsidRDefault="004B13D3" w:rsidP="004B13D3">
            <w:pPr>
              <w:pStyle w:val="ListParagraph"/>
              <w:numPr>
                <w:ilvl w:val="0"/>
                <w:numId w:val="8"/>
              </w:numPr>
              <w:ind w:left="485"/>
              <w:jc w:val="both"/>
              <w:rPr>
                <w:rFonts w:ascii="Cambria" w:hAnsi="Cambria"/>
                <w:sz w:val="24"/>
                <w:szCs w:val="24"/>
              </w:rPr>
            </w:pPr>
            <w:r w:rsidRPr="007D1D86">
              <w:rPr>
                <w:rFonts w:ascii="Cambria" w:hAnsi="Cambria"/>
                <w:b/>
                <w:bCs/>
                <w:sz w:val="24"/>
                <w:szCs w:val="24"/>
              </w:rPr>
              <w:t>Trois services d’écoute et d’aide</w:t>
            </w:r>
            <w:r w:rsidRPr="007D1D86">
              <w:rPr>
                <w:rFonts w:ascii="Cambria" w:hAnsi="Cambria"/>
                <w:sz w:val="24"/>
                <w:szCs w:val="24"/>
              </w:rPr>
              <w:t xml:space="preserve"> (par différents moyens : Internet, téléphone, rencontres face-à-face) : </w:t>
            </w:r>
          </w:p>
          <w:p w14:paraId="4E2B537F" w14:textId="77777777" w:rsidR="004B13D3" w:rsidRPr="007D1D86" w:rsidRDefault="004B13D3" w:rsidP="004B13D3">
            <w:pPr>
              <w:pStyle w:val="ListParagraph"/>
              <w:numPr>
                <w:ilvl w:val="0"/>
                <w:numId w:val="9"/>
              </w:numPr>
              <w:jc w:val="both"/>
              <w:rPr>
                <w:rFonts w:ascii="Cambria" w:hAnsi="Cambria"/>
                <w:sz w:val="24"/>
                <w:szCs w:val="24"/>
              </w:rPr>
            </w:pPr>
            <w:proofErr w:type="gramStart"/>
            <w:r w:rsidRPr="007D1D86">
              <w:rPr>
                <w:rFonts w:ascii="Cambria" w:hAnsi="Cambria"/>
                <w:sz w:val="24"/>
                <w:szCs w:val="24"/>
              </w:rPr>
              <w:t>pour</w:t>
            </w:r>
            <w:proofErr w:type="gramEnd"/>
            <w:r w:rsidRPr="007D1D86">
              <w:rPr>
                <w:rFonts w:ascii="Cambria" w:hAnsi="Cambria"/>
                <w:sz w:val="24"/>
                <w:szCs w:val="24"/>
              </w:rPr>
              <w:t xml:space="preserve"> les personnes confrontées à des épreuves liées à la grossesse et à la maternité (fausses couches, grossesses inattendues ou difficiles, infertilité, handicap) : </w:t>
            </w:r>
            <w:r w:rsidRPr="007D1D86">
              <w:rPr>
                <w:rStyle w:val="Hyperlink"/>
                <w:rFonts w:ascii="Cambria" w:hAnsi="Cambria"/>
                <w:b/>
                <w:bCs/>
                <w:sz w:val="24"/>
                <w:szCs w:val="24"/>
              </w:rPr>
              <w:t>www.sosbebe.org</w:t>
            </w:r>
            <w:r w:rsidRPr="007D1D86">
              <w:rPr>
                <w:rFonts w:ascii="Cambria" w:hAnsi="Cambria"/>
                <w:sz w:val="24"/>
                <w:szCs w:val="24"/>
              </w:rPr>
              <w:t xml:space="preserve"> </w:t>
            </w:r>
          </w:p>
          <w:p w14:paraId="6F2F0F91" w14:textId="77777777" w:rsidR="004B13D3" w:rsidRPr="007D1D86" w:rsidRDefault="004B13D3" w:rsidP="004B13D3">
            <w:pPr>
              <w:pStyle w:val="ListParagraph"/>
              <w:numPr>
                <w:ilvl w:val="0"/>
                <w:numId w:val="9"/>
              </w:numPr>
              <w:spacing w:after="120"/>
              <w:ind w:left="714" w:hanging="357"/>
              <w:jc w:val="both"/>
              <w:rPr>
                <w:rStyle w:val="Hyperlink"/>
                <w:rFonts w:ascii="Cambria" w:hAnsi="Cambria" w:cs="Calibri"/>
                <w:color w:val="000000"/>
                <w:sz w:val="24"/>
                <w:szCs w:val="24"/>
                <w:u w:val="none"/>
                <w:lang w:bidi="ar-SA"/>
              </w:rPr>
            </w:pPr>
            <w:proofErr w:type="gramStart"/>
            <w:r w:rsidRPr="007D1D86">
              <w:rPr>
                <w:rFonts w:ascii="Cambria" w:hAnsi="Cambria"/>
                <w:sz w:val="24"/>
                <w:szCs w:val="24"/>
              </w:rPr>
              <w:t>pour</w:t>
            </w:r>
            <w:proofErr w:type="gramEnd"/>
            <w:r w:rsidRPr="007D1D86">
              <w:rPr>
                <w:rFonts w:ascii="Cambria" w:hAnsi="Cambria"/>
                <w:sz w:val="24"/>
                <w:szCs w:val="24"/>
              </w:rPr>
              <w:t xml:space="preserve"> les personnes confrontées à des épreuves liées à la fin de vie (acharnement thérapeutique, euthanasie, souffrances, deuil…) :</w:t>
            </w:r>
            <w:r w:rsidRPr="007D1D86">
              <w:rPr>
                <w:rFonts w:ascii="Cambria" w:hAnsi="Cambria" w:cs="Calibri"/>
                <w:color w:val="000000"/>
                <w:sz w:val="24"/>
                <w:szCs w:val="24"/>
                <w:lang w:bidi="ar-SA"/>
              </w:rPr>
              <w:t xml:space="preserve"> </w:t>
            </w:r>
            <w:hyperlink r:id="rId9" w:history="1">
              <w:r w:rsidRPr="007D1D86">
                <w:rPr>
                  <w:rStyle w:val="Hyperlink"/>
                  <w:rFonts w:ascii="Cambria" w:hAnsi="Cambria"/>
                  <w:b/>
                  <w:bCs/>
                  <w:sz w:val="24"/>
                  <w:szCs w:val="24"/>
                </w:rPr>
                <w:t>www.sosfindevie.org</w:t>
              </w:r>
            </w:hyperlink>
          </w:p>
          <w:p w14:paraId="7B75251C" w14:textId="77777777" w:rsidR="004B13D3" w:rsidRPr="007D1D86" w:rsidRDefault="004B13D3" w:rsidP="004B13D3">
            <w:pPr>
              <w:pStyle w:val="ListParagraph"/>
              <w:numPr>
                <w:ilvl w:val="0"/>
                <w:numId w:val="9"/>
              </w:numPr>
              <w:spacing w:after="120"/>
              <w:ind w:left="714" w:hanging="357"/>
              <w:jc w:val="both"/>
              <w:rPr>
                <w:rFonts w:ascii="Cambria" w:hAnsi="Cambria" w:cs="Calibri"/>
                <w:sz w:val="24"/>
                <w:szCs w:val="24"/>
                <w:lang w:bidi="ar-SA"/>
              </w:rPr>
            </w:pPr>
            <w:r w:rsidRPr="007D1D86">
              <w:rPr>
                <w:rFonts w:ascii="Cambria" w:hAnsi="Cambria"/>
                <w:sz w:val="24"/>
                <w:szCs w:val="24"/>
              </w:rPr>
              <w:t xml:space="preserve"> </w:t>
            </w:r>
            <w:proofErr w:type="gramStart"/>
            <w:r w:rsidRPr="007D1D86">
              <w:rPr>
                <w:rFonts w:ascii="Cambria" w:hAnsi="Cambria"/>
                <w:sz w:val="24"/>
                <w:szCs w:val="24"/>
              </w:rPr>
              <w:t>pour</w:t>
            </w:r>
            <w:proofErr w:type="gramEnd"/>
            <w:r w:rsidRPr="007D1D86">
              <w:rPr>
                <w:rFonts w:ascii="Cambria" w:hAnsi="Cambria"/>
                <w:sz w:val="24"/>
                <w:szCs w:val="24"/>
              </w:rPr>
              <w:t xml:space="preserve"> les professionnels de santé confrontés à des dilemmes éthiques ou des cas complexes, en situation d’isolement, de surmenage : </w:t>
            </w:r>
            <w:hyperlink r:id="rId10" w:history="1">
              <w:r w:rsidRPr="007D1D86">
                <w:rPr>
                  <w:rStyle w:val="Hyperlink"/>
                  <w:rFonts w:ascii="Cambria" w:hAnsi="Cambria"/>
                  <w:color w:val="auto"/>
                  <w:sz w:val="24"/>
                  <w:szCs w:val="24"/>
                </w:rPr>
                <w:t>www.thadeo.fr</w:t>
              </w:r>
            </w:hyperlink>
            <w:r w:rsidRPr="007D1D86">
              <w:rPr>
                <w:rFonts w:ascii="Cambria" w:hAnsi="Cambria"/>
                <w:sz w:val="24"/>
                <w:szCs w:val="24"/>
              </w:rPr>
              <w:t xml:space="preserve"> </w:t>
            </w:r>
          </w:p>
          <w:p w14:paraId="581D91B1" w14:textId="77777777" w:rsidR="004B13D3" w:rsidRPr="007D1D86" w:rsidRDefault="004B13D3" w:rsidP="004B13D3">
            <w:pPr>
              <w:pStyle w:val="ListParagraph"/>
              <w:numPr>
                <w:ilvl w:val="0"/>
                <w:numId w:val="7"/>
              </w:numPr>
              <w:spacing w:after="120"/>
              <w:ind w:left="485"/>
              <w:jc w:val="both"/>
              <w:rPr>
                <w:rFonts w:ascii="Cambria" w:hAnsi="Cambria"/>
                <w:sz w:val="24"/>
                <w:szCs w:val="24"/>
              </w:rPr>
            </w:pPr>
            <w:r w:rsidRPr="007D1D86">
              <w:rPr>
                <w:rFonts w:ascii="Cambria" w:hAnsi="Cambria"/>
                <w:b/>
                <w:bCs/>
                <w:sz w:val="24"/>
                <w:szCs w:val="24"/>
              </w:rPr>
              <w:t>Concernant la sensibilisation du public</w:t>
            </w:r>
            <w:r w:rsidRPr="007D1D86">
              <w:rPr>
                <w:rFonts w:ascii="Cambria" w:hAnsi="Cambria"/>
                <w:sz w:val="24"/>
                <w:szCs w:val="24"/>
              </w:rPr>
              <w:t xml:space="preserve">, Alliance VITA : </w:t>
            </w:r>
          </w:p>
          <w:p w14:paraId="016B0A26" w14:textId="77777777" w:rsidR="004B13D3" w:rsidRPr="007D1D86" w:rsidRDefault="004B13D3" w:rsidP="004B13D3">
            <w:pPr>
              <w:pStyle w:val="ListParagraph"/>
              <w:numPr>
                <w:ilvl w:val="0"/>
                <w:numId w:val="10"/>
              </w:numPr>
              <w:jc w:val="both"/>
              <w:rPr>
                <w:rFonts w:ascii="Cambria" w:hAnsi="Cambria"/>
                <w:sz w:val="24"/>
                <w:szCs w:val="24"/>
              </w:rPr>
            </w:pPr>
            <w:proofErr w:type="gramStart"/>
            <w:r w:rsidRPr="007D1D86">
              <w:rPr>
                <w:rFonts w:ascii="Cambria" w:hAnsi="Cambria"/>
                <w:sz w:val="24"/>
                <w:szCs w:val="24"/>
              </w:rPr>
              <w:t>conduit</w:t>
            </w:r>
            <w:proofErr w:type="gramEnd"/>
            <w:r w:rsidRPr="007D1D86">
              <w:rPr>
                <w:rFonts w:ascii="Cambria" w:hAnsi="Cambria"/>
                <w:sz w:val="24"/>
                <w:szCs w:val="24"/>
              </w:rPr>
              <w:t xml:space="preserve"> des campagnes nationales d’information du public sur la protection de la vie et de la dignité humaines,</w:t>
            </w:r>
          </w:p>
          <w:p w14:paraId="0270F4ED" w14:textId="77777777" w:rsidR="004B13D3" w:rsidRPr="007D1D86" w:rsidRDefault="004B13D3" w:rsidP="004B13D3">
            <w:pPr>
              <w:pStyle w:val="ListParagraph"/>
              <w:numPr>
                <w:ilvl w:val="0"/>
                <w:numId w:val="10"/>
              </w:numPr>
              <w:jc w:val="both"/>
              <w:rPr>
                <w:rStyle w:val="Strong"/>
                <w:rFonts w:ascii="Cambria" w:hAnsi="Cambria"/>
                <w:b w:val="0"/>
                <w:bCs w:val="0"/>
              </w:rPr>
            </w:pPr>
            <w:proofErr w:type="gramStart"/>
            <w:r w:rsidRPr="007D1D86">
              <w:rPr>
                <w:rFonts w:ascii="Cambria" w:hAnsi="Cambria"/>
                <w:sz w:val="24"/>
                <w:szCs w:val="24"/>
              </w:rPr>
              <w:t>participe</w:t>
            </w:r>
            <w:proofErr w:type="gramEnd"/>
            <w:r w:rsidRPr="007D1D86">
              <w:rPr>
                <w:rFonts w:ascii="Cambria" w:hAnsi="Cambria"/>
                <w:sz w:val="24"/>
                <w:szCs w:val="24"/>
              </w:rPr>
              <w:t xml:space="preserve"> aux échanges et à la réflexion sur les questions d’éthique biomédicale contemporaines au niveau national et international.</w:t>
            </w:r>
          </w:p>
        </w:tc>
      </w:tr>
    </w:tbl>
    <w:p w14:paraId="004820B2" w14:textId="77777777" w:rsidR="004B13D3" w:rsidRPr="007D1D86" w:rsidRDefault="004B13D3" w:rsidP="004B13D3">
      <w:pPr>
        <w:autoSpaceDE w:val="0"/>
        <w:autoSpaceDN w:val="0"/>
        <w:adjustRightInd w:val="0"/>
        <w:spacing w:after="0" w:line="240" w:lineRule="auto"/>
        <w:jc w:val="center"/>
        <w:rPr>
          <w:rFonts w:ascii="Cambria" w:hAnsi="Cambria" w:cs="Calibri"/>
          <w:color w:val="000000"/>
          <w:sz w:val="24"/>
          <w:szCs w:val="24"/>
          <w:lang w:bidi="ar-SA"/>
        </w:rPr>
      </w:pPr>
    </w:p>
    <w:p w14:paraId="296290EF" w14:textId="77777777" w:rsidR="004B13D3" w:rsidRPr="007D1D86" w:rsidRDefault="004B13D3" w:rsidP="004B13D3">
      <w:pPr>
        <w:autoSpaceDE w:val="0"/>
        <w:autoSpaceDN w:val="0"/>
        <w:adjustRightInd w:val="0"/>
        <w:spacing w:after="0" w:line="240" w:lineRule="auto"/>
        <w:jc w:val="center"/>
        <w:rPr>
          <w:rFonts w:ascii="Cambria" w:hAnsi="Cambria" w:cs="Calibri"/>
          <w:color w:val="000000"/>
          <w:sz w:val="30"/>
          <w:szCs w:val="30"/>
          <w:lang w:bidi="ar-SA"/>
        </w:rPr>
      </w:pPr>
    </w:p>
    <w:p w14:paraId="455EE89B" w14:textId="77777777" w:rsidR="004B13D3" w:rsidRPr="007D1D86" w:rsidRDefault="004B13D3" w:rsidP="004B13D3">
      <w:pPr>
        <w:autoSpaceDE w:val="0"/>
        <w:autoSpaceDN w:val="0"/>
        <w:adjustRightInd w:val="0"/>
        <w:spacing w:after="120"/>
        <w:jc w:val="center"/>
        <w:rPr>
          <w:rFonts w:ascii="Cambria" w:hAnsi="Cambria" w:cs="Arial"/>
          <w:color w:val="000000"/>
          <w:sz w:val="28"/>
          <w:szCs w:val="28"/>
          <w:lang w:bidi="ar-SA"/>
        </w:rPr>
      </w:pPr>
      <w:r w:rsidRPr="007D1D86">
        <w:rPr>
          <w:rFonts w:ascii="Cambria" w:hAnsi="Cambria" w:cs="Arial"/>
          <w:b/>
          <w:bCs/>
          <w:color w:val="000000"/>
          <w:sz w:val="28"/>
          <w:szCs w:val="28"/>
          <w:lang w:bidi="ar-SA"/>
        </w:rPr>
        <w:t>Alliance VITA</w:t>
      </w:r>
      <w:r w:rsidRPr="007D1D86">
        <w:rPr>
          <w:rFonts w:ascii="Cambria" w:hAnsi="Cambria" w:cs="Arial"/>
          <w:color w:val="000000"/>
          <w:sz w:val="28"/>
          <w:szCs w:val="28"/>
          <w:lang w:bidi="ar-SA"/>
        </w:rPr>
        <w:t xml:space="preserve">  55 rue de la Fédération 75015 Paris</w:t>
      </w:r>
    </w:p>
    <w:p w14:paraId="650E5C98" w14:textId="77777777" w:rsidR="004B13D3" w:rsidRPr="007D1D86" w:rsidRDefault="004B13D3" w:rsidP="004B13D3">
      <w:pPr>
        <w:autoSpaceDE w:val="0"/>
        <w:autoSpaceDN w:val="0"/>
        <w:adjustRightInd w:val="0"/>
        <w:spacing w:after="120"/>
        <w:jc w:val="center"/>
        <w:rPr>
          <w:rFonts w:ascii="Cambria" w:hAnsi="Cambria" w:cs="Arial"/>
          <w:color w:val="000000"/>
          <w:sz w:val="28"/>
          <w:szCs w:val="28"/>
          <w:lang w:bidi="ar-SA"/>
        </w:rPr>
      </w:pPr>
      <w:r w:rsidRPr="007D1D86">
        <w:rPr>
          <w:rFonts w:ascii="Cambria" w:hAnsi="Cambria" w:cs="Arial"/>
          <w:i/>
          <w:iCs/>
          <w:sz w:val="28"/>
          <w:szCs w:val="28"/>
        </w:rPr>
        <w:t>+33 (0)1 45 23 86 10 -</w:t>
      </w:r>
      <w:r w:rsidRPr="007D1D86">
        <w:rPr>
          <w:rFonts w:ascii="Cambria" w:hAnsi="Cambria" w:cs="Arial"/>
          <w:sz w:val="28"/>
          <w:szCs w:val="28"/>
        </w:rPr>
        <w:t xml:space="preserve"> </w:t>
      </w:r>
      <w:r w:rsidRPr="007D1D86">
        <w:rPr>
          <w:rFonts w:ascii="Cambria" w:hAnsi="Cambria" w:cs="Arial"/>
          <w:i/>
          <w:iCs/>
          <w:color w:val="000000"/>
          <w:sz w:val="28"/>
          <w:szCs w:val="28"/>
          <w:lang w:bidi="ar-SA"/>
        </w:rPr>
        <w:t>contact@alliancevita.org</w:t>
      </w:r>
    </w:p>
    <w:p w14:paraId="18850788" w14:textId="04703BB6" w:rsidR="007E60EF" w:rsidRPr="007D1D86" w:rsidRDefault="00B42877" w:rsidP="004B13D3">
      <w:pPr>
        <w:autoSpaceDE w:val="0"/>
        <w:autoSpaceDN w:val="0"/>
        <w:adjustRightInd w:val="0"/>
        <w:spacing w:after="120"/>
        <w:jc w:val="center"/>
        <w:rPr>
          <w:rFonts w:ascii="Cambria" w:hAnsi="Cambria" w:cs="Arial"/>
          <w:sz w:val="28"/>
          <w:szCs w:val="28"/>
        </w:rPr>
      </w:pPr>
      <w:hyperlink r:id="rId11" w:history="1">
        <w:r w:rsidR="004B13D3" w:rsidRPr="007D1D86">
          <w:rPr>
            <w:rStyle w:val="Hyperlink"/>
            <w:rFonts w:ascii="Cambria" w:hAnsi="Cambria" w:cs="Arial"/>
            <w:sz w:val="28"/>
            <w:szCs w:val="28"/>
          </w:rPr>
          <w:t>www.alliancevita.org</w:t>
        </w:r>
      </w:hyperlink>
      <w:r w:rsidR="007E60EF" w:rsidRPr="007D1D86">
        <w:rPr>
          <w:rFonts w:ascii="Cambria" w:hAnsi="Cambria"/>
          <w:noProof/>
          <w:lang w:eastAsia="fr-FR" w:bidi="ar-SA"/>
        </w:rPr>
        <w:drawing>
          <wp:anchor distT="0" distB="0" distL="114300" distR="114300" simplePos="0" relativeHeight="251659264" behindDoc="0" locked="0" layoutInCell="1" allowOverlap="1" wp14:anchorId="21E39A35" wp14:editId="339FAB7C">
            <wp:simplePos x="0" y="0"/>
            <wp:positionH relativeFrom="margin">
              <wp:align>center</wp:align>
            </wp:positionH>
            <wp:positionV relativeFrom="margin">
              <wp:align>top</wp:align>
            </wp:positionV>
            <wp:extent cx="1490345" cy="99314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0345" cy="9931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p>
    <w:p w14:paraId="736E4AEF" w14:textId="77777777" w:rsidR="005527D9" w:rsidRPr="00B82778" w:rsidRDefault="005527D9" w:rsidP="00A47FEE">
      <w:pPr>
        <w:spacing w:after="0"/>
        <w:jc w:val="both"/>
        <w:rPr>
          <w:rFonts w:cs="TT160t00"/>
          <w:sz w:val="14"/>
          <w:szCs w:val="14"/>
        </w:rPr>
      </w:pPr>
    </w:p>
    <w:p w14:paraId="74FBCE58" w14:textId="47021287" w:rsidR="005527D9" w:rsidRDefault="004B13D3" w:rsidP="00182F48">
      <w:pPr>
        <w:pStyle w:val="ParagrapheNumrot"/>
        <w:numPr>
          <w:ilvl w:val="0"/>
          <w:numId w:val="47"/>
        </w:numPr>
        <w:spacing w:after="0"/>
        <w:ind w:left="0" w:hanging="426"/>
        <w:rPr>
          <w:sz w:val="24"/>
          <w:szCs w:val="24"/>
        </w:rPr>
      </w:pPr>
      <w:r w:rsidRPr="00426CF8">
        <w:rPr>
          <w:sz w:val="24"/>
          <w:szCs w:val="24"/>
        </w:rPr>
        <w:lastRenderedPageBreak/>
        <w:t xml:space="preserve">En réponse à la Liste de points adressée par le Comité des droits de l’enfant des Nations-Unies (CRC/C/FRA/QPR/6), l’État français a soumis son sixième rapport périodique </w:t>
      </w:r>
      <w:r w:rsidR="000C650A" w:rsidRPr="00426CF8">
        <w:rPr>
          <w:sz w:val="24"/>
          <w:szCs w:val="24"/>
        </w:rPr>
        <w:t xml:space="preserve">(CRC/C/FRA/6-7) </w:t>
      </w:r>
      <w:r w:rsidR="00273843" w:rsidRPr="00426CF8">
        <w:rPr>
          <w:sz w:val="24"/>
          <w:szCs w:val="24"/>
        </w:rPr>
        <w:t xml:space="preserve">concernant sa mise en œuvre de la Convention des Nations-Unies relatives aux droits de l’enfant </w:t>
      </w:r>
      <w:r w:rsidRPr="00426CF8">
        <w:rPr>
          <w:sz w:val="24"/>
          <w:szCs w:val="24"/>
        </w:rPr>
        <w:t>(« la Convention »).</w:t>
      </w:r>
    </w:p>
    <w:p w14:paraId="358D93F2" w14:textId="77777777" w:rsidR="00182F48" w:rsidRPr="00182F48" w:rsidRDefault="00182F48" w:rsidP="00182F48">
      <w:pPr>
        <w:pStyle w:val="ParagrapheNumrot"/>
        <w:numPr>
          <w:ilvl w:val="0"/>
          <w:numId w:val="0"/>
        </w:numPr>
        <w:spacing w:after="0"/>
        <w:rPr>
          <w:sz w:val="28"/>
          <w:szCs w:val="28"/>
        </w:rPr>
      </w:pPr>
    </w:p>
    <w:p w14:paraId="23CC7D14" w14:textId="5933D738" w:rsidR="00180B5E" w:rsidRDefault="00273843" w:rsidP="00182F48">
      <w:pPr>
        <w:pStyle w:val="Paragraphenumrot0"/>
        <w:spacing w:after="0"/>
      </w:pPr>
      <w:r w:rsidRPr="00426CF8">
        <w:t xml:space="preserve">Alliance VITA, titulaire du statut </w:t>
      </w:r>
      <w:r w:rsidR="00D45374" w:rsidRPr="00426CF8">
        <w:t>consultatif auprès de l’</w:t>
      </w:r>
      <w:r w:rsidRPr="00426CF8">
        <w:t>ECOSOC, soumet ce rapport alternatif afin d</w:t>
      </w:r>
      <w:r w:rsidR="00617A37" w:rsidRPr="00426CF8">
        <w:t>e</w:t>
      </w:r>
      <w:r w:rsidR="00D45374" w:rsidRPr="00426CF8">
        <w:t xml:space="preserve"> mettre en lumière certains risques et dangers persistants relativement aux droits de l’enfant, en lien avec les problématiques évoquées dans la Liste de points.</w:t>
      </w:r>
      <w:bookmarkStart w:id="14" w:name="_Toc44317846"/>
    </w:p>
    <w:p w14:paraId="55C499E2" w14:textId="77777777" w:rsidR="00182F48" w:rsidRPr="00182F48" w:rsidRDefault="00182F48" w:rsidP="00182F48">
      <w:pPr>
        <w:pStyle w:val="Paragraphenumrot0"/>
        <w:numPr>
          <w:ilvl w:val="0"/>
          <w:numId w:val="0"/>
        </w:numPr>
        <w:spacing w:after="0"/>
        <w:rPr>
          <w:sz w:val="28"/>
          <w:szCs w:val="28"/>
        </w:rPr>
      </w:pPr>
    </w:p>
    <w:p w14:paraId="306935BC" w14:textId="15FE6358" w:rsidR="000C650A" w:rsidRDefault="000C650A" w:rsidP="006234CC">
      <w:pPr>
        <w:pStyle w:val="ListParagraph"/>
        <w:numPr>
          <w:ilvl w:val="0"/>
          <w:numId w:val="43"/>
        </w:numPr>
        <w:spacing w:after="0"/>
        <w:contextualSpacing w:val="0"/>
        <w:rPr>
          <w:rFonts w:ascii="Arial" w:hAnsi="Arial" w:cs="Arial"/>
          <w:b/>
          <w:bCs/>
          <w:color w:val="002060"/>
          <w:sz w:val="24"/>
          <w:szCs w:val="24"/>
          <w:u w:val="single"/>
        </w:rPr>
      </w:pPr>
      <w:r w:rsidRPr="00DF421E">
        <w:rPr>
          <w:rFonts w:ascii="Arial" w:hAnsi="Arial" w:cs="Arial"/>
          <w:b/>
          <w:bCs/>
          <w:color w:val="002060"/>
          <w:sz w:val="24"/>
          <w:szCs w:val="24"/>
          <w:u w:val="single"/>
        </w:rPr>
        <w:t>Réserve à l’article 6 de la Convention</w:t>
      </w:r>
    </w:p>
    <w:p w14:paraId="5B35DA98" w14:textId="77777777" w:rsidR="006234CC" w:rsidRPr="00182F48" w:rsidRDefault="006234CC" w:rsidP="006234CC">
      <w:pPr>
        <w:pStyle w:val="ListParagraph"/>
        <w:spacing w:after="0"/>
        <w:contextualSpacing w:val="0"/>
        <w:rPr>
          <w:rFonts w:ascii="Arial" w:hAnsi="Arial" w:cs="Arial"/>
          <w:b/>
          <w:bCs/>
          <w:color w:val="002060"/>
          <w:sz w:val="28"/>
          <w:szCs w:val="28"/>
          <w:u w:val="single"/>
        </w:rPr>
      </w:pPr>
    </w:p>
    <w:p w14:paraId="3BCE6427" w14:textId="3C0FD8D4" w:rsidR="00F74EEB" w:rsidRDefault="000C650A" w:rsidP="006234CC">
      <w:pPr>
        <w:spacing w:after="0"/>
        <w:rPr>
          <w:rFonts w:ascii="Arial" w:hAnsi="Arial" w:cs="Arial"/>
          <w:b/>
          <w:bCs/>
          <w:i/>
          <w:iCs/>
          <w:color w:val="002060"/>
          <w:sz w:val="24"/>
          <w:szCs w:val="24"/>
        </w:rPr>
      </w:pPr>
      <w:r w:rsidRPr="00DF421E">
        <w:rPr>
          <w:rFonts w:ascii="Arial" w:hAnsi="Arial" w:cs="Arial"/>
          <w:b/>
          <w:bCs/>
          <w:i/>
          <w:iCs/>
          <w:color w:val="002060"/>
          <w:sz w:val="24"/>
          <w:szCs w:val="24"/>
        </w:rPr>
        <w:t xml:space="preserve">A. </w:t>
      </w:r>
      <w:r w:rsidR="00CC74BC" w:rsidRPr="00DF421E">
        <w:rPr>
          <w:rFonts w:ascii="Arial" w:hAnsi="Arial" w:cs="Arial"/>
          <w:b/>
          <w:bCs/>
          <w:i/>
          <w:iCs/>
          <w:color w:val="002060"/>
          <w:sz w:val="24"/>
          <w:szCs w:val="24"/>
        </w:rPr>
        <w:t>Mesures d’application générales (art. 4, 42 et 44 (par. 6))</w:t>
      </w:r>
    </w:p>
    <w:p w14:paraId="46FE0E2A" w14:textId="77777777" w:rsidR="006234CC" w:rsidRPr="00182F48" w:rsidRDefault="006234CC" w:rsidP="006234CC">
      <w:pPr>
        <w:spacing w:after="0"/>
        <w:rPr>
          <w:rFonts w:ascii="Arial" w:hAnsi="Arial" w:cs="Arial"/>
          <w:color w:val="002060"/>
          <w:sz w:val="28"/>
          <w:szCs w:val="28"/>
        </w:rPr>
      </w:pPr>
    </w:p>
    <w:p w14:paraId="2CF8C0D3" w14:textId="1D140ADE" w:rsidR="00D914C1" w:rsidRDefault="00F74EEB" w:rsidP="00024FCB">
      <w:pPr>
        <w:pStyle w:val="Paragraphenumrot0"/>
      </w:pPr>
      <w:r w:rsidRPr="00DF421E">
        <w:t xml:space="preserve">Aux termes de la Liste de points, il </w:t>
      </w:r>
      <w:r w:rsidR="000C650A" w:rsidRPr="00DF421E">
        <w:t>est</w:t>
      </w:r>
      <w:r w:rsidRPr="00DF421E">
        <w:t xml:space="preserve"> demandé à l’État français</w:t>
      </w:r>
      <w:r w:rsidR="00D914C1">
        <w:t xml:space="preserve"> </w:t>
      </w:r>
      <w:r w:rsidRPr="00DF421E">
        <w:t>de donner des informations sur les mesures prises par lui pour réexaminer ses déclarations interprétatives concernant notamment l’article 6 de la Convention</w:t>
      </w:r>
      <w:r w:rsidRPr="00DF421E">
        <w:rPr>
          <w:rStyle w:val="FootnoteReference"/>
        </w:rPr>
        <w:footnoteReference w:id="1"/>
      </w:r>
      <w:r w:rsidRPr="00DF421E">
        <w:t>.</w:t>
      </w:r>
    </w:p>
    <w:p w14:paraId="24F198DA" w14:textId="77777777" w:rsidR="00024FCB" w:rsidRPr="00024FCB" w:rsidRDefault="00024FCB" w:rsidP="00024FCB">
      <w:pPr>
        <w:pStyle w:val="Paragraphenumrot0"/>
        <w:numPr>
          <w:ilvl w:val="0"/>
          <w:numId w:val="0"/>
        </w:numPr>
      </w:pPr>
    </w:p>
    <w:p w14:paraId="4593F492" w14:textId="470B23B2" w:rsidR="00D914C1" w:rsidRDefault="00E33B95" w:rsidP="00024FCB">
      <w:pPr>
        <w:pStyle w:val="Paragraphenumrot0"/>
      </w:pPr>
      <w:r w:rsidRPr="00DF421E">
        <w:t>Dans son rapport, l’État français</w:t>
      </w:r>
      <w:r w:rsidR="00F74EEB" w:rsidRPr="00DF421E">
        <w:t xml:space="preserve"> </w:t>
      </w:r>
      <w:r w:rsidR="007D1D86" w:rsidRPr="00DF421E">
        <w:t xml:space="preserve">déclare </w:t>
      </w:r>
      <w:r w:rsidRPr="00DF421E">
        <w:t xml:space="preserve">maintenir </w:t>
      </w:r>
      <w:r w:rsidR="00273843" w:rsidRPr="00DF421E">
        <w:t xml:space="preserve">sa déclaration </w:t>
      </w:r>
      <w:r w:rsidRPr="00DF421E">
        <w:t xml:space="preserve">interprétative </w:t>
      </w:r>
      <w:r w:rsidR="00F74EEB" w:rsidRPr="00DF421E">
        <w:t xml:space="preserve">relativement à cet article, </w:t>
      </w:r>
      <w:r w:rsidRPr="00DF421E">
        <w:t xml:space="preserve">en réaffirmant </w:t>
      </w:r>
      <w:r w:rsidR="00273843" w:rsidRPr="00DF421E">
        <w:t xml:space="preserve">que la proclamation d’un droit inhérent à la vie </w:t>
      </w:r>
      <w:r w:rsidRPr="00DF421E">
        <w:rPr>
          <w:i/>
          <w:iCs/>
        </w:rPr>
        <w:t>« </w:t>
      </w:r>
      <w:r w:rsidR="00273843" w:rsidRPr="00DF421E">
        <w:rPr>
          <w:i/>
          <w:iCs/>
        </w:rPr>
        <w:t>ne doit pas être interprétée comme interdisant d’avoir recours à une interruption volontaire de grossesse dans les conditions prévues par la loi</w:t>
      </w:r>
      <w:r w:rsidRPr="00DF421E">
        <w:t> »</w:t>
      </w:r>
      <w:r w:rsidR="00F74EEB" w:rsidRPr="00DF421E">
        <w:rPr>
          <w:rStyle w:val="FootnoteReference"/>
        </w:rPr>
        <w:footnoteReference w:id="2"/>
      </w:r>
      <w:r w:rsidR="00273843" w:rsidRPr="00DF421E">
        <w:t xml:space="preserve">. </w:t>
      </w:r>
    </w:p>
    <w:p w14:paraId="116535F0" w14:textId="77777777" w:rsidR="00024FCB" w:rsidRPr="00024FCB" w:rsidRDefault="00024FCB" w:rsidP="00024FCB">
      <w:pPr>
        <w:pStyle w:val="Paragraphenumrot0"/>
        <w:numPr>
          <w:ilvl w:val="0"/>
          <w:numId w:val="0"/>
        </w:numPr>
      </w:pPr>
    </w:p>
    <w:p w14:paraId="26507FB3" w14:textId="77777777" w:rsidR="00F63D5B" w:rsidRPr="00DF421E" w:rsidRDefault="00E33B95" w:rsidP="00024FCB">
      <w:pPr>
        <w:pStyle w:val="Paragraphenumrot0"/>
      </w:pPr>
      <w:r w:rsidRPr="00DF421E">
        <w:t xml:space="preserve">Sur ce point, Alliance VITA souhaite toutefois alerter et mettre en garde </w:t>
      </w:r>
      <w:r w:rsidR="00F63D5B" w:rsidRPr="00DF421E">
        <w:t>quant au</w:t>
      </w:r>
      <w:r w:rsidRPr="00DF421E">
        <w:t xml:space="preserve"> basculement </w:t>
      </w:r>
      <w:r w:rsidR="00F63D5B" w:rsidRPr="00DF421E">
        <w:t xml:space="preserve">du </w:t>
      </w:r>
      <w:r w:rsidRPr="00DF421E">
        <w:t>recours à l’interruption volontaire de grossesse dans un but eugéniste</w:t>
      </w:r>
      <w:r w:rsidR="00F63D5B" w:rsidRPr="00DF421E">
        <w:t xml:space="preserve">, notamment par la systématisation de pratiques médicales liées au dépistage prénatal. </w:t>
      </w:r>
    </w:p>
    <w:p w14:paraId="1BF1990B" w14:textId="77777777" w:rsidR="00F63D5B" w:rsidRPr="00DF421E" w:rsidRDefault="00F63D5B" w:rsidP="00024FCB">
      <w:pPr>
        <w:pStyle w:val="Paragraphenumrot0"/>
        <w:numPr>
          <w:ilvl w:val="0"/>
          <w:numId w:val="0"/>
        </w:numPr>
      </w:pPr>
    </w:p>
    <w:p w14:paraId="07912596" w14:textId="0641B01C" w:rsidR="00D914C1" w:rsidRDefault="007D1D86" w:rsidP="00024FCB">
      <w:pPr>
        <w:pStyle w:val="Paragraphenumrot0"/>
      </w:pPr>
      <w:r w:rsidRPr="00DF421E">
        <w:t>Le</w:t>
      </w:r>
      <w:r w:rsidR="00F63D5B" w:rsidRPr="00DF421E">
        <w:t xml:space="preserve"> </w:t>
      </w:r>
      <w:r w:rsidR="00E33B95" w:rsidRPr="00DF421E">
        <w:t>diagnostic prénatal (</w:t>
      </w:r>
      <w:r w:rsidR="0018550B" w:rsidRPr="00DF421E">
        <w:t>« </w:t>
      </w:r>
      <w:r w:rsidR="00E33B95" w:rsidRPr="00DF421E">
        <w:t>DPN</w:t>
      </w:r>
      <w:r w:rsidR="0018550B" w:rsidRPr="00DF421E">
        <w:t> »</w:t>
      </w:r>
      <w:r w:rsidR="00E33B95" w:rsidRPr="00DF421E">
        <w:t xml:space="preserve">) </w:t>
      </w:r>
      <w:r w:rsidRPr="00DF421E">
        <w:t>et</w:t>
      </w:r>
      <w:r w:rsidR="00F63D5B" w:rsidRPr="00DF421E">
        <w:t xml:space="preserve"> </w:t>
      </w:r>
      <w:r w:rsidR="00E33B95" w:rsidRPr="00DF421E">
        <w:t>le diagnostic préimplantatoire (</w:t>
      </w:r>
      <w:r w:rsidR="0018550B" w:rsidRPr="00DF421E">
        <w:t>« </w:t>
      </w:r>
      <w:r w:rsidR="00E33B95" w:rsidRPr="00DF421E">
        <w:t>DPI</w:t>
      </w:r>
      <w:r w:rsidR="0018550B" w:rsidRPr="00DF421E">
        <w:t> »</w:t>
      </w:r>
      <w:r w:rsidR="00E33B95" w:rsidRPr="00DF421E">
        <w:t>)</w:t>
      </w:r>
      <w:r w:rsidR="00F63D5B" w:rsidRPr="00DF421E">
        <w:t xml:space="preserve"> ont </w:t>
      </w:r>
      <w:r w:rsidR="00E33B95" w:rsidRPr="00DF421E">
        <w:t xml:space="preserve">pour but de détecter </w:t>
      </w:r>
      <w:r w:rsidR="00E33B95" w:rsidRPr="00DF421E">
        <w:rPr>
          <w:i/>
          <w:iCs/>
        </w:rPr>
        <w:t>in utero</w:t>
      </w:r>
      <w:r w:rsidR="00E33B95" w:rsidRPr="00DF421E">
        <w:t xml:space="preserve"> chez l’embryon ou le fœtus une affection d’une particulière gravité. </w:t>
      </w:r>
      <w:r w:rsidR="00F63D5B" w:rsidRPr="00DF421E">
        <w:t>Le DPI, tel que prévu par l</w:t>
      </w:r>
      <w:r w:rsidR="00E33B95" w:rsidRPr="00DF421E">
        <w:t>a loi</w:t>
      </w:r>
      <w:r w:rsidR="006D6864" w:rsidRPr="006D6864">
        <w:rPr>
          <w:iCs/>
        </w:rPr>
        <w:t xml:space="preserve"> </w:t>
      </w:r>
      <w:r w:rsidRPr="00DF421E">
        <w:t xml:space="preserve">française de </w:t>
      </w:r>
      <w:r w:rsidR="00E33B95" w:rsidRPr="00DF421E">
        <w:t>bioéthique actuelle,</w:t>
      </w:r>
      <w:r w:rsidR="004D7F0E">
        <w:t xml:space="preserve"> à savoir </w:t>
      </w:r>
      <w:r w:rsidR="004D7F0E" w:rsidRPr="00DF421E">
        <w:rPr>
          <w:bCs/>
        </w:rPr>
        <w:t>la loi</w:t>
      </w:r>
      <w:r w:rsidR="006D6864" w:rsidRPr="006D6864">
        <w:rPr>
          <w:bCs/>
        </w:rPr>
        <w:t xml:space="preserve"> </w:t>
      </w:r>
      <w:r w:rsidR="006D6864" w:rsidRPr="00DF421E">
        <w:rPr>
          <w:bCs/>
        </w:rPr>
        <w:t>du 2 août 2021</w:t>
      </w:r>
      <w:r w:rsidR="006D6864">
        <w:rPr>
          <w:bCs/>
        </w:rPr>
        <w:t xml:space="preserve"> </w:t>
      </w:r>
      <w:r w:rsidR="006D6864" w:rsidRPr="00DF421E">
        <w:rPr>
          <w:iCs/>
        </w:rPr>
        <w:t>relative à la bioéthique</w:t>
      </w:r>
      <w:r w:rsidR="006D6864" w:rsidRPr="00DF421E">
        <w:rPr>
          <w:rStyle w:val="FootnoteReference"/>
        </w:rPr>
        <w:footnoteReference w:id="3"/>
      </w:r>
      <w:r w:rsidR="004D7F0E">
        <w:rPr>
          <w:bCs/>
        </w:rPr>
        <w:t xml:space="preserve">, </w:t>
      </w:r>
      <w:r w:rsidR="00E33B95" w:rsidRPr="00DF421E">
        <w:t xml:space="preserve">n'est autorisé qu'à titre exceptionnel dans certaines situations attestées par un médecin. </w:t>
      </w:r>
    </w:p>
    <w:p w14:paraId="62EBAD67" w14:textId="77777777" w:rsidR="00D914C1" w:rsidRDefault="00D914C1" w:rsidP="00024FCB">
      <w:pPr>
        <w:pStyle w:val="Paragraphenumrot0"/>
        <w:numPr>
          <w:ilvl w:val="0"/>
          <w:numId w:val="0"/>
        </w:numPr>
      </w:pPr>
    </w:p>
    <w:p w14:paraId="0E6242B1" w14:textId="17C8B5CE" w:rsidR="00182F48" w:rsidRDefault="007D1D86" w:rsidP="00182F48">
      <w:pPr>
        <w:pStyle w:val="Paragraphenumrot0"/>
      </w:pPr>
      <w:r w:rsidRPr="00DF421E">
        <w:t xml:space="preserve">C’est le cas lorsque le couple, du fait de sa situation familiale, a une forte probabilité de donner naissance à un enfant atteint d'une maladie génétique d'une particulière gravité reconnue comme incurable au moment du diagnostic. Le diagnostic ne peut avoir d'autre objet que de rechercher cette affection ainsi que les moyens de la prévenir et de la traiter. </w:t>
      </w:r>
    </w:p>
    <w:p w14:paraId="09F36EF7" w14:textId="77777777" w:rsidR="00182F48" w:rsidRDefault="00182F48" w:rsidP="00182F48">
      <w:pPr>
        <w:pStyle w:val="Paragraphenumrot0"/>
        <w:numPr>
          <w:ilvl w:val="0"/>
          <w:numId w:val="0"/>
        </w:numPr>
      </w:pPr>
    </w:p>
    <w:p w14:paraId="16217603" w14:textId="5F01D533" w:rsidR="007D1D86" w:rsidRPr="00DF421E" w:rsidRDefault="007D1D86" w:rsidP="00024FCB">
      <w:pPr>
        <w:pStyle w:val="Paragraphenumrot0"/>
      </w:pPr>
      <w:r w:rsidRPr="00DF421E">
        <w:t>Et à titre dérogatoire, le DPI peut être autorisé si le couple a donné naissance à un enfant atteint d'une maladie génétique non héréditaire entraînant la mort dès les premières années de la vie et reconnue comme incurable au moment du diagnostic.</w:t>
      </w:r>
    </w:p>
    <w:p w14:paraId="0D6FDC22" w14:textId="77777777" w:rsidR="007D1D86" w:rsidRPr="00DF421E" w:rsidRDefault="007D1D86" w:rsidP="00024FCB">
      <w:pPr>
        <w:pStyle w:val="Paragraphenumrot0"/>
        <w:numPr>
          <w:ilvl w:val="0"/>
          <w:numId w:val="0"/>
        </w:numPr>
      </w:pPr>
    </w:p>
    <w:p w14:paraId="575D1475" w14:textId="77777777" w:rsidR="00D914C1" w:rsidRDefault="007D1D86" w:rsidP="00024FCB">
      <w:pPr>
        <w:pStyle w:val="Paragraphenumrot0"/>
      </w:pPr>
      <w:r w:rsidRPr="00DF421E">
        <w:lastRenderedPageBreak/>
        <w:t>C</w:t>
      </w:r>
      <w:r w:rsidR="00F63D5B" w:rsidRPr="00DF421E">
        <w:t>oncernant l</w:t>
      </w:r>
      <w:r w:rsidR="00E33B95" w:rsidRPr="00DF421E">
        <w:t xml:space="preserve">e diagnostic prénatal, s’il permet un meilleur suivi des grossesses pour accompagner la mère et l’enfant à naître, </w:t>
      </w:r>
      <w:r w:rsidR="00F63D5B" w:rsidRPr="00DF421E">
        <w:t xml:space="preserve">il </w:t>
      </w:r>
      <w:r w:rsidR="00E33B95" w:rsidRPr="00DF421E">
        <w:t>peut aussi être assorti de propositions d’interruption médicale de grossesse (</w:t>
      </w:r>
      <w:r w:rsidR="00C55F50" w:rsidRPr="00DF421E">
        <w:t>« </w:t>
      </w:r>
      <w:r w:rsidR="00E33B95" w:rsidRPr="00DF421E">
        <w:t>IMG</w:t>
      </w:r>
      <w:r w:rsidR="00C55F50" w:rsidRPr="00DF421E">
        <w:t> »</w:t>
      </w:r>
      <w:r w:rsidR="00E33B95" w:rsidRPr="00DF421E">
        <w:t xml:space="preserve">), plus de 7000 sont pratiquées annuellement, en cas d’affection d’une particulière gravité. L’IMG peut intervenir légalement à tout moment pendant la grossesse sans restriction de délais. </w:t>
      </w:r>
    </w:p>
    <w:p w14:paraId="369BEC35" w14:textId="77777777" w:rsidR="00D914C1" w:rsidRDefault="00D914C1" w:rsidP="00024FCB">
      <w:pPr>
        <w:pStyle w:val="Paragraphenumrot0"/>
        <w:numPr>
          <w:ilvl w:val="0"/>
          <w:numId w:val="0"/>
        </w:numPr>
      </w:pPr>
    </w:p>
    <w:p w14:paraId="305740DD" w14:textId="28E6BAE0" w:rsidR="007D1D86" w:rsidRPr="00DF421E" w:rsidRDefault="00D914C1" w:rsidP="00024FCB">
      <w:pPr>
        <w:pStyle w:val="Paragraphenumrot0"/>
      </w:pPr>
      <w:r>
        <w:t>O</w:t>
      </w:r>
      <w:r w:rsidR="00F63D5B" w:rsidRPr="00DF421E">
        <w:t>r, face au développement de ces pratiques, b</w:t>
      </w:r>
      <w:r w:rsidR="00E33B95" w:rsidRPr="00DF421E">
        <w:t xml:space="preserve">eaucoup s’alarment d’une nouvelle forme d’eugénisme en France, qui stigmatise particulièrement les personnes porteuses de trisomie : </w:t>
      </w:r>
      <w:r w:rsidR="00E33B95" w:rsidRPr="00DF421E">
        <w:rPr>
          <w:b/>
          <w:bCs/>
        </w:rPr>
        <w:t xml:space="preserve">90% des diagnostics de trisomie conduisent </w:t>
      </w:r>
      <w:r w:rsidR="007D1D86" w:rsidRPr="00DF421E">
        <w:rPr>
          <w:b/>
          <w:bCs/>
        </w:rPr>
        <w:t xml:space="preserve">en effet </w:t>
      </w:r>
      <w:r w:rsidR="00E33B95" w:rsidRPr="00DF421E">
        <w:rPr>
          <w:b/>
          <w:bCs/>
        </w:rPr>
        <w:t>à une IMG</w:t>
      </w:r>
      <w:r w:rsidR="00E33B95" w:rsidRPr="00DF421E">
        <w:rPr>
          <w:rStyle w:val="FootnoteReference"/>
        </w:rPr>
        <w:footnoteReference w:id="4"/>
      </w:r>
      <w:r w:rsidR="00E33B95" w:rsidRPr="00DF421E">
        <w:t xml:space="preserve">. </w:t>
      </w:r>
    </w:p>
    <w:p w14:paraId="087BC679" w14:textId="0F79C6CF" w:rsidR="00272EC5" w:rsidRPr="00DF421E" w:rsidRDefault="00272EC5" w:rsidP="00024FCB">
      <w:pPr>
        <w:pStyle w:val="Paragraphenumrot0"/>
        <w:numPr>
          <w:ilvl w:val="0"/>
          <w:numId w:val="0"/>
        </w:numPr>
      </w:pPr>
    </w:p>
    <w:p w14:paraId="5D26C5ED" w14:textId="2D7E3EDC" w:rsidR="00272EC5" w:rsidRPr="00DF421E" w:rsidRDefault="00272EC5" w:rsidP="00024FCB">
      <w:pPr>
        <w:pStyle w:val="Paragraphenumrot0"/>
        <w:rPr>
          <w:rStyle w:val="Emphasis"/>
          <w:i w:val="0"/>
          <w:iCs w:val="0"/>
        </w:rPr>
      </w:pPr>
      <w:r w:rsidRPr="00DF421E">
        <w:rPr>
          <w:rStyle w:val="Emphasis"/>
          <w:i w:val="0"/>
          <w:iCs w:val="0"/>
        </w:rPr>
        <w:t xml:space="preserve">Comme l’ont relevé plusieurs organes des Nations-Unies, ces pratiques de dépistage favorisent une </w:t>
      </w:r>
      <w:r w:rsidRPr="00DF421E">
        <w:rPr>
          <w:rStyle w:val="Emphasis"/>
          <w:b/>
          <w:bCs/>
          <w:i w:val="0"/>
          <w:iCs w:val="0"/>
        </w:rPr>
        <w:t>situation de discrimination grave à l’encontre des personnes handicapées</w:t>
      </w:r>
      <w:r w:rsidRPr="00DF421E">
        <w:rPr>
          <w:rStyle w:val="Emphasis"/>
          <w:i w:val="0"/>
          <w:iCs w:val="0"/>
        </w:rPr>
        <w:t xml:space="preserve"> et beaucoup s’en alertent : </w:t>
      </w:r>
    </w:p>
    <w:p w14:paraId="33840EEF" w14:textId="77777777" w:rsidR="00272EC5" w:rsidRPr="00DF421E" w:rsidRDefault="00272EC5" w:rsidP="00024FCB">
      <w:pPr>
        <w:pStyle w:val="Paragraphenumrot0"/>
        <w:numPr>
          <w:ilvl w:val="0"/>
          <w:numId w:val="0"/>
        </w:numPr>
        <w:rPr>
          <w:rStyle w:val="Emphasis"/>
          <w:i w:val="0"/>
          <w:iCs w:val="0"/>
        </w:rPr>
      </w:pPr>
    </w:p>
    <w:p w14:paraId="6C3DA7A3" w14:textId="77777777" w:rsidR="00272EC5" w:rsidRPr="00DF421E" w:rsidRDefault="00272EC5" w:rsidP="00024FCB">
      <w:pPr>
        <w:pStyle w:val="Paragraphenumrot0"/>
        <w:numPr>
          <w:ilvl w:val="0"/>
          <w:numId w:val="0"/>
        </w:numPr>
        <w:ind w:left="567" w:right="567"/>
        <w:rPr>
          <w:rStyle w:val="Emphasis"/>
          <w:i w:val="0"/>
          <w:iCs w:val="0"/>
        </w:rPr>
      </w:pPr>
      <w:r w:rsidRPr="00DF421E">
        <w:rPr>
          <w:rStyle w:val="Emphasis"/>
          <w:i w:val="0"/>
          <w:iCs w:val="0"/>
        </w:rPr>
        <w:t>« </w:t>
      </w:r>
      <w:r w:rsidRPr="00DF421E">
        <w:rPr>
          <w:rStyle w:val="Emphasis"/>
        </w:rPr>
        <w:t xml:space="preserve">Sur les questions telles que le dépistage prénatal, l’avortement sélectif et le diagnostic génétique préimplantatoire, les militants des droits des personnes handicapées s’accordent à considérer que </w:t>
      </w:r>
      <w:r w:rsidRPr="00DF421E">
        <w:rPr>
          <w:rStyle w:val="Emphasis"/>
          <w:b/>
          <w:bCs/>
        </w:rPr>
        <w:t>les analyses bioéthiques servent souvent de justification éthique à une nouvelle forme d’eugénisme</w:t>
      </w:r>
      <w:r w:rsidRPr="00DF421E">
        <w:rPr>
          <w:rStyle w:val="Emphasis"/>
        </w:rPr>
        <w:t>, souvent qualifié de « libéral »</w:t>
      </w:r>
      <w:r w:rsidRPr="00DF421E">
        <w:rPr>
          <w:rStyle w:val="FootnoteReference"/>
        </w:rPr>
        <w:footnoteReference w:id="5"/>
      </w:r>
      <w:r w:rsidRPr="00DF421E">
        <w:rPr>
          <w:rStyle w:val="Emphasis"/>
        </w:rPr>
        <w:t xml:space="preserve"> </w:t>
      </w:r>
      <w:r w:rsidRPr="00DF421E">
        <w:rPr>
          <w:rStyle w:val="Emphasis"/>
          <w:i w:val="0"/>
          <w:iCs w:val="0"/>
        </w:rPr>
        <w:t>».</w:t>
      </w:r>
    </w:p>
    <w:p w14:paraId="70BA7F0F" w14:textId="2975058F" w:rsidR="00272EC5" w:rsidRPr="00DF421E" w:rsidRDefault="00272EC5" w:rsidP="00024FCB">
      <w:pPr>
        <w:pStyle w:val="Paragraphenumrot0"/>
        <w:numPr>
          <w:ilvl w:val="0"/>
          <w:numId w:val="0"/>
        </w:numPr>
      </w:pPr>
    </w:p>
    <w:p w14:paraId="4267C843" w14:textId="77777777" w:rsidR="00024FCB" w:rsidRDefault="006625D0" w:rsidP="00024FCB">
      <w:pPr>
        <w:pStyle w:val="Paragraphenumrot0"/>
        <w:numPr>
          <w:ilvl w:val="0"/>
          <w:numId w:val="0"/>
        </w:numPr>
      </w:pPr>
      <w:r w:rsidRPr="00024FCB">
        <w:rPr>
          <w:rStyle w:val="Emphasis"/>
          <w:i w:val="0"/>
          <w:iCs w:val="0"/>
        </w:rPr>
        <w:t>A ce sujet, le Comité Consultatif National d’Éthique (</w:t>
      </w:r>
      <w:r w:rsidR="00535F36" w:rsidRPr="00024FCB">
        <w:rPr>
          <w:rStyle w:val="Emphasis"/>
          <w:i w:val="0"/>
          <w:iCs w:val="0"/>
        </w:rPr>
        <w:t>« </w:t>
      </w:r>
      <w:r w:rsidRPr="00024FCB">
        <w:rPr>
          <w:rStyle w:val="Emphasis"/>
          <w:i w:val="0"/>
          <w:iCs w:val="0"/>
        </w:rPr>
        <w:t>CCNE</w:t>
      </w:r>
      <w:r w:rsidR="00535F36" w:rsidRPr="00024FCB">
        <w:rPr>
          <w:rStyle w:val="Emphasis"/>
          <w:i w:val="0"/>
          <w:iCs w:val="0"/>
        </w:rPr>
        <w:t> »</w:t>
      </w:r>
      <w:r w:rsidRPr="00024FCB">
        <w:rPr>
          <w:rStyle w:val="Emphasis"/>
          <w:i w:val="0"/>
          <w:iCs w:val="0"/>
        </w:rPr>
        <w:t xml:space="preserve">) a adopté, le </w:t>
      </w:r>
      <w:r w:rsidRPr="00DF421E">
        <w:t xml:space="preserve">20 mai 2021, </w:t>
      </w:r>
      <w:r w:rsidRPr="00024FCB">
        <w:rPr>
          <w:rStyle w:val="Emphasis"/>
          <w:i w:val="0"/>
          <w:iCs w:val="0"/>
        </w:rPr>
        <w:t>un avis</w:t>
      </w:r>
      <w:r w:rsidRPr="00DF421E">
        <w:rPr>
          <w:rStyle w:val="FootnoteReference"/>
        </w:rPr>
        <w:footnoteReference w:id="6"/>
      </w:r>
      <w:r w:rsidRPr="00024FCB">
        <w:rPr>
          <w:rStyle w:val="Emphasis"/>
          <w:i w:val="0"/>
          <w:iCs w:val="0"/>
        </w:rPr>
        <w:t xml:space="preserve"> dans lequel il insiste sur la nécessité d’une « </w:t>
      </w:r>
      <w:r w:rsidRPr="00DF421E">
        <w:rPr>
          <w:rStyle w:val="Emphasis"/>
        </w:rPr>
        <w:t>éthique de l’annonce</w:t>
      </w:r>
      <w:r w:rsidRPr="00024FCB">
        <w:rPr>
          <w:rStyle w:val="Emphasis"/>
          <w:i w:val="0"/>
          <w:iCs w:val="0"/>
        </w:rPr>
        <w:t xml:space="preserve"> » du diagnostic ainsi que sur l’impératif d’information du couple. </w:t>
      </w:r>
      <w:r w:rsidRPr="00DF421E">
        <w:rPr>
          <w:rStyle w:val="Emphasis"/>
          <w:i w:val="0"/>
          <w:iCs w:val="0"/>
        </w:rPr>
        <w:t xml:space="preserve">Selon l’instance nationale, </w:t>
      </w:r>
      <w:r w:rsidRPr="00DF421E">
        <w:t>cette information doit en effet porter « </w:t>
      </w:r>
      <w:r w:rsidRPr="00DF421E">
        <w:rPr>
          <w:i/>
          <w:iCs/>
        </w:rPr>
        <w:t xml:space="preserve">tant sur la finalité de la pratique échographique d’un point de vue médical que sur la collecte systématique d’un consentement à cette pratique, rendu précisément nécessaire par sa grande banalisation </w:t>
      </w:r>
      <w:r w:rsidRPr="00DF421E">
        <w:t xml:space="preserve">». </w:t>
      </w:r>
    </w:p>
    <w:p w14:paraId="4FDF8F39" w14:textId="77777777" w:rsidR="00024FCB" w:rsidRDefault="00024FCB" w:rsidP="00024FCB">
      <w:pPr>
        <w:pStyle w:val="Paragraphenumrot0"/>
        <w:numPr>
          <w:ilvl w:val="0"/>
          <w:numId w:val="0"/>
        </w:numPr>
      </w:pPr>
    </w:p>
    <w:p w14:paraId="49E9434F" w14:textId="227A7B79" w:rsidR="006625D0" w:rsidRPr="00DF421E" w:rsidRDefault="006625D0" w:rsidP="00024FCB">
      <w:pPr>
        <w:pStyle w:val="Paragraphenumrot0"/>
        <w:rPr>
          <w:rStyle w:val="Emphasis"/>
          <w:i w:val="0"/>
          <w:iCs w:val="0"/>
        </w:rPr>
      </w:pPr>
      <w:r w:rsidRPr="00DF421E">
        <w:t>Quant à l’annonce, le CCNE recommande une éthique incluant trois critères : la pluralité des options (éclairer, sans les dicter, un choix qui reste ouvert sur plusieurs possibilités d’action), la neutralité (appelant à la plus grande précaution oratoire lors de l’évocation de la possibilité d’une IMG) et la temporalité (le temps participe aux conditions d’une réflexion non-contrainte).</w:t>
      </w:r>
      <w:r w:rsidRPr="00DF421E">
        <w:rPr>
          <w:rStyle w:val="FootnoteReference"/>
        </w:rPr>
        <w:footnoteReference w:id="7"/>
      </w:r>
    </w:p>
    <w:p w14:paraId="5C8C5CDD" w14:textId="77777777" w:rsidR="006625D0" w:rsidRPr="00DF421E" w:rsidRDefault="006625D0" w:rsidP="00024FCB">
      <w:pPr>
        <w:pStyle w:val="Paragraphenumrot0"/>
        <w:numPr>
          <w:ilvl w:val="0"/>
          <w:numId w:val="0"/>
        </w:numPr>
      </w:pPr>
    </w:p>
    <w:p w14:paraId="4CF17063" w14:textId="466906E8" w:rsidR="00CD56BC" w:rsidRPr="00DF421E" w:rsidRDefault="006625D0" w:rsidP="00024FCB">
      <w:pPr>
        <w:pStyle w:val="Paragraphenumrot0"/>
      </w:pPr>
      <w:r w:rsidRPr="00DF421E">
        <w:lastRenderedPageBreak/>
        <w:t>De façon générale, c</w:t>
      </w:r>
      <w:r w:rsidR="00CD56BC" w:rsidRPr="00DF421E">
        <w:t>es pratiques emportent de graves conséquences sociales pour les enfants handicapés et affectent leur droit à mener une vie pleine et décente « </w:t>
      </w:r>
      <w:r w:rsidR="00CD56BC" w:rsidRPr="00DF421E">
        <w:rPr>
          <w:i/>
          <w:iCs/>
        </w:rPr>
        <w:t>dans des conditions qui garantissent leur dignité</w:t>
      </w:r>
      <w:r w:rsidR="00CD56BC" w:rsidRPr="00DF421E">
        <w:rPr>
          <w:vertAlign w:val="superscript"/>
        </w:rPr>
        <w:footnoteReference w:id="8"/>
      </w:r>
      <w:r w:rsidR="00CD56BC" w:rsidRPr="00DF421E">
        <w:t xml:space="preserve"> ».</w:t>
      </w:r>
    </w:p>
    <w:p w14:paraId="4C2F5A18" w14:textId="4FA01EB6" w:rsidR="00CD56BC" w:rsidRPr="00DF421E" w:rsidRDefault="00CD56BC" w:rsidP="00024FCB">
      <w:pPr>
        <w:pStyle w:val="Paragraphenumrot0"/>
        <w:numPr>
          <w:ilvl w:val="0"/>
          <w:numId w:val="0"/>
        </w:numPr>
      </w:pPr>
    </w:p>
    <w:p w14:paraId="02233E2B" w14:textId="54607653" w:rsidR="00CD56BC" w:rsidRPr="00DF421E" w:rsidRDefault="00CD56BC" w:rsidP="00024FCB">
      <w:pPr>
        <w:pStyle w:val="Paragraphenumrot0"/>
        <w:numPr>
          <w:ilvl w:val="0"/>
          <w:numId w:val="0"/>
        </w:numPr>
      </w:pPr>
      <w:r w:rsidRPr="00DF421E">
        <w:t>En 2016, concernant le cinquième rapport périodique de la France, le Comité déclarait être préoccupé par « </w:t>
      </w:r>
      <w:r w:rsidRPr="00024FCB">
        <w:rPr>
          <w:i/>
          <w:iCs/>
        </w:rPr>
        <w:t>la persistance de la discrimination à l’égard des enfants handicapés</w:t>
      </w:r>
      <w:r w:rsidRPr="00DF421E">
        <w:t> », notamment en termes « </w:t>
      </w:r>
      <w:r w:rsidRPr="00024FCB">
        <w:rPr>
          <w:i/>
          <w:iCs/>
        </w:rPr>
        <w:t>d’égalité avec les autres enfants</w:t>
      </w:r>
      <w:r w:rsidRPr="00DF421E">
        <w:t> »</w:t>
      </w:r>
      <w:r w:rsidRPr="00DF421E">
        <w:rPr>
          <w:vertAlign w:val="superscript"/>
        </w:rPr>
        <w:footnoteReference w:id="9"/>
      </w:r>
      <w:r w:rsidRPr="00DF421E">
        <w:t>.</w:t>
      </w:r>
      <w:r w:rsidR="006625D0" w:rsidRPr="00DF421E">
        <w:t xml:space="preserve"> </w:t>
      </w:r>
      <w:r w:rsidRPr="00DF421E">
        <w:t>À ce titre, il recommandait à l’État français de « </w:t>
      </w:r>
      <w:r w:rsidRPr="00024FCB">
        <w:rPr>
          <w:i/>
          <w:iCs/>
        </w:rPr>
        <w:t>mener des campagnes de sensibilisation pour lutter contre la stigmatisation et les préjugés dont sont victimes les enfants handicapés</w:t>
      </w:r>
      <w:r w:rsidRPr="00DF421E">
        <w:t> »</w:t>
      </w:r>
      <w:r w:rsidRPr="00DF421E">
        <w:rPr>
          <w:vertAlign w:val="superscript"/>
        </w:rPr>
        <w:footnoteReference w:id="10"/>
      </w:r>
      <w:r w:rsidRPr="00DF421E">
        <w:t>.</w:t>
      </w:r>
      <w:r w:rsidR="00024FCB">
        <w:t xml:space="preserve"> </w:t>
      </w:r>
      <w:r w:rsidRPr="00DF421E">
        <w:t xml:space="preserve">Malheureusement, la législation française actuelle n’a pas amélioré la situation de ces enfants </w:t>
      </w:r>
      <w:r w:rsidRPr="00B3467A">
        <w:t xml:space="preserve">puisqu’elle </w:t>
      </w:r>
      <w:r w:rsidR="004F0D36" w:rsidRPr="00B3467A">
        <w:t xml:space="preserve">induit </w:t>
      </w:r>
      <w:r w:rsidRPr="00B3467A">
        <w:t>par les</w:t>
      </w:r>
      <w:r w:rsidRPr="00DF421E">
        <w:t xml:space="preserve"> pratiques de DPN et DPI leur stigmatisation.</w:t>
      </w:r>
    </w:p>
    <w:p w14:paraId="1D149E23" w14:textId="77777777" w:rsidR="00CD56BC" w:rsidRPr="00DF421E" w:rsidRDefault="00CD56BC" w:rsidP="00024FCB">
      <w:pPr>
        <w:pStyle w:val="Paragraphenumrot0"/>
        <w:numPr>
          <w:ilvl w:val="0"/>
          <w:numId w:val="0"/>
        </w:numPr>
      </w:pPr>
    </w:p>
    <w:p w14:paraId="51F6D80C" w14:textId="05CB2BEA" w:rsidR="006625D0" w:rsidRPr="00DF421E" w:rsidRDefault="00CD56BC" w:rsidP="00024FCB">
      <w:pPr>
        <w:pStyle w:val="Paragraphenumrot0"/>
        <w:rPr>
          <w:rStyle w:val="Emphasis"/>
          <w:i w:val="0"/>
          <w:iCs w:val="0"/>
        </w:rPr>
      </w:pPr>
      <w:r w:rsidRPr="00DF421E">
        <w:rPr>
          <w:rStyle w:val="Emphasis"/>
          <w:i w:val="0"/>
          <w:iCs w:val="0"/>
        </w:rPr>
        <w:t>Selon la Rapporteuse spéciale</w:t>
      </w:r>
      <w:r w:rsidR="006625D0" w:rsidRPr="00DF421E">
        <w:t xml:space="preserve"> </w:t>
      </w:r>
      <w:r w:rsidR="006625D0" w:rsidRPr="00DF421E">
        <w:rPr>
          <w:rStyle w:val="Emphasis"/>
          <w:i w:val="0"/>
          <w:iCs w:val="0"/>
        </w:rPr>
        <w:t>des Nations-Unies sur les droits des personnes handicapées :</w:t>
      </w:r>
    </w:p>
    <w:p w14:paraId="5E606488" w14:textId="77777777" w:rsidR="006625D0" w:rsidRPr="00DF421E" w:rsidRDefault="006625D0" w:rsidP="00024FCB">
      <w:pPr>
        <w:pStyle w:val="Paragraphenumrot0"/>
        <w:numPr>
          <w:ilvl w:val="0"/>
          <w:numId w:val="0"/>
        </w:numPr>
        <w:rPr>
          <w:rStyle w:val="Emphasis"/>
          <w:i w:val="0"/>
          <w:iCs w:val="0"/>
        </w:rPr>
      </w:pPr>
    </w:p>
    <w:p w14:paraId="3B036621" w14:textId="6DA65521" w:rsidR="00CD56BC" w:rsidRPr="00DF421E" w:rsidRDefault="00CD56BC" w:rsidP="00024FCB">
      <w:pPr>
        <w:pStyle w:val="Paragraphenumrot0"/>
        <w:numPr>
          <w:ilvl w:val="0"/>
          <w:numId w:val="0"/>
        </w:numPr>
        <w:ind w:left="567" w:right="567"/>
        <w:rPr>
          <w:rStyle w:val="Emphasis"/>
          <w:i w:val="0"/>
          <w:iCs w:val="0"/>
        </w:rPr>
      </w:pPr>
      <w:r w:rsidRPr="00DF421E">
        <w:rPr>
          <w:rStyle w:val="Emphasis"/>
        </w:rPr>
        <w:t>« </w:t>
      </w:r>
      <w:r w:rsidR="004F0D36">
        <w:rPr>
          <w:rStyle w:val="Emphasis"/>
        </w:rPr>
        <w:t>D</w:t>
      </w:r>
      <w:r w:rsidRPr="00DF421E">
        <w:rPr>
          <w:rStyle w:val="Emphasis"/>
        </w:rPr>
        <w:t xml:space="preserve">e telles pratiques pourraient renforcer et valider sur le plan social le sentiment que les personnes handicapées sont des personnes qui n’auraient pas dû naître. Les cadres législatifs qui allongent les délais légaux d’avortement ou qui, à titre exceptionnel, autorisent l’avortement en cas de malformation du fœtus ne font que conforter un tel sentiment. En outre, le nombre de personnes handicapées à la naissance étant de ce fait moins </w:t>
      </w:r>
      <w:proofErr w:type="gramStart"/>
      <w:r w:rsidRPr="00DF421E">
        <w:rPr>
          <w:rStyle w:val="Emphasis"/>
        </w:rPr>
        <w:t>élevé</w:t>
      </w:r>
      <w:proofErr w:type="gramEnd"/>
      <w:r w:rsidRPr="00DF421E">
        <w:rPr>
          <w:rStyle w:val="Emphasis"/>
        </w:rPr>
        <w:t>, certains craignent que cela nuise à leur défense et au soutien social qui leur est apporté</w:t>
      </w:r>
      <w:bookmarkStart w:id="15" w:name="_ftn4"/>
      <w:bookmarkEnd w:id="15"/>
      <w:r w:rsidRPr="00DF421E">
        <w:rPr>
          <w:rStyle w:val="Emphasis"/>
        </w:rPr>
        <w:t>.</w:t>
      </w:r>
      <w:r w:rsidRPr="00DF421E">
        <w:rPr>
          <w:rStyle w:val="FootnoteReference"/>
        </w:rPr>
        <w:footnoteReference w:id="11"/>
      </w:r>
      <w:r w:rsidRPr="00DF421E">
        <w:rPr>
          <w:rStyle w:val="Emphasis"/>
        </w:rPr>
        <w:t> </w:t>
      </w:r>
      <w:r w:rsidRPr="00DF421E">
        <w:rPr>
          <w:rStyle w:val="Emphasis"/>
          <w:i w:val="0"/>
          <w:iCs w:val="0"/>
        </w:rPr>
        <w:t xml:space="preserve">» </w:t>
      </w:r>
    </w:p>
    <w:p w14:paraId="1805E747" w14:textId="77777777" w:rsidR="00024FCB" w:rsidRPr="00DF421E" w:rsidRDefault="00024FCB" w:rsidP="00024FCB">
      <w:pPr>
        <w:pStyle w:val="Paragraphenumrot0"/>
        <w:numPr>
          <w:ilvl w:val="0"/>
          <w:numId w:val="0"/>
        </w:numPr>
        <w:rPr>
          <w:rStyle w:val="Emphasis"/>
          <w:i w:val="0"/>
          <w:iCs w:val="0"/>
        </w:rPr>
      </w:pPr>
    </w:p>
    <w:p w14:paraId="07BB6050" w14:textId="7317DB4B" w:rsidR="00CD56BC" w:rsidRPr="00DF421E" w:rsidRDefault="00CD56BC" w:rsidP="00024FCB">
      <w:pPr>
        <w:pStyle w:val="Paragraphenumrot0"/>
        <w:rPr>
          <w:rStyle w:val="Emphasis"/>
          <w:i w:val="0"/>
          <w:iCs w:val="0"/>
        </w:rPr>
      </w:pPr>
      <w:r w:rsidRPr="00DF421E">
        <w:t>Elle appelle à un changement d’approche s’agissant du handicap, « </w:t>
      </w:r>
      <w:r w:rsidRPr="00DF421E">
        <w:rPr>
          <w:i/>
          <w:iCs/>
        </w:rPr>
        <w:t>l</w:t>
      </w:r>
      <w:r w:rsidRPr="00DF421E">
        <w:rPr>
          <w:rStyle w:val="Emphasis"/>
        </w:rPr>
        <w:t>a question n’est pas tant de prévenir ou de soigner le handicap que de veiller à ce que toutes les personnes handicapées jouissent des mêmes droits et des mêmes possibilités que le reste de la population</w:t>
      </w:r>
      <w:r w:rsidRPr="00DF421E">
        <w:rPr>
          <w:rStyle w:val="FootnoteReference"/>
        </w:rPr>
        <w:footnoteReference w:id="12"/>
      </w:r>
      <w:r w:rsidRPr="00DF421E">
        <w:rPr>
          <w:rStyle w:val="Emphasis"/>
          <w:i w:val="0"/>
          <w:iCs w:val="0"/>
        </w:rPr>
        <w:t> ».</w:t>
      </w:r>
    </w:p>
    <w:p w14:paraId="1A9A5CEE" w14:textId="77777777" w:rsidR="00D914C1" w:rsidRDefault="00D914C1" w:rsidP="00024FCB">
      <w:pPr>
        <w:pStyle w:val="Paragraphenumrot0"/>
        <w:numPr>
          <w:ilvl w:val="0"/>
          <w:numId w:val="0"/>
        </w:numPr>
        <w:rPr>
          <w:rStyle w:val="Emphasis"/>
          <w:i w:val="0"/>
          <w:iCs w:val="0"/>
        </w:rPr>
      </w:pPr>
    </w:p>
    <w:p w14:paraId="1A2ED7E5" w14:textId="5E6B45C5" w:rsidR="005A36E3" w:rsidRDefault="00D914C1" w:rsidP="00024FCB">
      <w:pPr>
        <w:pStyle w:val="Paragraphenumrot0"/>
      </w:pPr>
      <w:r w:rsidRPr="00D914C1">
        <w:rPr>
          <w:rStyle w:val="Emphasis"/>
          <w:i w:val="0"/>
          <w:iCs w:val="0"/>
        </w:rPr>
        <w:t>Par ailleurs, l</w:t>
      </w:r>
      <w:r w:rsidR="004D7F0E" w:rsidRPr="00D914C1">
        <w:t>a</w:t>
      </w:r>
      <w:r w:rsidR="004D7F0E">
        <w:t xml:space="preserve"> </w:t>
      </w:r>
      <w:r w:rsidR="004D7F0E" w:rsidRPr="004D7F0E">
        <w:t xml:space="preserve">loi </w:t>
      </w:r>
      <w:r w:rsidR="004D7F0E">
        <w:t>de</w:t>
      </w:r>
      <w:r w:rsidR="004D7F0E" w:rsidRPr="004D7F0E">
        <w:t xml:space="preserve"> bioéthique du 2 août 2021 </w:t>
      </w:r>
      <w:r w:rsidR="005A36E3" w:rsidRPr="00DF421E">
        <w:t xml:space="preserve">autorise les modifications génétiques au niveau </w:t>
      </w:r>
      <w:r w:rsidR="005A36E3" w:rsidRPr="00B3467A">
        <w:t>embryonnaire</w:t>
      </w:r>
      <w:r w:rsidR="004F0D36" w:rsidRPr="00B3467A">
        <w:t xml:space="preserve"> et des gamètes</w:t>
      </w:r>
      <w:r w:rsidR="005A36E3" w:rsidRPr="00B3467A">
        <w:t>,</w:t>
      </w:r>
      <w:r w:rsidR="005A36E3" w:rsidRPr="00DF421E">
        <w:t xml:space="preserve"> ce qui soulève des inquiétudes quant au but réel qu’elles comptent servir à long terme. Aujourd’hui présentées comme de la recherche, ces techniques scientifiques pourraient, une fois expérimentées, aboutir à faire naître des bébés génétiquement modifiés.</w:t>
      </w:r>
    </w:p>
    <w:p w14:paraId="0DF0ABD7" w14:textId="77777777" w:rsidR="006234CC" w:rsidRPr="00DF421E" w:rsidRDefault="006234CC" w:rsidP="00024FCB">
      <w:pPr>
        <w:pStyle w:val="Paragraphenumrot0"/>
        <w:numPr>
          <w:ilvl w:val="0"/>
          <w:numId w:val="0"/>
        </w:numPr>
      </w:pPr>
    </w:p>
    <w:p w14:paraId="121D322D" w14:textId="04A8358D" w:rsidR="005A36E3" w:rsidRDefault="005A36E3" w:rsidP="00024FCB">
      <w:pPr>
        <w:pStyle w:val="Paragraphenumrot0"/>
      </w:pPr>
      <w:r w:rsidRPr="00DF421E">
        <w:lastRenderedPageBreak/>
        <w:t xml:space="preserve">C’est </w:t>
      </w:r>
      <w:r w:rsidR="00D914C1">
        <w:t xml:space="preserve">également </w:t>
      </w:r>
      <w:r w:rsidRPr="00DF421E">
        <w:t>faire courir un risque insensé pour la santé physique et psychique de ces enfants, mais aussi bouleverser en profondeur les modalités de procréation humaine et, à terme, l’intégrité du patrimoine génétique des générations futures.</w:t>
      </w:r>
    </w:p>
    <w:p w14:paraId="441B1540" w14:textId="77777777" w:rsidR="00024FCB" w:rsidRPr="00DF421E" w:rsidRDefault="00024FCB" w:rsidP="00024FCB">
      <w:pPr>
        <w:pStyle w:val="Paragraphenumrot0"/>
        <w:numPr>
          <w:ilvl w:val="0"/>
          <w:numId w:val="0"/>
        </w:numPr>
      </w:pPr>
    </w:p>
    <w:p w14:paraId="503EC06C" w14:textId="1A078CD9" w:rsidR="00553D51" w:rsidRDefault="00DF421E" w:rsidP="00024FCB">
      <w:pPr>
        <w:pStyle w:val="Paragraphenumrot0"/>
      </w:pPr>
      <w:r w:rsidRPr="00553D51">
        <w:t xml:space="preserve">Cela est contraire à la </w:t>
      </w:r>
      <w:r w:rsidR="005A36E3" w:rsidRPr="00553D51">
        <w:t>Convention d’Oviedo</w:t>
      </w:r>
      <w:r w:rsidRPr="00553D51">
        <w:t xml:space="preserve">, dont la France est signataire, </w:t>
      </w:r>
      <w:r w:rsidR="00D914C1">
        <w:t>notamment à s</w:t>
      </w:r>
      <w:r w:rsidRPr="00553D51">
        <w:t>on article</w:t>
      </w:r>
      <w:r w:rsidR="005A36E3" w:rsidRPr="00553D51">
        <w:t xml:space="preserve"> </w:t>
      </w:r>
      <w:r w:rsidRPr="00553D51">
        <w:t>1</w:t>
      </w:r>
      <w:r w:rsidR="00553D51" w:rsidRPr="00553D51">
        <w:t>3 relatif aux interventions sur le génome humain.</w:t>
      </w:r>
    </w:p>
    <w:p w14:paraId="54A052A3" w14:textId="77777777" w:rsidR="00553D51" w:rsidRPr="00024FCB" w:rsidRDefault="00553D51" w:rsidP="00D914C1">
      <w:pPr>
        <w:spacing w:after="0"/>
        <w:jc w:val="both"/>
        <w:rPr>
          <w:rFonts w:ascii="Arial" w:hAnsi="Arial" w:cs="Arial"/>
          <w:sz w:val="28"/>
          <w:szCs w:val="28"/>
        </w:rPr>
      </w:pP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9062"/>
      </w:tblGrid>
      <w:tr w:rsidR="00D7623D" w:rsidRPr="00D7623D" w14:paraId="5B1921ED" w14:textId="77777777" w:rsidTr="00D7623D">
        <w:tc>
          <w:tcPr>
            <w:tcW w:w="9062" w:type="dxa"/>
          </w:tcPr>
          <w:p w14:paraId="5726BF6F" w14:textId="77777777" w:rsidR="00F248F0" w:rsidRPr="00D7623D" w:rsidRDefault="00F248F0" w:rsidP="00534282">
            <w:pPr>
              <w:spacing w:before="120"/>
              <w:jc w:val="center"/>
              <w:rPr>
                <w:rFonts w:ascii="Arial" w:hAnsi="Arial" w:cs="Arial"/>
                <w:b/>
                <w:bCs/>
                <w:color w:val="002060"/>
                <w:sz w:val="24"/>
                <w:szCs w:val="24"/>
              </w:rPr>
            </w:pPr>
            <w:r w:rsidRPr="00D7623D">
              <w:rPr>
                <w:rFonts w:ascii="Arial" w:hAnsi="Arial" w:cs="Arial"/>
                <w:b/>
                <w:bCs/>
                <w:color w:val="002060"/>
                <w:sz w:val="24"/>
                <w:szCs w:val="24"/>
              </w:rPr>
              <w:t>RECOMMANDATIONS</w:t>
            </w:r>
            <w:r w:rsidRPr="00D7623D">
              <w:rPr>
                <w:rFonts w:ascii="Arial" w:hAnsi="Arial" w:cs="Arial"/>
                <w:b/>
                <w:bCs/>
                <w:color w:val="002060"/>
                <w:sz w:val="21"/>
                <w:szCs w:val="21"/>
              </w:rPr>
              <w:t xml:space="preserve"> </w:t>
            </w:r>
          </w:p>
          <w:p w14:paraId="048AF2A6" w14:textId="77777777" w:rsidR="00F248F0" w:rsidRPr="00D7623D" w:rsidRDefault="00F248F0" w:rsidP="00F248F0">
            <w:pPr>
              <w:pStyle w:val="ListParagraph"/>
              <w:numPr>
                <w:ilvl w:val="0"/>
                <w:numId w:val="31"/>
              </w:numPr>
              <w:spacing w:after="120"/>
              <w:ind w:left="596"/>
              <w:contextualSpacing w:val="0"/>
              <w:jc w:val="both"/>
              <w:rPr>
                <w:rFonts w:ascii="Arial" w:hAnsi="Arial" w:cs="Arial"/>
                <w:color w:val="002060"/>
                <w:sz w:val="24"/>
                <w:szCs w:val="24"/>
              </w:rPr>
            </w:pPr>
            <w:proofErr w:type="gramStart"/>
            <w:r w:rsidRPr="00D7623D">
              <w:rPr>
                <w:rFonts w:ascii="Arial" w:hAnsi="Arial" w:cs="Arial"/>
                <w:color w:val="002060"/>
                <w:sz w:val="24"/>
                <w:szCs w:val="24"/>
              </w:rPr>
              <w:t>garantir</w:t>
            </w:r>
            <w:proofErr w:type="gramEnd"/>
            <w:r w:rsidRPr="00D7623D">
              <w:rPr>
                <w:rFonts w:ascii="Arial" w:hAnsi="Arial" w:cs="Arial"/>
                <w:color w:val="002060"/>
                <w:sz w:val="24"/>
                <w:szCs w:val="24"/>
              </w:rPr>
              <w:t xml:space="preserve"> aux futurs parents un consentement réellement libre en développant toutes les mesures nécessaires pouvant faciliter l’accueil d’un enfant pour lequel une maladie ou un handicap a été détecté,</w:t>
            </w:r>
          </w:p>
          <w:p w14:paraId="618B7E4E" w14:textId="0293F372" w:rsidR="00F248F0" w:rsidRPr="00D7623D" w:rsidRDefault="00F248F0" w:rsidP="00F248F0">
            <w:pPr>
              <w:pStyle w:val="ListParagraph"/>
              <w:numPr>
                <w:ilvl w:val="0"/>
                <w:numId w:val="31"/>
              </w:numPr>
              <w:spacing w:after="120"/>
              <w:ind w:left="596"/>
              <w:contextualSpacing w:val="0"/>
              <w:jc w:val="both"/>
              <w:rPr>
                <w:rFonts w:ascii="Arial" w:hAnsi="Arial" w:cs="Arial"/>
                <w:color w:val="002060"/>
                <w:sz w:val="24"/>
                <w:szCs w:val="24"/>
              </w:rPr>
            </w:pPr>
            <w:proofErr w:type="gramStart"/>
            <w:r w:rsidRPr="00D7623D">
              <w:rPr>
                <w:rFonts w:ascii="Arial" w:hAnsi="Arial" w:cs="Arial"/>
                <w:color w:val="002060"/>
                <w:sz w:val="24"/>
                <w:szCs w:val="24"/>
              </w:rPr>
              <w:t>proposer</w:t>
            </w:r>
            <w:proofErr w:type="gramEnd"/>
            <w:r w:rsidRPr="00D7623D">
              <w:rPr>
                <w:rFonts w:ascii="Arial" w:hAnsi="Arial" w:cs="Arial"/>
                <w:color w:val="002060"/>
                <w:sz w:val="24"/>
                <w:szCs w:val="24"/>
              </w:rPr>
              <w:t xml:space="preserve"> des accompagnements aux familles</w:t>
            </w:r>
            <w:r w:rsidR="00BC4C85" w:rsidRPr="00D7623D">
              <w:rPr>
                <w:rFonts w:ascii="Arial" w:hAnsi="Arial" w:cs="Arial"/>
                <w:color w:val="002060"/>
                <w:sz w:val="24"/>
                <w:szCs w:val="24"/>
              </w:rPr>
              <w:t xml:space="preserve"> dans l’intérêt de l’accueil d’un enfant</w:t>
            </w:r>
            <w:r w:rsidR="00BB20F5" w:rsidRPr="00D7623D">
              <w:rPr>
                <w:rFonts w:ascii="Arial" w:hAnsi="Arial" w:cs="Arial"/>
                <w:color w:val="002060"/>
                <w:sz w:val="24"/>
                <w:szCs w:val="24"/>
              </w:rPr>
              <w:t xml:space="preserve"> susceptible d’être porteur d’un handicap</w:t>
            </w:r>
            <w:r w:rsidRPr="00D7623D">
              <w:rPr>
                <w:rFonts w:ascii="Arial" w:hAnsi="Arial" w:cs="Arial"/>
                <w:color w:val="002060"/>
                <w:sz w:val="24"/>
                <w:szCs w:val="24"/>
              </w:rPr>
              <w:t>,</w:t>
            </w:r>
          </w:p>
          <w:p w14:paraId="7B20B977" w14:textId="77777777" w:rsidR="00F115BF" w:rsidRPr="00D7623D" w:rsidRDefault="00F248F0" w:rsidP="00F115BF">
            <w:pPr>
              <w:pStyle w:val="ListParagraph"/>
              <w:numPr>
                <w:ilvl w:val="0"/>
                <w:numId w:val="31"/>
              </w:numPr>
              <w:spacing w:after="120"/>
              <w:ind w:left="596"/>
              <w:contextualSpacing w:val="0"/>
              <w:jc w:val="both"/>
              <w:rPr>
                <w:rFonts w:ascii="Arial" w:hAnsi="Arial" w:cs="Arial"/>
                <w:color w:val="002060"/>
                <w:sz w:val="24"/>
                <w:szCs w:val="24"/>
              </w:rPr>
            </w:pPr>
            <w:proofErr w:type="gramStart"/>
            <w:r w:rsidRPr="00D7623D">
              <w:rPr>
                <w:rFonts w:ascii="Arial" w:hAnsi="Arial" w:cs="Arial"/>
                <w:color w:val="002060"/>
                <w:sz w:val="24"/>
                <w:szCs w:val="24"/>
              </w:rPr>
              <w:t>augmenter</w:t>
            </w:r>
            <w:proofErr w:type="gramEnd"/>
            <w:r w:rsidRPr="00D7623D">
              <w:rPr>
                <w:rFonts w:ascii="Arial" w:hAnsi="Arial" w:cs="Arial"/>
                <w:color w:val="002060"/>
                <w:sz w:val="24"/>
                <w:szCs w:val="24"/>
              </w:rPr>
              <w:t xml:space="preserve"> le nombre d’infrastructures adaptées à l’accueil des </w:t>
            </w:r>
            <w:r w:rsidR="00F115BF" w:rsidRPr="00D7623D">
              <w:rPr>
                <w:rFonts w:ascii="Arial" w:hAnsi="Arial" w:cs="Arial"/>
                <w:color w:val="002060"/>
                <w:sz w:val="24"/>
                <w:szCs w:val="24"/>
              </w:rPr>
              <w:t>enfants h</w:t>
            </w:r>
            <w:r w:rsidRPr="00D7623D">
              <w:rPr>
                <w:rFonts w:ascii="Arial" w:hAnsi="Arial" w:cs="Arial"/>
                <w:color w:val="002060"/>
                <w:sz w:val="24"/>
                <w:szCs w:val="24"/>
              </w:rPr>
              <w:t>andicapés</w:t>
            </w:r>
            <w:r w:rsidR="00F115BF" w:rsidRPr="00D7623D">
              <w:rPr>
                <w:rFonts w:ascii="Arial" w:hAnsi="Arial" w:cs="Arial"/>
                <w:color w:val="002060"/>
                <w:sz w:val="24"/>
                <w:szCs w:val="24"/>
              </w:rPr>
              <w:t>,</w:t>
            </w:r>
          </w:p>
          <w:p w14:paraId="66284E7E" w14:textId="77777777" w:rsidR="004D7F0E" w:rsidRPr="004D7F0E" w:rsidRDefault="00F248F0" w:rsidP="00DF421E">
            <w:pPr>
              <w:pStyle w:val="ListParagraph"/>
              <w:numPr>
                <w:ilvl w:val="0"/>
                <w:numId w:val="31"/>
              </w:numPr>
              <w:ind w:left="595" w:hanging="357"/>
              <w:contextualSpacing w:val="0"/>
              <w:jc w:val="both"/>
              <w:rPr>
                <w:rFonts w:ascii="Arial" w:hAnsi="Arial" w:cs="Arial"/>
                <w:color w:val="002060"/>
              </w:rPr>
            </w:pPr>
            <w:proofErr w:type="gramStart"/>
            <w:r w:rsidRPr="00D7623D">
              <w:rPr>
                <w:rFonts w:ascii="Arial" w:hAnsi="Arial" w:cs="Arial"/>
                <w:color w:val="002060"/>
                <w:sz w:val="24"/>
                <w:szCs w:val="24"/>
              </w:rPr>
              <w:t>développer</w:t>
            </w:r>
            <w:proofErr w:type="gramEnd"/>
            <w:r w:rsidRPr="00D7623D">
              <w:rPr>
                <w:rFonts w:ascii="Arial" w:hAnsi="Arial" w:cs="Arial"/>
                <w:color w:val="002060"/>
                <w:sz w:val="24"/>
                <w:szCs w:val="24"/>
              </w:rPr>
              <w:t xml:space="preserve"> une « </w:t>
            </w:r>
            <w:r w:rsidRPr="00D7623D">
              <w:rPr>
                <w:rFonts w:ascii="Arial" w:hAnsi="Arial" w:cs="Arial"/>
                <w:i/>
                <w:iCs/>
                <w:color w:val="002060"/>
                <w:sz w:val="24"/>
                <w:szCs w:val="24"/>
              </w:rPr>
              <w:t>éthique de l’annonce</w:t>
            </w:r>
            <w:r w:rsidRPr="00D7623D">
              <w:rPr>
                <w:rFonts w:ascii="Arial" w:hAnsi="Arial" w:cs="Arial"/>
                <w:color w:val="002060"/>
                <w:sz w:val="24"/>
                <w:szCs w:val="24"/>
              </w:rPr>
              <w:t xml:space="preserve"> »</w:t>
            </w:r>
            <w:r w:rsidR="00F254A6" w:rsidRPr="00D7623D">
              <w:rPr>
                <w:rFonts w:ascii="Arial" w:hAnsi="Arial" w:cs="Arial"/>
                <w:color w:val="002060"/>
                <w:sz w:val="24"/>
                <w:szCs w:val="24"/>
              </w:rPr>
              <w:t xml:space="preserve"> sur le modèle préconisé par le CCNE</w:t>
            </w:r>
            <w:r w:rsidR="004D7F0E">
              <w:rPr>
                <w:rFonts w:ascii="Arial" w:hAnsi="Arial" w:cs="Arial"/>
                <w:color w:val="002060"/>
                <w:sz w:val="24"/>
                <w:szCs w:val="24"/>
              </w:rPr>
              <w:t>,</w:t>
            </w:r>
          </w:p>
          <w:p w14:paraId="2C5BDC24" w14:textId="0EE8DFE7" w:rsidR="00F248F0" w:rsidRPr="00D7623D" w:rsidRDefault="00553D51" w:rsidP="00D72D01">
            <w:pPr>
              <w:pStyle w:val="ListParagraph"/>
              <w:numPr>
                <w:ilvl w:val="0"/>
                <w:numId w:val="31"/>
              </w:numPr>
              <w:spacing w:after="240"/>
              <w:ind w:left="595" w:hanging="357"/>
              <w:contextualSpacing w:val="0"/>
              <w:jc w:val="both"/>
              <w:rPr>
                <w:rFonts w:ascii="Arial" w:hAnsi="Arial" w:cs="Arial"/>
                <w:color w:val="002060"/>
              </w:rPr>
            </w:pPr>
            <w:proofErr w:type="gramStart"/>
            <w:r>
              <w:rPr>
                <w:rFonts w:ascii="Arial" w:hAnsi="Arial" w:cs="Arial"/>
                <w:color w:val="002060"/>
                <w:sz w:val="24"/>
                <w:szCs w:val="24"/>
              </w:rPr>
              <w:t>ét</w:t>
            </w:r>
            <w:r w:rsidRPr="00553D51">
              <w:rPr>
                <w:rFonts w:ascii="Arial" w:hAnsi="Arial" w:cs="Arial"/>
                <w:color w:val="002060"/>
                <w:sz w:val="24"/>
                <w:szCs w:val="24"/>
              </w:rPr>
              <w:t>ablir</w:t>
            </w:r>
            <w:proofErr w:type="gramEnd"/>
            <w:r w:rsidRPr="00553D51">
              <w:rPr>
                <w:rFonts w:ascii="Arial" w:hAnsi="Arial" w:cs="Arial"/>
                <w:color w:val="002060"/>
                <w:sz w:val="24"/>
                <w:szCs w:val="24"/>
              </w:rPr>
              <w:t xml:space="preserve"> des barrières concrètes pour interdire formellement la naissance d’enfants génétiquement modifiés en application de l’article 13 de la Convention d’Oviedo</w:t>
            </w:r>
            <w:r w:rsidR="00F248F0" w:rsidRPr="00D7623D">
              <w:rPr>
                <w:rFonts w:ascii="Arial" w:hAnsi="Arial" w:cs="Arial"/>
                <w:color w:val="002060"/>
                <w:sz w:val="24"/>
                <w:szCs w:val="24"/>
              </w:rPr>
              <w:t>.</w:t>
            </w:r>
          </w:p>
        </w:tc>
      </w:tr>
    </w:tbl>
    <w:p w14:paraId="1AF254FE" w14:textId="40CDEC4B" w:rsidR="00F248F0" w:rsidRDefault="00F248F0" w:rsidP="007C4C7A">
      <w:pPr>
        <w:spacing w:after="0"/>
        <w:jc w:val="both"/>
        <w:rPr>
          <w:rFonts w:ascii="Arial" w:hAnsi="Arial" w:cs="Arial"/>
          <w:color w:val="002060"/>
          <w:sz w:val="40"/>
          <w:szCs w:val="40"/>
        </w:rPr>
      </w:pPr>
    </w:p>
    <w:p w14:paraId="36EEC23A" w14:textId="77777777" w:rsidR="00937958" w:rsidRPr="006234CC" w:rsidRDefault="00937958" w:rsidP="007C4C7A">
      <w:pPr>
        <w:spacing w:after="0"/>
        <w:jc w:val="both"/>
        <w:rPr>
          <w:rFonts w:ascii="Arial" w:hAnsi="Arial" w:cs="Arial"/>
          <w:color w:val="002060"/>
          <w:sz w:val="40"/>
          <w:szCs w:val="40"/>
        </w:rPr>
      </w:pPr>
    </w:p>
    <w:p w14:paraId="70B864F4" w14:textId="0664DEFD" w:rsidR="007C4C7A" w:rsidRPr="007C4C7A" w:rsidRDefault="007C4C7A" w:rsidP="00DF421E">
      <w:pPr>
        <w:spacing w:after="0" w:line="240" w:lineRule="auto"/>
        <w:jc w:val="center"/>
        <w:rPr>
          <w:rFonts w:ascii="Arial" w:hAnsi="Arial" w:cs="Arial"/>
          <w:sz w:val="32"/>
          <w:szCs w:val="32"/>
        </w:rPr>
      </w:pPr>
      <w:r w:rsidRPr="007C4C7A">
        <w:rPr>
          <w:rFonts w:ascii="Arial" w:hAnsi="Arial" w:cs="Arial"/>
          <w:sz w:val="32"/>
          <w:szCs w:val="32"/>
        </w:rPr>
        <w:t>******</w:t>
      </w:r>
    </w:p>
    <w:p w14:paraId="4327F0E4" w14:textId="6A8D59F6" w:rsidR="006234CC" w:rsidRDefault="006234CC">
      <w:pPr>
        <w:spacing w:after="160" w:line="259" w:lineRule="auto"/>
        <w:rPr>
          <w:rFonts w:ascii="Arial" w:hAnsi="Arial" w:cs="Arial"/>
          <w:color w:val="FF0000"/>
          <w:sz w:val="32"/>
          <w:szCs w:val="32"/>
        </w:rPr>
      </w:pPr>
      <w:r>
        <w:rPr>
          <w:rFonts w:ascii="Arial" w:hAnsi="Arial" w:cs="Arial"/>
          <w:color w:val="FF0000"/>
          <w:sz w:val="32"/>
          <w:szCs w:val="32"/>
        </w:rPr>
        <w:br w:type="page"/>
      </w:r>
    </w:p>
    <w:p w14:paraId="4BC115DF" w14:textId="77777777" w:rsidR="007821F5" w:rsidRPr="00DF421E" w:rsidRDefault="007821F5" w:rsidP="00DF421E">
      <w:pPr>
        <w:spacing w:after="0" w:line="240" w:lineRule="auto"/>
        <w:rPr>
          <w:rFonts w:ascii="Arial" w:hAnsi="Arial" w:cs="Arial"/>
          <w:color w:val="FF0000"/>
          <w:sz w:val="32"/>
          <w:szCs w:val="32"/>
        </w:rPr>
      </w:pPr>
    </w:p>
    <w:p w14:paraId="33227493" w14:textId="70F60527" w:rsidR="000C650A" w:rsidRDefault="000C650A" w:rsidP="006234CC">
      <w:pPr>
        <w:pStyle w:val="ListParagraph"/>
        <w:numPr>
          <w:ilvl w:val="0"/>
          <w:numId w:val="43"/>
        </w:numPr>
        <w:spacing w:after="0"/>
        <w:contextualSpacing w:val="0"/>
        <w:rPr>
          <w:rFonts w:ascii="Arial" w:hAnsi="Arial" w:cs="Arial"/>
          <w:b/>
          <w:bCs/>
          <w:color w:val="002060"/>
          <w:sz w:val="24"/>
          <w:szCs w:val="24"/>
          <w:u w:val="single"/>
        </w:rPr>
      </w:pPr>
      <w:r w:rsidRPr="00DF421E">
        <w:rPr>
          <w:rFonts w:ascii="Arial" w:hAnsi="Arial" w:cs="Arial"/>
          <w:b/>
          <w:bCs/>
          <w:color w:val="002060"/>
          <w:sz w:val="24"/>
          <w:szCs w:val="24"/>
          <w:u w:val="single"/>
        </w:rPr>
        <w:t>Enregistrement des naissances et nationalité</w:t>
      </w:r>
    </w:p>
    <w:p w14:paraId="29309810" w14:textId="77777777" w:rsidR="006234CC" w:rsidRPr="00182F48" w:rsidRDefault="006234CC" w:rsidP="006234CC">
      <w:pPr>
        <w:pStyle w:val="ListParagraph"/>
        <w:spacing w:after="0"/>
        <w:contextualSpacing w:val="0"/>
        <w:rPr>
          <w:rFonts w:ascii="Arial" w:hAnsi="Arial" w:cs="Arial"/>
          <w:color w:val="002060"/>
          <w:sz w:val="28"/>
          <w:szCs w:val="28"/>
        </w:rPr>
      </w:pPr>
    </w:p>
    <w:p w14:paraId="091E2869" w14:textId="25162691" w:rsidR="00CB52D3" w:rsidRDefault="000C650A" w:rsidP="006234CC">
      <w:pPr>
        <w:spacing w:after="0"/>
        <w:rPr>
          <w:rFonts w:ascii="Arial" w:hAnsi="Arial" w:cs="Arial"/>
          <w:b/>
          <w:bCs/>
          <w:i/>
          <w:iCs/>
          <w:color w:val="002060"/>
          <w:sz w:val="24"/>
          <w:szCs w:val="24"/>
        </w:rPr>
      </w:pPr>
      <w:r w:rsidRPr="00DF421E">
        <w:rPr>
          <w:rFonts w:ascii="Arial" w:hAnsi="Arial" w:cs="Arial"/>
          <w:b/>
          <w:bCs/>
          <w:i/>
          <w:iCs/>
          <w:color w:val="002060"/>
          <w:sz w:val="24"/>
          <w:szCs w:val="24"/>
        </w:rPr>
        <w:t>C. L</w:t>
      </w:r>
      <w:r w:rsidR="00273843" w:rsidRPr="00DF421E">
        <w:rPr>
          <w:rFonts w:ascii="Arial" w:hAnsi="Arial" w:cs="Arial"/>
          <w:b/>
          <w:bCs/>
          <w:i/>
          <w:iCs/>
          <w:color w:val="002060"/>
          <w:sz w:val="24"/>
          <w:szCs w:val="24"/>
        </w:rPr>
        <w:t xml:space="preserve">ibertés et droits civils </w:t>
      </w:r>
      <w:r w:rsidRPr="00DF421E">
        <w:rPr>
          <w:rFonts w:ascii="Arial" w:hAnsi="Arial" w:cs="Arial"/>
          <w:b/>
          <w:bCs/>
          <w:i/>
          <w:iCs/>
          <w:color w:val="002060"/>
          <w:sz w:val="24"/>
          <w:szCs w:val="24"/>
        </w:rPr>
        <w:t>(art. 7,</w:t>
      </w:r>
      <w:r w:rsidR="006234CC">
        <w:rPr>
          <w:rFonts w:ascii="Arial" w:hAnsi="Arial" w:cs="Arial"/>
          <w:b/>
          <w:bCs/>
          <w:i/>
          <w:iCs/>
          <w:color w:val="002060"/>
          <w:sz w:val="24"/>
          <w:szCs w:val="24"/>
        </w:rPr>
        <w:t xml:space="preserve"> </w:t>
      </w:r>
      <w:r w:rsidRPr="00DF421E">
        <w:rPr>
          <w:rFonts w:ascii="Arial" w:hAnsi="Arial" w:cs="Arial"/>
          <w:b/>
          <w:bCs/>
          <w:i/>
          <w:iCs/>
          <w:color w:val="002060"/>
          <w:sz w:val="24"/>
          <w:szCs w:val="24"/>
        </w:rPr>
        <w:t>8 et 13 à</w:t>
      </w:r>
      <w:r w:rsidR="006234CC">
        <w:rPr>
          <w:rFonts w:ascii="Arial" w:hAnsi="Arial" w:cs="Arial"/>
          <w:b/>
          <w:bCs/>
          <w:i/>
          <w:iCs/>
          <w:color w:val="002060"/>
          <w:sz w:val="24"/>
          <w:szCs w:val="24"/>
        </w:rPr>
        <w:t xml:space="preserve"> </w:t>
      </w:r>
      <w:r w:rsidRPr="00DF421E">
        <w:rPr>
          <w:rFonts w:ascii="Arial" w:hAnsi="Arial" w:cs="Arial"/>
          <w:b/>
          <w:bCs/>
          <w:i/>
          <w:iCs/>
          <w:color w:val="002060"/>
          <w:sz w:val="24"/>
          <w:szCs w:val="24"/>
        </w:rPr>
        <w:t>17)</w:t>
      </w:r>
    </w:p>
    <w:p w14:paraId="5DD25ED8" w14:textId="77777777" w:rsidR="006234CC" w:rsidRPr="00D72D01" w:rsidRDefault="006234CC" w:rsidP="006234CC">
      <w:pPr>
        <w:spacing w:after="0"/>
        <w:rPr>
          <w:rFonts w:ascii="Arial" w:hAnsi="Arial" w:cs="Arial"/>
          <w:color w:val="002060"/>
          <w:sz w:val="28"/>
          <w:szCs w:val="28"/>
        </w:rPr>
      </w:pPr>
    </w:p>
    <w:p w14:paraId="31E31E8A" w14:textId="3FA583A1" w:rsidR="000C650A" w:rsidRPr="00DF421E" w:rsidRDefault="000C650A" w:rsidP="00024FCB">
      <w:pPr>
        <w:pStyle w:val="Paragraphenumrot0"/>
      </w:pPr>
      <w:r w:rsidRPr="00DF421E">
        <w:t>Concernant les enfants nés à l’étranger d’une gestation pour autrui</w:t>
      </w:r>
      <w:r w:rsidR="0047031D" w:rsidRPr="00DF421E">
        <w:t xml:space="preserve"> (GPA)</w:t>
      </w:r>
      <w:r w:rsidRPr="00DF421E">
        <w:t>, le Comité invite l’État français à décrire toutes les mesures concrètes envisagées pour que la filiation de ces enfants puisse être complétement reconnue</w:t>
      </w:r>
      <w:r w:rsidR="0047031D" w:rsidRPr="00DF421E">
        <w:rPr>
          <w:rStyle w:val="FootnoteReference"/>
          <w:bCs/>
        </w:rPr>
        <w:footnoteReference w:id="13"/>
      </w:r>
      <w:r w:rsidRPr="00DF421E">
        <w:t>.</w:t>
      </w:r>
    </w:p>
    <w:p w14:paraId="711755EB" w14:textId="77777777" w:rsidR="000C650A" w:rsidRPr="00DF421E" w:rsidRDefault="000C650A" w:rsidP="00024FCB">
      <w:pPr>
        <w:pStyle w:val="Paragraphenumrot0"/>
        <w:numPr>
          <w:ilvl w:val="0"/>
          <w:numId w:val="0"/>
        </w:numPr>
      </w:pPr>
    </w:p>
    <w:p w14:paraId="071A3840" w14:textId="411ACF36" w:rsidR="000C650A" w:rsidRPr="00DF421E" w:rsidRDefault="0047031D" w:rsidP="00024FCB">
      <w:pPr>
        <w:pStyle w:val="Paragraphenumrot0"/>
      </w:pPr>
      <w:r w:rsidRPr="00DF421E">
        <w:t>Sur ce point, l’État français rappelle que l</w:t>
      </w:r>
      <w:r w:rsidR="000C650A" w:rsidRPr="00DF421E">
        <w:t xml:space="preserve">a loi </w:t>
      </w:r>
      <w:r w:rsidR="006D6864">
        <w:t xml:space="preserve">de bioéthique </w:t>
      </w:r>
      <w:r w:rsidR="000C650A" w:rsidRPr="00DF421E">
        <w:t xml:space="preserve">du 2 août 2021 établit que la reconnaissance de la filiation à l’étranger est « </w:t>
      </w:r>
      <w:r w:rsidR="000C650A" w:rsidRPr="00DF421E">
        <w:rPr>
          <w:i/>
          <w:iCs/>
        </w:rPr>
        <w:t>appréciée au regard de la loi française</w:t>
      </w:r>
      <w:r w:rsidRPr="00DF421E">
        <w:rPr>
          <w:i/>
          <w:iCs/>
        </w:rPr>
        <w:t> </w:t>
      </w:r>
      <w:r w:rsidR="000C650A" w:rsidRPr="00DF421E">
        <w:t xml:space="preserve">». </w:t>
      </w:r>
      <w:r w:rsidRPr="00DF421E">
        <w:t>L’État précise que p</w:t>
      </w:r>
      <w:r w:rsidR="000C650A" w:rsidRPr="00DF421E">
        <w:t xml:space="preserve">our les enfants nés de la GPA, </w:t>
      </w:r>
      <w:r w:rsidRPr="00DF421E">
        <w:t>« </w:t>
      </w:r>
      <w:r w:rsidR="000C650A" w:rsidRPr="00DF421E">
        <w:rPr>
          <w:i/>
          <w:iCs/>
        </w:rPr>
        <w:t>la transcription d'un acte d'état civil étranger est limitée au seul parent biologique (le second parent dit « d'intention » devra passer par une procédure d'adoption)</w:t>
      </w:r>
      <w:r w:rsidRPr="00DF421E">
        <w:t> »</w:t>
      </w:r>
      <w:r w:rsidR="007821F5" w:rsidRPr="00DF421E">
        <w:rPr>
          <w:rStyle w:val="FootnoteReference"/>
          <w:bCs/>
        </w:rPr>
        <w:footnoteReference w:id="14"/>
      </w:r>
      <w:r w:rsidR="000C650A" w:rsidRPr="00DF421E">
        <w:t>.</w:t>
      </w:r>
    </w:p>
    <w:p w14:paraId="3D792835" w14:textId="77777777" w:rsidR="000C650A" w:rsidRPr="00DF421E" w:rsidRDefault="000C650A" w:rsidP="00024FCB">
      <w:pPr>
        <w:pStyle w:val="Paragraphenumrot0"/>
        <w:numPr>
          <w:ilvl w:val="0"/>
          <w:numId w:val="0"/>
        </w:numPr>
      </w:pPr>
    </w:p>
    <w:p w14:paraId="20597E48" w14:textId="1E6B844F" w:rsidR="00E451AC" w:rsidRPr="00DF421E" w:rsidRDefault="00E451AC" w:rsidP="00024FCB">
      <w:pPr>
        <w:pStyle w:val="Paragraphenumrot0"/>
      </w:pPr>
      <w:r w:rsidRPr="00DF421E">
        <w:t>Concernant la GPA, Alliance VITA souhaiterait insister sur la nécessité d’adopter une approche de cette pratique conforme aux droits de l’Homme</w:t>
      </w:r>
      <w:r w:rsidR="00D7623D" w:rsidRPr="00DF421E">
        <w:t>, dans la mesure où la GPA encourage et</w:t>
      </w:r>
      <w:r w:rsidRPr="00DF421E">
        <w:t xml:space="preserve"> favorise le trafic humain</w:t>
      </w:r>
      <w:r w:rsidR="00D7623D" w:rsidRPr="00DF421E">
        <w:t xml:space="preserve"> et</w:t>
      </w:r>
      <w:r w:rsidRPr="00DF421E">
        <w:t xml:space="preserve"> la commercialisation du corps humain, en </w:t>
      </w:r>
      <w:r w:rsidR="00D7623D" w:rsidRPr="00DF421E">
        <w:t xml:space="preserve">totale </w:t>
      </w:r>
      <w:r w:rsidRPr="00DF421E">
        <w:t>violation des principes fondamentaux contenus dans la Convention ainsi que d</w:t>
      </w:r>
      <w:r w:rsidR="00D7623D" w:rsidRPr="00DF421E">
        <w:t>es principes de non-patrimonialité et indisponibilité du corps humain tels que consacrés par le droit français.</w:t>
      </w:r>
      <w:r w:rsidRPr="00DF421E">
        <w:t xml:space="preserve"> </w:t>
      </w:r>
    </w:p>
    <w:p w14:paraId="6BCFD523" w14:textId="77777777" w:rsidR="00E451AC" w:rsidRPr="00DF421E" w:rsidRDefault="00E451AC" w:rsidP="00024FCB">
      <w:pPr>
        <w:pStyle w:val="Paragraphenumrot0"/>
        <w:numPr>
          <w:ilvl w:val="0"/>
          <w:numId w:val="0"/>
        </w:numPr>
      </w:pPr>
    </w:p>
    <w:p w14:paraId="20B7D96E" w14:textId="4A4FC879" w:rsidR="008F24F5" w:rsidRPr="00DF421E" w:rsidRDefault="00D7623D" w:rsidP="00024FCB">
      <w:pPr>
        <w:pStyle w:val="Paragraphenumrot0"/>
      </w:pPr>
      <w:r w:rsidRPr="00DF421E">
        <w:t xml:space="preserve">En France, en vertu de ces principes, </w:t>
      </w:r>
      <w:r w:rsidR="00CB52D3" w:rsidRPr="00DF421E">
        <w:t>la gestation pour autrui (</w:t>
      </w:r>
      <w:r w:rsidR="00535F36" w:rsidRPr="00DF421E">
        <w:t>« </w:t>
      </w:r>
      <w:r w:rsidR="00CB52D3" w:rsidRPr="00DF421E">
        <w:t>GPA</w:t>
      </w:r>
      <w:r w:rsidR="00535F36" w:rsidRPr="00DF421E">
        <w:t> »</w:t>
      </w:r>
      <w:r w:rsidR="00CB52D3" w:rsidRPr="00DF421E">
        <w:t>) est strictement interdite dans son principe.</w:t>
      </w:r>
    </w:p>
    <w:p w14:paraId="6EE3BA8E" w14:textId="77777777" w:rsidR="00CB52D3" w:rsidRPr="00DF421E" w:rsidRDefault="00CB52D3" w:rsidP="00024FCB">
      <w:pPr>
        <w:pStyle w:val="Paragraphenumrot0"/>
        <w:numPr>
          <w:ilvl w:val="0"/>
          <w:numId w:val="0"/>
        </w:numPr>
      </w:pPr>
    </w:p>
    <w:p w14:paraId="01455254" w14:textId="5AE21332" w:rsidR="008F24F5" w:rsidRPr="00DF421E" w:rsidRDefault="008F24F5" w:rsidP="00024FCB">
      <w:pPr>
        <w:pStyle w:val="Paragraphenumrot0"/>
      </w:pPr>
      <w:r w:rsidRPr="00DF421E">
        <w:t xml:space="preserve">L’article 16-7 du code civil dispose que « </w:t>
      </w:r>
      <w:r w:rsidRPr="00DF421E">
        <w:rPr>
          <w:i/>
          <w:iCs/>
        </w:rPr>
        <w:t xml:space="preserve">toute convention portant sur la procréation ou la gestation pour le compte d’autrui est nulle </w:t>
      </w:r>
      <w:r w:rsidRPr="00DF421E">
        <w:t>». Cet article a été introduit dans la loi bioéthique de 1994, qui définit plusieurs principes garantissant le respect dû au corps humain. Inviolable, le corps ne peut notamment faire l’objet d’un droit patrimonial, conformément à l’article 16-1 du code civil.</w:t>
      </w:r>
    </w:p>
    <w:p w14:paraId="5B741929" w14:textId="77777777" w:rsidR="008F24F5" w:rsidRPr="00DF421E" w:rsidRDefault="008F24F5" w:rsidP="00024FCB">
      <w:pPr>
        <w:pStyle w:val="Paragraphenumrot0"/>
        <w:numPr>
          <w:ilvl w:val="0"/>
          <w:numId w:val="0"/>
        </w:numPr>
      </w:pPr>
    </w:p>
    <w:p w14:paraId="78EBDD9A" w14:textId="4FA60B24" w:rsidR="00937958" w:rsidRDefault="008F24F5" w:rsidP="00937958">
      <w:pPr>
        <w:pStyle w:val="Paragraphenumrot0"/>
      </w:pPr>
      <w:r w:rsidRPr="00DF421E">
        <w:t xml:space="preserve">Le code pénal, dans son article 227-12, sanctionne les intermédiaires : « </w:t>
      </w:r>
      <w:r w:rsidRPr="00DF421E">
        <w:rPr>
          <w:i/>
          <w:iCs/>
        </w:rPr>
        <w:t>Le fait, dans un but lucratif, de s’entremettre entre une personne désireuse d’adopter un enfant et un parent désireux d’abandonner son enfant né ou à naître est puni d’un an d’emprisonnement et de 15.000 euros d’amende</w:t>
      </w:r>
      <w:r w:rsidRPr="00DF421E">
        <w:t xml:space="preserve"> ». Le code pénal ne sanctionne en revanche ni la personne ou le couple désireux d’accueillir un enfant, ni la mère porteuse elle-même.</w:t>
      </w:r>
    </w:p>
    <w:p w14:paraId="6B96F253" w14:textId="77777777" w:rsidR="00205141" w:rsidRDefault="00205141" w:rsidP="00937958">
      <w:pPr>
        <w:pStyle w:val="Paragraphenumrot0"/>
        <w:numPr>
          <w:ilvl w:val="0"/>
          <w:numId w:val="0"/>
        </w:numPr>
      </w:pPr>
    </w:p>
    <w:p w14:paraId="305FFB3D" w14:textId="5B390FE3" w:rsidR="00205141" w:rsidRDefault="00937958" w:rsidP="00205141">
      <w:pPr>
        <w:pStyle w:val="Paragraphenumrot0"/>
      </w:pPr>
      <w:r>
        <w:t>L</w:t>
      </w:r>
      <w:r w:rsidRPr="00937958">
        <w:t xml:space="preserve">a GPA favorise un éclatement de la filiation de l’enfant, en contradiction des articles 7, 8, et 16 de la Convention. </w:t>
      </w:r>
    </w:p>
    <w:p w14:paraId="372370B3" w14:textId="77777777" w:rsidR="00205141" w:rsidRDefault="00205141" w:rsidP="00205141">
      <w:pPr>
        <w:pStyle w:val="Paragraphenumrot0"/>
        <w:numPr>
          <w:ilvl w:val="0"/>
          <w:numId w:val="0"/>
        </w:numPr>
      </w:pPr>
    </w:p>
    <w:p w14:paraId="0BA15D00" w14:textId="18DB4E85" w:rsidR="00937958" w:rsidRPr="00937958" w:rsidRDefault="00937958" w:rsidP="00937958">
      <w:pPr>
        <w:pStyle w:val="Paragraphenumrot0"/>
      </w:pPr>
      <w:r w:rsidRPr="00937958">
        <w:lastRenderedPageBreak/>
        <w:t>Conformément à la Convention, l’État français doit s’abstenir de toute mesure législative qui empêche l’enfant de connaitre ses parents et d’être élevé par eux. Or, la GPA entraine la transcription d’actes de naissance d’enfants nés de GPA, actes qui sont délibérément non conformes à la réalité (la mère indiquée n’est pas celle qui a accouché par exemple).</w:t>
      </w:r>
    </w:p>
    <w:p w14:paraId="48798CCF" w14:textId="77777777" w:rsidR="00937958" w:rsidRPr="00DF421E" w:rsidRDefault="00937958" w:rsidP="00937958">
      <w:pPr>
        <w:pStyle w:val="Paragraphenumrot0"/>
        <w:numPr>
          <w:ilvl w:val="0"/>
          <w:numId w:val="0"/>
        </w:numPr>
      </w:pPr>
    </w:p>
    <w:p w14:paraId="6A7A8276" w14:textId="101843F0" w:rsidR="00937958" w:rsidRPr="00DF421E" w:rsidRDefault="00937958" w:rsidP="00937958">
      <w:pPr>
        <w:pStyle w:val="Paragraphenumrot0"/>
      </w:pPr>
      <w:r w:rsidRPr="00DF421E">
        <w:t>La GPA a pour effet d’éclater la filiation de l’enfant entre les commanditaires (« parents d’intention »), sa mère porteuse, et souvent une donneuse d’ovocyte. Cet éclatement des liens de filiation conduit à des contentieux inextricables et une perte d’accès à des repères clairs pour l’enfant.</w:t>
      </w:r>
      <w:r>
        <w:t xml:space="preserve"> </w:t>
      </w:r>
      <w:r w:rsidRPr="00DF421E">
        <w:t>Par ailleurs, il est injuste et abusif de comparer l’adoption avec la GPA. L’adoption a pour but de remédier à une situation existante et de donner une famille à un enfant qui en est privé. La GPA crée volontairement ces situations de rupture mère-enfant dans l’intérêt d’adultes.</w:t>
      </w:r>
    </w:p>
    <w:p w14:paraId="6212778D" w14:textId="6243B072" w:rsidR="006234CC" w:rsidRDefault="006234CC" w:rsidP="00024FCB">
      <w:pPr>
        <w:pStyle w:val="Paragraphenumrot0"/>
        <w:numPr>
          <w:ilvl w:val="0"/>
          <w:numId w:val="0"/>
        </w:numPr>
      </w:pPr>
    </w:p>
    <w:p w14:paraId="4D7BBF64" w14:textId="74DD949A" w:rsidR="00F254A6" w:rsidRPr="00DF421E" w:rsidRDefault="00937958" w:rsidP="00024FCB">
      <w:pPr>
        <w:pStyle w:val="Paragraphenumrot0"/>
      </w:pPr>
      <w:r>
        <w:t>Malgré cela</w:t>
      </w:r>
      <w:r w:rsidR="00F254A6" w:rsidRPr="00DF421E">
        <w:t xml:space="preserve">, et comme le rappelle l’État français dans son rapport périodique, </w:t>
      </w:r>
      <w:r w:rsidR="002F7779" w:rsidRPr="00DF421E">
        <w:t>l’évolution de la jurisprudence</w:t>
      </w:r>
      <w:r>
        <w:t xml:space="preserve"> française</w:t>
      </w:r>
      <w:r w:rsidR="002F7779" w:rsidRPr="00DF421E">
        <w:t xml:space="preserve"> tend de plus en plus à accepter </w:t>
      </w:r>
      <w:r>
        <w:t>l</w:t>
      </w:r>
      <w:r w:rsidR="002F7779" w:rsidRPr="00DF421E">
        <w:t xml:space="preserve">es effets </w:t>
      </w:r>
      <w:r>
        <w:t xml:space="preserve">de la GPA </w:t>
      </w:r>
      <w:r w:rsidR="002F7779" w:rsidRPr="00DF421E">
        <w:t>à l’égard de l’enfant quand elle est pratiquée à l’étranger.</w:t>
      </w:r>
      <w:r w:rsidR="00F254A6" w:rsidRPr="00DF421E">
        <w:t xml:space="preserve"> En effet, pour les enfants nés </w:t>
      </w:r>
      <w:proofErr w:type="gramStart"/>
      <w:r w:rsidR="00F254A6" w:rsidRPr="00DF421E">
        <w:t>d’une GPA</w:t>
      </w:r>
      <w:proofErr w:type="gramEnd"/>
      <w:r w:rsidR="00F254A6" w:rsidRPr="00DF421E">
        <w:t>, la transcription d'un acte d'état civil étranger est limitée au seul parent biologique, le second parent dit « d'intention » devant passer par une procédure d'adoption.</w:t>
      </w:r>
    </w:p>
    <w:p w14:paraId="6F64D1C9" w14:textId="77777777" w:rsidR="002F7779" w:rsidRPr="00DF421E" w:rsidRDefault="002F7779" w:rsidP="00024FCB">
      <w:pPr>
        <w:pStyle w:val="Paragraphenumrot0"/>
        <w:numPr>
          <w:ilvl w:val="0"/>
          <w:numId w:val="0"/>
        </w:numPr>
      </w:pPr>
    </w:p>
    <w:p w14:paraId="09D10867" w14:textId="505E6F25" w:rsidR="002F7779" w:rsidRPr="00DF421E" w:rsidRDefault="00E20744" w:rsidP="00024FCB">
      <w:pPr>
        <w:pStyle w:val="Paragraphenumrot0"/>
      </w:pPr>
      <w:r w:rsidRPr="00DF421E">
        <w:t>L’interdiction légale de cette pratique est ainsi de moins en moins appliquée par l</w:t>
      </w:r>
      <w:r w:rsidR="008F24F5" w:rsidRPr="00DF421E">
        <w:t xml:space="preserve">’État français sur son territoire, </w:t>
      </w:r>
      <w:r w:rsidR="00D7623D" w:rsidRPr="00DF421E">
        <w:t>et les instances internationales ont un rôle à jouer à cet égard</w:t>
      </w:r>
      <w:r w:rsidR="008F24F5" w:rsidRPr="00DF421E">
        <w:t xml:space="preserve">. </w:t>
      </w:r>
    </w:p>
    <w:p w14:paraId="4A5C88D3" w14:textId="77777777" w:rsidR="00386AC0" w:rsidRPr="00DF421E" w:rsidRDefault="00386AC0" w:rsidP="00024FCB">
      <w:pPr>
        <w:pStyle w:val="Paragraphenumrot0"/>
        <w:numPr>
          <w:ilvl w:val="0"/>
          <w:numId w:val="0"/>
        </w:numPr>
      </w:pPr>
    </w:p>
    <w:p w14:paraId="3D45A49F" w14:textId="244A5035" w:rsidR="00386AC0" w:rsidRPr="00DF421E" w:rsidRDefault="00D7623D" w:rsidP="00024FCB">
      <w:pPr>
        <w:pStyle w:val="Paragraphenumrot0"/>
        <w:rPr>
          <w:b/>
        </w:rPr>
      </w:pPr>
      <w:r w:rsidRPr="00DF421E">
        <w:rPr>
          <w:b/>
        </w:rPr>
        <w:t>Il importe de souligner que l</w:t>
      </w:r>
      <w:r w:rsidR="00E20744" w:rsidRPr="00DF421E">
        <w:rPr>
          <w:b/>
        </w:rPr>
        <w:t>a</w:t>
      </w:r>
      <w:r w:rsidR="008F24F5" w:rsidRPr="00DF421E">
        <w:rPr>
          <w:b/>
        </w:rPr>
        <w:t xml:space="preserve"> pratique de l</w:t>
      </w:r>
      <w:r w:rsidR="002F7779" w:rsidRPr="00DF421E">
        <w:rPr>
          <w:b/>
        </w:rPr>
        <w:t>a GPA</w:t>
      </w:r>
      <w:r w:rsidR="008F24F5" w:rsidRPr="00DF421E">
        <w:rPr>
          <w:b/>
        </w:rPr>
        <w:t xml:space="preserve"> est une</w:t>
      </w:r>
      <w:r w:rsidR="002F7779" w:rsidRPr="00DF421E">
        <w:rPr>
          <w:b/>
        </w:rPr>
        <w:t xml:space="preserve"> cause de violence à l’égard de l’enfant</w:t>
      </w:r>
      <w:r w:rsidR="00E20744" w:rsidRPr="00DF421E">
        <w:rPr>
          <w:b/>
        </w:rPr>
        <w:t xml:space="preserve"> qui </w:t>
      </w:r>
      <w:r w:rsidR="002F7779" w:rsidRPr="00DF421E">
        <w:rPr>
          <w:b/>
        </w:rPr>
        <w:t>devient « objet » d</w:t>
      </w:r>
      <w:r w:rsidR="008F24F5" w:rsidRPr="00DF421E">
        <w:rPr>
          <w:b/>
        </w:rPr>
        <w:t>e</w:t>
      </w:r>
      <w:r w:rsidR="002F7779" w:rsidRPr="00DF421E">
        <w:rPr>
          <w:b/>
        </w:rPr>
        <w:t xml:space="preserve"> contrat</w:t>
      </w:r>
      <w:r w:rsidR="008F24F5" w:rsidRPr="00DF421E">
        <w:rPr>
          <w:b/>
        </w:rPr>
        <w:t xml:space="preserve">, voire parfois de commerce, en violation totale des </w:t>
      </w:r>
      <w:r w:rsidR="00E20744" w:rsidRPr="00DF421E">
        <w:rPr>
          <w:b/>
        </w:rPr>
        <w:t>dispositions</w:t>
      </w:r>
      <w:r w:rsidR="008F24F5" w:rsidRPr="00DF421E">
        <w:rPr>
          <w:b/>
        </w:rPr>
        <w:t xml:space="preserve"> de la Convention relati</w:t>
      </w:r>
      <w:r w:rsidR="00E20744" w:rsidRPr="00DF421E">
        <w:rPr>
          <w:b/>
        </w:rPr>
        <w:t>ve</w:t>
      </w:r>
      <w:r w:rsidR="008F24F5" w:rsidRPr="00DF421E">
        <w:rPr>
          <w:b/>
        </w:rPr>
        <w:t>s à la lutte contre la vente, la traite et toute forme d’exploitation de l’enfant</w:t>
      </w:r>
      <w:r w:rsidR="008F24F5" w:rsidRPr="00DF421E">
        <w:rPr>
          <w:rStyle w:val="FootnoteReference"/>
          <w:b/>
          <w:bCs/>
        </w:rPr>
        <w:footnoteReference w:id="15"/>
      </w:r>
      <w:r w:rsidR="008F24F5" w:rsidRPr="00DF421E">
        <w:rPr>
          <w:b/>
        </w:rPr>
        <w:t>.</w:t>
      </w:r>
    </w:p>
    <w:p w14:paraId="57663357" w14:textId="77777777" w:rsidR="008F24F5" w:rsidRPr="00DF421E" w:rsidRDefault="008F24F5" w:rsidP="00024FCB">
      <w:pPr>
        <w:pStyle w:val="Paragraphenumrot0"/>
        <w:numPr>
          <w:ilvl w:val="0"/>
          <w:numId w:val="0"/>
        </w:numPr>
        <w:rPr>
          <w:u w:val="single"/>
        </w:rPr>
      </w:pPr>
    </w:p>
    <w:p w14:paraId="469E618F" w14:textId="3A5A6DB2" w:rsidR="002F7779" w:rsidRPr="00DF421E" w:rsidRDefault="002F7779" w:rsidP="00024FCB">
      <w:pPr>
        <w:pStyle w:val="Paragraphenumrot0"/>
      </w:pPr>
      <w:r w:rsidRPr="00DF421E">
        <w:t>La GPA entraîne une maltraitance originelle d’enfants lésés sur achat puisque dans son processus, l’enfant est un objet de contrat. Preuve en est de la question de l’avortement de l’enfant « commandité » s’il n’est pas « conforme », c’est-à-dire porteur de handicap, ou encore en cas de grossesses multiples. Sa mère porteuse est rémunérée ou « dédommagée</w:t>
      </w:r>
      <w:r w:rsidR="00386AC0" w:rsidRPr="00DF421E">
        <w:t> </w:t>
      </w:r>
      <w:r w:rsidRPr="00DF421E">
        <w:t xml:space="preserve">» avec souvent l’intervention de prestataires intermédiaires (agences, assurances, banques). </w:t>
      </w:r>
    </w:p>
    <w:p w14:paraId="4C86F3EF" w14:textId="77777777" w:rsidR="00386AC0" w:rsidRPr="00DF421E" w:rsidRDefault="00386AC0" w:rsidP="00024FCB">
      <w:pPr>
        <w:pStyle w:val="Paragraphenumrot0"/>
        <w:numPr>
          <w:ilvl w:val="0"/>
          <w:numId w:val="0"/>
        </w:numPr>
      </w:pPr>
    </w:p>
    <w:p w14:paraId="59CCA0CC" w14:textId="6BF1D3F1" w:rsidR="00E81367" w:rsidRPr="00E81367" w:rsidRDefault="002F7779" w:rsidP="00E81367">
      <w:pPr>
        <w:pStyle w:val="Paragraphenumrot0"/>
      </w:pPr>
      <w:r w:rsidRPr="00DF421E">
        <w:t xml:space="preserve">La pratique de la GPA étant interdite en France, certains couples ou individus ont recours à celle-ci dans d’autres pays et font appel à des mère-porteuses étrangères. </w:t>
      </w:r>
      <w:r w:rsidRPr="00DF421E">
        <w:rPr>
          <w:b/>
        </w:rPr>
        <w:t>Ce phénomène a pour conséquence de favoriser le trafic humain, en contradiction totale avec les efforts internationaux de lutte contre un tel trafic.</w:t>
      </w:r>
    </w:p>
    <w:p w14:paraId="375CB6F8" w14:textId="621B1160" w:rsidR="00E81367" w:rsidRDefault="00E81367" w:rsidP="00E81367">
      <w:pPr>
        <w:pStyle w:val="Paragraphenumrot0"/>
        <w:numPr>
          <w:ilvl w:val="0"/>
          <w:numId w:val="0"/>
        </w:numPr>
      </w:pPr>
    </w:p>
    <w:p w14:paraId="43768CDB" w14:textId="77777777" w:rsidR="00205141" w:rsidRDefault="00205141" w:rsidP="00E81367">
      <w:pPr>
        <w:pStyle w:val="Paragraphenumrot0"/>
        <w:numPr>
          <w:ilvl w:val="0"/>
          <w:numId w:val="0"/>
        </w:numPr>
      </w:pPr>
    </w:p>
    <w:p w14:paraId="47ABC210" w14:textId="0F2F34CE" w:rsidR="00E01B36" w:rsidRDefault="00E81367" w:rsidP="00E01B36">
      <w:pPr>
        <w:pStyle w:val="Paragraphenumrot0"/>
      </w:pPr>
      <w:r>
        <w:lastRenderedPageBreak/>
        <w:t xml:space="preserve">La guerre </w:t>
      </w:r>
      <w:r w:rsidR="00937958">
        <w:t xml:space="preserve">actuelle </w:t>
      </w:r>
      <w:r>
        <w:t xml:space="preserve">en Ukraine témoigne de façon malheureuse de l’ampleur du trafic humain favorisé par la GPA au niveau international. </w:t>
      </w:r>
      <w:r w:rsidR="00937958">
        <w:t>P</w:t>
      </w:r>
      <w:r>
        <w:t xml:space="preserve">armi </w:t>
      </w:r>
      <w:r w:rsidR="00937958">
        <w:t>le</w:t>
      </w:r>
      <w:r w:rsidRPr="00E81367">
        <w:t xml:space="preserve"> cortège de drames humains</w:t>
      </w:r>
      <w:r>
        <w:t xml:space="preserve"> engendrés par </w:t>
      </w:r>
      <w:r w:rsidR="00937958">
        <w:t>le conflit</w:t>
      </w:r>
      <w:r>
        <w:t xml:space="preserve">, </w:t>
      </w:r>
      <w:r w:rsidRPr="00E81367">
        <w:t xml:space="preserve">les conséquences de la GPA pratiquées sur </w:t>
      </w:r>
      <w:r>
        <w:t>le</w:t>
      </w:r>
      <w:r w:rsidRPr="00E81367">
        <w:t xml:space="preserve"> sol </w:t>
      </w:r>
      <w:r>
        <w:t xml:space="preserve">ukrainien </w:t>
      </w:r>
      <w:r w:rsidR="00937958">
        <w:t>aggravent le constat</w:t>
      </w:r>
      <w:r w:rsidRPr="00E81367">
        <w:t xml:space="preserve">. Parmi </w:t>
      </w:r>
      <w:r w:rsidR="00937958">
        <w:t>l</w:t>
      </w:r>
      <w:r w:rsidRPr="00E81367">
        <w:t>es déplacements tragiques</w:t>
      </w:r>
      <w:r w:rsidR="00937958" w:rsidRPr="00937958">
        <w:t xml:space="preserve"> </w:t>
      </w:r>
      <w:r w:rsidR="00937958" w:rsidRPr="00E81367">
        <w:t>de</w:t>
      </w:r>
      <w:r w:rsidR="00937958">
        <w:t xml:space="preserve"> la</w:t>
      </w:r>
      <w:r w:rsidR="00937958" w:rsidRPr="00E81367">
        <w:t xml:space="preserve"> population civile</w:t>
      </w:r>
      <w:r w:rsidRPr="00E81367">
        <w:t xml:space="preserve">, </w:t>
      </w:r>
      <w:r w:rsidR="00937958">
        <w:t xml:space="preserve">dont </w:t>
      </w:r>
      <w:r w:rsidR="00937958" w:rsidRPr="00E81367">
        <w:t>6 millions auraient quitté leur pays et 7 millions seraient déplacés au sein de l’Ukraine</w:t>
      </w:r>
      <w:r w:rsidR="00937958">
        <w:t>,</w:t>
      </w:r>
      <w:r w:rsidR="00937958" w:rsidRPr="00E81367">
        <w:t xml:space="preserve"> </w:t>
      </w:r>
      <w:r w:rsidRPr="00E81367">
        <w:t xml:space="preserve">quelques femmes, mères porteuses ayant signé des contrats avec des agences de GPA, sont arrivées en France récemment afin, selon l’expression d’un commanditaire, de </w:t>
      </w:r>
      <w:r w:rsidR="00E01B36">
        <w:t>« </w:t>
      </w:r>
      <w:r w:rsidRPr="00E01B36">
        <w:rPr>
          <w:i/>
          <w:iCs/>
        </w:rPr>
        <w:t xml:space="preserve">finir le programme en </w:t>
      </w:r>
      <w:r w:rsidR="00E01B36" w:rsidRPr="00E01B36">
        <w:rPr>
          <w:i/>
          <w:iCs/>
        </w:rPr>
        <w:t>France</w:t>
      </w:r>
      <w:r w:rsidR="00E01B36">
        <w:t> »</w:t>
      </w:r>
      <w:r w:rsidR="00E01B36">
        <w:rPr>
          <w:rStyle w:val="FootnoteReference"/>
        </w:rPr>
        <w:footnoteReference w:id="16"/>
      </w:r>
      <w:r w:rsidRPr="00E81367">
        <w:t xml:space="preserve">. </w:t>
      </w:r>
    </w:p>
    <w:p w14:paraId="2052CADB" w14:textId="77777777" w:rsidR="00E01B36" w:rsidRDefault="00E01B36" w:rsidP="00E01B36">
      <w:pPr>
        <w:pStyle w:val="Paragraphenumrot0"/>
        <w:numPr>
          <w:ilvl w:val="0"/>
          <w:numId w:val="0"/>
        </w:numPr>
      </w:pPr>
    </w:p>
    <w:p w14:paraId="31A035FA" w14:textId="6E156CF6" w:rsidR="00937958" w:rsidRPr="00937958" w:rsidRDefault="00937958" w:rsidP="00E01B36">
      <w:pPr>
        <w:pStyle w:val="Paragraphenumrot0"/>
      </w:pPr>
      <w:r>
        <w:t xml:space="preserve">Des parades juridiques ont été mises en place au sein du territoire français afin d’assurer </w:t>
      </w:r>
      <w:r w:rsidR="00E01B36">
        <w:t>la reconnaissance du lien de filiation entre les</w:t>
      </w:r>
      <w:r>
        <w:t xml:space="preserve"> « commanditaires » </w:t>
      </w:r>
      <w:r w:rsidR="00E01B36">
        <w:t>et l’enfant né de la</w:t>
      </w:r>
      <w:r>
        <w:t xml:space="preserve"> mère-porteuse</w:t>
      </w:r>
      <w:r w:rsidR="00E01B36">
        <w:t xml:space="preserve"> et contourner ainsi la législation nationale</w:t>
      </w:r>
      <w:r w:rsidR="00E81367" w:rsidRPr="00E81367">
        <w:t>.</w:t>
      </w:r>
      <w:r w:rsidR="00E01B36">
        <w:t xml:space="preserve"> Mais</w:t>
      </w:r>
      <w:r w:rsidR="00E81367" w:rsidRPr="00E81367">
        <w:t xml:space="preserve"> cette situation visible ne peut occulter la cause de départ de la GPA, à savoir </w:t>
      </w:r>
      <w:r w:rsidR="00E81367" w:rsidRPr="00E01B36">
        <w:t>l’état de nécessité de femmes pauvres recourant à cette pratique afin de survivre.</w:t>
      </w:r>
      <w:r w:rsidR="00E81367" w:rsidRPr="00E81367">
        <w:t xml:space="preserve"> Concernant l’Ukraine, de nombreux reportages</w:t>
      </w:r>
      <w:r>
        <w:rPr>
          <w:rStyle w:val="FootnoteReference"/>
        </w:rPr>
        <w:footnoteReference w:id="17"/>
      </w:r>
      <w:r w:rsidR="00E81367">
        <w:t xml:space="preserve"> </w:t>
      </w:r>
      <w:r w:rsidR="00E81367" w:rsidRPr="00E81367">
        <w:t xml:space="preserve"> l’ont amplement montré. Le salaire d’une grossesse équivaut à 5 années de salaires dans certains cas. </w:t>
      </w:r>
      <w:r w:rsidR="00E81367" w:rsidRPr="00E01B36">
        <w:rPr>
          <w:b/>
          <w:bCs/>
        </w:rPr>
        <w:t>L’état de nécessité à adresser est donc le terreau d’injustice qui pousse ainsi des femmes à accepter un contrat sur leur corps.</w:t>
      </w:r>
    </w:p>
    <w:p w14:paraId="4AADCC76" w14:textId="77777777" w:rsidR="00937958" w:rsidRPr="00937958" w:rsidRDefault="00937958" w:rsidP="00937958">
      <w:pPr>
        <w:pStyle w:val="Paragraphenumrot0"/>
        <w:numPr>
          <w:ilvl w:val="0"/>
          <w:numId w:val="0"/>
        </w:num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62"/>
      </w:tblGrid>
      <w:tr w:rsidR="00F248F0" w14:paraId="105BED80" w14:textId="77777777" w:rsidTr="00D7623D">
        <w:tc>
          <w:tcPr>
            <w:tcW w:w="9062" w:type="dxa"/>
          </w:tcPr>
          <w:p w14:paraId="1A20C1BE" w14:textId="77777777" w:rsidR="00F248F0" w:rsidRPr="005A36E3" w:rsidRDefault="00F248F0" w:rsidP="00534282">
            <w:pPr>
              <w:spacing w:before="120"/>
              <w:jc w:val="center"/>
              <w:rPr>
                <w:rFonts w:ascii="Arial" w:hAnsi="Arial" w:cs="Arial"/>
                <w:b/>
                <w:bCs/>
                <w:color w:val="002060"/>
                <w:sz w:val="24"/>
                <w:szCs w:val="24"/>
              </w:rPr>
            </w:pPr>
            <w:r w:rsidRPr="005A36E3">
              <w:rPr>
                <w:rFonts w:ascii="Arial" w:hAnsi="Arial" w:cs="Arial"/>
                <w:b/>
                <w:bCs/>
                <w:color w:val="002060"/>
                <w:sz w:val="24"/>
                <w:szCs w:val="24"/>
              </w:rPr>
              <w:t>RECOMMANDATIONS</w:t>
            </w:r>
          </w:p>
          <w:p w14:paraId="18EF6AA5" w14:textId="4B5BD05E" w:rsidR="005A36E3" w:rsidRPr="005A36E3" w:rsidRDefault="005A36E3" w:rsidP="00F248F0">
            <w:pPr>
              <w:pStyle w:val="ListParagraph"/>
              <w:numPr>
                <w:ilvl w:val="0"/>
                <w:numId w:val="32"/>
              </w:numPr>
              <w:spacing w:before="120" w:after="120"/>
              <w:ind w:left="596"/>
              <w:contextualSpacing w:val="0"/>
              <w:jc w:val="both"/>
              <w:rPr>
                <w:rFonts w:ascii="Arial" w:hAnsi="Arial" w:cs="Arial"/>
                <w:color w:val="002060"/>
                <w:sz w:val="24"/>
                <w:szCs w:val="24"/>
              </w:rPr>
            </w:pPr>
            <w:r w:rsidRPr="005A36E3">
              <w:rPr>
                <w:rFonts w:ascii="Arial" w:hAnsi="Arial" w:cs="Arial"/>
                <w:color w:val="002060"/>
                <w:sz w:val="24"/>
                <w:szCs w:val="24"/>
              </w:rPr>
              <w:t>Renforcer le cadre législatif interdisant la GPA en France et encadrer plus strictement ses effets en interdisant qu’une telle pratique, contraire à l’intérêt supérieur de l’enfant et qui va à l’encontre du droit des femmes, puisse avoir de quelconques effets juridiques sur le territoire français,</w:t>
            </w:r>
          </w:p>
          <w:p w14:paraId="75B54B85" w14:textId="52C98B3C" w:rsidR="00F248F0" w:rsidRPr="005A36E3" w:rsidRDefault="00F248F0" w:rsidP="00F248F0">
            <w:pPr>
              <w:pStyle w:val="ListParagraph"/>
              <w:numPr>
                <w:ilvl w:val="0"/>
                <w:numId w:val="32"/>
              </w:numPr>
              <w:spacing w:before="120" w:after="120"/>
              <w:ind w:left="596"/>
              <w:contextualSpacing w:val="0"/>
              <w:jc w:val="both"/>
              <w:rPr>
                <w:rFonts w:ascii="Arial" w:hAnsi="Arial" w:cs="Arial"/>
                <w:color w:val="002060"/>
                <w:sz w:val="24"/>
                <w:szCs w:val="24"/>
              </w:rPr>
            </w:pPr>
            <w:r w:rsidRPr="005A36E3">
              <w:rPr>
                <w:rFonts w:ascii="Arial" w:hAnsi="Arial" w:cs="Arial"/>
                <w:color w:val="002060"/>
                <w:sz w:val="24"/>
                <w:szCs w:val="24"/>
              </w:rPr>
              <w:t>S’engager dans une initiative internationale pour interdire la GPA de manière universelle</w:t>
            </w:r>
            <w:r w:rsidR="00E458FC" w:rsidRPr="005A36E3">
              <w:rPr>
                <w:rFonts w:ascii="Arial" w:hAnsi="Arial" w:cs="Arial"/>
                <w:color w:val="002060"/>
                <w:sz w:val="24"/>
                <w:szCs w:val="24"/>
              </w:rPr>
              <w:t>,</w:t>
            </w:r>
          </w:p>
          <w:p w14:paraId="471F21AE" w14:textId="1640631C" w:rsidR="00E458FC" w:rsidRPr="005A36E3" w:rsidRDefault="005A36E3" w:rsidP="00D72D01">
            <w:pPr>
              <w:pStyle w:val="ListParagraph"/>
              <w:numPr>
                <w:ilvl w:val="0"/>
                <w:numId w:val="32"/>
              </w:numPr>
              <w:spacing w:before="120" w:after="240"/>
              <w:ind w:left="595" w:hanging="357"/>
              <w:contextualSpacing w:val="0"/>
              <w:jc w:val="both"/>
              <w:rPr>
                <w:rFonts w:ascii="Arial" w:hAnsi="Arial" w:cs="Arial"/>
                <w:color w:val="002060"/>
                <w:sz w:val="24"/>
                <w:szCs w:val="24"/>
              </w:rPr>
            </w:pPr>
            <w:r w:rsidRPr="005A36E3">
              <w:rPr>
                <w:rFonts w:ascii="Arial" w:hAnsi="Arial" w:cs="Arial"/>
                <w:color w:val="002060"/>
                <w:sz w:val="24"/>
                <w:szCs w:val="24"/>
              </w:rPr>
              <w:t>Réaffirmer le droit de la France à établir des politiques nationales et l’e</w:t>
            </w:r>
            <w:r w:rsidR="002064C1" w:rsidRPr="005A36E3">
              <w:rPr>
                <w:rFonts w:ascii="Arial" w:hAnsi="Arial" w:cs="Arial"/>
                <w:color w:val="002060"/>
                <w:sz w:val="24"/>
                <w:szCs w:val="24"/>
              </w:rPr>
              <w:t>n</w:t>
            </w:r>
            <w:r w:rsidR="007F7946" w:rsidRPr="005A36E3">
              <w:rPr>
                <w:rFonts w:ascii="Arial" w:hAnsi="Arial" w:cs="Arial"/>
                <w:color w:val="002060"/>
                <w:sz w:val="24"/>
                <w:szCs w:val="24"/>
              </w:rPr>
              <w:t xml:space="preserve">courager dans sa lutte contre le trafic humain, </w:t>
            </w:r>
            <w:r w:rsidRPr="005A36E3">
              <w:rPr>
                <w:rFonts w:ascii="Arial" w:hAnsi="Arial" w:cs="Arial"/>
                <w:color w:val="002060"/>
                <w:sz w:val="24"/>
                <w:szCs w:val="24"/>
              </w:rPr>
              <w:t>en appelant</w:t>
            </w:r>
            <w:r w:rsidR="00717073" w:rsidRPr="005A36E3">
              <w:rPr>
                <w:rFonts w:ascii="Arial" w:hAnsi="Arial" w:cs="Arial"/>
                <w:color w:val="002060"/>
                <w:sz w:val="24"/>
                <w:szCs w:val="24"/>
              </w:rPr>
              <w:t xml:space="preserve"> </w:t>
            </w:r>
            <w:r w:rsidRPr="005A36E3">
              <w:rPr>
                <w:rFonts w:ascii="Arial" w:hAnsi="Arial" w:cs="Arial"/>
                <w:color w:val="002060"/>
                <w:sz w:val="24"/>
                <w:szCs w:val="24"/>
              </w:rPr>
              <w:t>s</w:t>
            </w:r>
            <w:r w:rsidR="00717073" w:rsidRPr="005A36E3">
              <w:rPr>
                <w:rFonts w:ascii="Arial" w:hAnsi="Arial" w:cs="Arial"/>
                <w:color w:val="002060"/>
                <w:sz w:val="24"/>
                <w:szCs w:val="24"/>
              </w:rPr>
              <w:t>a</w:t>
            </w:r>
            <w:r w:rsidR="002064C1" w:rsidRPr="005A36E3">
              <w:rPr>
                <w:rFonts w:ascii="Arial" w:hAnsi="Arial" w:cs="Arial"/>
                <w:color w:val="002060"/>
                <w:sz w:val="24"/>
                <w:szCs w:val="24"/>
              </w:rPr>
              <w:t xml:space="preserve"> </w:t>
            </w:r>
            <w:r w:rsidR="00717073" w:rsidRPr="005A36E3">
              <w:rPr>
                <w:rFonts w:ascii="Arial" w:hAnsi="Arial" w:cs="Arial"/>
                <w:color w:val="002060"/>
                <w:sz w:val="24"/>
                <w:szCs w:val="24"/>
              </w:rPr>
              <w:t>v</w:t>
            </w:r>
            <w:r w:rsidR="002064C1" w:rsidRPr="005A36E3">
              <w:rPr>
                <w:rFonts w:ascii="Arial" w:hAnsi="Arial" w:cs="Arial"/>
                <w:color w:val="002060"/>
                <w:sz w:val="24"/>
                <w:szCs w:val="24"/>
              </w:rPr>
              <w:t xml:space="preserve">igilance </w:t>
            </w:r>
            <w:r w:rsidRPr="005A36E3">
              <w:rPr>
                <w:rFonts w:ascii="Arial" w:hAnsi="Arial" w:cs="Arial"/>
                <w:color w:val="002060"/>
                <w:sz w:val="24"/>
                <w:szCs w:val="24"/>
              </w:rPr>
              <w:t xml:space="preserve">dans </w:t>
            </w:r>
            <w:r w:rsidR="002064C1" w:rsidRPr="005A36E3">
              <w:rPr>
                <w:rFonts w:ascii="Arial" w:hAnsi="Arial" w:cs="Arial"/>
                <w:color w:val="002060"/>
                <w:sz w:val="24"/>
                <w:szCs w:val="24"/>
              </w:rPr>
              <w:t xml:space="preserve">son positionnement </w:t>
            </w:r>
            <w:r w:rsidRPr="005A36E3">
              <w:rPr>
                <w:rFonts w:ascii="Arial" w:hAnsi="Arial" w:cs="Arial"/>
                <w:color w:val="002060"/>
                <w:sz w:val="24"/>
                <w:szCs w:val="24"/>
              </w:rPr>
              <w:t>concernant</w:t>
            </w:r>
            <w:r w:rsidR="002064C1" w:rsidRPr="005A36E3">
              <w:rPr>
                <w:rFonts w:ascii="Arial" w:hAnsi="Arial" w:cs="Arial"/>
                <w:color w:val="002060"/>
                <w:sz w:val="24"/>
                <w:szCs w:val="24"/>
              </w:rPr>
              <w:t xml:space="preserve"> </w:t>
            </w:r>
            <w:r w:rsidRPr="005A36E3">
              <w:rPr>
                <w:rFonts w:ascii="Arial" w:hAnsi="Arial" w:cs="Arial"/>
                <w:color w:val="002060"/>
                <w:sz w:val="24"/>
                <w:szCs w:val="24"/>
              </w:rPr>
              <w:t>l</w:t>
            </w:r>
            <w:r w:rsidR="002064C1" w:rsidRPr="005A36E3">
              <w:rPr>
                <w:rFonts w:ascii="Arial" w:hAnsi="Arial" w:cs="Arial"/>
                <w:color w:val="002060"/>
                <w:sz w:val="24"/>
                <w:szCs w:val="24"/>
              </w:rPr>
              <w:t>es</w:t>
            </w:r>
            <w:r w:rsidR="00E458FC" w:rsidRPr="005A36E3">
              <w:rPr>
                <w:rFonts w:ascii="Arial" w:hAnsi="Arial" w:cs="Arial"/>
                <w:color w:val="002060"/>
                <w:sz w:val="24"/>
                <w:szCs w:val="24"/>
              </w:rPr>
              <w:t xml:space="preserve"> accords </w:t>
            </w:r>
            <w:r w:rsidR="002064C1" w:rsidRPr="005A36E3">
              <w:rPr>
                <w:rFonts w:ascii="Arial" w:hAnsi="Arial" w:cs="Arial"/>
                <w:color w:val="002060"/>
                <w:sz w:val="24"/>
                <w:szCs w:val="24"/>
              </w:rPr>
              <w:t>inter-étatiques</w:t>
            </w:r>
            <w:r w:rsidRPr="005A36E3">
              <w:rPr>
                <w:rFonts w:ascii="Arial" w:hAnsi="Arial" w:cs="Arial"/>
                <w:color w:val="002060"/>
                <w:sz w:val="24"/>
                <w:szCs w:val="24"/>
              </w:rPr>
              <w:t>, y compris au niveau de l’Union européenne,</w:t>
            </w:r>
            <w:r w:rsidR="002064C1" w:rsidRPr="005A36E3">
              <w:rPr>
                <w:rFonts w:ascii="Arial" w:hAnsi="Arial" w:cs="Arial"/>
                <w:color w:val="002060"/>
                <w:sz w:val="24"/>
                <w:szCs w:val="24"/>
              </w:rPr>
              <w:t xml:space="preserve"> </w:t>
            </w:r>
            <w:r w:rsidR="00717073" w:rsidRPr="005A36E3">
              <w:rPr>
                <w:rFonts w:ascii="Arial" w:hAnsi="Arial" w:cs="Arial"/>
                <w:color w:val="002060"/>
                <w:sz w:val="24"/>
                <w:szCs w:val="24"/>
              </w:rPr>
              <w:t xml:space="preserve">qui conduiraient </w:t>
            </w:r>
            <w:r w:rsidR="002064C1" w:rsidRPr="005A36E3">
              <w:rPr>
                <w:rFonts w:ascii="Arial" w:hAnsi="Arial" w:cs="Arial"/>
                <w:color w:val="002060"/>
                <w:sz w:val="24"/>
                <w:szCs w:val="24"/>
              </w:rPr>
              <w:t xml:space="preserve">à </w:t>
            </w:r>
            <w:r w:rsidR="00717073" w:rsidRPr="005A36E3">
              <w:rPr>
                <w:rFonts w:ascii="Arial" w:hAnsi="Arial" w:cs="Arial"/>
                <w:color w:val="002060"/>
                <w:sz w:val="24"/>
                <w:szCs w:val="24"/>
              </w:rPr>
              <w:t>contourner</w:t>
            </w:r>
            <w:r w:rsidR="002064C1" w:rsidRPr="005A36E3">
              <w:rPr>
                <w:rFonts w:ascii="Arial" w:hAnsi="Arial" w:cs="Arial"/>
                <w:color w:val="002060"/>
                <w:sz w:val="24"/>
                <w:szCs w:val="24"/>
              </w:rPr>
              <w:t xml:space="preserve"> </w:t>
            </w:r>
            <w:r w:rsidRPr="005A36E3">
              <w:rPr>
                <w:rFonts w:ascii="Arial" w:hAnsi="Arial" w:cs="Arial"/>
                <w:color w:val="002060"/>
                <w:sz w:val="24"/>
                <w:szCs w:val="24"/>
              </w:rPr>
              <w:t>sa</w:t>
            </w:r>
            <w:r w:rsidR="002064C1" w:rsidRPr="005A36E3">
              <w:rPr>
                <w:rFonts w:ascii="Arial" w:hAnsi="Arial" w:cs="Arial"/>
                <w:color w:val="002060"/>
                <w:sz w:val="24"/>
                <w:szCs w:val="24"/>
              </w:rPr>
              <w:t xml:space="preserve"> législation </w:t>
            </w:r>
            <w:r w:rsidRPr="005A36E3">
              <w:rPr>
                <w:rFonts w:ascii="Arial" w:hAnsi="Arial" w:cs="Arial"/>
                <w:color w:val="002060"/>
                <w:sz w:val="24"/>
                <w:szCs w:val="24"/>
              </w:rPr>
              <w:t>et la vider de sa substance.</w:t>
            </w:r>
          </w:p>
        </w:tc>
      </w:tr>
    </w:tbl>
    <w:p w14:paraId="05F856E3" w14:textId="6564CA54" w:rsidR="005A36E3" w:rsidRDefault="005A36E3" w:rsidP="007C4C7A">
      <w:pPr>
        <w:spacing w:after="0" w:line="240" w:lineRule="auto"/>
        <w:jc w:val="both"/>
        <w:rPr>
          <w:rFonts w:ascii="Arial" w:hAnsi="Arial" w:cs="Arial"/>
          <w:sz w:val="40"/>
          <w:szCs w:val="40"/>
        </w:rPr>
      </w:pPr>
    </w:p>
    <w:p w14:paraId="66B2E5C3" w14:textId="77777777" w:rsidR="00E01B36" w:rsidRPr="000F61F0" w:rsidRDefault="00E01B36" w:rsidP="007C4C7A">
      <w:pPr>
        <w:spacing w:after="0" w:line="240" w:lineRule="auto"/>
        <w:jc w:val="both"/>
        <w:rPr>
          <w:rFonts w:ascii="Arial" w:hAnsi="Arial" w:cs="Arial"/>
          <w:sz w:val="40"/>
          <w:szCs w:val="40"/>
        </w:rPr>
      </w:pPr>
    </w:p>
    <w:p w14:paraId="7A63B29C" w14:textId="3034D805" w:rsidR="005A36E3" w:rsidRDefault="007C4C7A" w:rsidP="00426CF8">
      <w:pPr>
        <w:spacing w:after="0" w:line="240" w:lineRule="auto"/>
        <w:jc w:val="center"/>
        <w:rPr>
          <w:rFonts w:ascii="Arial" w:hAnsi="Arial" w:cs="Arial"/>
          <w:sz w:val="32"/>
          <w:szCs w:val="32"/>
        </w:rPr>
      </w:pPr>
      <w:r w:rsidRPr="007C4C7A">
        <w:rPr>
          <w:rFonts w:ascii="Arial" w:hAnsi="Arial" w:cs="Arial"/>
          <w:sz w:val="32"/>
          <w:szCs w:val="32"/>
        </w:rPr>
        <w:t>******</w:t>
      </w:r>
    </w:p>
    <w:p w14:paraId="3BE52FB1" w14:textId="2E9AC10A" w:rsidR="00E01B36" w:rsidRDefault="00E01B36">
      <w:pPr>
        <w:spacing w:after="160" w:line="259" w:lineRule="auto"/>
        <w:rPr>
          <w:rFonts w:ascii="Arial" w:hAnsi="Arial" w:cs="Arial"/>
          <w:b/>
          <w:bCs/>
          <w:color w:val="002060"/>
          <w:sz w:val="24"/>
          <w:szCs w:val="24"/>
          <w:u w:val="single"/>
        </w:rPr>
      </w:pPr>
      <w:r>
        <w:rPr>
          <w:rFonts w:ascii="Arial" w:hAnsi="Arial" w:cs="Arial"/>
          <w:b/>
          <w:bCs/>
          <w:color w:val="002060"/>
          <w:sz w:val="24"/>
          <w:szCs w:val="24"/>
          <w:u w:val="single"/>
        </w:rPr>
        <w:br w:type="page"/>
      </w:r>
    </w:p>
    <w:p w14:paraId="01EC682A" w14:textId="77777777" w:rsidR="00426CF8" w:rsidRDefault="00426CF8" w:rsidP="00426CF8">
      <w:pPr>
        <w:pStyle w:val="ListParagraph"/>
        <w:spacing w:after="0"/>
        <w:contextualSpacing w:val="0"/>
        <w:rPr>
          <w:rFonts w:ascii="Arial" w:hAnsi="Arial" w:cs="Arial"/>
          <w:b/>
          <w:bCs/>
          <w:color w:val="002060"/>
          <w:sz w:val="24"/>
          <w:szCs w:val="24"/>
          <w:u w:val="single"/>
        </w:rPr>
      </w:pPr>
    </w:p>
    <w:p w14:paraId="5E91A926" w14:textId="7121E1ED" w:rsidR="004A7D5C" w:rsidRDefault="004A7D5C" w:rsidP="006234CC">
      <w:pPr>
        <w:pStyle w:val="ListParagraph"/>
        <w:numPr>
          <w:ilvl w:val="0"/>
          <w:numId w:val="43"/>
        </w:numPr>
        <w:spacing w:after="0"/>
        <w:contextualSpacing w:val="0"/>
        <w:rPr>
          <w:rFonts w:ascii="Arial" w:hAnsi="Arial" w:cs="Arial"/>
          <w:b/>
          <w:bCs/>
          <w:color w:val="002060"/>
          <w:sz w:val="24"/>
          <w:szCs w:val="24"/>
          <w:u w:val="single"/>
        </w:rPr>
      </w:pPr>
      <w:r w:rsidRPr="00DF421E">
        <w:rPr>
          <w:rFonts w:ascii="Arial" w:hAnsi="Arial" w:cs="Arial"/>
          <w:b/>
          <w:bCs/>
          <w:color w:val="002060"/>
          <w:sz w:val="24"/>
          <w:szCs w:val="24"/>
          <w:u w:val="single"/>
        </w:rPr>
        <w:t>Droit de connaître ses parents et d’être élevé par eux, et droit à l’identité</w:t>
      </w:r>
    </w:p>
    <w:p w14:paraId="29AB86A7" w14:textId="77777777" w:rsidR="006234CC" w:rsidRPr="00182F48" w:rsidRDefault="006234CC" w:rsidP="006234CC">
      <w:pPr>
        <w:pStyle w:val="ListParagraph"/>
        <w:spacing w:after="0"/>
        <w:contextualSpacing w:val="0"/>
        <w:rPr>
          <w:rFonts w:ascii="Arial" w:hAnsi="Arial" w:cs="Arial"/>
          <w:b/>
          <w:bCs/>
          <w:color w:val="002060"/>
          <w:sz w:val="28"/>
          <w:szCs w:val="28"/>
          <w:u w:val="single"/>
        </w:rPr>
      </w:pPr>
    </w:p>
    <w:p w14:paraId="3EB70DF0" w14:textId="1D5D18EF" w:rsidR="004A7D5C" w:rsidRDefault="004A7D5C" w:rsidP="006234CC">
      <w:pPr>
        <w:spacing w:after="0"/>
        <w:rPr>
          <w:rFonts w:ascii="Arial" w:hAnsi="Arial" w:cs="Arial"/>
          <w:b/>
          <w:bCs/>
          <w:i/>
          <w:iCs/>
          <w:color w:val="002060"/>
          <w:sz w:val="24"/>
          <w:szCs w:val="24"/>
        </w:rPr>
      </w:pPr>
      <w:r w:rsidRPr="00DF421E">
        <w:rPr>
          <w:rFonts w:ascii="Arial" w:hAnsi="Arial" w:cs="Arial"/>
          <w:b/>
          <w:bCs/>
          <w:i/>
          <w:iCs/>
          <w:color w:val="002060"/>
          <w:sz w:val="24"/>
          <w:szCs w:val="24"/>
        </w:rPr>
        <w:t>C. Libertés et droits civils (art. 7,</w:t>
      </w:r>
      <w:r w:rsidR="006234CC">
        <w:rPr>
          <w:rFonts w:ascii="Arial" w:hAnsi="Arial" w:cs="Arial"/>
          <w:b/>
          <w:bCs/>
          <w:i/>
          <w:iCs/>
          <w:color w:val="002060"/>
          <w:sz w:val="24"/>
          <w:szCs w:val="24"/>
        </w:rPr>
        <w:t xml:space="preserve"> </w:t>
      </w:r>
      <w:r w:rsidRPr="00DF421E">
        <w:rPr>
          <w:rFonts w:ascii="Arial" w:hAnsi="Arial" w:cs="Arial"/>
          <w:b/>
          <w:bCs/>
          <w:i/>
          <w:iCs/>
          <w:color w:val="002060"/>
          <w:sz w:val="24"/>
          <w:szCs w:val="24"/>
        </w:rPr>
        <w:t>8 et 13 à</w:t>
      </w:r>
      <w:r w:rsidR="006234CC">
        <w:rPr>
          <w:rFonts w:ascii="Arial" w:hAnsi="Arial" w:cs="Arial"/>
          <w:b/>
          <w:bCs/>
          <w:i/>
          <w:iCs/>
          <w:color w:val="002060"/>
          <w:sz w:val="24"/>
          <w:szCs w:val="24"/>
        </w:rPr>
        <w:t xml:space="preserve"> </w:t>
      </w:r>
      <w:r w:rsidRPr="00DF421E">
        <w:rPr>
          <w:rFonts w:ascii="Arial" w:hAnsi="Arial" w:cs="Arial"/>
          <w:b/>
          <w:bCs/>
          <w:i/>
          <w:iCs/>
          <w:color w:val="002060"/>
          <w:sz w:val="24"/>
          <w:szCs w:val="24"/>
        </w:rPr>
        <w:t>17)</w:t>
      </w:r>
    </w:p>
    <w:p w14:paraId="677588A9" w14:textId="77777777" w:rsidR="006234CC" w:rsidRPr="00D72D01" w:rsidRDefault="006234CC" w:rsidP="006234CC">
      <w:pPr>
        <w:spacing w:after="0"/>
        <w:rPr>
          <w:rFonts w:ascii="Arial" w:hAnsi="Arial" w:cs="Arial"/>
          <w:color w:val="002060"/>
          <w:sz w:val="28"/>
          <w:szCs w:val="28"/>
        </w:rPr>
      </w:pPr>
    </w:p>
    <w:p w14:paraId="63FDF872" w14:textId="16C17603" w:rsidR="004A7D5C" w:rsidRPr="00DF421E" w:rsidRDefault="001C7373" w:rsidP="00024FCB">
      <w:pPr>
        <w:pStyle w:val="Paragraphenumrot0"/>
      </w:pPr>
      <w:r w:rsidRPr="00DF421E">
        <w:t xml:space="preserve">Sur ce point, </w:t>
      </w:r>
      <w:r w:rsidR="00367806" w:rsidRPr="00DF421E">
        <w:t>le</w:t>
      </w:r>
      <w:r w:rsidRPr="00DF421E">
        <w:t xml:space="preserve"> Comité </w:t>
      </w:r>
      <w:r w:rsidR="00367806" w:rsidRPr="00DF421E">
        <w:t>interroge la France relativement aux droits de l’enfant d</w:t>
      </w:r>
      <w:r w:rsidRPr="00DF421E">
        <w:t>e connaître ses origines et de connaître ses parents et d’être élevé par eux</w:t>
      </w:r>
      <w:r w:rsidR="00367806" w:rsidRPr="00DF421E">
        <w:t xml:space="preserve"> </w:t>
      </w:r>
      <w:r w:rsidRPr="00DF421E">
        <w:t xml:space="preserve">dans le cadre </w:t>
      </w:r>
      <w:r w:rsidR="00367806" w:rsidRPr="00DF421E">
        <w:t>du projet de loi relatif à la bioéthique</w:t>
      </w:r>
      <w:r w:rsidR="00367806" w:rsidRPr="00DF421E">
        <w:rPr>
          <w:rStyle w:val="FootnoteReference"/>
          <w:bCs/>
          <w:iCs/>
        </w:rPr>
        <w:footnoteReference w:id="18"/>
      </w:r>
      <w:r w:rsidR="00367806" w:rsidRPr="00DF421E">
        <w:t>. Dans son rapport, l</w:t>
      </w:r>
      <w:r w:rsidR="004A7D5C" w:rsidRPr="00DF421E">
        <w:t xml:space="preserve">’État français </w:t>
      </w:r>
      <w:r w:rsidR="00367806" w:rsidRPr="00DF421E">
        <w:t xml:space="preserve">détaille les mesures adoptées </w:t>
      </w:r>
      <w:r w:rsidR="002F7886" w:rsidRPr="00DF421E">
        <w:t>aux termes de</w:t>
      </w:r>
      <w:r w:rsidR="00367806" w:rsidRPr="00DF421E">
        <w:t xml:space="preserve"> la loi du 2 août 2021 relative à la bioéthique </w:t>
      </w:r>
      <w:r w:rsidR="002F7886" w:rsidRPr="00DF421E">
        <w:t>et le nouveau régime en vigueur à cet égard</w:t>
      </w:r>
      <w:r w:rsidR="002F7886" w:rsidRPr="00DF421E">
        <w:rPr>
          <w:rStyle w:val="FootnoteReference"/>
          <w:bCs/>
          <w:iCs/>
        </w:rPr>
        <w:footnoteReference w:id="19"/>
      </w:r>
      <w:r w:rsidR="002F7886" w:rsidRPr="00DF421E">
        <w:t>.</w:t>
      </w:r>
      <w:r w:rsidR="00367806" w:rsidRPr="00DF421E">
        <w:t xml:space="preserve"> </w:t>
      </w:r>
    </w:p>
    <w:p w14:paraId="17432968" w14:textId="77777777" w:rsidR="005A36E3" w:rsidRPr="00DF421E" w:rsidRDefault="005A36E3" w:rsidP="00024FCB">
      <w:pPr>
        <w:pStyle w:val="Paragraphenumrot0"/>
        <w:numPr>
          <w:ilvl w:val="0"/>
          <w:numId w:val="0"/>
        </w:numPr>
      </w:pPr>
    </w:p>
    <w:p w14:paraId="2C64E78B" w14:textId="17424280" w:rsidR="0050284A" w:rsidRPr="00DF421E" w:rsidRDefault="0050284A" w:rsidP="00024FCB">
      <w:pPr>
        <w:pStyle w:val="Paragraphenumrot0"/>
      </w:pPr>
      <w:r w:rsidRPr="00DF421E">
        <w:t xml:space="preserve">En France, le législateur a autorisé les techniques d’assistance médicale à la procréation (« AMP »), comprenant l’insémination et la fécondation in vitro avec tiers donneur, en posant un cadre qui se voulait strict, aligné sur les principes de la procréation naturelle. </w:t>
      </w:r>
    </w:p>
    <w:p w14:paraId="2789D9F4" w14:textId="77777777" w:rsidR="0050284A" w:rsidRPr="00DF421E" w:rsidRDefault="0050284A" w:rsidP="00024FCB">
      <w:pPr>
        <w:pStyle w:val="Paragraphenumrot0"/>
        <w:numPr>
          <w:ilvl w:val="0"/>
          <w:numId w:val="0"/>
        </w:numPr>
      </w:pPr>
    </w:p>
    <w:p w14:paraId="0B5C5D73" w14:textId="3E273695" w:rsidR="0050284A" w:rsidRPr="00DF421E" w:rsidRDefault="00F248F0" w:rsidP="00024FCB">
      <w:pPr>
        <w:pStyle w:val="Paragraphenumrot0"/>
      </w:pPr>
      <w:r w:rsidRPr="00DF421E">
        <w:t xml:space="preserve">Depuis l’adoption de la dernière loi </w:t>
      </w:r>
      <w:r w:rsidR="006D6864">
        <w:t>de bioéthique de 2021</w:t>
      </w:r>
      <w:r w:rsidRPr="00DF421E">
        <w:t>, le régime de l’</w:t>
      </w:r>
      <w:r w:rsidR="0050284A" w:rsidRPr="00DF421E">
        <w:t>AMP</w:t>
      </w:r>
      <w:r w:rsidRPr="00DF421E">
        <w:t xml:space="preserve"> (aussi appelée « PMA ») </w:t>
      </w:r>
      <w:r w:rsidR="0050284A" w:rsidRPr="00DF421E">
        <w:t xml:space="preserve">porte des atteintes graves aux principes et aux droits consacrés par la Convention et entraine un bouleversement des règles de la filiation. </w:t>
      </w:r>
    </w:p>
    <w:p w14:paraId="0A6F40B3" w14:textId="77777777" w:rsidR="00024FCB" w:rsidRPr="00DF421E" w:rsidRDefault="00024FCB" w:rsidP="00024FCB">
      <w:pPr>
        <w:pStyle w:val="Paragraphenumrot0"/>
        <w:numPr>
          <w:ilvl w:val="0"/>
          <w:numId w:val="0"/>
        </w:numPr>
      </w:pPr>
    </w:p>
    <w:p w14:paraId="5161A10E" w14:textId="296C740C" w:rsidR="00D72D01" w:rsidRDefault="000F0B60" w:rsidP="00024FCB">
      <w:pPr>
        <w:pStyle w:val="Paragraphenumrot0"/>
      </w:pPr>
      <w:r w:rsidRPr="00024FCB">
        <w:t>Tout d’abord, l’abandon du critère de l’infertilité a des conséquences lourdes sur la filiation de l’enfant et porte atteinte aux droits qu’il détient des articles 7, 8, et 18 de la Convention.</w:t>
      </w:r>
      <w:r w:rsidR="00024FCB">
        <w:t xml:space="preserve"> </w:t>
      </w:r>
    </w:p>
    <w:p w14:paraId="40ACC1A8" w14:textId="77777777" w:rsidR="00D72D01" w:rsidRDefault="00D72D01" w:rsidP="00D72D01">
      <w:pPr>
        <w:pStyle w:val="Paragraphenumrot0"/>
        <w:numPr>
          <w:ilvl w:val="0"/>
          <w:numId w:val="0"/>
        </w:numPr>
      </w:pPr>
    </w:p>
    <w:p w14:paraId="451A0C95" w14:textId="22527BBC" w:rsidR="00F248F0" w:rsidRPr="00DF421E" w:rsidRDefault="000F0B60" w:rsidP="00024FCB">
      <w:pPr>
        <w:pStyle w:val="Paragraphenumrot0"/>
      </w:pPr>
      <w:r w:rsidRPr="00DF421E">
        <w:t>L’</w:t>
      </w:r>
      <w:r w:rsidR="00F248F0" w:rsidRPr="00DF421E">
        <w:t>abandon du critère d’infertilité dans l’accès aux techniques d’AMP avec tiers donneur</w:t>
      </w:r>
      <w:r w:rsidR="00024FCB">
        <w:t xml:space="preserve"> </w:t>
      </w:r>
      <w:r w:rsidR="00F248F0" w:rsidRPr="00DF421E">
        <w:t xml:space="preserve">méconnait le principe </w:t>
      </w:r>
      <w:r w:rsidR="0050284A" w:rsidRPr="00DF421E">
        <w:t xml:space="preserve">de l’article 18 de la Convention </w:t>
      </w:r>
      <w:r w:rsidR="00F248F0" w:rsidRPr="00DF421E">
        <w:t>selon lequel</w:t>
      </w:r>
      <w:r w:rsidR="0050284A" w:rsidRPr="00DF421E">
        <w:t xml:space="preserve">, </w:t>
      </w:r>
      <w:r w:rsidR="00F248F0" w:rsidRPr="00DF421E">
        <w:t>« </w:t>
      </w:r>
      <w:r w:rsidR="00F248F0" w:rsidRPr="00024FCB">
        <w:rPr>
          <w:i/>
        </w:rPr>
        <w:t>les deux parents ont une responsabilité commune pour ce qui est d'élever l'enfant et d'assurer son développement</w:t>
      </w:r>
      <w:r w:rsidR="00F248F0" w:rsidRPr="00DF421E">
        <w:t> »</w:t>
      </w:r>
      <w:r w:rsidR="00F248F0" w:rsidRPr="00DF421E">
        <w:rPr>
          <w:rStyle w:val="FootnoteReference"/>
        </w:rPr>
        <w:footnoteReference w:id="20"/>
      </w:r>
      <w:r w:rsidR="00F248F0" w:rsidRPr="00DF421E">
        <w:t>. En institutionnalisant l’AMP avec donneur sans partenaire masculin, l</w:t>
      </w:r>
      <w:r w:rsidR="00024FCB">
        <w:t xml:space="preserve">’État </w:t>
      </w:r>
      <w:r w:rsidR="00F248F0" w:rsidRPr="00DF421E">
        <w:t xml:space="preserve">français prive par avance de père les enfants ainsi nés. </w:t>
      </w:r>
    </w:p>
    <w:p w14:paraId="136198A8" w14:textId="77777777" w:rsidR="00F248F0" w:rsidRPr="00DF421E" w:rsidRDefault="00F248F0" w:rsidP="00024FCB">
      <w:pPr>
        <w:pStyle w:val="Paragraphenumrot0"/>
        <w:numPr>
          <w:ilvl w:val="0"/>
          <w:numId w:val="0"/>
        </w:numPr>
      </w:pPr>
    </w:p>
    <w:p w14:paraId="4B1D7F4D" w14:textId="49B5BC81" w:rsidR="00E01B36" w:rsidRDefault="00F248F0" w:rsidP="00182F48">
      <w:pPr>
        <w:pStyle w:val="Paragraphenumrot0"/>
      </w:pPr>
      <w:r w:rsidRPr="00DF421E">
        <w:t>Pourtant, selon le sondage</w:t>
      </w:r>
      <w:r w:rsidRPr="00DF421E">
        <w:rPr>
          <w:rStyle w:val="FootnoteReference"/>
        </w:rPr>
        <w:footnoteReference w:id="21"/>
      </w:r>
      <w:r w:rsidRPr="00DF421E">
        <w:t xml:space="preserve"> IFOP sur les Français et la paternité, pour 93% des Français, les pères ont un rôle essentiel à jouer pour les enfants. Pour 61% des personnes interrogées, « </w:t>
      </w:r>
      <w:r w:rsidRPr="00DF421E">
        <w:rPr>
          <w:i/>
        </w:rPr>
        <w:t>il faut privilégier le besoin de chaque enfant d’avoir un père en réservant la PMA aux couples homme femme ayant un problème d’infertilité</w:t>
      </w:r>
      <w:r w:rsidRPr="00DF421E">
        <w:t xml:space="preserve"> ».</w:t>
      </w:r>
      <w:r w:rsidR="0050284A" w:rsidRPr="00DF421E">
        <w:t xml:space="preserve"> La référence aux origines paternelles, non seulement dans l’engendrement mais aussi dans l’éducation, demeure le désir profond des Français pour leurs enfants.</w:t>
      </w:r>
    </w:p>
    <w:p w14:paraId="0D2051F2" w14:textId="77777777" w:rsidR="00182F48" w:rsidRDefault="00182F48" w:rsidP="00182F48">
      <w:pPr>
        <w:pStyle w:val="ListParagraph"/>
      </w:pPr>
    </w:p>
    <w:p w14:paraId="5C0D8125" w14:textId="2BF45ACD" w:rsidR="00182F48" w:rsidRDefault="00182F48" w:rsidP="00182F48">
      <w:pPr>
        <w:pStyle w:val="Paragraphenumrot0"/>
        <w:numPr>
          <w:ilvl w:val="0"/>
          <w:numId w:val="0"/>
        </w:numPr>
      </w:pPr>
    </w:p>
    <w:p w14:paraId="584C328D" w14:textId="77777777" w:rsidR="00182F48" w:rsidRDefault="00182F48" w:rsidP="00182F48">
      <w:pPr>
        <w:pStyle w:val="Paragraphenumrot0"/>
        <w:numPr>
          <w:ilvl w:val="0"/>
          <w:numId w:val="0"/>
        </w:numPr>
      </w:pPr>
    </w:p>
    <w:p w14:paraId="15159AAF" w14:textId="77777777" w:rsidR="00E01B36" w:rsidRPr="00DF421E" w:rsidRDefault="00E01B36" w:rsidP="00024FCB">
      <w:pPr>
        <w:pStyle w:val="Paragraphenumrot0"/>
        <w:numPr>
          <w:ilvl w:val="0"/>
          <w:numId w:val="0"/>
        </w:numPr>
      </w:pPr>
    </w:p>
    <w:p w14:paraId="7597E941" w14:textId="77777777" w:rsidR="000F61F0" w:rsidRDefault="00F248F0" w:rsidP="00024FCB">
      <w:pPr>
        <w:pStyle w:val="Paragraphenumrot0"/>
      </w:pPr>
      <w:r w:rsidRPr="00DF421E">
        <w:t xml:space="preserve">D’une façon générale, l’apport de gamètes extérieurs dans le processus de procréation cause une injustice à l’enfant. Ce dernier aurait accès à la connaissance de ses origines à sa majorité mais serait toujours privé de sa filiation biologique puisque son auteur n’a pas vocation à être son père et que le droit interdit même qu’il le soit. </w:t>
      </w:r>
    </w:p>
    <w:p w14:paraId="24B95E65" w14:textId="77777777" w:rsidR="000F61F0" w:rsidRDefault="000F61F0" w:rsidP="00024FCB">
      <w:pPr>
        <w:pStyle w:val="Paragraphenumrot0"/>
        <w:numPr>
          <w:ilvl w:val="0"/>
          <w:numId w:val="0"/>
        </w:numPr>
      </w:pPr>
    </w:p>
    <w:p w14:paraId="35D2315B" w14:textId="0CB5A55E" w:rsidR="00CF7FF3" w:rsidRPr="00DF421E" w:rsidRDefault="00F248F0" w:rsidP="00024FCB">
      <w:pPr>
        <w:pStyle w:val="Paragraphenumrot0"/>
      </w:pPr>
      <w:r w:rsidRPr="00DF421E">
        <w:t xml:space="preserve">Or, détenir l’identité de son géniteur n’est pas équivalent au fait de le connaître et d’être élevé par lui. </w:t>
      </w:r>
      <w:r w:rsidR="0050284A" w:rsidRPr="00DF421E">
        <w:t xml:space="preserve">Il y a ainsi une atteinte objective aux droits de l’enfant, qui n’intervient pas dans l’intérêt de l’enfant, mais pour réaliser le désir d’enfant d’autrui. C’est l’apport extérieur de gamètes en lui-même, indépendamment du fait qu’il soit anonyme ou pas, qui fait échec aux droits de l’enfant. </w:t>
      </w:r>
    </w:p>
    <w:p w14:paraId="609437ED" w14:textId="77777777" w:rsidR="00CF7FF3" w:rsidRPr="00DF421E" w:rsidRDefault="00CF7FF3" w:rsidP="00024FCB">
      <w:pPr>
        <w:pStyle w:val="Paragraphenumrot0"/>
        <w:numPr>
          <w:ilvl w:val="0"/>
          <w:numId w:val="0"/>
        </w:numPr>
      </w:pPr>
    </w:p>
    <w:p w14:paraId="3587F897" w14:textId="039F937B" w:rsidR="00D72D01" w:rsidRDefault="0050284A" w:rsidP="00937958">
      <w:pPr>
        <w:pStyle w:val="Paragraphenumrot0"/>
        <w:spacing w:after="0"/>
      </w:pPr>
      <w:r w:rsidRPr="00DF421E">
        <w:t>Un enfant issu d’un apport de gamètes pourrait ainsi engager la responsabilité de l’État dont la législation a organisé et permis sa conception d’une manière qui ne respecte pas son droit de connaître ses parents et d’être élevé par eux.</w:t>
      </w:r>
    </w:p>
    <w:p w14:paraId="7418B900" w14:textId="77777777" w:rsidR="00D72D01" w:rsidRPr="00182F48" w:rsidRDefault="00D72D01" w:rsidP="00D72D01">
      <w:pPr>
        <w:pStyle w:val="Paragraphenumrot0"/>
        <w:numPr>
          <w:ilvl w:val="0"/>
          <w:numId w:val="0"/>
        </w:numPr>
        <w:spacing w:after="0"/>
        <w:rPr>
          <w:sz w:val="32"/>
          <w:szCs w:val="32"/>
        </w:rPr>
      </w:pPr>
    </w:p>
    <w:p w14:paraId="54AC6185" w14:textId="5F3A20B0" w:rsidR="0050284A" w:rsidRPr="00DF421E" w:rsidRDefault="0050284A" w:rsidP="00D72D01">
      <w:pPr>
        <w:pStyle w:val="ListParagraph"/>
        <w:pBdr>
          <w:top w:val="single" w:sz="4" w:space="1" w:color="auto"/>
          <w:left w:val="single" w:sz="4" w:space="4" w:color="auto"/>
          <w:bottom w:val="single" w:sz="4" w:space="1" w:color="auto"/>
          <w:right w:val="single" w:sz="4" w:space="4" w:color="auto"/>
        </w:pBdr>
        <w:spacing w:after="0"/>
        <w:ind w:left="567" w:right="509"/>
        <w:contextualSpacing w:val="0"/>
        <w:jc w:val="both"/>
        <w:rPr>
          <w:rFonts w:ascii="Arial" w:hAnsi="Arial" w:cs="Arial"/>
          <w:sz w:val="24"/>
          <w:szCs w:val="24"/>
        </w:rPr>
      </w:pPr>
      <w:r w:rsidRPr="00DF421E">
        <w:rPr>
          <w:rFonts w:ascii="Arial" w:hAnsi="Arial" w:cs="Arial"/>
          <w:sz w:val="24"/>
          <w:szCs w:val="24"/>
        </w:rPr>
        <w:t>Le recours aux techniques d’AMP engendre un autre problème éthique important : celui des embryons surnuméraires et leur congélation dans le cadre des fécondations in vitro. Déjà en 2017, on comptait 246 263 embryons</w:t>
      </w:r>
      <w:r w:rsidRPr="00DF421E">
        <w:rPr>
          <w:rFonts w:ascii="Arial" w:hAnsi="Arial" w:cs="Arial"/>
          <w:sz w:val="24"/>
          <w:szCs w:val="24"/>
          <w:vertAlign w:val="superscript"/>
        </w:rPr>
        <w:footnoteReference w:id="22"/>
      </w:r>
      <w:r w:rsidRPr="00DF421E">
        <w:rPr>
          <w:rFonts w:ascii="Arial" w:hAnsi="Arial" w:cs="Arial"/>
          <w:sz w:val="24"/>
          <w:szCs w:val="24"/>
        </w:rPr>
        <w:t xml:space="preserve"> surnuméraires stockés congelés, dont un tiers ne fai</w:t>
      </w:r>
      <w:r w:rsidR="000F0B60" w:rsidRPr="00DF421E">
        <w:rPr>
          <w:rFonts w:ascii="Arial" w:hAnsi="Arial" w:cs="Arial"/>
          <w:sz w:val="24"/>
          <w:szCs w:val="24"/>
        </w:rPr>
        <w:t>sai</w:t>
      </w:r>
      <w:r w:rsidRPr="00DF421E">
        <w:rPr>
          <w:rFonts w:ascii="Arial" w:hAnsi="Arial" w:cs="Arial"/>
          <w:sz w:val="24"/>
          <w:szCs w:val="24"/>
        </w:rPr>
        <w:t xml:space="preserve">t plus l’objet d’un « projet parental ». Ces embryons peuvent être donnés à la recherche, donnés à un autre couple ou détruits au bout de cinq ans de conservation. Et ce nombre ne cesse d’augmenter (+33% depuis 2011) alors que la loi </w:t>
      </w:r>
      <w:r w:rsidR="006D6864">
        <w:rPr>
          <w:rFonts w:ascii="Arial" w:hAnsi="Arial" w:cs="Arial"/>
          <w:sz w:val="24"/>
          <w:szCs w:val="24"/>
        </w:rPr>
        <w:t>de</w:t>
      </w:r>
      <w:r w:rsidRPr="00DF421E">
        <w:rPr>
          <w:rFonts w:ascii="Arial" w:hAnsi="Arial" w:cs="Arial"/>
          <w:sz w:val="24"/>
          <w:szCs w:val="24"/>
        </w:rPr>
        <w:t xml:space="preserve"> bioéthique prévoyait de limiter</w:t>
      </w:r>
      <w:r w:rsidRPr="00DF421E">
        <w:rPr>
          <w:rFonts w:ascii="Arial" w:hAnsi="Arial" w:cs="Arial"/>
          <w:sz w:val="24"/>
          <w:szCs w:val="24"/>
          <w:vertAlign w:val="superscript"/>
        </w:rPr>
        <w:footnoteReference w:id="23"/>
      </w:r>
      <w:r w:rsidRPr="00DF421E">
        <w:rPr>
          <w:rFonts w:ascii="Arial" w:hAnsi="Arial" w:cs="Arial"/>
          <w:sz w:val="24"/>
          <w:szCs w:val="24"/>
        </w:rPr>
        <w:t xml:space="preserve"> le nombre d’embryons conservés.</w:t>
      </w:r>
    </w:p>
    <w:p w14:paraId="783BAEF8" w14:textId="77777777" w:rsidR="00D72D01" w:rsidRPr="00182F48" w:rsidRDefault="00D72D01" w:rsidP="000F0B60">
      <w:pPr>
        <w:pStyle w:val="ListParagraph"/>
        <w:spacing w:after="0"/>
        <w:ind w:left="0"/>
        <w:contextualSpacing w:val="0"/>
        <w:jc w:val="both"/>
        <w:rPr>
          <w:rFonts w:ascii="Arial" w:hAnsi="Arial" w:cs="Arial"/>
          <w:b/>
          <w:bCs/>
          <w:sz w:val="32"/>
          <w:szCs w:val="32"/>
        </w:rPr>
      </w:pPr>
    </w:p>
    <w:p w14:paraId="025E5F8B" w14:textId="1C288FA2" w:rsidR="00CD56BC" w:rsidRPr="00DF421E" w:rsidRDefault="00CD56BC" w:rsidP="00024FCB">
      <w:pPr>
        <w:pStyle w:val="Paragraphenumrot0"/>
      </w:pPr>
      <w:r w:rsidRPr="00DF421E">
        <w:t>L’intérêt supérieur de l’enfant ainsi que les droits qui lui sont garantis par la Convention, notamment par les articles 3, 16, 23, et 24, doivent prévaloir sur toute législation nationale contraire.</w:t>
      </w:r>
    </w:p>
    <w:p w14:paraId="7984068C" w14:textId="77777777" w:rsidR="00CD56BC" w:rsidRPr="00DF421E" w:rsidRDefault="00CD56BC" w:rsidP="00024FCB">
      <w:pPr>
        <w:pStyle w:val="Paragraphenumrot0"/>
        <w:numPr>
          <w:ilvl w:val="0"/>
          <w:numId w:val="0"/>
        </w:numPr>
      </w:pPr>
    </w:p>
    <w:p w14:paraId="68A53799" w14:textId="355F138F" w:rsidR="00182F48" w:rsidRDefault="00CD56BC" w:rsidP="00205141">
      <w:pPr>
        <w:pStyle w:val="Paragraphenumrot0"/>
      </w:pPr>
      <w:r w:rsidRPr="00DF421E">
        <w:t>Dans ses Observations finales de janvier 2016, le Comité insistait sur l’intérêt supérieur de l’enfant, demandant à l’État français de « </w:t>
      </w:r>
      <w:r w:rsidRPr="00DF421E">
        <w:rPr>
          <w:i/>
          <w:iCs/>
        </w:rPr>
        <w:t>redoubler d’efforts pour que ce droit soit convenablement intégré puis interprété et appliqué de manière cohérente</w:t>
      </w:r>
      <w:r w:rsidRPr="00DF421E">
        <w:t> » au sein du système de protection des droits de l’enfant</w:t>
      </w:r>
      <w:r w:rsidRPr="00DF421E">
        <w:rPr>
          <w:rStyle w:val="FootnoteReference"/>
        </w:rPr>
        <w:footnoteReference w:id="24"/>
      </w:r>
      <w:r w:rsidRPr="00DF421E">
        <w:t>.</w:t>
      </w:r>
    </w:p>
    <w:p w14:paraId="752CE18E" w14:textId="77777777" w:rsidR="00182F48" w:rsidRDefault="00182F48" w:rsidP="00024FCB">
      <w:pPr>
        <w:pStyle w:val="Paragraphenumrot0"/>
        <w:numPr>
          <w:ilvl w:val="0"/>
          <w:numId w:val="0"/>
        </w:numPr>
      </w:pPr>
    </w:p>
    <w:p w14:paraId="566AF6CC" w14:textId="47439AD3" w:rsidR="00CD56BC" w:rsidRPr="00DF421E" w:rsidRDefault="00CD56BC" w:rsidP="00024FCB">
      <w:pPr>
        <w:pStyle w:val="Paragraphenumrot0"/>
      </w:pPr>
      <w:r w:rsidRPr="00DF421E">
        <w:t>L’intérêt de l’enfant doit être une « </w:t>
      </w:r>
      <w:r w:rsidRPr="00DF421E">
        <w:rPr>
          <w:i/>
          <w:iCs/>
        </w:rPr>
        <w:t>considération primordiale</w:t>
      </w:r>
      <w:r w:rsidRPr="00DF421E">
        <w:t> », en ce sens qu’il doit prévaloir sur l’intérêt personnel des</w:t>
      </w:r>
      <w:r w:rsidR="00B3467A">
        <w:t xml:space="preserve"> </w:t>
      </w:r>
      <w:r w:rsidR="004F0D36" w:rsidRPr="00B3467A">
        <w:t>adultes</w:t>
      </w:r>
      <w:r w:rsidR="004F0D36">
        <w:t xml:space="preserve"> </w:t>
      </w:r>
      <w:r w:rsidRPr="00DF421E">
        <w:t>d’avoir un enfant. Un basculement terminologique des droits « de l’enfant » vers des droits « à l’enfant » représente un grave danger pour la vie privée de l’enfant et les droits humains.</w:t>
      </w:r>
    </w:p>
    <w:p w14:paraId="608ACCA5" w14:textId="77777777" w:rsidR="00CD56BC" w:rsidRPr="00DF421E" w:rsidRDefault="00CD56BC" w:rsidP="00024FCB">
      <w:pPr>
        <w:pStyle w:val="Paragraphenumrot0"/>
        <w:numPr>
          <w:ilvl w:val="0"/>
          <w:numId w:val="0"/>
        </w:numPr>
      </w:pPr>
    </w:p>
    <w:p w14:paraId="47D9BC4B" w14:textId="77777777" w:rsidR="00CD56BC" w:rsidRPr="00DF421E" w:rsidRDefault="00CD56BC" w:rsidP="00024FCB">
      <w:pPr>
        <w:pStyle w:val="Paragraphenumrot0"/>
      </w:pPr>
      <w:r w:rsidRPr="00DF421E">
        <w:t xml:space="preserve">Un rapport du Sénat en 2016 avait d’ailleurs souligné le fait que supprimer l’exigence de l’infertilité médicale et de l’altérité sexuelle a pour effet de bouleverser « </w:t>
      </w:r>
      <w:r w:rsidRPr="00DF421E">
        <w:rPr>
          <w:i/>
          <w:iCs/>
        </w:rPr>
        <w:t xml:space="preserve">la conception française de la PMA, en ouvrant la voie à un « droit à l’enfant » </w:t>
      </w:r>
      <w:r w:rsidRPr="00DF421E">
        <w:t>et à une</w:t>
      </w:r>
      <w:r w:rsidRPr="00DF421E">
        <w:rPr>
          <w:i/>
          <w:iCs/>
        </w:rPr>
        <w:t xml:space="preserve"> « procréation de convenance </w:t>
      </w:r>
      <w:r w:rsidRPr="00DF421E">
        <w:t>»</w:t>
      </w:r>
      <w:r w:rsidRPr="00DF421E">
        <w:rPr>
          <w:rStyle w:val="FootnoteReference"/>
        </w:rPr>
        <w:footnoteReference w:id="25"/>
      </w:r>
      <w:r w:rsidRPr="00DF421E">
        <w:t xml:space="preserve">. </w:t>
      </w:r>
    </w:p>
    <w:p w14:paraId="071967BC" w14:textId="77777777" w:rsidR="00CD56BC" w:rsidRPr="00DF421E" w:rsidRDefault="00CD56BC" w:rsidP="00024FCB">
      <w:pPr>
        <w:pStyle w:val="Paragraphenumrot0"/>
        <w:numPr>
          <w:ilvl w:val="0"/>
          <w:numId w:val="0"/>
        </w:numPr>
      </w:pPr>
    </w:p>
    <w:p w14:paraId="2A0D43D8" w14:textId="2F7B4104" w:rsidR="00D72D01" w:rsidRDefault="00CD56BC" w:rsidP="00937958">
      <w:pPr>
        <w:pStyle w:val="Paragraphenumrot0"/>
      </w:pPr>
      <w:r w:rsidRPr="00DF421E">
        <w:t>En devenant accessible à tout adulte sans restriction, le régime légal actuel de l’AMP instaure, à terme, un « droit à l’enfant pour tous ».</w:t>
      </w:r>
    </w:p>
    <w:p w14:paraId="267A0F3F" w14:textId="77777777" w:rsidR="00937958" w:rsidRPr="00937958" w:rsidRDefault="00937958" w:rsidP="00937958">
      <w:pPr>
        <w:pStyle w:val="Paragraphenumrot0"/>
        <w:numPr>
          <w:ilvl w:val="0"/>
          <w:numId w:val="0"/>
        </w:numPr>
      </w:pP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9062"/>
      </w:tblGrid>
      <w:tr w:rsidR="00D7623D" w:rsidRPr="00D7623D" w14:paraId="5A2E1FBD" w14:textId="77777777" w:rsidTr="00D7623D">
        <w:tc>
          <w:tcPr>
            <w:tcW w:w="9062" w:type="dxa"/>
          </w:tcPr>
          <w:p w14:paraId="3F9D9E7D" w14:textId="77777777" w:rsidR="00F248F0" w:rsidRPr="00D7623D" w:rsidRDefault="00F248F0" w:rsidP="00534282">
            <w:pPr>
              <w:spacing w:before="120"/>
              <w:jc w:val="center"/>
              <w:rPr>
                <w:rFonts w:ascii="Arial" w:hAnsi="Arial" w:cs="Arial"/>
                <w:b/>
                <w:bCs/>
                <w:color w:val="002060"/>
                <w:sz w:val="24"/>
                <w:szCs w:val="24"/>
              </w:rPr>
            </w:pPr>
            <w:r w:rsidRPr="00D7623D">
              <w:rPr>
                <w:rFonts w:ascii="Arial" w:hAnsi="Arial" w:cs="Arial"/>
                <w:b/>
                <w:bCs/>
                <w:color w:val="002060"/>
                <w:sz w:val="24"/>
                <w:szCs w:val="24"/>
              </w:rPr>
              <w:t>RECOMMANDATIONS</w:t>
            </w:r>
          </w:p>
          <w:p w14:paraId="1CD60943" w14:textId="1B5025BC" w:rsidR="00F248F0" w:rsidRPr="00D7623D" w:rsidRDefault="00F248F0" w:rsidP="00DF421E">
            <w:pPr>
              <w:pStyle w:val="ListParagraph"/>
              <w:numPr>
                <w:ilvl w:val="0"/>
                <w:numId w:val="30"/>
              </w:numPr>
              <w:spacing w:before="120"/>
              <w:ind w:left="589" w:hanging="357"/>
              <w:jc w:val="both"/>
              <w:rPr>
                <w:rFonts w:ascii="Arial" w:hAnsi="Arial" w:cs="Arial"/>
                <w:b/>
                <w:bCs/>
                <w:color w:val="002060"/>
                <w:sz w:val="24"/>
                <w:szCs w:val="24"/>
              </w:rPr>
            </w:pPr>
            <w:r w:rsidRPr="00D7623D">
              <w:rPr>
                <w:rFonts w:ascii="Arial" w:hAnsi="Arial" w:cs="Arial"/>
                <w:color w:val="002060"/>
                <w:sz w:val="24"/>
                <w:szCs w:val="24"/>
              </w:rPr>
              <w:t xml:space="preserve">Lutter contre l’infertilité en renforçant la recherche en vue de réduire les PMA avec donneurs </w:t>
            </w:r>
            <w:r w:rsidR="00C966EB" w:rsidRPr="00D7623D">
              <w:rPr>
                <w:rFonts w:ascii="Arial" w:hAnsi="Arial" w:cs="Arial"/>
                <w:color w:val="002060"/>
                <w:sz w:val="24"/>
                <w:szCs w:val="24"/>
              </w:rPr>
              <w:t>qui conduisent à priver un enfant d</w:t>
            </w:r>
            <w:r w:rsidR="00D00921" w:rsidRPr="00D7623D">
              <w:rPr>
                <w:rFonts w:ascii="Arial" w:hAnsi="Arial" w:cs="Arial"/>
                <w:color w:val="002060"/>
                <w:sz w:val="24"/>
                <w:szCs w:val="24"/>
              </w:rPr>
              <w:t>’un parent en privilégiant le</w:t>
            </w:r>
            <w:r w:rsidRPr="00D7623D">
              <w:rPr>
                <w:rFonts w:ascii="Arial" w:hAnsi="Arial" w:cs="Arial"/>
                <w:color w:val="002060"/>
                <w:sz w:val="24"/>
                <w:szCs w:val="24"/>
              </w:rPr>
              <w:t>s droits de l’enfant tels qu’ils résultent des articles 7 et 18 de la Convention sur les droits de l’enfant.</w:t>
            </w:r>
          </w:p>
        </w:tc>
      </w:tr>
      <w:bookmarkEnd w:id="14"/>
    </w:tbl>
    <w:p w14:paraId="485918F0" w14:textId="3A6FEE5B" w:rsidR="004A7D5C" w:rsidRPr="005A36E3" w:rsidRDefault="004A7D5C" w:rsidP="00A16C8A">
      <w:pPr>
        <w:spacing w:after="160" w:line="259" w:lineRule="auto"/>
        <w:rPr>
          <w:rFonts w:cstheme="minorHAnsi"/>
          <w:b/>
          <w:bCs/>
          <w:sz w:val="24"/>
          <w:szCs w:val="24"/>
          <w:u w:val="single"/>
        </w:rPr>
      </w:pPr>
    </w:p>
    <w:p w14:paraId="371427DF" w14:textId="77777777" w:rsidR="004A7D5C" w:rsidRDefault="004A7D5C" w:rsidP="00A16C8A">
      <w:pPr>
        <w:spacing w:after="160" w:line="259" w:lineRule="auto"/>
        <w:rPr>
          <w:rFonts w:ascii="Arial" w:hAnsi="Arial" w:cs="Arial"/>
        </w:rPr>
      </w:pPr>
    </w:p>
    <w:sectPr w:rsidR="004A7D5C" w:rsidSect="00024FCB">
      <w:footerReference w:type="default" r:id="rId12"/>
      <w:pgSz w:w="11906" w:h="16838"/>
      <w:pgMar w:top="1304"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76F7C" w14:textId="77777777" w:rsidR="0014626E" w:rsidRDefault="0014626E" w:rsidP="007E60EF">
      <w:pPr>
        <w:spacing w:after="0" w:line="240" w:lineRule="auto"/>
      </w:pPr>
      <w:r>
        <w:separator/>
      </w:r>
    </w:p>
  </w:endnote>
  <w:endnote w:type="continuationSeparator" w:id="0">
    <w:p w14:paraId="6279FE84" w14:textId="77777777" w:rsidR="0014626E" w:rsidRDefault="0014626E" w:rsidP="007E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T163t00">
    <w:altName w:val="Calibri"/>
    <w:panose1 w:val="00000000000000000000"/>
    <w:charset w:val="00"/>
    <w:family w:val="auto"/>
    <w:notTrueType/>
    <w:pitch w:val="default"/>
    <w:sig w:usb0="00000003" w:usb1="00000000" w:usb2="00000000" w:usb3="00000000" w:csb0="00000001" w:csb1="00000000"/>
  </w:font>
  <w:font w:name="TT16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1326088"/>
      <w:docPartObj>
        <w:docPartGallery w:val="Page Numbers (Bottom of Page)"/>
        <w:docPartUnique/>
      </w:docPartObj>
    </w:sdtPr>
    <w:sdtEndPr/>
    <w:sdtContent>
      <w:p w14:paraId="0486B02E" w14:textId="0728A2AF" w:rsidR="00D537AB" w:rsidRDefault="00D537AB">
        <w:pPr>
          <w:pStyle w:val="Footer"/>
          <w:jc w:val="right"/>
        </w:pPr>
        <w:r>
          <w:fldChar w:fldCharType="begin"/>
        </w:r>
        <w:r>
          <w:instrText>PAGE   \* MERGEFORMAT</w:instrText>
        </w:r>
        <w:r>
          <w:fldChar w:fldCharType="separate"/>
        </w:r>
        <w:r w:rsidR="00ED3685">
          <w:rPr>
            <w:noProof/>
          </w:rPr>
          <w:t>1</w:t>
        </w:r>
        <w:r>
          <w:fldChar w:fldCharType="end"/>
        </w:r>
      </w:p>
    </w:sdtContent>
  </w:sdt>
  <w:p w14:paraId="617B9B4A" w14:textId="77777777" w:rsidR="00D537AB" w:rsidRDefault="00D53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E781F5" w14:textId="77777777" w:rsidR="0014626E" w:rsidRDefault="0014626E" w:rsidP="007E60EF">
      <w:pPr>
        <w:spacing w:after="0" w:line="240" w:lineRule="auto"/>
      </w:pPr>
      <w:r>
        <w:separator/>
      </w:r>
    </w:p>
  </w:footnote>
  <w:footnote w:type="continuationSeparator" w:id="0">
    <w:p w14:paraId="289AF1AE" w14:textId="77777777" w:rsidR="0014626E" w:rsidRDefault="0014626E" w:rsidP="007E60EF">
      <w:pPr>
        <w:spacing w:after="0" w:line="240" w:lineRule="auto"/>
      </w:pPr>
      <w:r>
        <w:continuationSeparator/>
      </w:r>
    </w:p>
  </w:footnote>
  <w:footnote w:id="1">
    <w:p w14:paraId="18EC129E" w14:textId="6BA62F9B" w:rsidR="00F74EEB" w:rsidRPr="00D56B9B" w:rsidRDefault="00F74EEB" w:rsidP="00F74EEB">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1" w:history="1">
        <w:r w:rsidRPr="00D56B9B">
          <w:rPr>
            <w:rStyle w:val="Hyperlink"/>
            <w:rFonts w:ascii="Arial" w:hAnsi="Arial" w:cs="Arial"/>
          </w:rPr>
          <w:t>CRC/C/FRA/QPR/6</w:t>
        </w:r>
      </w:hyperlink>
      <w:r w:rsidRPr="00D56B9B">
        <w:rPr>
          <w:rFonts w:ascii="Arial" w:hAnsi="Arial" w:cs="Arial"/>
        </w:rPr>
        <w:t>, §4.</w:t>
      </w:r>
    </w:p>
  </w:footnote>
  <w:footnote w:id="2">
    <w:p w14:paraId="0B5EE1AB" w14:textId="2697CEE0" w:rsidR="00F74EEB" w:rsidRPr="00D56B9B" w:rsidRDefault="00F74EEB">
      <w:pPr>
        <w:pStyle w:val="FootnoteText"/>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2" w:history="1">
        <w:r w:rsidR="000C650A" w:rsidRPr="00D56B9B">
          <w:rPr>
            <w:rStyle w:val="Hyperlink"/>
            <w:rFonts w:ascii="Arial" w:hAnsi="Arial" w:cs="Arial"/>
          </w:rPr>
          <w:t>CRC/C/FRA/6-7</w:t>
        </w:r>
      </w:hyperlink>
      <w:r w:rsidR="000C650A" w:rsidRPr="00D56B9B">
        <w:rPr>
          <w:rFonts w:ascii="Arial" w:hAnsi="Arial" w:cs="Arial"/>
        </w:rPr>
        <w:t>, §21.</w:t>
      </w:r>
    </w:p>
  </w:footnote>
  <w:footnote w:id="3">
    <w:p w14:paraId="1FB1E242" w14:textId="77777777" w:rsidR="006D6864" w:rsidRPr="009E3A2B" w:rsidRDefault="006D6864" w:rsidP="006D6864">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3" w:history="1">
        <w:r w:rsidRPr="00D56B9B">
          <w:rPr>
            <w:rStyle w:val="Hyperlink"/>
            <w:rFonts w:ascii="Arial" w:hAnsi="Arial" w:cs="Arial"/>
          </w:rPr>
          <w:t>http://www.assemblee-nationale.fr/dyn/15/dossiers/bioethique_2</w:t>
        </w:r>
      </w:hyperlink>
      <w:r w:rsidRPr="00D56B9B">
        <w:rPr>
          <w:rStyle w:val="Hyperlink"/>
          <w:rFonts w:ascii="Arial" w:hAnsi="Arial" w:cs="Arial"/>
        </w:rPr>
        <w:t>.</w:t>
      </w:r>
    </w:p>
  </w:footnote>
  <w:footnote w:id="4">
    <w:p w14:paraId="4129A735" w14:textId="77777777" w:rsidR="00E33B95" w:rsidRPr="00D56B9B" w:rsidRDefault="00E33B95" w:rsidP="00E33B95">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Agence de la biomédecine, 2017, </w:t>
      </w:r>
      <w:hyperlink r:id="rId4" w:history="1">
        <w:r w:rsidRPr="00D56B9B">
          <w:rPr>
            <w:rStyle w:val="Hyperlink"/>
            <w:rFonts w:ascii="Arial" w:hAnsi="Arial" w:cs="Arial"/>
          </w:rPr>
          <w:t>https://rams.agence-biomedecine.fr/sites/default/files/pdf/2019-09/RAMS%202017%20DPN.pdf</w:t>
        </w:r>
      </w:hyperlink>
      <w:r w:rsidRPr="00D56B9B">
        <w:rPr>
          <w:rFonts w:ascii="Arial" w:hAnsi="Arial" w:cs="Arial"/>
        </w:rPr>
        <w:t>, Tableau DPN 11.</w:t>
      </w:r>
    </w:p>
  </w:footnote>
  <w:footnote w:id="5">
    <w:p w14:paraId="1454F6A1" w14:textId="720E704E" w:rsidR="00272EC5" w:rsidRPr="00D56B9B" w:rsidRDefault="00272EC5" w:rsidP="00272EC5">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5" w:history="1">
        <w:r w:rsidRPr="00D56B9B">
          <w:rPr>
            <w:rStyle w:val="Hyperlink"/>
            <w:rFonts w:ascii="Arial" w:hAnsi="Arial" w:cs="Arial"/>
          </w:rPr>
          <w:t>A/HRC/43/41</w:t>
        </w:r>
      </w:hyperlink>
      <w:r w:rsidRPr="00D56B9B">
        <w:rPr>
          <w:rFonts w:ascii="Arial" w:hAnsi="Arial" w:cs="Arial"/>
        </w:rPr>
        <w:t>, Rapport de la Rapporteuse spéciale sur les droits des personnes handicapées, Conseil des droits de l’homme, Quarante-troisième session, 24 février-20 mars 2020, §21</w:t>
      </w:r>
      <w:r w:rsidR="00CD56BC" w:rsidRPr="00D56B9B">
        <w:rPr>
          <w:rFonts w:ascii="Arial" w:hAnsi="Arial" w:cs="Arial"/>
        </w:rPr>
        <w:t> : « </w:t>
      </w:r>
      <w:r w:rsidR="00CD56BC" w:rsidRPr="00D56B9B">
        <w:rPr>
          <w:rFonts w:ascii="Arial" w:hAnsi="Arial" w:cs="Arial"/>
          <w:i/>
          <w:iCs/>
        </w:rPr>
        <w:t xml:space="preserve">Contrairement à sa version historique, l’eugénisme libéral vise à donner aux individus une plus grande liberté en matière de procréation, y compris des possibilités d’amélioration génétique. S’il n’existe peut-être aucun programme eugénique étatique fondé sur la contrainte, dans un contexte marqué par les préjugés et la discrimination à l’égard des personnes handicapées, l’effet cumulé de nombreux choix individuels risque de produire des résultats eugéniques. De fait, les normes sociales </w:t>
      </w:r>
      <w:r w:rsidR="00CD56BC" w:rsidRPr="00D56B9B">
        <w:rPr>
          <w:rFonts w:ascii="Arial" w:hAnsi="Arial" w:cs="Arial"/>
          <w:i/>
          <w:iCs/>
        </w:rPr>
        <w:t>capacitistes et les pressions exercées par le marché créent l’obligation de concevoir le « meilleur enfant possible », pour qu’il ou elle ait toutes les chances de réussir dans la vie. Certains spécialistes, adoptant une vision utilitariste de la bioéthique, ont en outre estimé que l’amélioration génétique était une obligation morale et qu’il était acceptable, d’un point de vue éthique, de laisser aux parents la possibilité d’euthanasier leurs nouveau-nés handicapés.</w:t>
      </w:r>
      <w:r w:rsidR="00CD56BC" w:rsidRPr="00D56B9B">
        <w:rPr>
          <w:rFonts w:ascii="Arial" w:hAnsi="Arial" w:cs="Arial"/>
        </w:rPr>
        <w:t> »</w:t>
      </w:r>
    </w:p>
  </w:footnote>
  <w:footnote w:id="6">
    <w:p w14:paraId="14C7FD20" w14:textId="77777777" w:rsidR="006625D0" w:rsidRPr="00D56B9B" w:rsidRDefault="006625D0" w:rsidP="006625D0">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6" w:history="1">
        <w:r w:rsidRPr="00D56B9B">
          <w:rPr>
            <w:rStyle w:val="Hyperlink"/>
            <w:rFonts w:ascii="Arial" w:hAnsi="Arial" w:cs="Arial"/>
          </w:rPr>
          <w:t>Avis 138 du CCNE, « L’eugénisme : de quoi parle-t-on ? »</w:t>
        </w:r>
      </w:hyperlink>
      <w:r w:rsidRPr="00D56B9B">
        <w:rPr>
          <w:rFonts w:ascii="Arial" w:hAnsi="Arial" w:cs="Arial"/>
        </w:rPr>
        <w:t>.</w:t>
      </w:r>
    </w:p>
  </w:footnote>
  <w:footnote w:id="7">
    <w:p w14:paraId="57467CC8" w14:textId="77777777" w:rsidR="006625D0" w:rsidRPr="007F4672" w:rsidRDefault="006625D0" w:rsidP="006625D0">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r w:rsidRPr="00D56B9B">
        <w:rPr>
          <w:rFonts w:ascii="Arial" w:hAnsi="Arial" w:cs="Arial"/>
          <w:i/>
          <w:iCs/>
        </w:rPr>
        <w:t>Ibid</w:t>
      </w:r>
      <w:r w:rsidRPr="00D56B9B">
        <w:rPr>
          <w:rFonts w:ascii="Arial" w:hAnsi="Arial" w:cs="Arial"/>
        </w:rPr>
        <w:t>, pp.18-19.</w:t>
      </w:r>
    </w:p>
  </w:footnote>
  <w:footnote w:id="8">
    <w:p w14:paraId="65716E6A" w14:textId="77777777" w:rsidR="00CD56BC" w:rsidRPr="00D56B9B" w:rsidRDefault="00CD56BC" w:rsidP="00CD56BC">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Article 23.1 de la Convention : « </w:t>
      </w:r>
      <w:r w:rsidRPr="00D56B9B">
        <w:rPr>
          <w:rFonts w:ascii="Arial" w:hAnsi="Arial" w:cs="Arial"/>
          <w:i/>
          <w:iCs/>
        </w:rPr>
        <w:t>Les États parties reconnaissent que les enfants mentalement ou physiquement handicapés doivent mener une vie pleine et décente, dans des conditions qui garantissent leur dignité, favorisent leur autonomie et facilitent leur participation active à la vie de la collectivité. »</w:t>
      </w:r>
    </w:p>
  </w:footnote>
  <w:footnote w:id="9">
    <w:p w14:paraId="63B5793F" w14:textId="77777777" w:rsidR="00CD56BC" w:rsidRPr="00D56B9B" w:rsidRDefault="00CD56BC" w:rsidP="00CD56BC">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7" w:history="1">
        <w:r w:rsidRPr="00D56B9B">
          <w:rPr>
            <w:rStyle w:val="Hyperlink"/>
            <w:rFonts w:ascii="Arial" w:hAnsi="Arial" w:cs="Arial"/>
          </w:rPr>
          <w:t>CRC/C/FRA/CO/5</w:t>
        </w:r>
      </w:hyperlink>
      <w:r w:rsidRPr="00D56B9B">
        <w:rPr>
          <w:rFonts w:ascii="Arial" w:hAnsi="Arial" w:cs="Arial"/>
        </w:rPr>
        <w:t xml:space="preserve">, Observations finales concernant le cinquième rapport périodique de la France, Comité des droits de l’enfant, Soixante et onzième session (11-29 janvier 2016), §57. </w:t>
      </w:r>
    </w:p>
  </w:footnote>
  <w:footnote w:id="10">
    <w:p w14:paraId="43F94E0A" w14:textId="77777777" w:rsidR="00CD56BC" w:rsidRPr="00D56B9B" w:rsidRDefault="00CD56BC" w:rsidP="00CD56BC">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r w:rsidRPr="00D56B9B">
        <w:rPr>
          <w:rFonts w:ascii="Arial" w:hAnsi="Arial" w:cs="Arial"/>
          <w:i/>
          <w:iCs/>
        </w:rPr>
        <w:t xml:space="preserve">Ibid., </w:t>
      </w:r>
      <w:r w:rsidRPr="00D56B9B">
        <w:rPr>
          <w:rFonts w:ascii="Arial" w:hAnsi="Arial" w:cs="Arial"/>
        </w:rPr>
        <w:t>§58 e)</w:t>
      </w:r>
      <w:r w:rsidRPr="00D56B9B">
        <w:rPr>
          <w:rFonts w:ascii="Arial" w:hAnsi="Arial" w:cs="Arial"/>
          <w:i/>
          <w:iCs/>
        </w:rPr>
        <w:t>.</w:t>
      </w:r>
    </w:p>
  </w:footnote>
  <w:footnote w:id="11">
    <w:p w14:paraId="4E339B8A" w14:textId="77777777" w:rsidR="00CD56BC" w:rsidRPr="00D56B9B" w:rsidRDefault="00CD56BC" w:rsidP="00CD56BC">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8" w:history="1">
        <w:r w:rsidRPr="00D56B9B">
          <w:rPr>
            <w:rStyle w:val="Hyperlink"/>
            <w:rFonts w:ascii="Arial" w:hAnsi="Arial" w:cs="Arial"/>
          </w:rPr>
          <w:t>A/HRC/43/41</w:t>
        </w:r>
      </w:hyperlink>
      <w:r w:rsidRPr="00D56B9B">
        <w:rPr>
          <w:rFonts w:ascii="Arial" w:hAnsi="Arial" w:cs="Arial"/>
        </w:rPr>
        <w:t>, Rapport de la Rapporteuse spéciale sur les droits des personnes handicapées, Conseil des droits de l’homme, Quarante-troisième session, 24 février-20 mars 2020, §32.</w:t>
      </w:r>
    </w:p>
  </w:footnote>
  <w:footnote w:id="12">
    <w:p w14:paraId="2CE2E908" w14:textId="77777777" w:rsidR="00CD56BC" w:rsidRPr="005A36E3" w:rsidRDefault="00CD56BC" w:rsidP="00CD56BC">
      <w:pPr>
        <w:pStyle w:val="FootnoteText"/>
        <w:jc w:val="both"/>
        <w:rPr>
          <w:lang w:val="en-US"/>
        </w:rPr>
      </w:pPr>
      <w:r w:rsidRPr="00D56B9B">
        <w:rPr>
          <w:rStyle w:val="FootnoteReference"/>
          <w:rFonts w:ascii="Arial" w:hAnsi="Arial" w:cs="Arial"/>
        </w:rPr>
        <w:footnoteRef/>
      </w:r>
      <w:r w:rsidRPr="00D56B9B">
        <w:rPr>
          <w:rFonts w:ascii="Arial" w:hAnsi="Arial" w:cs="Arial"/>
          <w:lang w:val="en-US"/>
        </w:rPr>
        <w:t xml:space="preserve"> </w:t>
      </w:r>
      <w:r w:rsidRPr="00D56B9B">
        <w:rPr>
          <w:rFonts w:ascii="Arial" w:hAnsi="Arial" w:cs="Arial"/>
          <w:i/>
          <w:iCs/>
          <w:lang w:val="en-US"/>
        </w:rPr>
        <w:t>Ibid.</w:t>
      </w:r>
      <w:r w:rsidRPr="00D56B9B">
        <w:rPr>
          <w:rFonts w:ascii="Arial" w:hAnsi="Arial" w:cs="Arial"/>
          <w:lang w:val="en-US"/>
        </w:rPr>
        <w:t>, §19.</w:t>
      </w:r>
    </w:p>
  </w:footnote>
  <w:footnote w:id="13">
    <w:p w14:paraId="4BB78F14" w14:textId="73B0BA3D" w:rsidR="0047031D" w:rsidRPr="00D56B9B" w:rsidRDefault="0047031D">
      <w:pPr>
        <w:pStyle w:val="FootnoteText"/>
        <w:rPr>
          <w:rFonts w:ascii="Arial" w:hAnsi="Arial" w:cs="Arial"/>
          <w:lang w:val="en-US"/>
        </w:rPr>
      </w:pPr>
      <w:r w:rsidRPr="00D56B9B">
        <w:rPr>
          <w:rStyle w:val="FootnoteReference"/>
          <w:rFonts w:ascii="Arial" w:hAnsi="Arial" w:cs="Arial"/>
        </w:rPr>
        <w:footnoteRef/>
      </w:r>
      <w:r w:rsidRPr="00D56B9B">
        <w:rPr>
          <w:rFonts w:ascii="Arial" w:hAnsi="Arial" w:cs="Arial"/>
          <w:lang w:val="en-US"/>
        </w:rPr>
        <w:t xml:space="preserve"> </w:t>
      </w:r>
      <w:hyperlink r:id="rId9" w:history="1">
        <w:r w:rsidRPr="00D56B9B">
          <w:rPr>
            <w:rStyle w:val="Hyperlink"/>
            <w:rFonts w:ascii="Arial" w:hAnsi="Arial" w:cs="Arial"/>
            <w:lang w:val="en-US"/>
          </w:rPr>
          <w:t>CRC/C/FRA/QPR/6</w:t>
        </w:r>
      </w:hyperlink>
      <w:r w:rsidRPr="00D56B9B">
        <w:rPr>
          <w:rFonts w:ascii="Arial" w:hAnsi="Arial" w:cs="Arial"/>
          <w:lang w:val="en-US"/>
        </w:rPr>
        <w:t>, §15.</w:t>
      </w:r>
    </w:p>
  </w:footnote>
  <w:footnote w:id="14">
    <w:p w14:paraId="68695996" w14:textId="32CD21C7" w:rsidR="007821F5" w:rsidRDefault="007821F5">
      <w:pPr>
        <w:pStyle w:val="FootnoteText"/>
      </w:pPr>
      <w:r w:rsidRPr="00D56B9B">
        <w:rPr>
          <w:rStyle w:val="FootnoteReference"/>
          <w:rFonts w:ascii="Arial" w:hAnsi="Arial" w:cs="Arial"/>
        </w:rPr>
        <w:footnoteRef/>
      </w:r>
      <w:r w:rsidRPr="00D56B9B">
        <w:rPr>
          <w:rFonts w:ascii="Arial" w:hAnsi="Arial" w:cs="Arial"/>
        </w:rPr>
        <w:t xml:space="preserve"> </w:t>
      </w:r>
      <w:hyperlink r:id="rId10" w:history="1">
        <w:r w:rsidRPr="00D56B9B">
          <w:rPr>
            <w:rStyle w:val="Hyperlink"/>
            <w:rFonts w:ascii="Arial" w:hAnsi="Arial" w:cs="Arial"/>
          </w:rPr>
          <w:t>CRC/C/FRA/6-7</w:t>
        </w:r>
      </w:hyperlink>
      <w:r w:rsidRPr="00D56B9B">
        <w:rPr>
          <w:rFonts w:ascii="Arial" w:hAnsi="Arial" w:cs="Arial"/>
        </w:rPr>
        <w:t>, §73.</w:t>
      </w:r>
    </w:p>
  </w:footnote>
  <w:footnote w:id="15">
    <w:p w14:paraId="5D0B0BC4" w14:textId="3E9908D3" w:rsidR="008F24F5" w:rsidRPr="00D56B9B" w:rsidRDefault="008F24F5">
      <w:pPr>
        <w:pStyle w:val="FootnoteText"/>
        <w:rPr>
          <w:rFonts w:ascii="Arial" w:hAnsi="Arial" w:cs="Arial"/>
        </w:rPr>
      </w:pPr>
      <w:r w:rsidRPr="00D56B9B">
        <w:rPr>
          <w:rStyle w:val="FootnoteReference"/>
          <w:rFonts w:ascii="Arial" w:hAnsi="Arial" w:cs="Arial"/>
        </w:rPr>
        <w:footnoteRef/>
      </w:r>
      <w:r w:rsidRPr="00D56B9B">
        <w:rPr>
          <w:rFonts w:ascii="Arial" w:hAnsi="Arial" w:cs="Arial"/>
        </w:rPr>
        <w:t xml:space="preserve"> Articles 35 et 36 de la </w:t>
      </w:r>
      <w:hyperlink r:id="rId11" w:history="1">
        <w:r w:rsidRPr="00D56B9B">
          <w:rPr>
            <w:rStyle w:val="Hyperlink"/>
            <w:rFonts w:ascii="Arial" w:hAnsi="Arial" w:cs="Arial"/>
          </w:rPr>
          <w:t>Convention relative aux droits de l’enfant</w:t>
        </w:r>
      </w:hyperlink>
      <w:r w:rsidRPr="00D56B9B">
        <w:rPr>
          <w:rFonts w:ascii="Arial" w:hAnsi="Arial" w:cs="Arial"/>
        </w:rPr>
        <w:t>.</w:t>
      </w:r>
    </w:p>
  </w:footnote>
  <w:footnote w:id="16">
    <w:p w14:paraId="068DE9DA" w14:textId="2E0B7545" w:rsidR="00E01B36" w:rsidRPr="00D56B9B" w:rsidRDefault="00E01B36" w:rsidP="00E01B36">
      <w:pPr>
        <w:pStyle w:val="FootnoteText"/>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12" w:history="1">
        <w:r w:rsidRPr="00D56B9B">
          <w:rPr>
            <w:rStyle w:val="Hyperlink"/>
            <w:rFonts w:ascii="Arial" w:hAnsi="Arial" w:cs="Arial"/>
          </w:rPr>
          <w:t>https://www.lemonde.fr/societe/article/2022/05/19/gpa-imbroglio-apres-l-accouchement-en-france-de-meres-porteuses-ukrainiennes_6126719_3224.html</w:t>
        </w:r>
      </w:hyperlink>
      <w:r w:rsidRPr="00D56B9B">
        <w:rPr>
          <w:rFonts w:ascii="Arial" w:hAnsi="Arial" w:cs="Arial"/>
        </w:rPr>
        <w:t>.</w:t>
      </w:r>
    </w:p>
  </w:footnote>
  <w:footnote w:id="17">
    <w:p w14:paraId="090B0BC8" w14:textId="43F1F4BA" w:rsidR="00937958" w:rsidRDefault="00937958" w:rsidP="00937958">
      <w:pPr>
        <w:pStyle w:val="FootnoteText"/>
        <w:jc w:val="both"/>
      </w:pPr>
      <w:r w:rsidRPr="00D56B9B">
        <w:rPr>
          <w:rStyle w:val="FootnoteReference"/>
          <w:rFonts w:ascii="Arial" w:hAnsi="Arial" w:cs="Arial"/>
        </w:rPr>
        <w:footnoteRef/>
      </w:r>
      <w:r w:rsidRPr="00D56B9B">
        <w:rPr>
          <w:rFonts w:ascii="Arial" w:hAnsi="Arial" w:cs="Arial"/>
        </w:rPr>
        <w:t xml:space="preserve"> </w:t>
      </w:r>
      <w:hyperlink r:id="rId13" w:history="1">
        <w:r w:rsidRPr="00D56B9B">
          <w:rPr>
            <w:rStyle w:val="Hyperlink"/>
            <w:rFonts w:ascii="Arial" w:hAnsi="Arial" w:cs="Arial"/>
          </w:rPr>
          <w:t>https://www.lefigaro.fr/international/gpa-en-ukraine-le-business-des-bebes-20201023</w:t>
        </w:r>
      </w:hyperlink>
      <w:r w:rsidRPr="00D56B9B">
        <w:rPr>
          <w:rFonts w:ascii="Arial" w:hAnsi="Arial" w:cs="Arial"/>
        </w:rPr>
        <w:t>.</w:t>
      </w:r>
    </w:p>
  </w:footnote>
  <w:footnote w:id="18">
    <w:p w14:paraId="4DE49FD1" w14:textId="77777777" w:rsidR="00367806" w:rsidRPr="00D56B9B" w:rsidRDefault="00367806" w:rsidP="00367806">
      <w:pPr>
        <w:pStyle w:val="FootnoteText"/>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14" w:history="1">
        <w:r w:rsidRPr="00D56B9B">
          <w:rPr>
            <w:rStyle w:val="Hyperlink"/>
            <w:rFonts w:ascii="Arial" w:hAnsi="Arial" w:cs="Arial"/>
          </w:rPr>
          <w:t>CRC/C/FRA/QPR/6</w:t>
        </w:r>
      </w:hyperlink>
      <w:r w:rsidRPr="00D56B9B">
        <w:rPr>
          <w:rFonts w:ascii="Arial" w:hAnsi="Arial" w:cs="Arial"/>
        </w:rPr>
        <w:t>, §16.</w:t>
      </w:r>
    </w:p>
  </w:footnote>
  <w:footnote w:id="19">
    <w:p w14:paraId="4A512201" w14:textId="320560D9" w:rsidR="002F7886" w:rsidRPr="00D56B9B" w:rsidRDefault="002F7886">
      <w:pPr>
        <w:pStyle w:val="FootnoteText"/>
        <w:rPr>
          <w:rFonts w:ascii="Arial" w:hAnsi="Arial" w:cs="Arial"/>
        </w:rPr>
      </w:pPr>
      <w:r w:rsidRPr="00D56B9B">
        <w:rPr>
          <w:rStyle w:val="FootnoteReference"/>
          <w:rFonts w:ascii="Arial" w:hAnsi="Arial" w:cs="Arial"/>
        </w:rPr>
        <w:footnoteRef/>
      </w:r>
      <w:r w:rsidRPr="00D56B9B">
        <w:rPr>
          <w:rFonts w:ascii="Arial" w:hAnsi="Arial" w:cs="Arial"/>
        </w:rPr>
        <w:t xml:space="preserve"> </w:t>
      </w:r>
      <w:hyperlink r:id="rId15" w:history="1">
        <w:r w:rsidRPr="00D56B9B">
          <w:rPr>
            <w:rStyle w:val="Hyperlink"/>
            <w:rFonts w:ascii="Arial" w:hAnsi="Arial" w:cs="Arial"/>
          </w:rPr>
          <w:t>CRC/C/FRA/6-7</w:t>
        </w:r>
      </w:hyperlink>
      <w:r w:rsidRPr="00D56B9B">
        <w:rPr>
          <w:rFonts w:ascii="Arial" w:hAnsi="Arial" w:cs="Arial"/>
        </w:rPr>
        <w:t>, §77 à 80.</w:t>
      </w:r>
    </w:p>
  </w:footnote>
  <w:footnote w:id="20">
    <w:p w14:paraId="1123B9C5" w14:textId="77777777" w:rsidR="00F248F0" w:rsidRPr="00D56B9B" w:rsidRDefault="00F248F0" w:rsidP="00F248F0">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Article 18 de la </w:t>
      </w:r>
      <w:hyperlink r:id="rId16" w:history="1">
        <w:r w:rsidRPr="00D56B9B">
          <w:rPr>
            <w:rStyle w:val="Hyperlink"/>
            <w:rFonts w:ascii="Arial" w:hAnsi="Arial" w:cs="Arial"/>
          </w:rPr>
          <w:t>Convention relative aux droits de l’enfant</w:t>
        </w:r>
      </w:hyperlink>
      <w:r w:rsidRPr="00D56B9B">
        <w:rPr>
          <w:rFonts w:ascii="Arial" w:hAnsi="Arial" w:cs="Arial"/>
        </w:rPr>
        <w:t>.</w:t>
      </w:r>
    </w:p>
  </w:footnote>
  <w:footnote w:id="21">
    <w:p w14:paraId="229A7FF4" w14:textId="77777777" w:rsidR="00F248F0" w:rsidRPr="000C461C" w:rsidRDefault="00F248F0" w:rsidP="00F248F0">
      <w:pPr>
        <w:pStyle w:val="FootnoteText"/>
        <w:jc w:val="both"/>
      </w:pPr>
      <w:r w:rsidRPr="00D56B9B">
        <w:rPr>
          <w:rStyle w:val="FootnoteReference"/>
          <w:rFonts w:ascii="Arial" w:hAnsi="Arial" w:cs="Arial"/>
        </w:rPr>
        <w:footnoteRef/>
      </w:r>
      <w:r w:rsidRPr="00D56B9B">
        <w:rPr>
          <w:rFonts w:ascii="Arial" w:hAnsi="Arial" w:cs="Arial"/>
        </w:rPr>
        <w:t xml:space="preserve"> Sondage réalisé en juin 2018, Institut français d’opinion publique (IFOP), </w:t>
      </w:r>
      <w:hyperlink r:id="rId17" w:history="1">
        <w:r w:rsidRPr="00D56B9B">
          <w:rPr>
            <w:rStyle w:val="Hyperlink"/>
            <w:rFonts w:ascii="Arial" w:hAnsi="Arial" w:cs="Arial"/>
          </w:rPr>
          <w:t>https://www.ifop.com/publication/les-francais-et-la-paternite/</w:t>
        </w:r>
      </w:hyperlink>
      <w:r w:rsidRPr="00D56B9B">
        <w:rPr>
          <w:rFonts w:ascii="Arial" w:hAnsi="Arial" w:cs="Arial"/>
        </w:rPr>
        <w:t>.</w:t>
      </w:r>
    </w:p>
  </w:footnote>
  <w:footnote w:id="22">
    <w:p w14:paraId="796FBDF8" w14:textId="77777777" w:rsidR="0050284A" w:rsidRPr="00D56B9B" w:rsidRDefault="0050284A" w:rsidP="0050284A">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Source Agence de Biomédecine – Rapport médical et scientifique 2017 publié en septembre 2018.</w:t>
      </w:r>
    </w:p>
  </w:footnote>
  <w:footnote w:id="23">
    <w:p w14:paraId="48957F26" w14:textId="77777777" w:rsidR="0050284A" w:rsidRPr="00D56B9B" w:rsidRDefault="0050284A" w:rsidP="0050284A">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Loi n°2011-814 du 7 juillet 2011 relative à la bioéthique, Article 31 : « </w:t>
      </w:r>
      <w:r w:rsidRPr="00D56B9B">
        <w:rPr>
          <w:rFonts w:ascii="Arial" w:hAnsi="Arial" w:cs="Arial"/>
          <w:i/>
          <w:iCs/>
        </w:rPr>
        <w:t>La mise en œuvre de l’assistance médicale à la procréation privilégie les pratiques et procédés qui permettent de limiter le nombre des embryons conservés. L’Agence de la biomédecine rend compte, dans son rapport annuel, des méthodes utilisées et des résultats obtenus. </w:t>
      </w:r>
      <w:r w:rsidRPr="00D56B9B">
        <w:rPr>
          <w:rFonts w:ascii="Arial" w:hAnsi="Arial" w:cs="Arial"/>
        </w:rPr>
        <w:t xml:space="preserve">» </w:t>
      </w:r>
    </w:p>
  </w:footnote>
  <w:footnote w:id="24">
    <w:p w14:paraId="37623C5F" w14:textId="77777777" w:rsidR="00CD56BC" w:rsidRDefault="00CD56BC" w:rsidP="00CD56BC">
      <w:pPr>
        <w:pStyle w:val="FootnoteText"/>
        <w:jc w:val="both"/>
      </w:pPr>
      <w:r w:rsidRPr="00D56B9B">
        <w:rPr>
          <w:rStyle w:val="FootnoteReference"/>
          <w:rFonts w:ascii="Arial" w:hAnsi="Arial" w:cs="Arial"/>
        </w:rPr>
        <w:footnoteRef/>
      </w:r>
      <w:r w:rsidRPr="00D56B9B">
        <w:rPr>
          <w:rFonts w:ascii="Arial" w:hAnsi="Arial" w:cs="Arial"/>
        </w:rPr>
        <w:t xml:space="preserve"> </w:t>
      </w:r>
      <w:hyperlink r:id="rId18" w:history="1">
        <w:r w:rsidRPr="00D56B9B">
          <w:rPr>
            <w:rStyle w:val="Hyperlink"/>
            <w:rFonts w:ascii="Arial" w:hAnsi="Arial" w:cs="Arial"/>
          </w:rPr>
          <w:t>CRC/C/FRA/CO/5</w:t>
        </w:r>
      </w:hyperlink>
      <w:r w:rsidRPr="00D56B9B">
        <w:rPr>
          <w:rFonts w:ascii="Arial" w:hAnsi="Arial" w:cs="Arial"/>
        </w:rPr>
        <w:t>, Observations finales concernant le cinquième rapport périodique de la France, Comité des droits de l’enfant, Soixante et onzième session (11-29 janvier 2016), §26.</w:t>
      </w:r>
    </w:p>
  </w:footnote>
  <w:footnote w:id="25">
    <w:p w14:paraId="4EB2C7AD" w14:textId="77777777" w:rsidR="00CD56BC" w:rsidRPr="00D56B9B" w:rsidRDefault="00CD56BC" w:rsidP="00CD56BC">
      <w:pPr>
        <w:pStyle w:val="FootnoteText"/>
        <w:jc w:val="both"/>
        <w:rPr>
          <w:rFonts w:ascii="Arial" w:hAnsi="Arial" w:cs="Arial"/>
        </w:rPr>
      </w:pPr>
      <w:r w:rsidRPr="00D56B9B">
        <w:rPr>
          <w:rStyle w:val="FootnoteReference"/>
          <w:rFonts w:ascii="Arial" w:hAnsi="Arial" w:cs="Arial"/>
        </w:rPr>
        <w:footnoteRef/>
      </w:r>
      <w:r w:rsidRPr="00D56B9B">
        <w:rPr>
          <w:rFonts w:ascii="Arial" w:hAnsi="Arial" w:cs="Arial"/>
        </w:rPr>
        <w:t xml:space="preserve"> « Défendre les principes, veiller à l'intérêt des enfants - Quelle réponse apporter au contournement du droit français par le recours à l'AMP et à la GPA à l'étranger ? » </w:t>
      </w:r>
      <w:hyperlink r:id="rId19" w:history="1">
        <w:r w:rsidRPr="00D56B9B">
          <w:rPr>
            <w:rStyle w:val="Hyperlink"/>
            <w:rFonts w:ascii="Arial" w:hAnsi="Arial" w:cs="Arial"/>
          </w:rPr>
          <w:t>Rapport d'information</w:t>
        </w:r>
      </w:hyperlink>
      <w:r w:rsidRPr="00D56B9B">
        <w:rPr>
          <w:rFonts w:ascii="Arial" w:hAnsi="Arial" w:cs="Arial"/>
        </w:rPr>
        <w:t xml:space="preserve"> de M. Yves DÉTRAIGNE et Mme Catherine TASCA, fait au nom de la commission des lois n° 409 (2015-2016) – Sénat, 17 février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D7296"/>
    <w:multiLevelType w:val="hybridMultilevel"/>
    <w:tmpl w:val="7E84F61C"/>
    <w:lvl w:ilvl="0" w:tplc="30D0E5EC">
      <w:start w:val="3"/>
      <w:numFmt w:val="bullet"/>
      <w:lvlText w:val="-"/>
      <w:lvlJc w:val="left"/>
      <w:pPr>
        <w:ind w:left="720" w:hanging="360"/>
      </w:pPr>
      <w:rPr>
        <w:rFonts w:ascii="Calibri" w:eastAsiaTheme="minorHAnsi" w:hAnsi="Calibri" w:cs="Calibri" w:hint="default"/>
        <w:i w:val="0"/>
        <w:iCs/>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D35CB1"/>
    <w:multiLevelType w:val="hybridMultilevel"/>
    <w:tmpl w:val="ED6E3C10"/>
    <w:lvl w:ilvl="0" w:tplc="040C0015">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40D0B2C"/>
    <w:multiLevelType w:val="multilevel"/>
    <w:tmpl w:val="6BC0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14B3E"/>
    <w:multiLevelType w:val="hybridMultilevel"/>
    <w:tmpl w:val="9F46B080"/>
    <w:lvl w:ilvl="0" w:tplc="040C0005">
      <w:start w:val="1"/>
      <w:numFmt w:val="bullet"/>
      <w:lvlText w:val=""/>
      <w:lvlJc w:val="left"/>
      <w:pPr>
        <w:ind w:left="720" w:hanging="360"/>
      </w:pPr>
      <w:rPr>
        <w:rFonts w:ascii="Wingdings" w:hAnsi="Wingdings" w:hint="default"/>
      </w:rPr>
    </w:lvl>
    <w:lvl w:ilvl="1" w:tplc="C11E3010">
      <w:start w:val="3"/>
      <w:numFmt w:val="bullet"/>
      <w:lvlText w:val="-"/>
      <w:lvlJc w:val="left"/>
      <w:pPr>
        <w:ind w:left="1440" w:hanging="360"/>
      </w:pPr>
      <w:rPr>
        <w:rFonts w:ascii="Calibri" w:eastAsiaTheme="minorHAnsi" w:hAnsi="Calibri" w:cs="Calibri" w:hint="default"/>
        <w:i/>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7074ED"/>
    <w:multiLevelType w:val="hybridMultilevel"/>
    <w:tmpl w:val="E3AAA51A"/>
    <w:lvl w:ilvl="0" w:tplc="040C000F">
      <w:start w:val="1"/>
      <w:numFmt w:val="decimal"/>
      <w:lvlText w:val="%1."/>
      <w:lvlJc w:val="left"/>
      <w:pPr>
        <w:ind w:left="2880" w:hanging="360"/>
      </w:pPr>
    </w:lvl>
    <w:lvl w:ilvl="1" w:tplc="040C0019" w:tentative="1">
      <w:start w:val="1"/>
      <w:numFmt w:val="lowerLetter"/>
      <w:lvlText w:val="%2."/>
      <w:lvlJc w:val="left"/>
      <w:pPr>
        <w:ind w:left="3600" w:hanging="360"/>
      </w:pPr>
    </w:lvl>
    <w:lvl w:ilvl="2" w:tplc="040C001B" w:tentative="1">
      <w:start w:val="1"/>
      <w:numFmt w:val="lowerRoman"/>
      <w:lvlText w:val="%3."/>
      <w:lvlJc w:val="right"/>
      <w:pPr>
        <w:ind w:left="4320" w:hanging="180"/>
      </w:pPr>
    </w:lvl>
    <w:lvl w:ilvl="3" w:tplc="040C000F" w:tentative="1">
      <w:start w:val="1"/>
      <w:numFmt w:val="decimal"/>
      <w:lvlText w:val="%4."/>
      <w:lvlJc w:val="left"/>
      <w:pPr>
        <w:ind w:left="5040" w:hanging="360"/>
      </w:pPr>
    </w:lvl>
    <w:lvl w:ilvl="4" w:tplc="040C0019" w:tentative="1">
      <w:start w:val="1"/>
      <w:numFmt w:val="lowerLetter"/>
      <w:lvlText w:val="%5."/>
      <w:lvlJc w:val="left"/>
      <w:pPr>
        <w:ind w:left="5760" w:hanging="360"/>
      </w:pPr>
    </w:lvl>
    <w:lvl w:ilvl="5" w:tplc="040C001B" w:tentative="1">
      <w:start w:val="1"/>
      <w:numFmt w:val="lowerRoman"/>
      <w:lvlText w:val="%6."/>
      <w:lvlJc w:val="right"/>
      <w:pPr>
        <w:ind w:left="6480" w:hanging="180"/>
      </w:pPr>
    </w:lvl>
    <w:lvl w:ilvl="6" w:tplc="040C000F" w:tentative="1">
      <w:start w:val="1"/>
      <w:numFmt w:val="decimal"/>
      <w:lvlText w:val="%7."/>
      <w:lvlJc w:val="left"/>
      <w:pPr>
        <w:ind w:left="7200" w:hanging="360"/>
      </w:pPr>
    </w:lvl>
    <w:lvl w:ilvl="7" w:tplc="040C0019" w:tentative="1">
      <w:start w:val="1"/>
      <w:numFmt w:val="lowerLetter"/>
      <w:lvlText w:val="%8."/>
      <w:lvlJc w:val="left"/>
      <w:pPr>
        <w:ind w:left="7920" w:hanging="360"/>
      </w:pPr>
    </w:lvl>
    <w:lvl w:ilvl="8" w:tplc="040C001B" w:tentative="1">
      <w:start w:val="1"/>
      <w:numFmt w:val="lowerRoman"/>
      <w:lvlText w:val="%9."/>
      <w:lvlJc w:val="right"/>
      <w:pPr>
        <w:ind w:left="8640" w:hanging="180"/>
      </w:pPr>
    </w:lvl>
  </w:abstractNum>
  <w:abstractNum w:abstractNumId="5" w15:restartNumberingAfterBreak="0">
    <w:nsid w:val="10176921"/>
    <w:multiLevelType w:val="hybridMultilevel"/>
    <w:tmpl w:val="C744F8F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553961"/>
    <w:multiLevelType w:val="hybridMultilevel"/>
    <w:tmpl w:val="EFB8E612"/>
    <w:lvl w:ilvl="0" w:tplc="B41C1B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172654D"/>
    <w:multiLevelType w:val="hybridMultilevel"/>
    <w:tmpl w:val="F8FC611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2BA2959"/>
    <w:multiLevelType w:val="hybridMultilevel"/>
    <w:tmpl w:val="3A66EEAE"/>
    <w:lvl w:ilvl="0" w:tplc="C7EC23A8">
      <w:start w:val="23"/>
      <w:numFmt w:val="bullet"/>
      <w:lvlText w:val="-"/>
      <w:lvlJc w:val="left"/>
      <w:pPr>
        <w:ind w:left="720" w:hanging="360"/>
      </w:pPr>
      <w:rPr>
        <w:rFonts w:ascii="Calibri" w:eastAsiaTheme="minorHAnsi" w:hAnsi="Calibri" w:cs="Calibri"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2D82C49"/>
    <w:multiLevelType w:val="hybridMultilevel"/>
    <w:tmpl w:val="65B89A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30F6151"/>
    <w:multiLevelType w:val="hybridMultilevel"/>
    <w:tmpl w:val="64046AB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6E050F6"/>
    <w:multiLevelType w:val="hybridMultilevel"/>
    <w:tmpl w:val="54522C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75E38A5"/>
    <w:multiLevelType w:val="hybridMultilevel"/>
    <w:tmpl w:val="1660E728"/>
    <w:lvl w:ilvl="0" w:tplc="040C000F">
      <w:start w:val="1"/>
      <w:numFmt w:val="decimal"/>
      <w:lvlText w:val="%1."/>
      <w:lvlJc w:val="left"/>
      <w:pPr>
        <w:ind w:left="28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D10458"/>
    <w:multiLevelType w:val="hybridMultilevel"/>
    <w:tmpl w:val="481CB970"/>
    <w:lvl w:ilvl="0" w:tplc="3EFCA3B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BB64BA4"/>
    <w:multiLevelType w:val="hybridMultilevel"/>
    <w:tmpl w:val="ED6E3C10"/>
    <w:lvl w:ilvl="0" w:tplc="FFFFFFFF">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CB75943"/>
    <w:multiLevelType w:val="hybridMultilevel"/>
    <w:tmpl w:val="72768E70"/>
    <w:lvl w:ilvl="0" w:tplc="040C0015">
      <w:start w:val="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E1A7531"/>
    <w:multiLevelType w:val="hybridMultilevel"/>
    <w:tmpl w:val="DE20109C"/>
    <w:lvl w:ilvl="0" w:tplc="411E7340">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0257333"/>
    <w:multiLevelType w:val="multilevel"/>
    <w:tmpl w:val="67383ACC"/>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13D5572"/>
    <w:multiLevelType w:val="hybridMultilevel"/>
    <w:tmpl w:val="6D8E6D52"/>
    <w:lvl w:ilvl="0" w:tplc="3EFCA3B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1C54D24"/>
    <w:multiLevelType w:val="hybridMultilevel"/>
    <w:tmpl w:val="693A58EE"/>
    <w:lvl w:ilvl="0" w:tplc="1974BE2E">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3DA29DD"/>
    <w:multiLevelType w:val="hybridMultilevel"/>
    <w:tmpl w:val="F28CAC30"/>
    <w:lvl w:ilvl="0" w:tplc="4AF2BADA">
      <w:start w:val="5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1F37079"/>
    <w:multiLevelType w:val="hybridMultilevel"/>
    <w:tmpl w:val="FFC8697E"/>
    <w:lvl w:ilvl="0" w:tplc="3EFCA3B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A576455"/>
    <w:multiLevelType w:val="hybridMultilevel"/>
    <w:tmpl w:val="C4A0D598"/>
    <w:lvl w:ilvl="0" w:tplc="040C0011">
      <w:start w:val="1"/>
      <w:numFmt w:val="decimal"/>
      <w:lvlText w:val="%1)"/>
      <w:lvlJc w:val="left"/>
      <w:pPr>
        <w:ind w:left="2880" w:hanging="360"/>
      </w:pPr>
    </w:lvl>
    <w:lvl w:ilvl="1" w:tplc="040C0019" w:tentative="1">
      <w:start w:val="1"/>
      <w:numFmt w:val="lowerLetter"/>
      <w:lvlText w:val="%2."/>
      <w:lvlJc w:val="left"/>
      <w:pPr>
        <w:ind w:left="3600" w:hanging="360"/>
      </w:pPr>
    </w:lvl>
    <w:lvl w:ilvl="2" w:tplc="040C001B" w:tentative="1">
      <w:start w:val="1"/>
      <w:numFmt w:val="lowerRoman"/>
      <w:lvlText w:val="%3."/>
      <w:lvlJc w:val="right"/>
      <w:pPr>
        <w:ind w:left="4320" w:hanging="180"/>
      </w:pPr>
    </w:lvl>
    <w:lvl w:ilvl="3" w:tplc="040C000F" w:tentative="1">
      <w:start w:val="1"/>
      <w:numFmt w:val="decimal"/>
      <w:lvlText w:val="%4."/>
      <w:lvlJc w:val="left"/>
      <w:pPr>
        <w:ind w:left="5040" w:hanging="360"/>
      </w:pPr>
    </w:lvl>
    <w:lvl w:ilvl="4" w:tplc="040C0019" w:tentative="1">
      <w:start w:val="1"/>
      <w:numFmt w:val="lowerLetter"/>
      <w:lvlText w:val="%5."/>
      <w:lvlJc w:val="left"/>
      <w:pPr>
        <w:ind w:left="5760" w:hanging="360"/>
      </w:pPr>
    </w:lvl>
    <w:lvl w:ilvl="5" w:tplc="040C001B" w:tentative="1">
      <w:start w:val="1"/>
      <w:numFmt w:val="lowerRoman"/>
      <w:lvlText w:val="%6."/>
      <w:lvlJc w:val="right"/>
      <w:pPr>
        <w:ind w:left="6480" w:hanging="180"/>
      </w:pPr>
    </w:lvl>
    <w:lvl w:ilvl="6" w:tplc="040C000F" w:tentative="1">
      <w:start w:val="1"/>
      <w:numFmt w:val="decimal"/>
      <w:lvlText w:val="%7."/>
      <w:lvlJc w:val="left"/>
      <w:pPr>
        <w:ind w:left="7200" w:hanging="360"/>
      </w:pPr>
    </w:lvl>
    <w:lvl w:ilvl="7" w:tplc="040C0019" w:tentative="1">
      <w:start w:val="1"/>
      <w:numFmt w:val="lowerLetter"/>
      <w:lvlText w:val="%8."/>
      <w:lvlJc w:val="left"/>
      <w:pPr>
        <w:ind w:left="7920" w:hanging="360"/>
      </w:pPr>
    </w:lvl>
    <w:lvl w:ilvl="8" w:tplc="040C001B" w:tentative="1">
      <w:start w:val="1"/>
      <w:numFmt w:val="lowerRoman"/>
      <w:lvlText w:val="%9."/>
      <w:lvlJc w:val="right"/>
      <w:pPr>
        <w:ind w:left="8640" w:hanging="180"/>
      </w:pPr>
    </w:lvl>
  </w:abstractNum>
  <w:abstractNum w:abstractNumId="23" w15:restartNumberingAfterBreak="0">
    <w:nsid w:val="3B5F6E20"/>
    <w:multiLevelType w:val="hybridMultilevel"/>
    <w:tmpl w:val="D2D031AE"/>
    <w:lvl w:ilvl="0" w:tplc="CC789A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3AA0521"/>
    <w:multiLevelType w:val="hybridMultilevel"/>
    <w:tmpl w:val="5578670E"/>
    <w:lvl w:ilvl="0" w:tplc="B41C1B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C349E5"/>
    <w:multiLevelType w:val="hybridMultilevel"/>
    <w:tmpl w:val="91A84A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08D037D"/>
    <w:multiLevelType w:val="hybridMultilevel"/>
    <w:tmpl w:val="C02035B8"/>
    <w:lvl w:ilvl="0" w:tplc="040C0015">
      <w:start w:val="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0B446AD"/>
    <w:multiLevelType w:val="multilevel"/>
    <w:tmpl w:val="4F5E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837C5D"/>
    <w:multiLevelType w:val="hybridMultilevel"/>
    <w:tmpl w:val="F314E050"/>
    <w:lvl w:ilvl="0" w:tplc="E99A462E">
      <w:start w:val="1"/>
      <w:numFmt w:val="decimal"/>
      <w:pStyle w:val="ParagrapheNumrot"/>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9" w15:restartNumberingAfterBreak="0">
    <w:nsid w:val="580C15B6"/>
    <w:multiLevelType w:val="hybridMultilevel"/>
    <w:tmpl w:val="444A5FFA"/>
    <w:lvl w:ilvl="0" w:tplc="F300F394">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BC59AD"/>
    <w:multiLevelType w:val="hybridMultilevel"/>
    <w:tmpl w:val="6D6C21E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A1F0D77"/>
    <w:multiLevelType w:val="multilevel"/>
    <w:tmpl w:val="67383ACC"/>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FC672AC"/>
    <w:multiLevelType w:val="hybridMultilevel"/>
    <w:tmpl w:val="0CDA45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40C001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FDB1EFC"/>
    <w:multiLevelType w:val="hybridMultilevel"/>
    <w:tmpl w:val="DE2E0A1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02826CC"/>
    <w:multiLevelType w:val="hybridMultilevel"/>
    <w:tmpl w:val="05D886D4"/>
    <w:lvl w:ilvl="0" w:tplc="17A0A360">
      <w:start w:val="3"/>
      <w:numFmt w:val="bullet"/>
      <w:lvlText w:val="-"/>
      <w:lvlJc w:val="left"/>
      <w:pPr>
        <w:ind w:left="720" w:hanging="360"/>
      </w:pPr>
      <w:rPr>
        <w:rFonts w:ascii="Calibri" w:eastAsiaTheme="minorHAnsi" w:hAnsi="Calibri" w:cs="Calibri" w:hint="default"/>
        <w:i w:val="0"/>
        <w:iCs/>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3864AFE"/>
    <w:multiLevelType w:val="hybridMultilevel"/>
    <w:tmpl w:val="A6942178"/>
    <w:lvl w:ilvl="0" w:tplc="FFFFFFFF">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2452D4"/>
    <w:multiLevelType w:val="hybridMultilevel"/>
    <w:tmpl w:val="335EF4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A145E74"/>
    <w:multiLevelType w:val="hybridMultilevel"/>
    <w:tmpl w:val="C30C34E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E5E4AE0"/>
    <w:multiLevelType w:val="hybridMultilevel"/>
    <w:tmpl w:val="E9A05A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EBB4458"/>
    <w:multiLevelType w:val="hybridMultilevel"/>
    <w:tmpl w:val="66BEE4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FBA0112"/>
    <w:multiLevelType w:val="hybridMultilevel"/>
    <w:tmpl w:val="6612452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AFC78A7"/>
    <w:multiLevelType w:val="hybridMultilevel"/>
    <w:tmpl w:val="F830CF82"/>
    <w:lvl w:ilvl="0" w:tplc="F76EE5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B595016"/>
    <w:multiLevelType w:val="hybridMultilevel"/>
    <w:tmpl w:val="046E4070"/>
    <w:lvl w:ilvl="0" w:tplc="08C8656A">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E652EF2"/>
    <w:multiLevelType w:val="hybridMultilevel"/>
    <w:tmpl w:val="30A24756"/>
    <w:lvl w:ilvl="0" w:tplc="C11E3010">
      <w:start w:val="3"/>
      <w:numFmt w:val="bullet"/>
      <w:lvlText w:val="-"/>
      <w:lvlJc w:val="left"/>
      <w:pPr>
        <w:ind w:left="720" w:hanging="360"/>
      </w:pPr>
      <w:rPr>
        <w:rFonts w:ascii="Calibri" w:eastAsiaTheme="minorHAnsi" w:hAnsi="Calibri" w:cs="Calibri"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20"/>
  </w:num>
  <w:num w:numId="4">
    <w:abstractNumId w:val="36"/>
  </w:num>
  <w:num w:numId="5">
    <w:abstractNumId w:val="43"/>
  </w:num>
  <w:num w:numId="6">
    <w:abstractNumId w:val="8"/>
  </w:num>
  <w:num w:numId="7">
    <w:abstractNumId w:val="38"/>
  </w:num>
  <w:num w:numId="8">
    <w:abstractNumId w:val="11"/>
  </w:num>
  <w:num w:numId="9">
    <w:abstractNumId w:val="0"/>
  </w:num>
  <w:num w:numId="10">
    <w:abstractNumId w:val="34"/>
  </w:num>
  <w:num w:numId="11">
    <w:abstractNumId w:val="9"/>
  </w:num>
  <w:num w:numId="12">
    <w:abstractNumId w:val="16"/>
  </w:num>
  <w:num w:numId="13">
    <w:abstractNumId w:val="42"/>
  </w:num>
  <w:num w:numId="14">
    <w:abstractNumId w:val="7"/>
  </w:num>
  <w:num w:numId="15">
    <w:abstractNumId w:val="30"/>
  </w:num>
  <w:num w:numId="16">
    <w:abstractNumId w:val="5"/>
  </w:num>
  <w:num w:numId="17">
    <w:abstractNumId w:val="25"/>
  </w:num>
  <w:num w:numId="18">
    <w:abstractNumId w:val="24"/>
  </w:num>
  <w:num w:numId="19">
    <w:abstractNumId w:val="6"/>
  </w:num>
  <w:num w:numId="20">
    <w:abstractNumId w:val="3"/>
  </w:num>
  <w:num w:numId="21">
    <w:abstractNumId w:val="39"/>
  </w:num>
  <w:num w:numId="22">
    <w:abstractNumId w:val="37"/>
  </w:num>
  <w:num w:numId="23">
    <w:abstractNumId w:val="10"/>
  </w:num>
  <w:num w:numId="24">
    <w:abstractNumId w:val="19"/>
  </w:num>
  <w:num w:numId="25">
    <w:abstractNumId w:val="17"/>
  </w:num>
  <w:num w:numId="26">
    <w:abstractNumId w:val="1"/>
  </w:num>
  <w:num w:numId="27">
    <w:abstractNumId w:val="29"/>
  </w:num>
  <w:num w:numId="28">
    <w:abstractNumId w:val="28"/>
  </w:num>
  <w:num w:numId="29">
    <w:abstractNumId w:val="28"/>
  </w:num>
  <w:num w:numId="30">
    <w:abstractNumId w:val="18"/>
  </w:num>
  <w:num w:numId="31">
    <w:abstractNumId w:val="21"/>
  </w:num>
  <w:num w:numId="32">
    <w:abstractNumId w:val="13"/>
  </w:num>
  <w:num w:numId="33">
    <w:abstractNumId w:val="41"/>
  </w:num>
  <w:num w:numId="34">
    <w:abstractNumId w:val="32"/>
  </w:num>
  <w:num w:numId="35">
    <w:abstractNumId w:val="22"/>
  </w:num>
  <w:num w:numId="36">
    <w:abstractNumId w:val="35"/>
  </w:num>
  <w:num w:numId="37">
    <w:abstractNumId w:val="12"/>
  </w:num>
  <w:num w:numId="38">
    <w:abstractNumId w:val="4"/>
  </w:num>
  <w:num w:numId="39">
    <w:abstractNumId w:val="28"/>
  </w:num>
  <w:num w:numId="40">
    <w:abstractNumId w:val="31"/>
  </w:num>
  <w:num w:numId="41">
    <w:abstractNumId w:val="14"/>
  </w:num>
  <w:num w:numId="42">
    <w:abstractNumId w:val="15"/>
  </w:num>
  <w:num w:numId="43">
    <w:abstractNumId w:val="33"/>
  </w:num>
  <w:num w:numId="44">
    <w:abstractNumId w:val="26"/>
  </w:num>
  <w:num w:numId="45">
    <w:abstractNumId w:val="40"/>
  </w:num>
  <w:num w:numId="46">
    <w:abstractNumId w:val="23"/>
  </w:num>
  <w:num w:numId="47">
    <w:abstractNumId w:val="2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0EF"/>
    <w:rsid w:val="00003324"/>
    <w:rsid w:val="00006778"/>
    <w:rsid w:val="00013C52"/>
    <w:rsid w:val="00022544"/>
    <w:rsid w:val="00024FCB"/>
    <w:rsid w:val="00027A4C"/>
    <w:rsid w:val="0004057B"/>
    <w:rsid w:val="000462A3"/>
    <w:rsid w:val="000755E2"/>
    <w:rsid w:val="00083BDD"/>
    <w:rsid w:val="0009061A"/>
    <w:rsid w:val="00090B92"/>
    <w:rsid w:val="00096488"/>
    <w:rsid w:val="000A250E"/>
    <w:rsid w:val="000B31D1"/>
    <w:rsid w:val="000B6445"/>
    <w:rsid w:val="000B6E44"/>
    <w:rsid w:val="000C0176"/>
    <w:rsid w:val="000C2A74"/>
    <w:rsid w:val="000C461C"/>
    <w:rsid w:val="000C650A"/>
    <w:rsid w:val="000D5607"/>
    <w:rsid w:val="000E20B9"/>
    <w:rsid w:val="000F0B60"/>
    <w:rsid w:val="000F0BC6"/>
    <w:rsid w:val="000F2B98"/>
    <w:rsid w:val="000F4798"/>
    <w:rsid w:val="000F61F0"/>
    <w:rsid w:val="00101110"/>
    <w:rsid w:val="00101C4F"/>
    <w:rsid w:val="001054DD"/>
    <w:rsid w:val="00115912"/>
    <w:rsid w:val="00120A64"/>
    <w:rsid w:val="00131D92"/>
    <w:rsid w:val="00134767"/>
    <w:rsid w:val="00134CBD"/>
    <w:rsid w:val="00142D7D"/>
    <w:rsid w:val="0014626E"/>
    <w:rsid w:val="00146A98"/>
    <w:rsid w:val="00147DEA"/>
    <w:rsid w:val="00154636"/>
    <w:rsid w:val="00155C0C"/>
    <w:rsid w:val="001741E1"/>
    <w:rsid w:val="00180B5E"/>
    <w:rsid w:val="00182F48"/>
    <w:rsid w:val="0018550B"/>
    <w:rsid w:val="00192BD0"/>
    <w:rsid w:val="00194403"/>
    <w:rsid w:val="001A66D8"/>
    <w:rsid w:val="001A79A7"/>
    <w:rsid w:val="001B501A"/>
    <w:rsid w:val="001C28DA"/>
    <w:rsid w:val="001C2AAD"/>
    <w:rsid w:val="001C3D91"/>
    <w:rsid w:val="001C557A"/>
    <w:rsid w:val="001C5BBF"/>
    <w:rsid w:val="001C7373"/>
    <w:rsid w:val="001D18FA"/>
    <w:rsid w:val="001E0732"/>
    <w:rsid w:val="001E6981"/>
    <w:rsid w:val="001F10BB"/>
    <w:rsid w:val="001F1943"/>
    <w:rsid w:val="001F27F2"/>
    <w:rsid w:val="002026E7"/>
    <w:rsid w:val="00205141"/>
    <w:rsid w:val="00205E70"/>
    <w:rsid w:val="002064C1"/>
    <w:rsid w:val="0020755E"/>
    <w:rsid w:val="0021294B"/>
    <w:rsid w:val="00215A50"/>
    <w:rsid w:val="002160EA"/>
    <w:rsid w:val="00242F6E"/>
    <w:rsid w:val="00250236"/>
    <w:rsid w:val="0025769E"/>
    <w:rsid w:val="002644F7"/>
    <w:rsid w:val="00272EC5"/>
    <w:rsid w:val="00273843"/>
    <w:rsid w:val="002823A1"/>
    <w:rsid w:val="00283F9E"/>
    <w:rsid w:val="00285042"/>
    <w:rsid w:val="00290FE0"/>
    <w:rsid w:val="002A449A"/>
    <w:rsid w:val="002B0289"/>
    <w:rsid w:val="002B10FE"/>
    <w:rsid w:val="002B1DA3"/>
    <w:rsid w:val="002B6AD3"/>
    <w:rsid w:val="002D39A6"/>
    <w:rsid w:val="002D51E5"/>
    <w:rsid w:val="002E2B17"/>
    <w:rsid w:val="002F175B"/>
    <w:rsid w:val="002F3DC8"/>
    <w:rsid w:val="002F7779"/>
    <w:rsid w:val="002F7886"/>
    <w:rsid w:val="003018E4"/>
    <w:rsid w:val="003033E7"/>
    <w:rsid w:val="00317E4C"/>
    <w:rsid w:val="0032079D"/>
    <w:rsid w:val="0032585D"/>
    <w:rsid w:val="003271B2"/>
    <w:rsid w:val="00346FF6"/>
    <w:rsid w:val="00367806"/>
    <w:rsid w:val="00380BED"/>
    <w:rsid w:val="00380FCD"/>
    <w:rsid w:val="00384965"/>
    <w:rsid w:val="00385595"/>
    <w:rsid w:val="00386AC0"/>
    <w:rsid w:val="00387E24"/>
    <w:rsid w:val="003A19AB"/>
    <w:rsid w:val="003A5E85"/>
    <w:rsid w:val="003B1A48"/>
    <w:rsid w:val="003B2838"/>
    <w:rsid w:val="003B4F29"/>
    <w:rsid w:val="003C049A"/>
    <w:rsid w:val="003C4181"/>
    <w:rsid w:val="003C68B3"/>
    <w:rsid w:val="003E3910"/>
    <w:rsid w:val="003F22BA"/>
    <w:rsid w:val="00406F63"/>
    <w:rsid w:val="00410A90"/>
    <w:rsid w:val="00421B3F"/>
    <w:rsid w:val="00426514"/>
    <w:rsid w:val="00426CF8"/>
    <w:rsid w:val="00433F34"/>
    <w:rsid w:val="0044158B"/>
    <w:rsid w:val="0044336A"/>
    <w:rsid w:val="00447A3D"/>
    <w:rsid w:val="004533B9"/>
    <w:rsid w:val="00465614"/>
    <w:rsid w:val="0047031D"/>
    <w:rsid w:val="00470867"/>
    <w:rsid w:val="00477251"/>
    <w:rsid w:val="00481FF9"/>
    <w:rsid w:val="00487A2E"/>
    <w:rsid w:val="004957C9"/>
    <w:rsid w:val="004A6FB5"/>
    <w:rsid w:val="004A7D5C"/>
    <w:rsid w:val="004B13D3"/>
    <w:rsid w:val="004C0F45"/>
    <w:rsid w:val="004C21AB"/>
    <w:rsid w:val="004D0043"/>
    <w:rsid w:val="004D514A"/>
    <w:rsid w:val="004D798F"/>
    <w:rsid w:val="004D7F0E"/>
    <w:rsid w:val="004E4B4B"/>
    <w:rsid w:val="004F0D36"/>
    <w:rsid w:val="004F0D4D"/>
    <w:rsid w:val="004F1A50"/>
    <w:rsid w:val="004F48E2"/>
    <w:rsid w:val="0050284A"/>
    <w:rsid w:val="00514A57"/>
    <w:rsid w:val="005168B4"/>
    <w:rsid w:val="00524225"/>
    <w:rsid w:val="00525071"/>
    <w:rsid w:val="00531D6B"/>
    <w:rsid w:val="00532435"/>
    <w:rsid w:val="00535F36"/>
    <w:rsid w:val="00536B1D"/>
    <w:rsid w:val="0054060B"/>
    <w:rsid w:val="005527D9"/>
    <w:rsid w:val="00553565"/>
    <w:rsid w:val="00553D51"/>
    <w:rsid w:val="005867DE"/>
    <w:rsid w:val="005A0BAF"/>
    <w:rsid w:val="005A36E3"/>
    <w:rsid w:val="005B162F"/>
    <w:rsid w:val="005B6C5E"/>
    <w:rsid w:val="005C035C"/>
    <w:rsid w:val="005C06DC"/>
    <w:rsid w:val="005C3A10"/>
    <w:rsid w:val="005D3070"/>
    <w:rsid w:val="005E1C8E"/>
    <w:rsid w:val="005E4482"/>
    <w:rsid w:val="005F4F7F"/>
    <w:rsid w:val="00617A37"/>
    <w:rsid w:val="006201B4"/>
    <w:rsid w:val="00621B74"/>
    <w:rsid w:val="006234CC"/>
    <w:rsid w:val="00624AD7"/>
    <w:rsid w:val="00624F48"/>
    <w:rsid w:val="006264B2"/>
    <w:rsid w:val="006311F9"/>
    <w:rsid w:val="00633376"/>
    <w:rsid w:val="00633E20"/>
    <w:rsid w:val="00634325"/>
    <w:rsid w:val="0063586B"/>
    <w:rsid w:val="00637382"/>
    <w:rsid w:val="00642AB6"/>
    <w:rsid w:val="00643819"/>
    <w:rsid w:val="00643ABF"/>
    <w:rsid w:val="00645E3A"/>
    <w:rsid w:val="006467F3"/>
    <w:rsid w:val="006625D0"/>
    <w:rsid w:val="00662F33"/>
    <w:rsid w:val="0067479F"/>
    <w:rsid w:val="00676B28"/>
    <w:rsid w:val="00692A4A"/>
    <w:rsid w:val="0069364D"/>
    <w:rsid w:val="006C1B4F"/>
    <w:rsid w:val="006C1EDE"/>
    <w:rsid w:val="006C329E"/>
    <w:rsid w:val="006C6624"/>
    <w:rsid w:val="006D6864"/>
    <w:rsid w:val="006E1CAA"/>
    <w:rsid w:val="006E7E89"/>
    <w:rsid w:val="006F0441"/>
    <w:rsid w:val="006F240D"/>
    <w:rsid w:val="006F5B66"/>
    <w:rsid w:val="00703EB2"/>
    <w:rsid w:val="007132D7"/>
    <w:rsid w:val="00714398"/>
    <w:rsid w:val="00717073"/>
    <w:rsid w:val="00722756"/>
    <w:rsid w:val="007368FF"/>
    <w:rsid w:val="00746BBC"/>
    <w:rsid w:val="00772275"/>
    <w:rsid w:val="00774FF6"/>
    <w:rsid w:val="007821F5"/>
    <w:rsid w:val="007A420C"/>
    <w:rsid w:val="007B25CC"/>
    <w:rsid w:val="007C2573"/>
    <w:rsid w:val="007C4C7A"/>
    <w:rsid w:val="007C68B9"/>
    <w:rsid w:val="007D1D86"/>
    <w:rsid w:val="007E4001"/>
    <w:rsid w:val="007E60EF"/>
    <w:rsid w:val="007F7946"/>
    <w:rsid w:val="00810B7A"/>
    <w:rsid w:val="00813CA6"/>
    <w:rsid w:val="00816B44"/>
    <w:rsid w:val="00817AFB"/>
    <w:rsid w:val="00821256"/>
    <w:rsid w:val="00830DF5"/>
    <w:rsid w:val="00835275"/>
    <w:rsid w:val="008406D5"/>
    <w:rsid w:val="00841693"/>
    <w:rsid w:val="0084203B"/>
    <w:rsid w:val="008465BE"/>
    <w:rsid w:val="00850985"/>
    <w:rsid w:val="00851FC5"/>
    <w:rsid w:val="00853874"/>
    <w:rsid w:val="00854C51"/>
    <w:rsid w:val="00856ACF"/>
    <w:rsid w:val="00861862"/>
    <w:rsid w:val="008618EE"/>
    <w:rsid w:val="00863951"/>
    <w:rsid w:val="0087454E"/>
    <w:rsid w:val="00882155"/>
    <w:rsid w:val="008877AA"/>
    <w:rsid w:val="00891BF4"/>
    <w:rsid w:val="00895E17"/>
    <w:rsid w:val="008A59C4"/>
    <w:rsid w:val="008B5616"/>
    <w:rsid w:val="008B5B38"/>
    <w:rsid w:val="008B7478"/>
    <w:rsid w:val="008B7820"/>
    <w:rsid w:val="008B7DB7"/>
    <w:rsid w:val="008C7CD3"/>
    <w:rsid w:val="008D499E"/>
    <w:rsid w:val="008E30C2"/>
    <w:rsid w:val="008F24F5"/>
    <w:rsid w:val="008F3706"/>
    <w:rsid w:val="009037D9"/>
    <w:rsid w:val="00921D9C"/>
    <w:rsid w:val="00930668"/>
    <w:rsid w:val="00937958"/>
    <w:rsid w:val="0095089A"/>
    <w:rsid w:val="00950A2F"/>
    <w:rsid w:val="00961016"/>
    <w:rsid w:val="00966F5D"/>
    <w:rsid w:val="00970600"/>
    <w:rsid w:val="00975FB8"/>
    <w:rsid w:val="00985E99"/>
    <w:rsid w:val="009B22EC"/>
    <w:rsid w:val="009D5A91"/>
    <w:rsid w:val="009E1F04"/>
    <w:rsid w:val="009F7654"/>
    <w:rsid w:val="00A00EE4"/>
    <w:rsid w:val="00A05B0A"/>
    <w:rsid w:val="00A132E5"/>
    <w:rsid w:val="00A13634"/>
    <w:rsid w:val="00A16C8A"/>
    <w:rsid w:val="00A3228D"/>
    <w:rsid w:val="00A41069"/>
    <w:rsid w:val="00A47FEE"/>
    <w:rsid w:val="00A56205"/>
    <w:rsid w:val="00A63867"/>
    <w:rsid w:val="00A64905"/>
    <w:rsid w:val="00A77BB8"/>
    <w:rsid w:val="00A80D9B"/>
    <w:rsid w:val="00A836B1"/>
    <w:rsid w:val="00A85DA3"/>
    <w:rsid w:val="00AA15C7"/>
    <w:rsid w:val="00AA3452"/>
    <w:rsid w:val="00AA6212"/>
    <w:rsid w:val="00AB576C"/>
    <w:rsid w:val="00AC096F"/>
    <w:rsid w:val="00AD2406"/>
    <w:rsid w:val="00B036AD"/>
    <w:rsid w:val="00B07AA2"/>
    <w:rsid w:val="00B21FBA"/>
    <w:rsid w:val="00B238DA"/>
    <w:rsid w:val="00B24F15"/>
    <w:rsid w:val="00B279AA"/>
    <w:rsid w:val="00B31DAF"/>
    <w:rsid w:val="00B3467A"/>
    <w:rsid w:val="00B42877"/>
    <w:rsid w:val="00B45E95"/>
    <w:rsid w:val="00B50B1E"/>
    <w:rsid w:val="00B50E0B"/>
    <w:rsid w:val="00B52BA8"/>
    <w:rsid w:val="00B52F9E"/>
    <w:rsid w:val="00B62F1F"/>
    <w:rsid w:val="00B7136E"/>
    <w:rsid w:val="00B7798C"/>
    <w:rsid w:val="00B80B14"/>
    <w:rsid w:val="00B82778"/>
    <w:rsid w:val="00B919B8"/>
    <w:rsid w:val="00B9540B"/>
    <w:rsid w:val="00BA72F8"/>
    <w:rsid w:val="00BB20F5"/>
    <w:rsid w:val="00BB7CD7"/>
    <w:rsid w:val="00BC1074"/>
    <w:rsid w:val="00BC183B"/>
    <w:rsid w:val="00BC4C85"/>
    <w:rsid w:val="00BD4D6D"/>
    <w:rsid w:val="00BD5A0C"/>
    <w:rsid w:val="00BF5708"/>
    <w:rsid w:val="00C0298B"/>
    <w:rsid w:val="00C05DF2"/>
    <w:rsid w:val="00C07577"/>
    <w:rsid w:val="00C132E3"/>
    <w:rsid w:val="00C36660"/>
    <w:rsid w:val="00C43011"/>
    <w:rsid w:val="00C4437E"/>
    <w:rsid w:val="00C47BE6"/>
    <w:rsid w:val="00C5254E"/>
    <w:rsid w:val="00C537C7"/>
    <w:rsid w:val="00C5402A"/>
    <w:rsid w:val="00C55F50"/>
    <w:rsid w:val="00C60874"/>
    <w:rsid w:val="00C63809"/>
    <w:rsid w:val="00C676D4"/>
    <w:rsid w:val="00C7314E"/>
    <w:rsid w:val="00C776C8"/>
    <w:rsid w:val="00C8590D"/>
    <w:rsid w:val="00C93E8E"/>
    <w:rsid w:val="00C966EB"/>
    <w:rsid w:val="00CA191E"/>
    <w:rsid w:val="00CA7021"/>
    <w:rsid w:val="00CB52D3"/>
    <w:rsid w:val="00CB6F4D"/>
    <w:rsid w:val="00CC045D"/>
    <w:rsid w:val="00CC26DD"/>
    <w:rsid w:val="00CC2DB3"/>
    <w:rsid w:val="00CC60C7"/>
    <w:rsid w:val="00CC74BC"/>
    <w:rsid w:val="00CD56BC"/>
    <w:rsid w:val="00CE1881"/>
    <w:rsid w:val="00CF5F83"/>
    <w:rsid w:val="00CF7FF3"/>
    <w:rsid w:val="00D00921"/>
    <w:rsid w:val="00D07ACE"/>
    <w:rsid w:val="00D130EA"/>
    <w:rsid w:val="00D27928"/>
    <w:rsid w:val="00D347E3"/>
    <w:rsid w:val="00D37352"/>
    <w:rsid w:val="00D41FD2"/>
    <w:rsid w:val="00D45374"/>
    <w:rsid w:val="00D47F89"/>
    <w:rsid w:val="00D537AB"/>
    <w:rsid w:val="00D56B9B"/>
    <w:rsid w:val="00D6500F"/>
    <w:rsid w:val="00D72D01"/>
    <w:rsid w:val="00D733A5"/>
    <w:rsid w:val="00D7623D"/>
    <w:rsid w:val="00D914C1"/>
    <w:rsid w:val="00DB4846"/>
    <w:rsid w:val="00DC5399"/>
    <w:rsid w:val="00DC6449"/>
    <w:rsid w:val="00DC6508"/>
    <w:rsid w:val="00DC687F"/>
    <w:rsid w:val="00DE2104"/>
    <w:rsid w:val="00DE68C0"/>
    <w:rsid w:val="00DE716B"/>
    <w:rsid w:val="00DE7487"/>
    <w:rsid w:val="00DF421E"/>
    <w:rsid w:val="00E01B36"/>
    <w:rsid w:val="00E03341"/>
    <w:rsid w:val="00E10DF9"/>
    <w:rsid w:val="00E17475"/>
    <w:rsid w:val="00E20744"/>
    <w:rsid w:val="00E33B95"/>
    <w:rsid w:val="00E3525E"/>
    <w:rsid w:val="00E436E8"/>
    <w:rsid w:val="00E451AC"/>
    <w:rsid w:val="00E458FC"/>
    <w:rsid w:val="00E461AC"/>
    <w:rsid w:val="00E5098A"/>
    <w:rsid w:val="00E61AB9"/>
    <w:rsid w:val="00E6485F"/>
    <w:rsid w:val="00E7438A"/>
    <w:rsid w:val="00E81367"/>
    <w:rsid w:val="00E8374D"/>
    <w:rsid w:val="00E84932"/>
    <w:rsid w:val="00E96D66"/>
    <w:rsid w:val="00EA0D71"/>
    <w:rsid w:val="00EA43DB"/>
    <w:rsid w:val="00EB0EBA"/>
    <w:rsid w:val="00EB108D"/>
    <w:rsid w:val="00EB2C1D"/>
    <w:rsid w:val="00EB6C5B"/>
    <w:rsid w:val="00EB7AFA"/>
    <w:rsid w:val="00EC1DE0"/>
    <w:rsid w:val="00ED3685"/>
    <w:rsid w:val="00ED4637"/>
    <w:rsid w:val="00ED5573"/>
    <w:rsid w:val="00EE13BC"/>
    <w:rsid w:val="00F0297A"/>
    <w:rsid w:val="00F115BF"/>
    <w:rsid w:val="00F137CD"/>
    <w:rsid w:val="00F248F0"/>
    <w:rsid w:val="00F24F27"/>
    <w:rsid w:val="00F254A6"/>
    <w:rsid w:val="00F255C1"/>
    <w:rsid w:val="00F409CA"/>
    <w:rsid w:val="00F41FEA"/>
    <w:rsid w:val="00F47522"/>
    <w:rsid w:val="00F618BA"/>
    <w:rsid w:val="00F63D5B"/>
    <w:rsid w:val="00F74D6D"/>
    <w:rsid w:val="00F74EEB"/>
    <w:rsid w:val="00F86C5A"/>
    <w:rsid w:val="00FA687D"/>
    <w:rsid w:val="00FC3479"/>
    <w:rsid w:val="00FD345E"/>
    <w:rsid w:val="00FF01A8"/>
    <w:rsid w:val="00FF67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2290"/>
  <w15:chartTrackingRefBased/>
  <w15:docId w15:val="{4C64AFB7-842B-4B0F-8C8B-936C80147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943"/>
    <w:pPr>
      <w:spacing w:after="200" w:line="276" w:lineRule="auto"/>
    </w:pPr>
    <w:rPr>
      <w:lang w:bidi="he-IL"/>
    </w:rPr>
  </w:style>
  <w:style w:type="paragraph" w:styleId="Heading1">
    <w:name w:val="heading 1"/>
    <w:basedOn w:val="Normal"/>
    <w:next w:val="Normal"/>
    <w:link w:val="Heading1Char"/>
    <w:uiPriority w:val="9"/>
    <w:qFormat/>
    <w:rsid w:val="007E60E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E60E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B80B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0EF"/>
    <w:rPr>
      <w:rFonts w:asciiTheme="majorHAnsi" w:eastAsiaTheme="majorEastAsia" w:hAnsiTheme="majorHAnsi" w:cstheme="majorBidi"/>
      <w:b/>
      <w:bCs/>
      <w:color w:val="2F5496" w:themeColor="accent1" w:themeShade="BF"/>
      <w:sz w:val="28"/>
      <w:szCs w:val="28"/>
      <w:lang w:bidi="he-IL"/>
    </w:rPr>
  </w:style>
  <w:style w:type="character" w:customStyle="1" w:styleId="Heading2Char">
    <w:name w:val="Heading 2 Char"/>
    <w:basedOn w:val="DefaultParagraphFont"/>
    <w:link w:val="Heading2"/>
    <w:uiPriority w:val="9"/>
    <w:rsid w:val="007E60EF"/>
    <w:rPr>
      <w:rFonts w:asciiTheme="majorHAnsi" w:eastAsiaTheme="majorEastAsia" w:hAnsiTheme="majorHAnsi" w:cstheme="majorBidi"/>
      <w:b/>
      <w:bCs/>
      <w:color w:val="4472C4" w:themeColor="accent1"/>
      <w:sz w:val="26"/>
      <w:szCs w:val="26"/>
      <w:lang w:bidi="he-IL"/>
    </w:rPr>
  </w:style>
  <w:style w:type="paragraph" w:styleId="ListParagraph">
    <w:name w:val="List Paragraph"/>
    <w:basedOn w:val="Normal"/>
    <w:link w:val="ListParagraphChar"/>
    <w:uiPriority w:val="34"/>
    <w:qFormat/>
    <w:rsid w:val="007E60EF"/>
    <w:pPr>
      <w:ind w:left="720"/>
      <w:contextualSpacing/>
    </w:pPr>
  </w:style>
  <w:style w:type="character" w:styleId="Hyperlink">
    <w:name w:val="Hyperlink"/>
    <w:basedOn w:val="DefaultParagraphFont"/>
    <w:uiPriority w:val="99"/>
    <w:unhideWhenUsed/>
    <w:rsid w:val="007E60EF"/>
    <w:rPr>
      <w:color w:val="0563C1" w:themeColor="hyperlink"/>
      <w:u w:val="single"/>
    </w:rPr>
  </w:style>
  <w:style w:type="paragraph" w:styleId="NormalWeb">
    <w:name w:val="Normal (Web)"/>
    <w:basedOn w:val="Normal"/>
    <w:uiPriority w:val="99"/>
    <w:unhideWhenUsed/>
    <w:rsid w:val="007E60E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7E60EF"/>
    <w:rPr>
      <w:b/>
      <w:bCs/>
    </w:rPr>
  </w:style>
  <w:style w:type="paragraph" w:customStyle="1" w:styleId="Default">
    <w:name w:val="Default"/>
    <w:rsid w:val="007E60EF"/>
    <w:pPr>
      <w:autoSpaceDE w:val="0"/>
      <w:autoSpaceDN w:val="0"/>
      <w:adjustRightInd w:val="0"/>
      <w:spacing w:after="0" w:line="240" w:lineRule="auto"/>
    </w:pPr>
    <w:rPr>
      <w:rFonts w:ascii="Times New Roman" w:hAnsi="Times New Roman" w:cs="Times New Roman"/>
      <w:color w:val="000000"/>
      <w:sz w:val="24"/>
      <w:szCs w:val="24"/>
      <w:lang w:bidi="he-IL"/>
    </w:rPr>
  </w:style>
  <w:style w:type="paragraph" w:styleId="FootnoteText">
    <w:name w:val="footnote text"/>
    <w:basedOn w:val="Normal"/>
    <w:link w:val="FootnoteTextChar"/>
    <w:uiPriority w:val="99"/>
    <w:unhideWhenUsed/>
    <w:rsid w:val="007E60EF"/>
    <w:pPr>
      <w:spacing w:after="0" w:line="240" w:lineRule="auto"/>
    </w:pPr>
    <w:rPr>
      <w:sz w:val="20"/>
      <w:szCs w:val="20"/>
    </w:rPr>
  </w:style>
  <w:style w:type="character" w:customStyle="1" w:styleId="FootnoteTextChar">
    <w:name w:val="Footnote Text Char"/>
    <w:basedOn w:val="DefaultParagraphFont"/>
    <w:link w:val="FootnoteText"/>
    <w:uiPriority w:val="99"/>
    <w:rsid w:val="007E60EF"/>
    <w:rPr>
      <w:sz w:val="20"/>
      <w:szCs w:val="20"/>
      <w:lang w:bidi="he-IL"/>
    </w:rPr>
  </w:style>
  <w:style w:type="character" w:styleId="FootnoteReference">
    <w:name w:val="footnote reference"/>
    <w:basedOn w:val="DefaultParagraphFont"/>
    <w:uiPriority w:val="99"/>
    <w:unhideWhenUsed/>
    <w:rsid w:val="007E60EF"/>
    <w:rPr>
      <w:vertAlign w:val="superscript"/>
    </w:rPr>
  </w:style>
  <w:style w:type="paragraph" w:styleId="Footer">
    <w:name w:val="footer"/>
    <w:basedOn w:val="Normal"/>
    <w:link w:val="FooterChar"/>
    <w:uiPriority w:val="99"/>
    <w:unhideWhenUsed/>
    <w:rsid w:val="007E60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7E60EF"/>
    <w:rPr>
      <w:lang w:bidi="he-IL"/>
    </w:rPr>
  </w:style>
  <w:style w:type="character" w:styleId="IntenseReference">
    <w:name w:val="Intense Reference"/>
    <w:basedOn w:val="DefaultParagraphFont"/>
    <w:uiPriority w:val="32"/>
    <w:qFormat/>
    <w:rsid w:val="007E60EF"/>
    <w:rPr>
      <w:b/>
      <w:bCs/>
      <w:smallCaps/>
      <w:color w:val="4472C4" w:themeColor="accent1"/>
      <w:spacing w:val="5"/>
    </w:rPr>
  </w:style>
  <w:style w:type="paragraph" w:styleId="TOCHeading">
    <w:name w:val="TOC Heading"/>
    <w:basedOn w:val="Heading1"/>
    <w:next w:val="Normal"/>
    <w:uiPriority w:val="39"/>
    <w:unhideWhenUsed/>
    <w:qFormat/>
    <w:rsid w:val="007E60EF"/>
    <w:pPr>
      <w:spacing w:before="240" w:line="259" w:lineRule="auto"/>
      <w:outlineLvl w:val="9"/>
    </w:pPr>
    <w:rPr>
      <w:b w:val="0"/>
      <w:bCs w:val="0"/>
      <w:sz w:val="32"/>
      <w:szCs w:val="32"/>
      <w:lang w:eastAsia="fr-FR" w:bidi="ar-SA"/>
    </w:rPr>
  </w:style>
  <w:style w:type="paragraph" w:styleId="TOC2">
    <w:name w:val="toc 2"/>
    <w:basedOn w:val="Normal"/>
    <w:next w:val="Normal"/>
    <w:autoRedefine/>
    <w:uiPriority w:val="39"/>
    <w:unhideWhenUsed/>
    <w:rsid w:val="00DC6508"/>
    <w:pPr>
      <w:tabs>
        <w:tab w:val="right" w:leader="dot" w:pos="9062"/>
      </w:tabs>
      <w:spacing w:before="120" w:after="120"/>
      <w:ind w:left="708"/>
    </w:pPr>
  </w:style>
  <w:style w:type="paragraph" w:styleId="TOC1">
    <w:name w:val="toc 1"/>
    <w:basedOn w:val="Normal"/>
    <w:next w:val="Normal"/>
    <w:autoRedefine/>
    <w:uiPriority w:val="39"/>
    <w:unhideWhenUsed/>
    <w:rsid w:val="007E60EF"/>
    <w:pPr>
      <w:tabs>
        <w:tab w:val="right" w:leader="dot" w:pos="9062"/>
      </w:tabs>
      <w:spacing w:before="240" w:after="0" w:line="480" w:lineRule="auto"/>
    </w:pPr>
    <w:rPr>
      <w:b/>
      <w:bCs/>
      <w:noProof/>
      <w:color w:val="4472C4" w:themeColor="accent1"/>
      <w:sz w:val="24"/>
      <w:szCs w:val="24"/>
      <w:lang w:val="en-US"/>
    </w:rPr>
  </w:style>
  <w:style w:type="paragraph" w:styleId="Header">
    <w:name w:val="header"/>
    <w:basedOn w:val="Normal"/>
    <w:link w:val="HeaderChar"/>
    <w:uiPriority w:val="99"/>
    <w:unhideWhenUsed/>
    <w:rsid w:val="0083527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35275"/>
    <w:rPr>
      <w:lang w:bidi="he-IL"/>
    </w:rPr>
  </w:style>
  <w:style w:type="character" w:customStyle="1" w:styleId="Mentionnonrsolue1">
    <w:name w:val="Mention non résolue1"/>
    <w:basedOn w:val="DefaultParagraphFont"/>
    <w:uiPriority w:val="99"/>
    <w:semiHidden/>
    <w:unhideWhenUsed/>
    <w:rsid w:val="00D733A5"/>
    <w:rPr>
      <w:color w:val="605E5C"/>
      <w:shd w:val="clear" w:color="auto" w:fill="E1DFDD"/>
    </w:rPr>
  </w:style>
  <w:style w:type="character" w:customStyle="1" w:styleId="Heading3Char">
    <w:name w:val="Heading 3 Char"/>
    <w:basedOn w:val="DefaultParagraphFont"/>
    <w:link w:val="Heading3"/>
    <w:uiPriority w:val="9"/>
    <w:rsid w:val="00B80B14"/>
    <w:rPr>
      <w:rFonts w:asciiTheme="majorHAnsi" w:eastAsiaTheme="majorEastAsia" w:hAnsiTheme="majorHAnsi" w:cstheme="majorBidi"/>
      <w:color w:val="1F3763" w:themeColor="accent1" w:themeShade="7F"/>
      <w:sz w:val="24"/>
      <w:szCs w:val="24"/>
      <w:lang w:bidi="he-IL"/>
    </w:rPr>
  </w:style>
  <w:style w:type="character" w:styleId="Emphasis">
    <w:name w:val="Emphasis"/>
    <w:basedOn w:val="DefaultParagraphFont"/>
    <w:uiPriority w:val="20"/>
    <w:qFormat/>
    <w:rsid w:val="00C4437E"/>
    <w:rPr>
      <w:i/>
      <w:iCs/>
    </w:rPr>
  </w:style>
  <w:style w:type="character" w:styleId="FollowedHyperlink">
    <w:name w:val="FollowedHyperlink"/>
    <w:basedOn w:val="DefaultParagraphFont"/>
    <w:uiPriority w:val="99"/>
    <w:semiHidden/>
    <w:unhideWhenUsed/>
    <w:rsid w:val="00C05DF2"/>
    <w:rPr>
      <w:color w:val="954F72" w:themeColor="followedHyperlink"/>
      <w:u w:val="single"/>
    </w:rPr>
  </w:style>
  <w:style w:type="paragraph" w:styleId="TOC3">
    <w:name w:val="toc 3"/>
    <w:basedOn w:val="Normal"/>
    <w:next w:val="Normal"/>
    <w:autoRedefine/>
    <w:uiPriority w:val="39"/>
    <w:unhideWhenUsed/>
    <w:rsid w:val="00AC096F"/>
    <w:pPr>
      <w:spacing w:after="100"/>
      <w:ind w:left="440"/>
    </w:pPr>
  </w:style>
  <w:style w:type="paragraph" w:styleId="BalloonText">
    <w:name w:val="Balloon Text"/>
    <w:basedOn w:val="Normal"/>
    <w:link w:val="BalloonTextChar"/>
    <w:uiPriority w:val="99"/>
    <w:semiHidden/>
    <w:unhideWhenUsed/>
    <w:rsid w:val="00FF01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1A8"/>
    <w:rPr>
      <w:rFonts w:ascii="Segoe UI" w:hAnsi="Segoe UI" w:cs="Segoe UI"/>
      <w:sz w:val="18"/>
      <w:szCs w:val="18"/>
      <w:lang w:bidi="he-IL"/>
    </w:rPr>
  </w:style>
  <w:style w:type="paragraph" w:styleId="Revision">
    <w:name w:val="Revision"/>
    <w:hidden/>
    <w:uiPriority w:val="99"/>
    <w:semiHidden/>
    <w:rsid w:val="00154636"/>
    <w:pPr>
      <w:spacing w:after="0" w:line="240" w:lineRule="auto"/>
    </w:pPr>
    <w:rPr>
      <w:lang w:bidi="he-IL"/>
    </w:rPr>
  </w:style>
  <w:style w:type="paragraph" w:styleId="NoSpacing">
    <w:name w:val="No Spacing"/>
    <w:uiPriority w:val="1"/>
    <w:qFormat/>
    <w:rsid w:val="00406F63"/>
    <w:pPr>
      <w:spacing w:after="0" w:line="240" w:lineRule="auto"/>
    </w:pPr>
    <w:rPr>
      <w:lang w:bidi="he-IL"/>
    </w:rPr>
  </w:style>
  <w:style w:type="table" w:styleId="TableGrid">
    <w:name w:val="Table Grid"/>
    <w:basedOn w:val="TableNormal"/>
    <w:uiPriority w:val="39"/>
    <w:rsid w:val="006F5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68B9"/>
    <w:rPr>
      <w:color w:val="605E5C"/>
      <w:shd w:val="clear" w:color="auto" w:fill="E1DFDD"/>
    </w:rPr>
  </w:style>
  <w:style w:type="character" w:customStyle="1" w:styleId="ListParagraphChar">
    <w:name w:val="List Paragraph Char"/>
    <w:link w:val="ListParagraph"/>
    <w:uiPriority w:val="99"/>
    <w:qFormat/>
    <w:locked/>
    <w:rsid w:val="00273843"/>
    <w:rPr>
      <w:lang w:bidi="he-IL"/>
    </w:rPr>
  </w:style>
  <w:style w:type="paragraph" w:customStyle="1" w:styleId="ParagrapheNumrot">
    <w:name w:val="Paragraphe Numéroté"/>
    <w:basedOn w:val="ListParagraph"/>
    <w:qFormat/>
    <w:rsid w:val="00E33B95"/>
    <w:pPr>
      <w:numPr>
        <w:numId w:val="28"/>
      </w:numPr>
      <w:jc w:val="both"/>
    </w:pPr>
    <w:rPr>
      <w:rFonts w:ascii="Arial" w:hAnsi="Arial" w:cs="Arial"/>
    </w:rPr>
  </w:style>
  <w:style w:type="paragraph" w:customStyle="1" w:styleId="SingleTxtG">
    <w:name w:val="_ Single Txt_G"/>
    <w:basedOn w:val="Normal"/>
    <w:link w:val="SingleTxtGChar"/>
    <w:qFormat/>
    <w:rsid w:val="00F248F0"/>
    <w:pPr>
      <w:suppressAutoHyphens/>
      <w:spacing w:after="120" w:line="240" w:lineRule="atLeast"/>
      <w:ind w:left="1134" w:right="1134"/>
      <w:jc w:val="both"/>
    </w:pPr>
    <w:rPr>
      <w:rFonts w:ascii="Times New Roman" w:eastAsia="Times New Roman" w:hAnsi="Times New Roman" w:cs="Times New Roman"/>
      <w:sz w:val="20"/>
      <w:szCs w:val="20"/>
      <w:lang w:val="en-GB" w:bidi="ar-SA"/>
    </w:rPr>
  </w:style>
  <w:style w:type="character" w:customStyle="1" w:styleId="SingleTxtGChar">
    <w:name w:val="_ Single Txt_G Char"/>
    <w:link w:val="SingleTxtG"/>
    <w:rsid w:val="00F248F0"/>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F254A6"/>
    <w:rPr>
      <w:sz w:val="16"/>
      <w:szCs w:val="16"/>
    </w:rPr>
  </w:style>
  <w:style w:type="paragraph" w:styleId="CommentText">
    <w:name w:val="annotation text"/>
    <w:basedOn w:val="Normal"/>
    <w:link w:val="CommentTextChar"/>
    <w:uiPriority w:val="99"/>
    <w:semiHidden/>
    <w:unhideWhenUsed/>
    <w:rsid w:val="00F254A6"/>
    <w:pPr>
      <w:spacing w:line="240" w:lineRule="auto"/>
    </w:pPr>
    <w:rPr>
      <w:sz w:val="20"/>
      <w:szCs w:val="20"/>
    </w:rPr>
  </w:style>
  <w:style w:type="character" w:customStyle="1" w:styleId="CommentTextChar">
    <w:name w:val="Comment Text Char"/>
    <w:basedOn w:val="DefaultParagraphFont"/>
    <w:link w:val="CommentText"/>
    <w:uiPriority w:val="99"/>
    <w:semiHidden/>
    <w:rsid w:val="00F254A6"/>
    <w:rPr>
      <w:sz w:val="20"/>
      <w:szCs w:val="20"/>
      <w:lang w:bidi="he-IL"/>
    </w:rPr>
  </w:style>
  <w:style w:type="paragraph" w:styleId="CommentSubject">
    <w:name w:val="annotation subject"/>
    <w:basedOn w:val="CommentText"/>
    <w:next w:val="CommentText"/>
    <w:link w:val="CommentSubjectChar"/>
    <w:uiPriority w:val="99"/>
    <w:semiHidden/>
    <w:unhideWhenUsed/>
    <w:rsid w:val="00F254A6"/>
    <w:rPr>
      <w:b/>
      <w:bCs/>
    </w:rPr>
  </w:style>
  <w:style w:type="character" w:customStyle="1" w:styleId="CommentSubjectChar">
    <w:name w:val="Comment Subject Char"/>
    <w:basedOn w:val="CommentTextChar"/>
    <w:link w:val="CommentSubject"/>
    <w:uiPriority w:val="99"/>
    <w:semiHidden/>
    <w:rsid w:val="00F254A6"/>
    <w:rPr>
      <w:b/>
      <w:bCs/>
      <w:sz w:val="20"/>
      <w:szCs w:val="20"/>
      <w:lang w:bidi="he-IL"/>
    </w:rPr>
  </w:style>
  <w:style w:type="paragraph" w:styleId="EndnoteText">
    <w:name w:val="endnote text"/>
    <w:basedOn w:val="Normal"/>
    <w:link w:val="EndnoteTextChar"/>
    <w:uiPriority w:val="99"/>
    <w:semiHidden/>
    <w:unhideWhenUsed/>
    <w:rsid w:val="008F24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24F5"/>
    <w:rPr>
      <w:sz w:val="20"/>
      <w:szCs w:val="20"/>
      <w:lang w:bidi="he-IL"/>
    </w:rPr>
  </w:style>
  <w:style w:type="character" w:styleId="EndnoteReference">
    <w:name w:val="endnote reference"/>
    <w:basedOn w:val="DefaultParagraphFont"/>
    <w:uiPriority w:val="99"/>
    <w:semiHidden/>
    <w:unhideWhenUsed/>
    <w:rsid w:val="008F24F5"/>
    <w:rPr>
      <w:vertAlign w:val="superscript"/>
    </w:rPr>
  </w:style>
  <w:style w:type="paragraph" w:customStyle="1" w:styleId="Paragraphenumrot0">
    <w:name w:val="Paragraphe numéroté"/>
    <w:basedOn w:val="ParagrapheNumrot"/>
    <w:qFormat/>
    <w:rsid w:val="00426CF8"/>
    <w:pPr>
      <w:ind w:left="0" w:hanging="426"/>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177338">
      <w:bodyDiv w:val="1"/>
      <w:marLeft w:val="0"/>
      <w:marRight w:val="0"/>
      <w:marTop w:val="0"/>
      <w:marBottom w:val="0"/>
      <w:divBdr>
        <w:top w:val="none" w:sz="0" w:space="0" w:color="auto"/>
        <w:left w:val="none" w:sz="0" w:space="0" w:color="auto"/>
        <w:bottom w:val="none" w:sz="0" w:space="0" w:color="auto"/>
        <w:right w:val="none" w:sz="0" w:space="0" w:color="auto"/>
      </w:divBdr>
      <w:divsChild>
        <w:div w:id="1625500532">
          <w:marLeft w:val="0"/>
          <w:marRight w:val="0"/>
          <w:marTop w:val="0"/>
          <w:marBottom w:val="0"/>
          <w:divBdr>
            <w:top w:val="none" w:sz="0" w:space="0" w:color="auto"/>
            <w:left w:val="none" w:sz="0" w:space="0" w:color="auto"/>
            <w:bottom w:val="none" w:sz="0" w:space="0" w:color="auto"/>
            <w:right w:val="none" w:sz="0" w:space="0" w:color="auto"/>
          </w:divBdr>
          <w:divsChild>
            <w:div w:id="91713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624818">
      <w:bodyDiv w:val="1"/>
      <w:marLeft w:val="0"/>
      <w:marRight w:val="0"/>
      <w:marTop w:val="0"/>
      <w:marBottom w:val="0"/>
      <w:divBdr>
        <w:top w:val="none" w:sz="0" w:space="0" w:color="auto"/>
        <w:left w:val="none" w:sz="0" w:space="0" w:color="auto"/>
        <w:bottom w:val="none" w:sz="0" w:space="0" w:color="auto"/>
        <w:right w:val="none" w:sz="0" w:space="0" w:color="auto"/>
      </w:divBdr>
    </w:div>
    <w:div w:id="957251016">
      <w:bodyDiv w:val="1"/>
      <w:marLeft w:val="0"/>
      <w:marRight w:val="0"/>
      <w:marTop w:val="0"/>
      <w:marBottom w:val="0"/>
      <w:divBdr>
        <w:top w:val="none" w:sz="0" w:space="0" w:color="auto"/>
        <w:left w:val="none" w:sz="0" w:space="0" w:color="auto"/>
        <w:bottom w:val="none" w:sz="0" w:space="0" w:color="auto"/>
        <w:right w:val="none" w:sz="0" w:space="0" w:color="auto"/>
      </w:divBdr>
    </w:div>
    <w:div w:id="1322929952">
      <w:bodyDiv w:val="1"/>
      <w:marLeft w:val="0"/>
      <w:marRight w:val="0"/>
      <w:marTop w:val="0"/>
      <w:marBottom w:val="0"/>
      <w:divBdr>
        <w:top w:val="none" w:sz="0" w:space="0" w:color="auto"/>
        <w:left w:val="none" w:sz="0" w:space="0" w:color="auto"/>
        <w:bottom w:val="none" w:sz="0" w:space="0" w:color="auto"/>
        <w:right w:val="none" w:sz="0" w:space="0" w:color="auto"/>
      </w:divBdr>
    </w:div>
    <w:div w:id="1596357000">
      <w:bodyDiv w:val="1"/>
      <w:marLeft w:val="0"/>
      <w:marRight w:val="0"/>
      <w:marTop w:val="0"/>
      <w:marBottom w:val="0"/>
      <w:divBdr>
        <w:top w:val="none" w:sz="0" w:space="0" w:color="auto"/>
        <w:left w:val="none" w:sz="0" w:space="0" w:color="auto"/>
        <w:bottom w:val="none" w:sz="0" w:space="0" w:color="auto"/>
        <w:right w:val="none" w:sz="0" w:space="0" w:color="auto"/>
      </w:divBdr>
    </w:div>
    <w:div w:id="2009018719">
      <w:bodyDiv w:val="1"/>
      <w:marLeft w:val="0"/>
      <w:marRight w:val="0"/>
      <w:marTop w:val="0"/>
      <w:marBottom w:val="0"/>
      <w:divBdr>
        <w:top w:val="none" w:sz="0" w:space="0" w:color="auto"/>
        <w:left w:val="none" w:sz="0" w:space="0" w:color="auto"/>
        <w:bottom w:val="none" w:sz="0" w:space="0" w:color="auto"/>
        <w:right w:val="none" w:sz="0" w:space="0" w:color="auto"/>
      </w:divBdr>
      <w:divsChild>
        <w:div w:id="1403799103">
          <w:marLeft w:val="0"/>
          <w:marRight w:val="0"/>
          <w:marTop w:val="0"/>
          <w:marBottom w:val="0"/>
          <w:divBdr>
            <w:top w:val="none" w:sz="0" w:space="0" w:color="auto"/>
            <w:left w:val="none" w:sz="0" w:space="0" w:color="auto"/>
            <w:bottom w:val="none" w:sz="0" w:space="0" w:color="auto"/>
            <w:right w:val="none" w:sz="0" w:space="0" w:color="auto"/>
          </w:divBdr>
          <w:divsChild>
            <w:div w:id="18981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iancevita.org/" TargetMode="External"/><Relationship Id="rId5" Type="http://schemas.openxmlformats.org/officeDocument/2006/relationships/webSettings" Target="webSettings.xml"/><Relationship Id="rId10" Type="http://schemas.openxmlformats.org/officeDocument/2006/relationships/hyperlink" Target="http://www.thadeo.fr" TargetMode="External"/><Relationship Id="rId4" Type="http://schemas.openxmlformats.org/officeDocument/2006/relationships/settings" Target="settings.xml"/><Relationship Id="rId9" Type="http://schemas.openxmlformats.org/officeDocument/2006/relationships/hyperlink" Target="http://www.sosfindevie.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un.org/ga/search/view_doc.asp?symbol=A/HRC/43/41&amp;Lang=F" TargetMode="External"/><Relationship Id="rId13" Type="http://schemas.openxmlformats.org/officeDocument/2006/relationships/hyperlink" Target="https://www.lefigaro.fr/international/gpa-en-ukraine-le-business-des-bebes-20201023" TargetMode="External"/><Relationship Id="rId18" Type="http://schemas.openxmlformats.org/officeDocument/2006/relationships/hyperlink" Target="http://docstore.ohchr.org/SelfServices/FilesHandler.ashx?enc=6QkG1d%2fPPRiCAqhKb7yhsunLt%2fWNn9IUMCa5I2sTMky9H0t6Apsnxbu5hzZI1wZHm0XsRTBDqB%2bpHO%2b6BM4x4Z%2b%2bGImXvrKK0t2yvSrrMyxkZ2g6YsVNilLz7y6Dvo3k" TargetMode="External"/><Relationship Id="rId3" Type="http://schemas.openxmlformats.org/officeDocument/2006/relationships/hyperlink" Target="http://www.assemblee-nationale.fr/dyn/15/dossiers/bioethique_2" TargetMode="External"/><Relationship Id="rId7" Type="http://schemas.openxmlformats.org/officeDocument/2006/relationships/hyperlink" Target="http://docstore.ohchr.org/SelfServices/FilesHandler.ashx?enc=6QkG1d%2fPPRiCAqhKb7yhsunLt%2fWNn9IUMCa5I2sTMky9H0t6Apsnxbu5hzZI1wZHm0XsRTBDqB%2bpHO%2b6BM4x4Z%2b%2bGImXvrKK0t2yvSrrMyxkZ2g6YsVNilLz7y6Dvo3k" TargetMode="External"/><Relationship Id="rId12" Type="http://schemas.openxmlformats.org/officeDocument/2006/relationships/hyperlink" Target="https://www.lemonde.fr/societe/article/2022/05/19/gpa-imbroglio-apres-l-accouchement-en-france-de-meres-porteuses-ukrainiennes_6126719_3224.html" TargetMode="External"/><Relationship Id="rId17" Type="http://schemas.openxmlformats.org/officeDocument/2006/relationships/hyperlink" Target="https://www.ifop.com/publication/les-francais-et-la-paternite/" TargetMode="External"/><Relationship Id="rId2" Type="http://schemas.openxmlformats.org/officeDocument/2006/relationships/hyperlink" Target="https://docstore.ohchr.org/SelfServices/FilesHandler.ashx?enc=6QkG1d%2fPPRiCAqhKb7yhsunLt%2fWNn9IUMCa5I2sTMkzIEITLBBR%2fWe4eaesdDb8MHUnPncxq6WWalFTCwEyjz2LLusmh1GbCtHWDL8oM97EE6NRzPgEwkyFFYVY2mSZX" TargetMode="External"/><Relationship Id="rId16" Type="http://schemas.openxmlformats.org/officeDocument/2006/relationships/hyperlink" Target="https://www.ohchr.org/fr/instruments-mechanisms/instruments/convention-rights-child" TargetMode="External"/><Relationship Id="rId1" Type="http://schemas.openxmlformats.org/officeDocument/2006/relationships/hyperlink" Target="https://docstore.ohchr.org/SelfServices/FilesHandler.ashx?enc=6QkG1d%2fPPRiCAqhKb7yhsunLt%2fWNn9IUMCa5I2sTMkwj68WCPiGZEmVJoXEibT3NFiWjpzALk%2feL2QSfISY40k3cLbP3KTDnvOzFl%2fGAeedUP9u84dRYZHSwjbZGD3KO" TargetMode="External"/><Relationship Id="rId6" Type="http://schemas.openxmlformats.org/officeDocument/2006/relationships/hyperlink" Target="https://www.ccne-ethique.fr/sites/default/files/2022-03/CCNE-%20Avis%20138%20-%20L'eugenisme%20de%20quoi%20parle-t-on.pdf" TargetMode="External"/><Relationship Id="rId11" Type="http://schemas.openxmlformats.org/officeDocument/2006/relationships/hyperlink" Target="https://www.ohchr.org/fr/instruments-mechanisms/instruments/convention-rights-child" TargetMode="External"/><Relationship Id="rId5" Type="http://schemas.openxmlformats.org/officeDocument/2006/relationships/hyperlink" Target="https://www.un.org/ga/search/view_doc.asp?symbol=A/HRC/43/41&amp;Lang=F" TargetMode="External"/><Relationship Id="rId15" Type="http://schemas.openxmlformats.org/officeDocument/2006/relationships/hyperlink" Target="https://docstore.ohchr.org/SelfServices/FilesHandler.ashx?enc=6QkG1d%2fPPRiCAqhKb7yhsunLt%2fWNn9IUMCa5I2sTMkzIEITLBBR%2fWe4eaesdDb8MHUnPncxq6WWalFTCwEyjz2LLusmh1GbCtHWDL8oM97EE6NRzPgEwkyFFYVY2mSZX" TargetMode="External"/><Relationship Id="rId10" Type="http://schemas.openxmlformats.org/officeDocument/2006/relationships/hyperlink" Target="https://docstore.ohchr.org/SelfServices/FilesHandler.ashx?enc=6QkG1d%2fPPRiCAqhKb7yhsunLt%2fWNn9IUMCa5I2sTMkzIEITLBBR%2fWe4eaesdDb8MHUnPncxq6WWalFTCwEyjz2LLusmh1GbCtHWDL8oM97EE6NRzPgEwkyFFYVY2mSZX" TargetMode="External"/><Relationship Id="rId19" Type="http://schemas.openxmlformats.org/officeDocument/2006/relationships/hyperlink" Target="http://www.senat.fr/notice-rapport/2015/r15-409-notice.html" TargetMode="External"/><Relationship Id="rId4" Type="http://schemas.openxmlformats.org/officeDocument/2006/relationships/hyperlink" Target="https://rams.agence-biomedecine.fr/sites/default/files/pdf/2019-09/RAMS%202017%20DPN.pdf" TargetMode="External"/><Relationship Id="rId9" Type="http://schemas.openxmlformats.org/officeDocument/2006/relationships/hyperlink" Target="https://docstore.ohchr.org/SelfServices/FilesHandler.ashx?enc=6QkG1d%2fPPRiCAqhKb7yhsunLt%2fWNn9IUMCa5I2sTMkwj68WCPiGZEmVJoXEibT3NFiWjpzALk%2feL2QSfISY40k3cLbP3KTDnvOzFl%2fGAeedUP9u84dRYZHSwjbZGD3KO" TargetMode="External"/><Relationship Id="rId14" Type="http://schemas.openxmlformats.org/officeDocument/2006/relationships/hyperlink" Target="https://docstore.ohchr.org/SelfServices/FilesHandler.ashx?enc=6QkG1d%2fPPRiCAqhKb7yhsunLt%2fWNn9IUMCa5I2sTMkwj68WCPiGZEmVJoXEibT3NFiWjpzALk%2feL2QSfISY40k3cLbP3KTDnvOzFl%2fGAeedUP9u84dRYZHSwjbZGD3K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9E434-BC18-454E-B0B7-6DFEF318D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3337</Words>
  <Characters>19023</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Anouck</dc:creator>
  <cp:keywords/>
  <dc:description/>
  <cp:lastModifiedBy>FLECHE Isabelle</cp:lastModifiedBy>
  <cp:revision>2</cp:revision>
  <dcterms:created xsi:type="dcterms:W3CDTF">2022-12-01T16:15:00Z</dcterms:created>
  <dcterms:modified xsi:type="dcterms:W3CDTF">2022-12-01T16:15:00Z</dcterms:modified>
</cp:coreProperties>
</file>