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A67" w:rsidRDefault="00E86A67" w:rsidP="00E86A67">
      <w:pPr>
        <w:spacing w:before="120" w:after="120"/>
        <w:rPr>
          <w:rFonts w:cs="Arial"/>
        </w:rPr>
      </w:pPr>
    </w:p>
    <w:p w:rsidR="00E86A67" w:rsidRDefault="00E86A67" w:rsidP="00E86A67">
      <w:pPr>
        <w:spacing w:before="120" w:after="120"/>
        <w:rPr>
          <w:rFonts w:cs="Arial"/>
        </w:rPr>
      </w:pPr>
    </w:p>
    <w:p w:rsidR="00E86A67" w:rsidRDefault="00E86A67" w:rsidP="00E86A67">
      <w:pPr>
        <w:spacing w:before="120" w:after="120"/>
        <w:rPr>
          <w:rFonts w:cs="Arial"/>
        </w:rPr>
      </w:pPr>
    </w:p>
    <w:p w:rsidR="00E86A67" w:rsidRDefault="00202D03" w:rsidP="00E86A67">
      <w:pPr>
        <w:spacing w:before="120" w:after="120"/>
        <w:rPr>
          <w:rFonts w:cs="Arial"/>
        </w:rPr>
      </w:pPr>
      <w:r w:rsidRPr="00842F37">
        <w:rPr>
          <w:rFonts w:cs="Arial"/>
          <w:noProof/>
          <w:lang w:eastAsia="en-AU"/>
        </w:rPr>
        <w:drawing>
          <wp:inline distT="0" distB="0" distL="0" distR="0">
            <wp:extent cx="2952750" cy="847725"/>
            <wp:effectExtent l="0" t="0" r="0" b="9525"/>
            <wp:docPr id="1" name="Picture 1" descr="hrlc_logo_rgb_2_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lc_logo_rgb_2_l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2750" cy="847725"/>
                    </a:xfrm>
                    <a:prstGeom prst="rect">
                      <a:avLst/>
                    </a:prstGeom>
                    <a:noFill/>
                    <a:ln>
                      <a:noFill/>
                    </a:ln>
                  </pic:spPr>
                </pic:pic>
              </a:graphicData>
            </a:graphic>
          </wp:inline>
        </w:drawing>
      </w:r>
    </w:p>
    <w:p w:rsidR="00E86A67" w:rsidRDefault="00E86A67" w:rsidP="00E86A67">
      <w:pPr>
        <w:pBdr>
          <w:bottom w:val="single" w:sz="12" w:space="1" w:color="auto"/>
        </w:pBdr>
        <w:spacing w:before="120" w:after="120"/>
        <w:rPr>
          <w:rFonts w:cs="Arial"/>
        </w:rPr>
      </w:pPr>
    </w:p>
    <w:p w:rsidR="00E86A67" w:rsidRDefault="00E86A67" w:rsidP="00E86A67">
      <w:pPr>
        <w:pBdr>
          <w:bottom w:val="single" w:sz="12" w:space="1" w:color="auto"/>
        </w:pBdr>
        <w:spacing w:before="120" w:after="120"/>
        <w:rPr>
          <w:rFonts w:cs="Arial"/>
        </w:rPr>
      </w:pPr>
    </w:p>
    <w:p w:rsidR="00E86A67" w:rsidRPr="00B62A6B" w:rsidRDefault="00E86A67" w:rsidP="00E86A67">
      <w:pPr>
        <w:pBdr>
          <w:bottom w:val="single" w:sz="12" w:space="1" w:color="auto"/>
        </w:pBdr>
        <w:spacing w:before="120" w:after="120"/>
        <w:rPr>
          <w:rFonts w:cs="Arial"/>
        </w:rPr>
      </w:pPr>
    </w:p>
    <w:p w:rsidR="00E86A67" w:rsidRPr="00355F45" w:rsidRDefault="00B5179C" w:rsidP="00E86A67">
      <w:pPr>
        <w:rPr>
          <w:rStyle w:val="HRLCCoverPageTitle"/>
        </w:rPr>
      </w:pPr>
      <w:r>
        <w:rPr>
          <w:rStyle w:val="HRLCCoverPageTitle"/>
        </w:rPr>
        <w:t xml:space="preserve">Submission to </w:t>
      </w:r>
      <w:r w:rsidR="006D5254">
        <w:rPr>
          <w:rStyle w:val="HRLCCoverPageTitle"/>
        </w:rPr>
        <w:t>Committee on Economic, Social and Culture Rights</w:t>
      </w:r>
      <w:r w:rsidR="00C01F24">
        <w:rPr>
          <w:rStyle w:val="HRLCCoverPageTitle"/>
        </w:rPr>
        <w:t xml:space="preserve"> </w:t>
      </w:r>
      <w:r>
        <w:rPr>
          <w:rStyle w:val="HRLCCoverPageTitle"/>
        </w:rPr>
        <w:t xml:space="preserve">on </w:t>
      </w:r>
      <w:r>
        <w:rPr>
          <w:rStyle w:val="HRLCCoverPageTitle"/>
        </w:rPr>
        <w:t>Australia’s Follow Up Report</w:t>
      </w:r>
    </w:p>
    <w:p w:rsidR="00E86A67" w:rsidRPr="00C01F24" w:rsidRDefault="006D5254" w:rsidP="00E86A67">
      <w:pPr>
        <w:pStyle w:val="HRLCCoverPageSubtitle"/>
        <w:rPr>
          <w:sz w:val="27"/>
          <w:szCs w:val="27"/>
        </w:rPr>
      </w:pPr>
      <w:r>
        <w:rPr>
          <w:sz w:val="27"/>
          <w:szCs w:val="27"/>
        </w:rPr>
        <w:t>Closing the Gap, Social Security and Offshore Detention</w:t>
      </w:r>
    </w:p>
    <w:p w:rsidR="00E86A67" w:rsidRDefault="00E86A67" w:rsidP="00E86A67">
      <w:pPr>
        <w:rPr>
          <w:rFonts w:ascii="Caecilia LT Pro 55 Roman" w:hAnsi="Caecilia LT Pro 55 Roman"/>
          <w:color w:val="008000"/>
          <w:sz w:val="28"/>
          <w:szCs w:val="28"/>
        </w:rPr>
      </w:pPr>
    </w:p>
    <w:p w:rsidR="00E86A67" w:rsidRDefault="00E86A67" w:rsidP="00E86A67">
      <w:pPr>
        <w:rPr>
          <w:rFonts w:ascii="Caecilia LT Pro 55 Roman" w:hAnsi="Caecilia LT Pro 55 Roman"/>
          <w:color w:val="008000"/>
          <w:sz w:val="28"/>
          <w:szCs w:val="28"/>
        </w:rPr>
      </w:pPr>
    </w:p>
    <w:p w:rsidR="00E86A67" w:rsidRPr="00355F45" w:rsidRDefault="00C01F24" w:rsidP="00E86A67">
      <w:pPr>
        <w:rPr>
          <w:rStyle w:val="HRLCDate"/>
        </w:rPr>
      </w:pPr>
      <w:r>
        <w:rPr>
          <w:rStyle w:val="HRLCDate"/>
        </w:rPr>
        <w:t>25 February 2019</w:t>
      </w:r>
    </w:p>
    <w:p w:rsidR="00E86A67" w:rsidRPr="00355F45" w:rsidRDefault="00E86A67" w:rsidP="00E86A67">
      <w:pPr>
        <w:rPr>
          <w:rStyle w:val="HRLCDate"/>
        </w:rPr>
      </w:pPr>
    </w:p>
    <w:p w:rsidR="00E86A67" w:rsidRPr="00355F45" w:rsidRDefault="00E86A67" w:rsidP="00E86A67">
      <w:pPr>
        <w:rPr>
          <w:rStyle w:val="HRLCDate"/>
        </w:rPr>
      </w:pPr>
    </w:p>
    <w:p w:rsidR="00E86A67" w:rsidRPr="00355F45" w:rsidRDefault="00E86A67" w:rsidP="00E86A67">
      <w:pPr>
        <w:rPr>
          <w:rStyle w:val="HRLCDate"/>
        </w:rPr>
      </w:pPr>
    </w:p>
    <w:p w:rsidR="00E86A67" w:rsidRPr="00355F45" w:rsidRDefault="00E86A67" w:rsidP="00E86A67">
      <w:pPr>
        <w:rPr>
          <w:rStyle w:val="HRLCDate"/>
        </w:rPr>
      </w:pPr>
    </w:p>
    <w:p w:rsidR="00E86A67" w:rsidRPr="00355F45" w:rsidRDefault="00E86A67" w:rsidP="00E86A67">
      <w:pPr>
        <w:pStyle w:val="coverpageurl"/>
      </w:pPr>
      <w:r w:rsidRPr="00355F45">
        <w:t>www.hrlc.org.au</w:t>
      </w:r>
    </w:p>
    <w:p w:rsidR="00E86A67" w:rsidRPr="00B62A6B" w:rsidRDefault="00E86A67" w:rsidP="00E86A67">
      <w:pPr>
        <w:jc w:val="right"/>
        <w:rPr>
          <w:rFonts w:cs="Arial"/>
        </w:rPr>
      </w:pPr>
      <w:r w:rsidRPr="00355F45">
        <w:rPr>
          <w:rStyle w:val="HRLCTagline"/>
        </w:rPr>
        <w:t xml:space="preserve">Freedom. Respect. Equality. Dignity. </w:t>
      </w:r>
      <w:r w:rsidRPr="00355F45">
        <w:rPr>
          <w:rStyle w:val="HRLCtaglinegreen"/>
        </w:rPr>
        <w:t>Action.</w:t>
      </w:r>
    </w:p>
    <w:p w:rsidR="00E86A67" w:rsidRDefault="00E86A67" w:rsidP="00E86A67">
      <w:pPr>
        <w:sectPr w:rsidR="00E86A67" w:rsidSect="00A760A5">
          <w:headerReference w:type="even" r:id="rId9"/>
          <w:pgSz w:w="11907" w:h="16840" w:code="9"/>
          <w:pgMar w:top="1134" w:right="1418" w:bottom="1134" w:left="1418" w:header="567" w:footer="567" w:gutter="0"/>
          <w:cols w:space="720"/>
        </w:sect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Default="00E86A67" w:rsidP="00E86A67">
      <w:pPr>
        <w:rPr>
          <w:sz w:val="18"/>
        </w:rPr>
      </w:pPr>
    </w:p>
    <w:p w:rsidR="00E86A67" w:rsidRPr="00355F45" w:rsidRDefault="00E86A67" w:rsidP="00E86A67">
      <w:pPr>
        <w:rPr>
          <w:rStyle w:val="HRLCDate"/>
        </w:rPr>
      </w:pPr>
      <w:r w:rsidRPr="00355F45">
        <w:rPr>
          <w:rStyle w:val="HRLCDate"/>
        </w:rPr>
        <w:t>Contact</w:t>
      </w:r>
    </w:p>
    <w:p w:rsidR="008D2D16" w:rsidRDefault="008D2D16" w:rsidP="008D2D16">
      <w:pPr>
        <w:spacing w:before="0" w:after="120"/>
        <w:rPr>
          <w:rFonts w:cs="Arial"/>
          <w:sz w:val="18"/>
        </w:rPr>
      </w:pPr>
    </w:p>
    <w:p w:rsidR="008D2D16" w:rsidRPr="009C18D6" w:rsidRDefault="009C18D6" w:rsidP="008D2D16">
      <w:pPr>
        <w:spacing w:before="0" w:after="120" w:line="240" w:lineRule="auto"/>
        <w:rPr>
          <w:rFonts w:cs="Arial"/>
          <w:sz w:val="18"/>
        </w:rPr>
      </w:pPr>
      <w:r w:rsidRPr="009C18D6">
        <w:rPr>
          <w:rFonts w:cs="Arial"/>
          <w:sz w:val="18"/>
        </w:rPr>
        <w:t>Edwina MacDonald</w:t>
      </w:r>
    </w:p>
    <w:p w:rsidR="009C18D6" w:rsidRPr="009C18D6" w:rsidRDefault="009C18D6" w:rsidP="009C18D6">
      <w:pPr>
        <w:spacing w:before="0" w:after="120"/>
        <w:rPr>
          <w:rFonts w:cs="Arial"/>
          <w:sz w:val="18"/>
        </w:rPr>
      </w:pPr>
      <w:r>
        <w:rPr>
          <w:rFonts w:cs="Arial"/>
          <w:sz w:val="18"/>
        </w:rPr>
        <w:t>Director of Legal Advocacy</w:t>
      </w:r>
      <w:r w:rsidR="002A3DDD">
        <w:rPr>
          <w:rFonts w:cs="Arial"/>
          <w:sz w:val="18"/>
        </w:rPr>
        <w:t xml:space="preserve"> </w:t>
      </w:r>
      <w:r w:rsidR="00E86A67" w:rsidRPr="00B62A6B">
        <w:rPr>
          <w:rFonts w:cs="Arial"/>
          <w:sz w:val="18"/>
        </w:rPr>
        <w:br/>
        <w:t>Human Rights Law Centre Ltd</w:t>
      </w:r>
      <w:r w:rsidR="00E86A67" w:rsidRPr="00B62A6B">
        <w:rPr>
          <w:rFonts w:cs="Arial"/>
          <w:sz w:val="18"/>
        </w:rPr>
        <w:br/>
      </w:r>
      <w:r>
        <w:rPr>
          <w:rFonts w:cs="Arial"/>
          <w:sz w:val="18"/>
        </w:rPr>
        <w:t>Level 5, 175 Liverpool Street</w:t>
      </w:r>
      <w:r>
        <w:rPr>
          <w:rFonts w:cs="Arial"/>
          <w:sz w:val="18"/>
        </w:rPr>
        <w:br/>
      </w:r>
      <w:r w:rsidRPr="009C18D6">
        <w:rPr>
          <w:rFonts w:cs="Arial"/>
          <w:sz w:val="18"/>
        </w:rPr>
        <w:t>Sydney, NSW 2000</w:t>
      </w:r>
    </w:p>
    <w:p w:rsidR="00E86A67" w:rsidRPr="00B62A6B" w:rsidRDefault="00E86A67" w:rsidP="00E86A67">
      <w:pPr>
        <w:tabs>
          <w:tab w:val="left" w:pos="360"/>
        </w:tabs>
        <w:spacing w:before="120" w:after="120"/>
        <w:rPr>
          <w:rFonts w:cs="Arial"/>
          <w:sz w:val="18"/>
          <w:lang w:val="fr-FR"/>
        </w:rPr>
      </w:pPr>
      <w:r w:rsidRPr="00DB2BA8">
        <w:rPr>
          <w:rFonts w:cs="Arial"/>
          <w:sz w:val="18"/>
          <w:lang w:val="fr-FR"/>
        </w:rPr>
        <w:br/>
      </w:r>
      <w:r w:rsidR="002A3DDD">
        <w:rPr>
          <w:rFonts w:cs="Arial"/>
          <w:sz w:val="18"/>
          <w:lang w:val="fr-FR"/>
        </w:rPr>
        <w:t>T:</w:t>
      </w:r>
      <w:r w:rsidR="002A3DDD">
        <w:rPr>
          <w:rFonts w:cs="Arial"/>
          <w:sz w:val="18"/>
          <w:lang w:val="fr-FR"/>
        </w:rPr>
        <w:tab/>
      </w:r>
      <w:r w:rsidR="009C18D6">
        <w:rPr>
          <w:rFonts w:cs="Arial"/>
          <w:sz w:val="18"/>
          <w:lang w:val="fr-FR"/>
        </w:rPr>
        <w:t xml:space="preserve">+ </w:t>
      </w:r>
      <w:r w:rsidR="009C18D6" w:rsidRPr="009C18D6">
        <w:rPr>
          <w:rFonts w:cs="Arial"/>
          <w:sz w:val="18"/>
        </w:rPr>
        <w:t>61 2 8599 2184</w:t>
      </w:r>
      <w:r w:rsidR="002A3DDD">
        <w:rPr>
          <w:rFonts w:cs="Arial"/>
          <w:sz w:val="18"/>
          <w:lang w:val="fr-FR"/>
        </w:rPr>
        <w:br/>
        <w:t>F:</w:t>
      </w:r>
      <w:r w:rsidR="002A3DDD">
        <w:rPr>
          <w:rFonts w:cs="Arial"/>
          <w:sz w:val="18"/>
          <w:lang w:val="fr-FR"/>
        </w:rPr>
        <w:tab/>
        <w:t>+ 61 3 8636 4455</w:t>
      </w:r>
      <w:r w:rsidR="002A3DDD">
        <w:rPr>
          <w:rFonts w:cs="Arial"/>
          <w:sz w:val="18"/>
          <w:lang w:val="fr-FR"/>
        </w:rPr>
        <w:br/>
        <w:t>E:</w:t>
      </w:r>
      <w:r w:rsidR="002A3DDD">
        <w:rPr>
          <w:rFonts w:cs="Arial"/>
          <w:sz w:val="18"/>
          <w:lang w:val="fr-FR"/>
        </w:rPr>
        <w:tab/>
      </w:r>
      <w:r w:rsidR="009C18D6">
        <w:rPr>
          <w:rFonts w:cs="Arial"/>
          <w:sz w:val="18"/>
          <w:lang w:val="fr-FR"/>
        </w:rPr>
        <w:t>edwina.macdonald</w:t>
      </w:r>
      <w:r w:rsidRPr="008D2D16">
        <w:rPr>
          <w:rFonts w:cs="Arial"/>
          <w:sz w:val="18"/>
          <w:lang w:val="fr-FR"/>
        </w:rPr>
        <w:t>@hrlc.org.au</w:t>
      </w:r>
      <w:r w:rsidRPr="00B62A6B">
        <w:rPr>
          <w:rFonts w:cs="Arial"/>
          <w:sz w:val="18"/>
          <w:highlight w:val="yellow"/>
          <w:lang w:val="fr-FR"/>
        </w:rPr>
        <w:br/>
      </w:r>
      <w:r w:rsidRPr="00B62A6B">
        <w:rPr>
          <w:rFonts w:cs="Arial"/>
          <w:sz w:val="18"/>
          <w:lang w:val="fr-FR"/>
        </w:rPr>
        <w:t>W:</w:t>
      </w:r>
      <w:r w:rsidRPr="00B62A6B">
        <w:rPr>
          <w:rFonts w:cs="Arial"/>
          <w:sz w:val="18"/>
          <w:lang w:val="fr-FR"/>
        </w:rPr>
        <w:tab/>
      </w:r>
      <w:hyperlink r:id="rId10" w:history="1">
        <w:r w:rsidRPr="00B62A6B">
          <w:rPr>
            <w:rStyle w:val="Hyperlink"/>
            <w:rFonts w:cs="Arial"/>
            <w:sz w:val="18"/>
            <w:lang w:val="fr-FR"/>
          </w:rPr>
          <w:t>www.hrlc.org.au</w:t>
        </w:r>
      </w:hyperlink>
      <w:r w:rsidRPr="00B62A6B">
        <w:rPr>
          <w:rFonts w:cs="Arial"/>
          <w:sz w:val="18"/>
          <w:lang w:val="fr-FR"/>
        </w:rPr>
        <w:t xml:space="preserve"> </w:t>
      </w:r>
    </w:p>
    <w:p w:rsidR="00E86A67" w:rsidRDefault="00E86A67" w:rsidP="00E86A67">
      <w:pPr>
        <w:spacing w:before="120" w:after="120"/>
        <w:rPr>
          <w:rFonts w:cs="Arial"/>
          <w:sz w:val="18"/>
          <w:lang w:val="fr-FR"/>
        </w:rPr>
      </w:pPr>
    </w:p>
    <w:p w:rsidR="00E86A67" w:rsidRPr="00B62A6B" w:rsidRDefault="00E86A67" w:rsidP="00E86A67">
      <w:pPr>
        <w:spacing w:before="120" w:after="120"/>
        <w:rPr>
          <w:rFonts w:cs="Arial"/>
          <w:sz w:val="18"/>
          <w:lang w:val="fr-FR"/>
        </w:rPr>
      </w:pPr>
    </w:p>
    <w:p w:rsidR="00E86A67" w:rsidRPr="00355F45" w:rsidRDefault="00E86A67" w:rsidP="00E86A67">
      <w:pPr>
        <w:rPr>
          <w:rStyle w:val="HRLCDate"/>
        </w:rPr>
      </w:pPr>
      <w:r w:rsidRPr="00355F45">
        <w:rPr>
          <w:rStyle w:val="HRLCDate"/>
        </w:rPr>
        <w:t>Human Rights Law Centre</w:t>
      </w:r>
    </w:p>
    <w:p w:rsidR="005D0C0A" w:rsidRPr="00B64CD0" w:rsidRDefault="00B64CD0" w:rsidP="005D0C0A">
      <w:pPr>
        <w:spacing w:before="120" w:after="120"/>
        <w:ind w:right="1415"/>
        <w:rPr>
          <w:rFonts w:eastAsia="PMingLiU" w:cs="Arial"/>
          <w:sz w:val="18"/>
          <w:szCs w:val="18"/>
          <w:lang w:val="en-US"/>
        </w:rPr>
      </w:pPr>
      <w:r w:rsidRPr="00B64CD0">
        <w:rPr>
          <w:rFonts w:eastAsia="PMingLiU" w:cs="Arial"/>
          <w:sz w:val="18"/>
          <w:szCs w:val="18"/>
          <w:lang w:val="en-US"/>
        </w:rPr>
        <w:t>The Human Rights Law Centre uses a strategic combination of legal action, advocacy, research, education and UN engagement to protect and promote human rights in Australia and in Australian activities overseas.</w:t>
      </w:r>
    </w:p>
    <w:p w:rsidR="005D0C0A" w:rsidRPr="005D0C0A" w:rsidRDefault="005D0C0A" w:rsidP="005D0C0A">
      <w:pPr>
        <w:spacing w:before="120" w:after="120"/>
        <w:ind w:right="1415"/>
        <w:rPr>
          <w:rFonts w:eastAsia="PMingLiU" w:cs="Arial"/>
          <w:sz w:val="18"/>
          <w:szCs w:val="18"/>
        </w:rPr>
      </w:pPr>
      <w:r w:rsidRPr="005D0C0A">
        <w:rPr>
          <w:rFonts w:eastAsia="PMingLiU" w:cs="Arial"/>
          <w:sz w:val="18"/>
          <w:szCs w:val="18"/>
        </w:rPr>
        <w:t xml:space="preserve">It is an independent </w:t>
      </w:r>
      <w:r w:rsidR="00DB2BA8">
        <w:rPr>
          <w:rFonts w:eastAsia="PMingLiU" w:cs="Arial"/>
          <w:sz w:val="18"/>
          <w:szCs w:val="18"/>
        </w:rPr>
        <w:t>and not-for-profit organisation</w:t>
      </w:r>
      <w:r w:rsidRPr="005D0C0A">
        <w:rPr>
          <w:rFonts w:eastAsia="PMingLiU" w:cs="Arial"/>
          <w:sz w:val="18"/>
          <w:szCs w:val="18"/>
        </w:rPr>
        <w:t xml:space="preserve"> and donations are tax-deductible.</w:t>
      </w:r>
    </w:p>
    <w:p w:rsidR="00E86A67" w:rsidRPr="00224CB3" w:rsidRDefault="00E86A67" w:rsidP="00A760A5">
      <w:pPr>
        <w:spacing w:before="120" w:after="120"/>
        <w:ind w:right="1415"/>
        <w:rPr>
          <w:rFonts w:eastAsia="PMingLiU" w:cs="Arial"/>
          <w:sz w:val="18"/>
          <w:szCs w:val="18"/>
        </w:rPr>
      </w:pPr>
    </w:p>
    <w:p w:rsidR="00E86A67" w:rsidRPr="00B62A6B" w:rsidRDefault="00E86A67" w:rsidP="00E86A67">
      <w:pPr>
        <w:tabs>
          <w:tab w:val="left" w:pos="7655"/>
        </w:tabs>
        <w:spacing w:before="120" w:after="120"/>
        <w:ind w:right="1415"/>
        <w:rPr>
          <w:rFonts w:cs="Arial"/>
          <w:sz w:val="18"/>
          <w:szCs w:val="18"/>
        </w:rPr>
      </w:pPr>
    </w:p>
    <w:p w:rsidR="00B64CD0" w:rsidRPr="00B62A6B" w:rsidRDefault="00E86A67" w:rsidP="00E86A67">
      <w:pPr>
        <w:pStyle w:val="Default"/>
        <w:tabs>
          <w:tab w:val="left" w:pos="7655"/>
        </w:tabs>
        <w:spacing w:before="120" w:after="120" w:line="312" w:lineRule="auto"/>
        <w:ind w:right="1415"/>
        <w:rPr>
          <w:sz w:val="18"/>
          <w:szCs w:val="18"/>
        </w:rPr>
      </w:pPr>
      <w:r w:rsidRPr="00B62A6B">
        <w:rPr>
          <w:sz w:val="18"/>
          <w:szCs w:val="18"/>
        </w:rPr>
        <w:t xml:space="preserve">Follow us at </w:t>
      </w:r>
      <w:hyperlink r:id="rId11" w:history="1">
        <w:r w:rsidRPr="00B62A6B">
          <w:rPr>
            <w:rStyle w:val="Hyperlink"/>
            <w:sz w:val="18"/>
            <w:szCs w:val="18"/>
          </w:rPr>
          <w:t>http://twitter.com/rightsagenda</w:t>
        </w:r>
      </w:hyperlink>
      <w:r>
        <w:br/>
      </w:r>
      <w:proofErr w:type="gramStart"/>
      <w:r w:rsidRPr="00B62A6B">
        <w:rPr>
          <w:sz w:val="18"/>
          <w:szCs w:val="18"/>
        </w:rPr>
        <w:t>Join</w:t>
      </w:r>
      <w:proofErr w:type="gramEnd"/>
      <w:r w:rsidRPr="00B62A6B">
        <w:rPr>
          <w:sz w:val="18"/>
          <w:szCs w:val="18"/>
        </w:rPr>
        <w:t xml:space="preserve"> us at </w:t>
      </w:r>
      <w:hyperlink r:id="rId12" w:history="1">
        <w:r w:rsidR="00D82ED2" w:rsidRPr="00545FF6">
          <w:rPr>
            <w:rStyle w:val="Hyperlink"/>
            <w:sz w:val="18"/>
            <w:szCs w:val="18"/>
          </w:rPr>
          <w:t>www.facebook.com/HumanRightsLawCentreHRLC/</w:t>
        </w:r>
      </w:hyperlink>
      <w:r w:rsidR="00B64CD0">
        <w:rPr>
          <w:sz w:val="18"/>
          <w:szCs w:val="18"/>
        </w:rPr>
        <w:t xml:space="preserve"> </w:t>
      </w:r>
    </w:p>
    <w:p w:rsidR="00E86A67" w:rsidRDefault="00E86A67" w:rsidP="00E86A67">
      <w:pPr>
        <w:sectPr w:rsidR="00E86A67" w:rsidSect="00A760A5">
          <w:headerReference w:type="default" r:id="rId13"/>
          <w:footerReference w:type="default" r:id="rId14"/>
          <w:pgSz w:w="11907" w:h="16840" w:code="9"/>
          <w:pgMar w:top="1134" w:right="1418" w:bottom="1134" w:left="1418" w:header="567" w:footer="567" w:gutter="0"/>
          <w:cols w:space="720"/>
        </w:sectPr>
      </w:pPr>
    </w:p>
    <w:p w:rsidR="00E86A67" w:rsidRPr="00C01F24" w:rsidRDefault="00C01F24" w:rsidP="00CC4C60">
      <w:pPr>
        <w:pStyle w:val="HRLCHeading1"/>
      </w:pPr>
      <w:r w:rsidRPr="00C01F24">
        <w:lastRenderedPageBreak/>
        <w:t xml:space="preserve">16(b) and 32 (c): Discriminatory impact of social security system on Aboriginal and Torres Strait Islander peoples </w:t>
      </w:r>
    </w:p>
    <w:p w:rsidR="006D5254" w:rsidRDefault="006D5254" w:rsidP="006D5254">
      <w:pPr>
        <w:pStyle w:val="Level1HRLCnormalwithnumberedparas"/>
        <w:numPr>
          <w:ilvl w:val="0"/>
          <w:numId w:val="0"/>
        </w:numPr>
        <w:ind w:left="709"/>
      </w:pPr>
    </w:p>
    <w:p w:rsidR="00C01F24" w:rsidRDefault="00C01F24" w:rsidP="00C01F24">
      <w:pPr>
        <w:pStyle w:val="Level1HRLCnormalwithnumberedparas"/>
      </w:pPr>
      <w:r w:rsidRPr="009A62E4">
        <w:t xml:space="preserve">We understand the Committee has received </w:t>
      </w:r>
      <w:r>
        <w:t>submissions on Concluding Observation 16(b) from a coalition of Aboriginal and Torres Strait Islander organisations, and on Concluding Observation 32(c)</w:t>
      </w:r>
      <w:r w:rsidRPr="009A62E4">
        <w:t xml:space="preserve"> from the Australian Council of Social Service. </w:t>
      </w:r>
    </w:p>
    <w:p w:rsidR="00C01F24" w:rsidRDefault="00C01F24" w:rsidP="00C01F24">
      <w:pPr>
        <w:pStyle w:val="Level1HRLCnormalwithnumberedparas"/>
      </w:pPr>
      <w:r w:rsidRPr="009A62E4">
        <w:t xml:space="preserve">Our comments below focus on the particular impact of Australia’s discriminatory social security measures on Aboriginal and Torres Strait Islander peoples.  </w:t>
      </w:r>
    </w:p>
    <w:p w:rsidR="00C01F24" w:rsidRDefault="00C01F24" w:rsidP="00C01F24">
      <w:pPr>
        <w:pStyle w:val="Level1HRLCnormalwithnumberedparas"/>
      </w:pPr>
      <w:r>
        <w:t>Since the Committee’s review in 2017, the Australian Government has persisted with punitive and discriminatory social security measures that target Aboriginal and Torres Strait Islander peoples and are likely to un</w:t>
      </w:r>
      <w:r>
        <w:t xml:space="preserve">dermine </w:t>
      </w:r>
      <w:proofErr w:type="gramStart"/>
      <w:r>
        <w:t>Closing</w:t>
      </w:r>
      <w:proofErr w:type="gramEnd"/>
      <w:r>
        <w:t xml:space="preserve"> the Gap targets.</w:t>
      </w:r>
      <w:bookmarkStart w:id="0" w:name="_GoBack"/>
      <w:bookmarkEnd w:id="0"/>
    </w:p>
    <w:p w:rsidR="00C01F24" w:rsidRPr="00CC4C60" w:rsidRDefault="00C01F24" w:rsidP="00C01F24">
      <w:pPr>
        <w:pStyle w:val="HRLCHeading2"/>
      </w:pPr>
      <w:r w:rsidRPr="00C01F24">
        <w:t>Community Development Program</w:t>
      </w:r>
    </w:p>
    <w:p w:rsidR="009C18D6" w:rsidRDefault="009C18D6" w:rsidP="006D5254">
      <w:pPr>
        <w:pStyle w:val="Level1HRLCnormalwithnumberedparas"/>
      </w:pPr>
      <w:r>
        <w:t xml:space="preserve">The remote </w:t>
      </w:r>
      <w:r w:rsidRPr="009A62E4">
        <w:rPr>
          <w:bCs/>
        </w:rPr>
        <w:t>Community Development Program</w:t>
      </w:r>
      <w:r>
        <w:t xml:space="preserve"> (CDP) is a government program that has required people in remote communities to work up to three times as more hours each year in a more rigid work-for-the-dole program, as compared to people in urban areas, in order to access the same basic social security payment. Aboriginal and Torres Strait Islander people make up some 83% of people under CDP in remote communities, but account for only 10 per cent of people covered by the equivalent but less onerous urban program called ‘</w:t>
      </w:r>
      <w:proofErr w:type="spellStart"/>
      <w:r>
        <w:t>Jobactive</w:t>
      </w:r>
      <w:proofErr w:type="spellEnd"/>
      <w:r>
        <w:t>’. A harsh system of financial sanctions has seen nearly one in ten CDP participants, many of whom live in significant poverty</w:t>
      </w:r>
      <w:r w:rsidRPr="009A62E4">
        <w:rPr>
          <w:color w:val="1F497D"/>
        </w:rPr>
        <w:t xml:space="preserve">, </w:t>
      </w:r>
      <w:hyperlink r:id="rId15" w:history="1">
        <w:r>
          <w:rPr>
            <w:rStyle w:val="Hyperlink"/>
          </w:rPr>
          <w:t>lose 20 per cent</w:t>
        </w:r>
      </w:hyperlink>
      <w:r w:rsidRPr="009A62E4">
        <w:rPr>
          <w:color w:val="1F497D"/>
        </w:rPr>
        <w:t xml:space="preserve"> </w:t>
      </w:r>
      <w:r>
        <w:t>of their social security payments.</w:t>
      </w:r>
    </w:p>
    <w:p w:rsidR="009C18D6" w:rsidRDefault="009C18D6" w:rsidP="006D5254">
      <w:pPr>
        <w:pStyle w:val="Level1HRLCnormalwithnumberedparas"/>
      </w:pPr>
      <w:r>
        <w:t xml:space="preserve">Since the CESCR Committee review, the CERD Committee has also </w:t>
      </w:r>
      <w:hyperlink r:id="rId16" w:history="1">
        <w:r>
          <w:rPr>
            <w:rStyle w:val="Hyperlink"/>
          </w:rPr>
          <w:t>expressed concern</w:t>
        </w:r>
      </w:hyperlink>
      <w:r w:rsidRPr="009A62E4">
        <w:rPr>
          <w:color w:val="1F497D"/>
        </w:rPr>
        <w:t xml:space="preserve"> </w:t>
      </w:r>
      <w:r>
        <w:t xml:space="preserve">about CDP in November 2017. And in February 2019, a damning government-commissioned </w:t>
      </w:r>
      <w:hyperlink r:id="rId17" w:history="1">
        <w:r>
          <w:rPr>
            <w:rStyle w:val="Hyperlink"/>
          </w:rPr>
          <w:t>evaluation report</w:t>
        </w:r>
      </w:hyperlink>
      <w:r w:rsidRPr="009A62E4">
        <w:rPr>
          <w:color w:val="1F497D"/>
        </w:rPr>
        <w:t xml:space="preserve"> </w:t>
      </w:r>
      <w:r>
        <w:t xml:space="preserve">was released. One of the most </w:t>
      </w:r>
      <w:hyperlink r:id="rId18" w:history="1">
        <w:r>
          <w:rPr>
            <w:rStyle w:val="Hyperlink"/>
          </w:rPr>
          <w:t>alarming findings</w:t>
        </w:r>
      </w:hyperlink>
      <w:r w:rsidRPr="009A62E4">
        <w:rPr>
          <w:color w:val="1F497D"/>
        </w:rPr>
        <w:t xml:space="preserve"> </w:t>
      </w:r>
      <w:r>
        <w:t xml:space="preserve">of the evaluation was that hunger, sleep deprivation, survival crime, family violence and mental illness had increased under CDP. Reforms to the program are due to commence on 1 March 2019, nearly 4 years since CDP hit remote communities, however even with these reforms, people in remote communities will continue to have significantly more onerous activity obligations (see summary </w:t>
      </w:r>
      <w:hyperlink r:id="rId19" w:history="1">
        <w:r>
          <w:rPr>
            <w:rStyle w:val="Hyperlink"/>
          </w:rPr>
          <w:t>here</w:t>
        </w:r>
      </w:hyperlink>
      <w:r w:rsidRPr="009A62E4">
        <w:rPr>
          <w:color w:val="1F497D"/>
        </w:rPr>
        <w:t xml:space="preserve">, </w:t>
      </w:r>
      <w:r>
        <w:t xml:space="preserve">but note that only 1000 of the 6000 job subsidies is proceeding). </w:t>
      </w:r>
    </w:p>
    <w:p w:rsidR="009C18D6" w:rsidRDefault="009C18D6" w:rsidP="009C18D6">
      <w:pPr>
        <w:pStyle w:val="ListParagraph"/>
        <w:tabs>
          <w:tab w:val="left" w:pos="2950"/>
        </w:tabs>
        <w:ind w:left="720" w:firstLine="0"/>
      </w:pPr>
      <w:r>
        <w:tab/>
      </w:r>
    </w:p>
    <w:p w:rsidR="009C18D6" w:rsidRDefault="009C18D6" w:rsidP="006D5254">
      <w:pPr>
        <w:pStyle w:val="Level1HRLCnormalwithnumberedparas"/>
      </w:pPr>
      <w:r>
        <w:t xml:space="preserve">The program needs to be abolished and replaced by Aboriginal-led models, like the </w:t>
      </w:r>
      <w:hyperlink r:id="rId20" w:history="1">
        <w:r>
          <w:rPr>
            <w:rStyle w:val="Hyperlink"/>
          </w:rPr>
          <w:t>Fair Work and Strong Communities</w:t>
        </w:r>
      </w:hyperlink>
      <w:r w:rsidRPr="009A62E4">
        <w:rPr>
          <w:color w:val="1F497D"/>
        </w:rPr>
        <w:t xml:space="preserve"> </w:t>
      </w:r>
      <w:r>
        <w:t xml:space="preserve">model proposed in September 2017. </w:t>
      </w:r>
    </w:p>
    <w:p w:rsidR="009C18D6" w:rsidRPr="007C162E" w:rsidRDefault="009C18D6" w:rsidP="006D5254">
      <w:pPr>
        <w:pStyle w:val="HRLCHeading2"/>
      </w:pPr>
      <w:r w:rsidRPr="007C162E">
        <w:t xml:space="preserve">The </w:t>
      </w:r>
      <w:proofErr w:type="spellStart"/>
      <w:r w:rsidRPr="007C162E">
        <w:t>ParentsNext</w:t>
      </w:r>
      <w:proofErr w:type="spellEnd"/>
      <w:r w:rsidRPr="007C162E">
        <w:t xml:space="preserve"> program</w:t>
      </w:r>
    </w:p>
    <w:p w:rsidR="009C18D6" w:rsidRDefault="009C18D6" w:rsidP="006D5254">
      <w:pPr>
        <w:pStyle w:val="Level1HRLCnormalwithnumberedparas"/>
      </w:pPr>
      <w:r>
        <w:t xml:space="preserve">The </w:t>
      </w:r>
      <w:proofErr w:type="spellStart"/>
      <w:r w:rsidRPr="009A62E4">
        <w:rPr>
          <w:bCs/>
        </w:rPr>
        <w:t>ParentsNext</w:t>
      </w:r>
      <w:proofErr w:type="spellEnd"/>
      <w:r>
        <w:t xml:space="preserve"> program is a government program that has required parents, 81 per cent of whom are single mothers, with children aged 6 months to 5 years to participate in “activities” in order to receive the social security payment called ‘the parenting payment’. If a parent does not report compliance with their required “activities”, they are exposed to a system of financial sanctions called the </w:t>
      </w:r>
      <w:hyperlink r:id="rId21" w:history="1">
        <w:r>
          <w:rPr>
            <w:rStyle w:val="Hyperlink"/>
          </w:rPr>
          <w:t>Targeted Compliance Framework</w:t>
        </w:r>
      </w:hyperlink>
      <w:r>
        <w:rPr>
          <w:rStyle w:val="Hyperlink"/>
        </w:rPr>
        <w:t xml:space="preserve">. </w:t>
      </w:r>
      <w:hyperlink r:id="rId22" w:history="1">
        <w:r>
          <w:rPr>
            <w:rStyle w:val="Hyperlink"/>
          </w:rPr>
          <w:t>Concerns</w:t>
        </w:r>
      </w:hyperlink>
      <w:r>
        <w:t xml:space="preserve"> have previously been raised about the harshness of this framework and its incompatibility with the right to social security by Australia’s Parliamentary Joint Committee on Human Rights. </w:t>
      </w:r>
    </w:p>
    <w:p w:rsidR="009C18D6" w:rsidRDefault="009C18D6" w:rsidP="006D5254">
      <w:pPr>
        <w:pStyle w:val="Level1HRLCnormalwithnumberedparas"/>
      </w:pPr>
      <w:r>
        <w:t xml:space="preserve">An intensive stream of the program imposes more onerous obligations on parents and targets locations with high numbers of Aboriginal and Torres Strait Islander parents on the parenting payment. In six months, more than one quarter of Aboriginal and Torres Strait Islander parents had their payments suspended. </w:t>
      </w:r>
    </w:p>
    <w:p w:rsidR="009C18D6" w:rsidRDefault="009C18D6" w:rsidP="006D5254">
      <w:pPr>
        <w:pStyle w:val="Level1HRLCnormalwithnumberedparas"/>
      </w:pPr>
      <w:r>
        <w:t xml:space="preserve">The Government has conceded that </w:t>
      </w:r>
      <w:proofErr w:type="spellStart"/>
      <w:r>
        <w:t>ParentsNext</w:t>
      </w:r>
      <w:proofErr w:type="spellEnd"/>
      <w:r>
        <w:t xml:space="preserve"> indirectly and directly discriminates against women and Aboriginal and Torres Strait Islander people. It is not a reasonable or proportionate restriction on the rights of affected parents for a range of reasons, including because </w:t>
      </w:r>
      <w:hyperlink r:id="rId23" w:history="1">
        <w:r>
          <w:rPr>
            <w:rStyle w:val="Hyperlink"/>
          </w:rPr>
          <w:t>welfare conditionality</w:t>
        </w:r>
      </w:hyperlink>
      <w:r>
        <w:t xml:space="preserve"> has been shown to be ineffective in helping parents find work. The program calls into question Australia’s compliance with the </w:t>
      </w:r>
      <w:r>
        <w:rPr>
          <w:rStyle w:val="Hyperlink"/>
          <w:i/>
          <w:iCs/>
        </w:rPr>
        <w:t>International Covenant on Economic, Social and Cultural Rights</w:t>
      </w:r>
      <w:r>
        <w:t xml:space="preserve">, which protects the right to social security, and the </w:t>
      </w:r>
      <w:hyperlink r:id="rId24" w:history="1">
        <w:r>
          <w:rPr>
            <w:rStyle w:val="Hyperlink"/>
            <w:i/>
            <w:iCs/>
          </w:rPr>
          <w:t>International Covenant on Civil and Political Rights</w:t>
        </w:r>
      </w:hyperlink>
      <w:r>
        <w:rPr>
          <w:rStyle w:val="Hyperlink"/>
          <w:i/>
          <w:iCs/>
        </w:rPr>
        <w:t>,</w:t>
      </w:r>
      <w:r>
        <w:t xml:space="preserve"> which provides that, if a state adopts social security legislation, it must do so in a non-discriminatory manner. </w:t>
      </w:r>
    </w:p>
    <w:p w:rsidR="009C18D6" w:rsidRDefault="009C18D6" w:rsidP="006D5254">
      <w:pPr>
        <w:pStyle w:val="Level1HRLCnormalwithnumberedparas"/>
      </w:pPr>
      <w:r>
        <w:t>This is happening at a time when the United Nations’ Special Rapporteur on extreme poverty and human rights has expressed unease about the effect of cuts to the payments available to single parents, which increase the financial hardships borne by single parent households.</w:t>
      </w:r>
    </w:p>
    <w:p w:rsidR="009C18D6" w:rsidRPr="006D5254" w:rsidRDefault="009C18D6" w:rsidP="006D5254">
      <w:pPr>
        <w:pStyle w:val="HRLCHeading2"/>
      </w:pPr>
      <w:r w:rsidRPr="007C162E">
        <w:t>Compulsory income management and the cashless debit card</w:t>
      </w:r>
    </w:p>
    <w:p w:rsidR="009C18D6" w:rsidRDefault="009C18D6" w:rsidP="006D5254">
      <w:pPr>
        <w:pStyle w:val="Level1HRLCnormalwithnumberedparas"/>
      </w:pPr>
      <w:r>
        <w:t>Compulsory income management and the cashless debit card are forms of compulsory income quarantining previously examined by the Committee, which continue to used, and rolled out region by region by the Australian Government. In 2018</w:t>
      </w:r>
      <w:r w:rsidRPr="007C162E">
        <w:rPr>
          <w:color w:val="1F497D"/>
        </w:rPr>
        <w:t xml:space="preserve">, </w:t>
      </w:r>
      <w:r>
        <w:t xml:space="preserve">the </w:t>
      </w:r>
      <w:hyperlink r:id="rId25" w:history="1">
        <w:r>
          <w:rPr>
            <w:rStyle w:val="Hyperlink"/>
          </w:rPr>
          <w:t>Australian National Audit Office</w:t>
        </w:r>
      </w:hyperlink>
      <w:r>
        <w:t xml:space="preserve"> described as ‘inadequate’ the Government’s approach to monitoring and evaluating the expensive cashless debit card trials in the first two trial sites (communities in remote South Australia and Western Australia where a majority of those captured by the trial are Aboriginal and Torres Strait Islander people). Since then, two further trial sites have been added – one in Western Australia, and another in Queensland. Currently, a Bill before Parliament would expand the end date for the cashless debit card trials in all sites </w:t>
      </w:r>
      <w:r w:rsidRPr="007C162E">
        <w:rPr>
          <w:color w:val="1F497D"/>
        </w:rPr>
        <w:t xml:space="preserve">– </w:t>
      </w:r>
      <w:r>
        <w:t>from 30 June 2019 to 30 June 2020. This is despite a lack of evidence about the program’s effectiveness in meeting its objectives, and the concerns raised by the Parliamentary Joint Committee on Human Rights about the trials not being a reasonable and proportionate restriction on human rights (see report 11 of 2017, 17 October 2017).</w:t>
      </w:r>
    </w:p>
    <w:p w:rsidR="006D5254" w:rsidRDefault="006D5254" w:rsidP="006D5254">
      <w:r>
        <w:rPr>
          <w:noProof/>
          <w:lang w:eastAsia="en-AU"/>
        </w:rPr>
        <mc:AlternateContent>
          <mc:Choice Requires="wps">
            <w:drawing>
              <wp:inline distT="0" distB="0" distL="0" distR="0" wp14:anchorId="349DEBCF" wp14:editId="296C3D11">
                <wp:extent cx="5756275" cy="1488558"/>
                <wp:effectExtent l="0" t="0" r="15875" b="1651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6275" cy="1488558"/>
                        </a:xfrm>
                        <a:prstGeom prst="rect">
                          <a:avLst/>
                        </a:prstGeom>
                        <a:solidFill>
                          <a:srgbClr val="FFFFFF"/>
                        </a:solidFill>
                        <a:ln w="9525">
                          <a:solidFill>
                            <a:srgbClr val="008000"/>
                          </a:solidFill>
                          <a:prstDash val="dash"/>
                          <a:miter lim="800000"/>
                          <a:headEnd/>
                          <a:tailEnd/>
                        </a:ln>
                      </wps:spPr>
                      <wps:txbx>
                        <w:txbxContent>
                          <w:p w:rsidR="006D5254" w:rsidRPr="00312876" w:rsidRDefault="006D5254" w:rsidP="006D5254">
                            <w:pPr>
                              <w:spacing w:before="140" w:line="360" w:lineRule="auto"/>
                              <w:rPr>
                                <w:rFonts w:cs="Arial"/>
                                <w:b/>
                                <w:i/>
                                <w:color w:val="329737"/>
                                <w:szCs w:val="17"/>
                              </w:rPr>
                            </w:pPr>
                            <w:r>
                              <w:rPr>
                                <w:rFonts w:cs="Arial"/>
                                <w:b/>
                                <w:i/>
                                <w:color w:val="329737"/>
                                <w:szCs w:val="17"/>
                              </w:rPr>
                              <w:t>Recommendation</w:t>
                            </w:r>
                            <w:r w:rsidRPr="00312876">
                              <w:rPr>
                                <w:rFonts w:cs="Arial"/>
                                <w:b/>
                                <w:i/>
                                <w:color w:val="329737"/>
                                <w:szCs w:val="17"/>
                              </w:rPr>
                              <w:t>:</w:t>
                            </w:r>
                          </w:p>
                          <w:p w:rsidR="006D5254" w:rsidRPr="00143D57" w:rsidRDefault="006D5254" w:rsidP="006D5254">
                            <w:pPr>
                              <w:spacing w:before="140" w:line="360" w:lineRule="auto"/>
                              <w:rPr>
                                <w:rFonts w:cs="Arial"/>
                                <w:i/>
                                <w:color w:val="000000"/>
                                <w:szCs w:val="17"/>
                              </w:rPr>
                            </w:pPr>
                            <w:r w:rsidRPr="006D5254">
                              <w:rPr>
                                <w:rFonts w:cs="Arial"/>
                                <w:color w:val="000000"/>
                                <w:szCs w:val="17"/>
                              </w:rPr>
                              <w:t>The Australian Government should end the practice of targeting Aboriginal and Torres Strait Islander people with compulsory social security measures, and instead work with Aboriginal and Torres Strait Islander organisations and communities to develop effective Aboriginal-led programs that are delinked from the receipt of social security and consistent with the right to self-determination.</w:t>
                            </w:r>
                          </w:p>
                        </w:txbxContent>
                      </wps:txbx>
                      <wps:bodyPr rot="0" vert="horz" wrap="square" lIns="91440" tIns="45720" rIns="91440" bIns="45720" anchor="t" anchorCtr="0" upright="1">
                        <a:noAutofit/>
                      </wps:bodyPr>
                    </wps:wsp>
                  </a:graphicData>
                </a:graphic>
              </wp:inline>
            </w:drawing>
          </mc:Choice>
          <mc:Fallback>
            <w:pict>
              <v:shapetype w14:anchorId="349DEBCF" id="_x0000_t202" coordsize="21600,21600" o:spt="202" path="m,l,21600r21600,l21600,xe">
                <v:stroke joinstyle="miter"/>
                <v:path gradientshapeok="t" o:connecttype="rect"/>
              </v:shapetype>
              <v:shape id="Text Box 2" o:spid="_x0000_s1026" type="#_x0000_t202" style="width:453.25pt;height:1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dwKPAIAAGkEAAAOAAAAZHJzL2Uyb0RvYy54bWysVMFu2zAMvQ/YPwi6r3aMuE2NOkWXrMOA&#10;rhvQ7gMYWY6FyaImKbG7rx8lp2m6YZdhPgiiSD6Sj6Svrsdes710XqGp+ews50wagY0y25p/e7x9&#10;t+DMBzANaDSy5k/S8+vl2zdXg61kgR3qRjpGIMZXg615F4KtssyLTvbgz9BKQ8oWXQ+BRLfNGgcD&#10;ofc6K/L8PBvQNdahkN7T63pS8mXCb1spwpe29TIwXXPKLaTTpXMTz2x5BdXWge2UOKQB/5BFD8pQ&#10;0CPUGgKwnVN/QPVKOPTYhjOBfYZtq4RMNVA1s/y3ah46sDLVQuR4e6TJ/z9Ycb//6phqal5wZqCn&#10;Fj3KMbD3OLIisjNYX5HRgyWzMNIzdTlV6u0diu+eGVx1YLbyxjkcOgkNZTeLntmJ64TjI8hm+IwN&#10;hYFdwAQ0tq6P1BEZjNCpS0/HzsRUBD2WF+V5cVFyJkg3my8WZblIMaB6drfOh48SexYvNXfU+gQP&#10;+zsfYjpQPZvEaB61am6V1klw281KO7YHGpPb9B3QX5lpw4aaX5ZFOTHwV4g8X+R5Gi6K+goiprAG&#10;302hGrrFQFD1KtAeaNXXPLpOzlBFPj+YJpkEUHq6E6g2B4IjpxO7YdyMZBhZ32DzRFQ7nOad9pMu&#10;HbqfnA006zX3P3bgJGf6k6F2Xc7m87gcSZiXFwUJ7lSzOdWAEQRV88DZdF2FaaF21qltR5GmATF4&#10;Qy1uVSL/JatD3jTPqSeH3YsLcyonq5c/xPIXAAAA//8DAFBLAwQUAAYACAAAACEAn+XMONwAAAAF&#10;AQAADwAAAGRycy9kb3ducmV2LnhtbEyPwU7DMBBE70j8g7VIXBB1SEOVpNlUCKk3QFD6AW68JCn2&#10;OoqdNvw9hgtcVhrNaOZttZmtEScafe8Y4W6RgCBunO65Rdi/b29zED4o1so4JoQv8rCpLy8qVWp3&#10;5jc67UIrYgn7UiF0IQyllL7pyCq/cANx9D7caFWIcmylHtU5llsj0yRZSat6jgudGuixo+ZzN1mE&#10;Y94XhXvepvrmpZnN/vVpWmY54vXV/LAGEWgOf2H4wY/oUEemg5tYe2EQ4iPh90avSFb3IA4I6TLL&#10;QNaV/E9ffwMAAP//AwBQSwECLQAUAAYACAAAACEAtoM4kv4AAADhAQAAEwAAAAAAAAAAAAAAAAAA&#10;AAAAW0NvbnRlbnRfVHlwZXNdLnhtbFBLAQItABQABgAIAAAAIQA4/SH/1gAAAJQBAAALAAAAAAAA&#10;AAAAAAAAAC8BAABfcmVscy8ucmVsc1BLAQItABQABgAIAAAAIQBYmdwKPAIAAGkEAAAOAAAAAAAA&#10;AAAAAAAAAC4CAABkcnMvZTJvRG9jLnhtbFBLAQItABQABgAIAAAAIQCf5cw43AAAAAUBAAAPAAAA&#10;AAAAAAAAAAAAAJYEAABkcnMvZG93bnJldi54bWxQSwUGAAAAAAQABADzAAAAnwUAAAAA&#10;" strokecolor="green">
                <v:stroke dashstyle="dash"/>
                <v:textbox>
                  <w:txbxContent>
                    <w:p w:rsidR="006D5254" w:rsidRPr="00312876" w:rsidRDefault="006D5254" w:rsidP="006D5254">
                      <w:pPr>
                        <w:spacing w:before="140" w:line="360" w:lineRule="auto"/>
                        <w:rPr>
                          <w:rFonts w:cs="Arial"/>
                          <w:b/>
                          <w:i/>
                          <w:color w:val="329737"/>
                          <w:szCs w:val="17"/>
                        </w:rPr>
                      </w:pPr>
                      <w:r>
                        <w:rPr>
                          <w:rFonts w:cs="Arial"/>
                          <w:b/>
                          <w:i/>
                          <w:color w:val="329737"/>
                          <w:szCs w:val="17"/>
                        </w:rPr>
                        <w:t>Recommendation</w:t>
                      </w:r>
                      <w:r w:rsidRPr="00312876">
                        <w:rPr>
                          <w:rFonts w:cs="Arial"/>
                          <w:b/>
                          <w:i/>
                          <w:color w:val="329737"/>
                          <w:szCs w:val="17"/>
                        </w:rPr>
                        <w:t>:</w:t>
                      </w:r>
                    </w:p>
                    <w:p w:rsidR="006D5254" w:rsidRPr="00143D57" w:rsidRDefault="006D5254" w:rsidP="006D5254">
                      <w:pPr>
                        <w:spacing w:before="140" w:line="360" w:lineRule="auto"/>
                        <w:rPr>
                          <w:rFonts w:cs="Arial"/>
                          <w:i/>
                          <w:color w:val="000000"/>
                          <w:szCs w:val="17"/>
                        </w:rPr>
                      </w:pPr>
                      <w:r w:rsidRPr="006D5254">
                        <w:rPr>
                          <w:rFonts w:cs="Arial"/>
                          <w:color w:val="000000"/>
                          <w:szCs w:val="17"/>
                        </w:rPr>
                        <w:t>The Australian Government should end the practice of targeting Aboriginal and Torres Strait Islander people with compulsory social security measures, and instead work with Aboriginal and Torres Strait Islander organisations and communities to develop effective Aboriginal-led programs that are delinked from the receipt of social security and consistent with the right to self-determination.</w:t>
                      </w:r>
                    </w:p>
                  </w:txbxContent>
                </v:textbox>
                <w10:anchorlock/>
              </v:shape>
            </w:pict>
          </mc:Fallback>
        </mc:AlternateContent>
      </w:r>
    </w:p>
    <w:p w:rsidR="006D5254" w:rsidRDefault="006D5254" w:rsidP="006D5254"/>
    <w:p w:rsidR="009C18D6" w:rsidRPr="007C162E" w:rsidRDefault="009C18D6" w:rsidP="006D5254">
      <w:pPr>
        <w:pStyle w:val="HRLCHeading1"/>
      </w:pPr>
      <w:r w:rsidRPr="007C162E">
        <w:t>18 (b): Offshore detention</w:t>
      </w:r>
    </w:p>
    <w:p w:rsidR="006D5254" w:rsidRDefault="006D5254" w:rsidP="006D5254">
      <w:pPr>
        <w:pStyle w:val="Level1HRLCnormalwithnumberedparas"/>
        <w:numPr>
          <w:ilvl w:val="0"/>
          <w:numId w:val="0"/>
        </w:numPr>
        <w:ind w:left="709"/>
      </w:pPr>
    </w:p>
    <w:p w:rsidR="009C18D6" w:rsidRDefault="009C18D6" w:rsidP="006D5254">
      <w:pPr>
        <w:pStyle w:val="Level1HRLCnormalwithnumberedparas"/>
      </w:pPr>
      <w:r>
        <w:t xml:space="preserve">We understand that the Committee has received a detailed in person briefing from Abdul Aziz </w:t>
      </w:r>
      <w:proofErr w:type="spellStart"/>
      <w:r>
        <w:t>Muhamat</w:t>
      </w:r>
      <w:proofErr w:type="spellEnd"/>
      <w:r>
        <w:t xml:space="preserve">. </w:t>
      </w:r>
    </w:p>
    <w:p w:rsidR="009C18D6" w:rsidRDefault="009C18D6" w:rsidP="006D5254">
      <w:pPr>
        <w:pStyle w:val="Level1HRLCnormalwithnumberedparas"/>
      </w:pPr>
      <w:r>
        <w:t xml:space="preserve">The Australian Government’s response to recommendations regarding offshore detention is extremely disappointing (although not unexpected) in that it makes no attempt to address any of the concerns or recommendations raise by CESCR in its concluding observations. </w:t>
      </w:r>
    </w:p>
    <w:p w:rsidR="009C18D6" w:rsidRPr="009A62E4" w:rsidRDefault="009C18D6" w:rsidP="006D5254">
      <w:pPr>
        <w:pStyle w:val="Level1HRLCnormalwithnumberedparas"/>
        <w:rPr>
          <w:iCs/>
        </w:rPr>
      </w:pPr>
      <w:r w:rsidRPr="009A62E4">
        <w:t xml:space="preserve">As you would be aware the Australian Government’s regional processing arrangements have been widely criticised for flagrantly violating human rights by multiple UN treaty bodies and Special Rapporteurs, for example </w:t>
      </w:r>
      <w:r w:rsidRPr="009A62E4">
        <w:rPr>
          <w:iCs/>
        </w:rPr>
        <w:t xml:space="preserve">Human Rights Committee, Concluding observations on the sixth periodic report of Australia, CCPR/C/AUS/ CO/6; Committee on the Elimination of Racial Discrimination , Concluding observations on the eighteenth to twentieth period reports of Australia, CERD/C/ AUS/CO/18-20; Committee on Economic, Social and Cultural Rights, Concluding observations on the fifth periodic report of Australia, E/C.12/AUS/CO/5; Committee on the Elimination of Discrimination Against Women, Concluding observations on the eighth periodic report of Australia, CEDAW/C/AUS/CO/8; Report of the Special Rapporteur on the human rights of migrants on his mission to Australia and the regional processing centres in Nauru (A/ HRC/35/25/Add.3). </w:t>
      </w:r>
    </w:p>
    <w:p w:rsidR="009C18D6" w:rsidRDefault="009C18D6" w:rsidP="006D5254">
      <w:pPr>
        <w:pStyle w:val="Level1HRLCnormalwithnumberedparas"/>
      </w:pPr>
      <w:r>
        <w:t>The Human Rights Law Centre continues to call for an end to this egregious abuse of human rights and can provide the Committee with further information if required.</w:t>
      </w:r>
    </w:p>
    <w:p w:rsidR="009C18D6" w:rsidRDefault="009C18D6" w:rsidP="006D5254">
      <w:pPr>
        <w:pStyle w:val="Level1HRLCnormalwithnumberedparas"/>
      </w:pPr>
      <w:r>
        <w:t xml:space="preserve">Recent public statements from the Human Rights Law Centre can be found in our </w:t>
      </w:r>
      <w:hyperlink r:id="rId26" w:history="1">
        <w:r w:rsidRPr="009A62E4">
          <w:rPr>
            <w:rStyle w:val="Hyperlink"/>
          </w:rPr>
          <w:t>2018 CROC NGO Shadow Report</w:t>
        </w:r>
      </w:hyperlink>
      <w:r>
        <w:t xml:space="preserve"> (pp 11-12) and </w:t>
      </w:r>
      <w:hyperlink r:id="rId27" w:history="1">
        <w:r w:rsidRPr="009A62E4">
          <w:rPr>
            <w:rStyle w:val="Hyperlink"/>
          </w:rPr>
          <w:t>2018 CEDAW NGO Shadow Report</w:t>
        </w:r>
      </w:hyperlink>
      <w:r>
        <w:t xml:space="preserve"> (pp 4-6).</w:t>
      </w:r>
    </w:p>
    <w:sectPr w:rsidR="009C18D6" w:rsidSect="00A760A5">
      <w:headerReference w:type="default" r:id="rId28"/>
      <w:footerReference w:type="default" r:id="rId29"/>
      <w:pgSz w:w="11907" w:h="16840" w:code="9"/>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2ED2" w:rsidRDefault="00D82ED2">
      <w:r>
        <w:separator/>
      </w:r>
    </w:p>
  </w:endnote>
  <w:endnote w:type="continuationSeparator" w:id="0">
    <w:p w:rsidR="00D82ED2" w:rsidRDefault="00D82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ecilia LT Pro 55 Roman">
    <w:panose1 w:val="00000000000000000000"/>
    <w:charset w:val="00"/>
    <w:family w:val="roman"/>
    <w:notTrueType/>
    <w:pitch w:val="variable"/>
    <w:sig w:usb0="800000AF" w:usb1="5000204A" w:usb2="00000000" w:usb3="00000000" w:csb0="0000009B"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D2" w:rsidRDefault="00D82E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D2" w:rsidRPr="004004CB" w:rsidRDefault="00D82ED2" w:rsidP="00E86A67">
    <w:pPr>
      <w:pStyle w:val="Footer"/>
      <w:pBdr>
        <w:top w:val="single" w:sz="4" w:space="1" w:color="auto"/>
      </w:pBdr>
      <w:spacing w:before="120" w:after="240"/>
      <w:jc w:val="right"/>
      <w:rPr>
        <w:rFonts w:ascii="Caecilia LT Pro 55 Roman" w:hAnsi="Caecilia LT Pro 55 Roman"/>
      </w:rPr>
    </w:pPr>
    <w:r w:rsidRPr="004004CB">
      <w:rPr>
        <w:rFonts w:ascii="Caecilia LT Pro 55 Roman" w:hAnsi="Caecilia LT Pro 55 Roman"/>
      </w:rPr>
      <w:t xml:space="preserve">Page </w:t>
    </w:r>
    <w:r w:rsidRPr="004004CB">
      <w:rPr>
        <w:rStyle w:val="PageNumber"/>
        <w:rFonts w:ascii="Caecilia LT Pro 55 Roman" w:hAnsi="Caecilia LT Pro 55 Roman"/>
      </w:rPr>
      <w:fldChar w:fldCharType="begin"/>
    </w:r>
    <w:r w:rsidRPr="004004CB">
      <w:rPr>
        <w:rStyle w:val="PageNumber"/>
        <w:rFonts w:ascii="Caecilia LT Pro 55 Roman" w:hAnsi="Caecilia LT Pro 55 Roman"/>
      </w:rPr>
      <w:instrText xml:space="preserve"> PAGE </w:instrText>
    </w:r>
    <w:r w:rsidRPr="004004CB">
      <w:rPr>
        <w:rStyle w:val="PageNumber"/>
        <w:rFonts w:ascii="Caecilia LT Pro 55 Roman" w:hAnsi="Caecilia LT Pro 55 Roman"/>
      </w:rPr>
      <w:fldChar w:fldCharType="separate"/>
    </w:r>
    <w:r w:rsidR="00B37AD0">
      <w:rPr>
        <w:rStyle w:val="PageNumber"/>
        <w:rFonts w:ascii="Caecilia LT Pro 55 Roman" w:hAnsi="Caecilia LT Pro 55 Roman"/>
      </w:rPr>
      <w:t>5</w:t>
    </w:r>
    <w:r w:rsidRPr="004004CB">
      <w:rPr>
        <w:rStyle w:val="PageNumber"/>
        <w:rFonts w:ascii="Caecilia LT Pro 55 Roman" w:hAnsi="Caecilia LT Pro 55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2ED2" w:rsidRDefault="00D82ED2">
      <w:r>
        <w:separator/>
      </w:r>
    </w:p>
  </w:footnote>
  <w:footnote w:type="continuationSeparator" w:id="0">
    <w:p w:rsidR="00D82ED2" w:rsidRDefault="00D82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D2" w:rsidRDefault="00D82ED2" w:rsidP="00E86A67">
    <w:pPr>
      <w:pStyle w:val="Header"/>
      <w:rPr>
        <w:rStyle w:val="PageNumber"/>
      </w:rPr>
    </w:pPr>
    <w:r>
      <w:rPr>
        <w:rStyle w:val="PageNumber"/>
      </w:rPr>
      <w:fldChar w:fldCharType="begin"/>
    </w:r>
    <w:r>
      <w:rPr>
        <w:rStyle w:val="PageNumber"/>
      </w:rPr>
      <w:instrText xml:space="preserve">PAGE  </w:instrText>
    </w:r>
    <w:r>
      <w:rPr>
        <w:rStyle w:val="PageNumber"/>
      </w:rPr>
      <w:fldChar w:fldCharType="end"/>
    </w:r>
  </w:p>
  <w:p w:rsidR="00D82ED2" w:rsidRDefault="00D82ED2" w:rsidP="00E86A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D2" w:rsidRDefault="00D82E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D2" w:rsidRPr="0023473E" w:rsidRDefault="00D82ED2" w:rsidP="00E86A67">
    <w:pPr>
      <w:spacing w:before="140" w:line="360" w:lineRule="auto"/>
      <w:jc w:val="right"/>
    </w:pPr>
    <w:r w:rsidRPr="0023473E">
      <w:rPr>
        <w:rFonts w:ascii="Caecilia LT Pro 55 Roman" w:hAnsi="Caecilia LT Pro 55 Roman"/>
        <w:color w:val="333333"/>
      </w:rPr>
      <w:t>Human Rights Law Centre</w:t>
    </w:r>
    <w:r w:rsidRPr="0023473E">
      <w:rPr>
        <w:color w:val="333333"/>
      </w:rPr>
      <w:t xml:space="preserve"> |</w:t>
    </w:r>
    <w:r w:rsidRPr="0023473E">
      <w:t xml:space="preserve"> </w:t>
    </w:r>
    <w:r w:rsidRPr="0023473E">
      <w:rPr>
        <w:rFonts w:ascii="Caecilia LT Pro 55 Roman" w:hAnsi="Caecilia LT Pro 55 Roman"/>
        <w:color w:val="008000"/>
      </w:rPr>
      <w:t xml:space="preserve">Submission: </w:t>
    </w:r>
    <w:r>
      <w:rPr>
        <w:rFonts w:ascii="Caecilia LT Pro 55 Roman" w:hAnsi="Caecilia LT Pro 55 Roman"/>
        <w:color w:val="008000"/>
      </w:rPr>
      <w:t>Title to appear here</w:t>
    </w:r>
  </w:p>
  <w:p w:rsidR="00D82ED2" w:rsidRPr="002B586C" w:rsidRDefault="00D82ED2" w:rsidP="00E86A67">
    <w:pPr>
      <w:pStyle w:val="Header"/>
      <w:pBdr>
        <w:bottom w:val="single" w:sz="4" w:space="1" w:color="auto"/>
      </w:pBdr>
      <w:rPr>
        <w:sz w:val="20"/>
        <w:szCs w:val="20"/>
      </w:rPr>
    </w:pPr>
    <w:r w:rsidRPr="002B586C">
      <w:rPr>
        <w:sz w:val="20"/>
        <w:szCs w:val="20"/>
      </w:rPr>
      <w:br/>
    </w:r>
  </w:p>
  <w:p w:rsidR="00D82ED2" w:rsidRDefault="00D82ED2" w:rsidP="00E86A6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525A49"/>
    <w:multiLevelType w:val="hybridMultilevel"/>
    <w:tmpl w:val="B2FE63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18FC402E"/>
    <w:multiLevelType w:val="multilevel"/>
    <w:tmpl w:val="600C477E"/>
    <w:lvl w:ilvl="0">
      <w:start w:val="1"/>
      <w:numFmt w:val="decimal"/>
      <w:pStyle w:val="HRLCHeading1"/>
      <w:lvlText w:val="%1."/>
      <w:lvlJc w:val="left"/>
      <w:pPr>
        <w:tabs>
          <w:tab w:val="num" w:pos="709"/>
        </w:tabs>
        <w:ind w:left="709" w:hanging="709"/>
      </w:pPr>
    </w:lvl>
    <w:lvl w:ilvl="1">
      <w:start w:val="1"/>
      <w:numFmt w:val="decimal"/>
      <w:pStyle w:val="AARHeading2"/>
      <w:lvlText w:val="%1.%2"/>
      <w:lvlJc w:val="left"/>
      <w:pPr>
        <w:tabs>
          <w:tab w:val="num" w:pos="709"/>
        </w:tabs>
        <w:ind w:left="709" w:hanging="709"/>
      </w:pPr>
    </w:lvl>
    <w:lvl w:ilvl="2">
      <w:start w:val="1"/>
      <w:numFmt w:val="lowerLetter"/>
      <w:pStyle w:val="AARHeading3"/>
      <w:lvlText w:val="(%3)"/>
      <w:lvlJc w:val="left"/>
      <w:pPr>
        <w:tabs>
          <w:tab w:val="num" w:pos="1418"/>
        </w:tabs>
        <w:ind w:left="1418" w:hanging="709"/>
      </w:pPr>
    </w:lvl>
    <w:lvl w:ilvl="3">
      <w:start w:val="1"/>
      <w:numFmt w:val="lowerRoman"/>
      <w:pStyle w:val="AARHeading4"/>
      <w:lvlText w:val="(%4)"/>
      <w:lvlJc w:val="left"/>
      <w:pPr>
        <w:tabs>
          <w:tab w:val="num" w:pos="2126"/>
        </w:tabs>
        <w:ind w:left="2126" w:hanging="708"/>
      </w:pPr>
    </w:lvl>
    <w:lvl w:ilvl="4">
      <w:start w:val="1"/>
      <w:numFmt w:val="upperLetter"/>
      <w:pStyle w:val="AARHeading5"/>
      <w:lvlText w:val="(%5)"/>
      <w:lvlJc w:val="left"/>
      <w:pPr>
        <w:tabs>
          <w:tab w:val="num" w:pos="2835"/>
        </w:tabs>
        <w:ind w:left="2835" w:hanging="709"/>
      </w:pPr>
    </w:lvl>
    <w:lvl w:ilvl="5">
      <w:start w:val="1"/>
      <w:numFmt w:val="decimal"/>
      <w:pStyle w:val="AARHeading6"/>
      <w:lvlText w:val="(%6)"/>
      <w:lvlJc w:val="left"/>
      <w:pPr>
        <w:tabs>
          <w:tab w:val="num" w:pos="3544"/>
        </w:tabs>
        <w:ind w:left="3544" w:hanging="709"/>
      </w:pPr>
    </w:lvl>
    <w:lvl w:ilvl="6">
      <w:start w:val="1"/>
      <w:numFmt w:val="decimal"/>
      <w:lvlText w:val="%7."/>
      <w:lvlJc w:val="left"/>
      <w:pPr>
        <w:tabs>
          <w:tab w:val="num" w:pos="709"/>
        </w:tabs>
        <w:ind w:left="709" w:hanging="709"/>
      </w:pPr>
    </w:lvl>
    <w:lvl w:ilvl="7">
      <w:start w:val="1"/>
      <w:numFmt w:val="lowerLetter"/>
      <w:lvlText w:val="(%8)"/>
      <w:lvlJc w:val="left"/>
      <w:pPr>
        <w:tabs>
          <w:tab w:val="num" w:pos="1418"/>
        </w:tabs>
        <w:ind w:left="1418" w:hanging="709"/>
      </w:pPr>
    </w:lvl>
    <w:lvl w:ilvl="8">
      <w:start w:val="1"/>
      <w:numFmt w:val="lowerRoman"/>
      <w:lvlText w:val="(%9)"/>
      <w:lvlJc w:val="left"/>
      <w:pPr>
        <w:tabs>
          <w:tab w:val="num" w:pos="2126"/>
        </w:tabs>
        <w:ind w:left="2126" w:hanging="708"/>
      </w:pPr>
    </w:lvl>
  </w:abstractNum>
  <w:abstractNum w:abstractNumId="2" w15:restartNumberingAfterBreak="0">
    <w:nsid w:val="549F0E9D"/>
    <w:multiLevelType w:val="multilevel"/>
    <w:tmpl w:val="6A64FC4E"/>
    <w:lvl w:ilvl="0">
      <w:start w:val="1"/>
      <w:numFmt w:val="decimal"/>
      <w:pStyle w:val="Level1HRLCnormalwithnumberedparas"/>
      <w:lvlText w:val="%1."/>
      <w:lvlJc w:val="left"/>
      <w:pPr>
        <w:tabs>
          <w:tab w:val="num" w:pos="709"/>
        </w:tabs>
        <w:ind w:left="709" w:hanging="709"/>
      </w:pPr>
    </w:lvl>
    <w:lvl w:ilvl="1">
      <w:start w:val="1"/>
      <w:numFmt w:val="decimal"/>
      <w:pStyle w:val="level2"/>
      <w:lvlText w:val="%1.%2"/>
      <w:lvlJc w:val="left"/>
      <w:pPr>
        <w:tabs>
          <w:tab w:val="num" w:pos="709"/>
        </w:tabs>
        <w:ind w:left="709" w:hanging="709"/>
      </w:pPr>
    </w:lvl>
    <w:lvl w:ilvl="2">
      <w:start w:val="1"/>
      <w:numFmt w:val="lowerLetter"/>
      <w:pStyle w:val="level3"/>
      <w:lvlText w:val="(%3)"/>
      <w:lvlJc w:val="left"/>
      <w:pPr>
        <w:tabs>
          <w:tab w:val="num" w:pos="1418"/>
        </w:tabs>
        <w:ind w:left="1418" w:hanging="709"/>
      </w:pPr>
    </w:lvl>
    <w:lvl w:ilvl="3">
      <w:start w:val="1"/>
      <w:numFmt w:val="lowerRoman"/>
      <w:pStyle w:val="level4"/>
      <w:lvlText w:val="(%4)"/>
      <w:lvlJc w:val="left"/>
      <w:pPr>
        <w:tabs>
          <w:tab w:val="num" w:pos="2126"/>
        </w:tabs>
        <w:ind w:left="2126" w:hanging="708"/>
      </w:pPr>
    </w:lvl>
    <w:lvl w:ilvl="4">
      <w:start w:val="1"/>
      <w:numFmt w:val="upperLetter"/>
      <w:pStyle w:val="level5"/>
      <w:lvlText w:val="(%5)"/>
      <w:lvlJc w:val="left"/>
      <w:pPr>
        <w:tabs>
          <w:tab w:val="num" w:pos="2835"/>
        </w:tabs>
        <w:ind w:left="2835" w:hanging="709"/>
      </w:pPr>
    </w:lvl>
    <w:lvl w:ilvl="5">
      <w:start w:val="1"/>
      <w:numFmt w:val="decimal"/>
      <w:pStyle w:val="level6"/>
      <w:lvlText w:val="(%6)"/>
      <w:lvlJc w:val="left"/>
      <w:pPr>
        <w:tabs>
          <w:tab w:val="num" w:pos="3549"/>
        </w:tabs>
        <w:ind w:left="3549" w:hanging="714"/>
      </w:pPr>
    </w:lvl>
    <w:lvl w:ilvl="6">
      <w:start w:val="1"/>
      <w:numFmt w:val="decimal"/>
      <w:lvlText w:val="%7."/>
      <w:lvlJc w:val="left"/>
      <w:pPr>
        <w:tabs>
          <w:tab w:val="num" w:pos="709"/>
        </w:tabs>
        <w:ind w:left="709" w:hanging="709"/>
      </w:pPr>
    </w:lvl>
    <w:lvl w:ilvl="7">
      <w:start w:val="1"/>
      <w:numFmt w:val="lowerLetter"/>
      <w:lvlText w:val="(%8)"/>
      <w:lvlJc w:val="left"/>
      <w:pPr>
        <w:tabs>
          <w:tab w:val="num" w:pos="1418"/>
        </w:tabs>
        <w:ind w:left="1418" w:hanging="709"/>
      </w:pPr>
    </w:lvl>
    <w:lvl w:ilvl="8">
      <w:start w:val="1"/>
      <w:numFmt w:val="lowerRoman"/>
      <w:lvlText w:val="(%9)"/>
      <w:lvlJc w:val="left"/>
      <w:pPr>
        <w:tabs>
          <w:tab w:val="num" w:pos="2126"/>
        </w:tabs>
        <w:ind w:left="2126" w:hanging="708"/>
      </w:pPr>
    </w:lvl>
  </w:abstractNum>
  <w:abstractNum w:abstractNumId="3" w15:restartNumberingAfterBreak="0">
    <w:nsid w:val="57442310"/>
    <w:multiLevelType w:val="multilevel"/>
    <w:tmpl w:val="9852F5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9D47001"/>
    <w:multiLevelType w:val="multilevel"/>
    <w:tmpl w:val="865023F0"/>
    <w:lvl w:ilvl="0">
      <w:start w:val="1"/>
      <w:numFmt w:val="decimal"/>
      <w:pStyle w:val="Normal"/>
      <w:lvlText w:val="%1."/>
      <w:lvlJc w:val="left"/>
      <w:pPr>
        <w:ind w:left="3838" w:hanging="720"/>
      </w:pPr>
      <w:rPr>
        <w:rFonts w:hint="default"/>
      </w:rPr>
    </w:lvl>
    <w:lvl w:ilvl="1">
      <w:start w:val="1"/>
      <w:numFmt w:val="decimal"/>
      <w:isLgl/>
      <w:lvlText w:val="%1.%2"/>
      <w:lvlJc w:val="left"/>
      <w:pPr>
        <w:ind w:left="3478" w:hanging="360"/>
      </w:pPr>
      <w:rPr>
        <w:rFonts w:hint="default"/>
      </w:rPr>
    </w:lvl>
    <w:lvl w:ilvl="2">
      <w:start w:val="1"/>
      <w:numFmt w:val="decimal"/>
      <w:isLgl/>
      <w:lvlText w:val="%1.%2.%3"/>
      <w:lvlJc w:val="left"/>
      <w:pPr>
        <w:ind w:left="3838" w:hanging="720"/>
      </w:pPr>
      <w:rPr>
        <w:rFonts w:hint="default"/>
      </w:rPr>
    </w:lvl>
    <w:lvl w:ilvl="3">
      <w:start w:val="1"/>
      <w:numFmt w:val="decimal"/>
      <w:isLgl/>
      <w:lvlText w:val="%1.%2.%3.%4"/>
      <w:lvlJc w:val="left"/>
      <w:pPr>
        <w:ind w:left="3838" w:hanging="720"/>
      </w:pPr>
      <w:rPr>
        <w:rFonts w:hint="default"/>
      </w:rPr>
    </w:lvl>
    <w:lvl w:ilvl="4">
      <w:start w:val="1"/>
      <w:numFmt w:val="decimal"/>
      <w:isLgl/>
      <w:lvlText w:val="%1.%2.%3.%4.%5"/>
      <w:lvlJc w:val="left"/>
      <w:pPr>
        <w:ind w:left="4198" w:hanging="1080"/>
      </w:pPr>
      <w:rPr>
        <w:rFonts w:hint="default"/>
      </w:rPr>
    </w:lvl>
    <w:lvl w:ilvl="5">
      <w:start w:val="1"/>
      <w:numFmt w:val="decimal"/>
      <w:isLgl/>
      <w:lvlText w:val="%1.%2.%3.%4.%5.%6"/>
      <w:lvlJc w:val="left"/>
      <w:pPr>
        <w:ind w:left="4198" w:hanging="1080"/>
      </w:pPr>
      <w:rPr>
        <w:rFonts w:hint="default"/>
      </w:rPr>
    </w:lvl>
    <w:lvl w:ilvl="6">
      <w:start w:val="1"/>
      <w:numFmt w:val="decimal"/>
      <w:isLgl/>
      <w:lvlText w:val="%1.%2.%3.%4.%5.%6.%7"/>
      <w:lvlJc w:val="left"/>
      <w:pPr>
        <w:ind w:left="4558" w:hanging="1440"/>
      </w:pPr>
      <w:rPr>
        <w:rFonts w:hint="default"/>
      </w:rPr>
    </w:lvl>
    <w:lvl w:ilvl="7">
      <w:start w:val="1"/>
      <w:numFmt w:val="decimal"/>
      <w:isLgl/>
      <w:lvlText w:val="%1.%2.%3.%4.%5.%6.%7.%8"/>
      <w:lvlJc w:val="left"/>
      <w:pPr>
        <w:ind w:left="4558" w:hanging="1440"/>
      </w:pPr>
      <w:rPr>
        <w:rFonts w:hint="default"/>
      </w:rPr>
    </w:lvl>
    <w:lvl w:ilvl="8">
      <w:start w:val="1"/>
      <w:numFmt w:val="decimal"/>
      <w:isLgl/>
      <w:lvlText w:val="%1.%2.%3.%4.%5.%6.%7.%8.%9"/>
      <w:lvlJc w:val="left"/>
      <w:pPr>
        <w:ind w:left="4918" w:hanging="1800"/>
      </w:pPr>
      <w:rPr>
        <w:rFonts w:hint="default"/>
      </w:rPr>
    </w:lvl>
  </w:abstractNum>
  <w:abstractNum w:abstractNumId="5" w15:restartNumberingAfterBreak="0">
    <w:nsid w:val="6661711D"/>
    <w:multiLevelType w:val="multilevel"/>
    <w:tmpl w:val="72800562"/>
    <w:lvl w:ilvl="0">
      <w:start w:val="1"/>
      <w:numFmt w:val="decimal"/>
      <w:pStyle w:val="Heading1"/>
      <w:lvlText w:val="%1"/>
      <w:lvlJc w:val="left"/>
      <w:pPr>
        <w:tabs>
          <w:tab w:val="num" w:pos="710"/>
        </w:tabs>
        <w:ind w:left="710" w:hanging="709"/>
      </w:pPr>
      <w:rPr>
        <w:rFonts w:ascii="Arial" w:hAnsi="Arial" w:hint="default"/>
        <w:b/>
        <w:i w:val="0"/>
        <w:sz w:val="28"/>
      </w:rPr>
    </w:lvl>
    <w:lvl w:ilvl="1">
      <w:start w:val="1"/>
      <w:numFmt w:val="decimal"/>
      <w:pStyle w:val="Heading2"/>
      <w:lvlText w:val="%1.%2"/>
      <w:lvlJc w:val="left"/>
      <w:pPr>
        <w:tabs>
          <w:tab w:val="num" w:pos="1418"/>
        </w:tabs>
        <w:ind w:left="1418" w:hanging="708"/>
      </w:pPr>
      <w:rPr>
        <w:rFonts w:ascii="Arial" w:hAnsi="Arial" w:hint="default"/>
        <w:b/>
        <w:i w:val="0"/>
        <w:sz w:val="24"/>
      </w:rPr>
    </w:lvl>
    <w:lvl w:ilvl="2">
      <w:start w:val="1"/>
      <w:numFmt w:val="lowerLetter"/>
      <w:pStyle w:val="Heading3"/>
      <w:lvlText w:val="(%3)"/>
      <w:lvlJc w:val="left"/>
      <w:pPr>
        <w:tabs>
          <w:tab w:val="num" w:pos="2127"/>
        </w:tabs>
        <w:ind w:left="2127" w:hanging="709"/>
      </w:pPr>
      <w:rPr>
        <w:rFonts w:ascii="Times New Roman" w:hAnsi="Times New Roman" w:hint="default"/>
        <w:b w:val="0"/>
        <w:i w:val="0"/>
        <w:sz w:val="24"/>
        <w:szCs w:val="24"/>
      </w:rPr>
    </w:lvl>
    <w:lvl w:ilvl="3">
      <w:start w:val="1"/>
      <w:numFmt w:val="decimal"/>
      <w:lvlText w:val="(%4)"/>
      <w:lvlJc w:val="left"/>
      <w:pPr>
        <w:tabs>
          <w:tab w:val="num" w:pos="2836"/>
        </w:tabs>
        <w:ind w:left="2836" w:hanging="709"/>
      </w:pPr>
      <w:rPr>
        <w:rFonts w:ascii="Times New Roman" w:hAnsi="Times New Roman" w:hint="default"/>
        <w:b w:val="0"/>
        <w:i w:val="0"/>
        <w:color w:val="000000"/>
        <w:sz w:val="24"/>
        <w:szCs w:val="24"/>
      </w:rPr>
    </w:lvl>
    <w:lvl w:ilvl="4">
      <w:start w:val="1"/>
      <w:numFmt w:val="upperLetter"/>
      <w:lvlText w:val="(%5)"/>
      <w:lvlJc w:val="left"/>
      <w:pPr>
        <w:tabs>
          <w:tab w:val="num" w:pos="3544"/>
        </w:tabs>
        <w:ind w:left="3544" w:hanging="708"/>
      </w:pPr>
      <w:rPr>
        <w:rFonts w:ascii="Times New Roman" w:hAnsi="Times New Roman" w:hint="default"/>
        <w:b w:val="0"/>
        <w:i w:val="0"/>
        <w:sz w:val="24"/>
      </w:rPr>
    </w:lvl>
    <w:lvl w:ilvl="5">
      <w:start w:val="1"/>
      <w:numFmt w:val="lowerRoman"/>
      <w:lvlText w:val="(%6)"/>
      <w:lvlJc w:val="left"/>
      <w:pPr>
        <w:tabs>
          <w:tab w:val="num" w:pos="4253"/>
        </w:tabs>
        <w:ind w:left="4253" w:hanging="709"/>
      </w:pPr>
      <w:rPr>
        <w:rFonts w:ascii="Times New Roman" w:hAnsi="Times New Roman" w:hint="default"/>
        <w:b w:val="0"/>
        <w:i w:val="0"/>
        <w:sz w:val="24"/>
      </w:rPr>
    </w:lvl>
    <w:lvl w:ilvl="6">
      <w:start w:val="1"/>
      <w:numFmt w:val="none"/>
      <w:lvlText w:val="%7"/>
      <w:lvlJc w:val="left"/>
      <w:pPr>
        <w:tabs>
          <w:tab w:val="num" w:pos="1418"/>
        </w:tabs>
        <w:ind w:left="1418" w:hanging="708"/>
      </w:pPr>
      <w:rPr>
        <w:rFonts w:ascii="Times New Roman" w:hAnsi="Times New Roman" w:hint="default"/>
        <w:b w:val="0"/>
        <w:i w:val="0"/>
        <w:sz w:val="24"/>
      </w:rPr>
    </w:lvl>
    <w:lvl w:ilvl="7">
      <w:start w:val="1"/>
      <w:numFmt w:val="none"/>
      <w:lvlText w:val="%8"/>
      <w:lvlJc w:val="left"/>
      <w:pPr>
        <w:tabs>
          <w:tab w:val="num" w:pos="1418"/>
        </w:tabs>
        <w:ind w:left="1418" w:hanging="708"/>
      </w:pPr>
      <w:rPr>
        <w:rFonts w:ascii="Times New Roman" w:hAnsi="Times New Roman" w:hint="default"/>
        <w:b w:val="0"/>
        <w:i w:val="0"/>
        <w:sz w:val="24"/>
      </w:rPr>
    </w:lvl>
    <w:lvl w:ilvl="8">
      <w:start w:val="1"/>
      <w:numFmt w:val="none"/>
      <w:lvlText w:val="%9"/>
      <w:lvlJc w:val="left"/>
      <w:pPr>
        <w:tabs>
          <w:tab w:val="num" w:pos="1418"/>
        </w:tabs>
        <w:ind w:left="1418" w:hanging="708"/>
      </w:pPr>
      <w:rPr>
        <w:rFonts w:ascii="Times New Roman" w:hAnsi="Times New Roman" w:hint="default"/>
        <w:b w:val="0"/>
        <w:i w:val="0"/>
        <w:sz w:val="24"/>
      </w:rPr>
    </w:lvl>
  </w:abstractNum>
  <w:num w:numId="1">
    <w:abstractNumId w:val="5"/>
  </w:num>
  <w:num w:numId="2">
    <w:abstractNumId w:val="5"/>
  </w:num>
  <w:num w:numId="3">
    <w:abstractNumId w:val="5"/>
  </w:num>
  <w:num w:numId="4">
    <w:abstractNumId w:val="1"/>
  </w:num>
  <w:num w:numId="5">
    <w:abstractNumId w:val="2"/>
  </w:num>
  <w:num w:numId="6">
    <w:abstractNumId w:val="5"/>
  </w:num>
  <w:num w:numId="7">
    <w:abstractNumId w:val="5"/>
  </w:num>
  <w:num w:numId="8">
    <w:abstractNumId w:val="5"/>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DDD"/>
    <w:rsid w:val="00042204"/>
    <w:rsid w:val="00063EA8"/>
    <w:rsid w:val="000835EB"/>
    <w:rsid w:val="00092FBF"/>
    <w:rsid w:val="000969D3"/>
    <w:rsid w:val="000A4AD9"/>
    <w:rsid w:val="000D11F3"/>
    <w:rsid w:val="000E7376"/>
    <w:rsid w:val="000E73F1"/>
    <w:rsid w:val="000F19C3"/>
    <w:rsid w:val="00100944"/>
    <w:rsid w:val="00112B87"/>
    <w:rsid w:val="00116EFB"/>
    <w:rsid w:val="0015683F"/>
    <w:rsid w:val="001F7753"/>
    <w:rsid w:val="00202675"/>
    <w:rsid w:val="00202D03"/>
    <w:rsid w:val="00204217"/>
    <w:rsid w:val="00224CB3"/>
    <w:rsid w:val="00237983"/>
    <w:rsid w:val="00262F7D"/>
    <w:rsid w:val="002A3DDD"/>
    <w:rsid w:val="002B2F28"/>
    <w:rsid w:val="002B6A0A"/>
    <w:rsid w:val="002C6BC1"/>
    <w:rsid w:val="002E0164"/>
    <w:rsid w:val="002E0476"/>
    <w:rsid w:val="003248F1"/>
    <w:rsid w:val="00326831"/>
    <w:rsid w:val="0034649D"/>
    <w:rsid w:val="00350DFC"/>
    <w:rsid w:val="003537A8"/>
    <w:rsid w:val="00373E0B"/>
    <w:rsid w:val="003B1A51"/>
    <w:rsid w:val="003C2E87"/>
    <w:rsid w:val="003C4811"/>
    <w:rsid w:val="003D647C"/>
    <w:rsid w:val="003E2501"/>
    <w:rsid w:val="003E3397"/>
    <w:rsid w:val="003E46A4"/>
    <w:rsid w:val="003F061B"/>
    <w:rsid w:val="003F4251"/>
    <w:rsid w:val="00400864"/>
    <w:rsid w:val="004126F4"/>
    <w:rsid w:val="00476F88"/>
    <w:rsid w:val="0048712A"/>
    <w:rsid w:val="00491E12"/>
    <w:rsid w:val="00491F3A"/>
    <w:rsid w:val="004B3169"/>
    <w:rsid w:val="004B4266"/>
    <w:rsid w:val="004B73F0"/>
    <w:rsid w:val="004C28EF"/>
    <w:rsid w:val="004D6DDE"/>
    <w:rsid w:val="004E0553"/>
    <w:rsid w:val="004F1ABA"/>
    <w:rsid w:val="00533DC5"/>
    <w:rsid w:val="0054604B"/>
    <w:rsid w:val="00547B7A"/>
    <w:rsid w:val="005573DE"/>
    <w:rsid w:val="005579A1"/>
    <w:rsid w:val="00561F0A"/>
    <w:rsid w:val="00564729"/>
    <w:rsid w:val="005A0CCF"/>
    <w:rsid w:val="005B6A10"/>
    <w:rsid w:val="005C3CAF"/>
    <w:rsid w:val="005D0C0A"/>
    <w:rsid w:val="005D71CE"/>
    <w:rsid w:val="00612AB7"/>
    <w:rsid w:val="00614FB6"/>
    <w:rsid w:val="006242D4"/>
    <w:rsid w:val="00631F14"/>
    <w:rsid w:val="00642A2B"/>
    <w:rsid w:val="006557A5"/>
    <w:rsid w:val="0065641B"/>
    <w:rsid w:val="00661C05"/>
    <w:rsid w:val="006633E1"/>
    <w:rsid w:val="00664674"/>
    <w:rsid w:val="00666000"/>
    <w:rsid w:val="0068022B"/>
    <w:rsid w:val="006C4E1E"/>
    <w:rsid w:val="006D5254"/>
    <w:rsid w:val="006E24E8"/>
    <w:rsid w:val="006F2A4A"/>
    <w:rsid w:val="00747283"/>
    <w:rsid w:val="00747551"/>
    <w:rsid w:val="00752EFA"/>
    <w:rsid w:val="0075510F"/>
    <w:rsid w:val="00775D07"/>
    <w:rsid w:val="00783932"/>
    <w:rsid w:val="007854E9"/>
    <w:rsid w:val="007B28C0"/>
    <w:rsid w:val="007C6686"/>
    <w:rsid w:val="007E7B31"/>
    <w:rsid w:val="0080152B"/>
    <w:rsid w:val="008033A8"/>
    <w:rsid w:val="00832BAD"/>
    <w:rsid w:val="00855340"/>
    <w:rsid w:val="0088793D"/>
    <w:rsid w:val="008A0DD8"/>
    <w:rsid w:val="008A0EA7"/>
    <w:rsid w:val="008B0D21"/>
    <w:rsid w:val="008C7390"/>
    <w:rsid w:val="008D0939"/>
    <w:rsid w:val="008D2D16"/>
    <w:rsid w:val="008D7B4C"/>
    <w:rsid w:val="0090062D"/>
    <w:rsid w:val="009203FA"/>
    <w:rsid w:val="00941D52"/>
    <w:rsid w:val="009774EB"/>
    <w:rsid w:val="009923C1"/>
    <w:rsid w:val="009B3C10"/>
    <w:rsid w:val="009C12D7"/>
    <w:rsid w:val="009C18D6"/>
    <w:rsid w:val="009C30B4"/>
    <w:rsid w:val="009D103A"/>
    <w:rsid w:val="009D1C86"/>
    <w:rsid w:val="009E611F"/>
    <w:rsid w:val="009F43D5"/>
    <w:rsid w:val="00A0564B"/>
    <w:rsid w:val="00A10A04"/>
    <w:rsid w:val="00A37C31"/>
    <w:rsid w:val="00A42EC5"/>
    <w:rsid w:val="00A44908"/>
    <w:rsid w:val="00A62BB9"/>
    <w:rsid w:val="00A760A5"/>
    <w:rsid w:val="00AA47CE"/>
    <w:rsid w:val="00AB0A04"/>
    <w:rsid w:val="00AD1F22"/>
    <w:rsid w:val="00AE65AD"/>
    <w:rsid w:val="00AF5677"/>
    <w:rsid w:val="00AF6DC8"/>
    <w:rsid w:val="00AF7DE0"/>
    <w:rsid w:val="00B0419F"/>
    <w:rsid w:val="00B0650A"/>
    <w:rsid w:val="00B35487"/>
    <w:rsid w:val="00B37AD0"/>
    <w:rsid w:val="00B44603"/>
    <w:rsid w:val="00B473A2"/>
    <w:rsid w:val="00B5179C"/>
    <w:rsid w:val="00B53F4B"/>
    <w:rsid w:val="00B64BF1"/>
    <w:rsid w:val="00B64CD0"/>
    <w:rsid w:val="00B71725"/>
    <w:rsid w:val="00B91EBD"/>
    <w:rsid w:val="00B924D3"/>
    <w:rsid w:val="00B978D6"/>
    <w:rsid w:val="00BA153F"/>
    <w:rsid w:val="00BB02AB"/>
    <w:rsid w:val="00BB3D07"/>
    <w:rsid w:val="00BC4104"/>
    <w:rsid w:val="00BD769C"/>
    <w:rsid w:val="00BF3568"/>
    <w:rsid w:val="00BF6565"/>
    <w:rsid w:val="00C01F24"/>
    <w:rsid w:val="00C03A9D"/>
    <w:rsid w:val="00C13E18"/>
    <w:rsid w:val="00C36962"/>
    <w:rsid w:val="00C36E49"/>
    <w:rsid w:val="00C65CF3"/>
    <w:rsid w:val="00C70164"/>
    <w:rsid w:val="00C7562A"/>
    <w:rsid w:val="00C91F82"/>
    <w:rsid w:val="00CA00CE"/>
    <w:rsid w:val="00CA3318"/>
    <w:rsid w:val="00CA35F9"/>
    <w:rsid w:val="00CC4C60"/>
    <w:rsid w:val="00CD0541"/>
    <w:rsid w:val="00CD67C7"/>
    <w:rsid w:val="00CE0D3B"/>
    <w:rsid w:val="00CF6C0D"/>
    <w:rsid w:val="00D45403"/>
    <w:rsid w:val="00D828FD"/>
    <w:rsid w:val="00D82ED2"/>
    <w:rsid w:val="00D85C65"/>
    <w:rsid w:val="00D862C2"/>
    <w:rsid w:val="00D87001"/>
    <w:rsid w:val="00DB10CF"/>
    <w:rsid w:val="00DB2BA8"/>
    <w:rsid w:val="00DC1E66"/>
    <w:rsid w:val="00DC7199"/>
    <w:rsid w:val="00DC7F50"/>
    <w:rsid w:val="00E012E5"/>
    <w:rsid w:val="00E068FA"/>
    <w:rsid w:val="00E1309C"/>
    <w:rsid w:val="00E40B51"/>
    <w:rsid w:val="00E53100"/>
    <w:rsid w:val="00E668B4"/>
    <w:rsid w:val="00E67FF3"/>
    <w:rsid w:val="00E70CA4"/>
    <w:rsid w:val="00E73D28"/>
    <w:rsid w:val="00E76CE6"/>
    <w:rsid w:val="00E86A67"/>
    <w:rsid w:val="00E9075C"/>
    <w:rsid w:val="00EA302D"/>
    <w:rsid w:val="00EA784E"/>
    <w:rsid w:val="00EC1C4C"/>
    <w:rsid w:val="00EC2250"/>
    <w:rsid w:val="00EE08BF"/>
    <w:rsid w:val="00EE507A"/>
    <w:rsid w:val="00EF3FB9"/>
    <w:rsid w:val="00F24CD9"/>
    <w:rsid w:val="00F85859"/>
    <w:rsid w:val="00F92CDC"/>
    <w:rsid w:val="00FA5085"/>
    <w:rsid w:val="00FB2CF4"/>
    <w:rsid w:val="00FC0C1F"/>
    <w:rsid w:val="00FC51E9"/>
    <w:rsid w:val="00FE11BD"/>
    <w:rsid w:val="00FE3D54"/>
    <w:rsid w:val="00FE4AA1"/>
    <w:rsid w:val="00FF181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6083B6-36C3-4B77-BAD2-5E7FE7D93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F7D"/>
    <w:pPr>
      <w:spacing w:before="100" w:line="312" w:lineRule="auto"/>
    </w:pPr>
    <w:rPr>
      <w:rFonts w:ascii="Arial" w:hAnsi="Arial"/>
      <w:lang w:eastAsia="en-US"/>
    </w:rPr>
  </w:style>
  <w:style w:type="paragraph" w:styleId="Heading1">
    <w:name w:val="heading 1"/>
    <w:basedOn w:val="Normal"/>
    <w:next w:val="Normal"/>
    <w:rsid w:val="00262F7D"/>
    <w:pPr>
      <w:keepNext/>
      <w:numPr>
        <w:numId w:val="8"/>
      </w:numPr>
      <w:pBdr>
        <w:top w:val="single" w:sz="12" w:space="6" w:color="auto"/>
      </w:pBdr>
      <w:spacing w:before="360" w:after="120" w:line="288" w:lineRule="auto"/>
      <w:jc w:val="both"/>
      <w:outlineLvl w:val="0"/>
    </w:pPr>
    <w:rPr>
      <w:b/>
      <w:color w:val="333333"/>
      <w:sz w:val="28"/>
    </w:rPr>
  </w:style>
  <w:style w:type="paragraph" w:styleId="Heading2">
    <w:name w:val="heading 2"/>
    <w:basedOn w:val="Normal"/>
    <w:next w:val="Normal"/>
    <w:rsid w:val="00262F7D"/>
    <w:pPr>
      <w:keepNext/>
      <w:numPr>
        <w:ilvl w:val="1"/>
        <w:numId w:val="8"/>
      </w:numPr>
      <w:spacing w:before="180" w:after="120" w:line="288" w:lineRule="auto"/>
      <w:jc w:val="both"/>
      <w:outlineLvl w:val="1"/>
    </w:pPr>
    <w:rPr>
      <w:b/>
      <w:color w:val="333333"/>
      <w:sz w:val="18"/>
    </w:rPr>
  </w:style>
  <w:style w:type="paragraph" w:styleId="Heading3">
    <w:name w:val="heading 3"/>
    <w:basedOn w:val="Normal"/>
    <w:next w:val="Normal"/>
    <w:rsid w:val="00262F7D"/>
    <w:pPr>
      <w:numPr>
        <w:ilvl w:val="2"/>
        <w:numId w:val="8"/>
      </w:numPr>
      <w:spacing w:before="60" w:after="120" w:line="288" w:lineRule="auto"/>
      <w:jc w:val="both"/>
      <w:outlineLvl w:val="2"/>
    </w:pPr>
    <w:rPr>
      <w:color w:val="333333"/>
      <w:sz w:val="18"/>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D0C0A"/>
    <w:pPr>
      <w:tabs>
        <w:tab w:val="left" w:pos="709"/>
        <w:tab w:val="right" w:pos="9072"/>
      </w:tabs>
      <w:spacing w:line="240" w:lineRule="auto"/>
    </w:pPr>
    <w:rPr>
      <w:smallCaps/>
      <w:noProof/>
      <w:color w:val="000000"/>
      <w:lang w:eastAsia="en-AU"/>
    </w:rPr>
  </w:style>
  <w:style w:type="paragraph" w:customStyle="1" w:styleId="Ahead">
    <w:name w:val="A head"/>
    <w:basedOn w:val="Normal"/>
    <w:autoRedefine/>
    <w:rsid w:val="00C91F82"/>
    <w:pPr>
      <w:keepNext/>
      <w:pBdr>
        <w:bottom w:val="dashed" w:sz="4" w:space="4" w:color="808080"/>
      </w:pBdr>
      <w:spacing w:before="80" w:line="288" w:lineRule="auto"/>
    </w:pPr>
    <w:rPr>
      <w:smallCaps/>
      <w:color w:val="005D97"/>
      <w:spacing w:val="10"/>
      <w:sz w:val="28"/>
      <w:szCs w:val="22"/>
      <w:lang w:val="en-GB"/>
    </w:rPr>
  </w:style>
  <w:style w:type="paragraph" w:customStyle="1" w:styleId="Bhead">
    <w:name w:val="B head"/>
    <w:basedOn w:val="Normal"/>
    <w:next w:val="Normal"/>
    <w:autoRedefine/>
    <w:rsid w:val="00C91F82"/>
    <w:pPr>
      <w:pBdr>
        <w:top w:val="dotted" w:sz="4" w:space="4" w:color="808080"/>
      </w:pBdr>
      <w:spacing w:before="160" w:after="80" w:line="264" w:lineRule="auto"/>
      <w:outlineLvl w:val="0"/>
    </w:pPr>
    <w:rPr>
      <w:rFonts w:cs="Arial"/>
      <w:b/>
      <w:bCs/>
      <w:color w:val="808080"/>
      <w:sz w:val="22"/>
    </w:rPr>
  </w:style>
  <w:style w:type="paragraph" w:customStyle="1" w:styleId="Bheadfirst">
    <w:name w:val="B head first"/>
    <w:basedOn w:val="Bhead"/>
    <w:rsid w:val="00C91F82"/>
    <w:pPr>
      <w:pBdr>
        <w:top w:val="none" w:sz="0" w:space="0" w:color="auto"/>
      </w:pBdr>
      <w:spacing w:before="120"/>
    </w:pPr>
    <w:rPr>
      <w:bCs w:val="0"/>
    </w:rPr>
  </w:style>
  <w:style w:type="paragraph" w:customStyle="1" w:styleId="Chead">
    <w:name w:val="C head"/>
    <w:basedOn w:val="Normal"/>
    <w:rsid w:val="00C91F82"/>
    <w:pPr>
      <w:spacing w:before="120" w:line="288" w:lineRule="auto"/>
    </w:pPr>
    <w:rPr>
      <w:rFonts w:cs="Arial"/>
      <w:b/>
      <w:color w:val="333333"/>
      <w:sz w:val="18"/>
      <w:szCs w:val="18"/>
      <w:lang w:eastAsia="en-AU"/>
    </w:rPr>
  </w:style>
  <w:style w:type="character" w:customStyle="1" w:styleId="contentpagesections">
    <w:name w:val="content page sections"/>
    <w:rsid w:val="00C91F82"/>
    <w:rPr>
      <w:rFonts w:ascii="Times New Roman" w:hAnsi="Times New Roman"/>
      <w:smallCaps/>
      <w:color w:val="008000"/>
      <w:sz w:val="22"/>
    </w:rPr>
  </w:style>
  <w:style w:type="paragraph" w:customStyle="1" w:styleId="ContentsMenu">
    <w:name w:val="Contents Menu"/>
    <w:basedOn w:val="Normal"/>
    <w:rsid w:val="00C91F82"/>
    <w:pPr>
      <w:spacing w:before="60" w:line="288" w:lineRule="auto"/>
      <w:ind w:left="-720"/>
    </w:pPr>
    <w:rPr>
      <w:smallCaps/>
      <w:color w:val="333333"/>
      <w:sz w:val="22"/>
      <w:lang w:eastAsia="en-AU"/>
    </w:rPr>
  </w:style>
  <w:style w:type="character" w:styleId="Hyperlink">
    <w:name w:val="Hyperlink"/>
    <w:uiPriority w:val="99"/>
    <w:rsid w:val="00C91F82"/>
    <w:rPr>
      <w:color w:val="339966"/>
      <w:u w:val="none"/>
    </w:rPr>
  </w:style>
  <w:style w:type="paragraph" w:customStyle="1" w:styleId="Italicsignoff">
    <w:name w:val="Italic sign off"/>
    <w:basedOn w:val="Normal"/>
    <w:rsid w:val="00C91F82"/>
    <w:pPr>
      <w:spacing w:before="60" w:line="288" w:lineRule="auto"/>
    </w:pPr>
    <w:rPr>
      <w:i/>
      <w:color w:val="333333"/>
      <w:sz w:val="18"/>
      <w:lang w:eastAsia="en-AU"/>
    </w:rPr>
  </w:style>
  <w:style w:type="paragraph" w:styleId="Title">
    <w:name w:val="Title"/>
    <w:basedOn w:val="Normal"/>
    <w:qFormat/>
    <w:rsid w:val="00262F7D"/>
    <w:pPr>
      <w:spacing w:line="480" w:lineRule="auto"/>
      <w:jc w:val="center"/>
    </w:pPr>
    <w:rPr>
      <w:b/>
      <w:bCs/>
      <w:sz w:val="28"/>
    </w:rPr>
  </w:style>
  <w:style w:type="character" w:styleId="Emphasis">
    <w:name w:val="Emphasis"/>
    <w:rsid w:val="00262F7D"/>
    <w:rPr>
      <w:i/>
      <w:iCs/>
    </w:rPr>
  </w:style>
  <w:style w:type="paragraph" w:styleId="Footer">
    <w:name w:val="footer"/>
    <w:basedOn w:val="Normal"/>
    <w:rsid w:val="00E86A67"/>
    <w:pPr>
      <w:spacing w:before="40" w:line="240" w:lineRule="auto"/>
    </w:pPr>
    <w:rPr>
      <w:noProof/>
      <w:sz w:val="18"/>
      <w:szCs w:val="18"/>
    </w:rPr>
  </w:style>
  <w:style w:type="paragraph" w:styleId="Header">
    <w:name w:val="header"/>
    <w:basedOn w:val="Normal"/>
    <w:rsid w:val="00E86A67"/>
    <w:pPr>
      <w:spacing w:before="0" w:line="240" w:lineRule="auto"/>
    </w:pPr>
    <w:rPr>
      <w:noProof/>
      <w:sz w:val="18"/>
      <w:szCs w:val="18"/>
    </w:rPr>
  </w:style>
  <w:style w:type="paragraph" w:customStyle="1" w:styleId="Level1HRLCnormalwithnumberedparas">
    <w:name w:val="Level 1 (HRLC normal with numbered paras)"/>
    <w:basedOn w:val="Normal"/>
    <w:link w:val="Level1HRLCnormalwithnumberedparasCharChar"/>
    <w:qFormat/>
    <w:rsid w:val="00E86A67"/>
    <w:pPr>
      <w:numPr>
        <w:numId w:val="5"/>
      </w:numPr>
      <w:spacing w:before="140" w:line="360" w:lineRule="auto"/>
    </w:pPr>
  </w:style>
  <w:style w:type="paragraph" w:customStyle="1" w:styleId="level2">
    <w:name w:val="level2"/>
    <w:basedOn w:val="Normal"/>
    <w:rsid w:val="00E86A67"/>
    <w:pPr>
      <w:numPr>
        <w:ilvl w:val="1"/>
        <w:numId w:val="5"/>
      </w:numPr>
    </w:pPr>
  </w:style>
  <w:style w:type="paragraph" w:customStyle="1" w:styleId="level3">
    <w:name w:val="level3"/>
    <w:basedOn w:val="Normal"/>
    <w:link w:val="level3Char"/>
    <w:rsid w:val="00A760A5"/>
    <w:pPr>
      <w:numPr>
        <w:ilvl w:val="2"/>
        <w:numId w:val="5"/>
      </w:numPr>
      <w:spacing w:before="140" w:line="360" w:lineRule="auto"/>
    </w:pPr>
  </w:style>
  <w:style w:type="paragraph" w:customStyle="1" w:styleId="level4">
    <w:name w:val="level4"/>
    <w:basedOn w:val="Normal"/>
    <w:rsid w:val="00A760A5"/>
    <w:pPr>
      <w:numPr>
        <w:ilvl w:val="3"/>
        <w:numId w:val="5"/>
      </w:numPr>
      <w:spacing w:before="140" w:line="360" w:lineRule="auto"/>
      <w:ind w:left="2127" w:hanging="709"/>
    </w:pPr>
  </w:style>
  <w:style w:type="paragraph" w:customStyle="1" w:styleId="level5">
    <w:name w:val="level5"/>
    <w:basedOn w:val="Normal"/>
    <w:rsid w:val="00E86A67"/>
    <w:pPr>
      <w:numPr>
        <w:ilvl w:val="4"/>
        <w:numId w:val="5"/>
      </w:numPr>
    </w:pPr>
  </w:style>
  <w:style w:type="paragraph" w:customStyle="1" w:styleId="level6">
    <w:name w:val="level6"/>
    <w:basedOn w:val="Normal"/>
    <w:rsid w:val="00E86A67"/>
    <w:pPr>
      <w:numPr>
        <w:ilvl w:val="5"/>
        <w:numId w:val="5"/>
      </w:numPr>
    </w:pPr>
  </w:style>
  <w:style w:type="character" w:styleId="PageNumber">
    <w:name w:val="page number"/>
    <w:rsid w:val="00E86A67"/>
    <w:rPr>
      <w:rFonts w:ascii="Arial" w:hAnsi="Arial"/>
      <w:sz w:val="18"/>
      <w:szCs w:val="18"/>
    </w:rPr>
  </w:style>
  <w:style w:type="paragraph" w:styleId="TOC2">
    <w:name w:val="toc 2"/>
    <w:basedOn w:val="Normal"/>
    <w:autoRedefine/>
    <w:uiPriority w:val="39"/>
    <w:rsid w:val="00204217"/>
    <w:pPr>
      <w:tabs>
        <w:tab w:val="left" w:pos="1418"/>
        <w:tab w:val="right" w:pos="9072"/>
      </w:tabs>
      <w:spacing w:before="60" w:line="240" w:lineRule="auto"/>
      <w:ind w:left="1418" w:hanging="709"/>
    </w:pPr>
    <w:rPr>
      <w:noProof/>
    </w:rPr>
  </w:style>
  <w:style w:type="paragraph" w:customStyle="1" w:styleId="HRLCHeading1">
    <w:name w:val="HRLC Heading 1"/>
    <w:basedOn w:val="Normal"/>
    <w:next w:val="AARHeading2"/>
    <w:qFormat/>
    <w:rsid w:val="00E86A67"/>
    <w:pPr>
      <w:keepNext/>
      <w:numPr>
        <w:numId w:val="4"/>
      </w:numPr>
      <w:pBdr>
        <w:bottom w:val="single" w:sz="4" w:space="3" w:color="auto"/>
      </w:pBdr>
      <w:spacing w:before="360"/>
    </w:pPr>
    <w:rPr>
      <w:rFonts w:ascii="Caecilia LT Pro 55 Roman" w:hAnsi="Caecilia LT Pro 55 Roman"/>
      <w:sz w:val="36"/>
    </w:rPr>
  </w:style>
  <w:style w:type="paragraph" w:customStyle="1" w:styleId="AARHeading2">
    <w:name w:val="AAR Heading 2"/>
    <w:basedOn w:val="Normal"/>
    <w:next w:val="Normal"/>
    <w:rsid w:val="00E86A67"/>
    <w:pPr>
      <w:keepNext/>
      <w:numPr>
        <w:ilvl w:val="1"/>
        <w:numId w:val="4"/>
      </w:numPr>
      <w:spacing w:before="200"/>
    </w:pPr>
    <w:rPr>
      <w:b/>
    </w:rPr>
  </w:style>
  <w:style w:type="paragraph" w:customStyle="1" w:styleId="AARHeading3">
    <w:name w:val="AAR Heading 3"/>
    <w:basedOn w:val="Normal"/>
    <w:rsid w:val="00E86A67"/>
    <w:pPr>
      <w:numPr>
        <w:ilvl w:val="2"/>
        <w:numId w:val="4"/>
      </w:numPr>
      <w:outlineLvl w:val="2"/>
    </w:pPr>
    <w:rPr>
      <w:b/>
      <w:i/>
    </w:rPr>
  </w:style>
  <w:style w:type="paragraph" w:customStyle="1" w:styleId="AARHeading4">
    <w:name w:val="AAR Heading 4"/>
    <w:basedOn w:val="Normal"/>
    <w:rsid w:val="00E86A67"/>
    <w:pPr>
      <w:numPr>
        <w:ilvl w:val="3"/>
        <w:numId w:val="4"/>
      </w:numPr>
      <w:outlineLvl w:val="3"/>
    </w:pPr>
    <w:rPr>
      <w:b/>
    </w:rPr>
  </w:style>
  <w:style w:type="paragraph" w:customStyle="1" w:styleId="AARHeading5">
    <w:name w:val="AAR Heading 5"/>
    <w:basedOn w:val="Normal"/>
    <w:rsid w:val="00E86A67"/>
    <w:pPr>
      <w:numPr>
        <w:ilvl w:val="4"/>
        <w:numId w:val="4"/>
      </w:numPr>
      <w:outlineLvl w:val="4"/>
    </w:pPr>
    <w:rPr>
      <w:i/>
    </w:rPr>
  </w:style>
  <w:style w:type="paragraph" w:customStyle="1" w:styleId="AARHeading6">
    <w:name w:val="AAR Heading 6"/>
    <w:basedOn w:val="Normal"/>
    <w:rsid w:val="00E86A67"/>
    <w:pPr>
      <w:numPr>
        <w:ilvl w:val="5"/>
        <w:numId w:val="4"/>
      </w:numPr>
      <w:outlineLvl w:val="5"/>
    </w:pPr>
  </w:style>
  <w:style w:type="character" w:customStyle="1" w:styleId="level3Char">
    <w:name w:val="level3 Char"/>
    <w:link w:val="level3"/>
    <w:rsid w:val="00A760A5"/>
    <w:rPr>
      <w:rFonts w:ascii="Arial" w:hAnsi="Arial"/>
      <w:lang w:eastAsia="en-US"/>
    </w:rPr>
  </w:style>
  <w:style w:type="character" w:customStyle="1" w:styleId="Level1HRLCnormalwithnumberedparasCharChar">
    <w:name w:val="Level 1 (HRLC normal with numbered paras) Char Char"/>
    <w:link w:val="Level1HRLCnormalwithnumberedparas"/>
    <w:rsid w:val="00E86A67"/>
    <w:rPr>
      <w:rFonts w:ascii="Arial" w:hAnsi="Arial"/>
      <w:lang w:val="en-AU" w:eastAsia="en-US" w:bidi="ar-SA"/>
    </w:rPr>
  </w:style>
  <w:style w:type="paragraph" w:customStyle="1" w:styleId="Default">
    <w:name w:val="Default"/>
    <w:rsid w:val="00E86A67"/>
    <w:pPr>
      <w:autoSpaceDE w:val="0"/>
      <w:autoSpaceDN w:val="0"/>
      <w:adjustRightInd w:val="0"/>
    </w:pPr>
    <w:rPr>
      <w:rFonts w:ascii="Arial" w:eastAsia="PMingLiU" w:hAnsi="Arial" w:cs="Arial"/>
      <w:color w:val="000000"/>
      <w:sz w:val="24"/>
      <w:szCs w:val="24"/>
      <w:lang w:eastAsia="zh-TW" w:bidi="th-TH"/>
    </w:rPr>
  </w:style>
  <w:style w:type="paragraph" w:customStyle="1" w:styleId="HRLCHeading2">
    <w:name w:val="HRLC Heading 2"/>
    <w:basedOn w:val="AARHeading2"/>
    <w:qFormat/>
    <w:rsid w:val="00E86A67"/>
    <w:pPr>
      <w:spacing w:after="60" w:line="360" w:lineRule="auto"/>
    </w:pPr>
    <w:rPr>
      <w:rFonts w:ascii="Caecilia LT Pro 55 Roman" w:hAnsi="Caecilia LT Pro 55 Roman"/>
      <w:b w:val="0"/>
      <w:bCs/>
      <w:sz w:val="24"/>
    </w:rPr>
  </w:style>
  <w:style w:type="character" w:customStyle="1" w:styleId="HRLCCoverPageTitle">
    <w:name w:val="HRLC Cover Page Title"/>
    <w:rsid w:val="00E86A67"/>
    <w:rPr>
      <w:rFonts w:ascii="Caecilia LT Pro 55 Roman" w:hAnsi="Caecilia LT Pro 55 Roman"/>
      <w:sz w:val="36"/>
    </w:rPr>
  </w:style>
  <w:style w:type="paragraph" w:customStyle="1" w:styleId="HRLCCoverPageSubtitle">
    <w:name w:val="HRLC Cover Page Sub title"/>
    <w:basedOn w:val="Normal"/>
    <w:rsid w:val="00E86A67"/>
    <w:pPr>
      <w:pBdr>
        <w:bottom w:val="single" w:sz="12" w:space="1" w:color="auto"/>
      </w:pBdr>
    </w:pPr>
    <w:rPr>
      <w:rFonts w:ascii="Caecilia LT Pro 55 Roman" w:hAnsi="Caecilia LT Pro 55 Roman"/>
      <w:color w:val="008000"/>
      <w:sz w:val="28"/>
    </w:rPr>
  </w:style>
  <w:style w:type="character" w:customStyle="1" w:styleId="HRLCDate">
    <w:name w:val="HRLC Date"/>
    <w:rsid w:val="00E86A67"/>
    <w:rPr>
      <w:rFonts w:ascii="Caecilia LT Pro 55 Roman" w:hAnsi="Caecilia LT Pro 55 Roman"/>
      <w:color w:val="000000"/>
      <w:sz w:val="28"/>
    </w:rPr>
  </w:style>
  <w:style w:type="character" w:customStyle="1" w:styleId="HRLCTagline">
    <w:name w:val="HRLC Tagline"/>
    <w:rsid w:val="00E86A67"/>
    <w:rPr>
      <w:rFonts w:ascii="Caecilia LT Pro 55 Roman" w:hAnsi="Caecilia LT Pro 55 Roman"/>
      <w:color w:val="000000"/>
      <w:sz w:val="24"/>
    </w:rPr>
  </w:style>
  <w:style w:type="character" w:customStyle="1" w:styleId="HRLCtaglinegreen">
    <w:name w:val="HRLC tagline green"/>
    <w:rsid w:val="00E86A67"/>
    <w:rPr>
      <w:rFonts w:ascii="Caecilia LT Pro 55 Roman" w:hAnsi="Caecilia LT Pro 55 Roman"/>
      <w:color w:val="008000"/>
      <w:sz w:val="24"/>
    </w:rPr>
  </w:style>
  <w:style w:type="paragraph" w:customStyle="1" w:styleId="coverpageurl">
    <w:name w:val="cover page url"/>
    <w:basedOn w:val="Normal"/>
    <w:rsid w:val="00E86A67"/>
    <w:pPr>
      <w:jc w:val="right"/>
    </w:pPr>
    <w:rPr>
      <w:rFonts w:ascii="Caecilia LT Pro 55 Roman" w:hAnsi="Caecilia LT Pro 55 Roman"/>
      <w:color w:val="000000"/>
      <w:sz w:val="32"/>
    </w:rPr>
  </w:style>
  <w:style w:type="paragraph" w:customStyle="1" w:styleId="HRLCContentstitle">
    <w:name w:val="HRLC Contents title"/>
    <w:basedOn w:val="Normal"/>
    <w:rsid w:val="00E86A67"/>
    <w:pPr>
      <w:spacing w:before="0"/>
      <w:ind w:left="12"/>
    </w:pPr>
    <w:rPr>
      <w:rFonts w:ascii="Caecilia LT Pro 55 Roman" w:hAnsi="Caecilia LT Pro 55 Roman"/>
      <w:sz w:val="32"/>
    </w:rPr>
  </w:style>
  <w:style w:type="paragraph" w:styleId="FootnoteText">
    <w:name w:val="footnote text"/>
    <w:basedOn w:val="Normal"/>
    <w:semiHidden/>
    <w:rsid w:val="00E86A67"/>
  </w:style>
  <w:style w:type="character" w:styleId="FootnoteReference">
    <w:name w:val="footnote reference"/>
    <w:semiHidden/>
    <w:rsid w:val="00E86A67"/>
    <w:rPr>
      <w:vertAlign w:val="superscript"/>
    </w:rPr>
  </w:style>
  <w:style w:type="table" w:styleId="TableGrid">
    <w:name w:val="Table Grid"/>
    <w:basedOn w:val="TableNormal"/>
    <w:rsid w:val="00A76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qFormat/>
    <w:rsid w:val="00262F7D"/>
    <w:rPr>
      <w:rFonts w:ascii="Calibri" w:hAnsi="Calibri"/>
      <w:sz w:val="22"/>
      <w:szCs w:val="22"/>
      <w:lang w:eastAsia="en-US"/>
    </w:rPr>
  </w:style>
  <w:style w:type="paragraph" w:styleId="ListParagraph">
    <w:name w:val="List Paragraph"/>
    <w:basedOn w:val="Normal"/>
    <w:uiPriority w:val="34"/>
    <w:qFormat/>
    <w:rsid w:val="009C18D6"/>
    <w:pPr>
      <w:spacing w:before="0" w:line="240" w:lineRule="auto"/>
      <w:ind w:left="1080" w:hanging="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511915">
      <w:bodyDiv w:val="1"/>
      <w:marLeft w:val="0"/>
      <w:marRight w:val="0"/>
      <w:marTop w:val="0"/>
      <w:marBottom w:val="0"/>
      <w:divBdr>
        <w:top w:val="none" w:sz="0" w:space="0" w:color="auto"/>
        <w:left w:val="none" w:sz="0" w:space="0" w:color="auto"/>
        <w:bottom w:val="none" w:sz="0" w:space="0" w:color="auto"/>
        <w:right w:val="none" w:sz="0" w:space="0" w:color="auto"/>
      </w:divBdr>
    </w:div>
    <w:div w:id="918562942">
      <w:bodyDiv w:val="1"/>
      <w:marLeft w:val="0"/>
      <w:marRight w:val="0"/>
      <w:marTop w:val="0"/>
      <w:marBottom w:val="0"/>
      <w:divBdr>
        <w:top w:val="none" w:sz="0" w:space="0" w:color="auto"/>
        <w:left w:val="none" w:sz="0" w:space="0" w:color="auto"/>
        <w:bottom w:val="none" w:sz="0" w:space="0" w:color="auto"/>
        <w:right w:val="none" w:sz="0" w:space="0" w:color="auto"/>
      </w:divBdr>
    </w:div>
    <w:div w:id="1014649337">
      <w:bodyDiv w:val="1"/>
      <w:marLeft w:val="0"/>
      <w:marRight w:val="0"/>
      <w:marTop w:val="0"/>
      <w:marBottom w:val="0"/>
      <w:divBdr>
        <w:top w:val="none" w:sz="0" w:space="0" w:color="auto"/>
        <w:left w:val="none" w:sz="0" w:space="0" w:color="auto"/>
        <w:bottom w:val="none" w:sz="0" w:space="0" w:color="auto"/>
        <w:right w:val="none" w:sz="0" w:space="0" w:color="auto"/>
      </w:divBdr>
    </w:div>
    <w:div w:id="1115490571">
      <w:bodyDiv w:val="1"/>
      <w:marLeft w:val="0"/>
      <w:marRight w:val="0"/>
      <w:marTop w:val="0"/>
      <w:marBottom w:val="0"/>
      <w:divBdr>
        <w:top w:val="none" w:sz="0" w:space="0" w:color="auto"/>
        <w:left w:val="none" w:sz="0" w:space="0" w:color="auto"/>
        <w:bottom w:val="none" w:sz="0" w:space="0" w:color="auto"/>
        <w:right w:val="none" w:sz="0" w:space="0" w:color="auto"/>
      </w:divBdr>
    </w:div>
    <w:div w:id="1680500385">
      <w:bodyDiv w:val="1"/>
      <w:marLeft w:val="0"/>
      <w:marRight w:val="0"/>
      <w:marTop w:val="0"/>
      <w:marBottom w:val="0"/>
      <w:divBdr>
        <w:top w:val="none" w:sz="0" w:space="0" w:color="auto"/>
        <w:left w:val="none" w:sz="0" w:space="0" w:color="auto"/>
        <w:bottom w:val="none" w:sz="0" w:space="0" w:color="auto"/>
        <w:right w:val="none" w:sz="0" w:space="0" w:color="auto"/>
      </w:divBdr>
    </w:div>
    <w:div w:id="185973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theguardian.com/australia-news/2019/feb/06/a-third-of-remote-aboriginal-work-for-the-dole-participants-say-community-worse-off" TargetMode="External"/><Relationship Id="rId26" Type="http://schemas.openxmlformats.org/officeDocument/2006/relationships/hyperlink" Target="https://static1.squarespace.com/static/580025f66b8f5b2dabbe4291/t/5bda4cba0e2e72d16720f38c/1541033153730/HRLC+CROC+Shadow+Report+-+Australia+2018.pdf" TargetMode="External"/><Relationship Id="rId3" Type="http://schemas.openxmlformats.org/officeDocument/2006/relationships/styles" Target="styles.xml"/><Relationship Id="rId21" Type="http://schemas.openxmlformats.org/officeDocument/2006/relationships/hyperlink" Target="https://docs.jobs.gov.au/documents/targeted-compliance-framework"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facebook.com/HumanRightsLawCentreHRLC/" TargetMode="External"/><Relationship Id="rId17" Type="http://schemas.openxmlformats.org/officeDocument/2006/relationships/hyperlink" Target="https://www.pmc.gov.au/sites/default/files/publications/cdp-report-many-pathways.pdf" TargetMode="External"/><Relationship Id="rId25" Type="http://schemas.openxmlformats.org/officeDocument/2006/relationships/hyperlink" Target="https://www.anao.gov.au/work/performance-audit/implementation-and-performance-cashless-debit-card-trial"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www.hrlc.org.au/news/2017/11/28/un-seeks-explanation-from-australia-about-racist-remote-work-for-the-dole-program" TargetMode="External"/><Relationship Id="rId20" Type="http://schemas.openxmlformats.org/officeDocument/2006/relationships/hyperlink" Target="https://docs.wixstatic.com/ugd/f2d5cf_7c6939e219094da78b57f450227a08e7.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witter.com/rightsagenda" TargetMode="External"/><Relationship Id="rId24" Type="http://schemas.openxmlformats.org/officeDocument/2006/relationships/hyperlink" Target="https://www.ohchr.org/en/professionalinterest/pages/ccpr.aspx"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pmc.gov.au/sites/default/files/publications/cdp-evaluation-first-2-years.pdf" TargetMode="External"/><Relationship Id="rId23" Type="http://schemas.openxmlformats.org/officeDocument/2006/relationships/hyperlink" Target="http://www.welfareconditionality.ac.uk/publications/final-findings-report/" TargetMode="External"/><Relationship Id="rId28" Type="http://schemas.openxmlformats.org/officeDocument/2006/relationships/header" Target="header3.xml"/><Relationship Id="rId10" Type="http://schemas.openxmlformats.org/officeDocument/2006/relationships/hyperlink" Target="http://www.hrlc.org.au" TargetMode="External"/><Relationship Id="rId19" Type="http://schemas.openxmlformats.org/officeDocument/2006/relationships/hyperlink" Target="https://www.hrlc.org.au/news/2018/5/10/discriminatory-remote-work-scheme-improved-but-work-hours-will-drive-povert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 Id="rId22" Type="http://schemas.openxmlformats.org/officeDocument/2006/relationships/hyperlink" Target="https://www.aph.gov.au/Parliamentary_Business/Committees/Joint/Human_Rights/Scrutiny_reports/2018/Report_10_of_2018" TargetMode="External"/><Relationship Id="rId27" Type="http://schemas.openxmlformats.org/officeDocument/2006/relationships/hyperlink" Target="https://static1.squarespace.com/static/580025f66b8f5b2dabbe4291/t/5b35cebf0e2e720f5f1f4b9f/1530253013456/HRLC+CEDAW+Shadow+Report+-+Australia+2018.pdf" TargetMode="External"/><Relationship Id="rId30"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7D0829-A03A-4BF0-88E3-0E56751480A6}"/>
</file>

<file path=customXml/itemProps2.xml><?xml version="1.0" encoding="utf-8"?>
<ds:datastoreItem xmlns:ds="http://schemas.openxmlformats.org/officeDocument/2006/customXml" ds:itemID="{93B818F7-88AC-4FE4-8AC4-D6E3494E4B6C}"/>
</file>

<file path=customXml/itemProps3.xml><?xml version="1.0" encoding="utf-8"?>
<ds:datastoreItem xmlns:ds="http://schemas.openxmlformats.org/officeDocument/2006/customXml" ds:itemID="{1623117F-2BA2-4EEF-AED7-3D2764D8F196}"/>
</file>

<file path=customXml/itemProps4.xml><?xml version="1.0" encoding="utf-8"?>
<ds:datastoreItem xmlns:ds="http://schemas.openxmlformats.org/officeDocument/2006/customXml" ds:itemID="{68B2E87B-0B96-463E-8A9D-1579A9BFB3B3}"/>
</file>

<file path=docProps/app.xml><?xml version="1.0" encoding="utf-8"?>
<Properties xmlns="http://schemas.openxmlformats.org/officeDocument/2006/extended-properties" xmlns:vt="http://schemas.openxmlformats.org/officeDocument/2006/docPropsVTypes">
  <Template>Normal</Template>
  <TotalTime>3</TotalTime>
  <Pages>5</Pages>
  <Words>1215</Words>
  <Characters>8533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lpstr>
    </vt:vector>
  </TitlesOfParts>
  <Company>PILCH</Company>
  <LinksUpToDate>false</LinksUpToDate>
  <CharactersWithSpaces>9729</CharactersWithSpaces>
  <SharedDoc>false</SharedDoc>
  <HLinks>
    <vt:vector size="30" baseType="variant">
      <vt:variant>
        <vt:i4>1572914</vt:i4>
      </vt:variant>
      <vt:variant>
        <vt:i4>17</vt:i4>
      </vt:variant>
      <vt:variant>
        <vt:i4>0</vt:i4>
      </vt:variant>
      <vt:variant>
        <vt:i4>5</vt:i4>
      </vt:variant>
      <vt:variant>
        <vt:lpwstr/>
      </vt:variant>
      <vt:variant>
        <vt:lpwstr>_Toc320871648</vt:lpwstr>
      </vt:variant>
      <vt:variant>
        <vt:i4>1572914</vt:i4>
      </vt:variant>
      <vt:variant>
        <vt:i4>11</vt:i4>
      </vt:variant>
      <vt:variant>
        <vt:i4>0</vt:i4>
      </vt:variant>
      <vt:variant>
        <vt:i4>5</vt:i4>
      </vt:variant>
      <vt:variant>
        <vt:lpwstr/>
      </vt:variant>
      <vt:variant>
        <vt:lpwstr>_Toc320871647</vt:lpwstr>
      </vt:variant>
      <vt:variant>
        <vt:i4>6357034</vt:i4>
      </vt:variant>
      <vt:variant>
        <vt:i4>6</vt:i4>
      </vt:variant>
      <vt:variant>
        <vt:i4>0</vt:i4>
      </vt:variant>
      <vt:variant>
        <vt:i4>5</vt:i4>
      </vt:variant>
      <vt:variant>
        <vt:lpwstr>http://www.facebook.com/pages/HumanRightsLawResourceCentre</vt:lpwstr>
      </vt:variant>
      <vt:variant>
        <vt:lpwstr/>
      </vt:variant>
      <vt:variant>
        <vt:i4>4128890</vt:i4>
      </vt:variant>
      <vt:variant>
        <vt:i4>3</vt:i4>
      </vt:variant>
      <vt:variant>
        <vt:i4>0</vt:i4>
      </vt:variant>
      <vt:variant>
        <vt:i4>5</vt:i4>
      </vt:variant>
      <vt:variant>
        <vt:lpwstr>http://twitter.com/rightsagenda</vt:lpwstr>
      </vt:variant>
      <vt:variant>
        <vt:lpwstr/>
      </vt:variant>
      <vt:variant>
        <vt:i4>2621480</vt:i4>
      </vt:variant>
      <vt:variant>
        <vt:i4>0</vt:i4>
      </vt:variant>
      <vt:variant>
        <vt:i4>0</vt:i4>
      </vt:variant>
      <vt:variant>
        <vt:i4>5</vt:i4>
      </vt:variant>
      <vt:variant>
        <vt:lpwstr>http://www.hrlc.org.au/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Anna Brown</dc:creator>
  <cp:keywords/>
  <cp:lastModifiedBy>Edwina MacDonald</cp:lastModifiedBy>
  <cp:revision>4</cp:revision>
  <dcterms:created xsi:type="dcterms:W3CDTF">2019-02-25T01:26:00Z</dcterms:created>
  <dcterms:modified xsi:type="dcterms:W3CDTF">2019-02-25T01:28:00Z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