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8E862" w14:textId="77777777" w:rsidR="00BB09BF" w:rsidRDefault="00BB09BF">
      <w:pPr>
        <w:spacing w:before="240" w:after="240"/>
        <w:jc w:val="both"/>
        <w:rPr>
          <w:rFonts w:ascii="Times New Roman" w:eastAsia="Times New Roman" w:hAnsi="Times New Roman" w:cs="Times New Roman"/>
          <w:b/>
          <w:sz w:val="24"/>
          <w:szCs w:val="24"/>
        </w:rPr>
      </w:pPr>
    </w:p>
    <w:p w14:paraId="2F07CA06" w14:textId="67AA71D0" w:rsidR="00BB09BF" w:rsidRDefault="000945A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 The United Nations Committee on </w:t>
      </w:r>
      <w:r w:rsidR="00CA3E4C">
        <w:rPr>
          <w:rFonts w:ascii="Times New Roman" w:eastAsia="Times New Roman" w:hAnsi="Times New Roman" w:cs="Times New Roman"/>
          <w:b/>
          <w:sz w:val="24"/>
          <w:szCs w:val="24"/>
        </w:rPr>
        <w:t>Civil and Political</w:t>
      </w:r>
      <w:r>
        <w:rPr>
          <w:rFonts w:ascii="Times New Roman" w:eastAsia="Times New Roman" w:hAnsi="Times New Roman" w:cs="Times New Roman"/>
          <w:b/>
          <w:sz w:val="24"/>
          <w:szCs w:val="24"/>
        </w:rPr>
        <w:t xml:space="preserve"> Rights </w:t>
      </w:r>
    </w:p>
    <w:p w14:paraId="58DE1A86" w14:textId="77777777" w:rsidR="00BB09BF" w:rsidRDefault="00BB09BF">
      <w:pPr>
        <w:spacing w:before="240" w:after="240"/>
        <w:jc w:val="both"/>
        <w:rPr>
          <w:rFonts w:ascii="Times New Roman" w:eastAsia="Times New Roman" w:hAnsi="Times New Roman" w:cs="Times New Roman"/>
          <w:b/>
          <w:sz w:val="24"/>
          <w:szCs w:val="24"/>
        </w:rPr>
      </w:pPr>
    </w:p>
    <w:p w14:paraId="5BAC786B" w14:textId="77777777" w:rsidR="00BB09BF" w:rsidRDefault="000945A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Subject:</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Submission</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in relation to the fifth periodic report of Rwanda </w:t>
      </w:r>
    </w:p>
    <w:p w14:paraId="242C70B5" w14:textId="77777777" w:rsidR="002A4ED9" w:rsidRDefault="002A4ED9">
      <w:pPr>
        <w:spacing w:before="240" w:after="240"/>
        <w:jc w:val="both"/>
        <w:rPr>
          <w:rFonts w:ascii="Times New Roman" w:eastAsia="Times New Roman" w:hAnsi="Times New Roman" w:cs="Times New Roman"/>
          <w:b/>
          <w:sz w:val="24"/>
          <w:szCs w:val="24"/>
        </w:rPr>
      </w:pPr>
    </w:p>
    <w:p w14:paraId="70193072" w14:textId="576E984B" w:rsidR="002A4ED9" w:rsidRPr="002A4ED9" w:rsidRDefault="002A4ED9" w:rsidP="002A4ED9">
      <w:pPr>
        <w:jc w:val="both"/>
        <w:rPr>
          <w:rFonts w:ascii="Times New Roman" w:eastAsia="Times New Roman" w:hAnsi="Times New Roman" w:cs="Times New Roman"/>
          <w:b/>
          <w:bCs/>
          <w:sz w:val="24"/>
          <w:szCs w:val="24"/>
          <w:lang w:val="en-RW"/>
        </w:rPr>
      </w:pPr>
      <w:r w:rsidRPr="002A4ED9">
        <w:rPr>
          <w:rFonts w:ascii="Times New Roman" w:eastAsia="Times New Roman" w:hAnsi="Times New Roman" w:cs="Times New Roman"/>
          <w:b/>
          <w:bCs/>
          <w:sz w:val="24"/>
          <w:szCs w:val="24"/>
          <w:lang w:val="en-RW"/>
        </w:rPr>
        <w:t>Introduction</w:t>
      </w:r>
    </w:p>
    <w:p w14:paraId="2C4468A0" w14:textId="77777777" w:rsidR="002A4ED9" w:rsidRPr="002A4ED9" w:rsidRDefault="002A4ED9" w:rsidP="002A4ED9">
      <w:pPr>
        <w:ind w:left="360"/>
        <w:jc w:val="both"/>
        <w:rPr>
          <w:rFonts w:ascii="Times New Roman" w:eastAsia="Times New Roman" w:hAnsi="Times New Roman" w:cs="Times New Roman"/>
          <w:b/>
          <w:bCs/>
          <w:sz w:val="24"/>
          <w:szCs w:val="24"/>
          <w:lang w:val="en-RW"/>
        </w:rPr>
      </w:pPr>
    </w:p>
    <w:p w14:paraId="116488B1" w14:textId="2F44A02D" w:rsidR="002A4ED9" w:rsidRDefault="002A4ED9" w:rsidP="002A4ED9">
      <w:pPr>
        <w:jc w:val="both"/>
        <w:rPr>
          <w:rFonts w:ascii="Times New Roman" w:eastAsia="Times New Roman" w:hAnsi="Times New Roman" w:cs="Times New Roman"/>
          <w:sz w:val="24"/>
          <w:szCs w:val="24"/>
          <w:lang w:val="en-RW"/>
        </w:rPr>
      </w:pPr>
      <w:r w:rsidRPr="002A4ED9">
        <w:rPr>
          <w:rFonts w:ascii="Times New Roman" w:eastAsia="Times New Roman" w:hAnsi="Times New Roman" w:cs="Times New Roman"/>
          <w:sz w:val="24"/>
          <w:szCs w:val="24"/>
          <w:lang w:val="en-RW"/>
        </w:rPr>
        <w:t xml:space="preserve">This shadow </w:t>
      </w:r>
      <w:r>
        <w:rPr>
          <w:rFonts w:ascii="Times New Roman" w:eastAsia="Times New Roman" w:hAnsi="Times New Roman" w:cs="Times New Roman"/>
          <w:sz w:val="24"/>
          <w:szCs w:val="24"/>
          <w:lang w:val="en-RW"/>
        </w:rPr>
        <w:t>report</w:t>
      </w:r>
      <w:r w:rsidRPr="002A4ED9">
        <w:rPr>
          <w:rFonts w:ascii="Times New Roman" w:eastAsia="Times New Roman" w:hAnsi="Times New Roman" w:cs="Times New Roman"/>
          <w:sz w:val="24"/>
          <w:szCs w:val="24"/>
          <w:lang w:val="en-RW"/>
        </w:rPr>
        <w:t xml:space="preserve"> is submitted to the Human Rights Committee in the context of Rwanda’s </w:t>
      </w:r>
      <w:r>
        <w:rPr>
          <w:rFonts w:ascii="Times New Roman" w:eastAsia="Times New Roman" w:hAnsi="Times New Roman" w:cs="Times New Roman"/>
          <w:sz w:val="24"/>
          <w:szCs w:val="24"/>
          <w:lang w:val="en-RW"/>
        </w:rPr>
        <w:t xml:space="preserve">5th </w:t>
      </w:r>
      <w:r w:rsidRPr="002A4ED9">
        <w:rPr>
          <w:rFonts w:ascii="Times New Roman" w:eastAsia="Times New Roman" w:hAnsi="Times New Roman" w:cs="Times New Roman"/>
          <w:sz w:val="24"/>
          <w:szCs w:val="24"/>
          <w:lang w:val="en-RW"/>
        </w:rPr>
        <w:t xml:space="preserve">review under the International Covenant on Civil and Political Rights (ICCPR). It highlights key concerns relating to gender identity and sexual orientation, gender-based violence (GBV) and sexual harassment, as well as the rights of domestic workers and people who use drugs. </w:t>
      </w:r>
    </w:p>
    <w:p w14:paraId="014AF509" w14:textId="77777777" w:rsidR="002A4ED9" w:rsidRPr="002A4ED9" w:rsidRDefault="002A4ED9" w:rsidP="002A4ED9">
      <w:pPr>
        <w:jc w:val="both"/>
        <w:rPr>
          <w:rFonts w:ascii="Times New Roman" w:eastAsia="Times New Roman" w:hAnsi="Times New Roman" w:cs="Times New Roman"/>
          <w:sz w:val="24"/>
          <w:szCs w:val="24"/>
          <w:lang w:val="en-RW"/>
        </w:rPr>
      </w:pPr>
    </w:p>
    <w:p w14:paraId="7D60A1DC" w14:textId="77777777" w:rsidR="00042462" w:rsidRDefault="002A4ED9" w:rsidP="002A4ED9">
      <w:pPr>
        <w:jc w:val="both"/>
        <w:rPr>
          <w:rFonts w:ascii="Times New Roman" w:eastAsia="Times New Roman" w:hAnsi="Times New Roman" w:cs="Times New Roman"/>
          <w:sz w:val="24"/>
          <w:szCs w:val="24"/>
          <w:lang w:val="en-RW"/>
        </w:rPr>
      </w:pPr>
      <w:r w:rsidRPr="002A4ED9">
        <w:rPr>
          <w:rFonts w:ascii="Times New Roman" w:eastAsia="Times New Roman" w:hAnsi="Times New Roman" w:cs="Times New Roman"/>
          <w:sz w:val="24"/>
          <w:szCs w:val="24"/>
          <w:lang w:val="en-RW"/>
        </w:rPr>
        <w:t>The submission is presented by Health Development Initiative</w:t>
      </w:r>
      <w:r>
        <w:rPr>
          <w:rFonts w:ascii="Times New Roman" w:eastAsia="Times New Roman" w:hAnsi="Times New Roman" w:cs="Times New Roman"/>
          <w:sz w:val="24"/>
          <w:szCs w:val="24"/>
          <w:lang w:val="en-RW"/>
        </w:rPr>
        <w:t xml:space="preserve"> </w:t>
      </w:r>
      <w:r w:rsidRPr="002A4ED9">
        <w:rPr>
          <w:rFonts w:ascii="Times New Roman" w:eastAsia="Times New Roman" w:hAnsi="Times New Roman" w:cs="Times New Roman"/>
          <w:sz w:val="24"/>
          <w:szCs w:val="24"/>
          <w:lang w:val="en-RW"/>
        </w:rPr>
        <w:t>(HDI), an independent, non-governmental, non-profit organization that has operated in Rwanda for over 20 years, advocating for equitable access to healthcare and the protection of the rights of vulnerable and marginalized populations</w:t>
      </w:r>
      <w:r w:rsidR="00042462">
        <w:rPr>
          <w:rFonts w:ascii="Times New Roman" w:eastAsia="Times New Roman" w:hAnsi="Times New Roman" w:cs="Times New Roman"/>
          <w:sz w:val="24"/>
          <w:szCs w:val="24"/>
          <w:lang w:val="en-RW"/>
        </w:rPr>
        <w:t xml:space="preserve"> i</w:t>
      </w:r>
      <w:r>
        <w:rPr>
          <w:rFonts w:ascii="Times New Roman" w:eastAsia="Times New Roman" w:hAnsi="Times New Roman" w:cs="Times New Roman"/>
          <w:sz w:val="24"/>
          <w:szCs w:val="24"/>
          <w:lang w:val="en-RW"/>
        </w:rPr>
        <w:t xml:space="preserve">n collaboration with </w:t>
      </w:r>
      <w:r w:rsidR="00042462">
        <w:rPr>
          <w:rFonts w:ascii="Times New Roman" w:eastAsia="Times New Roman" w:hAnsi="Times New Roman" w:cs="Times New Roman"/>
          <w:sz w:val="24"/>
          <w:szCs w:val="24"/>
          <w:lang w:val="en-RW"/>
        </w:rPr>
        <w:t xml:space="preserve">partners under the Generation Gender project and several </w:t>
      </w:r>
      <w:r>
        <w:rPr>
          <w:rFonts w:ascii="Times New Roman" w:eastAsia="Times New Roman" w:hAnsi="Times New Roman" w:cs="Times New Roman"/>
          <w:sz w:val="24"/>
          <w:szCs w:val="24"/>
          <w:lang w:val="en-RW"/>
        </w:rPr>
        <w:t>Community Based Organisations</w:t>
      </w:r>
      <w:r w:rsidR="00042462">
        <w:rPr>
          <w:rFonts w:ascii="Times New Roman" w:eastAsia="Times New Roman" w:hAnsi="Times New Roman" w:cs="Times New Roman"/>
          <w:sz w:val="24"/>
          <w:szCs w:val="24"/>
          <w:lang w:val="en-RW"/>
        </w:rPr>
        <w:t>.</w:t>
      </w:r>
    </w:p>
    <w:p w14:paraId="3161E034" w14:textId="77777777" w:rsidR="00042462" w:rsidRDefault="00042462" w:rsidP="002A4ED9">
      <w:pPr>
        <w:jc w:val="both"/>
        <w:rPr>
          <w:rFonts w:ascii="Times New Roman" w:eastAsia="Times New Roman" w:hAnsi="Times New Roman" w:cs="Times New Roman"/>
          <w:sz w:val="24"/>
          <w:szCs w:val="24"/>
          <w:lang w:val="en-RW"/>
        </w:rPr>
      </w:pPr>
    </w:p>
    <w:p w14:paraId="58DCAAC4" w14:textId="0F8E2211" w:rsidR="002A4ED9" w:rsidRPr="002A4ED9" w:rsidRDefault="002A4ED9" w:rsidP="002A4ED9">
      <w:pPr>
        <w:jc w:val="both"/>
        <w:rPr>
          <w:rFonts w:ascii="Times New Roman" w:eastAsia="Times New Roman" w:hAnsi="Times New Roman" w:cs="Times New Roman"/>
          <w:sz w:val="24"/>
          <w:szCs w:val="24"/>
          <w:lang w:val="en-RW"/>
        </w:rPr>
      </w:pPr>
      <w:r w:rsidRPr="002A4ED9">
        <w:rPr>
          <w:rFonts w:ascii="Times New Roman" w:eastAsia="Times New Roman" w:hAnsi="Times New Roman" w:cs="Times New Roman"/>
          <w:sz w:val="24"/>
          <w:szCs w:val="24"/>
          <w:lang w:val="en-RW"/>
        </w:rPr>
        <w:t xml:space="preserve">While Rwanda has made notable progress in advancing </w:t>
      </w:r>
      <w:r w:rsidR="00042462">
        <w:rPr>
          <w:rFonts w:ascii="Times New Roman" w:eastAsia="Times New Roman" w:hAnsi="Times New Roman" w:cs="Times New Roman"/>
          <w:sz w:val="24"/>
          <w:szCs w:val="24"/>
          <w:lang w:val="en-RW"/>
        </w:rPr>
        <w:t xml:space="preserve">civil and political </w:t>
      </w:r>
      <w:r w:rsidRPr="002A4ED9">
        <w:rPr>
          <w:rFonts w:ascii="Times New Roman" w:eastAsia="Times New Roman" w:hAnsi="Times New Roman" w:cs="Times New Roman"/>
          <w:sz w:val="24"/>
          <w:szCs w:val="24"/>
          <w:lang w:val="en-RW"/>
        </w:rPr>
        <w:t>rights</w:t>
      </w:r>
      <w:r w:rsidR="00042462">
        <w:rPr>
          <w:rFonts w:ascii="Times New Roman" w:eastAsia="Times New Roman" w:hAnsi="Times New Roman" w:cs="Times New Roman"/>
          <w:sz w:val="24"/>
          <w:szCs w:val="24"/>
          <w:lang w:val="en-RW"/>
        </w:rPr>
        <w:t>,</w:t>
      </w:r>
      <w:r w:rsidRPr="002A4ED9">
        <w:rPr>
          <w:rFonts w:ascii="Times New Roman" w:eastAsia="Times New Roman" w:hAnsi="Times New Roman" w:cs="Times New Roman"/>
          <w:sz w:val="24"/>
          <w:szCs w:val="24"/>
          <w:lang w:val="en-RW"/>
        </w:rPr>
        <w:t xml:space="preserve"> legal, structural, and social barriers continue to impede the full enjoyment of civil and political rights for certain groups.</w:t>
      </w:r>
    </w:p>
    <w:p w14:paraId="24901173" w14:textId="77777777" w:rsidR="002A4ED9" w:rsidRPr="002A4ED9" w:rsidRDefault="002A4ED9" w:rsidP="002A4ED9">
      <w:pPr>
        <w:jc w:val="both"/>
        <w:rPr>
          <w:rFonts w:ascii="Times New Roman" w:eastAsia="Times New Roman" w:hAnsi="Times New Roman" w:cs="Times New Roman"/>
          <w:sz w:val="24"/>
          <w:szCs w:val="24"/>
          <w:lang w:val="en-RW"/>
        </w:rPr>
      </w:pPr>
      <w:r w:rsidRPr="002A4ED9">
        <w:rPr>
          <w:rFonts w:ascii="Times New Roman" w:eastAsia="Times New Roman" w:hAnsi="Times New Roman" w:cs="Times New Roman"/>
          <w:sz w:val="24"/>
          <w:szCs w:val="24"/>
          <w:lang w:val="en-RW"/>
        </w:rPr>
        <w:t xml:space="preserve">Rapid urbanization has expanded the informal sector, with domestic work becoming a key source of livelihood, particularly for women migrating from rural areas. At the same time, socio-economic pressures, unemployment, and limited recreational opportunities have contributed to increased exposure to drugs, particularly among young people. Although government initiatives such as the </w:t>
      </w:r>
      <w:r w:rsidRPr="002A4ED9">
        <w:rPr>
          <w:rFonts w:ascii="Times New Roman" w:eastAsia="Times New Roman" w:hAnsi="Times New Roman" w:cs="Times New Roman"/>
          <w:i/>
          <w:iCs/>
          <w:sz w:val="24"/>
          <w:szCs w:val="24"/>
          <w:lang w:val="en-RW"/>
        </w:rPr>
        <w:t>TUNYWE LESS</w:t>
      </w:r>
      <w:r w:rsidRPr="002A4ED9">
        <w:rPr>
          <w:rFonts w:ascii="Times New Roman" w:eastAsia="Times New Roman" w:hAnsi="Times New Roman" w:cs="Times New Roman"/>
          <w:sz w:val="24"/>
          <w:szCs w:val="24"/>
          <w:lang w:val="en-RW"/>
        </w:rPr>
        <w:t xml:space="preserve"> campaign demonstrate political willingness to address substance use, current responses remain limited in scope and do not adequately address the specific vulnerabilities of people who use drugs, including heightened risks of HIV.</w:t>
      </w:r>
    </w:p>
    <w:p w14:paraId="45FA2000" w14:textId="721A5BAD" w:rsidR="002A4ED9" w:rsidRDefault="00042462" w:rsidP="002A4ED9">
      <w:pPr>
        <w:jc w:val="both"/>
        <w:rPr>
          <w:rFonts w:ascii="Times New Roman" w:eastAsia="Times New Roman" w:hAnsi="Times New Roman" w:cs="Times New Roman"/>
          <w:sz w:val="24"/>
          <w:szCs w:val="24"/>
          <w:lang w:val="en-RW"/>
        </w:rPr>
      </w:pPr>
      <w:r>
        <w:rPr>
          <w:rFonts w:ascii="Times New Roman" w:eastAsia="Times New Roman" w:hAnsi="Times New Roman" w:cs="Times New Roman"/>
          <w:sz w:val="24"/>
          <w:szCs w:val="24"/>
          <w:lang w:val="en-RW"/>
        </w:rPr>
        <w:t>HDI and partners</w:t>
      </w:r>
      <w:r w:rsidR="002A4ED9" w:rsidRPr="002A4ED9">
        <w:rPr>
          <w:rFonts w:ascii="Times New Roman" w:eastAsia="Times New Roman" w:hAnsi="Times New Roman" w:cs="Times New Roman"/>
          <w:sz w:val="24"/>
          <w:szCs w:val="24"/>
          <w:lang w:val="en-RW"/>
        </w:rPr>
        <w:t xml:space="preserve"> submit that the issues outlined in this </w:t>
      </w:r>
      <w:r>
        <w:rPr>
          <w:rFonts w:ascii="Times New Roman" w:eastAsia="Times New Roman" w:hAnsi="Times New Roman" w:cs="Times New Roman"/>
          <w:sz w:val="24"/>
          <w:szCs w:val="24"/>
          <w:lang w:val="en-RW"/>
        </w:rPr>
        <w:t>report</w:t>
      </w:r>
      <w:r w:rsidR="002A4ED9" w:rsidRPr="002A4ED9">
        <w:rPr>
          <w:rFonts w:ascii="Times New Roman" w:eastAsia="Times New Roman" w:hAnsi="Times New Roman" w:cs="Times New Roman"/>
          <w:sz w:val="24"/>
          <w:szCs w:val="24"/>
          <w:lang w:val="en-RW"/>
        </w:rPr>
        <w:t xml:space="preserve"> point to the need for targeted legal reforms, policy adjustments, and strengthened protective measures to ensure effective prevention, accountability, and access to justice, in line with Rwanda’s obligations under the ICCPR.</w:t>
      </w:r>
    </w:p>
    <w:p w14:paraId="2C091F36" w14:textId="77777777" w:rsidR="002A4ED9" w:rsidRDefault="002A4ED9" w:rsidP="002A4ED9">
      <w:pPr>
        <w:jc w:val="both"/>
        <w:rPr>
          <w:rFonts w:ascii="Times New Roman" w:eastAsia="Times New Roman" w:hAnsi="Times New Roman" w:cs="Times New Roman"/>
          <w:sz w:val="24"/>
          <w:szCs w:val="24"/>
          <w:lang w:val="en-RW"/>
        </w:rPr>
      </w:pPr>
    </w:p>
    <w:p w14:paraId="26B873F5" w14:textId="77777777" w:rsidR="00042462" w:rsidRDefault="00042462" w:rsidP="002A4ED9">
      <w:pPr>
        <w:jc w:val="both"/>
        <w:rPr>
          <w:rFonts w:ascii="Times New Roman" w:eastAsia="Times New Roman" w:hAnsi="Times New Roman" w:cs="Times New Roman"/>
          <w:sz w:val="24"/>
          <w:szCs w:val="24"/>
          <w:lang w:val="en-RW"/>
        </w:rPr>
      </w:pPr>
    </w:p>
    <w:p w14:paraId="356DABFE" w14:textId="77777777" w:rsidR="00042462" w:rsidRDefault="00042462" w:rsidP="002A4ED9">
      <w:pPr>
        <w:jc w:val="both"/>
        <w:rPr>
          <w:rFonts w:ascii="Times New Roman" w:eastAsia="Times New Roman" w:hAnsi="Times New Roman" w:cs="Times New Roman"/>
          <w:sz w:val="24"/>
          <w:szCs w:val="24"/>
          <w:lang w:val="en-RW"/>
        </w:rPr>
      </w:pPr>
    </w:p>
    <w:p w14:paraId="7D0AE3FE" w14:textId="77777777" w:rsidR="002A4ED9" w:rsidRPr="002A4ED9" w:rsidRDefault="002A4ED9" w:rsidP="002A4ED9">
      <w:pPr>
        <w:jc w:val="both"/>
        <w:rPr>
          <w:rFonts w:ascii="Times New Roman" w:eastAsia="Times New Roman" w:hAnsi="Times New Roman" w:cs="Times New Roman"/>
          <w:sz w:val="24"/>
          <w:szCs w:val="24"/>
          <w:lang w:val="en-RW"/>
        </w:rPr>
      </w:pPr>
    </w:p>
    <w:p w14:paraId="2DEE4B2B" w14:textId="77777777" w:rsidR="00042462" w:rsidRDefault="00042462" w:rsidP="002A4ED9">
      <w:pPr>
        <w:jc w:val="both"/>
        <w:rPr>
          <w:rFonts w:ascii="Times New Roman" w:eastAsia="Times New Roman" w:hAnsi="Times New Roman" w:cs="Times New Roman"/>
          <w:b/>
          <w:bCs/>
          <w:sz w:val="24"/>
          <w:szCs w:val="24"/>
          <w:lang w:val="en-RW"/>
        </w:rPr>
      </w:pPr>
    </w:p>
    <w:p w14:paraId="27AA74D2" w14:textId="783BEC89" w:rsidR="002A4ED9" w:rsidRPr="002A4ED9" w:rsidRDefault="002A4ED9" w:rsidP="002A4ED9">
      <w:pPr>
        <w:jc w:val="both"/>
        <w:rPr>
          <w:rFonts w:ascii="Times New Roman" w:eastAsia="Times New Roman" w:hAnsi="Times New Roman" w:cs="Times New Roman"/>
          <w:b/>
          <w:bCs/>
          <w:sz w:val="24"/>
          <w:szCs w:val="24"/>
          <w:lang w:val="en-RW"/>
        </w:rPr>
      </w:pPr>
      <w:r w:rsidRPr="002A4ED9">
        <w:rPr>
          <w:rFonts w:ascii="Times New Roman" w:eastAsia="Times New Roman" w:hAnsi="Times New Roman" w:cs="Times New Roman"/>
          <w:b/>
          <w:bCs/>
          <w:sz w:val="24"/>
          <w:szCs w:val="24"/>
          <w:lang w:val="en-RW"/>
        </w:rPr>
        <w:t>2. Methodology</w:t>
      </w:r>
    </w:p>
    <w:p w14:paraId="51506771" w14:textId="6BDD4D4B" w:rsidR="002A4ED9" w:rsidRPr="002A4ED9" w:rsidRDefault="002A4ED9" w:rsidP="002A4ED9">
      <w:pPr>
        <w:jc w:val="both"/>
        <w:rPr>
          <w:rFonts w:ascii="Times New Roman" w:eastAsia="Times New Roman" w:hAnsi="Times New Roman" w:cs="Times New Roman"/>
          <w:sz w:val="24"/>
          <w:szCs w:val="24"/>
          <w:lang w:val="en-RW"/>
        </w:rPr>
      </w:pPr>
      <w:r w:rsidRPr="002A4ED9">
        <w:rPr>
          <w:rFonts w:ascii="Times New Roman" w:eastAsia="Times New Roman" w:hAnsi="Times New Roman" w:cs="Times New Roman"/>
          <w:sz w:val="24"/>
          <w:szCs w:val="24"/>
          <w:lang w:val="en-RW"/>
        </w:rPr>
        <w:t>This shadow letter is based on qualitative and documentary research conducted by HDI and its partners. The methodology includes analysis of documented cases of abuse and rights violations, program and monitoring reports, focused group discussions with selected members of affected communities</w:t>
      </w:r>
      <w:r w:rsidR="00042462">
        <w:rPr>
          <w:rFonts w:ascii="Times New Roman" w:eastAsia="Times New Roman" w:hAnsi="Times New Roman" w:cs="Times New Roman"/>
          <w:sz w:val="24"/>
          <w:szCs w:val="24"/>
          <w:lang w:val="en-RW"/>
        </w:rPr>
        <w:t xml:space="preserve">, </w:t>
      </w:r>
      <w:r w:rsidRPr="002A4ED9">
        <w:rPr>
          <w:rFonts w:ascii="Times New Roman" w:eastAsia="Times New Roman" w:hAnsi="Times New Roman" w:cs="Times New Roman"/>
          <w:sz w:val="24"/>
          <w:szCs w:val="24"/>
          <w:lang w:val="en-RW"/>
        </w:rPr>
        <w:t>including LGBTI persons</w:t>
      </w:r>
      <w:r w:rsidR="00042462">
        <w:rPr>
          <w:rFonts w:ascii="Times New Roman" w:eastAsia="Times New Roman" w:hAnsi="Times New Roman" w:cs="Times New Roman"/>
          <w:sz w:val="24"/>
          <w:szCs w:val="24"/>
          <w:lang w:val="en-RW"/>
        </w:rPr>
        <w:t xml:space="preserve">, </w:t>
      </w:r>
      <w:r w:rsidRPr="002A4ED9">
        <w:rPr>
          <w:rFonts w:ascii="Times New Roman" w:eastAsia="Times New Roman" w:hAnsi="Times New Roman" w:cs="Times New Roman"/>
          <w:sz w:val="24"/>
          <w:szCs w:val="24"/>
          <w:lang w:val="en-RW"/>
        </w:rPr>
        <w:t>and a review of relevant national laws, policies, and government strategies. The submission also draws on available studies and reports to assess implementation gaps and systemic barriers affecting the realization of civil and political rights.</w:t>
      </w:r>
    </w:p>
    <w:p w14:paraId="24D7B07D" w14:textId="77777777" w:rsidR="00BB09BF" w:rsidRDefault="00BB09BF">
      <w:pPr>
        <w:jc w:val="both"/>
        <w:rPr>
          <w:rFonts w:ascii="Times New Roman" w:eastAsia="Times New Roman" w:hAnsi="Times New Roman" w:cs="Times New Roman"/>
          <w:sz w:val="24"/>
          <w:szCs w:val="24"/>
        </w:rPr>
      </w:pPr>
    </w:p>
    <w:p w14:paraId="019A804F" w14:textId="77777777" w:rsidR="00BB09BF" w:rsidRDefault="000945AC" w:rsidP="00CA3E4C">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Domestic workers</w:t>
      </w:r>
    </w:p>
    <w:p w14:paraId="1F390276" w14:textId="77777777" w:rsidR="00BB09BF" w:rsidRDefault="00BB09BF">
      <w:pPr>
        <w:jc w:val="both"/>
        <w:rPr>
          <w:rFonts w:ascii="Times New Roman" w:eastAsia="Times New Roman" w:hAnsi="Times New Roman" w:cs="Times New Roman"/>
          <w:b/>
          <w:sz w:val="24"/>
          <w:szCs w:val="24"/>
        </w:rPr>
      </w:pPr>
    </w:p>
    <w:p w14:paraId="69201F57" w14:textId="75EE796D" w:rsidR="00BB09BF" w:rsidRDefault="000945AC">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Context</w:t>
      </w:r>
    </w:p>
    <w:p w14:paraId="105F33F9" w14:textId="77777777" w:rsidR="00BB09BF" w:rsidRDefault="00BB09BF">
      <w:pPr>
        <w:jc w:val="both"/>
        <w:rPr>
          <w:rFonts w:ascii="Times New Roman" w:eastAsia="Times New Roman" w:hAnsi="Times New Roman" w:cs="Times New Roman"/>
          <w:b/>
          <w:sz w:val="24"/>
          <w:szCs w:val="24"/>
        </w:rPr>
      </w:pPr>
    </w:p>
    <w:p w14:paraId="2F598DB5" w14:textId="77777777" w:rsidR="00BB09BF" w:rsidRDefault="000945AC">
      <w:pPr>
        <w:tabs>
          <w:tab w:val="left" w:pos="495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According to the United Nations Women report, unpaid domestic work is valued at 10 to 39% of Gross Domestic Product (GDP), indicating the economic importance of this labor, much of which is informal</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Rwanda's informal sector is a significant component of its economy, estimated to account for approximately 31.4% of the GDP. </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199E1FB7" w14:textId="77777777" w:rsidR="00BB09BF" w:rsidRDefault="00BB09BF">
      <w:pPr>
        <w:tabs>
          <w:tab w:val="left" w:pos="4950"/>
        </w:tabs>
        <w:jc w:val="both"/>
        <w:rPr>
          <w:rFonts w:ascii="Times New Roman" w:eastAsia="Times New Roman" w:hAnsi="Times New Roman" w:cs="Times New Roman"/>
          <w:sz w:val="24"/>
          <w:szCs w:val="24"/>
        </w:rPr>
      </w:pPr>
    </w:p>
    <w:p w14:paraId="6233637B" w14:textId="77777777" w:rsidR="00BB09BF" w:rsidRDefault="000945AC">
      <w:pPr>
        <w:tabs>
          <w:tab w:val="left" w:pos="495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 2021 report by the National Institute of Statistics of Rwanda (NISR) confirms that women make up a significant majority in this sector</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Additionally, a published study by HDI revealed that 73.8% of domestic workers were female in a sample of 884 workers in Kigali.</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p>
    <w:p w14:paraId="687C41C5" w14:textId="55AEB855" w:rsidR="00BB09BF" w:rsidRDefault="000945A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framework </w:t>
      </w:r>
    </w:p>
    <w:p w14:paraId="01F4057A" w14:textId="77777777" w:rsidR="00BB09BF" w:rsidRDefault="000945AC">
      <w:pPr>
        <w:spacing w:before="240" w:after="240" w:line="273"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The Constitution of Rwanda recognizes that everyone has the right to free choice of employment and that all individuals, without any form of discrimination, have the right to equal pay for equal work.</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0982C3CF" w14:textId="77777777" w:rsidR="00BB09BF" w:rsidRDefault="000945AC">
      <w:pPr>
        <w:spacing w:before="240" w:after="240" w:line="273"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The Law N</w:t>
      </w:r>
      <w:r>
        <w:rPr>
          <w:rFonts w:ascii="Times New Roman" w:eastAsia="Times New Roman" w:hAnsi="Times New Roman" w:cs="Times New Roman"/>
          <w:sz w:val="24"/>
          <w:szCs w:val="24"/>
          <w:vertAlign w:val="superscript"/>
        </w:rPr>
        <w:t xml:space="preserve">o </w:t>
      </w:r>
      <w:r>
        <w:rPr>
          <w:rFonts w:ascii="Times New Roman" w:eastAsia="Times New Roman" w:hAnsi="Times New Roman" w:cs="Times New Roman"/>
          <w:sz w:val="24"/>
          <w:szCs w:val="24"/>
        </w:rPr>
        <w:t xml:space="preserve">66/2018 of 30/08/2018 regulating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 Rwanda which is in force since August 2018 recognizes the protection of informal sector workers including domestic workers in the issues </w:t>
      </w:r>
      <w:r>
        <w:rPr>
          <w:rFonts w:ascii="Times New Roman" w:eastAsia="Times New Roman" w:hAnsi="Times New Roman" w:cs="Times New Roman"/>
          <w:sz w:val="24"/>
          <w:szCs w:val="24"/>
        </w:rPr>
        <w:lastRenderedPageBreak/>
        <w:t xml:space="preserve">relating to social security, the trade union organizations and those relating to health and safety at workplace </w:t>
      </w:r>
    </w:p>
    <w:p w14:paraId="098B1FB1" w14:textId="23EB30C2" w:rsidR="00BB09BF" w:rsidRDefault="000945AC">
      <w:pPr>
        <w:spacing w:before="240" w:after="240" w:line="273"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Article 6 (1) of Law regulating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prohibits forms of work including those cause physical harmful to the child. Additionally, the Ministerial Instructions N</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 01/2017 of relating to prevention and fight against child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provide for preventive measures and sanctions for those who exploit children. </w:t>
      </w:r>
    </w:p>
    <w:p w14:paraId="394B7C07" w14:textId="77777777" w:rsidR="00BB09BF" w:rsidRDefault="000945AC">
      <w:pPr>
        <w:spacing w:before="240" w:after="240" w:line="273" w:lineRule="auto"/>
        <w:jc w:val="both"/>
      </w:pPr>
      <w:r>
        <w:rPr>
          <w:rFonts w:ascii="Times New Roman" w:eastAsia="Times New Roman" w:hAnsi="Times New Roman" w:cs="Times New Roman"/>
          <w:sz w:val="24"/>
          <w:szCs w:val="24"/>
        </w:rPr>
        <w:t>[6] Article 21 of the Constitution of Rwanda which stipulates that every Rwandan has the right to good health.</w:t>
      </w:r>
    </w:p>
    <w:p w14:paraId="1FE1F143" w14:textId="77777777" w:rsidR="00BB09BF" w:rsidRDefault="00BB09BF"/>
    <w:p w14:paraId="39F14D37" w14:textId="11CFBF1D" w:rsidR="00BB09BF" w:rsidRDefault="000945AC">
      <w:pPr>
        <w:spacing w:line="360" w:lineRule="auto"/>
        <w:rPr>
          <w:b/>
        </w:rPr>
      </w:pPr>
      <w:r>
        <w:rPr>
          <w:rFonts w:ascii="Times New Roman" w:eastAsia="Times New Roman" w:hAnsi="Times New Roman" w:cs="Times New Roman"/>
          <w:b/>
          <w:sz w:val="24"/>
          <w:szCs w:val="24"/>
        </w:rPr>
        <w:t>Areas of Concern</w:t>
      </w:r>
    </w:p>
    <w:p w14:paraId="792C0175" w14:textId="77777777" w:rsidR="00BB09BF" w:rsidRDefault="00BB09BF">
      <w:pPr>
        <w:spacing w:line="360" w:lineRule="auto"/>
      </w:pPr>
    </w:p>
    <w:p w14:paraId="2840D479" w14:textId="77777777" w:rsidR="00BB09BF" w:rsidRDefault="000945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Despite the existence of a progressive legal framework, working conditions affect the right to health for domestic workers as a recent study conducted in Kigali by HDI revealed that one in three domestic workers were unaware of their HIV status.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This can be attributed to several factors: lack of targeted HIV programming, long working hours, leaving little time to seek healthcare, as well as the lack of health insurance coverage, among others. These findings highlight issues related to both the accessibility and quality of healthcare services.</w:t>
      </w:r>
    </w:p>
    <w:p w14:paraId="529DA459" w14:textId="77777777" w:rsidR="00042462" w:rsidRDefault="00042462">
      <w:pPr>
        <w:spacing w:line="360" w:lineRule="auto"/>
        <w:jc w:val="both"/>
        <w:rPr>
          <w:rFonts w:ascii="Times New Roman" w:eastAsia="Times New Roman" w:hAnsi="Times New Roman" w:cs="Times New Roman"/>
          <w:sz w:val="24"/>
          <w:szCs w:val="24"/>
        </w:rPr>
      </w:pPr>
    </w:p>
    <w:p w14:paraId="5A24003F" w14:textId="77777777" w:rsidR="00BB09BF" w:rsidRDefault="000945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Regarding the right to work, recent evidence from a study conducted by HDI found that 1 in 8 domestic workers were under 18</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violating one of the provisions of the Law N</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 66/2018 regulating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 Rwanda which prohibits the worst of forms of employment for children. </w:t>
      </w:r>
    </w:p>
    <w:p w14:paraId="71B067BE" w14:textId="77777777" w:rsidR="00042462" w:rsidRDefault="00042462">
      <w:pPr>
        <w:spacing w:line="360" w:lineRule="auto"/>
        <w:jc w:val="both"/>
        <w:rPr>
          <w:rFonts w:ascii="Times New Roman" w:eastAsia="Times New Roman" w:hAnsi="Times New Roman" w:cs="Times New Roman"/>
          <w:sz w:val="24"/>
          <w:szCs w:val="24"/>
        </w:rPr>
      </w:pPr>
    </w:p>
    <w:p w14:paraId="322A4602" w14:textId="77777777" w:rsidR="00BB09BF" w:rsidRDefault="000945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Additionally, nearly half of the domestic workers reported experiencing some form of workplace violence, with 1 in 6 enduring both physical and emotional abuse. These experiences were linked to severe mental health challenges, with 50.1% of workers facing psychological distress and 32.9% showing suicidal behaviors.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1ACC7B64" w14:textId="77777777" w:rsidR="00BB09BF" w:rsidRDefault="000945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 The above-mentioned study noted that perpetrators of violence often prevent domestic workers from seeking help, trapping them in a state of severe mental distress. This underscores the urgent need for review of the current labor laws that safeguard this group from exploitation.</w:t>
      </w:r>
    </w:p>
    <w:p w14:paraId="31A67BCD" w14:textId="77777777" w:rsidR="00BB09BF" w:rsidRDefault="000945AC">
      <w:pPr>
        <w:spacing w:line="360" w:lineRule="auto"/>
        <w:jc w:val="both"/>
        <w:rPr>
          <w:rFonts w:ascii="Times New Roman" w:eastAsia="Times New Roman" w:hAnsi="Times New Roman" w:cs="Times New Roman"/>
          <w:sz w:val="24"/>
          <w:szCs w:val="24"/>
        </w:rPr>
      </w:pPr>
      <w:r>
        <w:br w:type="page"/>
      </w:r>
    </w:p>
    <w:p w14:paraId="5AE84475" w14:textId="77777777" w:rsidR="00BB09BF" w:rsidRDefault="00BB09BF">
      <w:pPr>
        <w:spacing w:before="240" w:after="240"/>
        <w:jc w:val="both"/>
        <w:rPr>
          <w:rFonts w:ascii="Times New Roman" w:eastAsia="Times New Roman" w:hAnsi="Times New Roman" w:cs="Times New Roman"/>
          <w:b/>
          <w:sz w:val="24"/>
          <w:szCs w:val="24"/>
        </w:rPr>
      </w:pPr>
    </w:p>
    <w:p w14:paraId="1B97264E" w14:textId="77777777" w:rsidR="00BB09BF" w:rsidRDefault="000945AC" w:rsidP="00CA3E4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Criminalization of Drug use and its consequences on the right to health </w:t>
      </w:r>
    </w:p>
    <w:p w14:paraId="10A54419" w14:textId="7A296C1F" w:rsidR="00BB09BF" w:rsidRDefault="000945AC">
      <w:pPr>
        <w:spacing w:before="240" w:after="240" w:line="273"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Context</w:t>
      </w:r>
    </w:p>
    <w:p w14:paraId="2F322AAE" w14:textId="77777777" w:rsidR="00BB09BF"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Although Rwanda has made commendable strides in addressing public health challenges, particularly in combating HIV/AIDS and communicable diseases like tuberculosis, its legal and policy framework on drug use remains heavily focused on criminalization and punitive measures. This approach risks undermining access to essential health services for people who use drugs. </w:t>
      </w:r>
    </w:p>
    <w:p w14:paraId="329C2682" w14:textId="77777777" w:rsidR="00BB09BF"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In response to the growing substance abuse problem, the </w:t>
      </w:r>
      <w:proofErr w:type="spellStart"/>
      <w:r>
        <w:rPr>
          <w:rFonts w:ascii="Times New Roman" w:eastAsia="Times New Roman" w:hAnsi="Times New Roman" w:cs="Times New Roman"/>
          <w:sz w:val="24"/>
          <w:szCs w:val="24"/>
        </w:rPr>
        <w:t>Iwawa</w:t>
      </w:r>
      <w:proofErr w:type="spellEnd"/>
      <w:r>
        <w:rPr>
          <w:rFonts w:ascii="Times New Roman" w:eastAsia="Times New Roman" w:hAnsi="Times New Roman" w:cs="Times New Roman"/>
          <w:sz w:val="24"/>
          <w:szCs w:val="24"/>
        </w:rPr>
        <w:t xml:space="preserve"> Rehabilitation Center was established to provide rehabilitation services, vocational training, and reintegration support for youth with drug-related issues. Since its inception in 2010, the center has successfully graduated 12,293 individuals, reflecting a commitment to addressing the complex challenges posed by substance abuse in Rwanda.</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760500B7" w14:textId="77777777" w:rsidR="00042462" w:rsidRDefault="00042462">
      <w:pPr>
        <w:spacing w:before="240" w:after="240"/>
        <w:jc w:val="both"/>
        <w:rPr>
          <w:rFonts w:ascii="Times New Roman" w:eastAsia="Times New Roman" w:hAnsi="Times New Roman" w:cs="Times New Roman"/>
          <w:sz w:val="24"/>
          <w:szCs w:val="24"/>
        </w:rPr>
      </w:pPr>
    </w:p>
    <w:p w14:paraId="2B7E2624" w14:textId="1BE6E4A4" w:rsidR="00BB09BF" w:rsidRDefault="000945A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framework </w:t>
      </w:r>
    </w:p>
    <w:p w14:paraId="2189EF8C" w14:textId="77777777" w:rsidR="00BB09BF"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The </w:t>
      </w:r>
      <w:r>
        <w:rPr>
          <w:rFonts w:ascii="Times New Roman" w:eastAsia="Times New Roman" w:hAnsi="Times New Roman" w:cs="Times New Roman"/>
          <w:b/>
          <w:sz w:val="24"/>
          <w:szCs w:val="24"/>
        </w:rPr>
        <w:t>Law N0 68/2018 of 30/08/2018 relating to offences and penalties in general</w:t>
      </w:r>
      <w:r>
        <w:rPr>
          <w:rFonts w:ascii="Times New Roman" w:eastAsia="Times New Roman" w:hAnsi="Times New Roman" w:cs="Times New Roman"/>
          <w:sz w:val="24"/>
          <w:szCs w:val="24"/>
        </w:rPr>
        <w:t xml:space="preserve"> outlines various drug-related offenses, including the use, possession, and trafficking of illicit drugs with the ultimate goal of controlling drug use. </w:t>
      </w:r>
    </w:p>
    <w:p w14:paraId="43B797BD" w14:textId="77777777" w:rsidR="00BB09BF"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Additionally, the </w:t>
      </w:r>
      <w:r>
        <w:rPr>
          <w:rFonts w:ascii="Times New Roman" w:eastAsia="Times New Roman" w:hAnsi="Times New Roman" w:cs="Times New Roman"/>
          <w:b/>
          <w:sz w:val="24"/>
          <w:szCs w:val="24"/>
        </w:rPr>
        <w:t>Law N°03/2012 of 15/02/2012 governing narcotic drugs, psychotropic substances and precursors in Rwanda</w:t>
      </w:r>
      <w:r>
        <w:rPr>
          <w:rFonts w:ascii="Times New Roman" w:eastAsia="Times New Roman" w:hAnsi="Times New Roman" w:cs="Times New Roman"/>
          <w:sz w:val="24"/>
          <w:szCs w:val="24"/>
        </w:rPr>
        <w:t>. This law provides a comprehensive framework for regulating narcotic drugs, psychotropic substances, and their precursors in Rwanda. It defines various controlled substances, establishes rules for their importation, production, distribution, and use, and outlines penalties for drug-related offenses, including possession, trafficking, and manufacturing.</w:t>
      </w:r>
    </w:p>
    <w:p w14:paraId="53A5E914" w14:textId="77777777" w:rsidR="00042462" w:rsidRDefault="00042462">
      <w:pPr>
        <w:spacing w:before="240" w:after="240"/>
        <w:jc w:val="both"/>
        <w:rPr>
          <w:rFonts w:ascii="Times New Roman" w:eastAsia="Times New Roman" w:hAnsi="Times New Roman" w:cs="Times New Roman"/>
          <w:sz w:val="24"/>
          <w:szCs w:val="24"/>
        </w:rPr>
      </w:pPr>
    </w:p>
    <w:p w14:paraId="75450B3E" w14:textId="363EE446" w:rsidR="00BB09BF" w:rsidRPr="00CA3E4C" w:rsidRDefault="000945AC">
      <w:pPr>
        <w:spacing w:before="240" w:after="240"/>
        <w:jc w:val="both"/>
        <w:rPr>
          <w:rFonts w:ascii="Times New Roman" w:eastAsia="Times New Roman" w:hAnsi="Times New Roman" w:cs="Times New Roman"/>
          <w:b/>
          <w:bCs/>
          <w:sz w:val="24"/>
          <w:szCs w:val="24"/>
        </w:rPr>
      </w:pPr>
      <w:r w:rsidRPr="00CA3E4C">
        <w:rPr>
          <w:rFonts w:ascii="Times New Roman" w:eastAsia="Times New Roman" w:hAnsi="Times New Roman" w:cs="Times New Roman"/>
          <w:b/>
          <w:bCs/>
          <w:sz w:val="24"/>
          <w:szCs w:val="24"/>
        </w:rPr>
        <w:t>Strategy</w:t>
      </w:r>
    </w:p>
    <w:p w14:paraId="547C303A" w14:textId="1EEB7471" w:rsidR="00CA3E4C" w:rsidRPr="00042462"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The </w:t>
      </w:r>
      <w:r>
        <w:rPr>
          <w:rFonts w:ascii="Times New Roman" w:eastAsia="Times New Roman" w:hAnsi="Times New Roman" w:cs="Times New Roman"/>
          <w:b/>
          <w:sz w:val="24"/>
          <w:szCs w:val="24"/>
        </w:rPr>
        <w:t>National HIV/AIDS Strategic Plan 2018–2024</w:t>
      </w:r>
      <w:r>
        <w:rPr>
          <w:rFonts w:ascii="Times New Roman" w:eastAsia="Times New Roman" w:hAnsi="Times New Roman" w:cs="Times New Roman"/>
          <w:sz w:val="24"/>
          <w:szCs w:val="24"/>
        </w:rPr>
        <w:t xml:space="preserve"> highlights people who inject drugs (PWID) as a key population at increased risk of HIV infection due to several high-risk behaviors and social factors. PWIDs face heightened vulnerability because injection drug use often involves sharing contaminated needles, a primary driver of HIV transmission. </w:t>
      </w:r>
    </w:p>
    <w:p w14:paraId="01D19EE9" w14:textId="3F200A83" w:rsidR="00BB09BF"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Areas of concern</w:t>
      </w:r>
    </w:p>
    <w:p w14:paraId="61CA0B50" w14:textId="77777777" w:rsidR="00BB09BF" w:rsidRDefault="000945AC">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 Article 263 of Law No 68/2018 of 30/08/2018 aims to control drug use and trafficking but inadvertently criminalizes individuals who use drugs, creating significant barriers to healthcare access and discouraging those in need from seeking help due to fear of legal repercussions. While we commend the recognition of people who inject drugs (PWID) in the HIV/AIDS strategic plan, the broader category of people who use drugs (PWUD) receives limited attention, leaving critical gaps in addressing drug-related </w:t>
      </w:r>
      <w:r>
        <w:rPr>
          <w:rFonts w:ascii="Times New Roman" w:eastAsia="Times New Roman" w:hAnsi="Times New Roman" w:cs="Times New Roman"/>
          <w:color w:val="000000"/>
          <w:sz w:val="24"/>
          <w:szCs w:val="24"/>
        </w:rPr>
        <w:t>harms.</w:t>
      </w:r>
    </w:p>
    <w:p w14:paraId="1F20DE86" w14:textId="77777777" w:rsidR="00BB09BF" w:rsidRDefault="000945AC">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 Despite existing government efforts, such as drug prevention campaigns, repression of drug trafficking, and rehabilitation centers, the country lacks comprehensive harm reduction services, including needle exchange programs, opioid substitution therapy (OST), and access to HIV prevention and care.</w:t>
      </w:r>
    </w:p>
    <w:p w14:paraId="4B0578B8" w14:textId="77777777" w:rsidR="00BB09BF" w:rsidRDefault="000945AC">
      <w:p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[19] The current legal framework, which penalizes drug users with imprisonment, limits their ability to access healthcare and perpetuates stigma and discrimination. This, in turn, hampers the delivery of critical services, including HIV testing, antiretroviral treatment (ART), and condom distribution. </w:t>
      </w:r>
    </w:p>
    <w:p w14:paraId="2BF513F8" w14:textId="77777777" w:rsidR="00BB09BF" w:rsidRDefault="000945AC">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[20] Furthermore, while Rwanda’s HIV/AIDS National Strategic Plan identifies PWID as a key population, there are no dedicated interventions or a comprehensive harm reduction package to meet their specific needs. Key gaps include a lack of comprehensive data on drug use, the absence of a national harm reduction policy, and insufficient healthcare access for PWUD. </w:t>
      </w:r>
    </w:p>
    <w:p w14:paraId="047E232E" w14:textId="77777777" w:rsidR="00042462" w:rsidRDefault="00042462">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740BE4DC" w14:textId="77777777" w:rsidR="00BB09BF" w:rsidRDefault="000945AC" w:rsidP="00CA3E4C">
      <w:pPr>
        <w:spacing w:before="240" w:after="24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Recommendations </w:t>
      </w:r>
    </w:p>
    <w:p w14:paraId="0757CEFA" w14:textId="77777777" w:rsidR="00BB09BF" w:rsidRDefault="000945AC">
      <w:pP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In light of the above, HDI calls on the Committee to recommend the Government of Rwanda to:</w:t>
      </w:r>
    </w:p>
    <w:p w14:paraId="4EABF475" w14:textId="77777777" w:rsidR="00BB09BF" w:rsidRDefault="000945AC">
      <w:pPr>
        <w:numPr>
          <w:ilvl w:val="0"/>
          <w:numId w:val="2"/>
        </w:numPr>
        <w:spacing w:line="36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and implement rights awareness programs targeting domestic workers, employers, and the broader community.</w:t>
      </w:r>
    </w:p>
    <w:p w14:paraId="35CE09B7" w14:textId="77777777" w:rsidR="00BB09BF" w:rsidRDefault="000945AC">
      <w:pPr>
        <w:numPr>
          <w:ilvl w:val="0"/>
          <w:numId w:val="2"/>
        </w:numPr>
        <w:spacing w:line="36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safe reporting systems for domestic workers to report workplace violence, ensuring timely resolution and appropriate support.</w:t>
      </w:r>
    </w:p>
    <w:p w14:paraId="3C5789D2" w14:textId="77777777" w:rsidR="00BB09BF" w:rsidRDefault="000945AC">
      <w:pPr>
        <w:numPr>
          <w:ilvl w:val="0"/>
          <w:numId w:val="2"/>
        </w:numPr>
        <w:spacing w:line="36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Ratify and domesticate the ILO Convention on Domestic Workers (C189) to enhance legal protection and enforcement.</w:t>
      </w:r>
    </w:p>
    <w:p w14:paraId="054F1D0D" w14:textId="77777777" w:rsidR="00BB09BF" w:rsidRDefault="000945AC">
      <w:pPr>
        <w:numPr>
          <w:ilvl w:val="0"/>
          <w:numId w:val="2"/>
        </w:numPr>
        <w:spacing w:line="36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Promote mobile health services and outreach initiatives to provide confidential and accessible health care for domestic workers.</w:t>
      </w:r>
    </w:p>
    <w:p w14:paraId="471A3471" w14:textId="77777777" w:rsidR="00BB09BF" w:rsidRDefault="000945AC">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enforcement of regulations prohibiting the employment of minors as domestic workers.</w:t>
      </w:r>
    </w:p>
    <w:p w14:paraId="535AC025" w14:textId="77777777" w:rsidR="00BB09BF" w:rsidRDefault="000945AC">
      <w:pPr>
        <w:numPr>
          <w:ilvl w:val="0"/>
          <w:numId w:val="2"/>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Article 263 of Law No 68/2018 to decriminalize drug use and shift towards a health-centered approach.</w:t>
      </w:r>
    </w:p>
    <w:p w14:paraId="5B8A3743" w14:textId="77777777" w:rsidR="00BB09BF" w:rsidRDefault="000945AC">
      <w:pPr>
        <w:numPr>
          <w:ilvl w:val="0"/>
          <w:numId w:val="2"/>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a national harm reduction policy with a comprehensive, evidence-based package tailored to the needs of people who use drugs.</w:t>
      </w:r>
    </w:p>
    <w:p w14:paraId="6076EDCA" w14:textId="77777777" w:rsidR="00BB09BF" w:rsidRDefault="000945AC">
      <w:pPr>
        <w:numPr>
          <w:ilvl w:val="0"/>
          <w:numId w:val="2"/>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research to inform drug-related programming and policy reforms based on current needs.</w:t>
      </w:r>
    </w:p>
    <w:p w14:paraId="4D8D402A" w14:textId="77777777" w:rsidR="00BB09BF" w:rsidRDefault="000945AC">
      <w:pPr>
        <w:numPr>
          <w:ilvl w:val="0"/>
          <w:numId w:val="2"/>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specialized training for law enforcement agents, health care providers, and key stakeholders involved in the national drug response.</w:t>
      </w:r>
    </w:p>
    <w:p w14:paraId="3EE366AC" w14:textId="77777777" w:rsidR="00BB09BF" w:rsidRDefault="000945AC">
      <w:pPr>
        <w:numPr>
          <w:ilvl w:val="0"/>
          <w:numId w:val="2"/>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community awareness programs to reduce stigma against people who use drugs.</w:t>
      </w:r>
    </w:p>
    <w:p w14:paraId="5BF48358" w14:textId="77777777" w:rsidR="0056279D" w:rsidRDefault="0056279D" w:rsidP="0056279D">
      <w:pPr>
        <w:spacing w:after="240"/>
        <w:jc w:val="both"/>
        <w:rPr>
          <w:rFonts w:ascii="Times New Roman" w:eastAsia="Times New Roman" w:hAnsi="Times New Roman" w:cs="Times New Roman"/>
          <w:sz w:val="24"/>
          <w:szCs w:val="24"/>
        </w:rPr>
      </w:pPr>
    </w:p>
    <w:p w14:paraId="05ED6CE0" w14:textId="77777777" w:rsidR="0056279D" w:rsidRDefault="0056279D" w:rsidP="00CA3E4C">
      <w:pPr>
        <w:pBdr>
          <w:top w:val="nil"/>
          <w:left w:val="nil"/>
          <w:bottom w:val="nil"/>
          <w:right w:val="nil"/>
          <w:between w:val="nil"/>
        </w:pBdr>
        <w:tabs>
          <w:tab w:val="left" w:pos="270"/>
        </w:tabs>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GENERAL OVERVIEW OF THE S</w:t>
      </w:r>
      <w:r>
        <w:rPr>
          <w:rFonts w:ascii="Times New Roman" w:eastAsia="Times New Roman" w:hAnsi="Times New Roman" w:cs="Times New Roman"/>
          <w:sz w:val="24"/>
          <w:szCs w:val="24"/>
        </w:rPr>
        <w:t>I</w:t>
      </w:r>
      <w:r>
        <w:rPr>
          <w:rFonts w:ascii="Times New Roman" w:eastAsia="Times New Roman" w:hAnsi="Times New Roman" w:cs="Times New Roman"/>
          <w:b/>
          <w:sz w:val="24"/>
          <w:szCs w:val="24"/>
        </w:rPr>
        <w:t xml:space="preserve">TUATION OF SEXUAL ORIENTATION AND GENDER IDENTITY IN RWANDA </w:t>
      </w:r>
    </w:p>
    <w:p w14:paraId="00767A7C"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Coalition positively notes the protection of key human rights principles including the right to equal protection of the law and equality before the law (Article 16 of the Constitution)</w:t>
      </w:r>
    </w:p>
    <w:p w14:paraId="5C45A7DC"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Coalition positively notes the protection of physical and mental integrity of everyone as a constitutional right (article 14). Furthermore, the Coalition also acknowledges the non-criminalization of same sex activity and more importantly the advancing of the right to freedom of peaceful assembly of Lesbian, Gay, Bisexual, Transgender and Intersex persons (hereafter LGBTI). Regarding GBV support services, the Coalition notes the continuation of service provision to victims of Sexual and GBV, in general, by </w:t>
      </w:r>
      <w:proofErr w:type="spellStart"/>
      <w:r>
        <w:rPr>
          <w:rFonts w:ascii="Times New Roman" w:eastAsia="Times New Roman" w:hAnsi="Times New Roman" w:cs="Times New Roman"/>
          <w:i/>
          <w:sz w:val="24"/>
          <w:szCs w:val="24"/>
        </w:rPr>
        <w:t>Isange</w:t>
      </w:r>
      <w:proofErr w:type="spellEnd"/>
      <w:r>
        <w:rPr>
          <w:rFonts w:ascii="Times New Roman" w:eastAsia="Times New Roman" w:hAnsi="Times New Roman" w:cs="Times New Roman"/>
          <w:i/>
          <w:sz w:val="24"/>
          <w:szCs w:val="24"/>
        </w:rPr>
        <w:t xml:space="preserve"> One Stop </w:t>
      </w:r>
      <w:proofErr w:type="spellStart"/>
      <w:r>
        <w:rPr>
          <w:rFonts w:ascii="Times New Roman" w:eastAsia="Times New Roman" w:hAnsi="Times New Roman" w:cs="Times New Roman"/>
          <w:i/>
          <w:sz w:val="24"/>
          <w:szCs w:val="24"/>
        </w:rPr>
        <w:t>Centres</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(IOSC) continued during the period under review.</w:t>
      </w:r>
    </w:p>
    <w:p w14:paraId="77458154"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above legal positive aspects, the Coalition is concerned with some laws, policies as well as practices which negatively affect the rights of LGBTI persons. In this regard, the Coalition </w:t>
      </w:r>
      <w:r>
        <w:rPr>
          <w:rFonts w:ascii="Times New Roman" w:eastAsia="Times New Roman" w:hAnsi="Times New Roman" w:cs="Times New Roman"/>
          <w:sz w:val="24"/>
          <w:szCs w:val="24"/>
        </w:rPr>
        <w:lastRenderedPageBreak/>
        <w:t xml:space="preserve">has identified the following issues: stigma and discrimination, violation of physical and mental integrity, lack of legal recognition for Transgender and other non-binary gender and inadequate legal protection against gender-based violence and sexual harassment. </w:t>
      </w:r>
    </w:p>
    <w:p w14:paraId="407F7A16" w14:textId="77777777" w:rsidR="0056279D" w:rsidRDefault="0056279D" w:rsidP="0056279D">
      <w:pPr>
        <w:spacing w:line="360" w:lineRule="auto"/>
        <w:jc w:val="both"/>
        <w:rPr>
          <w:rFonts w:ascii="Times New Roman" w:eastAsia="Times New Roman" w:hAnsi="Times New Roman" w:cs="Times New Roman"/>
          <w:sz w:val="24"/>
          <w:szCs w:val="24"/>
        </w:rPr>
      </w:pPr>
    </w:p>
    <w:p w14:paraId="757B8085" w14:textId="77777777" w:rsidR="0056279D" w:rsidRDefault="0056279D" w:rsidP="00CA3E4C">
      <w:pPr>
        <w:pBdr>
          <w:top w:val="nil"/>
          <w:left w:val="nil"/>
          <w:bottom w:val="nil"/>
          <w:right w:val="nil"/>
          <w:between w:val="nil"/>
        </w:pBdr>
        <w:tabs>
          <w:tab w:val="left" w:pos="27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AREAS OF CONCERN IN THE CONTEXT OF GENDER IDENTITY, </w:t>
      </w:r>
      <w:proofErr w:type="gramStart"/>
      <w:r>
        <w:rPr>
          <w:rFonts w:ascii="Times New Roman" w:eastAsia="Times New Roman" w:hAnsi="Times New Roman" w:cs="Times New Roman"/>
          <w:b/>
          <w:sz w:val="24"/>
          <w:szCs w:val="24"/>
        </w:rPr>
        <w:t>AND  GENDER</w:t>
      </w:r>
      <w:proofErr w:type="gramEnd"/>
      <w:r>
        <w:rPr>
          <w:rFonts w:ascii="Times New Roman" w:eastAsia="Times New Roman" w:hAnsi="Times New Roman" w:cs="Times New Roman"/>
          <w:b/>
          <w:sz w:val="24"/>
          <w:szCs w:val="24"/>
        </w:rPr>
        <w:t xml:space="preserve"> BASED VIOLENCE </w:t>
      </w:r>
    </w:p>
    <w:p w14:paraId="1DFE690D" w14:textId="77777777" w:rsidR="0056279D" w:rsidRDefault="0056279D" w:rsidP="0056279D">
      <w:pPr>
        <w:pBdr>
          <w:top w:val="nil"/>
          <w:left w:val="nil"/>
          <w:bottom w:val="nil"/>
          <w:right w:val="nil"/>
          <w:between w:val="nil"/>
        </w:pBdr>
        <w:tabs>
          <w:tab w:val="left" w:pos="270"/>
        </w:tabs>
        <w:spacing w:line="360" w:lineRule="auto"/>
        <w:ind w:left="720"/>
        <w:jc w:val="both"/>
        <w:rPr>
          <w:rFonts w:ascii="Times New Roman" w:eastAsia="Times New Roman" w:hAnsi="Times New Roman" w:cs="Times New Roman"/>
          <w:b/>
          <w:sz w:val="24"/>
          <w:szCs w:val="24"/>
        </w:rPr>
      </w:pPr>
    </w:p>
    <w:p w14:paraId="4410DF94" w14:textId="41BE85AF" w:rsidR="0056279D" w:rsidRDefault="0056279D" w:rsidP="0056279D">
      <w:pPr>
        <w:pBdr>
          <w:top w:val="nil"/>
          <w:left w:val="nil"/>
          <w:bottom w:val="nil"/>
          <w:right w:val="nil"/>
          <w:between w:val="nil"/>
        </w:pBdr>
        <w:spacing w:line="360" w:lineRule="auto"/>
        <w:jc w:val="both"/>
        <w:rPr>
          <w:b/>
        </w:rPr>
      </w:pPr>
      <w:r>
        <w:rPr>
          <w:rFonts w:ascii="Times New Roman" w:eastAsia="Times New Roman" w:hAnsi="Times New Roman" w:cs="Times New Roman"/>
          <w:b/>
          <w:i/>
          <w:sz w:val="24"/>
          <w:szCs w:val="24"/>
        </w:rPr>
        <w:t>Stigma and discrimination</w:t>
      </w:r>
      <w:r>
        <w:rPr>
          <w:rFonts w:ascii="Times New Roman" w:eastAsia="Times New Roman" w:hAnsi="Times New Roman" w:cs="Times New Roman"/>
          <w:b/>
        </w:rPr>
        <w:t xml:space="preserve"> </w:t>
      </w:r>
    </w:p>
    <w:p w14:paraId="565E1206"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Coalition is concerned with the omission of sexual orientation and gender identity among the acts which constitute the crimes of discrimination by article 163 of the Law Nº68/2018 of 30/08/2018 determining offenses and penalties in general.</w:t>
      </w:r>
    </w:p>
    <w:p w14:paraId="71E6412D"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research study, conducted in 2021, on experiences lived by LGBTI persons and public perceptions of sexual and gender minorities in Rwanda revealed that 30.5 % of the respondents, members of the LGBT community, faced discrimination when looking for housing, 20.2% when looking for employment and 47.3% when seeking health services.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14:paraId="295F42C0"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in the implementation of a collaborative project, HDI and its partners recorded various allegations of human rights violations committed against members of the LGBT community.</w:t>
      </w:r>
      <w:r>
        <w:rPr>
          <w:rFonts w:ascii="Times New Roman" w:eastAsia="Times New Roman" w:hAnsi="Times New Roman" w:cs="Times New Roman"/>
          <w:b/>
          <w:sz w:val="24"/>
          <w:szCs w:val="24"/>
          <w:vertAlign w:val="superscript"/>
        </w:rPr>
        <w:footnoteReference w:id="11"/>
      </w:r>
      <w:r>
        <w:rPr>
          <w:rFonts w:ascii="Times New Roman" w:eastAsia="Times New Roman" w:hAnsi="Times New Roman" w:cs="Times New Roman"/>
          <w:sz w:val="24"/>
          <w:szCs w:val="24"/>
        </w:rPr>
        <w:t xml:space="preserve">  The alleged cases of discrimination included unfair employment termination, limited access to health care services, family rejection and school and family expulsion and forced drop out.</w:t>
      </w:r>
    </w:p>
    <w:p w14:paraId="46908CB4"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this regard, Four (4) gay persons and 1 transgender person were allegedly expelled from school based on their sexual orientation and gender identity respectively while Five (</w:t>
      </w:r>
      <w:proofErr w:type="gramStart"/>
      <w:r>
        <w:rPr>
          <w:rFonts w:ascii="Times New Roman" w:eastAsia="Times New Roman" w:hAnsi="Times New Roman" w:cs="Times New Roman"/>
          <w:sz w:val="24"/>
          <w:szCs w:val="24"/>
        </w:rPr>
        <w:t>5 )gay</w:t>
      </w:r>
      <w:proofErr w:type="gramEnd"/>
      <w:r>
        <w:rPr>
          <w:rFonts w:ascii="Times New Roman" w:eastAsia="Times New Roman" w:hAnsi="Times New Roman" w:cs="Times New Roman"/>
          <w:sz w:val="24"/>
          <w:szCs w:val="24"/>
        </w:rPr>
        <w:t xml:space="preserve"> persons had to discontinue their study after their parents refused to pay for their school fees after finding out they were gay. </w:t>
      </w:r>
      <w:proofErr w:type="gramStart"/>
      <w:r>
        <w:rPr>
          <w:rFonts w:ascii="Times New Roman" w:eastAsia="Times New Roman" w:hAnsi="Times New Roman" w:cs="Times New Roman"/>
          <w:sz w:val="24"/>
          <w:szCs w:val="24"/>
        </w:rPr>
        <w:t>Equally,  cases</w:t>
      </w:r>
      <w:proofErr w:type="gramEnd"/>
      <w:r>
        <w:rPr>
          <w:rFonts w:ascii="Times New Roman" w:eastAsia="Times New Roman" w:hAnsi="Times New Roman" w:cs="Times New Roman"/>
          <w:sz w:val="24"/>
          <w:szCs w:val="24"/>
        </w:rPr>
        <w:t xml:space="preserve"> of unfair employment termination were recorded, mostly in the informal sector, where five (5) individuals lost their job when their employers knew that they were gay.</w:t>
      </w:r>
    </w:p>
    <w:p w14:paraId="32729DC6"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a focused group discussion, some members of the LGBT Community shared individual testimonies of stigma and discrimination faced within their family and siblings.</w:t>
      </w:r>
    </w:p>
    <w:p w14:paraId="20269925" w14:textId="77777777" w:rsidR="00042462" w:rsidRDefault="00042462" w:rsidP="0056279D">
      <w:pPr>
        <w:spacing w:line="360" w:lineRule="auto"/>
        <w:jc w:val="both"/>
        <w:rPr>
          <w:rFonts w:ascii="Times New Roman" w:eastAsia="Times New Roman" w:hAnsi="Times New Roman" w:cs="Times New Roman"/>
          <w:sz w:val="24"/>
          <w:szCs w:val="24"/>
        </w:rPr>
      </w:pPr>
    </w:p>
    <w:p w14:paraId="721B7A3C" w14:textId="3744ADAF" w:rsidR="0056279D" w:rsidRDefault="0056279D" w:rsidP="0056279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Violation of mental and physical integrity </w:t>
      </w:r>
    </w:p>
    <w:p w14:paraId="232D50AD"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Coalition is concerned with allegations of acts which violated the mental and physical integrity of the members of the LGBT community especially gay and lesbians. These violations were allegedly committed by non-state actors namely individuals including family members, neighbors and population in general. Thes acts include physical assault, insults against LGBTI Persons and more specifically sexual violence against lesbians.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1C7CC083"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members of the LGBT community during a focused discussion mentioned cases where they were physically assaulted by their members of their family on the mere ground of their sexual orientation and gender identity and also provided testimony of being subjected to conversion therapy at the request of their parents and siblings. </w:t>
      </w:r>
    </w:p>
    <w:p w14:paraId="78F215E3"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findings from a study revealed that Technology Facilitated Gender Based Violence (TFGBV) is increasingly pervasive, disproportionately LGBTQ persons as their identities challenge patriarchal norms.</w:t>
      </w:r>
      <w:r>
        <w:rPr>
          <w:rFonts w:ascii="Times New Roman" w:eastAsia="Times New Roman" w:hAnsi="Times New Roman" w:cs="Times New Roman"/>
          <w:sz w:val="24"/>
          <w:szCs w:val="24"/>
          <w:vertAlign w:val="superscript"/>
        </w:rPr>
        <w:footnoteReference w:id="13"/>
      </w:r>
    </w:p>
    <w:p w14:paraId="09E034B4" w14:textId="77777777" w:rsidR="00042462" w:rsidRDefault="00042462" w:rsidP="0056279D">
      <w:pPr>
        <w:spacing w:line="360" w:lineRule="auto"/>
        <w:jc w:val="both"/>
        <w:rPr>
          <w:rFonts w:ascii="Times New Roman" w:eastAsia="Times New Roman" w:hAnsi="Times New Roman" w:cs="Times New Roman"/>
          <w:sz w:val="24"/>
          <w:szCs w:val="24"/>
        </w:rPr>
      </w:pPr>
    </w:p>
    <w:p w14:paraId="7A3E9D6C" w14:textId="398DBF40" w:rsidR="0056279D" w:rsidRDefault="0056279D" w:rsidP="0056279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Lack of legal recognition for non-binary gender identities</w:t>
      </w:r>
    </w:p>
    <w:p w14:paraId="4F2A3118" w14:textId="77777777" w:rsidR="0056279D" w:rsidRDefault="0056279D" w:rsidP="0056279D">
      <w:pPr>
        <w:spacing w:line="360" w:lineRule="auto"/>
        <w:jc w:val="both"/>
        <w:rPr>
          <w:rFonts w:ascii="Times New Roman" w:eastAsia="Times New Roman" w:hAnsi="Times New Roman" w:cs="Times New Roman"/>
          <w:sz w:val="24"/>
          <w:szCs w:val="24"/>
        </w:rPr>
      </w:pPr>
      <w:bookmarkStart w:id="0" w:name="_heading=h.9b82rk5lrrvo" w:colFirst="0" w:colLast="0"/>
      <w:bookmarkEnd w:id="0"/>
      <w:r>
        <w:rPr>
          <w:rFonts w:ascii="Times New Roman" w:eastAsia="Times New Roman" w:hAnsi="Times New Roman" w:cs="Times New Roman"/>
          <w:sz w:val="24"/>
          <w:szCs w:val="24"/>
        </w:rPr>
        <w:t>Although, article 16 of the Constitution prohibits discrimination, the legal framework does not recognize non-binary gender identities. In this regard, article 44 of the Law Nº</w:t>
      </w:r>
      <w:r>
        <w:rPr>
          <w:rFonts w:ascii="Times New Roman" w:eastAsia="Times New Roman" w:hAnsi="Times New Roman" w:cs="Times New Roman"/>
          <w:b/>
          <w:sz w:val="24"/>
          <w:szCs w:val="24"/>
        </w:rPr>
        <w:t xml:space="preserve"> 71/2024 of 26/06/2024 </w:t>
      </w:r>
      <w:r>
        <w:rPr>
          <w:rFonts w:ascii="Times New Roman" w:eastAsia="Times New Roman" w:hAnsi="Times New Roman" w:cs="Times New Roman"/>
          <w:sz w:val="24"/>
          <w:szCs w:val="24"/>
        </w:rPr>
        <w:t xml:space="preserve">governing persons and family defines sex as the human physiological state of being male of female and article 45 of the same Law Nº71/2024 provides that the sex of a person is the one recorded in his or her birth record.  </w:t>
      </w:r>
    </w:p>
    <w:p w14:paraId="20AA3F1C"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Coalition is concerned with the fact that the mentioned Law does not provide for sex re-assignment in the birth record. In addition, the identity of sex on official documents such as birth certificate, identification card to name a few does not represent the diversity of gender identities that exist. The lack of legal recognition in relation to gender identity has negative impacts on other laws, policies and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as explained further in this report. </w:t>
      </w:r>
    </w:p>
    <w:p w14:paraId="3E43E366"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Coalition is also concerned with the omission of Transgender, Lesbians, Transgender and intersex Persons in the Revised National Gender Policy.</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4D778BCF"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lack of a legal recognition has a negative impact on the daily lives of transgender persons as revealed during a focused discussion where they indicated that they are subjected to humiliating and intrusive questions from other persons about their physical appearance and sex mentioned in their national identification card as often they suspect it as a mismatch.   </w:t>
      </w:r>
    </w:p>
    <w:p w14:paraId="6EB7AFE3" w14:textId="77777777" w:rsidR="00042462" w:rsidRDefault="00042462" w:rsidP="0056279D">
      <w:pPr>
        <w:spacing w:line="360" w:lineRule="auto"/>
        <w:jc w:val="both"/>
        <w:rPr>
          <w:rFonts w:ascii="Times New Roman" w:eastAsia="Times New Roman" w:hAnsi="Times New Roman" w:cs="Times New Roman"/>
          <w:sz w:val="24"/>
          <w:szCs w:val="24"/>
        </w:rPr>
      </w:pPr>
    </w:p>
    <w:p w14:paraId="7E3B502C" w14:textId="7185C5B0" w:rsidR="0056279D" w:rsidRDefault="0056279D" w:rsidP="0056279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Inadequate legal protection </w:t>
      </w:r>
    </w:p>
    <w:p w14:paraId="447FAF3B"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article 15 of the Constitution guarantees the right to equal protection to everyone, the Law N°59/2008 of 10/09/2008 on prevention and punishment of gender- based violence does not provide protection of LGBTI persons in relation to gender-based violence as article 2 of this law defines gender-based violence as an act that results in a bodily, psychological, sexual and economic harm to somebody just because they are female or male. </w:t>
      </w:r>
    </w:p>
    <w:p w14:paraId="39438B8B" w14:textId="77777777" w:rsidR="00CA3E4C" w:rsidRDefault="0056279D" w:rsidP="00CA3E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Coalition is concerned with the omission of Transgender and Intersex persons in the National gender-based violence indicators.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 Coalition is of the view that the exclusion of Transgender and other non-binary gender persons make statistical data collection on gender- based violence incomplete and thus hinders any design and implementation of strategies to fight gender-based violence in a broader and inclusive manner.</w:t>
      </w:r>
    </w:p>
    <w:p w14:paraId="7BAC321F" w14:textId="77777777" w:rsidR="00CA3E4C" w:rsidRDefault="00CA3E4C" w:rsidP="00CA3E4C">
      <w:pPr>
        <w:spacing w:line="360" w:lineRule="auto"/>
        <w:jc w:val="both"/>
        <w:rPr>
          <w:rFonts w:ascii="Times New Roman" w:eastAsia="Times New Roman" w:hAnsi="Times New Roman" w:cs="Times New Roman"/>
          <w:sz w:val="24"/>
          <w:szCs w:val="24"/>
        </w:rPr>
      </w:pPr>
    </w:p>
    <w:p w14:paraId="46E8CC27" w14:textId="6F4D185A" w:rsidR="0056279D" w:rsidRPr="00CA3E4C" w:rsidRDefault="0056279D" w:rsidP="00CA3E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SEXUAL HARASSMENT </w:t>
      </w:r>
    </w:p>
    <w:p w14:paraId="6BECE17C"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Coalition commends the Government of Rwanda for ratifying in 2023 the Violence and Harassment Convention of the International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Organization, commonly known as ILO C-190. </w:t>
      </w:r>
    </w:p>
    <w:p w14:paraId="799352C5"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Coalition also notes that article 8 of the Law n° 66/2018 of 30/08/2018 regulating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 Rwanda prohibits sexual harassment by an employer towards an employee and protects employees from dismissal for reporting or testifying about such harassment.  </w:t>
      </w:r>
    </w:p>
    <w:p w14:paraId="23DB522B"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Coalition further notes the criminalization of sexual harassment under article 149 of the Law No. 68/2018 of 30/08/2018 on offences and penalties in general with an imprisonment ranging </w:t>
      </w:r>
      <w:r>
        <w:rPr>
          <w:rFonts w:ascii="Times New Roman" w:eastAsia="Times New Roman" w:hAnsi="Times New Roman" w:cs="Times New Roman"/>
          <w:sz w:val="24"/>
          <w:szCs w:val="24"/>
        </w:rPr>
        <w:lastRenderedPageBreak/>
        <w:t xml:space="preserve">from six months to one year and a fine ranging from one hundred thousand to two hundred thousand Rwandan francs (FRW 100,000 to FRW 200,000). Lastly, the Coalition notes also the criminalization of sexual harassment under article Law N°59/2008 of 10/09/2008 on prevention and punishment of gender- based violence. </w:t>
      </w:r>
    </w:p>
    <w:p w14:paraId="10E25102" w14:textId="77777777" w:rsidR="00042462" w:rsidRDefault="00042462" w:rsidP="0056279D">
      <w:pPr>
        <w:spacing w:line="360" w:lineRule="auto"/>
        <w:jc w:val="both"/>
        <w:rPr>
          <w:rFonts w:ascii="Times New Roman" w:eastAsia="Times New Roman" w:hAnsi="Times New Roman" w:cs="Times New Roman"/>
          <w:i/>
          <w:sz w:val="24"/>
          <w:szCs w:val="24"/>
        </w:rPr>
      </w:pPr>
    </w:p>
    <w:p w14:paraId="2FEC062D" w14:textId="180BD22A" w:rsidR="0056279D" w:rsidRDefault="0056279D" w:rsidP="00CA3E4C">
      <w:pPr>
        <w:pBdr>
          <w:top w:val="nil"/>
          <w:left w:val="nil"/>
          <w:bottom w:val="nil"/>
          <w:right w:val="nil"/>
          <w:between w:val="nil"/>
        </w:pBdr>
        <w:tabs>
          <w:tab w:val="left" w:pos="180"/>
        </w:tabs>
        <w:rPr>
          <w:b/>
        </w:rPr>
      </w:pPr>
      <w:r>
        <w:rPr>
          <w:rFonts w:ascii="Times New Roman" w:eastAsia="Times New Roman" w:hAnsi="Times New Roman" w:cs="Times New Roman"/>
          <w:b/>
          <w:sz w:val="24"/>
          <w:szCs w:val="24"/>
        </w:rPr>
        <w:t xml:space="preserve">AREAS OF CONCERN FOR SEXUAL HARASSMENT </w:t>
      </w:r>
    </w:p>
    <w:p w14:paraId="0CB5BBED" w14:textId="77777777" w:rsidR="0056279D" w:rsidRDefault="0056279D" w:rsidP="0056279D">
      <w:pPr>
        <w:pBdr>
          <w:top w:val="nil"/>
          <w:left w:val="nil"/>
          <w:bottom w:val="nil"/>
          <w:right w:val="nil"/>
          <w:between w:val="nil"/>
        </w:pBdr>
        <w:tabs>
          <w:tab w:val="left" w:pos="720"/>
        </w:tabs>
        <w:rPr>
          <w:b/>
        </w:rPr>
      </w:pPr>
    </w:p>
    <w:p w14:paraId="32F722D4" w14:textId="77777777" w:rsidR="0056279D" w:rsidRDefault="0056279D" w:rsidP="00CA3E4C">
      <w:pPr>
        <w:pBdr>
          <w:top w:val="nil"/>
          <w:left w:val="nil"/>
          <w:bottom w:val="nil"/>
          <w:right w:val="nil"/>
          <w:between w:val="nil"/>
        </w:pBdr>
        <w:tabs>
          <w:tab w:val="left" w:pos="360"/>
        </w:tabs>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 xml:space="preserve">Limited scope of prohibition and protection </w:t>
      </w:r>
    </w:p>
    <w:p w14:paraId="4DFFED8A"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Coalition is concerned to with the limited scope of protection against sexual harassment in the workplace as the current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Law of 2018 primarily prohibits sexual on a vertical level that is employer to employee. The law does not specify remedies in case sexual harassment occurs between employees.</w:t>
      </w:r>
    </w:p>
    <w:p w14:paraId="6E48AEC2" w14:textId="188A5553" w:rsidR="0056279D" w:rsidRDefault="0056279D" w:rsidP="00CA3E4C">
      <w:pPr>
        <w:pBdr>
          <w:top w:val="nil"/>
          <w:left w:val="nil"/>
          <w:bottom w:val="nil"/>
          <w:right w:val="nil"/>
          <w:between w:val="nil"/>
        </w:pBdr>
        <w:tabs>
          <w:tab w:val="left" w:pos="360"/>
        </w:tabs>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Limited scope of definition in the context of criminalization </w:t>
      </w:r>
    </w:p>
    <w:p w14:paraId="75652A54"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Article 149 of the Law N</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 68/2018 of 30/08/2018 on offences and penalties in general criminalize sexual harassment at workplace, it has several limitations. Firstly, the scope of sexual harassment is limited to acts involving orders, intimidation, and terror. Secondly, it confines the crime of sexual harassment to employer-employee or supervisor-supervisee relationships and fails to acknowledge sexual harassment between employees on the same job level. </w:t>
      </w:r>
    </w:p>
    <w:p w14:paraId="4515E169" w14:textId="77777777" w:rsidR="0056279D" w:rsidRDefault="0056279D" w:rsidP="005627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concern is the Law N°59/2008 of 10/09/2008 on prevention and punishment of gender- based violence on Gender Based violence that criminalizes sexual harassment without defining what constitute sexual harassment.</w:t>
      </w:r>
    </w:p>
    <w:p w14:paraId="73754D96" w14:textId="77777777" w:rsidR="0056279D" w:rsidRDefault="0056279D" w:rsidP="00CA3E4C">
      <w:pPr>
        <w:pBdr>
          <w:top w:val="nil"/>
          <w:left w:val="nil"/>
          <w:bottom w:val="nil"/>
          <w:right w:val="nil"/>
          <w:between w:val="nil"/>
        </w:pBdr>
        <w:tabs>
          <w:tab w:val="left" w:pos="450"/>
        </w:tabs>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Discrepancy in penalties </w:t>
      </w:r>
    </w:p>
    <w:p w14:paraId="1A2B10BF" w14:textId="26CA2D58" w:rsidR="00CA3E4C" w:rsidRPr="00042462" w:rsidRDefault="0056279D" w:rsidP="00042462">
      <w:pPr>
        <w:spacing w:line="360" w:lineRule="auto"/>
        <w:jc w:val="both"/>
        <w:rPr>
          <w:rFonts w:ascii="Times New Roman" w:eastAsia="Times New Roman" w:hAnsi="Times New Roman" w:cs="Times New Roman"/>
          <w:sz w:val="24"/>
          <w:szCs w:val="24"/>
        </w:rPr>
      </w:pPr>
      <w:bookmarkStart w:id="1" w:name="_heading=h.86832s8acl5" w:colFirst="0" w:colLast="0"/>
      <w:bookmarkEnd w:id="1"/>
      <w:r>
        <w:rPr>
          <w:rFonts w:ascii="Times New Roman" w:eastAsia="Times New Roman" w:hAnsi="Times New Roman" w:cs="Times New Roman"/>
          <w:sz w:val="24"/>
          <w:szCs w:val="24"/>
        </w:rPr>
        <w:t>The Law N°59/2008 of 10/09/2008 on prevention and punishment of gender- based violence provides heavier punishment than the Law N</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 68/2018 of 30/08/2018 on offences and penalties. Indeed, article 24 of Law N°59/2008 of 10/09/2008 on prevention and punishment of gender- based violence provides for the imprisonment from two (2) years to five (5) years and a fine between one hundred thousand (100,000 </w:t>
      </w:r>
      <w:proofErr w:type="spellStart"/>
      <w:r>
        <w:rPr>
          <w:rFonts w:ascii="Times New Roman" w:eastAsia="Times New Roman" w:hAnsi="Times New Roman" w:cs="Times New Roman"/>
          <w:sz w:val="24"/>
          <w:szCs w:val="24"/>
        </w:rPr>
        <w:t>Rwf</w:t>
      </w:r>
      <w:proofErr w:type="spellEnd"/>
      <w:r>
        <w:rPr>
          <w:rFonts w:ascii="Times New Roman" w:eastAsia="Times New Roman" w:hAnsi="Times New Roman" w:cs="Times New Roman"/>
          <w:sz w:val="24"/>
          <w:szCs w:val="24"/>
        </w:rPr>
        <w:t xml:space="preserve">) Rwandan francs and two hundred thousand (200,000 </w:t>
      </w:r>
      <w:proofErr w:type="spellStart"/>
      <w:r>
        <w:rPr>
          <w:rFonts w:ascii="Times New Roman" w:eastAsia="Times New Roman" w:hAnsi="Times New Roman" w:cs="Times New Roman"/>
          <w:sz w:val="24"/>
          <w:szCs w:val="24"/>
        </w:rPr>
        <w:t>Rwf</w:t>
      </w:r>
      <w:proofErr w:type="spellEnd"/>
      <w:r>
        <w:rPr>
          <w:rFonts w:ascii="Times New Roman" w:eastAsia="Times New Roman" w:hAnsi="Times New Roman" w:cs="Times New Roman"/>
          <w:sz w:val="24"/>
          <w:szCs w:val="24"/>
        </w:rPr>
        <w:t xml:space="preserve">) Rwandan francs while article 149 of the Law No. 68/2018 of 30/08/2018 on offences and penalties provides for an imprisonment ranging from six months to one year and a </w:t>
      </w:r>
      <w:r>
        <w:rPr>
          <w:rFonts w:ascii="Times New Roman" w:eastAsia="Times New Roman" w:hAnsi="Times New Roman" w:cs="Times New Roman"/>
          <w:sz w:val="24"/>
          <w:szCs w:val="24"/>
        </w:rPr>
        <w:lastRenderedPageBreak/>
        <w:t xml:space="preserve">fine ranging from one hundred thousand to two hundred thousand Rwandan francs (FRW 100,000 to FRW 200,000). </w:t>
      </w:r>
      <w:bookmarkStart w:id="2" w:name="_heading=h.ofuph229wdj" w:colFirst="0" w:colLast="0"/>
      <w:bookmarkEnd w:id="2"/>
    </w:p>
    <w:p w14:paraId="63F63332" w14:textId="77777777" w:rsidR="00CA3E4C" w:rsidRDefault="00CA3E4C" w:rsidP="00CA3E4C">
      <w:pPr>
        <w:pBdr>
          <w:top w:val="nil"/>
          <w:left w:val="nil"/>
          <w:bottom w:val="nil"/>
          <w:right w:val="nil"/>
          <w:between w:val="nil"/>
        </w:pBdr>
        <w:tabs>
          <w:tab w:val="left" w:pos="270"/>
        </w:tabs>
        <w:spacing w:line="360" w:lineRule="auto"/>
        <w:jc w:val="both"/>
        <w:rPr>
          <w:rFonts w:ascii="Times New Roman" w:eastAsia="Times New Roman" w:hAnsi="Times New Roman" w:cs="Times New Roman"/>
          <w:b/>
          <w:sz w:val="24"/>
          <w:szCs w:val="24"/>
        </w:rPr>
      </w:pPr>
    </w:p>
    <w:p w14:paraId="088FEBBE" w14:textId="012E300E" w:rsidR="0056279D" w:rsidRDefault="0056279D" w:rsidP="00CA3E4C">
      <w:pPr>
        <w:pBdr>
          <w:top w:val="nil"/>
          <w:left w:val="nil"/>
          <w:bottom w:val="nil"/>
          <w:right w:val="nil"/>
          <w:between w:val="nil"/>
        </w:pBdr>
        <w:tabs>
          <w:tab w:val="left" w:pos="270"/>
        </w:tab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w:t>
      </w:r>
    </w:p>
    <w:p w14:paraId="14539398" w14:textId="77777777" w:rsidR="0056279D" w:rsidRDefault="0056279D" w:rsidP="0056279D">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6551F134" w14:textId="7716E226" w:rsidR="0056279D" w:rsidRDefault="0056279D" w:rsidP="00CA3E4C">
      <w:pPr>
        <w:pBdr>
          <w:top w:val="nil"/>
          <w:left w:val="nil"/>
          <w:bottom w:val="nil"/>
          <w:right w:val="nil"/>
          <w:between w:val="nil"/>
        </w:pBdr>
        <w:tabs>
          <w:tab w:val="left" w:pos="360"/>
        </w:tabs>
        <w:spacing w:after="20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Sexual Orientation and Gender Identity </w:t>
      </w:r>
    </w:p>
    <w:p w14:paraId="139F4092" w14:textId="77777777" w:rsidR="0056279D" w:rsidRDefault="0056279D" w:rsidP="0056279D">
      <w:pPr>
        <w:spacing w:line="360" w:lineRule="auto"/>
        <w:jc w:val="both"/>
        <w:rPr>
          <w:rFonts w:ascii="Times New Roman" w:eastAsia="Times New Roman" w:hAnsi="Times New Roman" w:cs="Times New Roman"/>
          <w:sz w:val="24"/>
          <w:szCs w:val="24"/>
        </w:rPr>
      </w:pPr>
      <w:bookmarkStart w:id="3" w:name="_heading=h.ektj7dt8jk0v" w:colFirst="0" w:colLast="0"/>
      <w:bookmarkEnd w:id="3"/>
      <w:r>
        <w:rPr>
          <w:rFonts w:ascii="Times New Roman" w:eastAsia="Times New Roman" w:hAnsi="Times New Roman" w:cs="Times New Roman"/>
          <w:sz w:val="24"/>
          <w:szCs w:val="24"/>
        </w:rPr>
        <w:t xml:space="preserve">The Coalition calls upon the Working Group to recommend to the Government of Rwanda to: </w:t>
      </w:r>
    </w:p>
    <w:p w14:paraId="5F7CCAFF"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Article 16 of the Constitution to include gender identity and sexual orientation among prohibited grounds of discrimination.</w:t>
      </w:r>
    </w:p>
    <w:p w14:paraId="51848E0C"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Article 44 of the Law N</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71/2024 of 26/06/2024 governing persons and family with the view of granting legal recognition to non-binary gender persons. </w:t>
      </w:r>
    </w:p>
    <w:p w14:paraId="654A5466"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article 45 of Law N</w:t>
      </w:r>
      <w:r>
        <w:rPr>
          <w:rFonts w:ascii="Times New Roman" w:eastAsia="Times New Roman" w:hAnsi="Times New Roman" w:cs="Times New Roman"/>
          <w:sz w:val="24"/>
          <w:szCs w:val="24"/>
          <w:vertAlign w:val="superscript"/>
        </w:rPr>
        <w:t xml:space="preserve">o </w:t>
      </w:r>
      <w:r>
        <w:rPr>
          <w:rFonts w:ascii="Times New Roman" w:eastAsia="Times New Roman" w:hAnsi="Times New Roman" w:cs="Times New Roman"/>
          <w:sz w:val="24"/>
          <w:szCs w:val="24"/>
        </w:rPr>
        <w:t>71/2024 of 26/06/2024 governing persons and family with the view of enabling Transgender and Intersex Persons being registered in official documents as such.</w:t>
      </w:r>
    </w:p>
    <w:p w14:paraId="6F94B86D"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article 163 of the Law on Offences and Penalties in general with the view of including sexual orientation and gender identity among grounds for criminalization in the context of discrimination.</w:t>
      </w:r>
      <w:r>
        <w:t xml:space="preserve"> </w:t>
      </w:r>
    </w:p>
    <w:p w14:paraId="3774129A"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and implement legal reforms to explicitly recognize the rights of LGBTQ persons to ensure equitable protection from Technically Facilitated Gender Based-Violence.</w:t>
      </w:r>
    </w:p>
    <w:p w14:paraId="7AFA7216"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all gender related strategies and policies with the view to include Transgender, Intersex and other non-binary persons.</w:t>
      </w:r>
    </w:p>
    <w:p w14:paraId="74F7B584"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Allow changes in official documents including National Identification for Transgender, Intersex and other non-gender binary persons.</w:t>
      </w:r>
    </w:p>
    <w:p w14:paraId="5DFB8F26"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 law enforcement officials and agencies on non-discrimination on Gender Identity and sexual orientation.</w:t>
      </w:r>
    </w:p>
    <w:p w14:paraId="16AF8AEF"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a strategy on eradication of stigma and discrimination against LGBTI Persons.</w:t>
      </w:r>
    </w:p>
    <w:p w14:paraId="6771BC67"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Amend the Law on Gender Based Violence with the view of expanding the definition of gender-based violence that includes violence against gender identity and expression. </w:t>
      </w:r>
    </w:p>
    <w:p w14:paraId="1155A37F"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the National Policy against Gender Based Violence with the view of including gender identity and expression.</w:t>
      </w:r>
    </w:p>
    <w:p w14:paraId="1D6DFE14"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Include LGBTI issues in the national efforts to combat gender-based violence (law and policy)</w:t>
      </w:r>
    </w:p>
    <w:p w14:paraId="1FB90EEC"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Include Transgender, intersex and other non -binary persons among indicators in data collections for research and programming purposes. </w:t>
      </w:r>
    </w:p>
    <w:p w14:paraId="197E3C6B"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Sensitize law enforcement agencies and officials on their duties to investigate and prosecute persons assaulting physically or verbally LGBTI persons. </w:t>
      </w:r>
    </w:p>
    <w:p w14:paraId="1AE08FB1" w14:textId="77777777" w:rsidR="0056279D" w:rsidRDefault="0056279D" w:rsidP="0056279D">
      <w:pPr>
        <w:numPr>
          <w:ilvl w:val="0"/>
          <w:numId w:val="5"/>
        </w:numPr>
        <w:spacing w:after="200" w:line="36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and implement initiatives to change negative public attitudes towards LGBTI persons.</w:t>
      </w:r>
    </w:p>
    <w:p w14:paraId="19836CAE" w14:textId="77777777" w:rsidR="00042462" w:rsidRDefault="00042462" w:rsidP="00042462">
      <w:pPr>
        <w:spacing w:after="200" w:line="360" w:lineRule="auto"/>
        <w:jc w:val="both"/>
        <w:rPr>
          <w:rFonts w:ascii="Times New Roman" w:eastAsia="Times New Roman" w:hAnsi="Times New Roman" w:cs="Times New Roman"/>
          <w:sz w:val="24"/>
          <w:szCs w:val="24"/>
        </w:rPr>
      </w:pPr>
    </w:p>
    <w:p w14:paraId="33F54355" w14:textId="522CD7B6" w:rsidR="0056279D" w:rsidRDefault="0056279D" w:rsidP="0056279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 xml:space="preserve">Sexual Harassment at workplace: </w:t>
      </w:r>
    </w:p>
    <w:p w14:paraId="6324D909" w14:textId="77777777" w:rsidR="0056279D" w:rsidRDefault="0056279D" w:rsidP="005627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Coalition calls upon the Working Group to recommend to the Government of Rwanda to: </w:t>
      </w:r>
    </w:p>
    <w:p w14:paraId="17A72136" w14:textId="77777777" w:rsidR="0056279D" w:rsidRDefault="0056279D" w:rsidP="0056279D">
      <w:pPr>
        <w:numPr>
          <w:ilvl w:val="0"/>
          <w:numId w:val="4"/>
        </w:numPr>
        <w:spacing w:after="20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Article 8 of the Law N° 66/2018 of 30/08/2018 regulating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to incorporate a comprehensive definition of sexual harassment, in line with ILO Convention 190, covering harassment by peers, employers, and subordinates, as well as incidents occurring during remote work, work-related social events, and travel.</w:t>
      </w:r>
    </w:p>
    <w:p w14:paraId="01B1E086" w14:textId="77777777" w:rsidR="0056279D" w:rsidRDefault="0056279D" w:rsidP="0056279D">
      <w:pPr>
        <w:numPr>
          <w:ilvl w:val="0"/>
          <w:numId w:val="4"/>
        </w:numPr>
        <w:spacing w:after="20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Article 149 of the Law No 68/2018 of 30/08/2018, to better align with the ILO Convention’s by broadening the definition of sexual harassment and extending the scope that goes beyond hierarchical relationships and thus covering all forms of workplace interactions which may amount to sexual harassment. </w:t>
      </w:r>
    </w:p>
    <w:p w14:paraId="1FFF283C" w14:textId="77777777" w:rsidR="0056279D" w:rsidRDefault="0056279D" w:rsidP="0056279D">
      <w:pPr>
        <w:numPr>
          <w:ilvl w:val="0"/>
          <w:numId w:val="4"/>
        </w:numPr>
        <w:spacing w:after="20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Harmonize Article 149 Law No 68/2018 of 30/08/2018 with article 24 of the Law N°59/2008 of 10/09/2008 on prevention and punishment of gender- based violence to ensure they provide the same punishments in case of sexual harassment. </w:t>
      </w:r>
    </w:p>
    <w:p w14:paraId="1AB73814" w14:textId="77777777" w:rsidR="0056279D" w:rsidRDefault="0056279D" w:rsidP="0056279D">
      <w:pPr>
        <w:numPr>
          <w:ilvl w:val="0"/>
          <w:numId w:val="4"/>
        </w:numPr>
        <w:spacing w:after="20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Review the Law N°59/2008 of 10/09/2008 on prevention and punishment of gender- based violence by including a comprehensive definition of sexual harassment with emphasis on LGBTI People.</w:t>
      </w:r>
    </w:p>
    <w:p w14:paraId="01EF1D2E" w14:textId="77777777" w:rsidR="0056279D" w:rsidRDefault="0056279D" w:rsidP="0056279D">
      <w:pPr>
        <w:numPr>
          <w:ilvl w:val="0"/>
          <w:numId w:val="4"/>
        </w:numPr>
        <w:spacing w:after="200" w:line="360" w:lineRule="auto"/>
        <w:ind w:left="360"/>
        <w:jc w:val="both"/>
        <w:rPr>
          <w:rFonts w:ascii="Times New Roman" w:eastAsia="Times New Roman" w:hAnsi="Times New Roman" w:cs="Times New Roman"/>
          <w:sz w:val="24"/>
          <w:szCs w:val="24"/>
        </w:rPr>
      </w:pPr>
      <w:bookmarkStart w:id="4" w:name="_heading=h.ue3fwp8ukept" w:colFirst="0" w:colLast="0"/>
      <w:bookmarkEnd w:id="4"/>
      <w:r>
        <w:rPr>
          <w:rFonts w:ascii="Times New Roman" w:eastAsia="Times New Roman" w:hAnsi="Times New Roman" w:cs="Times New Roman"/>
          <w:sz w:val="24"/>
          <w:szCs w:val="24"/>
        </w:rPr>
        <w:t>Develop and implement a comprehensive national policy on safeguarding against violence and harassment in the world of work in public and private sectors.</w:t>
      </w:r>
    </w:p>
    <w:p w14:paraId="45D1350F" w14:textId="77777777" w:rsidR="0056279D" w:rsidRDefault="0056279D" w:rsidP="0056279D">
      <w:pPr>
        <w:spacing w:after="240"/>
        <w:jc w:val="both"/>
        <w:rPr>
          <w:rFonts w:ascii="Times New Roman" w:eastAsia="Times New Roman" w:hAnsi="Times New Roman" w:cs="Times New Roman"/>
          <w:sz w:val="24"/>
          <w:szCs w:val="24"/>
        </w:rPr>
      </w:pPr>
    </w:p>
    <w:p w14:paraId="34E69F0A" w14:textId="77777777" w:rsidR="00BB09BF" w:rsidRDefault="000945A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We hope that this information is useful during the Council's review of Rwanda.  If you would like further information, please do not hesitate to contact the undersigned.</w:t>
      </w:r>
    </w:p>
    <w:p w14:paraId="0E701236" w14:textId="6B8436A1" w:rsidR="00BB09BF"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Email: </w:t>
      </w:r>
      <w:hyperlink r:id="rId8">
        <w:r>
          <w:rPr>
            <w:rFonts w:ascii="Times New Roman" w:eastAsia="Times New Roman" w:hAnsi="Times New Roman" w:cs="Times New Roman"/>
            <w:color w:val="1155CC"/>
            <w:sz w:val="24"/>
            <w:szCs w:val="24"/>
            <w:u w:val="single"/>
          </w:rPr>
          <w:t>kagaba@hdirwanda.org</w:t>
        </w:r>
      </w:hyperlink>
      <w:r w:rsidR="00042462">
        <w:t xml:space="preserve"> or info@hdirwanda.org</w:t>
      </w:r>
    </w:p>
    <w:p w14:paraId="7C775158" w14:textId="77777777" w:rsidR="00BB09BF"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Phone Number: </w:t>
      </w:r>
      <w:r>
        <w:rPr>
          <w:rFonts w:ascii="Times New Roman" w:eastAsia="Times New Roman" w:hAnsi="Times New Roman" w:cs="Times New Roman"/>
          <w:sz w:val="24"/>
          <w:szCs w:val="24"/>
        </w:rPr>
        <w:t>0788305117</w:t>
      </w:r>
    </w:p>
    <w:p w14:paraId="087891DC" w14:textId="77777777" w:rsidR="00BB09BF" w:rsidRDefault="00BB09BF">
      <w:pPr>
        <w:spacing w:before="240" w:after="240"/>
        <w:jc w:val="both"/>
        <w:rPr>
          <w:rFonts w:ascii="Times New Roman" w:eastAsia="Times New Roman" w:hAnsi="Times New Roman" w:cs="Times New Roman"/>
          <w:sz w:val="24"/>
          <w:szCs w:val="24"/>
        </w:rPr>
      </w:pPr>
    </w:p>
    <w:p w14:paraId="14806630" w14:textId="77777777" w:rsidR="00BB09BF" w:rsidRDefault="000945A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Sincerely,</w:t>
      </w:r>
    </w:p>
    <w:p w14:paraId="1CDCFAEF" w14:textId="77777777" w:rsidR="00BB09BF"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 Aflodis Kagaba</w:t>
      </w:r>
    </w:p>
    <w:p w14:paraId="64935ED7" w14:textId="77777777" w:rsidR="00BB09BF" w:rsidRDefault="000945AC">
      <w:pPr>
        <w:rPr>
          <w:rFonts w:ascii="Times New Roman" w:eastAsia="Times New Roman" w:hAnsi="Times New Roman" w:cs="Times New Roman"/>
          <w:sz w:val="24"/>
          <w:szCs w:val="24"/>
        </w:rPr>
      </w:pPr>
      <w:r>
        <w:rPr>
          <w:noProof/>
        </w:rPr>
        <w:drawing>
          <wp:inline distT="114300" distB="114300" distL="114300" distR="114300" wp14:anchorId="1DECCA39" wp14:editId="2016A6A1">
            <wp:extent cx="2128838" cy="93668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128838" cy="936689"/>
                    </a:xfrm>
                    <a:prstGeom prst="rect">
                      <a:avLst/>
                    </a:prstGeom>
                    <a:ln/>
                  </pic:spPr>
                </pic:pic>
              </a:graphicData>
            </a:graphic>
          </wp:inline>
        </w:drawing>
      </w:r>
    </w:p>
    <w:p w14:paraId="04AA4AE8" w14:textId="77777777" w:rsidR="00BB09BF" w:rsidRDefault="000945A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Director</w:t>
      </w:r>
    </w:p>
    <w:p w14:paraId="14084FDF" w14:textId="77777777" w:rsidR="00BB09BF" w:rsidRDefault="00BB09BF">
      <w:pPr>
        <w:jc w:val="both"/>
        <w:rPr>
          <w:rFonts w:ascii="Times New Roman" w:eastAsia="Times New Roman" w:hAnsi="Times New Roman" w:cs="Times New Roman"/>
          <w:sz w:val="24"/>
          <w:szCs w:val="24"/>
        </w:rPr>
      </w:pPr>
    </w:p>
    <w:sectPr w:rsidR="00BB09BF">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0BF95" w14:textId="77777777" w:rsidR="000945AC" w:rsidRDefault="000945AC">
      <w:pPr>
        <w:spacing w:line="240" w:lineRule="auto"/>
      </w:pPr>
      <w:r>
        <w:separator/>
      </w:r>
    </w:p>
  </w:endnote>
  <w:endnote w:type="continuationSeparator" w:id="0">
    <w:p w14:paraId="39ACA4CD" w14:textId="77777777" w:rsidR="000945AC" w:rsidRDefault="000945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587D45DF-6611-4192-A4F1-759D42D23D9D}"/>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2" w:fontKey="{54A44397-0867-487E-BB07-D6333712617D}"/>
  </w:font>
  <w:font w:name="Calibri">
    <w:panose1 w:val="020F0502020204030204"/>
    <w:charset w:val="00"/>
    <w:family w:val="swiss"/>
    <w:pitch w:val="variable"/>
    <w:sig w:usb0="E4002EFF" w:usb1="C200247B" w:usb2="00000009" w:usb3="00000000" w:csb0="000001FF" w:csb1="00000000"/>
    <w:embedRegular r:id="rId3" w:fontKey="{C2CD3599-3FE0-4684-B866-4511CBC62967}"/>
  </w:font>
  <w:font w:name="Cambria">
    <w:panose1 w:val="02040503050406030204"/>
    <w:charset w:val="00"/>
    <w:family w:val="roman"/>
    <w:pitch w:val="variable"/>
    <w:sig w:usb0="E00006FF" w:usb1="420024FF" w:usb2="02000000" w:usb3="00000000" w:csb0="0000019F" w:csb1="00000000"/>
    <w:embedRegular r:id="rId4" w:fontKey="{D1602C42-4E2B-408B-B28B-ABBA39DE02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5F148" w14:textId="77777777" w:rsidR="00BB09BF" w:rsidRDefault="000945AC">
    <w:pPr>
      <w:pBdr>
        <w:top w:val="single" w:sz="24" w:space="1" w:color="622423"/>
      </w:pBdr>
      <w:tabs>
        <w:tab w:val="center" w:pos="4680"/>
        <w:tab w:val="right" w:pos="9360"/>
        <w:tab w:val="right" w:pos="9972"/>
      </w:tabs>
      <w:spacing w:line="240" w:lineRule="auto"/>
      <w:rPr>
        <w:rFonts w:ascii="Calibri" w:eastAsia="Calibri" w:hAnsi="Calibri" w:cs="Calibri"/>
        <w:sz w:val="20"/>
        <w:szCs w:val="20"/>
      </w:rPr>
    </w:pPr>
    <w:r>
      <w:rPr>
        <w:rFonts w:ascii="Calibri" w:eastAsia="Calibri" w:hAnsi="Calibri" w:cs="Calibri"/>
        <w:sz w:val="20"/>
        <w:szCs w:val="20"/>
      </w:rPr>
      <w:t xml:space="preserve">PO Box 3955 Kigali| phone: +250788309262|Email: </w:t>
    </w:r>
    <w:hyperlink r:id="rId1">
      <w:r>
        <w:rPr>
          <w:rFonts w:ascii="Calibri" w:eastAsia="Calibri" w:hAnsi="Calibri" w:cs="Calibri"/>
          <w:color w:val="0000FF"/>
          <w:sz w:val="20"/>
          <w:szCs w:val="20"/>
          <w:u w:val="single"/>
        </w:rPr>
        <w:t>info@hdirwanda.org</w:t>
      </w:r>
    </w:hyperlink>
    <w:r>
      <w:rPr>
        <w:rFonts w:ascii="Calibri" w:eastAsia="Calibri" w:hAnsi="Calibri" w:cs="Calibri"/>
        <w:sz w:val="20"/>
        <w:szCs w:val="20"/>
      </w:rPr>
      <w:t xml:space="preserve"> | Website: www.hdirwanda.org</w:t>
    </w:r>
    <w:r>
      <w:rPr>
        <w:rFonts w:ascii="Calibri" w:eastAsia="Calibri" w:hAnsi="Calibri" w:cs="Calibri"/>
        <w:sz w:val="20"/>
        <w:szCs w:val="20"/>
      </w:rPr>
      <w:tab/>
    </w:r>
  </w:p>
  <w:p w14:paraId="7806393C" w14:textId="77777777" w:rsidR="00BB09BF" w:rsidRDefault="00BB09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132E5" w14:textId="77777777" w:rsidR="000945AC" w:rsidRDefault="000945AC">
      <w:pPr>
        <w:spacing w:line="240" w:lineRule="auto"/>
      </w:pPr>
      <w:r>
        <w:separator/>
      </w:r>
    </w:p>
  </w:footnote>
  <w:footnote w:type="continuationSeparator" w:id="0">
    <w:p w14:paraId="73D8E797" w14:textId="77777777" w:rsidR="000945AC" w:rsidRDefault="000945AC">
      <w:pPr>
        <w:spacing w:line="240" w:lineRule="auto"/>
      </w:pPr>
      <w:r>
        <w:continuationSeparator/>
      </w:r>
    </w:p>
  </w:footnote>
  <w:footnote w:id="1">
    <w:p w14:paraId="32CD30DE" w14:textId="77777777" w:rsidR="00BB09BF" w:rsidRDefault="000945AC">
      <w:pPr>
        <w:spacing w:line="240" w:lineRule="auto"/>
        <w:rPr>
          <w:sz w:val="16"/>
          <w:szCs w:val="16"/>
        </w:rPr>
      </w:pPr>
      <w:r>
        <w:rPr>
          <w:rStyle w:val="FootnoteReference"/>
        </w:rPr>
        <w:footnoteRef/>
      </w:r>
      <w:r>
        <w:rPr>
          <w:sz w:val="16"/>
          <w:szCs w:val="16"/>
        </w:rPr>
        <w:t xml:space="preserve"> Assessment of gaps in laws &amp; policies related to unpaid care work in Rwanda, Donnah Kamashazi,</w:t>
      </w:r>
    </w:p>
    <w:p w14:paraId="04D87AB6" w14:textId="77777777" w:rsidR="00BB09BF" w:rsidRDefault="000945AC">
      <w:pPr>
        <w:spacing w:line="240" w:lineRule="auto"/>
        <w:rPr>
          <w:color w:val="000000"/>
          <w:sz w:val="16"/>
          <w:szCs w:val="16"/>
        </w:rPr>
      </w:pPr>
      <w:r>
        <w:rPr>
          <w:color w:val="0000FF"/>
          <w:sz w:val="16"/>
          <w:szCs w:val="16"/>
          <w:u w:val="single"/>
        </w:rPr>
        <w:t>https://africa.unwomen.org/sites/default/files/2023-05/Final%20Report-Assessment%20of%20gaps%20in%20laws%20and%20policies%20related%20to%20unpaid%20care%20work%20in%20Rwanda.pdf</w:t>
      </w:r>
    </w:p>
  </w:footnote>
  <w:footnote w:id="2">
    <w:p w14:paraId="7FE84538" w14:textId="77777777" w:rsidR="00BB09BF" w:rsidRDefault="000945AC">
      <w:pPr>
        <w:spacing w:line="240" w:lineRule="auto"/>
        <w:rPr>
          <w:color w:val="000000"/>
          <w:sz w:val="16"/>
          <w:szCs w:val="16"/>
        </w:rPr>
      </w:pPr>
      <w:r>
        <w:rPr>
          <w:rStyle w:val="FootnoteReference"/>
        </w:rPr>
        <w:footnoteRef/>
      </w:r>
      <w:r>
        <w:rPr>
          <w:color w:val="000000"/>
          <w:sz w:val="16"/>
          <w:szCs w:val="16"/>
        </w:rPr>
        <w:t xml:space="preserve"> As note 1</w:t>
      </w:r>
    </w:p>
  </w:footnote>
  <w:footnote w:id="3">
    <w:p w14:paraId="0CB482E3" w14:textId="77777777" w:rsidR="00BB09BF" w:rsidRDefault="000945AC">
      <w:pPr>
        <w:spacing w:line="273" w:lineRule="auto"/>
        <w:rPr>
          <w:sz w:val="16"/>
          <w:szCs w:val="16"/>
        </w:rPr>
      </w:pPr>
      <w:r>
        <w:rPr>
          <w:rStyle w:val="FootnoteReference"/>
        </w:rPr>
        <w:footnoteRef/>
      </w:r>
      <w:r>
        <w:rPr>
          <w:color w:val="000000"/>
          <w:sz w:val="16"/>
          <w:szCs w:val="16"/>
        </w:rPr>
        <w:t xml:space="preserve"> </w:t>
      </w:r>
      <w:hyperlink r:id="rId1">
        <w:r>
          <w:rPr>
            <w:sz w:val="16"/>
            <w:szCs w:val="16"/>
          </w:rPr>
          <w:t>Gender Statistics profile report- Nyaruguru &amp; Ruhango District,</w:t>
        </w:r>
      </w:hyperlink>
      <w:r>
        <w:rPr>
          <w:sz w:val="16"/>
          <w:szCs w:val="16"/>
        </w:rPr>
        <w:t xml:space="preserve"> </w:t>
      </w:r>
      <w:hyperlink r:id="rId2" w:anchor=":~:text=Women%20make%20up%20majority%20among,gender%20equality%20and%20development%20issue">
        <w:r>
          <w:rPr>
            <w:color w:val="1155CC"/>
            <w:sz w:val="16"/>
            <w:szCs w:val="16"/>
            <w:u w:val="single"/>
          </w:rPr>
          <w:t>https://www.statistics.gov.rw/statistical-publications/subject/gender#:~:text=Women%20make%20up%20majority%20among,gender%20equality%20and%20development%20issue</w:t>
        </w:r>
      </w:hyperlink>
      <w:r>
        <w:rPr>
          <w:sz w:val="16"/>
          <w:szCs w:val="16"/>
        </w:rPr>
        <w:t>, 2023</w:t>
      </w:r>
    </w:p>
  </w:footnote>
  <w:footnote w:id="4">
    <w:p w14:paraId="040DF697" w14:textId="77777777" w:rsidR="00BB09BF" w:rsidRDefault="000945AC">
      <w:pPr>
        <w:spacing w:line="240" w:lineRule="auto"/>
        <w:rPr>
          <w:rFonts w:ascii="Roboto" w:eastAsia="Roboto" w:hAnsi="Roboto" w:cs="Roboto"/>
          <w:color w:val="1B1B1B"/>
          <w:sz w:val="16"/>
          <w:szCs w:val="16"/>
        </w:rPr>
      </w:pPr>
      <w:r>
        <w:rPr>
          <w:rStyle w:val="FootnoteReference"/>
        </w:rPr>
        <w:footnoteRef/>
      </w:r>
      <w:r>
        <w:rPr>
          <w:color w:val="000000"/>
          <w:sz w:val="16"/>
          <w:szCs w:val="16"/>
        </w:rPr>
        <w:t xml:space="preserve"> </w:t>
      </w:r>
      <w:r>
        <w:rPr>
          <w:rFonts w:ascii="Roboto" w:eastAsia="Roboto" w:hAnsi="Roboto" w:cs="Roboto"/>
          <w:color w:val="1B1B1B"/>
          <w:sz w:val="16"/>
          <w:szCs w:val="16"/>
        </w:rPr>
        <w:t>Unveiling the burden: prevalence and predictors of psychological distress among domestic workers in Kigali-Rwanda, HDI-Rwanda</w:t>
      </w:r>
    </w:p>
    <w:p w14:paraId="26B9B435" w14:textId="77777777" w:rsidR="00BB09BF" w:rsidRDefault="000945AC">
      <w:pPr>
        <w:spacing w:line="273" w:lineRule="auto"/>
        <w:rPr>
          <w:sz w:val="16"/>
          <w:szCs w:val="16"/>
        </w:rPr>
      </w:pPr>
      <w:hyperlink r:id="rId3">
        <w:r>
          <w:rPr>
            <w:color w:val="1155CC"/>
            <w:sz w:val="16"/>
            <w:szCs w:val="16"/>
            <w:u w:val="single"/>
          </w:rPr>
          <w:t>https://pmc.ncbi.nlm.nih.gov/articles/PMC11589022/</w:t>
        </w:r>
      </w:hyperlink>
      <w:r>
        <w:rPr>
          <w:sz w:val="16"/>
          <w:szCs w:val="16"/>
        </w:rPr>
        <w:t>, 2024</w:t>
      </w:r>
    </w:p>
  </w:footnote>
  <w:footnote w:id="5">
    <w:p w14:paraId="3D431551" w14:textId="77777777" w:rsidR="00BB09BF" w:rsidRDefault="000945AC">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Articles 30, 31 and 32 of the Constitution</w:t>
      </w:r>
    </w:p>
  </w:footnote>
  <w:footnote w:id="6">
    <w:p w14:paraId="5195A9E1" w14:textId="77777777" w:rsidR="00BB09BF" w:rsidRDefault="000945AC">
      <w:pPr>
        <w:pBdr>
          <w:top w:val="nil"/>
          <w:left w:val="nil"/>
          <w:bottom w:val="nil"/>
          <w:right w:val="nil"/>
          <w:between w:val="nil"/>
        </w:pBdr>
        <w:spacing w:line="240" w:lineRule="auto"/>
        <w:rPr>
          <w:sz w:val="20"/>
          <w:szCs w:val="20"/>
        </w:rPr>
      </w:pPr>
      <w:r>
        <w:rPr>
          <w:rStyle w:val="FootnoteReference"/>
        </w:rPr>
        <w:footnoteRef/>
      </w:r>
      <w:r>
        <w:rPr>
          <w:color w:val="000000"/>
          <w:sz w:val="20"/>
          <w:szCs w:val="20"/>
        </w:rPr>
        <w:t xml:space="preserve"> </w:t>
      </w:r>
      <w:r>
        <w:rPr>
          <w:color w:val="1B3051"/>
          <w:sz w:val="16"/>
          <w:szCs w:val="16"/>
        </w:rPr>
        <w:t>Injection drug use practices and HIV infection among people who inject drugs in Kigali, Rwanda: a cross-sectional study,</w:t>
      </w:r>
      <w:hyperlink r:id="rId4">
        <w:r>
          <w:rPr>
            <w:color w:val="1B3051"/>
            <w:sz w:val="16"/>
            <w:szCs w:val="16"/>
          </w:rPr>
          <w:t xml:space="preserve"> </w:t>
        </w:r>
      </w:hyperlink>
      <w:hyperlink r:id="rId5">
        <w:r>
          <w:rPr>
            <w:color w:val="1155CC"/>
            <w:sz w:val="16"/>
            <w:szCs w:val="16"/>
            <w:u w:val="single"/>
          </w:rPr>
          <w:t>https://harmreductionjournal.biomedcentral.com/articles/10.1186/s12954-021-00579-0</w:t>
        </w:r>
      </w:hyperlink>
      <w:r>
        <w:rPr>
          <w:sz w:val="16"/>
          <w:szCs w:val="16"/>
        </w:rPr>
        <w:t>, 2021</w:t>
      </w:r>
    </w:p>
  </w:footnote>
  <w:footnote w:id="7">
    <w:p w14:paraId="75A2F454" w14:textId="77777777" w:rsidR="00BB09BF" w:rsidRDefault="000945AC">
      <w:pPr>
        <w:pBdr>
          <w:top w:val="nil"/>
          <w:left w:val="nil"/>
          <w:bottom w:val="nil"/>
          <w:right w:val="nil"/>
          <w:between w:val="nil"/>
        </w:pBdr>
        <w:spacing w:line="240" w:lineRule="auto"/>
        <w:rPr>
          <w:sz w:val="20"/>
          <w:szCs w:val="20"/>
        </w:rPr>
      </w:pPr>
      <w:r>
        <w:rPr>
          <w:rStyle w:val="FootnoteReference"/>
        </w:rPr>
        <w:footnoteRef/>
      </w:r>
      <w:r>
        <w:rPr>
          <w:color w:val="000000"/>
          <w:sz w:val="20"/>
          <w:szCs w:val="20"/>
        </w:rPr>
        <w:t xml:space="preserve"> </w:t>
      </w:r>
      <w:r>
        <w:rPr>
          <w:sz w:val="16"/>
          <w:szCs w:val="16"/>
        </w:rPr>
        <w:t>Drugs and Substance Abuse Amongst Adolescents - A pilot Study in 7 Districts,</w:t>
      </w:r>
      <w:hyperlink r:id="rId6">
        <w:r>
          <w:rPr>
            <w:sz w:val="16"/>
            <w:szCs w:val="16"/>
          </w:rPr>
          <w:t xml:space="preserve"> </w:t>
        </w:r>
      </w:hyperlink>
      <w:hyperlink r:id="rId7">
        <w:r>
          <w:rPr>
            <w:color w:val="1155CC"/>
            <w:sz w:val="16"/>
            <w:szCs w:val="16"/>
            <w:u w:val="single"/>
          </w:rPr>
          <w:t>https://rbc.gov.rw/publichealthbulletin/img/rphb_issues/a9e93b3756891b9d0d4354a68740f3e61682073176.pdf</w:t>
        </w:r>
      </w:hyperlink>
      <w:r>
        <w:rPr>
          <w:sz w:val="16"/>
          <w:szCs w:val="16"/>
        </w:rPr>
        <w:t>, 2023</w:t>
      </w:r>
    </w:p>
  </w:footnote>
  <w:footnote w:id="8">
    <w:p w14:paraId="07842152" w14:textId="77777777" w:rsidR="00BB09BF" w:rsidRDefault="000945AC">
      <w:pPr>
        <w:pBdr>
          <w:top w:val="nil"/>
          <w:left w:val="nil"/>
          <w:bottom w:val="nil"/>
          <w:right w:val="nil"/>
          <w:between w:val="nil"/>
        </w:pBdr>
        <w:spacing w:line="240" w:lineRule="auto"/>
        <w:rPr>
          <w:sz w:val="20"/>
          <w:szCs w:val="20"/>
        </w:rPr>
      </w:pPr>
      <w:r>
        <w:rPr>
          <w:rStyle w:val="FootnoteReference"/>
        </w:rPr>
        <w:footnoteRef/>
      </w:r>
      <w:r>
        <w:rPr>
          <w:color w:val="000000"/>
          <w:sz w:val="20"/>
          <w:szCs w:val="20"/>
        </w:rPr>
        <w:t xml:space="preserve"> </w:t>
      </w:r>
      <w:r>
        <w:rPr>
          <w:sz w:val="16"/>
          <w:szCs w:val="16"/>
        </w:rPr>
        <w:t>Rwanda Public Health Bulletin,</w:t>
      </w:r>
      <w:hyperlink r:id="rId8">
        <w:r>
          <w:rPr>
            <w:sz w:val="16"/>
            <w:szCs w:val="16"/>
          </w:rPr>
          <w:t xml:space="preserve"> </w:t>
        </w:r>
      </w:hyperlink>
      <w:hyperlink r:id="rId9">
        <w:r>
          <w:rPr>
            <w:color w:val="1155CC"/>
            <w:sz w:val="16"/>
            <w:szCs w:val="16"/>
            <w:u w:val="single"/>
          </w:rPr>
          <w:t>https://rbc.gov.rw/publichealthbulletin/img/rphb_issues/RPHB%204%20(1)%20V5.pdf</w:t>
        </w:r>
      </w:hyperlink>
      <w:r>
        <w:rPr>
          <w:sz w:val="16"/>
          <w:szCs w:val="16"/>
        </w:rPr>
        <w:t>, 2023</w:t>
      </w:r>
    </w:p>
  </w:footnote>
  <w:footnote w:id="9">
    <w:p w14:paraId="72FF025B" w14:textId="77777777" w:rsidR="00BB09BF" w:rsidRDefault="000945AC">
      <w:pPr>
        <w:pBdr>
          <w:top w:val="nil"/>
          <w:left w:val="nil"/>
          <w:bottom w:val="nil"/>
          <w:right w:val="nil"/>
          <w:between w:val="nil"/>
        </w:pBdr>
        <w:spacing w:line="240" w:lineRule="auto"/>
        <w:rPr>
          <w:color w:val="000000"/>
          <w:sz w:val="16"/>
          <w:szCs w:val="16"/>
        </w:rPr>
      </w:pPr>
      <w:r>
        <w:rPr>
          <w:rStyle w:val="FootnoteReference"/>
        </w:rPr>
        <w:footnoteRef/>
      </w:r>
      <w:r>
        <w:rPr>
          <w:color w:val="000000"/>
          <w:sz w:val="20"/>
          <w:szCs w:val="20"/>
        </w:rPr>
        <w:t xml:space="preserve"> </w:t>
      </w:r>
      <w:r>
        <w:rPr>
          <w:sz w:val="16"/>
          <w:szCs w:val="16"/>
        </w:rPr>
        <w:t>As note 9</w:t>
      </w:r>
    </w:p>
  </w:footnote>
  <w:footnote w:id="10">
    <w:p w14:paraId="4D3F0CE1" w14:textId="77777777" w:rsidR="0056279D" w:rsidRDefault="0056279D" w:rsidP="0056279D">
      <w:pPr>
        <w:spacing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APHRC and HDI </w:t>
      </w:r>
      <w:r>
        <w:rPr>
          <w:rFonts w:ascii="Times New Roman" w:eastAsia="Times New Roman" w:hAnsi="Times New Roman" w:cs="Times New Roman"/>
          <w:i/>
          <w:sz w:val="20"/>
          <w:szCs w:val="20"/>
        </w:rPr>
        <w:t xml:space="preserve">Examination of LGBT </w:t>
      </w:r>
      <w:proofErr w:type="gramStart"/>
      <w:r>
        <w:rPr>
          <w:rFonts w:ascii="Times New Roman" w:eastAsia="Times New Roman" w:hAnsi="Times New Roman" w:cs="Times New Roman"/>
          <w:i/>
          <w:sz w:val="20"/>
          <w:szCs w:val="20"/>
        </w:rPr>
        <w:t>people’s</w:t>
      </w:r>
      <w:proofErr w:type="gramEnd"/>
      <w:r>
        <w:rPr>
          <w:rFonts w:ascii="Times New Roman" w:eastAsia="Times New Roman" w:hAnsi="Times New Roman" w:cs="Times New Roman"/>
          <w:i/>
          <w:sz w:val="20"/>
          <w:szCs w:val="20"/>
        </w:rPr>
        <w:t xml:space="preserve"> lived experiences and public perceptions of sexual and gender minorities in Rwanda</w:t>
      </w:r>
      <w:r>
        <w:rPr>
          <w:rFonts w:ascii="Times New Roman" w:eastAsia="Times New Roman" w:hAnsi="Times New Roman" w:cs="Times New Roman"/>
          <w:sz w:val="20"/>
          <w:szCs w:val="20"/>
        </w:rPr>
        <w:t xml:space="preserve"> (2022)</w:t>
      </w:r>
    </w:p>
  </w:footnote>
  <w:footnote w:id="11">
    <w:p w14:paraId="06DE032A" w14:textId="77777777" w:rsidR="0056279D" w:rsidRDefault="0056279D" w:rsidP="0056279D">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The Gen G Project is a collaborative initiative aiming at building a gender just and violence free society in Rwanda </w:t>
      </w:r>
    </w:p>
  </w:footnote>
  <w:footnote w:id="12">
    <w:p w14:paraId="0E2C0A33" w14:textId="77777777" w:rsidR="0056279D" w:rsidRDefault="0056279D" w:rsidP="0056279D">
      <w:pPr>
        <w:pBdr>
          <w:top w:val="nil"/>
          <w:left w:val="nil"/>
          <w:bottom w:val="nil"/>
          <w:right w:val="nil"/>
          <w:between w:val="nil"/>
        </w:pBdr>
        <w:spacing w:line="240" w:lineRule="auto"/>
        <w:rPr>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Generation Gender Project </w:t>
      </w:r>
    </w:p>
  </w:footnote>
  <w:footnote w:id="13">
    <w:p w14:paraId="4A8FF2E2" w14:textId="77777777" w:rsidR="0056279D" w:rsidRDefault="0056279D" w:rsidP="0056279D">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 xml:space="preserve">RWAMREC </w:t>
      </w:r>
      <w:r>
        <w:rPr>
          <w:rFonts w:ascii="Times New Roman" w:eastAsia="Times New Roman" w:hAnsi="Times New Roman" w:cs="Times New Roman"/>
          <w:i/>
          <w:color w:val="000000"/>
          <w:sz w:val="20"/>
          <w:szCs w:val="20"/>
        </w:rPr>
        <w:t>Scars beyond the screen: understanding the forms, consequences, and responses to Technology-Facilitated Gender-Based Violence (TFGBV) in Rwanda: Research Report</w:t>
      </w:r>
      <w:r>
        <w:rPr>
          <w:rFonts w:ascii="Times New Roman" w:eastAsia="Times New Roman" w:hAnsi="Times New Roman" w:cs="Times New Roman"/>
          <w:color w:val="000000"/>
          <w:sz w:val="20"/>
          <w:szCs w:val="20"/>
        </w:rPr>
        <w:t xml:space="preserve"> (April 2025)</w:t>
      </w:r>
    </w:p>
  </w:footnote>
  <w:footnote w:id="14">
    <w:p w14:paraId="0F65B653" w14:textId="77777777" w:rsidR="0056279D" w:rsidRDefault="0056279D" w:rsidP="0056279D">
      <w:pPr>
        <w:spacing w:line="240" w:lineRule="auto"/>
        <w:rPr>
          <w:rFonts w:ascii="Times New Roman" w:eastAsia="Times New Roman" w:hAnsi="Times New Roman" w:cs="Times New Roman"/>
          <w:b/>
          <w:color w:val="000000"/>
          <w:sz w:val="20"/>
          <w:szCs w:val="20"/>
        </w:rPr>
      </w:pPr>
      <w:r>
        <w:rPr>
          <w:rStyle w:val="FootnoteReference"/>
        </w:rPr>
        <w:footnoteRef/>
      </w:r>
      <w:r>
        <w:t xml:space="preserve"> </w:t>
      </w:r>
      <w:r>
        <w:rPr>
          <w:rFonts w:ascii="Times New Roman" w:eastAsia="Times New Roman" w:hAnsi="Times New Roman" w:cs="Times New Roman"/>
        </w:rPr>
        <w:t xml:space="preserve">Republic of Rwanda </w:t>
      </w:r>
      <w:r>
        <w:rPr>
          <w:rFonts w:ascii="Times New Roman" w:eastAsia="Times New Roman" w:hAnsi="Times New Roman" w:cs="Times New Roman"/>
          <w:i/>
          <w:color w:val="000000"/>
          <w:sz w:val="20"/>
          <w:szCs w:val="20"/>
        </w:rPr>
        <w:t xml:space="preserve">Revised National Gender Policy: </w:t>
      </w:r>
      <w:r>
        <w:rPr>
          <w:rFonts w:ascii="Times New Roman" w:eastAsia="Times New Roman" w:hAnsi="Times New Roman" w:cs="Times New Roman"/>
          <w:i/>
          <w:sz w:val="20"/>
          <w:szCs w:val="20"/>
        </w:rPr>
        <w:t xml:space="preserve">Accelerating the Effectiveness of Gender Mainstreaming and Accountability for National Transformation </w:t>
      </w:r>
      <w:r>
        <w:rPr>
          <w:rFonts w:ascii="Times New Roman" w:eastAsia="Times New Roman" w:hAnsi="Times New Roman" w:cs="Times New Roman"/>
          <w:color w:val="002060"/>
          <w:sz w:val="20"/>
          <w:szCs w:val="20"/>
        </w:rPr>
        <w:t>(</w:t>
      </w:r>
      <w:r>
        <w:rPr>
          <w:rFonts w:ascii="Times New Roman" w:eastAsia="Times New Roman" w:hAnsi="Times New Roman" w:cs="Times New Roman"/>
          <w:sz w:val="20"/>
          <w:szCs w:val="20"/>
        </w:rPr>
        <w:t>2021</w:t>
      </w:r>
      <w:r>
        <w:rPr>
          <w:rFonts w:ascii="Times New Roman" w:eastAsia="Times New Roman" w:hAnsi="Times New Roman" w:cs="Times New Roman"/>
          <w:color w:val="002060"/>
          <w:sz w:val="20"/>
          <w:szCs w:val="20"/>
        </w:rPr>
        <w:t>)</w:t>
      </w:r>
    </w:p>
  </w:footnote>
  <w:footnote w:id="15">
    <w:p w14:paraId="4C10490C" w14:textId="77777777" w:rsidR="0056279D" w:rsidRDefault="0056279D" w:rsidP="0056279D">
      <w:pPr>
        <w:pBdr>
          <w:top w:val="nil"/>
          <w:left w:val="nil"/>
          <w:bottom w:val="nil"/>
          <w:right w:val="nil"/>
          <w:between w:val="nil"/>
        </w:pBdr>
        <w:spacing w:line="240" w:lineRule="auto"/>
        <w:rPr>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Gender Monitoring Office </w:t>
      </w:r>
      <w:r>
        <w:rPr>
          <w:rFonts w:ascii="Times New Roman" w:eastAsia="Times New Roman" w:hAnsi="Times New Roman" w:cs="Times New Roman"/>
          <w:i/>
          <w:color w:val="000000"/>
          <w:sz w:val="20"/>
          <w:szCs w:val="20"/>
        </w:rPr>
        <w:t>Gender-Based Violence (GBV) indicators developed by GMO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5C48D" w14:textId="77777777" w:rsidR="00BB09BF" w:rsidRDefault="000945AC">
    <w:pPr>
      <w:tabs>
        <w:tab w:val="center" w:pos="4680"/>
        <w:tab w:val="right" w:pos="9360"/>
      </w:tabs>
      <w:spacing w:line="240" w:lineRule="auto"/>
    </w:pPr>
    <w:r>
      <w:rPr>
        <w:rFonts w:ascii="Calibri" w:eastAsia="Calibri" w:hAnsi="Calibri" w:cs="Calibri"/>
        <w:noProof/>
      </w:rPr>
      <w:drawing>
        <wp:inline distT="0" distB="0" distL="0" distR="0" wp14:anchorId="458ADEE3" wp14:editId="7B957278">
          <wp:extent cx="5731510" cy="609510"/>
          <wp:effectExtent l="0" t="0" r="0" b="0"/>
          <wp:docPr id="2" name="image1.jpg" descr="C:\Users\user\Downloads\HDI-Logo(1).jpg"/>
          <wp:cNvGraphicFramePr/>
          <a:graphic xmlns:a="http://schemas.openxmlformats.org/drawingml/2006/main">
            <a:graphicData uri="http://schemas.openxmlformats.org/drawingml/2006/picture">
              <pic:pic xmlns:pic="http://schemas.openxmlformats.org/drawingml/2006/picture">
                <pic:nvPicPr>
                  <pic:cNvPr id="0" name="image1.jpg" descr="C:\Users\user\Downloads\HDI-Logo(1).jpg"/>
                  <pic:cNvPicPr preferRelativeResize="0"/>
                </pic:nvPicPr>
                <pic:blipFill>
                  <a:blip r:embed="rId1"/>
                  <a:srcRect t="28911" b="35555"/>
                  <a:stretch>
                    <a:fillRect/>
                  </a:stretch>
                </pic:blipFill>
                <pic:spPr>
                  <a:xfrm>
                    <a:off x="0" y="0"/>
                    <a:ext cx="5731510" cy="60951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D5BA9"/>
    <w:multiLevelType w:val="multilevel"/>
    <w:tmpl w:val="5852C8AE"/>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decimal"/>
      <w:lvlText w:val="%1.%2."/>
      <w:lvlJc w:val="left"/>
      <w:pPr>
        <w:ind w:left="900" w:hanging="360"/>
      </w:pPr>
      <w:rPr>
        <w:rFonts w:ascii="Times New Roman" w:eastAsia="Times New Roman" w:hAnsi="Times New Roman" w:cs="Times New Roman"/>
        <w:i/>
        <w:sz w:val="24"/>
        <w:szCs w:val="24"/>
      </w:rPr>
    </w:lvl>
    <w:lvl w:ilvl="2">
      <w:start w:val="1"/>
      <w:numFmt w:val="decimal"/>
      <w:lvlText w:val="%1.%2.%3."/>
      <w:lvlJc w:val="left"/>
      <w:pPr>
        <w:ind w:left="1080" w:hanging="720"/>
      </w:pPr>
    </w:lvl>
    <w:lvl w:ilvl="3">
      <w:start w:val="1"/>
      <w:numFmt w:val="decimal"/>
      <w:lvlText w:val="%1.%2.%3.%4."/>
      <w:lvlJc w:val="left"/>
      <w:pPr>
        <w:ind w:left="1080" w:hanging="720"/>
      </w:pPr>
      <w:rPr>
        <w:i/>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32F51EFE"/>
    <w:multiLevelType w:val="multilevel"/>
    <w:tmpl w:val="5588C8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3E63566"/>
    <w:multiLevelType w:val="multilevel"/>
    <w:tmpl w:val="72221E9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674624C4"/>
    <w:multiLevelType w:val="multilevel"/>
    <w:tmpl w:val="686209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0485433"/>
    <w:multiLevelType w:val="multilevel"/>
    <w:tmpl w:val="DEC2743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5" w15:restartNumberingAfterBreak="0">
    <w:nsid w:val="79C85374"/>
    <w:multiLevelType w:val="hybridMultilevel"/>
    <w:tmpl w:val="3DB24AE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953439252">
    <w:abstractNumId w:val="3"/>
  </w:num>
  <w:num w:numId="2" w16cid:durableId="2121030750">
    <w:abstractNumId w:val="2"/>
  </w:num>
  <w:num w:numId="3" w16cid:durableId="2105108981">
    <w:abstractNumId w:val="0"/>
  </w:num>
  <w:num w:numId="4" w16cid:durableId="2111657291">
    <w:abstractNumId w:val="4"/>
  </w:num>
  <w:num w:numId="5" w16cid:durableId="1243178240">
    <w:abstractNumId w:val="1"/>
  </w:num>
  <w:num w:numId="6" w16cid:durableId="7922105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9BF"/>
    <w:rsid w:val="00042462"/>
    <w:rsid w:val="000945AC"/>
    <w:rsid w:val="002A4ED9"/>
    <w:rsid w:val="0056279D"/>
    <w:rsid w:val="00BB09BF"/>
    <w:rsid w:val="00CA3E4C"/>
    <w:rsid w:val="00DF046B"/>
  </w:rsids>
  <m:mathPr>
    <m:mathFont m:val="Cambria Math"/>
    <m:brkBin m:val="before"/>
    <m:brkBinSub m:val="--"/>
    <m:smallFrac m:val="0"/>
    <m:dispDef/>
    <m:lMargin m:val="0"/>
    <m:rMargin m:val="0"/>
    <m:defJc m:val="centerGroup"/>
    <m:wrapIndent m:val="1440"/>
    <m:intLim m:val="subSup"/>
    <m:naryLim m:val="undOvr"/>
  </m:mathPr>
  <w:themeFontLang w:val="en-R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0D492"/>
  <w15:docId w15:val="{8B02EBA0-6DA5-4ABB-A7A7-3B9784AC6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R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uiPriority w:val="9"/>
    <w:qFormat/>
    <w:pPr>
      <w:keepNext/>
      <w:keepLines/>
      <w:spacing w:before="400" w:after="120"/>
      <w:outlineLvl w:val="0"/>
    </w:pPr>
    <w:rPr>
      <w:sz w:val="40"/>
      <w:szCs w:val="40"/>
    </w:rPr>
  </w:style>
  <w:style w:type="paragraph" w:styleId="Heading2">
    <w:name w:val="heading 2"/>
    <w:next w:val="Normal"/>
    <w:uiPriority w:val="9"/>
    <w:semiHidden/>
    <w:unhideWhenUsed/>
    <w:qFormat/>
    <w:pPr>
      <w:keepNext/>
      <w:keepLines/>
      <w:spacing w:before="360" w:after="120"/>
      <w:outlineLvl w:val="1"/>
    </w:pPr>
    <w:rPr>
      <w:sz w:val="32"/>
      <w:szCs w:val="32"/>
    </w:rPr>
  </w:style>
  <w:style w:type="paragraph" w:styleId="Heading3">
    <w:name w:val="heading 3"/>
    <w:next w:val="Normal"/>
    <w:uiPriority w:val="9"/>
    <w:semiHidden/>
    <w:unhideWhenUsed/>
    <w:qFormat/>
    <w:pPr>
      <w:keepNext/>
      <w:keepLines/>
      <w:spacing w:before="320" w:after="80"/>
      <w:outlineLvl w:val="2"/>
    </w:pPr>
    <w:rPr>
      <w:color w:val="434343"/>
      <w:sz w:val="28"/>
      <w:szCs w:val="28"/>
    </w:rPr>
  </w:style>
  <w:style w:type="paragraph" w:styleId="Heading4">
    <w:name w:val="heading 4"/>
    <w:next w:val="Normal"/>
    <w:uiPriority w:val="9"/>
    <w:semiHidden/>
    <w:unhideWhenUsed/>
    <w:qFormat/>
    <w:pPr>
      <w:keepNext/>
      <w:keepLines/>
      <w:spacing w:before="280" w:after="80"/>
      <w:outlineLvl w:val="3"/>
    </w:pPr>
    <w:rPr>
      <w:color w:val="666666"/>
      <w:sz w:val="24"/>
      <w:szCs w:val="24"/>
    </w:rPr>
  </w:style>
  <w:style w:type="paragraph" w:styleId="Heading5">
    <w:name w:val="heading 5"/>
    <w:next w:val="Normal"/>
    <w:uiPriority w:val="9"/>
    <w:semiHidden/>
    <w:unhideWhenUsed/>
    <w:qFormat/>
    <w:pPr>
      <w:keepNext/>
      <w:keepLines/>
      <w:spacing w:before="240" w:after="80"/>
      <w:outlineLvl w:val="4"/>
    </w:pPr>
    <w:rPr>
      <w:color w:val="666666"/>
    </w:rPr>
  </w:style>
  <w:style w:type="paragraph" w:styleId="Heading6">
    <w:name w:val="heading 6"/>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Normal"/>
    <w:uiPriority w:val="10"/>
    <w:qFormat/>
    <w:pPr>
      <w:keepNext/>
      <w:keepLines/>
      <w:spacing w:after="60"/>
    </w:pPr>
    <w:rPr>
      <w:sz w:val="52"/>
      <w:szCs w:val="52"/>
    </w:rPr>
  </w:style>
  <w:style w:type="paragraph" w:styleId="BodyText">
    <w:name w:val="Body Text"/>
    <w:basedOn w:val="Normal"/>
    <w:link w:val="BodyTextChar"/>
    <w:uiPriority w:val="99"/>
    <w:semiHidden/>
    <w:unhideWhenUsed/>
    <w:pPr>
      <w:spacing w:after="120"/>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FootnoteReference">
    <w:name w:val="footnote reference"/>
    <w:basedOn w:val="DefaultParagraphFont"/>
    <w:uiPriority w:val="99"/>
    <w:unhideWhenUsed/>
    <w:rPr>
      <w:vertAlign w:val="superscript"/>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pPr>
      <w:spacing w:beforeAutospacing="1" w:afterAutospacing="1"/>
    </w:pPr>
    <w:rPr>
      <w:sz w:val="24"/>
      <w:szCs w:val="24"/>
      <w:lang w:eastAsia="zh-CN"/>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TableNormal1">
    <w:name w:val="Table Normal1"/>
    <w:qFormat/>
    <w:tblPr>
      <w:tblCellMar>
        <w:top w:w="0" w:type="dxa"/>
        <w:left w:w="0" w:type="dxa"/>
        <w:bottom w:w="0" w:type="dxa"/>
        <w:right w:w="0" w:type="dxa"/>
      </w:tblCellMar>
    </w:tblPr>
  </w:style>
  <w:style w:type="paragraph" w:customStyle="1" w:styleId="Revision1">
    <w:name w:val="Revision1"/>
    <w:hidden/>
    <w:uiPriority w:val="99"/>
    <w:semiHidden/>
  </w:style>
  <w:style w:type="character" w:customStyle="1" w:styleId="BodyTextChar">
    <w:name w:val="Body Text Char"/>
    <w:basedOn w:val="DefaultParagraphFont"/>
    <w:link w:val="BodyText"/>
    <w:uiPriority w:val="99"/>
    <w:semiHidden/>
  </w:style>
  <w:style w:type="character" w:customStyle="1" w:styleId="FootnoteTextChar">
    <w:name w:val="Footnote Text Char"/>
    <w:basedOn w:val="DefaultParagraphFont"/>
    <w:link w:val="FootnoteText"/>
    <w:uiPriority w:val="99"/>
    <w:semiHidden/>
    <w:rPr>
      <w:sz w:val="20"/>
      <w:szCs w:val="20"/>
    </w:rPr>
  </w:style>
  <w:style w:type="paragraph" w:styleId="ListParagraph">
    <w:name w:val="List Paragraph"/>
    <w:basedOn w:val="Normal"/>
    <w:uiPriority w:val="34"/>
    <w:qFormat/>
    <w:pPr>
      <w:ind w:left="720"/>
      <w:contextualSpacing/>
    </w:p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Revision">
    <w:name w:val="Revision"/>
    <w:hidden/>
    <w:uiPriority w:val="99"/>
    <w:unhideWhenUsed/>
    <w:rsid w:val="007E4A91"/>
  </w:style>
  <w:style w:type="character" w:styleId="UnresolvedMention">
    <w:name w:val="Unresolved Mention"/>
    <w:basedOn w:val="DefaultParagraphFont"/>
    <w:uiPriority w:val="99"/>
    <w:semiHidden/>
    <w:unhideWhenUsed/>
    <w:rsid w:val="00E35D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kagaba@hdirwanda.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mailto:info@hdirwanda.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bc.gov.rw/publichealthbulletin/img/rphb_issues/RPHB%204%20(1)%20V5.pdf" TargetMode="External"/><Relationship Id="rId3" Type="http://schemas.openxmlformats.org/officeDocument/2006/relationships/hyperlink" Target="https://pmc.ncbi.nlm.nih.gov/articles/PMC11589022/" TargetMode="External"/><Relationship Id="rId7" Type="http://schemas.openxmlformats.org/officeDocument/2006/relationships/hyperlink" Target="https://rbc.gov.rw/publichealthbulletin/img/rphb_issues/a9e93b3756891b9d0d4354a68740f3e61682073176.pdf" TargetMode="External"/><Relationship Id="rId2" Type="http://schemas.openxmlformats.org/officeDocument/2006/relationships/hyperlink" Target="https://www.statistics.gov.rw/statistical-publications/subject/gender" TargetMode="External"/><Relationship Id="rId1" Type="http://schemas.openxmlformats.org/officeDocument/2006/relationships/hyperlink" Target="https://www.statistics.gov.rw/publication/gender-statistics-profile-report-nyaruguru-district-2023" TargetMode="External"/><Relationship Id="rId6" Type="http://schemas.openxmlformats.org/officeDocument/2006/relationships/hyperlink" Target="https://rbc.gov.rw/publichealthbulletin/img/rphb_issues/a9e93b3756891b9d0d4354a68740f3e61682073176.pdf" TargetMode="External"/><Relationship Id="rId5" Type="http://schemas.openxmlformats.org/officeDocument/2006/relationships/hyperlink" Target="https://harmreductionjournal.biomedcentral.com/articles/10.1186/s12954-021-00579-0" TargetMode="External"/><Relationship Id="rId4" Type="http://schemas.openxmlformats.org/officeDocument/2006/relationships/hyperlink" Target="https://harmreductionjournal.biomedcentral.com/articles/10.1186/s12954-021-00579-0" TargetMode="External"/><Relationship Id="rId9" Type="http://schemas.openxmlformats.org/officeDocument/2006/relationships/hyperlink" Target="https://rbc.gov.rw/publichealthbulletin/img/rphb_issues/RPHB%204%20(1)%20V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h51GD7svmP4WxwiFaRwXqcQO/A==">CgMxLjA4AHIhMWVabk9DZXJkd19QZmNJMkxhS1FCOVctRFYycmdwZkp5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3525</Words>
  <Characters>20099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Denise Teta</cp:lastModifiedBy>
  <cp:revision>2</cp:revision>
  <dcterms:created xsi:type="dcterms:W3CDTF">2026-02-02T12:29:00Z</dcterms:created>
  <dcterms:modified xsi:type="dcterms:W3CDTF">2026-02-02T12:29:00Z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1033-6.10.1.8197</vt:lpwstr>
  </property>
  <property fmtid="{D5CDD505-2E9C-101B-9397-08002B2CF9AE}" pid="3" name="ICV">
    <vt:lpwstr>070E3F3F686A6619CAFF8767231A0CFA_42</vt:lpwstr>
  </property>
</Properties>
</file>