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CB7A1" w14:textId="60AF8ACF" w:rsidR="00B873A1" w:rsidRDefault="00B873A1" w:rsidP="00B873A1">
      <w:pPr>
        <w:pStyle w:val="Heading1"/>
        <w:spacing w:line="240" w:lineRule="auto"/>
      </w:pPr>
      <w:r>
        <w:rPr>
          <w:noProof/>
        </w:rPr>
        <w:drawing>
          <wp:inline distT="0" distB="0" distL="0" distR="0" wp14:anchorId="496D2441" wp14:editId="365CE1B6">
            <wp:extent cx="1846179" cy="1591047"/>
            <wp:effectExtent l="0" t="0" r="1905" b="9525"/>
            <wp:docPr id="461105487" name="Picture 1" descr="A red hexagon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05487" name="Picture 1" descr="A red hexagon with white text"/>
                    <pic:cNvPicPr/>
                  </pic:nvPicPr>
                  <pic:blipFill>
                    <a:blip r:embed="rId6"/>
                    <a:stretch>
                      <a:fillRect/>
                    </a:stretch>
                  </pic:blipFill>
                  <pic:spPr>
                    <a:xfrm>
                      <a:off x="0" y="0"/>
                      <a:ext cx="1868064" cy="1609907"/>
                    </a:xfrm>
                    <a:prstGeom prst="rect">
                      <a:avLst/>
                    </a:prstGeom>
                  </pic:spPr>
                </pic:pic>
              </a:graphicData>
            </a:graphic>
          </wp:inline>
        </w:drawing>
      </w:r>
    </w:p>
    <w:p w14:paraId="61DB53A3" w14:textId="0583875D" w:rsidR="006C21BB" w:rsidRDefault="00000000" w:rsidP="00B873A1">
      <w:pPr>
        <w:pStyle w:val="Heading1"/>
        <w:spacing w:line="240" w:lineRule="auto"/>
      </w:pPr>
      <w:r w:rsidRPr="00B873A1">
        <w:t xml:space="preserve">STIR: Stop Institutional Racism – CERD Shadow Report 2025 </w:t>
      </w:r>
    </w:p>
    <w:p w14:paraId="023C829A" w14:textId="7273D5DB" w:rsidR="00B873A1" w:rsidRDefault="00B873A1" w:rsidP="002C4368">
      <w:pPr>
        <w:spacing w:after="0"/>
        <w:rPr>
          <w:rFonts w:cstheme="minorHAnsi"/>
        </w:rPr>
      </w:pPr>
      <w:r w:rsidRPr="00225BFF">
        <w:rPr>
          <w:rFonts w:cstheme="minorHAnsi"/>
        </w:rPr>
        <w:t xml:space="preserve">Formed in 2013 STIR: Stop Institutional Racism is a nationwide network of public health </w:t>
      </w:r>
      <w:r>
        <w:rPr>
          <w:rFonts w:cstheme="minorHAnsi"/>
        </w:rPr>
        <w:t>practitioners</w:t>
      </w:r>
      <w:r w:rsidRPr="00225BFF">
        <w:rPr>
          <w:rFonts w:cstheme="minorHAnsi"/>
        </w:rPr>
        <w:t xml:space="preserve"> and academics committed to ending institutional racism within the public health sector in Aotearoa (New Zealand). </w:t>
      </w:r>
      <w:r w:rsidR="004B246F">
        <w:rPr>
          <w:rFonts w:cstheme="minorHAnsi"/>
        </w:rPr>
        <w:t>We</w:t>
      </w:r>
      <w:r w:rsidR="004B246F" w:rsidRPr="00225BFF">
        <w:rPr>
          <w:rFonts w:cstheme="minorHAnsi"/>
        </w:rPr>
        <w:t xml:space="preserve"> </w:t>
      </w:r>
      <w:r w:rsidR="004B246F">
        <w:rPr>
          <w:rFonts w:cstheme="minorHAnsi"/>
        </w:rPr>
        <w:t xml:space="preserve">have a </w:t>
      </w:r>
      <w:r w:rsidRPr="00225BFF">
        <w:rPr>
          <w:rFonts w:cstheme="minorHAnsi"/>
        </w:rPr>
        <w:t>core membership</w:t>
      </w:r>
      <w:r w:rsidR="004B246F">
        <w:rPr>
          <w:rFonts w:cstheme="minorHAnsi"/>
        </w:rPr>
        <w:t xml:space="preserve"> of fourteen and </w:t>
      </w:r>
      <w:r w:rsidRPr="00225BFF">
        <w:rPr>
          <w:rFonts w:cstheme="minorHAnsi"/>
        </w:rPr>
        <w:t>have 1000+ associate members.</w:t>
      </w:r>
    </w:p>
    <w:p w14:paraId="107EBD41" w14:textId="77777777" w:rsidR="004B246F" w:rsidRDefault="004B246F" w:rsidP="002C4368">
      <w:pPr>
        <w:spacing w:after="0"/>
        <w:rPr>
          <w:rFonts w:cstheme="minorHAnsi"/>
        </w:rPr>
      </w:pPr>
    </w:p>
    <w:p w14:paraId="4E5B76BF" w14:textId="051C44E8" w:rsidR="004B246F" w:rsidRDefault="004B246F" w:rsidP="002C4368">
      <w:pPr>
        <w:spacing w:after="0"/>
        <w:rPr>
          <w:rFonts w:cstheme="minorHAnsi"/>
        </w:rPr>
      </w:pPr>
      <w:r>
        <w:rPr>
          <w:rFonts w:cstheme="minorHAnsi"/>
        </w:rPr>
        <w:t>Drafted by Heather Came, Tim McCreanor on behalf of STIR.</w:t>
      </w:r>
    </w:p>
    <w:p w14:paraId="05359B3E" w14:textId="77777777" w:rsidR="00B873A1" w:rsidRPr="00B873A1" w:rsidRDefault="00B873A1" w:rsidP="002C4368">
      <w:pPr>
        <w:spacing w:after="0"/>
        <w:rPr>
          <w:rFonts w:cstheme="minorHAnsi"/>
        </w:rPr>
      </w:pPr>
    </w:p>
    <w:p w14:paraId="71779876" w14:textId="60519A07" w:rsidR="00B873A1" w:rsidRPr="00B873A1" w:rsidRDefault="00B873A1" w:rsidP="002C4368">
      <w:pPr>
        <w:pStyle w:val="Heading1"/>
        <w:spacing w:after="0"/>
        <w:rPr>
          <w:rStyle w:val="Heading1Char"/>
        </w:rPr>
      </w:pPr>
      <w:r>
        <w:t>Executive Summary</w:t>
      </w:r>
      <w:r w:rsidRPr="00B873A1">
        <w:t xml:space="preserve"> </w:t>
      </w:r>
    </w:p>
    <w:p w14:paraId="24189097" w14:textId="567632EE" w:rsidR="00CC2687" w:rsidRPr="00CC2687" w:rsidRDefault="00CC2687" w:rsidP="002C4368">
      <w:r w:rsidRPr="00CC2687">
        <w:t>This Shadow Report evidences systemic and escalating breaches of Te Tiriti o Waitangi</w:t>
      </w:r>
      <w:r w:rsidR="002C4368">
        <w:t xml:space="preserve"> (</w:t>
      </w:r>
      <w:r w:rsidR="00DA7120">
        <w:t>Tiriti)</w:t>
      </w:r>
      <w:r w:rsidRPr="00CC2687">
        <w:t xml:space="preserve">, the Convention on the Elimination of All Forms of Racial Discrimination (CERD), and the UN Declaration on the Rights of Indigenous Peoples (UNDRIP) across constitutional, policy, environmental, and health domains in Aotearoa. It demonstrates how the Crown continues to sustain colonial governance structures that privilege Pākehā authority, </w:t>
      </w:r>
      <w:proofErr w:type="spellStart"/>
      <w:r w:rsidRPr="00CC2687">
        <w:t>marginalise</w:t>
      </w:r>
      <w:proofErr w:type="spellEnd"/>
      <w:r w:rsidRPr="00CC2687">
        <w:t xml:space="preserve"> Māori decision-making, and disregard international human rights obligations.</w:t>
      </w:r>
    </w:p>
    <w:p w14:paraId="22B797BF" w14:textId="77777777" w:rsidR="00CC2687" w:rsidRPr="00CC2687" w:rsidRDefault="00CC2687" w:rsidP="002C4368">
      <w:r w:rsidRPr="00CC2687">
        <w:t xml:space="preserve">At the constitutional level, the Crown’s refusal to act on Matike Mai Aotearoa and its shelving of </w:t>
      </w:r>
      <w:proofErr w:type="spellStart"/>
      <w:r w:rsidRPr="00CC2687">
        <w:t>He</w:t>
      </w:r>
      <w:proofErr w:type="spellEnd"/>
      <w:r w:rsidRPr="00CC2687">
        <w:t xml:space="preserve"> Puapua maintain racially discriminatory systems that deny Māori equal participation in governance. Successive governments have resisted Tiriti-based constitutional transformation, failing to meet CERD Articles 2, 5, 6, and 7, which require the elimination of structural discrimination, equality in political life, education against racial prejudice, and effective remedies for breaches.</w:t>
      </w:r>
    </w:p>
    <w:p w14:paraId="13788C61" w14:textId="77777777" w:rsidR="00CC2687" w:rsidRPr="00CC2687" w:rsidRDefault="00CC2687" w:rsidP="002C4368">
      <w:r w:rsidRPr="00CC2687">
        <w:t>Recent policy shifts have deepened regression. Cabinet Circulars CO(19)5 and CO(24)5 reassert Crown interpretive dominance over Te Tiriti, reframing partnership as consultation and equity as “needs, not race.” These mechanisms erase the structural nature of racism and obstruct proactive measures required under CERD Article 2(2) to achieve substantive equality.</w:t>
      </w:r>
    </w:p>
    <w:p w14:paraId="3D66E599" w14:textId="77777777" w:rsidR="00CC2687" w:rsidRPr="00CC2687" w:rsidRDefault="00CC2687" w:rsidP="002C4368">
      <w:r w:rsidRPr="00CC2687">
        <w:t xml:space="preserve">The Regulatory Standards Bill and Fast-track Approvals Bill further consolidate Crown power. Both exclude Te Tiriti, concentrate decision-making in ministerial hands, and erode Māori authority and participation, breaching CERD Articles 2 and 5. The Regulatory Standards Bill codifies a monocultural definition of “responsible regulation,” privileging private property rights over tino rangatiratanga. The Fast-track Approvals Bill enables large-scale, extractive developments to bypass environmental and heritage protections, </w:t>
      </w:r>
      <w:r w:rsidRPr="00CC2687">
        <w:lastRenderedPageBreak/>
        <w:t>repeating colonial patterns of dispossession and environmental degradation in violation of CERD Article 5(e) and UNDRIP Articles 18–32.</w:t>
      </w:r>
    </w:p>
    <w:p w14:paraId="4FDFC921" w14:textId="77777777" w:rsidR="00CC2687" w:rsidRPr="00CC2687" w:rsidRDefault="00CC2687" w:rsidP="002C4368">
      <w:r w:rsidRPr="00CC2687">
        <w:t>In health, the disestablishment of Te Aka Whai Ora (Māori Health Authority) and under-funding of Māori providers represent a direct breach of CERD Articles 2 and 5(e)(iv). The Crown’s monocultural system continues to deliver inequitable access, outcomes, and leadership opportunities. Māori workforce exclusion, pay inequity, and weak accountability mechanisms sustain institutional racism and contravene CERD Articles 2 and 5(c).</w:t>
      </w:r>
    </w:p>
    <w:p w14:paraId="7932AE72" w14:textId="77777777" w:rsidR="00CC2687" w:rsidRPr="00CC2687" w:rsidRDefault="00CC2687" w:rsidP="002C4368">
      <w:r w:rsidRPr="00CC2687">
        <w:t>In cancer, screening, and prevention, inequitable eligibility, delayed pathways, and the repeal of smokefree reforms continue to produce avoidable Māori mortality. These failures breach CERD Article 2(2) on special measures and Article 5 on the right to health.</w:t>
      </w:r>
    </w:p>
    <w:p w14:paraId="4E2F23A6" w14:textId="77777777" w:rsidR="00CC2687" w:rsidRPr="00CC2687" w:rsidRDefault="00CC2687" w:rsidP="002C4368">
      <w:r w:rsidRPr="00CC2687">
        <w:t>Crown neglect of tāngata whaikaha Māori and takatāpui demonstrates ongoing intersectional discrimination. Generic disability and rainbow frameworks erase Māori worldviews and governance, violating CERD Articles 2, 5, 7, and 9.</w:t>
      </w:r>
    </w:p>
    <w:p w14:paraId="6016B4C6" w14:textId="77777777" w:rsidR="00CC2687" w:rsidRPr="00CC2687" w:rsidRDefault="00CC2687" w:rsidP="002C4368">
      <w:r w:rsidRPr="00CC2687">
        <w:t>Finally, the Government’s continued failure to release and implement a National Action Plan on Racism (NAPR) breaches CERD Articles 2, 5, 7, and 9. Without a Tiriti-grounded NAPR, racism remains unmanaged, fragmented, and unaccountable.</w:t>
      </w:r>
    </w:p>
    <w:p w14:paraId="3DE3D1F1" w14:textId="77777777" w:rsidR="00CC2687" w:rsidRPr="00CC2687" w:rsidRDefault="00CC2687" w:rsidP="002C4368">
      <w:pPr>
        <w:rPr>
          <w:b/>
          <w:bCs/>
        </w:rPr>
      </w:pPr>
      <w:r w:rsidRPr="00CC2687">
        <w:t>Collectively, these findings confirm deliberate regression in Aotearoa’s human rights landscape. The Crown is maintaining a monocultural, assimilationist system that violates Te Tiriti, breaches CERD, and fails to uphold its UNDRIP commitments. Urgent structural transformation—rooted in Māori authority, shared governance, and enforceable accountability—is required to restore justice, equity, and honourable kāwanatanga.</w:t>
      </w:r>
    </w:p>
    <w:p w14:paraId="349550E9" w14:textId="67F9CDD6" w:rsidR="000313F0" w:rsidRPr="00CC2687" w:rsidRDefault="000313F0" w:rsidP="002C4368">
      <w:pPr>
        <w:pStyle w:val="Heading2"/>
        <w:spacing w:line="276" w:lineRule="auto"/>
      </w:pPr>
      <w:r w:rsidRPr="00CC2687">
        <w:t xml:space="preserve">Constitutional and </w:t>
      </w:r>
      <w:r w:rsidR="00B26D22" w:rsidRPr="00CC2687">
        <w:t>governance breaches</w:t>
      </w:r>
    </w:p>
    <w:p w14:paraId="4847C5EF" w14:textId="1DAEFCD5" w:rsidR="000313F0" w:rsidRPr="00B873A1" w:rsidRDefault="000313F0" w:rsidP="002C4368">
      <w:r w:rsidRPr="00B873A1">
        <w:t>The Crown’s ongoing refusal to act on Matike Mai Aotearoa (2016) sustains racially discriminatory constitutional structures that deny Māori equal participation in governance and decision-making. Matike Mai offers multiple models of Tiriti-consistent governance based on relationships of mutual authority between tangata whenua and the Crown, grounded in tikanga Māori, He Whakaputanga, and the Māori text of Te Tiriti</w:t>
      </w:r>
      <w:r w:rsidR="001052B9">
        <w:t xml:space="preserve"> o Waitangi (Te Tiriti)</w:t>
      </w:r>
      <w:r w:rsidRPr="00B873A1">
        <w:t>. Successive governments’ inaction signals a deliberate maintenance of colonial power relations and a failure to meet CERD Articles 2 and 5, which require the elimination of structural discrimination and the guarantee of equality in public and political life.</w:t>
      </w:r>
    </w:p>
    <w:p w14:paraId="6CEED986" w14:textId="77777777" w:rsidR="000313F0" w:rsidRPr="00B873A1" w:rsidRDefault="000313F0" w:rsidP="002C4368">
      <w:r w:rsidRPr="00B873A1">
        <w:t xml:space="preserve">The shelving of </w:t>
      </w:r>
      <w:proofErr w:type="spellStart"/>
      <w:r w:rsidRPr="00B873A1">
        <w:t>He</w:t>
      </w:r>
      <w:proofErr w:type="spellEnd"/>
      <w:r w:rsidRPr="00B873A1">
        <w:t xml:space="preserve"> Puapua (Charters et al., 2019)—the roadmap for implementing the UN Declaration on the Rights of Indigenous Peoples (UNDRIP)—further entrenched Crown dominance. He Puapua outlined a pathway to shared authority and the </w:t>
      </w:r>
      <w:proofErr w:type="spellStart"/>
      <w:r w:rsidRPr="00B873A1">
        <w:t>realisation</w:t>
      </w:r>
      <w:proofErr w:type="spellEnd"/>
      <w:r w:rsidRPr="00B873A1">
        <w:t xml:space="preserve"> of Māori self-determination across governance, law, and policy. Its suppression following political backlash reflected the Crown’s unwillingness to pursue decolonisation or educate the public about Tiriti-based governance, breaching CERD Articles 6 and 7, which obligate states to educate against racial prejudice and provide effective remedies for discrimination.</w:t>
      </w:r>
    </w:p>
    <w:p w14:paraId="1F846758" w14:textId="7B87CD9D" w:rsidR="000313F0" w:rsidRPr="00B873A1" w:rsidRDefault="000313F0" w:rsidP="002C4368">
      <w:r w:rsidRPr="00B873A1">
        <w:lastRenderedPageBreak/>
        <w:t xml:space="preserve">These failures are not merely technical oversights but represent systemic resistance to Māori-led transformation. The ongoing monopoly of Crown sovereignty invalidates the partnership foundation of Te Tiriti and continues to locate Māori as stakeholders rather than as </w:t>
      </w:r>
      <w:r w:rsidR="00916BB8">
        <w:t>sovereign Tiriti partners</w:t>
      </w:r>
      <w:r w:rsidRPr="00B873A1">
        <w:t>. Māori rights to self-determination remain subordinated to Crown-defined parameters, which are inconsistent with the obligations under both CERD and UNDRIP.</w:t>
      </w:r>
    </w:p>
    <w:p w14:paraId="2328DDBC" w14:textId="77777777" w:rsidR="000313F0" w:rsidRPr="00B873A1" w:rsidRDefault="000313F0" w:rsidP="002C4368">
      <w:pPr>
        <w:rPr>
          <w:b/>
          <w:bCs/>
        </w:rPr>
      </w:pPr>
      <w:r w:rsidRPr="00B873A1">
        <w:rPr>
          <w:b/>
          <w:bCs/>
        </w:rPr>
        <w:t>Recommended actions:</w:t>
      </w:r>
    </w:p>
    <w:p w14:paraId="366142D0" w14:textId="77777777" w:rsidR="000313F0" w:rsidRPr="00B873A1" w:rsidRDefault="000313F0" w:rsidP="002C4368">
      <w:pPr>
        <w:pStyle w:val="ListParagraph"/>
        <w:numPr>
          <w:ilvl w:val="0"/>
          <w:numId w:val="11"/>
        </w:numPr>
      </w:pPr>
      <w:r w:rsidRPr="00B873A1">
        <w:t>Endorse Matike Mai Aotearoa as the foundation for constitutional transformation and begin cross-sector engagement on implementing shared governance models.</w:t>
      </w:r>
    </w:p>
    <w:p w14:paraId="4178DDE2" w14:textId="77777777" w:rsidR="000313F0" w:rsidRPr="00B873A1" w:rsidRDefault="000313F0" w:rsidP="002C4368">
      <w:pPr>
        <w:pStyle w:val="ListParagraph"/>
        <w:numPr>
          <w:ilvl w:val="0"/>
          <w:numId w:val="11"/>
        </w:numPr>
      </w:pPr>
      <w:r w:rsidRPr="00B873A1">
        <w:t>Reactivate He Puapua and commit to a clear timeline for implementing UNDRIP, led by Māori experts and institutions.</w:t>
      </w:r>
    </w:p>
    <w:p w14:paraId="6F6ABA58" w14:textId="77777777" w:rsidR="000313F0" w:rsidRPr="00B873A1" w:rsidRDefault="000313F0" w:rsidP="002C4368">
      <w:pPr>
        <w:pStyle w:val="ListParagraph"/>
        <w:numPr>
          <w:ilvl w:val="0"/>
          <w:numId w:val="11"/>
        </w:numPr>
      </w:pPr>
      <w:r w:rsidRPr="00B873A1">
        <w:t>Establish a statutory, independent Māori-led body to monitor UNDRIP and CERD compliance, with powers to investigate and recommend reform.</w:t>
      </w:r>
    </w:p>
    <w:p w14:paraId="6B728BF8" w14:textId="77777777" w:rsidR="000313F0" w:rsidRPr="00B873A1" w:rsidRDefault="000313F0" w:rsidP="002C4368">
      <w:pPr>
        <w:pStyle w:val="ListParagraph"/>
        <w:numPr>
          <w:ilvl w:val="0"/>
          <w:numId w:val="11"/>
        </w:numPr>
      </w:pPr>
      <w:r w:rsidRPr="00B873A1">
        <w:t xml:space="preserve">Resource national education and civic </w:t>
      </w:r>
      <w:proofErr w:type="spellStart"/>
      <w:r w:rsidRPr="00B873A1">
        <w:t>programmes</w:t>
      </w:r>
      <w:proofErr w:type="spellEnd"/>
      <w:r w:rsidRPr="00B873A1">
        <w:t xml:space="preserve"> to build public understanding of Tiriti-based constitutional futures.</w:t>
      </w:r>
    </w:p>
    <w:p w14:paraId="2673D654" w14:textId="77777777" w:rsidR="0016473F" w:rsidRDefault="000313F0" w:rsidP="002C4368">
      <w:pPr>
        <w:pStyle w:val="Heading2"/>
        <w:spacing w:line="276" w:lineRule="auto"/>
      </w:pPr>
      <w:r w:rsidRPr="00B873A1">
        <w:t xml:space="preserve">Policy </w:t>
      </w:r>
      <w:r w:rsidR="00B26D22" w:rsidRPr="00B873A1">
        <w:t>r</w:t>
      </w:r>
      <w:r w:rsidRPr="00B873A1">
        <w:t>egression</w:t>
      </w:r>
    </w:p>
    <w:p w14:paraId="635AD7FC" w14:textId="1D8873FB" w:rsidR="000313F0" w:rsidRPr="0016473F" w:rsidRDefault="000313F0" w:rsidP="002C4368">
      <w:pPr>
        <w:pStyle w:val="Heading3"/>
      </w:pPr>
      <w:r w:rsidRPr="0016473F">
        <w:t>Cabinet Circulars CO(19)5 and CO(24)5</w:t>
      </w:r>
    </w:p>
    <w:p w14:paraId="2F1CD682" w14:textId="23E808A2" w:rsidR="000313F0" w:rsidRPr="00B873A1" w:rsidRDefault="000313F0" w:rsidP="002C4368">
      <w:pPr>
        <w:pStyle w:val="NormalWeb"/>
        <w:spacing w:before="0" w:beforeAutospacing="0" w:line="276" w:lineRule="auto"/>
        <w:rPr>
          <w:rFonts w:asciiTheme="minorHAnsi" w:hAnsiTheme="minorHAnsi"/>
          <w:sz w:val="22"/>
          <w:szCs w:val="22"/>
        </w:rPr>
      </w:pPr>
      <w:r w:rsidRPr="00B873A1">
        <w:rPr>
          <w:rFonts w:asciiTheme="minorHAnsi" w:hAnsiTheme="minorHAnsi"/>
          <w:sz w:val="22"/>
          <w:szCs w:val="22"/>
        </w:rPr>
        <w:t xml:space="preserve">Two key Cabinet directives—CO(19)5 </w:t>
      </w:r>
      <w:r w:rsidRPr="00B873A1">
        <w:rPr>
          <w:rStyle w:val="Emphasis"/>
          <w:rFonts w:asciiTheme="minorHAnsi" w:hAnsiTheme="minorHAnsi"/>
          <w:sz w:val="22"/>
          <w:szCs w:val="22"/>
        </w:rPr>
        <w:t>Te Tiriti o Waitangi/Treaty of Waitangi Guidance for Policy Makers</w:t>
      </w:r>
      <w:r w:rsidRPr="00B873A1">
        <w:rPr>
          <w:rFonts w:asciiTheme="minorHAnsi" w:hAnsiTheme="minorHAnsi"/>
          <w:sz w:val="22"/>
          <w:szCs w:val="22"/>
        </w:rPr>
        <w:t xml:space="preserve"> and CO(24)5 </w:t>
      </w:r>
      <w:r w:rsidRPr="00B873A1">
        <w:rPr>
          <w:rStyle w:val="Emphasis"/>
          <w:rFonts w:asciiTheme="minorHAnsi" w:hAnsiTheme="minorHAnsi"/>
          <w:sz w:val="22"/>
          <w:szCs w:val="22"/>
        </w:rPr>
        <w:t>Needs-Based Service Provision</w:t>
      </w:r>
      <w:r w:rsidRPr="00B873A1">
        <w:rPr>
          <w:rFonts w:asciiTheme="minorHAnsi" w:hAnsiTheme="minorHAnsi"/>
          <w:sz w:val="22"/>
          <w:szCs w:val="22"/>
        </w:rPr>
        <w:t>—illustrate how recent policy shifts have re-centred Crown authority and undermined Māori rights. While presented as tools to improve consistency in policy design, both circulars operate to constrain Māori participation and reassert the Crown’s interpretive dominance over Te Tiriti.</w:t>
      </w:r>
    </w:p>
    <w:p w14:paraId="005E0BA7" w14:textId="13F7FFE8" w:rsidR="000313F0" w:rsidRPr="00B873A1" w:rsidRDefault="000313F0" w:rsidP="002C4368">
      <w:pPr>
        <w:pStyle w:val="NormalWeb"/>
        <w:spacing w:line="276" w:lineRule="auto"/>
        <w:rPr>
          <w:rFonts w:asciiTheme="minorHAnsi" w:hAnsiTheme="minorHAnsi"/>
          <w:sz w:val="22"/>
          <w:szCs w:val="22"/>
        </w:rPr>
      </w:pPr>
      <w:r w:rsidRPr="00B873A1">
        <w:rPr>
          <w:rFonts w:asciiTheme="minorHAnsi" w:hAnsiTheme="minorHAnsi"/>
          <w:sz w:val="22"/>
          <w:szCs w:val="22"/>
        </w:rPr>
        <w:t>CO(19)5 reframes Te Tiriti obligations through the Crown’s preferred “principles of the Treaty” lens, effectively detaching Māori rights from their constitutional foundation in the Māori text. As O’Sullivan, Came, McCreanor, and Kidd (2021) argue</w:t>
      </w:r>
      <w:r w:rsidR="00916BB8">
        <w:rPr>
          <w:rFonts w:asciiTheme="minorHAnsi" w:hAnsiTheme="minorHAnsi"/>
          <w:sz w:val="22"/>
          <w:szCs w:val="22"/>
        </w:rPr>
        <w:t>d</w:t>
      </w:r>
      <w:r w:rsidRPr="00B873A1">
        <w:rPr>
          <w:rFonts w:asciiTheme="minorHAnsi" w:hAnsiTheme="minorHAnsi"/>
          <w:sz w:val="22"/>
          <w:szCs w:val="22"/>
        </w:rPr>
        <w:t xml:space="preserve">, this circular reinforces a monocultural governance system by defining partnership as consultation rather than shared authority. Māori are positioned as stakeholders to be heard, not as </w:t>
      </w:r>
      <w:r w:rsidR="00916BB8">
        <w:rPr>
          <w:rFonts w:asciiTheme="minorHAnsi" w:hAnsiTheme="minorHAnsi"/>
          <w:sz w:val="22"/>
          <w:szCs w:val="22"/>
        </w:rPr>
        <w:t>sovereign Tiriti partners</w:t>
      </w:r>
      <w:r w:rsidRPr="00B873A1">
        <w:rPr>
          <w:rFonts w:asciiTheme="minorHAnsi" w:hAnsiTheme="minorHAnsi"/>
          <w:sz w:val="22"/>
          <w:szCs w:val="22"/>
        </w:rPr>
        <w:t xml:space="preserve"> empowered to make binding decisions. The policy’s structure legitimises Crown control while performing inclusion, perpetuating institutional racism and breaching CERD Articles 2 and 5.</w:t>
      </w:r>
    </w:p>
    <w:p w14:paraId="32F1B1A7" w14:textId="77777777" w:rsidR="000313F0" w:rsidRPr="00B873A1" w:rsidRDefault="000313F0" w:rsidP="002C4368">
      <w:pPr>
        <w:pStyle w:val="NormalWeb"/>
        <w:spacing w:line="276" w:lineRule="auto"/>
        <w:rPr>
          <w:rFonts w:asciiTheme="minorHAnsi" w:hAnsiTheme="minorHAnsi"/>
          <w:sz w:val="22"/>
          <w:szCs w:val="22"/>
        </w:rPr>
      </w:pPr>
      <w:r w:rsidRPr="00B873A1">
        <w:rPr>
          <w:rFonts w:asciiTheme="minorHAnsi" w:hAnsiTheme="minorHAnsi"/>
          <w:sz w:val="22"/>
          <w:szCs w:val="22"/>
        </w:rPr>
        <w:t>CO(24)5, introduced in 2024, intensified this regression. It directs agencies to focus on “needs not race” when designing public services. As Came, O’Sullivan, Berghan, and McCreanor (2025) show, this discourse erases the structural nature of racism, misrepresents equity measures as preferential treatment, and reframes rights as conditional. The “needs not race” framing privileges individualised, depoliticised approaches to inequality and denies the collective and historical dimensions of Māori disadvantage. By removing ethnicity as a legitimate policy determinant, the circular obstructs proactive measures required under CERD Article 2(2) to achieve substantive equality.</w:t>
      </w:r>
    </w:p>
    <w:p w14:paraId="7D391F0B" w14:textId="77777777" w:rsidR="000313F0" w:rsidRPr="00B873A1" w:rsidRDefault="000313F0" w:rsidP="002C4368">
      <w:pPr>
        <w:pStyle w:val="NormalWeb"/>
        <w:spacing w:line="276" w:lineRule="auto"/>
        <w:rPr>
          <w:rFonts w:asciiTheme="minorHAnsi" w:hAnsiTheme="minorHAnsi"/>
          <w:sz w:val="22"/>
          <w:szCs w:val="22"/>
        </w:rPr>
      </w:pPr>
      <w:r w:rsidRPr="00B873A1">
        <w:rPr>
          <w:rFonts w:asciiTheme="minorHAnsi" w:hAnsiTheme="minorHAnsi"/>
          <w:sz w:val="22"/>
          <w:szCs w:val="22"/>
        </w:rPr>
        <w:lastRenderedPageBreak/>
        <w:t>Together, these circulars form a coherent policy mechanism of re-colonisation. They consolidate power within Crown institutions, exclude Māori from policy leadership, and erode accountability. The result is a bureaucratic environment where Te Tiriti becomes symbolic and CERD obligations unenforceable.</w:t>
      </w:r>
    </w:p>
    <w:p w14:paraId="1368ED3F" w14:textId="77777777" w:rsidR="000313F0" w:rsidRPr="00B873A1" w:rsidRDefault="000313F0" w:rsidP="002C4368">
      <w:pPr>
        <w:pStyle w:val="NormalWeb"/>
        <w:spacing w:line="276" w:lineRule="auto"/>
        <w:rPr>
          <w:rFonts w:asciiTheme="minorHAnsi" w:hAnsiTheme="minorHAnsi"/>
          <w:sz w:val="22"/>
          <w:szCs w:val="22"/>
        </w:rPr>
      </w:pPr>
      <w:r w:rsidRPr="00B873A1">
        <w:rPr>
          <w:rStyle w:val="Strong"/>
          <w:rFonts w:asciiTheme="minorHAnsi" w:hAnsiTheme="minorHAnsi"/>
          <w:sz w:val="22"/>
          <w:szCs w:val="22"/>
        </w:rPr>
        <w:t>Recommended actions:</w:t>
      </w:r>
    </w:p>
    <w:p w14:paraId="3B62544B" w14:textId="77777777" w:rsidR="000313F0" w:rsidRPr="00B873A1" w:rsidRDefault="000313F0" w:rsidP="002C4368">
      <w:pPr>
        <w:pStyle w:val="NormalWeb"/>
        <w:numPr>
          <w:ilvl w:val="0"/>
          <w:numId w:val="12"/>
        </w:numPr>
        <w:spacing w:line="276" w:lineRule="auto"/>
        <w:rPr>
          <w:rFonts w:asciiTheme="minorHAnsi" w:hAnsiTheme="minorHAnsi"/>
          <w:sz w:val="22"/>
          <w:szCs w:val="22"/>
        </w:rPr>
      </w:pPr>
      <w:r w:rsidRPr="00B873A1">
        <w:rPr>
          <w:rFonts w:asciiTheme="minorHAnsi" w:hAnsiTheme="minorHAnsi"/>
          <w:sz w:val="22"/>
          <w:szCs w:val="22"/>
        </w:rPr>
        <w:t>Withdraw CO(24)5 and halt its implementation across government agencies.</w:t>
      </w:r>
    </w:p>
    <w:p w14:paraId="464882E2" w14:textId="3B81A49F" w:rsidR="000313F0" w:rsidRPr="00B873A1" w:rsidRDefault="000313F0" w:rsidP="002C4368">
      <w:pPr>
        <w:pStyle w:val="NormalWeb"/>
        <w:numPr>
          <w:ilvl w:val="0"/>
          <w:numId w:val="12"/>
        </w:numPr>
        <w:spacing w:line="276" w:lineRule="auto"/>
        <w:rPr>
          <w:rFonts w:asciiTheme="minorHAnsi" w:hAnsiTheme="minorHAnsi"/>
          <w:sz w:val="22"/>
          <w:szCs w:val="22"/>
        </w:rPr>
      </w:pPr>
      <w:r w:rsidRPr="00B873A1">
        <w:rPr>
          <w:rFonts w:asciiTheme="minorHAnsi" w:hAnsiTheme="minorHAnsi"/>
          <w:sz w:val="22"/>
          <w:szCs w:val="22"/>
        </w:rPr>
        <w:t xml:space="preserve">Revise CO(19)5 to explicitly require </w:t>
      </w:r>
      <w:r w:rsidR="00916BB8">
        <w:rPr>
          <w:rFonts w:asciiTheme="minorHAnsi" w:hAnsiTheme="minorHAnsi"/>
          <w:sz w:val="22"/>
          <w:szCs w:val="22"/>
        </w:rPr>
        <w:t xml:space="preserve">authentic </w:t>
      </w:r>
      <w:r w:rsidRPr="00B873A1">
        <w:rPr>
          <w:rFonts w:asciiTheme="minorHAnsi" w:hAnsiTheme="minorHAnsi"/>
          <w:sz w:val="22"/>
          <w:szCs w:val="22"/>
        </w:rPr>
        <w:t xml:space="preserve">Tiriti </w:t>
      </w:r>
      <w:r w:rsidR="00916BB8">
        <w:rPr>
          <w:rFonts w:asciiTheme="minorHAnsi" w:hAnsiTheme="minorHAnsi"/>
          <w:sz w:val="22"/>
          <w:szCs w:val="22"/>
        </w:rPr>
        <w:t>relationship</w:t>
      </w:r>
      <w:r w:rsidRPr="00B873A1">
        <w:rPr>
          <w:rFonts w:asciiTheme="minorHAnsi" w:hAnsiTheme="minorHAnsi"/>
          <w:sz w:val="22"/>
          <w:szCs w:val="22"/>
        </w:rPr>
        <w:t>, ensuring Māori share authority and decision-making power in all policy development.</w:t>
      </w:r>
    </w:p>
    <w:p w14:paraId="66D1F66F" w14:textId="77777777" w:rsidR="000313F0" w:rsidRPr="00B873A1" w:rsidRDefault="000313F0" w:rsidP="002C4368">
      <w:pPr>
        <w:pStyle w:val="NormalWeb"/>
        <w:numPr>
          <w:ilvl w:val="0"/>
          <w:numId w:val="12"/>
        </w:numPr>
        <w:spacing w:line="276" w:lineRule="auto"/>
        <w:rPr>
          <w:rFonts w:asciiTheme="minorHAnsi" w:hAnsiTheme="minorHAnsi"/>
          <w:sz w:val="22"/>
          <w:szCs w:val="22"/>
        </w:rPr>
      </w:pPr>
      <w:r w:rsidRPr="00B873A1">
        <w:rPr>
          <w:rFonts w:asciiTheme="minorHAnsi" w:hAnsiTheme="minorHAnsi"/>
          <w:sz w:val="22"/>
          <w:szCs w:val="22"/>
        </w:rPr>
        <w:t>Establish a Māori-led, independent monitoring mechanism to evaluate all Cabinet directives for Te Tiriti and CERD compliance.</w:t>
      </w:r>
    </w:p>
    <w:p w14:paraId="1FE7F477" w14:textId="77953DED" w:rsidR="000313F0" w:rsidRDefault="000313F0" w:rsidP="002C4368">
      <w:pPr>
        <w:pStyle w:val="NormalWeb"/>
        <w:numPr>
          <w:ilvl w:val="0"/>
          <w:numId w:val="12"/>
        </w:numPr>
        <w:spacing w:line="276" w:lineRule="auto"/>
        <w:rPr>
          <w:rFonts w:asciiTheme="minorHAnsi" w:hAnsiTheme="minorHAnsi"/>
          <w:sz w:val="22"/>
          <w:szCs w:val="22"/>
        </w:rPr>
      </w:pPr>
      <w:r w:rsidRPr="00B873A1">
        <w:rPr>
          <w:rFonts w:asciiTheme="minorHAnsi" w:hAnsiTheme="minorHAnsi"/>
          <w:sz w:val="22"/>
          <w:szCs w:val="22"/>
        </w:rPr>
        <w:t>Require ongoing training for public servants and Ministers on Te Tiriti, CERD, and antiracism, to build consistent capacity for equity-based policy design.</w:t>
      </w:r>
    </w:p>
    <w:p w14:paraId="62203487" w14:textId="2B12D9B6" w:rsidR="0092144E" w:rsidRDefault="0092144E" w:rsidP="002C4368">
      <w:pPr>
        <w:pStyle w:val="Heading3"/>
      </w:pPr>
      <w:r>
        <w:t xml:space="preserve">Regulatory standards bill </w:t>
      </w:r>
    </w:p>
    <w:p w14:paraId="2DBE1A82" w14:textId="4F54BFD3" w:rsidR="0043099E" w:rsidRDefault="0043099E" w:rsidP="002C4368">
      <w:r>
        <w:t xml:space="preserve">The Regulatory Standards Bill defines “responsible regulation” through principles such as the rule of law, protection of property rights, limits on taxation, the role of courts, and regulatory stewardship—yet pointedly omits Te Tiriti o Waitangi despite repeated calls for inclusion. It would create a Regulatory Standards Board appointed by the Minister for Regulation (currently ACT leader David Seymour) to assess compliance with these principles. </w:t>
      </w:r>
      <w:r w:rsidR="008C0AAD">
        <w:t>Decision</w:t>
      </w:r>
      <w:r w:rsidR="00247F9D">
        <w:t>-making</w:t>
      </w:r>
      <w:r>
        <w:t xml:space="preserve"> power </w:t>
      </w:r>
      <w:r w:rsidR="00247F9D">
        <w:t xml:space="preserve">would be </w:t>
      </w:r>
      <w:proofErr w:type="spellStart"/>
      <w:r w:rsidR="00247F9D">
        <w:t>centralised</w:t>
      </w:r>
      <w:proofErr w:type="spellEnd"/>
      <w:r w:rsidR="00247F9D">
        <w:t xml:space="preserve"> </w:t>
      </w:r>
      <w:r>
        <w:t>within Crown institutions without shared authority or Māori representation, undermining Te Tiriti partnership obligations and breaching multiple articles of CERD.</w:t>
      </w:r>
    </w:p>
    <w:p w14:paraId="6AFAB331" w14:textId="265FF402" w:rsidR="0043099E" w:rsidRDefault="0043099E" w:rsidP="002C4368">
      <w:r>
        <w:t>By grounding “responsible regulation” solely in Western legal and economic concepts, the Bill erases Māori worldviews and rights from Aotearoa’s regulatory foundations. Its design entrenches Pākehā control over law-making, conflicting with CERD Article 2, which requires states to review policies that perpetuate racial discrimination, and Article 5, which guarantees equal participation in political and public life. Excluding Te Tiriti obligations effectively subordinates Māori decision-making to Crown convenience.</w:t>
      </w:r>
    </w:p>
    <w:p w14:paraId="74F610B5" w14:textId="08DBC8FD" w:rsidR="0043099E" w:rsidRDefault="0043099E" w:rsidP="002C4368">
      <w:r>
        <w:t xml:space="preserve">Māori communities and social justice advocates have widely opposed the Bill in the three previous attempts to have it passed. Professor Claire Charters has described it as part of a broader legislative strategy to dismantle Māori rights, consistent with New </w:t>
      </w:r>
      <w:r w:rsidR="00EF3208">
        <w:t>Zealand’s</w:t>
      </w:r>
      <w:r>
        <w:t xml:space="preserve"> regressive approach to the UN Declaration on the Rights of Indigenous Peoples. Of roughly 23,000 public submissions, 88 percent opposed the Bill and only 0.16 percent supported it, yet the Coalition Government remains intent on passing it. This disregard for overwhelming public opposition reflects a democratic deficit inconsistent with Te Tiriti and CERD Article 5(c), which protects the right to equal participation in public affairs. The Bill exemplifies a pattern of Crown </w:t>
      </w:r>
      <w:proofErr w:type="spellStart"/>
      <w:r>
        <w:t>centralisation</w:t>
      </w:r>
      <w:proofErr w:type="spellEnd"/>
      <w:r>
        <w:t xml:space="preserve"> privileging private property and administrative efficiency over tino rangatiratanga, equity, and environmental stewardship.</w:t>
      </w:r>
    </w:p>
    <w:p w14:paraId="23DF7F7A" w14:textId="161D1688" w:rsidR="0016473F" w:rsidRPr="0016473F" w:rsidRDefault="0016473F" w:rsidP="002C4368">
      <w:pPr>
        <w:rPr>
          <w:b/>
          <w:bCs/>
        </w:rPr>
      </w:pPr>
      <w:r w:rsidRPr="0016473F">
        <w:rPr>
          <w:b/>
          <w:bCs/>
        </w:rPr>
        <w:t>Recommended actions:</w:t>
      </w:r>
    </w:p>
    <w:p w14:paraId="502A2803" w14:textId="393C7488" w:rsidR="0016473F" w:rsidRDefault="0016473F" w:rsidP="002C4368">
      <w:pPr>
        <w:pStyle w:val="ListParagraph"/>
        <w:numPr>
          <w:ilvl w:val="0"/>
          <w:numId w:val="19"/>
        </w:numPr>
      </w:pPr>
      <w:r>
        <w:lastRenderedPageBreak/>
        <w:t>Amend the Regulatory Standards Bill to include explicit and enforceable principles that uphold Te Tiriti, guaranteeing Māori leadership across all stages of regulatory design, implementation, and review, in line with CERD Articles 2 and 5.</w:t>
      </w:r>
    </w:p>
    <w:p w14:paraId="51AC3799" w14:textId="77777777" w:rsidR="0016473F" w:rsidRDefault="0016473F" w:rsidP="002C4368">
      <w:pPr>
        <w:pStyle w:val="ListParagraph"/>
        <w:numPr>
          <w:ilvl w:val="0"/>
          <w:numId w:val="19"/>
        </w:numPr>
      </w:pPr>
      <w:r>
        <w:t>Halt the establishment of the proposed Regulatory Standards Board in its current form and co-design any oversight body with Māori governance partners to ensure joint decision-making authority and accountability to Te Tiriti and international human rights standards, consistent with CERD Article 2(1)(c).</w:t>
      </w:r>
    </w:p>
    <w:p w14:paraId="13E301A2" w14:textId="0A962966" w:rsidR="0016473F" w:rsidRDefault="0016473F" w:rsidP="002C4368">
      <w:pPr>
        <w:pStyle w:val="ListParagraph"/>
        <w:numPr>
          <w:ilvl w:val="0"/>
          <w:numId w:val="19"/>
        </w:numPr>
      </w:pPr>
      <w:r>
        <w:t xml:space="preserve">Require meaningful consultation with </w:t>
      </w:r>
      <w:r w:rsidR="0043099E">
        <w:t>Māori and</w:t>
      </w:r>
      <w:r>
        <w:t xml:space="preserve"> affected communities before progressing legislation with major structural implications. Processes must meet CERD Article 5(c) standards for equal participation in political and public affairs, and adhere to the principles of free, prior, and informed consent under UNDRIP.</w:t>
      </w:r>
    </w:p>
    <w:p w14:paraId="6317B8BB" w14:textId="417CB1B9" w:rsidR="0016473F" w:rsidRDefault="0016473F" w:rsidP="002C4368">
      <w:pPr>
        <w:pStyle w:val="ListParagraph"/>
        <w:numPr>
          <w:ilvl w:val="0"/>
          <w:numId w:val="19"/>
        </w:numPr>
      </w:pPr>
      <w:r>
        <w:t xml:space="preserve">Pause the Bill’s </w:t>
      </w:r>
      <w:r w:rsidR="0043099E">
        <w:t>progress</w:t>
      </w:r>
      <w:r>
        <w:t xml:space="preserve"> until a comprehensive Te Tiriti and human rights analysis is undertaken. Future regulatory reform must be co-created with Māori </w:t>
      </w:r>
      <w:r w:rsidR="00A63E19">
        <w:t>Iwi and Hap</w:t>
      </w:r>
      <w:r w:rsidR="00AA63BC">
        <w:t xml:space="preserve">ū </w:t>
      </w:r>
      <w:r>
        <w:t>to strengthen, not diminish, New Zealand’s constitutional commitments under Te Tiriti, CERD Articles 1, 2, and 5, and UNDRIP Articles 18 and 19.</w:t>
      </w:r>
    </w:p>
    <w:p w14:paraId="723BE2CB" w14:textId="0F6DBDAF" w:rsidR="0092144E" w:rsidRDefault="0016473F" w:rsidP="002C4368">
      <w:pPr>
        <w:pStyle w:val="Heading3"/>
      </w:pPr>
      <w:r>
        <w:t>Fast track legislation</w:t>
      </w:r>
    </w:p>
    <w:p w14:paraId="45FE8058" w14:textId="77777777" w:rsidR="0043099E" w:rsidRDefault="0043099E" w:rsidP="002C4368">
      <w:r>
        <w:t>The Fast-track Approvals Bill creates a mechanism for expedited consenting of large-scale infrastructure, energy, and development projects. It allows such projects to bypass or compress normal environmental, planning, and heritage procedures, transferring decision-making authority from regional and local bodies to a small group of ministers and a government-appointed expert panel. This approach marginalises Māori and community participation and entrenches a model of Crown and corporate dominance over the environment and land use.</w:t>
      </w:r>
    </w:p>
    <w:p w14:paraId="2A8E98C5" w14:textId="4B435AA8" w:rsidR="0043099E" w:rsidRDefault="0043099E" w:rsidP="002C4368">
      <w:r>
        <w:t>While presented as a tool for efficiency and economic growth, the Bill represents a significant breach of Te Tiriti and CERD obligations. It excludes iwi and hapū from decisions affecting their taonga, lands, and waters, violating Te Tiriti. Concentrating decision-making in ministerial hands contravenes CERD Article 5(c), which protects the right to equal participation in public life, and Article 2(1)(c), which obliges states to review and amend policies that perpetuate racial inequity. The Bill also undermines CERD Article 5(e) by restricting Māori enjoyment of cultural, environmental, and economic rights.</w:t>
      </w:r>
    </w:p>
    <w:p w14:paraId="58642982" w14:textId="77777777" w:rsidR="0043099E" w:rsidRDefault="0043099E" w:rsidP="002C4368">
      <w:r>
        <w:t>The fast-track model re-establishes colonial hierarchies in environmental governance by privileging extractive and high-emission industries while weakening safeguards for ecosystems and communities. Projects with significant carbon, biodiversity, or cultural impacts could proceed with minimal scrutiny. By removing Māori oversight and public challenge, the Bill disregards kaitiakitanga, diminishes intergenerational responsibility, and breaches UNDRIP Articles 18, 19, 25, and 32, which affirm Indigenous peoples’ rights to participate in, consent to, and protect development affecting their territories.</w:t>
      </w:r>
    </w:p>
    <w:p w14:paraId="34CDD366" w14:textId="753BD35F" w:rsidR="0043099E" w:rsidRDefault="0043099E" w:rsidP="002C4368">
      <w:r>
        <w:t xml:space="preserve">This legislation threatens to deepen environmental degradation and exacerbate climate injustice by prioritising short-term economic gain over ecological and cultural wellbeing. It repeats the historical pattern of environmental decision-making that sacrifices Māori land </w:t>
      </w:r>
      <w:r>
        <w:lastRenderedPageBreak/>
        <w:t>and livelihoods to colonial and corporate interests, contradicting both Te Tiriti and New Zealand’s international human rights obligations.</w:t>
      </w:r>
    </w:p>
    <w:p w14:paraId="7520928A" w14:textId="2E2EEA8B" w:rsidR="0043099E" w:rsidRPr="0043099E" w:rsidRDefault="0043099E" w:rsidP="002C4368">
      <w:pPr>
        <w:rPr>
          <w:b/>
          <w:bCs/>
        </w:rPr>
      </w:pPr>
      <w:r w:rsidRPr="0043099E">
        <w:rPr>
          <w:b/>
          <w:bCs/>
        </w:rPr>
        <w:t>Recommended actions:</w:t>
      </w:r>
    </w:p>
    <w:p w14:paraId="634AB23C" w14:textId="1143F228" w:rsidR="0043099E" w:rsidRDefault="0043099E" w:rsidP="002C4368">
      <w:pPr>
        <w:pStyle w:val="ListParagraph"/>
        <w:numPr>
          <w:ilvl w:val="0"/>
          <w:numId w:val="20"/>
        </w:numPr>
      </w:pPr>
      <w:r>
        <w:t>Revoke or suspend the Fast-track Approvals Bill until a full Te Tiriti and human rights review is completed to ensure compliance with CERD Articles 1, 2, and 5 and the articles of Te Tiriti.</w:t>
      </w:r>
    </w:p>
    <w:p w14:paraId="19AF14A6" w14:textId="77777777" w:rsidR="0043099E" w:rsidRDefault="0043099E" w:rsidP="002C4368">
      <w:pPr>
        <w:pStyle w:val="ListParagraph"/>
        <w:numPr>
          <w:ilvl w:val="0"/>
          <w:numId w:val="20"/>
        </w:numPr>
      </w:pPr>
      <w:r>
        <w:t>Co-design any future development or infrastructure legislation with Māori governance partners to uphold tino rangatiratanga, kaitiakitanga, and collective wellbeing, consistent with CERD Article 2(1)(c) and UNDRIP Articles 18 and 19.</w:t>
      </w:r>
    </w:p>
    <w:p w14:paraId="63B5A723" w14:textId="77777777" w:rsidR="0043099E" w:rsidRDefault="0043099E" w:rsidP="002C4368">
      <w:pPr>
        <w:pStyle w:val="ListParagraph"/>
        <w:numPr>
          <w:ilvl w:val="0"/>
          <w:numId w:val="20"/>
        </w:numPr>
      </w:pPr>
      <w:r>
        <w:t>Guarantee Māori participation and authority in all project approvals affecting Māori land, waters, and taonga. This includes resourcing Māori environmental assessment and ensuring adherence to CERD Article 5(c) on equal participation in public affairs.</w:t>
      </w:r>
    </w:p>
    <w:p w14:paraId="0AA2AB0B" w14:textId="5EDA9E62" w:rsidR="0043099E" w:rsidRPr="0043099E" w:rsidRDefault="0043099E" w:rsidP="002C4368">
      <w:pPr>
        <w:pStyle w:val="ListParagraph"/>
        <w:numPr>
          <w:ilvl w:val="0"/>
          <w:numId w:val="20"/>
        </w:numPr>
      </w:pPr>
      <w:r>
        <w:t>Replace the current fast-track model with a Tiriti-compliant environmental governance framework that balances development with ecological sustainability and Indigenous rights, fulfilling New Zealand’s obligations under Te Tiriti, CERD, and UNDRIP, and safeguarding the environment for future generations.</w:t>
      </w:r>
    </w:p>
    <w:p w14:paraId="058F7FCB" w14:textId="24EB4ED4" w:rsidR="00B26D22" w:rsidRPr="00B873A1" w:rsidRDefault="00B26D22" w:rsidP="002C4368">
      <w:pPr>
        <w:pStyle w:val="Heading2"/>
        <w:spacing w:line="276" w:lineRule="auto"/>
      </w:pPr>
      <w:r w:rsidRPr="00B873A1">
        <w:t>Health infrastructure and policy</w:t>
      </w:r>
    </w:p>
    <w:p w14:paraId="6D263C60" w14:textId="7A30B0F6" w:rsidR="00B26D22" w:rsidRPr="00B873A1" w:rsidRDefault="00B26D22" w:rsidP="002C4368">
      <w:pPr>
        <w:pStyle w:val="NormalWeb"/>
        <w:spacing w:before="0" w:beforeAutospacing="0" w:line="276" w:lineRule="auto"/>
        <w:rPr>
          <w:rFonts w:asciiTheme="minorHAnsi" w:hAnsiTheme="minorHAnsi"/>
          <w:sz w:val="22"/>
          <w:szCs w:val="22"/>
        </w:rPr>
      </w:pPr>
      <w:r w:rsidRPr="00B873A1">
        <w:rPr>
          <w:rFonts w:asciiTheme="minorHAnsi" w:hAnsiTheme="minorHAnsi"/>
          <w:sz w:val="22"/>
          <w:szCs w:val="22"/>
        </w:rPr>
        <w:t xml:space="preserve">Despite extensive evidence of inequity and the Waitangi Tribunal’s </w:t>
      </w:r>
      <w:r w:rsidRPr="00B873A1">
        <w:rPr>
          <w:rStyle w:val="Emphasis"/>
          <w:rFonts w:asciiTheme="minorHAnsi" w:hAnsiTheme="minorHAnsi"/>
          <w:sz w:val="22"/>
          <w:szCs w:val="22"/>
        </w:rPr>
        <w:t>Hauora</w:t>
      </w:r>
      <w:r w:rsidRPr="00B873A1">
        <w:rPr>
          <w:rFonts w:asciiTheme="minorHAnsi" w:hAnsiTheme="minorHAnsi"/>
          <w:sz w:val="22"/>
          <w:szCs w:val="22"/>
        </w:rPr>
        <w:t xml:space="preserve"> (WAI 2575) report (2019), the Crown continues to operate a monocultural health system that marginalises Māori leadership and perpetuates structural racism.</w:t>
      </w:r>
    </w:p>
    <w:p w14:paraId="6EE72077" w14:textId="77777777"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Critical Tiriti Analyses of major health policies reveal consistent breaches of CERD Articles 2, 5, 7, and 9. Māori involvement in health governance remains advisory rather than determinative, with Crown agencies retaining decision-making authority. As Came, Cornes, and McCreanor (2018) and Rae, Came, Baker, and McCreanor (2022) show, policies under the Pae Ora reforms failed to embed co-governance or guarantee Māori accountability mechanisms. Instead, the Pae Ora (Healthy Futures) Act 2022 re-centralised control within Crown structures, reducing Māori participation to token consultation.</w:t>
      </w:r>
    </w:p>
    <w:p w14:paraId="33D55D28" w14:textId="77777777"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 xml:space="preserve">The disestablishment of </w:t>
      </w:r>
      <w:r w:rsidRPr="00B873A1">
        <w:rPr>
          <w:rStyle w:val="Strong"/>
          <w:rFonts w:asciiTheme="minorHAnsi" w:hAnsiTheme="minorHAnsi"/>
          <w:b w:val="0"/>
          <w:bCs w:val="0"/>
          <w:sz w:val="22"/>
          <w:szCs w:val="22"/>
        </w:rPr>
        <w:t>Te Aka Whai Ora (Māori Health Authority)</w:t>
      </w:r>
      <w:r w:rsidRPr="00B873A1">
        <w:rPr>
          <w:rFonts w:asciiTheme="minorHAnsi" w:hAnsiTheme="minorHAnsi"/>
          <w:sz w:val="22"/>
          <w:szCs w:val="22"/>
        </w:rPr>
        <w:t xml:space="preserve"> in 2025 represents a profound reversal of equity gains and a direct breach of CERD Articles 2 and 5. Te Aka Whai Ora was established in response to the Waitangi Tribunal’s findings that the Ministry of Health had systematically failed to uphold Te Tiriti obligations. Its removal reinstates the same monocultural system previously found to be discriminatory, dismantling Māori-led commissioning and governance. Came et al. (2024) describe this as a return to “business as usual”—a reassertion of Pākehā institutional dominance over Māori health priorities.</w:t>
      </w:r>
    </w:p>
    <w:p w14:paraId="1B639EFA" w14:textId="413CDA2B"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Funding inequities further entrench systemic discrimination. Māori health providers receive less than half their population share of Vote Health, while their services deliver disproportionate outcomes for Māori communities</w:t>
      </w:r>
      <w:r w:rsidR="00916BB8">
        <w:rPr>
          <w:rFonts w:asciiTheme="minorHAnsi" w:hAnsiTheme="minorHAnsi"/>
          <w:sz w:val="22"/>
          <w:szCs w:val="22"/>
        </w:rPr>
        <w:t xml:space="preserve"> often in the context of complex high health and social needs</w:t>
      </w:r>
      <w:r w:rsidRPr="00B873A1">
        <w:rPr>
          <w:rFonts w:asciiTheme="minorHAnsi" w:hAnsiTheme="minorHAnsi"/>
          <w:sz w:val="22"/>
          <w:szCs w:val="22"/>
        </w:rPr>
        <w:t xml:space="preserve"> (Love et al., 2021; Waitangi Tribunal, 2019). This underinvestment </w:t>
      </w:r>
      <w:r w:rsidRPr="00B873A1">
        <w:rPr>
          <w:rFonts w:asciiTheme="minorHAnsi" w:hAnsiTheme="minorHAnsi"/>
          <w:sz w:val="22"/>
          <w:szCs w:val="22"/>
        </w:rPr>
        <w:lastRenderedPageBreak/>
        <w:t xml:space="preserve">contravenes CERD Article 2(2), which requires the use of special measures to achieve equality in fact, and Article 5(e)(iv), which recognises the right to health as fundamental. The Ministry’s failure to implement funding equity frameworks—despite long-standing evidence—illustrates </w:t>
      </w:r>
      <w:r w:rsidR="00916BB8">
        <w:rPr>
          <w:rFonts w:asciiTheme="minorHAnsi" w:hAnsiTheme="minorHAnsi"/>
          <w:sz w:val="22"/>
          <w:szCs w:val="22"/>
        </w:rPr>
        <w:t xml:space="preserve">the </w:t>
      </w:r>
      <w:r w:rsidRPr="00B873A1">
        <w:rPr>
          <w:rFonts w:asciiTheme="minorHAnsi" w:hAnsiTheme="minorHAnsi"/>
          <w:sz w:val="22"/>
          <w:szCs w:val="22"/>
        </w:rPr>
        <w:t>Crown</w:t>
      </w:r>
      <w:r w:rsidR="00AC66CC">
        <w:rPr>
          <w:rFonts w:asciiTheme="minorHAnsi" w:hAnsiTheme="minorHAnsi"/>
          <w:sz w:val="22"/>
          <w:szCs w:val="22"/>
        </w:rPr>
        <w:t>’s</w:t>
      </w:r>
      <w:r w:rsidRPr="00B873A1">
        <w:rPr>
          <w:rFonts w:asciiTheme="minorHAnsi" w:hAnsiTheme="minorHAnsi"/>
          <w:sz w:val="22"/>
          <w:szCs w:val="22"/>
        </w:rPr>
        <w:t xml:space="preserve"> </w:t>
      </w:r>
      <w:r w:rsidR="00916BB8">
        <w:rPr>
          <w:rFonts w:asciiTheme="minorHAnsi" w:hAnsiTheme="minorHAnsi"/>
          <w:sz w:val="22"/>
          <w:szCs w:val="22"/>
        </w:rPr>
        <w:t xml:space="preserve">ongoing </w:t>
      </w:r>
      <w:r w:rsidRPr="00B873A1">
        <w:rPr>
          <w:rFonts w:asciiTheme="minorHAnsi" w:hAnsiTheme="minorHAnsi"/>
          <w:sz w:val="22"/>
          <w:szCs w:val="22"/>
        </w:rPr>
        <w:t>reluctance to redistribute resources or authority.</w:t>
      </w:r>
    </w:p>
    <w:p w14:paraId="57D68F52" w14:textId="0E60AE1C"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 xml:space="preserve">Accountability mechanisms remain weak or absent. No independent Māori-led system exists to monitor equity outcomes or enforce compliance with CERD or Te Tiriti. Health data continues to be Crown-owned and inconsistently disaggregated, undermining transparency and Māori data sovereignty. Furthermore, the erosion of kaupapa Māori health approaches within </w:t>
      </w:r>
      <w:r w:rsidR="00916BB8">
        <w:rPr>
          <w:rFonts w:asciiTheme="minorHAnsi" w:hAnsiTheme="minorHAnsi"/>
          <w:sz w:val="22"/>
          <w:szCs w:val="22"/>
        </w:rPr>
        <w:t>generic</w:t>
      </w:r>
      <w:r w:rsidRPr="00B873A1">
        <w:rPr>
          <w:rFonts w:asciiTheme="minorHAnsi" w:hAnsiTheme="minorHAnsi"/>
          <w:sz w:val="22"/>
          <w:szCs w:val="22"/>
        </w:rPr>
        <w:t xml:space="preserve"> systems sustains monocultural service delivery and limits the realisation of hauora as taonga.</w:t>
      </w:r>
    </w:p>
    <w:p w14:paraId="5D4526F6" w14:textId="77777777" w:rsidR="00B26D22" w:rsidRPr="00B873A1" w:rsidRDefault="00B26D22" w:rsidP="002C4368">
      <w:pPr>
        <w:pStyle w:val="NormalWeb"/>
        <w:spacing w:line="276" w:lineRule="auto"/>
        <w:rPr>
          <w:rFonts w:asciiTheme="minorHAnsi" w:hAnsiTheme="minorHAnsi"/>
          <w:sz w:val="22"/>
          <w:szCs w:val="22"/>
        </w:rPr>
      </w:pPr>
      <w:r w:rsidRPr="00B873A1">
        <w:rPr>
          <w:rStyle w:val="Strong"/>
          <w:rFonts w:asciiTheme="minorHAnsi" w:hAnsiTheme="minorHAnsi"/>
          <w:sz w:val="22"/>
          <w:szCs w:val="22"/>
        </w:rPr>
        <w:t>Recommended actions:</w:t>
      </w:r>
    </w:p>
    <w:p w14:paraId="40F493F8" w14:textId="77777777" w:rsidR="00B26D22" w:rsidRPr="00B873A1" w:rsidRDefault="00B26D22" w:rsidP="002C4368">
      <w:pPr>
        <w:pStyle w:val="NormalWeb"/>
        <w:numPr>
          <w:ilvl w:val="0"/>
          <w:numId w:val="13"/>
        </w:numPr>
        <w:spacing w:line="276" w:lineRule="auto"/>
        <w:rPr>
          <w:rFonts w:asciiTheme="minorHAnsi" w:hAnsiTheme="minorHAnsi"/>
          <w:sz w:val="22"/>
          <w:szCs w:val="22"/>
        </w:rPr>
      </w:pPr>
      <w:r w:rsidRPr="00B873A1">
        <w:rPr>
          <w:rFonts w:asciiTheme="minorHAnsi" w:hAnsiTheme="minorHAnsi"/>
          <w:sz w:val="22"/>
          <w:szCs w:val="22"/>
        </w:rPr>
        <w:t>Reinstate Te Aka Whai Ora as an independent, Māori-governed authority with statutory powers to commission and monitor Māori health services.</w:t>
      </w:r>
    </w:p>
    <w:p w14:paraId="01DD5A74" w14:textId="77777777" w:rsidR="00B26D22" w:rsidRPr="00B873A1" w:rsidRDefault="00B26D22" w:rsidP="002C4368">
      <w:pPr>
        <w:pStyle w:val="NormalWeb"/>
        <w:numPr>
          <w:ilvl w:val="0"/>
          <w:numId w:val="13"/>
        </w:numPr>
        <w:spacing w:line="276" w:lineRule="auto"/>
        <w:rPr>
          <w:rFonts w:asciiTheme="minorHAnsi" w:hAnsiTheme="minorHAnsi"/>
          <w:sz w:val="22"/>
          <w:szCs w:val="22"/>
        </w:rPr>
      </w:pPr>
      <w:r w:rsidRPr="00B873A1">
        <w:rPr>
          <w:rFonts w:asciiTheme="minorHAnsi" w:hAnsiTheme="minorHAnsi"/>
          <w:sz w:val="22"/>
          <w:szCs w:val="22"/>
        </w:rPr>
        <w:t>Embed Tiriti-based co-governance across Te Whatu Ora and the Ministry of Health, ensuring shared decision-making and accountability to Māori.</w:t>
      </w:r>
    </w:p>
    <w:p w14:paraId="23E3C0F3" w14:textId="77777777" w:rsidR="00B26D22" w:rsidRPr="00B873A1" w:rsidRDefault="00B26D22" w:rsidP="002C4368">
      <w:pPr>
        <w:pStyle w:val="NormalWeb"/>
        <w:numPr>
          <w:ilvl w:val="0"/>
          <w:numId w:val="13"/>
        </w:numPr>
        <w:spacing w:line="276" w:lineRule="auto"/>
        <w:rPr>
          <w:rFonts w:asciiTheme="minorHAnsi" w:hAnsiTheme="minorHAnsi"/>
          <w:sz w:val="22"/>
          <w:szCs w:val="22"/>
        </w:rPr>
      </w:pPr>
      <w:r w:rsidRPr="00B873A1">
        <w:rPr>
          <w:rFonts w:asciiTheme="minorHAnsi" w:hAnsiTheme="minorHAnsi"/>
          <w:sz w:val="22"/>
          <w:szCs w:val="22"/>
        </w:rPr>
        <w:t>Develop and implement a Māori-led funding formula to achieve equitable resource distribution across all levels of the health system.</w:t>
      </w:r>
    </w:p>
    <w:p w14:paraId="736DF594" w14:textId="77777777" w:rsidR="00B26D22" w:rsidRPr="00B873A1" w:rsidRDefault="00B26D22" w:rsidP="002C4368">
      <w:pPr>
        <w:pStyle w:val="NormalWeb"/>
        <w:numPr>
          <w:ilvl w:val="0"/>
          <w:numId w:val="13"/>
        </w:numPr>
        <w:spacing w:line="276" w:lineRule="auto"/>
        <w:rPr>
          <w:rFonts w:asciiTheme="minorHAnsi" w:hAnsiTheme="minorHAnsi"/>
          <w:sz w:val="22"/>
          <w:szCs w:val="22"/>
        </w:rPr>
      </w:pPr>
      <w:r w:rsidRPr="00B873A1">
        <w:rPr>
          <w:rFonts w:asciiTheme="minorHAnsi" w:hAnsiTheme="minorHAnsi"/>
          <w:sz w:val="22"/>
          <w:szCs w:val="22"/>
        </w:rPr>
        <w:t>Mandate annual CERD-compliance and equity audits of health legislation, budgets, and outcomes, with public reporting overseen by a Māori-led body.</w:t>
      </w:r>
    </w:p>
    <w:p w14:paraId="793A7896" w14:textId="70436E5A" w:rsidR="00B26D22" w:rsidRPr="00B873A1" w:rsidRDefault="00B26D22" w:rsidP="002C4368">
      <w:pPr>
        <w:pStyle w:val="Heading2"/>
        <w:spacing w:line="276" w:lineRule="auto"/>
      </w:pPr>
      <w:r w:rsidRPr="00B873A1">
        <w:t xml:space="preserve">Health </w:t>
      </w:r>
      <w:r w:rsidR="00916BB8" w:rsidRPr="00B873A1">
        <w:t>workforce i</w:t>
      </w:r>
      <w:r w:rsidRPr="00B873A1">
        <w:t>nequities</w:t>
      </w:r>
    </w:p>
    <w:p w14:paraId="53310176" w14:textId="77777777" w:rsidR="00B26D22" w:rsidRPr="00B873A1" w:rsidRDefault="00B26D22" w:rsidP="002C4368">
      <w:pPr>
        <w:pStyle w:val="NormalWeb"/>
        <w:spacing w:before="0" w:beforeAutospacing="0" w:after="0" w:afterAutospacing="0" w:line="276" w:lineRule="auto"/>
        <w:rPr>
          <w:rFonts w:asciiTheme="minorHAnsi" w:hAnsiTheme="minorHAnsi"/>
          <w:sz w:val="22"/>
          <w:szCs w:val="22"/>
        </w:rPr>
      </w:pPr>
      <w:r w:rsidRPr="00B873A1">
        <w:rPr>
          <w:rFonts w:asciiTheme="minorHAnsi" w:hAnsiTheme="minorHAnsi"/>
          <w:sz w:val="22"/>
          <w:szCs w:val="22"/>
        </w:rPr>
        <w:t>Crown management of the health workforce continues to breach CERD Articles 2 and 5 by maintaining structures that limit Māori authority, depress Māori participation in senior roles, and entrench pay inequities. Māori comprise roughly 17 percent of the population yet remain markedly under-represented in executive, clinical leadership, regulatory, and board positions across Te Whatu Ora and the Ministry of Health. Iwi Māori Partnership Boards and similar entities are largely confined to advisory functions, not decision-making—an arrangement inconsistent with CERD Article 2(1)(c), which obliges the state to reform discriminatory structures rather than merely consult with those they marginalise.</w:t>
      </w:r>
    </w:p>
    <w:p w14:paraId="1A11E629" w14:textId="77777777"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Evidence from Critical Tiriti Analysis shows the problem is designed into the system. Regulatory authorities’ competency standards continue to treat Te Tiriti as optional or symbolic rather than binding, substituting vague “cultural competence” language for enforceable obligations (Came, Kidd, Heke, &amp; McCreanor, 2021). This allows Pākehā professional norms to remain the default, with Māori knowledge systems and Māori-defined indicators of safe practice sidelined. Heke, Wilson, and Came (2019) describe this as “shades of competence,” where performance frameworks signal inclusion while leaving monocultural practice largely unchanged.</w:t>
      </w:r>
    </w:p>
    <w:p w14:paraId="3BB761A6" w14:textId="1BBF1502"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Executive selection and performance systems</w:t>
      </w:r>
      <w:r w:rsidR="00B06DB0">
        <w:rPr>
          <w:rFonts w:asciiTheme="minorHAnsi" w:hAnsiTheme="minorHAnsi"/>
          <w:sz w:val="22"/>
          <w:szCs w:val="22"/>
        </w:rPr>
        <w:t>,</w:t>
      </w:r>
      <w:r w:rsidRPr="00B873A1">
        <w:rPr>
          <w:rFonts w:asciiTheme="minorHAnsi" w:hAnsiTheme="minorHAnsi"/>
          <w:sz w:val="22"/>
          <w:szCs w:val="22"/>
        </w:rPr>
        <w:t xml:space="preserve"> privileging narrow Pākehā-coded notions of “merit”</w:t>
      </w:r>
      <w:r w:rsidR="008D21C6">
        <w:rPr>
          <w:rFonts w:asciiTheme="minorHAnsi" w:hAnsiTheme="minorHAnsi"/>
          <w:sz w:val="22"/>
          <w:szCs w:val="22"/>
        </w:rPr>
        <w:t>,</w:t>
      </w:r>
      <w:r w:rsidRPr="00B873A1">
        <w:rPr>
          <w:rFonts w:asciiTheme="minorHAnsi" w:hAnsiTheme="minorHAnsi"/>
          <w:sz w:val="22"/>
          <w:szCs w:val="22"/>
        </w:rPr>
        <w:t xml:space="preserve"> systematically filter out Māori leadership values such as collective accountability, </w:t>
      </w:r>
      <w:r w:rsidRPr="00B873A1">
        <w:rPr>
          <w:rFonts w:asciiTheme="minorHAnsi" w:hAnsiTheme="minorHAnsi"/>
          <w:sz w:val="22"/>
          <w:szCs w:val="22"/>
        </w:rPr>
        <w:lastRenderedPageBreak/>
        <w:t>obligations to whānau, hapū, and iwi, and kaupapa Māori practice (Goza, Came, &amp; Emery-Whittington, 2022). Human-resources policies remain dominated by monocultural settings with little evidence of systemic antiracism capability or Māori-led change (Heke, Came, Birk, &amp; Gambrell, 2022).</w:t>
      </w:r>
    </w:p>
    <w:p w14:paraId="052A0456" w14:textId="1214EA19"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 xml:space="preserve">Pay inequity compounds these breaches. Public-sector analyses show persistent ethnic pay gaps in leadership; Māori and Pacific leaders earn less than Pākehā peers in comparable roles (Came, Badu, Ioane, Manson, &amp; McCreanor, 2020). Within the health system, iwi-provider and Māori-led services frequently pay below Te Whatu Ora rates for equivalent roles, reflecting historic underfunding rather than lesser value. Former </w:t>
      </w:r>
      <w:r w:rsidR="00462B6C">
        <w:rPr>
          <w:rFonts w:asciiTheme="minorHAnsi" w:hAnsiTheme="minorHAnsi"/>
          <w:sz w:val="22"/>
          <w:szCs w:val="22"/>
        </w:rPr>
        <w:t>district health boards</w:t>
      </w:r>
      <w:r w:rsidRPr="00B873A1">
        <w:rPr>
          <w:rFonts w:asciiTheme="minorHAnsi" w:hAnsiTheme="minorHAnsi"/>
          <w:sz w:val="22"/>
          <w:szCs w:val="22"/>
        </w:rPr>
        <w:t xml:space="preserve"> resistance to </w:t>
      </w:r>
      <w:r w:rsidR="00462B6C" w:rsidRPr="00462B6C">
        <w:rPr>
          <w:rFonts w:asciiTheme="minorHAnsi" w:hAnsiTheme="minorHAnsi"/>
          <w:sz w:val="22"/>
          <w:szCs w:val="22"/>
        </w:rPr>
        <w:t>living wage</w:t>
      </w:r>
      <w:r w:rsidR="00462B6C" w:rsidRPr="00B873A1">
        <w:rPr>
          <w:rFonts w:asciiTheme="minorHAnsi" w:hAnsiTheme="minorHAnsi"/>
          <w:sz w:val="22"/>
          <w:szCs w:val="22"/>
        </w:rPr>
        <w:t xml:space="preserve"> </w:t>
      </w:r>
      <w:r w:rsidRPr="00B873A1">
        <w:rPr>
          <w:rFonts w:asciiTheme="minorHAnsi" w:hAnsiTheme="minorHAnsi"/>
          <w:sz w:val="22"/>
          <w:szCs w:val="22"/>
        </w:rPr>
        <w:t>adoption further depressed wages in workforces with high Māori and Pacific representation (Douglas, Came, Bain, &amp; Berghan, 2022). These disparities violate CERD’s requirement for equality in employment, remuneration, and conditions, and its call for “special measures” to achieve equality in fact.</w:t>
      </w:r>
    </w:p>
    <w:p w14:paraId="37F5015A" w14:textId="77777777"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Finally, workforce data systems are not fit for equity governance. Ethnicity data are inconsistently captured and reported, Māori data governance is minimal, and there are limited, transparent indicators tracking representation, progression, attrition, and pay by ethnicity across clinical and managerial pathways. Without Māori-governed data and binding targets, inequities remain predictable, persistent, and largely unremedied.</w:t>
      </w:r>
    </w:p>
    <w:p w14:paraId="4D41B6AE" w14:textId="77777777" w:rsidR="00B26D22" w:rsidRPr="00B873A1" w:rsidRDefault="00B26D22" w:rsidP="002C4368">
      <w:pPr>
        <w:pStyle w:val="NormalWeb"/>
        <w:spacing w:line="276" w:lineRule="auto"/>
        <w:rPr>
          <w:rFonts w:asciiTheme="minorHAnsi" w:hAnsiTheme="minorHAnsi"/>
          <w:sz w:val="22"/>
          <w:szCs w:val="22"/>
        </w:rPr>
      </w:pPr>
      <w:r w:rsidRPr="00B873A1">
        <w:rPr>
          <w:rStyle w:val="Strong"/>
          <w:rFonts w:asciiTheme="minorHAnsi" w:hAnsiTheme="minorHAnsi"/>
          <w:sz w:val="22"/>
          <w:szCs w:val="22"/>
        </w:rPr>
        <w:t>Recommended actions:</w:t>
      </w:r>
    </w:p>
    <w:p w14:paraId="6D0A1B02" w14:textId="77777777" w:rsidR="00B26D22" w:rsidRPr="00B873A1" w:rsidRDefault="00B26D22" w:rsidP="002C4368">
      <w:pPr>
        <w:pStyle w:val="NormalWeb"/>
        <w:numPr>
          <w:ilvl w:val="0"/>
          <w:numId w:val="14"/>
        </w:numPr>
        <w:spacing w:line="276" w:lineRule="auto"/>
        <w:rPr>
          <w:rFonts w:asciiTheme="minorHAnsi" w:hAnsiTheme="minorHAnsi"/>
          <w:sz w:val="22"/>
          <w:szCs w:val="22"/>
        </w:rPr>
      </w:pPr>
      <w:r w:rsidRPr="00B873A1">
        <w:rPr>
          <w:rFonts w:asciiTheme="minorHAnsi" w:hAnsiTheme="minorHAnsi"/>
          <w:sz w:val="22"/>
          <w:szCs w:val="22"/>
        </w:rPr>
        <w:t>Establish Māori co-governance of workforce policy, regulation, and funding—ensuring shared authority over standards, pathways, and resourcing, not merely advisory roles.</w:t>
      </w:r>
    </w:p>
    <w:p w14:paraId="37BB07D9" w14:textId="47658E55" w:rsidR="00B26D22" w:rsidRPr="00B873A1" w:rsidRDefault="00B26D22" w:rsidP="002C4368">
      <w:pPr>
        <w:pStyle w:val="NormalWeb"/>
        <w:numPr>
          <w:ilvl w:val="0"/>
          <w:numId w:val="14"/>
        </w:numPr>
        <w:spacing w:line="276" w:lineRule="auto"/>
        <w:rPr>
          <w:rFonts w:asciiTheme="minorHAnsi" w:hAnsiTheme="minorHAnsi"/>
          <w:sz w:val="22"/>
          <w:szCs w:val="22"/>
        </w:rPr>
      </w:pPr>
      <w:r w:rsidRPr="00B873A1">
        <w:rPr>
          <w:rFonts w:asciiTheme="minorHAnsi" w:hAnsiTheme="minorHAnsi"/>
          <w:sz w:val="22"/>
          <w:szCs w:val="22"/>
        </w:rPr>
        <w:t>Reform recruitment, appointment, and performance systems to remove monocultural bias; require demonstrable Te Tiriti competence and antiracism capability for all senior appointments and reappointments.</w:t>
      </w:r>
    </w:p>
    <w:p w14:paraId="1D28EDDF" w14:textId="77777777" w:rsidR="00B26D22" w:rsidRPr="00B873A1" w:rsidRDefault="00B26D22" w:rsidP="002C4368">
      <w:pPr>
        <w:pStyle w:val="NormalWeb"/>
        <w:numPr>
          <w:ilvl w:val="0"/>
          <w:numId w:val="14"/>
        </w:numPr>
        <w:spacing w:line="276" w:lineRule="auto"/>
        <w:rPr>
          <w:rFonts w:asciiTheme="minorHAnsi" w:hAnsiTheme="minorHAnsi"/>
          <w:sz w:val="22"/>
          <w:szCs w:val="22"/>
        </w:rPr>
      </w:pPr>
      <w:r w:rsidRPr="00B873A1">
        <w:rPr>
          <w:rFonts w:asciiTheme="minorHAnsi" w:hAnsiTheme="minorHAnsi"/>
          <w:sz w:val="22"/>
          <w:szCs w:val="22"/>
        </w:rPr>
        <w:t>Deliver full pay equity across the health workforce, including back-pay for historic discrimination; adopt a Māori-led pay-equity and progression framework with annual public reporting.</w:t>
      </w:r>
    </w:p>
    <w:p w14:paraId="463A35EA" w14:textId="3BD9EE8A" w:rsidR="00B26D22" w:rsidRPr="00B873A1" w:rsidRDefault="00B26D22" w:rsidP="002C4368">
      <w:pPr>
        <w:pStyle w:val="NormalWeb"/>
        <w:numPr>
          <w:ilvl w:val="0"/>
          <w:numId w:val="14"/>
        </w:numPr>
        <w:spacing w:line="276" w:lineRule="auto"/>
        <w:rPr>
          <w:rFonts w:asciiTheme="minorHAnsi" w:hAnsiTheme="minorHAnsi"/>
          <w:sz w:val="22"/>
          <w:szCs w:val="22"/>
        </w:rPr>
      </w:pPr>
      <w:r w:rsidRPr="00B873A1">
        <w:rPr>
          <w:rFonts w:asciiTheme="minorHAnsi" w:hAnsiTheme="minorHAnsi"/>
          <w:sz w:val="22"/>
          <w:szCs w:val="22"/>
        </w:rPr>
        <w:t>Embed antiracism and cultural-safety education across professions and agencies, tied to regulation, credentialing, and re-credentialing.</w:t>
      </w:r>
    </w:p>
    <w:p w14:paraId="42332ACC" w14:textId="77777777" w:rsidR="00B26D22" w:rsidRPr="00B873A1" w:rsidRDefault="00B26D22" w:rsidP="002C4368">
      <w:pPr>
        <w:pStyle w:val="NormalWeb"/>
        <w:numPr>
          <w:ilvl w:val="0"/>
          <w:numId w:val="14"/>
        </w:numPr>
        <w:spacing w:line="276" w:lineRule="auto"/>
        <w:rPr>
          <w:rFonts w:asciiTheme="minorHAnsi" w:hAnsiTheme="minorHAnsi"/>
          <w:sz w:val="22"/>
          <w:szCs w:val="22"/>
        </w:rPr>
      </w:pPr>
      <w:r w:rsidRPr="00B873A1">
        <w:rPr>
          <w:rFonts w:asciiTheme="minorHAnsi" w:hAnsiTheme="minorHAnsi"/>
          <w:sz w:val="22"/>
          <w:szCs w:val="22"/>
        </w:rPr>
        <w:t>Implement mandatory CERD and Te Tiriti impact assessments for all workforce reforms, scopes of practice, and regulatory changes prior to implementation.</w:t>
      </w:r>
    </w:p>
    <w:p w14:paraId="3FFDB751" w14:textId="77777777" w:rsidR="00B26D22" w:rsidRPr="00B873A1" w:rsidRDefault="00B26D22" w:rsidP="002C4368">
      <w:pPr>
        <w:pStyle w:val="NormalWeb"/>
        <w:numPr>
          <w:ilvl w:val="0"/>
          <w:numId w:val="14"/>
        </w:numPr>
        <w:spacing w:line="276" w:lineRule="auto"/>
        <w:rPr>
          <w:rFonts w:asciiTheme="minorHAnsi" w:hAnsiTheme="minorHAnsi"/>
          <w:sz w:val="22"/>
          <w:szCs w:val="22"/>
        </w:rPr>
      </w:pPr>
      <w:r w:rsidRPr="00B873A1">
        <w:rPr>
          <w:rFonts w:asciiTheme="minorHAnsi" w:hAnsiTheme="minorHAnsi"/>
          <w:sz w:val="22"/>
          <w:szCs w:val="22"/>
        </w:rPr>
        <w:t>Create Māori-governed workforce data systems that publicly report representation, pay, appointments, progression, and attrition by ethnicity, with clear equity targets and consequences for non-performance.</w:t>
      </w:r>
    </w:p>
    <w:p w14:paraId="1C7498CE" w14:textId="0EB989F4" w:rsidR="00B26D22" w:rsidRPr="00B873A1" w:rsidRDefault="00B26D22" w:rsidP="002C4368">
      <w:pPr>
        <w:pStyle w:val="Heading2"/>
        <w:spacing w:line="276" w:lineRule="auto"/>
      </w:pPr>
      <w:r w:rsidRPr="00B873A1">
        <w:t>Cancer, Screening, and Prevention</w:t>
      </w:r>
    </w:p>
    <w:p w14:paraId="4016DE9E" w14:textId="7F4E75A7" w:rsidR="00B26D22" w:rsidRPr="00B873A1" w:rsidRDefault="00B26D22" w:rsidP="002C4368">
      <w:pPr>
        <w:pStyle w:val="NormalWeb"/>
        <w:spacing w:before="0" w:beforeAutospacing="0" w:line="276" w:lineRule="auto"/>
        <w:rPr>
          <w:rFonts w:asciiTheme="minorHAnsi" w:hAnsiTheme="minorHAnsi"/>
          <w:sz w:val="22"/>
          <w:szCs w:val="22"/>
        </w:rPr>
      </w:pPr>
      <w:r w:rsidRPr="00B873A1">
        <w:rPr>
          <w:rFonts w:asciiTheme="minorHAnsi" w:hAnsiTheme="minorHAnsi"/>
          <w:sz w:val="22"/>
          <w:szCs w:val="22"/>
        </w:rPr>
        <w:t xml:space="preserve">Since 2021, Crown settings across the cancer continuum have breached CERD Articles 2 and 5 by sustaining inequitable access to prevention, screening, diagnosis, treatment, and survivorship for Māori. Structural barriers—age settings, eligibility rules, fragmented </w:t>
      </w:r>
      <w:r w:rsidRPr="00B873A1">
        <w:rPr>
          <w:rFonts w:asciiTheme="minorHAnsi" w:hAnsiTheme="minorHAnsi"/>
          <w:sz w:val="22"/>
          <w:szCs w:val="22"/>
        </w:rPr>
        <w:lastRenderedPageBreak/>
        <w:t>follow-up systems, inadequate Māori governance, and under-resourcing of kaupapa Māori services—have produced predictable disparities in incidence, stage at diagnosis, timeliness, and survival.</w:t>
      </w:r>
    </w:p>
    <w:p w14:paraId="48672DB0" w14:textId="77777777"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Screening design has been a key driver of inequity. For years, the National Bowel Screening Programme excluded Māori under 60 despite evidence of earlier onset and higher burden. The belated lowering of the start age to 58 is insufficient redress for cumulative under-screening and does not align eligibility with Māori risk. Cervical screening has likewise failed to deliver equity: coverage for Māori women remains lower and mortality higher than for Pākehā, and the transition to primary HPV screening (which offers improved sensitivity and self-testing pathways) arrived after prolonged delays, entrenching preventable harm. Breast-screening pathways continue to produce later-stage detection for Māori through access barriers, cultural unsafety, and delays across diagnostic and surgical steps, reproducing unequal outcomes.</w:t>
      </w:r>
    </w:p>
    <w:p w14:paraId="39508E0F" w14:textId="471F8A1A"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 xml:space="preserve">Policy architecture has normalised these patterns. A Critical Tiriti Analysis of the </w:t>
      </w:r>
      <w:r w:rsidRPr="00B873A1">
        <w:rPr>
          <w:rStyle w:val="Emphasis"/>
          <w:rFonts w:asciiTheme="minorHAnsi" w:hAnsiTheme="minorHAnsi"/>
          <w:sz w:val="22"/>
          <w:szCs w:val="22"/>
        </w:rPr>
        <w:t>New Zealand Cancer Action Plan 2019–2029</w:t>
      </w:r>
      <w:r w:rsidRPr="00B873A1">
        <w:rPr>
          <w:rFonts w:asciiTheme="minorHAnsi" w:hAnsiTheme="minorHAnsi"/>
          <w:sz w:val="22"/>
          <w:szCs w:val="22"/>
        </w:rPr>
        <w:t xml:space="preserve"> found the Plan re-centred Crown control, treated Māori as stakeholders rather than </w:t>
      </w:r>
      <w:r w:rsidR="00462B6C">
        <w:rPr>
          <w:rFonts w:asciiTheme="minorHAnsi" w:hAnsiTheme="minorHAnsi"/>
          <w:sz w:val="22"/>
          <w:szCs w:val="22"/>
        </w:rPr>
        <w:t>sovereign Tiriti</w:t>
      </w:r>
      <w:r w:rsidRPr="00B873A1">
        <w:rPr>
          <w:rFonts w:asciiTheme="minorHAnsi" w:hAnsiTheme="minorHAnsi"/>
          <w:sz w:val="22"/>
          <w:szCs w:val="22"/>
        </w:rPr>
        <w:t xml:space="preserve"> partners, and lacked enforceable mechanisms for Māori authority, funding power, or accountability (Came &amp; Kidd, 2020). As a consequence, operational plans did not guarantee Māori leadership over screening programme design, equity targets, or transparent reporting. The </w:t>
      </w:r>
      <w:r w:rsidRPr="00B873A1">
        <w:rPr>
          <w:rStyle w:val="Emphasis"/>
          <w:rFonts w:asciiTheme="minorHAnsi" w:hAnsiTheme="minorHAnsi"/>
          <w:sz w:val="22"/>
          <w:szCs w:val="22"/>
        </w:rPr>
        <w:t>Parliamentary Review Committee Report regarding the National Cervical Screening Programme</w:t>
      </w:r>
      <w:r w:rsidRPr="00B873A1">
        <w:rPr>
          <w:rFonts w:asciiTheme="minorHAnsi" w:hAnsiTheme="minorHAnsi"/>
          <w:sz w:val="22"/>
          <w:szCs w:val="22"/>
        </w:rPr>
        <w:t xml:space="preserve"> confirmed that Māori women continue to die at disproportionately high rates from preventable cervical cancers due to inconsistent follow-up, fragmented data and accountability, and failure to deliver equitable coverage and timely pathways (Came, McPherson, &amp; Penny, 2023). Māori leadership has repeatedly identified the need for Māori-governed oversight of screening programmes to ensure equity is designed in—not retrofitted.</w:t>
      </w:r>
    </w:p>
    <w:p w14:paraId="6266961C" w14:textId="77777777"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Treatment access remains unequal. Māori experience longer waits to surgery and systemic therapy for several cancers and reduced access to high-cost, life-prolonging medicines. These gaps reflect structural bias within funding, commissioning, and clinic pathways rather than individual behaviour. In advanced breast cancer, Māori women face delayed diagnosis, constrained access to new medicines, and inadequate culturally safe, whānau-centred care—inequities highlighted in a national call to action (Kereama-Royal et al., 2019). Under-resourcing of Māori-led cancer services and the dismantling of Māori health governance (including Te Aka Whai Ora) further weaken accountability for achieving parity.</w:t>
      </w:r>
    </w:p>
    <w:p w14:paraId="1499A703" w14:textId="77777777"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 xml:space="preserve">Prevention policy has also regressed. The repeal of the smokefree generation, </w:t>
      </w:r>
      <w:proofErr w:type="spellStart"/>
      <w:r w:rsidRPr="00B873A1">
        <w:rPr>
          <w:rFonts w:asciiTheme="minorHAnsi" w:hAnsiTheme="minorHAnsi"/>
          <w:sz w:val="22"/>
          <w:szCs w:val="22"/>
        </w:rPr>
        <w:t>denicotinisation</w:t>
      </w:r>
      <w:proofErr w:type="spellEnd"/>
      <w:r w:rsidRPr="00B873A1">
        <w:rPr>
          <w:rFonts w:asciiTheme="minorHAnsi" w:hAnsiTheme="minorHAnsi"/>
          <w:sz w:val="22"/>
          <w:szCs w:val="22"/>
        </w:rPr>
        <w:t>, and retailer-reduction measures in 2024 removed evidence-based interventions projected to save thousands of Māori lives and close equity gaps. This reversal undermines the state’s duty under CERD Article 2(2) to adopt special measures achieving equality in fact and conflicts with Article 5’s guarantee of equal enjoyment of the right to health.</w:t>
      </w:r>
    </w:p>
    <w:p w14:paraId="65A8D4B6" w14:textId="77777777"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lastRenderedPageBreak/>
        <w:t>Data sovereignty and accountability remain weak. Cancer data systems are largely Crown-controlled, inconsistently disaggregated, and not governed by Māori. Without Māori authority over data standards, indicators, and publication, inequities are rendered manageable rather than unacceptable, and the system avoids binding accountability for timely improvement.</w:t>
      </w:r>
    </w:p>
    <w:p w14:paraId="18F533EB" w14:textId="77777777" w:rsidR="00B26D22" w:rsidRPr="00B873A1" w:rsidRDefault="00B26D22" w:rsidP="002C4368">
      <w:pPr>
        <w:pStyle w:val="NormalWeb"/>
        <w:spacing w:line="276" w:lineRule="auto"/>
        <w:rPr>
          <w:rFonts w:asciiTheme="minorHAnsi" w:hAnsiTheme="minorHAnsi"/>
          <w:sz w:val="22"/>
          <w:szCs w:val="22"/>
        </w:rPr>
      </w:pPr>
      <w:r w:rsidRPr="00B873A1">
        <w:rPr>
          <w:rStyle w:val="Strong"/>
          <w:rFonts w:asciiTheme="minorHAnsi" w:hAnsiTheme="minorHAnsi"/>
          <w:sz w:val="22"/>
          <w:szCs w:val="22"/>
        </w:rPr>
        <w:t>Recommended actions:</w:t>
      </w:r>
    </w:p>
    <w:p w14:paraId="11D58422" w14:textId="77777777" w:rsidR="00B26D22" w:rsidRPr="00B873A1" w:rsidRDefault="00B26D22" w:rsidP="002C4368">
      <w:pPr>
        <w:pStyle w:val="NormalWeb"/>
        <w:numPr>
          <w:ilvl w:val="0"/>
          <w:numId w:val="15"/>
        </w:numPr>
        <w:spacing w:line="276" w:lineRule="auto"/>
        <w:rPr>
          <w:rFonts w:asciiTheme="minorHAnsi" w:hAnsiTheme="minorHAnsi"/>
          <w:sz w:val="22"/>
          <w:szCs w:val="22"/>
        </w:rPr>
      </w:pPr>
      <w:r w:rsidRPr="00B873A1">
        <w:rPr>
          <w:rFonts w:asciiTheme="minorHAnsi" w:hAnsiTheme="minorHAnsi"/>
          <w:sz w:val="22"/>
          <w:szCs w:val="22"/>
        </w:rPr>
        <w:t>Co-design and implement a Tiriti-grounded cancer-equity strategy with shared Māori–Crown authority across prevention, screening, diagnosis, treatment, palliation, and survivorship; embed measurable, time-bound equity targets and public accountability.</w:t>
      </w:r>
    </w:p>
    <w:p w14:paraId="473AC3F3" w14:textId="77777777" w:rsidR="00B26D22" w:rsidRPr="00B873A1" w:rsidRDefault="00B26D22" w:rsidP="002C4368">
      <w:pPr>
        <w:pStyle w:val="NormalWeb"/>
        <w:numPr>
          <w:ilvl w:val="0"/>
          <w:numId w:val="15"/>
        </w:numPr>
        <w:spacing w:line="276" w:lineRule="auto"/>
        <w:rPr>
          <w:rFonts w:asciiTheme="minorHAnsi" w:hAnsiTheme="minorHAnsi"/>
          <w:sz w:val="22"/>
          <w:szCs w:val="22"/>
        </w:rPr>
      </w:pPr>
      <w:r w:rsidRPr="00B873A1">
        <w:rPr>
          <w:rFonts w:asciiTheme="minorHAnsi" w:hAnsiTheme="minorHAnsi"/>
          <w:sz w:val="22"/>
          <w:szCs w:val="22"/>
        </w:rPr>
        <w:t>Establish Māori governance and statutory oversight for all national screening programmes (cervical, breast, bowel), including control over eligibility settings, outreach design (including self-testing), recall/follow-up systems, and equity reporting, consistent with the Parliamentary Review Committee’s findings.</w:t>
      </w:r>
    </w:p>
    <w:p w14:paraId="347C1293" w14:textId="77777777" w:rsidR="00B26D22" w:rsidRPr="00B873A1" w:rsidRDefault="00B26D22" w:rsidP="002C4368">
      <w:pPr>
        <w:pStyle w:val="NormalWeb"/>
        <w:numPr>
          <w:ilvl w:val="0"/>
          <w:numId w:val="15"/>
        </w:numPr>
        <w:spacing w:line="276" w:lineRule="auto"/>
        <w:rPr>
          <w:rFonts w:asciiTheme="minorHAnsi" w:hAnsiTheme="minorHAnsi"/>
          <w:sz w:val="22"/>
          <w:szCs w:val="22"/>
        </w:rPr>
      </w:pPr>
      <w:r w:rsidRPr="00B873A1">
        <w:rPr>
          <w:rFonts w:asciiTheme="minorHAnsi" w:hAnsiTheme="minorHAnsi"/>
          <w:sz w:val="22"/>
          <w:szCs w:val="22"/>
        </w:rPr>
        <w:t xml:space="preserve">Lower the bowel-screening start age for Māori to </w:t>
      </w:r>
      <w:r w:rsidRPr="00B873A1">
        <w:rPr>
          <w:rStyle w:val="Strong"/>
          <w:rFonts w:asciiTheme="minorHAnsi" w:hAnsiTheme="minorHAnsi"/>
          <w:sz w:val="22"/>
          <w:szCs w:val="22"/>
        </w:rPr>
        <w:t>50 years</w:t>
      </w:r>
      <w:r w:rsidRPr="00B873A1">
        <w:rPr>
          <w:rFonts w:asciiTheme="minorHAnsi" w:hAnsiTheme="minorHAnsi"/>
          <w:sz w:val="22"/>
          <w:szCs w:val="22"/>
        </w:rPr>
        <w:t xml:space="preserve"> and resource Māori-led outreach and navigation to achieve equitable participation across all screening programmes, with guaranteed rapid diagnostic pathways.</w:t>
      </w:r>
    </w:p>
    <w:p w14:paraId="16E16E51" w14:textId="77777777" w:rsidR="00B26D22" w:rsidRPr="00B873A1" w:rsidRDefault="00B26D22" w:rsidP="002C4368">
      <w:pPr>
        <w:pStyle w:val="NormalWeb"/>
        <w:numPr>
          <w:ilvl w:val="0"/>
          <w:numId w:val="15"/>
        </w:numPr>
        <w:spacing w:line="276" w:lineRule="auto"/>
        <w:rPr>
          <w:rFonts w:asciiTheme="minorHAnsi" w:hAnsiTheme="minorHAnsi"/>
          <w:sz w:val="22"/>
          <w:szCs w:val="22"/>
        </w:rPr>
      </w:pPr>
      <w:r w:rsidRPr="00B873A1">
        <w:rPr>
          <w:rFonts w:asciiTheme="minorHAnsi" w:hAnsiTheme="minorHAnsi"/>
          <w:sz w:val="22"/>
          <w:szCs w:val="22"/>
        </w:rPr>
        <w:t xml:space="preserve">Reinstate and fully implement smokefree generation, </w:t>
      </w:r>
      <w:proofErr w:type="spellStart"/>
      <w:r w:rsidRPr="00B873A1">
        <w:rPr>
          <w:rFonts w:asciiTheme="minorHAnsi" w:hAnsiTheme="minorHAnsi"/>
          <w:sz w:val="22"/>
          <w:szCs w:val="22"/>
        </w:rPr>
        <w:t>denicotinisation</w:t>
      </w:r>
      <w:proofErr w:type="spellEnd"/>
      <w:r w:rsidRPr="00B873A1">
        <w:rPr>
          <w:rFonts w:asciiTheme="minorHAnsi" w:hAnsiTheme="minorHAnsi"/>
          <w:sz w:val="22"/>
          <w:szCs w:val="22"/>
        </w:rPr>
        <w:t>, and retailer-reduction measures as required special measures under CERD to reduce tobacco-related cancer inequities.</w:t>
      </w:r>
    </w:p>
    <w:p w14:paraId="6151D5E4" w14:textId="77777777" w:rsidR="00B26D22" w:rsidRPr="00B873A1" w:rsidRDefault="00B26D22" w:rsidP="002C4368">
      <w:pPr>
        <w:pStyle w:val="NormalWeb"/>
        <w:numPr>
          <w:ilvl w:val="0"/>
          <w:numId w:val="15"/>
        </w:numPr>
        <w:spacing w:line="276" w:lineRule="auto"/>
        <w:rPr>
          <w:rFonts w:asciiTheme="minorHAnsi" w:hAnsiTheme="minorHAnsi"/>
          <w:sz w:val="22"/>
          <w:szCs w:val="22"/>
        </w:rPr>
      </w:pPr>
      <w:r w:rsidRPr="00B873A1">
        <w:rPr>
          <w:rFonts w:asciiTheme="minorHAnsi" w:hAnsiTheme="minorHAnsi"/>
          <w:sz w:val="22"/>
          <w:szCs w:val="22"/>
        </w:rPr>
        <w:t>Embed Māori governance and equity-impact requirements in Pharmac, Te Whatu Ora, and Ministry of Health decisions to guarantee equitable access to diagnostics, surgery, radiotherapy, and high-cost medicines; report annually on Māori access and timeliness by cancer type and stage.</w:t>
      </w:r>
    </w:p>
    <w:p w14:paraId="1B877C13" w14:textId="77777777" w:rsidR="00B26D22" w:rsidRPr="00B873A1" w:rsidRDefault="00B26D22" w:rsidP="002C4368">
      <w:pPr>
        <w:pStyle w:val="NormalWeb"/>
        <w:numPr>
          <w:ilvl w:val="0"/>
          <w:numId w:val="15"/>
        </w:numPr>
        <w:spacing w:line="276" w:lineRule="auto"/>
        <w:rPr>
          <w:rFonts w:asciiTheme="minorHAnsi" w:hAnsiTheme="minorHAnsi"/>
          <w:sz w:val="22"/>
          <w:szCs w:val="22"/>
        </w:rPr>
      </w:pPr>
      <w:r w:rsidRPr="00B873A1">
        <w:rPr>
          <w:rFonts w:asciiTheme="minorHAnsi" w:hAnsiTheme="minorHAnsi"/>
          <w:sz w:val="22"/>
          <w:szCs w:val="22"/>
        </w:rPr>
        <w:t>Create Māori-governed cancer data systems that set standards, publish quarterly equity dashboards (coverage, stage distribution, time-to-diagnosis, time-to-treatment, survival), and trigger remedial actions where targets are missed.</w:t>
      </w:r>
    </w:p>
    <w:p w14:paraId="4FCDD23B" w14:textId="78FE01A5" w:rsidR="00B26D22" w:rsidRPr="00B873A1" w:rsidRDefault="00B26D22" w:rsidP="002C4368">
      <w:pPr>
        <w:pStyle w:val="Heading2"/>
        <w:spacing w:line="276" w:lineRule="auto"/>
      </w:pPr>
      <w:proofErr w:type="spellStart"/>
      <w:r w:rsidRPr="00B873A1">
        <w:t>Marginalised</w:t>
      </w:r>
      <w:proofErr w:type="spellEnd"/>
      <w:r w:rsidRPr="00B873A1">
        <w:t xml:space="preserve"> and Equity-Denied Communities</w:t>
      </w:r>
    </w:p>
    <w:p w14:paraId="2606F787" w14:textId="77777777" w:rsidR="00B26D22" w:rsidRPr="00B873A1" w:rsidRDefault="00B26D22" w:rsidP="002C4368">
      <w:pPr>
        <w:pStyle w:val="NormalWeb"/>
        <w:spacing w:before="0" w:beforeAutospacing="0" w:line="276" w:lineRule="auto"/>
        <w:rPr>
          <w:rFonts w:asciiTheme="minorHAnsi" w:hAnsiTheme="minorHAnsi"/>
          <w:sz w:val="22"/>
          <w:szCs w:val="22"/>
        </w:rPr>
      </w:pPr>
      <w:r w:rsidRPr="00B873A1">
        <w:rPr>
          <w:rFonts w:asciiTheme="minorHAnsi" w:hAnsiTheme="minorHAnsi"/>
          <w:sz w:val="22"/>
          <w:szCs w:val="22"/>
        </w:rPr>
        <w:t xml:space="preserve">The Crown continues to breach CERD in respect of communities whose experiences of racism are compounded by other structural oppressions. Two groups illustrate these ongoing failures: </w:t>
      </w:r>
      <w:r w:rsidRPr="00B873A1">
        <w:rPr>
          <w:rStyle w:val="Strong"/>
          <w:rFonts w:asciiTheme="minorHAnsi" w:hAnsiTheme="minorHAnsi"/>
          <w:b w:val="0"/>
          <w:bCs w:val="0"/>
          <w:sz w:val="22"/>
          <w:szCs w:val="22"/>
        </w:rPr>
        <w:t>tāngata whaikaha Māori</w:t>
      </w:r>
      <w:r w:rsidRPr="00B873A1">
        <w:rPr>
          <w:rFonts w:asciiTheme="minorHAnsi" w:hAnsiTheme="minorHAnsi"/>
          <w:sz w:val="22"/>
          <w:szCs w:val="22"/>
        </w:rPr>
        <w:t xml:space="preserve"> (Māori disabled people) and </w:t>
      </w:r>
      <w:r w:rsidRPr="00B873A1">
        <w:rPr>
          <w:rStyle w:val="Strong"/>
          <w:rFonts w:asciiTheme="minorHAnsi" w:hAnsiTheme="minorHAnsi"/>
          <w:b w:val="0"/>
          <w:bCs w:val="0"/>
          <w:sz w:val="22"/>
          <w:szCs w:val="22"/>
        </w:rPr>
        <w:t>takatāpui</w:t>
      </w:r>
      <w:r w:rsidRPr="00B873A1">
        <w:rPr>
          <w:rFonts w:asciiTheme="minorHAnsi" w:hAnsiTheme="minorHAnsi"/>
          <w:sz w:val="22"/>
          <w:szCs w:val="22"/>
        </w:rPr>
        <w:t xml:space="preserve"> (Māori of diverse sexualities, genders, and relationship identities). In both domains, policy frameworks centre Crown control, erase Māori authority, and default to monocultural service models—contrary to CERD Articles 2 and 5 (eliminating structural discrimination and guaranteeing equality in public life), Article 7 (education to combat prejudice), and Article 9 (good-faith cooperation with international oversight).</w:t>
      </w:r>
    </w:p>
    <w:p w14:paraId="7452C491" w14:textId="3AAB8DA4" w:rsidR="00B26D22" w:rsidRPr="00B873A1" w:rsidRDefault="00B26D22" w:rsidP="002C4368">
      <w:pPr>
        <w:pStyle w:val="NormalWeb"/>
        <w:spacing w:line="276" w:lineRule="auto"/>
        <w:rPr>
          <w:rFonts w:asciiTheme="minorHAnsi" w:hAnsiTheme="minorHAnsi"/>
          <w:sz w:val="22"/>
          <w:szCs w:val="22"/>
        </w:rPr>
      </w:pPr>
      <w:r w:rsidRPr="00B873A1">
        <w:rPr>
          <w:rStyle w:val="Strong"/>
          <w:rFonts w:asciiTheme="minorHAnsi" w:hAnsiTheme="minorHAnsi"/>
          <w:b w:val="0"/>
          <w:bCs w:val="0"/>
          <w:sz w:val="22"/>
          <w:szCs w:val="22"/>
        </w:rPr>
        <w:t>Tāngata whaikaha Māori.</w:t>
      </w:r>
      <w:r w:rsidRPr="00B873A1">
        <w:rPr>
          <w:rFonts w:asciiTheme="minorHAnsi" w:hAnsiTheme="minorHAnsi"/>
          <w:sz w:val="22"/>
          <w:szCs w:val="22"/>
        </w:rPr>
        <w:t xml:space="preserve"> Recent reversals—pausing or diluting Enabling Good Lives elements, folding functions into </w:t>
      </w:r>
      <w:r w:rsidR="00462B6C">
        <w:rPr>
          <w:rFonts w:asciiTheme="minorHAnsi" w:hAnsiTheme="minorHAnsi"/>
          <w:sz w:val="22"/>
          <w:szCs w:val="22"/>
        </w:rPr>
        <w:t>generic</w:t>
      </w:r>
      <w:r w:rsidRPr="00B873A1">
        <w:rPr>
          <w:rFonts w:asciiTheme="minorHAnsi" w:hAnsiTheme="minorHAnsi"/>
          <w:sz w:val="22"/>
          <w:szCs w:val="22"/>
        </w:rPr>
        <w:t xml:space="preserve"> social-sector agencies, and under-resourcing kaupapa Māori providers—reproduce colonial ableism. Strategy documents gesture to inclusion but rarely embed Māori governance, mātauranga-informed practice, or whānau-</w:t>
      </w:r>
      <w:r w:rsidRPr="00B873A1">
        <w:rPr>
          <w:rFonts w:asciiTheme="minorHAnsi" w:hAnsiTheme="minorHAnsi"/>
          <w:sz w:val="22"/>
          <w:szCs w:val="22"/>
        </w:rPr>
        <w:lastRenderedPageBreak/>
        <w:t>centred decision-making. The result is uneven access, culturally unsafe assessments, and limited pathways to independent living and participation. In data and accountability, ethnicity and disability information are inconsistently collected and seldom Māori-governed, impeding visibility of unmet need, barriers, and outcomes. Without binding targets and a Māori-led monitoring mechanism, inequity is normalised as operational complexity rather than addressed as rights denial.</w:t>
      </w:r>
    </w:p>
    <w:p w14:paraId="264BD64E" w14:textId="2E0FC39D" w:rsidR="00B26D22" w:rsidRPr="00B873A1" w:rsidRDefault="00B26D22" w:rsidP="002C4368">
      <w:pPr>
        <w:pStyle w:val="NormalWeb"/>
        <w:spacing w:line="276" w:lineRule="auto"/>
        <w:rPr>
          <w:rFonts w:asciiTheme="minorHAnsi" w:hAnsiTheme="minorHAnsi"/>
          <w:sz w:val="22"/>
          <w:szCs w:val="22"/>
        </w:rPr>
      </w:pPr>
      <w:r w:rsidRPr="00B873A1">
        <w:rPr>
          <w:rStyle w:val="Strong"/>
          <w:rFonts w:asciiTheme="minorHAnsi" w:hAnsiTheme="minorHAnsi"/>
          <w:b w:val="0"/>
          <w:bCs w:val="0"/>
          <w:sz w:val="22"/>
          <w:szCs w:val="22"/>
        </w:rPr>
        <w:t>Takatāpui.</w:t>
      </w:r>
      <w:r w:rsidRPr="00B873A1">
        <w:rPr>
          <w:rFonts w:asciiTheme="minorHAnsi" w:hAnsiTheme="minorHAnsi"/>
          <w:sz w:val="22"/>
          <w:szCs w:val="22"/>
        </w:rPr>
        <w:t xml:space="preserve"> Across antiracism, health, education, and social policy, takatāpui realities are marginalised by colonial cis-heteronormativity. Frameworks frequently import generic LGBTQ+ lenses that underplay whakapapa, wairua, reo, and the centrality of whānau and whenua. Absence from national datasets and reporting to international bodies renders takatāpui invisible in problem definition and resourcing decisions. Service pathways remain binary and monocultural, with few kaupapa Māori, takatāpui-led options and limited capability in </w:t>
      </w:r>
      <w:r w:rsidR="00462B6C">
        <w:rPr>
          <w:rFonts w:asciiTheme="minorHAnsi" w:hAnsiTheme="minorHAnsi"/>
          <w:sz w:val="22"/>
          <w:szCs w:val="22"/>
        </w:rPr>
        <w:t>generic</w:t>
      </w:r>
      <w:r w:rsidRPr="00B873A1">
        <w:rPr>
          <w:rFonts w:asciiTheme="minorHAnsi" w:hAnsiTheme="minorHAnsi"/>
          <w:sz w:val="22"/>
          <w:szCs w:val="22"/>
        </w:rPr>
        <w:t xml:space="preserve"> settings to provide culturally grounded, affirming care. Education systems rarely teach takatāpui histories or language, missing CERD Article 7’s preventative mandate and contributing to stigma, violence, and exclusion.</w:t>
      </w:r>
    </w:p>
    <w:p w14:paraId="466929E7" w14:textId="2DD0231F"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Across both domains, intersectional harms accumulate: racism within disability and rainbow services; ableism and cis-heteronormativity within Crown processes that valorise “neutral” needs while erasing rights and rangatiratanga. The combined effect is predictable shortfalls in access, dignity, safety, and outcomes, sustained by gaps in data sovereignty, accountability, and Māori leadership.</w:t>
      </w:r>
    </w:p>
    <w:p w14:paraId="4B796C44" w14:textId="77777777" w:rsidR="00B26D22" w:rsidRPr="00B873A1" w:rsidRDefault="00B26D22" w:rsidP="002C4368">
      <w:pPr>
        <w:pStyle w:val="NormalWeb"/>
        <w:spacing w:line="276" w:lineRule="auto"/>
        <w:rPr>
          <w:rFonts w:asciiTheme="minorHAnsi" w:hAnsiTheme="minorHAnsi"/>
          <w:sz w:val="22"/>
          <w:szCs w:val="22"/>
        </w:rPr>
      </w:pPr>
      <w:r w:rsidRPr="00B873A1">
        <w:rPr>
          <w:rStyle w:val="Strong"/>
          <w:rFonts w:asciiTheme="minorHAnsi" w:hAnsiTheme="minorHAnsi"/>
          <w:sz w:val="22"/>
          <w:szCs w:val="22"/>
        </w:rPr>
        <w:t>Recommended actions:</w:t>
      </w:r>
    </w:p>
    <w:p w14:paraId="0C3B5562" w14:textId="77777777" w:rsidR="00B26D22" w:rsidRPr="00B873A1" w:rsidRDefault="00B26D22" w:rsidP="002C4368">
      <w:pPr>
        <w:pStyle w:val="NormalWeb"/>
        <w:numPr>
          <w:ilvl w:val="0"/>
          <w:numId w:val="16"/>
        </w:numPr>
        <w:spacing w:line="276" w:lineRule="auto"/>
        <w:rPr>
          <w:rFonts w:asciiTheme="minorHAnsi" w:hAnsiTheme="minorHAnsi"/>
          <w:sz w:val="22"/>
          <w:szCs w:val="22"/>
        </w:rPr>
      </w:pPr>
      <w:r w:rsidRPr="00B873A1">
        <w:rPr>
          <w:rFonts w:asciiTheme="minorHAnsi" w:hAnsiTheme="minorHAnsi"/>
          <w:sz w:val="22"/>
          <w:szCs w:val="22"/>
        </w:rPr>
        <w:t xml:space="preserve">Co-design and implement a Tiriti-grounded </w:t>
      </w:r>
      <w:r w:rsidRPr="00462B6C">
        <w:rPr>
          <w:rStyle w:val="Strong"/>
          <w:rFonts w:asciiTheme="minorHAnsi" w:hAnsiTheme="minorHAnsi"/>
          <w:b w:val="0"/>
          <w:bCs w:val="0"/>
          <w:sz w:val="22"/>
          <w:szCs w:val="22"/>
        </w:rPr>
        <w:t>Disability Strategy and Action Plan</w:t>
      </w:r>
      <w:r w:rsidRPr="00462B6C">
        <w:rPr>
          <w:rFonts w:asciiTheme="minorHAnsi" w:hAnsiTheme="minorHAnsi"/>
          <w:sz w:val="22"/>
          <w:szCs w:val="22"/>
        </w:rPr>
        <w:t xml:space="preserve"> with tāngata whaikaha Māori governance across policy, commissioning, and</w:t>
      </w:r>
      <w:r w:rsidRPr="00B873A1">
        <w:rPr>
          <w:rFonts w:asciiTheme="minorHAnsi" w:hAnsiTheme="minorHAnsi"/>
          <w:sz w:val="22"/>
          <w:szCs w:val="22"/>
        </w:rPr>
        <w:t xml:space="preserve"> monitoring; fund kaupapa Māori disability services at sustainable baselines.</w:t>
      </w:r>
    </w:p>
    <w:p w14:paraId="5B473A8F" w14:textId="77777777" w:rsidR="00B26D22" w:rsidRPr="00B873A1" w:rsidRDefault="00B26D22" w:rsidP="002C4368">
      <w:pPr>
        <w:pStyle w:val="NormalWeb"/>
        <w:numPr>
          <w:ilvl w:val="0"/>
          <w:numId w:val="16"/>
        </w:numPr>
        <w:spacing w:line="276" w:lineRule="auto"/>
        <w:rPr>
          <w:rFonts w:asciiTheme="minorHAnsi" w:hAnsiTheme="minorHAnsi"/>
          <w:sz w:val="22"/>
          <w:szCs w:val="22"/>
        </w:rPr>
      </w:pPr>
      <w:r w:rsidRPr="00B873A1">
        <w:rPr>
          <w:rFonts w:asciiTheme="minorHAnsi" w:hAnsiTheme="minorHAnsi"/>
          <w:sz w:val="22"/>
          <w:szCs w:val="22"/>
        </w:rPr>
        <w:t xml:space="preserve">Restore a stand-alone </w:t>
      </w:r>
      <w:r w:rsidRPr="00B873A1">
        <w:rPr>
          <w:rStyle w:val="Strong"/>
          <w:rFonts w:asciiTheme="minorHAnsi" w:hAnsiTheme="minorHAnsi"/>
          <w:b w:val="0"/>
          <w:bCs w:val="0"/>
          <w:sz w:val="22"/>
          <w:szCs w:val="22"/>
        </w:rPr>
        <w:t>Whaikaha</w:t>
      </w:r>
      <w:r w:rsidRPr="00B873A1">
        <w:rPr>
          <w:rFonts w:asciiTheme="minorHAnsi" w:hAnsiTheme="minorHAnsi"/>
          <w:sz w:val="22"/>
          <w:szCs w:val="22"/>
        </w:rPr>
        <w:t xml:space="preserve"> mandate with Māori co-leadership and establish a Māori-led mechanism to investigate, report on, and remedy discrimination against tāngata whaikaha Māori under CERD.</w:t>
      </w:r>
    </w:p>
    <w:p w14:paraId="569E755C" w14:textId="77777777" w:rsidR="00B26D22" w:rsidRPr="00B873A1" w:rsidRDefault="00B26D22" w:rsidP="002C4368">
      <w:pPr>
        <w:pStyle w:val="NormalWeb"/>
        <w:numPr>
          <w:ilvl w:val="0"/>
          <w:numId w:val="16"/>
        </w:numPr>
        <w:spacing w:line="276" w:lineRule="auto"/>
        <w:rPr>
          <w:rFonts w:asciiTheme="minorHAnsi" w:hAnsiTheme="minorHAnsi"/>
          <w:sz w:val="22"/>
          <w:szCs w:val="22"/>
        </w:rPr>
      </w:pPr>
      <w:r w:rsidRPr="00B873A1">
        <w:rPr>
          <w:rFonts w:asciiTheme="minorHAnsi" w:hAnsiTheme="minorHAnsi"/>
          <w:sz w:val="22"/>
          <w:szCs w:val="22"/>
        </w:rPr>
        <w:t xml:space="preserve">Publicly affirm </w:t>
      </w:r>
      <w:r w:rsidRPr="00B873A1">
        <w:rPr>
          <w:rStyle w:val="Strong"/>
          <w:rFonts w:asciiTheme="minorHAnsi" w:hAnsiTheme="minorHAnsi"/>
          <w:b w:val="0"/>
          <w:bCs w:val="0"/>
          <w:sz w:val="22"/>
          <w:szCs w:val="22"/>
        </w:rPr>
        <w:t>takatāpui rights</w:t>
      </w:r>
      <w:r w:rsidRPr="00B873A1">
        <w:rPr>
          <w:rFonts w:asciiTheme="minorHAnsi" w:hAnsiTheme="minorHAnsi"/>
          <w:sz w:val="22"/>
          <w:szCs w:val="22"/>
        </w:rPr>
        <w:t xml:space="preserve"> under Te Tiriti and CERD; develop and resource a </w:t>
      </w:r>
      <w:r w:rsidRPr="00B873A1">
        <w:rPr>
          <w:rStyle w:val="Strong"/>
          <w:rFonts w:asciiTheme="minorHAnsi" w:hAnsiTheme="minorHAnsi"/>
          <w:b w:val="0"/>
          <w:bCs w:val="0"/>
          <w:sz w:val="22"/>
          <w:szCs w:val="22"/>
        </w:rPr>
        <w:t>takatāpui-led national strategy</w:t>
      </w:r>
      <w:r w:rsidRPr="00B873A1">
        <w:rPr>
          <w:rFonts w:asciiTheme="minorHAnsi" w:hAnsiTheme="minorHAnsi"/>
          <w:sz w:val="22"/>
          <w:szCs w:val="22"/>
        </w:rPr>
        <w:t xml:space="preserve"> spanning health, education, justice, housing, and safety, with measurable equity targets.</w:t>
      </w:r>
    </w:p>
    <w:p w14:paraId="18093C77" w14:textId="77777777" w:rsidR="00B26D22" w:rsidRPr="00B873A1" w:rsidRDefault="00B26D22" w:rsidP="002C4368">
      <w:pPr>
        <w:pStyle w:val="NormalWeb"/>
        <w:numPr>
          <w:ilvl w:val="0"/>
          <w:numId w:val="16"/>
        </w:numPr>
        <w:spacing w:line="276" w:lineRule="auto"/>
        <w:rPr>
          <w:rFonts w:asciiTheme="minorHAnsi" w:hAnsiTheme="minorHAnsi"/>
          <w:sz w:val="22"/>
          <w:szCs w:val="22"/>
        </w:rPr>
      </w:pPr>
      <w:r w:rsidRPr="00B873A1">
        <w:rPr>
          <w:rFonts w:asciiTheme="minorHAnsi" w:hAnsiTheme="minorHAnsi"/>
          <w:sz w:val="22"/>
          <w:szCs w:val="22"/>
        </w:rPr>
        <w:t xml:space="preserve">Require </w:t>
      </w:r>
      <w:r w:rsidRPr="00B873A1">
        <w:rPr>
          <w:rStyle w:val="Strong"/>
          <w:rFonts w:asciiTheme="minorHAnsi" w:hAnsiTheme="minorHAnsi"/>
          <w:b w:val="0"/>
          <w:bCs w:val="0"/>
          <w:sz w:val="22"/>
          <w:szCs w:val="22"/>
        </w:rPr>
        <w:t>Māori-governed data systems</w:t>
      </w:r>
      <w:r w:rsidRPr="00B873A1">
        <w:rPr>
          <w:rFonts w:asciiTheme="minorHAnsi" w:hAnsiTheme="minorHAnsi"/>
          <w:sz w:val="22"/>
          <w:szCs w:val="22"/>
        </w:rPr>
        <w:t xml:space="preserve"> that collect, analyse, and publicly report disaggregated ethnicity, disability, sex characteristics, gender identity, and sexuality data, with protections aligned to Māori data sovereignty.</w:t>
      </w:r>
    </w:p>
    <w:p w14:paraId="3561663E" w14:textId="77777777" w:rsidR="00B26D22" w:rsidRPr="00B873A1" w:rsidRDefault="00B26D22" w:rsidP="002C4368">
      <w:pPr>
        <w:pStyle w:val="NormalWeb"/>
        <w:numPr>
          <w:ilvl w:val="0"/>
          <w:numId w:val="16"/>
        </w:numPr>
        <w:spacing w:line="276" w:lineRule="auto"/>
        <w:rPr>
          <w:rFonts w:asciiTheme="minorHAnsi" w:hAnsiTheme="minorHAnsi"/>
          <w:sz w:val="22"/>
          <w:szCs w:val="22"/>
        </w:rPr>
      </w:pPr>
      <w:r w:rsidRPr="00B873A1">
        <w:rPr>
          <w:rFonts w:asciiTheme="minorHAnsi" w:hAnsiTheme="minorHAnsi"/>
          <w:sz w:val="22"/>
          <w:szCs w:val="22"/>
        </w:rPr>
        <w:t xml:space="preserve">Embed </w:t>
      </w:r>
      <w:r w:rsidRPr="00B873A1">
        <w:rPr>
          <w:rStyle w:val="Strong"/>
          <w:rFonts w:asciiTheme="minorHAnsi" w:hAnsiTheme="minorHAnsi"/>
          <w:b w:val="0"/>
          <w:bCs w:val="0"/>
          <w:sz w:val="22"/>
          <w:szCs w:val="22"/>
        </w:rPr>
        <w:t>kaupapa Māori, whānau-centred, and takatāpui-affirming practice</w:t>
      </w:r>
      <w:r w:rsidRPr="00B873A1">
        <w:rPr>
          <w:rFonts w:asciiTheme="minorHAnsi" w:hAnsiTheme="minorHAnsi"/>
          <w:sz w:val="22"/>
          <w:szCs w:val="22"/>
        </w:rPr>
        <w:t xml:space="preserve"> requirements into contracting, accreditation, and workforce standards across health, education, and social services; tie funding to demonstrated capability.</w:t>
      </w:r>
    </w:p>
    <w:p w14:paraId="749C1729" w14:textId="77777777" w:rsidR="00B26D22" w:rsidRPr="00B873A1" w:rsidRDefault="00B26D22" w:rsidP="002C4368">
      <w:pPr>
        <w:pStyle w:val="NormalWeb"/>
        <w:numPr>
          <w:ilvl w:val="0"/>
          <w:numId w:val="16"/>
        </w:numPr>
        <w:spacing w:line="276" w:lineRule="auto"/>
        <w:rPr>
          <w:rFonts w:asciiTheme="minorHAnsi" w:hAnsiTheme="minorHAnsi"/>
          <w:sz w:val="22"/>
          <w:szCs w:val="22"/>
        </w:rPr>
      </w:pPr>
      <w:r w:rsidRPr="00B873A1">
        <w:rPr>
          <w:rFonts w:asciiTheme="minorHAnsi" w:hAnsiTheme="minorHAnsi"/>
          <w:sz w:val="22"/>
          <w:szCs w:val="22"/>
        </w:rPr>
        <w:t xml:space="preserve">Deliver </w:t>
      </w:r>
      <w:r w:rsidRPr="00B873A1">
        <w:rPr>
          <w:rStyle w:val="Strong"/>
          <w:rFonts w:asciiTheme="minorHAnsi" w:hAnsiTheme="minorHAnsi"/>
          <w:b w:val="0"/>
          <w:bCs w:val="0"/>
          <w:sz w:val="22"/>
          <w:szCs w:val="22"/>
        </w:rPr>
        <w:t>Article 7 education measures</w:t>
      </w:r>
      <w:r w:rsidRPr="00B873A1">
        <w:rPr>
          <w:rFonts w:asciiTheme="minorHAnsi" w:hAnsiTheme="minorHAnsi"/>
          <w:sz w:val="22"/>
          <w:szCs w:val="22"/>
        </w:rPr>
        <w:t>: curriculum content on takatāpui and tāngata whaikaha Māori histories and concepts; nationwide public awareness; and bystander/allyship training to prevent stigma, violence, and exclusion.</w:t>
      </w:r>
    </w:p>
    <w:p w14:paraId="359D588B" w14:textId="5245D22B" w:rsidR="00B26D22" w:rsidRPr="00B873A1" w:rsidRDefault="00B26D22" w:rsidP="002C4368">
      <w:pPr>
        <w:pStyle w:val="Heading2"/>
        <w:spacing w:line="276" w:lineRule="auto"/>
      </w:pPr>
      <w:r w:rsidRPr="00B873A1">
        <w:lastRenderedPageBreak/>
        <w:t>Failure to Deliver the National Action Plan on Racism</w:t>
      </w:r>
    </w:p>
    <w:p w14:paraId="705A8B6F" w14:textId="223E894C" w:rsidR="00B26D22" w:rsidRPr="00B873A1" w:rsidRDefault="00B26D22" w:rsidP="002C4368">
      <w:pPr>
        <w:pStyle w:val="NormalWeb"/>
        <w:spacing w:before="0" w:beforeAutospacing="0" w:line="276" w:lineRule="auto"/>
        <w:rPr>
          <w:rFonts w:asciiTheme="minorHAnsi" w:hAnsiTheme="minorHAnsi"/>
          <w:sz w:val="22"/>
          <w:szCs w:val="22"/>
        </w:rPr>
      </w:pPr>
      <w:r w:rsidRPr="00B873A1">
        <w:rPr>
          <w:rFonts w:asciiTheme="minorHAnsi" w:hAnsiTheme="minorHAnsi"/>
          <w:sz w:val="22"/>
          <w:szCs w:val="22"/>
        </w:rPr>
        <w:t xml:space="preserve">The Government’s continued failure to publish and implement a </w:t>
      </w:r>
      <w:r w:rsidRPr="00B873A1">
        <w:rPr>
          <w:rStyle w:val="Strong"/>
          <w:rFonts w:asciiTheme="minorHAnsi" w:hAnsiTheme="minorHAnsi"/>
          <w:b w:val="0"/>
          <w:bCs w:val="0"/>
          <w:sz w:val="22"/>
          <w:szCs w:val="22"/>
        </w:rPr>
        <w:t>National Action Plan on Racism (NAPR)</w:t>
      </w:r>
      <w:r w:rsidRPr="00B873A1">
        <w:rPr>
          <w:rFonts w:asciiTheme="minorHAnsi" w:hAnsiTheme="minorHAnsi"/>
          <w:sz w:val="22"/>
          <w:szCs w:val="22"/>
        </w:rPr>
        <w:t xml:space="preserve"> breaches CERD Articles </w:t>
      </w:r>
      <w:r w:rsidRPr="003621BA">
        <w:rPr>
          <w:rStyle w:val="Strong"/>
          <w:rFonts w:asciiTheme="minorHAnsi" w:hAnsiTheme="minorHAnsi"/>
          <w:b w:val="0"/>
          <w:bCs w:val="0"/>
          <w:sz w:val="22"/>
          <w:szCs w:val="22"/>
        </w:rPr>
        <w:t>2, 5, 7,</w:t>
      </w:r>
      <w:r w:rsidRPr="00B873A1">
        <w:rPr>
          <w:rStyle w:val="Strong"/>
          <w:rFonts w:asciiTheme="minorHAnsi" w:hAnsiTheme="minorHAnsi"/>
          <w:sz w:val="22"/>
          <w:szCs w:val="22"/>
        </w:rPr>
        <w:t xml:space="preserve"> </w:t>
      </w:r>
      <w:r w:rsidRPr="00B873A1">
        <w:rPr>
          <w:rStyle w:val="Strong"/>
          <w:rFonts w:asciiTheme="minorHAnsi" w:hAnsiTheme="minorHAnsi"/>
          <w:b w:val="0"/>
          <w:bCs w:val="0"/>
          <w:sz w:val="22"/>
          <w:szCs w:val="22"/>
        </w:rPr>
        <w:t>and 9</w:t>
      </w:r>
      <w:r w:rsidRPr="00B873A1">
        <w:rPr>
          <w:rFonts w:asciiTheme="minorHAnsi" w:hAnsiTheme="minorHAnsi"/>
          <w:sz w:val="22"/>
          <w:szCs w:val="22"/>
        </w:rPr>
        <w:t>. Article 2 requires immediate, coordinated measures to eliminate racial discrimination “by all appropriate means and without delay.” In Aotearoa, antiracism activity remains fragmented, short-term, and largely symbolic. Without a Tiriti-grounded NAPR, agencies default to discretionary initiatives that neither redistribute power nor close inequities.</w:t>
      </w:r>
    </w:p>
    <w:p w14:paraId="5CA41157" w14:textId="48FADBD3"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 xml:space="preserve">A credible NAPR must centre </w:t>
      </w:r>
      <w:r w:rsidRPr="00B873A1">
        <w:rPr>
          <w:rStyle w:val="Strong"/>
          <w:rFonts w:asciiTheme="minorHAnsi" w:hAnsiTheme="minorHAnsi"/>
          <w:b w:val="0"/>
          <w:bCs w:val="0"/>
          <w:sz w:val="22"/>
          <w:szCs w:val="22"/>
        </w:rPr>
        <w:t>Te Tiriti (Māori text)</w:t>
      </w:r>
      <w:r w:rsidRPr="00B873A1">
        <w:rPr>
          <w:rFonts w:asciiTheme="minorHAnsi" w:hAnsiTheme="minorHAnsi"/>
          <w:b/>
          <w:bCs/>
          <w:sz w:val="22"/>
          <w:szCs w:val="22"/>
        </w:rPr>
        <w:t xml:space="preserve">, </w:t>
      </w:r>
      <w:r w:rsidRPr="00B873A1">
        <w:rPr>
          <w:rStyle w:val="Strong"/>
          <w:rFonts w:asciiTheme="minorHAnsi" w:hAnsiTheme="minorHAnsi"/>
          <w:b w:val="0"/>
          <w:bCs w:val="0"/>
          <w:sz w:val="22"/>
          <w:szCs w:val="22"/>
        </w:rPr>
        <w:t>UNDRIP</w:t>
      </w:r>
      <w:r w:rsidRPr="00B873A1">
        <w:rPr>
          <w:rFonts w:asciiTheme="minorHAnsi" w:hAnsiTheme="minorHAnsi"/>
          <w:sz w:val="22"/>
          <w:szCs w:val="22"/>
        </w:rPr>
        <w:t xml:space="preserve">, and </w:t>
      </w:r>
      <w:r w:rsidRPr="00B873A1">
        <w:rPr>
          <w:rStyle w:val="Strong"/>
          <w:rFonts w:asciiTheme="minorHAnsi" w:hAnsiTheme="minorHAnsi"/>
          <w:b w:val="0"/>
          <w:bCs w:val="0"/>
          <w:sz w:val="22"/>
          <w:szCs w:val="22"/>
        </w:rPr>
        <w:t>CERD</w:t>
      </w:r>
      <w:r w:rsidRPr="00B873A1">
        <w:rPr>
          <w:rFonts w:asciiTheme="minorHAnsi" w:hAnsiTheme="minorHAnsi"/>
          <w:sz w:val="22"/>
          <w:szCs w:val="22"/>
        </w:rPr>
        <w:t xml:space="preserve"> as binding frameworks. Instead, the current settings privilege Crown control over design, mandate, and funding. The </w:t>
      </w:r>
      <w:r w:rsidR="00152DD8">
        <w:rPr>
          <w:rFonts w:asciiTheme="minorHAnsi" w:hAnsiTheme="minorHAnsi"/>
          <w:sz w:val="22"/>
          <w:szCs w:val="22"/>
        </w:rPr>
        <w:t xml:space="preserve">withdrawal of the </w:t>
      </w:r>
      <w:r w:rsidRPr="00B873A1">
        <w:rPr>
          <w:rStyle w:val="Strong"/>
          <w:rFonts w:asciiTheme="minorHAnsi" w:hAnsiTheme="minorHAnsi"/>
          <w:b w:val="0"/>
          <w:bCs w:val="0"/>
          <w:sz w:val="22"/>
          <w:szCs w:val="22"/>
        </w:rPr>
        <w:t>National Iwi Chairs Forum (March 2024)</w:t>
      </w:r>
      <w:r w:rsidRPr="00B873A1">
        <w:rPr>
          <w:rFonts w:asciiTheme="minorHAnsi" w:hAnsiTheme="minorHAnsi"/>
          <w:sz w:val="22"/>
          <w:szCs w:val="22"/>
        </w:rPr>
        <w:t xml:space="preserve"> from engagement reflected lack of genuine partnership, inadequate resourcing, and limited transparency—clear warning signs of non-compliance with CERD Article 2(1)(c) and Article 5(c) on equal participation in public life. Parallel gaps in public education, workforce capability, and monitoring show breaches of Article 7 (education to combat prejudice) and Article 9 (good-faith cooperation with the Committee, including implementing its recommendations).</w:t>
      </w:r>
    </w:p>
    <w:p w14:paraId="1D3A25BA" w14:textId="3D089E2C" w:rsidR="00B26D22" w:rsidRPr="00B873A1" w:rsidRDefault="003621BA" w:rsidP="002C4368">
      <w:pPr>
        <w:pStyle w:val="NormalWeb"/>
        <w:spacing w:line="276" w:lineRule="auto"/>
        <w:rPr>
          <w:rFonts w:asciiTheme="minorHAnsi" w:hAnsiTheme="minorHAnsi"/>
          <w:sz w:val="22"/>
          <w:szCs w:val="22"/>
        </w:rPr>
      </w:pPr>
      <w:r>
        <w:rPr>
          <w:rFonts w:asciiTheme="minorHAnsi" w:hAnsiTheme="minorHAnsi"/>
          <w:sz w:val="22"/>
          <w:szCs w:val="22"/>
        </w:rPr>
        <w:t>We maintain a</w:t>
      </w:r>
      <w:r w:rsidR="00B26D22" w:rsidRPr="00B873A1">
        <w:rPr>
          <w:rFonts w:asciiTheme="minorHAnsi" w:hAnsiTheme="minorHAnsi"/>
          <w:sz w:val="22"/>
          <w:szCs w:val="22"/>
        </w:rPr>
        <w:t xml:space="preserve"> NAPR should include: (1) measurable, time-bound targets across health, education, justice, housing, and employment; (2) sustained multi-year funding for Māori-led and community-led anti-racism; (3) an independent, Tiriti-based monitoring body with investigative and remedial powers; (4) Māori-governed data to track progress; and (5) mandatory agency-level equity and pay-gap audits with corrective action. None of these features are presently in place at a national, enforceable level.</w:t>
      </w:r>
    </w:p>
    <w:p w14:paraId="5AC6125B" w14:textId="5B42DA00" w:rsidR="00B26D22" w:rsidRPr="00B873A1" w:rsidRDefault="00B26D22" w:rsidP="002C4368">
      <w:pPr>
        <w:pStyle w:val="NormalWeb"/>
        <w:spacing w:line="276" w:lineRule="auto"/>
        <w:rPr>
          <w:rFonts w:asciiTheme="minorHAnsi" w:hAnsiTheme="minorHAnsi"/>
          <w:sz w:val="22"/>
          <w:szCs w:val="22"/>
        </w:rPr>
      </w:pPr>
      <w:r w:rsidRPr="00B873A1">
        <w:rPr>
          <w:rFonts w:asciiTheme="minorHAnsi" w:hAnsiTheme="minorHAnsi"/>
          <w:sz w:val="22"/>
          <w:szCs w:val="22"/>
        </w:rPr>
        <w:t xml:space="preserve">The absence of a NAPR also weakens </w:t>
      </w:r>
      <w:r w:rsidRPr="00B873A1">
        <w:rPr>
          <w:rStyle w:val="Strong"/>
          <w:rFonts w:asciiTheme="minorHAnsi" w:hAnsiTheme="minorHAnsi"/>
          <w:b w:val="0"/>
          <w:bCs w:val="0"/>
          <w:sz w:val="22"/>
          <w:szCs w:val="22"/>
        </w:rPr>
        <w:t>cross-sector accountability</w:t>
      </w:r>
      <w:r w:rsidRPr="00B873A1">
        <w:rPr>
          <w:rFonts w:asciiTheme="minorHAnsi" w:hAnsiTheme="minorHAnsi"/>
          <w:sz w:val="22"/>
          <w:szCs w:val="22"/>
        </w:rPr>
        <w:t xml:space="preserve">. Agencies lack binding equity </w:t>
      </w:r>
      <w:r w:rsidR="003621BA">
        <w:rPr>
          <w:rFonts w:asciiTheme="minorHAnsi" w:hAnsiTheme="minorHAnsi"/>
          <w:sz w:val="22"/>
          <w:szCs w:val="22"/>
        </w:rPr>
        <w:t>key performance indicators</w:t>
      </w:r>
      <w:r w:rsidRPr="00B873A1">
        <w:rPr>
          <w:rFonts w:asciiTheme="minorHAnsi" w:hAnsiTheme="minorHAnsi"/>
          <w:sz w:val="22"/>
          <w:szCs w:val="22"/>
        </w:rPr>
        <w:t xml:space="preserve"> and consequence frameworks; reporting is irregular, non-standardised, and seldom linked to budget decisions. Public servants receive inconsistent training on Te Tiriti, CERD, and antiracism, producing variable practice quality and leaving discriminatory policy architectures intact (e.g., needs-not-rights approaches). In short, without a Tiriti-anchored NAPR, systemic racism is treated as a reputational risk rather than a legal breach demanding urgent structural remedy.</w:t>
      </w:r>
    </w:p>
    <w:p w14:paraId="7BBB1954" w14:textId="77777777" w:rsidR="00B26D22" w:rsidRPr="00B873A1" w:rsidRDefault="00B26D22" w:rsidP="002C4368">
      <w:pPr>
        <w:pStyle w:val="NormalWeb"/>
        <w:spacing w:line="276" w:lineRule="auto"/>
        <w:rPr>
          <w:rFonts w:asciiTheme="minorHAnsi" w:hAnsiTheme="minorHAnsi"/>
          <w:sz w:val="22"/>
          <w:szCs w:val="22"/>
        </w:rPr>
      </w:pPr>
      <w:r w:rsidRPr="00B873A1">
        <w:rPr>
          <w:rStyle w:val="Strong"/>
          <w:rFonts w:asciiTheme="minorHAnsi" w:hAnsiTheme="minorHAnsi"/>
          <w:sz w:val="22"/>
          <w:szCs w:val="22"/>
        </w:rPr>
        <w:t>Recommended actions:</w:t>
      </w:r>
    </w:p>
    <w:p w14:paraId="53C79769" w14:textId="77777777" w:rsidR="00B26D22" w:rsidRPr="00B873A1" w:rsidRDefault="00B26D22" w:rsidP="002C4368">
      <w:pPr>
        <w:pStyle w:val="NormalWeb"/>
        <w:numPr>
          <w:ilvl w:val="0"/>
          <w:numId w:val="17"/>
        </w:numPr>
        <w:spacing w:line="276" w:lineRule="auto"/>
        <w:rPr>
          <w:rFonts w:asciiTheme="minorHAnsi" w:hAnsiTheme="minorHAnsi"/>
          <w:sz w:val="22"/>
          <w:szCs w:val="22"/>
        </w:rPr>
      </w:pPr>
      <w:r w:rsidRPr="00B873A1">
        <w:rPr>
          <w:rStyle w:val="Strong"/>
          <w:rFonts w:asciiTheme="minorHAnsi" w:hAnsiTheme="minorHAnsi"/>
          <w:b w:val="0"/>
          <w:bCs w:val="0"/>
          <w:sz w:val="22"/>
          <w:szCs w:val="22"/>
        </w:rPr>
        <w:t>Co-design and release</w:t>
      </w:r>
      <w:r w:rsidRPr="00B873A1">
        <w:rPr>
          <w:rFonts w:asciiTheme="minorHAnsi" w:hAnsiTheme="minorHAnsi"/>
          <w:sz w:val="22"/>
          <w:szCs w:val="22"/>
        </w:rPr>
        <w:t xml:space="preserve"> a Tiriti-grounded NAPR in partnership with Māori, iwi, hapū, and civil society, with </w:t>
      </w:r>
      <w:r w:rsidRPr="00B873A1">
        <w:rPr>
          <w:rStyle w:val="Strong"/>
          <w:rFonts w:asciiTheme="minorHAnsi" w:hAnsiTheme="minorHAnsi"/>
          <w:b w:val="0"/>
          <w:bCs w:val="0"/>
          <w:sz w:val="22"/>
          <w:szCs w:val="22"/>
        </w:rPr>
        <w:t>shared decision-making authority</w:t>
      </w:r>
      <w:r w:rsidRPr="00B873A1">
        <w:rPr>
          <w:rFonts w:asciiTheme="minorHAnsi" w:hAnsiTheme="minorHAnsi"/>
          <w:sz w:val="22"/>
          <w:szCs w:val="22"/>
        </w:rPr>
        <w:t xml:space="preserve"> and published timelines.</w:t>
      </w:r>
    </w:p>
    <w:p w14:paraId="2B088691" w14:textId="77777777" w:rsidR="00B26D22" w:rsidRPr="00B873A1" w:rsidRDefault="00B26D22" w:rsidP="002C4368">
      <w:pPr>
        <w:pStyle w:val="NormalWeb"/>
        <w:numPr>
          <w:ilvl w:val="0"/>
          <w:numId w:val="17"/>
        </w:numPr>
        <w:spacing w:line="276" w:lineRule="auto"/>
        <w:rPr>
          <w:rFonts w:asciiTheme="minorHAnsi" w:hAnsiTheme="minorHAnsi"/>
          <w:sz w:val="22"/>
          <w:szCs w:val="22"/>
        </w:rPr>
      </w:pPr>
      <w:r w:rsidRPr="00B873A1">
        <w:rPr>
          <w:rFonts w:asciiTheme="minorHAnsi" w:hAnsiTheme="minorHAnsi"/>
          <w:sz w:val="22"/>
          <w:szCs w:val="22"/>
        </w:rPr>
        <w:t xml:space="preserve">Establish an </w:t>
      </w:r>
      <w:r w:rsidRPr="00B873A1">
        <w:rPr>
          <w:rStyle w:val="Strong"/>
          <w:rFonts w:asciiTheme="minorHAnsi" w:hAnsiTheme="minorHAnsi"/>
          <w:b w:val="0"/>
          <w:bCs w:val="0"/>
          <w:sz w:val="22"/>
          <w:szCs w:val="22"/>
        </w:rPr>
        <w:t>independent Māori-led monitoring body</w:t>
      </w:r>
      <w:r w:rsidRPr="00B873A1">
        <w:rPr>
          <w:rFonts w:asciiTheme="minorHAnsi" w:hAnsiTheme="minorHAnsi"/>
          <w:sz w:val="22"/>
          <w:szCs w:val="22"/>
        </w:rPr>
        <w:t xml:space="preserve"> with powers to audit agencies, make findings, require remedial plans, and report to Parliament and CERD.</w:t>
      </w:r>
    </w:p>
    <w:p w14:paraId="011F1FFA" w14:textId="77777777" w:rsidR="00B26D22" w:rsidRPr="00B873A1" w:rsidRDefault="00B26D22" w:rsidP="002C4368">
      <w:pPr>
        <w:pStyle w:val="NormalWeb"/>
        <w:numPr>
          <w:ilvl w:val="0"/>
          <w:numId w:val="17"/>
        </w:numPr>
        <w:spacing w:line="276" w:lineRule="auto"/>
        <w:rPr>
          <w:rFonts w:asciiTheme="minorHAnsi" w:hAnsiTheme="minorHAnsi"/>
          <w:sz w:val="22"/>
          <w:szCs w:val="22"/>
        </w:rPr>
      </w:pPr>
      <w:r w:rsidRPr="00B873A1">
        <w:rPr>
          <w:rFonts w:asciiTheme="minorHAnsi" w:hAnsiTheme="minorHAnsi"/>
          <w:sz w:val="22"/>
          <w:szCs w:val="22"/>
        </w:rPr>
        <w:t xml:space="preserve">Set </w:t>
      </w:r>
      <w:r w:rsidRPr="00B873A1">
        <w:rPr>
          <w:rStyle w:val="Strong"/>
          <w:rFonts w:asciiTheme="minorHAnsi" w:hAnsiTheme="minorHAnsi"/>
          <w:b w:val="0"/>
          <w:bCs w:val="0"/>
          <w:sz w:val="22"/>
          <w:szCs w:val="22"/>
        </w:rPr>
        <w:t>measurable, time-bound targets</w:t>
      </w:r>
      <w:r w:rsidRPr="00B873A1">
        <w:rPr>
          <w:rFonts w:asciiTheme="minorHAnsi" w:hAnsiTheme="minorHAnsi"/>
          <w:sz w:val="22"/>
          <w:szCs w:val="22"/>
        </w:rPr>
        <w:t xml:space="preserve"> across sectors; require annual public reporting using </w:t>
      </w:r>
      <w:r w:rsidRPr="00B873A1">
        <w:rPr>
          <w:rStyle w:val="Strong"/>
          <w:rFonts w:asciiTheme="minorHAnsi" w:hAnsiTheme="minorHAnsi"/>
          <w:b w:val="0"/>
          <w:bCs w:val="0"/>
          <w:sz w:val="22"/>
          <w:szCs w:val="22"/>
        </w:rPr>
        <w:t>Māori-governed data systems</w:t>
      </w:r>
      <w:r w:rsidRPr="00B873A1">
        <w:rPr>
          <w:rFonts w:asciiTheme="minorHAnsi" w:hAnsiTheme="minorHAnsi"/>
          <w:sz w:val="22"/>
          <w:szCs w:val="22"/>
        </w:rPr>
        <w:t xml:space="preserve"> disaggregated by ethnicity and other relevant dimensions.</w:t>
      </w:r>
    </w:p>
    <w:p w14:paraId="221A6F3F" w14:textId="5CE7EC12" w:rsidR="00B26D22" w:rsidRPr="00B873A1" w:rsidRDefault="00B26D22" w:rsidP="002C4368">
      <w:pPr>
        <w:pStyle w:val="NormalWeb"/>
        <w:numPr>
          <w:ilvl w:val="0"/>
          <w:numId w:val="17"/>
        </w:numPr>
        <w:spacing w:line="276" w:lineRule="auto"/>
        <w:rPr>
          <w:rFonts w:asciiTheme="minorHAnsi" w:hAnsiTheme="minorHAnsi"/>
          <w:sz w:val="22"/>
          <w:szCs w:val="22"/>
        </w:rPr>
      </w:pPr>
      <w:r w:rsidRPr="00B873A1">
        <w:rPr>
          <w:rFonts w:asciiTheme="minorHAnsi" w:hAnsiTheme="minorHAnsi"/>
          <w:sz w:val="22"/>
          <w:szCs w:val="22"/>
        </w:rPr>
        <w:t xml:space="preserve">Provide </w:t>
      </w:r>
      <w:r w:rsidRPr="00B873A1">
        <w:rPr>
          <w:rStyle w:val="Strong"/>
          <w:rFonts w:asciiTheme="minorHAnsi" w:hAnsiTheme="minorHAnsi"/>
          <w:b w:val="0"/>
          <w:bCs w:val="0"/>
          <w:sz w:val="22"/>
          <w:szCs w:val="22"/>
        </w:rPr>
        <w:t>multi-year baseline funding</w:t>
      </w:r>
      <w:r w:rsidRPr="00B873A1">
        <w:rPr>
          <w:rFonts w:asciiTheme="minorHAnsi" w:hAnsiTheme="minorHAnsi"/>
          <w:sz w:val="22"/>
          <w:szCs w:val="22"/>
        </w:rPr>
        <w:t xml:space="preserve"> for </w:t>
      </w:r>
      <w:r w:rsidR="003621BA">
        <w:rPr>
          <w:rFonts w:asciiTheme="minorHAnsi" w:hAnsiTheme="minorHAnsi"/>
          <w:sz w:val="22"/>
          <w:szCs w:val="22"/>
        </w:rPr>
        <w:t>evidence-based</w:t>
      </w:r>
      <w:r w:rsidRPr="00B873A1">
        <w:rPr>
          <w:rFonts w:asciiTheme="minorHAnsi" w:hAnsiTheme="minorHAnsi"/>
          <w:sz w:val="22"/>
          <w:szCs w:val="22"/>
        </w:rPr>
        <w:t xml:space="preserve"> antiracism programmes; prohibit substituting core equity funding with ad-hoc pilots.</w:t>
      </w:r>
    </w:p>
    <w:p w14:paraId="6B2A8AEB" w14:textId="77777777" w:rsidR="00B26D22" w:rsidRPr="00B873A1" w:rsidRDefault="00B26D22" w:rsidP="002C4368">
      <w:pPr>
        <w:pStyle w:val="NormalWeb"/>
        <w:numPr>
          <w:ilvl w:val="0"/>
          <w:numId w:val="17"/>
        </w:numPr>
        <w:spacing w:line="276" w:lineRule="auto"/>
        <w:rPr>
          <w:rFonts w:asciiTheme="minorHAnsi" w:hAnsiTheme="minorHAnsi"/>
          <w:sz w:val="22"/>
          <w:szCs w:val="22"/>
        </w:rPr>
      </w:pPr>
      <w:r w:rsidRPr="00B873A1">
        <w:rPr>
          <w:rFonts w:asciiTheme="minorHAnsi" w:hAnsiTheme="minorHAnsi"/>
          <w:sz w:val="22"/>
          <w:szCs w:val="22"/>
        </w:rPr>
        <w:lastRenderedPageBreak/>
        <w:t xml:space="preserve">Mandate </w:t>
      </w:r>
      <w:r w:rsidRPr="00B873A1">
        <w:rPr>
          <w:rStyle w:val="Strong"/>
          <w:rFonts w:asciiTheme="minorHAnsi" w:hAnsiTheme="minorHAnsi"/>
          <w:b w:val="0"/>
          <w:bCs w:val="0"/>
          <w:sz w:val="22"/>
          <w:szCs w:val="22"/>
        </w:rPr>
        <w:t>agency-level equity and pay-gap audits</w:t>
      </w:r>
      <w:r w:rsidRPr="00B873A1">
        <w:rPr>
          <w:rFonts w:asciiTheme="minorHAnsi" w:hAnsiTheme="minorHAnsi"/>
          <w:sz w:val="22"/>
          <w:szCs w:val="22"/>
        </w:rPr>
        <w:t xml:space="preserve"> (and corrective action plans) linked to chief-executive performance and budget decisions.</w:t>
      </w:r>
    </w:p>
    <w:p w14:paraId="5A204634" w14:textId="77777777" w:rsidR="00B26D22" w:rsidRPr="00B873A1" w:rsidRDefault="00B26D22" w:rsidP="002C4368">
      <w:pPr>
        <w:pStyle w:val="NormalWeb"/>
        <w:numPr>
          <w:ilvl w:val="0"/>
          <w:numId w:val="17"/>
        </w:numPr>
        <w:spacing w:line="276" w:lineRule="auto"/>
        <w:rPr>
          <w:rFonts w:asciiTheme="minorHAnsi" w:hAnsiTheme="minorHAnsi"/>
          <w:sz w:val="22"/>
          <w:szCs w:val="22"/>
        </w:rPr>
      </w:pPr>
      <w:r w:rsidRPr="00B873A1">
        <w:rPr>
          <w:rFonts w:asciiTheme="minorHAnsi" w:hAnsiTheme="minorHAnsi"/>
          <w:sz w:val="22"/>
          <w:szCs w:val="22"/>
        </w:rPr>
        <w:t xml:space="preserve">Deliver a national </w:t>
      </w:r>
      <w:r w:rsidRPr="00B873A1">
        <w:rPr>
          <w:rStyle w:val="Strong"/>
          <w:rFonts w:asciiTheme="minorHAnsi" w:hAnsiTheme="minorHAnsi"/>
          <w:b w:val="0"/>
          <w:bCs w:val="0"/>
          <w:sz w:val="22"/>
          <w:szCs w:val="22"/>
        </w:rPr>
        <w:t>Article 7 education programme</w:t>
      </w:r>
      <w:r w:rsidRPr="00B873A1">
        <w:rPr>
          <w:rFonts w:asciiTheme="minorHAnsi" w:hAnsiTheme="minorHAnsi"/>
          <w:sz w:val="22"/>
          <w:szCs w:val="22"/>
        </w:rPr>
        <w:t xml:space="preserve"> (curriculum, public campaigns, bystander training) grounded in Te Tiriti and mātauranga Māori, with external evaluation.</w:t>
      </w:r>
    </w:p>
    <w:p w14:paraId="06D20071" w14:textId="18A128FB" w:rsidR="00B26D22" w:rsidRPr="00B873A1" w:rsidRDefault="00B26D22" w:rsidP="00B873A1">
      <w:pPr>
        <w:pStyle w:val="Heading1"/>
        <w:spacing w:line="240" w:lineRule="auto"/>
      </w:pPr>
      <w:r w:rsidRPr="00B873A1">
        <w:t>References</w:t>
      </w:r>
    </w:p>
    <w:p w14:paraId="07699A1F" w14:textId="5CD79B0F" w:rsidR="00B873A1" w:rsidRPr="00B873A1" w:rsidRDefault="00B873A1" w:rsidP="00B873A1">
      <w:pPr>
        <w:spacing w:after="100" w:afterAutospacing="1" w:line="240" w:lineRule="auto"/>
        <w:rPr>
          <w:rFonts w:eastAsia="Times New Roman" w:cs="Times New Roman"/>
          <w:lang w:val="en-NZ" w:eastAsia="en-NZ"/>
        </w:rPr>
      </w:pPr>
      <w:r w:rsidRPr="00B873A1">
        <w:rPr>
          <w:rFonts w:eastAsia="Times New Roman" w:cs="Times New Roman"/>
          <w:lang w:val="en-NZ" w:eastAsia="en-NZ"/>
        </w:rPr>
        <w:t xml:space="preserve">Cabinet Office. (2019). </w:t>
      </w:r>
      <w:r w:rsidRPr="00B873A1">
        <w:rPr>
          <w:rFonts w:eastAsia="Times New Roman" w:cs="Times New Roman"/>
          <w:i/>
          <w:iCs/>
          <w:lang w:val="en-NZ" w:eastAsia="en-NZ"/>
        </w:rPr>
        <w:t>Te Tiriti o Waitangi/Treaty of Waitangi guidance for policy makers</w:t>
      </w:r>
      <w:r w:rsidRPr="00B873A1">
        <w:rPr>
          <w:rFonts w:eastAsia="Times New Roman" w:cs="Times New Roman"/>
          <w:lang w:val="en-NZ" w:eastAsia="en-NZ"/>
        </w:rPr>
        <w:t xml:space="preserve"> (Cabinet Office Circular CO(19)5). </w:t>
      </w:r>
    </w:p>
    <w:p w14:paraId="794A40FE" w14:textId="5664733A"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Cabinet Office. (2024). </w:t>
      </w:r>
      <w:r w:rsidRPr="00B873A1">
        <w:rPr>
          <w:rFonts w:eastAsia="Times New Roman" w:cs="Times New Roman"/>
          <w:i/>
          <w:iCs/>
          <w:lang w:val="en-NZ" w:eastAsia="en-NZ"/>
        </w:rPr>
        <w:t>Needs-based service provision</w:t>
      </w:r>
      <w:r w:rsidRPr="00B873A1">
        <w:rPr>
          <w:rFonts w:eastAsia="Times New Roman" w:cs="Times New Roman"/>
          <w:lang w:val="en-NZ" w:eastAsia="en-NZ"/>
        </w:rPr>
        <w:t xml:space="preserve"> (Cabinet Office Circular CO(24)5). </w:t>
      </w:r>
    </w:p>
    <w:p w14:paraId="30AC5725"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Came, H., &amp; Kidd, J. (2020). A critical Te Tiriti analysis of the New Zealand Cancer Action Plan 2019–2029. </w:t>
      </w:r>
      <w:r w:rsidRPr="00B873A1">
        <w:rPr>
          <w:rFonts w:eastAsia="Times New Roman" w:cs="Times New Roman"/>
          <w:i/>
          <w:iCs/>
          <w:lang w:val="en-NZ" w:eastAsia="en-NZ"/>
        </w:rPr>
        <w:t>Journal of Cancer Policy, 26,</w:t>
      </w:r>
      <w:r w:rsidRPr="00B873A1">
        <w:rPr>
          <w:rFonts w:eastAsia="Times New Roman" w:cs="Times New Roman"/>
          <w:lang w:val="en-NZ" w:eastAsia="en-NZ"/>
        </w:rPr>
        <w:t xml:space="preserve"> 100252. </w:t>
      </w:r>
      <w:hyperlink r:id="rId7" w:tgtFrame="_new" w:history="1">
        <w:r w:rsidRPr="00B873A1">
          <w:rPr>
            <w:rFonts w:eastAsia="Times New Roman" w:cs="Times New Roman"/>
            <w:color w:val="0000FF"/>
            <w:u w:val="single"/>
            <w:lang w:val="en-NZ" w:eastAsia="en-NZ"/>
          </w:rPr>
          <w:t>https://doi.org/10.1016/j.jcpo.2020.100252</w:t>
        </w:r>
      </w:hyperlink>
    </w:p>
    <w:p w14:paraId="5E97FE7B"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Came, H., Kidd, J., Heke, D., &amp; McCreanor, T. (2021). Te Tiriti o Waitangi compliance in regulated health practitioner competency documents in Aotearoa: A critical Tiriti analysis. </w:t>
      </w:r>
      <w:r w:rsidRPr="00B873A1">
        <w:rPr>
          <w:rFonts w:eastAsia="Times New Roman" w:cs="Times New Roman"/>
          <w:i/>
          <w:iCs/>
          <w:lang w:val="en-NZ" w:eastAsia="en-NZ"/>
        </w:rPr>
        <w:t>New Zealand Medical Journal, 134</w:t>
      </w:r>
      <w:r w:rsidRPr="00B873A1">
        <w:rPr>
          <w:rFonts w:eastAsia="Times New Roman" w:cs="Times New Roman"/>
          <w:lang w:val="en-NZ" w:eastAsia="en-NZ"/>
        </w:rPr>
        <w:t>(1535), 35–43.</w:t>
      </w:r>
    </w:p>
    <w:p w14:paraId="080A9EF0"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Came, H., Badu, E., Ioane, J., Manson, L., &amp; McCreanor, T. (2020). Ethnic pay (dis)parities in public sector leadership from 2001–2016 in Aotearoa New Zealand. </w:t>
      </w:r>
      <w:r w:rsidRPr="00B873A1">
        <w:rPr>
          <w:rFonts w:eastAsia="Times New Roman" w:cs="Times New Roman"/>
          <w:i/>
          <w:iCs/>
          <w:lang w:val="en-NZ" w:eastAsia="en-NZ"/>
        </w:rPr>
        <w:t>International Journal of Critical Indigenous Studies, 13</w:t>
      </w:r>
      <w:r w:rsidRPr="00B873A1">
        <w:rPr>
          <w:rFonts w:eastAsia="Times New Roman" w:cs="Times New Roman"/>
          <w:lang w:val="en-NZ" w:eastAsia="en-NZ"/>
        </w:rPr>
        <w:t>(1), 70–85.</w:t>
      </w:r>
    </w:p>
    <w:p w14:paraId="1A800008"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Came, H., Cornes, R., &amp; McCreanor, T. (2018). Māori and Pasifika leaders’ experiences of government health advisory groups in Aotearoa New Zealand. </w:t>
      </w:r>
      <w:r w:rsidRPr="00B873A1">
        <w:rPr>
          <w:rFonts w:eastAsia="Times New Roman" w:cs="Times New Roman"/>
          <w:i/>
          <w:iCs/>
          <w:lang w:val="en-NZ" w:eastAsia="en-NZ"/>
        </w:rPr>
        <w:t>Kōtuitui: New Zealand Journal of Social Sciences, 14</w:t>
      </w:r>
      <w:r w:rsidRPr="00B873A1">
        <w:rPr>
          <w:rFonts w:eastAsia="Times New Roman" w:cs="Times New Roman"/>
          <w:lang w:val="en-NZ" w:eastAsia="en-NZ"/>
        </w:rPr>
        <w:t xml:space="preserve">(1), 126–135. </w:t>
      </w:r>
      <w:hyperlink r:id="rId8" w:tgtFrame="_new" w:history="1">
        <w:r w:rsidRPr="00B873A1">
          <w:rPr>
            <w:rFonts w:eastAsia="Times New Roman" w:cs="Times New Roman"/>
            <w:color w:val="0000FF"/>
            <w:u w:val="single"/>
            <w:lang w:val="en-NZ" w:eastAsia="en-NZ"/>
          </w:rPr>
          <w:t>https://doi.org/10.1080/1177083X.2018.1561477</w:t>
        </w:r>
      </w:hyperlink>
    </w:p>
    <w:p w14:paraId="3B8DF824"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Came, H., McPherson, G., &amp; Penny, L. (2023). </w:t>
      </w:r>
      <w:r w:rsidRPr="00B873A1">
        <w:rPr>
          <w:rFonts w:eastAsia="Times New Roman" w:cs="Times New Roman"/>
          <w:i/>
          <w:iCs/>
          <w:lang w:val="en-NZ" w:eastAsia="en-NZ"/>
        </w:rPr>
        <w:t>Report of the Parliamentary Review Committee regarding the National Cervical Screening Programme.</w:t>
      </w:r>
      <w:r w:rsidRPr="00B873A1">
        <w:rPr>
          <w:rFonts w:eastAsia="Times New Roman" w:cs="Times New Roman"/>
          <w:lang w:val="en-NZ" w:eastAsia="en-NZ"/>
        </w:rPr>
        <w:t xml:space="preserve"> Ministry of Health.</w:t>
      </w:r>
    </w:p>
    <w:p w14:paraId="5075509F"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Came, H., O’Sullivan, D., Berghan, G., &amp; McCreanor, T. (2025). “Needs not race”: A discursive Tiriti analysis of the 2024 Cabinet Circular on needs-based service provision. </w:t>
      </w:r>
      <w:r w:rsidRPr="00B873A1">
        <w:rPr>
          <w:rFonts w:eastAsia="Times New Roman" w:cs="Times New Roman"/>
          <w:i/>
          <w:iCs/>
          <w:lang w:val="en-NZ" w:eastAsia="en-NZ"/>
        </w:rPr>
        <w:t>Ethnicities.</w:t>
      </w:r>
      <w:r w:rsidRPr="00B873A1">
        <w:rPr>
          <w:rFonts w:eastAsia="Times New Roman" w:cs="Times New Roman"/>
          <w:lang w:val="en-NZ" w:eastAsia="en-NZ"/>
        </w:rPr>
        <w:t xml:space="preserve"> Advance online publication.</w:t>
      </w:r>
    </w:p>
    <w:p w14:paraId="3FA2D1E8"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Charters, C., Kingi, H., Sykes, R., Moxon, J., &amp; Jackson, M. (2019). </w:t>
      </w:r>
      <w:r w:rsidRPr="00B873A1">
        <w:rPr>
          <w:rFonts w:eastAsia="Times New Roman" w:cs="Times New Roman"/>
          <w:i/>
          <w:iCs/>
          <w:lang w:val="en-NZ" w:eastAsia="en-NZ"/>
        </w:rPr>
        <w:t>He Puapua: Report of the Working Group on a Plan to Realise the UN Declaration on the Rights of Indigenous Peoples in Aotearoa/New Zealand.</w:t>
      </w:r>
      <w:r w:rsidRPr="00B873A1">
        <w:rPr>
          <w:rFonts w:eastAsia="Times New Roman" w:cs="Times New Roman"/>
          <w:lang w:val="en-NZ" w:eastAsia="en-NZ"/>
        </w:rPr>
        <w:t xml:space="preserve"> Wellington: Te Puni Kōkiri.</w:t>
      </w:r>
    </w:p>
    <w:p w14:paraId="645B8B91"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Douglas, J., Came, H., Bain, L., &amp; Berghan, G. (2022). Pay equity and resistance to Living Wage adoption in Aotearoa health boards. </w:t>
      </w:r>
      <w:r w:rsidRPr="00B873A1">
        <w:rPr>
          <w:rFonts w:eastAsia="Times New Roman" w:cs="Times New Roman"/>
          <w:i/>
          <w:iCs/>
          <w:lang w:val="en-NZ" w:eastAsia="en-NZ"/>
        </w:rPr>
        <w:t>Aotearoa Labour Studies Review, 5</w:t>
      </w:r>
      <w:r w:rsidRPr="00B873A1">
        <w:rPr>
          <w:rFonts w:eastAsia="Times New Roman" w:cs="Times New Roman"/>
          <w:lang w:val="en-NZ" w:eastAsia="en-NZ"/>
        </w:rPr>
        <w:t>(2), 15–26.</w:t>
      </w:r>
    </w:p>
    <w:p w14:paraId="27063529"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Goza, M., Came, H., &amp; Emery-Whittington, I. (2022). A critical Tiriti analysis of the recruitment and performance review processes of public sector chief executives in Aotearoa. </w:t>
      </w:r>
      <w:r w:rsidRPr="00B873A1">
        <w:rPr>
          <w:rFonts w:eastAsia="Times New Roman" w:cs="Times New Roman"/>
          <w:i/>
          <w:iCs/>
          <w:lang w:val="en-NZ" w:eastAsia="en-NZ"/>
        </w:rPr>
        <w:t>Australian and New Zealand Journal of Public Health, 46</w:t>
      </w:r>
      <w:r w:rsidRPr="00B873A1">
        <w:rPr>
          <w:rFonts w:eastAsia="Times New Roman" w:cs="Times New Roman"/>
          <w:lang w:val="en-NZ" w:eastAsia="en-NZ"/>
        </w:rPr>
        <w:t>(1), 52–55. https://doi.org/10.1111/1753-6405.13171</w:t>
      </w:r>
    </w:p>
    <w:p w14:paraId="3432268F"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lastRenderedPageBreak/>
        <w:t xml:space="preserve">Heke, D., Wilson, D., &amp; Came, H. (2019). Shades of competence? A critical analysis of the cultural competencies of the regulated health workforce in Aotearoa New Zealand. </w:t>
      </w:r>
      <w:r w:rsidRPr="00B873A1">
        <w:rPr>
          <w:rFonts w:eastAsia="Times New Roman" w:cs="Times New Roman"/>
          <w:i/>
          <w:iCs/>
          <w:lang w:val="en-NZ" w:eastAsia="en-NZ"/>
        </w:rPr>
        <w:t>International Journal for Quality in Health Care, 31</w:t>
      </w:r>
      <w:r w:rsidRPr="00B873A1">
        <w:rPr>
          <w:rFonts w:eastAsia="Times New Roman" w:cs="Times New Roman"/>
          <w:lang w:val="en-NZ" w:eastAsia="en-NZ"/>
        </w:rPr>
        <w:t xml:space="preserve">(8), 606–612. </w:t>
      </w:r>
      <w:hyperlink r:id="rId9" w:tgtFrame="_new" w:history="1">
        <w:r w:rsidRPr="00B873A1">
          <w:rPr>
            <w:rFonts w:eastAsia="Times New Roman" w:cs="Times New Roman"/>
            <w:color w:val="0000FF"/>
            <w:u w:val="single"/>
            <w:lang w:val="en-NZ" w:eastAsia="en-NZ"/>
          </w:rPr>
          <w:t>https://doi.org/10.1093/intqhc/mzy227</w:t>
        </w:r>
      </w:hyperlink>
    </w:p>
    <w:p w14:paraId="02FE0C6D"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Heke, D., Came, H., Birk, C., &amp; Gambrell, R. (2022). Monocultural human resource practices and the limits of diversity rhetoric in the Aotearoa health sector. </w:t>
      </w:r>
      <w:r w:rsidRPr="00B873A1">
        <w:rPr>
          <w:rFonts w:eastAsia="Times New Roman" w:cs="Times New Roman"/>
          <w:i/>
          <w:iCs/>
          <w:lang w:val="en-NZ" w:eastAsia="en-NZ"/>
        </w:rPr>
        <w:t>Equity and Leadership Review, 2</w:t>
      </w:r>
      <w:r w:rsidRPr="00B873A1">
        <w:rPr>
          <w:rFonts w:eastAsia="Times New Roman" w:cs="Times New Roman"/>
          <w:lang w:val="en-NZ" w:eastAsia="en-NZ"/>
        </w:rPr>
        <w:t>(1), 44–58.</w:t>
      </w:r>
    </w:p>
    <w:p w14:paraId="672F6838"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Kereama-Royal, I., Jones, S., Wijohn, E., Doole, C., Burgess, L., &amp; Came, H. (2019). Resisting ethnic inequities in advanced breast cancer: A call to action. </w:t>
      </w:r>
      <w:r w:rsidRPr="00B873A1">
        <w:rPr>
          <w:rFonts w:eastAsia="Times New Roman" w:cs="Times New Roman"/>
          <w:i/>
          <w:iCs/>
          <w:lang w:val="en-NZ" w:eastAsia="en-NZ"/>
        </w:rPr>
        <w:t>New Zealand Medical Journal, 132</w:t>
      </w:r>
      <w:r w:rsidRPr="00B873A1">
        <w:rPr>
          <w:rFonts w:eastAsia="Times New Roman" w:cs="Times New Roman"/>
          <w:lang w:val="en-NZ" w:eastAsia="en-NZ"/>
        </w:rPr>
        <w:t>(1507), 85–89.</w:t>
      </w:r>
    </w:p>
    <w:p w14:paraId="20BE1626"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Love, C., Came, H., Cornes, R., &amp; McCreanor, T. (2021). </w:t>
      </w:r>
      <w:r w:rsidRPr="00B873A1">
        <w:rPr>
          <w:rFonts w:eastAsia="Times New Roman" w:cs="Times New Roman"/>
          <w:i/>
          <w:iCs/>
          <w:lang w:val="en-NZ" w:eastAsia="en-NZ"/>
        </w:rPr>
        <w:t>Funding inequities in Māori health provision.</w:t>
      </w:r>
      <w:r w:rsidRPr="00B873A1">
        <w:rPr>
          <w:rFonts w:eastAsia="Times New Roman" w:cs="Times New Roman"/>
          <w:lang w:val="en-NZ" w:eastAsia="en-NZ"/>
        </w:rPr>
        <w:t xml:space="preserve"> Wellington: Te Rōpū </w:t>
      </w:r>
      <w:proofErr w:type="spellStart"/>
      <w:r w:rsidRPr="00B873A1">
        <w:rPr>
          <w:rFonts w:eastAsia="Times New Roman" w:cs="Times New Roman"/>
          <w:lang w:val="en-NZ" w:eastAsia="en-NZ"/>
        </w:rPr>
        <w:t>Rangahau</w:t>
      </w:r>
      <w:proofErr w:type="spellEnd"/>
      <w:r w:rsidRPr="00B873A1">
        <w:rPr>
          <w:rFonts w:eastAsia="Times New Roman" w:cs="Times New Roman"/>
          <w:lang w:val="en-NZ" w:eastAsia="en-NZ"/>
        </w:rPr>
        <w:t xml:space="preserve"> Hauora a </w:t>
      </w:r>
      <w:proofErr w:type="spellStart"/>
      <w:r w:rsidRPr="00B873A1">
        <w:rPr>
          <w:rFonts w:eastAsia="Times New Roman" w:cs="Times New Roman"/>
          <w:lang w:val="en-NZ" w:eastAsia="en-NZ"/>
        </w:rPr>
        <w:t>Eru</w:t>
      </w:r>
      <w:proofErr w:type="spellEnd"/>
      <w:r w:rsidRPr="00B873A1">
        <w:rPr>
          <w:rFonts w:eastAsia="Times New Roman" w:cs="Times New Roman"/>
          <w:lang w:val="en-NZ" w:eastAsia="en-NZ"/>
        </w:rPr>
        <w:t xml:space="preserve"> </w:t>
      </w:r>
      <w:proofErr w:type="spellStart"/>
      <w:r w:rsidRPr="00B873A1">
        <w:rPr>
          <w:rFonts w:eastAsia="Times New Roman" w:cs="Times New Roman"/>
          <w:lang w:val="en-NZ" w:eastAsia="en-NZ"/>
        </w:rPr>
        <w:t>Pōmare</w:t>
      </w:r>
      <w:proofErr w:type="spellEnd"/>
      <w:r w:rsidRPr="00B873A1">
        <w:rPr>
          <w:rFonts w:eastAsia="Times New Roman" w:cs="Times New Roman"/>
          <w:lang w:val="en-NZ" w:eastAsia="en-NZ"/>
        </w:rPr>
        <w:t>.</w:t>
      </w:r>
    </w:p>
    <w:p w14:paraId="37646634"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Matike Mai Aotearoa. (2016). </w:t>
      </w:r>
      <w:r w:rsidRPr="00B873A1">
        <w:rPr>
          <w:rFonts w:eastAsia="Times New Roman" w:cs="Times New Roman"/>
          <w:i/>
          <w:iCs/>
          <w:lang w:val="en-NZ" w:eastAsia="en-NZ"/>
        </w:rPr>
        <w:t xml:space="preserve">He </w:t>
      </w:r>
      <w:proofErr w:type="spellStart"/>
      <w:r w:rsidRPr="00B873A1">
        <w:rPr>
          <w:rFonts w:eastAsia="Times New Roman" w:cs="Times New Roman"/>
          <w:i/>
          <w:iCs/>
          <w:lang w:val="en-NZ" w:eastAsia="en-NZ"/>
        </w:rPr>
        <w:t>whakaaro</w:t>
      </w:r>
      <w:proofErr w:type="spellEnd"/>
      <w:r w:rsidRPr="00B873A1">
        <w:rPr>
          <w:rFonts w:eastAsia="Times New Roman" w:cs="Times New Roman"/>
          <w:i/>
          <w:iCs/>
          <w:lang w:val="en-NZ" w:eastAsia="en-NZ"/>
        </w:rPr>
        <w:t xml:space="preserve"> here </w:t>
      </w:r>
      <w:proofErr w:type="spellStart"/>
      <w:r w:rsidRPr="00B873A1">
        <w:rPr>
          <w:rFonts w:eastAsia="Times New Roman" w:cs="Times New Roman"/>
          <w:i/>
          <w:iCs/>
          <w:lang w:val="en-NZ" w:eastAsia="en-NZ"/>
        </w:rPr>
        <w:t>whakaumu</w:t>
      </w:r>
      <w:proofErr w:type="spellEnd"/>
      <w:r w:rsidRPr="00B873A1">
        <w:rPr>
          <w:rFonts w:eastAsia="Times New Roman" w:cs="Times New Roman"/>
          <w:i/>
          <w:iCs/>
          <w:lang w:val="en-NZ" w:eastAsia="en-NZ"/>
        </w:rPr>
        <w:t xml:space="preserve"> </w:t>
      </w:r>
      <w:proofErr w:type="spellStart"/>
      <w:r w:rsidRPr="00B873A1">
        <w:rPr>
          <w:rFonts w:eastAsia="Times New Roman" w:cs="Times New Roman"/>
          <w:i/>
          <w:iCs/>
          <w:lang w:val="en-NZ" w:eastAsia="en-NZ"/>
        </w:rPr>
        <w:t>mō</w:t>
      </w:r>
      <w:proofErr w:type="spellEnd"/>
      <w:r w:rsidRPr="00B873A1">
        <w:rPr>
          <w:rFonts w:eastAsia="Times New Roman" w:cs="Times New Roman"/>
          <w:i/>
          <w:iCs/>
          <w:lang w:val="en-NZ" w:eastAsia="en-NZ"/>
        </w:rPr>
        <w:t xml:space="preserve"> Aotearoa: The report of Matike Mai Aotearoa – the Independent Working Group on Constitutional Transformation.</w:t>
      </w:r>
      <w:r w:rsidRPr="00B873A1">
        <w:rPr>
          <w:rFonts w:eastAsia="Times New Roman" w:cs="Times New Roman"/>
          <w:lang w:val="en-NZ" w:eastAsia="en-NZ"/>
        </w:rPr>
        <w:t xml:space="preserve"> </w:t>
      </w:r>
      <w:hyperlink r:id="rId10" w:tgtFrame="_new" w:history="1">
        <w:r w:rsidRPr="00B873A1">
          <w:rPr>
            <w:rFonts w:eastAsia="Times New Roman" w:cs="Times New Roman"/>
            <w:color w:val="0000FF"/>
            <w:u w:val="single"/>
            <w:lang w:val="en-NZ" w:eastAsia="en-NZ"/>
          </w:rPr>
          <w:t>http://www.converge.org.nz/pma/MatikeMaiAotearoaReport.pdf</w:t>
        </w:r>
      </w:hyperlink>
    </w:p>
    <w:p w14:paraId="21B1ADC9"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O’Sullivan, D., Came, H., McCreanor, T., &amp; Kidd, J. (2021). A critical review of the Cabinet Circular on Te Tiriti o Waitangi and Treaty advice to ministers. </w:t>
      </w:r>
      <w:r w:rsidRPr="00B873A1">
        <w:rPr>
          <w:rFonts w:eastAsia="Times New Roman" w:cs="Times New Roman"/>
          <w:i/>
          <w:iCs/>
          <w:lang w:val="en-NZ" w:eastAsia="en-NZ"/>
        </w:rPr>
        <w:t>Ethnicities, 21</w:t>
      </w:r>
      <w:r w:rsidRPr="00B873A1">
        <w:rPr>
          <w:rFonts w:eastAsia="Times New Roman" w:cs="Times New Roman"/>
          <w:lang w:val="en-NZ" w:eastAsia="en-NZ"/>
        </w:rPr>
        <w:t>(6), 1093–1112.</w:t>
      </w:r>
    </w:p>
    <w:p w14:paraId="3864CA24"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Rae, N., Came, H., Baker, M., &amp; McCreanor, T. (2022). The Pae Ora Bill and Māori health governance: A critical Tiriti analysis. </w:t>
      </w:r>
      <w:r w:rsidRPr="00B873A1">
        <w:rPr>
          <w:rFonts w:eastAsia="Times New Roman" w:cs="Times New Roman"/>
          <w:i/>
          <w:iCs/>
          <w:lang w:val="en-NZ" w:eastAsia="en-NZ"/>
        </w:rPr>
        <w:t>New Zealand Medical Journal, 135</w:t>
      </w:r>
      <w:r w:rsidRPr="00B873A1">
        <w:rPr>
          <w:rFonts w:eastAsia="Times New Roman" w:cs="Times New Roman"/>
          <w:lang w:val="en-NZ" w:eastAsia="en-NZ"/>
        </w:rPr>
        <w:t>(1562), 45–52.</w:t>
      </w:r>
    </w:p>
    <w:p w14:paraId="0DABA3EB"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Rae, N., Came, H., Bain, L., &amp; McCambridge, M. (2023). Te Pae Tata: A critical Tiriti analysis of the Interim New Zealand Health Plan. </w:t>
      </w:r>
      <w:r w:rsidRPr="00B873A1">
        <w:rPr>
          <w:rFonts w:eastAsia="Times New Roman" w:cs="Times New Roman"/>
          <w:i/>
          <w:iCs/>
          <w:lang w:val="en-NZ" w:eastAsia="en-NZ"/>
        </w:rPr>
        <w:t>New Zealand Medical Journal, 136</w:t>
      </w:r>
      <w:r w:rsidRPr="00B873A1">
        <w:rPr>
          <w:rFonts w:eastAsia="Times New Roman" w:cs="Times New Roman"/>
          <w:lang w:val="en-NZ" w:eastAsia="en-NZ"/>
        </w:rPr>
        <w:t>(1580), 58–64.</w:t>
      </w:r>
    </w:p>
    <w:p w14:paraId="0CBC23E0"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Waitangi Tribunal. (2019). </w:t>
      </w:r>
      <w:r w:rsidRPr="00B873A1">
        <w:rPr>
          <w:rFonts w:eastAsia="Times New Roman" w:cs="Times New Roman"/>
          <w:i/>
          <w:iCs/>
          <w:lang w:val="en-NZ" w:eastAsia="en-NZ"/>
        </w:rPr>
        <w:t>Hauora: Report on Stage One of the Health Services and Outcomes Kaupapa Inquiry (WAI 2575).</w:t>
      </w:r>
      <w:r w:rsidRPr="00B873A1">
        <w:rPr>
          <w:rFonts w:eastAsia="Times New Roman" w:cs="Times New Roman"/>
          <w:lang w:val="en-NZ" w:eastAsia="en-NZ"/>
        </w:rPr>
        <w:t xml:space="preserve"> Wellington: Waitangi Tribunal.</w:t>
      </w:r>
    </w:p>
    <w:p w14:paraId="28B8F004" w14:textId="77777777" w:rsidR="00B873A1" w:rsidRPr="00B873A1" w:rsidRDefault="00B873A1" w:rsidP="00B873A1">
      <w:pPr>
        <w:spacing w:before="100" w:beforeAutospacing="1" w:after="100" w:afterAutospacing="1" w:line="240" w:lineRule="auto"/>
        <w:rPr>
          <w:rFonts w:eastAsia="Times New Roman" w:cs="Times New Roman"/>
          <w:lang w:val="en-NZ" w:eastAsia="en-NZ"/>
        </w:rPr>
      </w:pPr>
      <w:r w:rsidRPr="00B873A1">
        <w:rPr>
          <w:rFonts w:eastAsia="Times New Roman" w:cs="Times New Roman"/>
          <w:lang w:val="en-NZ" w:eastAsia="en-NZ"/>
        </w:rPr>
        <w:t xml:space="preserve">United Nations. (2007). </w:t>
      </w:r>
      <w:r w:rsidRPr="00B873A1">
        <w:rPr>
          <w:rFonts w:eastAsia="Times New Roman" w:cs="Times New Roman"/>
          <w:i/>
          <w:iCs/>
          <w:lang w:val="en-NZ" w:eastAsia="en-NZ"/>
        </w:rPr>
        <w:t>Declaration on the Rights of Indigenous Peoples.</w:t>
      </w:r>
      <w:r w:rsidRPr="00B873A1">
        <w:rPr>
          <w:rFonts w:eastAsia="Times New Roman" w:cs="Times New Roman"/>
          <w:lang w:val="en-NZ" w:eastAsia="en-NZ"/>
        </w:rPr>
        <w:t xml:space="preserve"> United Nations General Assembly.</w:t>
      </w:r>
    </w:p>
    <w:p w14:paraId="1FD08E54" w14:textId="77777777" w:rsidR="00B26D22" w:rsidRPr="00B873A1" w:rsidRDefault="00B26D22" w:rsidP="00B873A1">
      <w:pPr>
        <w:pStyle w:val="NormalWeb"/>
        <w:rPr>
          <w:rFonts w:asciiTheme="minorHAnsi" w:hAnsiTheme="minorHAnsi"/>
          <w:sz w:val="22"/>
          <w:szCs w:val="22"/>
        </w:rPr>
      </w:pPr>
    </w:p>
    <w:p w14:paraId="36246EA7" w14:textId="1B7B7CE1" w:rsidR="006C21BB" w:rsidRPr="00B873A1" w:rsidRDefault="00000000" w:rsidP="00B873A1">
      <w:pPr>
        <w:spacing w:line="240" w:lineRule="auto"/>
      </w:pPr>
      <w:r w:rsidRPr="00B873A1">
        <w:br/>
      </w:r>
      <w:r w:rsidRPr="00B873A1">
        <w:br/>
      </w:r>
    </w:p>
    <w:sectPr w:rsidR="006C21BB" w:rsidRPr="00B873A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D2F7E3E"/>
    <w:multiLevelType w:val="multilevel"/>
    <w:tmpl w:val="A9E6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6B4FC9"/>
    <w:multiLevelType w:val="multilevel"/>
    <w:tmpl w:val="1D5A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A85888"/>
    <w:multiLevelType w:val="hybridMultilevel"/>
    <w:tmpl w:val="5B3C888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29A25585"/>
    <w:multiLevelType w:val="hybridMultilevel"/>
    <w:tmpl w:val="3C283B8C"/>
    <w:lvl w:ilvl="0" w:tplc="E75AFFB0">
      <w:start w:val="1"/>
      <w:numFmt w:val="decimal"/>
      <w:pStyle w:val="Heading2"/>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2C6147C5"/>
    <w:multiLevelType w:val="multilevel"/>
    <w:tmpl w:val="2C1E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D512C"/>
    <w:multiLevelType w:val="multilevel"/>
    <w:tmpl w:val="7EFAA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D4E26"/>
    <w:multiLevelType w:val="multilevel"/>
    <w:tmpl w:val="C0A8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0D185D"/>
    <w:multiLevelType w:val="hybridMultilevel"/>
    <w:tmpl w:val="C9A68D0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15:restartNumberingAfterBreak="0">
    <w:nsid w:val="5A2E5BDA"/>
    <w:multiLevelType w:val="hybridMultilevel"/>
    <w:tmpl w:val="13E0E95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6B2E209D"/>
    <w:multiLevelType w:val="hybridMultilevel"/>
    <w:tmpl w:val="D472B74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9" w15:restartNumberingAfterBreak="0">
    <w:nsid w:val="6F9C1631"/>
    <w:multiLevelType w:val="multilevel"/>
    <w:tmpl w:val="EFCA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630147">
    <w:abstractNumId w:val="8"/>
  </w:num>
  <w:num w:numId="2" w16cid:durableId="1581330930">
    <w:abstractNumId w:val="6"/>
  </w:num>
  <w:num w:numId="3" w16cid:durableId="1604726640">
    <w:abstractNumId w:val="5"/>
  </w:num>
  <w:num w:numId="4" w16cid:durableId="1789666120">
    <w:abstractNumId w:val="4"/>
  </w:num>
  <w:num w:numId="5" w16cid:durableId="555505819">
    <w:abstractNumId w:val="7"/>
  </w:num>
  <w:num w:numId="6" w16cid:durableId="778993623">
    <w:abstractNumId w:val="3"/>
  </w:num>
  <w:num w:numId="7" w16cid:durableId="1051804634">
    <w:abstractNumId w:val="2"/>
  </w:num>
  <w:num w:numId="8" w16cid:durableId="1544176902">
    <w:abstractNumId w:val="1"/>
  </w:num>
  <w:num w:numId="9" w16cid:durableId="915475431">
    <w:abstractNumId w:val="0"/>
  </w:num>
  <w:num w:numId="10" w16cid:durableId="1742094347">
    <w:abstractNumId w:val="12"/>
  </w:num>
  <w:num w:numId="11" w16cid:durableId="1287813685">
    <w:abstractNumId w:val="11"/>
  </w:num>
  <w:num w:numId="12" w16cid:durableId="1040473077">
    <w:abstractNumId w:val="13"/>
  </w:num>
  <w:num w:numId="13" w16cid:durableId="1560629683">
    <w:abstractNumId w:val="10"/>
  </w:num>
  <w:num w:numId="14" w16cid:durableId="1172261374">
    <w:abstractNumId w:val="14"/>
  </w:num>
  <w:num w:numId="15" w16cid:durableId="1310135853">
    <w:abstractNumId w:val="15"/>
  </w:num>
  <w:num w:numId="16" w16cid:durableId="1471315399">
    <w:abstractNumId w:val="19"/>
  </w:num>
  <w:num w:numId="17" w16cid:durableId="415639619">
    <w:abstractNumId w:val="9"/>
  </w:num>
  <w:num w:numId="18" w16cid:durableId="1792475694">
    <w:abstractNumId w:val="16"/>
  </w:num>
  <w:num w:numId="19" w16cid:durableId="1448892370">
    <w:abstractNumId w:val="17"/>
  </w:num>
  <w:num w:numId="20" w16cid:durableId="9268147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3F0"/>
    <w:rsid w:val="00034616"/>
    <w:rsid w:val="0006063C"/>
    <w:rsid w:val="000641E8"/>
    <w:rsid w:val="000F604A"/>
    <w:rsid w:val="001052B9"/>
    <w:rsid w:val="0015074B"/>
    <w:rsid w:val="00152DD8"/>
    <w:rsid w:val="0016473F"/>
    <w:rsid w:val="00247F9D"/>
    <w:rsid w:val="0029639D"/>
    <w:rsid w:val="002C4368"/>
    <w:rsid w:val="00326F90"/>
    <w:rsid w:val="003621BA"/>
    <w:rsid w:val="00422AD0"/>
    <w:rsid w:val="0043099E"/>
    <w:rsid w:val="00447632"/>
    <w:rsid w:val="00462B6C"/>
    <w:rsid w:val="004845CE"/>
    <w:rsid w:val="004B246F"/>
    <w:rsid w:val="00633826"/>
    <w:rsid w:val="0064262E"/>
    <w:rsid w:val="00655338"/>
    <w:rsid w:val="00681E77"/>
    <w:rsid w:val="006C21BB"/>
    <w:rsid w:val="00744F29"/>
    <w:rsid w:val="008C0AAD"/>
    <w:rsid w:val="008D21C6"/>
    <w:rsid w:val="00916BB8"/>
    <w:rsid w:val="0092144E"/>
    <w:rsid w:val="00947BD6"/>
    <w:rsid w:val="00A04E17"/>
    <w:rsid w:val="00A54D09"/>
    <w:rsid w:val="00A63E19"/>
    <w:rsid w:val="00AA1D8D"/>
    <w:rsid w:val="00AA63BC"/>
    <w:rsid w:val="00AC66CC"/>
    <w:rsid w:val="00B01B4A"/>
    <w:rsid w:val="00B06DB0"/>
    <w:rsid w:val="00B26D22"/>
    <w:rsid w:val="00B47730"/>
    <w:rsid w:val="00B873A1"/>
    <w:rsid w:val="00CB0664"/>
    <w:rsid w:val="00CC2687"/>
    <w:rsid w:val="00DA7120"/>
    <w:rsid w:val="00EF3208"/>
    <w:rsid w:val="00F609C3"/>
    <w:rsid w:val="00FA087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208514"/>
  <w14:defaultImageDpi w14:val="300"/>
  <w15:docId w15:val="{B437A8EE-F284-45A3-A711-BC6E005A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0313F0"/>
    <w:pPr>
      <w:outlineLvl w:val="0"/>
    </w:pPr>
    <w:rPr>
      <w:b/>
      <w:bCs/>
    </w:rPr>
  </w:style>
  <w:style w:type="paragraph" w:styleId="Heading2">
    <w:name w:val="heading 2"/>
    <w:basedOn w:val="ListParagraph"/>
    <w:next w:val="Normal"/>
    <w:link w:val="Heading2Char"/>
    <w:uiPriority w:val="9"/>
    <w:unhideWhenUsed/>
    <w:qFormat/>
    <w:rsid w:val="000313F0"/>
    <w:pPr>
      <w:numPr>
        <w:numId w:val="10"/>
      </w:numPr>
      <w:spacing w:after="0" w:line="240" w:lineRule="auto"/>
      <w:outlineLvl w:val="1"/>
    </w:pPr>
    <w:rPr>
      <w:b/>
      <w:bCs/>
    </w:rPr>
  </w:style>
  <w:style w:type="paragraph" w:styleId="Heading3">
    <w:name w:val="heading 3"/>
    <w:basedOn w:val="Normal"/>
    <w:next w:val="Normal"/>
    <w:link w:val="Heading3Char"/>
    <w:uiPriority w:val="9"/>
    <w:unhideWhenUsed/>
    <w:qFormat/>
    <w:rsid w:val="0016473F"/>
    <w:pPr>
      <w:keepNext/>
      <w:keepLines/>
      <w:spacing w:after="0"/>
      <w:outlineLvl w:val="2"/>
    </w:pPr>
    <w:rPr>
      <w:rFonts w:asciiTheme="majorHAnsi" w:eastAsiaTheme="majorEastAsia" w:hAnsiTheme="majorHAnsi" w:cstheme="majorBidi"/>
      <w:b/>
      <w:bCs/>
      <w:i/>
      <w:iCs/>
      <w:color w:val="000000" w:themeColor="tex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313F0"/>
    <w:rPr>
      <w:b/>
      <w:bCs/>
    </w:rPr>
  </w:style>
  <w:style w:type="character" w:customStyle="1" w:styleId="Heading2Char">
    <w:name w:val="Heading 2 Char"/>
    <w:basedOn w:val="DefaultParagraphFont"/>
    <w:link w:val="Heading2"/>
    <w:uiPriority w:val="9"/>
    <w:rsid w:val="000313F0"/>
    <w:rPr>
      <w:b/>
      <w:bCs/>
    </w:rPr>
  </w:style>
  <w:style w:type="character" w:customStyle="1" w:styleId="Heading3Char">
    <w:name w:val="Heading 3 Char"/>
    <w:basedOn w:val="DefaultParagraphFont"/>
    <w:link w:val="Heading3"/>
    <w:uiPriority w:val="9"/>
    <w:rsid w:val="0016473F"/>
    <w:rPr>
      <w:rFonts w:asciiTheme="majorHAnsi" w:eastAsiaTheme="majorEastAsia" w:hAnsiTheme="majorHAnsi" w:cstheme="majorBidi"/>
      <w:b/>
      <w:bCs/>
      <w:i/>
      <w:iCs/>
      <w:color w:val="000000" w:themeColor="tex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0313F0"/>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character" w:styleId="CommentReference">
    <w:name w:val="annotation reference"/>
    <w:basedOn w:val="DefaultParagraphFont"/>
    <w:uiPriority w:val="99"/>
    <w:semiHidden/>
    <w:unhideWhenUsed/>
    <w:rsid w:val="00B873A1"/>
    <w:rPr>
      <w:sz w:val="16"/>
      <w:szCs w:val="16"/>
    </w:rPr>
  </w:style>
  <w:style w:type="paragraph" w:styleId="CommentText">
    <w:name w:val="annotation text"/>
    <w:basedOn w:val="Normal"/>
    <w:link w:val="CommentTextChar"/>
    <w:uiPriority w:val="99"/>
    <w:unhideWhenUsed/>
    <w:rsid w:val="00B873A1"/>
    <w:pPr>
      <w:spacing w:line="240" w:lineRule="auto"/>
    </w:pPr>
    <w:rPr>
      <w:sz w:val="20"/>
      <w:szCs w:val="20"/>
    </w:rPr>
  </w:style>
  <w:style w:type="character" w:customStyle="1" w:styleId="CommentTextChar">
    <w:name w:val="Comment Text Char"/>
    <w:basedOn w:val="DefaultParagraphFont"/>
    <w:link w:val="CommentText"/>
    <w:uiPriority w:val="99"/>
    <w:rsid w:val="00B873A1"/>
    <w:rPr>
      <w:sz w:val="20"/>
      <w:szCs w:val="20"/>
    </w:rPr>
  </w:style>
  <w:style w:type="paragraph" w:styleId="CommentSubject">
    <w:name w:val="annotation subject"/>
    <w:basedOn w:val="CommentText"/>
    <w:next w:val="CommentText"/>
    <w:link w:val="CommentSubjectChar"/>
    <w:uiPriority w:val="99"/>
    <w:semiHidden/>
    <w:unhideWhenUsed/>
    <w:rsid w:val="00B873A1"/>
    <w:rPr>
      <w:b/>
      <w:bCs/>
    </w:rPr>
  </w:style>
  <w:style w:type="character" w:customStyle="1" w:styleId="CommentSubjectChar">
    <w:name w:val="Comment Subject Char"/>
    <w:basedOn w:val="CommentTextChar"/>
    <w:link w:val="CommentSubject"/>
    <w:uiPriority w:val="99"/>
    <w:semiHidden/>
    <w:rsid w:val="00B873A1"/>
    <w:rPr>
      <w:b/>
      <w:bCs/>
      <w:sz w:val="20"/>
      <w:szCs w:val="20"/>
    </w:rPr>
  </w:style>
  <w:style w:type="paragraph" w:styleId="Revision">
    <w:name w:val="Revision"/>
    <w:hidden/>
    <w:uiPriority w:val="99"/>
    <w:semiHidden/>
    <w:rsid w:val="00DA71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177083X.2018.1561477"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hyperlink" Target="https://doi.org/10.1016/j.jcpo.2020.100252"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www.converge.org.nz/pma/MatikeMaiAotearoaReport.pdf" TargetMode="External"/><Relationship Id="rId4" Type="http://schemas.openxmlformats.org/officeDocument/2006/relationships/settings" Target="settings.xml"/><Relationship Id="rId9" Type="http://schemas.openxmlformats.org/officeDocument/2006/relationships/hyperlink" Target="https://doi.org/10.1093/intqhc/mzy227"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2025-10-15T09:21:39+00:00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F0B6DE40-C5BF-4709-B849-17B3D4276700}"/>
</file>

<file path=customXml/itemProps3.xml><?xml version="1.0" encoding="utf-8"?>
<ds:datastoreItem xmlns:ds="http://schemas.openxmlformats.org/officeDocument/2006/customXml" ds:itemID="{5C0C24CA-247E-4D70-A03D-A72CF7263D07}"/>
</file>

<file path=customXml/itemProps4.xml><?xml version="1.0" encoding="utf-8"?>
<ds:datastoreItem xmlns:ds="http://schemas.openxmlformats.org/officeDocument/2006/customXml" ds:itemID="{0623B5C3-C77B-47E8-B8AE-73E621A110FD}"/>
</file>

<file path=docProps/app.xml><?xml version="1.0" encoding="utf-8"?>
<Properties xmlns="http://schemas.openxmlformats.org/officeDocument/2006/extended-properties" xmlns:vt="http://schemas.openxmlformats.org/officeDocument/2006/docPropsVTypes">
  <Template>Normal</Template>
  <TotalTime>6</TotalTime>
  <Pages>14</Pages>
  <Words>5951</Words>
  <Characters>33922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39794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Heather Came-Friar</cp:lastModifiedBy>
  <cp:revision>3</cp:revision>
  <cp:lastPrinted>2025-10-13T23:14:00Z</cp:lastPrinted>
  <dcterms:created xsi:type="dcterms:W3CDTF">2025-10-13T23:06:00Z</dcterms:created>
  <dcterms:modified xsi:type="dcterms:W3CDTF">2025-10-13T23:14:00Z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