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82710" w14:textId="77777777" w:rsidR="003A6CB1" w:rsidRPr="00123FAA" w:rsidRDefault="003A6CB1" w:rsidP="003A6CB1">
      <w:pPr>
        <w:rPr>
          <w:rFonts w:ascii="Weissenhof Grotesk Md" w:hAnsi="Weissenhof Grotesk Md" w:cs="Arial"/>
          <w:spacing w:val="40"/>
        </w:rPr>
      </w:pPr>
      <w:r>
        <w:rPr>
          <w:noProof/>
          <w:lang w:eastAsia="fr-FR"/>
        </w:rPr>
        <w:drawing>
          <wp:anchor distT="0" distB="360045" distL="114300" distR="114300" simplePos="0" relativeHeight="251659264" behindDoc="0" locked="1" layoutInCell="1" allowOverlap="0" wp14:anchorId="2697FC0C" wp14:editId="2FAD1B1F">
            <wp:simplePos x="0" y="0"/>
            <wp:positionH relativeFrom="page">
              <wp:posOffset>607060</wp:posOffset>
            </wp:positionH>
            <wp:positionV relativeFrom="paragraph">
              <wp:posOffset>-422275</wp:posOffset>
            </wp:positionV>
            <wp:extent cx="1896745" cy="799465"/>
            <wp:effectExtent l="0" t="0" r="8255" b="635"/>
            <wp:wrapTopAndBottom/>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6745" cy="799465"/>
                    </a:xfrm>
                    <a:prstGeom prst="rect">
                      <a:avLst/>
                    </a:prstGeom>
                    <a:noFill/>
                  </pic:spPr>
                </pic:pic>
              </a:graphicData>
            </a:graphic>
            <wp14:sizeRelH relativeFrom="margin">
              <wp14:pctWidth>0</wp14:pctWidth>
            </wp14:sizeRelH>
            <wp14:sizeRelV relativeFrom="margin">
              <wp14:pctHeight>0</wp14:pctHeight>
            </wp14:sizeRelV>
          </wp:anchor>
        </w:drawing>
      </w:r>
      <w:r w:rsidR="00076A95">
        <w:rPr>
          <w:rFonts w:ascii="Weissenhof Grotesk Md" w:hAnsi="Weissenhof Grotesk Md" w:cs="Arial"/>
          <w:spacing w:val="40"/>
        </w:rPr>
        <w:t>La Défenseure des droits</w:t>
      </w:r>
    </w:p>
    <w:p w14:paraId="033F4BC9" w14:textId="5DDEE3D1" w:rsidR="003A6CB1" w:rsidRDefault="003A6CB1" w:rsidP="00AA27B5">
      <w:pPr>
        <w:pStyle w:val="NormalWeb"/>
        <w:ind w:left="4956" w:firstLine="708"/>
        <w:jc w:val="center"/>
        <w:rPr>
          <w:rFonts w:ascii="Weissenhof Grotesk" w:hAnsi="Weissenhof Grotesk" w:cs="Arial"/>
          <w:sz w:val="22"/>
          <w:szCs w:val="22"/>
        </w:rPr>
      </w:pPr>
      <w:r>
        <w:rPr>
          <w:rFonts w:ascii="Weissenhof Grotesk" w:hAnsi="Weissenhof Grotesk" w:cs="Arial"/>
          <w:sz w:val="22"/>
          <w:szCs w:val="22"/>
        </w:rPr>
        <w:t xml:space="preserve">Paris, le </w:t>
      </w:r>
      <w:r w:rsidR="00D94739">
        <w:rPr>
          <w:rFonts w:ascii="Weissenhof Grotesk" w:hAnsi="Weissenhof Grotesk" w:cs="Arial"/>
          <w:sz w:val="22"/>
          <w:szCs w:val="22"/>
        </w:rPr>
        <w:t>14 avril 2023</w:t>
      </w:r>
    </w:p>
    <w:p w14:paraId="2E4B0FA0" w14:textId="77777777" w:rsidR="003A6CB1" w:rsidRDefault="003A6CB1" w:rsidP="003A6CB1">
      <w:pPr>
        <w:pStyle w:val="NormalWeb"/>
        <w:jc w:val="center"/>
        <w:rPr>
          <w:rFonts w:ascii="WeissenhofGrotesk-Light" w:hAnsi="WeissenhofGrotesk-Light" w:cs="WeissenhofGrotesk-Light"/>
          <w:color w:val="000000"/>
          <w:sz w:val="20"/>
          <w:szCs w:val="20"/>
        </w:rPr>
      </w:pPr>
      <w:r>
        <w:rPr>
          <w:rFonts w:ascii="WeissenhofGrotesk-Light" w:hAnsi="WeissenhofGrotesk-Light" w:cs="WeissenhofGrotesk-Light"/>
          <w:color w:val="000000"/>
          <w:sz w:val="20"/>
          <w:szCs w:val="20"/>
        </w:rPr>
        <w:t>————</w:t>
      </w:r>
    </w:p>
    <w:p w14:paraId="10A32A0C" w14:textId="77777777" w:rsidR="003A6CB1" w:rsidRDefault="003A6CB1" w:rsidP="003A6CB1">
      <w:pPr>
        <w:jc w:val="center"/>
        <w:rPr>
          <w:rFonts w:ascii="Weissenhof Grotesk Md" w:hAnsi="Weissenhof Grotesk Md"/>
          <w:color w:val="000000"/>
          <w:spacing w:val="100"/>
          <w:sz w:val="28"/>
          <w:szCs w:val="28"/>
        </w:rPr>
      </w:pPr>
      <w:r>
        <w:rPr>
          <w:rFonts w:ascii="Weissenhof Grotesk Md" w:hAnsi="Weissenhof Grotesk Md"/>
          <w:color w:val="000000"/>
          <w:spacing w:val="100"/>
          <w:sz w:val="28"/>
          <w:szCs w:val="28"/>
        </w:rPr>
        <w:t>Note</w:t>
      </w:r>
    </w:p>
    <w:p w14:paraId="5E90CC53" w14:textId="77777777" w:rsidR="003A6CB1" w:rsidRDefault="003A6CB1" w:rsidP="003A6CB1">
      <w:pPr>
        <w:pStyle w:val="NormalWeb"/>
        <w:jc w:val="center"/>
        <w:rPr>
          <w:rFonts w:ascii="WeissenhofGrotesk-Light" w:hAnsi="WeissenhofGrotesk-Light" w:cs="WeissenhofGrotesk-Light"/>
          <w:color w:val="000000"/>
          <w:sz w:val="20"/>
          <w:szCs w:val="20"/>
        </w:rPr>
      </w:pPr>
      <w:r>
        <w:rPr>
          <w:rFonts w:ascii="WeissenhofGrotesk-Light" w:hAnsi="WeissenhofGrotesk-Light" w:cs="WeissenhofGrotesk-Light"/>
          <w:color w:val="000000"/>
          <w:sz w:val="20"/>
          <w:szCs w:val="20"/>
        </w:rPr>
        <w:t>————</w:t>
      </w:r>
    </w:p>
    <w:p w14:paraId="73FB6E4E" w14:textId="77777777" w:rsidR="003A6CB1" w:rsidRDefault="003A6CB1" w:rsidP="003A6CB1">
      <w:pPr>
        <w:pStyle w:val="Subtitle"/>
        <w:jc w:val="center"/>
        <w:rPr>
          <w:rFonts w:ascii="Weissenhof Grotesk" w:eastAsia="Times New Roman" w:hAnsi="Weissenhof Grotesk" w:cs="Arial"/>
          <w:i w:val="0"/>
          <w:iCs w:val="0"/>
          <w:color w:val="auto"/>
          <w:spacing w:val="40"/>
          <w:sz w:val="22"/>
          <w:szCs w:val="22"/>
          <w:lang w:eastAsia="fr-FR"/>
        </w:rPr>
      </w:pPr>
      <w:r>
        <w:rPr>
          <w:rFonts w:ascii="Weissenhof Grotesk Md" w:eastAsia="Times New Roman" w:hAnsi="Weissenhof Grotesk Md" w:cs="Arial"/>
          <w:i w:val="0"/>
          <w:iCs w:val="0"/>
          <w:color w:val="auto"/>
          <w:spacing w:val="40"/>
          <w:sz w:val="22"/>
          <w:szCs w:val="22"/>
          <w:lang w:eastAsia="fr-FR"/>
        </w:rPr>
        <w:t>à l’attention de</w:t>
      </w:r>
      <w:r>
        <w:rPr>
          <w:rFonts w:ascii="Weissenhof Grotesk Md" w:eastAsia="Times New Roman" w:hAnsi="Weissenhof Grotesk Md" w:cs="Arial"/>
          <w:i w:val="0"/>
          <w:iCs w:val="0"/>
          <w:color w:val="auto"/>
          <w:spacing w:val="40"/>
          <w:sz w:val="22"/>
          <w:szCs w:val="22"/>
          <w:lang w:eastAsia="fr-FR"/>
        </w:rPr>
        <w:br/>
      </w:r>
      <w:r w:rsidR="00076A95">
        <w:rPr>
          <w:rFonts w:ascii="Weissenhof Grotesk" w:eastAsia="Times New Roman" w:hAnsi="Weissenhof Grotesk" w:cs="Arial"/>
          <w:i w:val="0"/>
          <w:iCs w:val="0"/>
          <w:color w:val="auto"/>
          <w:spacing w:val="40"/>
          <w:sz w:val="22"/>
          <w:szCs w:val="22"/>
          <w:lang w:eastAsia="fr-FR"/>
        </w:rPr>
        <w:t>des membres du Comité des droits de l’enfant des Nations-Unies</w:t>
      </w:r>
    </w:p>
    <w:p w14:paraId="0FC3A498" w14:textId="77777777" w:rsidR="003A6CB1" w:rsidRDefault="003A6CB1" w:rsidP="003A6CB1">
      <w:pPr>
        <w:jc w:val="center"/>
        <w:rPr>
          <w:rFonts w:ascii="Weissenhof Grotesk" w:hAnsi="Weissenhof Grotesk" w:cs="Arial"/>
          <w:spacing w:val="40"/>
        </w:rPr>
      </w:pPr>
    </w:p>
    <w:p w14:paraId="5F8E113E" w14:textId="77777777" w:rsidR="003A6CB1" w:rsidRDefault="003A6CB1" w:rsidP="003A6CB1">
      <w:pPr>
        <w:pStyle w:val="Subtitle"/>
        <w:spacing w:after="0"/>
        <w:ind w:left="851" w:hanging="851"/>
        <w:jc w:val="both"/>
        <w:rPr>
          <w:rFonts w:ascii="Weissenhof Grotesk" w:eastAsia="Times New Roman" w:hAnsi="Weissenhof Grotesk" w:cs="Times New Roman"/>
          <w:i w:val="0"/>
          <w:iCs w:val="0"/>
          <w:color w:val="auto"/>
          <w:spacing w:val="0"/>
          <w:sz w:val="22"/>
          <w:szCs w:val="22"/>
          <w:lang w:eastAsia="fr-FR"/>
        </w:rPr>
      </w:pPr>
    </w:p>
    <w:p w14:paraId="68384FF0" w14:textId="77777777" w:rsidR="00C227E4" w:rsidRDefault="003A6CB1" w:rsidP="008F28D2">
      <w:pPr>
        <w:pStyle w:val="Subtitle"/>
        <w:spacing w:after="0"/>
        <w:ind w:left="851" w:hanging="851"/>
        <w:jc w:val="both"/>
        <w:rPr>
          <w:rFonts w:ascii="Weissenhof Grotesk" w:eastAsia="Times New Roman" w:hAnsi="Weissenhof Grotesk" w:cs="Times New Roman"/>
          <w:b/>
          <w:i w:val="0"/>
          <w:iCs w:val="0"/>
          <w:color w:val="auto"/>
          <w:spacing w:val="0"/>
          <w:sz w:val="22"/>
          <w:szCs w:val="22"/>
          <w:lang w:eastAsia="fr-FR"/>
        </w:rPr>
      </w:pPr>
      <w:r w:rsidRPr="00672591">
        <w:rPr>
          <w:rFonts w:ascii="Weissenhof Grotesk" w:eastAsia="Times New Roman" w:hAnsi="Weissenhof Grotesk" w:cs="Times New Roman"/>
          <w:b/>
          <w:i w:val="0"/>
          <w:iCs w:val="0"/>
          <w:color w:val="auto"/>
          <w:spacing w:val="0"/>
          <w:sz w:val="22"/>
          <w:szCs w:val="22"/>
          <w:lang w:eastAsia="fr-FR"/>
        </w:rPr>
        <w:t>OBJET :</w:t>
      </w:r>
      <w:r w:rsidR="00C227E4">
        <w:rPr>
          <w:rFonts w:ascii="Weissenhof Grotesk" w:eastAsia="Times New Roman" w:hAnsi="Weissenhof Grotesk" w:cs="Times New Roman"/>
          <w:b/>
          <w:i w:val="0"/>
          <w:iCs w:val="0"/>
          <w:color w:val="auto"/>
          <w:spacing w:val="0"/>
          <w:sz w:val="22"/>
          <w:szCs w:val="22"/>
          <w:lang w:eastAsia="fr-FR"/>
        </w:rPr>
        <w:t xml:space="preserve"> </w:t>
      </w:r>
      <w:r w:rsidR="00076A95">
        <w:rPr>
          <w:rFonts w:ascii="Weissenhof Grotesk" w:eastAsia="Times New Roman" w:hAnsi="Weissenhof Grotesk" w:cs="Times New Roman"/>
          <w:b/>
          <w:i w:val="0"/>
          <w:iCs w:val="0"/>
          <w:color w:val="auto"/>
          <w:spacing w:val="0"/>
          <w:sz w:val="22"/>
          <w:szCs w:val="22"/>
          <w:lang w:eastAsia="fr-FR"/>
        </w:rPr>
        <w:t>éléments complémentaires en réponse aux questions du Comité durant la pré-session du 7 février 2023</w:t>
      </w:r>
    </w:p>
    <w:p w14:paraId="535F90EA" w14:textId="3BC7B657" w:rsidR="00DB7579" w:rsidRDefault="00DB7579" w:rsidP="00DB7579">
      <w:pPr>
        <w:jc w:val="both"/>
        <w:rPr>
          <w:lang w:eastAsia="fr-FR"/>
        </w:rPr>
      </w:pPr>
    </w:p>
    <w:p w14:paraId="2D2D69E4" w14:textId="659F508D" w:rsidR="00AB02FA" w:rsidRDefault="000B560B" w:rsidP="00AB02FA">
      <w:pPr>
        <w:jc w:val="both"/>
        <w:rPr>
          <w:lang w:eastAsia="fr-FR"/>
        </w:rPr>
      </w:pPr>
      <w:r>
        <w:rPr>
          <w:lang w:eastAsia="fr-FR"/>
        </w:rPr>
        <w:t xml:space="preserve">La Défenseure des droits </w:t>
      </w:r>
      <w:r w:rsidR="00D94739">
        <w:rPr>
          <w:lang w:eastAsia="fr-FR"/>
        </w:rPr>
        <w:t xml:space="preserve">et son adjoint le Défenseur des enfants </w:t>
      </w:r>
      <w:r>
        <w:rPr>
          <w:lang w:eastAsia="fr-FR"/>
        </w:rPr>
        <w:t>souhai</w:t>
      </w:r>
      <w:r w:rsidR="001221FF">
        <w:rPr>
          <w:lang w:eastAsia="fr-FR"/>
        </w:rPr>
        <w:t>te</w:t>
      </w:r>
      <w:r w:rsidR="00D94739">
        <w:rPr>
          <w:lang w:eastAsia="fr-FR"/>
        </w:rPr>
        <w:t>nt</w:t>
      </w:r>
      <w:r w:rsidR="001221FF">
        <w:rPr>
          <w:lang w:eastAsia="fr-FR"/>
        </w:rPr>
        <w:t xml:space="preserve"> porter à la connaissance du C</w:t>
      </w:r>
      <w:r>
        <w:rPr>
          <w:lang w:eastAsia="fr-FR"/>
        </w:rPr>
        <w:t xml:space="preserve">omité des droits de l’enfant des Nations-Unies les éléments complémentaires suivants, dans le prolongement des rapports déjà communiqués et de ses prises de parole lors de la pré-session du 7 février 2023. </w:t>
      </w:r>
    </w:p>
    <w:p w14:paraId="2BE22909" w14:textId="77777777" w:rsidR="00AB02FA" w:rsidRDefault="00AB02FA" w:rsidP="00AB02FA">
      <w:pPr>
        <w:jc w:val="both"/>
        <w:rPr>
          <w:lang w:eastAsia="fr-FR"/>
        </w:rPr>
      </w:pPr>
    </w:p>
    <w:p w14:paraId="42442CE4" w14:textId="77777777" w:rsidR="00AB02FA" w:rsidRPr="00D94739" w:rsidRDefault="00AB02FA" w:rsidP="00AB02FA">
      <w:pPr>
        <w:pStyle w:val="ListParagraph"/>
        <w:numPr>
          <w:ilvl w:val="0"/>
          <w:numId w:val="10"/>
        </w:numPr>
        <w:jc w:val="both"/>
        <w:rPr>
          <w:b/>
          <w:u w:val="single"/>
          <w:lang w:eastAsia="fr-FR"/>
        </w:rPr>
      </w:pPr>
      <w:r w:rsidRPr="00D94739">
        <w:rPr>
          <w:b/>
          <w:u w:val="single"/>
          <w:lang w:eastAsia="fr-FR"/>
        </w:rPr>
        <w:t>Protection de l’enfance et application de la loi n°2022-140 du 7 février 2022 relative à la protection des enfants</w:t>
      </w:r>
    </w:p>
    <w:p w14:paraId="4C7AF13B" w14:textId="77777777" w:rsidR="00AB02FA" w:rsidRDefault="00AB02FA" w:rsidP="00AB02FA">
      <w:pPr>
        <w:jc w:val="both"/>
        <w:rPr>
          <w:lang w:eastAsia="fr-FR"/>
        </w:rPr>
      </w:pPr>
      <w:r>
        <w:rPr>
          <w:lang w:eastAsia="fr-FR"/>
        </w:rPr>
        <w:t xml:space="preserve">La Défenseure des droits tient à informer le Comité sur les alertes reçues depuis quelques mois de la part de magistrats, juges des enfants de plusieurs tribunaux, qui rencontrent de réelles difficultés pour faire appliquer leurs décisions par les services de l’aide sociale à l’enfance (ASE) ou des associations habilitées. Outre son caractère exceptionnel dans l’histoire du Défenseur des droits, ces saisines par des juges des enfants, observateurs de premier rang de l’action des départements, révèlent une gravité sans précédent de la détérioration de la situation de la protection de l’enfance dans le pays. </w:t>
      </w:r>
    </w:p>
    <w:p w14:paraId="23854C70" w14:textId="77BD368F" w:rsidR="00AB02FA" w:rsidRDefault="00AB02FA" w:rsidP="00AB02FA">
      <w:pPr>
        <w:jc w:val="both"/>
        <w:rPr>
          <w:lang w:eastAsia="fr-FR"/>
        </w:rPr>
      </w:pPr>
      <w:r>
        <w:rPr>
          <w:lang w:eastAsia="fr-FR"/>
        </w:rPr>
        <w:t>Ces alertes, ainsi que plusieurs saisines de la part de syndicats de travailleurs sociaux concernent aujourd’hui plus de 10 départements et s’inscrivent dans u</w:t>
      </w:r>
      <w:r w:rsidR="005E7424">
        <w:rPr>
          <w:lang w:eastAsia="fr-FR"/>
        </w:rPr>
        <w:t xml:space="preserve">n contexte où la Défenseure des </w:t>
      </w:r>
      <w:r>
        <w:rPr>
          <w:lang w:eastAsia="fr-FR"/>
        </w:rPr>
        <w:t xml:space="preserve">droits relève, à travers les situations individuelles dont elle est saisie (par les parents, les enfants eux-mêmes, des avocats, des travailleurs sociaux ou des associations) une détérioration généralisée de la situation </w:t>
      </w:r>
      <w:r>
        <w:rPr>
          <w:lang w:eastAsia="fr-FR"/>
        </w:rPr>
        <w:lastRenderedPageBreak/>
        <w:t xml:space="preserve">depuis plusieurs années. Ces dysfonctionnements structurels appellent des réactions fortes et une mobilisation accrue de l’ensemble des pouvoirs publics, départements et services de l’Etat. </w:t>
      </w:r>
    </w:p>
    <w:p w14:paraId="4BD21CA9" w14:textId="77777777" w:rsidR="00AB02FA" w:rsidRDefault="00AB02FA" w:rsidP="00AB02FA">
      <w:pPr>
        <w:jc w:val="both"/>
        <w:rPr>
          <w:lang w:eastAsia="fr-FR"/>
        </w:rPr>
      </w:pPr>
      <w:r>
        <w:rPr>
          <w:lang w:eastAsia="fr-FR"/>
        </w:rPr>
        <w:t xml:space="preserve">A travers les réclamations récentes, la Défenseure des droits relève que : </w:t>
      </w:r>
    </w:p>
    <w:p w14:paraId="56A24D2B" w14:textId="77777777" w:rsidR="00AB02FA" w:rsidRPr="0083329C" w:rsidRDefault="00AB02FA" w:rsidP="00AB02FA">
      <w:pPr>
        <w:pStyle w:val="ListParagraph"/>
        <w:numPr>
          <w:ilvl w:val="0"/>
          <w:numId w:val="13"/>
        </w:numPr>
        <w:spacing w:after="0"/>
        <w:ind w:hanging="720"/>
        <w:jc w:val="both"/>
        <w:rPr>
          <w:rFonts w:ascii="Times New Roman" w:eastAsiaTheme="minorEastAsia" w:hAnsi="Times New Roman" w:cs="Times New Roman"/>
          <w:sz w:val="24"/>
          <w:szCs w:val="24"/>
        </w:rPr>
      </w:pPr>
      <w:r>
        <w:rPr>
          <w:lang w:eastAsia="fr-FR"/>
        </w:rPr>
        <w:t>La sortie des confinements liés à la pandémie de COVID a entraîné une recrudescence des informations préoccupantes, une augmentation des décisions judiciaires en assistance éducative</w:t>
      </w:r>
      <w:r w:rsidRPr="0083329C">
        <w:rPr>
          <w:rStyle w:val="SubtitleChar"/>
          <w:rFonts w:ascii="Arial" w:hAnsi="Arial"/>
        </w:rPr>
        <w:t xml:space="preserve"> </w:t>
      </w:r>
      <w:r>
        <w:rPr>
          <w:rStyle w:val="FootnoteReference"/>
          <w:rFonts w:ascii="Arial" w:hAnsi="Arial"/>
        </w:rPr>
        <w:footnoteReference w:id="1"/>
      </w:r>
      <w:r>
        <w:rPr>
          <w:lang w:eastAsia="fr-FR"/>
        </w:rPr>
        <w:t>, et une dégradation des délais d’exécution des mesures de milieu ouvert ;</w:t>
      </w:r>
    </w:p>
    <w:p w14:paraId="2B77594B" w14:textId="77777777" w:rsidR="00AB02FA" w:rsidRDefault="00AB02FA" w:rsidP="00AB02FA">
      <w:pPr>
        <w:pStyle w:val="ListParagraph"/>
        <w:numPr>
          <w:ilvl w:val="0"/>
          <w:numId w:val="11"/>
        </w:numPr>
        <w:ind w:left="709"/>
        <w:jc w:val="both"/>
        <w:rPr>
          <w:lang w:eastAsia="fr-FR"/>
        </w:rPr>
      </w:pPr>
      <w:r>
        <w:rPr>
          <w:lang w:eastAsia="fr-FR"/>
        </w:rPr>
        <w:t xml:space="preserve">La saturation de l’offre de prise en charge en protection de l’enfance concerne également les placements, notamment pour la tranche des 0-3 ans, dans un contexte marqué par des flux soutenus de départs en retraite des assistants familiaux ; </w:t>
      </w:r>
    </w:p>
    <w:p w14:paraId="1CA95097" w14:textId="77777777" w:rsidR="00AB02FA" w:rsidRDefault="00AB02FA" w:rsidP="00AB02FA">
      <w:pPr>
        <w:pStyle w:val="ListParagraph"/>
        <w:numPr>
          <w:ilvl w:val="0"/>
          <w:numId w:val="11"/>
        </w:numPr>
        <w:ind w:left="709"/>
        <w:jc w:val="both"/>
        <w:rPr>
          <w:lang w:eastAsia="fr-FR"/>
        </w:rPr>
      </w:pPr>
      <w:r>
        <w:rPr>
          <w:lang w:eastAsia="fr-FR"/>
        </w:rPr>
        <w:t xml:space="preserve">Des difficultés dans les évaluations des informations préoccupantes (délais, qualité de l’évaluation, …), les modalités d’’exécution des décisions de justice (délais, respect de la décision judiciaire, défaut d’information du magistrat …), le suivi des enfants confiés par les juges (défaut d’information du magistrat, non-respect des orientations préconisées par le juge, rupture du dialogue entre département et autorité judiciaire...) ; </w:t>
      </w:r>
    </w:p>
    <w:p w14:paraId="26856921" w14:textId="77777777" w:rsidR="00AB02FA" w:rsidRDefault="00AB02FA" w:rsidP="00AB02FA">
      <w:pPr>
        <w:pStyle w:val="ListParagraph"/>
        <w:numPr>
          <w:ilvl w:val="0"/>
          <w:numId w:val="11"/>
        </w:numPr>
        <w:ind w:left="709"/>
        <w:jc w:val="both"/>
        <w:rPr>
          <w:lang w:eastAsia="fr-FR"/>
        </w:rPr>
      </w:pPr>
      <w:r>
        <w:rPr>
          <w:lang w:eastAsia="fr-FR"/>
        </w:rPr>
        <w:t>Des difficultés liées à une insuffisance de personnels, à un manque de formation de ceux-ci, et à une surcharge de travail des travailleurs sociaux.</w:t>
      </w:r>
    </w:p>
    <w:p w14:paraId="671EDA46" w14:textId="77777777" w:rsidR="00AB02FA" w:rsidRDefault="00AB02FA" w:rsidP="00AB02FA">
      <w:pPr>
        <w:pStyle w:val="ListParagraph"/>
        <w:numPr>
          <w:ilvl w:val="0"/>
          <w:numId w:val="11"/>
        </w:numPr>
        <w:ind w:left="709"/>
        <w:jc w:val="both"/>
        <w:rPr>
          <w:lang w:eastAsia="fr-FR"/>
        </w:rPr>
      </w:pPr>
      <w:r>
        <w:rPr>
          <w:lang w:eastAsia="fr-FR"/>
        </w:rPr>
        <w:t>De lourdes insuffisances dans l’accompagnement, la régulation et le contrôle des établissements de protection de l’enfance.</w:t>
      </w:r>
    </w:p>
    <w:p w14:paraId="25A88D9E" w14:textId="77777777" w:rsidR="00AB02FA" w:rsidRDefault="00AB02FA" w:rsidP="00AB02FA">
      <w:r>
        <w:t>La Défenseure des droits a pris connaissance de la mise en place d’un comité interministériel à l’enfance pour favoriser la coordination des actions gouvernementales, en faveur des enfants.</w:t>
      </w:r>
    </w:p>
    <w:p w14:paraId="4E4DA63D" w14:textId="77777777" w:rsidR="00AB02FA" w:rsidRPr="005610D7" w:rsidRDefault="00AB02FA" w:rsidP="00AB02FA">
      <w:pPr>
        <w:jc w:val="both"/>
        <w:rPr>
          <w:rFonts w:cstheme="minorHAnsi"/>
        </w:rPr>
      </w:pPr>
      <w:r>
        <w:t xml:space="preserve">Par ailleurs, </w:t>
      </w:r>
      <w:r>
        <w:rPr>
          <w:lang w:eastAsia="fr-FR"/>
        </w:rPr>
        <w:t xml:space="preserve">elle ne mésestime pas les efforts, notamment financiers, des départements, chefs de file de la protection de l’enfance, </w:t>
      </w:r>
      <w:r>
        <w:t>ni ceux consentis par l’Etat, à travers notamment la contractualisation avec les départements, initiée en 2020, et poursuivie depuis. Elle permet à l’Etat d’assumer une part du coût de certains projets mis en œuvre pour améliorer le dispositif. Il faut cependant noter que cette participation représente une partie relativement réduite des dépenses des départements</w:t>
      </w:r>
      <w:r>
        <w:rPr>
          <w:rStyle w:val="FootnoteReference"/>
          <w:rFonts w:ascii="Arial" w:hAnsi="Arial"/>
        </w:rPr>
        <w:footnoteReference w:id="2"/>
      </w:r>
      <w:r>
        <w:t xml:space="preserve">. En outre, les réponses qui doivent être apportées ne sont pas uniquement financières mais doivent impliquer </w:t>
      </w:r>
      <w:r w:rsidRPr="005610D7">
        <w:rPr>
          <w:rFonts w:cstheme="minorHAnsi"/>
        </w:rPr>
        <w:t xml:space="preserve">aux côtés des départements, les services de l’Etat et notamment sur les territoires : </w:t>
      </w:r>
    </w:p>
    <w:p w14:paraId="13EF42B6" w14:textId="77777777" w:rsidR="00AB02FA" w:rsidRPr="005610D7" w:rsidRDefault="00AB02FA" w:rsidP="00AB02FA">
      <w:pPr>
        <w:pStyle w:val="NoSpacing"/>
        <w:numPr>
          <w:ilvl w:val="0"/>
          <w:numId w:val="14"/>
        </w:numPr>
        <w:spacing w:line="276" w:lineRule="auto"/>
        <w:ind w:right="7"/>
        <w:rPr>
          <w:rFonts w:asciiTheme="minorHAnsi" w:hAnsiTheme="minorHAnsi" w:cstheme="minorHAnsi"/>
          <w:lang w:eastAsia="en-US"/>
        </w:rPr>
      </w:pPr>
      <w:r w:rsidRPr="005610D7">
        <w:rPr>
          <w:rFonts w:asciiTheme="minorHAnsi" w:hAnsiTheme="minorHAnsi" w:cstheme="minorHAnsi"/>
          <w:lang w:eastAsia="en-US"/>
        </w:rPr>
        <w:t xml:space="preserve">Les agences régionales de santé au titre de l’offre médico-sociale, indispensable à la prise en charge des enfants </w:t>
      </w:r>
      <w:r>
        <w:rPr>
          <w:rFonts w:asciiTheme="minorHAnsi" w:hAnsiTheme="minorHAnsi" w:cstheme="minorHAnsi"/>
          <w:lang w:eastAsia="en-US"/>
        </w:rPr>
        <w:t>connaissant des</w:t>
      </w:r>
      <w:r w:rsidRPr="005610D7">
        <w:rPr>
          <w:rFonts w:asciiTheme="minorHAnsi" w:hAnsiTheme="minorHAnsi" w:cstheme="minorHAnsi"/>
          <w:lang w:eastAsia="en-US"/>
        </w:rPr>
        <w:t xml:space="preserve"> problématiques complexes (handicaps psychiques, troubles importants du comportement, problématiques psychiatriques) confiés à l’ASE ;</w:t>
      </w:r>
    </w:p>
    <w:p w14:paraId="5CDEFDB5" w14:textId="77777777" w:rsidR="00AB02FA" w:rsidRPr="005610D7" w:rsidRDefault="00AB02FA" w:rsidP="00AB02FA">
      <w:pPr>
        <w:pStyle w:val="NoSpacing"/>
        <w:numPr>
          <w:ilvl w:val="0"/>
          <w:numId w:val="14"/>
        </w:numPr>
        <w:spacing w:line="276" w:lineRule="auto"/>
        <w:ind w:right="7"/>
        <w:rPr>
          <w:rFonts w:asciiTheme="minorHAnsi" w:hAnsiTheme="minorHAnsi" w:cstheme="minorHAnsi"/>
          <w:lang w:eastAsia="en-US"/>
        </w:rPr>
      </w:pPr>
      <w:r w:rsidRPr="005610D7">
        <w:rPr>
          <w:rFonts w:asciiTheme="minorHAnsi" w:hAnsiTheme="minorHAnsi" w:cstheme="minorHAnsi"/>
          <w:lang w:eastAsia="en-US"/>
        </w:rPr>
        <w:t>La préfecture en appui du contrôle des établissements soci</w:t>
      </w:r>
      <w:r>
        <w:rPr>
          <w:rFonts w:asciiTheme="minorHAnsi" w:hAnsiTheme="minorHAnsi" w:cstheme="minorHAnsi"/>
          <w:lang w:eastAsia="en-US"/>
        </w:rPr>
        <w:t>o-</w:t>
      </w:r>
      <w:r w:rsidRPr="005610D7">
        <w:rPr>
          <w:rFonts w:asciiTheme="minorHAnsi" w:hAnsiTheme="minorHAnsi" w:cstheme="minorHAnsi"/>
          <w:lang w:eastAsia="en-US"/>
        </w:rPr>
        <w:t>éducatifs ;</w:t>
      </w:r>
    </w:p>
    <w:p w14:paraId="71B7EE6E" w14:textId="77777777" w:rsidR="00AB02FA" w:rsidRDefault="00AB02FA" w:rsidP="00AB02FA">
      <w:pPr>
        <w:pStyle w:val="NoSpacing"/>
        <w:numPr>
          <w:ilvl w:val="0"/>
          <w:numId w:val="14"/>
        </w:numPr>
        <w:spacing w:line="276" w:lineRule="auto"/>
        <w:ind w:right="7"/>
        <w:rPr>
          <w:rFonts w:asciiTheme="minorHAnsi" w:hAnsiTheme="minorHAnsi" w:cstheme="minorHAnsi"/>
          <w:lang w:eastAsia="en-US"/>
        </w:rPr>
      </w:pPr>
      <w:r w:rsidRPr="005610D7">
        <w:rPr>
          <w:rFonts w:asciiTheme="minorHAnsi" w:hAnsiTheme="minorHAnsi" w:cstheme="minorHAnsi"/>
          <w:lang w:eastAsia="en-US"/>
        </w:rPr>
        <w:t>L’Education nationale, garante de l’offre de scolarisation en milieu ordinaire pour les enfants confiés à l’ASE.</w:t>
      </w:r>
    </w:p>
    <w:p w14:paraId="21B595D0" w14:textId="77777777" w:rsidR="00AB02FA" w:rsidRDefault="00AB02FA" w:rsidP="00DB7579">
      <w:pPr>
        <w:jc w:val="both"/>
        <w:rPr>
          <w:lang w:eastAsia="fr-FR"/>
        </w:rPr>
      </w:pPr>
    </w:p>
    <w:p w14:paraId="27C80A26" w14:textId="77777777" w:rsidR="0091008B" w:rsidRPr="0091008B" w:rsidRDefault="0091008B" w:rsidP="0091008B">
      <w:pPr>
        <w:pStyle w:val="NoSpacing"/>
        <w:spacing w:line="276" w:lineRule="auto"/>
        <w:ind w:left="370" w:right="7" w:firstLine="0"/>
        <w:rPr>
          <w:rFonts w:asciiTheme="minorHAnsi" w:hAnsiTheme="minorHAnsi" w:cstheme="minorHAnsi"/>
          <w:lang w:eastAsia="en-US"/>
        </w:rPr>
      </w:pPr>
    </w:p>
    <w:p w14:paraId="38512AB8" w14:textId="77777777" w:rsidR="00076A95" w:rsidRPr="002B6ED3" w:rsidRDefault="00076A95" w:rsidP="00076A95">
      <w:pPr>
        <w:pStyle w:val="ListParagraph"/>
        <w:numPr>
          <w:ilvl w:val="0"/>
          <w:numId w:val="10"/>
        </w:numPr>
        <w:jc w:val="both"/>
        <w:rPr>
          <w:b/>
          <w:u w:val="single"/>
          <w:lang w:eastAsia="fr-FR"/>
        </w:rPr>
      </w:pPr>
      <w:r w:rsidRPr="002B6ED3">
        <w:rPr>
          <w:b/>
          <w:u w:val="single"/>
          <w:lang w:eastAsia="fr-FR"/>
        </w:rPr>
        <w:lastRenderedPageBreak/>
        <w:t xml:space="preserve">Situation des enfants dans les bidonvilles </w:t>
      </w:r>
    </w:p>
    <w:p w14:paraId="1CE0A34C" w14:textId="4DDD5312" w:rsidR="00076A95" w:rsidRDefault="008B525F" w:rsidP="00076A95">
      <w:pPr>
        <w:jc w:val="both"/>
        <w:rPr>
          <w:lang w:eastAsia="fr-FR"/>
        </w:rPr>
      </w:pPr>
      <w:r>
        <w:rPr>
          <w:lang w:eastAsia="fr-FR"/>
        </w:rPr>
        <w:t>L</w:t>
      </w:r>
      <w:r w:rsidR="004B4B1E">
        <w:rPr>
          <w:lang w:eastAsia="fr-FR"/>
        </w:rPr>
        <w:t>a</w:t>
      </w:r>
      <w:r>
        <w:rPr>
          <w:lang w:eastAsia="fr-FR"/>
        </w:rPr>
        <w:t xml:space="preserve"> politique de l’Etat vis-à-vis des populations les plus précaires, notamment les enfants qui vivent en bidonville</w:t>
      </w:r>
      <w:r w:rsidR="005D3990">
        <w:rPr>
          <w:lang w:eastAsia="fr-FR"/>
        </w:rPr>
        <w:t>,</w:t>
      </w:r>
      <w:r>
        <w:rPr>
          <w:lang w:eastAsia="fr-FR"/>
        </w:rPr>
        <w:t xml:space="preserve"> n’est pas à la hauteur des attendus du Comité à l’égard d’un pays comme </w:t>
      </w:r>
      <w:r w:rsidR="00967943">
        <w:rPr>
          <w:lang w:eastAsia="fr-FR"/>
        </w:rPr>
        <w:t>la France</w:t>
      </w:r>
      <w:r>
        <w:rPr>
          <w:lang w:eastAsia="fr-FR"/>
        </w:rPr>
        <w:t xml:space="preserve">. </w:t>
      </w:r>
    </w:p>
    <w:p w14:paraId="70E554E7" w14:textId="225704B1" w:rsidR="00A755D3" w:rsidRPr="00257EF0" w:rsidRDefault="00A755D3" w:rsidP="00A755D3">
      <w:pPr>
        <w:spacing w:after="240"/>
        <w:jc w:val="both"/>
        <w:rPr>
          <w:rFonts w:cstheme="minorHAnsi"/>
        </w:rPr>
      </w:pPr>
      <w:r>
        <w:rPr>
          <w:rFonts w:cstheme="minorHAnsi"/>
        </w:rPr>
        <w:t xml:space="preserve">Le Défenseur des droits intervient </w:t>
      </w:r>
      <w:r w:rsidR="00FB63A9">
        <w:rPr>
          <w:rFonts w:cstheme="minorHAnsi"/>
        </w:rPr>
        <w:t>toujours régulièrement</w:t>
      </w:r>
      <w:r>
        <w:rPr>
          <w:rFonts w:cstheme="minorHAnsi"/>
        </w:rPr>
        <w:t xml:space="preserve"> dans des situations mettant en évidence d</w:t>
      </w:r>
      <w:r w:rsidRPr="00257EF0">
        <w:rPr>
          <w:rFonts w:cstheme="minorHAnsi"/>
        </w:rPr>
        <w:t xml:space="preserve">es refus de scolarisation </w:t>
      </w:r>
      <w:bookmarkStart w:id="0" w:name="_Hlk84243406"/>
      <w:r w:rsidRPr="00257EF0">
        <w:rPr>
          <w:rFonts w:cstheme="minorHAnsi"/>
        </w:rPr>
        <w:t>discriminatoires en raison de l’origine</w:t>
      </w:r>
      <w:r w:rsidR="00FB63A9">
        <w:rPr>
          <w:rStyle w:val="FootnoteReference"/>
          <w:rFonts w:cstheme="minorHAnsi"/>
        </w:rPr>
        <w:footnoteReference w:id="3"/>
      </w:r>
      <w:r w:rsidRPr="00257EF0">
        <w:rPr>
          <w:rFonts w:cstheme="minorHAnsi"/>
        </w:rPr>
        <w:t xml:space="preserve">, de la nationalité et de la </w:t>
      </w:r>
      <w:r>
        <w:rPr>
          <w:rFonts w:cstheme="minorHAnsi"/>
        </w:rPr>
        <w:t>particulière vulnérabilité résultant de la situation économique des familles</w:t>
      </w:r>
      <w:bookmarkEnd w:id="0"/>
      <w:r w:rsidRPr="00257EF0">
        <w:rPr>
          <w:rFonts w:cstheme="minorHAnsi"/>
        </w:rPr>
        <w:t xml:space="preserve">. </w:t>
      </w:r>
    </w:p>
    <w:p w14:paraId="28F707E6" w14:textId="1C1D5059" w:rsidR="00A755D3" w:rsidRDefault="00A755D3" w:rsidP="00A755D3">
      <w:pPr>
        <w:spacing w:after="240"/>
        <w:jc w:val="both"/>
        <w:rPr>
          <w:rFonts w:cstheme="minorHAnsi"/>
        </w:rPr>
      </w:pPr>
      <w:r>
        <w:rPr>
          <w:rFonts w:cstheme="minorHAnsi"/>
        </w:rPr>
        <w:t>Pour justifier de</w:t>
      </w:r>
      <w:r w:rsidR="005D3990">
        <w:rPr>
          <w:rFonts w:cstheme="minorHAnsi"/>
        </w:rPr>
        <w:t xml:space="preserve"> ces</w:t>
      </w:r>
      <w:r w:rsidR="005610D7">
        <w:rPr>
          <w:rFonts w:cstheme="minorHAnsi"/>
        </w:rPr>
        <w:t xml:space="preserve"> </w:t>
      </w:r>
      <w:r>
        <w:rPr>
          <w:rFonts w:cstheme="minorHAnsi"/>
        </w:rPr>
        <w:t xml:space="preserve">refus de scolarisation, les </w:t>
      </w:r>
      <w:r w:rsidRPr="00E33149">
        <w:rPr>
          <w:rFonts w:cstheme="minorHAnsi"/>
        </w:rPr>
        <w:t>maires</w:t>
      </w:r>
      <w:r>
        <w:rPr>
          <w:rStyle w:val="FootnoteReference"/>
          <w:rFonts w:cstheme="minorHAnsi"/>
        </w:rPr>
        <w:footnoteReference w:id="4"/>
      </w:r>
      <w:r>
        <w:rPr>
          <w:rFonts w:cstheme="minorHAnsi"/>
        </w:rPr>
        <w:t xml:space="preserve"> interrogés par le Défenseur des droits invoquent des motifs inopérants voire illégaux comme </w:t>
      </w:r>
      <w:r w:rsidR="005D3990">
        <w:rPr>
          <w:rFonts w:cstheme="minorHAnsi"/>
        </w:rPr>
        <w:t xml:space="preserve">l’exigence de pièces complémentaires </w:t>
      </w:r>
      <w:r w:rsidR="001221FF">
        <w:rPr>
          <w:rFonts w:cstheme="minorHAnsi"/>
        </w:rPr>
        <w:t>non prévues par les textes</w:t>
      </w:r>
      <w:r>
        <w:rPr>
          <w:rFonts w:cstheme="minorHAnsi"/>
        </w:rPr>
        <w:t xml:space="preserve">, la nullité de certains justificatifs de domicile ou l’instabilité résidentielle et/ou </w:t>
      </w:r>
      <w:r w:rsidR="005D3990">
        <w:rPr>
          <w:rFonts w:cstheme="minorHAnsi"/>
        </w:rPr>
        <w:t xml:space="preserve">le </w:t>
      </w:r>
      <w:r>
        <w:rPr>
          <w:rFonts w:cstheme="minorHAnsi"/>
        </w:rPr>
        <w:t>caractère provisoire et/ou illégal</w:t>
      </w:r>
      <w:r w:rsidR="005D3990">
        <w:rPr>
          <w:rFonts w:cstheme="minorHAnsi"/>
        </w:rPr>
        <w:t xml:space="preserve"> du domicile</w:t>
      </w:r>
      <w:r w:rsidR="00FF5795" w:rsidDel="0089241E">
        <w:rPr>
          <w:rStyle w:val="FootnoteReference"/>
          <w:rFonts w:cstheme="minorHAnsi"/>
        </w:rPr>
        <w:footnoteReference w:id="5"/>
      </w:r>
      <w:r>
        <w:rPr>
          <w:rFonts w:cstheme="minorHAnsi"/>
        </w:rPr>
        <w:t>.</w:t>
      </w:r>
    </w:p>
    <w:p w14:paraId="3526E121" w14:textId="0CB2DF31" w:rsidR="00A755D3" w:rsidRDefault="00A755D3" w:rsidP="00A755D3">
      <w:pPr>
        <w:spacing w:after="240"/>
        <w:jc w:val="both"/>
        <w:rPr>
          <w:rFonts w:cstheme="minorHAnsi"/>
        </w:rPr>
      </w:pPr>
      <w:r>
        <w:rPr>
          <w:rFonts w:cstheme="minorHAnsi"/>
        </w:rPr>
        <w:t>F</w:t>
      </w:r>
      <w:r w:rsidRPr="00257EF0">
        <w:rPr>
          <w:rFonts w:cstheme="minorHAnsi"/>
        </w:rPr>
        <w:t xml:space="preserve">ace à </w:t>
      </w:r>
      <w:r>
        <w:rPr>
          <w:rFonts w:cstheme="minorHAnsi"/>
        </w:rPr>
        <w:t>ces</w:t>
      </w:r>
      <w:r w:rsidRPr="00257EF0">
        <w:rPr>
          <w:rFonts w:cstheme="minorHAnsi"/>
        </w:rPr>
        <w:t xml:space="preserve"> refus discriminatoire</w:t>
      </w:r>
      <w:r>
        <w:rPr>
          <w:rFonts w:cstheme="minorHAnsi"/>
        </w:rPr>
        <w:t>s</w:t>
      </w:r>
      <w:r w:rsidRPr="00257EF0">
        <w:rPr>
          <w:rFonts w:cstheme="minorHAnsi"/>
        </w:rPr>
        <w:t>, le</w:t>
      </w:r>
      <w:r>
        <w:rPr>
          <w:rFonts w:cstheme="minorHAnsi"/>
        </w:rPr>
        <w:t xml:space="preserve"> Défenseur des droits alerte les</w:t>
      </w:r>
      <w:r w:rsidRPr="00257EF0">
        <w:rPr>
          <w:rFonts w:cstheme="minorHAnsi"/>
        </w:rPr>
        <w:t xml:space="preserve"> pouvoirs publics</w:t>
      </w:r>
      <w:r>
        <w:rPr>
          <w:rFonts w:cstheme="minorHAnsi"/>
        </w:rPr>
        <w:t xml:space="preserve"> – collectivités, État – chaque fois que nécessaire. Lors</w:t>
      </w:r>
      <w:r w:rsidRPr="00257EF0">
        <w:rPr>
          <w:rFonts w:cstheme="minorHAnsi"/>
        </w:rPr>
        <w:t>que les familles</w:t>
      </w:r>
      <w:r>
        <w:rPr>
          <w:rFonts w:cstheme="minorHAnsi"/>
        </w:rPr>
        <w:t xml:space="preserve"> –</w:t>
      </w:r>
      <w:r w:rsidRPr="00257EF0">
        <w:rPr>
          <w:rFonts w:cstheme="minorHAnsi"/>
        </w:rPr>
        <w:t xml:space="preserve"> souvent aidé</w:t>
      </w:r>
      <w:r>
        <w:rPr>
          <w:rFonts w:cstheme="minorHAnsi"/>
        </w:rPr>
        <w:t>e</w:t>
      </w:r>
      <w:r w:rsidRPr="00257EF0">
        <w:rPr>
          <w:rFonts w:cstheme="minorHAnsi"/>
        </w:rPr>
        <w:t>s d’associations</w:t>
      </w:r>
      <w:r>
        <w:rPr>
          <w:rFonts w:cstheme="minorHAnsi"/>
        </w:rPr>
        <w:t xml:space="preserve"> –</w:t>
      </w:r>
      <w:r w:rsidRPr="00257EF0">
        <w:rPr>
          <w:rFonts w:cstheme="minorHAnsi"/>
        </w:rPr>
        <w:t xml:space="preserve"> ont sollicité </w:t>
      </w:r>
      <w:r>
        <w:rPr>
          <w:rFonts w:cstheme="minorHAnsi"/>
        </w:rPr>
        <w:t xml:space="preserve">en vain </w:t>
      </w:r>
      <w:r w:rsidRPr="00257EF0">
        <w:rPr>
          <w:rFonts w:cstheme="minorHAnsi"/>
        </w:rPr>
        <w:t>la scolarisation de leur</w:t>
      </w:r>
      <w:r>
        <w:rPr>
          <w:rFonts w:cstheme="minorHAnsi"/>
        </w:rPr>
        <w:t>(s)</w:t>
      </w:r>
      <w:r w:rsidRPr="00257EF0">
        <w:rPr>
          <w:rFonts w:cstheme="minorHAnsi"/>
        </w:rPr>
        <w:t xml:space="preserve"> enfant</w:t>
      </w:r>
      <w:r>
        <w:rPr>
          <w:rFonts w:cstheme="minorHAnsi"/>
        </w:rPr>
        <w:t>(s)</w:t>
      </w:r>
      <w:r w:rsidRPr="00257EF0">
        <w:rPr>
          <w:rFonts w:cstheme="minorHAnsi"/>
        </w:rPr>
        <w:t xml:space="preserve"> avec </w:t>
      </w:r>
      <w:r>
        <w:rPr>
          <w:rFonts w:cstheme="minorHAnsi"/>
        </w:rPr>
        <w:t>les</w:t>
      </w:r>
      <w:r w:rsidRPr="00257EF0">
        <w:rPr>
          <w:rFonts w:cstheme="minorHAnsi"/>
        </w:rPr>
        <w:t xml:space="preserve"> documents</w:t>
      </w:r>
      <w:r w:rsidR="0070035B">
        <w:rPr>
          <w:rFonts w:cstheme="minorHAnsi"/>
        </w:rPr>
        <w:t xml:space="preserve"> légalement</w:t>
      </w:r>
      <w:r w:rsidRPr="00257EF0">
        <w:rPr>
          <w:rFonts w:cstheme="minorHAnsi"/>
        </w:rPr>
        <w:t xml:space="preserve"> exigibles</w:t>
      </w:r>
      <w:r>
        <w:rPr>
          <w:rFonts w:cstheme="minorHAnsi"/>
        </w:rPr>
        <w:t xml:space="preserve"> les services du Défenseur des droits écrivent aux maires concernés et le cas échéant </w:t>
      </w:r>
      <w:r w:rsidRPr="00257EF0">
        <w:rPr>
          <w:rFonts w:cstheme="minorHAnsi"/>
        </w:rPr>
        <w:t>aux directeurs académiques des services de l’Education nationale</w:t>
      </w:r>
      <w:r>
        <w:rPr>
          <w:rFonts w:cstheme="minorHAnsi"/>
        </w:rPr>
        <w:t xml:space="preserve"> qui ont un pouvoir de substitution, pour leur demander de</w:t>
      </w:r>
      <w:r w:rsidRPr="00257EF0">
        <w:rPr>
          <w:rFonts w:cstheme="minorHAnsi"/>
        </w:rPr>
        <w:t xml:space="preserve"> procéder à </w:t>
      </w:r>
      <w:r w:rsidR="005D3990" w:rsidRPr="00257EF0">
        <w:rPr>
          <w:rFonts w:cstheme="minorHAnsi"/>
        </w:rPr>
        <w:t>l’</w:t>
      </w:r>
      <w:r w:rsidR="005D3990">
        <w:rPr>
          <w:rFonts w:cstheme="minorHAnsi"/>
        </w:rPr>
        <w:t>inscription</w:t>
      </w:r>
      <w:r w:rsidR="005D3990" w:rsidRPr="00257EF0">
        <w:rPr>
          <w:rFonts w:cstheme="minorHAnsi"/>
        </w:rPr>
        <w:t xml:space="preserve"> </w:t>
      </w:r>
      <w:r w:rsidRPr="00257EF0">
        <w:rPr>
          <w:rFonts w:cstheme="minorHAnsi"/>
        </w:rPr>
        <w:t>des enfants</w:t>
      </w:r>
      <w:r>
        <w:rPr>
          <w:rFonts w:cstheme="minorHAnsi"/>
        </w:rPr>
        <w:t xml:space="preserve">. </w:t>
      </w:r>
      <w:r w:rsidRPr="00257EF0">
        <w:rPr>
          <w:rFonts w:cstheme="minorHAnsi"/>
        </w:rPr>
        <w:t xml:space="preserve"> </w:t>
      </w:r>
    </w:p>
    <w:p w14:paraId="2F978010" w14:textId="6ED81828" w:rsidR="00A755D3" w:rsidRDefault="00A755D3" w:rsidP="00A755D3">
      <w:pPr>
        <w:spacing w:after="240"/>
        <w:jc w:val="both"/>
        <w:rPr>
          <w:rFonts w:cstheme="minorHAnsi"/>
        </w:rPr>
      </w:pPr>
      <w:r>
        <w:rPr>
          <w:rFonts w:cstheme="minorHAnsi"/>
        </w:rPr>
        <w:t>Au cours de l’instruction de ces dossiers, le Défenseur des droits constat</w:t>
      </w:r>
      <w:r w:rsidR="00FF5795">
        <w:rPr>
          <w:rFonts w:cstheme="minorHAnsi"/>
        </w:rPr>
        <w:t>e régulièrement</w:t>
      </w:r>
      <w:r>
        <w:rPr>
          <w:rFonts w:cstheme="minorHAnsi"/>
        </w:rPr>
        <w:t xml:space="preserve"> le défaut d’information des familles quant aux démarches d’inscription</w:t>
      </w:r>
      <w:r w:rsidR="00297FE3">
        <w:rPr>
          <w:rFonts w:cstheme="minorHAnsi"/>
        </w:rPr>
        <w:t>. Lorsque ces informations existent, elles</w:t>
      </w:r>
      <w:r>
        <w:rPr>
          <w:rFonts w:cstheme="minorHAnsi"/>
        </w:rPr>
        <w:t xml:space="preserve"> sont difficilement accessibles et/ou ne sont pas traduites dans une langue que les familles comprennent. Par ailleurs, l’absence de</w:t>
      </w:r>
      <w:r w:rsidRPr="0044045A">
        <w:rPr>
          <w:rFonts w:cstheme="minorHAnsi"/>
        </w:rPr>
        <w:t xml:space="preserve"> remise de récépissé</w:t>
      </w:r>
      <w:r>
        <w:rPr>
          <w:rFonts w:cstheme="minorHAnsi"/>
        </w:rPr>
        <w:t xml:space="preserve"> à la suite des démarches d’inscription, nota</w:t>
      </w:r>
      <w:r w:rsidR="00CE7CC3">
        <w:rPr>
          <w:rFonts w:cstheme="minorHAnsi"/>
        </w:rPr>
        <w:t>mment lorsque la mairie refuse celle-ci</w:t>
      </w:r>
      <w:r>
        <w:rPr>
          <w:rFonts w:cstheme="minorHAnsi"/>
        </w:rPr>
        <w:t xml:space="preserve"> en raison d’un justificatif manquant, et le défaut de motivation des</w:t>
      </w:r>
      <w:r w:rsidRPr="0044045A">
        <w:rPr>
          <w:rFonts w:cstheme="minorHAnsi"/>
        </w:rPr>
        <w:t xml:space="preserve"> décisions de refus</w:t>
      </w:r>
      <w:r>
        <w:rPr>
          <w:rFonts w:cstheme="minorHAnsi"/>
        </w:rPr>
        <w:t xml:space="preserve"> sont encore à déplorer car ils ne permettent pas aux familles de comprendre ce qui est attendu, </w:t>
      </w:r>
      <w:r w:rsidR="00FF5795">
        <w:rPr>
          <w:rFonts w:cstheme="minorHAnsi"/>
        </w:rPr>
        <w:t>et</w:t>
      </w:r>
      <w:r>
        <w:rPr>
          <w:rFonts w:cstheme="minorHAnsi"/>
        </w:rPr>
        <w:t xml:space="preserve"> de pouvoir</w:t>
      </w:r>
      <w:r w:rsidR="00FF5795">
        <w:rPr>
          <w:rFonts w:cstheme="minorHAnsi"/>
        </w:rPr>
        <w:t>,</w:t>
      </w:r>
      <w:r>
        <w:rPr>
          <w:rFonts w:cstheme="minorHAnsi"/>
        </w:rPr>
        <w:t xml:space="preserve"> le cas échéant</w:t>
      </w:r>
      <w:r w:rsidR="00FF5795">
        <w:rPr>
          <w:rFonts w:cstheme="minorHAnsi"/>
        </w:rPr>
        <w:t>,</w:t>
      </w:r>
      <w:r>
        <w:rPr>
          <w:rFonts w:cstheme="minorHAnsi"/>
        </w:rPr>
        <w:t xml:space="preserve"> compléter efficacement le dossier</w:t>
      </w:r>
      <w:r w:rsidR="00FF5795">
        <w:rPr>
          <w:rFonts w:cstheme="minorHAnsi"/>
        </w:rPr>
        <w:t xml:space="preserve"> ou</w:t>
      </w:r>
      <w:r w:rsidR="005610D7">
        <w:rPr>
          <w:rFonts w:cstheme="minorHAnsi"/>
        </w:rPr>
        <w:t xml:space="preserve"> </w:t>
      </w:r>
      <w:r>
        <w:rPr>
          <w:rFonts w:cstheme="minorHAnsi"/>
        </w:rPr>
        <w:t>contester</w:t>
      </w:r>
      <w:r w:rsidR="00CE7CC3">
        <w:rPr>
          <w:rFonts w:cstheme="minorHAnsi"/>
        </w:rPr>
        <w:t xml:space="preserve"> utilement</w:t>
      </w:r>
      <w:r>
        <w:rPr>
          <w:rFonts w:cstheme="minorHAnsi"/>
        </w:rPr>
        <w:t xml:space="preserve"> les décisions administratives de refus.</w:t>
      </w:r>
    </w:p>
    <w:p w14:paraId="6218ADD1" w14:textId="77777777" w:rsidR="00A755D3" w:rsidRPr="00DB74D5" w:rsidRDefault="00A755D3" w:rsidP="00A755D3">
      <w:pPr>
        <w:spacing w:after="240"/>
        <w:jc w:val="both"/>
        <w:rPr>
          <w:rFonts w:cstheme="minorHAnsi"/>
        </w:rPr>
      </w:pPr>
      <w:r>
        <w:rPr>
          <w:rFonts w:cstheme="minorHAnsi"/>
        </w:rPr>
        <w:t>Ainsi, dans sa décision n°2018-005 du 25 janvier 2018</w:t>
      </w:r>
      <w:r>
        <w:rPr>
          <w:rStyle w:val="FootnoteReference"/>
          <w:rFonts w:cstheme="minorHAnsi"/>
        </w:rPr>
        <w:footnoteReference w:id="6"/>
      </w:r>
      <w:r>
        <w:rPr>
          <w:rFonts w:cstheme="minorHAnsi"/>
        </w:rPr>
        <w:t>, le Défenseur des droits a recommandé</w:t>
      </w:r>
      <w:r w:rsidRPr="00DB74D5">
        <w:rPr>
          <w:rFonts w:cstheme="minorHAnsi"/>
        </w:rPr>
        <w:t xml:space="preserve"> </w:t>
      </w:r>
      <w:r>
        <w:rPr>
          <w:rFonts w:cstheme="minorHAnsi"/>
        </w:rPr>
        <w:t>à un</w:t>
      </w:r>
      <w:r w:rsidRPr="00DB74D5">
        <w:rPr>
          <w:rFonts w:cstheme="minorHAnsi"/>
        </w:rPr>
        <w:t xml:space="preserve"> maire de mettre en œuvre une procédure permettant que soit délivré sans délai, au guichet, un récépissé constatant la date du dépôt de la demande, les pièces produites et les difficultés éventuelles.</w:t>
      </w:r>
    </w:p>
    <w:p w14:paraId="727CBD37" w14:textId="7F73E7B9" w:rsidR="00A755D3" w:rsidRDefault="00A755D3" w:rsidP="005610D7">
      <w:pPr>
        <w:spacing w:after="0"/>
        <w:ind w:right="68"/>
        <w:jc w:val="both"/>
        <w:rPr>
          <w:rFonts w:eastAsia="Times New Roman" w:cstheme="minorHAnsi"/>
          <w:szCs w:val="24"/>
          <w:lang w:eastAsia="fr-FR"/>
        </w:rPr>
      </w:pPr>
      <w:r>
        <w:rPr>
          <w:rFonts w:eastAsia="Times New Roman" w:cstheme="minorHAnsi"/>
          <w:szCs w:val="24"/>
          <w:lang w:eastAsia="fr-FR"/>
        </w:rPr>
        <w:t>À</w:t>
      </w:r>
      <w:r w:rsidRPr="00257EF0">
        <w:rPr>
          <w:rFonts w:eastAsia="Times New Roman" w:cstheme="minorHAnsi"/>
          <w:szCs w:val="24"/>
          <w:lang w:eastAsia="fr-FR"/>
        </w:rPr>
        <w:t xml:space="preserve"> l’issue</w:t>
      </w:r>
      <w:r>
        <w:rPr>
          <w:rFonts w:eastAsia="Times New Roman" w:cstheme="minorHAnsi"/>
          <w:szCs w:val="24"/>
          <w:lang w:eastAsia="fr-FR"/>
        </w:rPr>
        <w:t xml:space="preserve"> de </w:t>
      </w:r>
      <w:r w:rsidR="00FF5795">
        <w:rPr>
          <w:rFonts w:eastAsia="Times New Roman" w:cstheme="minorHAnsi"/>
          <w:szCs w:val="24"/>
          <w:lang w:eastAsia="fr-FR"/>
        </w:rPr>
        <w:t>son</w:t>
      </w:r>
      <w:r w:rsidR="005610D7">
        <w:rPr>
          <w:rFonts w:eastAsia="Times New Roman" w:cstheme="minorHAnsi"/>
          <w:szCs w:val="24"/>
          <w:lang w:eastAsia="fr-FR"/>
        </w:rPr>
        <w:t xml:space="preserve"> </w:t>
      </w:r>
      <w:r>
        <w:rPr>
          <w:rFonts w:eastAsia="Times New Roman" w:cstheme="minorHAnsi"/>
          <w:szCs w:val="24"/>
          <w:lang w:eastAsia="fr-FR"/>
        </w:rPr>
        <w:t xml:space="preserve">instruction, </w:t>
      </w:r>
      <w:r w:rsidR="00FF5795">
        <w:rPr>
          <w:rFonts w:eastAsia="Times New Roman" w:cstheme="minorHAnsi"/>
          <w:szCs w:val="24"/>
          <w:lang w:eastAsia="fr-FR"/>
        </w:rPr>
        <w:t>et</w:t>
      </w:r>
      <w:r w:rsidRPr="00257EF0">
        <w:rPr>
          <w:rFonts w:eastAsia="Times New Roman" w:cstheme="minorHAnsi"/>
          <w:szCs w:val="24"/>
          <w:lang w:eastAsia="fr-FR"/>
        </w:rPr>
        <w:t xml:space="preserve"> </w:t>
      </w:r>
      <w:r>
        <w:rPr>
          <w:rFonts w:eastAsia="Times New Roman" w:cstheme="minorHAnsi"/>
          <w:szCs w:val="24"/>
          <w:lang w:eastAsia="fr-FR"/>
        </w:rPr>
        <w:t>si</w:t>
      </w:r>
      <w:r w:rsidRPr="00257EF0">
        <w:rPr>
          <w:rFonts w:eastAsia="Times New Roman" w:cstheme="minorHAnsi"/>
          <w:szCs w:val="24"/>
          <w:lang w:eastAsia="fr-FR"/>
        </w:rPr>
        <w:t xml:space="preserve"> les man</w:t>
      </w:r>
      <w:r>
        <w:rPr>
          <w:rFonts w:eastAsia="Times New Roman" w:cstheme="minorHAnsi"/>
          <w:szCs w:val="24"/>
          <w:lang w:eastAsia="fr-FR"/>
        </w:rPr>
        <w:t>quements sont avérés et persista</w:t>
      </w:r>
      <w:r w:rsidRPr="00257EF0">
        <w:rPr>
          <w:rFonts w:eastAsia="Times New Roman" w:cstheme="minorHAnsi"/>
          <w:szCs w:val="24"/>
          <w:lang w:eastAsia="fr-FR"/>
        </w:rPr>
        <w:t>nt</w:t>
      </w:r>
      <w:r>
        <w:rPr>
          <w:rFonts w:eastAsia="Times New Roman" w:cstheme="minorHAnsi"/>
          <w:szCs w:val="24"/>
          <w:lang w:eastAsia="fr-FR"/>
        </w:rPr>
        <w:t>s</w:t>
      </w:r>
      <w:r w:rsidRPr="00257EF0">
        <w:rPr>
          <w:rFonts w:eastAsia="Times New Roman" w:cstheme="minorHAnsi"/>
          <w:szCs w:val="24"/>
          <w:lang w:eastAsia="fr-FR"/>
        </w:rPr>
        <w:t xml:space="preserve">, </w:t>
      </w:r>
      <w:r>
        <w:rPr>
          <w:rFonts w:eastAsia="Times New Roman" w:cstheme="minorHAnsi"/>
          <w:szCs w:val="24"/>
          <w:lang w:eastAsia="fr-FR"/>
        </w:rPr>
        <w:t xml:space="preserve">malgré les tentatives de règlement amiable initiées, </w:t>
      </w:r>
      <w:r w:rsidR="00FF5795">
        <w:rPr>
          <w:rFonts w:eastAsia="Times New Roman" w:cstheme="minorHAnsi"/>
          <w:szCs w:val="24"/>
          <w:lang w:eastAsia="fr-FR"/>
        </w:rPr>
        <w:t>le</w:t>
      </w:r>
      <w:r w:rsidRPr="004B755B">
        <w:rPr>
          <w:rFonts w:eastAsia="Times New Roman" w:cstheme="minorHAnsi"/>
          <w:szCs w:val="24"/>
          <w:lang w:eastAsia="fr-FR"/>
        </w:rPr>
        <w:t xml:space="preserve"> Défenseur des droits </w:t>
      </w:r>
      <w:r w:rsidR="005610D7">
        <w:rPr>
          <w:rFonts w:eastAsia="Times New Roman" w:cstheme="minorHAnsi"/>
          <w:szCs w:val="24"/>
          <w:lang w:eastAsia="fr-FR"/>
        </w:rPr>
        <w:t>peut prendre une décision</w:t>
      </w:r>
      <w:r w:rsidR="00FF5795">
        <w:rPr>
          <w:rFonts w:eastAsia="Times New Roman" w:cstheme="minorHAnsi"/>
          <w:szCs w:val="24"/>
          <w:lang w:eastAsia="fr-FR"/>
        </w:rPr>
        <w:t xml:space="preserve"> concluant</w:t>
      </w:r>
      <w:r>
        <w:rPr>
          <w:rFonts w:eastAsia="Times New Roman" w:cstheme="minorHAnsi"/>
          <w:szCs w:val="24"/>
          <w:lang w:eastAsia="fr-FR"/>
        </w:rPr>
        <w:t xml:space="preserve"> </w:t>
      </w:r>
      <w:r w:rsidRPr="004B755B">
        <w:rPr>
          <w:rFonts w:eastAsia="Times New Roman" w:cstheme="minorHAnsi"/>
          <w:szCs w:val="24"/>
          <w:lang w:eastAsia="fr-FR"/>
        </w:rPr>
        <w:t>à l’existence</w:t>
      </w:r>
      <w:r w:rsidR="005610D7">
        <w:rPr>
          <w:rFonts w:eastAsia="Times New Roman" w:cstheme="minorHAnsi"/>
          <w:szCs w:val="24"/>
          <w:lang w:eastAsia="fr-FR"/>
        </w:rPr>
        <w:t xml:space="preserve"> d’</w:t>
      </w:r>
      <w:r w:rsidRPr="005610D7">
        <w:rPr>
          <w:rFonts w:eastAsia="Times New Roman" w:cstheme="minorHAnsi"/>
          <w:szCs w:val="24"/>
          <w:lang w:eastAsia="fr-FR"/>
        </w:rPr>
        <w:t>une atteinte au droit à l’éducation et à l’</w:t>
      </w:r>
      <w:r w:rsidR="005610D7">
        <w:rPr>
          <w:rFonts w:eastAsia="Times New Roman" w:cstheme="minorHAnsi"/>
          <w:szCs w:val="24"/>
          <w:lang w:eastAsia="fr-FR"/>
        </w:rPr>
        <w:t xml:space="preserve">intérêt supérieur de l’enfant </w:t>
      </w:r>
      <w:r w:rsidR="00FF5795">
        <w:rPr>
          <w:rFonts w:eastAsia="Times New Roman" w:cstheme="minorHAnsi"/>
          <w:szCs w:val="24"/>
          <w:lang w:eastAsia="fr-FR"/>
        </w:rPr>
        <w:t>e</w:t>
      </w:r>
      <w:r w:rsidRPr="005610D7">
        <w:rPr>
          <w:rFonts w:eastAsia="Times New Roman" w:cstheme="minorHAnsi"/>
          <w:szCs w:val="24"/>
          <w:lang w:eastAsia="fr-FR"/>
        </w:rPr>
        <w:t>t d’une discrimination</w:t>
      </w:r>
      <w:r w:rsidR="00FF5795">
        <w:rPr>
          <w:rFonts w:eastAsia="Times New Roman" w:cstheme="minorHAnsi"/>
          <w:szCs w:val="24"/>
          <w:lang w:eastAsia="fr-FR"/>
        </w:rPr>
        <w:t>.</w:t>
      </w:r>
    </w:p>
    <w:p w14:paraId="1C8DAE01" w14:textId="77777777" w:rsidR="005610D7" w:rsidRPr="005610D7" w:rsidRDefault="005610D7" w:rsidP="005610D7">
      <w:pPr>
        <w:spacing w:after="0"/>
        <w:ind w:right="68"/>
        <w:jc w:val="both"/>
        <w:rPr>
          <w:rFonts w:eastAsia="Times New Roman" w:cstheme="minorHAnsi"/>
          <w:lang w:eastAsia="ar-SA"/>
        </w:rPr>
      </w:pPr>
    </w:p>
    <w:p w14:paraId="3673D2E1" w14:textId="6EBE723B" w:rsidR="00A755D3" w:rsidRDefault="00A755D3" w:rsidP="00A755D3">
      <w:pPr>
        <w:spacing w:after="240"/>
        <w:ind w:right="70"/>
        <w:jc w:val="both"/>
        <w:rPr>
          <w:rFonts w:eastAsia="Times New Roman" w:cstheme="minorHAnsi"/>
          <w:lang w:eastAsia="ar-SA"/>
        </w:rPr>
      </w:pPr>
      <w:r>
        <w:rPr>
          <w:rFonts w:eastAsia="Times New Roman" w:cstheme="minorHAnsi"/>
          <w:lang w:eastAsia="ar-SA"/>
        </w:rPr>
        <w:lastRenderedPageBreak/>
        <w:t>Les décisions adoptées par le Défenseur des droits</w:t>
      </w:r>
      <w:r w:rsidR="0070035B">
        <w:rPr>
          <w:rStyle w:val="FootnoteReference"/>
          <w:rFonts w:eastAsia="Times New Roman" w:cstheme="minorHAnsi"/>
          <w:lang w:eastAsia="ar-SA"/>
        </w:rPr>
        <w:footnoteReference w:id="7"/>
      </w:r>
      <w:r>
        <w:rPr>
          <w:rFonts w:eastAsia="Times New Roman" w:cstheme="minorHAnsi"/>
          <w:lang w:eastAsia="ar-SA"/>
        </w:rPr>
        <w:t xml:space="preserve"> peuvent être transmises au procureur de la République territorialement compétent</w:t>
      </w:r>
      <w:r>
        <w:rPr>
          <w:rStyle w:val="FootnoteReference"/>
          <w:rFonts w:eastAsia="Times New Roman" w:cstheme="minorHAnsi"/>
          <w:lang w:eastAsia="ar-SA"/>
        </w:rPr>
        <w:footnoteReference w:id="8"/>
      </w:r>
      <w:r>
        <w:rPr>
          <w:rFonts w:eastAsia="Times New Roman" w:cstheme="minorHAnsi"/>
          <w:lang w:eastAsia="ar-SA"/>
        </w:rPr>
        <w:t xml:space="preserve"> au titre de l’article 40 du </w:t>
      </w:r>
      <w:r w:rsidR="00FF5795">
        <w:rPr>
          <w:rFonts w:eastAsia="Times New Roman" w:cstheme="minorHAnsi"/>
          <w:lang w:eastAsia="ar-SA"/>
        </w:rPr>
        <w:t>c</w:t>
      </w:r>
      <w:r>
        <w:rPr>
          <w:rFonts w:eastAsia="Times New Roman" w:cstheme="minorHAnsi"/>
          <w:lang w:eastAsia="ar-SA"/>
        </w:rPr>
        <w:t>ode</w:t>
      </w:r>
      <w:r w:rsidR="005275AE">
        <w:rPr>
          <w:rFonts w:eastAsia="Times New Roman" w:cstheme="minorHAnsi"/>
          <w:lang w:eastAsia="ar-SA"/>
        </w:rPr>
        <w:t xml:space="preserve"> de procédure</w:t>
      </w:r>
      <w:r>
        <w:rPr>
          <w:rFonts w:eastAsia="Times New Roman" w:cstheme="minorHAnsi"/>
          <w:lang w:eastAsia="ar-SA"/>
        </w:rPr>
        <w:t xml:space="preserve"> pénal</w:t>
      </w:r>
      <w:r w:rsidR="005275AE">
        <w:rPr>
          <w:rFonts w:eastAsia="Times New Roman" w:cstheme="minorHAnsi"/>
          <w:lang w:eastAsia="ar-SA"/>
        </w:rPr>
        <w:t>e</w:t>
      </w:r>
      <w:r>
        <w:rPr>
          <w:rFonts w:eastAsia="Times New Roman" w:cstheme="minorHAnsi"/>
          <w:lang w:eastAsia="ar-SA"/>
        </w:rPr>
        <w:t xml:space="preserve">, </w:t>
      </w:r>
      <w:r w:rsidR="00FF5795">
        <w:rPr>
          <w:rFonts w:eastAsia="Times New Roman" w:cstheme="minorHAnsi"/>
          <w:lang w:eastAsia="ar-SA"/>
        </w:rPr>
        <w:t>dès lors qu’il estime que le refus de scolarisation pourrait caractériser l’infraction pénale de discrimination telle que défini</w:t>
      </w:r>
      <w:r w:rsidR="005275AE">
        <w:rPr>
          <w:rFonts w:eastAsia="Times New Roman" w:cstheme="minorHAnsi"/>
          <w:lang w:eastAsia="ar-SA"/>
        </w:rPr>
        <w:t>e</w:t>
      </w:r>
      <w:r w:rsidR="00FF5795">
        <w:rPr>
          <w:rFonts w:eastAsia="Times New Roman" w:cstheme="minorHAnsi"/>
          <w:lang w:eastAsia="ar-SA"/>
        </w:rPr>
        <w:t xml:space="preserve"> à l’article 225-1 du code pénal. </w:t>
      </w:r>
      <w:r w:rsidR="00CE7CC3">
        <w:rPr>
          <w:rFonts w:eastAsia="Times New Roman" w:cstheme="minorHAnsi"/>
          <w:lang w:eastAsia="ar-SA"/>
        </w:rPr>
        <w:t xml:space="preserve">Certaines de ces transmissions ont </w:t>
      </w:r>
      <w:r w:rsidR="005275AE">
        <w:rPr>
          <w:rFonts w:eastAsia="Times New Roman" w:cstheme="minorHAnsi"/>
          <w:lang w:eastAsia="ar-SA"/>
        </w:rPr>
        <w:t>été</w:t>
      </w:r>
      <w:r w:rsidR="00CE7CC3">
        <w:rPr>
          <w:rFonts w:eastAsia="Times New Roman" w:cstheme="minorHAnsi"/>
          <w:lang w:eastAsia="ar-SA"/>
        </w:rPr>
        <w:t xml:space="preserve"> suivi</w:t>
      </w:r>
      <w:r w:rsidR="005275AE">
        <w:rPr>
          <w:rFonts w:eastAsia="Times New Roman" w:cstheme="minorHAnsi"/>
          <w:lang w:eastAsia="ar-SA"/>
        </w:rPr>
        <w:t>es</w:t>
      </w:r>
      <w:r w:rsidR="00CE7CC3">
        <w:rPr>
          <w:rFonts w:eastAsia="Times New Roman" w:cstheme="minorHAnsi"/>
          <w:lang w:eastAsia="ar-SA"/>
        </w:rPr>
        <w:t xml:space="preserve"> d’un rappel de la loi par la justice au maire.</w:t>
      </w:r>
    </w:p>
    <w:p w14:paraId="146DCACC" w14:textId="45290A15" w:rsidR="00A755D3" w:rsidRDefault="00A755D3" w:rsidP="00A755D3">
      <w:pPr>
        <w:spacing w:after="240"/>
        <w:ind w:right="70"/>
        <w:jc w:val="both"/>
        <w:rPr>
          <w:rFonts w:eastAsia="Times New Roman" w:cstheme="minorHAnsi"/>
          <w:lang w:eastAsia="ar-SA"/>
        </w:rPr>
      </w:pPr>
      <w:r>
        <w:rPr>
          <w:rFonts w:eastAsia="Times New Roman" w:cstheme="minorHAnsi"/>
          <w:lang w:eastAsia="ar-SA"/>
        </w:rPr>
        <w:t>En outre, durant la pandémie de COVID-19, les enfants vivant en habitat informel appartenant à la communauté Rom</w:t>
      </w:r>
      <w:r w:rsidR="0070035B">
        <w:rPr>
          <w:rFonts w:eastAsia="Times New Roman" w:cstheme="minorHAnsi"/>
          <w:lang w:eastAsia="ar-SA"/>
        </w:rPr>
        <w:t xml:space="preserve"> ou considérés comme tels,</w:t>
      </w:r>
      <w:r>
        <w:rPr>
          <w:rFonts w:eastAsia="Times New Roman" w:cstheme="minorHAnsi"/>
          <w:lang w:eastAsia="ar-SA"/>
        </w:rPr>
        <w:t xml:space="preserve"> ont été exposés à des difficultés supplémentaires liées à la généralisation de l’enseignement à distance</w:t>
      </w:r>
      <w:r>
        <w:rPr>
          <w:rStyle w:val="FootnoteReference"/>
          <w:rFonts w:eastAsia="Times New Roman" w:cstheme="minorHAnsi"/>
          <w:lang w:eastAsia="ar-SA"/>
        </w:rPr>
        <w:footnoteReference w:id="9"/>
      </w:r>
      <w:r>
        <w:rPr>
          <w:rFonts w:eastAsia="Times New Roman" w:cstheme="minorHAnsi"/>
          <w:lang w:eastAsia="ar-SA"/>
        </w:rPr>
        <w:t xml:space="preserve">. En </w:t>
      </w:r>
      <w:r w:rsidRPr="007926D8">
        <w:t xml:space="preserve">raison d’une fracture numérique considérable, </w:t>
      </w:r>
      <w:r>
        <w:t>les enfants vivant en habitat informel</w:t>
      </w:r>
      <w:r w:rsidRPr="007926D8">
        <w:t xml:space="preserve"> </w:t>
      </w:r>
      <w:r w:rsidR="0070035B">
        <w:t xml:space="preserve">mais également les enfants issus de la communauté des gens du voyage, </w:t>
      </w:r>
      <w:r>
        <w:t xml:space="preserve">n’ont souvent pas pu </w:t>
      </w:r>
      <w:r w:rsidRPr="007926D8">
        <w:t>participer aux activités d’apprentissage en ligne de façon équivalente aux autres, les expos</w:t>
      </w:r>
      <w:r>
        <w:t>ant</w:t>
      </w:r>
      <w:r w:rsidRPr="007926D8">
        <w:t xml:space="preserve"> </w:t>
      </w:r>
      <w:r>
        <w:t xml:space="preserve">à un </w:t>
      </w:r>
      <w:r w:rsidRPr="007926D8">
        <w:t xml:space="preserve">risque </w:t>
      </w:r>
      <w:r>
        <w:t xml:space="preserve">accru </w:t>
      </w:r>
      <w:r w:rsidRPr="007926D8">
        <w:t>de décrochage scolaire</w:t>
      </w:r>
      <w:r w:rsidRPr="007926D8">
        <w:rPr>
          <w:rStyle w:val="FootnoteReference"/>
        </w:rPr>
        <w:footnoteReference w:id="10"/>
      </w:r>
      <w:r w:rsidRPr="007926D8">
        <w:t>.</w:t>
      </w:r>
      <w:r>
        <w:rPr>
          <w:rFonts w:eastAsia="Times New Roman" w:cstheme="minorHAnsi"/>
          <w:lang w:eastAsia="ar-SA"/>
        </w:rPr>
        <w:t xml:space="preserve"> </w:t>
      </w:r>
    </w:p>
    <w:p w14:paraId="5309AB68" w14:textId="5D2D03BE" w:rsidR="00A755D3" w:rsidRPr="008C6609" w:rsidRDefault="00A755D3" w:rsidP="00A755D3">
      <w:pPr>
        <w:spacing w:after="240"/>
        <w:ind w:right="70"/>
        <w:jc w:val="both"/>
        <w:rPr>
          <w:rFonts w:eastAsia="Times New Roman" w:cstheme="minorHAnsi"/>
          <w:lang w:eastAsia="ar-SA"/>
        </w:rPr>
      </w:pPr>
      <w:r>
        <w:rPr>
          <w:rFonts w:eastAsia="Times New Roman" w:cstheme="minorHAnsi"/>
          <w:lang w:eastAsia="ar-SA"/>
        </w:rPr>
        <w:t>Par ailleurs, l’attention de la Défenseure des droits a été attirée en janvier 2021 sur la situation de plusieurs dizaines d’</w:t>
      </w:r>
      <w:r w:rsidRPr="008C6609">
        <w:rPr>
          <w:rFonts w:eastAsia="Times New Roman" w:cstheme="minorHAnsi"/>
          <w:lang w:eastAsia="ar-SA"/>
        </w:rPr>
        <w:t>enfants qui demeur</w:t>
      </w:r>
      <w:r w:rsidR="00FF5795">
        <w:rPr>
          <w:rFonts w:eastAsia="Times New Roman" w:cstheme="minorHAnsi"/>
          <w:lang w:eastAsia="ar-SA"/>
        </w:rPr>
        <w:t>ai</w:t>
      </w:r>
      <w:r w:rsidRPr="008C6609">
        <w:rPr>
          <w:rFonts w:eastAsia="Times New Roman" w:cstheme="minorHAnsi"/>
          <w:lang w:eastAsia="ar-SA"/>
        </w:rPr>
        <w:t xml:space="preserve">ent avec leur famille au sein </w:t>
      </w:r>
      <w:r>
        <w:rPr>
          <w:rFonts w:eastAsia="Times New Roman" w:cstheme="minorHAnsi"/>
          <w:lang w:eastAsia="ar-SA"/>
        </w:rPr>
        <w:t>d’un</w:t>
      </w:r>
      <w:r w:rsidRPr="008C6609">
        <w:rPr>
          <w:rFonts w:eastAsia="Times New Roman" w:cstheme="minorHAnsi"/>
          <w:lang w:eastAsia="ar-SA"/>
        </w:rPr>
        <w:t xml:space="preserve"> bidonville situé sur les anciennes régions d’épandages de boue et d’eaux usées brutes </w:t>
      </w:r>
      <w:r w:rsidR="005610D7">
        <w:rPr>
          <w:rFonts w:eastAsia="Times New Roman" w:cstheme="minorHAnsi"/>
          <w:lang w:eastAsia="ar-SA"/>
        </w:rPr>
        <w:t>d’un département d’Ile</w:t>
      </w:r>
      <w:r w:rsidR="00180BBA">
        <w:rPr>
          <w:rFonts w:eastAsia="Times New Roman" w:cstheme="minorHAnsi"/>
          <w:lang w:eastAsia="ar-SA"/>
        </w:rPr>
        <w:t>-</w:t>
      </w:r>
      <w:r w:rsidR="005610D7">
        <w:rPr>
          <w:rFonts w:eastAsia="Times New Roman" w:cstheme="minorHAnsi"/>
          <w:lang w:eastAsia="ar-SA"/>
        </w:rPr>
        <w:t>de</w:t>
      </w:r>
      <w:r w:rsidR="00180BBA">
        <w:rPr>
          <w:rFonts w:eastAsia="Times New Roman" w:cstheme="minorHAnsi"/>
          <w:lang w:eastAsia="ar-SA"/>
        </w:rPr>
        <w:t>-</w:t>
      </w:r>
      <w:r w:rsidR="005610D7">
        <w:rPr>
          <w:rFonts w:eastAsia="Times New Roman" w:cstheme="minorHAnsi"/>
          <w:lang w:eastAsia="ar-SA"/>
        </w:rPr>
        <w:t>France</w:t>
      </w:r>
      <w:r w:rsidRPr="008C6609">
        <w:rPr>
          <w:rFonts w:eastAsia="Times New Roman" w:cstheme="minorHAnsi"/>
          <w:lang w:eastAsia="ar-SA"/>
        </w:rPr>
        <w:t>.</w:t>
      </w:r>
      <w:r>
        <w:rPr>
          <w:rFonts w:eastAsia="Times New Roman" w:cstheme="minorHAnsi"/>
          <w:lang w:eastAsia="ar-SA"/>
        </w:rPr>
        <w:t xml:space="preserve"> </w:t>
      </w:r>
      <w:r w:rsidRPr="008C6609">
        <w:rPr>
          <w:rFonts w:eastAsia="Times New Roman" w:cstheme="minorHAnsi"/>
          <w:lang w:eastAsia="ar-SA"/>
        </w:rPr>
        <w:t>D’après les informations transmises par les associations qui interviennent auprès des populations du bidonville, une trentaine d’enfants vivant sur ce terrain ont</w:t>
      </w:r>
      <w:r>
        <w:rPr>
          <w:rFonts w:eastAsia="Times New Roman" w:cstheme="minorHAnsi"/>
          <w:lang w:eastAsia="ar-SA"/>
        </w:rPr>
        <w:t>,</w:t>
      </w:r>
      <w:r w:rsidRPr="008C6609">
        <w:rPr>
          <w:rFonts w:eastAsia="Times New Roman" w:cstheme="minorHAnsi"/>
          <w:lang w:eastAsia="ar-SA"/>
        </w:rPr>
        <w:t xml:space="preserve"> entre septembre 2019 et septembre 2020, </w:t>
      </w:r>
      <w:r>
        <w:rPr>
          <w:rFonts w:eastAsia="Times New Roman" w:cstheme="minorHAnsi"/>
          <w:lang w:eastAsia="ar-SA"/>
        </w:rPr>
        <w:t>fait l’objet d’</w:t>
      </w:r>
      <w:r w:rsidRPr="008C6609">
        <w:rPr>
          <w:rFonts w:eastAsia="Times New Roman" w:cstheme="minorHAnsi"/>
          <w:lang w:eastAsia="ar-SA"/>
        </w:rPr>
        <w:t xml:space="preserve">une plombémie, d’abord </w:t>
      </w:r>
      <w:r w:rsidR="00CE7CC3">
        <w:rPr>
          <w:rFonts w:eastAsia="Times New Roman" w:cstheme="minorHAnsi"/>
          <w:lang w:eastAsia="ar-SA"/>
        </w:rPr>
        <w:t>à l’initiative des parents et d’un</w:t>
      </w:r>
      <w:r w:rsidRPr="008C6609">
        <w:rPr>
          <w:rFonts w:eastAsia="Times New Roman" w:cstheme="minorHAnsi"/>
          <w:lang w:eastAsia="ar-SA"/>
        </w:rPr>
        <w:t xml:space="preserve"> Collectif de soutien aux Roms, puis dans le cadre d’un dépistage organisé par l’</w:t>
      </w:r>
      <w:r>
        <w:rPr>
          <w:rFonts w:eastAsia="Times New Roman" w:cstheme="minorHAnsi"/>
          <w:lang w:eastAsia="ar-SA"/>
        </w:rPr>
        <w:t>A</w:t>
      </w:r>
      <w:r w:rsidRPr="008C6609">
        <w:rPr>
          <w:rFonts w:eastAsia="Times New Roman" w:cstheme="minorHAnsi"/>
          <w:lang w:eastAsia="ar-SA"/>
        </w:rPr>
        <w:t>gence régionale de santé (ARS) pour seize enfants. Sur les 30 enfants, 26 étaient atteints de saturnisme (plomb d</w:t>
      </w:r>
      <w:r>
        <w:rPr>
          <w:rFonts w:eastAsia="Times New Roman" w:cstheme="minorHAnsi"/>
          <w:lang w:eastAsia="ar-SA"/>
        </w:rPr>
        <w:t>ans le sang supérieur à 50µg/l) :</w:t>
      </w:r>
      <w:r w:rsidRPr="008C6609">
        <w:rPr>
          <w:rFonts w:eastAsia="Times New Roman" w:cstheme="minorHAnsi"/>
          <w:lang w:eastAsia="ar-SA"/>
        </w:rPr>
        <w:t xml:space="preserve"> le plomb contenu dans leur sang était compris entre</w:t>
      </w:r>
      <w:r>
        <w:rPr>
          <w:rFonts w:eastAsia="Times New Roman" w:cstheme="minorHAnsi"/>
          <w:lang w:eastAsia="ar-SA"/>
        </w:rPr>
        <w:t xml:space="preserve"> 53 et 164 microgrammes (µg/l).</w:t>
      </w:r>
    </w:p>
    <w:p w14:paraId="35019092" w14:textId="22F56FA2" w:rsidR="00A755D3" w:rsidRPr="008C6609" w:rsidRDefault="00A755D3" w:rsidP="00A755D3">
      <w:pPr>
        <w:spacing w:after="240"/>
        <w:ind w:right="70"/>
        <w:jc w:val="both"/>
        <w:rPr>
          <w:rFonts w:eastAsia="Times New Roman" w:cstheme="minorHAnsi"/>
          <w:lang w:eastAsia="ar-SA"/>
        </w:rPr>
      </w:pPr>
      <w:r w:rsidRPr="008C6609">
        <w:rPr>
          <w:rFonts w:eastAsia="Times New Roman" w:cstheme="minorHAnsi"/>
          <w:lang w:eastAsia="ar-SA"/>
        </w:rPr>
        <w:t>Conformément à l’article L</w:t>
      </w:r>
      <w:r>
        <w:rPr>
          <w:rFonts w:eastAsia="Times New Roman" w:cstheme="minorHAnsi"/>
          <w:lang w:eastAsia="ar-SA"/>
        </w:rPr>
        <w:t>.</w:t>
      </w:r>
      <w:r w:rsidRPr="008C6609">
        <w:rPr>
          <w:rFonts w:eastAsia="Times New Roman" w:cstheme="minorHAnsi"/>
          <w:lang w:eastAsia="ar-SA"/>
        </w:rPr>
        <w:t xml:space="preserve">1334-1 du </w:t>
      </w:r>
      <w:r w:rsidR="00FF5795">
        <w:rPr>
          <w:rFonts w:eastAsia="Times New Roman" w:cstheme="minorHAnsi"/>
          <w:lang w:eastAsia="ar-SA"/>
        </w:rPr>
        <w:t>c</w:t>
      </w:r>
      <w:r w:rsidRPr="008C6609">
        <w:rPr>
          <w:rFonts w:eastAsia="Times New Roman" w:cstheme="minorHAnsi"/>
          <w:lang w:eastAsia="ar-SA"/>
        </w:rPr>
        <w:t>ode de la santé publique, une enquête environnementale a eu lieu et l’ARS a effectué une analyse des sols. Cette analyse a confirmé que le taux de plomb dans les sols était supérieur à la moyenne, et que l’origine du saturnisme des enfants était liée au lieu où ils vivaient. De nombreux autres enfants ont été dépistés depuis janvier 2021, et seraient eux</w:t>
      </w:r>
      <w:r>
        <w:rPr>
          <w:rFonts w:eastAsia="Times New Roman" w:cstheme="minorHAnsi"/>
          <w:lang w:eastAsia="ar-SA"/>
        </w:rPr>
        <w:t>-aussi atteints de saturnisme.</w:t>
      </w:r>
      <w:r w:rsidRPr="003D2259">
        <w:rPr>
          <w:rFonts w:eastAsia="Times New Roman" w:cstheme="minorHAnsi"/>
          <w:lang w:eastAsia="ar-SA"/>
        </w:rPr>
        <w:t xml:space="preserve"> </w:t>
      </w:r>
      <w:r>
        <w:rPr>
          <w:rFonts w:eastAsia="Times New Roman" w:cstheme="minorHAnsi"/>
          <w:lang w:eastAsia="ar-SA"/>
        </w:rPr>
        <w:t>Cette situation de risque sanitaire s’avérait d’autant plus inquiétante que le bidonville ne possédait aucun accès à l’eau potable ni d’accès aux sanitaires, aucune mesure d’hygiène ne pouvant par conséquent se mettre en place.</w:t>
      </w:r>
    </w:p>
    <w:p w14:paraId="1813F813" w14:textId="52EC9738" w:rsidR="00A755D3" w:rsidRDefault="00A755D3" w:rsidP="00A755D3">
      <w:pPr>
        <w:spacing w:after="240"/>
        <w:ind w:right="70"/>
        <w:jc w:val="both"/>
        <w:rPr>
          <w:rFonts w:eastAsia="Times New Roman" w:cstheme="minorHAnsi"/>
          <w:lang w:eastAsia="ar-SA"/>
        </w:rPr>
      </w:pPr>
      <w:r>
        <w:rPr>
          <w:rFonts w:eastAsia="Times New Roman" w:cstheme="minorHAnsi"/>
          <w:lang w:eastAsia="ar-SA"/>
        </w:rPr>
        <w:t>Malgré les réunions tenues</w:t>
      </w:r>
      <w:r w:rsidRPr="008C6609">
        <w:rPr>
          <w:rFonts w:eastAsia="Times New Roman" w:cstheme="minorHAnsi"/>
          <w:lang w:eastAsia="ar-SA"/>
        </w:rPr>
        <w:t xml:space="preserve">, réunissant plusieurs acteurs, dont </w:t>
      </w:r>
      <w:r>
        <w:rPr>
          <w:rFonts w:eastAsia="Times New Roman" w:cstheme="minorHAnsi"/>
          <w:lang w:eastAsia="ar-SA"/>
        </w:rPr>
        <w:t>la préfecture, le</w:t>
      </w:r>
      <w:r w:rsidRPr="008C6609">
        <w:rPr>
          <w:rFonts w:eastAsia="Times New Roman" w:cstheme="minorHAnsi"/>
          <w:lang w:eastAsia="ar-SA"/>
        </w:rPr>
        <w:t xml:space="preserve"> syndicat mixte d’aménagement de la plaine de</w:t>
      </w:r>
      <w:r>
        <w:rPr>
          <w:rFonts w:eastAsia="Times New Roman" w:cstheme="minorHAnsi"/>
          <w:lang w:eastAsia="ar-SA"/>
        </w:rPr>
        <w:t xml:space="preserve"> Pierrelaye-Bessancourt (SMAPP) et la </w:t>
      </w:r>
      <w:r w:rsidR="0070035B">
        <w:rPr>
          <w:rFonts w:eastAsia="Times New Roman" w:cstheme="minorHAnsi"/>
          <w:lang w:eastAsia="ar-SA"/>
        </w:rPr>
        <w:t>d</w:t>
      </w:r>
      <w:r w:rsidR="0070035B" w:rsidRPr="0070035B">
        <w:rPr>
          <w:rFonts w:eastAsia="Times New Roman" w:cstheme="minorHAnsi"/>
          <w:lang w:eastAsia="ar-SA"/>
        </w:rPr>
        <w:t>élégation interministérielle à l'hébergement et à l'accès au logement</w:t>
      </w:r>
      <w:r w:rsidR="0070035B">
        <w:rPr>
          <w:rFonts w:eastAsia="Times New Roman" w:cstheme="minorHAnsi"/>
          <w:lang w:eastAsia="ar-SA"/>
        </w:rPr>
        <w:t xml:space="preserve"> (DIHAL)</w:t>
      </w:r>
      <w:r>
        <w:rPr>
          <w:rFonts w:eastAsia="Times New Roman" w:cstheme="minorHAnsi"/>
          <w:lang w:eastAsia="ar-SA"/>
        </w:rPr>
        <w:t>,</w:t>
      </w:r>
      <w:r w:rsidRPr="008C6609">
        <w:rPr>
          <w:rFonts w:eastAsia="Times New Roman" w:cstheme="minorHAnsi"/>
          <w:lang w:eastAsia="ar-SA"/>
        </w:rPr>
        <w:t xml:space="preserve"> certaines solutions présentées pour garantir un accès à l’eau</w:t>
      </w:r>
      <w:r>
        <w:rPr>
          <w:rFonts w:eastAsia="Times New Roman" w:cstheme="minorHAnsi"/>
          <w:lang w:eastAsia="ar-SA"/>
        </w:rPr>
        <w:t xml:space="preserve"> potable</w:t>
      </w:r>
      <w:r w:rsidRPr="008C6609">
        <w:rPr>
          <w:rFonts w:eastAsia="Times New Roman" w:cstheme="minorHAnsi"/>
          <w:lang w:eastAsia="ar-SA"/>
        </w:rPr>
        <w:t>, dont la mise en place d’une desserte hors sol qui pourrait acheminer l’eau au plus près des habitants</w:t>
      </w:r>
      <w:r>
        <w:rPr>
          <w:rFonts w:eastAsia="Times New Roman" w:cstheme="minorHAnsi"/>
          <w:lang w:eastAsia="ar-SA"/>
        </w:rPr>
        <w:t xml:space="preserve">, n’avaient toujours pas pu être adoptées jusqu’à l’intervention de la Défenseure des droits qui a interrogé la préfecture et le syndicat sur les solutions devant être rapidement envisagées et adoptées. </w:t>
      </w:r>
    </w:p>
    <w:p w14:paraId="5120ABDF" w14:textId="3CC86B00" w:rsidR="00A755D3" w:rsidRPr="00DA47EA" w:rsidRDefault="00A755D3" w:rsidP="00A755D3">
      <w:pPr>
        <w:spacing w:after="240"/>
        <w:ind w:right="70"/>
        <w:jc w:val="both"/>
        <w:rPr>
          <w:rFonts w:eastAsia="Times New Roman" w:cstheme="minorHAnsi"/>
          <w:lang w:eastAsia="ar-SA"/>
        </w:rPr>
      </w:pPr>
      <w:r>
        <w:rPr>
          <w:rFonts w:eastAsia="Times New Roman" w:cstheme="minorHAnsi"/>
          <w:lang w:eastAsia="ar-SA"/>
        </w:rPr>
        <w:t>En juillet 2021, une fontaine à eau a été installée à environ 800m/1km du campement</w:t>
      </w:r>
      <w:r w:rsidRPr="008C6609">
        <w:rPr>
          <w:rFonts w:eastAsia="Times New Roman" w:cstheme="minorHAnsi"/>
          <w:lang w:eastAsia="ar-SA"/>
        </w:rPr>
        <w:t>.</w:t>
      </w:r>
      <w:r>
        <w:rPr>
          <w:rFonts w:eastAsia="Times New Roman" w:cstheme="minorHAnsi"/>
          <w:lang w:eastAsia="ar-SA"/>
        </w:rPr>
        <w:t xml:space="preserve"> Si cette installation constitue une amélioration des conditions de vie de certains habitants du bidonville, notamment les personnes qui possèdent un véhicule pour transporter les bidons, les associations ont </w:t>
      </w:r>
      <w:r>
        <w:rPr>
          <w:rFonts w:eastAsia="Times New Roman" w:cstheme="minorHAnsi"/>
          <w:lang w:eastAsia="ar-SA"/>
        </w:rPr>
        <w:lastRenderedPageBreak/>
        <w:t xml:space="preserve">fait part au Défenseur des droits de leur inquiétude à l’égard des familles les plus pauvres pour lesquelles l’éloignement de la fontaine reste un obstacle majeur. Elles </w:t>
      </w:r>
      <w:r w:rsidRPr="00DA47EA">
        <w:rPr>
          <w:rFonts w:eastAsia="Times New Roman" w:cstheme="minorHAnsi"/>
          <w:lang w:eastAsia="ar-SA"/>
        </w:rPr>
        <w:t xml:space="preserve">ont </w:t>
      </w:r>
      <w:r>
        <w:rPr>
          <w:rFonts w:eastAsia="Times New Roman" w:cstheme="minorHAnsi"/>
          <w:lang w:eastAsia="ar-SA"/>
        </w:rPr>
        <w:t xml:space="preserve">aussi </w:t>
      </w:r>
      <w:r w:rsidRPr="00DA47EA">
        <w:rPr>
          <w:rFonts w:eastAsia="Times New Roman" w:cstheme="minorHAnsi"/>
          <w:lang w:eastAsia="ar-SA"/>
        </w:rPr>
        <w:t>fait part de leurs inquiétudes relatives à de nombreux sites qui seraient tout aussi contaminés en Ile</w:t>
      </w:r>
      <w:r>
        <w:rPr>
          <w:rFonts w:eastAsia="Times New Roman" w:cstheme="minorHAnsi"/>
          <w:lang w:eastAsia="ar-SA"/>
        </w:rPr>
        <w:t>-</w:t>
      </w:r>
      <w:r w:rsidRPr="00DA47EA">
        <w:rPr>
          <w:rFonts w:eastAsia="Times New Roman" w:cstheme="minorHAnsi"/>
          <w:lang w:eastAsia="ar-SA"/>
        </w:rPr>
        <w:t>de</w:t>
      </w:r>
      <w:r>
        <w:rPr>
          <w:rFonts w:eastAsia="Times New Roman" w:cstheme="minorHAnsi"/>
          <w:lang w:eastAsia="ar-SA"/>
        </w:rPr>
        <w:t>-</w:t>
      </w:r>
      <w:r w:rsidRPr="00DA47EA">
        <w:rPr>
          <w:rFonts w:eastAsia="Times New Roman" w:cstheme="minorHAnsi"/>
          <w:lang w:eastAsia="ar-SA"/>
        </w:rPr>
        <w:t>France et notamment dans le Val d’Oise, occupés par ces populations vulnérables pour lesquelles aucune mesure de prévention ou de dépistage ne serait pour l’heure envisagée.</w:t>
      </w:r>
    </w:p>
    <w:p w14:paraId="5EFB483E" w14:textId="20AAF833" w:rsidR="005610D7" w:rsidRDefault="00A755D3" w:rsidP="002547D8">
      <w:pPr>
        <w:jc w:val="both"/>
        <w:rPr>
          <w:rFonts w:eastAsia="Times New Roman" w:cstheme="minorHAnsi"/>
          <w:lang w:eastAsia="ar-SA"/>
        </w:rPr>
      </w:pPr>
      <w:r w:rsidRPr="00A755D3">
        <w:t xml:space="preserve">La Défenseure des droits </w:t>
      </w:r>
      <w:r>
        <w:t>estime nécessaire</w:t>
      </w:r>
      <w:r w:rsidRPr="00A755D3">
        <w:t xml:space="preserve"> une réflexion interministérielle associant la </w:t>
      </w:r>
      <w:r w:rsidR="00FB63A9">
        <w:t xml:space="preserve">DIHAL, </w:t>
      </w:r>
      <w:r w:rsidRPr="00A755D3">
        <w:t xml:space="preserve">afin d’examiner les dispositions qui permettraient d’assurer un accès effectif à l’eau potable des publics les plus vulnérables ainsi qu’une transposition ambitieuse de la directive </w:t>
      </w:r>
      <w:r w:rsidR="002547D8">
        <w:t>européenne</w:t>
      </w:r>
      <w:r w:rsidR="002547D8">
        <w:rPr>
          <w:rStyle w:val="FootnoteReference"/>
        </w:rPr>
        <w:footnoteReference w:id="11"/>
      </w:r>
      <w:r w:rsidR="002547D8">
        <w:t xml:space="preserve"> </w:t>
      </w:r>
      <w:r w:rsidRPr="00A755D3">
        <w:t xml:space="preserve">en la matière. Elle recommande que le droit applicable, les responsabilités et compétences des institutions publiques soient ainsi clarifiés. </w:t>
      </w:r>
      <w:r w:rsidRPr="00A755D3">
        <w:rPr>
          <w:rFonts w:eastAsia="Times New Roman" w:cstheme="minorHAnsi"/>
          <w:lang w:eastAsia="ar-SA"/>
        </w:rPr>
        <w:t xml:space="preserve">Elle recommande également que soient adoptées des mesures de prévention et de dépistage des sites contaminés au plomb occupés par des populations vulnérables. </w:t>
      </w:r>
    </w:p>
    <w:p w14:paraId="3DFE8DD9" w14:textId="3881CD91" w:rsidR="00B11CE0" w:rsidRPr="00B11CE0" w:rsidRDefault="002B6ED3" w:rsidP="00B11CE0">
      <w:pPr>
        <w:jc w:val="both"/>
        <w:rPr>
          <w:rFonts w:eastAsia="Times New Roman" w:cstheme="minorHAnsi"/>
          <w:lang w:eastAsia="ar-SA"/>
        </w:rPr>
      </w:pPr>
      <w:r w:rsidRPr="00D94739">
        <w:rPr>
          <w:rFonts w:eastAsia="Times New Roman" w:cstheme="minorHAnsi"/>
          <w:b/>
          <w:lang w:eastAsia="ar-SA"/>
        </w:rPr>
        <w:t>Enfin, il convient d’attirer l’attention du Comité sur la situation des enfants qui vivent dans les bidonvilles de Mayotte</w:t>
      </w:r>
      <w:r w:rsidRPr="00B11CE0">
        <w:rPr>
          <w:rFonts w:eastAsia="Times New Roman" w:cstheme="minorHAnsi"/>
          <w:b/>
          <w:lang w:eastAsia="ar-SA"/>
        </w:rPr>
        <w:t>,</w:t>
      </w:r>
      <w:r>
        <w:rPr>
          <w:rFonts w:eastAsia="Times New Roman" w:cstheme="minorHAnsi"/>
          <w:lang w:eastAsia="ar-SA"/>
        </w:rPr>
        <w:t xml:space="preserve"> qui subissent des évacuations particulièrement violentes sans proposition de relogement et qui entrainent de surcroit des déscolarisations. A cet égard, la Défenseure des droits invite le Com</w:t>
      </w:r>
      <w:r w:rsidR="00CE7CC3">
        <w:rPr>
          <w:rFonts w:eastAsia="Times New Roman" w:cstheme="minorHAnsi"/>
          <w:lang w:eastAsia="ar-SA"/>
        </w:rPr>
        <w:t xml:space="preserve">ité à questionner la France sur </w:t>
      </w:r>
      <w:r w:rsidR="004E2580">
        <w:rPr>
          <w:rFonts w:eastAsia="Times New Roman" w:cstheme="minorHAnsi"/>
          <w:lang w:eastAsia="ar-SA"/>
        </w:rPr>
        <w:t>les garanties de respect des droits des enfants mis en place dans le cadre d’</w:t>
      </w:r>
      <w:r w:rsidR="00B11CE0">
        <w:rPr>
          <w:rFonts w:eastAsia="Times New Roman" w:cstheme="minorHAnsi"/>
          <w:lang w:eastAsia="ar-SA"/>
        </w:rPr>
        <w:t>une</w:t>
      </w:r>
      <w:r w:rsidR="00B11CE0" w:rsidRPr="00B11CE0">
        <w:rPr>
          <w:rFonts w:eastAsia="Times New Roman" w:cstheme="minorHAnsi"/>
          <w:lang w:eastAsia="ar-SA"/>
        </w:rPr>
        <w:t xml:space="preserve"> </w:t>
      </w:r>
      <w:r w:rsidR="00B11CE0" w:rsidRPr="00CE7CC3">
        <w:rPr>
          <w:rFonts w:eastAsia="Times New Roman" w:cstheme="minorHAnsi"/>
          <w:lang w:eastAsia="ar-SA"/>
        </w:rPr>
        <w:t>opération d’envergure qui serait organisée entre le 20 avril et le mois de juillet 2023</w:t>
      </w:r>
      <w:r w:rsidR="00B11CE0" w:rsidRPr="00B11CE0">
        <w:rPr>
          <w:rFonts w:eastAsia="Times New Roman" w:cstheme="minorHAnsi"/>
          <w:lang w:eastAsia="ar-SA"/>
        </w:rPr>
        <w:t xml:space="preserve"> </w:t>
      </w:r>
      <w:r w:rsidR="00180BBA">
        <w:rPr>
          <w:rFonts w:eastAsia="Times New Roman" w:cstheme="minorHAnsi"/>
          <w:lang w:eastAsia="ar-SA"/>
        </w:rPr>
        <w:t>pour</w:t>
      </w:r>
      <w:r w:rsidR="00B11CE0" w:rsidRPr="00B11CE0">
        <w:rPr>
          <w:rFonts w:eastAsia="Times New Roman" w:cstheme="minorHAnsi"/>
          <w:lang w:eastAsia="ar-SA"/>
        </w:rPr>
        <w:t xml:space="preserve"> lutte</w:t>
      </w:r>
      <w:r w:rsidR="00180BBA">
        <w:rPr>
          <w:rFonts w:eastAsia="Times New Roman" w:cstheme="minorHAnsi"/>
          <w:lang w:eastAsia="ar-SA"/>
        </w:rPr>
        <w:t>r</w:t>
      </w:r>
      <w:r w:rsidR="00B11CE0" w:rsidRPr="00B11CE0">
        <w:rPr>
          <w:rFonts w:eastAsia="Times New Roman" w:cstheme="minorHAnsi"/>
          <w:lang w:eastAsia="ar-SA"/>
        </w:rPr>
        <w:t xml:space="preserve"> contre l’immigration clandestine, l’habitat insalubre et la délinquance. Selon les différentes sources (associations, journalistes, avoc</w:t>
      </w:r>
      <w:r w:rsidR="00B11CE0">
        <w:rPr>
          <w:rFonts w:eastAsia="Times New Roman" w:cstheme="minorHAnsi"/>
          <w:lang w:eastAsia="ar-SA"/>
        </w:rPr>
        <w:t>a</w:t>
      </w:r>
      <w:r w:rsidR="0070035B">
        <w:rPr>
          <w:rFonts w:eastAsia="Times New Roman" w:cstheme="minorHAnsi"/>
          <w:lang w:eastAsia="ar-SA"/>
        </w:rPr>
        <w:t xml:space="preserve">ts…), </w:t>
      </w:r>
      <w:r w:rsidR="0070035B" w:rsidRPr="00D94739">
        <w:rPr>
          <w:rFonts w:eastAsia="Times New Roman" w:cstheme="minorHAnsi"/>
          <w:b/>
          <w:lang w:eastAsia="ar-SA"/>
        </w:rPr>
        <w:t>cette opération nommée « </w:t>
      </w:r>
      <w:proofErr w:type="spellStart"/>
      <w:r w:rsidR="0070035B" w:rsidRPr="00D94739">
        <w:rPr>
          <w:rFonts w:eastAsia="Times New Roman" w:cstheme="minorHAnsi"/>
          <w:b/>
          <w:lang w:eastAsia="ar-SA"/>
        </w:rPr>
        <w:t>W</w:t>
      </w:r>
      <w:r w:rsidR="00B11CE0" w:rsidRPr="00D94739">
        <w:rPr>
          <w:rFonts w:eastAsia="Times New Roman" w:cstheme="minorHAnsi"/>
          <w:b/>
          <w:lang w:eastAsia="ar-SA"/>
        </w:rPr>
        <w:t>uambushu</w:t>
      </w:r>
      <w:proofErr w:type="spellEnd"/>
      <w:r w:rsidR="00B11CE0" w:rsidRPr="00D94739">
        <w:rPr>
          <w:rFonts w:eastAsia="Times New Roman" w:cstheme="minorHAnsi"/>
          <w:b/>
          <w:lang w:eastAsia="ar-SA"/>
        </w:rPr>
        <w:t> »</w:t>
      </w:r>
      <w:r w:rsidR="00B11CE0" w:rsidRPr="00B11CE0">
        <w:rPr>
          <w:rFonts w:eastAsia="Times New Roman" w:cstheme="minorHAnsi"/>
          <w:lang w:eastAsia="ar-SA"/>
        </w:rPr>
        <w:t xml:space="preserve"> (</w:t>
      </w:r>
      <w:r w:rsidR="00B11CE0" w:rsidRPr="00B11CE0">
        <w:rPr>
          <w:rFonts w:eastAsia="Times New Roman" w:cstheme="minorHAnsi"/>
          <w:i/>
          <w:lang w:eastAsia="ar-SA"/>
        </w:rPr>
        <w:t>trad : oser, prendre le risque de faire quelque chose, titiller</w:t>
      </w:r>
      <w:r w:rsidR="00B11CE0" w:rsidRPr="00B11CE0">
        <w:rPr>
          <w:rFonts w:eastAsia="Times New Roman" w:cstheme="minorHAnsi"/>
          <w:lang w:eastAsia="ar-SA"/>
        </w:rPr>
        <w:t xml:space="preserve">) par le ministère de l’intérieur, aurait pour objectif à la fois la destruction des habitats insalubres et illégaux </w:t>
      </w:r>
      <w:r w:rsidR="00180BBA">
        <w:rPr>
          <w:rFonts w:eastAsia="Times New Roman" w:cstheme="minorHAnsi"/>
          <w:lang w:eastAsia="ar-SA"/>
        </w:rPr>
        <w:t xml:space="preserve">dits </w:t>
      </w:r>
      <w:r w:rsidR="00B11CE0" w:rsidRPr="00B11CE0">
        <w:rPr>
          <w:rFonts w:eastAsia="Times New Roman" w:cstheme="minorHAnsi"/>
          <w:lang w:eastAsia="ar-SA"/>
        </w:rPr>
        <w:t xml:space="preserve">« </w:t>
      </w:r>
      <w:proofErr w:type="spellStart"/>
      <w:r w:rsidR="00B11CE0" w:rsidRPr="00B11CE0">
        <w:rPr>
          <w:rFonts w:eastAsia="Times New Roman" w:cstheme="minorHAnsi"/>
          <w:lang w:eastAsia="ar-SA"/>
        </w:rPr>
        <w:t>bangas</w:t>
      </w:r>
      <w:proofErr w:type="spellEnd"/>
      <w:r w:rsidR="00697958">
        <w:rPr>
          <w:rFonts w:eastAsia="Times New Roman" w:cstheme="minorHAnsi"/>
          <w:lang w:eastAsia="ar-SA"/>
        </w:rPr>
        <w:t xml:space="preserve"> </w:t>
      </w:r>
      <w:r w:rsidR="00B11CE0" w:rsidRPr="00B11CE0">
        <w:rPr>
          <w:rFonts w:eastAsia="Times New Roman" w:cstheme="minorHAnsi"/>
          <w:lang w:eastAsia="ar-SA"/>
        </w:rPr>
        <w:t xml:space="preserve">», </w:t>
      </w:r>
      <w:r w:rsidR="0090478F">
        <w:rPr>
          <w:rFonts w:eastAsia="Times New Roman" w:cstheme="minorHAnsi"/>
          <w:lang w:eastAsia="ar-SA"/>
        </w:rPr>
        <w:t>et l’expulsion</w:t>
      </w:r>
      <w:r w:rsidR="00B11CE0" w:rsidRPr="00B11CE0">
        <w:rPr>
          <w:rFonts w:eastAsia="Times New Roman" w:cstheme="minorHAnsi"/>
          <w:lang w:eastAsia="ar-SA"/>
        </w:rPr>
        <w:t xml:space="preserve"> des personnes </w:t>
      </w:r>
      <w:r w:rsidR="0090478F">
        <w:rPr>
          <w:rFonts w:eastAsia="Times New Roman" w:cstheme="minorHAnsi"/>
          <w:lang w:eastAsia="ar-SA"/>
        </w:rPr>
        <w:t xml:space="preserve">qui y seraient logées et </w:t>
      </w:r>
      <w:r w:rsidR="0090478F" w:rsidRPr="00B11CE0">
        <w:rPr>
          <w:rFonts w:eastAsia="Times New Roman" w:cstheme="minorHAnsi"/>
          <w:lang w:eastAsia="ar-SA"/>
        </w:rPr>
        <w:t>supposé</w:t>
      </w:r>
      <w:r w:rsidR="0090478F">
        <w:rPr>
          <w:rFonts w:eastAsia="Times New Roman" w:cstheme="minorHAnsi"/>
          <w:lang w:eastAsia="ar-SA"/>
        </w:rPr>
        <w:t xml:space="preserve">es être </w:t>
      </w:r>
      <w:r w:rsidR="00B11CE0" w:rsidRPr="00B11CE0">
        <w:rPr>
          <w:rFonts w:eastAsia="Times New Roman" w:cstheme="minorHAnsi"/>
          <w:lang w:eastAsia="ar-SA"/>
        </w:rPr>
        <w:t xml:space="preserve">d’origine étrangère en situation </w:t>
      </w:r>
      <w:r w:rsidR="00CE7CC3">
        <w:rPr>
          <w:rFonts w:eastAsia="Times New Roman" w:cstheme="minorHAnsi"/>
          <w:lang w:eastAsia="ar-SA"/>
        </w:rPr>
        <w:t>irrégulière</w:t>
      </w:r>
      <w:r w:rsidR="00037F46">
        <w:rPr>
          <w:rFonts w:eastAsia="Times New Roman" w:cstheme="minorHAnsi"/>
          <w:lang w:eastAsia="ar-SA"/>
        </w:rPr>
        <w:t xml:space="preserve">. Les expulsions seraient </w:t>
      </w:r>
      <w:r w:rsidR="00B11CE0" w:rsidRPr="00B11CE0">
        <w:rPr>
          <w:rFonts w:eastAsia="Times New Roman" w:cstheme="minorHAnsi"/>
          <w:lang w:eastAsia="ar-SA"/>
        </w:rPr>
        <w:t>suivi</w:t>
      </w:r>
      <w:r w:rsidR="00037F46">
        <w:rPr>
          <w:rFonts w:eastAsia="Times New Roman" w:cstheme="minorHAnsi"/>
          <w:lang w:eastAsia="ar-SA"/>
        </w:rPr>
        <w:t>e</w:t>
      </w:r>
      <w:r w:rsidR="00B11CE0" w:rsidRPr="00B11CE0">
        <w:rPr>
          <w:rFonts w:eastAsia="Times New Roman" w:cstheme="minorHAnsi"/>
          <w:lang w:eastAsia="ar-SA"/>
        </w:rPr>
        <w:t xml:space="preserve">s de reconduites à la frontière, avec </w:t>
      </w:r>
      <w:r w:rsidR="00DC7812">
        <w:rPr>
          <w:rFonts w:eastAsia="Times New Roman" w:cstheme="minorHAnsi"/>
          <w:lang w:eastAsia="ar-SA"/>
        </w:rPr>
        <w:t>un renforcement</w:t>
      </w:r>
      <w:r w:rsidR="00B11CE0" w:rsidRPr="00B11CE0">
        <w:rPr>
          <w:rFonts w:eastAsia="Times New Roman" w:cstheme="minorHAnsi"/>
          <w:lang w:eastAsia="ar-SA"/>
        </w:rPr>
        <w:t xml:space="preserve"> des allers-retours </w:t>
      </w:r>
      <w:r w:rsidR="00DC7812">
        <w:rPr>
          <w:rFonts w:eastAsia="Times New Roman" w:cstheme="minorHAnsi"/>
          <w:lang w:eastAsia="ar-SA"/>
        </w:rPr>
        <w:t xml:space="preserve">journaliers </w:t>
      </w:r>
      <w:r w:rsidR="00B11CE0" w:rsidRPr="00B11CE0">
        <w:rPr>
          <w:rFonts w:eastAsia="Times New Roman" w:cstheme="minorHAnsi"/>
          <w:lang w:eastAsia="ar-SA"/>
        </w:rPr>
        <w:t xml:space="preserve">par </w:t>
      </w:r>
      <w:r w:rsidR="00037F46" w:rsidRPr="00B11CE0">
        <w:rPr>
          <w:rFonts w:eastAsia="Times New Roman" w:cstheme="minorHAnsi"/>
          <w:lang w:eastAsia="ar-SA"/>
        </w:rPr>
        <w:t>b</w:t>
      </w:r>
      <w:r w:rsidR="00037F46">
        <w:rPr>
          <w:rFonts w:eastAsia="Times New Roman" w:cstheme="minorHAnsi"/>
          <w:lang w:eastAsia="ar-SA"/>
        </w:rPr>
        <w:t>a</w:t>
      </w:r>
      <w:r w:rsidR="00037F46" w:rsidRPr="00B11CE0">
        <w:rPr>
          <w:rFonts w:eastAsia="Times New Roman" w:cstheme="minorHAnsi"/>
          <w:lang w:eastAsia="ar-SA"/>
        </w:rPr>
        <w:t>teaux</w:t>
      </w:r>
      <w:r w:rsidR="00B11CE0" w:rsidRPr="00B11CE0">
        <w:rPr>
          <w:rFonts w:eastAsia="Times New Roman" w:cstheme="minorHAnsi"/>
          <w:lang w:eastAsia="ar-SA"/>
        </w:rPr>
        <w:t xml:space="preserve"> réservés aux reconduites entre Mayotte et les Comores (</w:t>
      </w:r>
      <w:r w:rsidR="00037F46">
        <w:rPr>
          <w:rFonts w:eastAsia="Times New Roman" w:cstheme="minorHAnsi"/>
          <w:lang w:eastAsia="ar-SA"/>
        </w:rPr>
        <w:t xml:space="preserve">ils concerneraient plus de </w:t>
      </w:r>
      <w:r w:rsidR="00B11CE0" w:rsidRPr="00B11CE0">
        <w:rPr>
          <w:rFonts w:eastAsia="Times New Roman" w:cstheme="minorHAnsi"/>
          <w:lang w:eastAsia="ar-SA"/>
        </w:rPr>
        <w:t>250 personnes</w:t>
      </w:r>
      <w:r w:rsidR="00037F46">
        <w:rPr>
          <w:rFonts w:eastAsia="Times New Roman" w:cstheme="minorHAnsi"/>
          <w:lang w:eastAsia="ar-SA"/>
        </w:rPr>
        <w:t xml:space="preserve"> par </w:t>
      </w:r>
      <w:r w:rsidR="00B11CE0" w:rsidRPr="00B11CE0">
        <w:rPr>
          <w:rFonts w:eastAsia="Times New Roman" w:cstheme="minorHAnsi"/>
          <w:lang w:eastAsia="ar-SA"/>
        </w:rPr>
        <w:t>jour avec des rotations de 2 bateaux</w:t>
      </w:r>
      <w:r w:rsidR="00037F46">
        <w:rPr>
          <w:rFonts w:eastAsia="Times New Roman" w:cstheme="minorHAnsi"/>
          <w:lang w:eastAsia="ar-SA"/>
        </w:rPr>
        <w:t xml:space="preserve"> par</w:t>
      </w:r>
      <w:r w:rsidR="0070035B">
        <w:rPr>
          <w:rFonts w:eastAsia="Times New Roman" w:cstheme="minorHAnsi"/>
          <w:lang w:eastAsia="ar-SA"/>
        </w:rPr>
        <w:t xml:space="preserve"> </w:t>
      </w:r>
      <w:r w:rsidR="00B11CE0" w:rsidRPr="00B11CE0">
        <w:rPr>
          <w:rFonts w:eastAsia="Times New Roman" w:cstheme="minorHAnsi"/>
          <w:lang w:eastAsia="ar-SA"/>
        </w:rPr>
        <w:t xml:space="preserve">jour en non-commercial et </w:t>
      </w:r>
      <w:r w:rsidR="00037F46">
        <w:rPr>
          <w:rFonts w:eastAsia="Times New Roman" w:cstheme="minorHAnsi"/>
          <w:lang w:eastAsia="ar-SA"/>
        </w:rPr>
        <w:t xml:space="preserve">auraient pour conséquence probable la réduction encore du </w:t>
      </w:r>
      <w:r w:rsidR="00B11CE0" w:rsidRPr="00B11CE0">
        <w:rPr>
          <w:rFonts w:eastAsia="Times New Roman" w:cstheme="minorHAnsi"/>
          <w:lang w:eastAsia="ar-SA"/>
        </w:rPr>
        <w:t>temps passé en rétention, actuellement</w:t>
      </w:r>
      <w:r w:rsidR="00DC7812">
        <w:rPr>
          <w:rFonts w:eastAsia="Times New Roman" w:cstheme="minorHAnsi"/>
          <w:lang w:eastAsia="ar-SA"/>
        </w:rPr>
        <w:t xml:space="preserve"> de </w:t>
      </w:r>
      <w:r w:rsidR="00B11CE0" w:rsidRPr="00B11CE0">
        <w:rPr>
          <w:rFonts w:eastAsia="Times New Roman" w:cstheme="minorHAnsi"/>
          <w:lang w:eastAsia="ar-SA"/>
        </w:rPr>
        <w:t xml:space="preserve">17h en moyenne). </w:t>
      </w:r>
    </w:p>
    <w:p w14:paraId="0271EB58" w14:textId="407B71BF" w:rsidR="00B11CE0" w:rsidRDefault="00B11CE0" w:rsidP="00B11CE0">
      <w:pPr>
        <w:jc w:val="both"/>
        <w:rPr>
          <w:lang w:eastAsia="fr-FR"/>
        </w:rPr>
      </w:pPr>
      <w:r>
        <w:rPr>
          <w:lang w:eastAsia="fr-FR"/>
        </w:rPr>
        <w:t>Or</w:t>
      </w:r>
      <w:r w:rsidR="00037F46">
        <w:rPr>
          <w:lang w:eastAsia="fr-FR"/>
        </w:rPr>
        <w:t>, il convient de souligner que</w:t>
      </w:r>
      <w:r>
        <w:rPr>
          <w:lang w:eastAsia="fr-FR"/>
        </w:rPr>
        <w:t xml:space="preserve"> la population habitant ces bidonvilles</w:t>
      </w:r>
      <w:r w:rsidR="0090478F">
        <w:rPr>
          <w:lang w:eastAsia="fr-FR"/>
        </w:rPr>
        <w:t>,</w:t>
      </w:r>
      <w:r>
        <w:rPr>
          <w:lang w:eastAsia="fr-FR"/>
        </w:rPr>
        <w:t xml:space="preserve"> principalement autour de Mamoudzou</w:t>
      </w:r>
      <w:r w:rsidR="0090478F">
        <w:rPr>
          <w:lang w:eastAsia="fr-FR"/>
        </w:rPr>
        <w:t>,</w:t>
      </w:r>
      <w:r>
        <w:rPr>
          <w:lang w:eastAsia="fr-FR"/>
        </w:rPr>
        <w:t xml:space="preserve"> </w:t>
      </w:r>
      <w:r w:rsidR="0090478F">
        <w:rPr>
          <w:lang w:eastAsia="fr-FR"/>
        </w:rPr>
        <w:t>n’est</w:t>
      </w:r>
      <w:r>
        <w:rPr>
          <w:lang w:eastAsia="fr-FR"/>
        </w:rPr>
        <w:t xml:space="preserve"> pas uniformément composée d’habitants en situation irrégulière. En effet, </w:t>
      </w:r>
      <w:r w:rsidR="0090478F">
        <w:rPr>
          <w:lang w:eastAsia="fr-FR"/>
        </w:rPr>
        <w:t xml:space="preserve">ces lieux regroupent des personnes </w:t>
      </w:r>
      <w:r>
        <w:rPr>
          <w:lang w:eastAsia="fr-FR"/>
        </w:rPr>
        <w:t>français</w:t>
      </w:r>
      <w:r w:rsidR="0090478F">
        <w:rPr>
          <w:lang w:eastAsia="fr-FR"/>
        </w:rPr>
        <w:t>es</w:t>
      </w:r>
      <w:r>
        <w:rPr>
          <w:lang w:eastAsia="fr-FR"/>
        </w:rPr>
        <w:t xml:space="preserve">, étrangères en situation irrégulière, </w:t>
      </w:r>
      <w:r w:rsidR="0090478F">
        <w:rPr>
          <w:lang w:eastAsia="fr-FR"/>
        </w:rPr>
        <w:t xml:space="preserve">étrangères en situation régulière, </w:t>
      </w:r>
      <w:r>
        <w:rPr>
          <w:lang w:eastAsia="fr-FR"/>
        </w:rPr>
        <w:t xml:space="preserve">enfants habitant chez un parent, </w:t>
      </w:r>
      <w:r w:rsidR="0090478F" w:rsidRPr="00D94739">
        <w:rPr>
          <w:b/>
          <w:lang w:eastAsia="fr-FR"/>
        </w:rPr>
        <w:t>…</w:t>
      </w:r>
      <w:r w:rsidRPr="00D94739">
        <w:rPr>
          <w:b/>
          <w:lang w:eastAsia="fr-FR"/>
        </w:rPr>
        <w:t xml:space="preserve">). </w:t>
      </w:r>
      <w:r w:rsidR="0090478F" w:rsidRPr="00D94739">
        <w:rPr>
          <w:b/>
          <w:lang w:eastAsia="fr-FR"/>
        </w:rPr>
        <w:t>Le risque est grand que ces</w:t>
      </w:r>
      <w:r w:rsidRPr="00D94739">
        <w:rPr>
          <w:b/>
          <w:lang w:eastAsia="fr-FR"/>
        </w:rPr>
        <w:t xml:space="preserve"> « décasages » </w:t>
      </w:r>
      <w:r w:rsidR="0090478F" w:rsidRPr="00D94739">
        <w:rPr>
          <w:b/>
          <w:lang w:eastAsia="fr-FR"/>
        </w:rPr>
        <w:t xml:space="preserve">massifs suivis </w:t>
      </w:r>
      <w:r w:rsidR="002547D8" w:rsidRPr="00D94739">
        <w:rPr>
          <w:b/>
          <w:lang w:eastAsia="fr-FR"/>
        </w:rPr>
        <w:t>d’éloignements forcés,</w:t>
      </w:r>
      <w:r w:rsidRPr="00D94739">
        <w:rPr>
          <w:b/>
          <w:lang w:eastAsia="fr-FR"/>
        </w:rPr>
        <w:t xml:space="preserve"> </w:t>
      </w:r>
      <w:r w:rsidR="0090478F" w:rsidRPr="00D94739">
        <w:rPr>
          <w:b/>
          <w:lang w:eastAsia="fr-FR"/>
        </w:rPr>
        <w:t>engendrent</w:t>
      </w:r>
      <w:r w:rsidRPr="00D94739">
        <w:rPr>
          <w:b/>
          <w:lang w:eastAsia="fr-FR"/>
        </w:rPr>
        <w:t>, en nombre, des situations d</w:t>
      </w:r>
      <w:r w:rsidR="00CE7CC3" w:rsidRPr="00D94739">
        <w:rPr>
          <w:b/>
          <w:lang w:eastAsia="fr-FR"/>
        </w:rPr>
        <w:t>’irrégularité et de non-respect</w:t>
      </w:r>
      <w:r w:rsidRPr="00D94739">
        <w:rPr>
          <w:b/>
          <w:lang w:eastAsia="fr-FR"/>
        </w:rPr>
        <w:t xml:space="preserve"> des droits des enfants</w:t>
      </w:r>
      <w:r w:rsidR="00D94739">
        <w:rPr>
          <w:rStyle w:val="FootnoteReference"/>
          <w:b/>
          <w:lang w:eastAsia="fr-FR"/>
        </w:rPr>
        <w:footnoteReference w:id="12"/>
      </w:r>
      <w:r>
        <w:rPr>
          <w:lang w:eastAsia="fr-FR"/>
        </w:rPr>
        <w:t xml:space="preserve">. </w:t>
      </w:r>
    </w:p>
    <w:p w14:paraId="47F0C441" w14:textId="25C92DDB" w:rsidR="00AB02FA" w:rsidRDefault="00AB02FA" w:rsidP="00AB02FA">
      <w:pPr>
        <w:jc w:val="both"/>
        <w:rPr>
          <w:lang w:eastAsia="fr-FR"/>
        </w:rPr>
      </w:pPr>
    </w:p>
    <w:p w14:paraId="31F0F7F6" w14:textId="09BC8CF8" w:rsidR="00AB02FA" w:rsidRDefault="00AB02FA" w:rsidP="00AB02FA">
      <w:pPr>
        <w:jc w:val="both"/>
        <w:rPr>
          <w:lang w:eastAsia="fr-FR"/>
        </w:rPr>
      </w:pPr>
    </w:p>
    <w:p w14:paraId="2178BC92" w14:textId="77777777" w:rsidR="00AB02FA" w:rsidRDefault="00AB02FA" w:rsidP="00AB02FA">
      <w:pPr>
        <w:jc w:val="both"/>
        <w:rPr>
          <w:lang w:eastAsia="fr-FR"/>
        </w:rPr>
      </w:pPr>
    </w:p>
    <w:p w14:paraId="7AA5D62A" w14:textId="77777777" w:rsidR="00AB02FA" w:rsidRPr="00123FAA" w:rsidRDefault="00AB02FA" w:rsidP="00AB02FA">
      <w:pPr>
        <w:pStyle w:val="ListParagraph"/>
        <w:numPr>
          <w:ilvl w:val="0"/>
          <w:numId w:val="10"/>
        </w:numPr>
        <w:jc w:val="both"/>
        <w:rPr>
          <w:b/>
          <w:u w:val="single"/>
          <w:lang w:eastAsia="fr-FR"/>
        </w:rPr>
      </w:pPr>
      <w:r>
        <w:rPr>
          <w:b/>
          <w:u w:val="single"/>
          <w:lang w:eastAsia="fr-FR"/>
        </w:rPr>
        <w:lastRenderedPageBreak/>
        <w:t xml:space="preserve">Les enfants à </w:t>
      </w:r>
      <w:r w:rsidRPr="00123FAA">
        <w:rPr>
          <w:b/>
          <w:u w:val="single"/>
          <w:lang w:eastAsia="fr-FR"/>
        </w:rPr>
        <w:t xml:space="preserve">Mayotte </w:t>
      </w:r>
    </w:p>
    <w:p w14:paraId="47160052" w14:textId="77777777" w:rsidR="00AB02FA" w:rsidRDefault="00AB02FA" w:rsidP="00AB02FA">
      <w:pPr>
        <w:jc w:val="both"/>
      </w:pPr>
      <w:r>
        <w:t>A</w:t>
      </w:r>
      <w:r w:rsidRPr="006C2038">
        <w:t xml:space="preserve"> Mayotte</w:t>
      </w:r>
      <w:r>
        <w:t xml:space="preserve">, le </w:t>
      </w:r>
      <w:r w:rsidRPr="008F1425">
        <w:rPr>
          <w:b/>
        </w:rPr>
        <w:t>dispositif de protection de l’enfance</w:t>
      </w:r>
      <w:r>
        <w:t xml:space="preserve"> continue d’inquiéter le Défenseur des droits qui a alerté les autorités</w:t>
      </w:r>
      <w:r w:rsidRPr="005A236F">
        <w:t xml:space="preserve"> </w:t>
      </w:r>
      <w:r>
        <w:t xml:space="preserve">à plusieurs reprises </w:t>
      </w:r>
      <w:r w:rsidRPr="00015D06">
        <w:rPr>
          <w:vertAlign w:val="superscript"/>
        </w:rPr>
        <w:footnoteReference w:id="13"/>
      </w:r>
      <w:r w:rsidRPr="00015D06">
        <w:t xml:space="preserve">. </w:t>
      </w:r>
    </w:p>
    <w:p w14:paraId="32171565" w14:textId="77777777" w:rsidR="00AB02FA" w:rsidRDefault="00AB02FA" w:rsidP="00AB02FA">
      <w:pPr>
        <w:jc w:val="both"/>
      </w:pPr>
      <w:r>
        <w:t xml:space="preserve">Selon le rapport </w:t>
      </w:r>
      <w:r w:rsidRPr="009913E8">
        <w:t xml:space="preserve">définitif de </w:t>
      </w:r>
      <w:r>
        <w:t>la mission inter-inspections « </w:t>
      </w:r>
      <w:r w:rsidRPr="009913E8">
        <w:t>évaluation de la prise e</w:t>
      </w:r>
      <w:r>
        <w:t>n charge des mineurs à Mayotte »</w:t>
      </w:r>
      <w:r>
        <w:rPr>
          <w:rStyle w:val="FootnoteReference"/>
        </w:rPr>
        <w:footnoteReference w:id="14"/>
      </w:r>
      <w:r>
        <w:t xml:space="preserve">, dont le Défenseur des droits a pu récemment prendre connaissance, « </w:t>
      </w:r>
      <w:r w:rsidRPr="002031C7">
        <w:rPr>
          <w:i/>
        </w:rPr>
        <w:t>Le contexte de précarité, la plus ou moins grande clandestinité des familles en situation irrégulière, la fragilité des institutions, l'affaiblissement des structures traditionnelles sont autant de facteurs qui aggravent les situations de danger et de risque de danger des mineurs. Les travailleurs sociaux rencontrés par la Mission, qu'ils exercent dans les services de l'Etat, du conseil départemental ou du secteur associatif, alertent régulièrement les autorités compétentes sur les besoins de toute nature des enfants qui ne sont que très partiellement, voire pas du tout satisfaits. La Mission a observé à quel point les besoins fondamentaux d'une grande partie des mineurs, au premier rang desquels, celui de la sécurité sont très peu respectés. Dans le contexte social actuel, selon plusieurs acteurs rencontrés par la Mission, l'application formelle des dispositions nationales en vigueur pourrait se traduire par l'ouverture d'une mesure de protection de l'enfance pour environ « la moitié des mineurs » résidant à Mayotte. Cette hypothèse suffit à dire la spécificité et la gravité de la situation à Mayotte</w:t>
      </w:r>
      <w:r>
        <w:t> ».</w:t>
      </w:r>
    </w:p>
    <w:p w14:paraId="3A9C81BC" w14:textId="77777777" w:rsidR="00AB02FA" w:rsidRDefault="00AB02FA" w:rsidP="00AB02FA">
      <w:pPr>
        <w:jc w:val="both"/>
        <w:rPr>
          <w:lang w:eastAsia="fr-FR"/>
        </w:rPr>
      </w:pPr>
      <w:r>
        <w:rPr>
          <w:lang w:eastAsia="fr-FR"/>
        </w:rPr>
        <w:t xml:space="preserve">Les </w:t>
      </w:r>
      <w:r w:rsidRPr="008F1425">
        <w:rPr>
          <w:lang w:eastAsia="fr-FR"/>
        </w:rPr>
        <w:t>difficultés systémiques de l’ASE dans ce département mériteraient le déploiement d’une véritable politique de l’enfance dans le département.</w:t>
      </w:r>
    </w:p>
    <w:p w14:paraId="2129CC0F" w14:textId="77777777" w:rsidR="00AB02FA" w:rsidRDefault="00AB02FA" w:rsidP="00AB02FA">
      <w:pPr>
        <w:jc w:val="both"/>
        <w:rPr>
          <w:lang w:eastAsia="fr-FR"/>
        </w:rPr>
      </w:pPr>
      <w:r>
        <w:rPr>
          <w:lang w:eastAsia="fr-FR"/>
        </w:rPr>
        <w:t xml:space="preserve">S’agissant du </w:t>
      </w:r>
      <w:r w:rsidRPr="008F1425">
        <w:rPr>
          <w:b/>
          <w:lang w:eastAsia="fr-FR"/>
        </w:rPr>
        <w:t>droit à l’éducation</w:t>
      </w:r>
      <w:r>
        <w:rPr>
          <w:lang w:eastAsia="fr-FR"/>
        </w:rPr>
        <w:t xml:space="preserve"> des enfants qui vivent à Mayotte, la Défenseure des droits alerte le Comité sur les données contenues dans le rapport précité. Ainsi,</w:t>
      </w:r>
      <w:r w:rsidRPr="008F1425">
        <w:rPr>
          <w:lang w:eastAsia="fr-FR"/>
        </w:rPr>
        <w:t xml:space="preserve"> l'académie </w:t>
      </w:r>
      <w:r>
        <w:rPr>
          <w:lang w:eastAsia="fr-FR"/>
        </w:rPr>
        <w:t>de Mayotte</w:t>
      </w:r>
      <w:r w:rsidRPr="008F1425">
        <w:rPr>
          <w:lang w:eastAsia="fr-FR"/>
        </w:rPr>
        <w:t xml:space="preserve"> enregistre les plus mauvaises performances scolaires de France, et cela aussi bien en début d</w:t>
      </w:r>
      <w:r>
        <w:rPr>
          <w:lang w:eastAsia="fr-FR"/>
        </w:rPr>
        <w:t xml:space="preserve">e cycle </w:t>
      </w:r>
      <w:r w:rsidRPr="008F1425">
        <w:rPr>
          <w:lang w:eastAsia="fr-FR"/>
        </w:rPr>
        <w:t xml:space="preserve">élémentaire, en début de </w:t>
      </w:r>
      <w:r>
        <w:rPr>
          <w:lang w:eastAsia="fr-FR"/>
        </w:rPr>
        <w:t xml:space="preserve">classe de </w:t>
      </w:r>
      <w:r w:rsidRPr="008F1425">
        <w:rPr>
          <w:lang w:eastAsia="fr-FR"/>
        </w:rPr>
        <w:t xml:space="preserve">sixième qu'en fin de </w:t>
      </w:r>
      <w:r>
        <w:rPr>
          <w:lang w:eastAsia="fr-FR"/>
        </w:rPr>
        <w:t xml:space="preserve">classe de </w:t>
      </w:r>
      <w:r w:rsidRPr="008F1425">
        <w:rPr>
          <w:lang w:eastAsia="fr-FR"/>
        </w:rPr>
        <w:t xml:space="preserve">troisième. </w:t>
      </w:r>
    </w:p>
    <w:p w14:paraId="5B862F38" w14:textId="77777777" w:rsidR="00AB02FA" w:rsidRPr="008F1425" w:rsidRDefault="00AB02FA" w:rsidP="00AB02FA">
      <w:pPr>
        <w:jc w:val="both"/>
        <w:rPr>
          <w:lang w:eastAsia="fr-FR"/>
        </w:rPr>
      </w:pPr>
      <w:r w:rsidRPr="008F1425">
        <w:rPr>
          <w:lang w:eastAsia="fr-FR"/>
        </w:rPr>
        <w:t>Selon l</w:t>
      </w:r>
      <w:r>
        <w:rPr>
          <w:lang w:eastAsia="fr-FR"/>
        </w:rPr>
        <w:t>es données communiquées par le r</w:t>
      </w:r>
      <w:r w:rsidRPr="008F1425">
        <w:rPr>
          <w:lang w:eastAsia="fr-FR"/>
        </w:rPr>
        <w:t xml:space="preserve">ectorat, sur l'ensemble des jeunes en âge de scolarisation, de l'âge de 3 ans (début de la scolarisation) à l'âge de 18 ans (fin de </w:t>
      </w:r>
      <w:r>
        <w:rPr>
          <w:lang w:eastAsia="fr-FR"/>
        </w:rPr>
        <w:t xml:space="preserve">la </w:t>
      </w:r>
      <w:r w:rsidRPr="008F1425">
        <w:rPr>
          <w:lang w:eastAsia="fr-FR"/>
        </w:rPr>
        <w:t xml:space="preserve">période d'obligation de formation), 15 462 mineurs </w:t>
      </w:r>
      <w:r>
        <w:rPr>
          <w:lang w:eastAsia="fr-FR"/>
        </w:rPr>
        <w:t>n’étaient</w:t>
      </w:r>
      <w:r w:rsidRPr="008F1425">
        <w:rPr>
          <w:lang w:eastAsia="fr-FR"/>
        </w:rPr>
        <w:t xml:space="preserve"> pas scolarisés</w:t>
      </w:r>
      <w:r>
        <w:rPr>
          <w:lang w:eastAsia="fr-FR"/>
        </w:rPr>
        <w:t>, à la date de rédaction du rapport</w:t>
      </w:r>
      <w:r w:rsidRPr="008F1425">
        <w:rPr>
          <w:lang w:eastAsia="fr-FR"/>
        </w:rPr>
        <w:t xml:space="preserve">. </w:t>
      </w:r>
      <w:r>
        <w:rPr>
          <w:lang w:eastAsia="fr-FR"/>
        </w:rPr>
        <w:t>S’agissant de la période d’</w:t>
      </w:r>
      <w:r w:rsidRPr="008F1425">
        <w:rPr>
          <w:lang w:eastAsia="fr-FR"/>
        </w:rPr>
        <w:t>âge de l'instruct</w:t>
      </w:r>
      <w:r>
        <w:rPr>
          <w:lang w:eastAsia="fr-FR"/>
        </w:rPr>
        <w:t xml:space="preserve">ion obligatoire (3-16 ans), ils étaient </w:t>
      </w:r>
      <w:r w:rsidRPr="008F1425">
        <w:rPr>
          <w:lang w:eastAsia="fr-FR"/>
        </w:rPr>
        <w:t>11 735, soit 12,1 % de la classe d'âge</w:t>
      </w:r>
      <w:r>
        <w:rPr>
          <w:rStyle w:val="FootnoteReference"/>
          <w:lang w:eastAsia="fr-FR"/>
        </w:rPr>
        <w:footnoteReference w:id="15"/>
      </w:r>
      <w:r w:rsidRPr="008F1425">
        <w:rPr>
          <w:lang w:eastAsia="fr-FR"/>
        </w:rPr>
        <w:t>.</w:t>
      </w:r>
    </w:p>
    <w:p w14:paraId="45CE5408" w14:textId="77777777" w:rsidR="00AB02FA" w:rsidRDefault="00AB02FA" w:rsidP="00AB02FA">
      <w:pPr>
        <w:jc w:val="both"/>
        <w:rPr>
          <w:lang w:eastAsia="fr-FR"/>
        </w:rPr>
      </w:pPr>
      <w:r>
        <w:rPr>
          <w:lang w:eastAsia="fr-FR"/>
        </w:rPr>
        <w:t>Le rapport précise qu’e</w:t>
      </w:r>
      <w:r w:rsidRPr="008F1425">
        <w:rPr>
          <w:lang w:eastAsia="fr-FR"/>
        </w:rPr>
        <w:t>n 2020, 9 278</w:t>
      </w:r>
      <w:r>
        <w:rPr>
          <w:rStyle w:val="FootnoteReference"/>
          <w:lang w:eastAsia="fr-FR"/>
        </w:rPr>
        <w:footnoteReference w:id="16"/>
      </w:r>
      <w:r w:rsidRPr="008F1425">
        <w:rPr>
          <w:lang w:eastAsia="fr-FR"/>
        </w:rPr>
        <w:t xml:space="preserve"> </w:t>
      </w:r>
      <w:r>
        <w:rPr>
          <w:lang w:eastAsia="fr-FR"/>
        </w:rPr>
        <w:t xml:space="preserve">enfants </w:t>
      </w:r>
      <w:r w:rsidRPr="008F1425">
        <w:rPr>
          <w:lang w:eastAsia="fr-FR"/>
        </w:rPr>
        <w:t>en âge d'aller à l'école primaire (maternelle plus élémentaire)</w:t>
      </w:r>
      <w:r>
        <w:rPr>
          <w:lang w:eastAsia="fr-FR"/>
        </w:rPr>
        <w:t>,</w:t>
      </w:r>
      <w:r w:rsidRPr="008F1425" w:rsidDel="00F35FA8">
        <w:rPr>
          <w:lang w:eastAsia="fr-FR"/>
        </w:rPr>
        <w:t xml:space="preserve"> </w:t>
      </w:r>
      <w:r>
        <w:rPr>
          <w:lang w:eastAsia="fr-FR"/>
        </w:rPr>
        <w:t>n’étaient</w:t>
      </w:r>
      <w:r w:rsidRPr="008F1425">
        <w:rPr>
          <w:lang w:eastAsia="fr-FR"/>
        </w:rPr>
        <w:t xml:space="preserve"> pas scolarisés. Alors que l'instruction est obligatoire dès l'âge de 3 ans depuis la rentrée </w:t>
      </w:r>
      <w:r>
        <w:rPr>
          <w:lang w:eastAsia="fr-FR"/>
        </w:rPr>
        <w:t>2021-2022, seuls 55,2 % des enfants de 3 ans et 87,8</w:t>
      </w:r>
      <w:r w:rsidRPr="008F1425">
        <w:rPr>
          <w:lang w:eastAsia="fr-FR"/>
        </w:rPr>
        <w:t xml:space="preserve"> % des enfants de 4 ans </w:t>
      </w:r>
      <w:r>
        <w:rPr>
          <w:lang w:eastAsia="fr-FR"/>
        </w:rPr>
        <w:t>étaient alors</w:t>
      </w:r>
      <w:r w:rsidRPr="008F1425">
        <w:rPr>
          <w:lang w:eastAsia="fr-FR"/>
        </w:rPr>
        <w:t xml:space="preserve"> scolarisés. </w:t>
      </w:r>
    </w:p>
    <w:p w14:paraId="177A84D6" w14:textId="77777777" w:rsidR="00AB02FA" w:rsidRDefault="00AB02FA" w:rsidP="00AB02FA">
      <w:pPr>
        <w:jc w:val="both"/>
        <w:rPr>
          <w:lang w:eastAsia="fr-FR"/>
        </w:rPr>
      </w:pPr>
      <w:r>
        <w:rPr>
          <w:lang w:eastAsia="fr-FR"/>
        </w:rPr>
        <w:lastRenderedPageBreak/>
        <w:t>De fait, t</w:t>
      </w:r>
      <w:r w:rsidRPr="008F1425">
        <w:rPr>
          <w:lang w:eastAsia="fr-FR"/>
        </w:rPr>
        <w:t xml:space="preserve">ous les enfants en âge d'être scolarisés ne sont pas inscrits par les communes ; </w:t>
      </w:r>
      <w:r>
        <w:rPr>
          <w:lang w:eastAsia="fr-FR"/>
        </w:rPr>
        <w:t xml:space="preserve">et </w:t>
      </w:r>
      <w:r w:rsidRPr="008F1425">
        <w:rPr>
          <w:lang w:eastAsia="fr-FR"/>
        </w:rPr>
        <w:t xml:space="preserve">tous les élèves inscrits ne sont pas scolarisés. Cela est essentiellement dû à </w:t>
      </w:r>
      <w:r>
        <w:rPr>
          <w:lang w:eastAsia="fr-FR"/>
        </w:rPr>
        <w:t>l’</w:t>
      </w:r>
      <w:r w:rsidRPr="008F1425">
        <w:rPr>
          <w:lang w:eastAsia="fr-FR"/>
        </w:rPr>
        <w:t>insuffisance des capacités d'accueil</w:t>
      </w:r>
      <w:r>
        <w:rPr>
          <w:lang w:eastAsia="fr-FR"/>
        </w:rPr>
        <w:t xml:space="preserve"> et</w:t>
      </w:r>
      <w:r w:rsidRPr="008F1425">
        <w:rPr>
          <w:lang w:eastAsia="fr-FR"/>
        </w:rPr>
        <w:t xml:space="preserve"> du nombre de salles de classe disponibles.</w:t>
      </w:r>
      <w:r>
        <w:rPr>
          <w:lang w:eastAsia="fr-FR"/>
        </w:rPr>
        <w:t xml:space="preserve"> </w:t>
      </w:r>
    </w:p>
    <w:p w14:paraId="5246B59F" w14:textId="77777777" w:rsidR="00AB02FA" w:rsidRPr="008F1425" w:rsidRDefault="00AB02FA" w:rsidP="00AB02FA">
      <w:pPr>
        <w:jc w:val="both"/>
        <w:rPr>
          <w:lang w:eastAsia="fr-FR"/>
        </w:rPr>
      </w:pPr>
      <w:r w:rsidRPr="008F1425">
        <w:rPr>
          <w:lang w:eastAsia="fr-FR" w:bidi="fr-FR"/>
        </w:rPr>
        <w:t xml:space="preserve">Le rapport interministériel sur les constructions scolaires de 2019 considérait </w:t>
      </w:r>
      <w:r>
        <w:rPr>
          <w:lang w:eastAsia="fr-FR" w:bidi="fr-FR"/>
        </w:rPr>
        <w:t xml:space="preserve">déjà </w:t>
      </w:r>
      <w:r w:rsidRPr="008F1425">
        <w:rPr>
          <w:lang w:eastAsia="fr-FR" w:bidi="fr-FR"/>
        </w:rPr>
        <w:t>qu'en 2018, 600 salles de classe manquaient pour supprimer les rotations et garantir la scolarisation pour tous</w:t>
      </w:r>
      <w:r>
        <w:rPr>
          <w:lang w:eastAsia="fr-FR" w:bidi="fr-FR"/>
        </w:rPr>
        <w:t>,</w:t>
      </w:r>
      <w:r w:rsidRPr="008F1425">
        <w:rPr>
          <w:lang w:eastAsia="fr-FR" w:bidi="fr-FR"/>
        </w:rPr>
        <w:t xml:space="preserve"> et qu'à l'horizon 2027, il faudrait en créer 857. La situation s'est depuis détériorée. Entre 2014 et 2020, 122 salles de classe ont été livrées soit une moyenne de 17,5 salles par an alors qu'il en faudrait environ 80 par an. A ce rythme, 49 ans seraient nécessaires pour que toutes les salles de classe soient construites.</w:t>
      </w:r>
    </w:p>
    <w:p w14:paraId="7DB27138" w14:textId="77777777" w:rsidR="00AB02FA" w:rsidRPr="008F1425" w:rsidRDefault="00AB02FA" w:rsidP="00AB02FA">
      <w:pPr>
        <w:jc w:val="both"/>
        <w:rPr>
          <w:lang w:eastAsia="fr-FR" w:bidi="fr-FR"/>
        </w:rPr>
      </w:pPr>
      <w:r w:rsidRPr="008F1425">
        <w:rPr>
          <w:lang w:eastAsia="fr-FR" w:bidi="fr-FR"/>
        </w:rPr>
        <w:t>En 2020, au taux d'encadrement de 2019 (21 élèves par classe), il manqu</w:t>
      </w:r>
      <w:r>
        <w:rPr>
          <w:lang w:eastAsia="fr-FR" w:bidi="fr-FR"/>
        </w:rPr>
        <w:t>ait</w:t>
      </w:r>
      <w:r w:rsidRPr="008F1425">
        <w:rPr>
          <w:lang w:eastAsia="fr-FR" w:bidi="fr-FR"/>
        </w:rPr>
        <w:t xml:space="preserve"> 441 salles de classe pour que l'école soit en mesure de scolariser tous les élèves. Il convient d'ajouter les 365 salles (selon le rectorat) qui seraient nécessaires pour supprimer les rotations</w:t>
      </w:r>
      <w:r>
        <w:rPr>
          <w:rStyle w:val="FootnoteReference"/>
          <w:lang w:eastAsia="fr-FR" w:bidi="fr-FR"/>
        </w:rPr>
        <w:footnoteReference w:id="17"/>
      </w:r>
      <w:r w:rsidRPr="008F1425">
        <w:rPr>
          <w:lang w:eastAsia="fr-FR" w:bidi="fr-FR"/>
        </w:rPr>
        <w:t>. En 2020, ce ne sont plus 600, mais 806 salles de classe qui manqu</w:t>
      </w:r>
      <w:r>
        <w:rPr>
          <w:lang w:eastAsia="fr-FR" w:bidi="fr-FR"/>
        </w:rPr>
        <w:t>ai</w:t>
      </w:r>
      <w:r w:rsidRPr="008F1425">
        <w:rPr>
          <w:lang w:eastAsia="fr-FR" w:bidi="fr-FR"/>
        </w:rPr>
        <w:t xml:space="preserve">ent. </w:t>
      </w:r>
      <w:r>
        <w:rPr>
          <w:lang w:eastAsia="fr-FR" w:bidi="fr-FR"/>
        </w:rPr>
        <w:t>En y ajoutant</w:t>
      </w:r>
      <w:r w:rsidRPr="008F1425">
        <w:rPr>
          <w:lang w:eastAsia="fr-FR" w:bidi="fr-FR"/>
        </w:rPr>
        <w:t xml:space="preserve"> celles qui seraient nécessaires pour faire face à la croissance démographique prévisible d'ici 2027, le chiffre dépasse très nettement les 857 annoncées en 2019.</w:t>
      </w:r>
    </w:p>
    <w:p w14:paraId="41AE7717" w14:textId="77777777" w:rsidR="00AB02FA" w:rsidRDefault="00AB02FA" w:rsidP="00AB02FA">
      <w:pPr>
        <w:jc w:val="both"/>
        <w:rPr>
          <w:lang w:eastAsia="fr-FR"/>
        </w:rPr>
      </w:pPr>
      <w:r w:rsidRPr="008F1425">
        <w:rPr>
          <w:lang w:eastAsia="fr-FR"/>
        </w:rPr>
        <w:t xml:space="preserve">La faiblesse des taux de scolarisation des enfants de </w:t>
      </w:r>
      <w:r>
        <w:rPr>
          <w:lang w:eastAsia="fr-FR"/>
        </w:rPr>
        <w:t>3 à 5</w:t>
      </w:r>
      <w:r w:rsidRPr="008F1425">
        <w:rPr>
          <w:lang w:eastAsia="fr-FR"/>
        </w:rPr>
        <w:t xml:space="preserve"> ans s’avère être un élément particulièrement pénalisant pour des élèves pour lesquels la scolarisation constitue la seule opportunité d'acquérir les compétences nécessaires, notamment en français, langue de scolarisation. </w:t>
      </w:r>
    </w:p>
    <w:p w14:paraId="5D1B9009" w14:textId="77777777" w:rsidR="00AB02FA" w:rsidRPr="008F1425" w:rsidRDefault="00AB02FA" w:rsidP="00AB02FA">
      <w:pPr>
        <w:jc w:val="both"/>
        <w:rPr>
          <w:lang w:eastAsia="fr-FR"/>
        </w:rPr>
      </w:pPr>
      <w:r w:rsidRPr="008F1425">
        <w:rPr>
          <w:lang w:eastAsia="fr-FR"/>
        </w:rPr>
        <w:t>En janvier 2023</w:t>
      </w:r>
      <w:r>
        <w:rPr>
          <w:lang w:eastAsia="fr-FR"/>
        </w:rPr>
        <w:t xml:space="preserve">, </w:t>
      </w:r>
      <w:r w:rsidRPr="00123FAA">
        <w:rPr>
          <w:lang w:eastAsia="fr-FR"/>
        </w:rPr>
        <w:t>17 classes itinérantes</w:t>
      </w:r>
      <w:r w:rsidRPr="008F1425">
        <w:rPr>
          <w:lang w:eastAsia="fr-FR"/>
        </w:rPr>
        <w:t xml:space="preserve"> </w:t>
      </w:r>
      <w:r>
        <w:rPr>
          <w:lang w:eastAsia="fr-FR"/>
        </w:rPr>
        <w:t>ont accueilli</w:t>
      </w:r>
      <w:r w:rsidRPr="008F1425">
        <w:rPr>
          <w:lang w:eastAsia="fr-FR"/>
        </w:rPr>
        <w:t xml:space="preserve"> 969 enfants de petites, moyenne</w:t>
      </w:r>
      <w:r>
        <w:rPr>
          <w:lang w:eastAsia="fr-FR"/>
        </w:rPr>
        <w:t>s</w:t>
      </w:r>
      <w:r w:rsidRPr="008F1425">
        <w:rPr>
          <w:lang w:eastAsia="fr-FR"/>
        </w:rPr>
        <w:t xml:space="preserve"> et </w:t>
      </w:r>
      <w:r>
        <w:rPr>
          <w:lang w:eastAsia="fr-FR"/>
        </w:rPr>
        <w:t xml:space="preserve">grandes sections </w:t>
      </w:r>
      <w:r w:rsidRPr="008F1425">
        <w:rPr>
          <w:lang w:eastAsia="fr-FR"/>
        </w:rPr>
        <w:t>de maternelle</w:t>
      </w:r>
      <w:r>
        <w:rPr>
          <w:lang w:eastAsia="fr-FR"/>
        </w:rPr>
        <w:t>.</w:t>
      </w:r>
      <w:r w:rsidRPr="00123FAA">
        <w:rPr>
          <w:lang w:eastAsia="fr-FR"/>
        </w:rPr>
        <w:t xml:space="preserve"> </w:t>
      </w:r>
      <w:r>
        <w:rPr>
          <w:lang w:eastAsia="fr-FR"/>
        </w:rPr>
        <w:t>Elles réunissent les enfants durant 5h</w:t>
      </w:r>
      <w:r w:rsidRPr="008F1425">
        <w:rPr>
          <w:lang w:eastAsia="fr-FR"/>
        </w:rPr>
        <w:t xml:space="preserve"> </w:t>
      </w:r>
      <w:r>
        <w:rPr>
          <w:lang w:eastAsia="fr-FR"/>
        </w:rPr>
        <w:t>à 12h par semaine dans des « </w:t>
      </w:r>
      <w:r w:rsidRPr="008F1425">
        <w:rPr>
          <w:lang w:eastAsia="fr-FR"/>
        </w:rPr>
        <w:t>classe</w:t>
      </w:r>
      <w:r>
        <w:rPr>
          <w:lang w:eastAsia="fr-FR"/>
        </w:rPr>
        <w:t>s »</w:t>
      </w:r>
      <w:r w:rsidRPr="008F1425">
        <w:rPr>
          <w:lang w:eastAsia="fr-FR"/>
        </w:rPr>
        <w:t xml:space="preserve"> </w:t>
      </w:r>
      <w:r>
        <w:rPr>
          <w:lang w:eastAsia="fr-FR"/>
        </w:rPr>
        <w:t xml:space="preserve">situées </w:t>
      </w:r>
      <w:r w:rsidRPr="008F1425">
        <w:rPr>
          <w:lang w:eastAsia="fr-FR"/>
        </w:rPr>
        <w:t>en deh</w:t>
      </w:r>
      <w:r>
        <w:rPr>
          <w:lang w:eastAsia="fr-FR"/>
        </w:rPr>
        <w:t xml:space="preserve">ors de l’école. </w:t>
      </w:r>
    </w:p>
    <w:p w14:paraId="05718B94" w14:textId="77777777" w:rsidR="00AB02FA" w:rsidRPr="00123FAA" w:rsidRDefault="00AB02FA" w:rsidP="00AB02FA">
      <w:pPr>
        <w:jc w:val="both"/>
        <w:rPr>
          <w:u w:val="single"/>
          <w:lang w:eastAsia="fr-FR"/>
        </w:rPr>
      </w:pPr>
      <w:r w:rsidRPr="00123FAA">
        <w:rPr>
          <w:lang w:eastAsia="fr-FR"/>
        </w:rPr>
        <w:t xml:space="preserve">Au </w:t>
      </w:r>
      <w:r>
        <w:rPr>
          <w:lang w:eastAsia="fr-FR"/>
        </w:rPr>
        <w:t xml:space="preserve">niveau </w:t>
      </w:r>
      <w:r w:rsidRPr="00123FAA">
        <w:rPr>
          <w:lang w:eastAsia="fr-FR"/>
        </w:rPr>
        <w:t xml:space="preserve">collège </w:t>
      </w:r>
      <w:r>
        <w:rPr>
          <w:lang w:eastAsia="fr-FR"/>
        </w:rPr>
        <w:t>et au</w:t>
      </w:r>
      <w:r w:rsidRPr="00123FAA">
        <w:rPr>
          <w:lang w:eastAsia="fr-FR"/>
        </w:rPr>
        <w:t xml:space="preserve"> lycée, de</w:t>
      </w:r>
      <w:r w:rsidRPr="008F1425">
        <w:rPr>
          <w:lang w:eastAsia="fr-FR"/>
        </w:rPr>
        <w:t xml:space="preserve"> nombreux jeunes ne sont pas scolarisés. Si l'on croise les données de l'INSEE avec celle du rectorat, c'est le cas en 2020, de 2 457 jeunes de 11 à 16 ans et de 4 014 jeunes de 11 à 18 ans ; sur les 1 269 allophones nouvellement arrivés recensés par le CASNAV, seuls 523 ont pu être scolarisés. En 2017, seulement 66 % des jeunes de 17 et 18 ans étaient scolarisés à Mayotte contre 86 % pour l'ensemble de la France.</w:t>
      </w:r>
    </w:p>
    <w:p w14:paraId="70046C3A" w14:textId="77777777" w:rsidR="00AB02FA" w:rsidRDefault="00AB02FA" w:rsidP="00AB02FA">
      <w:pPr>
        <w:jc w:val="both"/>
        <w:rPr>
          <w:lang w:eastAsia="fr-FR"/>
        </w:rPr>
      </w:pPr>
      <w:r w:rsidRPr="008F1425">
        <w:rPr>
          <w:lang w:eastAsia="fr-FR"/>
        </w:rPr>
        <w:t xml:space="preserve">Les délais de scolarisation </w:t>
      </w:r>
      <w:r>
        <w:rPr>
          <w:lang w:eastAsia="fr-FR"/>
        </w:rPr>
        <w:t xml:space="preserve">(affectation dans un établissement) </w:t>
      </w:r>
      <w:r w:rsidRPr="008F1425">
        <w:rPr>
          <w:lang w:eastAsia="fr-FR"/>
        </w:rPr>
        <w:t xml:space="preserve">après </w:t>
      </w:r>
      <w:r>
        <w:rPr>
          <w:lang w:eastAsia="fr-FR"/>
        </w:rPr>
        <w:t xml:space="preserve">le </w:t>
      </w:r>
      <w:r w:rsidRPr="008F1425">
        <w:rPr>
          <w:lang w:eastAsia="fr-FR"/>
        </w:rPr>
        <w:t xml:space="preserve">passage de test de positionnement sont </w:t>
      </w:r>
      <w:r>
        <w:rPr>
          <w:lang w:eastAsia="fr-FR"/>
        </w:rPr>
        <w:t xml:space="preserve">extrêmement longs. </w:t>
      </w:r>
      <w:r w:rsidRPr="008F1425">
        <w:rPr>
          <w:lang w:eastAsia="fr-FR"/>
        </w:rPr>
        <w:t xml:space="preserve">Il </w:t>
      </w:r>
      <w:r>
        <w:rPr>
          <w:lang w:eastAsia="fr-FR"/>
        </w:rPr>
        <w:t>existe</w:t>
      </w:r>
      <w:r w:rsidRPr="008F1425">
        <w:rPr>
          <w:lang w:eastAsia="fr-FR"/>
        </w:rPr>
        <w:t xml:space="preserve"> de nombreuses erreurs dans la base de données remplies par les personnels du CASNAV, de sorte que les mêmes élèves sont appelés plusieurs fois pour un test de positionnement </w:t>
      </w:r>
      <w:r>
        <w:rPr>
          <w:lang w:eastAsia="fr-FR"/>
        </w:rPr>
        <w:t>lorsque</w:t>
      </w:r>
      <w:r w:rsidRPr="008F1425">
        <w:rPr>
          <w:lang w:eastAsia="fr-FR"/>
        </w:rPr>
        <w:t xml:space="preserve"> d'autres ne sont jamais appelés.</w:t>
      </w:r>
      <w:r>
        <w:rPr>
          <w:lang w:eastAsia="fr-FR"/>
        </w:rPr>
        <w:t xml:space="preserve"> </w:t>
      </w:r>
      <w:r w:rsidRPr="008F1425">
        <w:rPr>
          <w:lang w:eastAsia="fr-FR"/>
        </w:rPr>
        <w:t xml:space="preserve">Plus de 1000 </w:t>
      </w:r>
      <w:r>
        <w:rPr>
          <w:lang w:eastAsia="fr-FR"/>
        </w:rPr>
        <w:t>enfants allophones ayant passé le test seraient en attente d’une affectation.</w:t>
      </w:r>
    </w:p>
    <w:p w14:paraId="74B8E780" w14:textId="77777777" w:rsidR="00AB02FA" w:rsidRDefault="00AB02FA" w:rsidP="00AB02FA">
      <w:pPr>
        <w:jc w:val="both"/>
        <w:rPr>
          <w:rFonts w:cstheme="minorHAnsi"/>
        </w:rPr>
      </w:pPr>
      <w:r w:rsidRPr="00123FAA">
        <w:rPr>
          <w:lang w:eastAsia="fr-FR"/>
        </w:rPr>
        <w:t>Au lycée, le décrochage</w:t>
      </w:r>
      <w:r w:rsidRPr="008F1425">
        <w:rPr>
          <w:lang w:eastAsia="fr-FR"/>
        </w:rPr>
        <w:t xml:space="preserve"> des</w:t>
      </w:r>
      <w:r>
        <w:rPr>
          <w:lang w:eastAsia="fr-FR"/>
        </w:rPr>
        <w:t xml:space="preserve"> jeunes est essentiellement dû </w:t>
      </w:r>
      <w:r w:rsidRPr="008F1425">
        <w:rPr>
          <w:lang w:eastAsia="fr-FR"/>
        </w:rPr>
        <w:t xml:space="preserve">à l'insuffisance des capacités d'accueil. La structure de ces capacités est par ailleurs mal adaptée. Malgré les efforts de l'académie (optimisation des locaux disponibles et création </w:t>
      </w:r>
      <w:r>
        <w:rPr>
          <w:lang w:eastAsia="fr-FR"/>
        </w:rPr>
        <w:t xml:space="preserve">de </w:t>
      </w:r>
      <w:r w:rsidRPr="008F1425">
        <w:rPr>
          <w:lang w:eastAsia="fr-FR"/>
        </w:rPr>
        <w:t xml:space="preserve">pôles métiers), la voie professionnelle reste encore sous-dimensionnée : à l'issue de la troisième, alors que 30 % des décisions d'orientation concernent la voie professionnelle, seuls 17 % des élèves y sont affectés, soit l'un des plus faibles taux </w:t>
      </w:r>
      <w:r>
        <w:rPr>
          <w:lang w:eastAsia="fr-FR"/>
        </w:rPr>
        <w:t>en</w:t>
      </w:r>
      <w:r w:rsidRPr="008F1425">
        <w:rPr>
          <w:lang w:eastAsia="fr-FR"/>
        </w:rPr>
        <w:t xml:space="preserve"> France ; les autres se retrouvent de fait en seconde générale et technologique et, souvent, décrochent des apprentissages.</w:t>
      </w:r>
    </w:p>
    <w:p w14:paraId="37BF4BC8" w14:textId="77777777" w:rsidR="00AB02FA" w:rsidRPr="00123FAA" w:rsidRDefault="00AB02FA" w:rsidP="00AB02FA">
      <w:pPr>
        <w:pStyle w:val="ListParagraph"/>
        <w:numPr>
          <w:ilvl w:val="0"/>
          <w:numId w:val="10"/>
        </w:numPr>
        <w:jc w:val="both"/>
        <w:rPr>
          <w:b/>
          <w:u w:val="single"/>
          <w:lang w:eastAsia="fr-FR"/>
        </w:rPr>
      </w:pPr>
      <w:r w:rsidRPr="00123FAA">
        <w:rPr>
          <w:b/>
          <w:u w:val="single"/>
          <w:lang w:eastAsia="fr-FR"/>
        </w:rPr>
        <w:lastRenderedPageBreak/>
        <w:t>Les enfants étrangers et la rétention administrative</w:t>
      </w:r>
    </w:p>
    <w:p w14:paraId="40CB03DC" w14:textId="77777777" w:rsidR="00AB02FA" w:rsidRDefault="00AB02FA" w:rsidP="00AB02FA">
      <w:pPr>
        <w:jc w:val="both"/>
        <w:rPr>
          <w:lang w:eastAsia="fr-FR"/>
        </w:rPr>
      </w:pPr>
      <w:r>
        <w:rPr>
          <w:lang w:eastAsia="fr-FR"/>
        </w:rPr>
        <w:t xml:space="preserve">La Défenseure des droits souhaite alerter les membres du Comité des droits de l’enfant sur une augmentation récente des saisines relatives au placement et à l’éloignement du territoire de parents étrangers, sans leurs enfants restés seuls, sans représentant légal, sur le territoire français. Si de telles pratiques avaient déjà été identifiées depuis plusieurs années, en Outre-Mer (Guyane et Mayotte), une </w:t>
      </w:r>
      <w:r w:rsidRPr="0091008B">
        <w:rPr>
          <w:lang w:eastAsia="fr-FR"/>
        </w:rPr>
        <w:t>quinzaine</w:t>
      </w:r>
      <w:r>
        <w:rPr>
          <w:lang w:eastAsia="fr-FR"/>
        </w:rPr>
        <w:t xml:space="preserve"> de saisines ont été adressées depuis 2021 concernant des familles en métropole, alors qu’elles étaient jusqu’alors très exceptionnelles. </w:t>
      </w:r>
    </w:p>
    <w:p w14:paraId="475FDE59" w14:textId="77777777" w:rsidR="00AB02FA" w:rsidRDefault="00AB02FA" w:rsidP="00AB02FA">
      <w:pPr>
        <w:jc w:val="both"/>
        <w:rPr>
          <w:lang w:eastAsia="fr-FR"/>
        </w:rPr>
      </w:pPr>
      <w:r>
        <w:rPr>
          <w:lang w:eastAsia="fr-FR"/>
        </w:rPr>
        <w:t xml:space="preserve">L’institution est intervenue dans ces situations auprès des préfets pour alerter, avant que l’éloignement ne soit effectif, sur le risque de séparation irrémédiable entre les enfants et leur parent et vérifier les diligences réalisées par les préfectures lors du placement en rétention du parent pour s’assurer de la situation des enfants. </w:t>
      </w:r>
    </w:p>
    <w:p w14:paraId="43E1C47D" w14:textId="77777777" w:rsidR="00AB02FA" w:rsidRDefault="00AB02FA" w:rsidP="00AB02FA">
      <w:pPr>
        <w:jc w:val="both"/>
        <w:rPr>
          <w:lang w:eastAsia="fr-FR"/>
        </w:rPr>
      </w:pPr>
      <w:r>
        <w:rPr>
          <w:lang w:eastAsia="fr-FR"/>
        </w:rPr>
        <w:t xml:space="preserve">La Défenseure des droits a en outre présenté des observations devant les juridictions administratives ou judiciaires. </w:t>
      </w:r>
    </w:p>
    <w:p w14:paraId="473BC62D" w14:textId="77777777" w:rsidR="00AB02FA" w:rsidRDefault="00AB02FA" w:rsidP="00AB02FA">
      <w:pPr>
        <w:jc w:val="both"/>
        <w:rPr>
          <w:lang w:eastAsia="fr-FR"/>
        </w:rPr>
      </w:pPr>
      <w:r>
        <w:rPr>
          <w:lang w:eastAsia="fr-FR"/>
        </w:rPr>
        <w:t>Ainsi le 9 novembre 2022</w:t>
      </w:r>
      <w:r>
        <w:rPr>
          <w:rStyle w:val="FootnoteReference"/>
          <w:lang w:eastAsia="fr-FR"/>
        </w:rPr>
        <w:footnoteReference w:id="18"/>
      </w:r>
      <w:r>
        <w:rPr>
          <w:lang w:eastAsia="fr-FR"/>
        </w:rPr>
        <w:t>, après avoir sollicité vainement la préfecture, la Défenseure des droits a présenté des observations devant le tribunal administratif sur la situation d’une mère dont les quatre enfants étaient confiés à l’aide sociale à l’enfance (ASE) depuis plusieurs mois, et sur les risques de rupture définitive de liens avec ses enfants en cas d’éloignement. Elle a pourtant été éloignée du territoire vers la République Démocratique du Congo, ses recours ayant été jugés irrecevables.</w:t>
      </w:r>
    </w:p>
    <w:p w14:paraId="5B2E9339" w14:textId="77777777" w:rsidR="00AB02FA" w:rsidRDefault="00AB02FA" w:rsidP="00AB02FA">
      <w:pPr>
        <w:jc w:val="both"/>
        <w:rPr>
          <w:lang w:eastAsia="fr-FR"/>
        </w:rPr>
      </w:pPr>
      <w:r>
        <w:rPr>
          <w:lang w:eastAsia="fr-FR"/>
        </w:rPr>
        <w:t>Le 9 février 2023, la Défenseure des droits a présenté des observations</w:t>
      </w:r>
      <w:r>
        <w:rPr>
          <w:rStyle w:val="FootnoteReference"/>
          <w:lang w:eastAsia="fr-FR"/>
        </w:rPr>
        <w:footnoteReference w:id="19"/>
      </w:r>
      <w:r>
        <w:rPr>
          <w:lang w:eastAsia="fr-FR"/>
        </w:rPr>
        <w:t xml:space="preserve"> devant le juge des libertés et de la détention, sur la situation d’une mère placée en rétention dans la perspective d’un éloignement, sans ses trois filles hébergées en urgence par une connaissance. La mère de famille a finalement pu être libérée par le juge après avoir passé près d’un mois en rétention.</w:t>
      </w:r>
    </w:p>
    <w:p w14:paraId="24D2DA9C" w14:textId="77777777" w:rsidR="00AB02FA" w:rsidRDefault="00AB02FA" w:rsidP="00AB02FA">
      <w:pPr>
        <w:jc w:val="both"/>
        <w:rPr>
          <w:rFonts w:cstheme="minorHAnsi"/>
        </w:rPr>
      </w:pPr>
      <w:r>
        <w:rPr>
          <w:lang w:eastAsia="fr-FR"/>
        </w:rPr>
        <w:t>La Défenseure des droits ne peut que s’alarmer de l’absence de prise en compte, tant par les autorités administratives à l’origine des mesures de rétention et d’éloignement, que par les autorités judiciaires saisies du contentieux, de l’intérêt supérieur des enfants au profit de considérations de politique migratoire dans lesquelles le sort des enfants n’est pas pris en compte, pouvant même conduire à ce que ces enfants deviennent des mineurs non accompagnés sur le territoire français.</w:t>
      </w:r>
    </w:p>
    <w:p w14:paraId="675E455D" w14:textId="77777777" w:rsidR="002B6ED3" w:rsidRPr="00A755D3" w:rsidRDefault="002B6ED3" w:rsidP="00B11CE0">
      <w:pPr>
        <w:jc w:val="both"/>
        <w:rPr>
          <w:lang w:eastAsia="fr-FR"/>
        </w:rPr>
      </w:pPr>
    </w:p>
    <w:sectPr w:rsidR="002B6ED3" w:rsidRPr="00A755D3">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EA60B" w14:textId="77777777" w:rsidR="00A5065E" w:rsidRDefault="00A5065E" w:rsidP="003D19A4">
      <w:pPr>
        <w:spacing w:after="0" w:line="240" w:lineRule="auto"/>
      </w:pPr>
      <w:r>
        <w:separator/>
      </w:r>
    </w:p>
  </w:endnote>
  <w:endnote w:type="continuationSeparator" w:id="0">
    <w:p w14:paraId="39CAF2A9" w14:textId="77777777" w:rsidR="00A5065E" w:rsidRDefault="00A5065E" w:rsidP="003D1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issenhof Grotesk">
    <w:altName w:val="Calibri"/>
    <w:panose1 w:val="00000000000000000000"/>
    <w:charset w:val="00"/>
    <w:family w:val="swiss"/>
    <w:notTrueType/>
    <w:pitch w:val="variable"/>
    <w:sig w:usb0="A00000AF" w:usb1="5000604B" w:usb2="00000000" w:usb3="00000000" w:csb0="00000093"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eissenhof Grotesk Md">
    <w:altName w:val="Calibri"/>
    <w:panose1 w:val="00000000000000000000"/>
    <w:charset w:val="00"/>
    <w:family w:val="swiss"/>
    <w:notTrueType/>
    <w:pitch w:val="variable"/>
    <w:sig w:usb0="A00000AF" w:usb1="5000604B" w:usb2="00000000" w:usb3="00000000" w:csb0="00000093" w:csb1="00000000"/>
  </w:font>
  <w:font w:name="WeissenhofGrotesk-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178188"/>
      <w:docPartObj>
        <w:docPartGallery w:val="Page Numbers (Bottom of Page)"/>
        <w:docPartUnique/>
      </w:docPartObj>
    </w:sdtPr>
    <w:sdtEndPr/>
    <w:sdtContent>
      <w:p w14:paraId="4BB16981" w14:textId="4352678D" w:rsidR="005D3990" w:rsidRDefault="005D3990">
        <w:pPr>
          <w:pStyle w:val="Footer"/>
          <w:jc w:val="right"/>
        </w:pPr>
        <w:r>
          <w:fldChar w:fldCharType="begin"/>
        </w:r>
        <w:r>
          <w:instrText>PAGE   \* MERGEFORMAT</w:instrText>
        </w:r>
        <w:r>
          <w:fldChar w:fldCharType="separate"/>
        </w:r>
        <w:r w:rsidR="005E7424">
          <w:rPr>
            <w:noProof/>
          </w:rPr>
          <w:t>7</w:t>
        </w:r>
        <w:r>
          <w:fldChar w:fldCharType="end"/>
        </w:r>
      </w:p>
    </w:sdtContent>
  </w:sdt>
  <w:p w14:paraId="702954D3" w14:textId="0B793A3D" w:rsidR="005D3990" w:rsidRDefault="005D39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AB5E6" w14:textId="77777777" w:rsidR="00A5065E" w:rsidRDefault="00A5065E" w:rsidP="003D19A4">
      <w:pPr>
        <w:spacing w:after="0" w:line="240" w:lineRule="auto"/>
      </w:pPr>
      <w:r>
        <w:separator/>
      </w:r>
    </w:p>
  </w:footnote>
  <w:footnote w:type="continuationSeparator" w:id="0">
    <w:p w14:paraId="677F35E2" w14:textId="77777777" w:rsidR="00A5065E" w:rsidRDefault="00A5065E" w:rsidP="003D19A4">
      <w:pPr>
        <w:spacing w:after="0" w:line="240" w:lineRule="auto"/>
      </w:pPr>
      <w:r>
        <w:continuationSeparator/>
      </w:r>
    </w:p>
  </w:footnote>
  <w:footnote w:id="1">
    <w:p w14:paraId="3842DE75" w14:textId="77777777" w:rsidR="00AB02FA" w:rsidRDefault="00AB02FA" w:rsidP="00AB02FA">
      <w:pPr>
        <w:pStyle w:val="FootnoteText"/>
        <w:jc w:val="both"/>
        <w:rPr>
          <w:rFonts w:ascii="Arial" w:eastAsia="Arial" w:hAnsi="Arial" w:cs="Arial"/>
          <w:color w:val="000000"/>
          <w:sz w:val="18"/>
          <w:szCs w:val="18"/>
        </w:rPr>
      </w:pPr>
      <w:r>
        <w:rPr>
          <w:rStyle w:val="FootnoteReference"/>
          <w:rFonts w:ascii="Arial" w:hAnsi="Arial"/>
          <w:sz w:val="18"/>
          <w:szCs w:val="18"/>
        </w:rPr>
        <w:footnoteRef/>
      </w:r>
      <w:r>
        <w:rPr>
          <w:sz w:val="18"/>
          <w:szCs w:val="18"/>
        </w:rPr>
        <w:t xml:space="preserve"> Par exemple, dans l’un des départements objet d’une instruction du Défenseur des droits, il est constaté une augmentation des mesures judiciaires (assistance éducative en milieu ouvert et placements) de 28% entre 2018 et 2022. Dans un autre, le nombre de placements a augmenté de 10% entre 2021 et 2022, avec une augmentation de placements en urgence de 44% entre 2019 et 2022. </w:t>
      </w:r>
    </w:p>
  </w:footnote>
  <w:footnote w:id="2">
    <w:p w14:paraId="785D08F0" w14:textId="77777777" w:rsidR="00AB02FA" w:rsidRDefault="00AB02FA" w:rsidP="00AB02FA">
      <w:pPr>
        <w:pStyle w:val="FootnoteText"/>
        <w:rPr>
          <w:sz w:val="18"/>
          <w:szCs w:val="18"/>
          <w:lang w:eastAsia="fr-FR"/>
        </w:rPr>
      </w:pPr>
      <w:r>
        <w:rPr>
          <w:rStyle w:val="FootnoteReference"/>
          <w:rFonts w:ascii="Arial" w:hAnsi="Arial"/>
          <w:sz w:val="18"/>
          <w:szCs w:val="18"/>
        </w:rPr>
        <w:footnoteRef/>
      </w:r>
      <w:r>
        <w:rPr>
          <w:sz w:val="18"/>
          <w:szCs w:val="18"/>
        </w:rPr>
        <w:t xml:space="preserve"> Ainsi, dans une communication adressée à la Première ministre par deux départements, ceux-ci indiquent que les moyens financiers associés aux contrats avec l’Etat ne représentent que « </w:t>
      </w:r>
      <w:r>
        <w:rPr>
          <w:i/>
          <w:sz w:val="18"/>
          <w:szCs w:val="18"/>
        </w:rPr>
        <w:t>2% des 750 millions d’euros - hors dépenses de personnel - consacrés</w:t>
      </w:r>
      <w:r>
        <w:rPr>
          <w:sz w:val="18"/>
          <w:szCs w:val="18"/>
        </w:rPr>
        <w:t xml:space="preserve"> [par ces deux collectivités] </w:t>
      </w:r>
      <w:r>
        <w:rPr>
          <w:i/>
          <w:sz w:val="18"/>
          <w:szCs w:val="18"/>
        </w:rPr>
        <w:t>à la politique de protection de l’enfance</w:t>
      </w:r>
      <w:r>
        <w:rPr>
          <w:sz w:val="18"/>
          <w:szCs w:val="18"/>
        </w:rPr>
        <w:t> »</w:t>
      </w:r>
    </w:p>
  </w:footnote>
  <w:footnote w:id="3">
    <w:p w14:paraId="6D28C2A7" w14:textId="77777777" w:rsidR="005D3990" w:rsidRDefault="005D3990" w:rsidP="00FB63A9">
      <w:pPr>
        <w:pStyle w:val="FootnoteText"/>
        <w:jc w:val="both"/>
      </w:pPr>
      <w:r>
        <w:rPr>
          <w:rStyle w:val="FootnoteReference"/>
        </w:rPr>
        <w:footnoteRef/>
      </w:r>
      <w:r>
        <w:t xml:space="preserve"> </w:t>
      </w:r>
      <w:r w:rsidRPr="00FB63A9">
        <w:rPr>
          <w:sz w:val="18"/>
          <w:szCs w:val="18"/>
        </w:rPr>
        <w:t>Voir observations du Défenseur des droits n° 2022-254 du 22 décembre 2022 devant le tribunal administratif de Montreuil</w:t>
      </w:r>
      <w:r>
        <w:t>.</w:t>
      </w:r>
    </w:p>
  </w:footnote>
  <w:footnote w:id="4">
    <w:p w14:paraId="4FC07BC6" w14:textId="77777777" w:rsidR="005D3990" w:rsidRPr="00A755D3" w:rsidRDefault="005D3990" w:rsidP="00FB63A9">
      <w:pPr>
        <w:pStyle w:val="FootnoteText"/>
        <w:jc w:val="both"/>
        <w:rPr>
          <w:rFonts w:cstheme="minorHAnsi"/>
          <w:sz w:val="18"/>
          <w:szCs w:val="18"/>
        </w:rPr>
      </w:pPr>
      <w:r w:rsidRPr="00A755D3">
        <w:rPr>
          <w:rStyle w:val="FootnoteReference"/>
          <w:rFonts w:cstheme="minorHAnsi"/>
          <w:sz w:val="18"/>
          <w:szCs w:val="18"/>
        </w:rPr>
        <w:footnoteRef/>
      </w:r>
      <w:r w:rsidRPr="00A755D3">
        <w:rPr>
          <w:rFonts w:cstheme="minorHAnsi"/>
          <w:sz w:val="18"/>
          <w:szCs w:val="18"/>
        </w:rPr>
        <w:t xml:space="preserve"> Les saisines du Défenseur des droits concernent quasi-exclusivement l’école primaire s’agissant de cette population.</w:t>
      </w:r>
    </w:p>
  </w:footnote>
  <w:footnote w:id="5">
    <w:p w14:paraId="7708E3C2" w14:textId="64C10201" w:rsidR="00FF5795" w:rsidRPr="003F1367" w:rsidRDefault="00FF5795" w:rsidP="00FF5795">
      <w:pPr>
        <w:pStyle w:val="FootnoteText"/>
        <w:jc w:val="both"/>
        <w:rPr>
          <w:rFonts w:cstheme="minorHAnsi"/>
          <w:sz w:val="18"/>
          <w:szCs w:val="18"/>
        </w:rPr>
      </w:pPr>
      <w:r w:rsidRPr="003F1367">
        <w:rPr>
          <w:rStyle w:val="FootnoteReference"/>
          <w:rFonts w:cstheme="minorHAnsi"/>
          <w:sz w:val="18"/>
          <w:szCs w:val="18"/>
        </w:rPr>
        <w:footnoteRef/>
      </w:r>
      <w:r w:rsidRPr="003F1367">
        <w:rPr>
          <w:rFonts w:cstheme="minorHAnsi"/>
          <w:sz w:val="18"/>
          <w:szCs w:val="18"/>
        </w:rPr>
        <w:t xml:space="preserve"> </w:t>
      </w:r>
      <w:r>
        <w:rPr>
          <w:rFonts w:cstheme="minorHAnsi"/>
          <w:sz w:val="18"/>
          <w:szCs w:val="18"/>
        </w:rPr>
        <w:t xml:space="preserve">Voir par exemple, </w:t>
      </w:r>
      <w:hyperlink r:id="rId1" w:history="1">
        <w:r w:rsidRPr="003F1367">
          <w:rPr>
            <w:rStyle w:val="Hyperlink"/>
            <w:rFonts w:cstheme="minorHAnsi"/>
            <w:sz w:val="18"/>
            <w:szCs w:val="18"/>
          </w:rPr>
          <w:t>Décision 2018-221 du 12 octobre 2018 relative au refus de scolarisation d’un enfant au sein d’une école maternelle opposé par le maire au motif qu’une procédure d’expulsion du squat dans lequel il était domicilié avec sa famille était en cours</w:t>
        </w:r>
      </w:hyperlink>
      <w:r w:rsidRPr="003F1367">
        <w:rPr>
          <w:rFonts w:cstheme="minorHAnsi"/>
          <w:sz w:val="18"/>
          <w:szCs w:val="18"/>
        </w:rPr>
        <w:t>.</w:t>
      </w:r>
    </w:p>
  </w:footnote>
  <w:footnote w:id="6">
    <w:p w14:paraId="036C1410" w14:textId="77777777" w:rsidR="005D3990" w:rsidRPr="003F1367" w:rsidRDefault="005D3990" w:rsidP="00A755D3">
      <w:pPr>
        <w:pStyle w:val="FootnoteText"/>
        <w:jc w:val="both"/>
        <w:rPr>
          <w:rFonts w:cstheme="minorHAnsi"/>
          <w:sz w:val="18"/>
          <w:szCs w:val="18"/>
        </w:rPr>
      </w:pPr>
      <w:r w:rsidRPr="003F1367">
        <w:rPr>
          <w:rStyle w:val="FootnoteReference"/>
          <w:rFonts w:cstheme="minorHAnsi"/>
          <w:sz w:val="18"/>
          <w:szCs w:val="18"/>
        </w:rPr>
        <w:footnoteRef/>
      </w:r>
      <w:r w:rsidRPr="003F1367">
        <w:rPr>
          <w:rFonts w:cstheme="minorHAnsi"/>
          <w:sz w:val="18"/>
          <w:szCs w:val="18"/>
        </w:rPr>
        <w:t xml:space="preserve"> </w:t>
      </w:r>
      <w:hyperlink r:id="rId2" w:history="1">
        <w:r w:rsidRPr="003F1367">
          <w:rPr>
            <w:rStyle w:val="Hyperlink"/>
            <w:rFonts w:cstheme="minorHAnsi"/>
            <w:sz w:val="18"/>
            <w:szCs w:val="18"/>
          </w:rPr>
          <w:t xml:space="preserve">Décision 2018-005 du 25 janvier 2018 relative à un refus de scolarisation opposé par une mairie à des enfants </w:t>
        </w:r>
        <w:r w:rsidRPr="003F1367">
          <w:rPr>
            <w:rStyle w:val="Hyperlink"/>
            <w:rFonts w:cstheme="minorHAnsi"/>
            <w:sz w:val="18"/>
            <w:szCs w:val="18"/>
          </w:rPr>
          <w:t>Roms</w:t>
        </w:r>
      </w:hyperlink>
      <w:r w:rsidRPr="003F1367">
        <w:rPr>
          <w:rFonts w:cstheme="minorHAnsi"/>
          <w:sz w:val="18"/>
          <w:szCs w:val="18"/>
        </w:rPr>
        <w:t xml:space="preserve">. </w:t>
      </w:r>
    </w:p>
  </w:footnote>
  <w:footnote w:id="7">
    <w:p w14:paraId="1B312AB6" w14:textId="4CC8F4A0" w:rsidR="0070035B" w:rsidRPr="0070035B" w:rsidRDefault="0070035B">
      <w:pPr>
        <w:pStyle w:val="FootnoteText"/>
        <w:rPr>
          <w:sz w:val="18"/>
          <w:szCs w:val="18"/>
        </w:rPr>
      </w:pPr>
      <w:r w:rsidRPr="0070035B">
        <w:rPr>
          <w:rStyle w:val="FootnoteReference"/>
          <w:sz w:val="18"/>
          <w:szCs w:val="18"/>
        </w:rPr>
        <w:footnoteRef/>
      </w:r>
      <w:r w:rsidRPr="0070035B">
        <w:rPr>
          <w:sz w:val="18"/>
          <w:szCs w:val="18"/>
        </w:rPr>
        <w:t xml:space="preserve"> Recommandation générale et/ individuelles et observations devant les juridictions administratives notamment</w:t>
      </w:r>
    </w:p>
  </w:footnote>
  <w:footnote w:id="8">
    <w:p w14:paraId="13401930" w14:textId="77777777" w:rsidR="005D3990" w:rsidRPr="003F1367" w:rsidRDefault="005D3990" w:rsidP="00A755D3">
      <w:pPr>
        <w:pStyle w:val="FootnoteText"/>
        <w:jc w:val="both"/>
        <w:rPr>
          <w:rFonts w:cstheme="minorHAnsi"/>
          <w:sz w:val="18"/>
          <w:szCs w:val="18"/>
        </w:rPr>
      </w:pPr>
      <w:r w:rsidRPr="003F1367">
        <w:rPr>
          <w:rStyle w:val="FootnoteReference"/>
          <w:rFonts w:cstheme="minorHAnsi"/>
          <w:sz w:val="18"/>
          <w:szCs w:val="18"/>
        </w:rPr>
        <w:footnoteRef/>
      </w:r>
      <w:r w:rsidRPr="003F1367">
        <w:rPr>
          <w:rFonts w:cstheme="minorHAnsi"/>
          <w:sz w:val="18"/>
          <w:szCs w:val="18"/>
        </w:rPr>
        <w:t xml:space="preserve"> Par exemple, </w:t>
      </w:r>
      <w:hyperlink r:id="rId3" w:history="1">
        <w:r w:rsidRPr="003F1367">
          <w:rPr>
            <w:rStyle w:val="Hyperlink"/>
            <w:rFonts w:cstheme="minorHAnsi"/>
            <w:sz w:val="18"/>
            <w:szCs w:val="18"/>
          </w:rPr>
          <w:t>décision 2021-001 du 21 janvier 2021 relative à un refus de scolarisation opposé par une mairie pour une famille résidant dans un bidonville</w:t>
        </w:r>
      </w:hyperlink>
      <w:r w:rsidRPr="003F1367">
        <w:rPr>
          <w:rFonts w:cstheme="minorHAnsi"/>
          <w:sz w:val="18"/>
          <w:szCs w:val="18"/>
        </w:rPr>
        <w:t>.</w:t>
      </w:r>
    </w:p>
  </w:footnote>
  <w:footnote w:id="9">
    <w:p w14:paraId="1D13066E" w14:textId="77777777" w:rsidR="005D3990" w:rsidRPr="003F1367" w:rsidRDefault="005D3990" w:rsidP="00A755D3">
      <w:pPr>
        <w:pStyle w:val="FootnoteText"/>
        <w:jc w:val="both"/>
        <w:rPr>
          <w:rFonts w:cstheme="minorHAnsi"/>
          <w:sz w:val="18"/>
          <w:szCs w:val="18"/>
        </w:rPr>
      </w:pPr>
      <w:r w:rsidRPr="003F1367">
        <w:rPr>
          <w:rStyle w:val="FootnoteReference"/>
          <w:rFonts w:cstheme="minorHAnsi"/>
          <w:sz w:val="18"/>
          <w:szCs w:val="18"/>
        </w:rPr>
        <w:footnoteRef/>
      </w:r>
      <w:r w:rsidRPr="003F1367">
        <w:rPr>
          <w:rFonts w:cstheme="minorHAnsi"/>
          <w:sz w:val="18"/>
          <w:szCs w:val="18"/>
        </w:rPr>
        <w:t xml:space="preserve"> </w:t>
      </w:r>
      <w:hyperlink r:id="rId4" w:history="1">
        <w:r w:rsidRPr="003F1367">
          <w:rPr>
            <w:rStyle w:val="Hyperlink"/>
            <w:rFonts w:cstheme="minorHAnsi"/>
            <w:sz w:val="18"/>
            <w:szCs w:val="18"/>
          </w:rPr>
          <w:t xml:space="preserve">FRA, « Implications of COVID-19 </w:t>
        </w:r>
        <w:r w:rsidRPr="003F1367">
          <w:rPr>
            <w:rStyle w:val="Hyperlink"/>
            <w:rFonts w:cstheme="minorHAnsi"/>
            <w:sz w:val="18"/>
            <w:szCs w:val="18"/>
          </w:rPr>
          <w:t>pandemic on Roma and Travellers communities », 15 juin 2020</w:t>
        </w:r>
      </w:hyperlink>
      <w:r w:rsidRPr="003F1367">
        <w:rPr>
          <w:rFonts w:cstheme="minorHAnsi"/>
          <w:sz w:val="18"/>
          <w:szCs w:val="18"/>
        </w:rPr>
        <w:t>.</w:t>
      </w:r>
    </w:p>
  </w:footnote>
  <w:footnote w:id="10">
    <w:p w14:paraId="7DEA6214" w14:textId="77777777" w:rsidR="005D3990" w:rsidRPr="003F1367" w:rsidRDefault="005D3990" w:rsidP="00A755D3">
      <w:pPr>
        <w:pStyle w:val="FootnoteText"/>
        <w:jc w:val="both"/>
        <w:rPr>
          <w:rFonts w:cstheme="minorHAnsi"/>
          <w:sz w:val="18"/>
          <w:szCs w:val="18"/>
        </w:rPr>
      </w:pPr>
      <w:r w:rsidRPr="003F1367">
        <w:rPr>
          <w:rStyle w:val="FootnoteReference"/>
          <w:rFonts w:cstheme="minorHAnsi"/>
          <w:sz w:val="18"/>
          <w:szCs w:val="18"/>
        </w:rPr>
        <w:footnoteRef/>
      </w:r>
      <w:r w:rsidRPr="003F1367">
        <w:rPr>
          <w:rFonts w:cstheme="minorHAnsi"/>
          <w:sz w:val="18"/>
          <w:szCs w:val="18"/>
        </w:rPr>
        <w:t xml:space="preserve"> </w:t>
      </w:r>
      <w:hyperlink r:id="rId5" w:history="1">
        <w:r w:rsidRPr="003F1367">
          <w:rPr>
            <w:rStyle w:val="Hyperlink"/>
            <w:rFonts w:cstheme="minorHAnsi"/>
            <w:sz w:val="18"/>
            <w:szCs w:val="18"/>
          </w:rPr>
          <w:t xml:space="preserve">FRA, Coronavirus </w:t>
        </w:r>
        <w:r w:rsidRPr="003F1367">
          <w:rPr>
            <w:rStyle w:val="Hyperlink"/>
            <w:rFonts w:cstheme="minorHAnsi"/>
            <w:sz w:val="18"/>
            <w:szCs w:val="18"/>
          </w:rPr>
          <w:t>Pandemic in the EU - Impact on Roma and Travellers, 1 March - 30 June 2020</w:t>
        </w:r>
      </w:hyperlink>
      <w:r w:rsidRPr="003F1367">
        <w:rPr>
          <w:rFonts w:cstheme="minorHAnsi"/>
          <w:sz w:val="18"/>
          <w:szCs w:val="18"/>
        </w:rPr>
        <w:t xml:space="preserve">.  </w:t>
      </w:r>
    </w:p>
  </w:footnote>
  <w:footnote w:id="11">
    <w:p w14:paraId="7F5BE6D6" w14:textId="0E11B755" w:rsidR="002547D8" w:rsidRPr="002547D8" w:rsidRDefault="002547D8" w:rsidP="002547D8">
      <w:pPr>
        <w:spacing w:line="240" w:lineRule="auto"/>
        <w:jc w:val="both"/>
        <w:rPr>
          <w:sz w:val="18"/>
          <w:szCs w:val="18"/>
        </w:rPr>
      </w:pPr>
      <w:r w:rsidRPr="002547D8">
        <w:rPr>
          <w:rStyle w:val="FootnoteReference"/>
          <w:sz w:val="18"/>
          <w:szCs w:val="18"/>
        </w:rPr>
        <w:footnoteRef/>
      </w:r>
      <w:r w:rsidRPr="002547D8">
        <w:rPr>
          <w:sz w:val="18"/>
          <w:szCs w:val="18"/>
        </w:rPr>
        <w:t xml:space="preserve"> Directive (UE) 2020/2184 du Parlement européen et du Conseil du 16 décembre 2020 relative à la qualité des eaux destinées à la consommation humaine</w:t>
      </w:r>
    </w:p>
  </w:footnote>
  <w:footnote w:id="12">
    <w:p w14:paraId="5AC78A7F" w14:textId="308659A0" w:rsidR="00D94739" w:rsidRPr="00D94739" w:rsidRDefault="00D94739" w:rsidP="00D94739">
      <w:pPr>
        <w:pStyle w:val="FootnoteText"/>
        <w:jc w:val="both"/>
        <w:rPr>
          <w:sz w:val="18"/>
          <w:szCs w:val="18"/>
        </w:rPr>
      </w:pPr>
      <w:r w:rsidRPr="00D94739">
        <w:rPr>
          <w:rStyle w:val="FootnoteReference"/>
          <w:sz w:val="18"/>
          <w:szCs w:val="18"/>
        </w:rPr>
        <w:footnoteRef/>
      </w:r>
      <w:r w:rsidRPr="00D94739">
        <w:rPr>
          <w:sz w:val="18"/>
          <w:szCs w:val="18"/>
        </w:rPr>
        <w:t xml:space="preserve"> L’institution a été saisie de la situation d’un enfant de 12 ans éloignés irrégulièrement vers les Comores, en errance et livré à lui-même sur ce territoire, rapatrié au bout de 12 jours à la suite de l’intervention de la Défenseure des droits.</w:t>
      </w:r>
    </w:p>
  </w:footnote>
  <w:footnote w:id="13">
    <w:p w14:paraId="74961235" w14:textId="77777777" w:rsidR="00AB02FA" w:rsidRPr="003E3B9A" w:rsidRDefault="00AB02FA" w:rsidP="00AB02FA">
      <w:pPr>
        <w:pStyle w:val="FootnoteText"/>
        <w:ind w:right="2"/>
        <w:rPr>
          <w:sz w:val="18"/>
          <w:szCs w:val="18"/>
        </w:rPr>
      </w:pPr>
      <w:r w:rsidRPr="003E3B9A">
        <w:rPr>
          <w:rStyle w:val="FootnoteReference"/>
          <w:rFonts w:cs="Arial"/>
          <w:sz w:val="18"/>
          <w:szCs w:val="18"/>
        </w:rPr>
        <w:footnoteRef/>
      </w:r>
      <w:r w:rsidRPr="003E3B9A">
        <w:rPr>
          <w:sz w:val="18"/>
          <w:szCs w:val="18"/>
        </w:rPr>
        <w:t xml:space="preserve"> Voir notamment </w:t>
      </w:r>
      <w:hyperlink r:id="rId6" w:history="1">
        <w:r w:rsidRPr="000E6A7A">
          <w:rPr>
            <w:rStyle w:val="Hyperlink"/>
            <w:sz w:val="18"/>
            <w:szCs w:val="18"/>
          </w:rPr>
          <w:t>Compte-rendu</w:t>
        </w:r>
      </w:hyperlink>
      <w:r w:rsidRPr="003E3B9A">
        <w:rPr>
          <w:sz w:val="18"/>
          <w:szCs w:val="18"/>
        </w:rPr>
        <w:t xml:space="preserve"> de la mission conduite par Mme Yvette MATHIEU, Préfète, Chargée de mission auprès du Défenseur des droits, sur la protection des droits de l’enfant à Mayotte (mars 2013), </w:t>
      </w:r>
      <w:hyperlink r:id="rId7" w:history="1">
        <w:r w:rsidRPr="000E6A7A">
          <w:rPr>
            <w:rStyle w:val="Hyperlink"/>
            <w:sz w:val="18"/>
            <w:szCs w:val="18"/>
          </w:rPr>
          <w:t>décision MDE/2013-87</w:t>
        </w:r>
      </w:hyperlink>
      <w:r w:rsidRPr="003E3B9A">
        <w:rPr>
          <w:sz w:val="18"/>
          <w:szCs w:val="18"/>
        </w:rPr>
        <w:t xml:space="preserve"> du 19 avril 2013, et « </w:t>
      </w:r>
      <w:hyperlink r:id="rId8" w:history="1">
        <w:r w:rsidRPr="000E6A7A">
          <w:rPr>
            <w:rStyle w:val="Hyperlink"/>
            <w:sz w:val="18"/>
            <w:szCs w:val="18"/>
          </w:rPr>
          <w:t>Mayotte - situation sur les droits et la protection des enfants</w:t>
        </w:r>
      </w:hyperlink>
      <w:r w:rsidRPr="003E3B9A">
        <w:rPr>
          <w:sz w:val="18"/>
          <w:szCs w:val="18"/>
        </w:rPr>
        <w:t xml:space="preserve"> » - Mission du Défenseur des droits – septembre 2015</w:t>
      </w:r>
      <w:r>
        <w:rPr>
          <w:sz w:val="18"/>
          <w:szCs w:val="18"/>
        </w:rPr>
        <w:t>.</w:t>
      </w:r>
    </w:p>
  </w:footnote>
  <w:footnote w:id="14">
    <w:p w14:paraId="3C456D12" w14:textId="77777777" w:rsidR="00AB02FA" w:rsidRPr="003E3B9A" w:rsidRDefault="00AB02FA" w:rsidP="00AB02FA">
      <w:pPr>
        <w:pStyle w:val="FootnoteText"/>
        <w:rPr>
          <w:sz w:val="18"/>
          <w:szCs w:val="18"/>
        </w:rPr>
      </w:pPr>
      <w:r w:rsidRPr="003E3B9A">
        <w:rPr>
          <w:rStyle w:val="FootnoteReference"/>
          <w:rFonts w:cs="Arial"/>
          <w:sz w:val="18"/>
          <w:szCs w:val="18"/>
        </w:rPr>
        <w:footnoteRef/>
      </w:r>
      <w:r w:rsidRPr="003E3B9A">
        <w:rPr>
          <w:sz w:val="18"/>
          <w:szCs w:val="18"/>
        </w:rPr>
        <w:t xml:space="preserve"> </w:t>
      </w:r>
      <w:r w:rsidRPr="002031C7">
        <w:rPr>
          <w:sz w:val="18"/>
          <w:szCs w:val="18"/>
        </w:rPr>
        <w:t>Rapport définitif de la mission inter-inspection</w:t>
      </w:r>
      <w:r w:rsidRPr="003E3B9A">
        <w:rPr>
          <w:sz w:val="18"/>
          <w:szCs w:val="18"/>
        </w:rPr>
        <w:t>s</w:t>
      </w:r>
      <w:r w:rsidRPr="002031C7">
        <w:rPr>
          <w:sz w:val="18"/>
          <w:szCs w:val="18"/>
        </w:rPr>
        <w:t xml:space="preserve"> : « évaluation de la prise en charge des mineurs à Mayotte » (jan</w:t>
      </w:r>
      <w:r w:rsidRPr="003E3B9A">
        <w:rPr>
          <w:sz w:val="18"/>
          <w:szCs w:val="18"/>
        </w:rPr>
        <w:t xml:space="preserve">vier 2022) IGJ, IGA, IGAS, IGAE, </w:t>
      </w:r>
      <w:r w:rsidRPr="002031C7">
        <w:rPr>
          <w:sz w:val="18"/>
          <w:szCs w:val="18"/>
        </w:rPr>
        <w:t xml:space="preserve">IGF </w:t>
      </w:r>
      <w:r w:rsidRPr="003E3B9A">
        <w:rPr>
          <w:sz w:val="18"/>
          <w:szCs w:val="18"/>
        </w:rPr>
        <w:t>et</w:t>
      </w:r>
      <w:r w:rsidRPr="002031C7">
        <w:rPr>
          <w:sz w:val="18"/>
          <w:szCs w:val="18"/>
        </w:rPr>
        <w:t xml:space="preserve"> IGESR</w:t>
      </w:r>
      <w:r>
        <w:rPr>
          <w:sz w:val="18"/>
          <w:szCs w:val="18"/>
        </w:rPr>
        <w:t>.</w:t>
      </w:r>
    </w:p>
  </w:footnote>
  <w:footnote w:id="15">
    <w:p w14:paraId="4E762215" w14:textId="77777777" w:rsidR="00AB02FA" w:rsidRPr="002547D8" w:rsidRDefault="00AB02FA" w:rsidP="00AB02FA">
      <w:pPr>
        <w:pStyle w:val="FootnoteText"/>
        <w:jc w:val="both"/>
        <w:rPr>
          <w:sz w:val="18"/>
          <w:szCs w:val="18"/>
        </w:rPr>
      </w:pPr>
      <w:r w:rsidRPr="002547D8">
        <w:rPr>
          <w:rStyle w:val="FootnoteReference"/>
          <w:sz w:val="18"/>
          <w:szCs w:val="18"/>
        </w:rPr>
        <w:footnoteRef/>
      </w:r>
      <w:r w:rsidRPr="002547D8">
        <w:rPr>
          <w:sz w:val="18"/>
          <w:szCs w:val="18"/>
        </w:rPr>
        <w:t xml:space="preserve"> Ces chiffres ont été émis à partir de la projection de chiffres issus du recensement de 2017, avec une extrapolation pour parvenir à 2020. Ces chiffres sont une estimation : de nombreux enfants ne sont pas inscrits sur les listes des mairies, qui ne procèdent pas à un recensement des enfants en âge d’être scolarisés domiciliés sur leur territoire et refusent les inscriptions sur des motifs discriminatoires (liste</w:t>
      </w:r>
      <w:r>
        <w:rPr>
          <w:sz w:val="18"/>
          <w:szCs w:val="18"/>
        </w:rPr>
        <w:t>s</w:t>
      </w:r>
      <w:r w:rsidRPr="002547D8">
        <w:rPr>
          <w:sz w:val="18"/>
          <w:szCs w:val="18"/>
        </w:rPr>
        <w:t xml:space="preserve"> de pièce</w:t>
      </w:r>
      <w:r>
        <w:rPr>
          <w:sz w:val="18"/>
          <w:szCs w:val="18"/>
        </w:rPr>
        <w:t>s à fournir</w:t>
      </w:r>
      <w:r w:rsidRPr="002547D8">
        <w:rPr>
          <w:sz w:val="18"/>
          <w:szCs w:val="18"/>
        </w:rPr>
        <w:t xml:space="preserve"> illégales</w:t>
      </w:r>
      <w:r>
        <w:rPr>
          <w:sz w:val="18"/>
          <w:szCs w:val="18"/>
        </w:rPr>
        <w:t xml:space="preserve"> :  demandes de </w:t>
      </w:r>
      <w:r w:rsidRPr="002547D8">
        <w:rPr>
          <w:sz w:val="18"/>
          <w:szCs w:val="18"/>
        </w:rPr>
        <w:t>quittance de loyer</w:t>
      </w:r>
      <w:r>
        <w:rPr>
          <w:sz w:val="18"/>
          <w:szCs w:val="18"/>
        </w:rPr>
        <w:t>-</w:t>
      </w:r>
      <w:r w:rsidRPr="002547D8">
        <w:rPr>
          <w:sz w:val="18"/>
          <w:szCs w:val="18"/>
        </w:rPr>
        <w:t>, refus des attestations d’hébergement, demandes d’avis d’imposition etc…)</w:t>
      </w:r>
    </w:p>
  </w:footnote>
  <w:footnote w:id="16">
    <w:p w14:paraId="2506519A" w14:textId="77777777" w:rsidR="00AB02FA" w:rsidRPr="002547D8" w:rsidRDefault="00AB02FA" w:rsidP="00AB02FA">
      <w:pPr>
        <w:pStyle w:val="FootnoteText"/>
        <w:rPr>
          <w:sz w:val="18"/>
          <w:szCs w:val="18"/>
        </w:rPr>
      </w:pPr>
      <w:r w:rsidRPr="002547D8">
        <w:rPr>
          <w:rStyle w:val="FootnoteReference"/>
          <w:sz w:val="18"/>
          <w:szCs w:val="18"/>
        </w:rPr>
        <w:footnoteRef/>
      </w:r>
      <w:r w:rsidRPr="002547D8">
        <w:rPr>
          <w:sz w:val="18"/>
          <w:szCs w:val="18"/>
        </w:rPr>
        <w:t xml:space="preserve"> </w:t>
      </w:r>
      <w:r>
        <w:rPr>
          <w:sz w:val="18"/>
          <w:szCs w:val="18"/>
          <w:lang w:eastAsia="fr-FR"/>
        </w:rPr>
        <w:t>D</w:t>
      </w:r>
      <w:r w:rsidRPr="002547D8">
        <w:rPr>
          <w:sz w:val="18"/>
          <w:szCs w:val="18"/>
          <w:lang w:eastAsia="fr-FR"/>
        </w:rPr>
        <w:t>ont 5 631 en âge d'aller à la maternelle</w:t>
      </w:r>
    </w:p>
  </w:footnote>
  <w:footnote w:id="17">
    <w:p w14:paraId="7E754FD7" w14:textId="77777777" w:rsidR="00AB02FA" w:rsidRPr="002547D8" w:rsidRDefault="00AB02FA" w:rsidP="00AB02FA">
      <w:pPr>
        <w:pStyle w:val="FootnoteText"/>
        <w:jc w:val="both"/>
        <w:rPr>
          <w:sz w:val="18"/>
          <w:szCs w:val="18"/>
        </w:rPr>
      </w:pPr>
      <w:r w:rsidRPr="002547D8">
        <w:rPr>
          <w:rStyle w:val="FootnoteReference"/>
          <w:sz w:val="18"/>
          <w:szCs w:val="18"/>
        </w:rPr>
        <w:footnoteRef/>
      </w:r>
      <w:r w:rsidRPr="002547D8">
        <w:rPr>
          <w:sz w:val="18"/>
          <w:szCs w:val="18"/>
        </w:rPr>
        <w:t xml:space="preserve"> A Mayotte</w:t>
      </w:r>
      <w:r>
        <w:rPr>
          <w:sz w:val="18"/>
          <w:szCs w:val="18"/>
        </w:rPr>
        <w:t>, selon le recteur, en septembre 2022,</w:t>
      </w:r>
      <w:r w:rsidRPr="002547D8">
        <w:rPr>
          <w:sz w:val="18"/>
          <w:szCs w:val="18"/>
        </w:rPr>
        <w:t xml:space="preserve"> </w:t>
      </w:r>
      <w:r>
        <w:rPr>
          <w:sz w:val="18"/>
          <w:szCs w:val="18"/>
        </w:rPr>
        <w:t>environ 1100</w:t>
      </w:r>
      <w:r w:rsidRPr="002547D8">
        <w:rPr>
          <w:sz w:val="18"/>
          <w:szCs w:val="18"/>
        </w:rPr>
        <w:t xml:space="preserve"> classes sont dites « en rotation » : une </w:t>
      </w:r>
      <w:r>
        <w:rPr>
          <w:sz w:val="18"/>
          <w:szCs w:val="18"/>
        </w:rPr>
        <w:t xml:space="preserve">même </w:t>
      </w:r>
      <w:r w:rsidRPr="002547D8">
        <w:rPr>
          <w:sz w:val="18"/>
          <w:szCs w:val="18"/>
        </w:rPr>
        <w:t>classe accueille un groupe d’enfants le matin et un autre groupe l’après-midi.</w:t>
      </w:r>
    </w:p>
  </w:footnote>
  <w:footnote w:id="18">
    <w:p w14:paraId="48195189" w14:textId="77777777" w:rsidR="00AB02FA" w:rsidRPr="003D024F" w:rsidRDefault="00AB02FA" w:rsidP="00AB02FA">
      <w:pPr>
        <w:pStyle w:val="FootnoteText"/>
        <w:rPr>
          <w:sz w:val="18"/>
          <w:szCs w:val="18"/>
        </w:rPr>
      </w:pPr>
      <w:r w:rsidRPr="003D024F">
        <w:rPr>
          <w:rStyle w:val="FootnoteReference"/>
          <w:sz w:val="18"/>
          <w:szCs w:val="18"/>
        </w:rPr>
        <w:footnoteRef/>
      </w:r>
      <w:r w:rsidRPr="003D024F">
        <w:rPr>
          <w:sz w:val="18"/>
          <w:szCs w:val="18"/>
        </w:rPr>
        <w:t xml:space="preserve"> Décision</w:t>
      </w:r>
      <w:r>
        <w:rPr>
          <w:sz w:val="18"/>
          <w:szCs w:val="18"/>
        </w:rPr>
        <w:t xml:space="preserve"> </w:t>
      </w:r>
      <w:r w:rsidRPr="003D024F">
        <w:rPr>
          <w:sz w:val="18"/>
          <w:szCs w:val="18"/>
        </w:rPr>
        <w:t>du Défenseur des droits n°2022-2029</w:t>
      </w:r>
    </w:p>
  </w:footnote>
  <w:footnote w:id="19">
    <w:p w14:paraId="0E59DDD3" w14:textId="77777777" w:rsidR="00AB02FA" w:rsidRPr="003D024F" w:rsidRDefault="00AB02FA" w:rsidP="00AB02FA">
      <w:pPr>
        <w:pStyle w:val="FootnoteText"/>
        <w:rPr>
          <w:sz w:val="18"/>
          <w:szCs w:val="18"/>
        </w:rPr>
      </w:pPr>
      <w:r w:rsidRPr="003D024F">
        <w:rPr>
          <w:rStyle w:val="FootnoteReference"/>
          <w:sz w:val="18"/>
          <w:szCs w:val="18"/>
        </w:rPr>
        <w:footnoteRef/>
      </w:r>
      <w:r w:rsidRPr="003D024F">
        <w:rPr>
          <w:sz w:val="18"/>
          <w:szCs w:val="18"/>
        </w:rPr>
        <w:t xml:space="preserve"> Décision du Défenseur des droits n°2023-027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149D6"/>
    <w:multiLevelType w:val="hybridMultilevel"/>
    <w:tmpl w:val="47F2A406"/>
    <w:lvl w:ilvl="0" w:tplc="A5728B4C">
      <w:numFmt w:val="bullet"/>
      <w:lvlText w:val="-"/>
      <w:lvlJc w:val="left"/>
      <w:pPr>
        <w:ind w:left="1068" w:hanging="708"/>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B70706"/>
    <w:multiLevelType w:val="hybridMultilevel"/>
    <w:tmpl w:val="957097C4"/>
    <w:lvl w:ilvl="0" w:tplc="E3CA5CDA">
      <w:numFmt w:val="bullet"/>
      <w:lvlText w:val="-"/>
      <w:lvlJc w:val="left"/>
      <w:pPr>
        <w:ind w:left="720" w:hanging="360"/>
      </w:pPr>
      <w:rPr>
        <w:rFonts w:ascii="Weissenhof Grotesk" w:eastAsiaTheme="minorHAnsi" w:hAnsi="Weissenhof Grotes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08151A"/>
    <w:multiLevelType w:val="hybridMultilevel"/>
    <w:tmpl w:val="34D42928"/>
    <w:lvl w:ilvl="0" w:tplc="2BB2C4D4">
      <w:numFmt w:val="bullet"/>
      <w:lvlText w:val="-"/>
      <w:lvlJc w:val="left"/>
      <w:pPr>
        <w:ind w:left="720" w:hanging="360"/>
      </w:pPr>
      <w:rPr>
        <w:rFonts w:asciiTheme="minorHAnsi" w:eastAsiaTheme="minorHAnsi" w:hAnsiTheme="minorHAns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9938EE"/>
    <w:multiLevelType w:val="hybridMultilevel"/>
    <w:tmpl w:val="924ACB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C0901FA"/>
    <w:multiLevelType w:val="hybridMultilevel"/>
    <w:tmpl w:val="20D269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C1F6D0E"/>
    <w:multiLevelType w:val="hybridMultilevel"/>
    <w:tmpl w:val="C136A662"/>
    <w:lvl w:ilvl="0" w:tplc="BD6EA642">
      <w:numFmt w:val="bullet"/>
      <w:lvlText w:val="-"/>
      <w:lvlJc w:val="left"/>
      <w:pPr>
        <w:ind w:left="720" w:hanging="360"/>
      </w:pPr>
      <w:rPr>
        <w:rFonts w:ascii="Weissenhof Grotesk" w:eastAsiaTheme="minorHAnsi" w:hAnsi="Weissenhof Grotes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C647C3E"/>
    <w:multiLevelType w:val="hybridMultilevel"/>
    <w:tmpl w:val="685E50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9E461BB"/>
    <w:multiLevelType w:val="hybridMultilevel"/>
    <w:tmpl w:val="0E1A73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6DA43AE"/>
    <w:multiLevelType w:val="hybridMultilevel"/>
    <w:tmpl w:val="3E6891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C5C0905"/>
    <w:multiLevelType w:val="hybridMultilevel"/>
    <w:tmpl w:val="CFAA63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624E0E1D"/>
    <w:multiLevelType w:val="hybridMultilevel"/>
    <w:tmpl w:val="4552DE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3DD6A24"/>
    <w:multiLevelType w:val="hybridMultilevel"/>
    <w:tmpl w:val="E8E64EE0"/>
    <w:lvl w:ilvl="0" w:tplc="1AC41CC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A0806B6"/>
    <w:multiLevelType w:val="hybridMultilevel"/>
    <w:tmpl w:val="22E4C84E"/>
    <w:lvl w:ilvl="0" w:tplc="428A230E">
      <w:numFmt w:val="bullet"/>
      <w:lvlText w:val="-"/>
      <w:lvlJc w:val="left"/>
      <w:pPr>
        <w:ind w:left="720" w:hanging="360"/>
      </w:pPr>
      <w:rPr>
        <w:rFonts w:ascii="Calibri" w:eastAsiaTheme="minorHAnsi" w:hAnsi="Calibri" w:cs="Calibri"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790342B"/>
    <w:multiLevelType w:val="hybridMultilevel"/>
    <w:tmpl w:val="29F60D7E"/>
    <w:lvl w:ilvl="0" w:tplc="7E948892">
      <w:numFmt w:val="bullet"/>
      <w:lvlText w:val="-"/>
      <w:lvlJc w:val="left"/>
      <w:pPr>
        <w:ind w:left="370" w:hanging="360"/>
      </w:pPr>
      <w:rPr>
        <w:rFonts w:ascii="Calibri" w:eastAsia="Calibri" w:hAnsi="Calibri" w:cs="Times New Roman" w:hint="default"/>
      </w:rPr>
    </w:lvl>
    <w:lvl w:ilvl="1" w:tplc="040C0003">
      <w:start w:val="1"/>
      <w:numFmt w:val="bullet"/>
      <w:lvlText w:val="o"/>
      <w:lvlJc w:val="left"/>
      <w:pPr>
        <w:ind w:left="1090" w:hanging="360"/>
      </w:pPr>
      <w:rPr>
        <w:rFonts w:ascii="Courier New" w:hAnsi="Courier New" w:cs="Courier New" w:hint="default"/>
      </w:rPr>
    </w:lvl>
    <w:lvl w:ilvl="2" w:tplc="040C0005">
      <w:start w:val="1"/>
      <w:numFmt w:val="bullet"/>
      <w:lvlText w:val=""/>
      <w:lvlJc w:val="left"/>
      <w:pPr>
        <w:ind w:left="1810" w:hanging="360"/>
      </w:pPr>
      <w:rPr>
        <w:rFonts w:ascii="Wingdings" w:hAnsi="Wingdings" w:hint="default"/>
      </w:rPr>
    </w:lvl>
    <w:lvl w:ilvl="3" w:tplc="040C0001">
      <w:start w:val="1"/>
      <w:numFmt w:val="bullet"/>
      <w:lvlText w:val=""/>
      <w:lvlJc w:val="left"/>
      <w:pPr>
        <w:ind w:left="2530" w:hanging="360"/>
      </w:pPr>
      <w:rPr>
        <w:rFonts w:ascii="Symbol" w:hAnsi="Symbol" w:hint="default"/>
      </w:rPr>
    </w:lvl>
    <w:lvl w:ilvl="4" w:tplc="040C0003">
      <w:start w:val="1"/>
      <w:numFmt w:val="bullet"/>
      <w:lvlText w:val="o"/>
      <w:lvlJc w:val="left"/>
      <w:pPr>
        <w:ind w:left="3250" w:hanging="360"/>
      </w:pPr>
      <w:rPr>
        <w:rFonts w:ascii="Courier New" w:hAnsi="Courier New" w:cs="Courier New" w:hint="default"/>
      </w:rPr>
    </w:lvl>
    <w:lvl w:ilvl="5" w:tplc="040C0005">
      <w:start w:val="1"/>
      <w:numFmt w:val="bullet"/>
      <w:lvlText w:val=""/>
      <w:lvlJc w:val="left"/>
      <w:pPr>
        <w:ind w:left="3970" w:hanging="360"/>
      </w:pPr>
      <w:rPr>
        <w:rFonts w:ascii="Wingdings" w:hAnsi="Wingdings" w:hint="default"/>
      </w:rPr>
    </w:lvl>
    <w:lvl w:ilvl="6" w:tplc="040C0001">
      <w:start w:val="1"/>
      <w:numFmt w:val="bullet"/>
      <w:lvlText w:val=""/>
      <w:lvlJc w:val="left"/>
      <w:pPr>
        <w:ind w:left="4690" w:hanging="360"/>
      </w:pPr>
      <w:rPr>
        <w:rFonts w:ascii="Symbol" w:hAnsi="Symbol" w:hint="default"/>
      </w:rPr>
    </w:lvl>
    <w:lvl w:ilvl="7" w:tplc="040C0003">
      <w:start w:val="1"/>
      <w:numFmt w:val="bullet"/>
      <w:lvlText w:val="o"/>
      <w:lvlJc w:val="left"/>
      <w:pPr>
        <w:ind w:left="5410" w:hanging="360"/>
      </w:pPr>
      <w:rPr>
        <w:rFonts w:ascii="Courier New" w:hAnsi="Courier New" w:cs="Courier New" w:hint="default"/>
      </w:rPr>
    </w:lvl>
    <w:lvl w:ilvl="8" w:tplc="040C0005">
      <w:start w:val="1"/>
      <w:numFmt w:val="bullet"/>
      <w:lvlText w:val=""/>
      <w:lvlJc w:val="left"/>
      <w:pPr>
        <w:ind w:left="6130" w:hanging="360"/>
      </w:pPr>
      <w:rPr>
        <w:rFonts w:ascii="Wingdings" w:hAnsi="Wingdings" w:hint="default"/>
      </w:rPr>
    </w:lvl>
  </w:abstractNum>
  <w:num w:numId="1" w16cid:durableId="1344747382">
    <w:abstractNumId w:val="4"/>
  </w:num>
  <w:num w:numId="2" w16cid:durableId="2141991225">
    <w:abstractNumId w:val="8"/>
  </w:num>
  <w:num w:numId="3" w16cid:durableId="181091102">
    <w:abstractNumId w:val="6"/>
  </w:num>
  <w:num w:numId="4" w16cid:durableId="964964299">
    <w:abstractNumId w:val="3"/>
  </w:num>
  <w:num w:numId="5" w16cid:durableId="652104271">
    <w:abstractNumId w:val="9"/>
  </w:num>
  <w:num w:numId="6" w16cid:durableId="560360260">
    <w:abstractNumId w:val="5"/>
  </w:num>
  <w:num w:numId="7" w16cid:durableId="2135631365">
    <w:abstractNumId w:val="1"/>
  </w:num>
  <w:num w:numId="8" w16cid:durableId="251161537">
    <w:abstractNumId w:val="10"/>
  </w:num>
  <w:num w:numId="9" w16cid:durableId="1501001775">
    <w:abstractNumId w:val="2"/>
  </w:num>
  <w:num w:numId="10" w16cid:durableId="869533518">
    <w:abstractNumId w:val="7"/>
  </w:num>
  <w:num w:numId="11" w16cid:durableId="716592023">
    <w:abstractNumId w:val="0"/>
  </w:num>
  <w:num w:numId="12" w16cid:durableId="767192300">
    <w:abstractNumId w:val="11"/>
  </w:num>
  <w:num w:numId="13" w16cid:durableId="339504613">
    <w:abstractNumId w:val="12"/>
  </w:num>
  <w:num w:numId="14" w16cid:durableId="6561098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CB1"/>
    <w:rsid w:val="00037F46"/>
    <w:rsid w:val="00052C5A"/>
    <w:rsid w:val="000742F7"/>
    <w:rsid w:val="00076A95"/>
    <w:rsid w:val="0009522D"/>
    <w:rsid w:val="000B560B"/>
    <w:rsid w:val="000C197D"/>
    <w:rsid w:val="001221FF"/>
    <w:rsid w:val="00123FAA"/>
    <w:rsid w:val="00132DB2"/>
    <w:rsid w:val="00180BBA"/>
    <w:rsid w:val="00190DEB"/>
    <w:rsid w:val="001B5A53"/>
    <w:rsid w:val="002547D8"/>
    <w:rsid w:val="002870A2"/>
    <w:rsid w:val="00297FE3"/>
    <w:rsid w:val="002B0CFE"/>
    <w:rsid w:val="002B6BE8"/>
    <w:rsid w:val="002B6ED3"/>
    <w:rsid w:val="002B7747"/>
    <w:rsid w:val="002C02EB"/>
    <w:rsid w:val="002F1E1A"/>
    <w:rsid w:val="00374A61"/>
    <w:rsid w:val="00395ADF"/>
    <w:rsid w:val="003A6CB1"/>
    <w:rsid w:val="003D024F"/>
    <w:rsid w:val="003D19A4"/>
    <w:rsid w:val="003D7F65"/>
    <w:rsid w:val="00424899"/>
    <w:rsid w:val="00462E7E"/>
    <w:rsid w:val="0049758E"/>
    <w:rsid w:val="004B4B1E"/>
    <w:rsid w:val="004D0A07"/>
    <w:rsid w:val="004E2580"/>
    <w:rsid w:val="00502CF6"/>
    <w:rsid w:val="005073A9"/>
    <w:rsid w:val="005275AE"/>
    <w:rsid w:val="005610D7"/>
    <w:rsid w:val="00593CEC"/>
    <w:rsid w:val="005D38D9"/>
    <w:rsid w:val="005D3990"/>
    <w:rsid w:val="005E7424"/>
    <w:rsid w:val="005F006F"/>
    <w:rsid w:val="006270AA"/>
    <w:rsid w:val="00672591"/>
    <w:rsid w:val="00675FF0"/>
    <w:rsid w:val="00697958"/>
    <w:rsid w:val="006C774E"/>
    <w:rsid w:val="006D58FF"/>
    <w:rsid w:val="0070035B"/>
    <w:rsid w:val="00704CAA"/>
    <w:rsid w:val="00760E9E"/>
    <w:rsid w:val="007951AD"/>
    <w:rsid w:val="008145A2"/>
    <w:rsid w:val="0083329C"/>
    <w:rsid w:val="00851BB2"/>
    <w:rsid w:val="008576F8"/>
    <w:rsid w:val="00865470"/>
    <w:rsid w:val="00875D6F"/>
    <w:rsid w:val="00894FAD"/>
    <w:rsid w:val="008B2DE1"/>
    <w:rsid w:val="008B525F"/>
    <w:rsid w:val="008F1425"/>
    <w:rsid w:val="008F28D2"/>
    <w:rsid w:val="008F591F"/>
    <w:rsid w:val="008F6AD6"/>
    <w:rsid w:val="0090478F"/>
    <w:rsid w:val="00906055"/>
    <w:rsid w:val="0091008B"/>
    <w:rsid w:val="00925A40"/>
    <w:rsid w:val="009446EB"/>
    <w:rsid w:val="00944898"/>
    <w:rsid w:val="0095160A"/>
    <w:rsid w:val="00956DE8"/>
    <w:rsid w:val="009627B7"/>
    <w:rsid w:val="00967943"/>
    <w:rsid w:val="009706F9"/>
    <w:rsid w:val="009A0716"/>
    <w:rsid w:val="009D4BC3"/>
    <w:rsid w:val="009E3835"/>
    <w:rsid w:val="00A5065E"/>
    <w:rsid w:val="00A52678"/>
    <w:rsid w:val="00A755D3"/>
    <w:rsid w:val="00A84413"/>
    <w:rsid w:val="00AA27B5"/>
    <w:rsid w:val="00AA287E"/>
    <w:rsid w:val="00AB02FA"/>
    <w:rsid w:val="00B11CE0"/>
    <w:rsid w:val="00B20AB3"/>
    <w:rsid w:val="00B23953"/>
    <w:rsid w:val="00B26159"/>
    <w:rsid w:val="00B63A0D"/>
    <w:rsid w:val="00B67C39"/>
    <w:rsid w:val="00B721D7"/>
    <w:rsid w:val="00B7679B"/>
    <w:rsid w:val="00BC11AF"/>
    <w:rsid w:val="00BC32C7"/>
    <w:rsid w:val="00BE32B5"/>
    <w:rsid w:val="00BF40DB"/>
    <w:rsid w:val="00BF7407"/>
    <w:rsid w:val="00C0484C"/>
    <w:rsid w:val="00C0696C"/>
    <w:rsid w:val="00C227E4"/>
    <w:rsid w:val="00C243F4"/>
    <w:rsid w:val="00C3569D"/>
    <w:rsid w:val="00CB6E79"/>
    <w:rsid w:val="00CC7E0C"/>
    <w:rsid w:val="00CE7CC3"/>
    <w:rsid w:val="00D43E60"/>
    <w:rsid w:val="00D94739"/>
    <w:rsid w:val="00DA0857"/>
    <w:rsid w:val="00DB7579"/>
    <w:rsid w:val="00DC42D7"/>
    <w:rsid w:val="00DC7812"/>
    <w:rsid w:val="00DF6D4C"/>
    <w:rsid w:val="00E31097"/>
    <w:rsid w:val="00E322A5"/>
    <w:rsid w:val="00E324FF"/>
    <w:rsid w:val="00E5479A"/>
    <w:rsid w:val="00E76B59"/>
    <w:rsid w:val="00ED3C9A"/>
    <w:rsid w:val="00EE31D9"/>
    <w:rsid w:val="00EF51C3"/>
    <w:rsid w:val="00F34735"/>
    <w:rsid w:val="00F35FA8"/>
    <w:rsid w:val="00F42A94"/>
    <w:rsid w:val="00F84DC9"/>
    <w:rsid w:val="00FA0870"/>
    <w:rsid w:val="00FA0E59"/>
    <w:rsid w:val="00FA7DA0"/>
    <w:rsid w:val="00FB63A9"/>
    <w:rsid w:val="00FF5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8294B"/>
  <w15:docId w15:val="{21F68B12-5B4A-4DCE-AAEC-CE3AAD591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C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6CB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3A6CB1"/>
    <w:rPr>
      <w:b/>
      <w:bCs/>
    </w:rPr>
  </w:style>
  <w:style w:type="paragraph" w:styleId="Subtitle">
    <w:name w:val="Subtitle"/>
    <w:basedOn w:val="Normal"/>
    <w:next w:val="Normal"/>
    <w:link w:val="SubtitleChar"/>
    <w:uiPriority w:val="11"/>
    <w:qFormat/>
    <w:rsid w:val="003A6CB1"/>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A6CB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link w:val="ListParagraphChar"/>
    <w:uiPriority w:val="34"/>
    <w:qFormat/>
    <w:rsid w:val="009627B7"/>
    <w:pPr>
      <w:ind w:left="720"/>
      <w:contextualSpacing/>
    </w:pPr>
  </w:style>
  <w:style w:type="paragraph" w:styleId="Header">
    <w:name w:val="header"/>
    <w:basedOn w:val="Normal"/>
    <w:link w:val="HeaderChar"/>
    <w:uiPriority w:val="99"/>
    <w:unhideWhenUsed/>
    <w:rsid w:val="003D19A4"/>
    <w:pPr>
      <w:tabs>
        <w:tab w:val="center" w:pos="4536"/>
        <w:tab w:val="right" w:pos="9072"/>
      </w:tabs>
      <w:spacing w:after="0" w:line="240" w:lineRule="auto"/>
    </w:pPr>
  </w:style>
  <w:style w:type="character" w:customStyle="1" w:styleId="HeaderChar">
    <w:name w:val="Header Char"/>
    <w:basedOn w:val="DefaultParagraphFont"/>
    <w:link w:val="Header"/>
    <w:uiPriority w:val="99"/>
    <w:rsid w:val="003D19A4"/>
  </w:style>
  <w:style w:type="paragraph" w:styleId="Footer">
    <w:name w:val="footer"/>
    <w:basedOn w:val="Normal"/>
    <w:link w:val="FooterChar"/>
    <w:uiPriority w:val="99"/>
    <w:unhideWhenUsed/>
    <w:rsid w:val="003D19A4"/>
    <w:pPr>
      <w:tabs>
        <w:tab w:val="center" w:pos="4536"/>
        <w:tab w:val="right" w:pos="9072"/>
      </w:tabs>
      <w:spacing w:after="0" w:line="240" w:lineRule="auto"/>
    </w:pPr>
  </w:style>
  <w:style w:type="character" w:customStyle="1" w:styleId="FooterChar">
    <w:name w:val="Footer Char"/>
    <w:basedOn w:val="DefaultParagraphFont"/>
    <w:link w:val="Footer"/>
    <w:uiPriority w:val="99"/>
    <w:rsid w:val="003D19A4"/>
  </w:style>
  <w:style w:type="paragraph" w:styleId="CommentText">
    <w:name w:val="annotation text"/>
    <w:basedOn w:val="Normal"/>
    <w:link w:val="CommentTextChar"/>
    <w:uiPriority w:val="99"/>
    <w:semiHidden/>
    <w:unhideWhenUsed/>
    <w:rsid w:val="009446EB"/>
    <w:pPr>
      <w:spacing w:line="240" w:lineRule="auto"/>
    </w:pPr>
    <w:rPr>
      <w:sz w:val="20"/>
      <w:szCs w:val="20"/>
    </w:rPr>
  </w:style>
  <w:style w:type="character" w:customStyle="1" w:styleId="CommentTextChar">
    <w:name w:val="Comment Text Char"/>
    <w:basedOn w:val="DefaultParagraphFont"/>
    <w:link w:val="CommentText"/>
    <w:uiPriority w:val="99"/>
    <w:semiHidden/>
    <w:rsid w:val="009446EB"/>
    <w:rPr>
      <w:sz w:val="20"/>
      <w:szCs w:val="20"/>
    </w:rPr>
  </w:style>
  <w:style w:type="paragraph" w:styleId="FootnoteText">
    <w:name w:val="footnote text"/>
    <w:aliases w:val="n,Footnote Text Char1,Footnote Text Char Char,Footnote Text Char2 Char Char,Footnote Text Char2 Char,Footnote Text Char Char1 Char,Footnote Text Char2 Char Char1 Char,Footnote Text Char1 Char Char,5_G"/>
    <w:basedOn w:val="Normal"/>
    <w:link w:val="FootnoteTextChar"/>
    <w:uiPriority w:val="99"/>
    <w:unhideWhenUsed/>
    <w:qFormat/>
    <w:rsid w:val="00672591"/>
    <w:pPr>
      <w:spacing w:after="0" w:line="240" w:lineRule="auto"/>
    </w:pPr>
    <w:rPr>
      <w:sz w:val="20"/>
      <w:szCs w:val="20"/>
    </w:rPr>
  </w:style>
  <w:style w:type="character" w:customStyle="1" w:styleId="FootnoteTextChar">
    <w:name w:val="Footnote Text Char"/>
    <w:aliases w:val="n Char,Footnote Text Char1 Char,Footnote Text Char Char Char,Footnote Text Char2 Char Char Char,Footnote Text Char2 Char Char1,Footnote Text Char Char1 Char Char,Footnote Text Char2 Char Char1 Char Char,5_G Char"/>
    <w:basedOn w:val="DefaultParagraphFont"/>
    <w:link w:val="FootnoteText"/>
    <w:uiPriority w:val="99"/>
    <w:rsid w:val="00672591"/>
    <w:rPr>
      <w:sz w:val="20"/>
      <w:szCs w:val="20"/>
    </w:rPr>
  </w:style>
  <w:style w:type="character" w:styleId="FootnoteReference">
    <w:name w:val="footnote reference"/>
    <w:aliases w:val="Footnotes refss,Appel note de bas de p,Footnotes refss Car Char Char Char,callout Car Char Char Char,Zchn Zchn Char Char Char Char Car Char Char Char Char Char Char Char Char Char Car Char Car Char Char Char,callout,4_G,SUPERS"/>
    <w:basedOn w:val="DefaultParagraphFont"/>
    <w:link w:val="CarCarCharCharCarCarCharCharCarCar"/>
    <w:uiPriority w:val="99"/>
    <w:unhideWhenUsed/>
    <w:qFormat/>
    <w:rsid w:val="00672591"/>
    <w:rPr>
      <w:vertAlign w:val="superscript"/>
    </w:rPr>
  </w:style>
  <w:style w:type="character" w:styleId="Hyperlink">
    <w:name w:val="Hyperlink"/>
    <w:basedOn w:val="DefaultParagraphFont"/>
    <w:uiPriority w:val="99"/>
    <w:unhideWhenUsed/>
    <w:rsid w:val="00A52678"/>
    <w:rPr>
      <w:color w:val="0000FF" w:themeColor="hyperlink"/>
      <w:u w:val="single"/>
    </w:rPr>
  </w:style>
  <w:style w:type="paragraph" w:customStyle="1" w:styleId="CarCarCharCharCarCarCharCharCarCar">
    <w:name w:val="Car Car Char Char Car Car Char Char Car Car"/>
    <w:basedOn w:val="Normal"/>
    <w:link w:val="FootnoteReference"/>
    <w:uiPriority w:val="99"/>
    <w:rsid w:val="00A52678"/>
    <w:pPr>
      <w:spacing w:before="60" w:after="160" w:line="240" w:lineRule="exact"/>
    </w:pPr>
    <w:rPr>
      <w:vertAlign w:val="superscript"/>
    </w:rPr>
  </w:style>
  <w:style w:type="character" w:customStyle="1" w:styleId="ListParagraphChar">
    <w:name w:val="List Paragraph Char"/>
    <w:basedOn w:val="DefaultParagraphFont"/>
    <w:link w:val="ListParagraph"/>
    <w:uiPriority w:val="34"/>
    <w:locked/>
    <w:rsid w:val="00A755D3"/>
  </w:style>
  <w:style w:type="character" w:styleId="CommentReference">
    <w:name w:val="annotation reference"/>
    <w:basedOn w:val="DefaultParagraphFont"/>
    <w:uiPriority w:val="99"/>
    <w:semiHidden/>
    <w:unhideWhenUsed/>
    <w:rsid w:val="004D0A07"/>
    <w:rPr>
      <w:sz w:val="16"/>
      <w:szCs w:val="16"/>
    </w:rPr>
  </w:style>
  <w:style w:type="paragraph" w:styleId="CommentSubject">
    <w:name w:val="annotation subject"/>
    <w:basedOn w:val="CommentText"/>
    <w:next w:val="CommentText"/>
    <w:link w:val="CommentSubjectChar"/>
    <w:uiPriority w:val="99"/>
    <w:semiHidden/>
    <w:unhideWhenUsed/>
    <w:rsid w:val="004D0A07"/>
    <w:rPr>
      <w:b/>
      <w:bCs/>
    </w:rPr>
  </w:style>
  <w:style w:type="character" w:customStyle="1" w:styleId="CommentSubjectChar">
    <w:name w:val="Comment Subject Char"/>
    <w:basedOn w:val="CommentTextChar"/>
    <w:link w:val="CommentSubject"/>
    <w:uiPriority w:val="99"/>
    <w:semiHidden/>
    <w:rsid w:val="004D0A07"/>
    <w:rPr>
      <w:b/>
      <w:bCs/>
      <w:sz w:val="20"/>
      <w:szCs w:val="20"/>
    </w:rPr>
  </w:style>
  <w:style w:type="paragraph" w:styleId="BalloonText">
    <w:name w:val="Balloon Text"/>
    <w:basedOn w:val="Normal"/>
    <w:link w:val="BalloonTextChar"/>
    <w:uiPriority w:val="99"/>
    <w:semiHidden/>
    <w:unhideWhenUsed/>
    <w:rsid w:val="004D0A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A07"/>
    <w:rPr>
      <w:rFonts w:ascii="Segoe UI" w:hAnsi="Segoe UI" w:cs="Segoe UI"/>
      <w:sz w:val="18"/>
      <w:szCs w:val="18"/>
    </w:rPr>
  </w:style>
  <w:style w:type="paragraph" w:styleId="NoSpacing">
    <w:name w:val="No Spacing"/>
    <w:uiPriority w:val="1"/>
    <w:qFormat/>
    <w:rsid w:val="0083329C"/>
    <w:pPr>
      <w:spacing w:after="0" w:line="240" w:lineRule="auto"/>
      <w:ind w:left="10" w:right="625" w:hanging="10"/>
      <w:jc w:val="both"/>
    </w:pPr>
    <w:rPr>
      <w:rFonts w:ascii="Arial" w:eastAsia="Arial" w:hAnsi="Arial" w:cs="Arial"/>
      <w:color w:val="000000"/>
      <w:lang w:eastAsia="fr-FR"/>
    </w:rPr>
  </w:style>
  <w:style w:type="character" w:styleId="Emphasis">
    <w:name w:val="Emphasis"/>
    <w:basedOn w:val="DefaultParagraphFont"/>
    <w:uiPriority w:val="20"/>
    <w:qFormat/>
    <w:rsid w:val="005610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37591">
      <w:bodyDiv w:val="1"/>
      <w:marLeft w:val="0"/>
      <w:marRight w:val="0"/>
      <w:marTop w:val="0"/>
      <w:marBottom w:val="0"/>
      <w:divBdr>
        <w:top w:val="none" w:sz="0" w:space="0" w:color="auto"/>
        <w:left w:val="none" w:sz="0" w:space="0" w:color="auto"/>
        <w:bottom w:val="none" w:sz="0" w:space="0" w:color="auto"/>
        <w:right w:val="none" w:sz="0" w:space="0" w:color="auto"/>
      </w:divBdr>
    </w:div>
    <w:div w:id="129174376">
      <w:bodyDiv w:val="1"/>
      <w:marLeft w:val="0"/>
      <w:marRight w:val="0"/>
      <w:marTop w:val="0"/>
      <w:marBottom w:val="0"/>
      <w:divBdr>
        <w:top w:val="none" w:sz="0" w:space="0" w:color="auto"/>
        <w:left w:val="none" w:sz="0" w:space="0" w:color="auto"/>
        <w:bottom w:val="none" w:sz="0" w:space="0" w:color="auto"/>
        <w:right w:val="none" w:sz="0" w:space="0" w:color="auto"/>
      </w:divBdr>
    </w:div>
    <w:div w:id="609166737">
      <w:bodyDiv w:val="1"/>
      <w:marLeft w:val="0"/>
      <w:marRight w:val="0"/>
      <w:marTop w:val="0"/>
      <w:marBottom w:val="0"/>
      <w:divBdr>
        <w:top w:val="none" w:sz="0" w:space="0" w:color="auto"/>
        <w:left w:val="none" w:sz="0" w:space="0" w:color="auto"/>
        <w:bottom w:val="none" w:sz="0" w:space="0" w:color="auto"/>
        <w:right w:val="none" w:sz="0" w:space="0" w:color="auto"/>
      </w:divBdr>
    </w:div>
    <w:div w:id="1049570907">
      <w:bodyDiv w:val="1"/>
      <w:marLeft w:val="0"/>
      <w:marRight w:val="0"/>
      <w:marTop w:val="0"/>
      <w:marBottom w:val="0"/>
      <w:divBdr>
        <w:top w:val="none" w:sz="0" w:space="0" w:color="auto"/>
        <w:left w:val="none" w:sz="0" w:space="0" w:color="auto"/>
        <w:bottom w:val="none" w:sz="0" w:space="0" w:color="auto"/>
        <w:right w:val="none" w:sz="0" w:space="0" w:color="auto"/>
      </w:divBdr>
    </w:div>
    <w:div w:id="1470170122">
      <w:bodyDiv w:val="1"/>
      <w:marLeft w:val="0"/>
      <w:marRight w:val="0"/>
      <w:marTop w:val="0"/>
      <w:marBottom w:val="0"/>
      <w:divBdr>
        <w:top w:val="none" w:sz="0" w:space="0" w:color="auto"/>
        <w:left w:val="none" w:sz="0" w:space="0" w:color="auto"/>
        <w:bottom w:val="none" w:sz="0" w:space="0" w:color="auto"/>
        <w:right w:val="none" w:sz="0" w:space="0" w:color="auto"/>
      </w:divBdr>
    </w:div>
    <w:div w:id="162542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juridique.defenseurdesdroits.fr/doc_num.php?explnum_id=19676" TargetMode="External"/><Relationship Id="rId3" Type="http://schemas.openxmlformats.org/officeDocument/2006/relationships/hyperlink" Target="https://juridique.defenseurdesdroits.fr/doc_num.php?explnum_id=20432" TargetMode="External"/><Relationship Id="rId7" Type="http://schemas.openxmlformats.org/officeDocument/2006/relationships/hyperlink" Target="https://juridique.defenseurdesdroits.fr/doc_num.php?explnum_id=8103" TargetMode="External"/><Relationship Id="rId2" Type="http://schemas.openxmlformats.org/officeDocument/2006/relationships/hyperlink" Target="https://juridique.defenseurdesdroits.fr/doc_num.php?explnum_id=17179" TargetMode="External"/><Relationship Id="rId1" Type="http://schemas.openxmlformats.org/officeDocument/2006/relationships/hyperlink" Target="https://juridique.defenseurdesdroits.fr/doc_num.php?explnum_id=18224" TargetMode="External"/><Relationship Id="rId6" Type="http://schemas.openxmlformats.org/officeDocument/2006/relationships/hyperlink" Target="https://juridique.defenseurdesdroits.fr/doc_num.php?explnum_id=8302" TargetMode="External"/><Relationship Id="rId5" Type="http://schemas.openxmlformats.org/officeDocument/2006/relationships/hyperlink" Target="https://fra.europa.eu/sites/default/files/fra_uploads/fra-2020-coronavirus-pandemic-eu-bulletin-roma_en.pdf" TargetMode="External"/><Relationship Id="rId4" Type="http://schemas.openxmlformats.org/officeDocument/2006/relationships/hyperlink" Target="https://fra.europa.eu/sites/default/files/fra_uploads/fr_report_-_covid-19_impact_on_roma_en.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27BC3-72EA-4ECC-8C29-4D3379584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3324</Words>
  <Characters>18952</Characters>
  <Application>Microsoft Office Word</Application>
  <DocSecurity>0</DocSecurity>
  <Lines>157</Lines>
  <Paragraphs>44</Paragraphs>
  <ScaleCrop>false</ScaleCrop>
  <HeadingPairs>
    <vt:vector size="2" baseType="variant">
      <vt:variant>
        <vt:lpstr>Titre</vt:lpstr>
      </vt:variant>
      <vt:variant>
        <vt:i4>1</vt:i4>
      </vt:variant>
    </vt:vector>
  </HeadingPairs>
  <TitlesOfParts>
    <vt:vector size="1" baseType="lpstr">
      <vt:lpstr/>
    </vt:vector>
  </TitlesOfParts>
  <Company>Défenseur Des Droits</Company>
  <LinksUpToDate>false</LinksUpToDate>
  <CharactersWithSpaces>22232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Temp</dc:creator>
  <cp:lastModifiedBy>Erigence YAMTOIDE NDADE NOUBA(OHCHR Intern)</cp:lastModifiedBy>
  <cp:revision>2</cp:revision>
  <cp:lastPrinted>2017-02-21T12:57:00Z</cp:lastPrinted>
  <dcterms:created xsi:type="dcterms:W3CDTF">2023-04-25T08:13:00Z</dcterms:created>
  <dcterms:modified xsi:type="dcterms:W3CDTF">2023-04-25T08:13:00Z</dcterms:modified>
</cp:coreProperties>
</file>