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C1605" w:rsidRPr="006F74DB" w:rsidRDefault="00DC1605" w:rsidP="00DC1605">
      <w:pPr>
        <w:pStyle w:val="absatzschattenbericht"/>
        <w:rPr>
          <w:lang w:val="en-GB"/>
        </w:rPr>
      </w:pPr>
    </w:p>
    <w:p w:rsidR="00C02170" w:rsidRPr="006F74DB" w:rsidRDefault="00C02170" w:rsidP="00FE2215">
      <w:pPr>
        <w:pStyle w:val="absatzschattenbericht"/>
        <w:rPr>
          <w:sz w:val="20"/>
          <w:szCs w:val="20"/>
          <w:lang w:val="en-GB"/>
        </w:rPr>
      </w:pPr>
    </w:p>
    <w:p w:rsidR="00E64BEC" w:rsidRPr="006F74DB" w:rsidRDefault="00E64BEC" w:rsidP="00FE2215">
      <w:pPr>
        <w:pStyle w:val="absatzschattenbericht"/>
        <w:rPr>
          <w:sz w:val="12"/>
          <w:szCs w:val="12"/>
          <w:lang w:val="en-GB"/>
        </w:rPr>
      </w:pPr>
    </w:p>
    <w:p w:rsidR="00092691" w:rsidRPr="005F1356" w:rsidRDefault="00092691" w:rsidP="00092691">
      <w:pPr>
        <w:pStyle w:val="Title1"/>
        <w:rPr>
          <w:sz w:val="32"/>
          <w:szCs w:val="32"/>
          <w:lang w:val="en-GB"/>
        </w:rPr>
      </w:pPr>
      <w:r w:rsidRPr="005F1356">
        <w:rPr>
          <w:sz w:val="32"/>
          <w:szCs w:val="32"/>
          <w:lang w:val="en-GB"/>
        </w:rPr>
        <w:t>Intersex Genital Mutilation</w:t>
      </w:r>
    </w:p>
    <w:p w:rsidR="00092691" w:rsidRPr="005F1356" w:rsidRDefault="00092691" w:rsidP="00092691">
      <w:pPr>
        <w:pStyle w:val="Title1"/>
        <w:rPr>
          <w:lang w:val="en-GB"/>
        </w:rPr>
      </w:pPr>
      <w:r w:rsidRPr="005F1356">
        <w:rPr>
          <w:lang w:val="en-GB"/>
        </w:rPr>
        <w:t xml:space="preserve">NGO Report (for Session) to the </w:t>
      </w:r>
      <w:r>
        <w:rPr>
          <w:lang w:val="en-GB"/>
        </w:rPr>
        <w:t>6</w:t>
      </w:r>
      <w:r w:rsidRPr="00092691">
        <w:rPr>
          <w:vertAlign w:val="superscript"/>
          <w:lang w:val="en-GB"/>
        </w:rPr>
        <w:t>th</w:t>
      </w:r>
      <w:r w:rsidRPr="005F1356">
        <w:rPr>
          <w:lang w:val="en-GB"/>
        </w:rPr>
        <w:t xml:space="preserve"> to </w:t>
      </w:r>
      <w:r>
        <w:rPr>
          <w:lang w:val="en-GB"/>
        </w:rPr>
        <w:t>7</w:t>
      </w:r>
      <w:r w:rsidRPr="00092691">
        <w:rPr>
          <w:vertAlign w:val="superscript"/>
          <w:lang w:val="en-GB"/>
        </w:rPr>
        <w:t>th</w:t>
      </w:r>
      <w:r w:rsidRPr="005F1356">
        <w:rPr>
          <w:lang w:val="en-GB"/>
        </w:rPr>
        <w:t xml:space="preserve"> Report of </w:t>
      </w:r>
      <w:r>
        <w:rPr>
          <w:lang w:val="en-GB"/>
        </w:rPr>
        <w:t>Mexico</w:t>
      </w:r>
      <w:r w:rsidRPr="005F1356">
        <w:rPr>
          <w:lang w:val="en-GB"/>
        </w:rPr>
        <w:br/>
        <w:t>on the Convention on the Rights of</w:t>
      </w:r>
      <w:r>
        <w:rPr>
          <w:lang w:val="en-GB"/>
        </w:rPr>
        <w:t xml:space="preserve"> the Child </w:t>
      </w:r>
      <w:r w:rsidRPr="005F1356">
        <w:rPr>
          <w:lang w:val="en-GB"/>
        </w:rPr>
        <w:t>(</w:t>
      </w:r>
      <w:r>
        <w:rPr>
          <w:lang w:val="en-GB"/>
        </w:rPr>
        <w:t>CRC</w:t>
      </w:r>
      <w:r w:rsidRPr="005F1356">
        <w:rPr>
          <w:lang w:val="en-GB"/>
        </w:rPr>
        <w:t>)</w:t>
      </w:r>
    </w:p>
    <w:p w:rsidR="00D7739B" w:rsidRPr="006F74DB" w:rsidRDefault="00D7739B" w:rsidP="00D7739B">
      <w:pPr>
        <w:pStyle w:val="absatzschattenbericht"/>
        <w:rPr>
          <w:rFonts w:eastAsia="Baskerville-SemiBold" w:cs="Times New Roman"/>
          <w:sz w:val="20"/>
          <w:szCs w:val="20"/>
          <w:lang w:val="en-GB"/>
        </w:rPr>
      </w:pPr>
    </w:p>
    <w:bookmarkStart w:id="0" w:name="_GoBack"/>
    <w:p w:rsidR="003C1BEB" w:rsidRPr="00000B98" w:rsidRDefault="00D7739B" w:rsidP="003C1BEB">
      <w:pPr>
        <w:pStyle w:val="Verzeichnis1"/>
        <w:spacing w:after="0" w:line="288" w:lineRule="auto"/>
        <w:rPr>
          <w:rFonts w:eastAsiaTheme="minorEastAsia"/>
          <w:b/>
          <w:bCs/>
          <w:sz w:val="20"/>
          <w:szCs w:val="20"/>
          <w:lang w:eastAsia="zh-CN" w:bidi="ar-SA"/>
        </w:rPr>
      </w:pPr>
      <w:r w:rsidRPr="003C1BEB">
        <w:rPr>
          <w:rStyle w:val="Hyperlink"/>
          <w:noProof w:val="0"/>
          <w:sz w:val="20"/>
          <w:szCs w:val="20"/>
          <w:lang w:val="en-GB"/>
        </w:rPr>
        <w:fldChar w:fldCharType="begin"/>
      </w:r>
      <w:r w:rsidRPr="003C1BEB">
        <w:rPr>
          <w:rStyle w:val="Hyperlink"/>
          <w:noProof w:val="0"/>
          <w:sz w:val="20"/>
          <w:szCs w:val="20"/>
          <w:lang w:val="en-GB"/>
        </w:rPr>
        <w:instrText xml:space="preserve"> TOC \h \z \t "Title 2;1;Title 3;2;Untertitel;2" </w:instrText>
      </w:r>
      <w:r w:rsidRPr="003C1BEB">
        <w:rPr>
          <w:rStyle w:val="Hyperlink"/>
          <w:noProof w:val="0"/>
          <w:sz w:val="20"/>
          <w:szCs w:val="20"/>
          <w:lang w:val="en-GB"/>
        </w:rPr>
        <w:fldChar w:fldCharType="separate"/>
      </w:r>
      <w:hyperlink w:anchor="_Toc174653876" w:history="1">
        <w:r w:rsidR="003C1BEB" w:rsidRPr="00000B98">
          <w:rPr>
            <w:rStyle w:val="Hyperlink"/>
            <w:b/>
            <w:bCs/>
            <w:sz w:val="20"/>
            <w:szCs w:val="20"/>
          </w:rPr>
          <w:t>1.  Summary: Intersex, IGM and Human Rights in Mexico</w:t>
        </w:r>
        <w:r w:rsidR="003C1BEB" w:rsidRPr="00000B98">
          <w:rPr>
            <w:b/>
            <w:bCs/>
            <w:webHidden/>
            <w:sz w:val="20"/>
            <w:szCs w:val="20"/>
          </w:rPr>
          <w:tab/>
        </w:r>
        <w:r w:rsidR="003C1BEB" w:rsidRPr="00000B98">
          <w:rPr>
            <w:b/>
            <w:bCs/>
            <w:webHidden/>
            <w:sz w:val="20"/>
            <w:szCs w:val="20"/>
          </w:rPr>
          <w:fldChar w:fldCharType="begin"/>
        </w:r>
        <w:r w:rsidR="003C1BEB" w:rsidRPr="00000B98">
          <w:rPr>
            <w:b/>
            <w:bCs/>
            <w:webHidden/>
            <w:sz w:val="20"/>
            <w:szCs w:val="20"/>
          </w:rPr>
          <w:instrText xml:space="preserve"> PAGEREF _Toc174653876 \h </w:instrText>
        </w:r>
        <w:r w:rsidR="003C1BEB" w:rsidRPr="00000B98">
          <w:rPr>
            <w:b/>
            <w:bCs/>
            <w:webHidden/>
            <w:sz w:val="20"/>
            <w:szCs w:val="20"/>
          </w:rPr>
        </w:r>
        <w:r w:rsidR="003C1BEB" w:rsidRPr="00000B98">
          <w:rPr>
            <w:b/>
            <w:bCs/>
            <w:webHidden/>
            <w:sz w:val="20"/>
            <w:szCs w:val="20"/>
          </w:rPr>
          <w:fldChar w:fldCharType="separate"/>
        </w:r>
        <w:r w:rsidR="0041585A">
          <w:rPr>
            <w:b/>
            <w:bCs/>
            <w:webHidden/>
            <w:sz w:val="20"/>
            <w:szCs w:val="20"/>
          </w:rPr>
          <w:t>1</w:t>
        </w:r>
        <w:r w:rsidR="003C1BEB" w:rsidRPr="00000B98">
          <w:rPr>
            <w:b/>
            <w:bCs/>
            <w:webHidden/>
            <w:sz w:val="20"/>
            <w:szCs w:val="20"/>
          </w:rPr>
          <w:fldChar w:fldCharType="end"/>
        </w:r>
      </w:hyperlink>
    </w:p>
    <w:p w:rsidR="003C1BEB" w:rsidRPr="003C1BEB" w:rsidRDefault="00240123" w:rsidP="003C1BEB">
      <w:pPr>
        <w:pStyle w:val="Verzeichnis1"/>
        <w:spacing w:after="0" w:line="288" w:lineRule="auto"/>
        <w:rPr>
          <w:rFonts w:eastAsiaTheme="minorEastAsia"/>
          <w:sz w:val="20"/>
          <w:szCs w:val="20"/>
          <w:lang w:eastAsia="zh-CN" w:bidi="ar-SA"/>
        </w:rPr>
      </w:pPr>
      <w:hyperlink w:anchor="_Toc174653877" w:history="1">
        <w:r w:rsidR="003C1BEB" w:rsidRPr="003C1BEB">
          <w:rPr>
            <w:rStyle w:val="Hyperlink"/>
            <w:sz w:val="20"/>
            <w:szCs w:val="20"/>
          </w:rPr>
          <w:t>2.  About the Rapporteurs</w:t>
        </w:r>
        <w:r w:rsidR="003C1BEB" w:rsidRPr="003C1BEB">
          <w:rPr>
            <w:webHidden/>
            <w:sz w:val="20"/>
            <w:szCs w:val="20"/>
          </w:rPr>
          <w:tab/>
        </w:r>
        <w:r w:rsidR="003C1BEB" w:rsidRPr="003C1BEB">
          <w:rPr>
            <w:webHidden/>
            <w:sz w:val="20"/>
            <w:szCs w:val="20"/>
          </w:rPr>
          <w:fldChar w:fldCharType="begin"/>
        </w:r>
        <w:r w:rsidR="003C1BEB" w:rsidRPr="003C1BEB">
          <w:rPr>
            <w:webHidden/>
            <w:sz w:val="20"/>
            <w:szCs w:val="20"/>
          </w:rPr>
          <w:instrText xml:space="preserve"> PAGEREF _Toc174653877 \h </w:instrText>
        </w:r>
        <w:r w:rsidR="003C1BEB" w:rsidRPr="003C1BEB">
          <w:rPr>
            <w:webHidden/>
            <w:sz w:val="20"/>
            <w:szCs w:val="20"/>
          </w:rPr>
        </w:r>
        <w:r w:rsidR="003C1BEB" w:rsidRPr="003C1BEB">
          <w:rPr>
            <w:webHidden/>
            <w:sz w:val="20"/>
            <w:szCs w:val="20"/>
          </w:rPr>
          <w:fldChar w:fldCharType="separate"/>
        </w:r>
        <w:r w:rsidR="0041585A">
          <w:rPr>
            <w:webHidden/>
            <w:sz w:val="20"/>
            <w:szCs w:val="20"/>
          </w:rPr>
          <w:t>2</w:t>
        </w:r>
        <w:r w:rsidR="003C1BEB" w:rsidRPr="003C1BEB">
          <w:rPr>
            <w:webHidden/>
            <w:sz w:val="20"/>
            <w:szCs w:val="20"/>
          </w:rPr>
          <w:fldChar w:fldCharType="end"/>
        </w:r>
      </w:hyperlink>
    </w:p>
    <w:p w:rsidR="003C1BEB" w:rsidRPr="003C1BEB" w:rsidRDefault="00240123" w:rsidP="003C1BEB">
      <w:pPr>
        <w:pStyle w:val="Verzeichnis1"/>
        <w:spacing w:after="0" w:line="288" w:lineRule="auto"/>
        <w:rPr>
          <w:rFonts w:eastAsiaTheme="minorEastAsia"/>
          <w:sz w:val="20"/>
          <w:szCs w:val="20"/>
          <w:lang w:eastAsia="zh-CN" w:bidi="ar-SA"/>
        </w:rPr>
      </w:pPr>
      <w:hyperlink w:anchor="_Toc174653878" w:history="1">
        <w:r w:rsidR="003C1BEB" w:rsidRPr="003C1BEB">
          <w:rPr>
            <w:rStyle w:val="Hyperlink"/>
            <w:sz w:val="20"/>
            <w:szCs w:val="20"/>
          </w:rPr>
          <w:t>3.  Precedents: Previous Concluding Observations</w:t>
        </w:r>
        <w:r w:rsidR="003C1BEB" w:rsidRPr="003C1BEB">
          <w:rPr>
            <w:webHidden/>
            <w:sz w:val="20"/>
            <w:szCs w:val="20"/>
          </w:rPr>
          <w:tab/>
        </w:r>
        <w:r w:rsidR="003C1BEB" w:rsidRPr="003C1BEB">
          <w:rPr>
            <w:webHidden/>
            <w:sz w:val="20"/>
            <w:szCs w:val="20"/>
          </w:rPr>
          <w:fldChar w:fldCharType="begin"/>
        </w:r>
        <w:r w:rsidR="003C1BEB" w:rsidRPr="003C1BEB">
          <w:rPr>
            <w:webHidden/>
            <w:sz w:val="20"/>
            <w:szCs w:val="20"/>
          </w:rPr>
          <w:instrText xml:space="preserve"> PAGEREF _Toc174653878 \h </w:instrText>
        </w:r>
        <w:r w:rsidR="003C1BEB" w:rsidRPr="003C1BEB">
          <w:rPr>
            <w:webHidden/>
            <w:sz w:val="20"/>
            <w:szCs w:val="20"/>
          </w:rPr>
        </w:r>
        <w:r w:rsidR="003C1BEB" w:rsidRPr="003C1BEB">
          <w:rPr>
            <w:webHidden/>
            <w:sz w:val="20"/>
            <w:szCs w:val="20"/>
          </w:rPr>
          <w:fldChar w:fldCharType="separate"/>
        </w:r>
        <w:r w:rsidR="0041585A">
          <w:rPr>
            <w:webHidden/>
            <w:sz w:val="20"/>
            <w:szCs w:val="20"/>
          </w:rPr>
          <w:t>2</w:t>
        </w:r>
        <w:r w:rsidR="003C1BEB" w:rsidRPr="003C1BEB">
          <w:rPr>
            <w:webHidden/>
            <w:sz w:val="20"/>
            <w:szCs w:val="20"/>
          </w:rPr>
          <w:fldChar w:fldCharType="end"/>
        </w:r>
      </w:hyperlink>
    </w:p>
    <w:p w:rsidR="003C1BEB" w:rsidRPr="003C1BEB" w:rsidRDefault="003C1BEB" w:rsidP="003C1BEB">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4653879" w:history="1">
        <w:r w:rsidRPr="003C1BEB">
          <w:rPr>
            <w:rStyle w:val="Hyperlink"/>
            <w:rFonts w:ascii="Arial" w:hAnsi="Arial" w:cs="Arial"/>
            <w:noProof/>
            <w:sz w:val="20"/>
            <w:szCs w:val="20"/>
            <w:lang w:bidi="hi-IN"/>
          </w:rPr>
          <w:t>a) Harmful Practices: CEDAW 2018 (CEDAW/C/MEX/CO/9, paras 21-22)</w:t>
        </w:r>
        <w:r w:rsidRPr="003C1BEB">
          <w:rPr>
            <w:rFonts w:ascii="Arial" w:hAnsi="Arial" w:cs="Arial"/>
            <w:noProof/>
            <w:webHidden/>
            <w:sz w:val="20"/>
            <w:szCs w:val="20"/>
          </w:rPr>
          <w:tab/>
        </w:r>
        <w:r w:rsidRPr="003C1BEB">
          <w:rPr>
            <w:rFonts w:ascii="Arial" w:hAnsi="Arial" w:cs="Arial"/>
            <w:noProof/>
            <w:webHidden/>
            <w:sz w:val="20"/>
            <w:szCs w:val="20"/>
          </w:rPr>
          <w:fldChar w:fldCharType="begin"/>
        </w:r>
        <w:r w:rsidRPr="003C1BEB">
          <w:rPr>
            <w:rFonts w:ascii="Arial" w:hAnsi="Arial" w:cs="Arial"/>
            <w:noProof/>
            <w:webHidden/>
            <w:sz w:val="20"/>
            <w:szCs w:val="20"/>
          </w:rPr>
          <w:instrText xml:space="preserve"> PAGEREF _Toc174653879 \h </w:instrText>
        </w:r>
        <w:r w:rsidRPr="003C1BEB">
          <w:rPr>
            <w:rFonts w:ascii="Arial" w:hAnsi="Arial" w:cs="Arial"/>
            <w:noProof/>
            <w:webHidden/>
            <w:sz w:val="20"/>
            <w:szCs w:val="20"/>
          </w:rPr>
        </w:r>
        <w:r w:rsidRPr="003C1BEB">
          <w:rPr>
            <w:rFonts w:ascii="Arial" w:hAnsi="Arial" w:cs="Arial"/>
            <w:noProof/>
            <w:webHidden/>
            <w:sz w:val="20"/>
            <w:szCs w:val="20"/>
          </w:rPr>
          <w:fldChar w:fldCharType="separate"/>
        </w:r>
        <w:r w:rsidR="0041585A">
          <w:rPr>
            <w:rFonts w:ascii="Arial" w:hAnsi="Arial" w:cs="Arial"/>
            <w:noProof/>
            <w:webHidden/>
            <w:sz w:val="20"/>
            <w:szCs w:val="20"/>
          </w:rPr>
          <w:t>2</w:t>
        </w:r>
        <w:r w:rsidRPr="003C1BEB">
          <w:rPr>
            <w:rFonts w:ascii="Arial" w:hAnsi="Arial" w:cs="Arial"/>
            <w:noProof/>
            <w:webHidden/>
            <w:sz w:val="20"/>
            <w:szCs w:val="20"/>
          </w:rPr>
          <w:fldChar w:fldCharType="end"/>
        </w:r>
      </w:hyperlink>
    </w:p>
    <w:p w:rsidR="003C1BEB" w:rsidRPr="003C1BEB" w:rsidRDefault="003C1BEB" w:rsidP="003C1BEB">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4653880" w:history="1">
        <w:r w:rsidRPr="003C1BEB">
          <w:rPr>
            <w:rStyle w:val="Hyperlink"/>
            <w:rFonts w:ascii="Arial" w:hAnsi="Arial" w:cs="Arial"/>
            <w:noProof/>
            <w:sz w:val="20"/>
            <w:szCs w:val="20"/>
            <w:lang w:bidi="hi-IN"/>
          </w:rPr>
          <w:t>b) Inhuman Treatment: CCPR 2019 (CCPR/C/MEX/CO/6, paras 12-13)</w:t>
        </w:r>
        <w:r w:rsidRPr="003C1BEB">
          <w:rPr>
            <w:rFonts w:ascii="Arial" w:hAnsi="Arial" w:cs="Arial"/>
            <w:noProof/>
            <w:webHidden/>
            <w:sz w:val="20"/>
            <w:szCs w:val="20"/>
          </w:rPr>
          <w:tab/>
        </w:r>
        <w:r w:rsidRPr="003C1BEB">
          <w:rPr>
            <w:rFonts w:ascii="Arial" w:hAnsi="Arial" w:cs="Arial"/>
            <w:noProof/>
            <w:webHidden/>
            <w:sz w:val="20"/>
            <w:szCs w:val="20"/>
          </w:rPr>
          <w:fldChar w:fldCharType="begin"/>
        </w:r>
        <w:r w:rsidRPr="003C1BEB">
          <w:rPr>
            <w:rFonts w:ascii="Arial" w:hAnsi="Arial" w:cs="Arial"/>
            <w:noProof/>
            <w:webHidden/>
            <w:sz w:val="20"/>
            <w:szCs w:val="20"/>
          </w:rPr>
          <w:instrText xml:space="preserve"> PAGEREF _Toc174653880 \h </w:instrText>
        </w:r>
        <w:r w:rsidRPr="003C1BEB">
          <w:rPr>
            <w:rFonts w:ascii="Arial" w:hAnsi="Arial" w:cs="Arial"/>
            <w:noProof/>
            <w:webHidden/>
            <w:sz w:val="20"/>
            <w:szCs w:val="20"/>
          </w:rPr>
        </w:r>
        <w:r w:rsidRPr="003C1BEB">
          <w:rPr>
            <w:rFonts w:ascii="Arial" w:hAnsi="Arial" w:cs="Arial"/>
            <w:noProof/>
            <w:webHidden/>
            <w:sz w:val="20"/>
            <w:szCs w:val="20"/>
          </w:rPr>
          <w:fldChar w:fldCharType="separate"/>
        </w:r>
        <w:r w:rsidR="0041585A">
          <w:rPr>
            <w:rFonts w:ascii="Arial" w:hAnsi="Arial" w:cs="Arial"/>
            <w:noProof/>
            <w:webHidden/>
            <w:sz w:val="20"/>
            <w:szCs w:val="20"/>
          </w:rPr>
          <w:t>3</w:t>
        </w:r>
        <w:r w:rsidRPr="003C1BEB">
          <w:rPr>
            <w:rFonts w:ascii="Arial" w:hAnsi="Arial" w:cs="Arial"/>
            <w:noProof/>
            <w:webHidden/>
            <w:sz w:val="20"/>
            <w:szCs w:val="20"/>
          </w:rPr>
          <w:fldChar w:fldCharType="end"/>
        </w:r>
      </w:hyperlink>
    </w:p>
    <w:p w:rsidR="003C1BEB" w:rsidRPr="003C1BEB" w:rsidRDefault="00240123" w:rsidP="003C1BEB">
      <w:pPr>
        <w:pStyle w:val="Verzeichnis1"/>
        <w:spacing w:after="0" w:line="288" w:lineRule="auto"/>
        <w:rPr>
          <w:rFonts w:eastAsiaTheme="minorEastAsia"/>
          <w:sz w:val="20"/>
          <w:szCs w:val="20"/>
          <w:lang w:eastAsia="zh-CN" w:bidi="ar-SA"/>
        </w:rPr>
      </w:pPr>
      <w:hyperlink w:anchor="_Toc174653881" w:history="1">
        <w:r w:rsidR="003C1BEB" w:rsidRPr="003C1BEB">
          <w:rPr>
            <w:rStyle w:val="Hyperlink"/>
            <w:sz w:val="20"/>
            <w:szCs w:val="20"/>
          </w:rPr>
          <w:t xml:space="preserve">4.  Mexico’s commitment to </w:t>
        </w:r>
        <w:r w:rsidR="003C1BEB" w:rsidRPr="003C1BEB">
          <w:rPr>
            <w:rStyle w:val="Hyperlink"/>
            <w:i/>
            <w:sz w:val="20"/>
            <w:szCs w:val="20"/>
          </w:rPr>
          <w:t>“protect intersex children from violence and harmful practices”</w:t>
        </w:r>
        <w:r w:rsidR="003C1BEB" w:rsidRPr="003C1BEB">
          <w:rPr>
            <w:webHidden/>
            <w:sz w:val="20"/>
            <w:szCs w:val="20"/>
          </w:rPr>
          <w:tab/>
        </w:r>
        <w:r w:rsidR="003C1BEB" w:rsidRPr="003C1BEB">
          <w:rPr>
            <w:webHidden/>
            <w:sz w:val="20"/>
            <w:szCs w:val="20"/>
          </w:rPr>
          <w:fldChar w:fldCharType="begin"/>
        </w:r>
        <w:r w:rsidR="003C1BEB" w:rsidRPr="003C1BEB">
          <w:rPr>
            <w:webHidden/>
            <w:sz w:val="20"/>
            <w:szCs w:val="20"/>
          </w:rPr>
          <w:instrText xml:space="preserve"> PAGEREF _Toc174653881 \h </w:instrText>
        </w:r>
        <w:r w:rsidR="003C1BEB" w:rsidRPr="003C1BEB">
          <w:rPr>
            <w:webHidden/>
            <w:sz w:val="20"/>
            <w:szCs w:val="20"/>
          </w:rPr>
        </w:r>
        <w:r w:rsidR="003C1BEB" w:rsidRPr="003C1BEB">
          <w:rPr>
            <w:webHidden/>
            <w:sz w:val="20"/>
            <w:szCs w:val="20"/>
          </w:rPr>
          <w:fldChar w:fldCharType="separate"/>
        </w:r>
        <w:r w:rsidR="0041585A">
          <w:rPr>
            <w:webHidden/>
            <w:sz w:val="20"/>
            <w:szCs w:val="20"/>
          </w:rPr>
          <w:t>3</w:t>
        </w:r>
        <w:r w:rsidR="003C1BEB" w:rsidRPr="003C1BEB">
          <w:rPr>
            <w:webHidden/>
            <w:sz w:val="20"/>
            <w:szCs w:val="20"/>
          </w:rPr>
          <w:fldChar w:fldCharType="end"/>
        </w:r>
      </w:hyperlink>
    </w:p>
    <w:p w:rsidR="003C1BEB" w:rsidRPr="003C1BEB" w:rsidRDefault="003C1BEB" w:rsidP="003C1BEB">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4653882" w:history="1">
        <w:r w:rsidRPr="003C1BEB">
          <w:rPr>
            <w:rStyle w:val="Hyperlink"/>
            <w:rFonts w:ascii="Arial" w:hAnsi="Arial" w:cs="Arial"/>
            <w:noProof/>
            <w:sz w:val="20"/>
            <w:szCs w:val="20"/>
            <w:lang w:bidi="hi-IN"/>
          </w:rPr>
          <w:t>a) UNHRC45 Statement, 01.10.2020</w:t>
        </w:r>
        <w:r w:rsidRPr="003C1BEB">
          <w:rPr>
            <w:rFonts w:ascii="Arial" w:hAnsi="Arial" w:cs="Arial"/>
            <w:noProof/>
            <w:webHidden/>
            <w:sz w:val="20"/>
            <w:szCs w:val="20"/>
          </w:rPr>
          <w:tab/>
        </w:r>
        <w:r w:rsidRPr="003C1BEB">
          <w:rPr>
            <w:rFonts w:ascii="Arial" w:hAnsi="Arial" w:cs="Arial"/>
            <w:noProof/>
            <w:webHidden/>
            <w:sz w:val="20"/>
            <w:szCs w:val="20"/>
          </w:rPr>
          <w:fldChar w:fldCharType="begin"/>
        </w:r>
        <w:r w:rsidRPr="003C1BEB">
          <w:rPr>
            <w:rFonts w:ascii="Arial" w:hAnsi="Arial" w:cs="Arial"/>
            <w:noProof/>
            <w:webHidden/>
            <w:sz w:val="20"/>
            <w:szCs w:val="20"/>
          </w:rPr>
          <w:instrText xml:space="preserve"> PAGEREF _Toc174653882 \h </w:instrText>
        </w:r>
        <w:r w:rsidRPr="003C1BEB">
          <w:rPr>
            <w:rFonts w:ascii="Arial" w:hAnsi="Arial" w:cs="Arial"/>
            <w:noProof/>
            <w:webHidden/>
            <w:sz w:val="20"/>
            <w:szCs w:val="20"/>
          </w:rPr>
        </w:r>
        <w:r w:rsidRPr="003C1BEB">
          <w:rPr>
            <w:rFonts w:ascii="Arial" w:hAnsi="Arial" w:cs="Arial"/>
            <w:noProof/>
            <w:webHidden/>
            <w:sz w:val="20"/>
            <w:szCs w:val="20"/>
          </w:rPr>
          <w:fldChar w:fldCharType="separate"/>
        </w:r>
        <w:r w:rsidR="0041585A">
          <w:rPr>
            <w:rFonts w:ascii="Arial" w:hAnsi="Arial" w:cs="Arial"/>
            <w:noProof/>
            <w:webHidden/>
            <w:sz w:val="20"/>
            <w:szCs w:val="20"/>
          </w:rPr>
          <w:t>3</w:t>
        </w:r>
        <w:r w:rsidRPr="003C1BEB">
          <w:rPr>
            <w:rFonts w:ascii="Arial" w:hAnsi="Arial" w:cs="Arial"/>
            <w:noProof/>
            <w:webHidden/>
            <w:sz w:val="20"/>
            <w:szCs w:val="20"/>
          </w:rPr>
          <w:fldChar w:fldCharType="end"/>
        </w:r>
      </w:hyperlink>
    </w:p>
    <w:p w:rsidR="003C1BEB" w:rsidRPr="003C1BEB" w:rsidRDefault="003C1BEB" w:rsidP="003C1BEB">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4653883" w:history="1">
        <w:r w:rsidRPr="003C1BEB">
          <w:rPr>
            <w:rStyle w:val="Hyperlink"/>
            <w:rFonts w:ascii="Arial" w:hAnsi="Arial" w:cs="Arial"/>
            <w:noProof/>
            <w:sz w:val="20"/>
            <w:szCs w:val="20"/>
            <w:lang w:bidi="hi-IN"/>
          </w:rPr>
          <w:t>b) UNHRC48 Statement, 04.10.2021</w:t>
        </w:r>
        <w:r w:rsidRPr="003C1BEB">
          <w:rPr>
            <w:rFonts w:ascii="Arial" w:hAnsi="Arial" w:cs="Arial"/>
            <w:noProof/>
            <w:webHidden/>
            <w:sz w:val="20"/>
            <w:szCs w:val="20"/>
          </w:rPr>
          <w:tab/>
        </w:r>
        <w:r w:rsidRPr="003C1BEB">
          <w:rPr>
            <w:rFonts w:ascii="Arial" w:hAnsi="Arial" w:cs="Arial"/>
            <w:noProof/>
            <w:webHidden/>
            <w:sz w:val="20"/>
            <w:szCs w:val="20"/>
          </w:rPr>
          <w:fldChar w:fldCharType="begin"/>
        </w:r>
        <w:r w:rsidRPr="003C1BEB">
          <w:rPr>
            <w:rFonts w:ascii="Arial" w:hAnsi="Arial" w:cs="Arial"/>
            <w:noProof/>
            <w:webHidden/>
            <w:sz w:val="20"/>
            <w:szCs w:val="20"/>
          </w:rPr>
          <w:instrText xml:space="preserve"> PAGEREF _Toc174653883 \h </w:instrText>
        </w:r>
        <w:r w:rsidRPr="003C1BEB">
          <w:rPr>
            <w:rFonts w:ascii="Arial" w:hAnsi="Arial" w:cs="Arial"/>
            <w:noProof/>
            <w:webHidden/>
            <w:sz w:val="20"/>
            <w:szCs w:val="20"/>
          </w:rPr>
        </w:r>
        <w:r w:rsidRPr="003C1BEB">
          <w:rPr>
            <w:rFonts w:ascii="Arial" w:hAnsi="Arial" w:cs="Arial"/>
            <w:noProof/>
            <w:webHidden/>
            <w:sz w:val="20"/>
            <w:szCs w:val="20"/>
          </w:rPr>
          <w:fldChar w:fldCharType="separate"/>
        </w:r>
        <w:r w:rsidR="0041585A">
          <w:rPr>
            <w:rFonts w:ascii="Arial" w:hAnsi="Arial" w:cs="Arial"/>
            <w:noProof/>
            <w:webHidden/>
            <w:sz w:val="20"/>
            <w:szCs w:val="20"/>
          </w:rPr>
          <w:t>3</w:t>
        </w:r>
        <w:r w:rsidRPr="003C1BEB">
          <w:rPr>
            <w:rFonts w:ascii="Arial" w:hAnsi="Arial" w:cs="Arial"/>
            <w:noProof/>
            <w:webHidden/>
            <w:sz w:val="20"/>
            <w:szCs w:val="20"/>
          </w:rPr>
          <w:fldChar w:fldCharType="end"/>
        </w:r>
      </w:hyperlink>
    </w:p>
    <w:p w:rsidR="003C1BEB" w:rsidRPr="003C1BEB" w:rsidRDefault="003C1BEB" w:rsidP="003C1BEB">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4653884" w:history="1">
        <w:r w:rsidRPr="003C1BEB">
          <w:rPr>
            <w:rStyle w:val="Hyperlink"/>
            <w:rFonts w:ascii="Arial" w:hAnsi="Arial" w:cs="Arial"/>
            <w:noProof/>
            <w:sz w:val="20"/>
            <w:szCs w:val="20"/>
            <w:lang w:bidi="hi-IN"/>
          </w:rPr>
          <w:t>c) UNHRC54 Statement, 04.10.2023</w:t>
        </w:r>
        <w:r w:rsidRPr="003C1BEB">
          <w:rPr>
            <w:rFonts w:ascii="Arial" w:hAnsi="Arial" w:cs="Arial"/>
            <w:noProof/>
            <w:webHidden/>
            <w:sz w:val="20"/>
            <w:szCs w:val="20"/>
          </w:rPr>
          <w:tab/>
        </w:r>
        <w:r w:rsidRPr="003C1BEB">
          <w:rPr>
            <w:rFonts w:ascii="Arial" w:hAnsi="Arial" w:cs="Arial"/>
            <w:noProof/>
            <w:webHidden/>
            <w:sz w:val="20"/>
            <w:szCs w:val="20"/>
          </w:rPr>
          <w:fldChar w:fldCharType="begin"/>
        </w:r>
        <w:r w:rsidRPr="003C1BEB">
          <w:rPr>
            <w:rFonts w:ascii="Arial" w:hAnsi="Arial" w:cs="Arial"/>
            <w:noProof/>
            <w:webHidden/>
            <w:sz w:val="20"/>
            <w:szCs w:val="20"/>
          </w:rPr>
          <w:instrText xml:space="preserve"> PAGEREF _Toc174653884 \h </w:instrText>
        </w:r>
        <w:r w:rsidRPr="003C1BEB">
          <w:rPr>
            <w:rFonts w:ascii="Arial" w:hAnsi="Arial" w:cs="Arial"/>
            <w:noProof/>
            <w:webHidden/>
            <w:sz w:val="20"/>
            <w:szCs w:val="20"/>
          </w:rPr>
        </w:r>
        <w:r w:rsidRPr="003C1BEB">
          <w:rPr>
            <w:rFonts w:ascii="Arial" w:hAnsi="Arial" w:cs="Arial"/>
            <w:noProof/>
            <w:webHidden/>
            <w:sz w:val="20"/>
            <w:szCs w:val="20"/>
          </w:rPr>
          <w:fldChar w:fldCharType="separate"/>
        </w:r>
        <w:r w:rsidR="0041585A">
          <w:rPr>
            <w:rFonts w:ascii="Arial" w:hAnsi="Arial" w:cs="Arial"/>
            <w:noProof/>
            <w:webHidden/>
            <w:sz w:val="20"/>
            <w:szCs w:val="20"/>
          </w:rPr>
          <w:t>4</w:t>
        </w:r>
        <w:r w:rsidRPr="003C1BEB">
          <w:rPr>
            <w:rFonts w:ascii="Arial" w:hAnsi="Arial" w:cs="Arial"/>
            <w:noProof/>
            <w:webHidden/>
            <w:sz w:val="20"/>
            <w:szCs w:val="20"/>
          </w:rPr>
          <w:fldChar w:fldCharType="end"/>
        </w:r>
      </w:hyperlink>
    </w:p>
    <w:p w:rsidR="003C1BEB" w:rsidRPr="003C1BEB" w:rsidRDefault="003C1BEB" w:rsidP="003C1BEB">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4653885" w:history="1">
        <w:r w:rsidRPr="003C1BEB">
          <w:rPr>
            <w:rStyle w:val="Hyperlink"/>
            <w:rFonts w:ascii="Arial" w:hAnsi="Arial" w:cs="Arial"/>
            <w:noProof/>
            <w:sz w:val="20"/>
            <w:szCs w:val="20"/>
            <w:lang w:bidi="hi-IN"/>
          </w:rPr>
          <w:t>d) UNHRC55 Intersex Resolution A/HRC/55/L.9 co-sponsored by Mexico, 21.03.2024</w:t>
        </w:r>
        <w:r w:rsidRPr="003C1BEB">
          <w:rPr>
            <w:rFonts w:ascii="Arial" w:hAnsi="Arial" w:cs="Arial"/>
            <w:noProof/>
            <w:webHidden/>
            <w:sz w:val="20"/>
            <w:szCs w:val="20"/>
          </w:rPr>
          <w:tab/>
        </w:r>
        <w:r w:rsidRPr="003C1BEB">
          <w:rPr>
            <w:rFonts w:ascii="Arial" w:hAnsi="Arial" w:cs="Arial"/>
            <w:noProof/>
            <w:webHidden/>
            <w:sz w:val="20"/>
            <w:szCs w:val="20"/>
          </w:rPr>
          <w:fldChar w:fldCharType="begin"/>
        </w:r>
        <w:r w:rsidRPr="003C1BEB">
          <w:rPr>
            <w:rFonts w:ascii="Arial" w:hAnsi="Arial" w:cs="Arial"/>
            <w:noProof/>
            <w:webHidden/>
            <w:sz w:val="20"/>
            <w:szCs w:val="20"/>
          </w:rPr>
          <w:instrText xml:space="preserve"> PAGEREF _Toc174653885 \h </w:instrText>
        </w:r>
        <w:r w:rsidRPr="003C1BEB">
          <w:rPr>
            <w:rFonts w:ascii="Arial" w:hAnsi="Arial" w:cs="Arial"/>
            <w:noProof/>
            <w:webHidden/>
            <w:sz w:val="20"/>
            <w:szCs w:val="20"/>
          </w:rPr>
        </w:r>
        <w:r w:rsidRPr="003C1BEB">
          <w:rPr>
            <w:rFonts w:ascii="Arial" w:hAnsi="Arial" w:cs="Arial"/>
            <w:noProof/>
            <w:webHidden/>
            <w:sz w:val="20"/>
            <w:szCs w:val="20"/>
          </w:rPr>
          <w:fldChar w:fldCharType="separate"/>
        </w:r>
        <w:r w:rsidR="0041585A">
          <w:rPr>
            <w:rFonts w:ascii="Arial" w:hAnsi="Arial" w:cs="Arial"/>
            <w:noProof/>
            <w:webHidden/>
            <w:sz w:val="20"/>
            <w:szCs w:val="20"/>
          </w:rPr>
          <w:t>4</w:t>
        </w:r>
        <w:r w:rsidRPr="003C1BEB">
          <w:rPr>
            <w:rFonts w:ascii="Arial" w:hAnsi="Arial" w:cs="Arial"/>
            <w:noProof/>
            <w:webHidden/>
            <w:sz w:val="20"/>
            <w:szCs w:val="20"/>
          </w:rPr>
          <w:fldChar w:fldCharType="end"/>
        </w:r>
      </w:hyperlink>
    </w:p>
    <w:p w:rsidR="003C1BEB" w:rsidRPr="003C1BEB" w:rsidRDefault="00240123" w:rsidP="003C1BEB">
      <w:pPr>
        <w:pStyle w:val="Verzeichnis1"/>
        <w:spacing w:after="0" w:line="288" w:lineRule="auto"/>
        <w:rPr>
          <w:rFonts w:eastAsiaTheme="minorEastAsia"/>
          <w:sz w:val="20"/>
          <w:szCs w:val="20"/>
          <w:lang w:eastAsia="zh-CN" w:bidi="ar-SA"/>
        </w:rPr>
      </w:pPr>
      <w:hyperlink w:anchor="_Toc174653886" w:history="1">
        <w:r w:rsidR="003C1BEB" w:rsidRPr="003C1BEB">
          <w:rPr>
            <w:rStyle w:val="Hyperlink"/>
            <w:sz w:val="20"/>
            <w:szCs w:val="20"/>
          </w:rPr>
          <w:t>5.  Most common IGM forms advocated and perpetrated by Mexico</w:t>
        </w:r>
        <w:r w:rsidR="003C1BEB" w:rsidRPr="003C1BEB">
          <w:rPr>
            <w:webHidden/>
            <w:sz w:val="20"/>
            <w:szCs w:val="20"/>
          </w:rPr>
          <w:tab/>
        </w:r>
        <w:r w:rsidR="003C1BEB" w:rsidRPr="003C1BEB">
          <w:rPr>
            <w:webHidden/>
            <w:sz w:val="20"/>
            <w:szCs w:val="20"/>
          </w:rPr>
          <w:fldChar w:fldCharType="begin"/>
        </w:r>
        <w:r w:rsidR="003C1BEB" w:rsidRPr="003C1BEB">
          <w:rPr>
            <w:webHidden/>
            <w:sz w:val="20"/>
            <w:szCs w:val="20"/>
          </w:rPr>
          <w:instrText xml:space="preserve"> PAGEREF _Toc174653886 \h </w:instrText>
        </w:r>
        <w:r w:rsidR="003C1BEB" w:rsidRPr="003C1BEB">
          <w:rPr>
            <w:webHidden/>
            <w:sz w:val="20"/>
            <w:szCs w:val="20"/>
          </w:rPr>
        </w:r>
        <w:r w:rsidR="003C1BEB" w:rsidRPr="003C1BEB">
          <w:rPr>
            <w:webHidden/>
            <w:sz w:val="20"/>
            <w:szCs w:val="20"/>
          </w:rPr>
          <w:fldChar w:fldCharType="separate"/>
        </w:r>
        <w:r w:rsidR="0041585A">
          <w:rPr>
            <w:webHidden/>
            <w:sz w:val="20"/>
            <w:szCs w:val="20"/>
          </w:rPr>
          <w:t>4</w:t>
        </w:r>
        <w:r w:rsidR="003C1BEB" w:rsidRPr="003C1BEB">
          <w:rPr>
            <w:webHidden/>
            <w:sz w:val="20"/>
            <w:szCs w:val="20"/>
          </w:rPr>
          <w:fldChar w:fldCharType="end"/>
        </w:r>
      </w:hyperlink>
    </w:p>
    <w:p w:rsidR="003C1BEB" w:rsidRPr="003C1BEB" w:rsidRDefault="003C1BEB" w:rsidP="003C1BEB">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4653887" w:history="1">
        <w:r w:rsidRPr="003C1BEB">
          <w:rPr>
            <w:rStyle w:val="Hyperlink"/>
            <w:rFonts w:ascii="Arial" w:hAnsi="Arial" w:cs="Arial"/>
            <w:noProof/>
            <w:sz w:val="20"/>
            <w:szCs w:val="20"/>
            <w:lang w:bidi="hi-IN"/>
          </w:rPr>
          <w:t xml:space="preserve">a) IGM 3 – Sterilising Procedures: Castration / “Gonadectomy” / Hysterectomy </w:t>
        </w:r>
        <w:r w:rsidRPr="003C1BEB">
          <w:rPr>
            <w:rFonts w:ascii="Arial" w:hAnsi="Arial" w:cs="Arial"/>
            <w:noProof/>
            <w:webHidden/>
            <w:sz w:val="20"/>
            <w:szCs w:val="20"/>
          </w:rPr>
          <w:tab/>
        </w:r>
        <w:r w:rsidRPr="003C1BEB">
          <w:rPr>
            <w:rFonts w:ascii="Arial" w:hAnsi="Arial" w:cs="Arial"/>
            <w:noProof/>
            <w:webHidden/>
            <w:sz w:val="20"/>
            <w:szCs w:val="20"/>
          </w:rPr>
          <w:fldChar w:fldCharType="begin"/>
        </w:r>
        <w:r w:rsidRPr="003C1BEB">
          <w:rPr>
            <w:rFonts w:ascii="Arial" w:hAnsi="Arial" w:cs="Arial"/>
            <w:noProof/>
            <w:webHidden/>
            <w:sz w:val="20"/>
            <w:szCs w:val="20"/>
          </w:rPr>
          <w:instrText xml:space="preserve"> PAGEREF _Toc174653887 \h </w:instrText>
        </w:r>
        <w:r w:rsidRPr="003C1BEB">
          <w:rPr>
            <w:rFonts w:ascii="Arial" w:hAnsi="Arial" w:cs="Arial"/>
            <w:noProof/>
            <w:webHidden/>
            <w:sz w:val="20"/>
            <w:szCs w:val="20"/>
          </w:rPr>
        </w:r>
        <w:r w:rsidRPr="003C1BEB">
          <w:rPr>
            <w:rFonts w:ascii="Arial" w:hAnsi="Arial" w:cs="Arial"/>
            <w:noProof/>
            <w:webHidden/>
            <w:sz w:val="20"/>
            <w:szCs w:val="20"/>
          </w:rPr>
          <w:fldChar w:fldCharType="separate"/>
        </w:r>
        <w:r w:rsidR="0041585A">
          <w:rPr>
            <w:rFonts w:ascii="Arial" w:hAnsi="Arial" w:cs="Arial"/>
            <w:noProof/>
            <w:webHidden/>
            <w:sz w:val="20"/>
            <w:szCs w:val="20"/>
          </w:rPr>
          <w:t>5</w:t>
        </w:r>
        <w:r w:rsidRPr="003C1BEB">
          <w:rPr>
            <w:rFonts w:ascii="Arial" w:hAnsi="Arial" w:cs="Arial"/>
            <w:noProof/>
            <w:webHidden/>
            <w:sz w:val="20"/>
            <w:szCs w:val="20"/>
          </w:rPr>
          <w:fldChar w:fldCharType="end"/>
        </w:r>
      </w:hyperlink>
    </w:p>
    <w:p w:rsidR="003C1BEB" w:rsidRPr="003C1BEB" w:rsidRDefault="003C1BEB" w:rsidP="003C1BEB">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4653888" w:history="1">
        <w:r w:rsidRPr="003C1BEB">
          <w:rPr>
            <w:rStyle w:val="Hyperlink"/>
            <w:rFonts w:ascii="Arial" w:hAnsi="Arial" w:cs="Arial"/>
            <w:noProof/>
            <w:sz w:val="20"/>
            <w:szCs w:val="20"/>
            <w:lang w:bidi="hi-IN"/>
          </w:rPr>
          <w:t>b) IGM 2 – “Feminising Procedures”: Clitoris Amputation/“Reduction”, “Vaginoplasty”</w:t>
        </w:r>
        <w:r w:rsidRPr="003C1BEB">
          <w:rPr>
            <w:rFonts w:ascii="Arial" w:hAnsi="Arial" w:cs="Arial"/>
            <w:noProof/>
            <w:webHidden/>
            <w:sz w:val="20"/>
            <w:szCs w:val="20"/>
          </w:rPr>
          <w:tab/>
        </w:r>
        <w:r w:rsidRPr="003C1BEB">
          <w:rPr>
            <w:rFonts w:ascii="Arial" w:hAnsi="Arial" w:cs="Arial"/>
            <w:noProof/>
            <w:webHidden/>
            <w:sz w:val="20"/>
            <w:szCs w:val="20"/>
          </w:rPr>
          <w:fldChar w:fldCharType="begin"/>
        </w:r>
        <w:r w:rsidRPr="003C1BEB">
          <w:rPr>
            <w:rFonts w:ascii="Arial" w:hAnsi="Arial" w:cs="Arial"/>
            <w:noProof/>
            <w:webHidden/>
            <w:sz w:val="20"/>
            <w:szCs w:val="20"/>
          </w:rPr>
          <w:instrText xml:space="preserve"> PAGEREF _Toc174653888 \h </w:instrText>
        </w:r>
        <w:r w:rsidRPr="003C1BEB">
          <w:rPr>
            <w:rFonts w:ascii="Arial" w:hAnsi="Arial" w:cs="Arial"/>
            <w:noProof/>
            <w:webHidden/>
            <w:sz w:val="20"/>
            <w:szCs w:val="20"/>
          </w:rPr>
        </w:r>
        <w:r w:rsidRPr="003C1BEB">
          <w:rPr>
            <w:rFonts w:ascii="Arial" w:hAnsi="Arial" w:cs="Arial"/>
            <w:noProof/>
            <w:webHidden/>
            <w:sz w:val="20"/>
            <w:szCs w:val="20"/>
          </w:rPr>
          <w:fldChar w:fldCharType="separate"/>
        </w:r>
        <w:r w:rsidR="0041585A">
          <w:rPr>
            <w:rFonts w:ascii="Arial" w:hAnsi="Arial" w:cs="Arial"/>
            <w:noProof/>
            <w:webHidden/>
            <w:sz w:val="20"/>
            <w:szCs w:val="20"/>
          </w:rPr>
          <w:t>6</w:t>
        </w:r>
        <w:r w:rsidRPr="003C1BEB">
          <w:rPr>
            <w:rFonts w:ascii="Arial" w:hAnsi="Arial" w:cs="Arial"/>
            <w:noProof/>
            <w:webHidden/>
            <w:sz w:val="20"/>
            <w:szCs w:val="20"/>
          </w:rPr>
          <w:fldChar w:fldCharType="end"/>
        </w:r>
      </w:hyperlink>
    </w:p>
    <w:p w:rsidR="003C1BEB" w:rsidRPr="003C1BEB" w:rsidRDefault="003C1BEB" w:rsidP="003C1BEB">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4653889" w:history="1">
        <w:r w:rsidRPr="003C1BEB">
          <w:rPr>
            <w:rStyle w:val="Hyperlink"/>
            <w:rFonts w:ascii="Arial" w:hAnsi="Arial" w:cs="Arial"/>
            <w:noProof/>
            <w:sz w:val="20"/>
            <w:szCs w:val="20"/>
            <w:lang w:bidi="hi-IN"/>
          </w:rPr>
          <w:t>c) IGM 1 – “Masculinising Surgery”: Hypospadias “Repair”</w:t>
        </w:r>
        <w:r w:rsidRPr="003C1BEB">
          <w:rPr>
            <w:rFonts w:ascii="Arial" w:hAnsi="Arial" w:cs="Arial"/>
            <w:noProof/>
            <w:webHidden/>
            <w:sz w:val="20"/>
            <w:szCs w:val="20"/>
          </w:rPr>
          <w:tab/>
        </w:r>
        <w:r w:rsidRPr="003C1BEB">
          <w:rPr>
            <w:rFonts w:ascii="Arial" w:hAnsi="Arial" w:cs="Arial"/>
            <w:noProof/>
            <w:webHidden/>
            <w:sz w:val="20"/>
            <w:szCs w:val="20"/>
          </w:rPr>
          <w:fldChar w:fldCharType="begin"/>
        </w:r>
        <w:r w:rsidRPr="003C1BEB">
          <w:rPr>
            <w:rFonts w:ascii="Arial" w:hAnsi="Arial" w:cs="Arial"/>
            <w:noProof/>
            <w:webHidden/>
            <w:sz w:val="20"/>
            <w:szCs w:val="20"/>
          </w:rPr>
          <w:instrText xml:space="preserve"> PAGEREF _Toc174653889 \h </w:instrText>
        </w:r>
        <w:r w:rsidRPr="003C1BEB">
          <w:rPr>
            <w:rFonts w:ascii="Arial" w:hAnsi="Arial" w:cs="Arial"/>
            <w:noProof/>
            <w:webHidden/>
            <w:sz w:val="20"/>
            <w:szCs w:val="20"/>
          </w:rPr>
        </w:r>
        <w:r w:rsidRPr="003C1BEB">
          <w:rPr>
            <w:rFonts w:ascii="Arial" w:hAnsi="Arial" w:cs="Arial"/>
            <w:noProof/>
            <w:webHidden/>
            <w:sz w:val="20"/>
            <w:szCs w:val="20"/>
          </w:rPr>
          <w:fldChar w:fldCharType="separate"/>
        </w:r>
        <w:r w:rsidR="0041585A">
          <w:rPr>
            <w:rFonts w:ascii="Arial" w:hAnsi="Arial" w:cs="Arial"/>
            <w:noProof/>
            <w:webHidden/>
            <w:sz w:val="20"/>
            <w:szCs w:val="20"/>
          </w:rPr>
          <w:t>6</w:t>
        </w:r>
        <w:r w:rsidRPr="003C1BEB">
          <w:rPr>
            <w:rFonts w:ascii="Arial" w:hAnsi="Arial" w:cs="Arial"/>
            <w:noProof/>
            <w:webHidden/>
            <w:sz w:val="20"/>
            <w:szCs w:val="20"/>
          </w:rPr>
          <w:fldChar w:fldCharType="end"/>
        </w:r>
      </w:hyperlink>
    </w:p>
    <w:p w:rsidR="003C1BEB" w:rsidRPr="003C1BEB" w:rsidRDefault="00240123" w:rsidP="003C1BEB">
      <w:pPr>
        <w:pStyle w:val="Verzeichnis1"/>
        <w:spacing w:after="0" w:line="288" w:lineRule="auto"/>
        <w:rPr>
          <w:rFonts w:eastAsiaTheme="minorEastAsia"/>
          <w:sz w:val="20"/>
          <w:szCs w:val="20"/>
          <w:lang w:eastAsia="zh-CN" w:bidi="ar-SA"/>
        </w:rPr>
      </w:pPr>
      <w:hyperlink w:anchor="_Toc174653890" w:history="1">
        <w:r w:rsidR="003C1BEB" w:rsidRPr="003C1BEB">
          <w:rPr>
            <w:rStyle w:val="Hyperlink"/>
            <w:sz w:val="20"/>
            <w:szCs w:val="20"/>
          </w:rPr>
          <w:t>6.  Mexican Doctors and Officials consciously dismissing Intersex Human Rights</w:t>
        </w:r>
        <w:r w:rsidR="003C1BEB" w:rsidRPr="003C1BEB">
          <w:rPr>
            <w:webHidden/>
            <w:sz w:val="20"/>
            <w:szCs w:val="20"/>
          </w:rPr>
          <w:tab/>
        </w:r>
        <w:r w:rsidR="003C1BEB" w:rsidRPr="003C1BEB">
          <w:rPr>
            <w:webHidden/>
            <w:sz w:val="20"/>
            <w:szCs w:val="20"/>
          </w:rPr>
          <w:fldChar w:fldCharType="begin"/>
        </w:r>
        <w:r w:rsidR="003C1BEB" w:rsidRPr="003C1BEB">
          <w:rPr>
            <w:webHidden/>
            <w:sz w:val="20"/>
            <w:szCs w:val="20"/>
          </w:rPr>
          <w:instrText xml:space="preserve"> PAGEREF _Toc174653890 \h </w:instrText>
        </w:r>
        <w:r w:rsidR="003C1BEB" w:rsidRPr="003C1BEB">
          <w:rPr>
            <w:webHidden/>
            <w:sz w:val="20"/>
            <w:szCs w:val="20"/>
          </w:rPr>
        </w:r>
        <w:r w:rsidR="003C1BEB" w:rsidRPr="003C1BEB">
          <w:rPr>
            <w:webHidden/>
            <w:sz w:val="20"/>
            <w:szCs w:val="20"/>
          </w:rPr>
          <w:fldChar w:fldCharType="separate"/>
        </w:r>
        <w:r w:rsidR="0041585A">
          <w:rPr>
            <w:webHidden/>
            <w:sz w:val="20"/>
            <w:szCs w:val="20"/>
          </w:rPr>
          <w:t>7</w:t>
        </w:r>
        <w:r w:rsidR="003C1BEB" w:rsidRPr="003C1BEB">
          <w:rPr>
            <w:webHidden/>
            <w:sz w:val="20"/>
            <w:szCs w:val="20"/>
          </w:rPr>
          <w:fldChar w:fldCharType="end"/>
        </w:r>
      </w:hyperlink>
    </w:p>
    <w:p w:rsidR="003C1BEB" w:rsidRPr="00000B98" w:rsidRDefault="00240123" w:rsidP="003C1BEB">
      <w:pPr>
        <w:pStyle w:val="Verzeichnis1"/>
        <w:spacing w:after="0" w:line="288" w:lineRule="auto"/>
        <w:rPr>
          <w:rFonts w:eastAsiaTheme="minorEastAsia"/>
          <w:b/>
          <w:bCs/>
          <w:sz w:val="20"/>
          <w:szCs w:val="20"/>
          <w:lang w:eastAsia="zh-CN" w:bidi="ar-SA"/>
        </w:rPr>
      </w:pPr>
      <w:hyperlink w:anchor="_Toc174653891" w:history="1">
        <w:r w:rsidR="003C1BEB" w:rsidRPr="00000B98">
          <w:rPr>
            <w:rStyle w:val="Hyperlink"/>
            <w:b/>
            <w:bCs/>
            <w:sz w:val="20"/>
            <w:szCs w:val="20"/>
          </w:rPr>
          <w:t>7.  Suggested Recommendations</w:t>
        </w:r>
        <w:r w:rsidR="003C1BEB" w:rsidRPr="00000B98">
          <w:rPr>
            <w:b/>
            <w:bCs/>
            <w:webHidden/>
            <w:sz w:val="20"/>
            <w:szCs w:val="20"/>
          </w:rPr>
          <w:tab/>
        </w:r>
        <w:r w:rsidR="003C1BEB" w:rsidRPr="00000B98">
          <w:rPr>
            <w:b/>
            <w:bCs/>
            <w:webHidden/>
            <w:sz w:val="20"/>
            <w:szCs w:val="20"/>
          </w:rPr>
          <w:fldChar w:fldCharType="begin"/>
        </w:r>
        <w:r w:rsidR="003C1BEB" w:rsidRPr="00000B98">
          <w:rPr>
            <w:b/>
            <w:bCs/>
            <w:webHidden/>
            <w:sz w:val="20"/>
            <w:szCs w:val="20"/>
          </w:rPr>
          <w:instrText xml:space="preserve"> PAGEREF _Toc174653891 \h </w:instrText>
        </w:r>
        <w:r w:rsidR="003C1BEB" w:rsidRPr="00000B98">
          <w:rPr>
            <w:b/>
            <w:bCs/>
            <w:webHidden/>
            <w:sz w:val="20"/>
            <w:szCs w:val="20"/>
          </w:rPr>
        </w:r>
        <w:r w:rsidR="003C1BEB" w:rsidRPr="00000B98">
          <w:rPr>
            <w:b/>
            <w:bCs/>
            <w:webHidden/>
            <w:sz w:val="20"/>
            <w:szCs w:val="20"/>
          </w:rPr>
          <w:fldChar w:fldCharType="separate"/>
        </w:r>
        <w:r w:rsidR="0041585A">
          <w:rPr>
            <w:b/>
            <w:bCs/>
            <w:webHidden/>
            <w:sz w:val="20"/>
            <w:szCs w:val="20"/>
          </w:rPr>
          <w:t>9</w:t>
        </w:r>
        <w:r w:rsidR="003C1BEB" w:rsidRPr="00000B98">
          <w:rPr>
            <w:b/>
            <w:bCs/>
            <w:webHidden/>
            <w:sz w:val="20"/>
            <w:szCs w:val="20"/>
          </w:rPr>
          <w:fldChar w:fldCharType="end"/>
        </w:r>
      </w:hyperlink>
    </w:p>
    <w:p w:rsidR="00D7739B" w:rsidRPr="00D7739B" w:rsidRDefault="00D7739B" w:rsidP="003C1BEB">
      <w:pPr>
        <w:pStyle w:val="absatzschattenbericht"/>
        <w:spacing w:after="0"/>
        <w:rPr>
          <w:rFonts w:eastAsia="Baskerville-SemiBold" w:cs="Times New Roman"/>
          <w:lang w:val="en-GB"/>
        </w:rPr>
      </w:pPr>
      <w:r w:rsidRPr="003C1BEB">
        <w:rPr>
          <w:rStyle w:val="Hyperlink"/>
          <w:rFonts w:ascii="Arial" w:hAnsi="Arial" w:cs="Arial"/>
          <w:sz w:val="20"/>
          <w:szCs w:val="20"/>
          <w:lang w:val="en-GB"/>
        </w:rPr>
        <w:fldChar w:fldCharType="end"/>
      </w:r>
      <w:bookmarkEnd w:id="0"/>
    </w:p>
    <w:p w:rsidR="00D7739B" w:rsidRPr="00D7739B" w:rsidRDefault="00D7739B" w:rsidP="00D7739B">
      <w:pPr>
        <w:pStyle w:val="Title2"/>
      </w:pPr>
      <w:bookmarkStart w:id="1" w:name="_Toc174653876"/>
      <w:r w:rsidRPr="006F74DB">
        <w:t xml:space="preserve">1. </w:t>
      </w:r>
      <w:r>
        <w:t xml:space="preserve"> Summary: </w:t>
      </w:r>
      <w:r w:rsidRPr="00733196">
        <w:t>Intersex, IGM and Human Rights in Mexico</w:t>
      </w:r>
      <w:bookmarkEnd w:id="1"/>
    </w:p>
    <w:p w:rsidR="00FE2215" w:rsidRPr="006F74DB" w:rsidRDefault="00FE2215" w:rsidP="00FB4EAC">
      <w:pPr>
        <w:pStyle w:val="absatzschattenbericht"/>
        <w:spacing w:after="20"/>
        <w:rPr>
          <w:rFonts w:eastAsia="Baskerville-SemiBold" w:cs="Times New Roman"/>
          <w:lang w:val="en-GB"/>
        </w:rPr>
      </w:pPr>
      <w:r w:rsidRPr="006F74DB">
        <w:rPr>
          <w:rFonts w:eastAsia="Baskerville-SemiBold" w:cs="Times New Roman"/>
          <w:lang w:val="en-GB"/>
        </w:rPr>
        <w:t>Dear Committee on the Rights of the Child</w:t>
      </w:r>
    </w:p>
    <w:p w:rsidR="00916444" w:rsidRPr="00733196" w:rsidRDefault="00916444" w:rsidP="0036144F">
      <w:pPr>
        <w:pStyle w:val="absatzschattenbericht"/>
        <w:rPr>
          <w:rFonts w:eastAsia="Baskerville-SemiBold" w:cs="Baskerville-SemiBold"/>
          <w:lang w:val="en-GB"/>
        </w:rPr>
      </w:pPr>
      <w:r w:rsidRPr="00733196">
        <w:rPr>
          <w:rFonts w:eastAsia="Baskerville-SemiBold" w:cs="Baskerville-SemiBold"/>
          <w:b/>
          <w:lang w:val="en-GB"/>
        </w:rPr>
        <w:t xml:space="preserve">All typical forms of IGM practices are still practised in Mexico today, </w:t>
      </w:r>
      <w:r w:rsidRPr="00733196">
        <w:rPr>
          <w:rFonts w:eastAsia="Baskerville-SemiBold" w:cs="Baskerville-SemiBold"/>
          <w:lang w:val="en-GB"/>
        </w:rPr>
        <w:t>facilitated and paid for by the State party via the</w:t>
      </w:r>
      <w:r w:rsidRPr="00733196">
        <w:rPr>
          <w:rFonts w:eastAsia="Baskerville-SemiBold" w:cs="Baskerville-SemiBold"/>
          <w:b/>
          <w:lang w:val="en-GB"/>
        </w:rPr>
        <w:t xml:space="preserve"> public health care system operated by the Ministry of Health (</w:t>
      </w:r>
      <w:proofErr w:type="spellStart"/>
      <w:r w:rsidRPr="00733196">
        <w:rPr>
          <w:rFonts w:eastAsia="Baskerville-SemiBold" w:cs="Baskerville-SemiBold"/>
          <w:b/>
          <w:iCs/>
          <w:lang w:val="en-GB"/>
        </w:rPr>
        <w:t>Secretaría</w:t>
      </w:r>
      <w:proofErr w:type="spellEnd"/>
      <w:r w:rsidRPr="00733196">
        <w:rPr>
          <w:rFonts w:eastAsia="Baskerville-SemiBold" w:cs="Baskerville-SemiBold"/>
          <w:b/>
          <w:iCs/>
          <w:lang w:val="en-GB"/>
        </w:rPr>
        <w:t xml:space="preserve"> de </w:t>
      </w:r>
      <w:proofErr w:type="spellStart"/>
      <w:r w:rsidRPr="00733196">
        <w:rPr>
          <w:rFonts w:eastAsia="Baskerville-SemiBold" w:cs="Baskerville-SemiBold"/>
          <w:b/>
          <w:iCs/>
          <w:lang w:val="en-GB"/>
        </w:rPr>
        <w:t>Salud</w:t>
      </w:r>
      <w:proofErr w:type="spellEnd"/>
      <w:r w:rsidRPr="00733196">
        <w:rPr>
          <w:rFonts w:eastAsia="Baskerville-SemiBold" w:cs="Baskerville-SemiBold"/>
          <w:b/>
          <w:lang w:val="en-GB"/>
        </w:rPr>
        <w:t>).</w:t>
      </w:r>
      <w:r w:rsidRPr="00733196">
        <w:rPr>
          <w:rFonts w:eastAsia="Baskerville-SemiBold" w:cs="Baskerville-SemiBold"/>
          <w:b/>
          <w:iCs/>
          <w:lang w:val="en-GB"/>
        </w:rPr>
        <w:t xml:space="preserve"> </w:t>
      </w:r>
      <w:r w:rsidRPr="00733196">
        <w:rPr>
          <w:rFonts w:eastAsia="Baskerville-SemiBold" w:cs="Baskerville-SemiBold"/>
          <w:iCs/>
          <w:lang w:val="en-GB"/>
        </w:rPr>
        <w:t>Intersex persons are also</w:t>
      </w:r>
      <w:r w:rsidRPr="00733196">
        <w:rPr>
          <w:rFonts w:eastAsia="Baskerville-SemiBold" w:cs="Baskerville-SemiBold"/>
          <w:b/>
          <w:iCs/>
          <w:lang w:val="en-GB"/>
        </w:rPr>
        <w:t xml:space="preserve"> denied needed health care</w:t>
      </w:r>
      <w:r w:rsidRPr="00733196">
        <w:rPr>
          <w:rFonts w:eastAsia="Baskerville-SemiBold" w:cs="Baskerville-SemiBold"/>
          <w:iCs/>
          <w:lang w:val="en-GB"/>
        </w:rPr>
        <w:t xml:space="preserve">, and children </w:t>
      </w:r>
      <w:r w:rsidRPr="00733196">
        <w:rPr>
          <w:rFonts w:eastAsia="Baskerville-SemiBold" w:cs="Baskerville-SemiBold"/>
          <w:b/>
          <w:iCs/>
          <w:lang w:val="en-GB"/>
        </w:rPr>
        <w:t>prevented from attending school</w:t>
      </w:r>
      <w:r w:rsidRPr="00733196">
        <w:rPr>
          <w:rFonts w:eastAsia="Baskerville-SemiBold" w:cs="Baskerville-SemiBold"/>
          <w:iCs/>
          <w:lang w:val="en-GB"/>
        </w:rPr>
        <w:t xml:space="preserve"> and </w:t>
      </w:r>
      <w:r w:rsidRPr="00733196">
        <w:rPr>
          <w:rFonts w:eastAsia="Baskerville-SemiBold" w:cs="Baskerville-SemiBold"/>
          <w:b/>
          <w:iCs/>
          <w:lang w:val="en-GB"/>
        </w:rPr>
        <w:t>unable to obtain official papers</w:t>
      </w:r>
      <w:r w:rsidRPr="00733196">
        <w:rPr>
          <w:rFonts w:eastAsia="Baskerville-SemiBold" w:cs="Baskerville-SemiBold"/>
          <w:iCs/>
          <w:lang w:val="en-GB"/>
        </w:rPr>
        <w:t>.</w:t>
      </w:r>
      <w:r w:rsidRPr="00733196">
        <w:rPr>
          <w:rFonts w:eastAsia="Baskerville-SemiBold" w:cs="Baskerville-SemiBold"/>
          <w:b/>
          <w:iCs/>
          <w:lang w:val="en-GB"/>
        </w:rPr>
        <w:t xml:space="preserve"> </w:t>
      </w:r>
      <w:r w:rsidRPr="00733196">
        <w:rPr>
          <w:rFonts w:eastAsia="Baskerville-SemiBold" w:cs="Baskerville-SemiBold"/>
          <w:lang w:val="en-GB"/>
        </w:rPr>
        <w:t xml:space="preserve">Parents and children are misinformed, kept in the dark, sworn to secrecy, kept isolated and </w:t>
      </w:r>
      <w:r w:rsidRPr="00733196">
        <w:rPr>
          <w:rFonts w:eastAsia="Baskerville-SemiBold" w:cs="Baskerville-SemiBold"/>
          <w:b/>
          <w:bCs/>
          <w:lang w:val="en-GB"/>
        </w:rPr>
        <w:t>denied appropriate support.</w:t>
      </w:r>
      <w:r w:rsidRPr="00733196">
        <w:rPr>
          <w:rFonts w:eastAsia="Baskerville-SemiBold" w:cs="Baskerville-SemiBold"/>
          <w:lang w:val="en-GB"/>
        </w:rPr>
        <w:t xml:space="preserve"> </w:t>
      </w:r>
    </w:p>
    <w:p w:rsidR="0036144F" w:rsidRDefault="00916444" w:rsidP="0036144F">
      <w:pPr>
        <w:pStyle w:val="absatzschattenbericht"/>
        <w:rPr>
          <w:rFonts w:eastAsia="Baskerville-SemiBold" w:cs="Baskerville-SemiBold"/>
          <w:bCs/>
          <w:iCs/>
          <w:lang w:val="en-GB"/>
        </w:rPr>
      </w:pPr>
      <w:r w:rsidRPr="00733196">
        <w:rPr>
          <w:rFonts w:eastAsia="Baskerville-SemiBold" w:cs="Baskerville-SemiBold"/>
          <w:lang w:val="en-GB"/>
        </w:rPr>
        <w:t xml:space="preserve">In 2018, </w:t>
      </w:r>
      <w:r w:rsidRPr="00733196">
        <w:rPr>
          <w:rFonts w:eastAsia="Baskerville-SemiBold" w:cs="Baskerville-SemiBold"/>
          <w:b/>
          <w:bCs/>
          <w:lang w:val="en-GB"/>
        </w:rPr>
        <w:t>CEDAW recognised IGM in Mexico as a harmful practice</w:t>
      </w:r>
      <w:r w:rsidRPr="00733196">
        <w:rPr>
          <w:rFonts w:eastAsia="Baskerville-SemiBold" w:cs="Baskerville-SemiBold"/>
          <w:lang w:val="en-GB"/>
        </w:rPr>
        <w:t xml:space="preserve"> and called for an </w:t>
      </w:r>
      <w:r w:rsidRPr="00733196">
        <w:rPr>
          <w:rFonts w:eastAsia="Baskerville-SemiBold" w:cs="Baskerville-SemiBold"/>
          <w:b/>
          <w:bCs/>
          <w:lang w:val="en-GB"/>
        </w:rPr>
        <w:t xml:space="preserve">explicit prohibition </w:t>
      </w:r>
      <w:r w:rsidRPr="00733196">
        <w:rPr>
          <w:rFonts w:eastAsia="Baskerville-SemiBold" w:cs="Baskerville-SemiBold"/>
          <w:lang w:val="en-GB"/>
        </w:rPr>
        <w:t>(</w:t>
      </w:r>
      <w:r w:rsidRPr="00733196">
        <w:rPr>
          <w:rFonts w:eastAsia="Baskerville-SemiBold" w:cs="Baskerville-SemiBold"/>
          <w:bCs/>
          <w:iCs/>
          <w:lang w:val="en-GB"/>
        </w:rPr>
        <w:t>CEDAW/C/MEX/CO/9, para 21-22)</w:t>
      </w:r>
      <w:r>
        <w:rPr>
          <w:rFonts w:eastAsia="Baskerville-SemiBold" w:cs="Baskerville-SemiBold"/>
          <w:bCs/>
          <w:iCs/>
          <w:lang w:val="en-GB"/>
        </w:rPr>
        <w:t xml:space="preserve">, and in 2019, </w:t>
      </w:r>
      <w:r>
        <w:rPr>
          <w:rFonts w:eastAsia="Baskerville-SemiBold" w:cs="Baskerville-SemiBold"/>
          <w:b/>
          <w:iCs/>
          <w:lang w:val="en-GB"/>
        </w:rPr>
        <w:t xml:space="preserve">CCPR recognised IGM in Mexico as cruel, inhuman or degrading treatment </w:t>
      </w:r>
      <w:r>
        <w:rPr>
          <w:rFonts w:eastAsia="Baskerville-SemiBold" w:cs="Baskerville-SemiBold"/>
          <w:bCs/>
          <w:iCs/>
          <w:lang w:val="en-GB"/>
        </w:rPr>
        <w:t xml:space="preserve">and </w:t>
      </w:r>
      <w:r>
        <w:rPr>
          <w:rFonts w:eastAsia="Baskerville-SemiBold" w:cs="Baskerville-SemiBold"/>
          <w:b/>
          <w:iCs/>
          <w:lang w:val="en-GB"/>
        </w:rPr>
        <w:t>involuntary medical or scientific experimentation</w:t>
      </w:r>
      <w:r w:rsidR="0036144F">
        <w:rPr>
          <w:rFonts w:eastAsia="Baskerville-SemiBold" w:cs="Baskerville-SemiBold"/>
          <w:bCs/>
          <w:iCs/>
          <w:lang w:val="en-GB"/>
        </w:rPr>
        <w:t xml:space="preserve">, in line with </w:t>
      </w:r>
      <w:r w:rsidR="0036144F" w:rsidRPr="00733196">
        <w:rPr>
          <w:b/>
          <w:lang w:val="en-GB"/>
        </w:rPr>
        <w:t>longstanding public criticism and appeals</w:t>
      </w:r>
      <w:r w:rsidR="0036144F" w:rsidRPr="00733196">
        <w:rPr>
          <w:lang w:val="en-GB"/>
        </w:rPr>
        <w:t xml:space="preserve"> by intersex persons and their organisations, experts and Mexico’s own Human Rights Commission of the Federal District (</w:t>
      </w:r>
      <w:proofErr w:type="spellStart"/>
      <w:r w:rsidR="0036144F" w:rsidRPr="00733196">
        <w:rPr>
          <w:i/>
          <w:lang w:val="en-GB"/>
        </w:rPr>
        <w:t>Comisión</w:t>
      </w:r>
      <w:proofErr w:type="spellEnd"/>
      <w:r w:rsidR="0036144F" w:rsidRPr="00733196">
        <w:rPr>
          <w:i/>
          <w:lang w:val="en-GB"/>
        </w:rPr>
        <w:t xml:space="preserve"> de </w:t>
      </w:r>
      <w:proofErr w:type="spellStart"/>
      <w:r w:rsidR="0036144F" w:rsidRPr="00733196">
        <w:rPr>
          <w:i/>
          <w:lang w:val="en-GB"/>
        </w:rPr>
        <w:t>Derechos</w:t>
      </w:r>
      <w:proofErr w:type="spellEnd"/>
      <w:r w:rsidR="0036144F" w:rsidRPr="00733196">
        <w:rPr>
          <w:i/>
          <w:lang w:val="en-GB"/>
        </w:rPr>
        <w:t xml:space="preserve"> Humanos del Distrito Federal de la Ciudad de México</w:t>
      </w:r>
      <w:r w:rsidR="0036144F" w:rsidRPr="00733196">
        <w:rPr>
          <w:lang w:val="en-GB"/>
        </w:rPr>
        <w:t>, CDHDF) and National Council for the Prevention of Discrimination (</w:t>
      </w:r>
      <w:proofErr w:type="spellStart"/>
      <w:r w:rsidR="0036144F" w:rsidRPr="00733196">
        <w:rPr>
          <w:i/>
          <w:lang w:val="en-GB"/>
        </w:rPr>
        <w:t>Consejo</w:t>
      </w:r>
      <w:proofErr w:type="spellEnd"/>
      <w:r w:rsidR="0036144F" w:rsidRPr="00733196">
        <w:rPr>
          <w:i/>
          <w:lang w:val="en-GB"/>
        </w:rPr>
        <w:t xml:space="preserve"> Nacional para </w:t>
      </w:r>
      <w:proofErr w:type="spellStart"/>
      <w:r w:rsidR="0036144F" w:rsidRPr="00733196">
        <w:rPr>
          <w:i/>
          <w:lang w:val="en-GB"/>
        </w:rPr>
        <w:t>Prevenir</w:t>
      </w:r>
      <w:proofErr w:type="spellEnd"/>
      <w:r w:rsidR="0036144F" w:rsidRPr="00733196">
        <w:rPr>
          <w:i/>
          <w:lang w:val="en-GB"/>
        </w:rPr>
        <w:t xml:space="preserve"> la </w:t>
      </w:r>
      <w:proofErr w:type="spellStart"/>
      <w:r w:rsidR="0036144F" w:rsidRPr="00733196">
        <w:rPr>
          <w:i/>
          <w:lang w:val="en-GB"/>
        </w:rPr>
        <w:t>Discriminación</w:t>
      </w:r>
      <w:proofErr w:type="spellEnd"/>
      <w:r w:rsidR="0036144F" w:rsidRPr="00733196">
        <w:rPr>
          <w:lang w:val="en-GB"/>
        </w:rPr>
        <w:t>, CONAPRED), as well as some segments of the Ministry of Health (</w:t>
      </w:r>
      <w:proofErr w:type="spellStart"/>
      <w:r w:rsidR="0036144F" w:rsidRPr="00733196">
        <w:rPr>
          <w:i/>
          <w:iCs/>
          <w:lang w:val="en-GB"/>
        </w:rPr>
        <w:t>Secretaría</w:t>
      </w:r>
      <w:proofErr w:type="spellEnd"/>
      <w:r w:rsidR="0036144F" w:rsidRPr="00733196">
        <w:rPr>
          <w:i/>
          <w:iCs/>
          <w:lang w:val="en-GB"/>
        </w:rPr>
        <w:t xml:space="preserve"> de </w:t>
      </w:r>
      <w:proofErr w:type="spellStart"/>
      <w:r w:rsidR="0036144F" w:rsidRPr="00733196">
        <w:rPr>
          <w:i/>
          <w:iCs/>
          <w:lang w:val="en-GB"/>
        </w:rPr>
        <w:t>Salud</w:t>
      </w:r>
      <w:proofErr w:type="spellEnd"/>
      <w:r w:rsidR="0036144F" w:rsidRPr="00733196">
        <w:rPr>
          <w:lang w:val="en-GB"/>
        </w:rPr>
        <w:t>)</w:t>
      </w:r>
      <w:r w:rsidR="0036144F">
        <w:rPr>
          <w:lang w:val="en-GB"/>
        </w:rPr>
        <w:t xml:space="preserve">, and notably the </w:t>
      </w:r>
      <w:r w:rsidR="0036144F" w:rsidRPr="00203C7D">
        <w:rPr>
          <w:b/>
          <w:bCs/>
          <w:lang w:val="en-GB"/>
        </w:rPr>
        <w:t xml:space="preserve">State Party’s own 2020-2024 commitments and pledges at the UN </w:t>
      </w:r>
      <w:r w:rsidR="0036144F" w:rsidRPr="00203C7D">
        <w:rPr>
          <w:b/>
          <w:bCs/>
          <w:lang w:val="en-GB"/>
        </w:rPr>
        <w:lastRenderedPageBreak/>
        <w:t>Human Rights Council</w:t>
      </w:r>
      <w:r w:rsidR="0036144F">
        <w:rPr>
          <w:lang w:val="en-GB"/>
        </w:rPr>
        <w:t xml:space="preserve">, </w:t>
      </w:r>
      <w:r w:rsidR="001D10D5" w:rsidRPr="00203C7D">
        <w:rPr>
          <w:lang w:val="en-GB"/>
        </w:rPr>
        <w:t>supporting statements and a resolution</w:t>
      </w:r>
      <w:r w:rsidR="001D10D5">
        <w:rPr>
          <w:lang w:val="en-GB"/>
        </w:rPr>
        <w:t xml:space="preserve"> </w:t>
      </w:r>
      <w:r w:rsidR="001D10D5" w:rsidRPr="00203C7D">
        <w:rPr>
          <w:b/>
          <w:bCs/>
          <w:lang w:val="en-GB"/>
        </w:rPr>
        <w:t xml:space="preserve">recognising IGM as a harmful practice </w:t>
      </w:r>
      <w:r w:rsidR="001D10D5">
        <w:rPr>
          <w:lang w:val="en-GB"/>
        </w:rPr>
        <w:t xml:space="preserve">and </w:t>
      </w:r>
      <w:r w:rsidR="001D10D5" w:rsidRPr="0085290C">
        <w:rPr>
          <w:bCs/>
          <w:lang w:val="en-GB"/>
        </w:rPr>
        <w:t xml:space="preserve">urging States to </w:t>
      </w:r>
      <w:r w:rsidR="001D10D5" w:rsidRPr="0085290C">
        <w:rPr>
          <w:b/>
          <w:i/>
          <w:iCs/>
          <w:lang w:val="en-GB"/>
        </w:rPr>
        <w:t>“combat”</w:t>
      </w:r>
      <w:r w:rsidR="001D10D5" w:rsidRPr="0085290C">
        <w:rPr>
          <w:b/>
          <w:lang w:val="en-GB"/>
        </w:rPr>
        <w:t xml:space="preserve"> such </w:t>
      </w:r>
      <w:r w:rsidR="001D10D5" w:rsidRPr="0085290C">
        <w:rPr>
          <w:b/>
          <w:i/>
          <w:iCs/>
          <w:lang w:val="en-GB"/>
        </w:rPr>
        <w:t>“violence”</w:t>
      </w:r>
      <w:r w:rsidR="001D10D5">
        <w:rPr>
          <w:lang w:val="en-GB"/>
        </w:rPr>
        <w:t>.</w:t>
      </w:r>
    </w:p>
    <w:p w:rsidR="00916444" w:rsidRDefault="0036144F" w:rsidP="0036144F">
      <w:pPr>
        <w:pStyle w:val="absatzschattenbericht"/>
        <w:rPr>
          <w:rFonts w:eastAsia="Baskerville-SemiBold" w:cs="Baskerville-SemiBold"/>
          <w:bCs/>
          <w:iCs/>
          <w:lang w:val="en-GB"/>
        </w:rPr>
      </w:pPr>
      <w:r>
        <w:rPr>
          <w:rFonts w:eastAsia="Baskerville-SemiBold" w:cs="Baskerville-SemiBold"/>
          <w:bCs/>
          <w:iCs/>
          <w:lang w:val="en-GB"/>
        </w:rPr>
        <w:t>However, to</w:t>
      </w:r>
      <w:r w:rsidR="00916444" w:rsidRPr="00733196">
        <w:rPr>
          <w:rFonts w:eastAsia="Baskerville-SemiBold" w:cs="Baskerville-SemiBold"/>
          <w:bCs/>
          <w:iCs/>
          <w:lang w:val="en-GB"/>
        </w:rPr>
        <w:t xml:space="preserve"> this day, the </w:t>
      </w:r>
      <w:r w:rsidR="00916444" w:rsidRPr="00733196">
        <w:rPr>
          <w:rFonts w:eastAsia="Baskerville-SemiBold" w:cs="Baskerville-SemiBold"/>
          <w:b/>
          <w:iCs/>
          <w:lang w:val="en-GB"/>
        </w:rPr>
        <w:t>State party fails to act</w:t>
      </w:r>
      <w:r w:rsidR="00916444" w:rsidRPr="00733196">
        <w:rPr>
          <w:rFonts w:eastAsia="Baskerville-SemiBold" w:cs="Baskerville-SemiBold"/>
          <w:bCs/>
          <w:iCs/>
          <w:lang w:val="en-GB"/>
        </w:rPr>
        <w:t>.</w:t>
      </w:r>
    </w:p>
    <w:p w:rsidR="00D7739B" w:rsidRDefault="00C507ED" w:rsidP="0036144F">
      <w:pPr>
        <w:pStyle w:val="absatzschattenbericht"/>
        <w:rPr>
          <w:rFonts w:eastAsia="Baskerville-SemiBold" w:cs="Baskerville-SemiBold"/>
          <w:bCs/>
          <w:iCs/>
          <w:lang w:val="en-GB"/>
        </w:rPr>
      </w:pPr>
      <w:r>
        <w:rPr>
          <w:rFonts w:eastAsia="Baskerville-SemiBold" w:cs="Baskerville-SemiBold"/>
          <w:bCs/>
          <w:iCs/>
          <w:lang w:val="en-GB"/>
        </w:rPr>
        <w:t xml:space="preserve">We therefore would like to urge the Committee to raise intersex genital mutilation in Mexico under harmful practices, </w:t>
      </w:r>
      <w:r w:rsidRPr="004C2A74">
        <w:rPr>
          <w:rFonts w:eastAsia="Baskerville-SemiBold" w:cs="Baskerville-SemiBold"/>
          <w:b/>
          <w:iCs/>
          <w:lang w:val="en-GB"/>
        </w:rPr>
        <w:t xml:space="preserve">asking the State Party about </w:t>
      </w:r>
      <w:r w:rsidR="00D7739B" w:rsidRPr="004C2A74">
        <w:rPr>
          <w:rFonts w:eastAsia="Baskerville-SemiBold" w:cs="Baskerville-SemiBold"/>
          <w:b/>
          <w:iCs/>
          <w:lang w:val="en-GB"/>
        </w:rPr>
        <w:t>measures taken</w:t>
      </w:r>
      <w:r w:rsidR="00D7739B">
        <w:rPr>
          <w:rFonts w:eastAsia="Baskerville-SemiBold" w:cs="Baskerville-SemiBold"/>
          <w:bCs/>
          <w:iCs/>
          <w:lang w:val="en-GB"/>
        </w:rPr>
        <w:t xml:space="preserve"> to</w:t>
      </w:r>
    </w:p>
    <w:p w:rsidR="00D7739B" w:rsidRDefault="00D7739B" w:rsidP="00D7739B">
      <w:pPr>
        <w:pStyle w:val="absatzschattenbericht"/>
        <w:numPr>
          <w:ilvl w:val="0"/>
          <w:numId w:val="29"/>
        </w:numPr>
        <w:spacing w:after="80"/>
        <w:ind w:left="714" w:hanging="357"/>
        <w:rPr>
          <w:rFonts w:eastAsia="Baskerville-SemiBold" w:cs="Baskerville-SemiBold"/>
          <w:bCs/>
          <w:iCs/>
          <w:lang w:val="en-GB"/>
        </w:rPr>
      </w:pPr>
      <w:r w:rsidRPr="00D7739B">
        <w:rPr>
          <w:rFonts w:eastAsia="Baskerville-SemiBold" w:cs="Baskerville-SemiBold"/>
          <w:b/>
          <w:iCs/>
          <w:lang w:val="en-GB"/>
        </w:rPr>
        <w:t>prohibit and sanction</w:t>
      </w:r>
      <w:r w:rsidR="00E04B8B" w:rsidRPr="00D7739B">
        <w:rPr>
          <w:rFonts w:eastAsia="Baskerville-SemiBold" w:cs="Baskerville-SemiBold"/>
          <w:b/>
          <w:iCs/>
          <w:lang w:val="en-GB"/>
        </w:rPr>
        <w:t xml:space="preserve"> IGM</w:t>
      </w:r>
      <w:r>
        <w:rPr>
          <w:rFonts w:eastAsia="Baskerville-SemiBold" w:cs="Baskerville-SemiBold"/>
          <w:bCs/>
          <w:iCs/>
          <w:lang w:val="en-GB"/>
        </w:rPr>
        <w:t>,</w:t>
      </w:r>
      <w:r w:rsidR="00AB013C">
        <w:rPr>
          <w:rFonts w:eastAsia="Baskerville-SemiBold" w:cs="Baskerville-SemiBold"/>
          <w:bCs/>
          <w:iCs/>
          <w:lang w:val="en-GB"/>
        </w:rPr>
        <w:t xml:space="preserve"> </w:t>
      </w:r>
    </w:p>
    <w:p w:rsidR="00C507ED" w:rsidRDefault="00D7739B" w:rsidP="00D7739B">
      <w:pPr>
        <w:pStyle w:val="absatzschattenbericht"/>
        <w:numPr>
          <w:ilvl w:val="0"/>
          <w:numId w:val="29"/>
        </w:numPr>
        <w:spacing w:after="80"/>
        <w:ind w:left="714" w:hanging="357"/>
        <w:rPr>
          <w:lang w:val="en-GB"/>
        </w:rPr>
      </w:pPr>
      <w:r w:rsidRPr="002F50F6">
        <w:rPr>
          <w:b/>
          <w:lang w:val="en-GB"/>
        </w:rPr>
        <w:t>ensure</w:t>
      </w:r>
      <w:r w:rsidRPr="002F50F6">
        <w:rPr>
          <w:lang w:val="en-GB"/>
        </w:rPr>
        <w:t xml:space="preserve"> </w:t>
      </w:r>
      <w:r w:rsidRPr="002F50F6">
        <w:rPr>
          <w:b/>
          <w:lang w:val="en-GB"/>
        </w:rPr>
        <w:t>access to redress and justice</w:t>
      </w:r>
      <w:r w:rsidRPr="002F50F6">
        <w:rPr>
          <w:lang w:val="en-GB"/>
        </w:rPr>
        <w:t xml:space="preserve">, including fair and adequate </w:t>
      </w:r>
      <w:r w:rsidRPr="002F50F6">
        <w:rPr>
          <w:b/>
          <w:lang w:val="en-GB"/>
        </w:rPr>
        <w:t>compensation</w:t>
      </w:r>
      <w:r w:rsidRPr="002F50F6">
        <w:rPr>
          <w:lang w:val="en-GB"/>
        </w:rPr>
        <w:t xml:space="preserve"> and as full as possible </w:t>
      </w:r>
      <w:r w:rsidRPr="002F50F6">
        <w:rPr>
          <w:b/>
          <w:lang w:val="en-GB"/>
        </w:rPr>
        <w:t>rehabilitation</w:t>
      </w:r>
      <w:r w:rsidRPr="002F50F6">
        <w:rPr>
          <w:lang w:val="en-GB"/>
        </w:rPr>
        <w:t xml:space="preserve"> for victims</w:t>
      </w:r>
      <w:r>
        <w:rPr>
          <w:lang w:val="en-GB"/>
        </w:rPr>
        <w:t>,</w:t>
      </w:r>
    </w:p>
    <w:p w:rsidR="00C507ED" w:rsidRPr="00D7739B" w:rsidRDefault="00D7739B" w:rsidP="00D7739B">
      <w:pPr>
        <w:pStyle w:val="absatzschattenbericht"/>
        <w:numPr>
          <w:ilvl w:val="0"/>
          <w:numId w:val="29"/>
        </w:numPr>
        <w:rPr>
          <w:rFonts w:eastAsia="Baskerville-SemiBold" w:cs="Baskerville-SemiBold"/>
          <w:bCs/>
          <w:iCs/>
          <w:lang w:val="en-GB"/>
        </w:rPr>
      </w:pPr>
      <w:r w:rsidRPr="00D7739B">
        <w:rPr>
          <w:rFonts w:eastAsia="Baskerville-SemiBold" w:cs="Baskerville-SemiBold"/>
          <w:bCs/>
          <w:iCs/>
          <w:lang w:val="en-GB"/>
        </w:rPr>
        <w:t xml:space="preserve">provide families of intersex children with </w:t>
      </w:r>
      <w:r w:rsidRPr="00D7739B">
        <w:rPr>
          <w:rFonts w:eastAsia="Baskerville-SemiBold" w:cs="Baskerville-SemiBold"/>
          <w:b/>
          <w:iCs/>
          <w:lang w:val="en-GB"/>
        </w:rPr>
        <w:t>adequate counselling and support, including peer-support</w:t>
      </w:r>
      <w:r w:rsidR="004C2A74">
        <w:rPr>
          <w:rFonts w:eastAsia="Baskerville-SemiBold" w:cs="Baskerville-SemiBold"/>
          <w:bCs/>
          <w:iCs/>
          <w:lang w:val="en-GB"/>
        </w:rPr>
        <w:t>,</w:t>
      </w:r>
    </w:p>
    <w:p w:rsidR="0041129C" w:rsidRDefault="004C2A74" w:rsidP="0041129C">
      <w:pPr>
        <w:pStyle w:val="absatzschattenbericht"/>
        <w:rPr>
          <w:lang w:val="en-GB"/>
        </w:rPr>
      </w:pPr>
      <w:r>
        <w:rPr>
          <w:lang w:val="en-GB"/>
        </w:rPr>
        <w:t xml:space="preserve">and </w:t>
      </w:r>
      <w:r w:rsidR="0041129C">
        <w:rPr>
          <w:lang w:val="en-GB"/>
        </w:rPr>
        <w:t xml:space="preserve">in the </w:t>
      </w:r>
      <w:r w:rsidR="0041129C" w:rsidRPr="0041129C">
        <w:rPr>
          <w:b/>
          <w:bCs/>
          <w:lang w:val="en-GB"/>
        </w:rPr>
        <w:t>Concluding Observations</w:t>
      </w:r>
      <w:r w:rsidR="0041129C">
        <w:rPr>
          <w:lang w:val="en-GB"/>
        </w:rPr>
        <w:t xml:space="preserve"> </w:t>
      </w:r>
      <w:r>
        <w:rPr>
          <w:lang w:val="en-GB"/>
        </w:rPr>
        <w:t>to urge Mexico to adequately protect intersex children from harmful practices</w:t>
      </w:r>
      <w:r w:rsidR="0041129C">
        <w:rPr>
          <w:lang w:val="en-GB"/>
        </w:rPr>
        <w:t xml:space="preserve">, </w:t>
      </w:r>
      <w:r w:rsidR="0041129C" w:rsidRPr="002F50F6">
        <w:rPr>
          <w:lang w:val="en-GB"/>
        </w:rPr>
        <w:t xml:space="preserve">as stipulated in </w:t>
      </w:r>
      <w:r w:rsidR="0041129C" w:rsidRPr="002F50F6">
        <w:rPr>
          <w:b/>
          <w:lang w:val="en-GB"/>
        </w:rPr>
        <w:t xml:space="preserve">CRC art. 24 para. 3 </w:t>
      </w:r>
      <w:r w:rsidR="0041129C" w:rsidRPr="002F50F6">
        <w:rPr>
          <w:lang w:val="en-GB"/>
        </w:rPr>
        <w:t xml:space="preserve">in conjunction with the </w:t>
      </w:r>
      <w:r w:rsidR="0041129C" w:rsidRPr="002F50F6">
        <w:rPr>
          <w:b/>
          <w:lang w:val="en-GB"/>
        </w:rPr>
        <w:t xml:space="preserve">CRC-CEDAW Joint general comment No. 18/31 </w:t>
      </w:r>
      <w:r w:rsidR="0041129C" w:rsidRPr="002F50F6">
        <w:rPr>
          <w:lang w:val="en-GB"/>
        </w:rPr>
        <w:t>“on harmful practices”</w:t>
      </w:r>
      <w:r w:rsidR="0041129C">
        <w:rPr>
          <w:lang w:val="en-GB"/>
        </w:rPr>
        <w:t>.</w:t>
      </w:r>
    </w:p>
    <w:p w:rsidR="00E04B8B" w:rsidRPr="006F74DB" w:rsidRDefault="00E04B8B" w:rsidP="0041129C">
      <w:pPr>
        <w:pStyle w:val="absatzschattenbericht"/>
        <w:rPr>
          <w:lang w:val="en-GB"/>
        </w:rPr>
      </w:pPr>
      <w:r w:rsidRPr="006F74DB">
        <w:rPr>
          <w:lang w:val="en-GB"/>
        </w:rPr>
        <w:t>Thank you for your consideration and kind regards,</w:t>
      </w:r>
    </w:p>
    <w:p w:rsidR="00E04B8B" w:rsidRPr="006F74DB" w:rsidRDefault="00E04B8B" w:rsidP="00E04B8B">
      <w:pPr>
        <w:pStyle w:val="absatzschattenbericht"/>
        <w:rPr>
          <w:lang w:val="en-GB"/>
        </w:rPr>
      </w:pPr>
      <w:r w:rsidRPr="006F74DB">
        <w:rPr>
          <w:lang w:val="en-GB"/>
        </w:rPr>
        <w:t>Daniela Truffer &amp; Markus Bauer (StopIGM.org / Zwischengeschlecht.org)</w:t>
      </w:r>
    </w:p>
    <w:p w:rsidR="00E04B8B" w:rsidRPr="006F74DB" w:rsidRDefault="00E04B8B" w:rsidP="00E04B8B">
      <w:pPr>
        <w:pStyle w:val="absatzschattenbericht"/>
        <w:rPr>
          <w:lang w:val="en-GB"/>
        </w:rPr>
      </w:pPr>
    </w:p>
    <w:p w:rsidR="00203C7D" w:rsidRPr="006F74DB" w:rsidRDefault="00D7739B" w:rsidP="00203C7D">
      <w:pPr>
        <w:pStyle w:val="Title2"/>
      </w:pPr>
      <w:bookmarkStart w:id="2" w:name="_Toc174653877"/>
      <w:bookmarkStart w:id="3" w:name="_Toc101000890"/>
      <w:bookmarkStart w:id="4" w:name="_Toc111405648"/>
      <w:bookmarkStart w:id="5" w:name="_Toc165835368"/>
      <w:bookmarkStart w:id="6" w:name="_Toc516594088"/>
      <w:bookmarkStart w:id="7" w:name="_Toc475924599"/>
      <w:bookmarkStart w:id="8" w:name="_Toc475924776"/>
      <w:r>
        <w:t>2</w:t>
      </w:r>
      <w:r w:rsidR="00203C7D" w:rsidRPr="006F74DB">
        <w:t xml:space="preserve">. </w:t>
      </w:r>
      <w:r w:rsidR="00203C7D">
        <w:t xml:space="preserve"> About the Rapporteurs</w:t>
      </w:r>
      <w:bookmarkEnd w:id="2"/>
    </w:p>
    <w:p w:rsidR="00203C7D" w:rsidRDefault="00203C7D" w:rsidP="00203C7D">
      <w:pPr>
        <w:pStyle w:val="absatzschattenbericht"/>
        <w:rPr>
          <w:rFonts w:cs="Times New Roman"/>
          <w:lang w:val="en-GB"/>
        </w:rPr>
      </w:pPr>
      <w:r w:rsidRPr="0085290C">
        <w:rPr>
          <w:rFonts w:eastAsia="Baskerville-SemiBold" w:cs="Times New Roman"/>
          <w:b/>
          <w:bCs/>
          <w:lang w:val="en-GB"/>
        </w:rPr>
        <w:t>StopIGM.org / Zwischengeschlecht.org</w:t>
      </w:r>
      <w:r w:rsidRPr="0085290C">
        <w:rPr>
          <w:rFonts w:cs="Times New Roman"/>
          <w:lang w:val="en-GB"/>
        </w:rPr>
        <w:t xml:space="preserve"> is an international intersex human rights NGO based in Switzerland, working to end IGM practices and other human rights violations perpetrated on intersex people, according to its motto,</w:t>
      </w:r>
      <w:r w:rsidRPr="0085290C">
        <w:rPr>
          <w:lang w:val="en-GB"/>
        </w:rPr>
        <w:t xml:space="preserve"> </w:t>
      </w:r>
      <w:r w:rsidRPr="0085290C">
        <w:rPr>
          <w:rFonts w:cs="Times New Roman"/>
          <w:i/>
          <w:iCs/>
          <w:lang w:val="en-GB"/>
        </w:rPr>
        <w:t>“Human Rights for Hermaphrodites, too!”</w:t>
      </w:r>
      <w:r w:rsidRPr="0085290C">
        <w:rPr>
          <w:rFonts w:cs="Times New Roman"/>
          <w:lang w:val="en-GB"/>
        </w:rPr>
        <w:t xml:space="preserve"> </w:t>
      </w:r>
      <w:r w:rsidRPr="0085290C">
        <w:rPr>
          <w:rStyle w:val="Funotenzeichen"/>
          <w:rFonts w:cs="Times New Roman"/>
          <w:lang w:val="en-GB"/>
        </w:rPr>
        <w:footnoteReference w:id="1"/>
      </w:r>
      <w:r w:rsidRPr="0085290C">
        <w:rPr>
          <w:rFonts w:cs="Times New Roman"/>
          <w:lang w:val="en-GB"/>
        </w:rPr>
        <w:t xml:space="preserve"> According to its charter,</w:t>
      </w:r>
      <w:r w:rsidRPr="0085290C">
        <w:rPr>
          <w:rStyle w:val="Funotenzeichen"/>
          <w:rFonts w:cs="Times New Roman"/>
          <w:lang w:val="en-GB"/>
        </w:rPr>
        <w:footnoteReference w:id="2"/>
      </w:r>
      <w:r w:rsidRPr="0085290C">
        <w:rPr>
          <w:rFonts w:cs="Times New Roman"/>
          <w:lang w:val="en-GB"/>
        </w:rPr>
        <w:t xml:space="preserve"> StopIGM.org works to support persons concerned seeking redress and justice and regularly reports to relevant UN treaty bodies, often in collaboration with local intersex advocates and NGOs,</w:t>
      </w:r>
      <w:r w:rsidRPr="0085290C">
        <w:rPr>
          <w:rStyle w:val="Funotenzeichen"/>
          <w:rFonts w:cs="Times New Roman"/>
          <w:lang w:val="en-GB"/>
        </w:rPr>
        <w:footnoteReference w:id="3"/>
      </w:r>
      <w:r w:rsidRPr="0085290C">
        <w:rPr>
          <w:rFonts w:cs="Times New Roman"/>
          <w:lang w:val="en-GB"/>
        </w:rPr>
        <w:t xml:space="preserve"> substantially contributing to the so far 94 Treaty body Concluding Observations recognising IGM as a serious human rights violation.</w:t>
      </w:r>
      <w:r w:rsidRPr="0085290C">
        <w:rPr>
          <w:rStyle w:val="Funotenzeichen"/>
          <w:rFonts w:cs="Times New Roman"/>
          <w:lang w:val="en-GB"/>
        </w:rPr>
        <w:footnoteReference w:id="4"/>
      </w:r>
      <w:r>
        <w:rPr>
          <w:rFonts w:cs="Times New Roman"/>
          <w:lang w:val="en-GB"/>
        </w:rPr>
        <w:t xml:space="preserve"> Together with local intersex NGOs </w:t>
      </w:r>
      <w:proofErr w:type="spellStart"/>
      <w:r>
        <w:rPr>
          <w:rFonts w:cs="Times New Roman"/>
          <w:i/>
          <w:iCs/>
          <w:lang w:val="en-GB"/>
        </w:rPr>
        <w:t>Brújula</w:t>
      </w:r>
      <w:proofErr w:type="spellEnd"/>
      <w:r>
        <w:rPr>
          <w:rFonts w:cs="Times New Roman"/>
          <w:i/>
          <w:iCs/>
          <w:lang w:val="en-GB"/>
        </w:rPr>
        <w:t xml:space="preserve"> Intersexual </w:t>
      </w:r>
      <w:r>
        <w:rPr>
          <w:rFonts w:cs="Times New Roman"/>
          <w:lang w:val="en-GB"/>
        </w:rPr>
        <w:t xml:space="preserve">and </w:t>
      </w:r>
      <w:proofErr w:type="spellStart"/>
      <w:r w:rsidRPr="00203C7D">
        <w:rPr>
          <w:rFonts w:cs="Times New Roman"/>
          <w:i/>
          <w:iCs/>
          <w:lang w:val="en-GB"/>
        </w:rPr>
        <w:t>Vivir</w:t>
      </w:r>
      <w:proofErr w:type="spellEnd"/>
      <w:r w:rsidRPr="00203C7D">
        <w:rPr>
          <w:rFonts w:cs="Times New Roman"/>
          <w:i/>
          <w:iCs/>
          <w:lang w:val="en-GB"/>
        </w:rPr>
        <w:t xml:space="preserve"> y Ser Intersex</w:t>
      </w:r>
      <w:r>
        <w:rPr>
          <w:rFonts w:cs="Times New Roman"/>
          <w:i/>
          <w:iCs/>
          <w:lang w:val="en-GB"/>
        </w:rPr>
        <w:t xml:space="preserve"> </w:t>
      </w:r>
      <w:r>
        <w:rPr>
          <w:rFonts w:cs="Times New Roman"/>
          <w:lang w:val="en-GB"/>
        </w:rPr>
        <w:t>StopIGM.org previously reported on Mexico to CEDAW (</w:t>
      </w:r>
      <w:r w:rsidR="00244B45">
        <w:rPr>
          <w:rFonts w:cs="Times New Roman"/>
          <w:lang w:val="en-GB"/>
        </w:rPr>
        <w:t>2018</w:t>
      </w:r>
      <w:r>
        <w:rPr>
          <w:rFonts w:cs="Times New Roman"/>
          <w:lang w:val="en-GB"/>
        </w:rPr>
        <w:t>)</w:t>
      </w:r>
      <w:r w:rsidRPr="0085290C">
        <w:rPr>
          <w:rStyle w:val="Funotenzeichen"/>
          <w:rFonts w:cs="Times New Roman"/>
          <w:lang w:val="en-GB"/>
        </w:rPr>
        <w:footnoteReference w:id="5"/>
      </w:r>
      <w:r>
        <w:rPr>
          <w:rFonts w:cs="Times New Roman"/>
          <w:lang w:val="en-GB"/>
        </w:rPr>
        <w:t xml:space="preserve"> and CCPR (</w:t>
      </w:r>
      <w:r w:rsidR="00244B45">
        <w:rPr>
          <w:rFonts w:cs="Times New Roman"/>
          <w:lang w:val="en-GB"/>
        </w:rPr>
        <w:t>2019</w:t>
      </w:r>
      <w:r>
        <w:rPr>
          <w:rFonts w:cs="Times New Roman"/>
          <w:lang w:val="en-GB"/>
        </w:rPr>
        <w:t>).</w:t>
      </w:r>
      <w:r w:rsidRPr="0085290C">
        <w:rPr>
          <w:rStyle w:val="Funotenzeichen"/>
          <w:rFonts w:cs="Times New Roman"/>
          <w:lang w:val="en-GB"/>
        </w:rPr>
        <w:footnoteReference w:id="6"/>
      </w:r>
    </w:p>
    <w:p w:rsidR="00D7739B" w:rsidRPr="0085290C" w:rsidRDefault="00D7739B" w:rsidP="00D7739B">
      <w:pPr>
        <w:pStyle w:val="Title2"/>
      </w:pPr>
      <w:bookmarkStart w:id="9" w:name="_Toc171706627"/>
      <w:bookmarkStart w:id="10" w:name="_Toc174653878"/>
      <w:bookmarkStart w:id="11" w:name="_Toc111405641"/>
      <w:r>
        <w:t>3</w:t>
      </w:r>
      <w:r w:rsidRPr="0085290C">
        <w:t xml:space="preserve">.  </w:t>
      </w:r>
      <w:r>
        <w:t xml:space="preserve">Precedents: </w:t>
      </w:r>
      <w:r w:rsidRPr="0085290C">
        <w:t>Previous Concluding Observations</w:t>
      </w:r>
      <w:bookmarkEnd w:id="9"/>
      <w:bookmarkEnd w:id="10"/>
    </w:p>
    <w:p w:rsidR="00D7739B" w:rsidRPr="0085290C" w:rsidRDefault="00D7739B" w:rsidP="00D7739B">
      <w:pPr>
        <w:pStyle w:val="Title3"/>
        <w:rPr>
          <w:rFonts w:eastAsia="Baskerville-SemiBold" w:cs="Baskerville-SemiBold"/>
          <w:color w:val="auto"/>
        </w:rPr>
      </w:pPr>
      <w:bookmarkStart w:id="12" w:name="_Toc171706628"/>
      <w:bookmarkStart w:id="13" w:name="_Toc174653879"/>
      <w:r w:rsidRPr="0085290C">
        <w:t xml:space="preserve">a) Harmful Practices: </w:t>
      </w:r>
      <w:r>
        <w:t>CEDAW</w:t>
      </w:r>
      <w:r w:rsidRPr="0085290C">
        <w:t xml:space="preserve"> </w:t>
      </w:r>
      <w:r>
        <w:t>2018</w:t>
      </w:r>
      <w:r w:rsidRPr="0085290C">
        <w:t xml:space="preserve"> (</w:t>
      </w:r>
      <w:r w:rsidRPr="00D7739B">
        <w:t>CEDAW/C/MEX/CO/9, paras 21-22</w:t>
      </w:r>
      <w:r w:rsidRPr="0085290C">
        <w:t>)</w:t>
      </w:r>
      <w:bookmarkEnd w:id="12"/>
      <w:bookmarkEnd w:id="13"/>
    </w:p>
    <w:bookmarkEnd w:id="11"/>
    <w:p w:rsidR="00D7739B" w:rsidRPr="00F4547F" w:rsidRDefault="00D7739B" w:rsidP="005E02CB">
      <w:pPr>
        <w:pStyle w:val="AbsatzConcludingObs"/>
        <w:rPr>
          <w:b/>
          <w:lang w:val="en-GB"/>
        </w:rPr>
      </w:pPr>
      <w:r w:rsidRPr="00F4547F">
        <w:rPr>
          <w:b/>
          <w:lang w:val="en-GB"/>
        </w:rPr>
        <w:t>Harmful practices</w:t>
      </w:r>
    </w:p>
    <w:p w:rsidR="00D7739B" w:rsidRPr="00F4547F" w:rsidRDefault="00D7739B" w:rsidP="005E02CB">
      <w:pPr>
        <w:pStyle w:val="AbsatzConcludingObs"/>
        <w:rPr>
          <w:bCs/>
          <w:lang w:val="en-GB"/>
        </w:rPr>
      </w:pPr>
      <w:r w:rsidRPr="00F4547F">
        <w:rPr>
          <w:bCs/>
          <w:lang w:val="en-GB"/>
        </w:rPr>
        <w:t>21.</w:t>
      </w:r>
      <w:r w:rsidRPr="00F4547F">
        <w:rPr>
          <w:bCs/>
          <w:lang w:val="en-GB"/>
        </w:rPr>
        <w:tab/>
        <w:t>The Committee is concerned about the limited provisions prohibiting unnecessary medical procedures on intersex children and the inadequate support and lack of effective remedies for intersex persons who have undergone medically unnecessary surgical procedures.</w:t>
      </w:r>
    </w:p>
    <w:p w:rsidR="00A402C4" w:rsidRDefault="00D7739B" w:rsidP="00A402C4">
      <w:pPr>
        <w:pStyle w:val="AbsatzConcludingObs"/>
        <w:rPr>
          <w:b/>
          <w:lang w:val="en-GB"/>
        </w:rPr>
      </w:pPr>
      <w:r w:rsidRPr="00F4547F">
        <w:rPr>
          <w:bCs/>
          <w:lang w:val="en-GB"/>
        </w:rPr>
        <w:t>22.</w:t>
      </w:r>
      <w:r w:rsidRPr="00F4547F">
        <w:rPr>
          <w:bCs/>
          <w:lang w:val="en-GB"/>
        </w:rPr>
        <w:tab/>
      </w:r>
      <w:r w:rsidRPr="00F4547F">
        <w:rPr>
          <w:b/>
          <w:lang w:val="en-GB"/>
        </w:rPr>
        <w:t xml:space="preserve">In the light of joint general recommendation No. 31 of the Committee on the Elimination </w:t>
      </w:r>
      <w:r w:rsidRPr="00F4547F">
        <w:rPr>
          <w:b/>
          <w:lang w:val="en-GB"/>
        </w:rPr>
        <w:lastRenderedPageBreak/>
        <w:t>of Discrimination against Women/general comment No. 18 of the Committee of the Rights of the Child (2014) on harmful practices, the Committee recommends that the State party adopt provisions explicitly prohibiting the performance of unnecessary surgical or other medical procedures on intersex children until they reach an age when they can give their free, prior and informed consent and provide families of intersex children with adequate counselling and support.</w:t>
      </w:r>
    </w:p>
    <w:p w:rsidR="00D7739B" w:rsidRPr="0085290C" w:rsidRDefault="00D7739B" w:rsidP="00D7739B">
      <w:pPr>
        <w:pStyle w:val="Title3"/>
        <w:rPr>
          <w:rFonts w:eastAsia="Baskerville-SemiBold" w:cs="Baskerville-SemiBold"/>
          <w:color w:val="auto"/>
        </w:rPr>
      </w:pPr>
      <w:bookmarkStart w:id="14" w:name="_Toc174653880"/>
      <w:r>
        <w:t>b</w:t>
      </w:r>
      <w:r w:rsidRPr="0085290C">
        <w:t>)</w:t>
      </w:r>
      <w:r>
        <w:t xml:space="preserve"> Inhuman Treatment</w:t>
      </w:r>
      <w:r w:rsidRPr="0085290C">
        <w:t xml:space="preserve">: </w:t>
      </w:r>
      <w:r>
        <w:t>CCPR</w:t>
      </w:r>
      <w:r w:rsidRPr="0085290C">
        <w:t xml:space="preserve"> 2019 (</w:t>
      </w:r>
      <w:r w:rsidRPr="00D7739B">
        <w:t>CCPR/C/MEX/CO/6, paras 12-13</w:t>
      </w:r>
      <w:r w:rsidRPr="0085290C">
        <w:t>)</w:t>
      </w:r>
      <w:bookmarkEnd w:id="14"/>
    </w:p>
    <w:p w:rsidR="00D7739B" w:rsidRPr="00F4547F" w:rsidRDefault="00D7739B" w:rsidP="00D7739B">
      <w:pPr>
        <w:pStyle w:val="AbsatzConcludingObs"/>
        <w:rPr>
          <w:b/>
          <w:lang w:val="en-GB"/>
        </w:rPr>
      </w:pPr>
      <w:r w:rsidRPr="00F4547F">
        <w:rPr>
          <w:b/>
          <w:lang w:val="en-GB"/>
        </w:rPr>
        <w:t>Discrimination and violence based on sexual orientation and gender identity</w:t>
      </w:r>
    </w:p>
    <w:p w:rsidR="00D7739B" w:rsidRPr="00F4547F" w:rsidRDefault="00D7739B" w:rsidP="00D7739B">
      <w:pPr>
        <w:pStyle w:val="AbsatzConcludingObs"/>
        <w:rPr>
          <w:bCs/>
          <w:lang w:val="en-GB"/>
        </w:rPr>
      </w:pPr>
      <w:r w:rsidRPr="00F4547F">
        <w:rPr>
          <w:bCs/>
          <w:lang w:val="en-GB"/>
        </w:rPr>
        <w:t>12.</w:t>
      </w:r>
      <w:r w:rsidRPr="00F4547F">
        <w:rPr>
          <w:bCs/>
          <w:lang w:val="en-GB"/>
        </w:rPr>
        <w:tab/>
        <w:t>The Committee is concerned about the discrimination and the high level of violence, including a large number of homicides, that are motivated by the victim’s sexual orientation or gender identity and regrets that consolidated data on investigations and prosecutions initiated, convictions and punishments handed down and reparations granted in such cases are not available. In spite of the explanations provided by the State party’s delegation, the Committee is concerned about reports of irreversible and invasive medical procedures being performed on intersex children (arts. 2, 6, 7, 17 and 26).</w:t>
      </w:r>
    </w:p>
    <w:p w:rsidR="00D7739B" w:rsidRDefault="00D7739B" w:rsidP="00FA478E">
      <w:pPr>
        <w:pStyle w:val="AbsatzConcludingObs"/>
        <w:rPr>
          <w:b/>
          <w:lang w:val="en-GB"/>
        </w:rPr>
      </w:pPr>
      <w:r w:rsidRPr="00F4547F">
        <w:rPr>
          <w:bCs/>
          <w:lang w:val="en-GB"/>
        </w:rPr>
        <w:t>13.</w:t>
      </w:r>
      <w:r w:rsidRPr="00F4547F">
        <w:rPr>
          <w:bCs/>
          <w:lang w:val="en-GB"/>
        </w:rPr>
        <w:tab/>
      </w:r>
      <w:r w:rsidRPr="00F4547F">
        <w:rPr>
          <w:b/>
          <w:lang w:val="en-GB"/>
        </w:rPr>
        <w:t>The State party should adopt the investigation protocols necessary to ensure that: (a) crimes motivated by the victim’s sexual orientation or gender identity are systematically registered and investigated from a gender perspective; (b) the perpetrators of such crimes are investigated, prosecuted and punished appropriately; and (c) victims have access to safe complaint mechanisms, due support and assistance, adequate protection and comprehensive redress. The State party should redouble its efforts to combat stereotypes and prejudice against lesbian, gay, bisexual, transgender and intersex persons and to guarantee that acts of discrimination and violence directed against them are prevented. It should also take steps to stop irreversible medical treatments being performed, in particular surgical procedures performed on intersex children who do not yet have the capacity to give fully informed and free consent, except when these procedures are absolutely necessary from the medical point of view.</w:t>
      </w:r>
    </w:p>
    <w:p w:rsidR="00DB4A71" w:rsidRPr="006F74DB" w:rsidRDefault="00A402C4" w:rsidP="00FA478E">
      <w:pPr>
        <w:pStyle w:val="Title2"/>
      </w:pPr>
      <w:bookmarkStart w:id="15" w:name="_Toc174653881"/>
      <w:r>
        <w:t>4</w:t>
      </w:r>
      <w:r w:rsidR="00DB4A71" w:rsidRPr="006F74DB">
        <w:t xml:space="preserve">.  </w:t>
      </w:r>
      <w:r w:rsidR="009A53A8">
        <w:t>Mexico’s</w:t>
      </w:r>
      <w:r w:rsidR="00DB4A71" w:rsidRPr="006F74DB">
        <w:t xml:space="preserve"> commitment to </w:t>
      </w:r>
      <w:r w:rsidR="00DB4A71" w:rsidRPr="006F74DB">
        <w:rPr>
          <w:i/>
        </w:rPr>
        <w:t>“protect intersex children from violence and harmful practices”</w:t>
      </w:r>
      <w:r w:rsidR="00DB4A71" w:rsidRPr="006F74DB">
        <w:t xml:space="preserve">, </w:t>
      </w:r>
      <w:r w:rsidR="00DB4A71" w:rsidRPr="006F74DB">
        <w:rPr>
          <w:i/>
        </w:rPr>
        <w:t>“investigate abuses”</w:t>
      </w:r>
      <w:r w:rsidR="00DB4A71" w:rsidRPr="006F74DB">
        <w:t xml:space="preserve">, </w:t>
      </w:r>
      <w:r w:rsidR="00DB4A71" w:rsidRPr="006F74DB">
        <w:rPr>
          <w:i/>
        </w:rPr>
        <w:t>“ensure accountability”</w:t>
      </w:r>
      <w:r w:rsidR="00DB4A71" w:rsidRPr="006F74DB">
        <w:t xml:space="preserve"> and </w:t>
      </w:r>
      <w:r w:rsidR="00DB4A71" w:rsidRPr="006F74DB">
        <w:rPr>
          <w:i/>
        </w:rPr>
        <w:t xml:space="preserve">“access to </w:t>
      </w:r>
      <w:bookmarkEnd w:id="3"/>
      <w:r w:rsidR="00DB4A71" w:rsidRPr="006F74DB">
        <w:rPr>
          <w:i/>
        </w:rPr>
        <w:t>remedy”</w:t>
      </w:r>
      <w:bookmarkEnd w:id="4"/>
      <w:bookmarkEnd w:id="5"/>
      <w:bookmarkEnd w:id="15"/>
    </w:p>
    <w:p w:rsidR="00DB4A71" w:rsidRPr="006F74DB" w:rsidRDefault="00DB4A71" w:rsidP="00DB4A71">
      <w:pPr>
        <w:pStyle w:val="Title3"/>
      </w:pPr>
      <w:bookmarkStart w:id="16" w:name="_Toc101000891"/>
      <w:bookmarkStart w:id="17" w:name="_Toc111405649"/>
      <w:bookmarkStart w:id="18" w:name="_Toc165835369"/>
      <w:bookmarkStart w:id="19" w:name="_Toc174653882"/>
      <w:r w:rsidRPr="006F74DB">
        <w:t>a) UNHRC45 Statement, 01.10.2020</w:t>
      </w:r>
      <w:bookmarkEnd w:id="16"/>
      <w:bookmarkEnd w:id="17"/>
      <w:bookmarkEnd w:id="18"/>
      <w:bookmarkEnd w:id="19"/>
    </w:p>
    <w:p w:rsidR="00DB4A71" w:rsidRPr="006F74DB" w:rsidRDefault="00DB4A71" w:rsidP="00DB4A71">
      <w:pPr>
        <w:pStyle w:val="absatzschattenbericht"/>
        <w:rPr>
          <w:bCs/>
          <w:lang w:val="en-GB"/>
        </w:rPr>
      </w:pPr>
      <w:r w:rsidRPr="006F74DB">
        <w:rPr>
          <w:bCs/>
          <w:lang w:val="en-GB"/>
        </w:rPr>
        <w:t xml:space="preserve">On occasion of the </w:t>
      </w:r>
      <w:r w:rsidRPr="006F74DB">
        <w:rPr>
          <w:b/>
          <w:lang w:val="en-GB"/>
        </w:rPr>
        <w:t>45</w:t>
      </w:r>
      <w:r w:rsidRPr="006F74DB">
        <w:rPr>
          <w:b/>
          <w:vertAlign w:val="superscript"/>
          <w:lang w:val="en-GB"/>
        </w:rPr>
        <w:t>th</w:t>
      </w:r>
      <w:r w:rsidRPr="006F74DB">
        <w:rPr>
          <w:b/>
          <w:lang w:val="en-GB"/>
        </w:rPr>
        <w:t xml:space="preserve"> Session of the Human Rights Council</w:t>
      </w:r>
      <w:r w:rsidRPr="006F74DB">
        <w:rPr>
          <w:bCs/>
          <w:lang w:val="en-GB"/>
        </w:rPr>
        <w:t xml:space="preserve"> the </w:t>
      </w:r>
      <w:r w:rsidRPr="006F74DB">
        <w:rPr>
          <w:b/>
          <w:lang w:val="en-GB"/>
        </w:rPr>
        <w:t>State party</w:t>
      </w:r>
      <w:r w:rsidRPr="006F74DB">
        <w:rPr>
          <w:bCs/>
          <w:lang w:val="en-GB"/>
        </w:rPr>
        <w:t xml:space="preserve"> supported a public </w:t>
      </w:r>
      <w:r w:rsidRPr="006F74DB">
        <w:rPr>
          <w:bCs/>
          <w:i/>
          <w:iCs/>
          <w:lang w:val="en-GB"/>
        </w:rPr>
        <w:t>“Joint Statement [...] on the Rights of Intersex Persons”</w:t>
      </w:r>
      <w:r w:rsidRPr="006F74DB">
        <w:rPr>
          <w:bCs/>
          <w:lang w:val="en-GB"/>
        </w:rPr>
        <w:t xml:space="preserve"> calling to </w:t>
      </w:r>
      <w:r w:rsidRPr="006F74DB">
        <w:rPr>
          <w:b/>
          <w:i/>
          <w:iCs/>
          <w:lang w:val="en-GB"/>
        </w:rPr>
        <w:t>“protect […] intersex adults and children</w:t>
      </w:r>
      <w:r w:rsidRPr="006F74DB">
        <w:rPr>
          <w:bCs/>
          <w:i/>
          <w:iCs/>
          <w:lang w:val="en-GB"/>
        </w:rPr>
        <w:t xml:space="preserve"> […] so that they live free </w:t>
      </w:r>
      <w:r w:rsidRPr="006F74DB">
        <w:rPr>
          <w:b/>
          <w:i/>
          <w:iCs/>
          <w:lang w:val="en-GB"/>
        </w:rPr>
        <w:t>from violence and harmful practices</w:t>
      </w:r>
      <w:r w:rsidRPr="006F74DB">
        <w:rPr>
          <w:bCs/>
          <w:i/>
          <w:iCs/>
          <w:lang w:val="en-GB"/>
        </w:rPr>
        <w:t xml:space="preserve">. Governments should </w:t>
      </w:r>
      <w:r w:rsidRPr="006F74DB">
        <w:rPr>
          <w:b/>
          <w:i/>
          <w:iCs/>
          <w:lang w:val="en-GB"/>
        </w:rPr>
        <w:t>investigate human rights violations and abuses</w:t>
      </w:r>
      <w:r w:rsidRPr="006F74DB">
        <w:rPr>
          <w:bCs/>
          <w:i/>
          <w:iCs/>
          <w:lang w:val="en-GB"/>
        </w:rPr>
        <w:t xml:space="preserve"> against intersex people, </w:t>
      </w:r>
      <w:r w:rsidRPr="006F74DB">
        <w:rPr>
          <w:b/>
          <w:i/>
          <w:iCs/>
          <w:lang w:val="en-GB"/>
        </w:rPr>
        <w:t>ensure accountability</w:t>
      </w:r>
      <w:r w:rsidRPr="006F74DB">
        <w:rPr>
          <w:bCs/>
          <w:i/>
          <w:iCs/>
          <w:lang w:val="en-GB"/>
        </w:rPr>
        <w:t xml:space="preserve">, […] and </w:t>
      </w:r>
      <w:r w:rsidRPr="006F74DB">
        <w:rPr>
          <w:b/>
          <w:i/>
          <w:iCs/>
          <w:lang w:val="en-GB"/>
        </w:rPr>
        <w:t>provide victims with access to remedy.”</w:t>
      </w:r>
      <w:r w:rsidRPr="006F74DB">
        <w:rPr>
          <w:bCs/>
          <w:lang w:val="en-GB"/>
        </w:rPr>
        <w:t xml:space="preserve"> </w:t>
      </w:r>
      <w:r w:rsidRPr="006F74DB">
        <w:rPr>
          <w:rStyle w:val="Funotenanker"/>
          <w:lang w:val="en-GB"/>
        </w:rPr>
        <w:footnoteReference w:id="7"/>
      </w:r>
    </w:p>
    <w:p w:rsidR="00DB4A71" w:rsidRPr="006F74DB" w:rsidRDefault="00DB4A71" w:rsidP="00DB4A71">
      <w:pPr>
        <w:pStyle w:val="Title3"/>
      </w:pPr>
      <w:bookmarkStart w:id="20" w:name="_Toc101000892"/>
      <w:bookmarkStart w:id="21" w:name="_Toc111405650"/>
      <w:bookmarkStart w:id="22" w:name="_Toc165835370"/>
      <w:bookmarkStart w:id="23" w:name="_Toc174653883"/>
      <w:r w:rsidRPr="006F74DB">
        <w:t>b) UNHRC48 Statement, 04.10.2021</w:t>
      </w:r>
      <w:bookmarkEnd w:id="20"/>
      <w:bookmarkEnd w:id="21"/>
      <w:bookmarkEnd w:id="22"/>
      <w:bookmarkEnd w:id="23"/>
    </w:p>
    <w:p w:rsidR="00DB4A71" w:rsidRPr="006F74DB" w:rsidRDefault="00DB4A71" w:rsidP="00DB4A71">
      <w:pPr>
        <w:pStyle w:val="absatzschattenbericht"/>
        <w:rPr>
          <w:bCs/>
          <w:lang w:val="en-GB"/>
        </w:rPr>
      </w:pPr>
      <w:r w:rsidRPr="006F74DB">
        <w:rPr>
          <w:bCs/>
          <w:lang w:val="en-GB"/>
        </w:rPr>
        <w:t xml:space="preserve">On occasion of the </w:t>
      </w:r>
      <w:r w:rsidRPr="006F74DB">
        <w:rPr>
          <w:b/>
          <w:lang w:val="en-GB"/>
        </w:rPr>
        <w:t>48</w:t>
      </w:r>
      <w:r w:rsidRPr="006F74DB">
        <w:rPr>
          <w:b/>
          <w:vertAlign w:val="superscript"/>
          <w:lang w:val="en-GB"/>
        </w:rPr>
        <w:t>th</w:t>
      </w:r>
      <w:r w:rsidRPr="006F74DB">
        <w:rPr>
          <w:b/>
          <w:lang w:val="en-GB"/>
        </w:rPr>
        <w:t xml:space="preserve"> Session of the Human Rights Council</w:t>
      </w:r>
      <w:r w:rsidRPr="006F74DB">
        <w:rPr>
          <w:bCs/>
          <w:lang w:val="en-GB"/>
        </w:rPr>
        <w:t xml:space="preserve"> the </w:t>
      </w:r>
      <w:r w:rsidRPr="006F74DB">
        <w:rPr>
          <w:b/>
          <w:lang w:val="en-GB"/>
        </w:rPr>
        <w:t>State party</w:t>
      </w:r>
      <w:r w:rsidRPr="006F74DB">
        <w:rPr>
          <w:bCs/>
          <w:lang w:val="en-GB"/>
        </w:rPr>
        <w:t xml:space="preserve"> supported a public follow-up statement reiterating the call to end harmful practices and ensure access to justice:</w:t>
      </w:r>
    </w:p>
    <w:p w:rsidR="00DB4A71" w:rsidRPr="006F74DB" w:rsidRDefault="00DB4A71" w:rsidP="00DB4A71">
      <w:pPr>
        <w:pStyle w:val="absatzschattenbericht"/>
        <w:ind w:left="284"/>
        <w:rPr>
          <w:rFonts w:eastAsia="Baskerville-SemiBold" w:cs="Baskerville-SemiBold"/>
          <w:bCs/>
          <w:i/>
          <w:iCs/>
          <w:lang w:val="en-GB"/>
        </w:rPr>
      </w:pPr>
      <w:r w:rsidRPr="006F74DB">
        <w:rPr>
          <w:rFonts w:eastAsia="Baskerville-SemiBold" w:cs="Baskerville-SemiBold"/>
          <w:bCs/>
          <w:i/>
          <w:iCs/>
          <w:lang w:val="en-GB"/>
        </w:rPr>
        <w:lastRenderedPageBreak/>
        <w:t xml:space="preserve">“Intersex persons also need to be protected from </w:t>
      </w:r>
      <w:r w:rsidRPr="006F74DB">
        <w:rPr>
          <w:rFonts w:eastAsia="Baskerville-SemiBold" w:cs="Baskerville-SemiBold"/>
          <w:b/>
          <w:bCs/>
          <w:i/>
          <w:iCs/>
          <w:lang w:val="en-GB"/>
        </w:rPr>
        <w:t>violence</w:t>
      </w:r>
      <w:r w:rsidRPr="006F74DB">
        <w:rPr>
          <w:rFonts w:eastAsia="Baskerville-SemiBold" w:cs="Baskerville-SemiBold"/>
          <w:bCs/>
          <w:i/>
          <w:iCs/>
          <w:lang w:val="en-GB"/>
        </w:rPr>
        <w:t xml:space="preserve"> and States must </w:t>
      </w:r>
      <w:r w:rsidRPr="006F74DB">
        <w:rPr>
          <w:rFonts w:eastAsia="Baskerville-SemiBold" w:cs="Baskerville-SemiBold"/>
          <w:b/>
          <w:i/>
          <w:iCs/>
          <w:lang w:val="en-GB"/>
        </w:rPr>
        <w:t>ensure accountability</w:t>
      </w:r>
      <w:r w:rsidRPr="006F74DB">
        <w:rPr>
          <w:rFonts w:eastAsia="Baskerville-SemiBold" w:cs="Baskerville-SemiBold"/>
          <w:bCs/>
          <w:i/>
          <w:iCs/>
          <w:lang w:val="en-GB"/>
        </w:rPr>
        <w:t xml:space="preserve"> for these acts. […]</w:t>
      </w:r>
    </w:p>
    <w:p w:rsidR="00DB4A71" w:rsidRPr="006F74DB" w:rsidRDefault="00DB4A71" w:rsidP="00DB4A71">
      <w:pPr>
        <w:pStyle w:val="absatzschattenbericht"/>
        <w:ind w:left="284"/>
        <w:rPr>
          <w:rFonts w:eastAsia="Baskerville-SemiBold" w:cs="Baskerville-SemiBold"/>
          <w:bCs/>
          <w:i/>
          <w:iCs/>
          <w:lang w:val="en-GB"/>
        </w:rPr>
      </w:pPr>
      <w:r w:rsidRPr="006F74DB">
        <w:rPr>
          <w:rFonts w:eastAsia="Baskerville-SemiBold" w:cs="Baskerville-SemiBold"/>
          <w:bCs/>
          <w:i/>
          <w:iCs/>
          <w:lang w:val="en-GB"/>
        </w:rPr>
        <w:t xml:space="preserve">Furthermore, there is also a need to take measures to protect the </w:t>
      </w:r>
      <w:r w:rsidRPr="006F74DB">
        <w:rPr>
          <w:rFonts w:eastAsia="Baskerville-SemiBold" w:cs="Baskerville-SemiBold"/>
          <w:b/>
          <w:bCs/>
          <w:i/>
          <w:iCs/>
          <w:lang w:val="en-GB"/>
        </w:rPr>
        <w:t>autonomy</w:t>
      </w:r>
      <w:r w:rsidRPr="006F74DB">
        <w:rPr>
          <w:rFonts w:eastAsia="Baskerville-SemiBold" w:cs="Baskerville-SemiBold"/>
          <w:bCs/>
          <w:i/>
          <w:iCs/>
          <w:lang w:val="en-GB"/>
        </w:rPr>
        <w:t xml:space="preserve"> of intersex children and adults and their rights to health and to </w:t>
      </w:r>
      <w:r w:rsidRPr="006F74DB">
        <w:rPr>
          <w:rFonts w:eastAsia="Baskerville-SemiBold" w:cs="Baskerville-SemiBold"/>
          <w:b/>
          <w:i/>
          <w:iCs/>
          <w:lang w:val="en-GB"/>
        </w:rPr>
        <w:t>physical and mental integrity</w:t>
      </w:r>
      <w:r w:rsidRPr="006F74DB">
        <w:rPr>
          <w:rFonts w:eastAsia="Baskerville-SemiBold" w:cs="Baskerville-SemiBold"/>
          <w:bCs/>
          <w:i/>
          <w:iCs/>
          <w:lang w:val="en-GB"/>
        </w:rPr>
        <w:t xml:space="preserve"> so that they live </w:t>
      </w:r>
      <w:r w:rsidRPr="006F74DB">
        <w:rPr>
          <w:rFonts w:eastAsia="Baskerville-SemiBold" w:cs="Baskerville-SemiBold"/>
          <w:b/>
          <w:i/>
          <w:iCs/>
          <w:lang w:val="en-GB"/>
        </w:rPr>
        <w:t>free from violence and harmful practices</w:t>
      </w:r>
      <w:r w:rsidRPr="006F74DB">
        <w:rPr>
          <w:rFonts w:eastAsia="Baskerville-SemiBold" w:cs="Baskerville-SemiBold"/>
          <w:bCs/>
          <w:i/>
          <w:iCs/>
          <w:lang w:val="en-GB"/>
        </w:rPr>
        <w:t xml:space="preserve">. Medically unnecessary surgeries, hormonal treatments and other invasive or irreversible non-vital medical procedures without their free, prior, full and informed consent are </w:t>
      </w:r>
      <w:r w:rsidRPr="006F74DB">
        <w:rPr>
          <w:rFonts w:eastAsia="Baskerville-SemiBold" w:cs="Baskerville-SemiBold"/>
          <w:b/>
          <w:i/>
          <w:iCs/>
          <w:lang w:val="en-GB"/>
        </w:rPr>
        <w:t>harmful to the full enjoyment of the human rights</w:t>
      </w:r>
      <w:r w:rsidRPr="006F74DB">
        <w:rPr>
          <w:rFonts w:eastAsia="Baskerville-SemiBold" w:cs="Baskerville-SemiBold"/>
          <w:bCs/>
          <w:i/>
          <w:iCs/>
          <w:lang w:val="en-GB"/>
        </w:rPr>
        <w:t xml:space="preserve"> of intersex persons. </w:t>
      </w:r>
    </w:p>
    <w:p w:rsidR="00DB4A71" w:rsidRPr="006F74DB" w:rsidRDefault="00DB4A71" w:rsidP="00DB4A71">
      <w:pPr>
        <w:pStyle w:val="absatzschattenbericht"/>
        <w:ind w:left="284"/>
        <w:rPr>
          <w:rFonts w:eastAsia="Baskerville-SemiBold" w:cs="Baskerville-SemiBold"/>
          <w:bCs/>
          <w:i/>
          <w:iCs/>
          <w:lang w:val="en-GB"/>
        </w:rPr>
      </w:pPr>
      <w:r w:rsidRPr="006F74DB">
        <w:rPr>
          <w:rFonts w:eastAsia="Baskerville-SemiBold" w:cs="Baskerville-SemiBold"/>
          <w:bCs/>
          <w:i/>
          <w:iCs/>
          <w:lang w:val="en-GB"/>
        </w:rPr>
        <w:t xml:space="preserve">We call on all member states to take measures to combat violence and discrimination against intersex persons, develop policies in close consultations with those affected, </w:t>
      </w:r>
      <w:r w:rsidRPr="006F74DB">
        <w:rPr>
          <w:rFonts w:eastAsia="Baskerville-SemiBold" w:cs="Baskerville-SemiBold"/>
          <w:b/>
          <w:i/>
          <w:iCs/>
          <w:lang w:val="en-GB"/>
        </w:rPr>
        <w:t>ensure accountability</w:t>
      </w:r>
      <w:r w:rsidRPr="006F74DB">
        <w:rPr>
          <w:rFonts w:eastAsia="Baskerville-SemiBold" w:cs="Baskerville-SemiBold"/>
          <w:bCs/>
          <w:i/>
          <w:iCs/>
          <w:lang w:val="en-GB"/>
        </w:rPr>
        <w:t xml:space="preserve">, reverse discriminatory laws and </w:t>
      </w:r>
      <w:r w:rsidRPr="006F74DB">
        <w:rPr>
          <w:rFonts w:eastAsia="Baskerville-SemiBold" w:cs="Baskerville-SemiBold"/>
          <w:b/>
          <w:i/>
          <w:iCs/>
          <w:lang w:val="en-GB"/>
        </w:rPr>
        <w:t>provide victims with access to remedy</w:t>
      </w:r>
      <w:r w:rsidRPr="006F74DB">
        <w:rPr>
          <w:rFonts w:eastAsia="Baskerville-SemiBold" w:cs="Baskerville-SemiBold"/>
          <w:bCs/>
          <w:i/>
          <w:iCs/>
          <w:lang w:val="en-GB"/>
        </w:rPr>
        <w:t xml:space="preserve">.” </w:t>
      </w:r>
      <w:r w:rsidRPr="006F74DB">
        <w:rPr>
          <w:rStyle w:val="Funotenanker"/>
          <w:lang w:val="en-GB"/>
        </w:rPr>
        <w:footnoteReference w:id="8"/>
      </w:r>
    </w:p>
    <w:p w:rsidR="00DB4A71" w:rsidRPr="006F74DB" w:rsidRDefault="00DB4A71" w:rsidP="00DB4A71">
      <w:pPr>
        <w:pStyle w:val="Title3"/>
      </w:pPr>
      <w:bookmarkStart w:id="24" w:name="_Toc165835371"/>
      <w:bookmarkStart w:id="25" w:name="_Toc174653884"/>
      <w:r w:rsidRPr="006F74DB">
        <w:t>c) UNHRC54 Statement, 04.10.2023</w:t>
      </w:r>
      <w:bookmarkEnd w:id="24"/>
      <w:bookmarkEnd w:id="25"/>
    </w:p>
    <w:p w:rsidR="00DB4A71" w:rsidRPr="006F74DB" w:rsidRDefault="00DB4A71" w:rsidP="00DB4A71">
      <w:pPr>
        <w:pStyle w:val="absatzschattenbericht"/>
        <w:rPr>
          <w:bCs/>
          <w:lang w:val="en-GB"/>
        </w:rPr>
      </w:pPr>
      <w:r w:rsidRPr="006F74DB">
        <w:rPr>
          <w:bCs/>
          <w:lang w:val="en-GB"/>
        </w:rPr>
        <w:t xml:space="preserve">On occasion of the </w:t>
      </w:r>
      <w:r w:rsidRPr="006F74DB">
        <w:rPr>
          <w:b/>
          <w:lang w:val="en-GB"/>
        </w:rPr>
        <w:t>54</w:t>
      </w:r>
      <w:r w:rsidRPr="006F74DB">
        <w:rPr>
          <w:b/>
          <w:vertAlign w:val="superscript"/>
          <w:lang w:val="en-GB"/>
        </w:rPr>
        <w:t>th</w:t>
      </w:r>
      <w:r w:rsidRPr="006F74DB">
        <w:rPr>
          <w:b/>
          <w:lang w:val="en-GB"/>
        </w:rPr>
        <w:t xml:space="preserve"> Session of the Human Rights Council</w:t>
      </w:r>
      <w:r w:rsidRPr="006F74DB">
        <w:rPr>
          <w:bCs/>
          <w:lang w:val="en-GB"/>
        </w:rPr>
        <w:t xml:space="preserve"> the </w:t>
      </w:r>
      <w:r w:rsidRPr="006F74DB">
        <w:rPr>
          <w:b/>
          <w:lang w:val="en-GB"/>
        </w:rPr>
        <w:t>State party</w:t>
      </w:r>
      <w:r w:rsidRPr="006F74DB">
        <w:rPr>
          <w:bCs/>
          <w:lang w:val="en-GB"/>
        </w:rPr>
        <w:t xml:space="preserve"> supported a public follow-up statement reiterating the call to prohibit harmful practices and inhuman treatment and to ensure access to justice:</w:t>
      </w:r>
    </w:p>
    <w:p w:rsidR="00DB4A71" w:rsidRPr="006F74DB" w:rsidRDefault="00DB4A71" w:rsidP="00DB4A71">
      <w:pPr>
        <w:pStyle w:val="absatzschattenbericht"/>
        <w:ind w:left="284"/>
        <w:rPr>
          <w:bCs/>
          <w:i/>
          <w:iCs/>
          <w:lang w:val="en-GB"/>
        </w:rPr>
      </w:pPr>
      <w:r w:rsidRPr="006F74DB">
        <w:rPr>
          <w:bCs/>
          <w:i/>
          <w:iCs/>
          <w:lang w:val="en-GB"/>
        </w:rPr>
        <w:t xml:space="preserve">“4. Because their bodies are perceived as different, intersex persons, including children, face stigma, misconception and </w:t>
      </w:r>
      <w:r w:rsidRPr="006F74DB">
        <w:rPr>
          <w:b/>
          <w:i/>
          <w:iCs/>
          <w:lang w:val="en-GB"/>
        </w:rPr>
        <w:t>violence, such as forced, coercive, irreversible and non-vital medical interventions.</w:t>
      </w:r>
      <w:r w:rsidRPr="006F74DB">
        <w:rPr>
          <w:bCs/>
          <w:i/>
          <w:iCs/>
          <w:lang w:val="en-GB"/>
        </w:rPr>
        <w:t xml:space="preserve"> These include so-called “normalising” surgeries that can have </w:t>
      </w:r>
      <w:r w:rsidRPr="006F74DB">
        <w:rPr>
          <w:b/>
          <w:i/>
          <w:iCs/>
          <w:lang w:val="en-GB"/>
        </w:rPr>
        <w:t>life-long negative impacts on their physical and mental health.</w:t>
      </w:r>
      <w:r w:rsidRPr="006F74DB">
        <w:rPr>
          <w:bCs/>
          <w:i/>
          <w:iCs/>
          <w:lang w:val="en-GB"/>
        </w:rPr>
        <w:t xml:space="preserve"> These harmful practices </w:t>
      </w:r>
      <w:r w:rsidRPr="006F74DB">
        <w:rPr>
          <w:b/>
          <w:i/>
          <w:iCs/>
          <w:lang w:val="en-GB"/>
        </w:rPr>
        <w:t>should be urgently stopped.</w:t>
      </w:r>
      <w:r w:rsidRPr="006F74DB">
        <w:rPr>
          <w:bCs/>
          <w:i/>
          <w:iCs/>
          <w:lang w:val="en-GB"/>
        </w:rPr>
        <w:t xml:space="preserve"> Human rights of intersex persons need to be respected, so that they can </w:t>
      </w:r>
      <w:r w:rsidRPr="006F74DB">
        <w:rPr>
          <w:b/>
          <w:i/>
          <w:iCs/>
          <w:lang w:val="en-GB"/>
        </w:rPr>
        <w:t>live free from violence, cruel, inhuman, or degrading treatment and harmful practices.</w:t>
      </w:r>
      <w:r w:rsidRPr="006F74DB">
        <w:rPr>
          <w:bCs/>
          <w:i/>
          <w:iCs/>
          <w:lang w:val="en-GB"/>
        </w:rPr>
        <w:t xml:space="preserve"> [...]</w:t>
      </w:r>
    </w:p>
    <w:p w:rsidR="00DB4A71" w:rsidRDefault="00DB4A71" w:rsidP="00DB4A71">
      <w:pPr>
        <w:pStyle w:val="absatzschattenbericht"/>
        <w:ind w:left="284"/>
        <w:rPr>
          <w:bCs/>
          <w:i/>
          <w:iCs/>
          <w:lang w:val="en-GB"/>
        </w:rPr>
      </w:pPr>
      <w:r w:rsidRPr="006F74DB">
        <w:rPr>
          <w:bCs/>
          <w:i/>
          <w:iCs/>
          <w:lang w:val="en-GB"/>
        </w:rPr>
        <w:t xml:space="preserve">8. We call on all States to increase efforts to combat violence, harmful practices and discrimination on the basis of sex characteristics, address their root causes, and </w:t>
      </w:r>
      <w:r w:rsidRPr="006F74DB">
        <w:rPr>
          <w:b/>
          <w:i/>
          <w:iCs/>
          <w:lang w:val="en-GB"/>
        </w:rPr>
        <w:t xml:space="preserve">implement protective laws and policies in close consultations with those affected, </w:t>
      </w:r>
      <w:r w:rsidRPr="006F74DB">
        <w:rPr>
          <w:bCs/>
          <w:i/>
          <w:iCs/>
          <w:lang w:val="en-GB"/>
        </w:rPr>
        <w:t>in order to ensure the full realization of human rights of intersex persons.”</w:t>
      </w:r>
      <w:r w:rsidRPr="006F74DB">
        <w:rPr>
          <w:rStyle w:val="Funotenanker"/>
          <w:lang w:val="en-GB"/>
        </w:rPr>
        <w:footnoteReference w:id="9"/>
      </w:r>
    </w:p>
    <w:p w:rsidR="0036144F" w:rsidRPr="0085290C" w:rsidRDefault="0036144F" w:rsidP="0036144F">
      <w:pPr>
        <w:pStyle w:val="Title3"/>
        <w:tabs>
          <w:tab w:val="left" w:pos="5670"/>
        </w:tabs>
      </w:pPr>
      <w:bookmarkStart w:id="26" w:name="_Toc165835372"/>
      <w:bookmarkStart w:id="27" w:name="_Toc171706640"/>
      <w:bookmarkStart w:id="28" w:name="_Toc174653885"/>
      <w:bookmarkStart w:id="29" w:name="_Toc171706646"/>
      <w:bookmarkEnd w:id="6"/>
      <w:r w:rsidRPr="0085290C">
        <w:t xml:space="preserve">d) UNHRC55 Intersex Resolution A/HRC/55/L.9 co-sponsored by </w:t>
      </w:r>
      <w:r>
        <w:t>Mexico</w:t>
      </w:r>
      <w:r w:rsidRPr="0085290C">
        <w:t>,</w:t>
      </w:r>
      <w:r>
        <w:br/>
        <w:t xml:space="preserve">     </w:t>
      </w:r>
      <w:r w:rsidRPr="008C02EC">
        <w:t>21.03.2024</w:t>
      </w:r>
      <w:bookmarkEnd w:id="26"/>
      <w:bookmarkEnd w:id="27"/>
      <w:bookmarkEnd w:id="28"/>
    </w:p>
    <w:p w:rsidR="0036144F" w:rsidRPr="0085290C" w:rsidRDefault="0036144F" w:rsidP="0036144F">
      <w:pPr>
        <w:pStyle w:val="absatzschattenbericht"/>
        <w:rPr>
          <w:lang w:val="en-GB"/>
        </w:rPr>
      </w:pPr>
      <w:r w:rsidRPr="0085290C">
        <w:rPr>
          <w:bCs/>
          <w:lang w:val="en-GB"/>
        </w:rPr>
        <w:t xml:space="preserve">On occasion of the </w:t>
      </w:r>
      <w:r w:rsidRPr="0085290C">
        <w:rPr>
          <w:b/>
          <w:lang w:val="en-GB"/>
        </w:rPr>
        <w:t>55</w:t>
      </w:r>
      <w:r w:rsidRPr="0085290C">
        <w:rPr>
          <w:b/>
          <w:vertAlign w:val="superscript"/>
          <w:lang w:val="en-GB"/>
        </w:rPr>
        <w:t>th</w:t>
      </w:r>
      <w:r w:rsidRPr="0085290C">
        <w:rPr>
          <w:b/>
          <w:lang w:val="en-GB"/>
        </w:rPr>
        <w:t xml:space="preserve"> Session of the Human Rights Council</w:t>
      </w:r>
      <w:r w:rsidRPr="0085290C">
        <w:rPr>
          <w:bCs/>
          <w:lang w:val="en-GB"/>
        </w:rPr>
        <w:t xml:space="preserve">, HRC adopted a Resolution promoted by Belgium </w:t>
      </w:r>
      <w:r w:rsidRPr="0085290C">
        <w:rPr>
          <w:b/>
          <w:lang w:val="en-GB"/>
        </w:rPr>
        <w:t xml:space="preserve">recognising </w:t>
      </w:r>
      <w:r w:rsidRPr="0085290C">
        <w:rPr>
          <w:b/>
          <w:i/>
          <w:iCs/>
          <w:lang w:val="en-GB"/>
        </w:rPr>
        <w:t>“violence and harmful practices</w:t>
      </w:r>
      <w:r w:rsidRPr="0085290C">
        <w:rPr>
          <w:bCs/>
          <w:i/>
          <w:iCs/>
          <w:lang w:val="en-GB"/>
        </w:rPr>
        <w:t xml:space="preserve"> against intersex persons [...] including </w:t>
      </w:r>
      <w:r w:rsidRPr="0085290C">
        <w:rPr>
          <w:b/>
          <w:i/>
          <w:iCs/>
          <w:lang w:val="en-GB"/>
        </w:rPr>
        <w:t xml:space="preserve">medically unnecessary or deferrable interventions </w:t>
      </w:r>
      <w:r w:rsidRPr="0085290C">
        <w:rPr>
          <w:bCs/>
          <w:i/>
          <w:iCs/>
          <w:lang w:val="en-GB"/>
        </w:rPr>
        <w:t>[...] performed without the full, free and informed consent of the person”</w:t>
      </w:r>
      <w:r w:rsidRPr="0085290C">
        <w:rPr>
          <w:bCs/>
          <w:lang w:val="en-GB"/>
        </w:rPr>
        <w:t xml:space="preserve">, and urging States to </w:t>
      </w:r>
      <w:r w:rsidRPr="0085290C">
        <w:rPr>
          <w:b/>
          <w:i/>
          <w:iCs/>
          <w:lang w:val="en-GB"/>
        </w:rPr>
        <w:t>“combat”</w:t>
      </w:r>
      <w:r w:rsidRPr="0085290C">
        <w:rPr>
          <w:b/>
          <w:lang w:val="en-GB"/>
        </w:rPr>
        <w:t xml:space="preserve"> such </w:t>
      </w:r>
      <w:r w:rsidRPr="0085290C">
        <w:rPr>
          <w:b/>
          <w:i/>
          <w:iCs/>
          <w:lang w:val="en-GB"/>
        </w:rPr>
        <w:t>“violence”</w:t>
      </w:r>
      <w:r w:rsidRPr="0085290C">
        <w:rPr>
          <w:bCs/>
          <w:lang w:val="en-GB"/>
        </w:rPr>
        <w:t>.</w:t>
      </w:r>
      <w:r w:rsidRPr="0085290C">
        <w:rPr>
          <w:rStyle w:val="Funotenanker"/>
          <w:lang w:val="en-GB"/>
        </w:rPr>
        <w:footnoteReference w:id="10"/>
      </w:r>
    </w:p>
    <w:p w:rsidR="00E568FB" w:rsidRPr="006F74DB" w:rsidRDefault="00A402C4" w:rsidP="00E568FB">
      <w:pPr>
        <w:pStyle w:val="Title2"/>
      </w:pPr>
      <w:bookmarkStart w:id="30" w:name="_Toc174653886"/>
      <w:r>
        <w:t>5</w:t>
      </w:r>
      <w:r w:rsidR="00E568FB" w:rsidRPr="006F74DB">
        <w:t xml:space="preserve">.  Most common IGM forms advocated and perpetrated by </w:t>
      </w:r>
      <w:bookmarkEnd w:id="29"/>
      <w:r w:rsidR="003C5EB6">
        <w:t>Mexico</w:t>
      </w:r>
      <w:bookmarkEnd w:id="30"/>
    </w:p>
    <w:p w:rsidR="00D65ADA" w:rsidRPr="00D65ADA" w:rsidRDefault="00E568FB" w:rsidP="00D65ADA">
      <w:pPr>
        <w:pStyle w:val="absatzschattenbericht"/>
        <w:rPr>
          <w:bCs/>
          <w:lang w:val="en-GB"/>
        </w:rPr>
      </w:pPr>
      <w:r w:rsidRPr="00423C32">
        <w:rPr>
          <w:bCs/>
          <w:lang w:val="en-GB"/>
        </w:rPr>
        <w:t xml:space="preserve">Despite above mentioned commitments </w:t>
      </w:r>
      <w:r w:rsidR="00FB05BB" w:rsidRPr="00423C32">
        <w:rPr>
          <w:bCs/>
          <w:lang w:val="en-GB"/>
        </w:rPr>
        <w:t>and previous Concluding Observations</w:t>
      </w:r>
      <w:r w:rsidR="008810CD" w:rsidRPr="00423C32">
        <w:rPr>
          <w:bCs/>
          <w:lang w:val="en-GB"/>
        </w:rPr>
        <w:t xml:space="preserve"> </w:t>
      </w:r>
      <w:r w:rsidR="003C5EB6" w:rsidRPr="00423C32">
        <w:rPr>
          <w:lang w:val="en-GB"/>
        </w:rPr>
        <w:t>by CEDAW (2018) and CCPR (2019)</w:t>
      </w:r>
      <w:r w:rsidRPr="00423C32">
        <w:rPr>
          <w:bCs/>
          <w:lang w:val="en-GB"/>
        </w:rPr>
        <w:t xml:space="preserve">, </w:t>
      </w:r>
      <w:r w:rsidR="00D65ADA" w:rsidRPr="00423C32">
        <w:rPr>
          <w:bCs/>
          <w:lang w:val="en-GB"/>
        </w:rPr>
        <w:t xml:space="preserve">and </w:t>
      </w:r>
      <w:r w:rsidR="00D65ADA" w:rsidRPr="00423C32">
        <w:rPr>
          <w:b/>
          <w:lang w:val="en-GB"/>
        </w:rPr>
        <w:t>longstanding public criticism and appeals</w:t>
      </w:r>
      <w:r w:rsidR="00D65ADA" w:rsidRPr="00423C32">
        <w:rPr>
          <w:lang w:val="en-GB"/>
        </w:rPr>
        <w:t xml:space="preserve"> by intersex persons and their organisations (see below, p. </w:t>
      </w:r>
      <w:r w:rsidR="005571E2">
        <w:rPr>
          <w:lang w:val="en-GB"/>
        </w:rPr>
        <w:t>7-8</w:t>
      </w:r>
      <w:r w:rsidR="00D65ADA" w:rsidRPr="00423C32">
        <w:rPr>
          <w:lang w:val="en-GB"/>
        </w:rPr>
        <w:t xml:space="preserve">), </w:t>
      </w:r>
      <w:r w:rsidRPr="00423C32">
        <w:rPr>
          <w:b/>
          <w:bCs/>
          <w:lang w:val="en-GB"/>
        </w:rPr>
        <w:t xml:space="preserve">to this day, in </w:t>
      </w:r>
      <w:r w:rsidR="00D65ADA" w:rsidRPr="00423C32">
        <w:rPr>
          <w:b/>
          <w:bCs/>
          <w:lang w:val="en-GB"/>
        </w:rPr>
        <w:t>Mexico</w:t>
      </w:r>
      <w:r w:rsidRPr="00423C32">
        <w:rPr>
          <w:b/>
          <w:bCs/>
          <w:lang w:val="en-GB"/>
        </w:rPr>
        <w:t xml:space="preserve"> all forms of IGM practices </w:t>
      </w:r>
      <w:r w:rsidRPr="00423C32">
        <w:rPr>
          <w:b/>
          <w:bCs/>
          <w:lang w:val="en-GB"/>
        </w:rPr>
        <w:lastRenderedPageBreak/>
        <w:t>remain widespread and ongoing</w:t>
      </w:r>
      <w:r w:rsidRPr="00423C32">
        <w:rPr>
          <w:lang w:val="en-GB"/>
        </w:rPr>
        <w:t xml:space="preserve">, promoted, facilitated and </w:t>
      </w:r>
      <w:r w:rsidRPr="00423C32">
        <w:rPr>
          <w:b/>
          <w:bCs/>
          <w:lang w:val="en-GB"/>
        </w:rPr>
        <w:t>paid for by the State party</w:t>
      </w:r>
      <w:r w:rsidRPr="00423C32">
        <w:rPr>
          <w:lang w:val="en-GB"/>
        </w:rPr>
        <w:t xml:space="preserve"> </w:t>
      </w:r>
      <w:r w:rsidR="00D65ADA" w:rsidRPr="00423C32">
        <w:rPr>
          <w:rFonts w:eastAsia="Baskerville-SemiBold" w:cs="Baskerville-SemiBold"/>
          <w:lang w:val="en-GB"/>
        </w:rPr>
        <w:t>via the</w:t>
      </w:r>
      <w:r w:rsidR="00D65ADA" w:rsidRPr="00423C32">
        <w:rPr>
          <w:rFonts w:eastAsia="Baskerville-SemiBold" w:cs="Baskerville-SemiBold"/>
          <w:b/>
          <w:lang w:val="en-GB"/>
        </w:rPr>
        <w:t xml:space="preserve"> public health care system operated by the Ministry of Health (</w:t>
      </w:r>
      <w:proofErr w:type="spellStart"/>
      <w:r w:rsidR="00D65ADA" w:rsidRPr="00423C32">
        <w:rPr>
          <w:rFonts w:eastAsia="Baskerville-SemiBold" w:cs="Baskerville-SemiBold"/>
          <w:b/>
          <w:iCs/>
          <w:lang w:val="en-GB"/>
        </w:rPr>
        <w:t>Secretaría</w:t>
      </w:r>
      <w:proofErr w:type="spellEnd"/>
      <w:r w:rsidR="00D65ADA" w:rsidRPr="00423C32">
        <w:rPr>
          <w:rFonts w:eastAsia="Baskerville-SemiBold" w:cs="Baskerville-SemiBold"/>
          <w:b/>
          <w:iCs/>
          <w:lang w:val="en-GB"/>
        </w:rPr>
        <w:t xml:space="preserve"> de </w:t>
      </w:r>
      <w:proofErr w:type="spellStart"/>
      <w:r w:rsidR="00D65ADA" w:rsidRPr="00423C32">
        <w:rPr>
          <w:rFonts w:eastAsia="Baskerville-SemiBold" w:cs="Baskerville-SemiBold"/>
          <w:b/>
          <w:iCs/>
          <w:lang w:val="en-GB"/>
        </w:rPr>
        <w:t>Salud</w:t>
      </w:r>
      <w:proofErr w:type="spellEnd"/>
      <w:r w:rsidR="00D65ADA" w:rsidRPr="00423C32">
        <w:rPr>
          <w:rFonts w:eastAsia="Baskerville-SemiBold" w:cs="Baskerville-SemiBold"/>
          <w:b/>
          <w:lang w:val="en-GB"/>
        </w:rPr>
        <w:t>)</w:t>
      </w:r>
      <w:r w:rsidR="004875BF" w:rsidRPr="00423C32">
        <w:rPr>
          <w:lang w:val="en-GB"/>
        </w:rPr>
        <w:t xml:space="preserve"> (</w:t>
      </w:r>
      <w:r w:rsidR="00423C32">
        <w:rPr>
          <w:lang w:val="en-GB"/>
        </w:rPr>
        <w:t>as documented in the 2019</w:t>
      </w:r>
      <w:r w:rsidR="004875BF" w:rsidRPr="00423C32">
        <w:rPr>
          <w:lang w:val="en-GB"/>
        </w:rPr>
        <w:t xml:space="preserve"> CCPR NGO Report together with </w:t>
      </w:r>
      <w:proofErr w:type="spellStart"/>
      <w:r w:rsidR="004875BF" w:rsidRPr="00423C32">
        <w:rPr>
          <w:lang w:val="en-GB"/>
        </w:rPr>
        <w:t>Brújula</w:t>
      </w:r>
      <w:proofErr w:type="spellEnd"/>
      <w:r w:rsidR="004875BF" w:rsidRPr="00423C32">
        <w:rPr>
          <w:lang w:val="en-GB"/>
        </w:rPr>
        <w:t xml:space="preserve"> Intersexual and </w:t>
      </w:r>
      <w:proofErr w:type="spellStart"/>
      <w:r w:rsidR="004875BF" w:rsidRPr="00423C32">
        <w:rPr>
          <w:lang w:val="en-GB"/>
        </w:rPr>
        <w:t>Vivir</w:t>
      </w:r>
      <w:proofErr w:type="spellEnd"/>
      <w:r w:rsidR="004875BF" w:rsidRPr="00423C32">
        <w:rPr>
          <w:lang w:val="en-GB"/>
        </w:rPr>
        <w:t xml:space="preserve"> y Ser Intersex,</w:t>
      </w:r>
      <w:r w:rsidR="00423C32" w:rsidRPr="00423C32">
        <w:rPr>
          <w:lang w:val="en-GB"/>
        </w:rPr>
        <w:t xml:space="preserve"> </w:t>
      </w:r>
      <w:r w:rsidR="004875BF" w:rsidRPr="00423C32">
        <w:rPr>
          <w:lang w:val="en-GB"/>
        </w:rPr>
        <w:t xml:space="preserve">p. </w:t>
      </w:r>
      <w:r w:rsidR="00281BED" w:rsidRPr="00423C32">
        <w:rPr>
          <w:lang w:val="en-GB"/>
        </w:rPr>
        <w:t>12-17</w:t>
      </w:r>
      <w:r w:rsidR="00423C32">
        <w:rPr>
          <w:lang w:val="en-GB"/>
        </w:rPr>
        <w:t xml:space="preserve"> – with no indication of </w:t>
      </w:r>
      <w:r w:rsidR="00386E5A">
        <w:rPr>
          <w:lang w:val="en-GB"/>
        </w:rPr>
        <w:t xml:space="preserve">any </w:t>
      </w:r>
      <w:r w:rsidR="00423C32">
        <w:rPr>
          <w:lang w:val="en-GB"/>
        </w:rPr>
        <w:t>changes of the practice</w:t>
      </w:r>
      <w:r w:rsidR="004875BF" w:rsidRPr="00423C32">
        <w:rPr>
          <w:lang w:val="en-GB"/>
        </w:rPr>
        <w:t>).</w:t>
      </w:r>
      <w:r w:rsidR="004875BF" w:rsidRPr="00423C32">
        <w:rPr>
          <w:rStyle w:val="Funotenzeichen"/>
          <w:rFonts w:cs="Times New Roman"/>
          <w:lang w:val="en-GB"/>
        </w:rPr>
        <w:footnoteReference w:id="11"/>
      </w:r>
    </w:p>
    <w:p w:rsidR="00DB4A71" w:rsidRPr="006F74DB" w:rsidRDefault="003C1BEB" w:rsidP="00FB05BB">
      <w:pPr>
        <w:pStyle w:val="absatzschattenbericht"/>
        <w:rPr>
          <w:rFonts w:cs="Times New Roman"/>
          <w:lang w:val="en-GB"/>
        </w:rPr>
      </w:pPr>
      <w:r>
        <w:rPr>
          <w:rFonts w:cs="Times New Roman"/>
          <w:lang w:val="en-GB"/>
        </w:rPr>
        <w:t>Accordingly</w:t>
      </w:r>
      <w:r w:rsidR="00E568FB" w:rsidRPr="006F74DB">
        <w:rPr>
          <w:rFonts w:cs="Times New Roman"/>
          <w:lang w:val="en-GB"/>
        </w:rPr>
        <w:t xml:space="preserve">, also in 2024 </w:t>
      </w:r>
      <w:r w:rsidR="003C5EB6">
        <w:rPr>
          <w:rFonts w:cs="Times New Roman"/>
          <w:b/>
          <w:bCs/>
          <w:lang w:val="en-GB"/>
        </w:rPr>
        <w:t>Mexican</w:t>
      </w:r>
      <w:r w:rsidR="00E568FB" w:rsidRPr="006F74DB">
        <w:rPr>
          <w:rFonts w:cs="Times New Roman"/>
          <w:b/>
          <w:bCs/>
          <w:lang w:val="en-GB"/>
        </w:rPr>
        <w:t xml:space="preserve"> medical bodies continue to endorse</w:t>
      </w:r>
      <w:r w:rsidR="00E568FB" w:rsidRPr="006F74DB">
        <w:rPr>
          <w:rFonts w:cs="Times New Roman"/>
          <w:lang w:val="en-GB"/>
        </w:rPr>
        <w:t xml:space="preserve"> international medical guidelines prescribing all forms of IGM practices (see below).</w:t>
      </w:r>
    </w:p>
    <w:p w:rsidR="00DB4A71" w:rsidRPr="006F74DB" w:rsidRDefault="00DB4A71" w:rsidP="00DB4A71">
      <w:pPr>
        <w:pStyle w:val="absatzschattenbericht"/>
        <w:rPr>
          <w:rFonts w:cs="Times New Roman"/>
          <w:b/>
          <w:lang w:val="en-GB"/>
        </w:rPr>
      </w:pPr>
      <w:bookmarkStart w:id="31" w:name="_Toc516594093"/>
      <w:r w:rsidRPr="006F74DB">
        <w:rPr>
          <w:rFonts w:cs="Times New Roman"/>
          <w:b/>
          <w:lang w:val="en-GB"/>
        </w:rPr>
        <w:t xml:space="preserve">Currently </w:t>
      </w:r>
      <w:r w:rsidR="00423C32">
        <w:rPr>
          <w:rFonts w:cs="Times New Roman"/>
          <w:b/>
          <w:lang w:val="en-GB"/>
        </w:rPr>
        <w:t xml:space="preserve">advocated and </w:t>
      </w:r>
      <w:r w:rsidRPr="006F74DB">
        <w:rPr>
          <w:rFonts w:cs="Times New Roman"/>
          <w:b/>
          <w:lang w:val="en-GB"/>
        </w:rPr>
        <w:t xml:space="preserve">practiced forms of IGM in </w:t>
      </w:r>
      <w:r w:rsidR="003C5EB6">
        <w:rPr>
          <w:rFonts w:cs="Times New Roman"/>
          <w:b/>
          <w:lang w:val="en-GB"/>
        </w:rPr>
        <w:t>Mexico</w:t>
      </w:r>
      <w:r w:rsidRPr="006F74DB">
        <w:rPr>
          <w:rFonts w:cs="Times New Roman"/>
          <w:b/>
          <w:lang w:val="en-GB"/>
        </w:rPr>
        <w:t xml:space="preserve"> include:</w:t>
      </w:r>
      <w:bookmarkStart w:id="32" w:name="_Toc507786410"/>
    </w:p>
    <w:p w:rsidR="00DB4A71" w:rsidRPr="006F74DB" w:rsidRDefault="00DB4A71" w:rsidP="00DB4A71">
      <w:pPr>
        <w:pStyle w:val="Title3"/>
        <w:rPr>
          <w:rFonts w:eastAsia="Times New Roman"/>
        </w:rPr>
      </w:pPr>
      <w:bookmarkStart w:id="33" w:name="_Toc19465687"/>
      <w:bookmarkStart w:id="34" w:name="_Toc64836450"/>
      <w:bookmarkStart w:id="35" w:name="_Toc65413937"/>
      <w:bookmarkStart w:id="36" w:name="_Toc174653887"/>
      <w:r w:rsidRPr="006F74DB">
        <w:t>a) IGM 3 – Sterilising Procedures:</w:t>
      </w:r>
      <w:r w:rsidRPr="006F74DB">
        <w:br/>
        <w:t xml:space="preserve">    Castration / “Gonadectomy” / Hysterectomy /</w:t>
      </w:r>
      <w:r w:rsidRPr="006F74DB">
        <w:br/>
        <w:t xml:space="preserve">    Removal of “Discordant Reproductive Structures” / (Secondary) Sterilisation</w:t>
      </w:r>
      <w:r w:rsidRPr="006F74DB">
        <w:br/>
        <w:t xml:space="preserve">    Plus arbitrary imposition of hormones </w:t>
      </w:r>
      <w:r w:rsidRPr="006F74DB">
        <w:rPr>
          <w:rStyle w:val="Funotenzeichen3"/>
          <w:b w:val="0"/>
          <w:bCs w:val="0"/>
        </w:rPr>
        <w:footnoteReference w:id="12"/>
      </w:r>
      <w:bookmarkEnd w:id="32"/>
      <w:bookmarkEnd w:id="33"/>
      <w:bookmarkEnd w:id="34"/>
      <w:bookmarkEnd w:id="35"/>
      <w:bookmarkEnd w:id="36"/>
    </w:p>
    <w:p w:rsidR="00DB4A71" w:rsidRPr="006F74DB" w:rsidRDefault="008810CD" w:rsidP="00DB4A71">
      <w:pPr>
        <w:pStyle w:val="absatzschattenbericht"/>
        <w:rPr>
          <w:b/>
          <w:bCs/>
          <w:lang w:val="en-GB"/>
        </w:rPr>
      </w:pPr>
      <w:r w:rsidRPr="008810CD">
        <w:rPr>
          <w:b/>
          <w:bCs/>
          <w:lang w:val="en-GB"/>
        </w:rPr>
        <w:t xml:space="preserve">The Mexican Society of Urologists (Sociedad Mexicana de </w:t>
      </w:r>
      <w:proofErr w:type="spellStart"/>
      <w:r w:rsidRPr="008810CD">
        <w:rPr>
          <w:b/>
          <w:bCs/>
          <w:lang w:val="en-GB"/>
        </w:rPr>
        <w:t>Urología</w:t>
      </w:r>
      <w:proofErr w:type="spellEnd"/>
      <w:r w:rsidRPr="008810CD">
        <w:rPr>
          <w:b/>
          <w:bCs/>
          <w:lang w:val="en-GB"/>
        </w:rPr>
        <w:t>, SMU)</w:t>
      </w:r>
      <w:r>
        <w:rPr>
          <w:b/>
          <w:bCs/>
          <w:lang w:val="en-GB"/>
        </w:rPr>
        <w:t xml:space="preserve"> </w:t>
      </w:r>
      <w:r w:rsidR="00DB4A71" w:rsidRPr="006F74DB">
        <w:rPr>
          <w:lang w:val="en-GB"/>
        </w:rPr>
        <w:t xml:space="preserve">endorses the current </w:t>
      </w:r>
      <w:r w:rsidR="00DB4A71" w:rsidRPr="006F74DB">
        <w:rPr>
          <w:b/>
          <w:lang w:val="en-GB"/>
        </w:rPr>
        <w:t>2024 Guidelines of the European Association of Urology (EAU)</w:t>
      </w:r>
      <w:r w:rsidR="00DB4A71" w:rsidRPr="006F74DB">
        <w:rPr>
          <w:bCs/>
          <w:lang w:val="en-GB"/>
        </w:rPr>
        <w:t>,</w:t>
      </w:r>
      <w:r w:rsidR="00DB4A71" w:rsidRPr="006F74DB">
        <w:rPr>
          <w:rStyle w:val="Funotenzeichen"/>
          <w:lang w:val="en-GB"/>
        </w:rPr>
        <w:footnoteReference w:id="13"/>
      </w:r>
      <w:r w:rsidR="00DB4A71" w:rsidRPr="006F74DB">
        <w:rPr>
          <w:bCs/>
          <w:lang w:val="en-GB"/>
        </w:rPr>
        <w:t xml:space="preserve"> which include the current </w:t>
      </w:r>
      <w:r w:rsidR="00DB4A71" w:rsidRPr="006F74DB">
        <w:rPr>
          <w:b/>
          <w:lang w:val="en-GB"/>
        </w:rPr>
        <w:t xml:space="preserve">ESPU/EAU </w:t>
      </w:r>
      <w:r w:rsidR="00DB4A71" w:rsidRPr="006F74DB">
        <w:rPr>
          <w:b/>
          <w:i/>
          <w:lang w:val="en-GB"/>
        </w:rPr>
        <w:t xml:space="preserve">“Paediatric Urology” </w:t>
      </w:r>
      <w:r w:rsidR="00DB4A71" w:rsidRPr="006F74DB">
        <w:rPr>
          <w:b/>
          <w:lang w:val="en-GB"/>
        </w:rPr>
        <w:t>Guidelines 2024</w:t>
      </w:r>
      <w:r w:rsidR="00DB4A71" w:rsidRPr="006F74DB">
        <w:rPr>
          <w:rStyle w:val="Funotenzeichen"/>
          <w:lang w:val="en-GB"/>
        </w:rPr>
        <w:footnoteReference w:id="14"/>
      </w:r>
      <w:r w:rsidR="00DB4A71" w:rsidRPr="006F74DB">
        <w:rPr>
          <w:lang w:val="en-GB"/>
        </w:rPr>
        <w:t xml:space="preserve"> of the European Society for Paediatric Urology (ESPU) and the European Association of Urology (EAU) which stress:</w:t>
      </w:r>
      <w:r w:rsidR="00DB4A71" w:rsidRPr="006F74DB">
        <w:rPr>
          <w:rStyle w:val="Funotenzeichen"/>
          <w:lang w:val="en-GB"/>
        </w:rPr>
        <w:footnoteReference w:id="15"/>
      </w:r>
    </w:p>
    <w:p w:rsidR="00DB4A71" w:rsidRPr="006F74DB" w:rsidRDefault="00DB4A71" w:rsidP="00DB4A71">
      <w:pPr>
        <w:pStyle w:val="absatzschattenbericht"/>
        <w:ind w:left="284"/>
        <w:rPr>
          <w:i/>
          <w:iCs/>
          <w:lang w:val="en-GB"/>
        </w:rPr>
      </w:pPr>
      <w:r w:rsidRPr="006F74DB">
        <w:rPr>
          <w:i/>
          <w:iCs/>
          <w:lang w:val="en-GB"/>
        </w:rPr>
        <w:t xml:space="preserve">“The issue of whether gonads should be removed and the </w:t>
      </w:r>
      <w:proofErr w:type="spellStart"/>
      <w:r w:rsidRPr="006F74DB">
        <w:rPr>
          <w:i/>
          <w:iCs/>
          <w:lang w:val="en-GB"/>
        </w:rPr>
        <w:t>timining</w:t>
      </w:r>
      <w:proofErr w:type="spellEnd"/>
      <w:r w:rsidRPr="006F74DB">
        <w:rPr>
          <w:i/>
          <w:iCs/>
          <w:lang w:val="en-GB"/>
        </w:rPr>
        <w:t xml:space="preserve"> of such surgery remains controversial and has been altogether questioned in some forms of DSD. Patients with, for example, CAIS benefit from the presence of testicles and the resultant aromatisation of the naturally </w:t>
      </w:r>
      <w:proofErr w:type="spellStart"/>
      <w:r w:rsidRPr="006F74DB">
        <w:rPr>
          <w:i/>
          <w:iCs/>
          <w:lang w:val="en-GB"/>
        </w:rPr>
        <w:t>occuring</w:t>
      </w:r>
      <w:proofErr w:type="spellEnd"/>
      <w:r w:rsidRPr="006F74DB">
        <w:rPr>
          <w:i/>
          <w:iCs/>
          <w:lang w:val="en-GB"/>
        </w:rPr>
        <w:t xml:space="preserve"> testosterone to oestrogens. The risk of malignant gonadal transformation in this subcategory is low (1.5%) with cases of malignancy first appearing after the second decade of life, thus allowing for the safe </w:t>
      </w:r>
      <w:proofErr w:type="spellStart"/>
      <w:r w:rsidRPr="006F74DB">
        <w:rPr>
          <w:i/>
          <w:iCs/>
          <w:lang w:val="en-GB"/>
        </w:rPr>
        <w:t>deferal</w:t>
      </w:r>
      <w:proofErr w:type="spellEnd"/>
      <w:r w:rsidRPr="006F74DB">
        <w:rPr>
          <w:i/>
          <w:iCs/>
          <w:lang w:val="en-GB"/>
        </w:rPr>
        <w:t xml:space="preserve"> of gonadectomy until after puberty [1279, 1280].”</w:t>
      </w:r>
    </w:p>
    <w:p w:rsidR="00DB4A71" w:rsidRPr="006F74DB" w:rsidRDefault="00DB4A71" w:rsidP="00DB4A71">
      <w:pPr>
        <w:pStyle w:val="absatzschattenbericht"/>
        <w:rPr>
          <w:lang w:val="en-GB"/>
        </w:rPr>
      </w:pPr>
      <w:r w:rsidRPr="006F74DB">
        <w:rPr>
          <w:lang w:val="en-GB"/>
        </w:rPr>
        <w:t xml:space="preserve">Further, regarding </w:t>
      </w:r>
      <w:r w:rsidRPr="006F74DB">
        <w:rPr>
          <w:i/>
          <w:iCs/>
          <w:lang w:val="en-GB"/>
        </w:rPr>
        <w:t>“when and whether to pursue gonadal or genital surgery”</w:t>
      </w:r>
      <w:r w:rsidRPr="006F74DB">
        <w:rPr>
          <w:lang w:val="en-GB"/>
        </w:rPr>
        <w:t>,</w:t>
      </w:r>
      <w:r w:rsidRPr="006F74DB">
        <w:rPr>
          <w:rStyle w:val="Funotenzeichen"/>
          <w:lang w:val="en-GB"/>
        </w:rPr>
        <w:footnoteReference w:id="16"/>
      </w:r>
      <w:r w:rsidRPr="006F74DB">
        <w:rPr>
          <w:lang w:val="en-GB"/>
        </w:rPr>
        <w:t xml:space="preserve"> the Guidelines refer to the </w:t>
      </w:r>
      <w:r w:rsidRPr="006F74DB">
        <w:rPr>
          <w:rFonts w:eastAsia="Baskerville-SemiBoldItalic"/>
          <w:b/>
          <w:bCs/>
          <w:i/>
          <w:iCs/>
          <w:lang w:val="en-GB"/>
        </w:rPr>
        <w:t>“ESPU/SPU standpoint on the surgical management of Disorders of Sex Development (DSD)”</w:t>
      </w:r>
      <w:r w:rsidRPr="006F74DB">
        <w:rPr>
          <w:rFonts w:eastAsia="Baskerville-SemiBoldItalic"/>
          <w:lang w:val="en-GB"/>
        </w:rPr>
        <w:t>,</w:t>
      </w:r>
      <w:r w:rsidRPr="006F74DB">
        <w:rPr>
          <w:rStyle w:val="Funotenzeichen"/>
          <w:rFonts w:cs="Times New Roman"/>
          <w:lang w:val="en-GB"/>
        </w:rPr>
        <w:footnoteReference w:id="17"/>
      </w:r>
      <w:r w:rsidRPr="006F74DB">
        <w:rPr>
          <w:lang w:val="en-GB"/>
        </w:rPr>
        <w:t xml:space="preserve"> which advocates “gonadectomies”:</w:t>
      </w:r>
    </w:p>
    <w:p w:rsidR="00DB4A71" w:rsidRPr="006F74DB" w:rsidRDefault="00DB4A71" w:rsidP="00DB4A71">
      <w:pPr>
        <w:pStyle w:val="absatzschattenbericht"/>
        <w:ind w:left="284" w:right="-1"/>
        <w:rPr>
          <w:lang w:val="en-GB"/>
        </w:rPr>
      </w:pPr>
      <w:r w:rsidRPr="006F74DB">
        <w:rPr>
          <w:rFonts w:eastAsia="Baskerville-SemiBoldItalic"/>
          <w:b/>
          <w:bCs/>
          <w:i/>
          <w:lang w:val="en-GB"/>
        </w:rPr>
        <w:t>“Testes are</w:t>
      </w:r>
      <w:r w:rsidRPr="006F74DB">
        <w:rPr>
          <w:i/>
          <w:lang w:val="en-GB"/>
        </w:rPr>
        <w:t xml:space="preserve"> either brought down in boys or </w:t>
      </w:r>
      <w:r w:rsidRPr="006F74DB">
        <w:rPr>
          <w:rFonts w:eastAsia="Baskerville-SemiBoldItalic"/>
          <w:b/>
          <w:bCs/>
          <w:i/>
          <w:lang w:val="en-GB"/>
        </w:rPr>
        <w:t>removed</w:t>
      </w:r>
      <w:r w:rsidRPr="006F74DB">
        <w:rPr>
          <w:i/>
          <w:lang w:val="en-GB"/>
        </w:rPr>
        <w:t xml:space="preserve"> if </w:t>
      </w:r>
      <w:proofErr w:type="spellStart"/>
      <w:r w:rsidRPr="006F74DB">
        <w:rPr>
          <w:i/>
          <w:lang w:val="en-GB"/>
        </w:rPr>
        <w:t>dysgenetic</w:t>
      </w:r>
      <w:proofErr w:type="spellEnd"/>
      <w:r w:rsidRPr="006F74DB">
        <w:rPr>
          <w:i/>
          <w:lang w:val="en-GB"/>
        </w:rPr>
        <w:t xml:space="preserve"> with tumour risk or </w:t>
      </w:r>
      <w:r w:rsidRPr="006F74DB">
        <w:rPr>
          <w:rFonts w:eastAsia="Baskerville-SemiBoldItalic"/>
          <w:b/>
          <w:bCs/>
          <w:i/>
          <w:lang w:val="en-GB"/>
        </w:rPr>
        <w:t xml:space="preserve">in complete androgen insensitivity syndrome or 5 alpha reductase deficiency. </w:t>
      </w:r>
      <w:r w:rsidRPr="006F74DB">
        <w:rPr>
          <w:i/>
          <w:lang w:val="en-GB"/>
        </w:rPr>
        <w:t>Testicular prostheses can be inserted at puberty at the patient’s request.</w:t>
      </w:r>
      <w:r w:rsidRPr="006F74DB">
        <w:rPr>
          <w:rFonts w:eastAsia="Baskerville-SemiBoldItalic"/>
          <w:b/>
          <w:bCs/>
          <w:i/>
          <w:lang w:val="en-GB"/>
        </w:rPr>
        <w:t>”</w:t>
      </w:r>
      <w:bookmarkStart w:id="37" w:name="_Toc475924597"/>
      <w:bookmarkStart w:id="38" w:name="_Toc475924774"/>
      <w:bookmarkStart w:id="39" w:name="_Toc475924926"/>
      <w:bookmarkStart w:id="40" w:name="_Toc507786411"/>
      <w:bookmarkStart w:id="41" w:name="_Toc19465688"/>
      <w:r w:rsidRPr="006F74DB">
        <w:rPr>
          <w:lang w:val="en-GB"/>
        </w:rPr>
        <w:t xml:space="preserve"> </w:t>
      </w:r>
    </w:p>
    <w:p w:rsidR="0041585A" w:rsidRDefault="0041585A">
      <w:pPr>
        <w:spacing w:after="0" w:line="240" w:lineRule="auto"/>
        <w:rPr>
          <w:rFonts w:ascii="Arial" w:eastAsia="Helvetica-Bold" w:hAnsi="Arial" w:cs="Arial"/>
          <w:b/>
          <w:bCs/>
          <w:iCs/>
          <w:color w:val="232657"/>
          <w:spacing w:val="2"/>
          <w:kern w:val="1"/>
          <w:sz w:val="24"/>
          <w:szCs w:val="24"/>
          <w:lang w:val="en-GB" w:eastAsia="zh-CN" w:bidi="hi-IN"/>
        </w:rPr>
      </w:pPr>
      <w:bookmarkStart w:id="42" w:name="_Toc64836451"/>
      <w:bookmarkStart w:id="43" w:name="_Toc65413938"/>
      <w:bookmarkStart w:id="44" w:name="_Toc174653888"/>
      <w:r>
        <w:br w:type="page"/>
      </w:r>
    </w:p>
    <w:p w:rsidR="00DB4A71" w:rsidRPr="006F74DB" w:rsidRDefault="00DB4A71" w:rsidP="00DB4A71">
      <w:pPr>
        <w:pStyle w:val="Title3"/>
        <w:rPr>
          <w:rFonts w:eastAsia="Times New Roman"/>
        </w:rPr>
      </w:pPr>
      <w:r w:rsidRPr="006F74DB">
        <w:lastRenderedPageBreak/>
        <w:t>b) IGM 2 – “Feminising Procedures”: Clitoris Amputation</w:t>
      </w:r>
      <w:proofErr w:type="gramStart"/>
      <w:r w:rsidRPr="006F74DB">
        <w:t>/“</w:t>
      </w:r>
      <w:proofErr w:type="gramEnd"/>
      <w:r w:rsidRPr="006F74DB">
        <w:t>Reduction”,</w:t>
      </w:r>
      <w:r w:rsidRPr="006F74DB">
        <w:br/>
        <w:t xml:space="preserve">    “Vaginoplasty”, “Labiaplasty”, Dilation</w:t>
      </w:r>
      <w:r w:rsidRPr="006F74DB">
        <w:rPr>
          <w:rStyle w:val="Funotenzeichen3"/>
        </w:rPr>
        <w:footnoteReference w:id="18"/>
      </w:r>
      <w:bookmarkEnd w:id="37"/>
      <w:bookmarkEnd w:id="38"/>
      <w:bookmarkEnd w:id="39"/>
      <w:bookmarkEnd w:id="40"/>
      <w:bookmarkEnd w:id="41"/>
      <w:bookmarkEnd w:id="42"/>
      <w:bookmarkEnd w:id="43"/>
      <w:bookmarkEnd w:id="44"/>
    </w:p>
    <w:p w:rsidR="00DB4A71" w:rsidRPr="006F74DB" w:rsidRDefault="008810CD" w:rsidP="00DB4A71">
      <w:pPr>
        <w:pStyle w:val="absatzschattenbericht"/>
        <w:rPr>
          <w:lang w:val="en-GB"/>
        </w:rPr>
      </w:pPr>
      <w:r w:rsidRPr="008810CD">
        <w:rPr>
          <w:b/>
          <w:bCs/>
          <w:lang w:val="en-GB"/>
        </w:rPr>
        <w:t xml:space="preserve">The Mexican Society of Urologists (Sociedad Mexicana de </w:t>
      </w:r>
      <w:proofErr w:type="spellStart"/>
      <w:r w:rsidRPr="008810CD">
        <w:rPr>
          <w:b/>
          <w:bCs/>
          <w:lang w:val="en-GB"/>
        </w:rPr>
        <w:t>Urología</w:t>
      </w:r>
      <w:proofErr w:type="spellEnd"/>
      <w:r w:rsidRPr="008810CD">
        <w:rPr>
          <w:b/>
          <w:bCs/>
          <w:lang w:val="en-GB"/>
        </w:rPr>
        <w:t>, SMU)</w:t>
      </w:r>
      <w:r>
        <w:rPr>
          <w:b/>
          <w:bCs/>
          <w:lang w:val="en-GB"/>
        </w:rPr>
        <w:t xml:space="preserve"> </w:t>
      </w:r>
      <w:r w:rsidR="00DB4A71" w:rsidRPr="006F74DB">
        <w:rPr>
          <w:lang w:val="en-GB"/>
        </w:rPr>
        <w:t xml:space="preserve">endorses the current </w:t>
      </w:r>
      <w:r w:rsidR="00DB4A71" w:rsidRPr="006F74DB">
        <w:rPr>
          <w:b/>
          <w:lang w:val="en-GB"/>
        </w:rPr>
        <w:t>2024 Guidelines of the European Association of Urology (EAU)</w:t>
      </w:r>
      <w:r w:rsidR="00DB4A71" w:rsidRPr="006F74DB">
        <w:rPr>
          <w:bCs/>
          <w:lang w:val="en-GB"/>
        </w:rPr>
        <w:t>,</w:t>
      </w:r>
      <w:r w:rsidR="00DB4A71" w:rsidRPr="006F74DB">
        <w:rPr>
          <w:rStyle w:val="Funotenzeichen"/>
          <w:lang w:val="en-GB"/>
        </w:rPr>
        <w:footnoteReference w:id="19"/>
      </w:r>
      <w:r w:rsidR="00DB4A71" w:rsidRPr="006F74DB">
        <w:rPr>
          <w:bCs/>
          <w:lang w:val="en-GB"/>
        </w:rPr>
        <w:t xml:space="preserve"> which include the current </w:t>
      </w:r>
      <w:r w:rsidR="00DB4A71" w:rsidRPr="006F74DB">
        <w:rPr>
          <w:b/>
          <w:lang w:val="en-GB"/>
        </w:rPr>
        <w:t xml:space="preserve">ESPU/EAU </w:t>
      </w:r>
      <w:r w:rsidR="00DB4A71" w:rsidRPr="006F74DB">
        <w:rPr>
          <w:b/>
          <w:i/>
          <w:lang w:val="en-GB"/>
        </w:rPr>
        <w:t xml:space="preserve">“Paediatric Urology” </w:t>
      </w:r>
      <w:r w:rsidR="00DB4A71" w:rsidRPr="006F74DB">
        <w:rPr>
          <w:b/>
          <w:lang w:val="en-GB"/>
        </w:rPr>
        <w:t>Guidelines 2024</w:t>
      </w:r>
      <w:r w:rsidR="00DB4A71" w:rsidRPr="006F74DB">
        <w:rPr>
          <w:rStyle w:val="Funotenzeichen"/>
          <w:lang w:val="en-GB"/>
        </w:rPr>
        <w:footnoteReference w:id="20"/>
      </w:r>
      <w:r w:rsidR="00DB4A71" w:rsidRPr="006F74DB">
        <w:rPr>
          <w:lang w:val="en-GB"/>
        </w:rPr>
        <w:t xml:space="preserve"> of the European Society for Paediatric Urology (ESPU) and the European Association of Urology (EAU). In </w:t>
      </w:r>
      <w:r w:rsidR="00DB4A71" w:rsidRPr="006F74DB">
        <w:rPr>
          <w:b/>
          <w:bCs/>
          <w:lang w:val="en-GB"/>
        </w:rPr>
        <w:t xml:space="preserve">chapter 3.18 </w:t>
      </w:r>
      <w:r w:rsidR="00DB4A71" w:rsidRPr="006F74DB">
        <w:rPr>
          <w:b/>
          <w:bCs/>
          <w:i/>
          <w:iCs/>
          <w:lang w:val="en-GB"/>
        </w:rPr>
        <w:t>“Disorders/Differences of sex development”</w:t>
      </w:r>
      <w:r w:rsidR="00DB4A71" w:rsidRPr="006F74DB">
        <w:rPr>
          <w:lang w:val="en-GB"/>
        </w:rPr>
        <w:t>,</w:t>
      </w:r>
      <w:r w:rsidR="00DB4A71" w:rsidRPr="006F74DB">
        <w:rPr>
          <w:rStyle w:val="Funotenzeichen"/>
          <w:lang w:val="en-GB"/>
        </w:rPr>
        <w:footnoteReference w:id="21"/>
      </w:r>
      <w:r w:rsidR="00DB4A71" w:rsidRPr="006F74DB">
        <w:rPr>
          <w:lang w:val="en-GB"/>
        </w:rPr>
        <w:t xml:space="preserve"> </w:t>
      </w:r>
      <w:r w:rsidR="00DB4A71" w:rsidRPr="006F74DB">
        <w:rPr>
          <w:rFonts w:cs="Times New Roman"/>
          <w:lang w:val="en-GB"/>
        </w:rPr>
        <w:t xml:space="preserve">despite admitting that </w:t>
      </w:r>
      <w:r w:rsidR="00DB4A71" w:rsidRPr="006F74DB">
        <w:rPr>
          <w:rFonts w:cs="Times New Roman"/>
          <w:i/>
          <w:lang w:val="en-GB"/>
        </w:rPr>
        <w:t>“Surgery that alters appearance is not considered urgent”</w:t>
      </w:r>
      <w:r w:rsidR="00DB4A71" w:rsidRPr="006F74DB">
        <w:rPr>
          <w:rFonts w:cs="Times New Roman"/>
          <w:lang w:val="en-GB"/>
        </w:rPr>
        <w:t xml:space="preserve"> </w:t>
      </w:r>
      <w:r w:rsidR="00DB4A71" w:rsidRPr="006F74DB">
        <w:rPr>
          <w:rStyle w:val="Funotenzeichen"/>
          <w:lang w:val="en-GB"/>
        </w:rPr>
        <w:footnoteReference w:id="22"/>
      </w:r>
      <w:r w:rsidR="00DB4A71" w:rsidRPr="006F74DB">
        <w:rPr>
          <w:rFonts w:cs="Times New Roman"/>
          <w:lang w:val="en-GB"/>
        </w:rPr>
        <w:t xml:space="preserve"> and that </w:t>
      </w:r>
      <w:r w:rsidR="00DB4A71" w:rsidRPr="006F74DB">
        <w:rPr>
          <w:rFonts w:cs="Times New Roman"/>
          <w:i/>
          <w:lang w:val="en-GB"/>
        </w:rPr>
        <w:t>“adverse outcomes have led to recommendations to delay unnecessary [clitoral] surgery to an age when the patient can give informed consent”</w:t>
      </w:r>
      <w:r w:rsidR="00DB4A71" w:rsidRPr="006F74DB">
        <w:rPr>
          <w:rFonts w:cs="Times New Roman"/>
          <w:lang w:val="en-GB"/>
        </w:rPr>
        <w:t>,</w:t>
      </w:r>
      <w:r w:rsidR="00DB4A71" w:rsidRPr="006F74DB">
        <w:rPr>
          <w:rStyle w:val="Funotenzeichen"/>
          <w:rFonts w:cs="Times New Roman"/>
          <w:lang w:val="en-GB"/>
        </w:rPr>
        <w:footnoteReference w:id="23"/>
      </w:r>
      <w:r w:rsidR="00DB4A71" w:rsidRPr="006F74DB">
        <w:rPr>
          <w:rFonts w:cs="Times New Roman"/>
          <w:lang w:val="en-GB"/>
        </w:rPr>
        <w:t xml:space="preserve"> the ESPU/EAU Guidelines nonetheless explicitly </w:t>
      </w:r>
      <w:r w:rsidR="00DB4A71" w:rsidRPr="006F74DB">
        <w:rPr>
          <w:rFonts w:cs="Times New Roman"/>
          <w:b/>
          <w:bCs/>
          <w:lang w:val="en-GB"/>
        </w:rPr>
        <w:t>refuse to postpone non-emergency surgery</w:t>
      </w:r>
      <w:r w:rsidR="00DB4A71" w:rsidRPr="006F74DB">
        <w:rPr>
          <w:rFonts w:cs="Times New Roman"/>
          <w:lang w:val="en-GB"/>
        </w:rPr>
        <w:t xml:space="preserve">, but in contrary </w:t>
      </w:r>
      <w:r w:rsidR="00DB4A71" w:rsidRPr="006F74DB">
        <w:rPr>
          <w:rFonts w:cs="Times New Roman"/>
          <w:b/>
          <w:bCs/>
          <w:lang w:val="en-GB"/>
        </w:rPr>
        <w:t>insist to continue with non-emergency genital surgery</w:t>
      </w:r>
      <w:r w:rsidR="00DB4A71" w:rsidRPr="006F74DB">
        <w:rPr>
          <w:rFonts w:cs="Times New Roman"/>
          <w:lang w:val="en-GB"/>
        </w:rPr>
        <w:t xml:space="preserve"> (including partial clitoris amputation) on young children based on </w:t>
      </w:r>
      <w:r w:rsidR="00DB4A71" w:rsidRPr="006F74DB">
        <w:rPr>
          <w:rFonts w:cs="Times New Roman"/>
          <w:b/>
          <w:bCs/>
          <w:i/>
          <w:iCs/>
          <w:lang w:val="en-GB"/>
        </w:rPr>
        <w:t>“social and emotional conditions”</w:t>
      </w:r>
      <w:r w:rsidR="00DB4A71" w:rsidRPr="006F74DB">
        <w:rPr>
          <w:rFonts w:cs="Times New Roman"/>
          <w:lang w:val="en-GB"/>
        </w:rPr>
        <w:t xml:space="preserve"> and </w:t>
      </w:r>
      <w:r w:rsidR="00DB4A71" w:rsidRPr="006F74DB">
        <w:rPr>
          <w:rFonts w:cs="Times New Roman"/>
          <w:b/>
          <w:bCs/>
          <w:lang w:val="en-GB"/>
        </w:rPr>
        <w:t>substituted decision-making</w:t>
      </w:r>
      <w:r w:rsidR="00DB4A71" w:rsidRPr="006F74DB">
        <w:rPr>
          <w:rFonts w:cs="Times New Roman"/>
          <w:b/>
          <w:bCs/>
          <w:i/>
          <w:iCs/>
          <w:lang w:val="en-GB"/>
        </w:rPr>
        <w:t xml:space="preserve"> </w:t>
      </w:r>
      <w:r w:rsidR="00DB4A71" w:rsidRPr="006F74DB">
        <w:rPr>
          <w:rFonts w:cs="Times New Roman"/>
          <w:b/>
          <w:bCs/>
          <w:lang w:val="en-GB"/>
        </w:rPr>
        <w:t xml:space="preserve">by </w:t>
      </w:r>
      <w:r w:rsidR="00DB4A71" w:rsidRPr="006F74DB">
        <w:rPr>
          <w:rFonts w:cs="Times New Roman"/>
          <w:b/>
          <w:bCs/>
          <w:i/>
          <w:iCs/>
          <w:lang w:val="en-GB"/>
        </w:rPr>
        <w:t>“parents and caregivers</w:t>
      </w:r>
      <w:r w:rsidR="00DB4A71" w:rsidRPr="006F74DB">
        <w:rPr>
          <w:rFonts w:cs="Times New Roman"/>
          <w:i/>
          <w:iCs/>
          <w:lang w:val="en-GB"/>
        </w:rPr>
        <w:t xml:space="preserve"> implicitly act[</w:t>
      </w:r>
      <w:proofErr w:type="spellStart"/>
      <w:r w:rsidR="00DB4A71" w:rsidRPr="006F74DB">
        <w:rPr>
          <w:rFonts w:cs="Times New Roman"/>
          <w:i/>
          <w:iCs/>
          <w:lang w:val="en-GB"/>
        </w:rPr>
        <w:t>ing</w:t>
      </w:r>
      <w:proofErr w:type="spellEnd"/>
      <w:r w:rsidR="00DB4A71" w:rsidRPr="006F74DB">
        <w:rPr>
          <w:rFonts w:cs="Times New Roman"/>
          <w:i/>
          <w:iCs/>
          <w:lang w:val="en-GB"/>
        </w:rPr>
        <w:t>] in the best interest of their children”</w:t>
      </w:r>
      <w:r w:rsidR="00DB4A71" w:rsidRPr="006F74DB">
        <w:rPr>
          <w:rStyle w:val="Funotenzeichen"/>
          <w:rFonts w:cs="Times New Roman"/>
          <w:lang w:val="en-GB"/>
        </w:rPr>
        <w:t xml:space="preserve"> </w:t>
      </w:r>
      <w:r w:rsidR="00DB4A71" w:rsidRPr="006F74DB">
        <w:rPr>
          <w:rStyle w:val="Funotenzeichen"/>
          <w:rFonts w:cs="Times New Roman"/>
          <w:lang w:val="en-GB"/>
        </w:rPr>
        <w:footnoteReference w:id="24"/>
      </w:r>
      <w:r w:rsidR="00DB4A71" w:rsidRPr="006F74DB">
        <w:rPr>
          <w:rFonts w:cs="Times New Roman"/>
          <w:i/>
          <w:iCs/>
          <w:lang w:val="en-GB"/>
        </w:rPr>
        <w:t xml:space="preserve"> </w:t>
      </w:r>
      <w:r w:rsidR="00DB4A71" w:rsidRPr="006F74DB">
        <w:rPr>
          <w:rFonts w:cs="Times New Roman"/>
          <w:lang w:val="en-GB"/>
        </w:rPr>
        <w:t xml:space="preserve">and making </w:t>
      </w:r>
      <w:r w:rsidR="00DB4A71" w:rsidRPr="006F74DB">
        <w:rPr>
          <w:rFonts w:cs="Times New Roman"/>
          <w:i/>
          <w:iCs/>
          <w:lang w:val="en-GB"/>
        </w:rPr>
        <w:t>“well-informed decisions […] on their behalf”</w:t>
      </w:r>
      <w:r w:rsidR="00DB4A71" w:rsidRPr="006F74DB">
        <w:rPr>
          <w:rFonts w:cs="Times New Roman"/>
          <w:lang w:val="en-GB"/>
        </w:rPr>
        <w:t xml:space="preserve">, and further </w:t>
      </w:r>
      <w:r w:rsidR="00DB4A71" w:rsidRPr="006F74DB">
        <w:rPr>
          <w:rFonts w:cs="Times New Roman"/>
          <w:b/>
          <w:bCs/>
          <w:lang w:val="en-GB"/>
        </w:rPr>
        <w:t xml:space="preserve">explicitly refusing </w:t>
      </w:r>
      <w:r w:rsidR="00DB4A71" w:rsidRPr="006F74DB">
        <w:rPr>
          <w:rFonts w:cs="Times New Roman"/>
          <w:b/>
          <w:bCs/>
          <w:i/>
          <w:iCs/>
          <w:lang w:val="en-GB"/>
        </w:rPr>
        <w:t>“prohibition regulations”</w:t>
      </w:r>
      <w:r w:rsidR="00DB4A71" w:rsidRPr="006F74DB">
        <w:rPr>
          <w:rFonts w:cs="Times New Roman"/>
          <w:i/>
          <w:iCs/>
          <w:lang w:val="en-GB"/>
        </w:rPr>
        <w:t xml:space="preserve"> </w:t>
      </w:r>
      <w:r w:rsidR="00DB4A71" w:rsidRPr="006F74DB">
        <w:rPr>
          <w:rFonts w:cs="Times New Roman"/>
          <w:lang w:val="en-GB"/>
        </w:rPr>
        <w:t>of unnecessary early surgery,</w:t>
      </w:r>
      <w:r w:rsidR="00DB4A71" w:rsidRPr="006F74DB">
        <w:rPr>
          <w:rStyle w:val="Funotenzeichen"/>
          <w:rFonts w:cs="Times New Roman"/>
          <w:lang w:val="en-GB"/>
        </w:rPr>
        <w:footnoteReference w:id="25"/>
      </w:r>
      <w:r w:rsidR="00DB4A71" w:rsidRPr="006F74DB">
        <w:rPr>
          <w:rFonts w:cs="Times New Roman"/>
          <w:lang w:val="en-GB"/>
        </w:rPr>
        <w:t xml:space="preserve"> referring to the 2018 ESPU Open Letter to the Council of Europe (COE),</w:t>
      </w:r>
      <w:r w:rsidR="00DB4A71" w:rsidRPr="006F74DB">
        <w:rPr>
          <w:rStyle w:val="Funotenzeichen"/>
          <w:rFonts w:cs="Times New Roman"/>
          <w:lang w:val="en-GB"/>
        </w:rPr>
        <w:footnoteReference w:id="26"/>
      </w:r>
      <w:r w:rsidR="00DB4A71" w:rsidRPr="006F74DB">
        <w:rPr>
          <w:rFonts w:cs="Times New Roman"/>
          <w:lang w:val="en-GB"/>
        </w:rPr>
        <w:t xml:space="preserve"> which further invokes </w:t>
      </w:r>
      <w:r w:rsidR="00DB4A71" w:rsidRPr="006F74DB">
        <w:rPr>
          <w:rFonts w:cs="Times New Roman"/>
          <w:b/>
          <w:bCs/>
          <w:lang w:val="en-GB"/>
        </w:rPr>
        <w:t xml:space="preserve">parents’ </w:t>
      </w:r>
      <w:r w:rsidR="00DB4A71" w:rsidRPr="006F74DB">
        <w:rPr>
          <w:rFonts w:cs="Times New Roman"/>
          <w:b/>
          <w:bCs/>
          <w:i/>
          <w:iCs/>
          <w:lang w:val="en-GB"/>
        </w:rPr>
        <w:t xml:space="preserve">“social, and cultural considerations” </w:t>
      </w:r>
      <w:r w:rsidR="00DB4A71" w:rsidRPr="006F74DB">
        <w:rPr>
          <w:rFonts w:cs="Times New Roman"/>
          <w:lang w:val="en-GB"/>
        </w:rPr>
        <w:t>as justifications for early surgery (p. 2).</w:t>
      </w:r>
    </w:p>
    <w:p w:rsidR="00DB4A71" w:rsidRPr="006F74DB" w:rsidRDefault="00DB4A71" w:rsidP="00DB4A71">
      <w:pPr>
        <w:pStyle w:val="Title3"/>
      </w:pPr>
      <w:bookmarkStart w:id="45" w:name="_Toc507786412"/>
      <w:bookmarkStart w:id="46" w:name="_Toc19465689"/>
      <w:bookmarkStart w:id="47" w:name="_Toc64836452"/>
      <w:bookmarkStart w:id="48" w:name="_Toc65413939"/>
      <w:bookmarkStart w:id="49" w:name="_Toc174653889"/>
      <w:r w:rsidRPr="006F74DB">
        <w:t>c) IGM 1 – “Masculinising Surgery”: Hypospadias “Repair”</w:t>
      </w:r>
      <w:r w:rsidRPr="006F74DB">
        <w:rPr>
          <w:rStyle w:val="Funotenzeichen3"/>
        </w:rPr>
        <w:footnoteReference w:id="27"/>
      </w:r>
      <w:bookmarkEnd w:id="45"/>
      <w:bookmarkEnd w:id="46"/>
      <w:bookmarkEnd w:id="47"/>
      <w:bookmarkEnd w:id="48"/>
      <w:bookmarkEnd w:id="49"/>
    </w:p>
    <w:p w:rsidR="00FA478E" w:rsidRDefault="008810CD" w:rsidP="00DB4A71">
      <w:pPr>
        <w:pStyle w:val="absatzschattenbericht"/>
        <w:spacing w:after="60"/>
        <w:rPr>
          <w:rFonts w:cs="Times New Roman"/>
          <w:iCs/>
          <w:lang w:val="en-GB"/>
        </w:rPr>
      </w:pPr>
      <w:r w:rsidRPr="008810CD">
        <w:rPr>
          <w:b/>
          <w:bCs/>
          <w:lang w:val="en-GB"/>
        </w:rPr>
        <w:t xml:space="preserve">The Mexican Society of Urologists (Sociedad Mexicana de </w:t>
      </w:r>
      <w:proofErr w:type="spellStart"/>
      <w:r w:rsidRPr="008810CD">
        <w:rPr>
          <w:b/>
          <w:bCs/>
          <w:lang w:val="en-GB"/>
        </w:rPr>
        <w:t>Urología</w:t>
      </w:r>
      <w:proofErr w:type="spellEnd"/>
      <w:r w:rsidRPr="008810CD">
        <w:rPr>
          <w:b/>
          <w:bCs/>
          <w:lang w:val="en-GB"/>
        </w:rPr>
        <w:t>, SMU)</w:t>
      </w:r>
      <w:r>
        <w:rPr>
          <w:b/>
          <w:bCs/>
          <w:lang w:val="en-GB"/>
        </w:rPr>
        <w:t xml:space="preserve"> </w:t>
      </w:r>
      <w:r w:rsidR="00DB4A71" w:rsidRPr="006F74DB">
        <w:rPr>
          <w:lang w:val="en-GB"/>
        </w:rPr>
        <w:t xml:space="preserve">endorses the current </w:t>
      </w:r>
      <w:r w:rsidR="00DB4A71" w:rsidRPr="006F74DB">
        <w:rPr>
          <w:b/>
          <w:lang w:val="en-GB"/>
        </w:rPr>
        <w:t>2024 Guidelines of the European Association of Urology (EAU)</w:t>
      </w:r>
      <w:r w:rsidR="00DB4A71" w:rsidRPr="006F74DB">
        <w:rPr>
          <w:bCs/>
          <w:lang w:val="en-GB"/>
        </w:rPr>
        <w:t>,</w:t>
      </w:r>
      <w:r w:rsidR="00DB4A71" w:rsidRPr="006F74DB">
        <w:rPr>
          <w:rStyle w:val="Funotenzeichen"/>
          <w:lang w:val="en-GB"/>
        </w:rPr>
        <w:footnoteReference w:id="28"/>
      </w:r>
      <w:r w:rsidR="00DB4A71" w:rsidRPr="006F74DB">
        <w:rPr>
          <w:bCs/>
          <w:lang w:val="en-GB"/>
        </w:rPr>
        <w:t xml:space="preserve"> which include the current </w:t>
      </w:r>
      <w:r w:rsidR="00DB4A71" w:rsidRPr="006F74DB">
        <w:rPr>
          <w:b/>
          <w:lang w:val="en-GB"/>
        </w:rPr>
        <w:t xml:space="preserve">ESPU/EAU </w:t>
      </w:r>
      <w:r w:rsidR="00DB4A71" w:rsidRPr="006F74DB">
        <w:rPr>
          <w:b/>
          <w:i/>
          <w:lang w:val="en-GB"/>
        </w:rPr>
        <w:t xml:space="preserve">“Paediatric Urology” </w:t>
      </w:r>
      <w:r w:rsidR="00DB4A71" w:rsidRPr="006F74DB">
        <w:rPr>
          <w:b/>
          <w:lang w:val="en-GB"/>
        </w:rPr>
        <w:t>Guidelines 2024</w:t>
      </w:r>
      <w:r w:rsidR="00DB4A71" w:rsidRPr="006F74DB">
        <w:rPr>
          <w:rStyle w:val="Funotenzeichen"/>
          <w:lang w:val="en-GB"/>
        </w:rPr>
        <w:footnoteReference w:id="29"/>
      </w:r>
      <w:r w:rsidR="00DB4A71" w:rsidRPr="006F74DB">
        <w:rPr>
          <w:lang w:val="en-GB"/>
        </w:rPr>
        <w:t xml:space="preserve"> of the European Society for Paediatric Urology (ESPU) and the European Association of Urology (EAU). In </w:t>
      </w:r>
      <w:r w:rsidR="00DB4A71" w:rsidRPr="006F74DB">
        <w:rPr>
          <w:b/>
          <w:bCs/>
          <w:lang w:val="en-GB"/>
        </w:rPr>
        <w:t xml:space="preserve">chapter 3.7 </w:t>
      </w:r>
      <w:r w:rsidR="00DB4A71" w:rsidRPr="006F74DB">
        <w:rPr>
          <w:b/>
          <w:bCs/>
          <w:i/>
          <w:iCs/>
          <w:lang w:val="en-GB"/>
        </w:rPr>
        <w:t>“Hypospadias”</w:t>
      </w:r>
      <w:r w:rsidR="00DB4A71" w:rsidRPr="006F74DB">
        <w:rPr>
          <w:lang w:val="en-GB"/>
        </w:rPr>
        <w:t>,</w:t>
      </w:r>
      <w:r w:rsidR="00DB4A71" w:rsidRPr="006F74DB">
        <w:rPr>
          <w:rStyle w:val="Funotenzeichen"/>
          <w:lang w:val="en-GB"/>
        </w:rPr>
        <w:footnoteReference w:id="30"/>
      </w:r>
      <w:r w:rsidR="00DB4A71" w:rsidRPr="006F74DB">
        <w:rPr>
          <w:lang w:val="en-GB"/>
        </w:rPr>
        <w:t xml:space="preserve"> </w:t>
      </w:r>
      <w:r w:rsidR="00DB4A71" w:rsidRPr="006F74DB">
        <w:rPr>
          <w:rFonts w:cs="Times New Roman"/>
          <w:lang w:val="en-GB"/>
        </w:rPr>
        <w:t xml:space="preserve">the ESPU/EAU Guidelines’ </w:t>
      </w:r>
      <w:r w:rsidR="00DB4A71" w:rsidRPr="006F74DB">
        <w:rPr>
          <w:rFonts w:cs="Times New Roman"/>
          <w:b/>
          <w:bCs/>
          <w:lang w:val="en-GB"/>
        </w:rPr>
        <w:t xml:space="preserve">section 3.7.5.3 </w:t>
      </w:r>
      <w:r w:rsidR="00DB4A71" w:rsidRPr="006F74DB">
        <w:rPr>
          <w:rFonts w:cs="Times New Roman"/>
          <w:b/>
          <w:bCs/>
          <w:i/>
          <w:iCs/>
          <w:lang w:val="en-GB"/>
        </w:rPr>
        <w:t>“Age at surgery”</w:t>
      </w:r>
      <w:r w:rsidR="00DB4A71" w:rsidRPr="006F74DB">
        <w:rPr>
          <w:rFonts w:cs="Times New Roman"/>
          <w:i/>
          <w:iCs/>
          <w:lang w:val="en-GB"/>
        </w:rPr>
        <w:t xml:space="preserve"> </w:t>
      </w:r>
      <w:r w:rsidR="00DB4A71" w:rsidRPr="006F74DB">
        <w:rPr>
          <w:rFonts w:cs="Times New Roman"/>
          <w:lang w:val="en-GB"/>
        </w:rPr>
        <w:t xml:space="preserve">explicitly promotes, </w:t>
      </w:r>
      <w:r w:rsidR="00DB4A71" w:rsidRPr="006F74DB">
        <w:rPr>
          <w:rFonts w:cs="Times New Roman"/>
          <w:b/>
          <w:bCs/>
          <w:i/>
          <w:iCs/>
          <w:lang w:val="en-GB"/>
        </w:rPr>
        <w:t>“The age at surgery for primary hypospadias repair is usually 6-18 (24) months.”</w:t>
      </w:r>
      <w:r w:rsidR="00DB4A71" w:rsidRPr="006F74DB">
        <w:rPr>
          <w:rStyle w:val="Funotenzeichen"/>
          <w:lang w:val="en-GB"/>
        </w:rPr>
        <w:t xml:space="preserve"> </w:t>
      </w:r>
      <w:r w:rsidR="00DB4A71" w:rsidRPr="006F74DB">
        <w:rPr>
          <w:rStyle w:val="Funotenzeichen"/>
          <w:lang w:val="en-GB"/>
        </w:rPr>
        <w:footnoteReference w:id="31"/>
      </w:r>
      <w:r w:rsidR="00DB4A71" w:rsidRPr="006F74DB">
        <w:rPr>
          <w:lang w:val="en-GB"/>
        </w:rPr>
        <w:t xml:space="preserve"> – </w:t>
      </w:r>
      <w:r w:rsidR="00DB4A71" w:rsidRPr="006F74DB">
        <w:rPr>
          <w:rFonts w:cs="Times New Roman"/>
          <w:lang w:val="en-GB"/>
        </w:rPr>
        <w:t xml:space="preserve">despite admitting to the </w:t>
      </w:r>
      <w:r w:rsidR="00DB4A71" w:rsidRPr="006F74DB">
        <w:rPr>
          <w:rFonts w:cs="Times New Roman"/>
          <w:i/>
          <w:lang w:val="en-GB"/>
        </w:rPr>
        <w:t>“risk of complications”</w:t>
      </w:r>
      <w:r w:rsidR="00DB4A71" w:rsidRPr="006F74DB">
        <w:rPr>
          <w:rFonts w:cs="Times New Roman"/>
          <w:lang w:val="en-GB"/>
        </w:rPr>
        <w:t xml:space="preserve"> </w:t>
      </w:r>
      <w:r w:rsidR="00DB4A71" w:rsidRPr="006F74DB">
        <w:rPr>
          <w:rStyle w:val="Funotenzeichen"/>
          <w:lang w:val="en-GB"/>
        </w:rPr>
        <w:footnoteReference w:id="32"/>
      </w:r>
      <w:r w:rsidR="00DB4A71" w:rsidRPr="006F74DB">
        <w:rPr>
          <w:rFonts w:cs="Times New Roman"/>
          <w:lang w:val="en-GB"/>
        </w:rPr>
        <w:t xml:space="preserve"> and </w:t>
      </w:r>
      <w:r w:rsidR="00DB4A71" w:rsidRPr="006F74DB">
        <w:rPr>
          <w:rFonts w:cs="Times New Roman"/>
          <w:i/>
          <w:lang w:val="en-GB"/>
        </w:rPr>
        <w:t>“</w:t>
      </w:r>
      <w:proofErr w:type="gramStart"/>
      <w:r w:rsidR="00DB4A71" w:rsidRPr="006F74DB">
        <w:rPr>
          <w:rFonts w:cs="Times New Roman"/>
          <w:i/>
          <w:lang w:val="en-GB"/>
        </w:rPr>
        <w:t>aesthetic[</w:t>
      </w:r>
      <w:proofErr w:type="gramEnd"/>
      <w:r w:rsidR="00DB4A71" w:rsidRPr="006F74DB">
        <w:rPr>
          <w:rFonts w:cs="Times New Roman"/>
          <w:i/>
          <w:lang w:val="en-GB"/>
        </w:rPr>
        <w:t xml:space="preserve">…]” </w:t>
      </w:r>
      <w:r w:rsidR="00DB4A71" w:rsidRPr="006F74DB">
        <w:rPr>
          <w:rFonts w:cs="Times New Roman"/>
          <w:iCs/>
          <w:lang w:val="en-GB"/>
        </w:rPr>
        <w:t xml:space="preserve">and </w:t>
      </w:r>
      <w:r w:rsidR="00DB4A71" w:rsidRPr="006F74DB">
        <w:rPr>
          <w:rFonts w:cs="Times New Roman"/>
          <w:i/>
          <w:lang w:val="en-GB"/>
        </w:rPr>
        <w:t xml:space="preserve">“cosmetic” </w:t>
      </w:r>
      <w:r w:rsidR="00DB4A71" w:rsidRPr="006F74DB">
        <w:rPr>
          <w:rFonts w:cs="Times New Roman"/>
          <w:iCs/>
          <w:lang w:val="en-GB"/>
        </w:rPr>
        <w:t>justifications.</w:t>
      </w:r>
      <w:r w:rsidR="00DB4A71" w:rsidRPr="006F74DB">
        <w:rPr>
          <w:rStyle w:val="Funotenzeichen"/>
          <w:rFonts w:cs="Times New Roman"/>
          <w:lang w:val="en-GB"/>
        </w:rPr>
        <w:footnoteReference w:id="33"/>
      </w:r>
    </w:p>
    <w:p w:rsidR="00FA478E" w:rsidRDefault="00FA478E">
      <w:pPr>
        <w:spacing w:after="0" w:line="240" w:lineRule="auto"/>
        <w:rPr>
          <w:rFonts w:ascii="Times New Roman" w:eastAsia="Baskerville" w:hAnsi="Times New Roman"/>
          <w:iCs/>
          <w:color w:val="000000"/>
          <w:spacing w:val="2"/>
          <w:kern w:val="1"/>
          <w:sz w:val="24"/>
          <w:szCs w:val="24"/>
          <w:lang w:val="en-GB" w:eastAsia="zh-CN" w:bidi="hi-IN"/>
        </w:rPr>
      </w:pPr>
      <w:r>
        <w:rPr>
          <w:iCs/>
          <w:lang w:val="en-GB"/>
        </w:rPr>
        <w:br w:type="page"/>
      </w:r>
    </w:p>
    <w:p w:rsidR="00A402C4" w:rsidRPr="00733196" w:rsidRDefault="00A402C4" w:rsidP="00A402C4">
      <w:pPr>
        <w:pStyle w:val="Title2"/>
        <w:rPr>
          <w:rFonts w:eastAsia="Baskerville"/>
          <w:szCs w:val="24"/>
        </w:rPr>
      </w:pPr>
      <w:bookmarkStart w:id="50" w:name="_Toc516530620"/>
      <w:bookmarkStart w:id="51" w:name="_Toc19311449"/>
      <w:bookmarkStart w:id="52" w:name="_Toc174653890"/>
      <w:r>
        <w:lastRenderedPageBreak/>
        <w:t>6</w:t>
      </w:r>
      <w:r w:rsidRPr="00733196">
        <w:t>.  Mexican Doctors and Officials consciously dismissing Intersex Human Rights</w:t>
      </w:r>
      <w:bookmarkEnd w:id="50"/>
      <w:bookmarkEnd w:id="51"/>
      <w:bookmarkEnd w:id="52"/>
    </w:p>
    <w:p w:rsidR="00203E46" w:rsidRDefault="00A402C4" w:rsidP="00203E46">
      <w:pPr>
        <w:pStyle w:val="absatzschattenbericht"/>
        <w:rPr>
          <w:lang w:val="en-GB"/>
        </w:rPr>
      </w:pPr>
      <w:r w:rsidRPr="00733196">
        <w:rPr>
          <w:lang w:val="en-GB"/>
        </w:rPr>
        <w:t xml:space="preserve">The persistence of IGM practices in Mexican public clinics is a </w:t>
      </w:r>
      <w:r w:rsidRPr="00733196">
        <w:rPr>
          <w:b/>
          <w:lang w:val="en-GB"/>
        </w:rPr>
        <w:t>matter of public record</w:t>
      </w:r>
      <w:r w:rsidR="00203E46">
        <w:rPr>
          <w:bCs/>
          <w:lang w:val="en-GB"/>
        </w:rPr>
        <w:t>,</w:t>
      </w:r>
      <w:r w:rsidRPr="00733196">
        <w:rPr>
          <w:rStyle w:val="Funotenzeichen"/>
          <w:bCs/>
          <w:lang w:val="en-GB"/>
        </w:rPr>
        <w:footnoteReference w:id="34"/>
      </w:r>
      <w:r w:rsidRPr="00733196">
        <w:rPr>
          <w:lang w:val="en-GB"/>
        </w:rPr>
        <w:t xml:space="preserve"> </w:t>
      </w:r>
      <w:r w:rsidRPr="00733196">
        <w:rPr>
          <w:rStyle w:val="Funotenzeichen"/>
          <w:lang w:val="en-GB"/>
        </w:rPr>
        <w:footnoteReference w:id="35"/>
      </w:r>
      <w:r w:rsidRPr="00733196">
        <w:rPr>
          <w:lang w:val="en-GB"/>
        </w:rPr>
        <w:t xml:space="preserve"> </w:t>
      </w:r>
      <w:r w:rsidRPr="00733196">
        <w:rPr>
          <w:rStyle w:val="Funotenzeichen"/>
          <w:lang w:val="en-GB"/>
        </w:rPr>
        <w:footnoteReference w:id="36"/>
      </w:r>
      <w:r w:rsidR="004724C3">
        <w:rPr>
          <w:lang w:val="en-GB"/>
        </w:rPr>
        <w:t xml:space="preserve"> </w:t>
      </w:r>
      <w:r w:rsidRPr="00733196">
        <w:rPr>
          <w:rStyle w:val="Funotenzeichen"/>
          <w:lang w:val="en-GB"/>
        </w:rPr>
        <w:footnoteReference w:id="37"/>
      </w:r>
      <w:r w:rsidR="0083129A">
        <w:rPr>
          <w:lang w:val="en-GB"/>
        </w:rPr>
        <w:t xml:space="preserve"> s</w:t>
      </w:r>
      <w:r w:rsidR="00203E46">
        <w:rPr>
          <w:lang w:val="en-GB"/>
        </w:rPr>
        <w:t xml:space="preserve">ame as </w:t>
      </w:r>
      <w:r w:rsidR="0083129A">
        <w:rPr>
          <w:lang w:val="en-GB"/>
        </w:rPr>
        <w:t xml:space="preserve">the </w:t>
      </w:r>
      <w:r w:rsidR="0083129A" w:rsidRPr="002F3890">
        <w:rPr>
          <w:b/>
          <w:bCs/>
          <w:lang w:val="en-GB"/>
        </w:rPr>
        <w:t>lifelong severe physical and psychological pain and suffering caused by IGM practices</w:t>
      </w:r>
      <w:r w:rsidR="0083129A">
        <w:rPr>
          <w:lang w:val="en-GB"/>
        </w:rPr>
        <w:t xml:space="preserve"> (see personal testimonies in 2019</w:t>
      </w:r>
      <w:r w:rsidR="0083129A" w:rsidRPr="00423C32">
        <w:rPr>
          <w:lang w:val="en-GB"/>
        </w:rPr>
        <w:t xml:space="preserve"> CCPR NGO Report together with </w:t>
      </w:r>
      <w:proofErr w:type="spellStart"/>
      <w:r w:rsidR="0083129A" w:rsidRPr="00423C32">
        <w:rPr>
          <w:lang w:val="en-GB"/>
        </w:rPr>
        <w:t>Brújula</w:t>
      </w:r>
      <w:proofErr w:type="spellEnd"/>
      <w:r w:rsidR="0083129A" w:rsidRPr="00423C32">
        <w:rPr>
          <w:lang w:val="en-GB"/>
        </w:rPr>
        <w:t xml:space="preserve"> Intersexual and </w:t>
      </w:r>
      <w:proofErr w:type="spellStart"/>
      <w:r w:rsidR="0083129A" w:rsidRPr="00423C32">
        <w:rPr>
          <w:lang w:val="en-GB"/>
        </w:rPr>
        <w:t>Vivir</w:t>
      </w:r>
      <w:proofErr w:type="spellEnd"/>
      <w:r w:rsidR="0083129A" w:rsidRPr="00423C32">
        <w:rPr>
          <w:lang w:val="en-GB"/>
        </w:rPr>
        <w:t xml:space="preserve"> y Ser Intersex, p. </w:t>
      </w:r>
      <w:r w:rsidR="00EC7394">
        <w:rPr>
          <w:lang w:val="en-GB"/>
        </w:rPr>
        <w:t>24-36</w:t>
      </w:r>
      <w:r w:rsidR="0083129A">
        <w:rPr>
          <w:lang w:val="en-GB"/>
        </w:rPr>
        <w:t>).</w:t>
      </w:r>
    </w:p>
    <w:p w:rsidR="00A402C4" w:rsidRPr="00733196" w:rsidRDefault="00A402C4" w:rsidP="00A402C4">
      <w:pPr>
        <w:pStyle w:val="absatzschattenbericht"/>
        <w:rPr>
          <w:lang w:val="en-GB"/>
        </w:rPr>
      </w:pPr>
      <w:r w:rsidRPr="00733196">
        <w:rPr>
          <w:lang w:val="en-GB"/>
        </w:rPr>
        <w:t xml:space="preserve">Also the </w:t>
      </w:r>
      <w:r w:rsidRPr="00733196">
        <w:rPr>
          <w:b/>
          <w:lang w:val="en-GB"/>
        </w:rPr>
        <w:t>criticism of persons concerned and their organisations</w:t>
      </w:r>
      <w:r w:rsidRPr="00733196">
        <w:rPr>
          <w:lang w:val="en-GB"/>
        </w:rPr>
        <w:t xml:space="preserve"> </w:t>
      </w:r>
      <w:r w:rsidR="00FA478E">
        <w:rPr>
          <w:lang w:val="en-GB"/>
        </w:rPr>
        <w:t>of IGM practices</w:t>
      </w:r>
      <w:r w:rsidRPr="00733196">
        <w:rPr>
          <w:lang w:val="en-GB"/>
        </w:rPr>
        <w:t xml:space="preserve"> is </w:t>
      </w:r>
      <w:r w:rsidRPr="00733196">
        <w:rPr>
          <w:b/>
          <w:lang w:val="en-GB"/>
        </w:rPr>
        <w:t>publicly known</w:t>
      </w:r>
      <w:r w:rsidRPr="00733196">
        <w:rPr>
          <w:lang w:val="en-GB"/>
        </w:rPr>
        <w:t>,</w:t>
      </w:r>
      <w:r w:rsidRPr="00733196">
        <w:rPr>
          <w:rStyle w:val="Funotenzeichen"/>
          <w:lang w:val="en-GB"/>
        </w:rPr>
        <w:footnoteReference w:id="38"/>
      </w:r>
      <w:r>
        <w:rPr>
          <w:lang w:val="en-GB"/>
        </w:rPr>
        <w:t xml:space="preserve"> </w:t>
      </w:r>
      <w:r w:rsidRPr="00733196">
        <w:rPr>
          <w:rStyle w:val="Funotenzeichen"/>
          <w:rFonts w:cs="Times New Roman"/>
          <w:lang w:val="en-GB"/>
        </w:rPr>
        <w:footnoteReference w:id="39"/>
      </w:r>
      <w:r w:rsidRPr="00733196">
        <w:rPr>
          <w:lang w:val="en-GB"/>
        </w:rPr>
        <w:t xml:space="preserve"> </w:t>
      </w:r>
      <w:r w:rsidRPr="00733196">
        <w:rPr>
          <w:rStyle w:val="Funotenzeichen"/>
          <w:rFonts w:cs="Times New Roman"/>
          <w:lang w:val="en-GB"/>
        </w:rPr>
        <w:footnoteReference w:id="40"/>
      </w:r>
      <w:r w:rsidRPr="00733196">
        <w:rPr>
          <w:lang w:val="en-GB"/>
        </w:rPr>
        <w:t xml:space="preserve"> </w:t>
      </w:r>
      <w:r w:rsidRPr="00733196">
        <w:rPr>
          <w:rStyle w:val="Funotenzeichen"/>
          <w:rFonts w:cs="Times New Roman"/>
          <w:lang w:val="en-GB"/>
        </w:rPr>
        <w:footnoteReference w:id="41"/>
      </w:r>
      <w:r w:rsidRPr="00733196">
        <w:rPr>
          <w:lang w:val="en-GB"/>
        </w:rPr>
        <w:t xml:space="preserve"> </w:t>
      </w:r>
      <w:r w:rsidRPr="00733196">
        <w:rPr>
          <w:rStyle w:val="Funotenzeichen"/>
          <w:lang w:val="en-GB"/>
        </w:rPr>
        <w:footnoteReference w:id="42"/>
      </w:r>
      <w:r w:rsidRPr="00733196">
        <w:rPr>
          <w:lang w:val="en-GB"/>
        </w:rPr>
        <w:t xml:space="preserve"> </w:t>
      </w:r>
      <w:r w:rsidRPr="00733196">
        <w:rPr>
          <w:rStyle w:val="Funotenzeichen"/>
          <w:rFonts w:cs="Times New Roman"/>
          <w:lang w:val="en-GB"/>
        </w:rPr>
        <w:footnoteReference w:id="43"/>
      </w:r>
      <w:r w:rsidRPr="00733196">
        <w:rPr>
          <w:lang w:val="en-GB"/>
        </w:rPr>
        <w:t xml:space="preserve"> </w:t>
      </w:r>
      <w:r w:rsidRPr="00733196">
        <w:rPr>
          <w:rStyle w:val="Funotenzeichen"/>
          <w:lang w:val="en-GB"/>
        </w:rPr>
        <w:footnoteReference w:id="44"/>
      </w:r>
      <w:r w:rsidRPr="00733196">
        <w:rPr>
          <w:lang w:val="en-GB"/>
        </w:rPr>
        <w:t xml:space="preserve"> </w:t>
      </w:r>
      <w:r w:rsidRPr="00733196">
        <w:rPr>
          <w:rFonts w:ascii="ZWAdobeF" w:hAnsi="ZWAdobeF" w:cs="ZWAdobeF"/>
          <w:color w:val="auto"/>
          <w:spacing w:val="0"/>
          <w:sz w:val="2"/>
          <w:szCs w:val="2"/>
          <w:lang w:val="en-GB"/>
        </w:rPr>
        <w:t>F</w:t>
      </w:r>
      <w:r w:rsidRPr="00733196">
        <w:rPr>
          <w:rStyle w:val="Funotenzeichen"/>
          <w:lang w:val="en-GB"/>
        </w:rPr>
        <w:footnoteReference w:id="45"/>
      </w:r>
      <w:r w:rsidRPr="00733196">
        <w:rPr>
          <w:lang w:val="en-GB"/>
        </w:rPr>
        <w:t xml:space="preserve"> and also in </w:t>
      </w:r>
      <w:r w:rsidRPr="00733196">
        <w:rPr>
          <w:b/>
          <w:lang w:val="en-GB"/>
        </w:rPr>
        <w:t xml:space="preserve">government bodies </w:t>
      </w:r>
      <w:r w:rsidRPr="00733196">
        <w:rPr>
          <w:lang w:val="en-GB"/>
        </w:rPr>
        <w:t xml:space="preserve">including the </w:t>
      </w:r>
      <w:proofErr w:type="spellStart"/>
      <w:r w:rsidRPr="00733196">
        <w:rPr>
          <w:b/>
          <w:lang w:val="en-GB"/>
        </w:rPr>
        <w:t>Gobierno</w:t>
      </w:r>
      <w:proofErr w:type="spellEnd"/>
      <w:r w:rsidRPr="00733196">
        <w:rPr>
          <w:b/>
          <w:lang w:val="en-GB"/>
        </w:rPr>
        <w:t xml:space="preserve"> del Estado Libre y </w:t>
      </w:r>
      <w:proofErr w:type="spellStart"/>
      <w:r w:rsidRPr="00733196">
        <w:rPr>
          <w:b/>
          <w:lang w:val="en-GB"/>
        </w:rPr>
        <w:t>Soberano</w:t>
      </w:r>
      <w:proofErr w:type="spellEnd"/>
      <w:r w:rsidRPr="00733196">
        <w:rPr>
          <w:b/>
          <w:lang w:val="en-GB"/>
        </w:rPr>
        <w:t xml:space="preserve"> de México</w:t>
      </w:r>
      <w:r w:rsidRPr="00733196">
        <w:rPr>
          <w:lang w:val="en-GB"/>
        </w:rPr>
        <w:t>,</w:t>
      </w:r>
      <w:r w:rsidRPr="00733196">
        <w:rPr>
          <w:rStyle w:val="Funotenzeichen"/>
          <w:lang w:val="en-GB"/>
        </w:rPr>
        <w:footnoteReference w:id="46"/>
      </w:r>
      <w:r w:rsidRPr="00733196">
        <w:rPr>
          <w:lang w:val="en-GB"/>
        </w:rPr>
        <w:t xml:space="preserve"> the </w:t>
      </w:r>
      <w:proofErr w:type="spellStart"/>
      <w:r w:rsidRPr="00733196">
        <w:rPr>
          <w:b/>
          <w:lang w:val="en-GB"/>
        </w:rPr>
        <w:t>Comisión</w:t>
      </w:r>
      <w:proofErr w:type="spellEnd"/>
      <w:r w:rsidRPr="00733196">
        <w:rPr>
          <w:b/>
          <w:lang w:val="en-GB"/>
        </w:rPr>
        <w:t xml:space="preserve"> </w:t>
      </w:r>
      <w:proofErr w:type="spellStart"/>
      <w:r w:rsidRPr="00733196">
        <w:rPr>
          <w:b/>
          <w:lang w:val="en-GB"/>
        </w:rPr>
        <w:t>Ejecutiva</w:t>
      </w:r>
      <w:proofErr w:type="spellEnd"/>
      <w:r w:rsidRPr="00733196">
        <w:rPr>
          <w:b/>
          <w:lang w:val="en-GB"/>
        </w:rPr>
        <w:t xml:space="preserve"> de </w:t>
      </w:r>
      <w:proofErr w:type="spellStart"/>
      <w:r w:rsidRPr="00733196">
        <w:rPr>
          <w:b/>
          <w:lang w:val="en-GB"/>
        </w:rPr>
        <w:t>Atención</w:t>
      </w:r>
      <w:proofErr w:type="spellEnd"/>
      <w:r w:rsidRPr="00733196">
        <w:rPr>
          <w:b/>
          <w:lang w:val="en-GB"/>
        </w:rPr>
        <w:t xml:space="preserve"> a </w:t>
      </w:r>
      <w:proofErr w:type="spellStart"/>
      <w:r w:rsidRPr="00733196">
        <w:rPr>
          <w:b/>
          <w:lang w:val="en-GB"/>
        </w:rPr>
        <w:t>Víctimas</w:t>
      </w:r>
      <w:proofErr w:type="spellEnd"/>
      <w:r w:rsidRPr="00733196">
        <w:rPr>
          <w:b/>
          <w:lang w:val="en-GB"/>
        </w:rPr>
        <w:t xml:space="preserve"> (CEAV)</w:t>
      </w:r>
      <w:r w:rsidRPr="00733196">
        <w:rPr>
          <w:lang w:val="en-GB"/>
        </w:rPr>
        <w:t>,</w:t>
      </w:r>
      <w:r w:rsidRPr="00733196">
        <w:rPr>
          <w:rStyle w:val="Funotenzeichen"/>
          <w:lang w:val="en-GB"/>
        </w:rPr>
        <w:footnoteReference w:id="47"/>
      </w:r>
      <w:r w:rsidRPr="00733196">
        <w:rPr>
          <w:b/>
          <w:lang w:val="en-GB"/>
        </w:rPr>
        <w:t xml:space="preserve"> </w:t>
      </w:r>
      <w:r w:rsidRPr="00733196">
        <w:rPr>
          <w:lang w:val="en-GB"/>
        </w:rPr>
        <w:t>the</w:t>
      </w:r>
      <w:r w:rsidRPr="00733196">
        <w:rPr>
          <w:b/>
          <w:lang w:val="en-GB"/>
        </w:rPr>
        <w:t xml:space="preserve"> Human Rights Commission of the Federal District (</w:t>
      </w:r>
      <w:proofErr w:type="spellStart"/>
      <w:r w:rsidRPr="00733196">
        <w:rPr>
          <w:b/>
          <w:i/>
          <w:lang w:val="en-GB"/>
        </w:rPr>
        <w:t>Comisión</w:t>
      </w:r>
      <w:proofErr w:type="spellEnd"/>
      <w:r w:rsidRPr="00733196">
        <w:rPr>
          <w:b/>
          <w:i/>
          <w:lang w:val="en-GB"/>
        </w:rPr>
        <w:t xml:space="preserve"> de </w:t>
      </w:r>
      <w:proofErr w:type="spellStart"/>
      <w:r w:rsidRPr="00733196">
        <w:rPr>
          <w:b/>
          <w:i/>
          <w:lang w:val="en-GB"/>
        </w:rPr>
        <w:t>Derechos</w:t>
      </w:r>
      <w:proofErr w:type="spellEnd"/>
      <w:r w:rsidRPr="00733196">
        <w:rPr>
          <w:b/>
          <w:i/>
          <w:lang w:val="en-GB"/>
        </w:rPr>
        <w:t xml:space="preserve"> Humanos del </w:t>
      </w:r>
      <w:r w:rsidRPr="00733196">
        <w:rPr>
          <w:b/>
          <w:i/>
          <w:lang w:val="en-GB"/>
        </w:rPr>
        <w:lastRenderedPageBreak/>
        <w:t>Distrito Federal de la Ciudad de México</w:t>
      </w:r>
      <w:r w:rsidRPr="00733196">
        <w:rPr>
          <w:b/>
          <w:lang w:val="en-GB"/>
        </w:rPr>
        <w:t>, CDHDF)</w:t>
      </w:r>
      <w:r w:rsidRPr="00733196">
        <w:rPr>
          <w:rStyle w:val="Funotenzeichen"/>
          <w:lang w:val="en-GB"/>
        </w:rPr>
        <w:footnoteReference w:id="48"/>
      </w:r>
      <w:r w:rsidRPr="00733196">
        <w:rPr>
          <w:lang w:val="en-GB"/>
        </w:rPr>
        <w:t xml:space="preserve"> </w:t>
      </w:r>
      <w:r w:rsidRPr="00733196">
        <w:rPr>
          <w:rStyle w:val="Funotenzeichen"/>
          <w:lang w:val="en-GB"/>
        </w:rPr>
        <w:footnoteReference w:id="49"/>
      </w:r>
      <w:r w:rsidRPr="00733196">
        <w:rPr>
          <w:lang w:val="en-GB"/>
        </w:rPr>
        <w:t xml:space="preserve"> </w:t>
      </w:r>
      <w:r w:rsidRPr="00733196">
        <w:rPr>
          <w:rStyle w:val="Funotenzeichen"/>
          <w:lang w:val="en-GB"/>
        </w:rPr>
        <w:footnoteReference w:id="50"/>
      </w:r>
      <w:r w:rsidRPr="00733196">
        <w:rPr>
          <w:lang w:val="en-GB"/>
        </w:rPr>
        <w:t xml:space="preserve"> </w:t>
      </w:r>
      <w:r w:rsidRPr="00733196">
        <w:rPr>
          <w:rStyle w:val="Funotenzeichen"/>
          <w:lang w:val="en-GB"/>
        </w:rPr>
        <w:footnoteReference w:id="51"/>
      </w:r>
      <w:r w:rsidRPr="00733196">
        <w:rPr>
          <w:lang w:val="en-GB"/>
        </w:rPr>
        <w:t xml:space="preserve"> </w:t>
      </w:r>
      <w:r w:rsidRPr="00733196">
        <w:rPr>
          <w:rStyle w:val="Funotenzeichen"/>
          <w:lang w:val="en-GB"/>
        </w:rPr>
        <w:footnoteReference w:id="52"/>
      </w:r>
      <w:r w:rsidRPr="00733196">
        <w:rPr>
          <w:lang w:val="en-GB"/>
        </w:rPr>
        <w:t xml:space="preserve"> and the </w:t>
      </w:r>
      <w:r w:rsidRPr="00733196">
        <w:rPr>
          <w:b/>
          <w:lang w:val="en-GB"/>
        </w:rPr>
        <w:t>National Council for the Prevention of Discrimination (</w:t>
      </w:r>
      <w:proofErr w:type="spellStart"/>
      <w:r w:rsidRPr="00733196">
        <w:rPr>
          <w:b/>
          <w:i/>
          <w:lang w:val="en-GB"/>
        </w:rPr>
        <w:t>Consejo</w:t>
      </w:r>
      <w:proofErr w:type="spellEnd"/>
      <w:r w:rsidRPr="00733196">
        <w:rPr>
          <w:b/>
          <w:i/>
          <w:lang w:val="en-GB"/>
        </w:rPr>
        <w:t xml:space="preserve"> Nacional para </w:t>
      </w:r>
      <w:proofErr w:type="spellStart"/>
      <w:r w:rsidRPr="00733196">
        <w:rPr>
          <w:b/>
          <w:i/>
          <w:lang w:val="en-GB"/>
        </w:rPr>
        <w:t>Prevenir</w:t>
      </w:r>
      <w:proofErr w:type="spellEnd"/>
      <w:r w:rsidRPr="00733196">
        <w:rPr>
          <w:b/>
          <w:i/>
          <w:lang w:val="en-GB"/>
        </w:rPr>
        <w:t xml:space="preserve"> la </w:t>
      </w:r>
      <w:proofErr w:type="spellStart"/>
      <w:r w:rsidRPr="00733196">
        <w:rPr>
          <w:b/>
          <w:i/>
          <w:lang w:val="en-GB"/>
        </w:rPr>
        <w:t>Discriminación</w:t>
      </w:r>
      <w:proofErr w:type="spellEnd"/>
      <w:r w:rsidRPr="00733196">
        <w:rPr>
          <w:b/>
          <w:lang w:val="en-GB"/>
        </w:rPr>
        <w:t>, CONAPRED).</w:t>
      </w:r>
      <w:r w:rsidRPr="00733196">
        <w:rPr>
          <w:rStyle w:val="Funotenzeichen"/>
          <w:lang w:val="en-GB"/>
        </w:rPr>
        <w:footnoteReference w:id="53"/>
      </w:r>
    </w:p>
    <w:p w:rsidR="00A402C4" w:rsidRPr="00733196" w:rsidRDefault="00A402C4" w:rsidP="00A402C4">
      <w:pPr>
        <w:pStyle w:val="absatzschattenbericht"/>
        <w:rPr>
          <w:lang w:val="en-GB"/>
        </w:rPr>
      </w:pPr>
      <w:r w:rsidRPr="00733196">
        <w:rPr>
          <w:lang w:val="en-GB"/>
        </w:rPr>
        <w:t xml:space="preserve">In 2017 also the Mexican </w:t>
      </w:r>
      <w:r w:rsidRPr="00733196">
        <w:rPr>
          <w:b/>
          <w:lang w:val="en-GB"/>
        </w:rPr>
        <w:t>Ministry of</w:t>
      </w:r>
      <w:r w:rsidRPr="00733196">
        <w:rPr>
          <w:lang w:val="en-GB"/>
        </w:rPr>
        <w:t xml:space="preserve"> </w:t>
      </w:r>
      <w:r w:rsidRPr="00733196">
        <w:rPr>
          <w:b/>
          <w:lang w:val="en-GB"/>
        </w:rPr>
        <w:t>Health</w:t>
      </w:r>
      <w:r w:rsidRPr="00733196">
        <w:rPr>
          <w:lang w:val="en-GB"/>
        </w:rPr>
        <w:t xml:space="preserve"> (</w:t>
      </w:r>
      <w:proofErr w:type="spellStart"/>
      <w:r w:rsidRPr="00733196">
        <w:rPr>
          <w:i/>
          <w:iCs/>
          <w:lang w:val="en-GB"/>
        </w:rPr>
        <w:t>Secretaría</w:t>
      </w:r>
      <w:proofErr w:type="spellEnd"/>
      <w:r w:rsidRPr="00733196">
        <w:rPr>
          <w:i/>
          <w:iCs/>
          <w:lang w:val="en-GB"/>
        </w:rPr>
        <w:t xml:space="preserve"> de </w:t>
      </w:r>
      <w:proofErr w:type="spellStart"/>
      <w:r w:rsidRPr="00733196">
        <w:rPr>
          <w:i/>
          <w:iCs/>
          <w:lang w:val="en-GB"/>
        </w:rPr>
        <w:t>Salud</w:t>
      </w:r>
      <w:proofErr w:type="spellEnd"/>
      <w:r w:rsidRPr="00733196">
        <w:rPr>
          <w:lang w:val="en-GB"/>
        </w:rPr>
        <w:t xml:space="preserve">) criticised involuntary non-urgent genital surgeries and other harmful medical treatment on intersex children in its </w:t>
      </w:r>
      <w:r w:rsidRPr="00733196">
        <w:rPr>
          <w:b/>
          <w:lang w:val="en-GB"/>
        </w:rPr>
        <w:t>“Guide of Recommendations for the Care of Intersexuality and Variations of Sexual Differentiation”</w:t>
      </w:r>
      <w:r w:rsidRPr="00733196">
        <w:rPr>
          <w:lang w:val="en-GB"/>
        </w:rPr>
        <w:t xml:space="preserve"> (</w:t>
      </w:r>
      <w:proofErr w:type="spellStart"/>
      <w:r w:rsidRPr="00733196">
        <w:rPr>
          <w:i/>
          <w:lang w:val="en-GB"/>
        </w:rPr>
        <w:t>Guía</w:t>
      </w:r>
      <w:proofErr w:type="spellEnd"/>
      <w:r w:rsidRPr="00733196">
        <w:rPr>
          <w:i/>
          <w:lang w:val="en-GB"/>
        </w:rPr>
        <w:t xml:space="preserve"> de </w:t>
      </w:r>
      <w:proofErr w:type="spellStart"/>
      <w:r w:rsidRPr="00733196">
        <w:rPr>
          <w:i/>
          <w:lang w:val="en-GB"/>
        </w:rPr>
        <w:t>recomendaciones</w:t>
      </w:r>
      <w:proofErr w:type="spellEnd"/>
      <w:r w:rsidRPr="00733196">
        <w:rPr>
          <w:i/>
          <w:lang w:val="en-GB"/>
        </w:rPr>
        <w:t xml:space="preserve"> para la </w:t>
      </w:r>
      <w:proofErr w:type="spellStart"/>
      <w:r w:rsidRPr="00733196">
        <w:rPr>
          <w:i/>
          <w:lang w:val="en-GB"/>
        </w:rPr>
        <w:t>Atención</w:t>
      </w:r>
      <w:proofErr w:type="spellEnd"/>
      <w:r w:rsidRPr="00733196">
        <w:rPr>
          <w:i/>
          <w:lang w:val="en-GB"/>
        </w:rPr>
        <w:t xml:space="preserve"> de </w:t>
      </w:r>
      <w:proofErr w:type="spellStart"/>
      <w:r w:rsidRPr="00733196">
        <w:rPr>
          <w:i/>
          <w:lang w:val="en-GB"/>
        </w:rPr>
        <w:t>Intersexualidad</w:t>
      </w:r>
      <w:proofErr w:type="spellEnd"/>
      <w:r w:rsidRPr="00733196">
        <w:rPr>
          <w:i/>
          <w:lang w:val="en-GB"/>
        </w:rPr>
        <w:t xml:space="preserve"> y </w:t>
      </w:r>
      <w:proofErr w:type="spellStart"/>
      <w:r w:rsidRPr="00733196">
        <w:rPr>
          <w:i/>
          <w:lang w:val="en-GB"/>
        </w:rPr>
        <w:t>Variación</w:t>
      </w:r>
      <w:proofErr w:type="spellEnd"/>
      <w:r w:rsidRPr="00733196">
        <w:rPr>
          <w:i/>
          <w:lang w:val="en-GB"/>
        </w:rPr>
        <w:t xml:space="preserve"> </w:t>
      </w:r>
      <w:proofErr w:type="spellStart"/>
      <w:r w:rsidRPr="00733196">
        <w:rPr>
          <w:i/>
          <w:lang w:val="en-GB"/>
        </w:rPr>
        <w:t>en</w:t>
      </w:r>
      <w:proofErr w:type="spellEnd"/>
      <w:r w:rsidRPr="00733196">
        <w:rPr>
          <w:i/>
          <w:lang w:val="en-GB"/>
        </w:rPr>
        <w:t xml:space="preserve"> la </w:t>
      </w:r>
      <w:proofErr w:type="spellStart"/>
      <w:r w:rsidRPr="00733196">
        <w:rPr>
          <w:i/>
          <w:lang w:val="en-GB"/>
        </w:rPr>
        <w:t>Diferenciación</w:t>
      </w:r>
      <w:proofErr w:type="spellEnd"/>
      <w:r w:rsidRPr="00733196">
        <w:rPr>
          <w:i/>
          <w:lang w:val="en-GB"/>
        </w:rPr>
        <w:t xml:space="preserve"> Sexual</w:t>
      </w:r>
      <w:r w:rsidRPr="00733196">
        <w:rPr>
          <w:lang w:val="en-GB"/>
        </w:rPr>
        <w:t xml:space="preserve">) (see </w:t>
      </w:r>
      <w:r>
        <w:rPr>
          <w:lang w:val="en-GB"/>
        </w:rPr>
        <w:t xml:space="preserve">CCPR NGO Report together with </w:t>
      </w:r>
      <w:proofErr w:type="spellStart"/>
      <w:r>
        <w:rPr>
          <w:lang w:val="en-GB"/>
        </w:rPr>
        <w:t>Brújula</w:t>
      </w:r>
      <w:proofErr w:type="spellEnd"/>
      <w:r>
        <w:rPr>
          <w:lang w:val="en-GB"/>
        </w:rPr>
        <w:t xml:space="preserve"> Intersexual and </w:t>
      </w:r>
      <w:proofErr w:type="spellStart"/>
      <w:r>
        <w:rPr>
          <w:lang w:val="en-GB"/>
        </w:rPr>
        <w:t>Vivir</w:t>
      </w:r>
      <w:proofErr w:type="spellEnd"/>
      <w:r>
        <w:rPr>
          <w:lang w:val="en-GB"/>
        </w:rPr>
        <w:t xml:space="preserve"> y Ser Intersex,</w:t>
      </w:r>
      <w:r w:rsidR="003272F4">
        <w:rPr>
          <w:lang w:val="en-GB"/>
        </w:rPr>
        <w:br/>
      </w:r>
      <w:r>
        <w:rPr>
          <w:lang w:val="en-GB"/>
        </w:rPr>
        <w:t>p.</w:t>
      </w:r>
      <w:r w:rsidRPr="00733196">
        <w:rPr>
          <w:lang w:val="en-GB"/>
        </w:rPr>
        <w:t xml:space="preserve"> 10-11).</w:t>
      </w:r>
      <w:r w:rsidR="007123BE" w:rsidRPr="0085290C">
        <w:rPr>
          <w:rStyle w:val="Funotenzeichen"/>
          <w:rFonts w:cs="Times New Roman"/>
          <w:lang w:val="en-GB"/>
        </w:rPr>
        <w:footnoteReference w:id="54"/>
      </w:r>
    </w:p>
    <w:p w:rsidR="00A402C4" w:rsidRPr="00733196" w:rsidRDefault="00A402C4" w:rsidP="00A402C4">
      <w:pPr>
        <w:pStyle w:val="absatzschattenbericht"/>
        <w:rPr>
          <w:bCs/>
          <w:lang w:val="en-GB"/>
        </w:rPr>
      </w:pPr>
      <w:r w:rsidRPr="00733196">
        <w:rPr>
          <w:b/>
          <w:bCs/>
          <w:lang w:val="en-GB"/>
        </w:rPr>
        <w:t xml:space="preserve">Mexican </w:t>
      </w:r>
      <w:r w:rsidRPr="00733196">
        <w:rPr>
          <w:b/>
          <w:lang w:val="en-GB"/>
        </w:rPr>
        <w:t>paediatric surgeons</w:t>
      </w:r>
      <w:r w:rsidRPr="00733196">
        <w:rPr>
          <w:lang w:val="en-GB"/>
        </w:rPr>
        <w:t xml:space="preserve">, despite </w:t>
      </w:r>
      <w:r w:rsidRPr="00733196">
        <w:rPr>
          <w:b/>
          <w:lang w:val="en-GB"/>
        </w:rPr>
        <w:t>openly admitting to knowledge of relevant criticisms</w:t>
      </w:r>
      <w:r w:rsidRPr="00733196">
        <w:rPr>
          <w:lang w:val="en-GB"/>
        </w:rPr>
        <w:t xml:space="preserve"> by human rights and ethics bodies, nonetheless continue to </w:t>
      </w:r>
      <w:r w:rsidRPr="00733196">
        <w:rPr>
          <w:b/>
          <w:lang w:val="en-GB"/>
        </w:rPr>
        <w:t>consciously refuse to stop advocating, practicing and participating in IGM practices</w:t>
      </w:r>
      <w:r w:rsidRPr="00733196">
        <w:rPr>
          <w:bCs/>
          <w:lang w:val="en-GB"/>
        </w:rPr>
        <w:t>.</w:t>
      </w:r>
    </w:p>
    <w:p w:rsidR="00A402C4" w:rsidRPr="00733196" w:rsidRDefault="00A402C4" w:rsidP="00A402C4">
      <w:pPr>
        <w:pStyle w:val="absatzschattenbericht"/>
        <w:rPr>
          <w:bCs/>
          <w:i/>
          <w:lang w:val="en-GB"/>
        </w:rPr>
      </w:pPr>
      <w:r w:rsidRPr="00733196">
        <w:rPr>
          <w:bCs/>
          <w:lang w:val="en-GB"/>
        </w:rPr>
        <w:t xml:space="preserve">Nonetheless, </w:t>
      </w:r>
      <w:r w:rsidRPr="00733196">
        <w:rPr>
          <w:b/>
          <w:lang w:val="en-GB"/>
        </w:rPr>
        <w:t>Mexican government bodies refuse to take any appropriate action</w:t>
      </w:r>
      <w:r w:rsidRPr="00733196">
        <w:rPr>
          <w:bCs/>
          <w:lang w:val="en-GB"/>
        </w:rPr>
        <w:t xml:space="preserve">, but continue to </w:t>
      </w:r>
      <w:r w:rsidRPr="00733196">
        <w:rPr>
          <w:b/>
          <w:lang w:val="en-GB"/>
        </w:rPr>
        <w:t>ignore the full human rights implications</w:t>
      </w:r>
      <w:r w:rsidRPr="00733196">
        <w:rPr>
          <w:bCs/>
          <w:lang w:val="en-GB"/>
        </w:rPr>
        <w:t xml:space="preserve"> of IGM, and </w:t>
      </w:r>
      <w:r w:rsidRPr="00733196">
        <w:rPr>
          <w:b/>
          <w:lang w:val="en-GB"/>
        </w:rPr>
        <w:t>allow IGM doctors to continue practicing with impunity.</w:t>
      </w:r>
    </w:p>
    <w:bookmarkEnd w:id="7"/>
    <w:bookmarkEnd w:id="8"/>
    <w:bookmarkEnd w:id="31"/>
    <w:p w:rsidR="00A402C4" w:rsidRDefault="00A402C4">
      <w:pPr>
        <w:spacing w:after="0" w:line="240" w:lineRule="auto"/>
        <w:rPr>
          <w:rFonts w:ascii="Arial" w:eastAsia="Helvetica-Bold" w:hAnsi="Arial" w:cs="Arial"/>
          <w:b/>
          <w:bCs/>
          <w:iCs/>
          <w:color w:val="5E175E"/>
          <w:spacing w:val="2"/>
          <w:kern w:val="1"/>
          <w:sz w:val="32"/>
          <w:szCs w:val="32"/>
          <w:lang w:val="en-GB" w:eastAsia="zh-CN" w:bidi="hi-IN"/>
        </w:rPr>
      </w:pPr>
      <w:r>
        <w:rPr>
          <w:sz w:val="32"/>
          <w:szCs w:val="32"/>
        </w:rPr>
        <w:br w:type="page"/>
      </w:r>
    </w:p>
    <w:p w:rsidR="003E09DF" w:rsidRPr="006F74DB" w:rsidRDefault="00A402C4" w:rsidP="003E09DF">
      <w:pPr>
        <w:pStyle w:val="Title2"/>
        <w:rPr>
          <w:sz w:val="32"/>
          <w:szCs w:val="32"/>
        </w:rPr>
      </w:pPr>
      <w:bookmarkStart w:id="53" w:name="_Toc174653891"/>
      <w:r>
        <w:rPr>
          <w:sz w:val="32"/>
          <w:szCs w:val="32"/>
        </w:rPr>
        <w:lastRenderedPageBreak/>
        <w:t>7</w:t>
      </w:r>
      <w:r w:rsidR="003E09DF" w:rsidRPr="006F74DB">
        <w:rPr>
          <w:sz w:val="32"/>
          <w:szCs w:val="32"/>
        </w:rPr>
        <w:t xml:space="preserve">.  </w:t>
      </w:r>
      <w:r w:rsidR="008F2023" w:rsidRPr="006F74DB">
        <w:rPr>
          <w:sz w:val="32"/>
          <w:szCs w:val="32"/>
        </w:rPr>
        <w:t xml:space="preserve">Suggested </w:t>
      </w:r>
      <w:r w:rsidR="004D74F4" w:rsidRPr="006F74DB">
        <w:rPr>
          <w:sz w:val="32"/>
          <w:szCs w:val="32"/>
        </w:rPr>
        <w:t>Recommendations</w:t>
      </w:r>
      <w:bookmarkEnd w:id="53"/>
    </w:p>
    <w:p w:rsidR="00E04B8B" w:rsidRPr="006F74DB" w:rsidRDefault="00E04B8B" w:rsidP="00E04B8B">
      <w:pPr>
        <w:pStyle w:val="absatzschattenbericht"/>
        <w:rPr>
          <w:sz w:val="12"/>
          <w:szCs w:val="12"/>
          <w:highlight w:val="yellow"/>
          <w:lang w:val="en-GB"/>
        </w:rPr>
      </w:pPr>
    </w:p>
    <w:p w:rsidR="001A19D7" w:rsidRPr="00E04B8B" w:rsidRDefault="001A19D7" w:rsidP="00BD3142">
      <w:pPr>
        <w:pStyle w:val="absatzschattenbericht"/>
        <w:rPr>
          <w:b/>
          <w:i/>
          <w:iCs/>
          <w:lang w:val="en-GB"/>
        </w:rPr>
      </w:pPr>
      <w:r w:rsidRPr="00E04B8B">
        <w:rPr>
          <w:i/>
          <w:iCs/>
          <w:lang w:val="en-GB"/>
        </w:rPr>
        <w:t xml:space="preserve">The Rapporteurs respectfully suggest that, with respect to the treatment of intersex persons in </w:t>
      </w:r>
      <w:r w:rsidR="008B28CF" w:rsidRPr="00E04B8B">
        <w:rPr>
          <w:i/>
          <w:iCs/>
          <w:lang w:val="en-GB"/>
        </w:rPr>
        <w:t>Mexico</w:t>
      </w:r>
      <w:r w:rsidRPr="00E04B8B">
        <w:rPr>
          <w:i/>
          <w:iCs/>
          <w:lang w:val="en-GB"/>
        </w:rPr>
        <w:t xml:space="preserve">, the Committee includes the following measures in their recommendations to the </w:t>
      </w:r>
      <w:r w:rsidR="00E04B8B">
        <w:rPr>
          <w:i/>
          <w:iCs/>
          <w:lang w:val="en-GB"/>
        </w:rPr>
        <w:t>Mexican</w:t>
      </w:r>
      <w:r w:rsidRPr="00E04B8B">
        <w:rPr>
          <w:i/>
          <w:iCs/>
          <w:lang w:val="en-GB"/>
        </w:rPr>
        <w:t xml:space="preserve"> Government (in line with this Committee’s previous recommendations on IGM practices).</w:t>
      </w:r>
    </w:p>
    <w:p w:rsidR="001A19D7" w:rsidRPr="006F74DB" w:rsidRDefault="001A19D7" w:rsidP="001A19D7">
      <w:pPr>
        <w:pStyle w:val="absatzschattenbericht"/>
        <w:rPr>
          <w:sz w:val="12"/>
          <w:szCs w:val="12"/>
          <w:highlight w:val="yellow"/>
          <w:lang w:val="en-GB"/>
        </w:rPr>
      </w:pPr>
    </w:p>
    <w:p w:rsidR="001A19D7" w:rsidRPr="006F74DB" w:rsidRDefault="001A19D7" w:rsidP="001A19D7">
      <w:pPr>
        <w:pStyle w:val="absatzschattenbericht"/>
        <w:rPr>
          <w:b/>
          <w:sz w:val="28"/>
          <w:szCs w:val="28"/>
          <w:lang w:val="en-GB"/>
        </w:rPr>
      </w:pPr>
      <w:r w:rsidRPr="006F74DB">
        <w:rPr>
          <w:b/>
          <w:sz w:val="28"/>
          <w:szCs w:val="28"/>
          <w:lang w:val="en-GB"/>
        </w:rPr>
        <w:t>Harmful practices: Intersex children (art. 24(3))</w:t>
      </w:r>
    </w:p>
    <w:p w:rsidR="008B28CF" w:rsidRPr="008B28CF" w:rsidRDefault="008B28CF" w:rsidP="008B28CF">
      <w:pPr>
        <w:pStyle w:val="absatzschattenbericht"/>
        <w:rPr>
          <w:bCs/>
          <w:sz w:val="28"/>
          <w:szCs w:val="28"/>
          <w:lang w:val="en-GB"/>
        </w:rPr>
      </w:pPr>
      <w:r w:rsidRPr="008B28CF">
        <w:rPr>
          <w:bCs/>
          <w:sz w:val="28"/>
          <w:szCs w:val="28"/>
          <w:lang w:val="en-GB"/>
        </w:rPr>
        <w:t xml:space="preserve">The Committee is seriously concerned about cases of medically unnecessary and irreversible surgery and other treatment of intersex children and adults without their informed consent, which can cause severe suffering, and the lack of redress and compensation in such cases, and about reports of intersex </w:t>
      </w:r>
      <w:r w:rsidRPr="008B28CF">
        <w:rPr>
          <w:bCs/>
          <w:iCs/>
          <w:sz w:val="28"/>
          <w:szCs w:val="28"/>
          <w:lang w:val="en-GB"/>
        </w:rPr>
        <w:t xml:space="preserve">persons being denied needed health care, and children prevented from attending school and unable to obtain official </w:t>
      </w:r>
      <w:r>
        <w:rPr>
          <w:bCs/>
          <w:iCs/>
          <w:sz w:val="28"/>
          <w:szCs w:val="28"/>
          <w:lang w:val="en-GB"/>
        </w:rPr>
        <w:t>papers.</w:t>
      </w:r>
    </w:p>
    <w:p w:rsidR="001A19D7" w:rsidRDefault="001A19D7" w:rsidP="001A19D7">
      <w:pPr>
        <w:pStyle w:val="absatzschattenbericht"/>
        <w:rPr>
          <w:b/>
          <w:sz w:val="28"/>
          <w:szCs w:val="28"/>
          <w:lang w:val="en-GB"/>
        </w:rPr>
      </w:pPr>
      <w:r w:rsidRPr="006F74DB">
        <w:rPr>
          <w:b/>
          <w:sz w:val="28"/>
          <w:szCs w:val="28"/>
          <w:lang w:val="en-GB"/>
        </w:rPr>
        <w:t>With reference to the joint general recommendation No. 31 of the Committee on the Elimination of Discrimination against Women/general comment No. 18 of the Committee on the Rights of the Child (2019) on harmful practices, and taking note of target 5.3 of the Sustainable Development Goals, the Committee urges the State party to:</w:t>
      </w:r>
    </w:p>
    <w:p w:rsidR="008B28CF" w:rsidRPr="008B28CF" w:rsidRDefault="008B28CF" w:rsidP="00E04B8B">
      <w:pPr>
        <w:pStyle w:val="absatzschattenbericht"/>
        <w:numPr>
          <w:ilvl w:val="0"/>
          <w:numId w:val="28"/>
        </w:numPr>
        <w:ind w:left="567" w:hanging="567"/>
        <w:rPr>
          <w:b/>
          <w:sz w:val="28"/>
          <w:szCs w:val="28"/>
          <w:lang w:val="en-GB"/>
        </w:rPr>
      </w:pPr>
      <w:r w:rsidRPr="008B28CF">
        <w:rPr>
          <w:b/>
          <w:sz w:val="28"/>
          <w:szCs w:val="28"/>
          <w:lang w:val="en-GB"/>
        </w:rPr>
        <w:t>Adopt necessary provisions explicitly prohibiting the performance of unnecessary surgical or other medical treatment on intersex children until they reach an age when they can give their free, prior and informed consent; and provide families of intersex children with adequate counselling and support.</w:t>
      </w:r>
    </w:p>
    <w:p w:rsidR="008B28CF" w:rsidRPr="008B28CF" w:rsidRDefault="008B28CF" w:rsidP="00E04B8B">
      <w:pPr>
        <w:pStyle w:val="absatzschattenbericht"/>
        <w:numPr>
          <w:ilvl w:val="0"/>
          <w:numId w:val="28"/>
        </w:numPr>
        <w:ind w:left="567" w:hanging="567"/>
        <w:rPr>
          <w:b/>
          <w:sz w:val="28"/>
          <w:szCs w:val="28"/>
          <w:lang w:val="en-GB"/>
        </w:rPr>
      </w:pPr>
      <w:r w:rsidRPr="008B28CF">
        <w:rPr>
          <w:b/>
          <w:sz w:val="28"/>
          <w:szCs w:val="28"/>
          <w:lang w:val="en-GB"/>
        </w:rPr>
        <w:t>Undertake investigation of incidents of surgical and other medical treatment of intersex persons without informed consent and adopt legal provisions in order to provide redress to the victims of such treatment, including adequate compensation;</w:t>
      </w:r>
    </w:p>
    <w:p w:rsidR="008B28CF" w:rsidRPr="008B28CF" w:rsidRDefault="008B28CF" w:rsidP="00E04B8B">
      <w:pPr>
        <w:pStyle w:val="absatzschattenbericht"/>
        <w:numPr>
          <w:ilvl w:val="0"/>
          <w:numId w:val="28"/>
        </w:numPr>
        <w:ind w:left="567" w:hanging="567"/>
        <w:rPr>
          <w:b/>
          <w:sz w:val="28"/>
          <w:szCs w:val="28"/>
          <w:lang w:val="en-GB"/>
        </w:rPr>
      </w:pPr>
      <w:r w:rsidRPr="008B28CF">
        <w:rPr>
          <w:b/>
          <w:sz w:val="28"/>
          <w:szCs w:val="28"/>
          <w:lang w:val="en-GB"/>
        </w:rPr>
        <w:t>Systematically collect disaggregated data on IGM practices in the State party and make information on the ways to combat these practices widely available;</w:t>
      </w:r>
    </w:p>
    <w:p w:rsidR="008B28CF" w:rsidRPr="008B28CF" w:rsidRDefault="008B28CF" w:rsidP="00E04B8B">
      <w:pPr>
        <w:pStyle w:val="absatzschattenbericht"/>
        <w:numPr>
          <w:ilvl w:val="0"/>
          <w:numId w:val="28"/>
        </w:numPr>
        <w:ind w:left="567" w:hanging="567"/>
        <w:rPr>
          <w:b/>
          <w:sz w:val="28"/>
          <w:szCs w:val="28"/>
          <w:lang w:val="en-GB"/>
        </w:rPr>
      </w:pPr>
      <w:r w:rsidRPr="008B28CF">
        <w:rPr>
          <w:b/>
          <w:sz w:val="28"/>
          <w:szCs w:val="28"/>
          <w:lang w:val="en-GB"/>
        </w:rPr>
        <w:t>Educate and train medical professionals on the harmful impact of unnecessary surgical or other medical interventions for intersex children, and ensure that the views of intersex persons are fully considered by the interdisciplinary working groups established to review these procedures;</w:t>
      </w:r>
    </w:p>
    <w:p w:rsidR="009C6194" w:rsidRPr="00E04B8B" w:rsidRDefault="008B28CF" w:rsidP="00E04B8B">
      <w:pPr>
        <w:pStyle w:val="absatzschattenbericht"/>
        <w:numPr>
          <w:ilvl w:val="0"/>
          <w:numId w:val="28"/>
        </w:numPr>
        <w:ind w:left="567" w:hanging="567"/>
        <w:rPr>
          <w:b/>
          <w:sz w:val="28"/>
          <w:szCs w:val="28"/>
          <w:lang w:val="en-GB"/>
        </w:rPr>
      </w:pPr>
      <w:r w:rsidRPr="008B28CF">
        <w:rPr>
          <w:b/>
          <w:sz w:val="28"/>
          <w:szCs w:val="28"/>
          <w:lang w:val="en-GB"/>
        </w:rPr>
        <w:t>Ensure that all intersex children have access to legal documents including birth certificates.</w:t>
      </w:r>
    </w:p>
    <w:sectPr w:rsidR="009C6194" w:rsidRPr="00E04B8B" w:rsidSect="00FC2867">
      <w:headerReference w:type="default" r:id="rId8"/>
      <w:headerReference w:type="first" r:id="rId9"/>
      <w:foot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40123" w:rsidRDefault="00240123" w:rsidP="005541D9">
      <w:pPr>
        <w:spacing w:after="0" w:line="240" w:lineRule="auto"/>
      </w:pPr>
      <w:r>
        <w:separator/>
      </w:r>
    </w:p>
  </w:endnote>
  <w:endnote w:type="continuationSeparator" w:id="0">
    <w:p w:rsidR="00240123" w:rsidRDefault="00240123" w:rsidP="00554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OpenSymbol">
    <w:altName w:val="Arial Unicode MS"/>
    <w:panose1 w:val="020B0604020202020204"/>
    <w:charset w:val="80"/>
    <w:family w:val="auto"/>
    <w:pitch w:val="default"/>
  </w:font>
  <w:font w:name="Baskerville">
    <w:altName w:val="Baskerville"/>
    <w:panose1 w:val="02020502070401020303"/>
    <w:charset w:val="00"/>
    <w:family w:val="roman"/>
    <w:pitch w:val="variable"/>
    <w:sig w:usb0="80000067" w:usb1="02000000"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Bold">
    <w:altName w:val="Yu Gothic"/>
    <w:panose1 w:val="00000000000000000000"/>
    <w:charset w:val="00"/>
    <w:family w:val="auto"/>
    <w:pitch w:val="variable"/>
    <w:sig w:usb0="00000001"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askerville-SemiBold">
    <w:altName w:val="Baskerville Old Face"/>
    <w:panose1 w:val="02020702070400020203"/>
    <w:charset w:val="00"/>
    <w:family w:val="roman"/>
    <w:pitch w:val="variable"/>
    <w:sig w:usb0="00000001" w:usb1="02000040"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Baskerville-SemiBoldItalic">
    <w:altName w:val="Baskerville"/>
    <w:panose1 w:val="02020702070400090203"/>
    <w:charset w:val="00"/>
    <w:family w:val="roman"/>
    <w:pitch w:val="variable"/>
    <w:sig w:usb0="80000067" w:usb1="02000040" w:usb2="00000000" w:usb3="00000000" w:csb0="0000019F" w:csb1="00000000"/>
  </w:font>
  <w:font w:name="ZWAdobeF">
    <w:altName w:val="Times New Roman"/>
    <w:panose1 w:val="020B0604020202020204"/>
    <w:charset w:val="00"/>
    <w:family w:val="auto"/>
    <w:pitch w:val="variable"/>
    <w:sig w:usb0="20002A87" w:usb1="00000000" w:usb2="00000000"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D3142" w:rsidRDefault="00BD3142" w:rsidP="003E391D">
    <w:pPr>
      <w:spacing w:after="0" w:line="240" w:lineRule="auto"/>
      <w:jc w:val="right"/>
      <w:rPr>
        <w:rFonts w:ascii="Century Gothic" w:hAnsi="Century Gothic" w:cs="Century Gothic"/>
        <w:color w:val="660066"/>
        <w:sz w:val="24"/>
      </w:rPr>
    </w:pPr>
  </w:p>
  <w:p w:rsidR="00BD3142" w:rsidRDefault="00BD3142" w:rsidP="003E391D">
    <w:pPr>
      <w:spacing w:after="0" w:line="240" w:lineRule="auto"/>
      <w:jc w:val="right"/>
      <w:rPr>
        <w:rFonts w:ascii="Century Gothic" w:hAnsi="Century Gothic" w:cs="Century Gothic"/>
        <w:color w:val="660066"/>
        <w:sz w:val="24"/>
      </w:rPr>
    </w:pPr>
    <w:r>
      <w:rPr>
        <w:rFonts w:ascii="Century Gothic" w:hAnsi="Century Gothic" w:cs="Century Gothic"/>
        <w:color w:val="660066"/>
        <w:sz w:val="24"/>
      </w:rPr>
      <w:t xml:space="preserve">c/o Zwischengeschlecht.org </w:t>
    </w:r>
    <w:proofErr w:type="gramStart"/>
    <w:r>
      <w:rPr>
        <w:rFonts w:ascii="Century Gothic" w:hAnsi="Century Gothic" w:cs="Century Gothic"/>
        <w:color w:val="660066"/>
        <w:sz w:val="24"/>
      </w:rPr>
      <w:t xml:space="preserve">·  </w:t>
    </w:r>
    <w:proofErr w:type="spellStart"/>
    <w:r>
      <w:rPr>
        <w:rFonts w:ascii="Century Gothic" w:hAnsi="Century Gothic" w:cs="Century Gothic"/>
        <w:color w:val="660066"/>
        <w:sz w:val="24"/>
      </w:rPr>
      <w:t>P.O.Box</w:t>
    </w:r>
    <w:proofErr w:type="spellEnd"/>
    <w:proofErr w:type="gramEnd"/>
    <w:r>
      <w:rPr>
        <w:rFonts w:ascii="Century Gothic" w:hAnsi="Century Gothic" w:cs="Century Gothic"/>
        <w:color w:val="660066"/>
        <w:sz w:val="24"/>
      </w:rPr>
      <w:t xml:space="preserve"> 1318 ·  CH-8031 </w:t>
    </w:r>
    <w:proofErr w:type="spellStart"/>
    <w:r>
      <w:rPr>
        <w:rFonts w:ascii="Century Gothic" w:hAnsi="Century Gothic" w:cs="Century Gothic"/>
        <w:color w:val="660066"/>
        <w:sz w:val="24"/>
      </w:rPr>
      <w:t>Zurich</w:t>
    </w:r>
    <w:proofErr w:type="spellEnd"/>
    <w:r>
      <w:rPr>
        <w:rFonts w:ascii="Century Gothic" w:hAnsi="Century Gothic" w:cs="Century Gothic"/>
        <w:color w:val="660066"/>
        <w:sz w:val="24"/>
      </w:rPr>
      <w:t xml:space="preserve"> ·  </w:t>
    </w:r>
    <w:proofErr w:type="spellStart"/>
    <w:r>
      <w:rPr>
        <w:rFonts w:ascii="Century Gothic" w:hAnsi="Century Gothic" w:cs="Century Gothic"/>
        <w:color w:val="660066"/>
        <w:sz w:val="24"/>
      </w:rPr>
      <w:t>Switzerland</w:t>
    </w:r>
    <w:proofErr w:type="spellEnd"/>
  </w:p>
  <w:p w:rsidR="00BD3142" w:rsidRDefault="00BD3142" w:rsidP="003E391D">
    <w:pPr>
      <w:spacing w:after="0" w:line="240" w:lineRule="auto"/>
      <w:jc w:val="right"/>
      <w:rPr>
        <w:rFonts w:ascii="Century Gothic" w:hAnsi="Century Gothic" w:cs="Century Gothic"/>
        <w:color w:val="660066"/>
        <w:sz w:val="24"/>
      </w:rPr>
    </w:pPr>
    <w:r>
      <w:rPr>
        <w:rFonts w:ascii="Century Gothic" w:hAnsi="Century Gothic" w:cs="Century Gothic"/>
        <w:color w:val="660066"/>
        <w:sz w:val="24"/>
      </w:rPr>
      <w:t>info@zwischengeschlecht.org</w:t>
    </w:r>
  </w:p>
  <w:p w:rsidR="00BD3142" w:rsidRPr="003E391D" w:rsidRDefault="00BD3142" w:rsidP="003E391D">
    <w:pPr>
      <w:spacing w:after="0" w:line="240" w:lineRule="auto"/>
      <w:jc w:val="right"/>
    </w:pPr>
    <w:r>
      <w:rPr>
        <w:rFonts w:ascii="Century Gothic" w:hAnsi="Century Gothic" w:cs="Century Gothic"/>
        <w:color w:val="660066"/>
        <w:sz w:val="24"/>
      </w:rPr>
      <w:t xml:space="preserve">Mobile +41 76 398 06 50 </w:t>
    </w:r>
    <w:proofErr w:type="gramStart"/>
    <w:r>
      <w:rPr>
        <w:rFonts w:ascii="Century Gothic" w:hAnsi="Century Gothic" w:cs="Century Gothic"/>
        <w:color w:val="660066"/>
        <w:sz w:val="24"/>
      </w:rPr>
      <w:t>·  https://stopigm.org</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40123" w:rsidRDefault="00240123" w:rsidP="005541D9">
      <w:pPr>
        <w:spacing w:after="0" w:line="240" w:lineRule="auto"/>
      </w:pPr>
      <w:r>
        <w:separator/>
      </w:r>
    </w:p>
  </w:footnote>
  <w:footnote w:type="continuationSeparator" w:id="0">
    <w:p w:rsidR="00240123" w:rsidRDefault="00240123" w:rsidP="005541D9">
      <w:pPr>
        <w:spacing w:after="0" w:line="240" w:lineRule="auto"/>
      </w:pPr>
      <w:r>
        <w:continuationSeparator/>
      </w:r>
    </w:p>
  </w:footnote>
  <w:footnote w:id="1">
    <w:p w:rsidR="00203C7D" w:rsidRPr="002B795A" w:rsidRDefault="00203C7D" w:rsidP="00203C7D">
      <w:pPr>
        <w:pStyle w:val="fussnoteschattenbericht"/>
      </w:pPr>
      <w:r w:rsidRPr="00A402C4">
        <w:rPr>
          <w:rStyle w:val="Funotenzeichen"/>
          <w:vertAlign w:val="baseline"/>
        </w:rPr>
        <w:footnoteRef/>
      </w:r>
      <w:r w:rsidRPr="002B795A">
        <w:rPr>
          <w:rStyle w:val="Funotenzeichen"/>
        </w:rPr>
        <w:tab/>
      </w:r>
      <w:hyperlink r:id="rId1" w:history="1">
        <w:r w:rsidRPr="001B3353">
          <w:rPr>
            <w:rStyle w:val="Hyperlink"/>
            <w:spacing w:val="0"/>
          </w:rPr>
          <w:t>https://Zwischengeschlecht.org/</w:t>
        </w:r>
      </w:hyperlink>
      <w:r>
        <w:rPr>
          <w:rStyle w:val="Hyperlink"/>
          <w:spacing w:val="0"/>
        </w:rPr>
        <w:t xml:space="preserve"> </w:t>
      </w:r>
      <w:r w:rsidRPr="002B795A">
        <w:t xml:space="preserve"> English homepage: </w:t>
      </w:r>
      <w:hyperlink r:id="rId2" w:history="1">
        <w:r w:rsidRPr="001B3353">
          <w:rPr>
            <w:rStyle w:val="Hyperlink"/>
            <w:spacing w:val="0"/>
          </w:rPr>
          <w:t>https://StopIGM.org</w:t>
        </w:r>
      </w:hyperlink>
      <w:r w:rsidRPr="002B795A">
        <w:t xml:space="preserve"> </w:t>
      </w:r>
    </w:p>
  </w:footnote>
  <w:footnote w:id="2">
    <w:p w:rsidR="00203C7D" w:rsidRPr="002B795A" w:rsidRDefault="00203C7D" w:rsidP="00203C7D">
      <w:pPr>
        <w:pStyle w:val="fussnoteschattenbericht"/>
      </w:pPr>
      <w:r w:rsidRPr="00A402C4">
        <w:rPr>
          <w:rStyle w:val="Funotenzeichen"/>
          <w:vertAlign w:val="baseline"/>
        </w:rPr>
        <w:footnoteRef/>
      </w:r>
      <w:r w:rsidRPr="002B795A">
        <w:tab/>
      </w:r>
      <w:hyperlink r:id="rId3" w:history="1">
        <w:r w:rsidRPr="001B3353">
          <w:rPr>
            <w:rStyle w:val="Hyperlink"/>
            <w:spacing w:val="0"/>
          </w:rPr>
          <w:t>https://zwischengeschlecht.org/post/Statuten</w:t>
        </w:r>
      </w:hyperlink>
      <w:r>
        <w:rPr>
          <w:rStyle w:val="Hyperlink"/>
          <w:spacing w:val="0"/>
        </w:rPr>
        <w:t xml:space="preserve"> </w:t>
      </w:r>
    </w:p>
  </w:footnote>
  <w:footnote w:id="3">
    <w:p w:rsidR="00203C7D" w:rsidRPr="002B795A" w:rsidRDefault="00203C7D" w:rsidP="00203C7D">
      <w:pPr>
        <w:pStyle w:val="fussnoteschattenbericht"/>
      </w:pPr>
      <w:r w:rsidRPr="00A402C4">
        <w:rPr>
          <w:rStyle w:val="Funotenzeichen"/>
          <w:vertAlign w:val="baseline"/>
        </w:rPr>
        <w:footnoteRef/>
      </w:r>
      <w:r w:rsidRPr="00A402C4">
        <w:rPr>
          <w:rStyle w:val="Funotenzeichen"/>
          <w:vertAlign w:val="baseline"/>
        </w:rPr>
        <w:t xml:space="preserve"> </w:t>
      </w:r>
      <w:r w:rsidRPr="002B795A">
        <w:tab/>
      </w:r>
      <w:hyperlink r:id="rId4" w:history="1">
        <w:r w:rsidRPr="002B795A">
          <w:rPr>
            <w:rStyle w:val="Hyperlink"/>
            <w:lang w:eastAsia="en-US"/>
          </w:rPr>
          <w:t>https://intersex.shadowreport.org</w:t>
        </w:r>
      </w:hyperlink>
    </w:p>
  </w:footnote>
  <w:footnote w:id="4">
    <w:p w:rsidR="00203C7D" w:rsidRPr="002B795A" w:rsidRDefault="00203C7D" w:rsidP="00203C7D">
      <w:pPr>
        <w:pStyle w:val="fussnoteschattenbericht"/>
      </w:pPr>
      <w:r w:rsidRPr="00A402C4">
        <w:rPr>
          <w:rStyle w:val="Funotenzeichen"/>
          <w:vertAlign w:val="baseline"/>
        </w:rPr>
        <w:footnoteRef/>
      </w:r>
      <w:r w:rsidRPr="00A402C4">
        <w:rPr>
          <w:rStyle w:val="Funotenzeichen"/>
          <w:vertAlign w:val="baseline"/>
        </w:rPr>
        <w:t xml:space="preserve"> </w:t>
      </w:r>
      <w:r w:rsidRPr="002B795A">
        <w:tab/>
      </w:r>
      <w:hyperlink r:id="rId5" w:history="1">
        <w:r w:rsidRPr="002B795A">
          <w:rPr>
            <w:rStyle w:val="Hyperlink"/>
          </w:rPr>
          <w:t>https://stopigm.org/post/IAD-2016-Soon-20-UN-Reprimands-for-Intersex-Genital-Mutilations</w:t>
        </w:r>
      </w:hyperlink>
      <w:r w:rsidRPr="002B795A">
        <w:t xml:space="preserve"> </w:t>
      </w:r>
    </w:p>
  </w:footnote>
  <w:footnote w:id="5">
    <w:p w:rsidR="00203C7D" w:rsidRPr="002B795A" w:rsidRDefault="00203C7D" w:rsidP="00203C7D">
      <w:pPr>
        <w:pStyle w:val="fussnoteschattenbericht"/>
      </w:pPr>
      <w:r w:rsidRPr="00A402C4">
        <w:rPr>
          <w:rStyle w:val="Funotenzeichen"/>
          <w:vertAlign w:val="baseline"/>
        </w:rPr>
        <w:footnoteRef/>
      </w:r>
      <w:r w:rsidRPr="002B795A">
        <w:rPr>
          <w:rStyle w:val="Funotenzeichen"/>
        </w:rPr>
        <w:tab/>
      </w:r>
      <w:hyperlink r:id="rId6" w:history="1">
        <w:r w:rsidR="003339E7" w:rsidRPr="00B72B08">
          <w:rPr>
            <w:rStyle w:val="Hyperlink"/>
          </w:rPr>
          <w:t>https://intersex.shadowreport.org/public/2018-CEDAW-Mexico-NGO-Intersex-Brujula-StopIGM.pdf</w:t>
        </w:r>
      </w:hyperlink>
      <w:r w:rsidR="003339E7">
        <w:t xml:space="preserve"> </w:t>
      </w:r>
    </w:p>
  </w:footnote>
  <w:footnote w:id="6">
    <w:p w:rsidR="00203C7D" w:rsidRPr="002B795A" w:rsidRDefault="00203C7D" w:rsidP="00203C7D">
      <w:pPr>
        <w:pStyle w:val="fussnoteschattenbericht"/>
      </w:pPr>
      <w:r w:rsidRPr="00A402C4">
        <w:rPr>
          <w:rStyle w:val="Funotenzeichen"/>
          <w:vertAlign w:val="baseline"/>
        </w:rPr>
        <w:footnoteRef/>
      </w:r>
      <w:r w:rsidRPr="002B795A">
        <w:rPr>
          <w:rStyle w:val="Funotenzeichen"/>
        </w:rPr>
        <w:tab/>
      </w:r>
      <w:hyperlink r:id="rId7" w:history="1">
        <w:r w:rsidR="003339E7" w:rsidRPr="00B72B08">
          <w:rPr>
            <w:rStyle w:val="Hyperlink"/>
          </w:rPr>
          <w:t>https://intersex.shadowreport.org/public/2019-CCPR-Mexico-NGO-Intersex-Brujula-StopIGM.pdf</w:t>
        </w:r>
      </w:hyperlink>
      <w:r w:rsidR="003339E7">
        <w:t xml:space="preserve"> </w:t>
      </w:r>
    </w:p>
  </w:footnote>
  <w:footnote w:id="7">
    <w:p w:rsidR="00BD3142" w:rsidRDefault="00BD3142" w:rsidP="00DB4A71">
      <w:pPr>
        <w:pStyle w:val="fussnoteschattenbericht"/>
      </w:pPr>
      <w:r w:rsidRPr="007B1662">
        <w:footnoteRef/>
      </w:r>
      <w:r w:rsidRPr="007B1662">
        <w:tab/>
        <w:t xml:space="preserve">Statement </w:t>
      </w:r>
      <w:r>
        <w:t xml:space="preserve">supported by </w:t>
      </w:r>
      <w:r w:rsidR="009A53A8">
        <w:t>Mexico</w:t>
      </w:r>
      <w:r>
        <w:t xml:space="preserve"> </w:t>
      </w:r>
      <w:r w:rsidRPr="007B1662">
        <w:t xml:space="preserve">(and </w:t>
      </w:r>
      <w:r>
        <w:t xml:space="preserve">by </w:t>
      </w:r>
      <w:r w:rsidRPr="007B1662">
        <w:t>34 other States) during the 45</w:t>
      </w:r>
      <w:r w:rsidRPr="007B1662">
        <w:rPr>
          <w:vertAlign w:val="superscript"/>
        </w:rPr>
        <w:t>th</w:t>
      </w:r>
      <w:r w:rsidRPr="007B1662">
        <w:t xml:space="preserve"> Session of the Human Rights Council on 1 October 2020, </w:t>
      </w:r>
      <w:hyperlink r:id="rId8" w:history="1">
        <w:r w:rsidRPr="007B1662">
          <w:rPr>
            <w:rStyle w:val="Hyperlink"/>
          </w:rPr>
          <w:t>https://www.dfat.gov.au/international-relations/themes/human-rights/hrc-statements/45th-session-human-rights-council/joint-statement-led-austria-rights-intersex-persons</w:t>
        </w:r>
      </w:hyperlink>
      <w:r>
        <w:t xml:space="preserve"> </w:t>
      </w:r>
    </w:p>
  </w:footnote>
  <w:footnote w:id="8">
    <w:p w:rsidR="00BD3142" w:rsidRPr="00FC7C49" w:rsidRDefault="00BD3142" w:rsidP="00DB4A71">
      <w:pPr>
        <w:pStyle w:val="fussnoteschattenbericht"/>
        <w:rPr>
          <w:rStyle w:val="Hyperlink"/>
        </w:rPr>
      </w:pPr>
      <w:r>
        <w:footnoteRef/>
      </w:r>
      <w:r>
        <w:tab/>
        <w:t xml:space="preserve">Statement supported by </w:t>
      </w:r>
      <w:r w:rsidR="009A53A8">
        <w:t>Mexico</w:t>
      </w:r>
      <w:r>
        <w:t xml:space="preserve"> (and 52 other States) during the 48</w:t>
      </w:r>
      <w:r w:rsidRPr="00C04579">
        <w:rPr>
          <w:vertAlign w:val="superscript"/>
        </w:rPr>
        <w:t>th</w:t>
      </w:r>
      <w:r>
        <w:t xml:space="preserve"> Session of the Human Rights Council on 4 October 2021, </w:t>
      </w:r>
      <w:hyperlink r:id="rId9" w:history="1">
        <w:r w:rsidRPr="007041EF">
          <w:rPr>
            <w:rStyle w:val="Hyperlink"/>
          </w:rPr>
          <w:t>https://www.bmeia.gv.at/oev-genf/speeches/alle/2021/10/united-nations-human-rights-council-48th-session-joint-statement-on-the-human-rights-of-intersex-persons/</w:t>
        </w:r>
      </w:hyperlink>
      <w:r>
        <w:t xml:space="preserve"> </w:t>
      </w:r>
    </w:p>
  </w:footnote>
  <w:footnote w:id="9">
    <w:p w:rsidR="00BD3142" w:rsidRDefault="00BD3142" w:rsidP="00DB4A71">
      <w:pPr>
        <w:pStyle w:val="fussnoteschattenbericht"/>
      </w:pPr>
      <w:r w:rsidRPr="007B1662">
        <w:footnoteRef/>
      </w:r>
      <w:r w:rsidRPr="007B1662">
        <w:tab/>
      </w:r>
      <w:r>
        <w:t xml:space="preserve">Statement supported by </w:t>
      </w:r>
      <w:r w:rsidR="009A53A8">
        <w:t>Mexico</w:t>
      </w:r>
      <w:r>
        <w:t xml:space="preserve"> (and 55 other States) during the 54</w:t>
      </w:r>
      <w:r w:rsidRPr="00C04579">
        <w:rPr>
          <w:vertAlign w:val="superscript"/>
        </w:rPr>
        <w:t>th</w:t>
      </w:r>
      <w:r>
        <w:t xml:space="preserve"> Session of the Human Rights Council on 4 October 2023</w:t>
      </w:r>
      <w:r w:rsidRPr="007B1662">
        <w:t xml:space="preserve">, </w:t>
      </w:r>
      <w:hyperlink r:id="rId10" w:history="1">
        <w:r w:rsidRPr="000B41E3">
          <w:rPr>
            <w:rStyle w:val="Hyperlink"/>
          </w:rPr>
          <w:t>https://finlandabroad.fi/web/geneve/current-affairs/-/asset_publisher/h5w4iTUJhNne/content/general-debate-item-8/384951</w:t>
        </w:r>
      </w:hyperlink>
      <w:r>
        <w:t xml:space="preserve"> </w:t>
      </w:r>
    </w:p>
  </w:footnote>
  <w:footnote w:id="10">
    <w:p w:rsidR="0036144F" w:rsidRPr="002B795A" w:rsidRDefault="0036144F" w:rsidP="0036144F">
      <w:pPr>
        <w:pStyle w:val="fussnoteschattenbericht"/>
      </w:pPr>
      <w:r w:rsidRPr="003806F6">
        <w:footnoteRef/>
      </w:r>
      <w:r w:rsidRPr="002B795A">
        <w:tab/>
      </w:r>
      <w:hyperlink r:id="rId11" w:history="1">
        <w:r w:rsidRPr="002B795A">
          <w:rPr>
            <w:rStyle w:val="Hyperlink"/>
          </w:rPr>
          <w:t>https://undocs.org/A/HRC/55/L.9</w:t>
        </w:r>
      </w:hyperlink>
    </w:p>
  </w:footnote>
  <w:footnote w:id="11">
    <w:p w:rsidR="004875BF" w:rsidRPr="002B795A" w:rsidRDefault="004875BF" w:rsidP="004875BF">
      <w:pPr>
        <w:pStyle w:val="fussnoteschattenbericht"/>
      </w:pPr>
      <w:r w:rsidRPr="00A402C4">
        <w:rPr>
          <w:rStyle w:val="Funotenzeichen"/>
          <w:vertAlign w:val="baseline"/>
        </w:rPr>
        <w:footnoteRef/>
      </w:r>
      <w:r w:rsidRPr="002B795A">
        <w:rPr>
          <w:rStyle w:val="Funotenzeichen"/>
        </w:rPr>
        <w:tab/>
      </w:r>
      <w:hyperlink r:id="rId12" w:history="1">
        <w:r w:rsidR="00654BE3" w:rsidRPr="00B72B08">
          <w:rPr>
            <w:rStyle w:val="Hyperlink"/>
          </w:rPr>
          <w:t>https://intersex.shadowreport.org/public/2019-CCPR-Mexico-NGO-Intersex-Brujula-StopIGM.pdf</w:t>
        </w:r>
      </w:hyperlink>
      <w:r w:rsidR="00654BE3">
        <w:t xml:space="preserve"> </w:t>
      </w:r>
    </w:p>
  </w:footnote>
  <w:footnote w:id="12">
    <w:p w:rsidR="00BD3142" w:rsidRPr="00C153F5" w:rsidRDefault="00BD3142" w:rsidP="00DB4A71">
      <w:pPr>
        <w:pStyle w:val="fussnoteschattenbericht"/>
      </w:pPr>
      <w:r w:rsidRPr="00DE42B3">
        <w:rPr>
          <w:rStyle w:val="Funotenzeichen"/>
          <w:vertAlign w:val="baseline"/>
        </w:rPr>
        <w:footnoteRef/>
      </w:r>
      <w:r w:rsidRPr="00C153F5">
        <w:rPr>
          <w:rStyle w:val="FootnoteSymbol"/>
          <w:rFonts w:eastAsia="Times New Roman"/>
        </w:rPr>
        <w:tab/>
      </w:r>
      <w:r w:rsidRPr="00C153F5">
        <w:t>For general information, see 2016 CEDAW NGO Report France, p. 47</w:t>
      </w:r>
      <w:r>
        <w:t>,</w:t>
      </w:r>
      <w:r w:rsidRPr="00C153F5">
        <w:t xml:space="preserve"> </w:t>
      </w:r>
      <w:hyperlink r:id="rId13" w:history="1">
        <w:r w:rsidRPr="001B3353">
          <w:rPr>
            <w:rStyle w:val="Hyperlink"/>
          </w:rPr>
          <w:t>https://intersex.shadowreport.org/public/2016-CEDAW-France-NGO-Zwischengeschlecht-Intersex-IGM.pdf</w:t>
        </w:r>
      </w:hyperlink>
    </w:p>
  </w:footnote>
  <w:footnote w:id="13">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DE42B3">
        <w:tab/>
      </w:r>
      <w:hyperlink r:id="rId14" w:history="1">
        <w:r w:rsidRPr="00530BE6">
          <w:rPr>
            <w:rStyle w:val="Hyperlink"/>
          </w:rPr>
          <w:t>https://uroweb.org/guidelines/endorsement/</w:t>
        </w:r>
      </w:hyperlink>
      <w:r>
        <w:t xml:space="preserve"> </w:t>
      </w:r>
    </w:p>
  </w:footnote>
  <w:footnote w:id="14">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DE42B3">
        <w:rPr>
          <w:rStyle w:val="Funotenzeichen"/>
          <w:vertAlign w:val="baseline"/>
        </w:rPr>
        <w:tab/>
      </w:r>
      <w:hyperlink r:id="rId15" w:history="1">
        <w:r w:rsidRPr="00547820">
          <w:rPr>
            <w:rStyle w:val="Hyperlink"/>
            <w:sz w:val="19"/>
            <w:szCs w:val="19"/>
          </w:rPr>
          <w:t>https://d56bochluxqnz.cloudfront.net/documents/full-guideline/EAU-Guidelines-on-Paediatric-Urology-2024.pdf</w:t>
        </w:r>
      </w:hyperlink>
      <w:r>
        <w:rPr>
          <w:sz w:val="19"/>
          <w:szCs w:val="19"/>
        </w:rPr>
        <w:t xml:space="preserve"> </w:t>
      </w:r>
    </w:p>
  </w:footnote>
  <w:footnote w:id="15">
    <w:p w:rsidR="00BD3142" w:rsidRPr="00B306CF"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DE42B3">
        <w:rPr>
          <w:rStyle w:val="Funotenzeichen"/>
          <w:vertAlign w:val="baseline"/>
        </w:rPr>
        <w:tab/>
      </w:r>
      <w:r w:rsidRPr="00B306CF">
        <w:t>Ibid., p. 96</w:t>
      </w:r>
    </w:p>
  </w:footnote>
  <w:footnote w:id="16">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B306CF">
        <w:tab/>
        <w:t>Ibid., p. 95</w:t>
      </w:r>
    </w:p>
  </w:footnote>
  <w:footnote w:id="17">
    <w:p w:rsidR="00BD3142" w:rsidRPr="00C153F5" w:rsidRDefault="00BD3142" w:rsidP="00DB4A71">
      <w:pPr>
        <w:pStyle w:val="fussnoteschattenbericht"/>
        <w:rPr>
          <w:rStyle w:val="Hyperlink"/>
        </w:rPr>
      </w:pPr>
      <w:r w:rsidRPr="00DE42B3">
        <w:rPr>
          <w:rStyle w:val="Funotenzeichen"/>
          <w:vertAlign w:val="baseline"/>
        </w:rPr>
        <w:footnoteRef/>
      </w:r>
      <w:r w:rsidRPr="00DE42B3">
        <w:rPr>
          <w:rStyle w:val="Funotenzeichen"/>
          <w:vertAlign w:val="baseline"/>
        </w:rPr>
        <w:tab/>
      </w:r>
      <w:r w:rsidRPr="00C153F5">
        <w:t xml:space="preserve">P. </w:t>
      </w:r>
      <w:proofErr w:type="spellStart"/>
      <w:r w:rsidRPr="00C153F5">
        <w:t>Mouriquand</w:t>
      </w:r>
      <w:proofErr w:type="spellEnd"/>
      <w:r w:rsidRPr="00C153F5">
        <w:t xml:space="preserve">, A. </w:t>
      </w:r>
      <w:proofErr w:type="spellStart"/>
      <w:r w:rsidRPr="00C153F5">
        <w:t>Caldamone</w:t>
      </w:r>
      <w:proofErr w:type="spellEnd"/>
      <w:r w:rsidRPr="00C153F5">
        <w:t xml:space="preserve">, P. Malone, J.D. Frank, P. </w:t>
      </w:r>
      <w:proofErr w:type="spellStart"/>
      <w:r w:rsidRPr="00C153F5">
        <w:t>Hoebeke</w:t>
      </w:r>
      <w:proofErr w:type="spellEnd"/>
      <w:r w:rsidRPr="00C153F5">
        <w:t>, “The ESPU/SPU standpoint on the surgical management of Disorders of Sex Development (DSD)”, Journal of Pediatric Urology vol. 10, no. 1 (2014), p. 8-10,</w:t>
      </w:r>
      <w:r w:rsidRPr="00C153F5">
        <w:rPr>
          <w:w w:val="99"/>
        </w:rPr>
        <w:t xml:space="preserve"> </w:t>
      </w:r>
      <w:r w:rsidRPr="00C153F5">
        <w:rPr>
          <w:rStyle w:val="Hyperlink"/>
        </w:rPr>
        <w:t>http://www.jpurol.com/article/S1477-5131(13)00313-6/pdf</w:t>
      </w:r>
    </w:p>
  </w:footnote>
  <w:footnote w:id="18">
    <w:p w:rsidR="00BD3142" w:rsidRPr="00C153F5" w:rsidRDefault="00BD3142" w:rsidP="00DB4A71">
      <w:pPr>
        <w:pStyle w:val="fussnoteschattenbericht"/>
      </w:pPr>
      <w:r w:rsidRPr="00DE42B3">
        <w:rPr>
          <w:rStyle w:val="Funotenzeichen"/>
          <w:vertAlign w:val="baseline"/>
        </w:rPr>
        <w:footnoteRef/>
      </w:r>
      <w:r w:rsidRPr="00C153F5">
        <w:rPr>
          <w:rStyle w:val="FootnoteSymbol"/>
          <w:rFonts w:eastAsia="Times New Roman"/>
        </w:rPr>
        <w:tab/>
      </w:r>
      <w:r w:rsidRPr="00C153F5">
        <w:t>For general information, see 2016 CEDAW NGO Report France, p. 48</w:t>
      </w:r>
      <w:r>
        <w:t>,</w:t>
      </w:r>
      <w:r w:rsidRPr="00C153F5">
        <w:t xml:space="preserve"> </w:t>
      </w:r>
      <w:hyperlink r:id="rId16" w:history="1">
        <w:r w:rsidRPr="001B3353">
          <w:rPr>
            <w:rStyle w:val="Hyperlink"/>
          </w:rPr>
          <w:t>https://intersex.shadowreport.org/public/2016-CEDAW-France-NGO-Zwischengeschlecht-Intersex-IGM.pdf</w:t>
        </w:r>
      </w:hyperlink>
    </w:p>
  </w:footnote>
  <w:footnote w:id="19">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17" w:history="1">
        <w:r w:rsidRPr="00505ABD">
          <w:rPr>
            <w:rStyle w:val="Hyperlink"/>
          </w:rPr>
          <w:t>https://uroweb.org/guidelines/endorsement/</w:t>
        </w:r>
      </w:hyperlink>
      <w:r>
        <w:t xml:space="preserve"> </w:t>
      </w:r>
    </w:p>
  </w:footnote>
  <w:footnote w:id="20">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18" w:history="1">
        <w:r w:rsidRPr="00547820">
          <w:rPr>
            <w:rStyle w:val="Hyperlink"/>
            <w:sz w:val="19"/>
            <w:szCs w:val="19"/>
          </w:rPr>
          <w:t>https://d56bochluxqnz.cloudfront.net/documents/full-guideline/EAU-Guidelines-on-Paediatric-Urology-2024.pdf</w:t>
        </w:r>
      </w:hyperlink>
    </w:p>
  </w:footnote>
  <w:footnote w:id="21">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r>
        <w:t>Ibid., p. 91</w:t>
      </w:r>
    </w:p>
  </w:footnote>
  <w:footnote w:id="22">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r>
        <w:t>Ibid., p. 95</w:t>
      </w:r>
    </w:p>
  </w:footnote>
  <w:footnote w:id="23">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t>Ibid.</w:t>
      </w:r>
      <w:r>
        <w:t>,</w:t>
      </w:r>
      <w:r w:rsidRPr="00C153F5">
        <w:t xml:space="preserve"> </w:t>
      </w:r>
      <w:r>
        <w:t>p. 95</w:t>
      </w:r>
    </w:p>
  </w:footnote>
  <w:footnote w:id="24">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t>Ibid.</w:t>
      </w:r>
      <w:r>
        <w:t>, p. 95-96</w:t>
      </w:r>
    </w:p>
  </w:footnote>
  <w:footnote w:id="25">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t>Ibid.</w:t>
      </w:r>
      <w:r>
        <w:t>, p. 96</w:t>
      </w:r>
    </w:p>
  </w:footnote>
  <w:footnote w:id="26">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19" w:history="1">
        <w:r w:rsidRPr="00C153F5">
          <w:rPr>
            <w:rStyle w:val="Hyperlink"/>
          </w:rPr>
          <w:t>https://www.espu.org/images/documents/ESPU_Open_Letter_to_COE_2018-01-26.pdf</w:t>
        </w:r>
      </w:hyperlink>
      <w:r w:rsidRPr="00C153F5">
        <w:t xml:space="preserve"> </w:t>
      </w:r>
    </w:p>
  </w:footnote>
  <w:footnote w:id="27">
    <w:p w:rsidR="00BD3142" w:rsidRPr="00C153F5" w:rsidRDefault="00BD3142" w:rsidP="00DB4A71">
      <w:pPr>
        <w:pStyle w:val="fussnoteschattenbericht"/>
      </w:pPr>
      <w:r w:rsidRPr="00DE42B3">
        <w:rPr>
          <w:rStyle w:val="Funotenzeichen"/>
          <w:vertAlign w:val="baseline"/>
        </w:rPr>
        <w:footnoteRef/>
      </w:r>
      <w:r w:rsidRPr="00C153F5">
        <w:rPr>
          <w:rStyle w:val="FootnoteSymbol"/>
          <w:rFonts w:eastAsia="Times New Roman"/>
        </w:rPr>
        <w:tab/>
      </w:r>
      <w:r w:rsidRPr="00C153F5">
        <w:t>For general information, see 2016 CEDAW NGO Report France, p. 48-49</w:t>
      </w:r>
      <w:r>
        <w:t>,</w:t>
      </w:r>
      <w:r w:rsidRPr="00C153F5">
        <w:t xml:space="preserve"> </w:t>
      </w:r>
      <w:hyperlink r:id="rId20" w:history="1">
        <w:r w:rsidRPr="00530BE6">
          <w:rPr>
            <w:rStyle w:val="Hyperlink"/>
          </w:rPr>
          <w:t>https://intersex.shadowreport.org/public/2016-CEDAW-France-NGO-Zwischengeschlecht-Intersex-IGM.pdf</w:t>
        </w:r>
      </w:hyperlink>
      <w:r>
        <w:t xml:space="preserve"> </w:t>
      </w:r>
    </w:p>
  </w:footnote>
  <w:footnote w:id="28">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21" w:history="1">
        <w:r w:rsidRPr="00530BE6">
          <w:rPr>
            <w:rStyle w:val="Hyperlink"/>
          </w:rPr>
          <w:t>https://uroweb.org/guidelines/endorsement/</w:t>
        </w:r>
      </w:hyperlink>
      <w:r>
        <w:t xml:space="preserve"> </w:t>
      </w:r>
    </w:p>
  </w:footnote>
  <w:footnote w:id="29">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22" w:history="1">
        <w:r w:rsidRPr="00547820">
          <w:rPr>
            <w:rStyle w:val="Hyperlink"/>
            <w:sz w:val="19"/>
            <w:szCs w:val="19"/>
          </w:rPr>
          <w:t>https://d56bochluxqnz.cloudfront.net/documents/full-guideline/EAU-Guidelines-on-Paediatric-Urology-2024.pdf</w:t>
        </w:r>
      </w:hyperlink>
      <w:r>
        <w:rPr>
          <w:sz w:val="19"/>
          <w:szCs w:val="19"/>
        </w:rPr>
        <w:t xml:space="preserve"> </w:t>
      </w:r>
    </w:p>
  </w:footnote>
  <w:footnote w:id="30">
    <w:p w:rsidR="00BD3142" w:rsidRPr="00A7399C"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A7399C">
        <w:tab/>
        <w:t>Ibid., p. 2</w:t>
      </w:r>
      <w:r>
        <w:t>9</w:t>
      </w:r>
    </w:p>
  </w:footnote>
  <w:footnote w:id="31">
    <w:p w:rsidR="00BD3142" w:rsidRPr="00A7399C"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DE42B3">
        <w:rPr>
          <w:rStyle w:val="Funotenzeichen"/>
          <w:vertAlign w:val="baseline"/>
        </w:rPr>
        <w:tab/>
      </w:r>
      <w:r w:rsidRPr="00A7399C">
        <w:t xml:space="preserve">Ibid., p. </w:t>
      </w:r>
      <w:r>
        <w:t>31</w:t>
      </w:r>
    </w:p>
  </w:footnote>
  <w:footnote w:id="32">
    <w:p w:rsidR="00BD3142" w:rsidRPr="00A7399C"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A7399C">
        <w:tab/>
        <w:t xml:space="preserve">Ibid., p. </w:t>
      </w:r>
      <w:r>
        <w:t>31</w:t>
      </w:r>
    </w:p>
  </w:footnote>
  <w:footnote w:id="33">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A7399C">
        <w:tab/>
        <w:t xml:space="preserve">Ibid., p. </w:t>
      </w:r>
      <w:r>
        <w:t>30-31</w:t>
      </w:r>
    </w:p>
  </w:footnote>
  <w:footnote w:id="34">
    <w:p w:rsidR="00A402C4" w:rsidRPr="00733196" w:rsidRDefault="00A402C4" w:rsidP="00A402C4">
      <w:pPr>
        <w:pStyle w:val="fussnoteschattenbericht"/>
        <w:rPr>
          <w:lang w:val="es-ES"/>
        </w:rPr>
      </w:pPr>
      <w:r w:rsidRPr="004B53C7">
        <w:rPr>
          <w:rStyle w:val="Funotenzeichen"/>
          <w:vertAlign w:val="baseline"/>
        </w:rPr>
        <w:footnoteRef/>
      </w:r>
      <w:r w:rsidRPr="004B53C7">
        <w:rPr>
          <w:lang w:val="es-ES"/>
        </w:rPr>
        <w:t xml:space="preserve"> </w:t>
      </w:r>
      <w:r w:rsidRPr="00733196">
        <w:rPr>
          <w:lang w:val="es-ES"/>
        </w:rPr>
        <w:tab/>
        <w:t>Arena Pública (2018), “Cirugías a niños intersexuales violan derechos humanos, pero en México son la norma” (</w:t>
      </w:r>
      <w:r w:rsidRPr="00733196">
        <w:rPr>
          <w:b/>
          <w:bCs/>
          <w:i/>
          <w:iCs/>
          <w:lang w:val="es-ES"/>
        </w:rPr>
        <w:t>“</w:t>
      </w:r>
      <w:proofErr w:type="spellStart"/>
      <w:r w:rsidRPr="00733196">
        <w:rPr>
          <w:b/>
          <w:bCs/>
          <w:i/>
          <w:iCs/>
          <w:lang w:val="es-ES"/>
        </w:rPr>
        <w:t>Surgeries</w:t>
      </w:r>
      <w:proofErr w:type="spellEnd"/>
      <w:r w:rsidRPr="00733196">
        <w:rPr>
          <w:b/>
          <w:bCs/>
          <w:i/>
          <w:iCs/>
          <w:lang w:val="es-ES"/>
        </w:rPr>
        <w:t xml:space="preserve"> </w:t>
      </w:r>
      <w:proofErr w:type="spellStart"/>
      <w:r w:rsidRPr="00733196">
        <w:rPr>
          <w:b/>
          <w:bCs/>
          <w:i/>
          <w:iCs/>
          <w:lang w:val="es-ES"/>
        </w:rPr>
        <w:t>on</w:t>
      </w:r>
      <w:proofErr w:type="spellEnd"/>
      <w:r w:rsidRPr="00733196">
        <w:rPr>
          <w:b/>
          <w:bCs/>
          <w:i/>
          <w:iCs/>
          <w:lang w:val="es-ES"/>
        </w:rPr>
        <w:t xml:space="preserve"> </w:t>
      </w:r>
      <w:proofErr w:type="spellStart"/>
      <w:r w:rsidRPr="00733196">
        <w:rPr>
          <w:b/>
          <w:bCs/>
          <w:i/>
          <w:iCs/>
          <w:lang w:val="es-ES"/>
        </w:rPr>
        <w:t>intersex</w:t>
      </w:r>
      <w:proofErr w:type="spellEnd"/>
      <w:r w:rsidRPr="00733196">
        <w:rPr>
          <w:b/>
          <w:bCs/>
          <w:i/>
          <w:iCs/>
          <w:lang w:val="es-ES"/>
        </w:rPr>
        <w:t xml:space="preserve"> </w:t>
      </w:r>
      <w:proofErr w:type="spellStart"/>
      <w:r w:rsidRPr="00733196">
        <w:rPr>
          <w:b/>
          <w:bCs/>
          <w:i/>
          <w:iCs/>
          <w:lang w:val="es-ES"/>
        </w:rPr>
        <w:t>children</w:t>
      </w:r>
      <w:proofErr w:type="spellEnd"/>
      <w:r w:rsidRPr="00733196">
        <w:rPr>
          <w:b/>
          <w:bCs/>
          <w:i/>
          <w:iCs/>
          <w:lang w:val="es-ES"/>
        </w:rPr>
        <w:t xml:space="preserve"> </w:t>
      </w:r>
      <w:proofErr w:type="spellStart"/>
      <w:r w:rsidRPr="00733196">
        <w:rPr>
          <w:b/>
          <w:bCs/>
          <w:i/>
          <w:iCs/>
          <w:lang w:val="es-ES"/>
        </w:rPr>
        <w:t>violate</w:t>
      </w:r>
      <w:proofErr w:type="spellEnd"/>
      <w:r w:rsidRPr="00733196">
        <w:rPr>
          <w:b/>
          <w:bCs/>
          <w:i/>
          <w:iCs/>
          <w:lang w:val="es-ES"/>
        </w:rPr>
        <w:t xml:space="preserve"> human </w:t>
      </w:r>
      <w:proofErr w:type="spellStart"/>
      <w:r w:rsidRPr="00733196">
        <w:rPr>
          <w:b/>
          <w:bCs/>
          <w:i/>
          <w:iCs/>
          <w:lang w:val="es-ES"/>
        </w:rPr>
        <w:t>rights</w:t>
      </w:r>
      <w:proofErr w:type="spellEnd"/>
      <w:r w:rsidRPr="00733196">
        <w:rPr>
          <w:b/>
          <w:bCs/>
          <w:i/>
          <w:iCs/>
          <w:lang w:val="es-ES"/>
        </w:rPr>
        <w:t xml:space="preserve">, </w:t>
      </w:r>
      <w:proofErr w:type="spellStart"/>
      <w:r w:rsidRPr="00733196">
        <w:rPr>
          <w:b/>
          <w:bCs/>
          <w:i/>
          <w:iCs/>
          <w:lang w:val="es-ES"/>
        </w:rPr>
        <w:t>but</w:t>
      </w:r>
      <w:proofErr w:type="spellEnd"/>
      <w:r w:rsidRPr="00733196">
        <w:rPr>
          <w:b/>
          <w:bCs/>
          <w:i/>
          <w:iCs/>
          <w:lang w:val="es-ES"/>
        </w:rPr>
        <w:t xml:space="preserve"> in </w:t>
      </w:r>
      <w:proofErr w:type="spellStart"/>
      <w:r w:rsidRPr="00733196">
        <w:rPr>
          <w:b/>
          <w:bCs/>
          <w:i/>
          <w:iCs/>
          <w:lang w:val="es-ES"/>
        </w:rPr>
        <w:t>Mexico</w:t>
      </w:r>
      <w:proofErr w:type="spellEnd"/>
      <w:r w:rsidRPr="00733196">
        <w:rPr>
          <w:b/>
          <w:bCs/>
          <w:i/>
          <w:iCs/>
          <w:lang w:val="es-ES"/>
        </w:rPr>
        <w:t xml:space="preserve"> </w:t>
      </w:r>
      <w:proofErr w:type="spellStart"/>
      <w:r w:rsidRPr="00733196">
        <w:rPr>
          <w:b/>
          <w:bCs/>
          <w:i/>
          <w:iCs/>
          <w:lang w:val="es-ES"/>
        </w:rPr>
        <w:t>they</w:t>
      </w:r>
      <w:proofErr w:type="spellEnd"/>
      <w:r w:rsidRPr="00733196">
        <w:rPr>
          <w:b/>
          <w:bCs/>
          <w:i/>
          <w:iCs/>
          <w:lang w:val="es-ES"/>
        </w:rPr>
        <w:t xml:space="preserve"> are </w:t>
      </w:r>
      <w:proofErr w:type="spellStart"/>
      <w:r w:rsidRPr="00733196">
        <w:rPr>
          <w:b/>
          <w:bCs/>
          <w:i/>
          <w:iCs/>
          <w:lang w:val="es-ES"/>
        </w:rPr>
        <w:t>the</w:t>
      </w:r>
      <w:proofErr w:type="spellEnd"/>
      <w:r w:rsidRPr="00733196">
        <w:rPr>
          <w:b/>
          <w:bCs/>
          <w:i/>
          <w:iCs/>
          <w:lang w:val="es-ES"/>
        </w:rPr>
        <w:t xml:space="preserve"> </w:t>
      </w:r>
      <w:proofErr w:type="spellStart"/>
      <w:r w:rsidRPr="00733196">
        <w:rPr>
          <w:b/>
          <w:bCs/>
          <w:i/>
          <w:iCs/>
          <w:lang w:val="es-ES"/>
        </w:rPr>
        <w:t>norm</w:t>
      </w:r>
      <w:proofErr w:type="spellEnd"/>
      <w:r w:rsidRPr="00733196">
        <w:rPr>
          <w:b/>
          <w:bCs/>
          <w:i/>
          <w:iCs/>
          <w:lang w:val="es-ES"/>
        </w:rPr>
        <w:t>”</w:t>
      </w:r>
      <w:r w:rsidRPr="00733196">
        <w:rPr>
          <w:lang w:val="es-ES"/>
        </w:rPr>
        <w:t>),</w:t>
      </w:r>
      <w:r w:rsidRPr="00733196">
        <w:rPr>
          <w:lang w:val="es-ES"/>
        </w:rPr>
        <w:br/>
      </w:r>
      <w:hyperlink r:id="rId23" w:history="1">
        <w:r w:rsidRPr="00733196">
          <w:rPr>
            <w:rStyle w:val="Hyperlink"/>
            <w:sz w:val="16"/>
            <w:szCs w:val="16"/>
            <w:lang w:val="es-ES"/>
          </w:rPr>
          <w:t>https://www.arenapublica.com/politicas-publicas/cirugias-ninos-intersexuales-violan-derechos-humanos-pero-en-mexico-son-la-norma</w:t>
        </w:r>
      </w:hyperlink>
      <w:r w:rsidRPr="00733196">
        <w:rPr>
          <w:lang w:val="es-ES"/>
        </w:rPr>
        <w:t xml:space="preserve"> </w:t>
      </w:r>
    </w:p>
  </w:footnote>
  <w:footnote w:id="35">
    <w:p w:rsidR="00A402C4" w:rsidRPr="00733196" w:rsidRDefault="00A402C4" w:rsidP="00A402C4">
      <w:pPr>
        <w:pStyle w:val="fussnoteschattenbericht"/>
      </w:pPr>
      <w:r w:rsidRPr="004B53C7">
        <w:rPr>
          <w:rStyle w:val="Funotenzeichen"/>
          <w:vertAlign w:val="baseline"/>
        </w:rPr>
        <w:footnoteRef/>
      </w:r>
      <w:r w:rsidRPr="004B53C7">
        <w:rPr>
          <w:lang w:val="es-ES"/>
        </w:rPr>
        <w:t xml:space="preserve"> </w:t>
      </w:r>
      <w:r w:rsidRPr="007432A4">
        <w:rPr>
          <w:lang w:val="es-ES"/>
        </w:rPr>
        <w:tab/>
        <w:t xml:space="preserve">La Jornada (2009), Intersexuales: la notable excepción de la regla, </w:t>
      </w:r>
      <w:r w:rsidRPr="007432A4">
        <w:rPr>
          <w:lang w:val="es-ES"/>
        </w:rPr>
        <w:br/>
      </w:r>
      <w:hyperlink r:id="rId24" w:history="1">
        <w:r w:rsidRPr="007432A4">
          <w:rPr>
            <w:rStyle w:val="Hyperlink"/>
            <w:lang w:val="es-ES"/>
          </w:rPr>
          <w:t>http://www.jornada.unam.mx/2009/05/07/ls-central.html</w:t>
        </w:r>
      </w:hyperlink>
      <w:r w:rsidRPr="007432A4">
        <w:rPr>
          <w:lang w:val="es-ES"/>
        </w:rPr>
        <w:t xml:space="preserve"> </w:t>
      </w:r>
      <w:r w:rsidRPr="007432A4">
        <w:rPr>
          <w:i/>
          <w:lang w:val="es-ES"/>
        </w:rPr>
        <w:t>“</w:t>
      </w:r>
      <w:proofErr w:type="spellStart"/>
      <w:r w:rsidRPr="007432A4">
        <w:rPr>
          <w:i/>
          <w:lang w:val="es-ES"/>
        </w:rPr>
        <w:t>According</w:t>
      </w:r>
      <w:proofErr w:type="spellEnd"/>
      <w:r w:rsidRPr="007432A4">
        <w:rPr>
          <w:i/>
          <w:lang w:val="es-ES"/>
        </w:rPr>
        <w:t xml:space="preserve"> to Miguel Ángel Márquez Gutiérrez, head of </w:t>
      </w:r>
      <w:proofErr w:type="spellStart"/>
      <w:r w:rsidRPr="007432A4">
        <w:rPr>
          <w:i/>
          <w:lang w:val="es-ES"/>
        </w:rPr>
        <w:t>the</w:t>
      </w:r>
      <w:proofErr w:type="spellEnd"/>
      <w:r w:rsidRPr="007432A4">
        <w:rPr>
          <w:i/>
          <w:lang w:val="es-ES"/>
        </w:rPr>
        <w:t xml:space="preserve"> </w:t>
      </w:r>
      <w:proofErr w:type="spellStart"/>
      <w:r w:rsidRPr="007432A4">
        <w:rPr>
          <w:i/>
          <w:lang w:val="es-ES"/>
        </w:rPr>
        <w:t>Genetics</w:t>
      </w:r>
      <w:proofErr w:type="spellEnd"/>
      <w:r w:rsidRPr="007432A4">
        <w:rPr>
          <w:i/>
          <w:lang w:val="es-ES"/>
        </w:rPr>
        <w:t xml:space="preserve"> </w:t>
      </w:r>
      <w:proofErr w:type="spellStart"/>
      <w:r w:rsidRPr="007432A4">
        <w:rPr>
          <w:i/>
          <w:lang w:val="es-ES"/>
        </w:rPr>
        <w:t>Department</w:t>
      </w:r>
      <w:proofErr w:type="spellEnd"/>
      <w:r w:rsidRPr="007432A4">
        <w:rPr>
          <w:i/>
          <w:lang w:val="es-ES"/>
        </w:rPr>
        <w:t xml:space="preserve"> at </w:t>
      </w:r>
      <w:proofErr w:type="spellStart"/>
      <w:r w:rsidRPr="007432A4">
        <w:rPr>
          <w:i/>
          <w:lang w:val="es-ES"/>
        </w:rPr>
        <w:t>the</w:t>
      </w:r>
      <w:proofErr w:type="spellEnd"/>
      <w:r w:rsidRPr="007432A4">
        <w:rPr>
          <w:i/>
          <w:lang w:val="es-ES"/>
        </w:rPr>
        <w:t xml:space="preserve"> </w:t>
      </w:r>
      <w:proofErr w:type="spellStart"/>
      <w:r w:rsidRPr="007432A4">
        <w:rPr>
          <w:b/>
          <w:i/>
          <w:lang w:val="es-ES"/>
        </w:rPr>
        <w:t>National</w:t>
      </w:r>
      <w:proofErr w:type="spellEnd"/>
      <w:r w:rsidRPr="007432A4">
        <w:rPr>
          <w:b/>
          <w:i/>
          <w:lang w:val="es-ES"/>
        </w:rPr>
        <w:t xml:space="preserve"> Medical Center La Raza, of </w:t>
      </w:r>
      <w:proofErr w:type="spellStart"/>
      <w:r w:rsidRPr="007432A4">
        <w:rPr>
          <w:b/>
          <w:i/>
          <w:lang w:val="es-ES"/>
        </w:rPr>
        <w:t>the</w:t>
      </w:r>
      <w:proofErr w:type="spellEnd"/>
      <w:r w:rsidRPr="007432A4">
        <w:rPr>
          <w:b/>
          <w:i/>
          <w:lang w:val="es-ES"/>
        </w:rPr>
        <w:t xml:space="preserve"> </w:t>
      </w:r>
      <w:proofErr w:type="spellStart"/>
      <w:r w:rsidRPr="007432A4">
        <w:rPr>
          <w:b/>
          <w:i/>
          <w:lang w:val="es-ES"/>
        </w:rPr>
        <w:t>Mexican</w:t>
      </w:r>
      <w:proofErr w:type="spellEnd"/>
      <w:r w:rsidRPr="007432A4">
        <w:rPr>
          <w:b/>
          <w:i/>
          <w:lang w:val="es-ES"/>
        </w:rPr>
        <w:t xml:space="preserve"> Social Security </w:t>
      </w:r>
      <w:proofErr w:type="spellStart"/>
      <w:r w:rsidRPr="007432A4">
        <w:rPr>
          <w:b/>
          <w:i/>
          <w:lang w:val="es-ES"/>
        </w:rPr>
        <w:t>Institute</w:t>
      </w:r>
      <w:proofErr w:type="spellEnd"/>
      <w:r w:rsidRPr="007432A4">
        <w:rPr>
          <w:b/>
          <w:i/>
          <w:lang w:val="es-ES"/>
        </w:rPr>
        <w:t xml:space="preserve"> (IMSS)</w:t>
      </w:r>
      <w:r w:rsidRPr="007432A4">
        <w:rPr>
          <w:i/>
          <w:lang w:val="es-ES"/>
        </w:rPr>
        <w:t xml:space="preserve">, </w:t>
      </w:r>
      <w:proofErr w:type="spellStart"/>
      <w:r w:rsidRPr="007432A4">
        <w:rPr>
          <w:i/>
          <w:lang w:val="es-ES"/>
        </w:rPr>
        <w:t>the</w:t>
      </w:r>
      <w:proofErr w:type="spellEnd"/>
      <w:r w:rsidRPr="007432A4">
        <w:rPr>
          <w:i/>
          <w:lang w:val="es-ES"/>
        </w:rPr>
        <w:t xml:space="preserve"> </w:t>
      </w:r>
      <w:proofErr w:type="spellStart"/>
      <w:r w:rsidRPr="007432A4">
        <w:rPr>
          <w:i/>
          <w:lang w:val="es-ES"/>
        </w:rPr>
        <w:t>frequency</w:t>
      </w:r>
      <w:proofErr w:type="spellEnd"/>
      <w:r w:rsidRPr="007432A4">
        <w:rPr>
          <w:i/>
          <w:lang w:val="es-ES"/>
        </w:rPr>
        <w:t xml:space="preserve"> of " genital </w:t>
      </w:r>
      <w:proofErr w:type="spellStart"/>
      <w:r w:rsidRPr="007432A4">
        <w:rPr>
          <w:i/>
          <w:lang w:val="es-ES"/>
        </w:rPr>
        <w:t>ambiguity</w:t>
      </w:r>
      <w:proofErr w:type="spellEnd"/>
      <w:r w:rsidRPr="007432A4">
        <w:rPr>
          <w:i/>
          <w:lang w:val="es-ES"/>
        </w:rPr>
        <w:t xml:space="preserve">" - a </w:t>
      </w:r>
      <w:proofErr w:type="spellStart"/>
      <w:r w:rsidRPr="007432A4">
        <w:rPr>
          <w:i/>
          <w:lang w:val="es-ES"/>
        </w:rPr>
        <w:t>term</w:t>
      </w:r>
      <w:proofErr w:type="spellEnd"/>
      <w:r w:rsidRPr="007432A4">
        <w:rPr>
          <w:i/>
          <w:lang w:val="es-ES"/>
        </w:rPr>
        <w:t xml:space="preserve"> </w:t>
      </w:r>
      <w:proofErr w:type="spellStart"/>
      <w:r w:rsidRPr="007432A4">
        <w:rPr>
          <w:i/>
          <w:lang w:val="es-ES"/>
        </w:rPr>
        <w:t>used</w:t>
      </w:r>
      <w:proofErr w:type="spellEnd"/>
      <w:r w:rsidRPr="007432A4">
        <w:rPr>
          <w:i/>
          <w:lang w:val="es-ES"/>
        </w:rPr>
        <w:t xml:space="preserve"> in medical </w:t>
      </w:r>
      <w:proofErr w:type="spellStart"/>
      <w:r w:rsidRPr="007432A4">
        <w:rPr>
          <w:i/>
          <w:lang w:val="es-ES"/>
        </w:rPr>
        <w:t>jargon</w:t>
      </w:r>
      <w:proofErr w:type="spellEnd"/>
      <w:r w:rsidRPr="007432A4">
        <w:rPr>
          <w:i/>
          <w:lang w:val="es-ES"/>
        </w:rPr>
        <w:t xml:space="preserve"> - </w:t>
      </w:r>
      <w:proofErr w:type="spellStart"/>
      <w:r w:rsidRPr="007432A4">
        <w:rPr>
          <w:i/>
          <w:lang w:val="es-ES"/>
        </w:rPr>
        <w:t>is</w:t>
      </w:r>
      <w:proofErr w:type="spellEnd"/>
      <w:r w:rsidRPr="007432A4">
        <w:rPr>
          <w:i/>
          <w:lang w:val="es-ES"/>
        </w:rPr>
        <w:t xml:space="preserve"> </w:t>
      </w:r>
      <w:proofErr w:type="spellStart"/>
      <w:r w:rsidRPr="007432A4">
        <w:rPr>
          <w:i/>
          <w:lang w:val="es-ES"/>
        </w:rPr>
        <w:t>one</w:t>
      </w:r>
      <w:proofErr w:type="spellEnd"/>
      <w:r w:rsidRPr="007432A4">
        <w:rPr>
          <w:i/>
          <w:lang w:val="es-ES"/>
        </w:rPr>
        <w:t xml:space="preserve"> in </w:t>
      </w:r>
      <w:proofErr w:type="spellStart"/>
      <w:r w:rsidRPr="007432A4">
        <w:rPr>
          <w:i/>
          <w:lang w:val="es-ES"/>
        </w:rPr>
        <w:t>two</w:t>
      </w:r>
      <w:proofErr w:type="spellEnd"/>
      <w:r w:rsidRPr="007432A4">
        <w:rPr>
          <w:i/>
          <w:lang w:val="es-ES"/>
        </w:rPr>
        <w:t xml:space="preserve"> </w:t>
      </w:r>
      <w:proofErr w:type="spellStart"/>
      <w:r w:rsidRPr="007432A4">
        <w:rPr>
          <w:i/>
          <w:lang w:val="es-ES"/>
        </w:rPr>
        <w:t>thousand</w:t>
      </w:r>
      <w:proofErr w:type="spellEnd"/>
      <w:r w:rsidRPr="007432A4">
        <w:rPr>
          <w:i/>
          <w:lang w:val="es-ES"/>
        </w:rPr>
        <w:t xml:space="preserve"> </w:t>
      </w:r>
      <w:proofErr w:type="spellStart"/>
      <w:r w:rsidRPr="007432A4">
        <w:rPr>
          <w:i/>
          <w:lang w:val="es-ES"/>
        </w:rPr>
        <w:t>births</w:t>
      </w:r>
      <w:proofErr w:type="spellEnd"/>
      <w:r w:rsidRPr="007432A4">
        <w:rPr>
          <w:i/>
          <w:lang w:val="es-ES"/>
        </w:rPr>
        <w:t xml:space="preserve"> in </w:t>
      </w:r>
      <w:proofErr w:type="spellStart"/>
      <w:r w:rsidRPr="007432A4">
        <w:rPr>
          <w:i/>
          <w:lang w:val="es-ES"/>
        </w:rPr>
        <w:t>Mexico</w:t>
      </w:r>
      <w:proofErr w:type="spellEnd"/>
      <w:r w:rsidRPr="007432A4">
        <w:rPr>
          <w:i/>
          <w:lang w:val="es-ES"/>
        </w:rPr>
        <w:t xml:space="preserve"> and </w:t>
      </w:r>
      <w:proofErr w:type="spellStart"/>
      <w:r w:rsidRPr="007432A4">
        <w:rPr>
          <w:i/>
          <w:lang w:val="es-ES"/>
        </w:rPr>
        <w:t>the</w:t>
      </w:r>
      <w:proofErr w:type="spellEnd"/>
      <w:r w:rsidRPr="007432A4">
        <w:rPr>
          <w:i/>
          <w:lang w:val="es-ES"/>
        </w:rPr>
        <w:t xml:space="preserve"> </w:t>
      </w:r>
      <w:proofErr w:type="spellStart"/>
      <w:r w:rsidRPr="007432A4">
        <w:rPr>
          <w:i/>
          <w:lang w:val="es-ES"/>
        </w:rPr>
        <w:t>world</w:t>
      </w:r>
      <w:proofErr w:type="spellEnd"/>
      <w:r w:rsidRPr="007432A4">
        <w:rPr>
          <w:i/>
          <w:lang w:val="es-ES"/>
        </w:rPr>
        <w:t xml:space="preserve">. </w:t>
      </w:r>
      <w:r w:rsidRPr="00733196">
        <w:rPr>
          <w:b/>
          <w:i/>
        </w:rPr>
        <w:t>[…]" These are diseases that are studied at the third level.</w:t>
      </w:r>
      <w:r w:rsidRPr="00733196">
        <w:rPr>
          <w:i/>
        </w:rPr>
        <w:t xml:space="preserve"> The emerging intervention lasts about ten years. For the physician, it has historically been more practical to lead the little person to a woman because of the surgical and functional ease. </w:t>
      </w:r>
      <w:r w:rsidRPr="00733196">
        <w:rPr>
          <w:b/>
          <w:i/>
        </w:rPr>
        <w:t>In many cases, it is decided that a small penis will not work, and then the gonads are removed</w:t>
      </w:r>
      <w:r w:rsidRPr="00733196">
        <w:rPr>
          <w:i/>
        </w:rPr>
        <w:t xml:space="preserve">," he says. </w:t>
      </w:r>
      <w:r w:rsidRPr="00733196">
        <w:rPr>
          <w:b/>
          <w:i/>
        </w:rPr>
        <w:t>Faced with the question "is surgery necessary?", the official responds that in Mexico you can't stop practicing.</w:t>
      </w:r>
      <w:r w:rsidRPr="00733196">
        <w:rPr>
          <w:i/>
        </w:rPr>
        <w:t xml:space="preserve"> "The cultural level is very closed; either we are 'A' or we are 'B', there is no need for intermediate points. We're in diapers, we're not trained to understand it."”</w:t>
      </w:r>
    </w:p>
  </w:footnote>
  <w:footnote w:id="36">
    <w:p w:rsidR="00A402C4" w:rsidRPr="00733196" w:rsidRDefault="00A402C4" w:rsidP="00A402C4">
      <w:pPr>
        <w:pStyle w:val="fussnoteschattenbericht"/>
      </w:pPr>
      <w:r w:rsidRPr="004B53C7">
        <w:rPr>
          <w:rStyle w:val="Funotenzeichen"/>
          <w:vertAlign w:val="baseline"/>
        </w:rPr>
        <w:footnoteRef/>
      </w:r>
      <w:r w:rsidRPr="004B53C7">
        <w:rPr>
          <w:rStyle w:val="Funotenzeichen"/>
          <w:vertAlign w:val="baseline"/>
        </w:rPr>
        <w:t xml:space="preserve"> </w:t>
      </w:r>
      <w:r w:rsidRPr="00733196">
        <w:tab/>
        <w:t xml:space="preserve">Laura Inter (2017), La </w:t>
      </w:r>
      <w:proofErr w:type="spellStart"/>
      <w:r w:rsidRPr="00733196">
        <w:t>situación</w:t>
      </w:r>
      <w:proofErr w:type="spellEnd"/>
      <w:r w:rsidRPr="00733196">
        <w:t xml:space="preserve"> de la </w:t>
      </w:r>
      <w:proofErr w:type="spellStart"/>
      <w:r w:rsidRPr="00733196">
        <w:t>comunidad</w:t>
      </w:r>
      <w:proofErr w:type="spellEnd"/>
      <w:r w:rsidRPr="00733196">
        <w:t xml:space="preserve"> intersexual de México, presentation at hearing of Inter-American Commission on Human Rights (IACHR), </w:t>
      </w:r>
      <w:r w:rsidRPr="00733196">
        <w:br/>
      </w:r>
      <w:hyperlink r:id="rId25" w:history="1">
        <w:r w:rsidRPr="00733196">
          <w:rPr>
            <w:rStyle w:val="Hyperlink"/>
          </w:rPr>
          <w:t>https://brujulaintersexual.org/2017/03/26/cidh-la-situacion-comunidad-intersexual-mexico/</w:t>
        </w:r>
      </w:hyperlink>
      <w:r w:rsidRPr="00733196">
        <w:t xml:space="preserve"> </w:t>
      </w:r>
    </w:p>
  </w:footnote>
  <w:footnote w:id="37">
    <w:p w:rsidR="00A402C4" w:rsidRPr="00733196" w:rsidRDefault="00A402C4" w:rsidP="00A402C4">
      <w:pPr>
        <w:pStyle w:val="fussnoteschattenbericht"/>
        <w:rPr>
          <w:lang w:val="es-ES"/>
        </w:rPr>
      </w:pPr>
      <w:r w:rsidRPr="00733196">
        <w:rPr>
          <w:rStyle w:val="FootnoteSymbol"/>
        </w:rPr>
        <w:footnoteRef/>
      </w:r>
      <w:r w:rsidRPr="00733196">
        <w:rPr>
          <w:lang w:val="es-ES"/>
        </w:rPr>
        <w:tab/>
        <w:t xml:space="preserve">Eva Alcántara (2008), Pobreza y condición intersexual en México: reflexiones y preguntas en torno al dispositivo médico. In: Mauro Cabral (ed.), Interdicciones: Escrituras de la Intersexualidad en castellano, p. 16–30, </w:t>
      </w:r>
      <w:hyperlink r:id="rId26" w:history="1">
        <w:r w:rsidRPr="00733196">
          <w:rPr>
            <w:rStyle w:val="Hyperlink"/>
            <w:lang w:val="es-ES"/>
          </w:rPr>
          <w:t>https://brujulaintersexual.files.wordpress.com/2016/07/interdicciones2.pdf</w:t>
        </w:r>
      </w:hyperlink>
    </w:p>
  </w:footnote>
  <w:footnote w:id="38">
    <w:p w:rsidR="00A402C4" w:rsidRPr="00733196" w:rsidRDefault="00A402C4" w:rsidP="00A402C4">
      <w:pPr>
        <w:pStyle w:val="fussnoteschattenbericht"/>
        <w:rPr>
          <w:lang w:val="es-ES"/>
        </w:rPr>
      </w:pPr>
      <w:r w:rsidRPr="00733196">
        <w:rPr>
          <w:rStyle w:val="FootnoteSymbol"/>
        </w:rPr>
        <w:footnoteRef/>
      </w:r>
      <w:r w:rsidRPr="00733196">
        <w:rPr>
          <w:lang w:val="es-ES"/>
        </w:rPr>
        <w:tab/>
      </w:r>
      <w:hyperlink r:id="rId27" w:history="1">
        <w:r w:rsidRPr="00B72B08">
          <w:rPr>
            <w:rStyle w:val="Hyperlink"/>
            <w:lang w:val="es-ES"/>
          </w:rPr>
          <w:t>https://brujulaintersexual.org/category/mexico/</w:t>
        </w:r>
      </w:hyperlink>
      <w:r>
        <w:rPr>
          <w:lang w:val="es-ES"/>
        </w:rPr>
        <w:t xml:space="preserve"> </w:t>
      </w:r>
    </w:p>
  </w:footnote>
  <w:footnote w:id="39">
    <w:p w:rsidR="00A402C4" w:rsidRPr="00733196" w:rsidRDefault="00A402C4" w:rsidP="00A402C4">
      <w:pPr>
        <w:pStyle w:val="fussnoteschattenbericht"/>
        <w:rPr>
          <w:lang w:val="es-ES"/>
        </w:rPr>
      </w:pPr>
      <w:r w:rsidRPr="00733196">
        <w:rPr>
          <w:rStyle w:val="FootnoteSymbol"/>
        </w:rPr>
        <w:footnoteRef/>
      </w:r>
      <w:r w:rsidRPr="00733196">
        <w:rPr>
          <w:lang w:val="es-ES"/>
        </w:rPr>
        <w:tab/>
      </w:r>
      <w:hyperlink r:id="rId28" w:history="1">
        <w:r w:rsidRPr="00733196">
          <w:rPr>
            <w:rStyle w:val="Hyperlink"/>
            <w:lang w:val="es-ES"/>
          </w:rPr>
          <w:t>https://vivirintersex.org/</w:t>
        </w:r>
      </w:hyperlink>
      <w:r w:rsidRPr="00733196">
        <w:rPr>
          <w:lang w:val="es-ES"/>
        </w:rPr>
        <w:t xml:space="preserve"> </w:t>
      </w:r>
    </w:p>
  </w:footnote>
  <w:footnote w:id="40">
    <w:p w:rsidR="00A402C4" w:rsidRPr="00733196" w:rsidRDefault="00A402C4" w:rsidP="00A402C4">
      <w:pPr>
        <w:pStyle w:val="fussnoteschattenbericht"/>
        <w:rPr>
          <w:lang w:val="es-ES"/>
        </w:rPr>
      </w:pPr>
      <w:r w:rsidRPr="00733196">
        <w:rPr>
          <w:rStyle w:val="FootnoteSymbol"/>
        </w:rPr>
        <w:footnoteRef/>
      </w:r>
      <w:r w:rsidRPr="00733196">
        <w:rPr>
          <w:lang w:val="es-ES"/>
        </w:rPr>
        <w:tab/>
        <w:t xml:space="preserve">El Big Data (2015), “Corregir” bebés intersexuales es una violación a los derechos humanos, </w:t>
      </w:r>
      <w:r w:rsidR="00584BFB">
        <w:rPr>
          <w:lang w:val="es-ES"/>
        </w:rPr>
        <w:t xml:space="preserve">[offline] </w:t>
      </w:r>
      <w:hyperlink r:id="rId29" w:history="1">
        <w:r w:rsidR="00584BFB" w:rsidRPr="00B72B08">
          <w:rPr>
            <w:rStyle w:val="Hyperlink"/>
            <w:lang w:val="es-ES"/>
          </w:rPr>
          <w:t>https://elbigdata.mx/2015/07/corregir-bebes-intersexuales-es-una-violacion-a-los-derechos-humanos/</w:t>
        </w:r>
      </w:hyperlink>
      <w:r w:rsidRPr="00733196">
        <w:rPr>
          <w:lang w:val="es-ES"/>
        </w:rPr>
        <w:t xml:space="preserve"> </w:t>
      </w:r>
    </w:p>
  </w:footnote>
  <w:footnote w:id="41">
    <w:p w:rsidR="00A402C4" w:rsidRPr="00733196" w:rsidRDefault="00A402C4" w:rsidP="00A402C4">
      <w:pPr>
        <w:pStyle w:val="fussnoteschattenbericht"/>
        <w:rPr>
          <w:lang w:val="es-ES"/>
        </w:rPr>
      </w:pPr>
      <w:r w:rsidRPr="00733196">
        <w:rPr>
          <w:rStyle w:val="FootnoteSymbol"/>
        </w:rPr>
        <w:footnoteRef/>
      </w:r>
      <w:r w:rsidRPr="00733196">
        <w:rPr>
          <w:lang w:val="es-ES"/>
        </w:rPr>
        <w:tab/>
        <w:t xml:space="preserve">El Big Data (2015), Mutilación genital, una cirugía donde el paciente no tiene derecho a decidir, </w:t>
      </w:r>
      <w:r w:rsidR="00584BFB">
        <w:rPr>
          <w:lang w:val="es-ES"/>
        </w:rPr>
        <w:t xml:space="preserve">[offline] </w:t>
      </w:r>
      <w:hyperlink r:id="rId30" w:history="1">
        <w:r w:rsidRPr="00733196">
          <w:rPr>
            <w:rStyle w:val="Hyperlink"/>
            <w:lang w:val="es-ES"/>
          </w:rPr>
          <w:t>https://elbigdata.mx/2015/07/mutilacion-genital-una-decision-que-toman-por-ti/</w:t>
        </w:r>
      </w:hyperlink>
      <w:r w:rsidRPr="00733196">
        <w:rPr>
          <w:lang w:val="es-ES"/>
        </w:rPr>
        <w:t xml:space="preserve"> </w:t>
      </w:r>
    </w:p>
  </w:footnote>
  <w:footnote w:id="42">
    <w:p w:rsidR="00A402C4" w:rsidRPr="00733196" w:rsidRDefault="00A402C4" w:rsidP="00A402C4">
      <w:pPr>
        <w:pStyle w:val="fussnoteschattenbericht"/>
      </w:pPr>
      <w:r w:rsidRPr="00733196">
        <w:rPr>
          <w:rStyle w:val="FootnoteSymbol"/>
        </w:rPr>
        <w:footnoteRef/>
      </w:r>
      <w:r w:rsidRPr="00733196">
        <w:tab/>
        <w:t xml:space="preserve">Laura Inter (2016), Finding my Compass, p. 10-13 (PDF: 17-20), in: Normalizing Intersex, Voices. Personal Stories from the Pages of NIB, Issue 2/2016, </w:t>
      </w:r>
      <w:r w:rsidRPr="00733196">
        <w:br/>
      </w:r>
      <w:hyperlink r:id="rId31" w:history="1">
        <w:r w:rsidRPr="00733196">
          <w:rPr>
            <w:rStyle w:val="Hyperlink"/>
          </w:rPr>
          <w:t>http://narrativebioethics.com/wp-content/uploads/2017/07/Voices_2016_INTERSEX_FINAL.pdf</w:t>
        </w:r>
      </w:hyperlink>
      <w:r w:rsidRPr="00733196">
        <w:t xml:space="preserve"> </w:t>
      </w:r>
    </w:p>
  </w:footnote>
  <w:footnote w:id="43">
    <w:p w:rsidR="00A402C4" w:rsidRPr="00733196" w:rsidRDefault="00A402C4" w:rsidP="00A402C4">
      <w:pPr>
        <w:pStyle w:val="fussnoteschattenbericht"/>
        <w:rPr>
          <w:lang w:val="es-ES"/>
        </w:rPr>
      </w:pPr>
      <w:r w:rsidRPr="00733196">
        <w:rPr>
          <w:rStyle w:val="FootnoteSymbol"/>
        </w:rPr>
        <w:footnoteRef/>
      </w:r>
      <w:r w:rsidRPr="00733196">
        <w:rPr>
          <w:lang w:val="es-ES"/>
        </w:rPr>
        <w:tab/>
        <w:t xml:space="preserve">Palabras claras (2017), Viola sector salud derechos de </w:t>
      </w:r>
      <w:proofErr w:type="spellStart"/>
      <w:r w:rsidRPr="00733196">
        <w:rPr>
          <w:lang w:val="es-ES"/>
        </w:rPr>
        <w:t>intersex</w:t>
      </w:r>
      <w:proofErr w:type="spellEnd"/>
      <w:r w:rsidRPr="00733196">
        <w:rPr>
          <w:lang w:val="es-ES"/>
        </w:rPr>
        <w:t xml:space="preserve">, </w:t>
      </w:r>
      <w:r w:rsidRPr="00733196">
        <w:rPr>
          <w:lang w:val="es-ES"/>
        </w:rPr>
        <w:br/>
      </w:r>
      <w:hyperlink r:id="rId32" w:history="1">
        <w:r w:rsidR="00584BFB" w:rsidRPr="00584BFB">
          <w:rPr>
            <w:rStyle w:val="Hyperlink"/>
            <w:sz w:val="19"/>
            <w:szCs w:val="19"/>
            <w:lang w:val="es-ES"/>
          </w:rPr>
          <w:t>https://web.archive.org/web/20220120165224/https://palabrasclaras.mx/estatal/viola-sector-salud-derechos-intersex/</w:t>
        </w:r>
      </w:hyperlink>
      <w:r w:rsidR="00584BFB" w:rsidRPr="00584BFB">
        <w:rPr>
          <w:sz w:val="19"/>
          <w:szCs w:val="19"/>
          <w:lang w:val="es-ES"/>
        </w:rPr>
        <w:t xml:space="preserve"> </w:t>
      </w:r>
    </w:p>
  </w:footnote>
  <w:footnote w:id="44">
    <w:p w:rsidR="00A402C4" w:rsidRPr="00733196" w:rsidRDefault="00A402C4" w:rsidP="00A402C4">
      <w:pPr>
        <w:pStyle w:val="fussnoteschattenbericht"/>
        <w:rPr>
          <w:lang w:val="es-ES"/>
        </w:rPr>
      </w:pPr>
      <w:r w:rsidRPr="00733196">
        <w:rPr>
          <w:rStyle w:val="FootnoteSymbol"/>
        </w:rPr>
        <w:footnoteRef/>
      </w:r>
      <w:r w:rsidRPr="00733196">
        <w:rPr>
          <w:lang w:val="es-ES"/>
        </w:rPr>
        <w:tab/>
      </w:r>
      <w:proofErr w:type="spellStart"/>
      <w:r w:rsidRPr="00733196">
        <w:rPr>
          <w:lang w:val="es-ES"/>
        </w:rPr>
        <w:t>japii</w:t>
      </w:r>
      <w:proofErr w:type="spellEnd"/>
      <w:r w:rsidRPr="00733196">
        <w:rPr>
          <w:lang w:val="es-ES"/>
        </w:rPr>
        <w:t xml:space="preserve"> (2017), Mutilación genital a bebés intersexuales, </w:t>
      </w:r>
      <w:hyperlink r:id="rId33" w:history="1">
        <w:r w:rsidR="00556C45" w:rsidRPr="00B72B08">
          <w:rPr>
            <w:rStyle w:val="Hyperlink"/>
          </w:rPr>
          <w:t>https://web.archive.org/web/20220120090944/http://japii.mx/mutilacion-genital-bebes-intersexuales/</w:t>
        </w:r>
      </w:hyperlink>
      <w:r w:rsidR="00556C45">
        <w:t xml:space="preserve"> </w:t>
      </w:r>
    </w:p>
  </w:footnote>
  <w:footnote w:id="45">
    <w:p w:rsidR="00A402C4" w:rsidRPr="00733196" w:rsidRDefault="00A402C4" w:rsidP="00A402C4">
      <w:pPr>
        <w:pStyle w:val="fussnoteschattenbericht"/>
        <w:rPr>
          <w:lang w:val="es-ES"/>
        </w:rPr>
      </w:pPr>
      <w:r w:rsidRPr="00733196">
        <w:rPr>
          <w:rStyle w:val="FootnoteSymbol"/>
        </w:rPr>
        <w:footnoteRef/>
      </w:r>
      <w:r w:rsidRPr="00733196">
        <w:rPr>
          <w:lang w:val="es-ES"/>
        </w:rPr>
        <w:tab/>
        <w:t xml:space="preserve">proceso (2017), La CIDH pide a los Estados respetar la autonomía de personas </w:t>
      </w:r>
      <w:proofErr w:type="spellStart"/>
      <w:r w:rsidRPr="00733196">
        <w:rPr>
          <w:lang w:val="es-ES"/>
        </w:rPr>
        <w:t>intersex</w:t>
      </w:r>
      <w:proofErr w:type="spellEnd"/>
      <w:r w:rsidRPr="00733196">
        <w:rPr>
          <w:lang w:val="es-ES"/>
        </w:rPr>
        <w:t xml:space="preserve">, </w:t>
      </w:r>
      <w:hyperlink r:id="rId34" w:history="1">
        <w:r w:rsidRPr="00733196">
          <w:rPr>
            <w:rStyle w:val="Hyperlink"/>
            <w:lang w:val="es-ES"/>
          </w:rPr>
          <w:t>https://www.proceso.com.mx/512224/la-cidh-pide-a-los-estados-respetar-la-autonomia-personas-intersex</w:t>
        </w:r>
      </w:hyperlink>
      <w:r w:rsidRPr="00733196">
        <w:rPr>
          <w:lang w:val="es-ES"/>
        </w:rPr>
        <w:t xml:space="preserve"> </w:t>
      </w:r>
    </w:p>
  </w:footnote>
  <w:footnote w:id="46">
    <w:p w:rsidR="00A402C4" w:rsidRPr="00733196" w:rsidRDefault="00A402C4" w:rsidP="00A402C4">
      <w:pPr>
        <w:pStyle w:val="fussnoteschattenbericht"/>
      </w:pPr>
      <w:r w:rsidRPr="004B53C7">
        <w:rPr>
          <w:rStyle w:val="Funotenzeichen"/>
          <w:vertAlign w:val="baseline"/>
        </w:rPr>
        <w:footnoteRef/>
      </w:r>
      <w:r w:rsidRPr="004B53C7">
        <w:rPr>
          <w:rStyle w:val="Funotenzeichen"/>
          <w:vertAlign w:val="baseline"/>
        </w:rPr>
        <w:t xml:space="preserve"> </w:t>
      </w:r>
      <w:r w:rsidRPr="00733196">
        <w:tab/>
      </w:r>
      <w:proofErr w:type="spellStart"/>
      <w:r w:rsidRPr="00733196">
        <w:t>Periódico</w:t>
      </w:r>
      <w:proofErr w:type="spellEnd"/>
      <w:r w:rsidRPr="00733196">
        <w:t xml:space="preserve"> </w:t>
      </w:r>
      <w:proofErr w:type="spellStart"/>
      <w:r w:rsidRPr="00733196">
        <w:t>Oficial</w:t>
      </w:r>
      <w:proofErr w:type="spellEnd"/>
      <w:r w:rsidRPr="00733196">
        <w:t xml:space="preserve">, </w:t>
      </w:r>
      <w:proofErr w:type="spellStart"/>
      <w:r w:rsidRPr="00733196">
        <w:t>Gaceta</w:t>
      </w:r>
      <w:proofErr w:type="spellEnd"/>
      <w:r w:rsidRPr="00733196">
        <w:t xml:space="preserve"> del </w:t>
      </w:r>
      <w:proofErr w:type="spellStart"/>
      <w:r w:rsidRPr="00733196">
        <w:t>Gobierno</w:t>
      </w:r>
      <w:proofErr w:type="spellEnd"/>
      <w:r w:rsidRPr="00733196">
        <w:t xml:space="preserve"> (2017), </w:t>
      </w:r>
      <w:proofErr w:type="spellStart"/>
      <w:r w:rsidRPr="00733196">
        <w:t>Tomo</w:t>
      </w:r>
      <w:proofErr w:type="spellEnd"/>
      <w:r w:rsidRPr="00733196">
        <w:t xml:space="preserve"> CCIV, No. 46, p. 132, </w:t>
      </w:r>
      <w:hyperlink r:id="rId35" w:history="1">
        <w:r w:rsidRPr="00733196">
          <w:rPr>
            <w:rStyle w:val="Hyperlink"/>
          </w:rPr>
          <w:t>http://legislacion.edomex.gob.mx/sites/legislacion.edomex.gob.mx/files/files/pdf/gct/2017/sep047.pdf</w:t>
        </w:r>
      </w:hyperlink>
      <w:r w:rsidRPr="00733196">
        <w:t xml:space="preserve"> </w:t>
      </w:r>
      <w:r w:rsidRPr="00733196">
        <w:rPr>
          <w:b/>
          <w:i/>
        </w:rPr>
        <w:t>“Intersex children may undergo surgery and other interventions without their informed consent or that of their parents</w:t>
      </w:r>
      <w:r w:rsidRPr="00733196">
        <w:rPr>
          <w:i/>
        </w:rPr>
        <w:t>, and as adults are also vulnerable to violence and discrimination.”</w:t>
      </w:r>
    </w:p>
  </w:footnote>
  <w:footnote w:id="47">
    <w:p w:rsidR="00A402C4" w:rsidRPr="00733196" w:rsidRDefault="00A402C4" w:rsidP="00A402C4">
      <w:pPr>
        <w:pStyle w:val="fussnoteschattenbericht"/>
        <w:rPr>
          <w:lang w:val="es-ES"/>
        </w:rPr>
      </w:pPr>
      <w:r w:rsidRPr="00733196">
        <w:rPr>
          <w:rStyle w:val="FootnoteSymbol"/>
        </w:rPr>
        <w:footnoteRef/>
      </w:r>
      <w:r w:rsidRPr="00733196">
        <w:rPr>
          <w:lang w:val="es-ES"/>
        </w:rPr>
        <w:tab/>
        <w:t xml:space="preserve">Comisión Ejecutiva de Atención a Víctimas (CEAV), Comité de Violencia Sexual (2015), Investigación sobre la atención de personas LGBT en México, p. 15, </w:t>
      </w:r>
      <w:r w:rsidRPr="00733196">
        <w:rPr>
          <w:lang w:val="es-ES"/>
        </w:rPr>
        <w:br/>
      </w:r>
      <w:hyperlink r:id="rId36" w:history="1">
        <w:r w:rsidR="005B3E73" w:rsidRPr="00B72B08">
          <w:rPr>
            <w:rStyle w:val="Hyperlink"/>
            <w:lang w:val="es-ES"/>
          </w:rPr>
          <w:t>https://web.archive.org/web/20180329101820/http://www.ceav.gob.mx/wp-content/uploads/2016/06/Investigaci%C3%83%C2%B3n-LGBT-Documento-Completo.pdf</w:t>
        </w:r>
      </w:hyperlink>
      <w:r w:rsidR="005B3E73">
        <w:rPr>
          <w:lang w:val="es-ES"/>
        </w:rPr>
        <w:t xml:space="preserve"> </w:t>
      </w:r>
    </w:p>
    <w:p w:rsidR="00A402C4" w:rsidRPr="00733196" w:rsidRDefault="00A402C4" w:rsidP="00A402C4">
      <w:pPr>
        <w:pStyle w:val="fussnoteschattenbericht"/>
        <w:ind w:firstLine="0"/>
      </w:pPr>
      <w:r w:rsidRPr="00733196">
        <w:rPr>
          <w:b/>
        </w:rPr>
        <w:t>“Medical violence against intersex people</w:t>
      </w:r>
      <w:r w:rsidRPr="00733196">
        <w:t>, as most treatments and interventions seek the normalization of their bodies.”</w:t>
      </w:r>
    </w:p>
  </w:footnote>
  <w:footnote w:id="48">
    <w:p w:rsidR="00A402C4" w:rsidRPr="00733196" w:rsidRDefault="00A402C4" w:rsidP="00A402C4">
      <w:pPr>
        <w:pStyle w:val="fussnoteschattenbericht"/>
        <w:rPr>
          <w:lang w:val="es-ES"/>
        </w:rPr>
      </w:pPr>
      <w:r w:rsidRPr="004B53C7">
        <w:rPr>
          <w:rStyle w:val="Funotenzeichen"/>
          <w:vertAlign w:val="baseline"/>
        </w:rPr>
        <w:footnoteRef/>
      </w:r>
      <w:r w:rsidRPr="004B53C7">
        <w:rPr>
          <w:lang w:val="es-ES"/>
        </w:rPr>
        <w:t xml:space="preserve"> </w:t>
      </w:r>
      <w:r w:rsidRPr="00733196">
        <w:rPr>
          <w:lang w:val="es-ES"/>
        </w:rPr>
        <w:tab/>
        <w:t xml:space="preserve">“Foro Inter Visibilidad, Visibilidad </w:t>
      </w:r>
      <w:proofErr w:type="spellStart"/>
      <w:r w:rsidRPr="00733196">
        <w:rPr>
          <w:lang w:val="es-ES"/>
        </w:rPr>
        <w:t>Intersex</w:t>
      </w:r>
      <w:proofErr w:type="spellEnd"/>
      <w:r w:rsidRPr="00733196">
        <w:rPr>
          <w:lang w:val="es-ES"/>
        </w:rPr>
        <w:t xml:space="preserve">” (2014), </w:t>
      </w:r>
      <w:proofErr w:type="spellStart"/>
      <w:r w:rsidRPr="00733196">
        <w:rPr>
          <w:lang w:val="es-ES"/>
        </w:rPr>
        <w:t>see</w:t>
      </w:r>
      <w:proofErr w:type="spellEnd"/>
      <w:r w:rsidRPr="00733196">
        <w:rPr>
          <w:lang w:val="es-ES"/>
        </w:rPr>
        <w:t xml:space="preserve"> p. 135, </w:t>
      </w:r>
      <w:r w:rsidR="005B3E73">
        <w:rPr>
          <w:lang w:val="es-ES"/>
        </w:rPr>
        <w:t>[offline]</w:t>
      </w:r>
      <w:r w:rsidRPr="00733196">
        <w:rPr>
          <w:lang w:val="es-ES"/>
        </w:rPr>
        <w:br/>
      </w:r>
      <w:hyperlink r:id="rId37" w:history="1">
        <w:r w:rsidRPr="00733196">
          <w:rPr>
            <w:rStyle w:val="Hyperlink"/>
            <w:lang w:val="es-ES"/>
          </w:rPr>
          <w:t>http://cdhdf.org.mx/wp-content/uploads/2015/03/informe-anual-2014-2.pdf</w:t>
        </w:r>
      </w:hyperlink>
      <w:r w:rsidRPr="00733196">
        <w:rPr>
          <w:lang w:val="es-ES"/>
        </w:rPr>
        <w:t xml:space="preserve"> </w:t>
      </w:r>
    </w:p>
  </w:footnote>
  <w:footnote w:id="49">
    <w:p w:rsidR="00A402C4" w:rsidRPr="00733196" w:rsidRDefault="00A402C4" w:rsidP="00A402C4">
      <w:pPr>
        <w:pStyle w:val="fussnoteschattenbericht"/>
        <w:rPr>
          <w:lang w:val="es-ES"/>
        </w:rPr>
      </w:pPr>
      <w:r w:rsidRPr="004B53C7">
        <w:rPr>
          <w:rStyle w:val="Funotenzeichen"/>
          <w:vertAlign w:val="baseline"/>
        </w:rPr>
        <w:footnoteRef/>
      </w:r>
      <w:r w:rsidRPr="004B53C7">
        <w:rPr>
          <w:lang w:val="es-ES"/>
        </w:rPr>
        <w:t xml:space="preserve"> </w:t>
      </w:r>
      <w:r w:rsidRPr="00733196">
        <w:rPr>
          <w:lang w:val="es-ES"/>
        </w:rPr>
        <w:tab/>
        <w:t xml:space="preserve">Hana </w:t>
      </w:r>
      <w:proofErr w:type="spellStart"/>
      <w:r w:rsidRPr="00733196">
        <w:rPr>
          <w:lang w:val="es-ES"/>
        </w:rPr>
        <w:t>Aoi</w:t>
      </w:r>
      <w:proofErr w:type="spellEnd"/>
      <w:r w:rsidRPr="00733196">
        <w:rPr>
          <w:lang w:val="es-ES"/>
        </w:rPr>
        <w:t xml:space="preserve"> (2017), 2º Foro Inter Visibilidad en la CDHDF, </w:t>
      </w:r>
      <w:r w:rsidRPr="00733196">
        <w:rPr>
          <w:lang w:val="es-ES"/>
        </w:rPr>
        <w:br/>
      </w:r>
      <w:hyperlink r:id="rId38" w:history="1">
        <w:r w:rsidRPr="00733196">
          <w:rPr>
            <w:rStyle w:val="Hyperlink"/>
            <w:lang w:val="es-ES"/>
          </w:rPr>
          <w:t>https://vivirintersex.org/2017/12/01/2o-foro-inter-visibilidad-en-la-cdhdf/</w:t>
        </w:r>
      </w:hyperlink>
      <w:r w:rsidRPr="00733196">
        <w:rPr>
          <w:lang w:val="es-ES"/>
        </w:rPr>
        <w:t xml:space="preserve"> </w:t>
      </w:r>
    </w:p>
  </w:footnote>
  <w:footnote w:id="50">
    <w:p w:rsidR="00A402C4" w:rsidRPr="00733196" w:rsidRDefault="00A402C4" w:rsidP="00A402C4">
      <w:pPr>
        <w:pStyle w:val="fussnoteschattenbericht"/>
        <w:rPr>
          <w:lang w:val="es-ES"/>
        </w:rPr>
      </w:pPr>
      <w:r w:rsidRPr="004B53C7">
        <w:rPr>
          <w:rStyle w:val="Funotenzeichen"/>
          <w:vertAlign w:val="baseline"/>
        </w:rPr>
        <w:footnoteRef/>
      </w:r>
      <w:r w:rsidRPr="004B53C7">
        <w:rPr>
          <w:rStyle w:val="Funotenzeichen"/>
          <w:vertAlign w:val="baseline"/>
          <w:lang w:val="es-ES"/>
        </w:rPr>
        <w:t xml:space="preserve"> </w:t>
      </w:r>
      <w:r w:rsidRPr="00733196">
        <w:rPr>
          <w:lang w:val="es-ES"/>
        </w:rPr>
        <w:tab/>
      </w:r>
      <w:proofErr w:type="spellStart"/>
      <w:r w:rsidRPr="00733196">
        <w:rPr>
          <w:lang w:val="es-ES"/>
        </w:rPr>
        <w:t>Mexico</w:t>
      </w:r>
      <w:proofErr w:type="spellEnd"/>
      <w:r w:rsidRPr="00733196">
        <w:rPr>
          <w:lang w:val="es-ES"/>
        </w:rPr>
        <w:t xml:space="preserve"> City: </w:t>
      </w:r>
      <w:proofErr w:type="spellStart"/>
      <w:r w:rsidRPr="00733196">
        <w:rPr>
          <w:lang w:val="es-ES"/>
        </w:rPr>
        <w:t>Second</w:t>
      </w:r>
      <w:proofErr w:type="spellEnd"/>
      <w:r w:rsidRPr="00733196">
        <w:rPr>
          <w:lang w:val="es-ES"/>
        </w:rPr>
        <w:t xml:space="preserve"> </w:t>
      </w:r>
      <w:proofErr w:type="spellStart"/>
      <w:r w:rsidRPr="00733196">
        <w:rPr>
          <w:lang w:val="es-ES"/>
        </w:rPr>
        <w:t>forum</w:t>
      </w:r>
      <w:proofErr w:type="spellEnd"/>
      <w:r w:rsidRPr="00733196">
        <w:rPr>
          <w:lang w:val="es-ES"/>
        </w:rPr>
        <w:t xml:space="preserve"> </w:t>
      </w:r>
      <w:proofErr w:type="spellStart"/>
      <w:r w:rsidRPr="00733196">
        <w:rPr>
          <w:lang w:val="es-ES"/>
        </w:rPr>
        <w:t>on</w:t>
      </w:r>
      <w:proofErr w:type="spellEnd"/>
      <w:r w:rsidRPr="00733196">
        <w:rPr>
          <w:lang w:val="es-ES"/>
        </w:rPr>
        <w:t xml:space="preserve"> </w:t>
      </w:r>
      <w:proofErr w:type="spellStart"/>
      <w:r w:rsidRPr="00733196">
        <w:rPr>
          <w:lang w:val="es-ES"/>
        </w:rPr>
        <w:t>intersex</w:t>
      </w:r>
      <w:proofErr w:type="spellEnd"/>
      <w:r w:rsidRPr="00733196">
        <w:rPr>
          <w:lang w:val="es-ES"/>
        </w:rPr>
        <w:t xml:space="preserve"> </w:t>
      </w:r>
      <w:proofErr w:type="spellStart"/>
      <w:r w:rsidRPr="00733196">
        <w:rPr>
          <w:lang w:val="es-ES"/>
        </w:rPr>
        <w:t>visibility</w:t>
      </w:r>
      <w:proofErr w:type="spellEnd"/>
      <w:r w:rsidRPr="00733196">
        <w:rPr>
          <w:lang w:val="es-ES"/>
        </w:rPr>
        <w:t xml:space="preserve"> (2017), </w:t>
      </w:r>
      <w:hyperlink r:id="rId39" w:history="1">
        <w:r w:rsidRPr="00733196">
          <w:rPr>
            <w:rStyle w:val="Hyperlink"/>
            <w:w w:val="95"/>
            <w:kern w:val="20"/>
            <w:sz w:val="19"/>
            <w:szCs w:val="19"/>
            <w:lang w:val="es-ES"/>
          </w:rPr>
          <w:t>https://intersexday.org/en/intersex-visibility-mexico-2017/</w:t>
        </w:r>
      </w:hyperlink>
      <w:r w:rsidRPr="00733196">
        <w:rPr>
          <w:lang w:val="es-ES"/>
        </w:rPr>
        <w:t xml:space="preserve"> </w:t>
      </w:r>
    </w:p>
  </w:footnote>
  <w:footnote w:id="51">
    <w:p w:rsidR="00A402C4" w:rsidRPr="00733196" w:rsidRDefault="00A402C4" w:rsidP="00A402C4">
      <w:pPr>
        <w:pStyle w:val="fussnoteschattenbericht"/>
      </w:pPr>
      <w:r w:rsidRPr="00B87988">
        <w:rPr>
          <w:rStyle w:val="Funotenzeichen"/>
          <w:vertAlign w:val="baseline"/>
        </w:rPr>
        <w:footnoteRef/>
      </w:r>
      <w:r w:rsidRPr="00B87988">
        <w:t xml:space="preserve"> </w:t>
      </w:r>
      <w:r w:rsidRPr="00733196">
        <w:tab/>
      </w:r>
      <w:r w:rsidRPr="00733196">
        <w:rPr>
          <w:kern w:val="20"/>
        </w:rPr>
        <w:t>Mexico: CDHDF calls for recognition of intersex people’s rights (2016),</w:t>
      </w:r>
      <w:r w:rsidRPr="00733196">
        <w:t xml:space="preserve"> </w:t>
      </w:r>
      <w:r w:rsidRPr="00733196">
        <w:br/>
      </w:r>
      <w:hyperlink r:id="rId40" w:history="1">
        <w:r w:rsidRPr="00733196">
          <w:rPr>
            <w:rStyle w:val="Hyperlink"/>
            <w:kern w:val="19"/>
          </w:rPr>
          <w:t>https://intersexday.org/en/mexico-cdhdf-2016/</w:t>
        </w:r>
      </w:hyperlink>
      <w:r w:rsidRPr="00733196">
        <w:t xml:space="preserve"> </w:t>
      </w:r>
    </w:p>
  </w:footnote>
  <w:footnote w:id="52">
    <w:p w:rsidR="00A402C4" w:rsidRPr="00733196" w:rsidRDefault="00A402C4" w:rsidP="00A402C4">
      <w:pPr>
        <w:pStyle w:val="fussnoteschattenbericht"/>
      </w:pPr>
      <w:r w:rsidRPr="00B87988">
        <w:rPr>
          <w:rStyle w:val="Funotenzeichen"/>
          <w:vertAlign w:val="baseline"/>
        </w:rPr>
        <w:footnoteRef/>
      </w:r>
      <w:r w:rsidRPr="00B87988">
        <w:t xml:space="preserve"> </w:t>
      </w:r>
      <w:r w:rsidRPr="00733196">
        <w:tab/>
        <w:t xml:space="preserve">See p. 118, 127, 169, </w:t>
      </w:r>
      <w:hyperlink r:id="rId41" w:history="1">
        <w:r w:rsidR="005B3E73" w:rsidRPr="00B72B08">
          <w:rPr>
            <w:rStyle w:val="Hyperlink"/>
          </w:rPr>
          <w:t>https://web.archive.org/web/20220120100516/http://www.aldf.gob.mx/archivo-0ed6f04cdee6d13f219a903a904047f1.pdf</w:t>
        </w:r>
      </w:hyperlink>
      <w:r w:rsidR="005B3E73">
        <w:t xml:space="preserve"> </w:t>
      </w:r>
    </w:p>
  </w:footnote>
  <w:footnote w:id="53">
    <w:p w:rsidR="00A402C4" w:rsidRPr="00733196" w:rsidRDefault="00A402C4" w:rsidP="00A402C4">
      <w:pPr>
        <w:pStyle w:val="fussnoteschattenbericht"/>
      </w:pPr>
      <w:r w:rsidRPr="00B87988">
        <w:rPr>
          <w:rStyle w:val="Funotenzeichen"/>
          <w:vertAlign w:val="baseline"/>
        </w:rPr>
        <w:footnoteRef/>
      </w:r>
      <w:r w:rsidRPr="00B87988">
        <w:rPr>
          <w:rStyle w:val="Funotenzeichen"/>
          <w:vertAlign w:val="baseline"/>
        </w:rPr>
        <w:t xml:space="preserve"> </w:t>
      </w:r>
      <w:r w:rsidRPr="00733196">
        <w:tab/>
        <w:t xml:space="preserve">Mexico City: “Intersex visibility, problems and opportunities in Mexico”, </w:t>
      </w:r>
      <w:r w:rsidRPr="00733196">
        <w:br/>
      </w:r>
      <w:hyperlink r:id="rId42" w:history="1">
        <w:r w:rsidRPr="00733196">
          <w:rPr>
            <w:rStyle w:val="Hyperlink"/>
          </w:rPr>
          <w:t>https://intersexday.org/en/mexico-city-conapred-2017/</w:t>
        </w:r>
      </w:hyperlink>
      <w:r w:rsidRPr="00733196">
        <w:t xml:space="preserve"> </w:t>
      </w:r>
    </w:p>
  </w:footnote>
  <w:footnote w:id="54">
    <w:p w:rsidR="007123BE" w:rsidRPr="002B795A" w:rsidRDefault="007123BE" w:rsidP="007123BE">
      <w:pPr>
        <w:pStyle w:val="fussnoteschattenbericht"/>
      </w:pPr>
      <w:r w:rsidRPr="00A402C4">
        <w:rPr>
          <w:rStyle w:val="Funotenzeichen"/>
          <w:vertAlign w:val="baseline"/>
        </w:rPr>
        <w:footnoteRef/>
      </w:r>
      <w:r w:rsidRPr="002B795A">
        <w:rPr>
          <w:rStyle w:val="Funotenzeichen"/>
        </w:rPr>
        <w:tab/>
      </w:r>
      <w:hyperlink r:id="rId43" w:history="1">
        <w:r w:rsidR="00654BE3" w:rsidRPr="00B72B08">
          <w:rPr>
            <w:rStyle w:val="Hyperlink"/>
          </w:rPr>
          <w:t>https://intersex.shadowreport.org/public/2019-CCPR-Mexico-NGO-Intersex-Brujula-StopIGM.pdf</w:t>
        </w:r>
      </w:hyperlink>
      <w:r w:rsidR="00654BE3">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D3142" w:rsidRPr="00F74BE8" w:rsidRDefault="00BD3142" w:rsidP="00F74BE8">
    <w:pPr>
      <w:spacing w:after="0" w:line="240" w:lineRule="auto"/>
      <w:jc w:val="right"/>
      <w:rPr>
        <w:rFonts w:ascii="Century Gothic" w:hAnsi="Century Gothic" w:cs="Century Gothic"/>
        <w:color w:val="660066"/>
        <w:sz w:val="24"/>
      </w:rPr>
    </w:pPr>
    <w:r w:rsidRPr="007A5C86">
      <w:rPr>
        <w:rFonts w:ascii="Century Gothic" w:hAnsi="Century Gothic" w:cs="Century Gothic"/>
        <w:color w:val="660066"/>
        <w:sz w:val="24"/>
      </w:rPr>
      <w:fldChar w:fldCharType="begin"/>
    </w:r>
    <w:r>
      <w:rPr>
        <w:rFonts w:ascii="Century Gothic" w:hAnsi="Century Gothic" w:cs="Century Gothic"/>
        <w:color w:val="660066"/>
        <w:sz w:val="24"/>
      </w:rPr>
      <w:instrText>PAGE</w:instrText>
    </w:r>
    <w:r w:rsidRPr="007A5C86">
      <w:rPr>
        <w:rFonts w:ascii="Century Gothic" w:hAnsi="Century Gothic" w:cs="Century Gothic"/>
        <w:color w:val="660066"/>
        <w:sz w:val="24"/>
      </w:rPr>
      <w:instrText xml:space="preserve">   \* MERGEFORMAT</w:instrText>
    </w:r>
    <w:r w:rsidRPr="007A5C86">
      <w:rPr>
        <w:rFonts w:ascii="Century Gothic" w:hAnsi="Century Gothic" w:cs="Century Gothic"/>
        <w:color w:val="660066"/>
        <w:sz w:val="24"/>
      </w:rPr>
      <w:fldChar w:fldCharType="separate"/>
    </w:r>
    <w:r>
      <w:rPr>
        <w:rFonts w:ascii="Century Gothic" w:hAnsi="Century Gothic" w:cs="Century Gothic"/>
        <w:noProof/>
        <w:color w:val="660066"/>
        <w:sz w:val="24"/>
      </w:rPr>
      <w:t>2</w:t>
    </w:r>
    <w:r w:rsidRPr="007A5C86">
      <w:rPr>
        <w:rFonts w:ascii="Century Gothic" w:hAnsi="Century Gothic" w:cs="Century Gothic"/>
        <w:color w:val="660066"/>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D3142" w:rsidRPr="00991D4E" w:rsidRDefault="00BD3142" w:rsidP="002A12D5">
    <w:pPr>
      <w:spacing w:after="0" w:line="240" w:lineRule="auto"/>
      <w:jc w:val="right"/>
      <w:rPr>
        <w:rFonts w:ascii="Century Gothic" w:hAnsi="Century Gothic" w:cs="Century Gothic"/>
        <w:color w:val="660066"/>
        <w:sz w:val="28"/>
        <w:lang w:val="en-US"/>
      </w:rPr>
    </w:pPr>
    <w:r>
      <w:rPr>
        <w:noProof/>
        <w:lang w:eastAsia="de-CH"/>
      </w:rPr>
      <w:drawing>
        <wp:anchor distT="0" distB="0" distL="114300" distR="114300" simplePos="0" relativeHeight="251657728" behindDoc="0" locked="0" layoutInCell="1" allowOverlap="1">
          <wp:simplePos x="0" y="0"/>
          <wp:positionH relativeFrom="column">
            <wp:posOffset>53975</wp:posOffset>
          </wp:positionH>
          <wp:positionV relativeFrom="paragraph">
            <wp:posOffset>-81915</wp:posOffset>
          </wp:positionV>
          <wp:extent cx="979805" cy="1139190"/>
          <wp:effectExtent l="0" t="0" r="0" b="0"/>
          <wp:wrapThrough wrapText="bothSides">
            <wp:wrapPolygon edited="0">
              <wp:start x="0" y="0"/>
              <wp:lineTo x="0" y="21431"/>
              <wp:lineTo x="21278" y="21431"/>
              <wp:lineTo x="21278" y="0"/>
              <wp:lineTo x="0" y="0"/>
            </wp:wrapPolygon>
          </wp:wrapThrough>
          <wp:docPr id="1" name="Bild 2" descr="Beschreibung: Macintosh HD:Users:PowerbookDT:Desktop:StopIGM_org-Logo-Briefkopf.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2" descr="Beschreibung: Macintosh HD:Users:PowerbookDT:Desktop:StopIGM_org-Logo-Briefkopf.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39190"/>
                  </a:xfrm>
                  <a:prstGeom prst="rect">
                    <a:avLst/>
                  </a:prstGeom>
                  <a:noFill/>
                </pic:spPr>
              </pic:pic>
            </a:graphicData>
          </a:graphic>
          <wp14:sizeRelH relativeFrom="page">
            <wp14:pctWidth>0</wp14:pctWidth>
          </wp14:sizeRelH>
          <wp14:sizeRelV relativeFrom="page">
            <wp14:pctHeight>0</wp14:pctHeight>
          </wp14:sizeRelV>
        </wp:anchor>
      </w:drawing>
    </w:r>
    <w:r w:rsidRPr="00991D4E">
      <w:rPr>
        <w:rFonts w:ascii="Century Gothic" w:hAnsi="Century Gothic" w:cs="Century Gothic"/>
        <w:color w:val="660066"/>
        <w:sz w:val="40"/>
        <w:lang w:val="en-US"/>
      </w:rPr>
      <w:t>StopIGM.org</w:t>
    </w:r>
  </w:p>
  <w:p w:rsidR="00BD3142" w:rsidRPr="00991D4E" w:rsidRDefault="00BD3142" w:rsidP="002A12D5">
    <w:pPr>
      <w:spacing w:after="0" w:line="240" w:lineRule="auto"/>
      <w:jc w:val="right"/>
      <w:rPr>
        <w:lang w:val="en-US"/>
      </w:rPr>
    </w:pPr>
    <w:r w:rsidRPr="00991D4E">
      <w:rPr>
        <w:rFonts w:ascii="Century Gothic" w:hAnsi="Century Gothic" w:cs="Century Gothic"/>
        <w:color w:val="660066"/>
        <w:sz w:val="28"/>
        <w:lang w:val="en-US"/>
      </w:rPr>
      <w:t>Human Rights for Hermaphrodites Too!</w:t>
    </w:r>
  </w:p>
  <w:p w:rsidR="00BD3142" w:rsidRPr="00991D4E" w:rsidRDefault="00BD3142" w:rsidP="002A12D5">
    <w:pPr>
      <w:pStyle w:val="Kopfzeil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D3424A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2" w15:restartNumberingAfterBreak="0">
    <w:nsid w:val="00000002"/>
    <w:multiLevelType w:val="multilevel"/>
    <w:tmpl w:val="00000002"/>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3" w15:restartNumberingAfterBreak="0">
    <w:nsid w:val="00000003"/>
    <w:multiLevelType w:val="multilevel"/>
    <w:tmpl w:val="00000003"/>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4" w15:restartNumberingAfterBreak="0">
    <w:nsid w:val="00000004"/>
    <w:multiLevelType w:val="multilevel"/>
    <w:tmpl w:val="00000004"/>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5" w15:restartNumberingAfterBreak="0">
    <w:nsid w:val="02176287"/>
    <w:multiLevelType w:val="hybridMultilevel"/>
    <w:tmpl w:val="9718000A"/>
    <w:lvl w:ilvl="0" w:tplc="9B4A0936">
      <w:numFmt w:val="bullet"/>
      <w:lvlText w:val="•"/>
      <w:lvlJc w:val="left"/>
      <w:pPr>
        <w:ind w:left="720" w:hanging="360"/>
      </w:pPr>
      <w:rPr>
        <w:rFonts w:ascii="Times New Roman" w:eastAsia="Baskerville" w:hAnsi="Times New Roman"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15034348"/>
    <w:multiLevelType w:val="hybridMultilevel"/>
    <w:tmpl w:val="8DDEE06E"/>
    <w:lvl w:ilvl="0" w:tplc="71AEBF62">
      <w:start w:val="1"/>
      <w:numFmt w:val="decimal"/>
      <w:lvlText w:val="%1."/>
      <w:lvlJc w:val="left"/>
      <w:pPr>
        <w:ind w:left="1689" w:hanging="555"/>
      </w:pPr>
      <w:rPr>
        <w:rFonts w:hint="default"/>
        <w:b w:val="0"/>
        <w:bCs/>
        <w:i w:val="0"/>
        <w:iCs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15:restartNumberingAfterBreak="0">
    <w:nsid w:val="18DE3162"/>
    <w:multiLevelType w:val="hybridMultilevel"/>
    <w:tmpl w:val="95B6D7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C8A0D94"/>
    <w:multiLevelType w:val="hybridMultilevel"/>
    <w:tmpl w:val="821AAD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0E53185"/>
    <w:multiLevelType w:val="hybridMultilevel"/>
    <w:tmpl w:val="DEE21E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4B6151D"/>
    <w:multiLevelType w:val="hybridMultilevel"/>
    <w:tmpl w:val="5D38B9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312809B7"/>
    <w:multiLevelType w:val="hybridMultilevel"/>
    <w:tmpl w:val="D7AA3C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17F1B1B"/>
    <w:multiLevelType w:val="hybridMultilevel"/>
    <w:tmpl w:val="24E826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3587FAE"/>
    <w:multiLevelType w:val="hybridMultilevel"/>
    <w:tmpl w:val="127803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21D26EE"/>
    <w:multiLevelType w:val="hybridMultilevel"/>
    <w:tmpl w:val="46ACA72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42707BD7"/>
    <w:multiLevelType w:val="hybridMultilevel"/>
    <w:tmpl w:val="53125C8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4278307A"/>
    <w:multiLevelType w:val="hybridMultilevel"/>
    <w:tmpl w:val="8EBAD8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48014E5"/>
    <w:multiLevelType w:val="hybridMultilevel"/>
    <w:tmpl w:val="0374E2E4"/>
    <w:lvl w:ilvl="0" w:tplc="15E680E0">
      <w:start w:val="1"/>
      <w:numFmt w:val="decimal"/>
      <w:lvlText w:val="%1."/>
      <w:lvlJc w:val="left"/>
      <w:pPr>
        <w:ind w:left="1495"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A7F3407"/>
    <w:multiLevelType w:val="hybridMultilevel"/>
    <w:tmpl w:val="4A0C05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52E0695"/>
    <w:multiLevelType w:val="hybridMultilevel"/>
    <w:tmpl w:val="54E678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9F54979"/>
    <w:multiLevelType w:val="hybridMultilevel"/>
    <w:tmpl w:val="CF4896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B713687"/>
    <w:multiLevelType w:val="hybridMultilevel"/>
    <w:tmpl w:val="44386A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EFF0F49"/>
    <w:multiLevelType w:val="hybridMultilevel"/>
    <w:tmpl w:val="537ADB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F13004E"/>
    <w:multiLevelType w:val="hybridMultilevel"/>
    <w:tmpl w:val="14D48B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71F22DF5"/>
    <w:multiLevelType w:val="hybridMultilevel"/>
    <w:tmpl w:val="E6306D34"/>
    <w:lvl w:ilvl="0" w:tplc="FBA4615E">
      <w:start w:val="1"/>
      <w:numFmt w:val="lowerLetter"/>
      <w:lvlText w:val="(%1)"/>
      <w:lvlJc w:val="left"/>
      <w:pPr>
        <w:ind w:left="401" w:hanging="400"/>
      </w:pPr>
      <w:rPr>
        <w:rFonts w:hint="default"/>
      </w:rPr>
    </w:lvl>
    <w:lvl w:ilvl="1" w:tplc="04070019" w:tentative="1">
      <w:start w:val="1"/>
      <w:numFmt w:val="lowerLetter"/>
      <w:lvlText w:val="%2."/>
      <w:lvlJc w:val="left"/>
      <w:pPr>
        <w:ind w:left="1081" w:hanging="360"/>
      </w:pPr>
    </w:lvl>
    <w:lvl w:ilvl="2" w:tplc="0407001B" w:tentative="1">
      <w:start w:val="1"/>
      <w:numFmt w:val="lowerRoman"/>
      <w:lvlText w:val="%3."/>
      <w:lvlJc w:val="right"/>
      <w:pPr>
        <w:ind w:left="1801" w:hanging="180"/>
      </w:pPr>
    </w:lvl>
    <w:lvl w:ilvl="3" w:tplc="0407000F" w:tentative="1">
      <w:start w:val="1"/>
      <w:numFmt w:val="decimal"/>
      <w:lvlText w:val="%4."/>
      <w:lvlJc w:val="left"/>
      <w:pPr>
        <w:ind w:left="2521" w:hanging="360"/>
      </w:pPr>
    </w:lvl>
    <w:lvl w:ilvl="4" w:tplc="04070019" w:tentative="1">
      <w:start w:val="1"/>
      <w:numFmt w:val="lowerLetter"/>
      <w:lvlText w:val="%5."/>
      <w:lvlJc w:val="left"/>
      <w:pPr>
        <w:ind w:left="3241" w:hanging="360"/>
      </w:pPr>
    </w:lvl>
    <w:lvl w:ilvl="5" w:tplc="0407001B" w:tentative="1">
      <w:start w:val="1"/>
      <w:numFmt w:val="lowerRoman"/>
      <w:lvlText w:val="%6."/>
      <w:lvlJc w:val="right"/>
      <w:pPr>
        <w:ind w:left="3961" w:hanging="180"/>
      </w:pPr>
    </w:lvl>
    <w:lvl w:ilvl="6" w:tplc="0407000F" w:tentative="1">
      <w:start w:val="1"/>
      <w:numFmt w:val="decimal"/>
      <w:lvlText w:val="%7."/>
      <w:lvlJc w:val="left"/>
      <w:pPr>
        <w:ind w:left="4681" w:hanging="360"/>
      </w:pPr>
    </w:lvl>
    <w:lvl w:ilvl="7" w:tplc="04070019" w:tentative="1">
      <w:start w:val="1"/>
      <w:numFmt w:val="lowerLetter"/>
      <w:lvlText w:val="%8."/>
      <w:lvlJc w:val="left"/>
      <w:pPr>
        <w:ind w:left="5401" w:hanging="360"/>
      </w:pPr>
    </w:lvl>
    <w:lvl w:ilvl="8" w:tplc="0407001B" w:tentative="1">
      <w:start w:val="1"/>
      <w:numFmt w:val="lowerRoman"/>
      <w:lvlText w:val="%9."/>
      <w:lvlJc w:val="right"/>
      <w:pPr>
        <w:ind w:left="6121" w:hanging="180"/>
      </w:pPr>
    </w:lvl>
  </w:abstractNum>
  <w:abstractNum w:abstractNumId="27" w15:restartNumberingAfterBreak="0">
    <w:nsid w:val="73112D3C"/>
    <w:multiLevelType w:val="hybridMultilevel"/>
    <w:tmpl w:val="365822B0"/>
    <w:lvl w:ilvl="0" w:tplc="B8D68F3A">
      <w:start w:val="1"/>
      <w:numFmt w:val="lowerLetter"/>
      <w:lvlText w:val="(%1)"/>
      <w:lvlJc w:val="left"/>
      <w:pPr>
        <w:ind w:left="760" w:hanging="40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11"/>
  </w:num>
  <w:num w:numId="6">
    <w:abstractNumId w:val="16"/>
  </w:num>
  <w:num w:numId="7">
    <w:abstractNumId w:val="17"/>
  </w:num>
  <w:num w:numId="8">
    <w:abstractNumId w:val="5"/>
  </w:num>
  <w:num w:numId="9">
    <w:abstractNumId w:val="0"/>
  </w:num>
  <w:num w:numId="10">
    <w:abstractNumId w:val="19"/>
  </w:num>
  <w:num w:numId="11">
    <w:abstractNumId w:val="6"/>
  </w:num>
  <w:num w:numId="12">
    <w:abstractNumId w:val="10"/>
  </w:num>
  <w:num w:numId="13">
    <w:abstractNumId w:val="8"/>
  </w:num>
  <w:num w:numId="14">
    <w:abstractNumId w:val="13"/>
  </w:num>
  <w:num w:numId="15">
    <w:abstractNumId w:val="14"/>
  </w:num>
  <w:num w:numId="16">
    <w:abstractNumId w:val="21"/>
  </w:num>
  <w:num w:numId="17">
    <w:abstractNumId w:val="27"/>
  </w:num>
  <w:num w:numId="18">
    <w:abstractNumId w:val="12"/>
  </w:num>
  <w:num w:numId="19">
    <w:abstractNumId w:val="20"/>
  </w:num>
  <w:num w:numId="20">
    <w:abstractNumId w:val="28"/>
  </w:num>
  <w:num w:numId="21">
    <w:abstractNumId w:val="9"/>
  </w:num>
  <w:num w:numId="22">
    <w:abstractNumId w:val="15"/>
  </w:num>
  <w:num w:numId="23">
    <w:abstractNumId w:val="18"/>
  </w:num>
  <w:num w:numId="24">
    <w:abstractNumId w:val="25"/>
  </w:num>
  <w:num w:numId="25">
    <w:abstractNumId w:val="24"/>
  </w:num>
  <w:num w:numId="26">
    <w:abstractNumId w:val="22"/>
  </w:num>
  <w:num w:numId="27">
    <w:abstractNumId w:val="7"/>
  </w:num>
  <w:num w:numId="28">
    <w:abstractNumId w:val="26"/>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5"/>
  <w:hideSpelling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41D9"/>
    <w:rsid w:val="00000B98"/>
    <w:rsid w:val="0000386D"/>
    <w:rsid w:val="0000435E"/>
    <w:rsid w:val="000160D3"/>
    <w:rsid w:val="00016549"/>
    <w:rsid w:val="000178EE"/>
    <w:rsid w:val="000217A7"/>
    <w:rsid w:val="00030049"/>
    <w:rsid w:val="00031253"/>
    <w:rsid w:val="00031EF4"/>
    <w:rsid w:val="00033F4B"/>
    <w:rsid w:val="0003457E"/>
    <w:rsid w:val="00034A0B"/>
    <w:rsid w:val="000370DA"/>
    <w:rsid w:val="00044561"/>
    <w:rsid w:val="00046241"/>
    <w:rsid w:val="00050EAC"/>
    <w:rsid w:val="00053386"/>
    <w:rsid w:val="00056AB3"/>
    <w:rsid w:val="000576ED"/>
    <w:rsid w:val="00064184"/>
    <w:rsid w:val="00064617"/>
    <w:rsid w:val="00064BE9"/>
    <w:rsid w:val="00065C38"/>
    <w:rsid w:val="0006680C"/>
    <w:rsid w:val="00066FC1"/>
    <w:rsid w:val="00070BDE"/>
    <w:rsid w:val="0007409D"/>
    <w:rsid w:val="00074CF3"/>
    <w:rsid w:val="00075A6F"/>
    <w:rsid w:val="000764CF"/>
    <w:rsid w:val="00077801"/>
    <w:rsid w:val="00081B9B"/>
    <w:rsid w:val="00092691"/>
    <w:rsid w:val="00093952"/>
    <w:rsid w:val="000971B8"/>
    <w:rsid w:val="000A120B"/>
    <w:rsid w:val="000A7002"/>
    <w:rsid w:val="000A7082"/>
    <w:rsid w:val="000A7D56"/>
    <w:rsid w:val="000B0BF4"/>
    <w:rsid w:val="000B0FC3"/>
    <w:rsid w:val="000B30C0"/>
    <w:rsid w:val="000B377C"/>
    <w:rsid w:val="000B5656"/>
    <w:rsid w:val="000B57A1"/>
    <w:rsid w:val="000B6183"/>
    <w:rsid w:val="000C24B7"/>
    <w:rsid w:val="000C3349"/>
    <w:rsid w:val="000C7211"/>
    <w:rsid w:val="000D3261"/>
    <w:rsid w:val="000D54E3"/>
    <w:rsid w:val="000E0AB1"/>
    <w:rsid w:val="000E4B94"/>
    <w:rsid w:val="000E6CC4"/>
    <w:rsid w:val="000E7C36"/>
    <w:rsid w:val="000F0E17"/>
    <w:rsid w:val="000F1A32"/>
    <w:rsid w:val="000F388A"/>
    <w:rsid w:val="000F5462"/>
    <w:rsid w:val="000F5866"/>
    <w:rsid w:val="000F6721"/>
    <w:rsid w:val="000F721B"/>
    <w:rsid w:val="000F7483"/>
    <w:rsid w:val="000F79BC"/>
    <w:rsid w:val="00102574"/>
    <w:rsid w:val="00104781"/>
    <w:rsid w:val="00107F9B"/>
    <w:rsid w:val="001105F6"/>
    <w:rsid w:val="001108EA"/>
    <w:rsid w:val="00114579"/>
    <w:rsid w:val="001158FE"/>
    <w:rsid w:val="001161BF"/>
    <w:rsid w:val="0012174D"/>
    <w:rsid w:val="001237DD"/>
    <w:rsid w:val="00123D38"/>
    <w:rsid w:val="001248BC"/>
    <w:rsid w:val="00125018"/>
    <w:rsid w:val="0013539E"/>
    <w:rsid w:val="00137BD9"/>
    <w:rsid w:val="001435A6"/>
    <w:rsid w:val="00144164"/>
    <w:rsid w:val="00144FDC"/>
    <w:rsid w:val="00146992"/>
    <w:rsid w:val="00147317"/>
    <w:rsid w:val="00147B45"/>
    <w:rsid w:val="00147C7E"/>
    <w:rsid w:val="0015009A"/>
    <w:rsid w:val="00157573"/>
    <w:rsid w:val="00157C3E"/>
    <w:rsid w:val="0016557C"/>
    <w:rsid w:val="001668FD"/>
    <w:rsid w:val="00167FB1"/>
    <w:rsid w:val="00171F46"/>
    <w:rsid w:val="00172DD9"/>
    <w:rsid w:val="001815BC"/>
    <w:rsid w:val="001828D9"/>
    <w:rsid w:val="00182ADE"/>
    <w:rsid w:val="0018397C"/>
    <w:rsid w:val="00187A9C"/>
    <w:rsid w:val="00193252"/>
    <w:rsid w:val="0019543F"/>
    <w:rsid w:val="001A19D7"/>
    <w:rsid w:val="001A20D8"/>
    <w:rsid w:val="001A7A75"/>
    <w:rsid w:val="001B3CE4"/>
    <w:rsid w:val="001B76FE"/>
    <w:rsid w:val="001B7765"/>
    <w:rsid w:val="001B7B05"/>
    <w:rsid w:val="001C258A"/>
    <w:rsid w:val="001C348A"/>
    <w:rsid w:val="001C4361"/>
    <w:rsid w:val="001C5573"/>
    <w:rsid w:val="001D10D5"/>
    <w:rsid w:val="001D3954"/>
    <w:rsid w:val="001D65E7"/>
    <w:rsid w:val="001D6E1F"/>
    <w:rsid w:val="001E5382"/>
    <w:rsid w:val="001F22E4"/>
    <w:rsid w:val="001F2EE6"/>
    <w:rsid w:val="002005DF"/>
    <w:rsid w:val="002032E2"/>
    <w:rsid w:val="00203C7D"/>
    <w:rsid w:val="00203D98"/>
    <w:rsid w:val="00203E46"/>
    <w:rsid w:val="00205FE7"/>
    <w:rsid w:val="0021013B"/>
    <w:rsid w:val="00211CFC"/>
    <w:rsid w:val="00214EDF"/>
    <w:rsid w:val="00215F96"/>
    <w:rsid w:val="00217707"/>
    <w:rsid w:val="00220F7D"/>
    <w:rsid w:val="00222CAE"/>
    <w:rsid w:val="002236CB"/>
    <w:rsid w:val="00223DF2"/>
    <w:rsid w:val="00234057"/>
    <w:rsid w:val="002345BC"/>
    <w:rsid w:val="0023568D"/>
    <w:rsid w:val="00240123"/>
    <w:rsid w:val="00240CC7"/>
    <w:rsid w:val="00241181"/>
    <w:rsid w:val="002417A8"/>
    <w:rsid w:val="00241C89"/>
    <w:rsid w:val="00243E82"/>
    <w:rsid w:val="00244B45"/>
    <w:rsid w:val="00253576"/>
    <w:rsid w:val="00255B2A"/>
    <w:rsid w:val="00257051"/>
    <w:rsid w:val="0025741D"/>
    <w:rsid w:val="00264DC2"/>
    <w:rsid w:val="00266830"/>
    <w:rsid w:val="00274250"/>
    <w:rsid w:val="00275078"/>
    <w:rsid w:val="0027555D"/>
    <w:rsid w:val="00275596"/>
    <w:rsid w:val="00281BED"/>
    <w:rsid w:val="002829FE"/>
    <w:rsid w:val="00282E83"/>
    <w:rsid w:val="002841DE"/>
    <w:rsid w:val="00286499"/>
    <w:rsid w:val="00287CCA"/>
    <w:rsid w:val="00290A09"/>
    <w:rsid w:val="00295D6B"/>
    <w:rsid w:val="002A0BB7"/>
    <w:rsid w:val="002A0CD1"/>
    <w:rsid w:val="002A12D5"/>
    <w:rsid w:val="002A1BF0"/>
    <w:rsid w:val="002A2D20"/>
    <w:rsid w:val="002A4CF2"/>
    <w:rsid w:val="002A68F3"/>
    <w:rsid w:val="002A6948"/>
    <w:rsid w:val="002B0370"/>
    <w:rsid w:val="002B0547"/>
    <w:rsid w:val="002B2C21"/>
    <w:rsid w:val="002B47C8"/>
    <w:rsid w:val="002B5CAB"/>
    <w:rsid w:val="002C0A2C"/>
    <w:rsid w:val="002C3181"/>
    <w:rsid w:val="002C39D2"/>
    <w:rsid w:val="002C4C78"/>
    <w:rsid w:val="002C6033"/>
    <w:rsid w:val="002D00B1"/>
    <w:rsid w:val="002D2ABB"/>
    <w:rsid w:val="002E26D9"/>
    <w:rsid w:val="002E3F4E"/>
    <w:rsid w:val="002E6405"/>
    <w:rsid w:val="002E64A6"/>
    <w:rsid w:val="002F00B4"/>
    <w:rsid w:val="002F0581"/>
    <w:rsid w:val="002F0F83"/>
    <w:rsid w:val="002F1F2B"/>
    <w:rsid w:val="002F3890"/>
    <w:rsid w:val="002F4292"/>
    <w:rsid w:val="002F4F33"/>
    <w:rsid w:val="002F571A"/>
    <w:rsid w:val="002F7A6B"/>
    <w:rsid w:val="00301E79"/>
    <w:rsid w:val="00306737"/>
    <w:rsid w:val="00307489"/>
    <w:rsid w:val="00312A97"/>
    <w:rsid w:val="0031410C"/>
    <w:rsid w:val="0032346B"/>
    <w:rsid w:val="00326626"/>
    <w:rsid w:val="003272F4"/>
    <w:rsid w:val="003339E7"/>
    <w:rsid w:val="0033595A"/>
    <w:rsid w:val="00335EEA"/>
    <w:rsid w:val="003360D3"/>
    <w:rsid w:val="003412AE"/>
    <w:rsid w:val="00342367"/>
    <w:rsid w:val="00342FAB"/>
    <w:rsid w:val="003464BA"/>
    <w:rsid w:val="003505FD"/>
    <w:rsid w:val="00351657"/>
    <w:rsid w:val="00352972"/>
    <w:rsid w:val="003533D8"/>
    <w:rsid w:val="00356ABE"/>
    <w:rsid w:val="003607E1"/>
    <w:rsid w:val="0036112F"/>
    <w:rsid w:val="003613DA"/>
    <w:rsid w:val="0036144F"/>
    <w:rsid w:val="00364B65"/>
    <w:rsid w:val="00365C19"/>
    <w:rsid w:val="00370BE6"/>
    <w:rsid w:val="00371C65"/>
    <w:rsid w:val="0037586C"/>
    <w:rsid w:val="00377288"/>
    <w:rsid w:val="003776FF"/>
    <w:rsid w:val="003824DA"/>
    <w:rsid w:val="00383FBD"/>
    <w:rsid w:val="00384C73"/>
    <w:rsid w:val="00386155"/>
    <w:rsid w:val="00386E5A"/>
    <w:rsid w:val="00396F0A"/>
    <w:rsid w:val="00397B35"/>
    <w:rsid w:val="003A48DB"/>
    <w:rsid w:val="003A5C2D"/>
    <w:rsid w:val="003A7F5F"/>
    <w:rsid w:val="003B03EE"/>
    <w:rsid w:val="003B0825"/>
    <w:rsid w:val="003B0834"/>
    <w:rsid w:val="003B2944"/>
    <w:rsid w:val="003B331A"/>
    <w:rsid w:val="003B3833"/>
    <w:rsid w:val="003B3B29"/>
    <w:rsid w:val="003C0E9E"/>
    <w:rsid w:val="003C1B69"/>
    <w:rsid w:val="003C1BEB"/>
    <w:rsid w:val="003C3C33"/>
    <w:rsid w:val="003C5EB6"/>
    <w:rsid w:val="003C7069"/>
    <w:rsid w:val="003D0872"/>
    <w:rsid w:val="003D3524"/>
    <w:rsid w:val="003D6EDA"/>
    <w:rsid w:val="003D7C87"/>
    <w:rsid w:val="003E09DF"/>
    <w:rsid w:val="003E1B43"/>
    <w:rsid w:val="003E391D"/>
    <w:rsid w:val="003E6DAB"/>
    <w:rsid w:val="003E7F52"/>
    <w:rsid w:val="003F0D29"/>
    <w:rsid w:val="003F2F4F"/>
    <w:rsid w:val="003F6C38"/>
    <w:rsid w:val="0040757C"/>
    <w:rsid w:val="00410CB7"/>
    <w:rsid w:val="0041129C"/>
    <w:rsid w:val="00413E6E"/>
    <w:rsid w:val="004145A1"/>
    <w:rsid w:val="0041585A"/>
    <w:rsid w:val="00417452"/>
    <w:rsid w:val="00420A0C"/>
    <w:rsid w:val="004225E3"/>
    <w:rsid w:val="00423C19"/>
    <w:rsid w:val="00423C32"/>
    <w:rsid w:val="00426E79"/>
    <w:rsid w:val="00427194"/>
    <w:rsid w:val="00435205"/>
    <w:rsid w:val="004377C7"/>
    <w:rsid w:val="0043791A"/>
    <w:rsid w:val="004414F4"/>
    <w:rsid w:val="0044402F"/>
    <w:rsid w:val="004461E0"/>
    <w:rsid w:val="00447F3C"/>
    <w:rsid w:val="00450E1B"/>
    <w:rsid w:val="00454320"/>
    <w:rsid w:val="00454D7B"/>
    <w:rsid w:val="00462002"/>
    <w:rsid w:val="004637B5"/>
    <w:rsid w:val="00463AF2"/>
    <w:rsid w:val="00465602"/>
    <w:rsid w:val="00467F94"/>
    <w:rsid w:val="004724C3"/>
    <w:rsid w:val="00474AF2"/>
    <w:rsid w:val="004779EE"/>
    <w:rsid w:val="00481981"/>
    <w:rsid w:val="00482EEC"/>
    <w:rsid w:val="004875BF"/>
    <w:rsid w:val="004A2B4A"/>
    <w:rsid w:val="004A3447"/>
    <w:rsid w:val="004A3D43"/>
    <w:rsid w:val="004A5916"/>
    <w:rsid w:val="004B0D07"/>
    <w:rsid w:val="004B0E10"/>
    <w:rsid w:val="004B53C7"/>
    <w:rsid w:val="004B5D0D"/>
    <w:rsid w:val="004C1693"/>
    <w:rsid w:val="004C20B6"/>
    <w:rsid w:val="004C2495"/>
    <w:rsid w:val="004C29D5"/>
    <w:rsid w:val="004C2A74"/>
    <w:rsid w:val="004C3D6E"/>
    <w:rsid w:val="004C4C84"/>
    <w:rsid w:val="004D7000"/>
    <w:rsid w:val="004D74F4"/>
    <w:rsid w:val="004E29D6"/>
    <w:rsid w:val="004E2C26"/>
    <w:rsid w:val="004E2F8B"/>
    <w:rsid w:val="004E48C1"/>
    <w:rsid w:val="004E4CF0"/>
    <w:rsid w:val="004F5AF8"/>
    <w:rsid w:val="004F673C"/>
    <w:rsid w:val="004F7A6F"/>
    <w:rsid w:val="004F7CE3"/>
    <w:rsid w:val="005047E7"/>
    <w:rsid w:val="00504F2A"/>
    <w:rsid w:val="0050614A"/>
    <w:rsid w:val="00506DA7"/>
    <w:rsid w:val="00507873"/>
    <w:rsid w:val="00507E9A"/>
    <w:rsid w:val="0051046C"/>
    <w:rsid w:val="00511623"/>
    <w:rsid w:val="005119C7"/>
    <w:rsid w:val="00514165"/>
    <w:rsid w:val="00515555"/>
    <w:rsid w:val="00517B5F"/>
    <w:rsid w:val="00517D2B"/>
    <w:rsid w:val="00521FEB"/>
    <w:rsid w:val="0052264E"/>
    <w:rsid w:val="00524DA2"/>
    <w:rsid w:val="00525603"/>
    <w:rsid w:val="00525F08"/>
    <w:rsid w:val="00536342"/>
    <w:rsid w:val="00543A93"/>
    <w:rsid w:val="00543F73"/>
    <w:rsid w:val="005442D5"/>
    <w:rsid w:val="00545AA6"/>
    <w:rsid w:val="00545DA7"/>
    <w:rsid w:val="005515C3"/>
    <w:rsid w:val="00552F8F"/>
    <w:rsid w:val="00553604"/>
    <w:rsid w:val="005541D9"/>
    <w:rsid w:val="005542C5"/>
    <w:rsid w:val="00554FBA"/>
    <w:rsid w:val="0055544F"/>
    <w:rsid w:val="00556C45"/>
    <w:rsid w:val="005571E2"/>
    <w:rsid w:val="00557424"/>
    <w:rsid w:val="005574A0"/>
    <w:rsid w:val="00557A4E"/>
    <w:rsid w:val="005602AA"/>
    <w:rsid w:val="0056225E"/>
    <w:rsid w:val="00562FA2"/>
    <w:rsid w:val="00564F7F"/>
    <w:rsid w:val="005654F1"/>
    <w:rsid w:val="005661CF"/>
    <w:rsid w:val="005675B8"/>
    <w:rsid w:val="0057435F"/>
    <w:rsid w:val="00577760"/>
    <w:rsid w:val="00577B2F"/>
    <w:rsid w:val="00577EA1"/>
    <w:rsid w:val="00580838"/>
    <w:rsid w:val="00580DFC"/>
    <w:rsid w:val="00581111"/>
    <w:rsid w:val="00581A68"/>
    <w:rsid w:val="0058252D"/>
    <w:rsid w:val="00583E10"/>
    <w:rsid w:val="0058463A"/>
    <w:rsid w:val="00584BFB"/>
    <w:rsid w:val="00591E8E"/>
    <w:rsid w:val="00593F82"/>
    <w:rsid w:val="00595C72"/>
    <w:rsid w:val="0059793A"/>
    <w:rsid w:val="00597ADE"/>
    <w:rsid w:val="00597ED1"/>
    <w:rsid w:val="005B006C"/>
    <w:rsid w:val="005B0346"/>
    <w:rsid w:val="005B0DF4"/>
    <w:rsid w:val="005B2CF4"/>
    <w:rsid w:val="005B360C"/>
    <w:rsid w:val="005B3E73"/>
    <w:rsid w:val="005B46A5"/>
    <w:rsid w:val="005C147F"/>
    <w:rsid w:val="005C665B"/>
    <w:rsid w:val="005D041C"/>
    <w:rsid w:val="005D18BF"/>
    <w:rsid w:val="005D4698"/>
    <w:rsid w:val="005D7A43"/>
    <w:rsid w:val="005D7FCF"/>
    <w:rsid w:val="005E02CB"/>
    <w:rsid w:val="005E1ED5"/>
    <w:rsid w:val="005E2A3C"/>
    <w:rsid w:val="005E41CF"/>
    <w:rsid w:val="005E5EDE"/>
    <w:rsid w:val="005F3FFB"/>
    <w:rsid w:val="005F48F7"/>
    <w:rsid w:val="0060217F"/>
    <w:rsid w:val="00602EE2"/>
    <w:rsid w:val="00605E44"/>
    <w:rsid w:val="0061492D"/>
    <w:rsid w:val="00614A8B"/>
    <w:rsid w:val="006205E1"/>
    <w:rsid w:val="006223A1"/>
    <w:rsid w:val="00623CDF"/>
    <w:rsid w:val="00623D50"/>
    <w:rsid w:val="00626F54"/>
    <w:rsid w:val="0062721E"/>
    <w:rsid w:val="00633EB7"/>
    <w:rsid w:val="006373FA"/>
    <w:rsid w:val="00641D7F"/>
    <w:rsid w:val="006422B5"/>
    <w:rsid w:val="00643D5F"/>
    <w:rsid w:val="006450BF"/>
    <w:rsid w:val="00645A95"/>
    <w:rsid w:val="00651EFC"/>
    <w:rsid w:val="006529C8"/>
    <w:rsid w:val="00652F2A"/>
    <w:rsid w:val="0065327F"/>
    <w:rsid w:val="00654BE3"/>
    <w:rsid w:val="00656DCA"/>
    <w:rsid w:val="00656F95"/>
    <w:rsid w:val="006626D4"/>
    <w:rsid w:val="00664AAC"/>
    <w:rsid w:val="00670D65"/>
    <w:rsid w:val="0067414F"/>
    <w:rsid w:val="00676869"/>
    <w:rsid w:val="00680C5F"/>
    <w:rsid w:val="00681812"/>
    <w:rsid w:val="00682E9A"/>
    <w:rsid w:val="00683E76"/>
    <w:rsid w:val="00686ECE"/>
    <w:rsid w:val="00690808"/>
    <w:rsid w:val="00692CBA"/>
    <w:rsid w:val="00697735"/>
    <w:rsid w:val="006A18C4"/>
    <w:rsid w:val="006A23CF"/>
    <w:rsid w:val="006A3404"/>
    <w:rsid w:val="006A3425"/>
    <w:rsid w:val="006A51D4"/>
    <w:rsid w:val="006A5B6D"/>
    <w:rsid w:val="006A65E4"/>
    <w:rsid w:val="006B34F0"/>
    <w:rsid w:val="006B46DE"/>
    <w:rsid w:val="006B5B4C"/>
    <w:rsid w:val="006B7CE2"/>
    <w:rsid w:val="006C1765"/>
    <w:rsid w:val="006C5C5E"/>
    <w:rsid w:val="006C7D41"/>
    <w:rsid w:val="006D4A11"/>
    <w:rsid w:val="006E40A8"/>
    <w:rsid w:val="006F2DB3"/>
    <w:rsid w:val="006F6A10"/>
    <w:rsid w:val="006F74DB"/>
    <w:rsid w:val="006F7FB6"/>
    <w:rsid w:val="00700C97"/>
    <w:rsid w:val="00701865"/>
    <w:rsid w:val="00703EDA"/>
    <w:rsid w:val="00707408"/>
    <w:rsid w:val="00710661"/>
    <w:rsid w:val="007123BE"/>
    <w:rsid w:val="0071269C"/>
    <w:rsid w:val="007127B8"/>
    <w:rsid w:val="00713BD8"/>
    <w:rsid w:val="00713E1A"/>
    <w:rsid w:val="007143B8"/>
    <w:rsid w:val="007160C2"/>
    <w:rsid w:val="0071756F"/>
    <w:rsid w:val="00721661"/>
    <w:rsid w:val="007274DF"/>
    <w:rsid w:val="0073041F"/>
    <w:rsid w:val="00733113"/>
    <w:rsid w:val="00733A7D"/>
    <w:rsid w:val="00740065"/>
    <w:rsid w:val="0074364E"/>
    <w:rsid w:val="00744F30"/>
    <w:rsid w:val="00746282"/>
    <w:rsid w:val="00755EBE"/>
    <w:rsid w:val="00757684"/>
    <w:rsid w:val="00757A30"/>
    <w:rsid w:val="007621DA"/>
    <w:rsid w:val="007644CA"/>
    <w:rsid w:val="007664BA"/>
    <w:rsid w:val="00767323"/>
    <w:rsid w:val="00773940"/>
    <w:rsid w:val="00775673"/>
    <w:rsid w:val="00776760"/>
    <w:rsid w:val="007836E8"/>
    <w:rsid w:val="007857EE"/>
    <w:rsid w:val="00786C15"/>
    <w:rsid w:val="00793AE8"/>
    <w:rsid w:val="007A38AE"/>
    <w:rsid w:val="007A4DEC"/>
    <w:rsid w:val="007A5C86"/>
    <w:rsid w:val="007B4ADC"/>
    <w:rsid w:val="007B6EC7"/>
    <w:rsid w:val="007B79C8"/>
    <w:rsid w:val="007C0C61"/>
    <w:rsid w:val="007C3CED"/>
    <w:rsid w:val="007C4251"/>
    <w:rsid w:val="007C5196"/>
    <w:rsid w:val="007C5E5B"/>
    <w:rsid w:val="007C73A2"/>
    <w:rsid w:val="007C77E8"/>
    <w:rsid w:val="007D2697"/>
    <w:rsid w:val="007D2A3B"/>
    <w:rsid w:val="007D62A9"/>
    <w:rsid w:val="007E0929"/>
    <w:rsid w:val="007E49F2"/>
    <w:rsid w:val="007E7A39"/>
    <w:rsid w:val="007F138C"/>
    <w:rsid w:val="007F17ED"/>
    <w:rsid w:val="007F1905"/>
    <w:rsid w:val="007F31C9"/>
    <w:rsid w:val="007F7465"/>
    <w:rsid w:val="00800B0B"/>
    <w:rsid w:val="00801579"/>
    <w:rsid w:val="008015DD"/>
    <w:rsid w:val="00802563"/>
    <w:rsid w:val="00805700"/>
    <w:rsid w:val="00806763"/>
    <w:rsid w:val="00810547"/>
    <w:rsid w:val="00811781"/>
    <w:rsid w:val="00812D8B"/>
    <w:rsid w:val="008135A9"/>
    <w:rsid w:val="00815DCE"/>
    <w:rsid w:val="00817A7B"/>
    <w:rsid w:val="00817CEF"/>
    <w:rsid w:val="00823442"/>
    <w:rsid w:val="00823F3A"/>
    <w:rsid w:val="00826591"/>
    <w:rsid w:val="00826E72"/>
    <w:rsid w:val="00830A64"/>
    <w:rsid w:val="0083129A"/>
    <w:rsid w:val="00832983"/>
    <w:rsid w:val="00834B70"/>
    <w:rsid w:val="00850654"/>
    <w:rsid w:val="008509EB"/>
    <w:rsid w:val="008521BF"/>
    <w:rsid w:val="00853CB5"/>
    <w:rsid w:val="00855D6E"/>
    <w:rsid w:val="00855ED0"/>
    <w:rsid w:val="00857837"/>
    <w:rsid w:val="00857C22"/>
    <w:rsid w:val="0086055C"/>
    <w:rsid w:val="00863EA1"/>
    <w:rsid w:val="008642D3"/>
    <w:rsid w:val="008774A9"/>
    <w:rsid w:val="008810CD"/>
    <w:rsid w:val="00884B9F"/>
    <w:rsid w:val="00894D5F"/>
    <w:rsid w:val="00897681"/>
    <w:rsid w:val="008A0C60"/>
    <w:rsid w:val="008A3E38"/>
    <w:rsid w:val="008A61AA"/>
    <w:rsid w:val="008B28CF"/>
    <w:rsid w:val="008B2D32"/>
    <w:rsid w:val="008C05B1"/>
    <w:rsid w:val="008C2B46"/>
    <w:rsid w:val="008C34FF"/>
    <w:rsid w:val="008D1235"/>
    <w:rsid w:val="008D1453"/>
    <w:rsid w:val="008D2475"/>
    <w:rsid w:val="008D4867"/>
    <w:rsid w:val="008D626E"/>
    <w:rsid w:val="008E1E97"/>
    <w:rsid w:val="008E265D"/>
    <w:rsid w:val="008F0FA1"/>
    <w:rsid w:val="008F2023"/>
    <w:rsid w:val="009004D4"/>
    <w:rsid w:val="00900724"/>
    <w:rsid w:val="00902123"/>
    <w:rsid w:val="00906108"/>
    <w:rsid w:val="00911EAA"/>
    <w:rsid w:val="00912D8E"/>
    <w:rsid w:val="00913F90"/>
    <w:rsid w:val="009157E7"/>
    <w:rsid w:val="00915B4E"/>
    <w:rsid w:val="00916444"/>
    <w:rsid w:val="00917BF1"/>
    <w:rsid w:val="0092198A"/>
    <w:rsid w:val="00927C4A"/>
    <w:rsid w:val="00930484"/>
    <w:rsid w:val="00931257"/>
    <w:rsid w:val="0093222C"/>
    <w:rsid w:val="00933470"/>
    <w:rsid w:val="00936727"/>
    <w:rsid w:val="00941023"/>
    <w:rsid w:val="00941296"/>
    <w:rsid w:val="009444F5"/>
    <w:rsid w:val="00945688"/>
    <w:rsid w:val="00945F7D"/>
    <w:rsid w:val="0094612C"/>
    <w:rsid w:val="0094659E"/>
    <w:rsid w:val="00950DDB"/>
    <w:rsid w:val="00956F60"/>
    <w:rsid w:val="00960DA2"/>
    <w:rsid w:val="00961AB9"/>
    <w:rsid w:val="00965EDD"/>
    <w:rsid w:val="0096686B"/>
    <w:rsid w:val="009766E2"/>
    <w:rsid w:val="00977FB5"/>
    <w:rsid w:val="00980BC1"/>
    <w:rsid w:val="00982E0D"/>
    <w:rsid w:val="0098487A"/>
    <w:rsid w:val="00986222"/>
    <w:rsid w:val="0098699F"/>
    <w:rsid w:val="00991D4E"/>
    <w:rsid w:val="00993C8E"/>
    <w:rsid w:val="00993CAC"/>
    <w:rsid w:val="00995F41"/>
    <w:rsid w:val="00995F45"/>
    <w:rsid w:val="0099651C"/>
    <w:rsid w:val="00997EC4"/>
    <w:rsid w:val="009A53A8"/>
    <w:rsid w:val="009A5845"/>
    <w:rsid w:val="009A58B8"/>
    <w:rsid w:val="009A5D4A"/>
    <w:rsid w:val="009B04DA"/>
    <w:rsid w:val="009B279E"/>
    <w:rsid w:val="009B60E0"/>
    <w:rsid w:val="009B7C85"/>
    <w:rsid w:val="009C0F87"/>
    <w:rsid w:val="009C2580"/>
    <w:rsid w:val="009C6194"/>
    <w:rsid w:val="009D47AC"/>
    <w:rsid w:val="009D5876"/>
    <w:rsid w:val="009E16C5"/>
    <w:rsid w:val="009E2BAE"/>
    <w:rsid w:val="009E5172"/>
    <w:rsid w:val="009F1BA1"/>
    <w:rsid w:val="009F224C"/>
    <w:rsid w:val="009F70FD"/>
    <w:rsid w:val="00A01EE8"/>
    <w:rsid w:val="00A0334F"/>
    <w:rsid w:val="00A03A82"/>
    <w:rsid w:val="00A04264"/>
    <w:rsid w:val="00A074F3"/>
    <w:rsid w:val="00A10997"/>
    <w:rsid w:val="00A14796"/>
    <w:rsid w:val="00A16189"/>
    <w:rsid w:val="00A21CC1"/>
    <w:rsid w:val="00A22802"/>
    <w:rsid w:val="00A25A68"/>
    <w:rsid w:val="00A402C4"/>
    <w:rsid w:val="00A40D18"/>
    <w:rsid w:val="00A427DC"/>
    <w:rsid w:val="00A46F11"/>
    <w:rsid w:val="00A53EC5"/>
    <w:rsid w:val="00A555E2"/>
    <w:rsid w:val="00A6017A"/>
    <w:rsid w:val="00A6122A"/>
    <w:rsid w:val="00A61339"/>
    <w:rsid w:val="00A6167B"/>
    <w:rsid w:val="00A62D0F"/>
    <w:rsid w:val="00A72B15"/>
    <w:rsid w:val="00A73976"/>
    <w:rsid w:val="00A87A90"/>
    <w:rsid w:val="00A87CF4"/>
    <w:rsid w:val="00A916D7"/>
    <w:rsid w:val="00A916E0"/>
    <w:rsid w:val="00A9282B"/>
    <w:rsid w:val="00A93D95"/>
    <w:rsid w:val="00AA19BE"/>
    <w:rsid w:val="00AB013C"/>
    <w:rsid w:val="00AB27FF"/>
    <w:rsid w:val="00AB4095"/>
    <w:rsid w:val="00AB6B9C"/>
    <w:rsid w:val="00AC22FD"/>
    <w:rsid w:val="00AC33EC"/>
    <w:rsid w:val="00AC48A0"/>
    <w:rsid w:val="00AC492E"/>
    <w:rsid w:val="00AC50CD"/>
    <w:rsid w:val="00AC58A4"/>
    <w:rsid w:val="00AD06E3"/>
    <w:rsid w:val="00AD12F1"/>
    <w:rsid w:val="00AD4811"/>
    <w:rsid w:val="00AD54BF"/>
    <w:rsid w:val="00AD5865"/>
    <w:rsid w:val="00AD5876"/>
    <w:rsid w:val="00AD7BF5"/>
    <w:rsid w:val="00AE68CB"/>
    <w:rsid w:val="00AF60F8"/>
    <w:rsid w:val="00B0200F"/>
    <w:rsid w:val="00B02E24"/>
    <w:rsid w:val="00B03E25"/>
    <w:rsid w:val="00B04B9C"/>
    <w:rsid w:val="00B0767A"/>
    <w:rsid w:val="00B1105D"/>
    <w:rsid w:val="00B1271B"/>
    <w:rsid w:val="00B1495F"/>
    <w:rsid w:val="00B16609"/>
    <w:rsid w:val="00B17B48"/>
    <w:rsid w:val="00B21BE6"/>
    <w:rsid w:val="00B22335"/>
    <w:rsid w:val="00B230F0"/>
    <w:rsid w:val="00B25629"/>
    <w:rsid w:val="00B2743C"/>
    <w:rsid w:val="00B276BD"/>
    <w:rsid w:val="00B35346"/>
    <w:rsid w:val="00B37660"/>
    <w:rsid w:val="00B42605"/>
    <w:rsid w:val="00B44A0F"/>
    <w:rsid w:val="00B46757"/>
    <w:rsid w:val="00B47032"/>
    <w:rsid w:val="00B53843"/>
    <w:rsid w:val="00B54B5B"/>
    <w:rsid w:val="00B54E9E"/>
    <w:rsid w:val="00B575BF"/>
    <w:rsid w:val="00B640CD"/>
    <w:rsid w:val="00B647CB"/>
    <w:rsid w:val="00B65FF2"/>
    <w:rsid w:val="00B66E62"/>
    <w:rsid w:val="00B702E0"/>
    <w:rsid w:val="00B76C69"/>
    <w:rsid w:val="00B80D0E"/>
    <w:rsid w:val="00B8413D"/>
    <w:rsid w:val="00B8762F"/>
    <w:rsid w:val="00B87988"/>
    <w:rsid w:val="00B91CCB"/>
    <w:rsid w:val="00B92972"/>
    <w:rsid w:val="00BA346F"/>
    <w:rsid w:val="00BB18A6"/>
    <w:rsid w:val="00BB2863"/>
    <w:rsid w:val="00BB39C1"/>
    <w:rsid w:val="00BC0F83"/>
    <w:rsid w:val="00BC1D1B"/>
    <w:rsid w:val="00BC51FF"/>
    <w:rsid w:val="00BC7767"/>
    <w:rsid w:val="00BC7BA2"/>
    <w:rsid w:val="00BD2A5F"/>
    <w:rsid w:val="00BD3142"/>
    <w:rsid w:val="00BD6E26"/>
    <w:rsid w:val="00BE06EF"/>
    <w:rsid w:val="00BE5D8B"/>
    <w:rsid w:val="00BE6396"/>
    <w:rsid w:val="00BE7404"/>
    <w:rsid w:val="00BF1DD6"/>
    <w:rsid w:val="00BF51E5"/>
    <w:rsid w:val="00C02170"/>
    <w:rsid w:val="00C03A05"/>
    <w:rsid w:val="00C04297"/>
    <w:rsid w:val="00C04C8C"/>
    <w:rsid w:val="00C11DC0"/>
    <w:rsid w:val="00C14EB3"/>
    <w:rsid w:val="00C2488F"/>
    <w:rsid w:val="00C264C8"/>
    <w:rsid w:val="00C345F3"/>
    <w:rsid w:val="00C3540C"/>
    <w:rsid w:val="00C35DA6"/>
    <w:rsid w:val="00C4031D"/>
    <w:rsid w:val="00C43ADC"/>
    <w:rsid w:val="00C45B25"/>
    <w:rsid w:val="00C47EE1"/>
    <w:rsid w:val="00C507ED"/>
    <w:rsid w:val="00C547EE"/>
    <w:rsid w:val="00C5540D"/>
    <w:rsid w:val="00C6138A"/>
    <w:rsid w:val="00C628D1"/>
    <w:rsid w:val="00C663D5"/>
    <w:rsid w:val="00C67F79"/>
    <w:rsid w:val="00C72441"/>
    <w:rsid w:val="00C732F8"/>
    <w:rsid w:val="00C7737D"/>
    <w:rsid w:val="00C77BB1"/>
    <w:rsid w:val="00C80EE0"/>
    <w:rsid w:val="00C8344D"/>
    <w:rsid w:val="00C845F3"/>
    <w:rsid w:val="00C85B2A"/>
    <w:rsid w:val="00C8771B"/>
    <w:rsid w:val="00C933AC"/>
    <w:rsid w:val="00C93B92"/>
    <w:rsid w:val="00C94AE1"/>
    <w:rsid w:val="00C95B3C"/>
    <w:rsid w:val="00C96C27"/>
    <w:rsid w:val="00CA01D8"/>
    <w:rsid w:val="00CA1B9D"/>
    <w:rsid w:val="00CA1C14"/>
    <w:rsid w:val="00CA1D4D"/>
    <w:rsid w:val="00CA4CCE"/>
    <w:rsid w:val="00CB4701"/>
    <w:rsid w:val="00CC2337"/>
    <w:rsid w:val="00CC2F93"/>
    <w:rsid w:val="00CC3C27"/>
    <w:rsid w:val="00CC621D"/>
    <w:rsid w:val="00CC79FE"/>
    <w:rsid w:val="00CD2374"/>
    <w:rsid w:val="00CD439B"/>
    <w:rsid w:val="00CD45F0"/>
    <w:rsid w:val="00CD74AF"/>
    <w:rsid w:val="00CD75A1"/>
    <w:rsid w:val="00CE310F"/>
    <w:rsid w:val="00CE313C"/>
    <w:rsid w:val="00CE4945"/>
    <w:rsid w:val="00CE5326"/>
    <w:rsid w:val="00CE5A0C"/>
    <w:rsid w:val="00CF0216"/>
    <w:rsid w:val="00CF04FD"/>
    <w:rsid w:val="00CF0512"/>
    <w:rsid w:val="00CF0C78"/>
    <w:rsid w:val="00CF10FC"/>
    <w:rsid w:val="00CF25FB"/>
    <w:rsid w:val="00CF665C"/>
    <w:rsid w:val="00D011BF"/>
    <w:rsid w:val="00D04243"/>
    <w:rsid w:val="00D072AA"/>
    <w:rsid w:val="00D11340"/>
    <w:rsid w:val="00D1283C"/>
    <w:rsid w:val="00D1488C"/>
    <w:rsid w:val="00D14FE0"/>
    <w:rsid w:val="00D2276E"/>
    <w:rsid w:val="00D23157"/>
    <w:rsid w:val="00D31F91"/>
    <w:rsid w:val="00D33CE1"/>
    <w:rsid w:val="00D35648"/>
    <w:rsid w:val="00D422B4"/>
    <w:rsid w:val="00D42561"/>
    <w:rsid w:val="00D46515"/>
    <w:rsid w:val="00D5566E"/>
    <w:rsid w:val="00D5668E"/>
    <w:rsid w:val="00D609C8"/>
    <w:rsid w:val="00D61913"/>
    <w:rsid w:val="00D6376B"/>
    <w:rsid w:val="00D65ADA"/>
    <w:rsid w:val="00D73312"/>
    <w:rsid w:val="00D739DC"/>
    <w:rsid w:val="00D7440E"/>
    <w:rsid w:val="00D7739B"/>
    <w:rsid w:val="00D776DC"/>
    <w:rsid w:val="00D8691E"/>
    <w:rsid w:val="00D873DE"/>
    <w:rsid w:val="00D92390"/>
    <w:rsid w:val="00D93025"/>
    <w:rsid w:val="00DA267C"/>
    <w:rsid w:val="00DA3D57"/>
    <w:rsid w:val="00DA4930"/>
    <w:rsid w:val="00DA652E"/>
    <w:rsid w:val="00DB03D5"/>
    <w:rsid w:val="00DB0BE3"/>
    <w:rsid w:val="00DB1C88"/>
    <w:rsid w:val="00DB1EB8"/>
    <w:rsid w:val="00DB255F"/>
    <w:rsid w:val="00DB36FA"/>
    <w:rsid w:val="00DB4A71"/>
    <w:rsid w:val="00DC1605"/>
    <w:rsid w:val="00DC1C51"/>
    <w:rsid w:val="00DC41BE"/>
    <w:rsid w:val="00DC7E83"/>
    <w:rsid w:val="00DD2601"/>
    <w:rsid w:val="00DD36C2"/>
    <w:rsid w:val="00DD5239"/>
    <w:rsid w:val="00DE24DC"/>
    <w:rsid w:val="00DE5DDB"/>
    <w:rsid w:val="00DE6EA6"/>
    <w:rsid w:val="00DF2C66"/>
    <w:rsid w:val="00DF3D7B"/>
    <w:rsid w:val="00DF4D75"/>
    <w:rsid w:val="00DF5131"/>
    <w:rsid w:val="00DF6209"/>
    <w:rsid w:val="00E03212"/>
    <w:rsid w:val="00E04B8B"/>
    <w:rsid w:val="00E05D2E"/>
    <w:rsid w:val="00E064BF"/>
    <w:rsid w:val="00E13B7A"/>
    <w:rsid w:val="00E15B6A"/>
    <w:rsid w:val="00E2345B"/>
    <w:rsid w:val="00E24978"/>
    <w:rsid w:val="00E2764E"/>
    <w:rsid w:val="00E304E9"/>
    <w:rsid w:val="00E309E0"/>
    <w:rsid w:val="00E32ECE"/>
    <w:rsid w:val="00E3418A"/>
    <w:rsid w:val="00E34596"/>
    <w:rsid w:val="00E35E81"/>
    <w:rsid w:val="00E36B0C"/>
    <w:rsid w:val="00E40DC5"/>
    <w:rsid w:val="00E44702"/>
    <w:rsid w:val="00E45454"/>
    <w:rsid w:val="00E46FA4"/>
    <w:rsid w:val="00E507D6"/>
    <w:rsid w:val="00E5326E"/>
    <w:rsid w:val="00E5366A"/>
    <w:rsid w:val="00E54CBC"/>
    <w:rsid w:val="00E561EF"/>
    <w:rsid w:val="00E568FB"/>
    <w:rsid w:val="00E61DD9"/>
    <w:rsid w:val="00E64BEC"/>
    <w:rsid w:val="00E662BA"/>
    <w:rsid w:val="00E6647E"/>
    <w:rsid w:val="00E70912"/>
    <w:rsid w:val="00E72AED"/>
    <w:rsid w:val="00E7335E"/>
    <w:rsid w:val="00E761C2"/>
    <w:rsid w:val="00E8123C"/>
    <w:rsid w:val="00E8313D"/>
    <w:rsid w:val="00E8637C"/>
    <w:rsid w:val="00E86492"/>
    <w:rsid w:val="00E86ADC"/>
    <w:rsid w:val="00E93A0B"/>
    <w:rsid w:val="00E95677"/>
    <w:rsid w:val="00EA1796"/>
    <w:rsid w:val="00EA3BA5"/>
    <w:rsid w:val="00EA3ED5"/>
    <w:rsid w:val="00EA5E56"/>
    <w:rsid w:val="00EB26F9"/>
    <w:rsid w:val="00EB31C2"/>
    <w:rsid w:val="00EB3E10"/>
    <w:rsid w:val="00EB582C"/>
    <w:rsid w:val="00EB798E"/>
    <w:rsid w:val="00EC301D"/>
    <w:rsid w:val="00EC32A2"/>
    <w:rsid w:val="00EC4379"/>
    <w:rsid w:val="00EC7394"/>
    <w:rsid w:val="00ED00EB"/>
    <w:rsid w:val="00ED3555"/>
    <w:rsid w:val="00ED3D31"/>
    <w:rsid w:val="00ED3EEB"/>
    <w:rsid w:val="00ED6476"/>
    <w:rsid w:val="00ED68C4"/>
    <w:rsid w:val="00EE14DC"/>
    <w:rsid w:val="00EE222D"/>
    <w:rsid w:val="00EE282C"/>
    <w:rsid w:val="00EE5C85"/>
    <w:rsid w:val="00EF3FDB"/>
    <w:rsid w:val="00EF4399"/>
    <w:rsid w:val="00EF5B26"/>
    <w:rsid w:val="00EF607C"/>
    <w:rsid w:val="00EF74A8"/>
    <w:rsid w:val="00F00F75"/>
    <w:rsid w:val="00F02789"/>
    <w:rsid w:val="00F02E41"/>
    <w:rsid w:val="00F04ECD"/>
    <w:rsid w:val="00F1001F"/>
    <w:rsid w:val="00F12245"/>
    <w:rsid w:val="00F16D25"/>
    <w:rsid w:val="00F1710B"/>
    <w:rsid w:val="00F1738E"/>
    <w:rsid w:val="00F179A0"/>
    <w:rsid w:val="00F213B0"/>
    <w:rsid w:val="00F21B26"/>
    <w:rsid w:val="00F31A26"/>
    <w:rsid w:val="00F3240B"/>
    <w:rsid w:val="00F3646C"/>
    <w:rsid w:val="00F40FE9"/>
    <w:rsid w:val="00F424A1"/>
    <w:rsid w:val="00F42D13"/>
    <w:rsid w:val="00F45F78"/>
    <w:rsid w:val="00F46335"/>
    <w:rsid w:val="00F50BD4"/>
    <w:rsid w:val="00F50DE1"/>
    <w:rsid w:val="00F52A75"/>
    <w:rsid w:val="00F53276"/>
    <w:rsid w:val="00F541ED"/>
    <w:rsid w:val="00F54275"/>
    <w:rsid w:val="00F61CD2"/>
    <w:rsid w:val="00F64470"/>
    <w:rsid w:val="00F64487"/>
    <w:rsid w:val="00F65789"/>
    <w:rsid w:val="00F70505"/>
    <w:rsid w:val="00F708C7"/>
    <w:rsid w:val="00F744E9"/>
    <w:rsid w:val="00F74BE8"/>
    <w:rsid w:val="00F75C2B"/>
    <w:rsid w:val="00F76221"/>
    <w:rsid w:val="00F76F1A"/>
    <w:rsid w:val="00F777B5"/>
    <w:rsid w:val="00F806DB"/>
    <w:rsid w:val="00F81186"/>
    <w:rsid w:val="00F84465"/>
    <w:rsid w:val="00F84AFE"/>
    <w:rsid w:val="00F87A56"/>
    <w:rsid w:val="00F93A34"/>
    <w:rsid w:val="00F9445C"/>
    <w:rsid w:val="00FA07FB"/>
    <w:rsid w:val="00FA414D"/>
    <w:rsid w:val="00FA478E"/>
    <w:rsid w:val="00FA76A1"/>
    <w:rsid w:val="00FB05BB"/>
    <w:rsid w:val="00FB0850"/>
    <w:rsid w:val="00FB18A8"/>
    <w:rsid w:val="00FB2B66"/>
    <w:rsid w:val="00FB4DAB"/>
    <w:rsid w:val="00FB4EAC"/>
    <w:rsid w:val="00FB7BF1"/>
    <w:rsid w:val="00FC232A"/>
    <w:rsid w:val="00FC2867"/>
    <w:rsid w:val="00FC358F"/>
    <w:rsid w:val="00FC3764"/>
    <w:rsid w:val="00FC5345"/>
    <w:rsid w:val="00FD42AA"/>
    <w:rsid w:val="00FD4F4B"/>
    <w:rsid w:val="00FD529D"/>
    <w:rsid w:val="00FD5992"/>
    <w:rsid w:val="00FD688A"/>
    <w:rsid w:val="00FE2215"/>
    <w:rsid w:val="00FE3664"/>
    <w:rsid w:val="00FF1F44"/>
    <w:rsid w:val="00FF418B"/>
    <w:rsid w:val="00FF4388"/>
  </w:rsids>
  <m:mathPr>
    <m:mathFont m:val="Cambria Math"/>
    <m:brkBin m:val="before"/>
    <m:brkBinSub m:val="--"/>
    <m:smallFrac m:val="0"/>
    <m:dispDef/>
    <m:lMargin m:val="0"/>
    <m:rMargin m:val="0"/>
    <m:defJc m:val="centerGroup"/>
    <m:wrapIndent m:val="1440"/>
    <m:intLim m:val="subSup"/>
    <m:naryLim m:val="undOvr"/>
  </m:mathPr>
  <w:themeFontLang w:val="de-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86A26D"/>
  <w15:docId w15:val="{4312E801-A175-1647-837A-15E2A4AA9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de-CH"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200" w:line="276" w:lineRule="auto"/>
    </w:pPr>
    <w:rPr>
      <w:sz w:val="22"/>
      <w:szCs w:val="22"/>
      <w:lang w:eastAsia="en-US"/>
    </w:rPr>
  </w:style>
  <w:style w:type="paragraph" w:styleId="berschrift1">
    <w:name w:val="heading 1"/>
    <w:basedOn w:val="Standard"/>
    <w:next w:val="Standard"/>
    <w:link w:val="berschrift1Zchn"/>
    <w:uiPriority w:val="9"/>
    <w:qFormat/>
    <w:rsid w:val="006532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6532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6532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berschrift4">
    <w:name w:val="heading 4"/>
    <w:basedOn w:val="Standard"/>
    <w:next w:val="Standard"/>
    <w:link w:val="berschrift4Zchn"/>
    <w:uiPriority w:val="9"/>
    <w:semiHidden/>
    <w:unhideWhenUsed/>
    <w:qFormat/>
    <w:rsid w:val="00F40FE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541D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541D9"/>
  </w:style>
  <w:style w:type="paragraph" w:styleId="Fuzeile">
    <w:name w:val="footer"/>
    <w:basedOn w:val="Standard"/>
    <w:link w:val="FuzeileZchn"/>
    <w:uiPriority w:val="99"/>
    <w:unhideWhenUsed/>
    <w:rsid w:val="005541D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541D9"/>
  </w:style>
  <w:style w:type="paragraph" w:styleId="Funotentext">
    <w:name w:val="footnote text"/>
    <w:basedOn w:val="Standard"/>
    <w:link w:val="FunotentextZchn"/>
    <w:unhideWhenUsed/>
    <w:rsid w:val="00FA76A1"/>
    <w:rPr>
      <w:sz w:val="20"/>
      <w:szCs w:val="20"/>
    </w:rPr>
  </w:style>
  <w:style w:type="character" w:customStyle="1" w:styleId="FunotentextZchn">
    <w:name w:val="Fußnotentext Zchn"/>
    <w:link w:val="Funotentext"/>
    <w:rsid w:val="00FA76A1"/>
    <w:rPr>
      <w:lang w:eastAsia="en-US"/>
    </w:rPr>
  </w:style>
  <w:style w:type="character" w:styleId="Funotenzeichen">
    <w:name w:val="footnote reference"/>
    <w:aliases w:val="Fußnotenzeichen ECHR"/>
    <w:unhideWhenUsed/>
    <w:qFormat/>
    <w:rsid w:val="00FA76A1"/>
    <w:rPr>
      <w:vertAlign w:val="superscript"/>
    </w:rPr>
  </w:style>
  <w:style w:type="character" w:customStyle="1" w:styleId="Absatz-Standardschriftart1">
    <w:name w:val="Absatz-Standardschriftart1"/>
    <w:rsid w:val="00F9445C"/>
  </w:style>
  <w:style w:type="character" w:styleId="Hyperlink">
    <w:name w:val="Hyperlink"/>
    <w:uiPriority w:val="99"/>
    <w:qFormat/>
    <w:rsid w:val="003C0E9E"/>
    <w:rPr>
      <w:color w:val="0000FF"/>
      <w:u w:val="single"/>
    </w:rPr>
  </w:style>
  <w:style w:type="character" w:customStyle="1" w:styleId="Funotenzeichen1">
    <w:name w:val="Fußnotenzeichen1"/>
    <w:rsid w:val="00F9445C"/>
  </w:style>
  <w:style w:type="character" w:customStyle="1" w:styleId="Funotenzeichen2">
    <w:name w:val="Fußnotenzeichen2"/>
    <w:qFormat/>
    <w:rsid w:val="00F9445C"/>
    <w:rPr>
      <w:sz w:val="18"/>
      <w:vertAlign w:val="baseline"/>
    </w:rPr>
  </w:style>
  <w:style w:type="character" w:customStyle="1" w:styleId="Funotenzeichen3">
    <w:name w:val="Fußnotenzeichen3"/>
    <w:rsid w:val="00F9445C"/>
    <w:rPr>
      <w:vertAlign w:val="superscript"/>
    </w:rPr>
  </w:style>
  <w:style w:type="paragraph" w:customStyle="1" w:styleId="absatzschattenbericht">
    <w:name w:val="absatz schattenbericht"/>
    <w:basedOn w:val="Standard"/>
    <w:rsid w:val="00F9445C"/>
    <w:pPr>
      <w:widowControl w:val="0"/>
      <w:suppressAutoHyphens/>
      <w:autoSpaceDE w:val="0"/>
      <w:spacing w:after="113" w:line="288" w:lineRule="auto"/>
      <w:jc w:val="both"/>
      <w:textAlignment w:val="center"/>
    </w:pPr>
    <w:rPr>
      <w:rFonts w:ascii="Times New Roman" w:eastAsia="Baskerville" w:hAnsi="Times New Roman" w:cs="Baskerville"/>
      <w:color w:val="000000"/>
      <w:spacing w:val="2"/>
      <w:kern w:val="1"/>
      <w:sz w:val="24"/>
      <w:szCs w:val="24"/>
      <w:lang w:val="en-US" w:eastAsia="zh-CN" w:bidi="hi-IN"/>
    </w:rPr>
  </w:style>
  <w:style w:type="paragraph" w:customStyle="1" w:styleId="Title1">
    <w:name w:val="Title 1"/>
    <w:basedOn w:val="Standard"/>
    <w:rsid w:val="000F0E17"/>
    <w:pPr>
      <w:widowControl w:val="0"/>
      <w:suppressLineNumbers/>
      <w:suppressAutoHyphens/>
      <w:spacing w:before="120" w:after="120" w:line="240" w:lineRule="auto"/>
    </w:pPr>
    <w:rPr>
      <w:rFonts w:ascii="Arial" w:eastAsia="Helvetica-Bold" w:hAnsi="Arial" w:cs="Helvetica-Bold"/>
      <w:b/>
      <w:bCs/>
      <w:iCs/>
      <w:color w:val="5E175E"/>
      <w:spacing w:val="3"/>
      <w:kern w:val="1"/>
      <w:sz w:val="28"/>
      <w:szCs w:val="28"/>
      <w:lang w:val="de-DE" w:eastAsia="zh-CN" w:bidi="hi-IN"/>
    </w:rPr>
  </w:style>
  <w:style w:type="paragraph" w:customStyle="1" w:styleId="Title2">
    <w:name w:val="Title 2"/>
    <w:basedOn w:val="Standard"/>
    <w:rsid w:val="00F9445C"/>
    <w:pPr>
      <w:widowControl w:val="0"/>
      <w:suppressLineNumbers/>
      <w:suppressAutoHyphens/>
      <w:autoSpaceDE w:val="0"/>
      <w:spacing w:after="113" w:line="288" w:lineRule="atLeast"/>
      <w:textAlignment w:val="center"/>
    </w:pPr>
    <w:rPr>
      <w:rFonts w:ascii="Arial" w:eastAsia="Helvetica-Bold" w:hAnsi="Arial" w:cs="Arial"/>
      <w:b/>
      <w:bCs/>
      <w:iCs/>
      <w:color w:val="5E175E"/>
      <w:spacing w:val="2"/>
      <w:kern w:val="1"/>
      <w:sz w:val="24"/>
      <w:szCs w:val="28"/>
      <w:lang w:val="en-GB" w:eastAsia="zh-CN" w:bidi="hi-IN"/>
    </w:rPr>
  </w:style>
  <w:style w:type="paragraph" w:customStyle="1" w:styleId="Title3">
    <w:name w:val="Title 3"/>
    <w:basedOn w:val="Title2"/>
    <w:rsid w:val="00F9445C"/>
    <w:pPr>
      <w:spacing w:before="28" w:after="85"/>
    </w:pPr>
    <w:rPr>
      <w:color w:val="232657"/>
      <w:szCs w:val="24"/>
    </w:rPr>
  </w:style>
  <w:style w:type="character" w:customStyle="1" w:styleId="FootnoteSymbol">
    <w:name w:val="Footnote Symbol"/>
    <w:rsid w:val="004F673C"/>
    <w:rPr>
      <w:rFonts w:ascii="Times New Roman" w:hAnsi="Times New Roman"/>
      <w:sz w:val="20"/>
    </w:rPr>
  </w:style>
  <w:style w:type="character" w:styleId="BesuchterLink">
    <w:name w:val="FollowedHyperlink"/>
    <w:rsid w:val="004F673C"/>
    <w:rPr>
      <w:color w:val="0070C0"/>
      <w:u w:val="single"/>
    </w:rPr>
  </w:style>
  <w:style w:type="paragraph" w:customStyle="1" w:styleId="fussnoteschattenbericht">
    <w:name w:val="fussnote schattenbericht"/>
    <w:basedOn w:val="Standard"/>
    <w:autoRedefine/>
    <w:rsid w:val="003A48DB"/>
    <w:pPr>
      <w:widowControl w:val="0"/>
      <w:suppressAutoHyphens/>
      <w:autoSpaceDE w:val="0"/>
      <w:spacing w:after="0" w:line="264" w:lineRule="auto"/>
      <w:ind w:left="454" w:hanging="448"/>
      <w:textAlignment w:val="center"/>
    </w:pPr>
    <w:rPr>
      <w:rFonts w:ascii="Times New Roman" w:eastAsia="Baskerville" w:hAnsi="Times New Roman"/>
      <w:color w:val="000000"/>
      <w:spacing w:val="2"/>
      <w:kern w:val="1"/>
      <w:sz w:val="20"/>
      <w:szCs w:val="20"/>
      <w:lang w:val="en-US" w:eastAsia="zh-CN" w:bidi="hi-IN"/>
    </w:rPr>
  </w:style>
  <w:style w:type="paragraph" w:styleId="Kommentartext">
    <w:name w:val="annotation text"/>
    <w:basedOn w:val="Standard"/>
    <w:link w:val="KommentartextZchn"/>
    <w:uiPriority w:val="99"/>
    <w:semiHidden/>
    <w:unhideWhenUsed/>
    <w:rsid w:val="00740065"/>
    <w:rPr>
      <w:sz w:val="24"/>
      <w:szCs w:val="24"/>
    </w:rPr>
  </w:style>
  <w:style w:type="paragraph" w:customStyle="1" w:styleId="AbsatzConcludingObs">
    <w:name w:val="Absatz Concluding Obs"/>
    <w:basedOn w:val="absatzschattenbericht"/>
    <w:qFormat/>
    <w:rsid w:val="00F3646C"/>
    <w:pPr>
      <w:tabs>
        <w:tab w:val="left" w:pos="567"/>
        <w:tab w:val="left" w:pos="1134"/>
      </w:tabs>
    </w:pPr>
    <w:rPr>
      <w:i/>
      <w:iCs/>
      <w:lang w:val="fr-FR"/>
    </w:rPr>
  </w:style>
  <w:style w:type="character" w:customStyle="1" w:styleId="KommentartextZchn">
    <w:name w:val="Kommentartext Zchn"/>
    <w:link w:val="Kommentartext"/>
    <w:uiPriority w:val="99"/>
    <w:semiHidden/>
    <w:rsid w:val="00740065"/>
    <w:rPr>
      <w:sz w:val="24"/>
      <w:szCs w:val="24"/>
      <w:lang w:val="de-CH" w:eastAsia="en-US"/>
    </w:rPr>
  </w:style>
  <w:style w:type="paragraph" w:styleId="Kommentarthema">
    <w:name w:val="annotation subject"/>
    <w:basedOn w:val="Kommentartext"/>
    <w:next w:val="Kommentartext"/>
    <w:link w:val="KommentarthemaZchn"/>
    <w:uiPriority w:val="99"/>
    <w:semiHidden/>
    <w:unhideWhenUsed/>
    <w:rsid w:val="00740065"/>
    <w:pPr>
      <w:suppressAutoHyphens/>
      <w:spacing w:after="0" w:line="240" w:lineRule="auto"/>
    </w:pPr>
    <w:rPr>
      <w:rFonts w:ascii="Times New Roman" w:eastAsia="SimSun" w:hAnsi="Times New Roman"/>
      <w:b/>
      <w:bCs/>
      <w:sz w:val="20"/>
      <w:szCs w:val="20"/>
      <w:lang w:val="fr-CH"/>
    </w:rPr>
  </w:style>
  <w:style w:type="character" w:customStyle="1" w:styleId="KommentarthemaZchn">
    <w:name w:val="Kommentarthema Zchn"/>
    <w:link w:val="Kommentarthema"/>
    <w:uiPriority w:val="99"/>
    <w:semiHidden/>
    <w:rsid w:val="00740065"/>
    <w:rPr>
      <w:rFonts w:ascii="Times New Roman" w:eastAsia="SimSun" w:hAnsi="Times New Roman"/>
      <w:b/>
      <w:bCs/>
      <w:sz w:val="24"/>
      <w:szCs w:val="24"/>
      <w:lang w:val="fr-CH" w:eastAsia="en-US"/>
    </w:rPr>
  </w:style>
  <w:style w:type="character" w:styleId="Endnotenzeichen">
    <w:name w:val="endnote reference"/>
    <w:aliases w:val="1_G"/>
    <w:rsid w:val="00426E79"/>
    <w:rPr>
      <w:rFonts w:ascii="Times New Roman" w:hAnsi="Times New Roman"/>
      <w:sz w:val="18"/>
      <w:vertAlign w:val="superscript"/>
    </w:rPr>
  </w:style>
  <w:style w:type="paragraph" w:styleId="Untertitel">
    <w:name w:val="Subtitle"/>
    <w:basedOn w:val="Standard"/>
    <w:next w:val="Standard"/>
    <w:link w:val="UntertitelZchn"/>
    <w:uiPriority w:val="11"/>
    <w:qFormat/>
    <w:rsid w:val="00C85B2A"/>
    <w:pPr>
      <w:spacing w:after="60"/>
      <w:jc w:val="center"/>
      <w:outlineLvl w:val="1"/>
    </w:pPr>
    <w:rPr>
      <w:rFonts w:eastAsia="MS Gothic"/>
      <w:sz w:val="24"/>
      <w:szCs w:val="24"/>
    </w:rPr>
  </w:style>
  <w:style w:type="character" w:customStyle="1" w:styleId="UntertitelZchn">
    <w:name w:val="Untertitel Zchn"/>
    <w:link w:val="Untertitel"/>
    <w:uiPriority w:val="11"/>
    <w:rsid w:val="00C85B2A"/>
    <w:rPr>
      <w:rFonts w:ascii="Calibri" w:eastAsia="MS Gothic" w:hAnsi="Calibri" w:cs="Times New Roman"/>
      <w:sz w:val="24"/>
      <w:szCs w:val="24"/>
      <w:lang w:val="de-CH" w:eastAsia="en-US"/>
    </w:rPr>
  </w:style>
  <w:style w:type="character" w:customStyle="1" w:styleId="NichtaufgelsteErwhnung1">
    <w:name w:val="Nicht aufgelöste Erwähnung1"/>
    <w:basedOn w:val="Absatz-Standardschriftart"/>
    <w:uiPriority w:val="99"/>
    <w:semiHidden/>
    <w:unhideWhenUsed/>
    <w:rsid w:val="00515555"/>
    <w:rPr>
      <w:color w:val="605E5C"/>
      <w:shd w:val="clear" w:color="auto" w:fill="E1DFDD"/>
    </w:rPr>
  </w:style>
  <w:style w:type="paragraph" w:styleId="StandardWeb">
    <w:name w:val="Normal (Web)"/>
    <w:basedOn w:val="Standard"/>
    <w:uiPriority w:val="99"/>
    <w:semiHidden/>
    <w:unhideWhenUsed/>
    <w:rsid w:val="006B7CE2"/>
    <w:rPr>
      <w:rFonts w:ascii="Times New Roman" w:hAnsi="Times New Roman"/>
      <w:sz w:val="24"/>
      <w:szCs w:val="24"/>
    </w:rPr>
  </w:style>
  <w:style w:type="character" w:customStyle="1" w:styleId="WW8Num1z3">
    <w:name w:val="WW8Num1z3"/>
    <w:rsid w:val="003824DA"/>
  </w:style>
  <w:style w:type="paragraph" w:styleId="Sprechblasentext">
    <w:name w:val="Balloon Text"/>
    <w:basedOn w:val="Standard"/>
    <w:link w:val="SprechblasentextZchn"/>
    <w:uiPriority w:val="99"/>
    <w:semiHidden/>
    <w:unhideWhenUsed/>
    <w:rsid w:val="003B331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B331A"/>
    <w:rPr>
      <w:rFonts w:ascii="Tahoma" w:hAnsi="Tahoma" w:cs="Tahoma"/>
      <w:sz w:val="16"/>
      <w:szCs w:val="16"/>
      <w:lang w:eastAsia="en-US"/>
    </w:rPr>
  </w:style>
  <w:style w:type="character" w:customStyle="1" w:styleId="berschrift1Zchn">
    <w:name w:val="Überschrift 1 Zchn"/>
    <w:basedOn w:val="Absatz-Standardschriftart"/>
    <w:link w:val="berschrift1"/>
    <w:uiPriority w:val="9"/>
    <w:rsid w:val="0065327F"/>
    <w:rPr>
      <w:rFonts w:asciiTheme="majorHAnsi" w:eastAsiaTheme="majorEastAsia" w:hAnsiTheme="majorHAnsi" w:cstheme="majorBidi"/>
      <w:color w:val="2F5496" w:themeColor="accent1" w:themeShade="BF"/>
      <w:sz w:val="32"/>
      <w:szCs w:val="32"/>
      <w:lang w:eastAsia="en-US"/>
    </w:rPr>
  </w:style>
  <w:style w:type="character" w:customStyle="1" w:styleId="berschrift2Zchn">
    <w:name w:val="Überschrift 2 Zchn"/>
    <w:basedOn w:val="Absatz-Standardschriftart"/>
    <w:link w:val="berschrift2"/>
    <w:uiPriority w:val="9"/>
    <w:rsid w:val="0065327F"/>
    <w:rPr>
      <w:rFonts w:asciiTheme="majorHAnsi" w:eastAsiaTheme="majorEastAsia" w:hAnsiTheme="majorHAnsi" w:cstheme="majorBidi"/>
      <w:color w:val="2F5496" w:themeColor="accent1" w:themeShade="BF"/>
      <w:sz w:val="26"/>
      <w:szCs w:val="26"/>
      <w:lang w:eastAsia="en-US"/>
    </w:rPr>
  </w:style>
  <w:style w:type="character" w:customStyle="1" w:styleId="berschrift3Zchn">
    <w:name w:val="Überschrift 3 Zchn"/>
    <w:basedOn w:val="Absatz-Standardschriftart"/>
    <w:link w:val="berschrift3"/>
    <w:uiPriority w:val="9"/>
    <w:semiHidden/>
    <w:rsid w:val="0065327F"/>
    <w:rPr>
      <w:rFonts w:asciiTheme="majorHAnsi" w:eastAsiaTheme="majorEastAsia" w:hAnsiTheme="majorHAnsi" w:cstheme="majorBidi"/>
      <w:color w:val="1F3763" w:themeColor="accent1" w:themeShade="7F"/>
      <w:sz w:val="24"/>
      <w:szCs w:val="24"/>
      <w:lang w:eastAsia="en-US"/>
    </w:rPr>
  </w:style>
  <w:style w:type="paragraph" w:styleId="Verzeichnis1">
    <w:name w:val="toc 1"/>
    <w:basedOn w:val="Standard"/>
    <w:next w:val="Standard"/>
    <w:autoRedefine/>
    <w:uiPriority w:val="39"/>
    <w:unhideWhenUsed/>
    <w:rsid w:val="005D7FCF"/>
    <w:pPr>
      <w:tabs>
        <w:tab w:val="right" w:leader="dot" w:pos="9628"/>
      </w:tabs>
      <w:spacing w:after="20" w:line="264" w:lineRule="auto"/>
      <w:ind w:left="284"/>
    </w:pPr>
    <w:rPr>
      <w:rFonts w:ascii="Arial" w:hAnsi="Arial" w:cs="Arial"/>
      <w:noProof/>
      <w:sz w:val="21"/>
      <w:szCs w:val="21"/>
      <w:lang w:bidi="hi-IN"/>
    </w:rPr>
  </w:style>
  <w:style w:type="paragraph" w:styleId="Verzeichnis2">
    <w:name w:val="toc 2"/>
    <w:basedOn w:val="Standard"/>
    <w:next w:val="Standard"/>
    <w:autoRedefine/>
    <w:uiPriority w:val="39"/>
    <w:unhideWhenUsed/>
    <w:rsid w:val="0065327F"/>
    <w:pPr>
      <w:spacing w:after="100"/>
      <w:ind w:left="220"/>
    </w:pPr>
  </w:style>
  <w:style w:type="character" w:customStyle="1" w:styleId="NichtaufgelsteErwhnung2">
    <w:name w:val="Nicht aufgelöste Erwähnung2"/>
    <w:basedOn w:val="Absatz-Standardschriftart"/>
    <w:uiPriority w:val="99"/>
    <w:semiHidden/>
    <w:unhideWhenUsed/>
    <w:rsid w:val="008D626E"/>
    <w:rPr>
      <w:color w:val="605E5C"/>
      <w:shd w:val="clear" w:color="auto" w:fill="E1DFDD"/>
    </w:rPr>
  </w:style>
  <w:style w:type="character" w:styleId="Kommentarzeichen">
    <w:name w:val="annotation reference"/>
    <w:basedOn w:val="Absatz-Standardschriftart"/>
    <w:uiPriority w:val="99"/>
    <w:semiHidden/>
    <w:unhideWhenUsed/>
    <w:rsid w:val="002A68F3"/>
    <w:rPr>
      <w:sz w:val="16"/>
      <w:szCs w:val="16"/>
    </w:rPr>
  </w:style>
  <w:style w:type="character" w:customStyle="1" w:styleId="Funotenanker">
    <w:name w:val="Fußnotenanker"/>
    <w:rsid w:val="003776FF"/>
    <w:rPr>
      <w:vertAlign w:val="superscript"/>
    </w:rPr>
  </w:style>
  <w:style w:type="character" w:customStyle="1" w:styleId="NichtaufgelsteErwhnung3">
    <w:name w:val="Nicht aufgelöste Erwähnung3"/>
    <w:basedOn w:val="Absatz-Standardschriftart"/>
    <w:uiPriority w:val="99"/>
    <w:semiHidden/>
    <w:unhideWhenUsed/>
    <w:rsid w:val="000C3349"/>
    <w:rPr>
      <w:color w:val="605E5C"/>
      <w:shd w:val="clear" w:color="auto" w:fill="E1DFDD"/>
    </w:rPr>
  </w:style>
  <w:style w:type="character" w:customStyle="1" w:styleId="WW8Num2z3">
    <w:name w:val="WW8Num2z3"/>
    <w:rsid w:val="006223A1"/>
  </w:style>
  <w:style w:type="character" w:customStyle="1" w:styleId="NichtaufgelsteErwhnung4">
    <w:name w:val="Nicht aufgelöste Erwähnung4"/>
    <w:basedOn w:val="Absatz-Standardschriftart"/>
    <w:uiPriority w:val="99"/>
    <w:semiHidden/>
    <w:unhideWhenUsed/>
    <w:rsid w:val="000370DA"/>
    <w:rPr>
      <w:color w:val="605E5C"/>
      <w:shd w:val="clear" w:color="auto" w:fill="E1DFDD"/>
    </w:rPr>
  </w:style>
  <w:style w:type="character" w:customStyle="1" w:styleId="berschrift4Zchn">
    <w:name w:val="Überschrift 4 Zchn"/>
    <w:basedOn w:val="Absatz-Standardschriftart"/>
    <w:link w:val="berschrift4"/>
    <w:uiPriority w:val="9"/>
    <w:semiHidden/>
    <w:rsid w:val="00F40FE9"/>
    <w:rPr>
      <w:rFonts w:asciiTheme="majorHAnsi" w:eastAsiaTheme="majorEastAsia" w:hAnsiTheme="majorHAnsi" w:cstheme="majorBidi"/>
      <w:i/>
      <w:iCs/>
      <w:color w:val="2F5496" w:themeColor="accent1" w:themeShade="BF"/>
      <w:sz w:val="22"/>
      <w:szCs w:val="22"/>
      <w:lang w:eastAsia="en-US"/>
    </w:rPr>
  </w:style>
  <w:style w:type="character" w:styleId="NichtaufgelsteErwhnung">
    <w:name w:val="Unresolved Mention"/>
    <w:basedOn w:val="Absatz-Standardschriftart"/>
    <w:uiPriority w:val="99"/>
    <w:semiHidden/>
    <w:unhideWhenUsed/>
    <w:rsid w:val="00A62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605905">
      <w:bodyDiv w:val="1"/>
      <w:marLeft w:val="0"/>
      <w:marRight w:val="0"/>
      <w:marTop w:val="0"/>
      <w:marBottom w:val="0"/>
      <w:divBdr>
        <w:top w:val="none" w:sz="0" w:space="0" w:color="auto"/>
        <w:left w:val="none" w:sz="0" w:space="0" w:color="auto"/>
        <w:bottom w:val="none" w:sz="0" w:space="0" w:color="auto"/>
        <w:right w:val="none" w:sz="0" w:space="0" w:color="auto"/>
      </w:divBdr>
    </w:div>
    <w:div w:id="74205084">
      <w:bodyDiv w:val="1"/>
      <w:marLeft w:val="0"/>
      <w:marRight w:val="0"/>
      <w:marTop w:val="0"/>
      <w:marBottom w:val="0"/>
      <w:divBdr>
        <w:top w:val="none" w:sz="0" w:space="0" w:color="auto"/>
        <w:left w:val="none" w:sz="0" w:space="0" w:color="auto"/>
        <w:bottom w:val="none" w:sz="0" w:space="0" w:color="auto"/>
        <w:right w:val="none" w:sz="0" w:space="0" w:color="auto"/>
      </w:divBdr>
    </w:div>
    <w:div w:id="152456268">
      <w:bodyDiv w:val="1"/>
      <w:marLeft w:val="0"/>
      <w:marRight w:val="0"/>
      <w:marTop w:val="0"/>
      <w:marBottom w:val="0"/>
      <w:divBdr>
        <w:top w:val="none" w:sz="0" w:space="0" w:color="auto"/>
        <w:left w:val="none" w:sz="0" w:space="0" w:color="auto"/>
        <w:bottom w:val="none" w:sz="0" w:space="0" w:color="auto"/>
        <w:right w:val="none" w:sz="0" w:space="0" w:color="auto"/>
      </w:divBdr>
    </w:div>
    <w:div w:id="194848356">
      <w:bodyDiv w:val="1"/>
      <w:marLeft w:val="0"/>
      <w:marRight w:val="0"/>
      <w:marTop w:val="0"/>
      <w:marBottom w:val="0"/>
      <w:divBdr>
        <w:top w:val="none" w:sz="0" w:space="0" w:color="auto"/>
        <w:left w:val="none" w:sz="0" w:space="0" w:color="auto"/>
        <w:bottom w:val="none" w:sz="0" w:space="0" w:color="auto"/>
        <w:right w:val="none" w:sz="0" w:space="0" w:color="auto"/>
      </w:divBdr>
      <w:divsChild>
        <w:div w:id="890114319">
          <w:marLeft w:val="0"/>
          <w:marRight w:val="0"/>
          <w:marTop w:val="0"/>
          <w:marBottom w:val="0"/>
          <w:divBdr>
            <w:top w:val="none" w:sz="0" w:space="0" w:color="auto"/>
            <w:left w:val="none" w:sz="0" w:space="0" w:color="auto"/>
            <w:bottom w:val="none" w:sz="0" w:space="0" w:color="auto"/>
            <w:right w:val="none" w:sz="0" w:space="0" w:color="auto"/>
          </w:divBdr>
          <w:divsChild>
            <w:div w:id="2039501874">
              <w:marLeft w:val="0"/>
              <w:marRight w:val="0"/>
              <w:marTop w:val="0"/>
              <w:marBottom w:val="0"/>
              <w:divBdr>
                <w:top w:val="none" w:sz="0" w:space="0" w:color="auto"/>
                <w:left w:val="none" w:sz="0" w:space="0" w:color="auto"/>
                <w:bottom w:val="none" w:sz="0" w:space="0" w:color="auto"/>
                <w:right w:val="none" w:sz="0" w:space="0" w:color="auto"/>
              </w:divBdr>
              <w:divsChild>
                <w:div w:id="1052266988">
                  <w:marLeft w:val="0"/>
                  <w:marRight w:val="0"/>
                  <w:marTop w:val="0"/>
                  <w:marBottom w:val="0"/>
                  <w:divBdr>
                    <w:top w:val="none" w:sz="0" w:space="0" w:color="auto"/>
                    <w:left w:val="none" w:sz="0" w:space="0" w:color="auto"/>
                    <w:bottom w:val="none" w:sz="0" w:space="0" w:color="auto"/>
                    <w:right w:val="none" w:sz="0" w:space="0" w:color="auto"/>
                  </w:divBdr>
                  <w:divsChild>
                    <w:div w:id="10127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713794">
      <w:bodyDiv w:val="1"/>
      <w:marLeft w:val="0"/>
      <w:marRight w:val="0"/>
      <w:marTop w:val="0"/>
      <w:marBottom w:val="0"/>
      <w:divBdr>
        <w:top w:val="none" w:sz="0" w:space="0" w:color="auto"/>
        <w:left w:val="none" w:sz="0" w:space="0" w:color="auto"/>
        <w:bottom w:val="none" w:sz="0" w:space="0" w:color="auto"/>
        <w:right w:val="none" w:sz="0" w:space="0" w:color="auto"/>
      </w:divBdr>
      <w:divsChild>
        <w:div w:id="685330441">
          <w:marLeft w:val="0"/>
          <w:marRight w:val="0"/>
          <w:marTop w:val="0"/>
          <w:marBottom w:val="0"/>
          <w:divBdr>
            <w:top w:val="none" w:sz="0" w:space="0" w:color="auto"/>
            <w:left w:val="none" w:sz="0" w:space="0" w:color="auto"/>
            <w:bottom w:val="none" w:sz="0" w:space="0" w:color="auto"/>
            <w:right w:val="none" w:sz="0" w:space="0" w:color="auto"/>
          </w:divBdr>
          <w:divsChild>
            <w:div w:id="914323402">
              <w:marLeft w:val="0"/>
              <w:marRight w:val="0"/>
              <w:marTop w:val="0"/>
              <w:marBottom w:val="0"/>
              <w:divBdr>
                <w:top w:val="none" w:sz="0" w:space="0" w:color="auto"/>
                <w:left w:val="none" w:sz="0" w:space="0" w:color="auto"/>
                <w:bottom w:val="none" w:sz="0" w:space="0" w:color="auto"/>
                <w:right w:val="none" w:sz="0" w:space="0" w:color="auto"/>
              </w:divBdr>
              <w:divsChild>
                <w:div w:id="1617129998">
                  <w:marLeft w:val="0"/>
                  <w:marRight w:val="0"/>
                  <w:marTop w:val="0"/>
                  <w:marBottom w:val="0"/>
                  <w:divBdr>
                    <w:top w:val="none" w:sz="0" w:space="0" w:color="auto"/>
                    <w:left w:val="none" w:sz="0" w:space="0" w:color="auto"/>
                    <w:bottom w:val="none" w:sz="0" w:space="0" w:color="auto"/>
                    <w:right w:val="none" w:sz="0" w:space="0" w:color="auto"/>
                  </w:divBdr>
                  <w:divsChild>
                    <w:div w:id="170119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121072">
      <w:bodyDiv w:val="1"/>
      <w:marLeft w:val="0"/>
      <w:marRight w:val="0"/>
      <w:marTop w:val="0"/>
      <w:marBottom w:val="0"/>
      <w:divBdr>
        <w:top w:val="none" w:sz="0" w:space="0" w:color="auto"/>
        <w:left w:val="none" w:sz="0" w:space="0" w:color="auto"/>
        <w:bottom w:val="none" w:sz="0" w:space="0" w:color="auto"/>
        <w:right w:val="none" w:sz="0" w:space="0" w:color="auto"/>
      </w:divBdr>
    </w:div>
    <w:div w:id="483352160">
      <w:bodyDiv w:val="1"/>
      <w:marLeft w:val="0"/>
      <w:marRight w:val="0"/>
      <w:marTop w:val="0"/>
      <w:marBottom w:val="0"/>
      <w:divBdr>
        <w:top w:val="none" w:sz="0" w:space="0" w:color="auto"/>
        <w:left w:val="none" w:sz="0" w:space="0" w:color="auto"/>
        <w:bottom w:val="none" w:sz="0" w:space="0" w:color="auto"/>
        <w:right w:val="none" w:sz="0" w:space="0" w:color="auto"/>
      </w:divBdr>
    </w:div>
    <w:div w:id="510099394">
      <w:bodyDiv w:val="1"/>
      <w:marLeft w:val="0"/>
      <w:marRight w:val="0"/>
      <w:marTop w:val="0"/>
      <w:marBottom w:val="0"/>
      <w:divBdr>
        <w:top w:val="none" w:sz="0" w:space="0" w:color="auto"/>
        <w:left w:val="none" w:sz="0" w:space="0" w:color="auto"/>
        <w:bottom w:val="none" w:sz="0" w:space="0" w:color="auto"/>
        <w:right w:val="none" w:sz="0" w:space="0" w:color="auto"/>
      </w:divBdr>
      <w:divsChild>
        <w:div w:id="1939094526">
          <w:marLeft w:val="0"/>
          <w:marRight w:val="0"/>
          <w:marTop w:val="0"/>
          <w:marBottom w:val="0"/>
          <w:divBdr>
            <w:top w:val="none" w:sz="0" w:space="0" w:color="auto"/>
            <w:left w:val="none" w:sz="0" w:space="0" w:color="auto"/>
            <w:bottom w:val="none" w:sz="0" w:space="0" w:color="auto"/>
            <w:right w:val="none" w:sz="0" w:space="0" w:color="auto"/>
          </w:divBdr>
          <w:divsChild>
            <w:div w:id="1347976123">
              <w:marLeft w:val="0"/>
              <w:marRight w:val="0"/>
              <w:marTop w:val="0"/>
              <w:marBottom w:val="0"/>
              <w:divBdr>
                <w:top w:val="none" w:sz="0" w:space="0" w:color="auto"/>
                <w:left w:val="none" w:sz="0" w:space="0" w:color="auto"/>
                <w:bottom w:val="none" w:sz="0" w:space="0" w:color="auto"/>
                <w:right w:val="none" w:sz="0" w:space="0" w:color="auto"/>
              </w:divBdr>
              <w:divsChild>
                <w:div w:id="126884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422699">
      <w:bodyDiv w:val="1"/>
      <w:marLeft w:val="0"/>
      <w:marRight w:val="0"/>
      <w:marTop w:val="0"/>
      <w:marBottom w:val="0"/>
      <w:divBdr>
        <w:top w:val="none" w:sz="0" w:space="0" w:color="auto"/>
        <w:left w:val="none" w:sz="0" w:space="0" w:color="auto"/>
        <w:bottom w:val="none" w:sz="0" w:space="0" w:color="auto"/>
        <w:right w:val="none" w:sz="0" w:space="0" w:color="auto"/>
      </w:divBdr>
    </w:div>
    <w:div w:id="598832121">
      <w:bodyDiv w:val="1"/>
      <w:marLeft w:val="0"/>
      <w:marRight w:val="0"/>
      <w:marTop w:val="0"/>
      <w:marBottom w:val="0"/>
      <w:divBdr>
        <w:top w:val="none" w:sz="0" w:space="0" w:color="auto"/>
        <w:left w:val="none" w:sz="0" w:space="0" w:color="auto"/>
        <w:bottom w:val="none" w:sz="0" w:space="0" w:color="auto"/>
        <w:right w:val="none" w:sz="0" w:space="0" w:color="auto"/>
      </w:divBdr>
      <w:divsChild>
        <w:div w:id="2026974022">
          <w:marLeft w:val="0"/>
          <w:marRight w:val="0"/>
          <w:marTop w:val="0"/>
          <w:marBottom w:val="0"/>
          <w:divBdr>
            <w:top w:val="none" w:sz="0" w:space="0" w:color="auto"/>
            <w:left w:val="none" w:sz="0" w:space="0" w:color="auto"/>
            <w:bottom w:val="none" w:sz="0" w:space="0" w:color="auto"/>
            <w:right w:val="none" w:sz="0" w:space="0" w:color="auto"/>
          </w:divBdr>
          <w:divsChild>
            <w:div w:id="996806530">
              <w:marLeft w:val="0"/>
              <w:marRight w:val="0"/>
              <w:marTop w:val="0"/>
              <w:marBottom w:val="0"/>
              <w:divBdr>
                <w:top w:val="none" w:sz="0" w:space="0" w:color="auto"/>
                <w:left w:val="none" w:sz="0" w:space="0" w:color="auto"/>
                <w:bottom w:val="none" w:sz="0" w:space="0" w:color="auto"/>
                <w:right w:val="none" w:sz="0" w:space="0" w:color="auto"/>
              </w:divBdr>
              <w:divsChild>
                <w:div w:id="839393614">
                  <w:marLeft w:val="0"/>
                  <w:marRight w:val="0"/>
                  <w:marTop w:val="0"/>
                  <w:marBottom w:val="0"/>
                  <w:divBdr>
                    <w:top w:val="none" w:sz="0" w:space="0" w:color="auto"/>
                    <w:left w:val="none" w:sz="0" w:space="0" w:color="auto"/>
                    <w:bottom w:val="none" w:sz="0" w:space="0" w:color="auto"/>
                    <w:right w:val="none" w:sz="0" w:space="0" w:color="auto"/>
                  </w:divBdr>
                  <w:divsChild>
                    <w:div w:id="176163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503924">
      <w:bodyDiv w:val="1"/>
      <w:marLeft w:val="0"/>
      <w:marRight w:val="0"/>
      <w:marTop w:val="0"/>
      <w:marBottom w:val="0"/>
      <w:divBdr>
        <w:top w:val="none" w:sz="0" w:space="0" w:color="auto"/>
        <w:left w:val="none" w:sz="0" w:space="0" w:color="auto"/>
        <w:bottom w:val="none" w:sz="0" w:space="0" w:color="auto"/>
        <w:right w:val="none" w:sz="0" w:space="0" w:color="auto"/>
      </w:divBdr>
      <w:divsChild>
        <w:div w:id="1695111298">
          <w:marLeft w:val="0"/>
          <w:marRight w:val="0"/>
          <w:marTop w:val="0"/>
          <w:marBottom w:val="0"/>
          <w:divBdr>
            <w:top w:val="none" w:sz="0" w:space="0" w:color="auto"/>
            <w:left w:val="none" w:sz="0" w:space="0" w:color="auto"/>
            <w:bottom w:val="none" w:sz="0" w:space="0" w:color="auto"/>
            <w:right w:val="none" w:sz="0" w:space="0" w:color="auto"/>
          </w:divBdr>
          <w:divsChild>
            <w:div w:id="1275551726">
              <w:marLeft w:val="0"/>
              <w:marRight w:val="0"/>
              <w:marTop w:val="0"/>
              <w:marBottom w:val="0"/>
              <w:divBdr>
                <w:top w:val="none" w:sz="0" w:space="0" w:color="auto"/>
                <w:left w:val="none" w:sz="0" w:space="0" w:color="auto"/>
                <w:bottom w:val="none" w:sz="0" w:space="0" w:color="auto"/>
                <w:right w:val="none" w:sz="0" w:space="0" w:color="auto"/>
              </w:divBdr>
              <w:divsChild>
                <w:div w:id="1168324937">
                  <w:marLeft w:val="0"/>
                  <w:marRight w:val="0"/>
                  <w:marTop w:val="0"/>
                  <w:marBottom w:val="0"/>
                  <w:divBdr>
                    <w:top w:val="none" w:sz="0" w:space="0" w:color="auto"/>
                    <w:left w:val="none" w:sz="0" w:space="0" w:color="auto"/>
                    <w:bottom w:val="none" w:sz="0" w:space="0" w:color="auto"/>
                    <w:right w:val="none" w:sz="0" w:space="0" w:color="auto"/>
                  </w:divBdr>
                  <w:divsChild>
                    <w:div w:id="195941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802777">
      <w:bodyDiv w:val="1"/>
      <w:marLeft w:val="0"/>
      <w:marRight w:val="0"/>
      <w:marTop w:val="0"/>
      <w:marBottom w:val="0"/>
      <w:divBdr>
        <w:top w:val="none" w:sz="0" w:space="0" w:color="auto"/>
        <w:left w:val="none" w:sz="0" w:space="0" w:color="auto"/>
        <w:bottom w:val="none" w:sz="0" w:space="0" w:color="auto"/>
        <w:right w:val="none" w:sz="0" w:space="0" w:color="auto"/>
      </w:divBdr>
      <w:divsChild>
        <w:div w:id="1661542607">
          <w:marLeft w:val="0"/>
          <w:marRight w:val="0"/>
          <w:marTop w:val="0"/>
          <w:marBottom w:val="0"/>
          <w:divBdr>
            <w:top w:val="none" w:sz="0" w:space="0" w:color="auto"/>
            <w:left w:val="none" w:sz="0" w:space="0" w:color="auto"/>
            <w:bottom w:val="none" w:sz="0" w:space="0" w:color="auto"/>
            <w:right w:val="none" w:sz="0" w:space="0" w:color="auto"/>
          </w:divBdr>
          <w:divsChild>
            <w:div w:id="1025054430">
              <w:marLeft w:val="0"/>
              <w:marRight w:val="0"/>
              <w:marTop w:val="0"/>
              <w:marBottom w:val="0"/>
              <w:divBdr>
                <w:top w:val="none" w:sz="0" w:space="0" w:color="auto"/>
                <w:left w:val="none" w:sz="0" w:space="0" w:color="auto"/>
                <w:bottom w:val="none" w:sz="0" w:space="0" w:color="auto"/>
                <w:right w:val="none" w:sz="0" w:space="0" w:color="auto"/>
              </w:divBdr>
              <w:divsChild>
                <w:div w:id="1184828295">
                  <w:marLeft w:val="0"/>
                  <w:marRight w:val="0"/>
                  <w:marTop w:val="0"/>
                  <w:marBottom w:val="0"/>
                  <w:divBdr>
                    <w:top w:val="none" w:sz="0" w:space="0" w:color="auto"/>
                    <w:left w:val="none" w:sz="0" w:space="0" w:color="auto"/>
                    <w:bottom w:val="none" w:sz="0" w:space="0" w:color="auto"/>
                    <w:right w:val="none" w:sz="0" w:space="0" w:color="auto"/>
                  </w:divBdr>
                </w:div>
              </w:divsChild>
            </w:div>
            <w:div w:id="1945726588">
              <w:marLeft w:val="0"/>
              <w:marRight w:val="0"/>
              <w:marTop w:val="0"/>
              <w:marBottom w:val="0"/>
              <w:divBdr>
                <w:top w:val="none" w:sz="0" w:space="0" w:color="auto"/>
                <w:left w:val="none" w:sz="0" w:space="0" w:color="auto"/>
                <w:bottom w:val="none" w:sz="0" w:space="0" w:color="auto"/>
                <w:right w:val="none" w:sz="0" w:space="0" w:color="auto"/>
              </w:divBdr>
              <w:divsChild>
                <w:div w:id="5944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199945">
          <w:marLeft w:val="0"/>
          <w:marRight w:val="0"/>
          <w:marTop w:val="0"/>
          <w:marBottom w:val="0"/>
          <w:divBdr>
            <w:top w:val="none" w:sz="0" w:space="0" w:color="auto"/>
            <w:left w:val="none" w:sz="0" w:space="0" w:color="auto"/>
            <w:bottom w:val="none" w:sz="0" w:space="0" w:color="auto"/>
            <w:right w:val="none" w:sz="0" w:space="0" w:color="auto"/>
          </w:divBdr>
          <w:divsChild>
            <w:div w:id="296180969">
              <w:marLeft w:val="0"/>
              <w:marRight w:val="0"/>
              <w:marTop w:val="0"/>
              <w:marBottom w:val="0"/>
              <w:divBdr>
                <w:top w:val="none" w:sz="0" w:space="0" w:color="auto"/>
                <w:left w:val="none" w:sz="0" w:space="0" w:color="auto"/>
                <w:bottom w:val="none" w:sz="0" w:space="0" w:color="auto"/>
                <w:right w:val="none" w:sz="0" w:space="0" w:color="auto"/>
              </w:divBdr>
              <w:divsChild>
                <w:div w:id="769620814">
                  <w:marLeft w:val="0"/>
                  <w:marRight w:val="0"/>
                  <w:marTop w:val="0"/>
                  <w:marBottom w:val="0"/>
                  <w:divBdr>
                    <w:top w:val="none" w:sz="0" w:space="0" w:color="auto"/>
                    <w:left w:val="none" w:sz="0" w:space="0" w:color="auto"/>
                    <w:bottom w:val="none" w:sz="0" w:space="0" w:color="auto"/>
                    <w:right w:val="none" w:sz="0" w:space="0" w:color="auto"/>
                  </w:divBdr>
                </w:div>
              </w:divsChild>
            </w:div>
            <w:div w:id="389039417">
              <w:marLeft w:val="0"/>
              <w:marRight w:val="0"/>
              <w:marTop w:val="0"/>
              <w:marBottom w:val="0"/>
              <w:divBdr>
                <w:top w:val="none" w:sz="0" w:space="0" w:color="auto"/>
                <w:left w:val="none" w:sz="0" w:space="0" w:color="auto"/>
                <w:bottom w:val="none" w:sz="0" w:space="0" w:color="auto"/>
                <w:right w:val="none" w:sz="0" w:space="0" w:color="auto"/>
              </w:divBdr>
              <w:divsChild>
                <w:div w:id="969434938">
                  <w:marLeft w:val="0"/>
                  <w:marRight w:val="0"/>
                  <w:marTop w:val="0"/>
                  <w:marBottom w:val="0"/>
                  <w:divBdr>
                    <w:top w:val="none" w:sz="0" w:space="0" w:color="auto"/>
                    <w:left w:val="none" w:sz="0" w:space="0" w:color="auto"/>
                    <w:bottom w:val="none" w:sz="0" w:space="0" w:color="auto"/>
                    <w:right w:val="none" w:sz="0" w:space="0" w:color="auto"/>
                  </w:divBdr>
                </w:div>
                <w:div w:id="1422801494">
                  <w:marLeft w:val="0"/>
                  <w:marRight w:val="0"/>
                  <w:marTop w:val="0"/>
                  <w:marBottom w:val="0"/>
                  <w:divBdr>
                    <w:top w:val="none" w:sz="0" w:space="0" w:color="auto"/>
                    <w:left w:val="none" w:sz="0" w:space="0" w:color="auto"/>
                    <w:bottom w:val="none" w:sz="0" w:space="0" w:color="auto"/>
                    <w:right w:val="none" w:sz="0" w:space="0" w:color="auto"/>
                  </w:divBdr>
                </w:div>
              </w:divsChild>
            </w:div>
            <w:div w:id="639069223">
              <w:marLeft w:val="0"/>
              <w:marRight w:val="0"/>
              <w:marTop w:val="0"/>
              <w:marBottom w:val="0"/>
              <w:divBdr>
                <w:top w:val="none" w:sz="0" w:space="0" w:color="auto"/>
                <w:left w:val="none" w:sz="0" w:space="0" w:color="auto"/>
                <w:bottom w:val="none" w:sz="0" w:space="0" w:color="auto"/>
                <w:right w:val="none" w:sz="0" w:space="0" w:color="auto"/>
              </w:divBdr>
              <w:divsChild>
                <w:div w:id="99538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729029">
      <w:bodyDiv w:val="1"/>
      <w:marLeft w:val="0"/>
      <w:marRight w:val="0"/>
      <w:marTop w:val="0"/>
      <w:marBottom w:val="0"/>
      <w:divBdr>
        <w:top w:val="none" w:sz="0" w:space="0" w:color="auto"/>
        <w:left w:val="none" w:sz="0" w:space="0" w:color="auto"/>
        <w:bottom w:val="none" w:sz="0" w:space="0" w:color="auto"/>
        <w:right w:val="none" w:sz="0" w:space="0" w:color="auto"/>
      </w:divBdr>
      <w:divsChild>
        <w:div w:id="768624753">
          <w:marLeft w:val="0"/>
          <w:marRight w:val="0"/>
          <w:marTop w:val="0"/>
          <w:marBottom w:val="0"/>
          <w:divBdr>
            <w:top w:val="none" w:sz="0" w:space="0" w:color="auto"/>
            <w:left w:val="none" w:sz="0" w:space="0" w:color="auto"/>
            <w:bottom w:val="none" w:sz="0" w:space="0" w:color="auto"/>
            <w:right w:val="none" w:sz="0" w:space="0" w:color="auto"/>
          </w:divBdr>
          <w:divsChild>
            <w:div w:id="1601646967">
              <w:marLeft w:val="0"/>
              <w:marRight w:val="0"/>
              <w:marTop w:val="0"/>
              <w:marBottom w:val="0"/>
              <w:divBdr>
                <w:top w:val="none" w:sz="0" w:space="0" w:color="auto"/>
                <w:left w:val="none" w:sz="0" w:space="0" w:color="auto"/>
                <w:bottom w:val="none" w:sz="0" w:space="0" w:color="auto"/>
                <w:right w:val="none" w:sz="0" w:space="0" w:color="auto"/>
              </w:divBdr>
              <w:divsChild>
                <w:div w:id="747967468">
                  <w:marLeft w:val="0"/>
                  <w:marRight w:val="0"/>
                  <w:marTop w:val="0"/>
                  <w:marBottom w:val="0"/>
                  <w:divBdr>
                    <w:top w:val="none" w:sz="0" w:space="0" w:color="auto"/>
                    <w:left w:val="none" w:sz="0" w:space="0" w:color="auto"/>
                    <w:bottom w:val="none" w:sz="0" w:space="0" w:color="auto"/>
                    <w:right w:val="none" w:sz="0" w:space="0" w:color="auto"/>
                  </w:divBdr>
                  <w:divsChild>
                    <w:div w:id="115757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761698">
      <w:bodyDiv w:val="1"/>
      <w:marLeft w:val="0"/>
      <w:marRight w:val="0"/>
      <w:marTop w:val="0"/>
      <w:marBottom w:val="0"/>
      <w:divBdr>
        <w:top w:val="none" w:sz="0" w:space="0" w:color="auto"/>
        <w:left w:val="none" w:sz="0" w:space="0" w:color="auto"/>
        <w:bottom w:val="none" w:sz="0" w:space="0" w:color="auto"/>
        <w:right w:val="none" w:sz="0" w:space="0" w:color="auto"/>
      </w:divBdr>
    </w:div>
    <w:div w:id="740518593">
      <w:bodyDiv w:val="1"/>
      <w:marLeft w:val="0"/>
      <w:marRight w:val="0"/>
      <w:marTop w:val="0"/>
      <w:marBottom w:val="0"/>
      <w:divBdr>
        <w:top w:val="none" w:sz="0" w:space="0" w:color="auto"/>
        <w:left w:val="none" w:sz="0" w:space="0" w:color="auto"/>
        <w:bottom w:val="none" w:sz="0" w:space="0" w:color="auto"/>
        <w:right w:val="none" w:sz="0" w:space="0" w:color="auto"/>
      </w:divBdr>
    </w:div>
    <w:div w:id="743837272">
      <w:bodyDiv w:val="1"/>
      <w:marLeft w:val="0"/>
      <w:marRight w:val="0"/>
      <w:marTop w:val="0"/>
      <w:marBottom w:val="0"/>
      <w:divBdr>
        <w:top w:val="none" w:sz="0" w:space="0" w:color="auto"/>
        <w:left w:val="none" w:sz="0" w:space="0" w:color="auto"/>
        <w:bottom w:val="none" w:sz="0" w:space="0" w:color="auto"/>
        <w:right w:val="none" w:sz="0" w:space="0" w:color="auto"/>
      </w:divBdr>
      <w:divsChild>
        <w:div w:id="2062820873">
          <w:marLeft w:val="0"/>
          <w:marRight w:val="0"/>
          <w:marTop w:val="0"/>
          <w:marBottom w:val="0"/>
          <w:divBdr>
            <w:top w:val="none" w:sz="0" w:space="0" w:color="auto"/>
            <w:left w:val="none" w:sz="0" w:space="0" w:color="auto"/>
            <w:bottom w:val="none" w:sz="0" w:space="0" w:color="auto"/>
            <w:right w:val="none" w:sz="0" w:space="0" w:color="auto"/>
          </w:divBdr>
          <w:divsChild>
            <w:div w:id="1408725266">
              <w:marLeft w:val="0"/>
              <w:marRight w:val="0"/>
              <w:marTop w:val="0"/>
              <w:marBottom w:val="0"/>
              <w:divBdr>
                <w:top w:val="none" w:sz="0" w:space="0" w:color="auto"/>
                <w:left w:val="none" w:sz="0" w:space="0" w:color="auto"/>
                <w:bottom w:val="none" w:sz="0" w:space="0" w:color="auto"/>
                <w:right w:val="none" w:sz="0" w:space="0" w:color="auto"/>
              </w:divBdr>
              <w:divsChild>
                <w:div w:id="37462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06285">
      <w:bodyDiv w:val="1"/>
      <w:marLeft w:val="0"/>
      <w:marRight w:val="0"/>
      <w:marTop w:val="0"/>
      <w:marBottom w:val="0"/>
      <w:divBdr>
        <w:top w:val="none" w:sz="0" w:space="0" w:color="auto"/>
        <w:left w:val="none" w:sz="0" w:space="0" w:color="auto"/>
        <w:bottom w:val="none" w:sz="0" w:space="0" w:color="auto"/>
        <w:right w:val="none" w:sz="0" w:space="0" w:color="auto"/>
      </w:divBdr>
      <w:divsChild>
        <w:div w:id="469368906">
          <w:marLeft w:val="0"/>
          <w:marRight w:val="0"/>
          <w:marTop w:val="0"/>
          <w:marBottom w:val="0"/>
          <w:divBdr>
            <w:top w:val="none" w:sz="0" w:space="0" w:color="auto"/>
            <w:left w:val="none" w:sz="0" w:space="0" w:color="auto"/>
            <w:bottom w:val="none" w:sz="0" w:space="0" w:color="auto"/>
            <w:right w:val="none" w:sz="0" w:space="0" w:color="auto"/>
          </w:divBdr>
          <w:divsChild>
            <w:div w:id="1036933464">
              <w:marLeft w:val="0"/>
              <w:marRight w:val="0"/>
              <w:marTop w:val="0"/>
              <w:marBottom w:val="0"/>
              <w:divBdr>
                <w:top w:val="none" w:sz="0" w:space="0" w:color="auto"/>
                <w:left w:val="none" w:sz="0" w:space="0" w:color="auto"/>
                <w:bottom w:val="none" w:sz="0" w:space="0" w:color="auto"/>
                <w:right w:val="none" w:sz="0" w:space="0" w:color="auto"/>
              </w:divBdr>
              <w:divsChild>
                <w:div w:id="115560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211344">
      <w:bodyDiv w:val="1"/>
      <w:marLeft w:val="0"/>
      <w:marRight w:val="0"/>
      <w:marTop w:val="0"/>
      <w:marBottom w:val="0"/>
      <w:divBdr>
        <w:top w:val="none" w:sz="0" w:space="0" w:color="auto"/>
        <w:left w:val="none" w:sz="0" w:space="0" w:color="auto"/>
        <w:bottom w:val="none" w:sz="0" w:space="0" w:color="auto"/>
        <w:right w:val="none" w:sz="0" w:space="0" w:color="auto"/>
      </w:divBdr>
    </w:div>
    <w:div w:id="773786470">
      <w:bodyDiv w:val="1"/>
      <w:marLeft w:val="0"/>
      <w:marRight w:val="0"/>
      <w:marTop w:val="0"/>
      <w:marBottom w:val="0"/>
      <w:divBdr>
        <w:top w:val="none" w:sz="0" w:space="0" w:color="auto"/>
        <w:left w:val="none" w:sz="0" w:space="0" w:color="auto"/>
        <w:bottom w:val="none" w:sz="0" w:space="0" w:color="auto"/>
        <w:right w:val="none" w:sz="0" w:space="0" w:color="auto"/>
      </w:divBdr>
      <w:divsChild>
        <w:div w:id="1990552094">
          <w:marLeft w:val="0"/>
          <w:marRight w:val="0"/>
          <w:marTop w:val="0"/>
          <w:marBottom w:val="0"/>
          <w:divBdr>
            <w:top w:val="none" w:sz="0" w:space="0" w:color="auto"/>
            <w:left w:val="none" w:sz="0" w:space="0" w:color="auto"/>
            <w:bottom w:val="none" w:sz="0" w:space="0" w:color="auto"/>
            <w:right w:val="none" w:sz="0" w:space="0" w:color="auto"/>
          </w:divBdr>
          <w:divsChild>
            <w:div w:id="18316370">
              <w:marLeft w:val="0"/>
              <w:marRight w:val="0"/>
              <w:marTop w:val="0"/>
              <w:marBottom w:val="0"/>
              <w:divBdr>
                <w:top w:val="none" w:sz="0" w:space="0" w:color="auto"/>
                <w:left w:val="none" w:sz="0" w:space="0" w:color="auto"/>
                <w:bottom w:val="none" w:sz="0" w:space="0" w:color="auto"/>
                <w:right w:val="none" w:sz="0" w:space="0" w:color="auto"/>
              </w:divBdr>
              <w:divsChild>
                <w:div w:id="1216046260">
                  <w:marLeft w:val="0"/>
                  <w:marRight w:val="0"/>
                  <w:marTop w:val="0"/>
                  <w:marBottom w:val="0"/>
                  <w:divBdr>
                    <w:top w:val="none" w:sz="0" w:space="0" w:color="auto"/>
                    <w:left w:val="none" w:sz="0" w:space="0" w:color="auto"/>
                    <w:bottom w:val="none" w:sz="0" w:space="0" w:color="auto"/>
                    <w:right w:val="none" w:sz="0" w:space="0" w:color="auto"/>
                  </w:divBdr>
                  <w:divsChild>
                    <w:div w:id="20633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597070">
      <w:bodyDiv w:val="1"/>
      <w:marLeft w:val="0"/>
      <w:marRight w:val="0"/>
      <w:marTop w:val="0"/>
      <w:marBottom w:val="0"/>
      <w:divBdr>
        <w:top w:val="none" w:sz="0" w:space="0" w:color="auto"/>
        <w:left w:val="none" w:sz="0" w:space="0" w:color="auto"/>
        <w:bottom w:val="none" w:sz="0" w:space="0" w:color="auto"/>
        <w:right w:val="none" w:sz="0" w:space="0" w:color="auto"/>
      </w:divBdr>
      <w:divsChild>
        <w:div w:id="1675841179">
          <w:marLeft w:val="0"/>
          <w:marRight w:val="0"/>
          <w:marTop w:val="0"/>
          <w:marBottom w:val="0"/>
          <w:divBdr>
            <w:top w:val="none" w:sz="0" w:space="0" w:color="auto"/>
            <w:left w:val="none" w:sz="0" w:space="0" w:color="auto"/>
            <w:bottom w:val="none" w:sz="0" w:space="0" w:color="auto"/>
            <w:right w:val="none" w:sz="0" w:space="0" w:color="auto"/>
          </w:divBdr>
          <w:divsChild>
            <w:div w:id="1344091045">
              <w:marLeft w:val="0"/>
              <w:marRight w:val="0"/>
              <w:marTop w:val="0"/>
              <w:marBottom w:val="0"/>
              <w:divBdr>
                <w:top w:val="none" w:sz="0" w:space="0" w:color="auto"/>
                <w:left w:val="none" w:sz="0" w:space="0" w:color="auto"/>
                <w:bottom w:val="none" w:sz="0" w:space="0" w:color="auto"/>
                <w:right w:val="none" w:sz="0" w:space="0" w:color="auto"/>
              </w:divBdr>
              <w:divsChild>
                <w:div w:id="67523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215703">
      <w:bodyDiv w:val="1"/>
      <w:marLeft w:val="0"/>
      <w:marRight w:val="0"/>
      <w:marTop w:val="0"/>
      <w:marBottom w:val="0"/>
      <w:divBdr>
        <w:top w:val="none" w:sz="0" w:space="0" w:color="auto"/>
        <w:left w:val="none" w:sz="0" w:space="0" w:color="auto"/>
        <w:bottom w:val="none" w:sz="0" w:space="0" w:color="auto"/>
        <w:right w:val="none" w:sz="0" w:space="0" w:color="auto"/>
      </w:divBdr>
    </w:div>
    <w:div w:id="856500391">
      <w:bodyDiv w:val="1"/>
      <w:marLeft w:val="0"/>
      <w:marRight w:val="0"/>
      <w:marTop w:val="0"/>
      <w:marBottom w:val="0"/>
      <w:divBdr>
        <w:top w:val="none" w:sz="0" w:space="0" w:color="auto"/>
        <w:left w:val="none" w:sz="0" w:space="0" w:color="auto"/>
        <w:bottom w:val="none" w:sz="0" w:space="0" w:color="auto"/>
        <w:right w:val="none" w:sz="0" w:space="0" w:color="auto"/>
      </w:divBdr>
    </w:div>
    <w:div w:id="872420316">
      <w:bodyDiv w:val="1"/>
      <w:marLeft w:val="0"/>
      <w:marRight w:val="0"/>
      <w:marTop w:val="0"/>
      <w:marBottom w:val="0"/>
      <w:divBdr>
        <w:top w:val="none" w:sz="0" w:space="0" w:color="auto"/>
        <w:left w:val="none" w:sz="0" w:space="0" w:color="auto"/>
        <w:bottom w:val="none" w:sz="0" w:space="0" w:color="auto"/>
        <w:right w:val="none" w:sz="0" w:space="0" w:color="auto"/>
      </w:divBdr>
      <w:divsChild>
        <w:div w:id="437795689">
          <w:marLeft w:val="0"/>
          <w:marRight w:val="0"/>
          <w:marTop w:val="0"/>
          <w:marBottom w:val="0"/>
          <w:divBdr>
            <w:top w:val="none" w:sz="0" w:space="0" w:color="auto"/>
            <w:left w:val="none" w:sz="0" w:space="0" w:color="auto"/>
            <w:bottom w:val="none" w:sz="0" w:space="0" w:color="auto"/>
            <w:right w:val="none" w:sz="0" w:space="0" w:color="auto"/>
          </w:divBdr>
          <w:divsChild>
            <w:div w:id="1334647921">
              <w:marLeft w:val="0"/>
              <w:marRight w:val="0"/>
              <w:marTop w:val="0"/>
              <w:marBottom w:val="0"/>
              <w:divBdr>
                <w:top w:val="none" w:sz="0" w:space="0" w:color="auto"/>
                <w:left w:val="none" w:sz="0" w:space="0" w:color="auto"/>
                <w:bottom w:val="none" w:sz="0" w:space="0" w:color="auto"/>
                <w:right w:val="none" w:sz="0" w:space="0" w:color="auto"/>
              </w:divBdr>
              <w:divsChild>
                <w:div w:id="10793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064123">
      <w:bodyDiv w:val="1"/>
      <w:marLeft w:val="0"/>
      <w:marRight w:val="0"/>
      <w:marTop w:val="0"/>
      <w:marBottom w:val="0"/>
      <w:divBdr>
        <w:top w:val="none" w:sz="0" w:space="0" w:color="auto"/>
        <w:left w:val="none" w:sz="0" w:space="0" w:color="auto"/>
        <w:bottom w:val="none" w:sz="0" w:space="0" w:color="auto"/>
        <w:right w:val="none" w:sz="0" w:space="0" w:color="auto"/>
      </w:divBdr>
    </w:div>
    <w:div w:id="913704802">
      <w:bodyDiv w:val="1"/>
      <w:marLeft w:val="0"/>
      <w:marRight w:val="0"/>
      <w:marTop w:val="0"/>
      <w:marBottom w:val="0"/>
      <w:divBdr>
        <w:top w:val="none" w:sz="0" w:space="0" w:color="auto"/>
        <w:left w:val="none" w:sz="0" w:space="0" w:color="auto"/>
        <w:bottom w:val="none" w:sz="0" w:space="0" w:color="auto"/>
        <w:right w:val="none" w:sz="0" w:space="0" w:color="auto"/>
      </w:divBdr>
      <w:divsChild>
        <w:div w:id="1599293263">
          <w:marLeft w:val="0"/>
          <w:marRight w:val="0"/>
          <w:marTop w:val="0"/>
          <w:marBottom w:val="0"/>
          <w:divBdr>
            <w:top w:val="none" w:sz="0" w:space="0" w:color="auto"/>
            <w:left w:val="none" w:sz="0" w:space="0" w:color="auto"/>
            <w:bottom w:val="none" w:sz="0" w:space="0" w:color="auto"/>
            <w:right w:val="none" w:sz="0" w:space="0" w:color="auto"/>
          </w:divBdr>
          <w:divsChild>
            <w:div w:id="599021236">
              <w:marLeft w:val="0"/>
              <w:marRight w:val="0"/>
              <w:marTop w:val="0"/>
              <w:marBottom w:val="0"/>
              <w:divBdr>
                <w:top w:val="none" w:sz="0" w:space="0" w:color="auto"/>
                <w:left w:val="none" w:sz="0" w:space="0" w:color="auto"/>
                <w:bottom w:val="none" w:sz="0" w:space="0" w:color="auto"/>
                <w:right w:val="none" w:sz="0" w:space="0" w:color="auto"/>
              </w:divBdr>
              <w:divsChild>
                <w:div w:id="118878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443280">
      <w:bodyDiv w:val="1"/>
      <w:marLeft w:val="0"/>
      <w:marRight w:val="0"/>
      <w:marTop w:val="0"/>
      <w:marBottom w:val="0"/>
      <w:divBdr>
        <w:top w:val="none" w:sz="0" w:space="0" w:color="auto"/>
        <w:left w:val="none" w:sz="0" w:space="0" w:color="auto"/>
        <w:bottom w:val="none" w:sz="0" w:space="0" w:color="auto"/>
        <w:right w:val="none" w:sz="0" w:space="0" w:color="auto"/>
      </w:divBdr>
      <w:divsChild>
        <w:div w:id="1672681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9654687">
      <w:bodyDiv w:val="1"/>
      <w:marLeft w:val="0"/>
      <w:marRight w:val="0"/>
      <w:marTop w:val="0"/>
      <w:marBottom w:val="0"/>
      <w:divBdr>
        <w:top w:val="none" w:sz="0" w:space="0" w:color="auto"/>
        <w:left w:val="none" w:sz="0" w:space="0" w:color="auto"/>
        <w:bottom w:val="none" w:sz="0" w:space="0" w:color="auto"/>
        <w:right w:val="none" w:sz="0" w:space="0" w:color="auto"/>
      </w:divBdr>
    </w:div>
    <w:div w:id="980814916">
      <w:bodyDiv w:val="1"/>
      <w:marLeft w:val="0"/>
      <w:marRight w:val="0"/>
      <w:marTop w:val="0"/>
      <w:marBottom w:val="0"/>
      <w:divBdr>
        <w:top w:val="none" w:sz="0" w:space="0" w:color="auto"/>
        <w:left w:val="none" w:sz="0" w:space="0" w:color="auto"/>
        <w:bottom w:val="none" w:sz="0" w:space="0" w:color="auto"/>
        <w:right w:val="none" w:sz="0" w:space="0" w:color="auto"/>
      </w:divBdr>
    </w:div>
    <w:div w:id="1004086324">
      <w:bodyDiv w:val="1"/>
      <w:marLeft w:val="0"/>
      <w:marRight w:val="0"/>
      <w:marTop w:val="0"/>
      <w:marBottom w:val="0"/>
      <w:divBdr>
        <w:top w:val="none" w:sz="0" w:space="0" w:color="auto"/>
        <w:left w:val="none" w:sz="0" w:space="0" w:color="auto"/>
        <w:bottom w:val="none" w:sz="0" w:space="0" w:color="auto"/>
        <w:right w:val="none" w:sz="0" w:space="0" w:color="auto"/>
      </w:divBdr>
    </w:div>
    <w:div w:id="1064909407">
      <w:bodyDiv w:val="1"/>
      <w:marLeft w:val="0"/>
      <w:marRight w:val="0"/>
      <w:marTop w:val="0"/>
      <w:marBottom w:val="0"/>
      <w:divBdr>
        <w:top w:val="none" w:sz="0" w:space="0" w:color="auto"/>
        <w:left w:val="none" w:sz="0" w:space="0" w:color="auto"/>
        <w:bottom w:val="none" w:sz="0" w:space="0" w:color="auto"/>
        <w:right w:val="none" w:sz="0" w:space="0" w:color="auto"/>
      </w:divBdr>
      <w:divsChild>
        <w:div w:id="1850176045">
          <w:marLeft w:val="0"/>
          <w:marRight w:val="0"/>
          <w:marTop w:val="0"/>
          <w:marBottom w:val="0"/>
          <w:divBdr>
            <w:top w:val="none" w:sz="0" w:space="0" w:color="auto"/>
            <w:left w:val="none" w:sz="0" w:space="0" w:color="auto"/>
            <w:bottom w:val="none" w:sz="0" w:space="0" w:color="auto"/>
            <w:right w:val="none" w:sz="0" w:space="0" w:color="auto"/>
          </w:divBdr>
          <w:divsChild>
            <w:div w:id="286621594">
              <w:marLeft w:val="0"/>
              <w:marRight w:val="0"/>
              <w:marTop w:val="0"/>
              <w:marBottom w:val="0"/>
              <w:divBdr>
                <w:top w:val="none" w:sz="0" w:space="0" w:color="auto"/>
                <w:left w:val="none" w:sz="0" w:space="0" w:color="auto"/>
                <w:bottom w:val="none" w:sz="0" w:space="0" w:color="auto"/>
                <w:right w:val="none" w:sz="0" w:space="0" w:color="auto"/>
              </w:divBdr>
              <w:divsChild>
                <w:div w:id="86016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389573">
      <w:bodyDiv w:val="1"/>
      <w:marLeft w:val="0"/>
      <w:marRight w:val="0"/>
      <w:marTop w:val="0"/>
      <w:marBottom w:val="0"/>
      <w:divBdr>
        <w:top w:val="none" w:sz="0" w:space="0" w:color="auto"/>
        <w:left w:val="none" w:sz="0" w:space="0" w:color="auto"/>
        <w:bottom w:val="none" w:sz="0" w:space="0" w:color="auto"/>
        <w:right w:val="none" w:sz="0" w:space="0" w:color="auto"/>
      </w:divBdr>
      <w:divsChild>
        <w:div w:id="2026055020">
          <w:marLeft w:val="0"/>
          <w:marRight w:val="0"/>
          <w:marTop w:val="0"/>
          <w:marBottom w:val="0"/>
          <w:divBdr>
            <w:top w:val="none" w:sz="0" w:space="0" w:color="auto"/>
            <w:left w:val="none" w:sz="0" w:space="0" w:color="auto"/>
            <w:bottom w:val="none" w:sz="0" w:space="0" w:color="auto"/>
            <w:right w:val="none" w:sz="0" w:space="0" w:color="auto"/>
          </w:divBdr>
          <w:divsChild>
            <w:div w:id="315837165">
              <w:marLeft w:val="0"/>
              <w:marRight w:val="0"/>
              <w:marTop w:val="0"/>
              <w:marBottom w:val="0"/>
              <w:divBdr>
                <w:top w:val="none" w:sz="0" w:space="0" w:color="auto"/>
                <w:left w:val="none" w:sz="0" w:space="0" w:color="auto"/>
                <w:bottom w:val="none" w:sz="0" w:space="0" w:color="auto"/>
                <w:right w:val="none" w:sz="0" w:space="0" w:color="auto"/>
              </w:divBdr>
              <w:divsChild>
                <w:div w:id="113930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072952">
          <w:marLeft w:val="0"/>
          <w:marRight w:val="0"/>
          <w:marTop w:val="0"/>
          <w:marBottom w:val="0"/>
          <w:divBdr>
            <w:top w:val="none" w:sz="0" w:space="0" w:color="auto"/>
            <w:left w:val="none" w:sz="0" w:space="0" w:color="auto"/>
            <w:bottom w:val="none" w:sz="0" w:space="0" w:color="auto"/>
            <w:right w:val="none" w:sz="0" w:space="0" w:color="auto"/>
          </w:divBdr>
          <w:divsChild>
            <w:div w:id="1947342246">
              <w:marLeft w:val="0"/>
              <w:marRight w:val="0"/>
              <w:marTop w:val="0"/>
              <w:marBottom w:val="0"/>
              <w:divBdr>
                <w:top w:val="none" w:sz="0" w:space="0" w:color="auto"/>
                <w:left w:val="none" w:sz="0" w:space="0" w:color="auto"/>
                <w:bottom w:val="none" w:sz="0" w:space="0" w:color="auto"/>
                <w:right w:val="none" w:sz="0" w:space="0" w:color="auto"/>
              </w:divBdr>
              <w:divsChild>
                <w:div w:id="8249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193175">
      <w:bodyDiv w:val="1"/>
      <w:marLeft w:val="0"/>
      <w:marRight w:val="0"/>
      <w:marTop w:val="0"/>
      <w:marBottom w:val="0"/>
      <w:divBdr>
        <w:top w:val="none" w:sz="0" w:space="0" w:color="auto"/>
        <w:left w:val="none" w:sz="0" w:space="0" w:color="auto"/>
        <w:bottom w:val="none" w:sz="0" w:space="0" w:color="auto"/>
        <w:right w:val="none" w:sz="0" w:space="0" w:color="auto"/>
      </w:divBdr>
    </w:div>
    <w:div w:id="1362435868">
      <w:bodyDiv w:val="1"/>
      <w:marLeft w:val="0"/>
      <w:marRight w:val="0"/>
      <w:marTop w:val="0"/>
      <w:marBottom w:val="0"/>
      <w:divBdr>
        <w:top w:val="none" w:sz="0" w:space="0" w:color="auto"/>
        <w:left w:val="none" w:sz="0" w:space="0" w:color="auto"/>
        <w:bottom w:val="none" w:sz="0" w:space="0" w:color="auto"/>
        <w:right w:val="none" w:sz="0" w:space="0" w:color="auto"/>
      </w:divBdr>
    </w:div>
    <w:div w:id="1389841165">
      <w:bodyDiv w:val="1"/>
      <w:marLeft w:val="0"/>
      <w:marRight w:val="0"/>
      <w:marTop w:val="0"/>
      <w:marBottom w:val="0"/>
      <w:divBdr>
        <w:top w:val="none" w:sz="0" w:space="0" w:color="auto"/>
        <w:left w:val="none" w:sz="0" w:space="0" w:color="auto"/>
        <w:bottom w:val="none" w:sz="0" w:space="0" w:color="auto"/>
        <w:right w:val="none" w:sz="0" w:space="0" w:color="auto"/>
      </w:divBdr>
      <w:divsChild>
        <w:div w:id="85424796">
          <w:marLeft w:val="0"/>
          <w:marRight w:val="0"/>
          <w:marTop w:val="0"/>
          <w:marBottom w:val="0"/>
          <w:divBdr>
            <w:top w:val="none" w:sz="0" w:space="0" w:color="auto"/>
            <w:left w:val="none" w:sz="0" w:space="0" w:color="auto"/>
            <w:bottom w:val="none" w:sz="0" w:space="0" w:color="auto"/>
            <w:right w:val="none" w:sz="0" w:space="0" w:color="auto"/>
          </w:divBdr>
          <w:divsChild>
            <w:div w:id="1836415588">
              <w:marLeft w:val="0"/>
              <w:marRight w:val="0"/>
              <w:marTop w:val="0"/>
              <w:marBottom w:val="0"/>
              <w:divBdr>
                <w:top w:val="none" w:sz="0" w:space="0" w:color="auto"/>
                <w:left w:val="none" w:sz="0" w:space="0" w:color="auto"/>
                <w:bottom w:val="none" w:sz="0" w:space="0" w:color="auto"/>
                <w:right w:val="none" w:sz="0" w:space="0" w:color="auto"/>
              </w:divBdr>
              <w:divsChild>
                <w:div w:id="54075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230028">
      <w:bodyDiv w:val="1"/>
      <w:marLeft w:val="0"/>
      <w:marRight w:val="0"/>
      <w:marTop w:val="0"/>
      <w:marBottom w:val="0"/>
      <w:divBdr>
        <w:top w:val="none" w:sz="0" w:space="0" w:color="auto"/>
        <w:left w:val="none" w:sz="0" w:space="0" w:color="auto"/>
        <w:bottom w:val="none" w:sz="0" w:space="0" w:color="auto"/>
        <w:right w:val="none" w:sz="0" w:space="0" w:color="auto"/>
      </w:divBdr>
      <w:divsChild>
        <w:div w:id="1637830147">
          <w:marLeft w:val="0"/>
          <w:marRight w:val="0"/>
          <w:marTop w:val="0"/>
          <w:marBottom w:val="0"/>
          <w:divBdr>
            <w:top w:val="none" w:sz="0" w:space="0" w:color="auto"/>
            <w:left w:val="none" w:sz="0" w:space="0" w:color="auto"/>
            <w:bottom w:val="none" w:sz="0" w:space="0" w:color="auto"/>
            <w:right w:val="none" w:sz="0" w:space="0" w:color="auto"/>
          </w:divBdr>
          <w:divsChild>
            <w:div w:id="515920364">
              <w:marLeft w:val="0"/>
              <w:marRight w:val="0"/>
              <w:marTop w:val="0"/>
              <w:marBottom w:val="0"/>
              <w:divBdr>
                <w:top w:val="none" w:sz="0" w:space="0" w:color="auto"/>
                <w:left w:val="none" w:sz="0" w:space="0" w:color="auto"/>
                <w:bottom w:val="none" w:sz="0" w:space="0" w:color="auto"/>
                <w:right w:val="none" w:sz="0" w:space="0" w:color="auto"/>
              </w:divBdr>
              <w:divsChild>
                <w:div w:id="12298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700488">
      <w:bodyDiv w:val="1"/>
      <w:marLeft w:val="0"/>
      <w:marRight w:val="0"/>
      <w:marTop w:val="0"/>
      <w:marBottom w:val="0"/>
      <w:divBdr>
        <w:top w:val="none" w:sz="0" w:space="0" w:color="auto"/>
        <w:left w:val="none" w:sz="0" w:space="0" w:color="auto"/>
        <w:bottom w:val="none" w:sz="0" w:space="0" w:color="auto"/>
        <w:right w:val="none" w:sz="0" w:space="0" w:color="auto"/>
      </w:divBdr>
    </w:div>
    <w:div w:id="1488859954">
      <w:bodyDiv w:val="1"/>
      <w:marLeft w:val="0"/>
      <w:marRight w:val="0"/>
      <w:marTop w:val="0"/>
      <w:marBottom w:val="0"/>
      <w:divBdr>
        <w:top w:val="none" w:sz="0" w:space="0" w:color="auto"/>
        <w:left w:val="none" w:sz="0" w:space="0" w:color="auto"/>
        <w:bottom w:val="none" w:sz="0" w:space="0" w:color="auto"/>
        <w:right w:val="none" w:sz="0" w:space="0" w:color="auto"/>
      </w:divBdr>
      <w:divsChild>
        <w:div w:id="168834331">
          <w:marLeft w:val="0"/>
          <w:marRight w:val="0"/>
          <w:marTop w:val="0"/>
          <w:marBottom w:val="0"/>
          <w:divBdr>
            <w:top w:val="none" w:sz="0" w:space="0" w:color="auto"/>
            <w:left w:val="none" w:sz="0" w:space="0" w:color="auto"/>
            <w:bottom w:val="none" w:sz="0" w:space="0" w:color="auto"/>
            <w:right w:val="none" w:sz="0" w:space="0" w:color="auto"/>
          </w:divBdr>
          <w:divsChild>
            <w:div w:id="992291523">
              <w:marLeft w:val="0"/>
              <w:marRight w:val="0"/>
              <w:marTop w:val="0"/>
              <w:marBottom w:val="0"/>
              <w:divBdr>
                <w:top w:val="none" w:sz="0" w:space="0" w:color="auto"/>
                <w:left w:val="none" w:sz="0" w:space="0" w:color="auto"/>
                <w:bottom w:val="none" w:sz="0" w:space="0" w:color="auto"/>
                <w:right w:val="none" w:sz="0" w:space="0" w:color="auto"/>
              </w:divBdr>
              <w:divsChild>
                <w:div w:id="125104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952328">
      <w:bodyDiv w:val="1"/>
      <w:marLeft w:val="0"/>
      <w:marRight w:val="0"/>
      <w:marTop w:val="0"/>
      <w:marBottom w:val="0"/>
      <w:divBdr>
        <w:top w:val="none" w:sz="0" w:space="0" w:color="auto"/>
        <w:left w:val="none" w:sz="0" w:space="0" w:color="auto"/>
        <w:bottom w:val="none" w:sz="0" w:space="0" w:color="auto"/>
        <w:right w:val="none" w:sz="0" w:space="0" w:color="auto"/>
      </w:divBdr>
    </w:div>
    <w:div w:id="1555505950">
      <w:bodyDiv w:val="1"/>
      <w:marLeft w:val="0"/>
      <w:marRight w:val="0"/>
      <w:marTop w:val="0"/>
      <w:marBottom w:val="0"/>
      <w:divBdr>
        <w:top w:val="none" w:sz="0" w:space="0" w:color="auto"/>
        <w:left w:val="none" w:sz="0" w:space="0" w:color="auto"/>
        <w:bottom w:val="none" w:sz="0" w:space="0" w:color="auto"/>
        <w:right w:val="none" w:sz="0" w:space="0" w:color="auto"/>
      </w:divBdr>
      <w:divsChild>
        <w:div w:id="52892232">
          <w:marLeft w:val="0"/>
          <w:marRight w:val="0"/>
          <w:marTop w:val="0"/>
          <w:marBottom w:val="0"/>
          <w:divBdr>
            <w:top w:val="none" w:sz="0" w:space="0" w:color="auto"/>
            <w:left w:val="none" w:sz="0" w:space="0" w:color="auto"/>
            <w:bottom w:val="none" w:sz="0" w:space="0" w:color="auto"/>
            <w:right w:val="none" w:sz="0" w:space="0" w:color="auto"/>
          </w:divBdr>
          <w:divsChild>
            <w:div w:id="1053963945">
              <w:marLeft w:val="0"/>
              <w:marRight w:val="0"/>
              <w:marTop w:val="0"/>
              <w:marBottom w:val="0"/>
              <w:divBdr>
                <w:top w:val="none" w:sz="0" w:space="0" w:color="auto"/>
                <w:left w:val="none" w:sz="0" w:space="0" w:color="auto"/>
                <w:bottom w:val="none" w:sz="0" w:space="0" w:color="auto"/>
                <w:right w:val="none" w:sz="0" w:space="0" w:color="auto"/>
              </w:divBdr>
              <w:divsChild>
                <w:div w:id="1452554973">
                  <w:marLeft w:val="0"/>
                  <w:marRight w:val="0"/>
                  <w:marTop w:val="0"/>
                  <w:marBottom w:val="0"/>
                  <w:divBdr>
                    <w:top w:val="none" w:sz="0" w:space="0" w:color="auto"/>
                    <w:left w:val="none" w:sz="0" w:space="0" w:color="auto"/>
                    <w:bottom w:val="none" w:sz="0" w:space="0" w:color="auto"/>
                    <w:right w:val="none" w:sz="0" w:space="0" w:color="auto"/>
                  </w:divBdr>
                  <w:divsChild>
                    <w:div w:id="138945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440584">
      <w:bodyDiv w:val="1"/>
      <w:marLeft w:val="0"/>
      <w:marRight w:val="0"/>
      <w:marTop w:val="0"/>
      <w:marBottom w:val="0"/>
      <w:divBdr>
        <w:top w:val="none" w:sz="0" w:space="0" w:color="auto"/>
        <w:left w:val="none" w:sz="0" w:space="0" w:color="auto"/>
        <w:bottom w:val="none" w:sz="0" w:space="0" w:color="auto"/>
        <w:right w:val="none" w:sz="0" w:space="0" w:color="auto"/>
      </w:divBdr>
      <w:divsChild>
        <w:div w:id="60107601">
          <w:marLeft w:val="0"/>
          <w:marRight w:val="0"/>
          <w:marTop w:val="0"/>
          <w:marBottom w:val="0"/>
          <w:divBdr>
            <w:top w:val="none" w:sz="0" w:space="0" w:color="auto"/>
            <w:left w:val="none" w:sz="0" w:space="0" w:color="auto"/>
            <w:bottom w:val="none" w:sz="0" w:space="0" w:color="auto"/>
            <w:right w:val="none" w:sz="0" w:space="0" w:color="auto"/>
          </w:divBdr>
          <w:divsChild>
            <w:div w:id="1175805515">
              <w:marLeft w:val="0"/>
              <w:marRight w:val="0"/>
              <w:marTop w:val="0"/>
              <w:marBottom w:val="0"/>
              <w:divBdr>
                <w:top w:val="none" w:sz="0" w:space="0" w:color="auto"/>
                <w:left w:val="none" w:sz="0" w:space="0" w:color="auto"/>
                <w:bottom w:val="none" w:sz="0" w:space="0" w:color="auto"/>
                <w:right w:val="none" w:sz="0" w:space="0" w:color="auto"/>
              </w:divBdr>
              <w:divsChild>
                <w:div w:id="92068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713929">
      <w:bodyDiv w:val="1"/>
      <w:marLeft w:val="0"/>
      <w:marRight w:val="0"/>
      <w:marTop w:val="0"/>
      <w:marBottom w:val="0"/>
      <w:divBdr>
        <w:top w:val="none" w:sz="0" w:space="0" w:color="auto"/>
        <w:left w:val="none" w:sz="0" w:space="0" w:color="auto"/>
        <w:bottom w:val="none" w:sz="0" w:space="0" w:color="auto"/>
        <w:right w:val="none" w:sz="0" w:space="0" w:color="auto"/>
      </w:divBdr>
    </w:div>
    <w:div w:id="1641381178">
      <w:bodyDiv w:val="1"/>
      <w:marLeft w:val="0"/>
      <w:marRight w:val="0"/>
      <w:marTop w:val="0"/>
      <w:marBottom w:val="0"/>
      <w:divBdr>
        <w:top w:val="none" w:sz="0" w:space="0" w:color="auto"/>
        <w:left w:val="none" w:sz="0" w:space="0" w:color="auto"/>
        <w:bottom w:val="none" w:sz="0" w:space="0" w:color="auto"/>
        <w:right w:val="none" w:sz="0" w:space="0" w:color="auto"/>
      </w:divBdr>
      <w:divsChild>
        <w:div w:id="1381244709">
          <w:marLeft w:val="0"/>
          <w:marRight w:val="0"/>
          <w:marTop w:val="0"/>
          <w:marBottom w:val="0"/>
          <w:divBdr>
            <w:top w:val="none" w:sz="0" w:space="0" w:color="auto"/>
            <w:left w:val="none" w:sz="0" w:space="0" w:color="auto"/>
            <w:bottom w:val="none" w:sz="0" w:space="0" w:color="auto"/>
            <w:right w:val="none" w:sz="0" w:space="0" w:color="auto"/>
          </w:divBdr>
          <w:divsChild>
            <w:div w:id="1435906877">
              <w:marLeft w:val="0"/>
              <w:marRight w:val="0"/>
              <w:marTop w:val="0"/>
              <w:marBottom w:val="0"/>
              <w:divBdr>
                <w:top w:val="none" w:sz="0" w:space="0" w:color="auto"/>
                <w:left w:val="none" w:sz="0" w:space="0" w:color="auto"/>
                <w:bottom w:val="none" w:sz="0" w:space="0" w:color="auto"/>
                <w:right w:val="none" w:sz="0" w:space="0" w:color="auto"/>
              </w:divBdr>
              <w:divsChild>
                <w:div w:id="22518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420667">
          <w:marLeft w:val="0"/>
          <w:marRight w:val="0"/>
          <w:marTop w:val="0"/>
          <w:marBottom w:val="0"/>
          <w:divBdr>
            <w:top w:val="none" w:sz="0" w:space="0" w:color="auto"/>
            <w:left w:val="none" w:sz="0" w:space="0" w:color="auto"/>
            <w:bottom w:val="none" w:sz="0" w:space="0" w:color="auto"/>
            <w:right w:val="none" w:sz="0" w:space="0" w:color="auto"/>
          </w:divBdr>
          <w:divsChild>
            <w:div w:id="1958827831">
              <w:marLeft w:val="0"/>
              <w:marRight w:val="0"/>
              <w:marTop w:val="0"/>
              <w:marBottom w:val="0"/>
              <w:divBdr>
                <w:top w:val="none" w:sz="0" w:space="0" w:color="auto"/>
                <w:left w:val="none" w:sz="0" w:space="0" w:color="auto"/>
                <w:bottom w:val="none" w:sz="0" w:space="0" w:color="auto"/>
                <w:right w:val="none" w:sz="0" w:space="0" w:color="auto"/>
              </w:divBdr>
              <w:divsChild>
                <w:div w:id="143177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725760">
      <w:bodyDiv w:val="1"/>
      <w:marLeft w:val="0"/>
      <w:marRight w:val="0"/>
      <w:marTop w:val="0"/>
      <w:marBottom w:val="0"/>
      <w:divBdr>
        <w:top w:val="none" w:sz="0" w:space="0" w:color="auto"/>
        <w:left w:val="none" w:sz="0" w:space="0" w:color="auto"/>
        <w:bottom w:val="none" w:sz="0" w:space="0" w:color="auto"/>
        <w:right w:val="none" w:sz="0" w:space="0" w:color="auto"/>
      </w:divBdr>
      <w:divsChild>
        <w:div w:id="283270793">
          <w:marLeft w:val="0"/>
          <w:marRight w:val="0"/>
          <w:marTop w:val="0"/>
          <w:marBottom w:val="0"/>
          <w:divBdr>
            <w:top w:val="none" w:sz="0" w:space="0" w:color="auto"/>
            <w:left w:val="none" w:sz="0" w:space="0" w:color="auto"/>
            <w:bottom w:val="none" w:sz="0" w:space="0" w:color="auto"/>
            <w:right w:val="none" w:sz="0" w:space="0" w:color="auto"/>
          </w:divBdr>
          <w:divsChild>
            <w:div w:id="1363434149">
              <w:marLeft w:val="0"/>
              <w:marRight w:val="0"/>
              <w:marTop w:val="0"/>
              <w:marBottom w:val="0"/>
              <w:divBdr>
                <w:top w:val="none" w:sz="0" w:space="0" w:color="auto"/>
                <w:left w:val="none" w:sz="0" w:space="0" w:color="auto"/>
                <w:bottom w:val="none" w:sz="0" w:space="0" w:color="auto"/>
                <w:right w:val="none" w:sz="0" w:space="0" w:color="auto"/>
              </w:divBdr>
              <w:divsChild>
                <w:div w:id="296571138">
                  <w:marLeft w:val="0"/>
                  <w:marRight w:val="0"/>
                  <w:marTop w:val="0"/>
                  <w:marBottom w:val="0"/>
                  <w:divBdr>
                    <w:top w:val="none" w:sz="0" w:space="0" w:color="auto"/>
                    <w:left w:val="none" w:sz="0" w:space="0" w:color="auto"/>
                    <w:bottom w:val="none" w:sz="0" w:space="0" w:color="auto"/>
                    <w:right w:val="none" w:sz="0" w:space="0" w:color="auto"/>
                  </w:divBdr>
                  <w:divsChild>
                    <w:div w:id="206991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034416">
      <w:bodyDiv w:val="1"/>
      <w:marLeft w:val="0"/>
      <w:marRight w:val="0"/>
      <w:marTop w:val="0"/>
      <w:marBottom w:val="0"/>
      <w:divBdr>
        <w:top w:val="none" w:sz="0" w:space="0" w:color="auto"/>
        <w:left w:val="none" w:sz="0" w:space="0" w:color="auto"/>
        <w:bottom w:val="none" w:sz="0" w:space="0" w:color="auto"/>
        <w:right w:val="none" w:sz="0" w:space="0" w:color="auto"/>
      </w:divBdr>
      <w:divsChild>
        <w:div w:id="1154905732">
          <w:marLeft w:val="0"/>
          <w:marRight w:val="0"/>
          <w:marTop w:val="0"/>
          <w:marBottom w:val="0"/>
          <w:divBdr>
            <w:top w:val="none" w:sz="0" w:space="0" w:color="auto"/>
            <w:left w:val="none" w:sz="0" w:space="0" w:color="auto"/>
            <w:bottom w:val="none" w:sz="0" w:space="0" w:color="auto"/>
            <w:right w:val="none" w:sz="0" w:space="0" w:color="auto"/>
          </w:divBdr>
          <w:divsChild>
            <w:div w:id="1987585479">
              <w:marLeft w:val="0"/>
              <w:marRight w:val="0"/>
              <w:marTop w:val="0"/>
              <w:marBottom w:val="0"/>
              <w:divBdr>
                <w:top w:val="none" w:sz="0" w:space="0" w:color="auto"/>
                <w:left w:val="none" w:sz="0" w:space="0" w:color="auto"/>
                <w:bottom w:val="none" w:sz="0" w:space="0" w:color="auto"/>
                <w:right w:val="none" w:sz="0" w:space="0" w:color="auto"/>
              </w:divBdr>
              <w:divsChild>
                <w:div w:id="93679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93299">
      <w:bodyDiv w:val="1"/>
      <w:marLeft w:val="0"/>
      <w:marRight w:val="0"/>
      <w:marTop w:val="0"/>
      <w:marBottom w:val="0"/>
      <w:divBdr>
        <w:top w:val="none" w:sz="0" w:space="0" w:color="auto"/>
        <w:left w:val="none" w:sz="0" w:space="0" w:color="auto"/>
        <w:bottom w:val="none" w:sz="0" w:space="0" w:color="auto"/>
        <w:right w:val="none" w:sz="0" w:space="0" w:color="auto"/>
      </w:divBdr>
      <w:divsChild>
        <w:div w:id="951665261">
          <w:marLeft w:val="0"/>
          <w:marRight w:val="0"/>
          <w:marTop w:val="0"/>
          <w:marBottom w:val="0"/>
          <w:divBdr>
            <w:top w:val="none" w:sz="0" w:space="0" w:color="auto"/>
            <w:left w:val="none" w:sz="0" w:space="0" w:color="auto"/>
            <w:bottom w:val="none" w:sz="0" w:space="0" w:color="auto"/>
            <w:right w:val="none" w:sz="0" w:space="0" w:color="auto"/>
          </w:divBdr>
          <w:divsChild>
            <w:div w:id="289096773">
              <w:marLeft w:val="0"/>
              <w:marRight w:val="0"/>
              <w:marTop w:val="0"/>
              <w:marBottom w:val="0"/>
              <w:divBdr>
                <w:top w:val="none" w:sz="0" w:space="0" w:color="auto"/>
                <w:left w:val="none" w:sz="0" w:space="0" w:color="auto"/>
                <w:bottom w:val="none" w:sz="0" w:space="0" w:color="auto"/>
                <w:right w:val="none" w:sz="0" w:space="0" w:color="auto"/>
              </w:divBdr>
              <w:divsChild>
                <w:div w:id="195712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04140">
      <w:bodyDiv w:val="1"/>
      <w:marLeft w:val="0"/>
      <w:marRight w:val="0"/>
      <w:marTop w:val="0"/>
      <w:marBottom w:val="0"/>
      <w:divBdr>
        <w:top w:val="none" w:sz="0" w:space="0" w:color="auto"/>
        <w:left w:val="none" w:sz="0" w:space="0" w:color="auto"/>
        <w:bottom w:val="none" w:sz="0" w:space="0" w:color="auto"/>
        <w:right w:val="none" w:sz="0" w:space="0" w:color="auto"/>
      </w:divBdr>
      <w:divsChild>
        <w:div w:id="1143766204">
          <w:marLeft w:val="0"/>
          <w:marRight w:val="0"/>
          <w:marTop w:val="0"/>
          <w:marBottom w:val="0"/>
          <w:divBdr>
            <w:top w:val="none" w:sz="0" w:space="0" w:color="auto"/>
            <w:left w:val="none" w:sz="0" w:space="0" w:color="auto"/>
            <w:bottom w:val="none" w:sz="0" w:space="0" w:color="auto"/>
            <w:right w:val="none" w:sz="0" w:space="0" w:color="auto"/>
          </w:divBdr>
          <w:divsChild>
            <w:div w:id="668026780">
              <w:marLeft w:val="0"/>
              <w:marRight w:val="0"/>
              <w:marTop w:val="0"/>
              <w:marBottom w:val="0"/>
              <w:divBdr>
                <w:top w:val="none" w:sz="0" w:space="0" w:color="auto"/>
                <w:left w:val="none" w:sz="0" w:space="0" w:color="auto"/>
                <w:bottom w:val="none" w:sz="0" w:space="0" w:color="auto"/>
                <w:right w:val="none" w:sz="0" w:space="0" w:color="auto"/>
              </w:divBdr>
              <w:divsChild>
                <w:div w:id="1289818057">
                  <w:marLeft w:val="0"/>
                  <w:marRight w:val="0"/>
                  <w:marTop w:val="0"/>
                  <w:marBottom w:val="0"/>
                  <w:divBdr>
                    <w:top w:val="none" w:sz="0" w:space="0" w:color="auto"/>
                    <w:left w:val="none" w:sz="0" w:space="0" w:color="auto"/>
                    <w:bottom w:val="none" w:sz="0" w:space="0" w:color="auto"/>
                    <w:right w:val="none" w:sz="0" w:space="0" w:color="auto"/>
                  </w:divBdr>
                  <w:divsChild>
                    <w:div w:id="4749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273827">
      <w:bodyDiv w:val="1"/>
      <w:marLeft w:val="0"/>
      <w:marRight w:val="0"/>
      <w:marTop w:val="0"/>
      <w:marBottom w:val="0"/>
      <w:divBdr>
        <w:top w:val="none" w:sz="0" w:space="0" w:color="auto"/>
        <w:left w:val="none" w:sz="0" w:space="0" w:color="auto"/>
        <w:bottom w:val="none" w:sz="0" w:space="0" w:color="auto"/>
        <w:right w:val="none" w:sz="0" w:space="0" w:color="auto"/>
      </w:divBdr>
      <w:divsChild>
        <w:div w:id="1659723648">
          <w:marLeft w:val="0"/>
          <w:marRight w:val="0"/>
          <w:marTop w:val="0"/>
          <w:marBottom w:val="0"/>
          <w:divBdr>
            <w:top w:val="none" w:sz="0" w:space="0" w:color="auto"/>
            <w:left w:val="none" w:sz="0" w:space="0" w:color="auto"/>
            <w:bottom w:val="none" w:sz="0" w:space="0" w:color="auto"/>
            <w:right w:val="none" w:sz="0" w:space="0" w:color="auto"/>
          </w:divBdr>
          <w:divsChild>
            <w:div w:id="2059738270">
              <w:marLeft w:val="0"/>
              <w:marRight w:val="0"/>
              <w:marTop w:val="0"/>
              <w:marBottom w:val="0"/>
              <w:divBdr>
                <w:top w:val="none" w:sz="0" w:space="0" w:color="auto"/>
                <w:left w:val="none" w:sz="0" w:space="0" w:color="auto"/>
                <w:bottom w:val="none" w:sz="0" w:space="0" w:color="auto"/>
                <w:right w:val="none" w:sz="0" w:space="0" w:color="auto"/>
              </w:divBdr>
              <w:divsChild>
                <w:div w:id="182219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528632">
      <w:bodyDiv w:val="1"/>
      <w:marLeft w:val="0"/>
      <w:marRight w:val="0"/>
      <w:marTop w:val="0"/>
      <w:marBottom w:val="0"/>
      <w:divBdr>
        <w:top w:val="none" w:sz="0" w:space="0" w:color="auto"/>
        <w:left w:val="none" w:sz="0" w:space="0" w:color="auto"/>
        <w:bottom w:val="none" w:sz="0" w:space="0" w:color="auto"/>
        <w:right w:val="none" w:sz="0" w:space="0" w:color="auto"/>
      </w:divBdr>
      <w:divsChild>
        <w:div w:id="315300992">
          <w:marLeft w:val="0"/>
          <w:marRight w:val="0"/>
          <w:marTop w:val="0"/>
          <w:marBottom w:val="0"/>
          <w:divBdr>
            <w:top w:val="none" w:sz="0" w:space="0" w:color="auto"/>
            <w:left w:val="none" w:sz="0" w:space="0" w:color="auto"/>
            <w:bottom w:val="none" w:sz="0" w:space="0" w:color="auto"/>
            <w:right w:val="none" w:sz="0" w:space="0" w:color="auto"/>
          </w:divBdr>
          <w:divsChild>
            <w:div w:id="551769698">
              <w:marLeft w:val="0"/>
              <w:marRight w:val="0"/>
              <w:marTop w:val="0"/>
              <w:marBottom w:val="0"/>
              <w:divBdr>
                <w:top w:val="none" w:sz="0" w:space="0" w:color="auto"/>
                <w:left w:val="none" w:sz="0" w:space="0" w:color="auto"/>
                <w:bottom w:val="none" w:sz="0" w:space="0" w:color="auto"/>
                <w:right w:val="none" w:sz="0" w:space="0" w:color="auto"/>
              </w:divBdr>
              <w:divsChild>
                <w:div w:id="173219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11130">
      <w:bodyDiv w:val="1"/>
      <w:marLeft w:val="0"/>
      <w:marRight w:val="0"/>
      <w:marTop w:val="0"/>
      <w:marBottom w:val="0"/>
      <w:divBdr>
        <w:top w:val="none" w:sz="0" w:space="0" w:color="auto"/>
        <w:left w:val="none" w:sz="0" w:space="0" w:color="auto"/>
        <w:bottom w:val="none" w:sz="0" w:space="0" w:color="auto"/>
        <w:right w:val="none" w:sz="0" w:space="0" w:color="auto"/>
      </w:divBdr>
      <w:divsChild>
        <w:div w:id="979455938">
          <w:marLeft w:val="0"/>
          <w:marRight w:val="0"/>
          <w:marTop w:val="0"/>
          <w:marBottom w:val="0"/>
          <w:divBdr>
            <w:top w:val="none" w:sz="0" w:space="0" w:color="auto"/>
            <w:left w:val="none" w:sz="0" w:space="0" w:color="auto"/>
            <w:bottom w:val="none" w:sz="0" w:space="0" w:color="auto"/>
            <w:right w:val="none" w:sz="0" w:space="0" w:color="auto"/>
          </w:divBdr>
          <w:divsChild>
            <w:div w:id="1729188594">
              <w:marLeft w:val="0"/>
              <w:marRight w:val="0"/>
              <w:marTop w:val="0"/>
              <w:marBottom w:val="0"/>
              <w:divBdr>
                <w:top w:val="none" w:sz="0" w:space="0" w:color="auto"/>
                <w:left w:val="none" w:sz="0" w:space="0" w:color="auto"/>
                <w:bottom w:val="none" w:sz="0" w:space="0" w:color="auto"/>
                <w:right w:val="none" w:sz="0" w:space="0" w:color="auto"/>
              </w:divBdr>
              <w:divsChild>
                <w:div w:id="129834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21646">
      <w:bodyDiv w:val="1"/>
      <w:marLeft w:val="0"/>
      <w:marRight w:val="0"/>
      <w:marTop w:val="0"/>
      <w:marBottom w:val="0"/>
      <w:divBdr>
        <w:top w:val="none" w:sz="0" w:space="0" w:color="auto"/>
        <w:left w:val="none" w:sz="0" w:space="0" w:color="auto"/>
        <w:bottom w:val="none" w:sz="0" w:space="0" w:color="auto"/>
        <w:right w:val="none" w:sz="0" w:space="0" w:color="auto"/>
      </w:divBdr>
    </w:div>
    <w:div w:id="1840925214">
      <w:bodyDiv w:val="1"/>
      <w:marLeft w:val="0"/>
      <w:marRight w:val="0"/>
      <w:marTop w:val="0"/>
      <w:marBottom w:val="0"/>
      <w:divBdr>
        <w:top w:val="none" w:sz="0" w:space="0" w:color="auto"/>
        <w:left w:val="none" w:sz="0" w:space="0" w:color="auto"/>
        <w:bottom w:val="none" w:sz="0" w:space="0" w:color="auto"/>
        <w:right w:val="none" w:sz="0" w:space="0" w:color="auto"/>
      </w:divBdr>
    </w:div>
    <w:div w:id="1864905023">
      <w:bodyDiv w:val="1"/>
      <w:marLeft w:val="0"/>
      <w:marRight w:val="0"/>
      <w:marTop w:val="0"/>
      <w:marBottom w:val="0"/>
      <w:divBdr>
        <w:top w:val="none" w:sz="0" w:space="0" w:color="auto"/>
        <w:left w:val="none" w:sz="0" w:space="0" w:color="auto"/>
        <w:bottom w:val="none" w:sz="0" w:space="0" w:color="auto"/>
        <w:right w:val="none" w:sz="0" w:space="0" w:color="auto"/>
      </w:divBdr>
    </w:div>
    <w:div w:id="1891960085">
      <w:bodyDiv w:val="1"/>
      <w:marLeft w:val="0"/>
      <w:marRight w:val="0"/>
      <w:marTop w:val="0"/>
      <w:marBottom w:val="0"/>
      <w:divBdr>
        <w:top w:val="none" w:sz="0" w:space="0" w:color="auto"/>
        <w:left w:val="none" w:sz="0" w:space="0" w:color="auto"/>
        <w:bottom w:val="none" w:sz="0" w:space="0" w:color="auto"/>
        <w:right w:val="none" w:sz="0" w:space="0" w:color="auto"/>
      </w:divBdr>
      <w:divsChild>
        <w:div w:id="322659815">
          <w:marLeft w:val="0"/>
          <w:marRight w:val="0"/>
          <w:marTop w:val="0"/>
          <w:marBottom w:val="0"/>
          <w:divBdr>
            <w:top w:val="none" w:sz="0" w:space="0" w:color="auto"/>
            <w:left w:val="none" w:sz="0" w:space="0" w:color="auto"/>
            <w:bottom w:val="none" w:sz="0" w:space="0" w:color="auto"/>
            <w:right w:val="none" w:sz="0" w:space="0" w:color="auto"/>
          </w:divBdr>
          <w:divsChild>
            <w:div w:id="596409223">
              <w:marLeft w:val="0"/>
              <w:marRight w:val="0"/>
              <w:marTop w:val="0"/>
              <w:marBottom w:val="0"/>
              <w:divBdr>
                <w:top w:val="none" w:sz="0" w:space="0" w:color="auto"/>
                <w:left w:val="none" w:sz="0" w:space="0" w:color="auto"/>
                <w:bottom w:val="none" w:sz="0" w:space="0" w:color="auto"/>
                <w:right w:val="none" w:sz="0" w:space="0" w:color="auto"/>
              </w:divBdr>
              <w:divsChild>
                <w:div w:id="94326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574063">
      <w:bodyDiv w:val="1"/>
      <w:marLeft w:val="0"/>
      <w:marRight w:val="0"/>
      <w:marTop w:val="0"/>
      <w:marBottom w:val="0"/>
      <w:divBdr>
        <w:top w:val="none" w:sz="0" w:space="0" w:color="auto"/>
        <w:left w:val="none" w:sz="0" w:space="0" w:color="auto"/>
        <w:bottom w:val="none" w:sz="0" w:space="0" w:color="auto"/>
        <w:right w:val="none" w:sz="0" w:space="0" w:color="auto"/>
      </w:divBdr>
      <w:divsChild>
        <w:div w:id="81992428">
          <w:marLeft w:val="0"/>
          <w:marRight w:val="0"/>
          <w:marTop w:val="0"/>
          <w:marBottom w:val="0"/>
          <w:divBdr>
            <w:top w:val="none" w:sz="0" w:space="0" w:color="auto"/>
            <w:left w:val="none" w:sz="0" w:space="0" w:color="auto"/>
            <w:bottom w:val="none" w:sz="0" w:space="0" w:color="auto"/>
            <w:right w:val="none" w:sz="0" w:space="0" w:color="auto"/>
          </w:divBdr>
          <w:divsChild>
            <w:div w:id="362217642">
              <w:marLeft w:val="0"/>
              <w:marRight w:val="0"/>
              <w:marTop w:val="0"/>
              <w:marBottom w:val="0"/>
              <w:divBdr>
                <w:top w:val="none" w:sz="0" w:space="0" w:color="auto"/>
                <w:left w:val="none" w:sz="0" w:space="0" w:color="auto"/>
                <w:bottom w:val="none" w:sz="0" w:space="0" w:color="auto"/>
                <w:right w:val="none" w:sz="0" w:space="0" w:color="auto"/>
              </w:divBdr>
              <w:divsChild>
                <w:div w:id="1892837260">
                  <w:marLeft w:val="0"/>
                  <w:marRight w:val="0"/>
                  <w:marTop w:val="0"/>
                  <w:marBottom w:val="0"/>
                  <w:divBdr>
                    <w:top w:val="none" w:sz="0" w:space="0" w:color="auto"/>
                    <w:left w:val="none" w:sz="0" w:space="0" w:color="auto"/>
                    <w:bottom w:val="none" w:sz="0" w:space="0" w:color="auto"/>
                    <w:right w:val="none" w:sz="0" w:space="0" w:color="auto"/>
                  </w:divBdr>
                  <w:divsChild>
                    <w:div w:id="100659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03472">
      <w:bodyDiv w:val="1"/>
      <w:marLeft w:val="0"/>
      <w:marRight w:val="0"/>
      <w:marTop w:val="0"/>
      <w:marBottom w:val="0"/>
      <w:divBdr>
        <w:top w:val="none" w:sz="0" w:space="0" w:color="auto"/>
        <w:left w:val="none" w:sz="0" w:space="0" w:color="auto"/>
        <w:bottom w:val="none" w:sz="0" w:space="0" w:color="auto"/>
        <w:right w:val="none" w:sz="0" w:space="0" w:color="auto"/>
      </w:divBdr>
    </w:div>
    <w:div w:id="2023319864">
      <w:bodyDiv w:val="1"/>
      <w:marLeft w:val="0"/>
      <w:marRight w:val="0"/>
      <w:marTop w:val="0"/>
      <w:marBottom w:val="0"/>
      <w:divBdr>
        <w:top w:val="none" w:sz="0" w:space="0" w:color="auto"/>
        <w:left w:val="none" w:sz="0" w:space="0" w:color="auto"/>
        <w:bottom w:val="none" w:sz="0" w:space="0" w:color="auto"/>
        <w:right w:val="none" w:sz="0" w:space="0" w:color="auto"/>
      </w:divBdr>
      <w:divsChild>
        <w:div w:id="1920938307">
          <w:marLeft w:val="0"/>
          <w:marRight w:val="0"/>
          <w:marTop w:val="0"/>
          <w:marBottom w:val="0"/>
          <w:divBdr>
            <w:top w:val="none" w:sz="0" w:space="0" w:color="auto"/>
            <w:left w:val="none" w:sz="0" w:space="0" w:color="auto"/>
            <w:bottom w:val="none" w:sz="0" w:space="0" w:color="auto"/>
            <w:right w:val="none" w:sz="0" w:space="0" w:color="auto"/>
          </w:divBdr>
          <w:divsChild>
            <w:div w:id="1609968729">
              <w:marLeft w:val="0"/>
              <w:marRight w:val="0"/>
              <w:marTop w:val="0"/>
              <w:marBottom w:val="0"/>
              <w:divBdr>
                <w:top w:val="none" w:sz="0" w:space="0" w:color="auto"/>
                <w:left w:val="none" w:sz="0" w:space="0" w:color="auto"/>
                <w:bottom w:val="none" w:sz="0" w:space="0" w:color="auto"/>
                <w:right w:val="none" w:sz="0" w:space="0" w:color="auto"/>
              </w:divBdr>
              <w:divsChild>
                <w:div w:id="106961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524746">
      <w:bodyDiv w:val="1"/>
      <w:marLeft w:val="0"/>
      <w:marRight w:val="0"/>
      <w:marTop w:val="0"/>
      <w:marBottom w:val="0"/>
      <w:divBdr>
        <w:top w:val="none" w:sz="0" w:space="0" w:color="auto"/>
        <w:left w:val="none" w:sz="0" w:space="0" w:color="auto"/>
        <w:bottom w:val="none" w:sz="0" w:space="0" w:color="auto"/>
        <w:right w:val="none" w:sz="0" w:space="0" w:color="auto"/>
      </w:divBdr>
    </w:div>
    <w:div w:id="2049452664">
      <w:bodyDiv w:val="1"/>
      <w:marLeft w:val="0"/>
      <w:marRight w:val="0"/>
      <w:marTop w:val="0"/>
      <w:marBottom w:val="0"/>
      <w:divBdr>
        <w:top w:val="none" w:sz="0" w:space="0" w:color="auto"/>
        <w:left w:val="none" w:sz="0" w:space="0" w:color="auto"/>
        <w:bottom w:val="none" w:sz="0" w:space="0" w:color="auto"/>
        <w:right w:val="none" w:sz="0" w:space="0" w:color="auto"/>
      </w:divBdr>
      <w:divsChild>
        <w:div w:id="388261238">
          <w:marLeft w:val="0"/>
          <w:marRight w:val="0"/>
          <w:marTop w:val="0"/>
          <w:marBottom w:val="0"/>
          <w:divBdr>
            <w:top w:val="none" w:sz="0" w:space="0" w:color="auto"/>
            <w:left w:val="none" w:sz="0" w:space="0" w:color="auto"/>
            <w:bottom w:val="none" w:sz="0" w:space="0" w:color="auto"/>
            <w:right w:val="none" w:sz="0" w:space="0" w:color="auto"/>
          </w:divBdr>
          <w:divsChild>
            <w:div w:id="911893138">
              <w:marLeft w:val="0"/>
              <w:marRight w:val="0"/>
              <w:marTop w:val="0"/>
              <w:marBottom w:val="0"/>
              <w:divBdr>
                <w:top w:val="none" w:sz="0" w:space="0" w:color="auto"/>
                <w:left w:val="none" w:sz="0" w:space="0" w:color="auto"/>
                <w:bottom w:val="none" w:sz="0" w:space="0" w:color="auto"/>
                <w:right w:val="none" w:sz="0" w:space="0" w:color="auto"/>
              </w:divBdr>
              <w:divsChild>
                <w:div w:id="828911821">
                  <w:marLeft w:val="0"/>
                  <w:marRight w:val="0"/>
                  <w:marTop w:val="0"/>
                  <w:marBottom w:val="0"/>
                  <w:divBdr>
                    <w:top w:val="none" w:sz="0" w:space="0" w:color="auto"/>
                    <w:left w:val="none" w:sz="0" w:space="0" w:color="auto"/>
                    <w:bottom w:val="none" w:sz="0" w:space="0" w:color="auto"/>
                    <w:right w:val="none" w:sz="0" w:space="0" w:color="auto"/>
                  </w:divBdr>
                  <w:divsChild>
                    <w:div w:id="111694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93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3" Type="http://schemas.openxmlformats.org/officeDocument/2006/relationships/hyperlink" Target="https://intersex.shadowreport.org/public/2016-CEDAW-France-NGO-Zwischengeschlecht-Intersex-IGM.pdf" TargetMode="External"/><Relationship Id="rId18" Type="http://schemas.openxmlformats.org/officeDocument/2006/relationships/hyperlink" Target="https://d56bochluxqnz.cloudfront.net/documents/full-guideline/EAU-Guidelines-on-Paediatric-Urology-2024.pdf" TargetMode="External"/><Relationship Id="rId26" Type="http://schemas.openxmlformats.org/officeDocument/2006/relationships/hyperlink" Target="https://brujulaintersexual.files.wordpress.com/2016/07/interdicciones2.pdf" TargetMode="External"/><Relationship Id="rId39" Type="http://schemas.openxmlformats.org/officeDocument/2006/relationships/hyperlink" Target="https://intersexday.org/en/intersex-visibility-mexico-2017/" TargetMode="External"/><Relationship Id="rId21" Type="http://schemas.openxmlformats.org/officeDocument/2006/relationships/hyperlink" Target="https://uroweb.org/guidelines/endorsement/" TargetMode="External"/><Relationship Id="rId34" Type="http://schemas.openxmlformats.org/officeDocument/2006/relationships/hyperlink" Target="https://www.proceso.com.mx/512224/la-cidh-pide-a-los-estados-respetar-la-autonomia-personas-intersex" TargetMode="External"/><Relationship Id="rId42" Type="http://schemas.openxmlformats.org/officeDocument/2006/relationships/hyperlink" Target="https://intersexday.org/en/mexico-city-conapred-2017/" TargetMode="External"/><Relationship Id="rId7" Type="http://schemas.openxmlformats.org/officeDocument/2006/relationships/hyperlink" Target="https://intersex.shadowreport.org/public/2019-CCPR-Mexico-NGO-Intersex-Brujula-StopIGM.pdf" TargetMode="External"/><Relationship Id="rId2" Type="http://schemas.openxmlformats.org/officeDocument/2006/relationships/hyperlink" Target="https://StopIGM.org" TargetMode="External"/><Relationship Id="rId16" Type="http://schemas.openxmlformats.org/officeDocument/2006/relationships/hyperlink" Target="https://intersex.shadowreport.org/public/2016-CEDAW-France-NGO-Zwischengeschlecht-Intersex-IGM.pdf" TargetMode="External"/><Relationship Id="rId20" Type="http://schemas.openxmlformats.org/officeDocument/2006/relationships/hyperlink" Target="https://intersex.shadowreport.org/public/2016-CEDAW-France-NGO-Zwischengeschlecht-Intersex-IGM.pdf" TargetMode="External"/><Relationship Id="rId29" Type="http://schemas.openxmlformats.org/officeDocument/2006/relationships/hyperlink" Target="https://elbigdata.mx/2015/07/corregir-bebes-intersexuales-es-una-violacion-a-los-derechos-humanos/" TargetMode="External"/><Relationship Id="rId41" Type="http://schemas.openxmlformats.org/officeDocument/2006/relationships/hyperlink" Target="https://web.archive.org/web/20220120100516/http://www.aldf.gob.mx/archivo-0ed6f04cdee6d13f219a903a904047f1.pdf" TargetMode="External"/><Relationship Id="rId1" Type="http://schemas.openxmlformats.org/officeDocument/2006/relationships/hyperlink" Target="https://Zwischengeschlecht.org/" TargetMode="External"/><Relationship Id="rId6" Type="http://schemas.openxmlformats.org/officeDocument/2006/relationships/hyperlink" Target="https://intersex.shadowreport.org/public/2018-CEDAW-Mexico-NGO-Intersex-Brujula-StopIGM.pdf" TargetMode="External"/><Relationship Id="rId11" Type="http://schemas.openxmlformats.org/officeDocument/2006/relationships/hyperlink" Target="https://undocs.org/A/HRC/55/L.9" TargetMode="External"/><Relationship Id="rId24" Type="http://schemas.openxmlformats.org/officeDocument/2006/relationships/hyperlink" Target="http://www.jornada.unam.mx/2009/05/07/ls-central.html" TargetMode="External"/><Relationship Id="rId32" Type="http://schemas.openxmlformats.org/officeDocument/2006/relationships/hyperlink" Target="https://web.archive.org/web/20220120165224/https://palabrasclaras.mx/estatal/viola-sector-salud-derechos-intersex/" TargetMode="External"/><Relationship Id="rId37" Type="http://schemas.openxmlformats.org/officeDocument/2006/relationships/hyperlink" Target="http://cdhdf.org.mx/wp-content/uploads/2015/03/informe-anual-2014-2.pdf" TargetMode="External"/><Relationship Id="rId40" Type="http://schemas.openxmlformats.org/officeDocument/2006/relationships/hyperlink" Target="https://intersexday.org/en/mexico-cdhdf-2016/" TargetMode="External"/><Relationship Id="rId5" Type="http://schemas.openxmlformats.org/officeDocument/2006/relationships/hyperlink" Target="https://stopigm.org/post/IAD-2016-Soon-20-UN-Reprimands-for-Intersex-Genital-Mutilations" TargetMode="External"/><Relationship Id="rId15" Type="http://schemas.openxmlformats.org/officeDocument/2006/relationships/hyperlink" Target="https://d56bochluxqnz.cloudfront.net/documents/full-guideline/EAU-Guidelines-on-Paediatric-Urology-2024.pdf" TargetMode="External"/><Relationship Id="rId23" Type="http://schemas.openxmlformats.org/officeDocument/2006/relationships/hyperlink" Target="https://www.arenapublica.com/politicas-publicas/cirugias-ninos-intersexuales-violan-derechos-humanos-pero-en-mexico-son-la-norma" TargetMode="External"/><Relationship Id="rId28" Type="http://schemas.openxmlformats.org/officeDocument/2006/relationships/hyperlink" Target="https://vivirintersex.org/" TargetMode="External"/><Relationship Id="rId36" Type="http://schemas.openxmlformats.org/officeDocument/2006/relationships/hyperlink" Target="https://web.archive.org/web/20180329101820/http://www.ceav.gob.mx/wp-content/uploads/2016/06/Investigaci%C3%83%C2%B3n-LGBT-Documento-Completo.pdf" TargetMode="External"/><Relationship Id="rId10" Type="http://schemas.openxmlformats.org/officeDocument/2006/relationships/hyperlink" Target="https://finlandabroad.fi/web/geneve/current-affairs/-/asset_publisher/h5w4iTUJhNne/content/general-debate-item-8/384951" TargetMode="External"/><Relationship Id="rId19" Type="http://schemas.openxmlformats.org/officeDocument/2006/relationships/hyperlink" Target="https://www.espu.org/images/documents/ESPU_Open_Letter_to_COE_2018-01-26.pdf" TargetMode="External"/><Relationship Id="rId31" Type="http://schemas.openxmlformats.org/officeDocument/2006/relationships/hyperlink" Target="http://narrativebioethics.com/wp-content/uploads/2017/07/Voices_2016_INTERSEX_FINAL.pdf" TargetMode="External"/><Relationship Id="rId4" Type="http://schemas.openxmlformats.org/officeDocument/2006/relationships/hyperlink" Target="https://intersex.shadowreport.org" TargetMode="External"/><Relationship Id="rId9" Type="http://schemas.openxmlformats.org/officeDocument/2006/relationships/hyperlink" Target="https://www.bmeia.gv.at/oev-genf/speeches/alle/2021/10/united-nations-human-rights-council-48th-session-joint-statement-on-the-human-rights-of-intersex-persons/" TargetMode="External"/><Relationship Id="rId14" Type="http://schemas.openxmlformats.org/officeDocument/2006/relationships/hyperlink" Target="https://uroweb.org/guidelines/endorsement/" TargetMode="External"/><Relationship Id="rId22" Type="http://schemas.openxmlformats.org/officeDocument/2006/relationships/hyperlink" Target="https://d56bochluxqnz.cloudfront.net/documents/full-guideline/EAU-Guidelines-on-Paediatric-Urology-2024.pdf" TargetMode="External"/><Relationship Id="rId27" Type="http://schemas.openxmlformats.org/officeDocument/2006/relationships/hyperlink" Target="https://brujulaintersexual.org/category/mexico/" TargetMode="External"/><Relationship Id="rId30" Type="http://schemas.openxmlformats.org/officeDocument/2006/relationships/hyperlink" Target="https://elbigdata.mx/2015/07/mutilacion-genital-una-decision-que-toman-por-ti/" TargetMode="External"/><Relationship Id="rId35" Type="http://schemas.openxmlformats.org/officeDocument/2006/relationships/hyperlink" Target="http://legislacion.edomex.gob.mx/sites/legislacion.edomex.gob.mx/files/files/pdf/gct/2017/sep047.pdf" TargetMode="External"/><Relationship Id="rId43" Type="http://schemas.openxmlformats.org/officeDocument/2006/relationships/hyperlink" Target="https://intersex.shadowreport.org/public/2019-CCPR-Mexico-NGO-Intersex-Brujula-StopIGM.pdf" TargetMode="External"/><Relationship Id="rId8" Type="http://schemas.openxmlformats.org/officeDocument/2006/relationships/hyperlink" Target="https://www.dfat.gov.au/international-relations/themes/human-rights/hrc-statements/45th-session-human-rights-council/joint-statement-led-austria-rights-intersex-persons" TargetMode="External"/><Relationship Id="rId3" Type="http://schemas.openxmlformats.org/officeDocument/2006/relationships/hyperlink" Target="https://zwischengeschlecht.org/post/Statuten" TargetMode="External"/><Relationship Id="rId12" Type="http://schemas.openxmlformats.org/officeDocument/2006/relationships/hyperlink" Target="https://intersex.shadowreport.org/public/2019-CCPR-Mexico-NGO-Intersex-Brujula-StopIGM.pdf" TargetMode="External"/><Relationship Id="rId17" Type="http://schemas.openxmlformats.org/officeDocument/2006/relationships/hyperlink" Target="https://uroweb.org/guidelines/endorsement/" TargetMode="External"/><Relationship Id="rId25" Type="http://schemas.openxmlformats.org/officeDocument/2006/relationships/hyperlink" Target="https://brujulaintersexual.org/2017/03/26/cidh-la-situacion-comunidad-intersexual-mexico/" TargetMode="External"/><Relationship Id="rId33" Type="http://schemas.openxmlformats.org/officeDocument/2006/relationships/hyperlink" Target="https://web.archive.org/web/20220120090944/http://japii.mx/mutilacion-genital-bebes-intersexuales/" TargetMode="External"/><Relationship Id="rId38" Type="http://schemas.openxmlformats.org/officeDocument/2006/relationships/hyperlink" Target="https://vivirintersex.org/2017/12/01/2o-foro-inter-visibilidad-en-la-cdh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663BB-EA4E-FF4F-BD9D-41BA85803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2892</Words>
  <Characters>17125</Characters>
  <Application>Microsoft Office Word</Application>
  <DocSecurity>0</DocSecurity>
  <Lines>280</Lines>
  <Paragraphs>105</Paragraphs>
  <ScaleCrop>false</ScaleCrop>
  <HeadingPairs>
    <vt:vector size="2" baseType="variant">
      <vt:variant>
        <vt:lpstr>Titel</vt:lpstr>
      </vt:variant>
      <vt:variant>
        <vt:i4>1</vt:i4>
      </vt:variant>
    </vt:vector>
  </HeadingPairs>
  <TitlesOfParts>
    <vt:vector size="1" baseType="lpstr">
      <vt:lpstr>Intersex Genital Mutilation NGO Report (for Session) to the 6th to 7th Report of Mexico  on the Convention on the Rights of the Child (CRC)</vt:lpstr>
    </vt:vector>
  </TitlesOfParts>
  <Manager/>
  <Company/>
  <LinksUpToDate>false</LinksUpToDate>
  <CharactersWithSpaces>19912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NGO Report (for Session) to the 6th to 7th Report of Mexico  on the Convention on the Rights of the Child (CRC)</dc:title>
  <dc:subject>NGO Report (for Session) to the 6th to 7th Report of Spain on the Convention on the Rights of the Child (CRC)</dc:subject>
  <dc:creator>Zwischengeschlecht.org / StopIGM.org (Markus Bauer, Daniela Truffer)</dc:creator>
  <cp:keywords/>
  <dc:description/>
  <cp:lastModifiedBy>Daniela Truffer</cp:lastModifiedBy>
  <cp:revision>65</cp:revision>
  <cp:lastPrinted>2022-04-16T12:04:00Z</cp:lastPrinted>
  <dcterms:created xsi:type="dcterms:W3CDTF">2024-08-15T17:19:00Z</dcterms:created>
  <dcterms:modified xsi:type="dcterms:W3CDTF">2024-08-15T21:38:00Z</dcterms:modified>
  <cp:category/>
</cp:coreProperties>
</file>