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051593" w14:textId="247638DA" w:rsidR="00EB30E2" w:rsidRPr="00EB30E2" w:rsidRDefault="00EB30E2" w:rsidP="00EB30E2">
      <w:pPr>
        <w:pBdr>
          <w:bottom w:val="single" w:sz="18" w:space="1" w:color="auto"/>
        </w:pBdr>
        <w:jc w:val="center"/>
        <w:rPr>
          <w:rFonts w:asciiTheme="majorBidi" w:hAnsiTheme="majorBidi" w:cstheme="majorBidi"/>
          <w:b/>
          <w:bCs/>
          <w:color w:val="538135" w:themeColor="accent6" w:themeShade="BF"/>
          <w:sz w:val="28"/>
          <w:szCs w:val="28"/>
        </w:rPr>
      </w:pPr>
      <w:r w:rsidRPr="00EB30E2">
        <w:rPr>
          <w:rFonts w:asciiTheme="majorBidi" w:hAnsiTheme="majorBidi" w:cstheme="majorBidi"/>
          <w:b/>
          <w:bCs/>
          <w:color w:val="538135" w:themeColor="accent6" w:themeShade="BF"/>
          <w:sz w:val="28"/>
          <w:szCs w:val="28"/>
        </w:rPr>
        <w:t xml:space="preserve">Report of </w:t>
      </w:r>
      <w:r>
        <w:rPr>
          <w:rFonts w:asciiTheme="majorBidi" w:hAnsiTheme="majorBidi" w:cstheme="majorBidi"/>
          <w:b/>
          <w:bCs/>
          <w:color w:val="538135" w:themeColor="accent6" w:themeShade="BF"/>
          <w:sz w:val="28"/>
          <w:szCs w:val="28"/>
        </w:rPr>
        <w:t xml:space="preserve">The </w:t>
      </w:r>
      <w:r w:rsidRPr="00EB30E2">
        <w:rPr>
          <w:rFonts w:asciiTheme="majorBidi" w:hAnsiTheme="majorBidi" w:cstheme="majorBidi"/>
          <w:b/>
          <w:bCs/>
          <w:color w:val="538135" w:themeColor="accent6" w:themeShade="BF"/>
          <w:sz w:val="28"/>
          <w:szCs w:val="28"/>
        </w:rPr>
        <w:t xml:space="preserve">International Alliance for Peace and Development to </w:t>
      </w:r>
      <w:r>
        <w:rPr>
          <w:rFonts w:asciiTheme="majorBidi" w:hAnsiTheme="majorBidi" w:cstheme="majorBidi"/>
          <w:b/>
          <w:bCs/>
          <w:color w:val="538135" w:themeColor="accent6" w:themeShade="BF"/>
          <w:sz w:val="28"/>
          <w:szCs w:val="28"/>
        </w:rPr>
        <w:t xml:space="preserve">The </w:t>
      </w:r>
      <w:r w:rsidRPr="00EB30E2">
        <w:rPr>
          <w:rFonts w:asciiTheme="majorBidi" w:hAnsiTheme="majorBidi" w:cstheme="majorBidi"/>
          <w:b/>
          <w:bCs/>
          <w:color w:val="538135" w:themeColor="accent6" w:themeShade="BF"/>
          <w:sz w:val="28"/>
          <w:szCs w:val="28"/>
        </w:rPr>
        <w:t xml:space="preserve">Committee on Protection of Rights of All Migrant Workers and Members of Their Families </w:t>
      </w:r>
      <w:r>
        <w:rPr>
          <w:rFonts w:asciiTheme="majorBidi" w:hAnsiTheme="majorBidi" w:cstheme="majorBidi"/>
          <w:b/>
          <w:bCs/>
          <w:color w:val="538135" w:themeColor="accent6" w:themeShade="BF"/>
          <w:sz w:val="28"/>
          <w:szCs w:val="28"/>
        </w:rPr>
        <w:t>regarding</w:t>
      </w:r>
      <w:r w:rsidRPr="00EB30E2">
        <w:rPr>
          <w:rFonts w:asciiTheme="majorBidi" w:hAnsiTheme="majorBidi" w:cstheme="majorBidi"/>
          <w:b/>
          <w:bCs/>
          <w:color w:val="538135" w:themeColor="accent6" w:themeShade="BF"/>
          <w:sz w:val="28"/>
          <w:szCs w:val="28"/>
        </w:rPr>
        <w:t xml:space="preserve"> Egypt</w:t>
      </w:r>
    </w:p>
    <w:p w14:paraId="57198FE1"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International Alliance for Peace and Development (IAPD) is taking the opportunity to review Egypt's compliance before Committee on the Rights of Migrant Workers and Members of Their Families. This review is scheduled for the 39th session, set to be held from December 2 to 13, 2024.</w:t>
      </w:r>
      <w:r w:rsidRPr="00EB30E2">
        <w:rPr>
          <w:rStyle w:val="FootnoteReference"/>
          <w:rFonts w:asciiTheme="majorBidi" w:hAnsiTheme="majorBidi" w:cstheme="majorBidi"/>
          <w:sz w:val="24"/>
          <w:szCs w:val="24"/>
        </w:rPr>
        <w:footnoteReference w:id="1"/>
      </w:r>
      <w:r w:rsidRPr="00EB30E2">
        <w:rPr>
          <w:rFonts w:asciiTheme="majorBidi" w:hAnsiTheme="majorBidi" w:cstheme="majorBidi"/>
          <w:sz w:val="24"/>
          <w:szCs w:val="24"/>
        </w:rPr>
        <w:t xml:space="preserve"> IAPD aims to update the Committee on Egypt’s implementation of the provisions of Convention on the Rights of All Migrant Workers and Members of Their Families (hereinafter referred to as Convention). Through this report, IAPD seeks to assess the extent to which Egypt has implemented various provisions of Convention. The focus will be on positive developments and the challenges still facing the Egyptian government in its efforts to implement Convention, along with practical recommendations to address these challenges.</w:t>
      </w:r>
    </w:p>
    <w:p w14:paraId="0AB17EA9" w14:textId="77777777" w:rsidR="00EB30E2" w:rsidRPr="00EB30E2" w:rsidRDefault="00EB30E2" w:rsidP="00EB30E2">
      <w:pPr>
        <w:pStyle w:val="ListParagraph"/>
        <w:numPr>
          <w:ilvl w:val="0"/>
          <w:numId w:val="29"/>
        </w:numPr>
        <w:spacing w:after="160" w:line="278" w:lineRule="auto"/>
        <w:jc w:val="both"/>
        <w:rPr>
          <w:rFonts w:asciiTheme="majorBidi" w:hAnsiTheme="majorBidi" w:cstheme="majorBidi"/>
          <w:b/>
          <w:bCs/>
          <w:sz w:val="28"/>
          <w:szCs w:val="28"/>
        </w:rPr>
      </w:pPr>
      <w:r w:rsidRPr="00EB30E2">
        <w:rPr>
          <w:rFonts w:asciiTheme="majorBidi" w:hAnsiTheme="majorBidi" w:cstheme="majorBidi"/>
          <w:b/>
          <w:bCs/>
          <w:sz w:val="28"/>
          <w:szCs w:val="28"/>
        </w:rPr>
        <w:t>Protection from Torture and Ill-Treatment</w:t>
      </w:r>
    </w:p>
    <w:p w14:paraId="5654DDA7"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Article 10 of Convention prohibits torture and ill-treatment against migrant workers and their families. IAPD commends the constitutional and legislative guarantees in Egypt that prohibit torture, including against migrants. Article 52 of the Egyptian Constitution, amended in 2019, states: "Torture in all its forms and manifestations is a crime that is not subject to a statute of limitations." Article 60 of the Constitution further asserts: "The human body is inviolable; any assault or mutilation of it is a crime punishable by law. Trafficking in human organs is prohibited, and no medical or scientific experiment may be performed on it without the free and documented consent of the person, in accordance with established principles in medical science, as regulated by law."</w:t>
      </w:r>
      <w:r w:rsidRPr="00EB30E2">
        <w:rPr>
          <w:rStyle w:val="FootnoteReference"/>
          <w:rFonts w:asciiTheme="majorBidi" w:hAnsiTheme="majorBidi" w:cstheme="majorBidi"/>
          <w:sz w:val="24"/>
          <w:szCs w:val="24"/>
        </w:rPr>
        <w:footnoteReference w:id="2"/>
      </w:r>
    </w:p>
    <w:p w14:paraId="10C83BB8" w14:textId="77777777" w:rsidR="00EB30E2" w:rsidRPr="00EB30E2" w:rsidRDefault="00EB30E2" w:rsidP="00EB30E2">
      <w:pPr>
        <w:ind w:firstLine="720"/>
        <w:jc w:val="both"/>
        <w:rPr>
          <w:rFonts w:asciiTheme="majorBidi" w:hAnsiTheme="majorBidi" w:cstheme="majorBidi"/>
          <w:sz w:val="24"/>
          <w:szCs w:val="24"/>
        </w:rPr>
      </w:pPr>
      <w:r w:rsidRPr="00EB30E2">
        <w:rPr>
          <w:rFonts w:asciiTheme="majorBidi" w:hAnsiTheme="majorBidi" w:cstheme="majorBidi"/>
          <w:sz w:val="24"/>
          <w:szCs w:val="24"/>
        </w:rPr>
        <w:t>In this context, IAPD highlights legislative developments in the Penal Code that abolish any form of torture or physical abuse. Notably, Law 152 of 2001 abolished flogging as the last form of corporal punishment applied in prisons. Article 63 of the Penal Code prohibits invoking superior orders to practice torture, confirming that such orders cannot be used as a defense under any circumstances. Additionally, Article 126 of the Penal Code establishes that any employee who orders or carries out torture is criminally liable, reinforcing the prohibition of all forms of torture and related practices. According to Egyptian law, a person may be considered an accomplice in the crime of torture if they incite, agree with another to commit it, or assist the perpetrator, and such an accomplice is punishable by the same penalty as the original perpetrator. However, despite these legal protections, IAPD continues to receive reports indicating that some migrant workers, particularly those of Nigerian nationality, face harsh working conditions, arbitrary practices, and mistreatment by employers.</w:t>
      </w:r>
      <w:r w:rsidRPr="00EB30E2">
        <w:rPr>
          <w:rStyle w:val="FootnoteReference"/>
          <w:rFonts w:asciiTheme="majorBidi" w:hAnsiTheme="majorBidi" w:cstheme="majorBidi"/>
          <w:sz w:val="24"/>
          <w:szCs w:val="24"/>
        </w:rPr>
        <w:footnoteReference w:id="3"/>
      </w:r>
      <w:r w:rsidRPr="00EB30E2">
        <w:rPr>
          <w:rFonts w:asciiTheme="majorBidi" w:hAnsiTheme="majorBidi" w:cstheme="majorBidi"/>
          <w:sz w:val="24"/>
          <w:szCs w:val="24"/>
        </w:rPr>
        <w:t xml:space="preserve"> IAPD also notes that, despite existing complaint mechanisms, migrant women are often reluctant to seek services related to gender-based violence, whether medical or legal, due to fears of stigma and retaliation from perpetrators.</w:t>
      </w:r>
      <w:r w:rsidRPr="00EB30E2">
        <w:rPr>
          <w:rStyle w:val="FootnoteReference"/>
          <w:rFonts w:asciiTheme="majorBidi" w:hAnsiTheme="majorBidi" w:cstheme="majorBidi"/>
          <w:sz w:val="24"/>
          <w:szCs w:val="24"/>
        </w:rPr>
        <w:footnoteReference w:id="4"/>
      </w:r>
    </w:p>
    <w:p w14:paraId="6CA7B278" w14:textId="77777777" w:rsidR="00EB30E2" w:rsidRPr="00EB30E2" w:rsidRDefault="00EB30E2" w:rsidP="00EB30E2">
      <w:pPr>
        <w:pStyle w:val="ListParagraph"/>
        <w:numPr>
          <w:ilvl w:val="0"/>
          <w:numId w:val="29"/>
        </w:numPr>
        <w:spacing w:after="160" w:line="278" w:lineRule="auto"/>
        <w:jc w:val="both"/>
        <w:rPr>
          <w:rFonts w:asciiTheme="majorBidi" w:hAnsiTheme="majorBidi" w:cstheme="majorBidi"/>
          <w:b/>
          <w:bCs/>
          <w:sz w:val="28"/>
          <w:szCs w:val="28"/>
        </w:rPr>
      </w:pPr>
      <w:r w:rsidRPr="00EB30E2">
        <w:rPr>
          <w:rFonts w:asciiTheme="majorBidi" w:hAnsiTheme="majorBidi" w:cstheme="majorBidi"/>
          <w:b/>
          <w:bCs/>
          <w:sz w:val="28"/>
          <w:szCs w:val="28"/>
        </w:rPr>
        <w:lastRenderedPageBreak/>
        <w:t>Privacy of Migrant Workers</w:t>
      </w:r>
    </w:p>
    <w:p w14:paraId="7876A15F"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Article 14 of Convention emphasizes the protection of the private lives of migrant workers and their families. The International Alliance for Peace and Development (IAPD) acknowledges that the Egyptian government is taking effective steps toward optimal implementation of this article. In July 2020, a misdemeanor court in Giza Governorate sentenced two individuals to two years in prison and imposed a fine of EGP 100,000 after convicting them of assaulting a 14-year-old migrant child from South Sudan in Ard El Lewa. The assailants stole the child’s belongings, threw stones at him, causing various injuries, and directed racist insults toward him. The judicial authorities classified these actions as violations of the child's privacy, among other charges.</w:t>
      </w:r>
      <w:r w:rsidRPr="00EB30E2">
        <w:rPr>
          <w:rStyle w:val="FootnoteReference"/>
          <w:rFonts w:asciiTheme="majorBidi" w:hAnsiTheme="majorBidi" w:cstheme="majorBidi"/>
          <w:sz w:val="24"/>
          <w:szCs w:val="24"/>
        </w:rPr>
        <w:footnoteReference w:id="5"/>
      </w:r>
      <w:r w:rsidRPr="00EB30E2">
        <w:rPr>
          <w:rFonts w:asciiTheme="majorBidi" w:hAnsiTheme="majorBidi" w:cstheme="majorBidi"/>
          <w:sz w:val="24"/>
          <w:szCs w:val="24"/>
        </w:rPr>
        <w:t xml:space="preserve"> Following this incident, the Egyptian government submitted an amendment to the Penal Code, which the House of Representatives subsequently approved. This amendment defined the crime of bullying as the use of force or control by the perpetrator, exploiting the victim’s vulnerabilities, including gender, religion, race, physical description, health or mental condition, or social status. Exploiting any of these factors to intimidate, mock, degrade, or socially exclude an individual is classified as a bullying crime. This offense is punishable by imprisonment for no less than six months and a fine ranging from EGP 10,000 to EGP 30,000, or one of these two penalties.</w:t>
      </w:r>
    </w:p>
    <w:p w14:paraId="7A19BC69" w14:textId="77777777" w:rsidR="00EB30E2" w:rsidRPr="00EB30E2" w:rsidRDefault="00EB30E2" w:rsidP="00EB30E2">
      <w:pPr>
        <w:pStyle w:val="ListParagraph"/>
        <w:numPr>
          <w:ilvl w:val="0"/>
          <w:numId w:val="29"/>
        </w:numPr>
        <w:spacing w:after="160" w:line="278" w:lineRule="auto"/>
        <w:jc w:val="both"/>
        <w:rPr>
          <w:rFonts w:asciiTheme="majorBidi" w:hAnsiTheme="majorBidi" w:cstheme="majorBidi"/>
          <w:b/>
          <w:bCs/>
          <w:sz w:val="28"/>
          <w:szCs w:val="28"/>
        </w:rPr>
      </w:pPr>
      <w:r w:rsidRPr="00EB30E2">
        <w:rPr>
          <w:rFonts w:asciiTheme="majorBidi" w:hAnsiTheme="majorBidi" w:cstheme="majorBidi"/>
          <w:b/>
          <w:bCs/>
          <w:sz w:val="28"/>
          <w:szCs w:val="28"/>
        </w:rPr>
        <w:t>Equality Before Courts</w:t>
      </w:r>
    </w:p>
    <w:p w14:paraId="485DEE92"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Egypt is committed, according to its constitution and laws, to the principle of equality before the judiciary, regardless of the nationality or legal status of the litigants. The judicial system in Egypt works to preserve and protect the rights of migrants in the same manner as those of Egyptian citizens. Migrants in Egypt, including those in irregular situations, enjoy the rights afforded to national workers, including the right to submit complaints to labor offices and labor courts on an equal basis with Egyptian workers.</w:t>
      </w:r>
    </w:p>
    <w:p w14:paraId="5C9E653C"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In April 2024, the Nasr City Criminal Court sentenced an Egyptian sanitation worker to death for the rape and strangulation of a ten-month-old Sudanese infant. The perpetrator kidnapped the child from in front of her home in a Nasr City neighborhood and took her to a nearby park, where he committed the crime.</w:t>
      </w:r>
      <w:r w:rsidRPr="00EB30E2">
        <w:rPr>
          <w:rStyle w:val="FootnoteReference"/>
          <w:rFonts w:asciiTheme="majorBidi" w:hAnsiTheme="majorBidi" w:cstheme="majorBidi"/>
          <w:sz w:val="24"/>
          <w:szCs w:val="24"/>
        </w:rPr>
        <w:footnoteReference w:id="6"/>
      </w:r>
      <w:r w:rsidRPr="00EB30E2">
        <w:rPr>
          <w:rStyle w:val="FootnoteReference"/>
          <w:rFonts w:asciiTheme="majorBidi" w:hAnsiTheme="majorBidi" w:cstheme="majorBidi"/>
          <w:sz w:val="24"/>
          <w:szCs w:val="24"/>
        </w:rPr>
        <w:footnoteReference w:id="7"/>
      </w:r>
      <w:r w:rsidRPr="00EB30E2">
        <w:rPr>
          <w:rFonts w:asciiTheme="majorBidi" w:hAnsiTheme="majorBidi" w:cstheme="majorBidi"/>
          <w:sz w:val="24"/>
          <w:szCs w:val="24"/>
        </w:rPr>
        <w:t xml:space="preserve"> Upon reviewing the provisions related to the right to litigation in the 2014 Egyptian Constitution, amended in 2019, IAPD notes that Articles 54 and 55 are general and comprehensive, not limited to Egyptian citizens. This broad interpretation enhances the enforcement of Article 18 of Convention within the judicial system in Egypt,</w:t>
      </w:r>
      <w:r w:rsidRPr="00EB30E2">
        <w:rPr>
          <w:rStyle w:val="FootnoteReference"/>
          <w:rFonts w:asciiTheme="majorBidi" w:hAnsiTheme="majorBidi" w:cstheme="majorBidi"/>
          <w:sz w:val="24"/>
          <w:szCs w:val="24"/>
        </w:rPr>
        <w:footnoteReference w:id="8"/>
      </w:r>
      <w:r w:rsidRPr="00EB30E2">
        <w:rPr>
          <w:rFonts w:asciiTheme="majorBidi" w:hAnsiTheme="majorBidi" w:cstheme="majorBidi"/>
          <w:sz w:val="24"/>
          <w:szCs w:val="24"/>
        </w:rPr>
        <w:t xml:space="preserve"> thereby supporting the implementation of Article 24 of Convention.</w:t>
      </w:r>
    </w:p>
    <w:p w14:paraId="439E917A" w14:textId="77777777" w:rsidR="00EB30E2" w:rsidRPr="00EB30E2" w:rsidRDefault="00EB30E2" w:rsidP="00EB30E2">
      <w:pPr>
        <w:pStyle w:val="ListParagraph"/>
        <w:numPr>
          <w:ilvl w:val="0"/>
          <w:numId w:val="29"/>
        </w:numPr>
        <w:spacing w:after="160" w:line="278" w:lineRule="auto"/>
        <w:jc w:val="both"/>
        <w:rPr>
          <w:rFonts w:asciiTheme="majorBidi" w:hAnsiTheme="majorBidi" w:cstheme="majorBidi"/>
          <w:b/>
          <w:bCs/>
          <w:sz w:val="28"/>
          <w:szCs w:val="28"/>
        </w:rPr>
      </w:pPr>
      <w:r w:rsidRPr="00EB30E2">
        <w:rPr>
          <w:rFonts w:asciiTheme="majorBidi" w:hAnsiTheme="majorBidi" w:cstheme="majorBidi"/>
          <w:b/>
          <w:bCs/>
          <w:sz w:val="28"/>
          <w:szCs w:val="28"/>
        </w:rPr>
        <w:t>Access to Education</w:t>
      </w:r>
    </w:p>
    <w:p w14:paraId="353FD7A1"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IAPD positively notes Egypt's facilitation of migrants’ access to education, including grants aimed at promoting the right to education for foreigners in the country, including refugees. On September 30, 2024, the Egyptian government, in cooperation with the United Nations and the European Union, announced the launch of a joint program supported by a grant of approximately 12.2 million euros from the European Union. The program seeks to meet basic needs, including education, and to enhance the resilience and protection of refugees, migrants, and asylum seekers in vulnerable situations in Egypt. This UN joint program is based on the recommendations of the 2022</w:t>
      </w:r>
      <w:r w:rsidRPr="00EB30E2">
        <w:rPr>
          <w:rStyle w:val="FootnoteReference"/>
          <w:rFonts w:asciiTheme="majorBidi" w:hAnsiTheme="majorBidi" w:cstheme="majorBidi"/>
          <w:sz w:val="24"/>
          <w:szCs w:val="24"/>
        </w:rPr>
        <w:footnoteReference w:id="9"/>
      </w:r>
      <w:r w:rsidRPr="00EB30E2">
        <w:rPr>
          <w:rFonts w:asciiTheme="majorBidi" w:hAnsiTheme="majorBidi" w:cstheme="majorBidi"/>
          <w:sz w:val="24"/>
          <w:szCs w:val="24"/>
        </w:rPr>
        <w:t xml:space="preserve"> General Situation Analysis Report </w:t>
      </w:r>
      <w:r w:rsidRPr="00EB30E2">
        <w:rPr>
          <w:rFonts w:asciiTheme="majorBidi" w:hAnsiTheme="majorBidi" w:cstheme="majorBidi"/>
          <w:sz w:val="24"/>
          <w:szCs w:val="24"/>
        </w:rPr>
        <w:lastRenderedPageBreak/>
        <w:t>on Education and Health Services for Migrants and Refugees in Egypt. Its implementation will strengthen the enforcement of Article 30 of Convention, particularly for migrant children. On December 23, 2023, the Education Cannot Wait Fund approved a grant of $2 million for one year to promote the education of over 20,000 Sudanese refugees in four governorates: Aswan, Cairo, Giza, and Alexandria.</w:t>
      </w:r>
      <w:r w:rsidRPr="00EB30E2">
        <w:rPr>
          <w:rStyle w:val="FootnoteReference"/>
          <w:rFonts w:asciiTheme="majorBidi" w:hAnsiTheme="majorBidi" w:cstheme="majorBidi"/>
          <w:sz w:val="24"/>
          <w:szCs w:val="24"/>
        </w:rPr>
        <w:footnoteReference w:id="10"/>
      </w:r>
      <w:r w:rsidRPr="00EB30E2">
        <w:rPr>
          <w:rFonts w:asciiTheme="majorBidi" w:hAnsiTheme="majorBidi" w:cstheme="majorBidi"/>
          <w:sz w:val="24"/>
          <w:szCs w:val="24"/>
        </w:rPr>
        <w:t xml:space="preserve"> The Learning Recovery Program is also being implemented, aiming to train 200 migrant teachers to reach 4,000 students. This initiative, in cooperation with the Ministry of Education and its partners, supports access to basic education and protection services for refugee and migrant children, their families, and other vulnerable populations in Egypt. These efforts reflect Egypt’s recognition of the right of migrant children to education on par with Egyptian students. The Egyptian Ministry of Education has granted certain privileges to students from specific countries, such as Yemen, Syria, Sudan, and South Sudan. Since November 2013, the Ministry has classified Syrian students registered with the UNHCR as Egyptian students across various educational stages. However, despite appreciating these significant efforts, IAPD notes that this decision excludes Syrian students who are not registered with the UNHCR and those with illegal residency. Estimates suggest that this unregistered group is three times the number of Syrian students enrolled in Egyptian schools. </w:t>
      </w:r>
      <w:proofErr w:type="gramStart"/>
      <w:r w:rsidRPr="00EB30E2">
        <w:rPr>
          <w:rFonts w:asciiTheme="majorBidi" w:hAnsiTheme="majorBidi" w:cstheme="majorBidi"/>
          <w:sz w:val="24"/>
          <w:szCs w:val="24"/>
        </w:rPr>
        <w:t>The majority of</w:t>
      </w:r>
      <w:proofErr w:type="gramEnd"/>
      <w:r w:rsidRPr="00EB30E2">
        <w:rPr>
          <w:rFonts w:asciiTheme="majorBidi" w:hAnsiTheme="majorBidi" w:cstheme="majorBidi"/>
          <w:sz w:val="24"/>
          <w:szCs w:val="24"/>
        </w:rPr>
        <w:t xml:space="preserve"> these families cannot afford private school expenses, particularly those with multiple children in educational stages, which threatens these children's right to education and hinders the effective implementation of Article 30 of Convention.</w:t>
      </w:r>
      <w:r w:rsidRPr="00EB30E2">
        <w:rPr>
          <w:rStyle w:val="FootnoteReference"/>
          <w:rFonts w:asciiTheme="majorBidi" w:hAnsiTheme="majorBidi" w:cstheme="majorBidi"/>
          <w:sz w:val="24"/>
          <w:szCs w:val="24"/>
        </w:rPr>
        <w:footnoteReference w:id="11"/>
      </w:r>
    </w:p>
    <w:p w14:paraId="6D3FFAF3" w14:textId="77777777" w:rsidR="00EB30E2" w:rsidRPr="00EB30E2" w:rsidRDefault="00EB30E2" w:rsidP="00EB30E2">
      <w:pPr>
        <w:pStyle w:val="ListParagraph"/>
        <w:numPr>
          <w:ilvl w:val="0"/>
          <w:numId w:val="29"/>
        </w:numPr>
        <w:spacing w:after="160" w:line="278" w:lineRule="auto"/>
        <w:jc w:val="both"/>
        <w:rPr>
          <w:rFonts w:asciiTheme="majorBidi" w:hAnsiTheme="majorBidi" w:cstheme="majorBidi"/>
          <w:b/>
          <w:bCs/>
          <w:sz w:val="28"/>
          <w:szCs w:val="28"/>
        </w:rPr>
      </w:pPr>
      <w:r w:rsidRPr="00EB30E2">
        <w:rPr>
          <w:rFonts w:asciiTheme="majorBidi" w:hAnsiTheme="majorBidi" w:cstheme="majorBidi"/>
          <w:b/>
          <w:bCs/>
          <w:sz w:val="28"/>
          <w:szCs w:val="28"/>
        </w:rPr>
        <w:t>Right to Association</w:t>
      </w:r>
    </w:p>
    <w:p w14:paraId="4A8B36B6"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IAPD notes that the Ministry of Solidarity has approved over 20 grants for civil society organizations working on migrants’ rights from January 2022 to August 2024. These grants support the protection of at-risk migrant children, the provision of mental health services, the reintegration of returning migrants, and the promotion of access to education, healthcare, and employment opportunities. Additionally, IAPD acknowledges various associations and initiatives dedicated to promoting the rights of migrant workers and their families. The activities of these organizations focus on relief, educational services, and combating violence against migrant women.</w:t>
      </w:r>
      <w:r w:rsidRPr="00EB30E2">
        <w:rPr>
          <w:rStyle w:val="FootnoteReference"/>
          <w:rFonts w:asciiTheme="majorBidi" w:hAnsiTheme="majorBidi" w:cstheme="majorBidi"/>
          <w:sz w:val="24"/>
          <w:szCs w:val="24"/>
        </w:rPr>
        <w:footnoteReference w:id="12"/>
      </w:r>
      <w:r w:rsidRPr="00EB30E2">
        <w:rPr>
          <w:rFonts w:asciiTheme="majorBidi" w:hAnsiTheme="majorBidi" w:cstheme="majorBidi"/>
          <w:sz w:val="24"/>
          <w:szCs w:val="24"/>
        </w:rPr>
        <w:t xml:space="preserve"> Egyptian government has also permitted international organizations with branches in Egypt to provide services and humanitarian assistance to migrants and refugees. However, there continue to be reports of migrants, including refugees and asylum seekers, facing limited opportunities to exercise their right to association.</w:t>
      </w:r>
      <w:r w:rsidRPr="00EB30E2">
        <w:rPr>
          <w:rStyle w:val="FootnoteReference"/>
          <w:rFonts w:asciiTheme="majorBidi" w:hAnsiTheme="majorBidi" w:cstheme="majorBidi"/>
          <w:sz w:val="24"/>
          <w:szCs w:val="24"/>
        </w:rPr>
        <w:footnoteReference w:id="13"/>
      </w:r>
    </w:p>
    <w:p w14:paraId="59BEB676" w14:textId="77777777" w:rsidR="00EB30E2" w:rsidRPr="00EB30E2" w:rsidRDefault="00EB30E2" w:rsidP="00EB30E2">
      <w:pPr>
        <w:pStyle w:val="ListParagraph"/>
        <w:numPr>
          <w:ilvl w:val="0"/>
          <w:numId w:val="29"/>
        </w:numPr>
        <w:spacing w:after="160" w:line="278" w:lineRule="auto"/>
        <w:jc w:val="both"/>
        <w:rPr>
          <w:rFonts w:asciiTheme="majorBidi" w:hAnsiTheme="majorBidi" w:cstheme="majorBidi"/>
          <w:b/>
          <w:bCs/>
          <w:sz w:val="28"/>
          <w:szCs w:val="28"/>
        </w:rPr>
      </w:pPr>
      <w:r w:rsidRPr="00EB30E2">
        <w:rPr>
          <w:rFonts w:asciiTheme="majorBidi" w:hAnsiTheme="majorBidi" w:cstheme="majorBidi"/>
          <w:b/>
          <w:bCs/>
          <w:sz w:val="28"/>
          <w:szCs w:val="28"/>
        </w:rPr>
        <w:t>Egyptian Migrant Workers and Their Families</w:t>
      </w:r>
    </w:p>
    <w:p w14:paraId="046ABE9D"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 xml:space="preserve">The number of Egyptians abroad ranges from 11 to 14 million. According to the Central Agency for Public Mobilization and Statistics, there were 11 million Egyptians abroad by the end of 2022, as reported in the annual statistical book of the Ministry of Foreign Affairs. However, data from the Ministry of Immigration in March 2024 indicates that the number of Egyptians abroad has reached 14 million. While there are no detailed statistics on Egyptians detained abroad, the International Alliance for Peace and Development (IAPD) documented the arrest of eight Egyptian students by authorities in Kyrgyzstan in May 2024, following clashes between university students and </w:t>
      </w:r>
      <w:proofErr w:type="gramStart"/>
      <w:r w:rsidRPr="00EB30E2">
        <w:rPr>
          <w:rFonts w:asciiTheme="majorBidi" w:hAnsiTheme="majorBidi" w:cstheme="majorBidi"/>
          <w:sz w:val="24"/>
          <w:szCs w:val="24"/>
        </w:rPr>
        <w:t>local residents</w:t>
      </w:r>
      <w:proofErr w:type="gramEnd"/>
      <w:r w:rsidRPr="00EB30E2">
        <w:rPr>
          <w:rFonts w:asciiTheme="majorBidi" w:hAnsiTheme="majorBidi" w:cstheme="majorBidi"/>
          <w:sz w:val="24"/>
          <w:szCs w:val="24"/>
        </w:rPr>
        <w:t>. The Egyptian consulate intervened, leading to their release.</w:t>
      </w:r>
      <w:r w:rsidRPr="00EB30E2">
        <w:rPr>
          <w:rStyle w:val="FootnoteReference"/>
          <w:rFonts w:asciiTheme="majorBidi" w:hAnsiTheme="majorBidi" w:cstheme="majorBidi"/>
          <w:sz w:val="24"/>
          <w:szCs w:val="24"/>
        </w:rPr>
        <w:footnoteReference w:id="14"/>
      </w:r>
      <w:r w:rsidRPr="00EB30E2">
        <w:rPr>
          <w:rFonts w:asciiTheme="majorBidi" w:hAnsiTheme="majorBidi" w:cstheme="majorBidi"/>
          <w:sz w:val="24"/>
          <w:szCs w:val="24"/>
        </w:rPr>
        <w:t xml:space="preserve"> Additionally, IAPD reported the killing of three </w:t>
      </w:r>
      <w:r w:rsidRPr="00EB30E2">
        <w:rPr>
          <w:rFonts w:asciiTheme="majorBidi" w:hAnsiTheme="majorBidi" w:cstheme="majorBidi"/>
          <w:sz w:val="24"/>
          <w:szCs w:val="24"/>
        </w:rPr>
        <w:lastRenderedPageBreak/>
        <w:t>Egyptians and the injury of four others in a shooting incident in Mexico involving a convoy carrying illegal migrants. Egyptian Foreign Ministry emphasized the need to complete investigations and take necessary measures to repatriate the victims' bodies, as well as to provide medical care for the injured. However, as of October 16, the bodies of the deceased had not yet been returned to Egypt.</w:t>
      </w:r>
      <w:r w:rsidRPr="00EB30E2">
        <w:rPr>
          <w:rStyle w:val="FootnoteReference"/>
          <w:rFonts w:asciiTheme="majorBidi" w:hAnsiTheme="majorBidi" w:cstheme="majorBidi"/>
          <w:sz w:val="24"/>
          <w:szCs w:val="24"/>
        </w:rPr>
        <w:footnoteReference w:id="15"/>
      </w:r>
    </w:p>
    <w:p w14:paraId="0E1F362D" w14:textId="77777777" w:rsidR="00EB30E2" w:rsidRPr="00EB30E2" w:rsidRDefault="00EB30E2" w:rsidP="00EB30E2">
      <w:pPr>
        <w:pStyle w:val="ListParagraph"/>
        <w:numPr>
          <w:ilvl w:val="0"/>
          <w:numId w:val="29"/>
        </w:numPr>
        <w:spacing w:after="160" w:line="278" w:lineRule="auto"/>
        <w:jc w:val="both"/>
        <w:rPr>
          <w:rFonts w:asciiTheme="majorBidi" w:hAnsiTheme="majorBidi" w:cstheme="majorBidi"/>
          <w:b/>
          <w:bCs/>
          <w:sz w:val="28"/>
          <w:szCs w:val="28"/>
        </w:rPr>
      </w:pPr>
      <w:r w:rsidRPr="00EB30E2">
        <w:rPr>
          <w:rFonts w:asciiTheme="majorBidi" w:hAnsiTheme="majorBidi" w:cstheme="majorBidi"/>
          <w:b/>
          <w:bCs/>
          <w:sz w:val="28"/>
          <w:szCs w:val="28"/>
        </w:rPr>
        <w:t>Domestic Workers</w:t>
      </w:r>
    </w:p>
    <w:p w14:paraId="5E6E051B" w14:textId="77777777" w:rsidR="00EB30E2" w:rsidRPr="00EB30E2" w:rsidRDefault="00EB30E2" w:rsidP="00EB30E2">
      <w:pPr>
        <w:jc w:val="both"/>
        <w:rPr>
          <w:rFonts w:asciiTheme="majorBidi" w:hAnsiTheme="majorBidi" w:cstheme="majorBidi"/>
          <w:sz w:val="24"/>
          <w:szCs w:val="24"/>
        </w:rPr>
      </w:pPr>
      <w:r w:rsidRPr="00EB30E2">
        <w:rPr>
          <w:rFonts w:asciiTheme="majorBidi" w:hAnsiTheme="majorBidi" w:cstheme="majorBidi"/>
          <w:sz w:val="24"/>
          <w:szCs w:val="24"/>
        </w:rPr>
        <w:t>On August 25, 2024, Ministry of Labor announced that it was studying the issuance of a law for domestic workers. The proposed law aims to establish protections for this category by regulating their status, providing training and qualifications, and granting certificates for practicing the profession, thereby facilitating their integration into the formal economy. The draft law also seeks to regulate interactions with recruitment companies and employers, ensuring the use of official employment contracts. Furthermore, the draft law includes provisions related to wages, insurance, home inspection mechanisms, and complaint reporting processes, all designed to protect the interests of domestic workers and acknowledge the unique nature of their work relationships. However, as of this report, the government has yet to submit a draft law.</w:t>
      </w:r>
      <w:r w:rsidRPr="00EB30E2">
        <w:rPr>
          <w:rStyle w:val="FootnoteReference"/>
          <w:rFonts w:asciiTheme="majorBidi" w:hAnsiTheme="majorBidi" w:cstheme="majorBidi"/>
          <w:sz w:val="24"/>
          <w:szCs w:val="24"/>
        </w:rPr>
        <w:footnoteReference w:id="16"/>
      </w:r>
      <w:r w:rsidRPr="00EB30E2">
        <w:rPr>
          <w:rFonts w:asciiTheme="majorBidi" w:hAnsiTheme="majorBidi" w:cstheme="majorBidi"/>
          <w:sz w:val="24"/>
          <w:szCs w:val="24"/>
        </w:rPr>
        <w:t xml:space="preserve"> IAPD notes that there has been no response from the government regarding calls to include domestic workers in the proposed labor law. Migrant domestic workers, like all domestic workers, should be protected under Convention and require government safeguards. IAPD highlights the wage disparities among domestic workers of different nationalities, with Asian workers typically earning between EGP 8,000 and EGP 12,000 per month, while African workers often earn between EGP 6,000 and EGP 9,000 per month. IAPD believes it is essential for the government to officially recognize these workers by incorporating them into Egyptian labor laws to ensure they receive social and health protections as well as legal assistance.</w:t>
      </w:r>
      <w:r w:rsidRPr="00EB30E2">
        <w:rPr>
          <w:rStyle w:val="FootnoteReference"/>
          <w:rFonts w:asciiTheme="majorBidi" w:hAnsiTheme="majorBidi" w:cstheme="majorBidi"/>
          <w:sz w:val="24"/>
          <w:szCs w:val="24"/>
        </w:rPr>
        <w:footnoteReference w:id="17"/>
      </w:r>
    </w:p>
    <w:p w14:paraId="3DC6D5D1" w14:textId="77777777" w:rsidR="00EB30E2" w:rsidRPr="00EB30E2" w:rsidRDefault="00EB30E2" w:rsidP="00EB30E2">
      <w:pPr>
        <w:jc w:val="both"/>
        <w:rPr>
          <w:rFonts w:asciiTheme="majorBidi" w:hAnsiTheme="majorBidi" w:cstheme="majorBidi"/>
          <w:b/>
          <w:bCs/>
          <w:sz w:val="28"/>
          <w:szCs w:val="28"/>
        </w:rPr>
      </w:pPr>
      <w:r w:rsidRPr="00EB30E2">
        <w:rPr>
          <w:rFonts w:asciiTheme="majorBidi" w:hAnsiTheme="majorBidi" w:cstheme="majorBidi"/>
          <w:b/>
          <w:bCs/>
          <w:sz w:val="28"/>
          <w:szCs w:val="28"/>
        </w:rPr>
        <w:t>Recommendations</w:t>
      </w:r>
    </w:p>
    <w:p w14:paraId="10059A2E" w14:textId="77777777" w:rsidR="00EB30E2" w:rsidRPr="00EB30E2" w:rsidRDefault="00EB30E2" w:rsidP="00EB30E2">
      <w:pPr>
        <w:pStyle w:val="ListParagraph"/>
        <w:numPr>
          <w:ilvl w:val="0"/>
          <w:numId w:val="30"/>
        </w:numPr>
        <w:spacing w:after="160" w:line="278" w:lineRule="auto"/>
        <w:jc w:val="both"/>
        <w:rPr>
          <w:rFonts w:asciiTheme="majorBidi" w:hAnsiTheme="majorBidi" w:cstheme="majorBidi"/>
          <w:sz w:val="24"/>
          <w:szCs w:val="24"/>
        </w:rPr>
      </w:pPr>
      <w:r w:rsidRPr="00EB30E2">
        <w:rPr>
          <w:rFonts w:asciiTheme="majorBidi" w:hAnsiTheme="majorBidi" w:cstheme="majorBidi"/>
          <w:sz w:val="24"/>
          <w:szCs w:val="24"/>
        </w:rPr>
        <w:t>Create safe spaces for migrant workers to report abuse by employers.</w:t>
      </w:r>
    </w:p>
    <w:p w14:paraId="41F895BA" w14:textId="77777777" w:rsidR="00EB30E2" w:rsidRPr="00EB30E2" w:rsidRDefault="00EB30E2" w:rsidP="00EB30E2">
      <w:pPr>
        <w:pStyle w:val="ListParagraph"/>
        <w:numPr>
          <w:ilvl w:val="0"/>
          <w:numId w:val="30"/>
        </w:numPr>
        <w:spacing w:after="160" w:line="278" w:lineRule="auto"/>
        <w:jc w:val="both"/>
        <w:rPr>
          <w:rFonts w:asciiTheme="majorBidi" w:hAnsiTheme="majorBidi" w:cstheme="majorBidi"/>
          <w:sz w:val="24"/>
          <w:szCs w:val="24"/>
        </w:rPr>
      </w:pPr>
      <w:r w:rsidRPr="00EB30E2">
        <w:rPr>
          <w:rFonts w:asciiTheme="majorBidi" w:hAnsiTheme="majorBidi" w:cstheme="majorBidi"/>
          <w:sz w:val="24"/>
          <w:szCs w:val="24"/>
        </w:rPr>
        <w:t>Fully align national laws with the provisions of Convention to ensure the protection of migrant workers' rights and their families, particularly by amending Article 4 of Egyptian Labor Law to include domestic workers and ensure equal rights with Egyptian workers.</w:t>
      </w:r>
    </w:p>
    <w:p w14:paraId="7894D131" w14:textId="77777777" w:rsidR="00EB30E2" w:rsidRPr="00EB30E2" w:rsidRDefault="00EB30E2" w:rsidP="00EB30E2">
      <w:pPr>
        <w:pStyle w:val="ListParagraph"/>
        <w:numPr>
          <w:ilvl w:val="0"/>
          <w:numId w:val="30"/>
        </w:numPr>
        <w:spacing w:after="160" w:line="278" w:lineRule="auto"/>
        <w:jc w:val="both"/>
        <w:rPr>
          <w:rFonts w:asciiTheme="majorBidi" w:hAnsiTheme="majorBidi" w:cstheme="majorBidi"/>
          <w:sz w:val="24"/>
          <w:szCs w:val="24"/>
        </w:rPr>
      </w:pPr>
      <w:r w:rsidRPr="00EB30E2">
        <w:rPr>
          <w:rFonts w:asciiTheme="majorBidi" w:hAnsiTheme="majorBidi" w:cstheme="majorBidi"/>
          <w:sz w:val="24"/>
          <w:szCs w:val="24"/>
        </w:rPr>
        <w:t>Establish a platform to provide legal assistance to Egyptians detained abroad.</w:t>
      </w:r>
    </w:p>
    <w:p w14:paraId="002A2FBA" w14:textId="77777777" w:rsidR="00EB30E2" w:rsidRPr="00EB30E2" w:rsidRDefault="00EB30E2" w:rsidP="00EB30E2">
      <w:pPr>
        <w:pStyle w:val="ListParagraph"/>
        <w:numPr>
          <w:ilvl w:val="0"/>
          <w:numId w:val="30"/>
        </w:numPr>
        <w:spacing w:after="160" w:line="278" w:lineRule="auto"/>
        <w:jc w:val="both"/>
        <w:rPr>
          <w:rFonts w:asciiTheme="majorBidi" w:hAnsiTheme="majorBidi" w:cstheme="majorBidi"/>
          <w:sz w:val="24"/>
          <w:szCs w:val="24"/>
        </w:rPr>
      </w:pPr>
      <w:r w:rsidRPr="00EB30E2">
        <w:rPr>
          <w:rFonts w:asciiTheme="majorBidi" w:hAnsiTheme="majorBidi" w:cstheme="majorBidi"/>
          <w:sz w:val="24"/>
          <w:szCs w:val="24"/>
        </w:rPr>
        <w:t>Expedite completion of the draft domestic workers law and address the needs of this category within its provisions.</w:t>
      </w:r>
    </w:p>
    <w:p w14:paraId="6D75ADD6" w14:textId="77777777" w:rsidR="00EB30E2" w:rsidRPr="00EB30E2" w:rsidRDefault="00EB30E2" w:rsidP="00EB30E2">
      <w:pPr>
        <w:pStyle w:val="ListParagraph"/>
        <w:numPr>
          <w:ilvl w:val="0"/>
          <w:numId w:val="30"/>
        </w:numPr>
        <w:spacing w:after="160" w:line="278" w:lineRule="auto"/>
        <w:jc w:val="both"/>
        <w:rPr>
          <w:rFonts w:asciiTheme="majorBidi" w:hAnsiTheme="majorBidi" w:cstheme="majorBidi"/>
          <w:sz w:val="24"/>
          <w:szCs w:val="24"/>
        </w:rPr>
      </w:pPr>
      <w:r w:rsidRPr="00EB30E2">
        <w:rPr>
          <w:rFonts w:asciiTheme="majorBidi" w:hAnsiTheme="majorBidi" w:cstheme="majorBidi"/>
          <w:sz w:val="24"/>
          <w:szCs w:val="24"/>
        </w:rPr>
        <w:t>Collaborate with civil society organizations that support migrant workers and their families to implement policies that enhance their rights in Egypt according to international standards.</w:t>
      </w:r>
    </w:p>
    <w:p w14:paraId="569ADE95" w14:textId="77777777" w:rsidR="00EB30E2" w:rsidRPr="00EB30E2" w:rsidRDefault="00EB30E2" w:rsidP="00EB30E2">
      <w:pPr>
        <w:pStyle w:val="ListParagraph"/>
        <w:numPr>
          <w:ilvl w:val="0"/>
          <w:numId w:val="30"/>
        </w:numPr>
        <w:spacing w:after="160" w:line="278" w:lineRule="auto"/>
        <w:jc w:val="both"/>
        <w:rPr>
          <w:rFonts w:asciiTheme="majorBidi" w:hAnsiTheme="majorBidi" w:cstheme="majorBidi"/>
          <w:sz w:val="24"/>
          <w:szCs w:val="24"/>
        </w:rPr>
      </w:pPr>
      <w:r w:rsidRPr="00EB30E2">
        <w:rPr>
          <w:rFonts w:asciiTheme="majorBidi" w:hAnsiTheme="majorBidi" w:cstheme="majorBidi"/>
          <w:sz w:val="24"/>
          <w:szCs w:val="24"/>
        </w:rPr>
        <w:t>Launch awareness campaigns to educate migrant workers about their rights under Convention and provide training programs for employers and government officials on the importance of protecting these rights.</w:t>
      </w:r>
    </w:p>
    <w:p w14:paraId="0E59DB50" w14:textId="77777777" w:rsidR="00EB30E2" w:rsidRPr="00EB30E2" w:rsidRDefault="00EB30E2" w:rsidP="00EB30E2">
      <w:pPr>
        <w:jc w:val="both"/>
        <w:rPr>
          <w:rFonts w:asciiTheme="majorBidi" w:hAnsiTheme="majorBidi" w:cstheme="majorBidi"/>
          <w:sz w:val="24"/>
          <w:szCs w:val="24"/>
        </w:rPr>
      </w:pPr>
    </w:p>
    <w:p w14:paraId="19073781" w14:textId="77777777" w:rsidR="001719EB" w:rsidRPr="00EB30E2" w:rsidRDefault="001719EB" w:rsidP="00EB30E2">
      <w:pPr>
        <w:jc w:val="both"/>
        <w:rPr>
          <w:rFonts w:ascii="Aptos" w:hAnsi="Aptos"/>
          <w:sz w:val="24"/>
          <w:szCs w:val="24"/>
        </w:rPr>
      </w:pPr>
    </w:p>
    <w:sectPr w:rsidR="001719EB" w:rsidRPr="00EB30E2">
      <w:footerReference w:type="default" r:id="rId11"/>
      <w:headerReference w:type="first" r:id="rId12"/>
      <w:pgSz w:w="11907" w:h="16840" w:code="9"/>
      <w:pgMar w:top="1134" w:right="992" w:bottom="567" w:left="992"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706355" w14:textId="77777777" w:rsidR="00A041AB" w:rsidRDefault="00A041AB" w:rsidP="003D1884">
      <w:pPr>
        <w:spacing w:after="0" w:line="240" w:lineRule="auto"/>
      </w:pPr>
      <w:r>
        <w:separator/>
      </w:r>
    </w:p>
  </w:endnote>
  <w:endnote w:type="continuationSeparator" w:id="0">
    <w:p w14:paraId="441BAAE9" w14:textId="77777777" w:rsidR="00A041AB" w:rsidRDefault="00A041AB" w:rsidP="003D18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7605283"/>
      <w:docPartObj>
        <w:docPartGallery w:val="Page Numbers (Bottom of Page)"/>
        <w:docPartUnique/>
      </w:docPartObj>
    </w:sdtPr>
    <w:sdtEndPr>
      <w:rPr>
        <w:noProof/>
      </w:rPr>
    </w:sdtEndPr>
    <w:sdtContent>
      <w:p w14:paraId="7712E20D" w14:textId="4C8C234A" w:rsidR="007203A5" w:rsidRDefault="000B59D1">
        <w:pPr>
          <w:pStyle w:val="Footer"/>
          <w:jc w:val="center"/>
        </w:pPr>
        <w:r w:rsidRPr="006B714E">
          <w:rPr>
            <w:b/>
            <w:bCs/>
          </w:rPr>
          <w:fldChar w:fldCharType="begin"/>
        </w:r>
        <w:r w:rsidRPr="006B714E">
          <w:rPr>
            <w:b/>
            <w:bCs/>
          </w:rPr>
          <w:instrText xml:space="preserve"> PAGE   \* MERGEFORMAT </w:instrText>
        </w:r>
        <w:r w:rsidRPr="006B714E">
          <w:rPr>
            <w:b/>
            <w:bCs/>
          </w:rPr>
          <w:fldChar w:fldCharType="separate"/>
        </w:r>
        <w:r w:rsidRPr="006B714E">
          <w:rPr>
            <w:b/>
            <w:bCs/>
            <w:noProof/>
          </w:rPr>
          <w:t>2</w:t>
        </w:r>
        <w:r w:rsidRPr="006B714E">
          <w:rPr>
            <w:b/>
            <w:bCs/>
            <w:noProof/>
          </w:rPr>
          <w:fldChar w:fldCharType="end"/>
        </w:r>
      </w:p>
    </w:sdtContent>
  </w:sdt>
  <w:p w14:paraId="2A770DAD" w14:textId="77777777" w:rsidR="007203A5" w:rsidRDefault="007203A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F02919" w14:textId="77777777" w:rsidR="00A041AB" w:rsidRDefault="00A041AB" w:rsidP="003D1884">
      <w:pPr>
        <w:spacing w:after="0" w:line="240" w:lineRule="auto"/>
      </w:pPr>
      <w:r>
        <w:separator/>
      </w:r>
    </w:p>
  </w:footnote>
  <w:footnote w:type="continuationSeparator" w:id="0">
    <w:p w14:paraId="342E2CC0" w14:textId="77777777" w:rsidR="00A041AB" w:rsidRDefault="00A041AB" w:rsidP="003D1884">
      <w:pPr>
        <w:spacing w:after="0" w:line="240" w:lineRule="auto"/>
      </w:pPr>
      <w:r>
        <w:continuationSeparator/>
      </w:r>
    </w:p>
  </w:footnote>
  <w:footnote w:id="1">
    <w:p w14:paraId="6426D350"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CMW 39 Session (02 Dec 2024 - 13 Dec 2024)</w:t>
      </w:r>
      <w:r w:rsidRPr="002E20C1">
        <w:rPr>
          <w:rFonts w:asciiTheme="majorBidi" w:hAnsiTheme="majorBidi" w:cstheme="majorBidi"/>
          <w:sz w:val="16"/>
          <w:szCs w:val="16"/>
          <w:lang w:bidi="ar-EG"/>
        </w:rPr>
        <w:t xml:space="preserve">, UN Treaty Body Database, </w:t>
      </w:r>
      <w:hyperlink r:id="rId1" w:history="1">
        <w:r w:rsidRPr="002E20C1">
          <w:rPr>
            <w:rStyle w:val="Hyperlink"/>
            <w:rFonts w:asciiTheme="majorBidi" w:hAnsiTheme="majorBidi" w:cstheme="majorBidi"/>
            <w:sz w:val="16"/>
            <w:szCs w:val="16"/>
            <w:lang w:bidi="ar-EG"/>
          </w:rPr>
          <w:t>https://2h.ae/UUxS</w:t>
        </w:r>
      </w:hyperlink>
    </w:p>
  </w:footnote>
  <w:footnote w:id="2">
    <w:p w14:paraId="40859654"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Egypt 2014 (rev. 2019), Article 53, </w:t>
      </w:r>
      <w:hyperlink r:id="rId2" w:history="1">
        <w:r w:rsidRPr="002E20C1">
          <w:rPr>
            <w:rStyle w:val="Hyperlink"/>
            <w:rFonts w:asciiTheme="majorBidi" w:hAnsiTheme="majorBidi" w:cstheme="majorBidi"/>
            <w:sz w:val="16"/>
            <w:szCs w:val="16"/>
          </w:rPr>
          <w:t>https://www.constituteproject.org/constitution/Egypt_2019</w:t>
        </w:r>
      </w:hyperlink>
    </w:p>
  </w:footnote>
  <w:footnote w:id="3">
    <w:p w14:paraId="5FE4EE6E"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How Traffickers Lure Nigerians into Modern Slavery in Egypt, </w:t>
      </w:r>
      <w:hyperlink r:id="rId3" w:history="1">
        <w:r w:rsidRPr="002E20C1">
          <w:rPr>
            <w:rStyle w:val="Hyperlink"/>
            <w:rFonts w:asciiTheme="majorBidi" w:hAnsiTheme="majorBidi" w:cstheme="majorBidi"/>
            <w:sz w:val="16"/>
            <w:szCs w:val="16"/>
          </w:rPr>
          <w:t>https://humanglemedia.com/how-traffickers-lure-nigerians-into-modern-slavery-in-egypt/</w:t>
        </w:r>
      </w:hyperlink>
    </w:p>
  </w:footnote>
  <w:footnote w:id="4">
    <w:p w14:paraId="6C9BCA99"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Joint Platform for Migrants and Refugees in Egypt Common Situational Analysis Education and Health Services for Migrants and Refugees in Egypt, PAGE  6, </w:t>
      </w:r>
      <w:hyperlink r:id="rId4" w:history="1">
        <w:r w:rsidRPr="002E20C1">
          <w:rPr>
            <w:rStyle w:val="Hyperlink"/>
            <w:rFonts w:asciiTheme="majorBidi" w:hAnsiTheme="majorBidi" w:cstheme="majorBidi"/>
            <w:sz w:val="16"/>
            <w:szCs w:val="16"/>
          </w:rPr>
          <w:t>https://rb.gy/oaji9p</w:t>
        </w:r>
      </w:hyperlink>
    </w:p>
  </w:footnote>
  <w:footnote w:id="5">
    <w:p w14:paraId="2FB84B37"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Egyptian court issues first ever verdict in a bullying case, Egypt independent, </w:t>
      </w:r>
      <w:hyperlink r:id="rId5">
        <w:r w:rsidRPr="002E20C1">
          <w:rPr>
            <w:rFonts w:asciiTheme="majorBidi" w:hAnsiTheme="majorBidi" w:cstheme="majorBidi"/>
            <w:color w:val="1155CC"/>
            <w:sz w:val="16"/>
            <w:szCs w:val="16"/>
            <w:u w:val="single"/>
          </w:rPr>
          <w:t>https://2h.ae/JaPi</w:t>
        </w:r>
      </w:hyperlink>
    </w:p>
  </w:footnote>
  <w:footnote w:id="6">
    <w:p w14:paraId="4C2A4BBB"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Egypt... Referral of accused of killing a Sudanese girl to Criminal Court, Russia Today, </w:t>
      </w:r>
      <w:hyperlink r:id="rId6" w:history="1">
        <w:r w:rsidRPr="002E20C1">
          <w:rPr>
            <w:rStyle w:val="Hyperlink"/>
            <w:rFonts w:asciiTheme="majorBidi" w:hAnsiTheme="majorBidi" w:cstheme="majorBidi"/>
            <w:sz w:val="16"/>
            <w:szCs w:val="16"/>
          </w:rPr>
          <w:t>https://2h.ae/Jgef</w:t>
        </w:r>
      </w:hyperlink>
      <w:r w:rsidRPr="002E20C1">
        <w:rPr>
          <w:rFonts w:asciiTheme="majorBidi" w:hAnsiTheme="majorBidi" w:cstheme="majorBidi"/>
          <w:sz w:val="16"/>
          <w:szCs w:val="16"/>
        </w:rPr>
        <w:t xml:space="preserve"> </w:t>
      </w:r>
    </w:p>
  </w:footnote>
  <w:footnote w:id="7">
    <w:p w14:paraId="0DA81B1B"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“Janet’s right is back”: Social media users react to the death sentence for the accused of killing a Sudanese girl in Egypt, BBC, </w:t>
      </w:r>
      <w:hyperlink r:id="rId7" w:history="1">
        <w:r w:rsidRPr="002E20C1">
          <w:rPr>
            <w:rStyle w:val="Hyperlink"/>
            <w:rFonts w:asciiTheme="majorBidi" w:hAnsiTheme="majorBidi" w:cstheme="majorBidi"/>
            <w:sz w:val="16"/>
            <w:szCs w:val="16"/>
          </w:rPr>
          <w:t>https://2h.ae/cdNa</w:t>
        </w:r>
      </w:hyperlink>
      <w:r w:rsidRPr="002E20C1">
        <w:rPr>
          <w:rFonts w:asciiTheme="majorBidi" w:hAnsiTheme="majorBidi" w:cstheme="majorBidi"/>
          <w:sz w:val="16"/>
          <w:szCs w:val="16"/>
        </w:rPr>
        <w:t xml:space="preserve"> </w:t>
      </w:r>
    </w:p>
  </w:footnote>
  <w:footnote w:id="8">
    <w:p w14:paraId="052489F1"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Constitution of Arab Republic of Egypt 2014 (amended 2019), </w:t>
      </w:r>
      <w:hyperlink r:id="rId8" w:history="1">
        <w:r w:rsidRPr="002E20C1">
          <w:rPr>
            <w:rStyle w:val="Hyperlink"/>
            <w:rFonts w:asciiTheme="majorBidi" w:hAnsiTheme="majorBidi" w:cstheme="majorBidi"/>
            <w:sz w:val="16"/>
            <w:szCs w:val="16"/>
          </w:rPr>
          <w:t>https://2h.ae/AVgI</w:t>
        </w:r>
      </w:hyperlink>
      <w:r w:rsidRPr="002E20C1">
        <w:rPr>
          <w:rFonts w:asciiTheme="majorBidi" w:hAnsiTheme="majorBidi" w:cstheme="majorBidi"/>
          <w:sz w:val="16"/>
          <w:szCs w:val="16"/>
        </w:rPr>
        <w:t xml:space="preserve"> </w:t>
      </w:r>
    </w:p>
  </w:footnote>
  <w:footnote w:id="9">
    <w:p w14:paraId="65CC9FB1"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Launch of the Joint UN Programmed under the Joint Platform for Migrants and Refugees in Egypt, </w:t>
      </w:r>
      <w:hyperlink r:id="rId9" w:history="1">
        <w:r w:rsidRPr="002E20C1">
          <w:rPr>
            <w:rStyle w:val="Hyperlink"/>
            <w:rFonts w:asciiTheme="majorBidi" w:hAnsiTheme="majorBidi" w:cstheme="majorBidi"/>
            <w:sz w:val="16"/>
            <w:szCs w:val="16"/>
          </w:rPr>
          <w:t>https://tinyurl.com/3t9ytxjj</w:t>
        </w:r>
      </w:hyperlink>
    </w:p>
  </w:footnote>
  <w:footnote w:id="10">
    <w:p w14:paraId="76172B87"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Education Cannot Wait, UNHCR, UNICEF, Strategic Partners Call for Increased Resources for the Education Response in Egypt and Region, </w:t>
      </w:r>
      <w:hyperlink r:id="rId10" w:history="1">
        <w:r w:rsidRPr="002E20C1">
          <w:rPr>
            <w:rStyle w:val="Hyperlink"/>
            <w:rFonts w:asciiTheme="majorBidi" w:hAnsiTheme="majorBidi" w:cstheme="majorBidi"/>
            <w:sz w:val="16"/>
            <w:szCs w:val="16"/>
          </w:rPr>
          <w:t>https://www.unhcr.org/eg/47255-sudan-ecw-unhcr-unicef.html</w:t>
        </w:r>
      </w:hyperlink>
    </w:p>
  </w:footnote>
  <w:footnote w:id="11">
    <w:p w14:paraId="71EDDF43"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New education decisions regarding refugees in Egypt restore reassurance to Syrians, Syria TV, </w:t>
      </w:r>
      <w:hyperlink r:id="rId11" w:history="1">
        <w:r w:rsidRPr="002E20C1">
          <w:rPr>
            <w:rStyle w:val="Hyperlink"/>
            <w:rFonts w:asciiTheme="majorBidi" w:hAnsiTheme="majorBidi" w:cstheme="majorBidi"/>
            <w:sz w:val="16"/>
            <w:szCs w:val="16"/>
          </w:rPr>
          <w:t>https://2h.ae/waqs</w:t>
        </w:r>
      </w:hyperlink>
      <w:r w:rsidRPr="002E20C1">
        <w:rPr>
          <w:rFonts w:asciiTheme="majorBidi" w:hAnsiTheme="majorBidi" w:cstheme="majorBidi"/>
          <w:sz w:val="16"/>
          <w:szCs w:val="16"/>
        </w:rPr>
        <w:t xml:space="preserve"> </w:t>
      </w:r>
    </w:p>
  </w:footnote>
  <w:footnote w:id="12">
    <w:p w14:paraId="4D9B0C0B"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For Sudanese Refugees, Egypt Is Barely a Refuge, </w:t>
      </w:r>
      <w:hyperlink r:id="rId12" w:history="1">
        <w:r w:rsidRPr="002E20C1">
          <w:rPr>
            <w:rStyle w:val="Hyperlink"/>
            <w:rFonts w:asciiTheme="majorBidi" w:hAnsiTheme="majorBidi" w:cstheme="majorBidi"/>
            <w:sz w:val="16"/>
            <w:szCs w:val="16"/>
            <w:shd w:val="clear" w:color="auto" w:fill="FFFFFF"/>
          </w:rPr>
          <w:t>https://t.ly/LiaB-</w:t>
        </w:r>
      </w:hyperlink>
    </w:p>
  </w:footnote>
  <w:footnote w:id="13">
    <w:p w14:paraId="5029E1D4"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Review of national policy, legislative and regulatory frameworks and practice in Egypt, Page 3, </w:t>
      </w:r>
      <w:hyperlink r:id="rId13" w:history="1">
        <w:r w:rsidRPr="002E20C1">
          <w:rPr>
            <w:rStyle w:val="Hyperlink"/>
            <w:rFonts w:asciiTheme="majorBidi" w:hAnsiTheme="majorBidi" w:cstheme="majorBidi"/>
            <w:sz w:val="16"/>
            <w:szCs w:val="16"/>
          </w:rPr>
          <w:t>https://www.3rpsyriacrisis.org/wp-content/uploads/2022/11/gv1tHb-wcms_861695.pdf</w:t>
        </w:r>
      </w:hyperlink>
    </w:p>
  </w:footnote>
  <w:footnote w:id="14">
    <w:p w14:paraId="71C96811"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Detained Egyptian students in Kyrgyzstan violence released as crisis 'completely resolved': Foreign ministry, </w:t>
      </w:r>
      <w:hyperlink r:id="rId14" w:history="1">
        <w:r w:rsidRPr="002E20C1">
          <w:rPr>
            <w:rStyle w:val="Hyperlink"/>
            <w:rFonts w:asciiTheme="majorBidi" w:hAnsiTheme="majorBidi" w:cstheme="majorBidi"/>
            <w:sz w:val="16"/>
            <w:szCs w:val="16"/>
          </w:rPr>
          <w:t>https://tinyurl.com/4cu8euw7</w:t>
        </w:r>
      </w:hyperlink>
    </w:p>
  </w:footnote>
  <w:footnote w:id="15">
    <w:p w14:paraId="56AA3D26"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Mexican Army Troops Open Fire on Truck, 6 Migrants Reported Dead, </w:t>
      </w:r>
      <w:hyperlink r:id="rId15" w:history="1">
        <w:r w:rsidRPr="002E20C1">
          <w:rPr>
            <w:rStyle w:val="Hyperlink"/>
            <w:rFonts w:asciiTheme="majorBidi" w:hAnsiTheme="majorBidi" w:cstheme="majorBidi"/>
            <w:sz w:val="16"/>
            <w:szCs w:val="16"/>
          </w:rPr>
          <w:t>https://www.newsweek.com/six-migrants-shot-dead-mexico-soldiers-guatemala-1963084</w:t>
        </w:r>
      </w:hyperlink>
    </w:p>
  </w:footnote>
  <w:footnote w:id="16">
    <w:p w14:paraId="5BF8C713"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w:t>
      </w:r>
      <w:r w:rsidRPr="002E20C1">
        <w:rPr>
          <w:rFonts w:asciiTheme="majorBidi" w:hAnsiTheme="majorBidi" w:cstheme="majorBidi"/>
          <w:sz w:val="16"/>
          <w:szCs w:val="16"/>
          <w:rtl/>
          <w:lang w:bidi="ar-EG"/>
        </w:rPr>
        <w:t>2023</w:t>
      </w:r>
      <w:r w:rsidRPr="002E20C1">
        <w:rPr>
          <w:rFonts w:asciiTheme="majorBidi" w:hAnsiTheme="majorBidi" w:cstheme="majorBidi"/>
          <w:sz w:val="16"/>
          <w:szCs w:val="16"/>
          <w:lang w:bidi="ar-EG"/>
        </w:rPr>
        <w:t xml:space="preserve"> Trafficking in Persons Report, </w:t>
      </w:r>
      <w:hyperlink r:id="rId16" w:history="1">
        <w:r w:rsidRPr="002E20C1">
          <w:rPr>
            <w:rStyle w:val="Hyperlink"/>
            <w:rFonts w:asciiTheme="majorBidi" w:hAnsiTheme="majorBidi" w:cstheme="majorBidi"/>
            <w:sz w:val="16"/>
            <w:szCs w:val="16"/>
            <w:lang w:bidi="ar-EG"/>
          </w:rPr>
          <w:t>https://www.state.gov/reports/2023-trafficking-in-persons-report/</w:t>
        </w:r>
      </w:hyperlink>
    </w:p>
  </w:footnote>
  <w:footnote w:id="17">
    <w:p w14:paraId="71FA0FCC" w14:textId="77777777" w:rsidR="00EB30E2" w:rsidRPr="002E20C1" w:rsidRDefault="00EB30E2" w:rsidP="00EB30E2">
      <w:pPr>
        <w:pStyle w:val="FootnoteText"/>
        <w:rPr>
          <w:rFonts w:asciiTheme="majorBidi" w:hAnsiTheme="majorBidi" w:cstheme="majorBidi"/>
          <w:sz w:val="16"/>
          <w:szCs w:val="16"/>
        </w:rPr>
      </w:pPr>
      <w:r w:rsidRPr="002E20C1">
        <w:rPr>
          <w:rStyle w:val="FootnoteReference"/>
          <w:rFonts w:asciiTheme="majorBidi" w:hAnsiTheme="majorBidi" w:cstheme="majorBidi"/>
          <w:sz w:val="16"/>
          <w:szCs w:val="16"/>
        </w:rPr>
        <w:footnoteRef/>
      </w:r>
      <w:r w:rsidRPr="002E20C1">
        <w:rPr>
          <w:rFonts w:asciiTheme="majorBidi" w:hAnsiTheme="majorBidi" w:cstheme="majorBidi"/>
          <w:sz w:val="16"/>
          <w:szCs w:val="16"/>
        </w:rPr>
        <w:t xml:space="preserve"> Egypt’s African household workers, </w:t>
      </w:r>
      <w:hyperlink r:id="rId17" w:history="1">
        <w:r w:rsidRPr="002E20C1">
          <w:rPr>
            <w:rStyle w:val="Hyperlink"/>
            <w:rFonts w:asciiTheme="majorBidi" w:hAnsiTheme="majorBidi" w:cstheme="majorBidi"/>
            <w:sz w:val="16"/>
            <w:szCs w:val="16"/>
          </w:rPr>
          <w:t>https://english.ahram.org.eg/NewsContent/50/1210/404685/AlAhram-Weekly/Living/Egypt%E2%80%99s-African-household-workers.aspx</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02EF65" w14:textId="2A35154A" w:rsidR="001374D3" w:rsidRDefault="001374D3">
    <w:pPr>
      <w:pStyle w:val="Header"/>
    </w:pPr>
    <w:r w:rsidRPr="005C5F24">
      <w:rPr>
        <w:rFonts w:cstheme="minorHAnsi"/>
        <w:noProof/>
        <w:sz w:val="24"/>
        <w:szCs w:val="24"/>
        <w:lang w:bidi="ar-EG"/>
      </w:rPr>
      <w:drawing>
        <wp:inline distT="0" distB="0" distL="0" distR="0" wp14:anchorId="517E8D86" wp14:editId="7F083F1E">
          <wp:extent cx="1974850" cy="1328584"/>
          <wp:effectExtent l="0" t="0" r="635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5295" cy="1328884"/>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5E1891"/>
    <w:multiLevelType w:val="hybridMultilevel"/>
    <w:tmpl w:val="1FE4B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831D8C"/>
    <w:multiLevelType w:val="hybridMultilevel"/>
    <w:tmpl w:val="30CC5CA8"/>
    <w:lvl w:ilvl="0" w:tplc="04090001">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8677BD2"/>
    <w:multiLevelType w:val="hybridMultilevel"/>
    <w:tmpl w:val="CC5676A4"/>
    <w:lvl w:ilvl="0" w:tplc="D2C8E05E">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E27379"/>
    <w:multiLevelType w:val="hybridMultilevel"/>
    <w:tmpl w:val="72CED88E"/>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3E4173"/>
    <w:multiLevelType w:val="hybridMultilevel"/>
    <w:tmpl w:val="43DCBD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FF5B55"/>
    <w:multiLevelType w:val="hybridMultilevel"/>
    <w:tmpl w:val="3930453E"/>
    <w:lvl w:ilvl="0" w:tplc="B91E2684">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0151948"/>
    <w:multiLevelType w:val="hybridMultilevel"/>
    <w:tmpl w:val="A3E40AC8"/>
    <w:lvl w:ilvl="0" w:tplc="04090005">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111C244C"/>
    <w:multiLevelType w:val="hybridMultilevel"/>
    <w:tmpl w:val="7436BF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8C37D8"/>
    <w:multiLevelType w:val="hybridMultilevel"/>
    <w:tmpl w:val="384AF420"/>
    <w:lvl w:ilvl="0" w:tplc="D2C8E05E">
      <w:numFmt w:val="bullet"/>
      <w:lvlText w:val="-"/>
      <w:lvlJc w:val="left"/>
      <w:pPr>
        <w:ind w:left="900" w:hanging="360"/>
      </w:pPr>
      <w:rPr>
        <w:rFonts w:ascii="Calibri" w:eastAsiaTheme="minorHAnsi" w:hAnsi="Calibri" w:cs="Calibri"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 w15:restartNumberingAfterBreak="0">
    <w:nsid w:val="132F3110"/>
    <w:multiLevelType w:val="hybridMultilevel"/>
    <w:tmpl w:val="5E7E9FD4"/>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337474B"/>
    <w:multiLevelType w:val="hybridMultilevel"/>
    <w:tmpl w:val="4AA8745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45D48FE"/>
    <w:multiLevelType w:val="hybridMultilevel"/>
    <w:tmpl w:val="16DEC34E"/>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25DD3B59"/>
    <w:multiLevelType w:val="hybridMultilevel"/>
    <w:tmpl w:val="6ED8B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0487B3F"/>
    <w:multiLevelType w:val="hybridMultilevel"/>
    <w:tmpl w:val="87F66154"/>
    <w:lvl w:ilvl="0" w:tplc="04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B71676"/>
    <w:multiLevelType w:val="hybridMultilevel"/>
    <w:tmpl w:val="77FEB356"/>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034E4E"/>
    <w:multiLevelType w:val="hybridMultilevel"/>
    <w:tmpl w:val="89F4F672"/>
    <w:lvl w:ilvl="0" w:tplc="3794A37E">
      <w:start w:val="1"/>
      <w:numFmt w:val="arabicAlpha"/>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3DF10A58"/>
    <w:multiLevelType w:val="hybridMultilevel"/>
    <w:tmpl w:val="72CED88E"/>
    <w:lvl w:ilvl="0" w:tplc="FFFFFFFF">
      <w:start w:val="1"/>
      <w:numFmt w:val="arabicAlpha"/>
      <w:lvlText w:val="%1-"/>
      <w:lvlJc w:val="center"/>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1814542"/>
    <w:multiLevelType w:val="hybridMultilevel"/>
    <w:tmpl w:val="EA7C2D2C"/>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8" w15:restartNumberingAfterBreak="0">
    <w:nsid w:val="4B8500DF"/>
    <w:multiLevelType w:val="hybridMultilevel"/>
    <w:tmpl w:val="8846671E"/>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79072B"/>
    <w:multiLevelType w:val="hybridMultilevel"/>
    <w:tmpl w:val="C54EDA0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E5D7FB8"/>
    <w:multiLevelType w:val="hybridMultilevel"/>
    <w:tmpl w:val="F6780B82"/>
    <w:lvl w:ilvl="0" w:tplc="D2C8E05E">
      <w:numFmt w:val="bullet"/>
      <w:lvlText w:val="-"/>
      <w:lvlJc w:val="left"/>
      <w:pPr>
        <w:ind w:left="360" w:hanging="360"/>
      </w:pPr>
      <w:rPr>
        <w:rFonts w:ascii="Calibri" w:eastAsiaTheme="minorHAnsi" w:hAnsi="Calibri" w:cs="Calibri" w:hint="default"/>
      </w:rPr>
    </w:lvl>
    <w:lvl w:ilvl="1" w:tplc="04090003">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987A9E"/>
    <w:multiLevelType w:val="hybridMultilevel"/>
    <w:tmpl w:val="E9922B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1C691B"/>
    <w:multiLevelType w:val="hybridMultilevel"/>
    <w:tmpl w:val="6C1A83C0"/>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95A1B56"/>
    <w:multiLevelType w:val="hybridMultilevel"/>
    <w:tmpl w:val="A790CBEA"/>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23A1534"/>
    <w:multiLevelType w:val="hybridMultilevel"/>
    <w:tmpl w:val="AAA8670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69E77EF4"/>
    <w:multiLevelType w:val="hybridMultilevel"/>
    <w:tmpl w:val="CEFE7F54"/>
    <w:lvl w:ilvl="0" w:tplc="C74AF2A8">
      <w:start w:val="7"/>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515360"/>
    <w:multiLevelType w:val="hybridMultilevel"/>
    <w:tmpl w:val="03F62C7E"/>
    <w:lvl w:ilvl="0" w:tplc="A8BA913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6777E6C"/>
    <w:multiLevelType w:val="hybridMultilevel"/>
    <w:tmpl w:val="42BE05B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76A44FC3"/>
    <w:multiLevelType w:val="hybridMultilevel"/>
    <w:tmpl w:val="485EB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3E456F"/>
    <w:multiLevelType w:val="hybridMultilevel"/>
    <w:tmpl w:val="8092BE0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5"/>
  </w:num>
  <w:num w:numId="3">
    <w:abstractNumId w:val="26"/>
  </w:num>
  <w:num w:numId="4">
    <w:abstractNumId w:val="14"/>
  </w:num>
  <w:num w:numId="5">
    <w:abstractNumId w:val="29"/>
  </w:num>
  <w:num w:numId="6">
    <w:abstractNumId w:val="3"/>
  </w:num>
  <w:num w:numId="7">
    <w:abstractNumId w:val="9"/>
  </w:num>
  <w:num w:numId="8">
    <w:abstractNumId w:val="16"/>
  </w:num>
  <w:num w:numId="9">
    <w:abstractNumId w:val="18"/>
  </w:num>
  <w:num w:numId="10">
    <w:abstractNumId w:val="20"/>
  </w:num>
  <w:num w:numId="11">
    <w:abstractNumId w:val="2"/>
  </w:num>
  <w:num w:numId="12">
    <w:abstractNumId w:val="1"/>
  </w:num>
  <w:num w:numId="13">
    <w:abstractNumId w:val="21"/>
  </w:num>
  <w:num w:numId="14">
    <w:abstractNumId w:val="23"/>
  </w:num>
  <w:num w:numId="15">
    <w:abstractNumId w:val="27"/>
  </w:num>
  <w:num w:numId="16">
    <w:abstractNumId w:val="24"/>
  </w:num>
  <w:num w:numId="17">
    <w:abstractNumId w:val="6"/>
  </w:num>
  <w:num w:numId="18">
    <w:abstractNumId w:val="19"/>
  </w:num>
  <w:num w:numId="19">
    <w:abstractNumId w:val="8"/>
  </w:num>
  <w:num w:numId="20">
    <w:abstractNumId w:val="13"/>
  </w:num>
  <w:num w:numId="21">
    <w:abstractNumId w:val="10"/>
  </w:num>
  <w:num w:numId="22">
    <w:abstractNumId w:val="28"/>
  </w:num>
  <w:num w:numId="23">
    <w:abstractNumId w:val="11"/>
  </w:num>
  <w:num w:numId="24">
    <w:abstractNumId w:val="22"/>
  </w:num>
  <w:num w:numId="25">
    <w:abstractNumId w:val="5"/>
  </w:num>
  <w:num w:numId="26">
    <w:abstractNumId w:val="17"/>
  </w:num>
  <w:num w:numId="27">
    <w:abstractNumId w:val="12"/>
  </w:num>
  <w:num w:numId="28">
    <w:abstractNumId w:val="7"/>
  </w:num>
  <w:num w:numId="29">
    <w:abstractNumId w:val="0"/>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formatting="1" w:enforcement="1" w:cryptProviderType="rsaAES" w:cryptAlgorithmClass="hash" w:cryptAlgorithmType="typeAny" w:cryptAlgorithmSid="14" w:cryptSpinCount="100000" w:hash="K98krFJNaAYcAbvdlkJ1ZAnuyfi0p+xpaePnKsd3DXY2hsvunZ3ZUglTo5L7PUiwCsMUq2zOSTc7tdNtZ72jIw==" w:salt="dwxaD7o5PtUjRD8t4ikBN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884"/>
    <w:rsid w:val="000242A8"/>
    <w:rsid w:val="0006411F"/>
    <w:rsid w:val="00090770"/>
    <w:rsid w:val="000A1FA0"/>
    <w:rsid w:val="000B59D1"/>
    <w:rsid w:val="000B6672"/>
    <w:rsid w:val="000D76D9"/>
    <w:rsid w:val="000E46C3"/>
    <w:rsid w:val="000E7525"/>
    <w:rsid w:val="000F092A"/>
    <w:rsid w:val="000F7D01"/>
    <w:rsid w:val="00105DB7"/>
    <w:rsid w:val="00120EA5"/>
    <w:rsid w:val="0012660F"/>
    <w:rsid w:val="001268F4"/>
    <w:rsid w:val="00127B97"/>
    <w:rsid w:val="001374D3"/>
    <w:rsid w:val="00137D94"/>
    <w:rsid w:val="00137FA4"/>
    <w:rsid w:val="00145C8B"/>
    <w:rsid w:val="00155A14"/>
    <w:rsid w:val="001719EB"/>
    <w:rsid w:val="001751C8"/>
    <w:rsid w:val="00176BE1"/>
    <w:rsid w:val="001A0091"/>
    <w:rsid w:val="001A5CB1"/>
    <w:rsid w:val="001B3856"/>
    <w:rsid w:val="001B74C9"/>
    <w:rsid w:val="001D2801"/>
    <w:rsid w:val="001E0F28"/>
    <w:rsid w:val="001E5853"/>
    <w:rsid w:val="001F17D0"/>
    <w:rsid w:val="00204088"/>
    <w:rsid w:val="0021413B"/>
    <w:rsid w:val="00220D6B"/>
    <w:rsid w:val="00265110"/>
    <w:rsid w:val="00273EAA"/>
    <w:rsid w:val="0027781D"/>
    <w:rsid w:val="00287FC0"/>
    <w:rsid w:val="00292DF1"/>
    <w:rsid w:val="002A6B29"/>
    <w:rsid w:val="002F1224"/>
    <w:rsid w:val="00304121"/>
    <w:rsid w:val="003174DA"/>
    <w:rsid w:val="00340D06"/>
    <w:rsid w:val="00391176"/>
    <w:rsid w:val="003946B5"/>
    <w:rsid w:val="003A181E"/>
    <w:rsid w:val="003D1884"/>
    <w:rsid w:val="003E0E53"/>
    <w:rsid w:val="003E1F7C"/>
    <w:rsid w:val="003F36C0"/>
    <w:rsid w:val="003F39DD"/>
    <w:rsid w:val="003F65C7"/>
    <w:rsid w:val="00434E12"/>
    <w:rsid w:val="00444AC0"/>
    <w:rsid w:val="00466AA6"/>
    <w:rsid w:val="00472C5D"/>
    <w:rsid w:val="00483CDB"/>
    <w:rsid w:val="00484B01"/>
    <w:rsid w:val="004B000E"/>
    <w:rsid w:val="004D7A9C"/>
    <w:rsid w:val="00507A7F"/>
    <w:rsid w:val="005171C1"/>
    <w:rsid w:val="00526952"/>
    <w:rsid w:val="00532295"/>
    <w:rsid w:val="00553347"/>
    <w:rsid w:val="00563368"/>
    <w:rsid w:val="00567291"/>
    <w:rsid w:val="00590ACC"/>
    <w:rsid w:val="005C5F24"/>
    <w:rsid w:val="005D2424"/>
    <w:rsid w:val="005D7270"/>
    <w:rsid w:val="005E07AC"/>
    <w:rsid w:val="005E1A66"/>
    <w:rsid w:val="00605C13"/>
    <w:rsid w:val="00605E6A"/>
    <w:rsid w:val="00623B00"/>
    <w:rsid w:val="0063407D"/>
    <w:rsid w:val="00661876"/>
    <w:rsid w:val="00672538"/>
    <w:rsid w:val="00685328"/>
    <w:rsid w:val="006857E8"/>
    <w:rsid w:val="00690CA6"/>
    <w:rsid w:val="006A4EDA"/>
    <w:rsid w:val="006A5B98"/>
    <w:rsid w:val="006D29FD"/>
    <w:rsid w:val="006D5294"/>
    <w:rsid w:val="006D7846"/>
    <w:rsid w:val="006F0399"/>
    <w:rsid w:val="007001BC"/>
    <w:rsid w:val="007165EF"/>
    <w:rsid w:val="00716EF6"/>
    <w:rsid w:val="007203A5"/>
    <w:rsid w:val="007253A8"/>
    <w:rsid w:val="00726C7D"/>
    <w:rsid w:val="00756631"/>
    <w:rsid w:val="007719B0"/>
    <w:rsid w:val="00774046"/>
    <w:rsid w:val="007809DA"/>
    <w:rsid w:val="0078773E"/>
    <w:rsid w:val="007A3308"/>
    <w:rsid w:val="007A5537"/>
    <w:rsid w:val="007D795E"/>
    <w:rsid w:val="007E687B"/>
    <w:rsid w:val="0080014F"/>
    <w:rsid w:val="00832E45"/>
    <w:rsid w:val="0085336D"/>
    <w:rsid w:val="008738FB"/>
    <w:rsid w:val="0087723C"/>
    <w:rsid w:val="00877E2D"/>
    <w:rsid w:val="008A1847"/>
    <w:rsid w:val="008C49F7"/>
    <w:rsid w:val="008D520A"/>
    <w:rsid w:val="008F2735"/>
    <w:rsid w:val="00904745"/>
    <w:rsid w:val="0096340C"/>
    <w:rsid w:val="0096779B"/>
    <w:rsid w:val="009852FE"/>
    <w:rsid w:val="009940AF"/>
    <w:rsid w:val="00996355"/>
    <w:rsid w:val="009A47EF"/>
    <w:rsid w:val="009C65B1"/>
    <w:rsid w:val="009C68A7"/>
    <w:rsid w:val="009D18CE"/>
    <w:rsid w:val="009E120E"/>
    <w:rsid w:val="009E5640"/>
    <w:rsid w:val="00A041AB"/>
    <w:rsid w:val="00A16414"/>
    <w:rsid w:val="00A42355"/>
    <w:rsid w:val="00A52770"/>
    <w:rsid w:val="00A641E3"/>
    <w:rsid w:val="00A66799"/>
    <w:rsid w:val="00A70241"/>
    <w:rsid w:val="00AE3F17"/>
    <w:rsid w:val="00B02619"/>
    <w:rsid w:val="00B30326"/>
    <w:rsid w:val="00B544FE"/>
    <w:rsid w:val="00B567EF"/>
    <w:rsid w:val="00B86C51"/>
    <w:rsid w:val="00BC412F"/>
    <w:rsid w:val="00BD5A19"/>
    <w:rsid w:val="00BE0F32"/>
    <w:rsid w:val="00BE1008"/>
    <w:rsid w:val="00C26EB5"/>
    <w:rsid w:val="00C3032A"/>
    <w:rsid w:val="00C508A5"/>
    <w:rsid w:val="00C6564D"/>
    <w:rsid w:val="00C71B16"/>
    <w:rsid w:val="00C76041"/>
    <w:rsid w:val="00C82B72"/>
    <w:rsid w:val="00CA624A"/>
    <w:rsid w:val="00CA7CEB"/>
    <w:rsid w:val="00CF53E4"/>
    <w:rsid w:val="00D51762"/>
    <w:rsid w:val="00D65F66"/>
    <w:rsid w:val="00DB790F"/>
    <w:rsid w:val="00DC2019"/>
    <w:rsid w:val="00DC4F4D"/>
    <w:rsid w:val="00DF4ECD"/>
    <w:rsid w:val="00E0326C"/>
    <w:rsid w:val="00E23A40"/>
    <w:rsid w:val="00E23EEE"/>
    <w:rsid w:val="00E3778A"/>
    <w:rsid w:val="00E4081E"/>
    <w:rsid w:val="00E53BB1"/>
    <w:rsid w:val="00E55D80"/>
    <w:rsid w:val="00E56E43"/>
    <w:rsid w:val="00EB2133"/>
    <w:rsid w:val="00EB30E2"/>
    <w:rsid w:val="00EC41C9"/>
    <w:rsid w:val="00ED1E5C"/>
    <w:rsid w:val="00EE156B"/>
    <w:rsid w:val="00F154A1"/>
    <w:rsid w:val="00F44F63"/>
    <w:rsid w:val="00F4689D"/>
    <w:rsid w:val="00F854B3"/>
    <w:rsid w:val="00F86E04"/>
    <w:rsid w:val="00F86F47"/>
    <w:rsid w:val="00FB1391"/>
    <w:rsid w:val="00FB2237"/>
    <w:rsid w:val="00FB3D68"/>
    <w:rsid w:val="00FC11B4"/>
    <w:rsid w:val="00FC312B"/>
    <w:rsid w:val="00FD7EF0"/>
    <w:rsid w:val="00FE6E15"/>
    <w:rsid w:val="00FE7E22"/>
    <w:rsid w:val="00FF6E8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0D8783"/>
  <w15:docId w15:val="{49683657-F885-4E7F-9DC5-D8D6759D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326"/>
    <w:pPr>
      <w:spacing w:after="200" w:line="276" w:lineRule="auto"/>
    </w:pPr>
  </w:style>
  <w:style w:type="paragraph" w:styleId="Heading1">
    <w:name w:val="heading 1"/>
    <w:basedOn w:val="Normal"/>
    <w:link w:val="Heading1Char"/>
    <w:uiPriority w:val="9"/>
    <w:qFormat/>
    <w:rsid w:val="003D1884"/>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unhideWhenUsed/>
    <w:qFormat/>
    <w:rsid w:val="00BE0F32"/>
    <w:pPr>
      <w:keepNext/>
      <w:keepLines/>
      <w:bidi/>
      <w:spacing w:before="40" w:after="0" w:line="259" w:lineRule="auto"/>
      <w:outlineLvl w:val="1"/>
    </w:pPr>
    <w:rPr>
      <w:rFonts w:asciiTheme="majorHAnsi" w:eastAsiaTheme="majorEastAsia" w:hAnsiTheme="majorHAnsi" w:cstheme="majorBidi"/>
      <w:color w:val="2F5496" w:themeColor="accent1" w:themeShade="BF"/>
      <w:kern w:val="0"/>
      <w:sz w:val="26"/>
      <w:szCs w:val="26"/>
      <w:lang w:bidi="ar-EG"/>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18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1884"/>
  </w:style>
  <w:style w:type="paragraph" w:styleId="Footer">
    <w:name w:val="footer"/>
    <w:basedOn w:val="Normal"/>
    <w:link w:val="FooterChar"/>
    <w:uiPriority w:val="99"/>
    <w:unhideWhenUsed/>
    <w:rsid w:val="003D18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1884"/>
  </w:style>
  <w:style w:type="paragraph" w:styleId="ListParagraph">
    <w:name w:val="List Paragraph"/>
    <w:basedOn w:val="Normal"/>
    <w:link w:val="ListParagraphChar"/>
    <w:uiPriority w:val="34"/>
    <w:qFormat/>
    <w:rsid w:val="003D1884"/>
    <w:pPr>
      <w:ind w:left="720"/>
      <w:contextualSpacing/>
    </w:pPr>
  </w:style>
  <w:style w:type="character" w:customStyle="1" w:styleId="ListParagraphChar">
    <w:name w:val="List Paragraph Char"/>
    <w:link w:val="ListParagraph"/>
    <w:uiPriority w:val="34"/>
    <w:rsid w:val="003D1884"/>
  </w:style>
  <w:style w:type="character" w:styleId="FootnoteReference">
    <w:name w:val="footnote reference"/>
    <w:aliases w:val="4_G,4_GA"/>
    <w:basedOn w:val="DefaultParagraphFont"/>
    <w:uiPriority w:val="99"/>
    <w:unhideWhenUsed/>
    <w:qFormat/>
    <w:rsid w:val="003D1884"/>
    <w:rPr>
      <w:vertAlign w:val="superscript"/>
    </w:rPr>
  </w:style>
  <w:style w:type="paragraph" w:styleId="FootnoteText">
    <w:name w:val="footnote text"/>
    <w:aliases w:val="5_G"/>
    <w:basedOn w:val="Normal"/>
    <w:link w:val="FootnoteTextChar"/>
    <w:uiPriority w:val="99"/>
    <w:unhideWhenUsed/>
    <w:qFormat/>
    <w:rsid w:val="003D1884"/>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3D1884"/>
    <w:rPr>
      <w:sz w:val="20"/>
      <w:szCs w:val="20"/>
    </w:rPr>
  </w:style>
  <w:style w:type="character" w:styleId="Hyperlink">
    <w:name w:val="Hyperlink"/>
    <w:basedOn w:val="DefaultParagraphFont"/>
    <w:uiPriority w:val="99"/>
    <w:unhideWhenUsed/>
    <w:rsid w:val="003D1884"/>
    <w:rPr>
      <w:color w:val="0563C1" w:themeColor="hyperlink"/>
      <w:u w:val="single"/>
    </w:rPr>
  </w:style>
  <w:style w:type="table" w:styleId="TableGrid">
    <w:name w:val="Table Grid"/>
    <w:basedOn w:val="TableNormal"/>
    <w:uiPriority w:val="59"/>
    <w:rsid w:val="003D188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DefaultParagraphFont"/>
    <w:rsid w:val="003D1884"/>
  </w:style>
  <w:style w:type="character" w:customStyle="1" w:styleId="rynqvb">
    <w:name w:val="rynqvb"/>
    <w:basedOn w:val="DefaultParagraphFont"/>
    <w:rsid w:val="003D1884"/>
  </w:style>
  <w:style w:type="character" w:customStyle="1" w:styleId="Heading1Char">
    <w:name w:val="Heading 1 Char"/>
    <w:basedOn w:val="DefaultParagraphFont"/>
    <w:link w:val="Heading1"/>
    <w:uiPriority w:val="9"/>
    <w:rsid w:val="003D1884"/>
    <w:rPr>
      <w:rFonts w:ascii="Times New Roman" w:eastAsia="Times New Roman" w:hAnsi="Times New Roman" w:cs="Times New Roman"/>
      <w:b/>
      <w:bCs/>
      <w:kern w:val="36"/>
      <w:sz w:val="48"/>
      <w:szCs w:val="48"/>
      <w14:ligatures w14:val="none"/>
    </w:rPr>
  </w:style>
  <w:style w:type="character" w:styleId="Emphasis">
    <w:name w:val="Emphasis"/>
    <w:basedOn w:val="DefaultParagraphFont"/>
    <w:uiPriority w:val="20"/>
    <w:qFormat/>
    <w:rsid w:val="000F092A"/>
    <w:rPr>
      <w:i/>
      <w:iCs/>
    </w:rPr>
  </w:style>
  <w:style w:type="character" w:customStyle="1" w:styleId="Heading2Char">
    <w:name w:val="Heading 2 Char"/>
    <w:basedOn w:val="DefaultParagraphFont"/>
    <w:link w:val="Heading2"/>
    <w:uiPriority w:val="9"/>
    <w:rsid w:val="00BE0F32"/>
    <w:rPr>
      <w:rFonts w:asciiTheme="majorHAnsi" w:eastAsiaTheme="majorEastAsia" w:hAnsiTheme="majorHAnsi" w:cstheme="majorBidi"/>
      <w:color w:val="2F5496" w:themeColor="accent1" w:themeShade="BF"/>
      <w:kern w:val="0"/>
      <w:sz w:val="26"/>
      <w:szCs w:val="26"/>
      <w:lang w:bidi="ar-EG"/>
      <w14:ligatures w14:val="none"/>
    </w:rPr>
  </w:style>
  <w:style w:type="character" w:styleId="CommentReference">
    <w:name w:val="annotation reference"/>
    <w:basedOn w:val="DefaultParagraphFont"/>
    <w:uiPriority w:val="99"/>
    <w:semiHidden/>
    <w:unhideWhenUsed/>
    <w:rsid w:val="00BE0F32"/>
    <w:rPr>
      <w:sz w:val="16"/>
      <w:szCs w:val="16"/>
    </w:rPr>
  </w:style>
  <w:style w:type="paragraph" w:styleId="CommentText">
    <w:name w:val="annotation text"/>
    <w:basedOn w:val="Normal"/>
    <w:link w:val="CommentTextChar"/>
    <w:uiPriority w:val="99"/>
    <w:semiHidden/>
    <w:unhideWhenUsed/>
    <w:rsid w:val="00BE0F32"/>
    <w:pPr>
      <w:spacing w:line="240" w:lineRule="auto"/>
    </w:pPr>
    <w:rPr>
      <w:sz w:val="20"/>
      <w:szCs w:val="20"/>
    </w:rPr>
  </w:style>
  <w:style w:type="character" w:customStyle="1" w:styleId="CommentTextChar">
    <w:name w:val="Comment Text Char"/>
    <w:basedOn w:val="DefaultParagraphFont"/>
    <w:link w:val="CommentText"/>
    <w:uiPriority w:val="99"/>
    <w:semiHidden/>
    <w:rsid w:val="00BE0F32"/>
    <w:rPr>
      <w:sz w:val="20"/>
      <w:szCs w:val="20"/>
    </w:rPr>
  </w:style>
  <w:style w:type="paragraph" w:styleId="CommentSubject">
    <w:name w:val="annotation subject"/>
    <w:basedOn w:val="CommentText"/>
    <w:next w:val="CommentText"/>
    <w:link w:val="CommentSubjectChar"/>
    <w:uiPriority w:val="99"/>
    <w:semiHidden/>
    <w:unhideWhenUsed/>
    <w:rsid w:val="00BE0F32"/>
    <w:rPr>
      <w:b/>
      <w:bCs/>
    </w:rPr>
  </w:style>
  <w:style w:type="character" w:customStyle="1" w:styleId="CommentSubjectChar">
    <w:name w:val="Comment Subject Char"/>
    <w:basedOn w:val="CommentTextChar"/>
    <w:link w:val="CommentSubject"/>
    <w:uiPriority w:val="99"/>
    <w:semiHidden/>
    <w:rsid w:val="00BE0F32"/>
    <w:rPr>
      <w:b/>
      <w:bCs/>
      <w:sz w:val="20"/>
      <w:szCs w:val="20"/>
    </w:rPr>
  </w:style>
  <w:style w:type="character" w:styleId="UnresolvedMention">
    <w:name w:val="Unresolved Mention"/>
    <w:basedOn w:val="DefaultParagraphFont"/>
    <w:uiPriority w:val="99"/>
    <w:semiHidden/>
    <w:unhideWhenUsed/>
    <w:rsid w:val="00FC312B"/>
    <w:rPr>
      <w:color w:val="605E5C"/>
      <w:shd w:val="clear" w:color="auto" w:fill="E1DFDD"/>
    </w:rPr>
  </w:style>
  <w:style w:type="character" w:customStyle="1" w:styleId="hwtze">
    <w:name w:val="hwtze"/>
    <w:basedOn w:val="DefaultParagraphFont"/>
    <w:rsid w:val="00273EAA"/>
  </w:style>
  <w:style w:type="paragraph" w:styleId="NormalWeb">
    <w:name w:val="Normal (Web)"/>
    <w:basedOn w:val="Normal"/>
    <w:uiPriority w:val="99"/>
    <w:unhideWhenUsed/>
    <w:rsid w:val="0055334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340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205346">
      <w:bodyDiv w:val="1"/>
      <w:marLeft w:val="0"/>
      <w:marRight w:val="0"/>
      <w:marTop w:val="0"/>
      <w:marBottom w:val="0"/>
      <w:divBdr>
        <w:top w:val="none" w:sz="0" w:space="0" w:color="auto"/>
        <w:left w:val="none" w:sz="0" w:space="0" w:color="auto"/>
        <w:bottom w:val="none" w:sz="0" w:space="0" w:color="auto"/>
        <w:right w:val="none" w:sz="0" w:space="0" w:color="auto"/>
      </w:divBdr>
    </w:div>
    <w:div w:id="142351386">
      <w:bodyDiv w:val="1"/>
      <w:marLeft w:val="0"/>
      <w:marRight w:val="0"/>
      <w:marTop w:val="0"/>
      <w:marBottom w:val="0"/>
      <w:divBdr>
        <w:top w:val="none" w:sz="0" w:space="0" w:color="auto"/>
        <w:left w:val="none" w:sz="0" w:space="0" w:color="auto"/>
        <w:bottom w:val="none" w:sz="0" w:space="0" w:color="auto"/>
        <w:right w:val="none" w:sz="0" w:space="0" w:color="auto"/>
      </w:divBdr>
    </w:div>
    <w:div w:id="167251237">
      <w:bodyDiv w:val="1"/>
      <w:marLeft w:val="0"/>
      <w:marRight w:val="0"/>
      <w:marTop w:val="0"/>
      <w:marBottom w:val="0"/>
      <w:divBdr>
        <w:top w:val="none" w:sz="0" w:space="0" w:color="auto"/>
        <w:left w:val="none" w:sz="0" w:space="0" w:color="auto"/>
        <w:bottom w:val="none" w:sz="0" w:space="0" w:color="auto"/>
        <w:right w:val="none" w:sz="0" w:space="0" w:color="auto"/>
      </w:divBdr>
    </w:div>
    <w:div w:id="179122689">
      <w:bodyDiv w:val="1"/>
      <w:marLeft w:val="0"/>
      <w:marRight w:val="0"/>
      <w:marTop w:val="0"/>
      <w:marBottom w:val="0"/>
      <w:divBdr>
        <w:top w:val="none" w:sz="0" w:space="0" w:color="auto"/>
        <w:left w:val="none" w:sz="0" w:space="0" w:color="auto"/>
        <w:bottom w:val="none" w:sz="0" w:space="0" w:color="auto"/>
        <w:right w:val="none" w:sz="0" w:space="0" w:color="auto"/>
      </w:divBdr>
    </w:div>
    <w:div w:id="196090210">
      <w:bodyDiv w:val="1"/>
      <w:marLeft w:val="0"/>
      <w:marRight w:val="0"/>
      <w:marTop w:val="0"/>
      <w:marBottom w:val="0"/>
      <w:divBdr>
        <w:top w:val="none" w:sz="0" w:space="0" w:color="auto"/>
        <w:left w:val="none" w:sz="0" w:space="0" w:color="auto"/>
        <w:bottom w:val="none" w:sz="0" w:space="0" w:color="auto"/>
        <w:right w:val="none" w:sz="0" w:space="0" w:color="auto"/>
      </w:divBdr>
    </w:div>
    <w:div w:id="285620757">
      <w:bodyDiv w:val="1"/>
      <w:marLeft w:val="0"/>
      <w:marRight w:val="0"/>
      <w:marTop w:val="0"/>
      <w:marBottom w:val="0"/>
      <w:divBdr>
        <w:top w:val="none" w:sz="0" w:space="0" w:color="auto"/>
        <w:left w:val="none" w:sz="0" w:space="0" w:color="auto"/>
        <w:bottom w:val="none" w:sz="0" w:space="0" w:color="auto"/>
        <w:right w:val="none" w:sz="0" w:space="0" w:color="auto"/>
      </w:divBdr>
    </w:div>
    <w:div w:id="342441231">
      <w:bodyDiv w:val="1"/>
      <w:marLeft w:val="0"/>
      <w:marRight w:val="0"/>
      <w:marTop w:val="0"/>
      <w:marBottom w:val="0"/>
      <w:divBdr>
        <w:top w:val="none" w:sz="0" w:space="0" w:color="auto"/>
        <w:left w:val="none" w:sz="0" w:space="0" w:color="auto"/>
        <w:bottom w:val="none" w:sz="0" w:space="0" w:color="auto"/>
        <w:right w:val="none" w:sz="0" w:space="0" w:color="auto"/>
      </w:divBdr>
    </w:div>
    <w:div w:id="427888171">
      <w:bodyDiv w:val="1"/>
      <w:marLeft w:val="0"/>
      <w:marRight w:val="0"/>
      <w:marTop w:val="0"/>
      <w:marBottom w:val="0"/>
      <w:divBdr>
        <w:top w:val="none" w:sz="0" w:space="0" w:color="auto"/>
        <w:left w:val="none" w:sz="0" w:space="0" w:color="auto"/>
        <w:bottom w:val="none" w:sz="0" w:space="0" w:color="auto"/>
        <w:right w:val="none" w:sz="0" w:space="0" w:color="auto"/>
      </w:divBdr>
      <w:divsChild>
        <w:div w:id="905649144">
          <w:marLeft w:val="0"/>
          <w:marRight w:val="0"/>
          <w:marTop w:val="0"/>
          <w:marBottom w:val="0"/>
          <w:divBdr>
            <w:top w:val="none" w:sz="0" w:space="0" w:color="auto"/>
            <w:left w:val="none" w:sz="0" w:space="0" w:color="auto"/>
            <w:bottom w:val="none" w:sz="0" w:space="0" w:color="auto"/>
            <w:right w:val="none" w:sz="0" w:space="0" w:color="auto"/>
          </w:divBdr>
        </w:div>
      </w:divsChild>
    </w:div>
    <w:div w:id="451555181">
      <w:bodyDiv w:val="1"/>
      <w:marLeft w:val="0"/>
      <w:marRight w:val="0"/>
      <w:marTop w:val="0"/>
      <w:marBottom w:val="0"/>
      <w:divBdr>
        <w:top w:val="none" w:sz="0" w:space="0" w:color="auto"/>
        <w:left w:val="none" w:sz="0" w:space="0" w:color="auto"/>
        <w:bottom w:val="none" w:sz="0" w:space="0" w:color="auto"/>
        <w:right w:val="none" w:sz="0" w:space="0" w:color="auto"/>
      </w:divBdr>
    </w:div>
    <w:div w:id="530146085">
      <w:bodyDiv w:val="1"/>
      <w:marLeft w:val="0"/>
      <w:marRight w:val="0"/>
      <w:marTop w:val="0"/>
      <w:marBottom w:val="0"/>
      <w:divBdr>
        <w:top w:val="none" w:sz="0" w:space="0" w:color="auto"/>
        <w:left w:val="none" w:sz="0" w:space="0" w:color="auto"/>
        <w:bottom w:val="none" w:sz="0" w:space="0" w:color="auto"/>
        <w:right w:val="none" w:sz="0" w:space="0" w:color="auto"/>
      </w:divBdr>
    </w:div>
    <w:div w:id="561672417">
      <w:bodyDiv w:val="1"/>
      <w:marLeft w:val="0"/>
      <w:marRight w:val="0"/>
      <w:marTop w:val="0"/>
      <w:marBottom w:val="0"/>
      <w:divBdr>
        <w:top w:val="none" w:sz="0" w:space="0" w:color="auto"/>
        <w:left w:val="none" w:sz="0" w:space="0" w:color="auto"/>
        <w:bottom w:val="none" w:sz="0" w:space="0" w:color="auto"/>
        <w:right w:val="none" w:sz="0" w:space="0" w:color="auto"/>
      </w:divBdr>
    </w:div>
    <w:div w:id="570315097">
      <w:bodyDiv w:val="1"/>
      <w:marLeft w:val="0"/>
      <w:marRight w:val="0"/>
      <w:marTop w:val="0"/>
      <w:marBottom w:val="0"/>
      <w:divBdr>
        <w:top w:val="none" w:sz="0" w:space="0" w:color="auto"/>
        <w:left w:val="none" w:sz="0" w:space="0" w:color="auto"/>
        <w:bottom w:val="none" w:sz="0" w:space="0" w:color="auto"/>
        <w:right w:val="none" w:sz="0" w:space="0" w:color="auto"/>
      </w:divBdr>
    </w:div>
    <w:div w:id="645551394">
      <w:bodyDiv w:val="1"/>
      <w:marLeft w:val="0"/>
      <w:marRight w:val="0"/>
      <w:marTop w:val="0"/>
      <w:marBottom w:val="0"/>
      <w:divBdr>
        <w:top w:val="none" w:sz="0" w:space="0" w:color="auto"/>
        <w:left w:val="none" w:sz="0" w:space="0" w:color="auto"/>
        <w:bottom w:val="none" w:sz="0" w:space="0" w:color="auto"/>
        <w:right w:val="none" w:sz="0" w:space="0" w:color="auto"/>
      </w:divBdr>
    </w:div>
    <w:div w:id="671031608">
      <w:bodyDiv w:val="1"/>
      <w:marLeft w:val="0"/>
      <w:marRight w:val="0"/>
      <w:marTop w:val="0"/>
      <w:marBottom w:val="0"/>
      <w:divBdr>
        <w:top w:val="none" w:sz="0" w:space="0" w:color="auto"/>
        <w:left w:val="none" w:sz="0" w:space="0" w:color="auto"/>
        <w:bottom w:val="none" w:sz="0" w:space="0" w:color="auto"/>
        <w:right w:val="none" w:sz="0" w:space="0" w:color="auto"/>
      </w:divBdr>
      <w:divsChild>
        <w:div w:id="1458720784">
          <w:marLeft w:val="0"/>
          <w:marRight w:val="0"/>
          <w:marTop w:val="0"/>
          <w:marBottom w:val="0"/>
          <w:divBdr>
            <w:top w:val="none" w:sz="0" w:space="0" w:color="auto"/>
            <w:left w:val="none" w:sz="0" w:space="0" w:color="auto"/>
            <w:bottom w:val="none" w:sz="0" w:space="0" w:color="auto"/>
            <w:right w:val="none" w:sz="0" w:space="0" w:color="auto"/>
          </w:divBdr>
        </w:div>
      </w:divsChild>
    </w:div>
    <w:div w:id="771436483">
      <w:bodyDiv w:val="1"/>
      <w:marLeft w:val="0"/>
      <w:marRight w:val="0"/>
      <w:marTop w:val="0"/>
      <w:marBottom w:val="0"/>
      <w:divBdr>
        <w:top w:val="none" w:sz="0" w:space="0" w:color="auto"/>
        <w:left w:val="none" w:sz="0" w:space="0" w:color="auto"/>
        <w:bottom w:val="none" w:sz="0" w:space="0" w:color="auto"/>
        <w:right w:val="none" w:sz="0" w:space="0" w:color="auto"/>
      </w:divBdr>
    </w:div>
    <w:div w:id="817724798">
      <w:bodyDiv w:val="1"/>
      <w:marLeft w:val="0"/>
      <w:marRight w:val="0"/>
      <w:marTop w:val="0"/>
      <w:marBottom w:val="0"/>
      <w:divBdr>
        <w:top w:val="none" w:sz="0" w:space="0" w:color="auto"/>
        <w:left w:val="none" w:sz="0" w:space="0" w:color="auto"/>
        <w:bottom w:val="none" w:sz="0" w:space="0" w:color="auto"/>
        <w:right w:val="none" w:sz="0" w:space="0" w:color="auto"/>
      </w:divBdr>
    </w:div>
    <w:div w:id="885335662">
      <w:bodyDiv w:val="1"/>
      <w:marLeft w:val="0"/>
      <w:marRight w:val="0"/>
      <w:marTop w:val="0"/>
      <w:marBottom w:val="0"/>
      <w:divBdr>
        <w:top w:val="none" w:sz="0" w:space="0" w:color="auto"/>
        <w:left w:val="none" w:sz="0" w:space="0" w:color="auto"/>
        <w:bottom w:val="none" w:sz="0" w:space="0" w:color="auto"/>
        <w:right w:val="none" w:sz="0" w:space="0" w:color="auto"/>
      </w:divBdr>
    </w:div>
    <w:div w:id="888491390">
      <w:bodyDiv w:val="1"/>
      <w:marLeft w:val="0"/>
      <w:marRight w:val="0"/>
      <w:marTop w:val="0"/>
      <w:marBottom w:val="0"/>
      <w:divBdr>
        <w:top w:val="none" w:sz="0" w:space="0" w:color="auto"/>
        <w:left w:val="none" w:sz="0" w:space="0" w:color="auto"/>
        <w:bottom w:val="none" w:sz="0" w:space="0" w:color="auto"/>
        <w:right w:val="none" w:sz="0" w:space="0" w:color="auto"/>
      </w:divBdr>
    </w:div>
    <w:div w:id="970087854">
      <w:bodyDiv w:val="1"/>
      <w:marLeft w:val="0"/>
      <w:marRight w:val="0"/>
      <w:marTop w:val="0"/>
      <w:marBottom w:val="0"/>
      <w:divBdr>
        <w:top w:val="none" w:sz="0" w:space="0" w:color="auto"/>
        <w:left w:val="none" w:sz="0" w:space="0" w:color="auto"/>
        <w:bottom w:val="none" w:sz="0" w:space="0" w:color="auto"/>
        <w:right w:val="none" w:sz="0" w:space="0" w:color="auto"/>
      </w:divBdr>
    </w:div>
    <w:div w:id="1038310587">
      <w:bodyDiv w:val="1"/>
      <w:marLeft w:val="0"/>
      <w:marRight w:val="0"/>
      <w:marTop w:val="0"/>
      <w:marBottom w:val="0"/>
      <w:divBdr>
        <w:top w:val="none" w:sz="0" w:space="0" w:color="auto"/>
        <w:left w:val="none" w:sz="0" w:space="0" w:color="auto"/>
        <w:bottom w:val="none" w:sz="0" w:space="0" w:color="auto"/>
        <w:right w:val="none" w:sz="0" w:space="0" w:color="auto"/>
      </w:divBdr>
    </w:div>
    <w:div w:id="1104689923">
      <w:bodyDiv w:val="1"/>
      <w:marLeft w:val="0"/>
      <w:marRight w:val="0"/>
      <w:marTop w:val="0"/>
      <w:marBottom w:val="0"/>
      <w:divBdr>
        <w:top w:val="none" w:sz="0" w:space="0" w:color="auto"/>
        <w:left w:val="none" w:sz="0" w:space="0" w:color="auto"/>
        <w:bottom w:val="none" w:sz="0" w:space="0" w:color="auto"/>
        <w:right w:val="none" w:sz="0" w:space="0" w:color="auto"/>
      </w:divBdr>
    </w:div>
    <w:div w:id="1162619608">
      <w:bodyDiv w:val="1"/>
      <w:marLeft w:val="0"/>
      <w:marRight w:val="0"/>
      <w:marTop w:val="0"/>
      <w:marBottom w:val="0"/>
      <w:divBdr>
        <w:top w:val="none" w:sz="0" w:space="0" w:color="auto"/>
        <w:left w:val="none" w:sz="0" w:space="0" w:color="auto"/>
        <w:bottom w:val="none" w:sz="0" w:space="0" w:color="auto"/>
        <w:right w:val="none" w:sz="0" w:space="0" w:color="auto"/>
      </w:divBdr>
    </w:div>
    <w:div w:id="1353646222">
      <w:bodyDiv w:val="1"/>
      <w:marLeft w:val="0"/>
      <w:marRight w:val="0"/>
      <w:marTop w:val="0"/>
      <w:marBottom w:val="0"/>
      <w:divBdr>
        <w:top w:val="none" w:sz="0" w:space="0" w:color="auto"/>
        <w:left w:val="none" w:sz="0" w:space="0" w:color="auto"/>
        <w:bottom w:val="none" w:sz="0" w:space="0" w:color="auto"/>
        <w:right w:val="none" w:sz="0" w:space="0" w:color="auto"/>
      </w:divBdr>
    </w:div>
    <w:div w:id="1408842219">
      <w:bodyDiv w:val="1"/>
      <w:marLeft w:val="0"/>
      <w:marRight w:val="0"/>
      <w:marTop w:val="0"/>
      <w:marBottom w:val="0"/>
      <w:divBdr>
        <w:top w:val="none" w:sz="0" w:space="0" w:color="auto"/>
        <w:left w:val="none" w:sz="0" w:space="0" w:color="auto"/>
        <w:bottom w:val="none" w:sz="0" w:space="0" w:color="auto"/>
        <w:right w:val="none" w:sz="0" w:space="0" w:color="auto"/>
      </w:divBdr>
    </w:div>
    <w:div w:id="1533113376">
      <w:bodyDiv w:val="1"/>
      <w:marLeft w:val="0"/>
      <w:marRight w:val="0"/>
      <w:marTop w:val="0"/>
      <w:marBottom w:val="0"/>
      <w:divBdr>
        <w:top w:val="none" w:sz="0" w:space="0" w:color="auto"/>
        <w:left w:val="none" w:sz="0" w:space="0" w:color="auto"/>
        <w:bottom w:val="none" w:sz="0" w:space="0" w:color="auto"/>
        <w:right w:val="none" w:sz="0" w:space="0" w:color="auto"/>
      </w:divBdr>
    </w:div>
    <w:div w:id="1591159765">
      <w:bodyDiv w:val="1"/>
      <w:marLeft w:val="0"/>
      <w:marRight w:val="0"/>
      <w:marTop w:val="0"/>
      <w:marBottom w:val="0"/>
      <w:divBdr>
        <w:top w:val="none" w:sz="0" w:space="0" w:color="auto"/>
        <w:left w:val="none" w:sz="0" w:space="0" w:color="auto"/>
        <w:bottom w:val="none" w:sz="0" w:space="0" w:color="auto"/>
        <w:right w:val="none" w:sz="0" w:space="0" w:color="auto"/>
      </w:divBdr>
    </w:div>
    <w:div w:id="1685790685">
      <w:bodyDiv w:val="1"/>
      <w:marLeft w:val="0"/>
      <w:marRight w:val="0"/>
      <w:marTop w:val="0"/>
      <w:marBottom w:val="0"/>
      <w:divBdr>
        <w:top w:val="none" w:sz="0" w:space="0" w:color="auto"/>
        <w:left w:val="none" w:sz="0" w:space="0" w:color="auto"/>
        <w:bottom w:val="none" w:sz="0" w:space="0" w:color="auto"/>
        <w:right w:val="none" w:sz="0" w:space="0" w:color="auto"/>
      </w:divBdr>
    </w:div>
    <w:div w:id="1693339842">
      <w:bodyDiv w:val="1"/>
      <w:marLeft w:val="0"/>
      <w:marRight w:val="0"/>
      <w:marTop w:val="0"/>
      <w:marBottom w:val="0"/>
      <w:divBdr>
        <w:top w:val="none" w:sz="0" w:space="0" w:color="auto"/>
        <w:left w:val="none" w:sz="0" w:space="0" w:color="auto"/>
        <w:bottom w:val="none" w:sz="0" w:space="0" w:color="auto"/>
        <w:right w:val="none" w:sz="0" w:space="0" w:color="auto"/>
      </w:divBdr>
      <w:divsChild>
        <w:div w:id="1456293669">
          <w:marLeft w:val="0"/>
          <w:marRight w:val="0"/>
          <w:marTop w:val="0"/>
          <w:marBottom w:val="0"/>
          <w:divBdr>
            <w:top w:val="none" w:sz="0" w:space="0" w:color="auto"/>
            <w:left w:val="none" w:sz="0" w:space="0" w:color="auto"/>
            <w:bottom w:val="none" w:sz="0" w:space="0" w:color="auto"/>
            <w:right w:val="none" w:sz="0" w:space="0" w:color="auto"/>
          </w:divBdr>
        </w:div>
      </w:divsChild>
    </w:div>
    <w:div w:id="1712223370">
      <w:bodyDiv w:val="1"/>
      <w:marLeft w:val="0"/>
      <w:marRight w:val="0"/>
      <w:marTop w:val="0"/>
      <w:marBottom w:val="0"/>
      <w:divBdr>
        <w:top w:val="none" w:sz="0" w:space="0" w:color="auto"/>
        <w:left w:val="none" w:sz="0" w:space="0" w:color="auto"/>
        <w:bottom w:val="none" w:sz="0" w:space="0" w:color="auto"/>
        <w:right w:val="none" w:sz="0" w:space="0" w:color="auto"/>
      </w:divBdr>
      <w:divsChild>
        <w:div w:id="386076936">
          <w:marLeft w:val="0"/>
          <w:marRight w:val="0"/>
          <w:marTop w:val="0"/>
          <w:marBottom w:val="0"/>
          <w:divBdr>
            <w:top w:val="none" w:sz="0" w:space="0" w:color="auto"/>
            <w:left w:val="none" w:sz="0" w:space="0" w:color="auto"/>
            <w:bottom w:val="none" w:sz="0" w:space="0" w:color="auto"/>
            <w:right w:val="none" w:sz="0" w:space="0" w:color="auto"/>
          </w:divBdr>
        </w:div>
      </w:divsChild>
    </w:div>
    <w:div w:id="1712461243">
      <w:bodyDiv w:val="1"/>
      <w:marLeft w:val="0"/>
      <w:marRight w:val="0"/>
      <w:marTop w:val="0"/>
      <w:marBottom w:val="0"/>
      <w:divBdr>
        <w:top w:val="none" w:sz="0" w:space="0" w:color="auto"/>
        <w:left w:val="none" w:sz="0" w:space="0" w:color="auto"/>
        <w:bottom w:val="none" w:sz="0" w:space="0" w:color="auto"/>
        <w:right w:val="none" w:sz="0" w:space="0" w:color="auto"/>
      </w:divBdr>
    </w:div>
    <w:div w:id="1921525951">
      <w:bodyDiv w:val="1"/>
      <w:marLeft w:val="0"/>
      <w:marRight w:val="0"/>
      <w:marTop w:val="0"/>
      <w:marBottom w:val="0"/>
      <w:divBdr>
        <w:top w:val="none" w:sz="0" w:space="0" w:color="auto"/>
        <w:left w:val="none" w:sz="0" w:space="0" w:color="auto"/>
        <w:bottom w:val="none" w:sz="0" w:space="0" w:color="auto"/>
        <w:right w:val="none" w:sz="0" w:space="0" w:color="auto"/>
      </w:divBdr>
    </w:div>
    <w:div w:id="1967009170">
      <w:bodyDiv w:val="1"/>
      <w:marLeft w:val="0"/>
      <w:marRight w:val="0"/>
      <w:marTop w:val="0"/>
      <w:marBottom w:val="0"/>
      <w:divBdr>
        <w:top w:val="none" w:sz="0" w:space="0" w:color="auto"/>
        <w:left w:val="none" w:sz="0" w:space="0" w:color="auto"/>
        <w:bottom w:val="none" w:sz="0" w:space="0" w:color="auto"/>
        <w:right w:val="none" w:sz="0" w:space="0" w:color="auto"/>
      </w:divBdr>
    </w:div>
    <w:div w:id="1975215113">
      <w:bodyDiv w:val="1"/>
      <w:marLeft w:val="0"/>
      <w:marRight w:val="0"/>
      <w:marTop w:val="0"/>
      <w:marBottom w:val="0"/>
      <w:divBdr>
        <w:top w:val="none" w:sz="0" w:space="0" w:color="auto"/>
        <w:left w:val="none" w:sz="0" w:space="0" w:color="auto"/>
        <w:bottom w:val="none" w:sz="0" w:space="0" w:color="auto"/>
        <w:right w:val="none" w:sz="0" w:space="0" w:color="auto"/>
      </w:divBdr>
      <w:divsChild>
        <w:div w:id="1848326705">
          <w:marLeft w:val="0"/>
          <w:marRight w:val="0"/>
          <w:marTop w:val="0"/>
          <w:marBottom w:val="0"/>
          <w:divBdr>
            <w:top w:val="none" w:sz="0" w:space="0" w:color="auto"/>
            <w:left w:val="none" w:sz="0" w:space="0" w:color="auto"/>
            <w:bottom w:val="none" w:sz="0" w:space="0" w:color="auto"/>
            <w:right w:val="none" w:sz="0" w:space="0" w:color="auto"/>
          </w:divBdr>
        </w:div>
      </w:divsChild>
    </w:div>
    <w:div w:id="1980720184">
      <w:bodyDiv w:val="1"/>
      <w:marLeft w:val="0"/>
      <w:marRight w:val="0"/>
      <w:marTop w:val="0"/>
      <w:marBottom w:val="0"/>
      <w:divBdr>
        <w:top w:val="none" w:sz="0" w:space="0" w:color="auto"/>
        <w:left w:val="none" w:sz="0" w:space="0" w:color="auto"/>
        <w:bottom w:val="none" w:sz="0" w:space="0" w:color="auto"/>
        <w:right w:val="none" w:sz="0" w:space="0" w:color="auto"/>
      </w:divBdr>
    </w:div>
    <w:div w:id="2032875458">
      <w:bodyDiv w:val="1"/>
      <w:marLeft w:val="0"/>
      <w:marRight w:val="0"/>
      <w:marTop w:val="0"/>
      <w:marBottom w:val="0"/>
      <w:divBdr>
        <w:top w:val="none" w:sz="0" w:space="0" w:color="auto"/>
        <w:left w:val="none" w:sz="0" w:space="0" w:color="auto"/>
        <w:bottom w:val="none" w:sz="0" w:space="0" w:color="auto"/>
        <w:right w:val="none" w:sz="0" w:space="0" w:color="auto"/>
      </w:divBdr>
      <w:divsChild>
        <w:div w:id="1931622620">
          <w:marLeft w:val="0"/>
          <w:marRight w:val="0"/>
          <w:marTop w:val="0"/>
          <w:marBottom w:val="0"/>
          <w:divBdr>
            <w:top w:val="none" w:sz="0" w:space="0" w:color="auto"/>
            <w:left w:val="none" w:sz="0" w:space="0" w:color="auto"/>
            <w:bottom w:val="none" w:sz="0" w:space="0" w:color="auto"/>
            <w:right w:val="none" w:sz="0" w:space="0" w:color="auto"/>
          </w:divBdr>
        </w:div>
      </w:divsChild>
    </w:div>
    <w:div w:id="2086955008">
      <w:bodyDiv w:val="1"/>
      <w:marLeft w:val="0"/>
      <w:marRight w:val="0"/>
      <w:marTop w:val="0"/>
      <w:marBottom w:val="0"/>
      <w:divBdr>
        <w:top w:val="none" w:sz="0" w:space="0" w:color="auto"/>
        <w:left w:val="none" w:sz="0" w:space="0" w:color="auto"/>
        <w:bottom w:val="none" w:sz="0" w:space="0" w:color="auto"/>
        <w:right w:val="none" w:sz="0" w:space="0" w:color="auto"/>
      </w:divBdr>
    </w:div>
    <w:div w:id="20875335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2h.ae/AVgI" TargetMode="External"/><Relationship Id="rId13" Type="http://schemas.openxmlformats.org/officeDocument/2006/relationships/hyperlink" Target="https://www.3rpsyriacrisis.org/wp-content/uploads/2022/11/gv1tHb-wcms_861695.pdf" TargetMode="External"/><Relationship Id="rId3" Type="http://schemas.openxmlformats.org/officeDocument/2006/relationships/hyperlink" Target="https://humanglemedia.com/how-traffickers-lure-nigerians-into-modern-slavery-in-egypt/" TargetMode="External"/><Relationship Id="rId7" Type="http://schemas.openxmlformats.org/officeDocument/2006/relationships/hyperlink" Target="https://2h.ae/cdNa" TargetMode="External"/><Relationship Id="rId12" Type="http://schemas.openxmlformats.org/officeDocument/2006/relationships/hyperlink" Target="https://t.ly/LiaB-" TargetMode="External"/><Relationship Id="rId17" Type="http://schemas.openxmlformats.org/officeDocument/2006/relationships/hyperlink" Target="https://english.ahram.org.eg/NewsContent/50/1210/404685/AlAhram-Weekly/Living/Egypt%E2%80%99s-African-household-workers.aspx" TargetMode="External"/><Relationship Id="rId2" Type="http://schemas.openxmlformats.org/officeDocument/2006/relationships/hyperlink" Target="https://www.constituteproject.org/constitution/Egypt_2019" TargetMode="External"/><Relationship Id="rId16" Type="http://schemas.openxmlformats.org/officeDocument/2006/relationships/hyperlink" Target="https://www.state.gov/reports/2023-trafficking-in-persons-report/" TargetMode="External"/><Relationship Id="rId1" Type="http://schemas.openxmlformats.org/officeDocument/2006/relationships/hyperlink" Target="https://2h.ae/UUxS" TargetMode="External"/><Relationship Id="rId6" Type="http://schemas.openxmlformats.org/officeDocument/2006/relationships/hyperlink" Target="https://2h.ae/Jgef" TargetMode="External"/><Relationship Id="rId11" Type="http://schemas.openxmlformats.org/officeDocument/2006/relationships/hyperlink" Target="https://2h.ae/waqs" TargetMode="External"/><Relationship Id="rId5" Type="http://schemas.openxmlformats.org/officeDocument/2006/relationships/hyperlink" Target="https://2h.ae/JaPi" TargetMode="External"/><Relationship Id="rId15" Type="http://schemas.openxmlformats.org/officeDocument/2006/relationships/hyperlink" Target="https://www.newsweek.com/six-migrants-shot-dead-mexico-soldiers-guatemala-1963084" TargetMode="External"/><Relationship Id="rId10" Type="http://schemas.openxmlformats.org/officeDocument/2006/relationships/hyperlink" Target="https://www.unhcr.org/eg/47255-sudan-ecw-unhcr-unicef.html" TargetMode="External"/><Relationship Id="rId4" Type="http://schemas.openxmlformats.org/officeDocument/2006/relationships/hyperlink" Target="https://rb.gy/oaji9p" TargetMode="External"/><Relationship Id="rId9" Type="http://schemas.openxmlformats.org/officeDocument/2006/relationships/hyperlink" Target="https://tinyurl.com/3t9ytxjj" TargetMode="External"/><Relationship Id="rId14" Type="http://schemas.openxmlformats.org/officeDocument/2006/relationships/hyperlink" Target="https://tinyurl.com/4cu8euw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2024-11-05T16:22:11+00:00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08949F-D34B-42ED-875D-50B3FCA5540C}">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customXml/itemProps2.xml><?xml version="1.0" encoding="utf-8"?>
<ds:datastoreItem xmlns:ds="http://schemas.openxmlformats.org/officeDocument/2006/customXml" ds:itemID="{D28BB6D8-B5FD-4164-8FC9-C3EEABD47FF1}">
  <ds:schemaRefs>
    <ds:schemaRef ds:uri="http://schemas.microsoft.com/sharepoint/v3/contenttype/forms"/>
  </ds:schemaRefs>
</ds:datastoreItem>
</file>

<file path=customXml/itemProps3.xml><?xml version="1.0" encoding="utf-8"?>
<ds:datastoreItem xmlns:ds="http://schemas.openxmlformats.org/officeDocument/2006/customXml" ds:itemID="{870C074C-DAF3-476C-8C5E-3EF10F3110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ED054A-A178-43F4-906D-AFD8AEC73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1952</Words>
  <Characters>11133</Characters>
  <Application>Microsoft Office Word</Application>
  <DocSecurity>8</DocSecurity>
  <Lines>92</Lines>
  <Paragraphs>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ICGS_8</dc:creator>
  <cp:keywords/>
  <dc:description/>
  <cp:lastModifiedBy>CMW</cp:lastModifiedBy>
  <cp:revision>3</cp:revision>
  <dcterms:created xsi:type="dcterms:W3CDTF">2024-11-02T16:34:00Z</dcterms:created>
  <dcterms:modified xsi:type="dcterms:W3CDTF">2024-11-07T09:10:00Z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944d6e79f3c9932c053996f329bf2f058c93239f5ca6e8838eed1da75b1f6526</vt:lpwstr>
  </property>
  <property fmtid="{D5CDD505-2E9C-101B-9397-08002B2CF9AE}" pid="3" name="ContentTypeId">
    <vt:lpwstr>0x010100FB4CCA895A17B843B34B7F2324FFA44A</vt:lpwstr>
  </property>
</Properties>
</file>