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2F31D" w14:textId="345AD606" w:rsidR="00383901" w:rsidRDefault="00383901" w:rsidP="00C57DE5">
      <w:pPr>
        <w:rPr>
          <w:b/>
        </w:rPr>
      </w:pPr>
    </w:p>
    <w:p w14:paraId="088544A1" w14:textId="1BD18118" w:rsidR="00383901" w:rsidRDefault="00D53AE7" w:rsidP="00C57DE5">
      <w:pPr>
        <w:rPr>
          <w:b/>
        </w:rPr>
      </w:pPr>
      <w:r>
        <w:rPr>
          <w:b/>
          <w:noProof/>
        </w:rPr>
        <w:drawing>
          <wp:anchor distT="0" distB="0" distL="114300" distR="114300" simplePos="0" relativeHeight="251669504" behindDoc="1" locked="0" layoutInCell="1" allowOverlap="1" wp14:anchorId="01679CC1" wp14:editId="4F52322F">
            <wp:simplePos x="0" y="0"/>
            <wp:positionH relativeFrom="margin">
              <wp:align>right</wp:align>
            </wp:positionH>
            <wp:positionV relativeFrom="paragraph">
              <wp:posOffset>11430</wp:posOffset>
            </wp:positionV>
            <wp:extent cx="1730375" cy="1356360"/>
            <wp:effectExtent l="0" t="0" r="3175" b="0"/>
            <wp:wrapTight wrapText="bothSides">
              <wp:wrapPolygon edited="0">
                <wp:start x="0" y="0"/>
                <wp:lineTo x="0" y="21236"/>
                <wp:lineTo x="21402" y="21236"/>
                <wp:lineTo x="214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xual_Rights_Initiative_Design fil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0375" cy="1356360"/>
                    </a:xfrm>
                    <a:prstGeom prst="rect">
                      <a:avLst/>
                    </a:prstGeom>
                  </pic:spPr>
                </pic:pic>
              </a:graphicData>
            </a:graphic>
            <wp14:sizeRelH relativeFrom="page">
              <wp14:pctWidth>0</wp14:pctWidth>
            </wp14:sizeRelH>
            <wp14:sizeRelV relativeFrom="page">
              <wp14:pctHeight>0</wp14:pctHeight>
            </wp14:sizeRelV>
          </wp:anchor>
        </w:drawing>
      </w:r>
      <w:r w:rsidRPr="008F08C7">
        <w:rPr>
          <w:b/>
          <w:noProof/>
          <w:lang w:eastAsia="en-CA"/>
        </w:rPr>
        <w:drawing>
          <wp:anchor distT="0" distB="0" distL="114300" distR="114300" simplePos="0" relativeHeight="251658240" behindDoc="0" locked="0" layoutInCell="1" allowOverlap="1" wp14:anchorId="062634C4" wp14:editId="56F34687">
            <wp:simplePos x="0" y="0"/>
            <wp:positionH relativeFrom="margin">
              <wp:align>left</wp:align>
            </wp:positionH>
            <wp:positionV relativeFrom="paragraph">
              <wp:posOffset>221615</wp:posOffset>
            </wp:positionV>
            <wp:extent cx="3819428" cy="1000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tion Canada_Logo-hi_E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19428" cy="1000125"/>
                    </a:xfrm>
                    <a:prstGeom prst="rect">
                      <a:avLst/>
                    </a:prstGeom>
                  </pic:spPr>
                </pic:pic>
              </a:graphicData>
            </a:graphic>
            <wp14:sizeRelH relativeFrom="page">
              <wp14:pctWidth>0</wp14:pctWidth>
            </wp14:sizeRelH>
            <wp14:sizeRelV relativeFrom="page">
              <wp14:pctHeight>0</wp14:pctHeight>
            </wp14:sizeRelV>
          </wp:anchor>
        </w:drawing>
      </w:r>
    </w:p>
    <w:p w14:paraId="7BA68497" w14:textId="250CC003" w:rsidR="00383901" w:rsidRDefault="00383901" w:rsidP="00C57DE5">
      <w:pPr>
        <w:rPr>
          <w:b/>
        </w:rPr>
      </w:pPr>
    </w:p>
    <w:p w14:paraId="752EEC08" w14:textId="2F26B5E8" w:rsidR="00D53AE7" w:rsidRDefault="00D53AE7" w:rsidP="00C57DE5">
      <w:pPr>
        <w:rPr>
          <w:b/>
        </w:rPr>
      </w:pPr>
    </w:p>
    <w:p w14:paraId="7B1D499D" w14:textId="77777777" w:rsidR="00D53AE7" w:rsidRDefault="00D53AE7" w:rsidP="00C57DE5">
      <w:pPr>
        <w:rPr>
          <w:b/>
        </w:rPr>
      </w:pPr>
    </w:p>
    <w:p w14:paraId="7315A058" w14:textId="71FCB4CB" w:rsidR="00A402B9" w:rsidRPr="008F08C7" w:rsidRDefault="00A402B9" w:rsidP="00C57DE5">
      <w:pPr>
        <w:rPr>
          <w:b/>
        </w:rPr>
      </w:pPr>
    </w:p>
    <w:p w14:paraId="1FB539B2" w14:textId="324C875C" w:rsidR="00D9243C" w:rsidRDefault="00AF5E92" w:rsidP="008F08C7">
      <w:pPr>
        <w:pStyle w:val="Title"/>
        <w:jc w:val="left"/>
        <w:rPr>
          <w:rFonts w:ascii="Gotham Rounded Bold" w:eastAsiaTheme="minorEastAsia" w:hAnsi="Gotham Rounded Bold" w:cstheme="minorBidi"/>
          <w:b/>
          <w:caps w:val="0"/>
          <w:color w:val="3E4752"/>
          <w:spacing w:val="0"/>
          <w:sz w:val="28"/>
          <w:szCs w:val="28"/>
        </w:rPr>
      </w:pPr>
      <w:r>
        <w:rPr>
          <w:rFonts w:ascii="Gotham Rounded Bold" w:eastAsiaTheme="minorEastAsia" w:hAnsi="Gotham Rounded Bold" w:cstheme="minorBidi"/>
          <w:b/>
          <w:caps w:val="0"/>
          <w:color w:val="3E4752"/>
          <w:spacing w:val="0"/>
          <w:sz w:val="28"/>
          <w:szCs w:val="28"/>
        </w:rPr>
        <w:t xml:space="preserve">Submission to the UN Committee on </w:t>
      </w:r>
      <w:r w:rsidR="00082BA5">
        <w:rPr>
          <w:rFonts w:ascii="Gotham Rounded Bold" w:eastAsiaTheme="minorEastAsia" w:hAnsi="Gotham Rounded Bold" w:cstheme="minorBidi"/>
          <w:b/>
          <w:caps w:val="0"/>
          <w:color w:val="3E4752"/>
          <w:spacing w:val="0"/>
          <w:sz w:val="28"/>
          <w:szCs w:val="28"/>
        </w:rPr>
        <w:t xml:space="preserve">the Elimination of Discrimination Against Women </w:t>
      </w:r>
    </w:p>
    <w:p w14:paraId="6B54A510" w14:textId="40A0D248" w:rsidR="00082BA5" w:rsidRDefault="00BD513E" w:rsidP="00C76399">
      <w:r>
        <w:t>76</w:t>
      </w:r>
      <w:r w:rsidRPr="00BD513E">
        <w:rPr>
          <w:vertAlign w:val="superscript"/>
        </w:rPr>
        <w:t>th</w:t>
      </w:r>
      <w:r>
        <w:t xml:space="preserve"> </w:t>
      </w:r>
      <w:r w:rsidR="00082BA5">
        <w:t>Pre-Sessional Working Group (</w:t>
      </w:r>
      <w:r w:rsidR="009A4A8A">
        <w:t>November 11 – 15 2019</w:t>
      </w:r>
      <w:r w:rsidR="00082BA5">
        <w:t xml:space="preserve">) </w:t>
      </w:r>
    </w:p>
    <w:p w14:paraId="38AF0DAF" w14:textId="0FBBF109" w:rsidR="00C76399" w:rsidRDefault="00C76399" w:rsidP="00C76399">
      <w:pPr>
        <w:rPr>
          <w:b/>
        </w:rPr>
      </w:pPr>
    </w:p>
    <w:p w14:paraId="381A928E" w14:textId="77777777" w:rsidR="00B460C7" w:rsidRDefault="00B460C7" w:rsidP="00C76399">
      <w:pPr>
        <w:rPr>
          <w:b/>
        </w:rPr>
      </w:pPr>
    </w:p>
    <w:p w14:paraId="117D84F3" w14:textId="68FD36E6" w:rsidR="004A7C00" w:rsidRDefault="004A7C00" w:rsidP="004A7C00">
      <w:pPr>
        <w:rPr>
          <w:b/>
        </w:rPr>
      </w:pPr>
    </w:p>
    <w:p w14:paraId="7E99E603" w14:textId="77777777" w:rsidR="00EE7F15" w:rsidRDefault="00EE7F15" w:rsidP="004A7C00">
      <w:pPr>
        <w:rPr>
          <w:b/>
        </w:rPr>
      </w:pPr>
    </w:p>
    <w:p w14:paraId="1762132E" w14:textId="77777777" w:rsidR="004A7C00" w:rsidRDefault="004A7C00" w:rsidP="004A7C00">
      <w:pPr>
        <w:spacing w:after="0"/>
        <w:rPr>
          <w:b/>
        </w:rPr>
      </w:pPr>
    </w:p>
    <w:p w14:paraId="28868854" w14:textId="77777777" w:rsidR="004A7C00" w:rsidRDefault="004A7C00" w:rsidP="004A7C00">
      <w:pPr>
        <w:spacing w:after="0"/>
        <w:rPr>
          <w:b/>
        </w:rPr>
      </w:pPr>
    </w:p>
    <w:p w14:paraId="7F2FFF7B" w14:textId="07F4533B" w:rsidR="004A7C00" w:rsidRDefault="004A7C00" w:rsidP="004A7C00">
      <w:pPr>
        <w:spacing w:after="0"/>
        <w:rPr>
          <w:b/>
        </w:rPr>
      </w:pPr>
    </w:p>
    <w:p w14:paraId="4329C624" w14:textId="34A32666" w:rsidR="0049656B" w:rsidRDefault="0049656B" w:rsidP="004A7C00">
      <w:pPr>
        <w:spacing w:after="0"/>
        <w:rPr>
          <w:b/>
        </w:rPr>
      </w:pPr>
    </w:p>
    <w:p w14:paraId="3456B93E" w14:textId="25EEFA0E" w:rsidR="000F7440" w:rsidRDefault="000F7440" w:rsidP="004A7C00">
      <w:pPr>
        <w:spacing w:after="0"/>
        <w:rPr>
          <w:b/>
        </w:rPr>
      </w:pPr>
    </w:p>
    <w:p w14:paraId="5BFBAA66" w14:textId="60C4F78D" w:rsidR="00CD2486" w:rsidRDefault="00CD2486" w:rsidP="004A7C00">
      <w:pPr>
        <w:spacing w:after="0"/>
        <w:rPr>
          <w:b/>
        </w:rPr>
      </w:pPr>
    </w:p>
    <w:p w14:paraId="7F59B6A8" w14:textId="2FC15473" w:rsidR="00CD2486" w:rsidRDefault="00CD2486" w:rsidP="004A7C00">
      <w:pPr>
        <w:spacing w:after="0"/>
        <w:rPr>
          <w:b/>
        </w:rPr>
      </w:pPr>
    </w:p>
    <w:p w14:paraId="26D19EB7" w14:textId="52C28B46" w:rsidR="00CD2486" w:rsidRDefault="00CD2486" w:rsidP="004A7C00">
      <w:pPr>
        <w:spacing w:after="0"/>
        <w:rPr>
          <w:b/>
        </w:rPr>
      </w:pPr>
    </w:p>
    <w:p w14:paraId="0C65F07F" w14:textId="77777777" w:rsidR="00CD2486" w:rsidRDefault="00CD2486" w:rsidP="004A7C00">
      <w:pPr>
        <w:spacing w:after="0"/>
        <w:rPr>
          <w:b/>
        </w:rPr>
      </w:pPr>
    </w:p>
    <w:p w14:paraId="5FA33F0C" w14:textId="77777777" w:rsidR="000F7440" w:rsidRDefault="000F7440" w:rsidP="004A7C00">
      <w:pPr>
        <w:spacing w:after="0"/>
        <w:rPr>
          <w:b/>
        </w:rPr>
      </w:pPr>
    </w:p>
    <w:p w14:paraId="6F69133B" w14:textId="7E0D4F2C" w:rsidR="004A7C00" w:rsidRDefault="004A7C00" w:rsidP="004A7C00">
      <w:pPr>
        <w:spacing w:after="0"/>
        <w:rPr>
          <w:b/>
        </w:rPr>
      </w:pPr>
      <w:r>
        <w:rPr>
          <w:b/>
        </w:rPr>
        <w:t xml:space="preserve">Contact information: </w:t>
      </w:r>
    </w:p>
    <w:p w14:paraId="2D13C0E3" w14:textId="6F8FDC8C" w:rsidR="004A7C00" w:rsidRPr="007E6446" w:rsidRDefault="009A4A8A" w:rsidP="004A7C00">
      <w:pPr>
        <w:spacing w:after="0" w:line="240" w:lineRule="auto"/>
      </w:pPr>
      <w:r>
        <w:t xml:space="preserve">Sarah Kennell, Director of Government Relations </w:t>
      </w:r>
    </w:p>
    <w:p w14:paraId="69DB8114" w14:textId="33147CFE" w:rsidR="004A7C00" w:rsidRPr="007E6446" w:rsidRDefault="007E51D5" w:rsidP="004A7C00">
      <w:pPr>
        <w:spacing w:after="0" w:line="240" w:lineRule="auto"/>
      </w:pPr>
      <w:hyperlink r:id="rId10" w:history="1">
        <w:r w:rsidR="009A4A8A" w:rsidRPr="00724D7E">
          <w:rPr>
            <w:rStyle w:val="Hyperlink"/>
          </w:rPr>
          <w:t>Sarah@actioncanadashr.org</w:t>
        </w:r>
      </w:hyperlink>
      <w:r w:rsidR="009A4A8A">
        <w:rPr>
          <w:rStyle w:val="Hyperlink"/>
        </w:rPr>
        <w:t xml:space="preserve"> </w:t>
      </w:r>
    </w:p>
    <w:p w14:paraId="51CA04D5" w14:textId="77777777" w:rsidR="004C376D" w:rsidRDefault="004C376D" w:rsidP="00EE7F15">
      <w:pPr>
        <w:pStyle w:val="Subtitle"/>
        <w:jc w:val="left"/>
        <w:rPr>
          <w:rFonts w:ascii="Gotham Rounded Bold" w:hAnsi="Gotham Rounded Bold"/>
          <w:b/>
          <w:color w:val="E26F54"/>
          <w:sz w:val="22"/>
          <w:szCs w:val="22"/>
        </w:rPr>
      </w:pPr>
    </w:p>
    <w:p w14:paraId="711A0D21" w14:textId="178E867C" w:rsidR="00EE7F15" w:rsidRDefault="00EE7F15" w:rsidP="00EE7F15">
      <w:pPr>
        <w:pStyle w:val="Subtitle"/>
        <w:jc w:val="left"/>
        <w:rPr>
          <w:rFonts w:ascii="Gotham Rounded Bold" w:hAnsi="Gotham Rounded Bold"/>
          <w:color w:val="3E4752"/>
          <w:sz w:val="22"/>
          <w:szCs w:val="22"/>
        </w:rPr>
      </w:pPr>
      <w:r w:rsidRPr="008F08C7">
        <w:rPr>
          <w:rFonts w:ascii="Gotham Rounded Bold" w:hAnsi="Gotham Rounded Bold"/>
          <w:b/>
          <w:color w:val="E26F54"/>
          <w:sz w:val="22"/>
          <w:szCs w:val="22"/>
        </w:rPr>
        <w:t>Action Canada for Sexual Health &amp; Righ</w:t>
      </w:r>
      <w:r w:rsidRPr="00051E79">
        <w:rPr>
          <w:rFonts w:ascii="Gotham Rounded Bold" w:hAnsi="Gotham Rounded Bold"/>
          <w:b/>
          <w:color w:val="E26F54"/>
          <w:sz w:val="22"/>
          <w:szCs w:val="22"/>
        </w:rPr>
        <w:t>ts</w:t>
      </w:r>
      <w:r w:rsidRPr="008F08C7">
        <w:rPr>
          <w:rFonts w:ascii="Gotham Rounded Bold" w:hAnsi="Gotham Rounded Bold"/>
          <w:color w:val="3E4752"/>
          <w:sz w:val="22"/>
          <w:szCs w:val="22"/>
        </w:rPr>
        <w:t xml:space="preserve"> is a progressive, pro-choice charitable organization committed to advancing and upholding sexual and reproductive health and rights in Canada and globally. </w:t>
      </w:r>
    </w:p>
    <w:p w14:paraId="4FB4F617" w14:textId="1575D8A9" w:rsidR="000C2144" w:rsidRPr="000C2144" w:rsidRDefault="00D03EBF" w:rsidP="000C2144">
      <w:r>
        <w:rPr>
          <w:rFonts w:ascii="Gotham Rounded Bold" w:hAnsi="Gotham Rounded Bold"/>
          <w:b/>
          <w:color w:val="E26F54"/>
          <w:szCs w:val="22"/>
        </w:rPr>
        <w:t xml:space="preserve">Sexual Rights Initiative </w:t>
      </w:r>
      <w:r w:rsidR="000C2144" w:rsidRPr="008F08C7">
        <w:rPr>
          <w:rFonts w:ascii="Gotham Rounded Bold" w:hAnsi="Gotham Rounded Bold"/>
          <w:szCs w:val="22"/>
        </w:rPr>
        <w:t xml:space="preserve">is a </w:t>
      </w:r>
      <w:r>
        <w:rPr>
          <w:rFonts w:ascii="Gotham Rounded Bold" w:hAnsi="Gotham Rounded Bold"/>
          <w:szCs w:val="22"/>
        </w:rPr>
        <w:t xml:space="preserve">coalition of national and regional organizations based in Canada, Poland, India, Argentina and South Africa that work together to advance human rights related to sexuality at the United Nations. </w:t>
      </w:r>
    </w:p>
    <w:p w14:paraId="4D996360" w14:textId="54E08551" w:rsidR="00C76399" w:rsidRDefault="00C76399" w:rsidP="00C76399">
      <w:r>
        <w:rPr>
          <w:rStyle w:val="Heading2Char"/>
          <w:b/>
        </w:rPr>
        <w:t xml:space="preserve">Key words: </w:t>
      </w:r>
      <w:r w:rsidRPr="00C76399">
        <w:t xml:space="preserve">right to </w:t>
      </w:r>
      <w:r w:rsidR="00E3358A">
        <w:t xml:space="preserve">education, comprehensive sexuality education, right to </w:t>
      </w:r>
      <w:r w:rsidRPr="00C76399">
        <w:t xml:space="preserve">health, </w:t>
      </w:r>
      <w:r>
        <w:t xml:space="preserve">access to abortion, </w:t>
      </w:r>
      <w:r w:rsidR="00E3358A">
        <w:t xml:space="preserve">forced sterilization, </w:t>
      </w:r>
      <w:r w:rsidR="00601B92">
        <w:t>sex work</w:t>
      </w:r>
      <w:r w:rsidR="00E67DA9">
        <w:t xml:space="preserve">. </w:t>
      </w:r>
      <w:r>
        <w:t xml:space="preserve"> </w:t>
      </w:r>
    </w:p>
    <w:p w14:paraId="06F5B624" w14:textId="1E6BBAEE" w:rsidR="008D0E08" w:rsidRDefault="008D0E08" w:rsidP="008D0E08">
      <w:pPr>
        <w:pStyle w:val="Heading1"/>
      </w:pPr>
      <w:r>
        <w:lastRenderedPageBreak/>
        <w:t xml:space="preserve">Introduction </w:t>
      </w:r>
    </w:p>
    <w:p w14:paraId="2D6E0E21" w14:textId="27DD6E4A" w:rsidR="00AE07D6" w:rsidRPr="008651DA" w:rsidRDefault="00AE07D6" w:rsidP="00732750">
      <w:pPr>
        <w:pStyle w:val="ListParagraph"/>
        <w:numPr>
          <w:ilvl w:val="0"/>
          <w:numId w:val="4"/>
        </w:numPr>
      </w:pPr>
      <w:r w:rsidRPr="008651DA">
        <w:t xml:space="preserve">This report is submitted by Action Canada for Sexual Health and Rights </w:t>
      </w:r>
      <w:r w:rsidR="00EF576B">
        <w:t xml:space="preserve">and the Sexual Rights Initiative </w:t>
      </w:r>
      <w:r w:rsidRPr="008651DA">
        <w:t xml:space="preserve">in advance of Canada’s review during the </w:t>
      </w:r>
      <w:r w:rsidR="00FB4EE9" w:rsidRPr="008651DA">
        <w:t xml:space="preserve">76th </w:t>
      </w:r>
      <w:r w:rsidRPr="008651DA">
        <w:t xml:space="preserve">Pre-Sessional working group of the UN Committee on the Elimination of Discrimination Against Women, taking place </w:t>
      </w:r>
      <w:r w:rsidR="00C914B2" w:rsidRPr="008651DA">
        <w:t xml:space="preserve">November 11 to </w:t>
      </w:r>
      <w:r w:rsidRPr="008651DA">
        <w:t>1</w:t>
      </w:r>
      <w:r w:rsidR="00C914B2" w:rsidRPr="008651DA">
        <w:t>5</w:t>
      </w:r>
      <w:r w:rsidRPr="008651DA">
        <w:t xml:space="preserve"> 201</w:t>
      </w:r>
      <w:r w:rsidR="00C914B2" w:rsidRPr="008651DA">
        <w:t>9</w:t>
      </w:r>
      <w:r w:rsidRPr="008651DA">
        <w:t xml:space="preserve">, during which the </w:t>
      </w:r>
      <w:r w:rsidR="002F150A" w:rsidRPr="008651DA">
        <w:t>L</w:t>
      </w:r>
      <w:r w:rsidRPr="008651DA">
        <w:t xml:space="preserve">ist of </w:t>
      </w:r>
      <w:r w:rsidR="002F150A" w:rsidRPr="008651DA">
        <w:t>I</w:t>
      </w:r>
      <w:r w:rsidRPr="008651DA">
        <w:t>ssues will be adopted. The report examines violations of articles</w:t>
      </w:r>
      <w:r w:rsidR="00624E32" w:rsidRPr="008651DA">
        <w:t xml:space="preserve"> </w:t>
      </w:r>
      <w:r w:rsidR="003D5ECC" w:rsidRPr="008651DA">
        <w:t xml:space="preserve">10 </w:t>
      </w:r>
      <w:r w:rsidR="00C46BC1" w:rsidRPr="008651DA">
        <w:t xml:space="preserve">and </w:t>
      </w:r>
      <w:r w:rsidR="003D5ECC" w:rsidRPr="008651DA">
        <w:t xml:space="preserve">12 </w:t>
      </w:r>
      <w:r w:rsidR="00C46BC1" w:rsidRPr="008651DA">
        <w:t xml:space="preserve">of </w:t>
      </w:r>
      <w:r w:rsidRPr="008651DA">
        <w:t xml:space="preserve">the </w:t>
      </w:r>
      <w:r w:rsidR="00C46BC1" w:rsidRPr="008651DA">
        <w:t xml:space="preserve">Convention on the Elimination of All forms of Discrimination Against Women </w:t>
      </w:r>
      <w:r w:rsidR="00624E32" w:rsidRPr="008651DA">
        <w:t xml:space="preserve">(CEDAW) </w:t>
      </w:r>
      <w:r w:rsidRPr="008651DA">
        <w:t xml:space="preserve">with respect to ensuring young people </w:t>
      </w:r>
      <w:r w:rsidR="000F6A3F" w:rsidRPr="008651DA">
        <w:t xml:space="preserve">have </w:t>
      </w:r>
      <w:r w:rsidRPr="008651DA">
        <w:t xml:space="preserve">access to accurate, evidence-based </w:t>
      </w:r>
      <w:r w:rsidR="00B61403" w:rsidRPr="008651DA">
        <w:t xml:space="preserve">comprehensive </w:t>
      </w:r>
      <w:r w:rsidRPr="008651DA">
        <w:t xml:space="preserve">sexuality education, </w:t>
      </w:r>
      <w:r w:rsidR="00781975" w:rsidRPr="008651DA">
        <w:t xml:space="preserve">access to safe abortion services, </w:t>
      </w:r>
      <w:r w:rsidR="0067471E" w:rsidRPr="008651DA">
        <w:t xml:space="preserve">incidences of forced sterilization </w:t>
      </w:r>
      <w:r w:rsidRPr="008651DA">
        <w:t xml:space="preserve">and </w:t>
      </w:r>
      <w:r w:rsidR="00781975" w:rsidRPr="008651DA">
        <w:t xml:space="preserve">the health and safety of sex workers. </w:t>
      </w:r>
    </w:p>
    <w:p w14:paraId="000582B1" w14:textId="369BD12B" w:rsidR="000501D9" w:rsidRPr="004B44DC" w:rsidRDefault="000501D9" w:rsidP="000501D9">
      <w:pPr>
        <w:pStyle w:val="Heading1"/>
      </w:pPr>
      <w:r w:rsidRPr="004B44DC">
        <w:t xml:space="preserve">Article </w:t>
      </w:r>
      <w:r w:rsidR="0079103A" w:rsidRPr="004B44DC">
        <w:t>10</w:t>
      </w:r>
      <w:r w:rsidRPr="004B44DC">
        <w:t xml:space="preserve"> – </w:t>
      </w:r>
      <w:r w:rsidR="0079103A" w:rsidRPr="004B44DC">
        <w:t xml:space="preserve">Right to education </w:t>
      </w:r>
    </w:p>
    <w:p w14:paraId="320D5E5D" w14:textId="59546E36" w:rsidR="00E962FB" w:rsidRPr="004B44DC" w:rsidRDefault="009C09F1" w:rsidP="00E962FB">
      <w:pPr>
        <w:rPr>
          <w:rStyle w:val="Heading2Char"/>
          <w:b/>
        </w:rPr>
      </w:pPr>
      <w:r w:rsidRPr="004B44DC">
        <w:rPr>
          <w:rStyle w:val="Heading2Char"/>
          <w:b/>
        </w:rPr>
        <w:t>BACKGROUND</w:t>
      </w:r>
      <w:r w:rsidR="00857C33" w:rsidRPr="004B44DC">
        <w:rPr>
          <w:rStyle w:val="Heading2Char"/>
          <w:b/>
        </w:rPr>
        <w:t xml:space="preserve">: </w:t>
      </w:r>
      <w:r w:rsidR="00E962FB" w:rsidRPr="004B44DC">
        <w:rPr>
          <w:rStyle w:val="Heading2Char"/>
          <w:b/>
        </w:rPr>
        <w:t xml:space="preserve">Comprehensive sexuality education </w:t>
      </w:r>
    </w:p>
    <w:p w14:paraId="5871E44B" w14:textId="7BEAA31C" w:rsidR="004C3044" w:rsidRPr="004C3044" w:rsidRDefault="00946716" w:rsidP="00732750">
      <w:pPr>
        <w:pStyle w:val="ListParagraph"/>
        <w:numPr>
          <w:ilvl w:val="0"/>
          <w:numId w:val="4"/>
        </w:numPr>
      </w:pPr>
      <w:r w:rsidRPr="004E3D24">
        <w:t xml:space="preserve">Article 10 of CEDAW requires that </w:t>
      </w:r>
      <w:r w:rsidR="00DD1387" w:rsidRPr="004E3D24">
        <w:t>State</w:t>
      </w:r>
      <w:r w:rsidR="00250493" w:rsidRPr="004E3D24">
        <w:t xml:space="preserve"> parties</w:t>
      </w:r>
      <w:r w:rsidR="00DD1387" w:rsidRPr="004E3D24">
        <w:t xml:space="preserve"> </w:t>
      </w:r>
      <w:r w:rsidR="004D751C" w:rsidRPr="004E3D24">
        <w:t xml:space="preserve">eliminate discrimination against women in the field of education by </w:t>
      </w:r>
      <w:r w:rsidRPr="004E3D24">
        <w:t xml:space="preserve">eliminating </w:t>
      </w:r>
      <w:r w:rsidR="004D751C" w:rsidRPr="004E3D24">
        <w:t xml:space="preserve">stereotyped </w:t>
      </w:r>
      <w:r w:rsidRPr="004E3D24">
        <w:t xml:space="preserve">roles </w:t>
      </w:r>
      <w:r w:rsidR="000C7637">
        <w:t xml:space="preserve">and through </w:t>
      </w:r>
      <w:r w:rsidRPr="004E3D24">
        <w:t xml:space="preserve">access to information </w:t>
      </w:r>
      <w:r w:rsidR="001E4EBA">
        <w:t xml:space="preserve">to ensure </w:t>
      </w:r>
      <w:r w:rsidRPr="004E3D24">
        <w:t>health, including information on family planning.</w:t>
      </w:r>
      <w:r w:rsidR="00FA072F" w:rsidRPr="004E3D24">
        <w:rPr>
          <w:vertAlign w:val="superscript"/>
        </w:rPr>
        <w:footnoteReference w:id="1"/>
      </w:r>
      <w:r w:rsidR="00FA072F" w:rsidRPr="004E3D24">
        <w:t xml:space="preserve"> </w:t>
      </w:r>
      <w:r w:rsidR="00B76A73" w:rsidRPr="004E3D24">
        <w:t xml:space="preserve">The Committee on the Elimination of Discrimination Against Women (herein referred to as “the Committee”) in its </w:t>
      </w:r>
      <w:r w:rsidR="00B76A73" w:rsidRPr="00FA6CA6">
        <w:rPr>
          <w:lang w:val="en-GB"/>
        </w:rPr>
        <w:t>General Recommendation</w:t>
      </w:r>
      <w:r w:rsidR="00C44932" w:rsidRPr="00FA6CA6">
        <w:rPr>
          <w:lang w:val="en-GB"/>
        </w:rPr>
        <w:t>s</w:t>
      </w:r>
      <w:r w:rsidR="00B76A73" w:rsidRPr="00FA6CA6">
        <w:rPr>
          <w:lang w:val="en-GB"/>
        </w:rPr>
        <w:t xml:space="preserve"> 21 </w:t>
      </w:r>
      <w:r w:rsidR="00C44932" w:rsidRPr="00FA6CA6">
        <w:rPr>
          <w:lang w:val="en-GB"/>
        </w:rPr>
        <w:t xml:space="preserve">and 24 </w:t>
      </w:r>
      <w:r w:rsidR="00651368" w:rsidRPr="00FA6CA6">
        <w:rPr>
          <w:lang w:val="en-GB"/>
        </w:rPr>
        <w:t>states</w:t>
      </w:r>
      <w:r w:rsidR="00B76A73" w:rsidRPr="00FA6CA6">
        <w:rPr>
          <w:lang w:val="en-GB"/>
        </w:rPr>
        <w:t xml:space="preserve"> that</w:t>
      </w:r>
      <w:r w:rsidR="00651368" w:rsidRPr="00FA6CA6">
        <w:rPr>
          <w:lang w:val="en-GB"/>
        </w:rPr>
        <w:t xml:space="preserve"> the ability to make infor</w:t>
      </w:r>
      <w:r w:rsidR="00624E32" w:rsidRPr="00FA6CA6">
        <w:rPr>
          <w:lang w:val="en-GB"/>
        </w:rPr>
        <w:t>m</w:t>
      </w:r>
      <w:r w:rsidR="00651368" w:rsidRPr="00FA6CA6">
        <w:rPr>
          <w:lang w:val="en-GB"/>
        </w:rPr>
        <w:t>ed decisions about safe and reliable</w:t>
      </w:r>
      <w:r w:rsidR="00624E32" w:rsidRPr="00FA6CA6">
        <w:rPr>
          <w:lang w:val="en-GB"/>
        </w:rPr>
        <w:t xml:space="preserve"> contraceptive measures require</w:t>
      </w:r>
      <w:r w:rsidR="005D2CCC" w:rsidRPr="00FA6CA6">
        <w:rPr>
          <w:lang w:val="en-GB"/>
        </w:rPr>
        <w:t>s</w:t>
      </w:r>
      <w:r w:rsidR="00651368" w:rsidRPr="00FA6CA6">
        <w:rPr>
          <w:lang w:val="en-GB"/>
        </w:rPr>
        <w:t xml:space="preserve"> information about such contraceptive measures through guaranteed access to sex education and family planning services.</w:t>
      </w:r>
      <w:r w:rsidR="00B76A73" w:rsidRPr="004E3D24">
        <w:rPr>
          <w:rStyle w:val="FootnoteReference"/>
        </w:rPr>
        <w:footnoteReference w:id="2"/>
      </w:r>
      <w:r w:rsidR="00664709" w:rsidRPr="00FA6CA6">
        <w:rPr>
          <w:lang w:val="en-GB"/>
        </w:rPr>
        <w:t xml:space="preserve"> </w:t>
      </w:r>
      <w:r w:rsidR="00B76A73" w:rsidRPr="00442E76">
        <w:t>The Committee has</w:t>
      </w:r>
      <w:r w:rsidR="00664709">
        <w:t xml:space="preserve"> also</w:t>
      </w:r>
      <w:r w:rsidR="00B76A73" w:rsidRPr="00442E76">
        <w:t xml:space="preserve"> further clarified governments’ obligation to provide sexuality education, not only as a requisite for the realization of the right to education, but also the rights to health</w:t>
      </w:r>
      <w:r w:rsidR="007918F9" w:rsidRPr="00442E76">
        <w:t xml:space="preserve"> and</w:t>
      </w:r>
      <w:r w:rsidR="00B76A73" w:rsidRPr="00442E76">
        <w:t xml:space="preserve"> non-discrimination, among others.</w:t>
      </w:r>
      <w:r w:rsidR="00E4687C" w:rsidRPr="00442E76">
        <w:rPr>
          <w:rStyle w:val="FootnoteReference"/>
        </w:rPr>
        <w:footnoteReference w:id="3"/>
      </w:r>
      <w:r w:rsidR="00B76A73" w:rsidRPr="00442E76">
        <w:t xml:space="preserve"> </w:t>
      </w:r>
      <w:r w:rsidR="00A81A72" w:rsidRPr="004C3044">
        <w:t xml:space="preserve">Sexuality education is recognized as a basic human right of all children and </w:t>
      </w:r>
      <w:r w:rsidR="00A32A56" w:rsidRPr="004C3044">
        <w:t>youth in both the A</w:t>
      </w:r>
      <w:r w:rsidR="00A81A72" w:rsidRPr="004C3044">
        <w:t xml:space="preserve">nnual </w:t>
      </w:r>
      <w:r w:rsidR="00A32A56" w:rsidRPr="004C3044">
        <w:t>R</w:t>
      </w:r>
      <w:r w:rsidR="00A81A72" w:rsidRPr="004C3044">
        <w:t xml:space="preserve">eport of </w:t>
      </w:r>
      <w:r w:rsidR="00D83EB4" w:rsidRPr="004C3044">
        <w:t xml:space="preserve">the </w:t>
      </w:r>
      <w:r w:rsidR="00A81A72" w:rsidRPr="004C3044">
        <w:t>Special Rapporteur on the right to education to the UN General Assembly in 2010</w:t>
      </w:r>
      <w:r w:rsidR="0095105A">
        <w:t>,</w:t>
      </w:r>
      <w:r w:rsidR="00CE6AD7" w:rsidRPr="004C3044">
        <w:rPr>
          <w:rStyle w:val="FootnoteReference"/>
        </w:rPr>
        <w:footnoteReference w:id="4"/>
      </w:r>
      <w:r w:rsidR="00A81A72" w:rsidRPr="004C3044">
        <w:t xml:space="preserve"> General Comment No. 4 of the Committee on the Rights of the Child</w:t>
      </w:r>
      <w:r w:rsidR="000C7637">
        <w:t>,</w:t>
      </w:r>
      <w:r w:rsidR="0095105A" w:rsidRPr="004C3044">
        <w:rPr>
          <w:rStyle w:val="FootnoteReference"/>
        </w:rPr>
        <w:footnoteReference w:id="5"/>
      </w:r>
      <w:r w:rsidR="0095105A">
        <w:t xml:space="preserve"> and UN Committee on Economic, Social and Cultural Rights General Comment 22</w:t>
      </w:r>
      <w:r w:rsidR="003443E3">
        <w:t>.</w:t>
      </w:r>
      <w:r w:rsidR="0095105A">
        <w:rPr>
          <w:rStyle w:val="FootnoteReference"/>
        </w:rPr>
        <w:footnoteReference w:id="6"/>
      </w:r>
      <w:r w:rsidR="00A81A72" w:rsidRPr="004C3044">
        <w:t xml:space="preserve"> </w:t>
      </w:r>
      <w:r w:rsidR="00241A6B" w:rsidRPr="004C3044">
        <w:t xml:space="preserve">When effectively implemented, comprehensive sexuality education </w:t>
      </w:r>
      <w:r w:rsidR="00F74D9F" w:rsidRPr="004C3044">
        <w:t xml:space="preserve">contributes </w:t>
      </w:r>
      <w:r w:rsidR="000C7637">
        <w:t>to the reduction of</w:t>
      </w:r>
      <w:r w:rsidR="00F74D9F" w:rsidRPr="004C3044">
        <w:t xml:space="preserve"> </w:t>
      </w:r>
      <w:r w:rsidR="000C7637">
        <w:t xml:space="preserve">the </w:t>
      </w:r>
      <w:r w:rsidR="00F74D9F" w:rsidRPr="004C3044">
        <w:t xml:space="preserve">transmission of sexually transmitted infections, </w:t>
      </w:r>
      <w:r w:rsidR="008128CD" w:rsidRPr="004C3044">
        <w:t xml:space="preserve">gender-based violence, </w:t>
      </w:r>
      <w:r w:rsidR="00754B46" w:rsidRPr="004C3044">
        <w:t>stigma</w:t>
      </w:r>
      <w:r w:rsidR="000C7637">
        <w:t>,</w:t>
      </w:r>
      <w:r w:rsidR="00754B46" w:rsidRPr="004C3044">
        <w:t xml:space="preserve"> and discrimination, </w:t>
      </w:r>
      <w:r w:rsidR="00F74D9F" w:rsidRPr="004C3044">
        <w:t xml:space="preserve">unwanted pregnancies, </w:t>
      </w:r>
      <w:r w:rsidR="00D13554" w:rsidRPr="004C3044">
        <w:t xml:space="preserve">and </w:t>
      </w:r>
      <w:r w:rsidR="000C7637">
        <w:t>the development of</w:t>
      </w:r>
      <w:r w:rsidR="00794ADE" w:rsidRPr="004C3044">
        <w:t xml:space="preserve"> </w:t>
      </w:r>
      <w:r w:rsidR="00E367FA" w:rsidRPr="004C3044">
        <w:t>healthy sexual and non-sexual relationships,</w:t>
      </w:r>
      <w:r w:rsidR="00133DC6" w:rsidRPr="004C3044">
        <w:t xml:space="preserve"> </w:t>
      </w:r>
      <w:r w:rsidR="00F74D9F" w:rsidRPr="004C3044">
        <w:t>among other outcomes.</w:t>
      </w:r>
      <w:r w:rsidR="005F5A4E" w:rsidRPr="004C3044">
        <w:rPr>
          <w:rStyle w:val="FootnoteReference"/>
        </w:rPr>
        <w:footnoteReference w:id="7"/>
      </w:r>
      <w:r w:rsidR="00976245" w:rsidRPr="00FA6CA6">
        <w:rPr>
          <w:rFonts w:cs="Calibri"/>
          <w:lang w:val="en-GB"/>
        </w:rPr>
        <w:t xml:space="preserve"> </w:t>
      </w:r>
    </w:p>
    <w:p w14:paraId="2BD1C769" w14:textId="77777777" w:rsidR="004C3044" w:rsidRPr="004C3044" w:rsidRDefault="004C3044" w:rsidP="004C3044">
      <w:pPr>
        <w:pStyle w:val="ListParagraph"/>
      </w:pPr>
    </w:p>
    <w:p w14:paraId="5CD594FD" w14:textId="67C6508C" w:rsidR="002E71D9" w:rsidRPr="00087F70" w:rsidRDefault="00CA12AE" w:rsidP="00732750">
      <w:pPr>
        <w:pStyle w:val="ListParagraph"/>
        <w:numPr>
          <w:ilvl w:val="0"/>
          <w:numId w:val="4"/>
        </w:numPr>
      </w:pPr>
      <w:r>
        <w:t>At the international level, Canada consiste</w:t>
      </w:r>
      <w:r w:rsidR="000C7637">
        <w:t>ntly</w:t>
      </w:r>
      <w:r>
        <w:t xml:space="preserve"> works to advance progressive standards on </w:t>
      </w:r>
      <w:r w:rsidR="00EE1CA9">
        <w:t>comprehensive sexuality education</w:t>
      </w:r>
      <w:r>
        <w:t>, recognizing its linkages to violence against women, the right to health, and the right to education, amongst others.</w:t>
      </w:r>
      <w:r>
        <w:rPr>
          <w:rStyle w:val="FootnoteReference"/>
        </w:rPr>
        <w:footnoteReference w:id="8"/>
      </w:r>
      <w:r w:rsidR="00241A6B" w:rsidRPr="004C3044">
        <w:t xml:space="preserve">. </w:t>
      </w:r>
      <w:r w:rsidR="004A11C0">
        <w:t xml:space="preserve">At the national level, Canada has, in recent years, </w:t>
      </w:r>
      <w:r w:rsidR="00482445">
        <w:t xml:space="preserve">received numerous recommendations from human rights </w:t>
      </w:r>
      <w:r w:rsidR="00482445">
        <w:lastRenderedPageBreak/>
        <w:t xml:space="preserve">accountability frameworks calling for immediate </w:t>
      </w:r>
      <w:r w:rsidR="000E74D1">
        <w:t xml:space="preserve">action </w:t>
      </w:r>
      <w:r w:rsidR="00482445">
        <w:t xml:space="preserve">to realize young peoples’ right to comprehensive sexuality education. </w:t>
      </w:r>
      <w:r w:rsidR="000E74D1">
        <w:t xml:space="preserve">The Committees’ </w:t>
      </w:r>
      <w:r w:rsidR="00482445">
        <w:t xml:space="preserve">Concluding Observation 37 </w:t>
      </w:r>
      <w:r w:rsidR="00972972">
        <w:t>(</w:t>
      </w:r>
      <w:r w:rsidR="00482445">
        <w:t xml:space="preserve">c) </w:t>
      </w:r>
      <w:r w:rsidR="00474291">
        <w:t>in 201</w:t>
      </w:r>
      <w:r w:rsidR="00B757B5">
        <w:t>6</w:t>
      </w:r>
      <w:r w:rsidR="00474291">
        <w:t xml:space="preserve"> </w:t>
      </w:r>
      <w:r w:rsidR="00482445">
        <w:t>call</w:t>
      </w:r>
      <w:r w:rsidR="003E021C">
        <w:t>ed</w:t>
      </w:r>
      <w:r w:rsidR="00482445">
        <w:t xml:space="preserve"> for Canada </w:t>
      </w:r>
      <w:r w:rsidR="00482445" w:rsidRPr="00482445">
        <w:t>to harmonize sex education</w:t>
      </w:r>
      <w:r w:rsidR="00482445">
        <w:t xml:space="preserve"> </w:t>
      </w:r>
      <w:r w:rsidR="00482445" w:rsidRPr="00482445">
        <w:t xml:space="preserve">curricula among provinces and territories and allow the </w:t>
      </w:r>
      <w:r w:rsidR="000C7637">
        <w:t>F</w:t>
      </w:r>
      <w:r w:rsidR="00482445" w:rsidRPr="00482445">
        <w:t>ederal Government to</w:t>
      </w:r>
      <w:r w:rsidR="00482445">
        <w:t xml:space="preserve"> </w:t>
      </w:r>
      <w:r w:rsidR="00482445" w:rsidRPr="00482445">
        <w:t>hold them accountable for implementing such guidelines or standards</w:t>
      </w:r>
      <w:r w:rsidR="00482445">
        <w:t>.</w:t>
      </w:r>
      <w:r w:rsidR="00474291">
        <w:t xml:space="preserve"> In 2018, Canada received and accepted a recommendation as part of its UN Universal Periodic Review to t</w:t>
      </w:r>
      <w:r w:rsidR="00474291" w:rsidRPr="00474291">
        <w:t xml:space="preserve">ake action to ensure equal access to comprehensive sexuality education across provinces and territories. </w:t>
      </w:r>
      <w:r w:rsidR="000D2F97">
        <w:t>The Government of Canada has failed to take meaningful steps to address discrepancies in access to comprehensive sexuality</w:t>
      </w:r>
      <w:r w:rsidR="00D06F77">
        <w:t xml:space="preserve"> education</w:t>
      </w:r>
      <w:r w:rsidR="000D2F97">
        <w:t xml:space="preserve"> across jurisdictions. </w:t>
      </w:r>
    </w:p>
    <w:p w14:paraId="2235508D" w14:textId="7A366200" w:rsidR="001B60BC" w:rsidRPr="00C73B32" w:rsidRDefault="00886FE2" w:rsidP="001B60BC">
      <w:pPr>
        <w:rPr>
          <w:rStyle w:val="Heading2Char"/>
          <w:b/>
        </w:rPr>
      </w:pPr>
      <w:r>
        <w:rPr>
          <w:rStyle w:val="Heading2Char"/>
          <w:b/>
        </w:rPr>
        <w:t xml:space="preserve">Comprehensive sexuality education in Canada </w:t>
      </w:r>
    </w:p>
    <w:p w14:paraId="5443FD63" w14:textId="6C44FB4E" w:rsidR="004A4467" w:rsidRDefault="00090412" w:rsidP="00732750">
      <w:pPr>
        <w:pStyle w:val="ListParagraph"/>
        <w:numPr>
          <w:ilvl w:val="0"/>
          <w:numId w:val="4"/>
        </w:numPr>
      </w:pPr>
      <w:r w:rsidRPr="00B10360">
        <w:t>Documented discrepancies in the quality and delivery of comprehensive sexuality education curriculums in Canada represent violations of article 1</w:t>
      </w:r>
      <w:r w:rsidR="00CC6E04" w:rsidRPr="00B10360">
        <w:t>0</w:t>
      </w:r>
      <w:r w:rsidRPr="00B10360">
        <w:t xml:space="preserve"> as interpreted within this cited work of the Committee. Specifically, the Government of Canada has failed to </w:t>
      </w:r>
      <w:r w:rsidR="008D0E21" w:rsidRPr="00B10360">
        <w:t xml:space="preserve">hold provinces and territories accountable </w:t>
      </w:r>
      <w:r w:rsidR="00CD3B37">
        <w:t>for</w:t>
      </w:r>
      <w:r w:rsidR="008D0E21" w:rsidRPr="00B10360">
        <w:t xml:space="preserve"> the delivery of </w:t>
      </w:r>
      <w:r w:rsidR="008A63EA" w:rsidRPr="00B10360">
        <w:t>comprehensive, quality, evidence-based sexuality education</w:t>
      </w:r>
      <w:r w:rsidR="008D0E21" w:rsidRPr="00B10360">
        <w:t xml:space="preserve">, in line with </w:t>
      </w:r>
      <w:r w:rsidRPr="00B10360">
        <w:t xml:space="preserve">national guidelines for sexual health education </w:t>
      </w:r>
      <w:r w:rsidR="00D41264" w:rsidRPr="00B10360">
        <w:t>and international human rights obligations</w:t>
      </w:r>
      <w:r w:rsidRPr="00B10360">
        <w:t xml:space="preserve">. </w:t>
      </w:r>
      <w:r w:rsidR="004A4467">
        <w:t xml:space="preserve">In </w:t>
      </w:r>
      <w:r w:rsidR="004A4467" w:rsidRPr="00265717">
        <w:t>2019</w:t>
      </w:r>
      <w:r w:rsidR="004A4467">
        <w:t xml:space="preserve">, the </w:t>
      </w:r>
      <w:r w:rsidR="004A4467" w:rsidRPr="00265717">
        <w:t>Canadian guidelines for sexual health education by Sex Information and Education Council of Canada (SIECCAN)</w:t>
      </w:r>
      <w:r w:rsidR="004A4467">
        <w:t xml:space="preserve">, endorsed by the Public Health Agency of Canada, were re-released. They are </w:t>
      </w:r>
      <w:r w:rsidR="004A4467" w:rsidRPr="00265717">
        <w:t xml:space="preserve">meant to guide educators and policy makers when it comes to comprehensive sexuality education in Canada. </w:t>
      </w:r>
      <w:r w:rsidR="00E142ED">
        <w:t xml:space="preserve">Since the launch of the </w:t>
      </w:r>
      <w:r w:rsidR="00915DF7">
        <w:t>G</w:t>
      </w:r>
      <w:r w:rsidR="00E142ED">
        <w:t xml:space="preserve">uidelines, the Government of Canada has </w:t>
      </w:r>
      <w:r w:rsidR="00915DF7">
        <w:t xml:space="preserve">not taken any steps to disseminate or raise awareness to the existence of the guidelines, nor has it engaged provinces and territories towards strengthening the quality or implementation of comprehensive sexuality education across </w:t>
      </w:r>
      <w:r w:rsidR="007651C0">
        <w:t>jurisdictions in line with human rights obligations</w:t>
      </w:r>
      <w:r w:rsidR="00915DF7">
        <w:t xml:space="preserve">. </w:t>
      </w:r>
    </w:p>
    <w:p w14:paraId="52328F2E" w14:textId="77777777" w:rsidR="002967F8" w:rsidRDefault="002967F8" w:rsidP="002967F8">
      <w:pPr>
        <w:pStyle w:val="ListParagraph"/>
      </w:pPr>
    </w:p>
    <w:p w14:paraId="2BF32AFB" w14:textId="5167E25F" w:rsidR="00AF6116" w:rsidRPr="00AF6116" w:rsidRDefault="00AF6116" w:rsidP="00732750">
      <w:pPr>
        <w:pStyle w:val="ListParagraph"/>
        <w:numPr>
          <w:ilvl w:val="0"/>
          <w:numId w:val="4"/>
        </w:numPr>
      </w:pPr>
      <w:r w:rsidRPr="00AF6116">
        <w:t xml:space="preserve">The </w:t>
      </w:r>
      <w:r w:rsidR="00A53F65">
        <w:t>F</w:t>
      </w:r>
      <w:r w:rsidRPr="00AF6116">
        <w:t xml:space="preserve">ederal </w:t>
      </w:r>
      <w:r w:rsidR="00A53F65">
        <w:t>G</w:t>
      </w:r>
      <w:r w:rsidRPr="00AF6116">
        <w:t>overnment has repeatedly shirked</w:t>
      </w:r>
      <w:r>
        <w:t xml:space="preserve"> responsibility for its human rights obligations concerning comprehensive sexuality education</w:t>
      </w:r>
      <w:r w:rsidR="00A53F65">
        <w:t>,</w:t>
      </w:r>
      <w:r>
        <w:t xml:space="preserve"> stating the division of power between federal and provincial jurisdictions</w:t>
      </w:r>
      <w:r w:rsidR="00997FED">
        <w:t xml:space="preserve"> as reason for not taking a leadership role</w:t>
      </w:r>
      <w:r w:rsidR="0018142B">
        <w:t>.</w:t>
      </w:r>
      <w:r>
        <w:t xml:space="preserve"> </w:t>
      </w:r>
      <w:r w:rsidR="006076B5">
        <w:t>E</w:t>
      </w:r>
      <w:r w:rsidR="00772138">
        <w:t xml:space="preserve">vidence clearly demonstrates that in the absence of </w:t>
      </w:r>
      <w:r w:rsidR="00541E15">
        <w:t xml:space="preserve">standardized access to comprehensive sexuality education, young people are susceptible to experiencing poor sexual health outcomes, heightened levels of gender-based violence, </w:t>
      </w:r>
      <w:r w:rsidR="00A53F65">
        <w:t xml:space="preserve">and </w:t>
      </w:r>
      <w:r w:rsidR="00541E15">
        <w:t xml:space="preserve">homophobic and transphobic bullying, among other negative consequences. </w:t>
      </w:r>
      <w:r w:rsidR="004F7845">
        <w:t>G</w:t>
      </w:r>
      <w:r w:rsidR="00541E15">
        <w:t>iven the public health, violence, stigma</w:t>
      </w:r>
      <w:r w:rsidR="00A53F65">
        <w:t>,</w:t>
      </w:r>
      <w:r w:rsidR="00541E15">
        <w:t xml:space="preserve"> and discrimination impacts associated with the delivery of poor sexual health education, </w:t>
      </w:r>
      <w:r w:rsidR="00935D31">
        <w:t xml:space="preserve">combined with its human rights obligations, </w:t>
      </w:r>
      <w:r w:rsidR="00541E15">
        <w:t xml:space="preserve">there is </w:t>
      </w:r>
      <w:proofErr w:type="gramStart"/>
      <w:r w:rsidR="009F3D3E">
        <w:t>sufficient</w:t>
      </w:r>
      <w:proofErr w:type="gramEnd"/>
      <w:r w:rsidR="009F3D3E">
        <w:t xml:space="preserve"> </w:t>
      </w:r>
      <w:r w:rsidR="00541E15">
        <w:t xml:space="preserve">scope for the </w:t>
      </w:r>
      <w:r w:rsidR="00A53F65">
        <w:t>F</w:t>
      </w:r>
      <w:r w:rsidR="00541E15">
        <w:t xml:space="preserve">ederal </w:t>
      </w:r>
      <w:r w:rsidR="00A53F65">
        <w:t>G</w:t>
      </w:r>
      <w:r w:rsidR="00541E15">
        <w:t>overnment to</w:t>
      </w:r>
      <w:r w:rsidR="00935D31">
        <w:t xml:space="preserve"> play a</w:t>
      </w:r>
      <w:r w:rsidR="009B4861">
        <w:t xml:space="preserve"> leadership role eliminating discrepancies in access to comprehensive sexuality education across jurisdictions.  </w:t>
      </w:r>
      <w:r w:rsidR="00935D31">
        <w:t xml:space="preserve"> </w:t>
      </w:r>
      <w:r w:rsidR="00541E15">
        <w:t xml:space="preserve"> </w:t>
      </w:r>
    </w:p>
    <w:p w14:paraId="2AC4A46B" w14:textId="77777777" w:rsidR="00AF6116" w:rsidRPr="00AF6116" w:rsidRDefault="00AF6116" w:rsidP="00AF6116">
      <w:pPr>
        <w:pStyle w:val="ListParagraph"/>
        <w:rPr>
          <w:highlight w:val="yellow"/>
        </w:rPr>
      </w:pPr>
    </w:p>
    <w:p w14:paraId="570D6CA1" w14:textId="2374FA1D" w:rsidR="00323019" w:rsidRPr="00323019" w:rsidRDefault="00323019" w:rsidP="00732750">
      <w:pPr>
        <w:pStyle w:val="ListParagraph"/>
        <w:numPr>
          <w:ilvl w:val="0"/>
          <w:numId w:val="4"/>
        </w:numPr>
        <w:spacing w:before="100" w:beforeAutospacing="1" w:after="100" w:afterAutospacing="1"/>
        <w:rPr>
          <w:rFonts w:ascii="Calibri" w:hAnsi="Calibri"/>
          <w:color w:val="auto"/>
          <w:lang w:eastAsia="en-CA"/>
        </w:rPr>
      </w:pPr>
      <w:r>
        <w:rPr>
          <w:lang w:eastAsia="en-CA"/>
        </w:rPr>
        <w:t>In Canada, evidence demonstrates an overall lack of knowledge on sexual and reproductive health among youth populations. The number of new HIV diagnoses among youth has increased by 10% from 2013 to 2017. In 2016, almost one quarter of positive HIV tests were attributed to young people between the ages of 15 and 29. Some groups are more vulnerable to HIV infection</w:t>
      </w:r>
      <w:r w:rsidR="00C1787A">
        <w:rPr>
          <w:lang w:eastAsia="en-CA"/>
        </w:rPr>
        <w:t>;</w:t>
      </w:r>
      <w:r>
        <w:rPr>
          <w:lang w:eastAsia="en-CA"/>
        </w:rPr>
        <w:t xml:space="preserve"> almost two-thirds (61%) of new youth HIV diagnoses were attributed to gay, bisexual</w:t>
      </w:r>
      <w:r w:rsidR="00C1787A">
        <w:rPr>
          <w:lang w:eastAsia="en-CA"/>
        </w:rPr>
        <w:t>,</w:t>
      </w:r>
      <w:r>
        <w:rPr>
          <w:lang w:eastAsia="en-CA"/>
        </w:rPr>
        <w:t xml:space="preserve"> and other men having sex with men. Other sub-groups may also be more vulnerable to HIV infection, particularly Indigenous youth and young people coming from countries where HIV is endemic.</w:t>
      </w:r>
      <w:r w:rsidR="00D94749">
        <w:rPr>
          <w:rStyle w:val="FootnoteReference"/>
          <w:lang w:eastAsia="en-CA"/>
        </w:rPr>
        <w:footnoteReference w:id="9"/>
      </w:r>
      <w:r>
        <w:rPr>
          <w:lang w:eastAsia="en-CA"/>
        </w:rPr>
        <w:t xml:space="preserve"> Moreover, STI rates have been steadily on the rise since the 1990s. In 2016, the highest rates of reportable STIs reported were in the 15-19, 20-24</w:t>
      </w:r>
      <w:r w:rsidR="00C1787A">
        <w:rPr>
          <w:lang w:eastAsia="en-CA"/>
        </w:rPr>
        <w:t>,</w:t>
      </w:r>
      <w:r>
        <w:rPr>
          <w:lang w:eastAsia="en-CA"/>
        </w:rPr>
        <w:t xml:space="preserve"> and 25-29</w:t>
      </w:r>
      <w:r w:rsidR="00A40424">
        <w:rPr>
          <w:lang w:eastAsia="en-CA"/>
        </w:rPr>
        <w:t>-</w:t>
      </w:r>
      <w:r>
        <w:rPr>
          <w:lang w:eastAsia="en-CA"/>
        </w:rPr>
        <w:t>year age groups. Overall, cases in the 15-29</w:t>
      </w:r>
      <w:r w:rsidR="000F33E3">
        <w:rPr>
          <w:lang w:eastAsia="en-CA"/>
        </w:rPr>
        <w:t>-</w:t>
      </w:r>
      <w:r>
        <w:rPr>
          <w:lang w:eastAsia="en-CA"/>
        </w:rPr>
        <w:t>year age groups consisted of 76% of the total reported cases of chlamydia in 2016, as observed in 2015, although they represented only 19% of the total population. Young women are particularly vulnerable. Female cases were younger than male cases: among female cases, 81% were 15-29 years old</w:t>
      </w:r>
      <w:r w:rsidR="00C1787A">
        <w:rPr>
          <w:lang w:eastAsia="en-CA"/>
        </w:rPr>
        <w:t>,</w:t>
      </w:r>
      <w:r>
        <w:rPr>
          <w:lang w:eastAsia="en-CA"/>
        </w:rPr>
        <w:t xml:space="preserve"> while 68% of male cases were in these age groups. Female rates were higher than male rates in all age </w:t>
      </w:r>
      <w:r>
        <w:rPr>
          <w:lang w:eastAsia="en-CA"/>
        </w:rPr>
        <w:lastRenderedPageBreak/>
        <w:t>groups except those aged 40 and over.</w:t>
      </w:r>
      <w:r w:rsidR="00047A74">
        <w:rPr>
          <w:rStyle w:val="FootnoteReference"/>
          <w:lang w:eastAsia="en-CA"/>
        </w:rPr>
        <w:footnoteReference w:id="10"/>
      </w:r>
      <w:r>
        <w:rPr>
          <w:lang w:eastAsia="en-CA"/>
        </w:rPr>
        <w:t xml:space="preserve"> This trend is ongoing</w:t>
      </w:r>
      <w:r w:rsidR="00C1787A">
        <w:rPr>
          <w:lang w:eastAsia="en-CA"/>
        </w:rPr>
        <w:t>;</w:t>
      </w:r>
      <w:r>
        <w:rPr>
          <w:lang w:eastAsia="en-CA"/>
        </w:rPr>
        <w:t xml:space="preserve"> the rate of chlamydia has increased by 13% from 2011 to 2016, the rate of gonorrhea</w:t>
      </w:r>
      <w:r w:rsidR="00C1787A">
        <w:rPr>
          <w:lang w:eastAsia="en-CA"/>
        </w:rPr>
        <w:t xml:space="preserve">, </w:t>
      </w:r>
      <w:r>
        <w:rPr>
          <w:lang w:eastAsia="en-CA"/>
        </w:rPr>
        <w:t>87%</w:t>
      </w:r>
      <w:r w:rsidR="00C1787A">
        <w:rPr>
          <w:lang w:eastAsia="en-CA"/>
        </w:rPr>
        <w:t>,</w:t>
      </w:r>
      <w:r>
        <w:rPr>
          <w:lang w:eastAsia="en-CA"/>
        </w:rPr>
        <w:t xml:space="preserve"> and the rate of syphilis, 76%</w:t>
      </w:r>
      <w:r w:rsidR="00CA34E8">
        <w:rPr>
          <w:lang w:eastAsia="en-CA"/>
        </w:rPr>
        <w:t>.</w:t>
      </w:r>
      <w:r w:rsidR="00CA34E8">
        <w:rPr>
          <w:rStyle w:val="FootnoteReference"/>
          <w:lang w:eastAsia="en-CA"/>
        </w:rPr>
        <w:footnoteReference w:id="11"/>
      </w:r>
    </w:p>
    <w:p w14:paraId="35EB8451" w14:textId="77777777" w:rsidR="00566FAF" w:rsidRPr="00566FAF" w:rsidRDefault="00566FAF" w:rsidP="00566FAF">
      <w:pPr>
        <w:pStyle w:val="ListParagraph"/>
      </w:pPr>
    </w:p>
    <w:p w14:paraId="74070097" w14:textId="48D012EA" w:rsidR="004C6B1A" w:rsidRDefault="00C1787A" w:rsidP="00732750">
      <w:pPr>
        <w:pStyle w:val="ListParagraph"/>
        <w:numPr>
          <w:ilvl w:val="0"/>
          <w:numId w:val="4"/>
        </w:numPr>
      </w:pPr>
      <w:r>
        <w:t>In 2018, the Government of Ontario</w:t>
      </w:r>
      <w:r w:rsidR="00975925" w:rsidRPr="00975925">
        <w:t xml:space="preserve"> announced </w:t>
      </w:r>
      <w:r w:rsidR="004F4849">
        <w:t>the re</w:t>
      </w:r>
      <w:r>
        <w:t>peal</w:t>
      </w:r>
      <w:r w:rsidR="004F4849">
        <w:t xml:space="preserve"> of the </w:t>
      </w:r>
      <w:r w:rsidR="00975925" w:rsidRPr="00975925">
        <w:t>201</w:t>
      </w:r>
      <w:r w:rsidR="00B23DA8">
        <w:t>5</w:t>
      </w:r>
      <w:r w:rsidR="00975925" w:rsidRPr="00975925">
        <w:t xml:space="preserve"> sexual health education curriculum</w:t>
      </w:r>
      <w:r w:rsidR="004F4849">
        <w:t xml:space="preserve"> and replacement with </w:t>
      </w:r>
      <w:r w:rsidR="00975925" w:rsidRPr="00975925">
        <w:t>the 1998 curriculum.</w:t>
      </w:r>
      <w:r w:rsidR="00975925" w:rsidRPr="00975925">
        <w:rPr>
          <w:rStyle w:val="FootnoteReference"/>
        </w:rPr>
        <w:footnoteReference w:id="12"/>
      </w:r>
      <w:r w:rsidR="00975925" w:rsidRPr="00975925">
        <w:t xml:space="preserve"> </w:t>
      </w:r>
      <w:r w:rsidR="00B23DA8">
        <w:t>The 201</w:t>
      </w:r>
      <w:r w:rsidR="00C2459F">
        <w:t>5</w:t>
      </w:r>
      <w:r w:rsidR="00B23DA8">
        <w:t xml:space="preserve"> curriculum had only recently been updated </w:t>
      </w:r>
      <w:r w:rsidR="00B23DA8" w:rsidRPr="00D43CFB">
        <w:t xml:space="preserve">to </w:t>
      </w:r>
      <w:r w:rsidR="00055890" w:rsidRPr="00D43CFB">
        <w:t>reflect sexual orientation and gender identity</w:t>
      </w:r>
      <w:r>
        <w:t xml:space="preserve"> and</w:t>
      </w:r>
      <w:r w:rsidR="00055890" w:rsidRPr="00D43CFB">
        <w:t xml:space="preserve"> </w:t>
      </w:r>
      <w:r w:rsidR="00617D90">
        <w:t xml:space="preserve">the concept of consent, </w:t>
      </w:r>
      <w:r w:rsidR="00055890" w:rsidRPr="00D43CFB">
        <w:t>among other issues</w:t>
      </w:r>
      <w:r w:rsidR="00090412" w:rsidRPr="00D43CFB">
        <w:t>.</w:t>
      </w:r>
      <w:r w:rsidR="00090412" w:rsidRPr="00D43CFB">
        <w:rPr>
          <w:vertAlign w:val="superscript"/>
        </w:rPr>
        <w:footnoteReference w:id="13"/>
      </w:r>
      <w:r w:rsidR="00090412" w:rsidRPr="00D43CFB">
        <w:t xml:space="preserve"> </w:t>
      </w:r>
      <w:r w:rsidR="00EA520E">
        <w:t>Action Canada s</w:t>
      </w:r>
      <w:r w:rsidR="00EA520E" w:rsidRPr="00EA520E">
        <w:t>ubmitted an urgent appeal</w:t>
      </w:r>
      <w:r w:rsidR="00EA520E">
        <w:rPr>
          <w:rStyle w:val="FootnoteReference"/>
        </w:rPr>
        <w:footnoteReference w:id="14"/>
      </w:r>
      <w:r w:rsidR="00EA520E" w:rsidRPr="00EA520E">
        <w:t> to the UN’s Special Procedures to draw attention to the human rights violations</w:t>
      </w:r>
      <w:r w:rsidR="00FC369F">
        <w:t xml:space="preserve"> occurring as a result of the repeal</w:t>
      </w:r>
      <w:r w:rsidR="00EA520E" w:rsidRPr="00EA520E">
        <w:t xml:space="preserve">. </w:t>
      </w:r>
      <w:r w:rsidR="00617D90">
        <w:t xml:space="preserve">In </w:t>
      </w:r>
      <w:r w:rsidR="00EA520E" w:rsidRPr="00EA520E">
        <w:t>December 2018, Canada received </w:t>
      </w:r>
      <w:r w:rsidR="00EA520E" w:rsidRPr="00617D90">
        <w:t>an official communication</w:t>
      </w:r>
      <w:r w:rsidR="00617D90">
        <w:rPr>
          <w:rStyle w:val="FootnoteReference"/>
        </w:rPr>
        <w:footnoteReference w:id="15"/>
      </w:r>
      <w:r w:rsidR="00EA520E" w:rsidRPr="00EA520E">
        <w:t xml:space="preserve"> endorsed by </w:t>
      </w:r>
      <w:r w:rsidR="00617D90">
        <w:t xml:space="preserve">seven </w:t>
      </w:r>
      <w:r w:rsidR="00EA520E" w:rsidRPr="00EA520E">
        <w:t>UN human rights experts demanding Canada take immediate steps to ensure compliance with human rights obligations</w:t>
      </w:r>
      <w:r w:rsidR="00761E4F">
        <w:t xml:space="preserve">; including: (1) providing </w:t>
      </w:r>
      <w:r w:rsidR="00761E4F" w:rsidRPr="00761E4F">
        <w:t>information on the actions taken by the Federal Government of Canada to ensure that the State, including in Provincial jurisdictions, comply with its international human rights obligations, notably in terms of Economic, Social and Cultural Rights, including the rights to non-discrimination, health</w:t>
      </w:r>
      <w:r>
        <w:t>,</w:t>
      </w:r>
      <w:r w:rsidR="00761E4F" w:rsidRPr="00761E4F">
        <w:t xml:space="preserve"> and education</w:t>
      </w:r>
      <w:r w:rsidR="00761E4F">
        <w:t xml:space="preserve">, and (2) explaining </w:t>
      </w:r>
      <w:r w:rsidR="00761E4F" w:rsidRPr="00761E4F">
        <w:t>measures taken to ensure that all individuals and groups have access to comprehensive, non-discriminatory, evidence-based, scientifically accurate</w:t>
      </w:r>
      <w:r>
        <w:t>,</w:t>
      </w:r>
      <w:r w:rsidR="00761E4F" w:rsidRPr="00761E4F">
        <w:t xml:space="preserve"> and age appropriate information on all aspects of sexual and reproductive health, including gender equality, sexual and gender-based violence, and the issue of consent.</w:t>
      </w:r>
    </w:p>
    <w:p w14:paraId="0304299E" w14:textId="77777777" w:rsidR="004C6B1A" w:rsidRDefault="004C6B1A" w:rsidP="004C6B1A">
      <w:pPr>
        <w:pStyle w:val="ListParagraph"/>
      </w:pPr>
    </w:p>
    <w:p w14:paraId="53ED2071" w14:textId="6BB09D5D" w:rsidR="004C6B1A" w:rsidRPr="00761E4F" w:rsidRDefault="004C6B1A" w:rsidP="00732750">
      <w:pPr>
        <w:pStyle w:val="ListParagraph"/>
        <w:numPr>
          <w:ilvl w:val="0"/>
          <w:numId w:val="4"/>
        </w:numPr>
      </w:pPr>
      <w:r w:rsidRPr="004C6B1A">
        <w:t>In response to the Communication, the Government of Canada, in collaboration with the Government of Ontario, submitted a response which fails to take adequate responsibility for human rights obligations (particularly regarding non-retrogression), puts forward inaccurate information regarding the curriculum in question, falsely claims there is no definition of “age appropriate,” refutes any violation of the freedom of expression of teachers by denying the creation of the “snitch” line, presents misleading information regarding the curriculum consultations, and incorrectly attributes rights entitlements to parents.</w:t>
      </w:r>
      <w:r w:rsidR="00805D9F">
        <w:rPr>
          <w:rStyle w:val="FootnoteReference"/>
        </w:rPr>
        <w:footnoteReference w:id="16"/>
      </w:r>
    </w:p>
    <w:p w14:paraId="5A3CF991" w14:textId="77777777" w:rsidR="00B23DA8" w:rsidRPr="00B23DA8" w:rsidRDefault="00B23DA8" w:rsidP="00B23DA8">
      <w:pPr>
        <w:pStyle w:val="ListParagraph"/>
        <w:rPr>
          <w:highlight w:val="yellow"/>
        </w:rPr>
      </w:pPr>
    </w:p>
    <w:p w14:paraId="468B2947" w14:textId="1F9DCA0A" w:rsidR="00090412" w:rsidRPr="008F016A" w:rsidRDefault="00090412" w:rsidP="00732750">
      <w:pPr>
        <w:pStyle w:val="ListParagraph"/>
        <w:numPr>
          <w:ilvl w:val="0"/>
          <w:numId w:val="4"/>
        </w:numPr>
      </w:pPr>
      <w:r w:rsidRPr="008F016A">
        <w:t>In Alberta, some school boards allow religious groups to deliver sexuality education, which can contain inaccurate and misleading information regarding sexual and reproductive health, diverse family formations and scientific evidence.</w:t>
      </w:r>
      <w:r w:rsidRPr="008F016A">
        <w:rPr>
          <w:vertAlign w:val="superscript"/>
        </w:rPr>
        <w:footnoteReference w:id="17"/>
      </w:r>
      <w:r w:rsidRPr="008F016A">
        <w:rPr>
          <w:vertAlign w:val="superscript"/>
        </w:rPr>
        <w:t xml:space="preserve"> </w:t>
      </w:r>
      <w:r w:rsidRPr="008F016A">
        <w:t>In 2014, an Edmonton student launched a human rights complaint with the Alberta Human Rights Commission</w:t>
      </w:r>
      <w:r w:rsidR="00A34EB7">
        <w:t>,</w:t>
      </w:r>
      <w:r w:rsidRPr="008F016A">
        <w:t xml:space="preserve"> providing evidence that religious groups were delivering misleading information to students on issues related to contraception and sexually transmitted infections, within an abstinence-based approach. </w:t>
      </w:r>
      <w:r w:rsidR="00F81259" w:rsidRPr="008F016A">
        <w:t>Research shows the correlation between the implementation of abstinence-based approaches and rises</w:t>
      </w:r>
      <w:r w:rsidR="00BD2B2A" w:rsidRPr="008F016A">
        <w:t xml:space="preserve"> in</w:t>
      </w:r>
      <w:r w:rsidR="00F81259" w:rsidRPr="008F016A">
        <w:t xml:space="preserve"> sexually transmitted infections,</w:t>
      </w:r>
      <w:r w:rsidRPr="008F016A">
        <w:t xml:space="preserve"> unwanted pregnancies</w:t>
      </w:r>
      <w:r w:rsidR="00A34EB7">
        <w:t>,</w:t>
      </w:r>
      <w:r w:rsidRPr="008F016A">
        <w:t xml:space="preserve"> and </w:t>
      </w:r>
      <w:r w:rsidR="00EB43AA" w:rsidRPr="008F016A">
        <w:t xml:space="preserve">other </w:t>
      </w:r>
      <w:r w:rsidRPr="008F016A">
        <w:t>negative health outcomes,</w:t>
      </w:r>
      <w:r w:rsidR="0076398E" w:rsidRPr="00C2459F">
        <w:rPr>
          <w:vertAlign w:val="superscript"/>
        </w:rPr>
        <w:footnoteReference w:id="18"/>
      </w:r>
      <w:r w:rsidRPr="008F016A">
        <w:t xml:space="preserve"> as it limits young people’s access to comprehensive, evidence-based</w:t>
      </w:r>
      <w:r w:rsidR="00A34EB7">
        <w:t>,</w:t>
      </w:r>
      <w:r w:rsidRPr="008F016A">
        <w:t xml:space="preserve"> and scientific information related to sexual and reproductive health. </w:t>
      </w:r>
    </w:p>
    <w:p w14:paraId="0F13D237" w14:textId="2D49F83C" w:rsidR="00D70111" w:rsidRDefault="00D70111" w:rsidP="00D70111">
      <w:pPr>
        <w:pStyle w:val="ListParagraph"/>
      </w:pPr>
    </w:p>
    <w:p w14:paraId="1E590FCB" w14:textId="4D67687D" w:rsidR="00046EAB" w:rsidRDefault="00D66A6A" w:rsidP="00732750">
      <w:pPr>
        <w:pStyle w:val="ListParagraph"/>
        <w:numPr>
          <w:ilvl w:val="0"/>
          <w:numId w:val="4"/>
        </w:numPr>
      </w:pPr>
      <w:r w:rsidRPr="00225623">
        <w:rPr>
          <w:noProof/>
        </w:rPr>
        <w:lastRenderedPageBreak/>
        <mc:AlternateContent>
          <mc:Choice Requires="wps">
            <w:drawing>
              <wp:anchor distT="45720" distB="45720" distL="114300" distR="114300" simplePos="0" relativeHeight="251664384" behindDoc="0" locked="0" layoutInCell="1" allowOverlap="1" wp14:anchorId="63BB6926" wp14:editId="4EC4B9E4">
                <wp:simplePos x="0" y="0"/>
                <wp:positionH relativeFrom="margin">
                  <wp:align>right</wp:align>
                </wp:positionH>
                <wp:positionV relativeFrom="paragraph">
                  <wp:posOffset>2853055</wp:posOffset>
                </wp:positionV>
                <wp:extent cx="6838950" cy="1399540"/>
                <wp:effectExtent l="0" t="0" r="19050" b="273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399540"/>
                        </a:xfrm>
                        <a:prstGeom prst="rect">
                          <a:avLst/>
                        </a:prstGeom>
                        <a:solidFill>
                          <a:srgbClr val="FFFFFF"/>
                        </a:solidFill>
                        <a:ln w="9525">
                          <a:solidFill>
                            <a:srgbClr val="000000"/>
                          </a:solidFill>
                          <a:miter lim="800000"/>
                          <a:headEnd/>
                          <a:tailEnd/>
                        </a:ln>
                      </wps:spPr>
                      <wps:txbx>
                        <w:txbxContent>
                          <w:p w14:paraId="34885783" w14:textId="7B57C782" w:rsidR="00A07EE1" w:rsidRPr="00EA1E1F" w:rsidRDefault="00A34EB7" w:rsidP="00C2459F">
                            <w:pPr>
                              <w:pStyle w:val="Heading3"/>
                              <w:spacing w:after="40"/>
                              <w:rPr>
                                <w:bCs/>
                                <w:lang w:val="en-GB"/>
                              </w:rPr>
                            </w:pPr>
                            <w:r w:rsidRPr="00C2459F">
                              <w:rPr>
                                <w:rStyle w:val="Heading2Char"/>
                                <w:bCs/>
                                <w:sz w:val="32"/>
                              </w:rPr>
                              <w:t xml:space="preserve">Recommended Questions to be included in the List of Issues </w:t>
                            </w:r>
                          </w:p>
                          <w:p w14:paraId="6D921EE5" w14:textId="77777777" w:rsidR="00A07EE1" w:rsidRPr="002F6BBF" w:rsidRDefault="00A07EE1" w:rsidP="00090412">
                            <w:r>
                              <w:t xml:space="preserve">Recognizing the division of powers outlined in the Constitution of Canada as it relates to legislation respecting education, </w:t>
                            </w:r>
                          </w:p>
                          <w:p w14:paraId="070BF479" w14:textId="13999968" w:rsidR="00A07EE1" w:rsidRPr="001D5728" w:rsidRDefault="00A07EE1" w:rsidP="00732750">
                            <w:pPr>
                              <w:pStyle w:val="ListParagraph"/>
                              <w:numPr>
                                <w:ilvl w:val="0"/>
                                <w:numId w:val="2"/>
                              </w:numPr>
                              <w:spacing w:before="120" w:line="259" w:lineRule="auto"/>
                            </w:pPr>
                            <w:r>
                              <w:t xml:space="preserve">What steps has the </w:t>
                            </w:r>
                            <w:r w:rsidRPr="0035226F">
                              <w:t xml:space="preserve">Government of Canada </w:t>
                            </w:r>
                            <w:r>
                              <w:t xml:space="preserve">taken to, in accordance with CEDAW Concluding Observation 37 (c) </w:t>
                            </w:r>
                            <w:r w:rsidRPr="001D5728">
                              <w:t>harmonize sex education</w:t>
                            </w:r>
                            <w:r>
                              <w:t xml:space="preserve"> </w:t>
                            </w:r>
                            <w:r w:rsidRPr="001D5728">
                              <w:t xml:space="preserve">curricula among provinces and territories and allow the Federal Government </w:t>
                            </w:r>
                            <w:r>
                              <w:t xml:space="preserve">to </w:t>
                            </w:r>
                            <w:r w:rsidRPr="001D5728">
                              <w:t>hold them accountable for implementing such guidelines or standards</w:t>
                            </w:r>
                            <w:r>
                              <w:t>?</w:t>
                            </w:r>
                          </w:p>
                          <w:p w14:paraId="5D620FFB" w14:textId="6CB463AF" w:rsidR="00A07EE1" w:rsidRPr="0035226F" w:rsidRDefault="00A07EE1" w:rsidP="00732750">
                            <w:pPr>
                              <w:pStyle w:val="ListParagraph"/>
                              <w:numPr>
                                <w:ilvl w:val="0"/>
                                <w:numId w:val="2"/>
                              </w:numPr>
                              <w:spacing w:before="120" w:line="259" w:lineRule="auto"/>
                            </w:pPr>
                            <w:r>
                              <w:t xml:space="preserve">What steps has the Government of Canada taken to conduct regular monitoring on a </w:t>
                            </w:r>
                            <w:r w:rsidRPr="00465291">
                              <w:t>robust set of sexual health indicators disaggregated by relevant factors</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BB6926" id="_x0000_t202" coordsize="21600,21600" o:spt="202" path="m,l,21600r21600,l21600,xe">
                <v:stroke joinstyle="miter"/>
                <v:path gradientshapeok="t" o:connecttype="rect"/>
              </v:shapetype>
              <v:shape id="Text Box 2" o:spid="_x0000_s1026" type="#_x0000_t202" style="position:absolute;left:0;text-align:left;margin-left:487.3pt;margin-top:224.65pt;width:538.5pt;height:110.2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">
                <v:textbox style="mso-fit-shape-to-text:t">
                  <w:txbxContent>
                    <w:p w14:paraId="34885783" w14:textId="7B57C782" w:rsidR="00A07EE1" w:rsidRPr="00EA1E1F" w:rsidRDefault="00A34EB7" w:rsidP="00C2459F">
                      <w:pPr>
                        <w:pStyle w:val="Heading3"/>
                        <w:spacing w:after="40"/>
                        <w:rPr>
                          <w:bCs/>
                          <w:lang w:val="en-GB"/>
                        </w:rPr>
                      </w:pPr>
                      <w:r w:rsidRPr="00C2459F">
                        <w:rPr>
                          <w:rStyle w:val="Heading2Char"/>
                          <w:bCs/>
                          <w:sz w:val="32"/>
                        </w:rPr>
                        <w:t xml:space="preserve">Recommended Questions to be included in the List of Issues </w:t>
                      </w:r>
                    </w:p>
                    <w:p w14:paraId="6D921EE5" w14:textId="77777777" w:rsidR="00A07EE1" w:rsidRPr="002F6BBF" w:rsidRDefault="00A07EE1" w:rsidP="00090412">
                      <w:r>
                        <w:t xml:space="preserve">Recognizing the division of powers outlined in the Constitution of Canada as it relates to legislation respecting education, </w:t>
                      </w:r>
                    </w:p>
                    <w:p w14:paraId="070BF479" w14:textId="13999968" w:rsidR="00A07EE1" w:rsidRPr="001D5728" w:rsidRDefault="00A07EE1" w:rsidP="00732750">
                      <w:pPr>
                        <w:pStyle w:val="ListParagraph"/>
                        <w:numPr>
                          <w:ilvl w:val="0"/>
                          <w:numId w:val="2"/>
                        </w:numPr>
                        <w:spacing w:before="120" w:line="259" w:lineRule="auto"/>
                      </w:pPr>
                      <w:r>
                        <w:t xml:space="preserve">What steps has the </w:t>
                      </w:r>
                      <w:r w:rsidRPr="0035226F">
                        <w:t xml:space="preserve">Government of Canada </w:t>
                      </w:r>
                      <w:r>
                        <w:t xml:space="preserve">taken to, in accordance with CEDAW Concluding Observation 37 (c) </w:t>
                      </w:r>
                      <w:r w:rsidRPr="001D5728">
                        <w:t>harmonize sex education</w:t>
                      </w:r>
                      <w:r>
                        <w:t xml:space="preserve"> </w:t>
                      </w:r>
                      <w:r w:rsidRPr="001D5728">
                        <w:t xml:space="preserve">curricula among provinces and territories and allow the Federal Government </w:t>
                      </w:r>
                      <w:r>
                        <w:t xml:space="preserve">to </w:t>
                      </w:r>
                      <w:r w:rsidRPr="001D5728">
                        <w:t>hold them accountable for implementing such guidelines or standards</w:t>
                      </w:r>
                      <w:r>
                        <w:t>?</w:t>
                      </w:r>
                    </w:p>
                    <w:p w14:paraId="5D620FFB" w14:textId="6CB463AF" w:rsidR="00A07EE1" w:rsidRPr="0035226F" w:rsidRDefault="00A07EE1" w:rsidP="00732750">
                      <w:pPr>
                        <w:pStyle w:val="ListParagraph"/>
                        <w:numPr>
                          <w:ilvl w:val="0"/>
                          <w:numId w:val="2"/>
                        </w:numPr>
                        <w:spacing w:before="120" w:line="259" w:lineRule="auto"/>
                      </w:pPr>
                      <w:r>
                        <w:t xml:space="preserve">What steps has the Government of Canada taken to conduct regular monitoring on a </w:t>
                      </w:r>
                      <w:r w:rsidRPr="00465291">
                        <w:t>robust set of sexual health indicators disaggregated by relevant factors</w:t>
                      </w:r>
                      <w:r>
                        <w:t xml:space="preserve">? </w:t>
                      </w:r>
                    </w:p>
                  </w:txbxContent>
                </v:textbox>
                <w10:wrap type="square" anchorx="margin"/>
              </v:shape>
            </w:pict>
          </mc:Fallback>
        </mc:AlternateContent>
      </w:r>
      <w:r w:rsidR="00D70111" w:rsidRPr="00D214EB">
        <w:t xml:space="preserve">Despite the </w:t>
      </w:r>
      <w:r w:rsidR="00A34EB7">
        <w:t>F</w:t>
      </w:r>
      <w:r w:rsidR="00D70111" w:rsidRPr="00D214EB">
        <w:t xml:space="preserve">ederal </w:t>
      </w:r>
      <w:r w:rsidR="00A34EB7">
        <w:t>G</w:t>
      </w:r>
      <w:r w:rsidR="00D70111" w:rsidRPr="00D214EB">
        <w:t>overnment having a role to play both in fulfilling young people’s sexual and reproductive rights (in part through the implementation of comprehensive sexuality education) and in gathering and analyzing data on trends in relation to the sexual and reproductive health of all people in Canada, there are no standards through which sexual health education curricula can be monitored and evaluated. Regular national studies are required in order to determine the effectiveness of sexuality education and</w:t>
      </w:r>
      <w:r w:rsidR="00A34EB7">
        <w:t>,</w:t>
      </w:r>
      <w:r w:rsidR="00D70111" w:rsidRPr="00D214EB">
        <w:t xml:space="preserve"> ultimately</w:t>
      </w:r>
      <w:r w:rsidR="00A34EB7">
        <w:t>,</w:t>
      </w:r>
      <w:r w:rsidR="00D70111" w:rsidRPr="00D214EB">
        <w:t xml:space="preserve"> to determine if curriculums are contributing to positive health outcomes and reductions in stigma and discrimination, among other outcomes. </w:t>
      </w:r>
      <w:r w:rsidR="009C6C36">
        <w:t xml:space="preserve">Further, </w:t>
      </w:r>
      <w:r w:rsidR="00046EAB">
        <w:t xml:space="preserve">Canada has no progress to effectively implement human rights recommendations or to ensure the implementation of human rights law across governmental jurisdictions. </w:t>
      </w:r>
      <w:r w:rsidR="000F60BC">
        <w:t xml:space="preserve">Process by which the </w:t>
      </w:r>
      <w:r w:rsidR="00A34EB7">
        <w:t>G</w:t>
      </w:r>
      <w:r w:rsidR="000F60BC">
        <w:t>overnment consults civil society and Indigenous organizations before and after treaty body review</w:t>
      </w:r>
      <w:r w:rsidR="00A34EB7">
        <w:t>s</w:t>
      </w:r>
      <w:r w:rsidR="000F60BC">
        <w:t xml:space="preserve"> are either nonexistence or perfunctory. The </w:t>
      </w:r>
      <w:r w:rsidR="00A34EB7">
        <w:t>F</w:t>
      </w:r>
      <w:r w:rsidR="000F60BC">
        <w:t xml:space="preserve">ederal </w:t>
      </w:r>
      <w:r w:rsidR="00A34EB7">
        <w:t>G</w:t>
      </w:r>
      <w:r w:rsidR="000F60BC">
        <w:t xml:space="preserve">overnment must establish a robust human rights accountability framework to ensure compliance with international human rights law. </w:t>
      </w:r>
      <w:r w:rsidR="000F60BC" w:rsidRPr="00225623">
        <w:t xml:space="preserve">Such a framework or mechanism would engage all levels of government, maintain adequate resources for the implementation of human rights recommendations and Concluding Observations, incorporate regular monitoring and evaluation functions, </w:t>
      </w:r>
      <w:r w:rsidR="00A34EB7">
        <w:t xml:space="preserve">and </w:t>
      </w:r>
      <w:r w:rsidR="000F60BC" w:rsidRPr="00225623">
        <w:t>regularly engage civil society organizations and Indigenous peoples’ organizations towards greater implementation of and compliance with human rights law.</w:t>
      </w:r>
    </w:p>
    <w:p w14:paraId="26DA950D" w14:textId="6DA0D063" w:rsidR="00046EAB" w:rsidRDefault="00046EAB" w:rsidP="000F60BC">
      <w:pPr>
        <w:pStyle w:val="ListParagraph"/>
      </w:pPr>
    </w:p>
    <w:p w14:paraId="09805553" w14:textId="3BE4A9B1" w:rsidR="00051E79" w:rsidRPr="004B44DC" w:rsidRDefault="00EE7F15" w:rsidP="00051E79">
      <w:pPr>
        <w:pStyle w:val="Heading1"/>
      </w:pPr>
      <w:r w:rsidRPr="004B44DC">
        <w:t xml:space="preserve">Article 12 – Right to health </w:t>
      </w:r>
    </w:p>
    <w:p w14:paraId="1D6BF423" w14:textId="3867C2C4" w:rsidR="003D4CB5" w:rsidRPr="004B44DC" w:rsidRDefault="001B60BC" w:rsidP="003D4CB5">
      <w:r w:rsidRPr="004B44DC">
        <w:rPr>
          <w:rStyle w:val="Heading2Char"/>
          <w:b/>
        </w:rPr>
        <w:t xml:space="preserve">BACKGROUND: </w:t>
      </w:r>
      <w:r w:rsidR="00511084" w:rsidRPr="004B44DC">
        <w:rPr>
          <w:rStyle w:val="Heading2Char"/>
          <w:b/>
        </w:rPr>
        <w:t>Right to a</w:t>
      </w:r>
      <w:r w:rsidR="003D4CB5" w:rsidRPr="004B44DC">
        <w:rPr>
          <w:rStyle w:val="Heading2Char"/>
          <w:b/>
        </w:rPr>
        <w:t xml:space="preserve">ccess to safe abortion services </w:t>
      </w:r>
    </w:p>
    <w:p w14:paraId="1B0207DD" w14:textId="1C3743E2" w:rsidR="00D24DAA" w:rsidRPr="00051F82" w:rsidRDefault="001F7B72" w:rsidP="00732750">
      <w:pPr>
        <w:pStyle w:val="ListParagraph"/>
        <w:numPr>
          <w:ilvl w:val="0"/>
          <w:numId w:val="4"/>
        </w:numPr>
      </w:pPr>
      <w:r w:rsidRPr="005C659D">
        <w:t xml:space="preserve">Article 12 of CEDAW requires State parties to </w:t>
      </w:r>
      <w:r w:rsidR="00A07EE1">
        <w:t xml:space="preserve">take measures </w:t>
      </w:r>
      <w:r w:rsidR="001D71F5">
        <w:t>to ensure women have access to family planning and appropriate services in connection with pregnancy</w:t>
      </w:r>
      <w:r w:rsidR="00DA2A37" w:rsidRPr="005C659D">
        <w:t>.</w:t>
      </w:r>
      <w:r w:rsidR="004256E6" w:rsidRPr="005C659D">
        <w:rPr>
          <w:rStyle w:val="FootnoteReference"/>
        </w:rPr>
        <w:footnoteReference w:id="19"/>
      </w:r>
      <w:r w:rsidR="000C7362">
        <w:t xml:space="preserve"> </w:t>
      </w:r>
      <w:r w:rsidR="003941F6" w:rsidRPr="00051F82">
        <w:t xml:space="preserve">The Committee has, on numerous occasions, outlined governments’ obligation to ensure access to safe abortion services, as part of the right to health. </w:t>
      </w:r>
      <w:r w:rsidR="00766BAC" w:rsidRPr="00051F82">
        <w:t>In General Recommendation 24 on women and health</w:t>
      </w:r>
      <w:r w:rsidR="00E80E45">
        <w:t>,</w:t>
      </w:r>
      <w:r w:rsidR="00766BAC" w:rsidRPr="00051F82">
        <w:t xml:space="preserve"> the Committee</w:t>
      </w:r>
      <w:r w:rsidR="00271513" w:rsidRPr="00051F82">
        <w:t xml:space="preserve"> </w:t>
      </w:r>
      <w:r w:rsidR="000F210A" w:rsidRPr="00051F82">
        <w:t xml:space="preserve">states </w:t>
      </w:r>
      <w:r w:rsidR="00E24399" w:rsidRPr="00051F82">
        <w:t>that it</w:t>
      </w:r>
      <w:r w:rsidR="000F210A" w:rsidRPr="00051F82">
        <w:t xml:space="preserve"> i</w:t>
      </w:r>
      <w:r w:rsidR="00E24399" w:rsidRPr="00051F82">
        <w:t>s</w:t>
      </w:r>
      <w:r w:rsidR="000F210A" w:rsidRPr="00051F82">
        <w:t xml:space="preserve"> “</w:t>
      </w:r>
      <w:r w:rsidR="003941F6" w:rsidRPr="00051F82">
        <w:t>discriminatory for a State party to refuse to provide legally for the performance of certain reprodu</w:t>
      </w:r>
      <w:r w:rsidR="00B358CD" w:rsidRPr="00051F82">
        <w:t>ctive health services for women</w:t>
      </w:r>
      <w:r w:rsidR="006B5B62">
        <w:t>.</w:t>
      </w:r>
      <w:r w:rsidR="005F1C37" w:rsidRPr="00051F82">
        <w:rPr>
          <w:vertAlign w:val="superscript"/>
        </w:rPr>
        <w:footnoteReference w:id="20"/>
      </w:r>
      <w:r w:rsidR="00295D8C" w:rsidRPr="000C7362">
        <w:rPr>
          <w:vertAlign w:val="superscript"/>
        </w:rPr>
        <w:t xml:space="preserve"> </w:t>
      </w:r>
      <w:r w:rsidR="00F71080" w:rsidRPr="00051F82">
        <w:t>In</w:t>
      </w:r>
      <w:r w:rsidR="003242CF" w:rsidRPr="00051F82">
        <w:t xml:space="preserve"> </w:t>
      </w:r>
      <w:r w:rsidR="006B5B62">
        <w:t xml:space="preserve">a </w:t>
      </w:r>
      <w:r w:rsidR="003242CF" w:rsidRPr="00051F82">
        <w:t xml:space="preserve">statement </w:t>
      </w:r>
      <w:r w:rsidR="00D24DAA" w:rsidRPr="00051F82">
        <w:t xml:space="preserve">on sexual and reproductive health and rights within the context of the 2014 review of the Programme of Action of the ICPD, the </w:t>
      </w:r>
      <w:r w:rsidR="00FD17B7" w:rsidRPr="00051F82">
        <w:t xml:space="preserve">CEDAW </w:t>
      </w:r>
      <w:r w:rsidR="00D24DAA" w:rsidRPr="00051F82">
        <w:t>Committee stated that “provision of…safe abortion…care are all part of the right to sexual and reproductive health.”</w:t>
      </w:r>
      <w:r w:rsidR="00D24DAA" w:rsidRPr="00051F82">
        <w:rPr>
          <w:vertAlign w:val="superscript"/>
        </w:rPr>
        <w:footnoteReference w:id="21"/>
      </w:r>
    </w:p>
    <w:p w14:paraId="26391107" w14:textId="77777777" w:rsidR="009B73D0" w:rsidRPr="00B35F11" w:rsidRDefault="009B73D0" w:rsidP="009B73D0">
      <w:pPr>
        <w:pStyle w:val="ListParagraph"/>
        <w:rPr>
          <w:highlight w:val="yellow"/>
        </w:rPr>
      </w:pPr>
    </w:p>
    <w:p w14:paraId="00AB1FAA" w14:textId="0F33E8CE" w:rsidR="00B157E0" w:rsidRDefault="001C34C7" w:rsidP="00732750">
      <w:pPr>
        <w:pStyle w:val="ListParagraph"/>
        <w:numPr>
          <w:ilvl w:val="0"/>
          <w:numId w:val="4"/>
        </w:numPr>
      </w:pPr>
      <w:r w:rsidRPr="00BD061B">
        <w:t xml:space="preserve">In 2013, the Committee examined </w:t>
      </w:r>
      <w:r w:rsidR="00A42B14" w:rsidRPr="00BD061B">
        <w:t>barriers related to cost, expressing concern in cases where legal abortions are not reimbursed by state</w:t>
      </w:r>
      <w:r w:rsidR="00BE5E36" w:rsidRPr="00BD061B">
        <w:t>-provided medical insurance</w:t>
      </w:r>
      <w:r w:rsidR="00A701A1" w:rsidRPr="00BD061B">
        <w:t xml:space="preserve">, combined with non-existent data to demonstrate the impact of such </w:t>
      </w:r>
      <w:r w:rsidR="00A701A1" w:rsidRPr="00BD061B">
        <w:lastRenderedPageBreak/>
        <w:t xml:space="preserve">barriers on </w:t>
      </w:r>
      <w:r w:rsidR="00460763" w:rsidRPr="00BD061B">
        <w:t xml:space="preserve">women who </w:t>
      </w:r>
      <w:r w:rsidR="00B654E0" w:rsidRPr="00BD061B">
        <w:t xml:space="preserve">are </w:t>
      </w:r>
      <w:r w:rsidR="00460763" w:rsidRPr="00BD061B">
        <w:t>economically disadvantaged.</w:t>
      </w:r>
      <w:r w:rsidR="009739E1" w:rsidRPr="00BD061B">
        <w:rPr>
          <w:vertAlign w:val="superscript"/>
        </w:rPr>
        <w:footnoteReference w:id="22"/>
      </w:r>
      <w:r w:rsidR="008D6FEF" w:rsidRPr="00BD061B">
        <w:t xml:space="preserve"> In </w:t>
      </w:r>
      <w:r w:rsidR="001F59DF" w:rsidRPr="00BD061B">
        <w:t xml:space="preserve">addressing </w:t>
      </w:r>
      <w:r w:rsidR="008D6FEF" w:rsidRPr="00BD061B">
        <w:t xml:space="preserve">barriers in access to services, the Committee recommends </w:t>
      </w:r>
      <w:r w:rsidR="0041072F" w:rsidRPr="00BD061B">
        <w:t xml:space="preserve">that </w:t>
      </w:r>
      <w:r w:rsidR="008D6FEF" w:rsidRPr="00BD061B">
        <w:t>state</w:t>
      </w:r>
      <w:r w:rsidR="0041072F" w:rsidRPr="00BD061B">
        <w:t>s</w:t>
      </w:r>
      <w:r w:rsidR="008F76D3" w:rsidRPr="00BD061B">
        <w:t xml:space="preserve">: </w:t>
      </w:r>
      <w:r w:rsidR="008D6FEF" w:rsidRPr="00BD061B">
        <w:t xml:space="preserve">“provide </w:t>
      </w:r>
      <w:r w:rsidR="007F4EC4" w:rsidRPr="00BD061B">
        <w:t>financial support to economically disadvantaged women and girls needing an abortion who cannot afford it.”</w:t>
      </w:r>
      <w:r w:rsidR="00017DAB" w:rsidRPr="00BD061B">
        <w:t xml:space="preserve"> The Committee has also expressed concern regarding legal discrepancies in access to safe abortion services across jurisdictions. </w:t>
      </w:r>
      <w:r w:rsidR="006F0376" w:rsidRPr="00BD061B">
        <w:t>In response</w:t>
      </w:r>
      <w:r w:rsidR="00E80E45">
        <w:t>,</w:t>
      </w:r>
      <w:r w:rsidR="006F0376" w:rsidRPr="00BD061B">
        <w:t xml:space="preserve"> the </w:t>
      </w:r>
      <w:r w:rsidR="00E67110" w:rsidRPr="00BD061B">
        <w:t xml:space="preserve">Committee </w:t>
      </w:r>
      <w:r w:rsidR="007D7FF0" w:rsidRPr="00BD061B">
        <w:t xml:space="preserve">recommended </w:t>
      </w:r>
      <w:r w:rsidR="00E67110" w:rsidRPr="00BD061B">
        <w:t>the state “</w:t>
      </w:r>
      <w:r w:rsidR="007F4EC4" w:rsidRPr="00BD061B">
        <w:t>harmonize the federal and state legislations relating to abortion with a view to eliminating the obstacles faced by women seeking legal abortions</w:t>
      </w:r>
      <w:r w:rsidR="00340561" w:rsidRPr="00BD061B">
        <w:t>” and to “</w:t>
      </w:r>
      <w:r w:rsidR="007F4EC4" w:rsidRPr="00BD061B">
        <w:t>inform medical ca</w:t>
      </w:r>
      <w:r w:rsidR="009C5AF9" w:rsidRPr="00BD061B">
        <w:t>re providers and social workers…</w:t>
      </w:r>
      <w:r w:rsidR="0038303C" w:rsidRPr="00BD061B">
        <w:t>of their responsibilities</w:t>
      </w:r>
      <w:r w:rsidR="007F4EC4" w:rsidRPr="00BD061B">
        <w:t>”</w:t>
      </w:r>
      <w:r w:rsidR="0038303C" w:rsidRPr="00BD061B">
        <w:t xml:space="preserve"> to provide abortion services.</w:t>
      </w:r>
      <w:r w:rsidR="007F4EC4" w:rsidRPr="00BD061B">
        <w:rPr>
          <w:vertAlign w:val="superscript"/>
        </w:rPr>
        <w:footnoteReference w:id="23"/>
      </w:r>
    </w:p>
    <w:p w14:paraId="51C3D827" w14:textId="77777777" w:rsidR="00BD061B" w:rsidRDefault="00BD061B" w:rsidP="00BD061B">
      <w:pPr>
        <w:pStyle w:val="ListParagraph"/>
      </w:pPr>
    </w:p>
    <w:p w14:paraId="485C4FC0" w14:textId="2F05F934" w:rsidR="004B44DC" w:rsidRDefault="00B157E0" w:rsidP="00732750">
      <w:pPr>
        <w:pStyle w:val="ListParagraph"/>
        <w:numPr>
          <w:ilvl w:val="0"/>
          <w:numId w:val="4"/>
        </w:numPr>
      </w:pPr>
      <w:r w:rsidRPr="0063573E">
        <w:t xml:space="preserve">In recent years, Canada has received numerous recommendations from human rights accountability frameworks calling for immediate steps to realize young peoples’ right to comprehensive sexuality education. Namely, </w:t>
      </w:r>
      <w:r w:rsidR="00C735D8" w:rsidRPr="0063573E">
        <w:t xml:space="preserve">CEDAW </w:t>
      </w:r>
      <w:r w:rsidRPr="0063573E">
        <w:t xml:space="preserve">Concluding Observation </w:t>
      </w:r>
      <w:r w:rsidR="00C735D8" w:rsidRPr="0063573E">
        <w:t xml:space="preserve">40 </w:t>
      </w:r>
      <w:r w:rsidR="00166A7F">
        <w:t>(</w:t>
      </w:r>
      <w:r w:rsidR="00C735D8" w:rsidRPr="0063573E">
        <w:t>a</w:t>
      </w:r>
      <w:r w:rsidRPr="0063573E">
        <w:t>) in 201</w:t>
      </w:r>
      <w:r w:rsidR="00B757B5">
        <w:t>6</w:t>
      </w:r>
      <w:r w:rsidRPr="0063573E">
        <w:t xml:space="preserve"> call</w:t>
      </w:r>
      <w:r w:rsidR="00C735D8" w:rsidRPr="0063573E">
        <w:t>ed</w:t>
      </w:r>
      <w:r w:rsidRPr="0063573E">
        <w:t xml:space="preserve"> </w:t>
      </w:r>
      <w:r w:rsidR="00C735D8" w:rsidRPr="0063573E">
        <w:t xml:space="preserve">on Canada to ensure equal access to abortion services in all provinces and territories. </w:t>
      </w:r>
      <w:r w:rsidRPr="0063573E">
        <w:t xml:space="preserve">In 2016, the UN Committee on Economic, Social and Cultural Rights Concluding Observation </w:t>
      </w:r>
      <w:r w:rsidR="00AD3632">
        <w:t>52</w:t>
      </w:r>
      <w:r w:rsidR="00A22120">
        <w:t xml:space="preserve"> </w:t>
      </w:r>
      <w:r w:rsidRPr="0063573E">
        <w:t xml:space="preserve">called on Canada to ensure access to legal abortion services in all provinces and territories. In 2018, Canada received and accepted a recommendation as part of its UN Universal Periodic Review to take action to ensure equal access to abortion. </w:t>
      </w:r>
      <w:r w:rsidR="0063573E" w:rsidRPr="0063573E">
        <w:t xml:space="preserve">The Government of Canada has failed to take meaningful steps to address abortion inequalities across jurisdictions. </w:t>
      </w:r>
    </w:p>
    <w:p w14:paraId="734FF23B" w14:textId="74EB65C8" w:rsidR="00D57F28" w:rsidRPr="004B44DC" w:rsidRDefault="00582A91" w:rsidP="00D57F28">
      <w:pPr>
        <w:rPr>
          <w:rStyle w:val="Heading2Char"/>
          <w:b/>
        </w:rPr>
      </w:pPr>
      <w:r>
        <w:rPr>
          <w:rStyle w:val="Heading2Char"/>
          <w:b/>
        </w:rPr>
        <w:t xml:space="preserve">Access to safe abortion in Canada </w:t>
      </w:r>
    </w:p>
    <w:p w14:paraId="3558A494" w14:textId="77777777" w:rsidR="00DB73D8" w:rsidRDefault="009D1724" w:rsidP="00732750">
      <w:pPr>
        <w:pStyle w:val="ListParagraph"/>
        <w:numPr>
          <w:ilvl w:val="0"/>
          <w:numId w:val="4"/>
        </w:numPr>
      </w:pPr>
      <w:r w:rsidRPr="00DB73D8">
        <w:t xml:space="preserve">The barriers that exist to safe abortion services in Canada represent violations of article 12 as interpreted </w:t>
      </w:r>
      <w:r w:rsidR="00872D4B" w:rsidRPr="00DB73D8">
        <w:t xml:space="preserve">by the work of </w:t>
      </w:r>
      <w:r w:rsidRPr="00DB73D8">
        <w:t xml:space="preserve">the Committee. The Government of Canada, despite having the responsibility and authority to address these barriers, has failed to </w:t>
      </w:r>
      <w:r w:rsidR="00356364" w:rsidRPr="00DB73D8">
        <w:t xml:space="preserve">take </w:t>
      </w:r>
      <w:r w:rsidRPr="00DB73D8">
        <w:t>action to address discriminatory policies and the barriers that are created as a result.</w:t>
      </w:r>
    </w:p>
    <w:p w14:paraId="59EA9719" w14:textId="77777777" w:rsidR="00DB73D8" w:rsidRDefault="00DB73D8" w:rsidP="00DB73D8">
      <w:pPr>
        <w:pStyle w:val="ListParagraph"/>
      </w:pPr>
    </w:p>
    <w:p w14:paraId="64103F9E" w14:textId="6EEEBC60" w:rsidR="009D1724" w:rsidRPr="00D02AA2" w:rsidRDefault="009D1724" w:rsidP="00732750">
      <w:pPr>
        <w:pStyle w:val="ListParagraph"/>
        <w:numPr>
          <w:ilvl w:val="0"/>
          <w:numId w:val="4"/>
        </w:numPr>
      </w:pPr>
      <w:r w:rsidRPr="00D02AA2">
        <w:t>In accordance with the 1988 Supreme Court of Canada decision R. v. Morgentaler, there are no criminal laws restricting access to abortion in Canada. In Canada, the provincial governments are responsible for the administration, organization and delivery of health care. The federal government has constitutional “spending power,” which enables it to fund the health systems under provincial jurisdiction, subject to provincial compliance with certain requirements set out in the 1984 Canada Health Act (herein the Act). It regulates the conditions to which provincial and territorial health insurance programs must adhere in order to receive the full amount of the Canada Health Transfer (herein CHT) cash contribution. If any of the provinces or territories fails to meet any one of the criteria set out in section 13 of the Act, or if the province allows extra billing by medical practitioners or permits user charges for insured health services, the province will face as the penalty a reduction or withholding of the cash contribution</w:t>
      </w:r>
      <w:r w:rsidR="00D02AA2" w:rsidRPr="00D02AA2">
        <w:t>.</w:t>
      </w:r>
    </w:p>
    <w:p w14:paraId="1EB0F4F4" w14:textId="77777777" w:rsidR="00D02AA2" w:rsidRPr="00D02AA2" w:rsidRDefault="00D02AA2" w:rsidP="00D02AA2">
      <w:pPr>
        <w:pStyle w:val="ListParagraph"/>
        <w:rPr>
          <w:highlight w:val="yellow"/>
        </w:rPr>
      </w:pPr>
    </w:p>
    <w:p w14:paraId="5F45C560" w14:textId="42351052" w:rsidR="00C27DF3" w:rsidRPr="00FB0BC0" w:rsidRDefault="00D02AA2" w:rsidP="00732750">
      <w:pPr>
        <w:pStyle w:val="ListParagraph"/>
        <w:numPr>
          <w:ilvl w:val="0"/>
          <w:numId w:val="4"/>
        </w:numPr>
      </w:pPr>
      <w:r>
        <w:t xml:space="preserve">Despite the legal context, women seeking abortion services in Canada experience significant barriers due to lack of financial resources, geographic location, age, </w:t>
      </w:r>
      <w:r w:rsidR="00E80E45">
        <w:t xml:space="preserve">and </w:t>
      </w:r>
      <w:r>
        <w:t>race, among other factors</w:t>
      </w:r>
      <w:r w:rsidR="00C27DF3" w:rsidRPr="00FB0BC0">
        <w:t xml:space="preserve">. </w:t>
      </w:r>
      <w:r w:rsidR="00262EBB">
        <w:t>O</w:t>
      </w:r>
      <w:r w:rsidR="00C27DF3" w:rsidRPr="00FB0BC0">
        <w:t xml:space="preserve">nly </w:t>
      </w:r>
      <w:r w:rsidR="00657E33">
        <w:t>one</w:t>
      </w:r>
      <w:r w:rsidR="00E80E45">
        <w:t xml:space="preserve"> out of </w:t>
      </w:r>
      <w:r w:rsidR="00657E33">
        <w:t xml:space="preserve">every </w:t>
      </w:r>
      <w:r w:rsidR="00C27DF3" w:rsidRPr="00FB0BC0">
        <w:t xml:space="preserve">6 hospitals </w:t>
      </w:r>
      <w:proofErr w:type="gramStart"/>
      <w:r w:rsidR="00C27DF3" w:rsidRPr="00FB0BC0">
        <w:t>provide</w:t>
      </w:r>
      <w:r w:rsidR="00E80E45">
        <w:t>s</w:t>
      </w:r>
      <w:proofErr w:type="gramEnd"/>
      <w:r w:rsidR="00C27DF3" w:rsidRPr="00FB0BC0">
        <w:t xml:space="preserve"> abortion services,</w:t>
      </w:r>
      <w:r w:rsidR="00C27DF3" w:rsidRPr="00FB0BC0">
        <w:rPr>
          <w:vertAlign w:val="superscript"/>
        </w:rPr>
        <w:footnoteReference w:id="24"/>
      </w:r>
      <w:r w:rsidR="00C27DF3" w:rsidRPr="00FB0BC0">
        <w:rPr>
          <w:vertAlign w:val="superscript"/>
        </w:rPr>
        <w:t xml:space="preserve"> </w:t>
      </w:r>
      <w:r w:rsidR="00C27DF3" w:rsidRPr="00FB0BC0">
        <w:t xml:space="preserve">the majority of which, </w:t>
      </w:r>
      <w:r w:rsidR="00E80E45">
        <w:t>along with</w:t>
      </w:r>
      <w:r w:rsidR="00C27DF3" w:rsidRPr="00FB0BC0">
        <w:t xml:space="preserve"> free standing sexual health clinics, are disproportionately dispersed across Canada, with most located in urban areas. For example, the majority of sexual health centres are located within 150km from the US border in major urban centres. </w:t>
      </w:r>
      <w:r w:rsidR="00E80E45">
        <w:t>20%</w:t>
      </w:r>
      <w:r w:rsidR="00C27DF3" w:rsidRPr="00FB0BC0">
        <w:t xml:space="preserve"> of people in Canada live in rural areas</w:t>
      </w:r>
      <w:r w:rsidR="00E80E45">
        <w:t>,</w:t>
      </w:r>
      <w:r w:rsidR="00C27DF3" w:rsidRPr="00FB0BC0">
        <w:t xml:space="preserve"> where they must travel sometimes thousands </w:t>
      </w:r>
      <w:r w:rsidR="00CB0A1C" w:rsidRPr="00FB0BC0">
        <w:t xml:space="preserve">of </w:t>
      </w:r>
      <w:r w:rsidR="00C27DF3" w:rsidRPr="00FB0BC0">
        <w:t xml:space="preserve">kilometres to access abortion services, which often require timely care. Adding to this, there are few providers that offer services beyond 16 weeks gestation. This makes it particularly difficult for individuals living in areas with only one service provider (where the provider may only offer </w:t>
      </w:r>
      <w:r w:rsidR="00C27DF3" w:rsidRPr="00FB0BC0">
        <w:lastRenderedPageBreak/>
        <w:t xml:space="preserve">services until </w:t>
      </w:r>
      <w:proofErr w:type="gramStart"/>
      <w:r w:rsidR="00C27DF3" w:rsidRPr="00FB0BC0">
        <w:t>10 or 12 weeks</w:t>
      </w:r>
      <w:proofErr w:type="gramEnd"/>
      <w:r w:rsidR="00C27DF3" w:rsidRPr="00FB0BC0">
        <w:t xml:space="preserve"> gestation, for example) or those living thousands of kilometers away from major urban centr</w:t>
      </w:r>
      <w:r w:rsidR="00E80E45">
        <w:t>e</w:t>
      </w:r>
      <w:r w:rsidR="00C27DF3" w:rsidRPr="00FB0BC0">
        <w:t>s where there are multiple service access points.</w:t>
      </w:r>
      <w:r w:rsidR="00935C34" w:rsidRPr="00FB0BC0">
        <w:rPr>
          <w:rStyle w:val="FootnoteReference"/>
        </w:rPr>
        <w:footnoteReference w:id="25"/>
      </w:r>
      <w:r w:rsidR="00C27DF3" w:rsidRPr="00FB0BC0">
        <w:t xml:space="preserve"> </w:t>
      </w:r>
    </w:p>
    <w:p w14:paraId="12B1E924" w14:textId="77777777" w:rsidR="00C27DF3" w:rsidRPr="00B35F11" w:rsidRDefault="00C27DF3" w:rsidP="00C27DF3">
      <w:pPr>
        <w:pStyle w:val="ListParagraph"/>
        <w:rPr>
          <w:highlight w:val="yellow"/>
        </w:rPr>
      </w:pPr>
    </w:p>
    <w:p w14:paraId="68246AC6" w14:textId="08BFDF8D" w:rsidR="009F6087" w:rsidRDefault="00C27DF3" w:rsidP="00732750">
      <w:pPr>
        <w:pStyle w:val="ListParagraph"/>
        <w:numPr>
          <w:ilvl w:val="0"/>
          <w:numId w:val="4"/>
        </w:numPr>
      </w:pPr>
      <w:r w:rsidRPr="00FB0BC0">
        <w:t xml:space="preserve">The overall limited availability </w:t>
      </w:r>
      <w:r w:rsidR="00B10D14">
        <w:t>of</w:t>
      </w:r>
      <w:r w:rsidRPr="00FB0BC0">
        <w:t xml:space="preserve"> abortion services is compounded by other barriers including significant wait times, age, financial</w:t>
      </w:r>
      <w:r w:rsidR="00B10D14">
        <w:t xml:space="preserve"> limitations,</w:t>
      </w:r>
      <w:r w:rsidRPr="00FB0BC0">
        <w:t xml:space="preserve"> and geographic location. Unexpected travel time is a factor since some of the abortion providers put a gestational limit to the termination of the pregnanc</w:t>
      </w:r>
      <w:r w:rsidR="00CA2096" w:rsidRPr="00FB0BC0">
        <w:t xml:space="preserve">y, delaying </w:t>
      </w:r>
      <w:r w:rsidR="00300D54" w:rsidRPr="00FB0BC0">
        <w:t>a</w:t>
      </w:r>
      <w:r w:rsidR="00CA2096" w:rsidRPr="00FB0BC0">
        <w:t xml:space="preserve"> </w:t>
      </w:r>
      <w:r w:rsidRPr="00FB0BC0">
        <w:t>woman’s right to abortion. In addition, these women face unforeseen monetary expenses such as travel, accommodation, lost wages, childcare, eldercare, and possibly procedural costs (in the case where there is a lack of reciprocal billing within their provincial or territorial health systems), disproportionately impacting low‐income women. While there are no laws requiring parental consent or laws imposing restrictions to abortion access based on age, young people seeking abortion services have reported experiencing stigma and discrimination from health care providers.</w:t>
      </w:r>
      <w:r w:rsidRPr="00FB0BC0">
        <w:rPr>
          <w:rStyle w:val="FootnoteReference"/>
        </w:rPr>
        <w:footnoteReference w:id="26"/>
      </w:r>
    </w:p>
    <w:p w14:paraId="582116FA" w14:textId="77777777" w:rsidR="009F6087" w:rsidRDefault="009F6087" w:rsidP="009F6087">
      <w:pPr>
        <w:pStyle w:val="ListParagraph"/>
      </w:pPr>
    </w:p>
    <w:p w14:paraId="01CB2960" w14:textId="63D0D896" w:rsidR="004935C1" w:rsidRDefault="009D1724" w:rsidP="00732750">
      <w:pPr>
        <w:pStyle w:val="ListParagraph"/>
        <w:numPr>
          <w:ilvl w:val="0"/>
          <w:numId w:val="4"/>
        </w:numPr>
      </w:pPr>
      <w:r w:rsidRPr="009F6087">
        <w:t xml:space="preserve">New Brunswick only has </w:t>
      </w:r>
      <w:r w:rsidR="00405F9D" w:rsidRPr="009F6087">
        <w:t>three</w:t>
      </w:r>
      <w:r w:rsidRPr="009F6087">
        <w:t xml:space="preserve"> hospitals in the entire province </w:t>
      </w:r>
      <w:r w:rsidR="00B107B6" w:rsidRPr="009F6087">
        <w:t xml:space="preserve">providing </w:t>
      </w:r>
      <w:r w:rsidRPr="009F6087">
        <w:t>abortion services.</w:t>
      </w:r>
      <w:r w:rsidR="00335276" w:rsidRPr="0063748C">
        <w:rPr>
          <w:vertAlign w:val="superscript"/>
        </w:rPr>
        <w:footnoteReference w:id="27"/>
      </w:r>
      <w:r w:rsidR="00335276" w:rsidRPr="0063748C">
        <w:rPr>
          <w:vertAlign w:val="superscript"/>
        </w:rPr>
        <w:t xml:space="preserve"> </w:t>
      </w:r>
      <w:r w:rsidRPr="009F6087">
        <w:t>In contravention to the Act,</w:t>
      </w:r>
      <w:r w:rsidR="00DB182C">
        <w:rPr>
          <w:rStyle w:val="FootnoteReference"/>
        </w:rPr>
        <w:footnoteReference w:id="28"/>
      </w:r>
      <w:r w:rsidRPr="009F6087">
        <w:t xml:space="preserve"> New Brunswick is the only province that refuses to pay for, or reimburse women for, abortion services performed outside of hospitals; hence, this province refuses to fund clinic abortions. This policy can be especially difficult for women in small towns. If a woman in unable to travel to one of the </w:t>
      </w:r>
      <w:r w:rsidR="00EB5DC1">
        <w:t>three</w:t>
      </w:r>
      <w:r w:rsidRPr="009F6087">
        <w:t xml:space="preserve"> hospitals, or fears stigma and discrimination in accessing services in such environments, she may either be forced to travel out-of-province in order to obtain abortion care, pay $700</w:t>
      </w:r>
      <w:r w:rsidR="00EB5DC1">
        <w:t>+</w:t>
      </w:r>
      <w:r w:rsidRPr="009F6087">
        <w:t xml:space="preserve"> to have the abortion </w:t>
      </w:r>
      <w:r w:rsidR="00782D39" w:rsidRPr="009F6087">
        <w:t>at the one clinic in the province</w:t>
      </w:r>
      <w:r w:rsidR="006A3E79" w:rsidRPr="009F6087">
        <w:t>,</w:t>
      </w:r>
      <w:r w:rsidR="00782D39" w:rsidRPr="009F6087">
        <w:t xml:space="preserve"> </w:t>
      </w:r>
      <w:r w:rsidRPr="009F6087">
        <w:t>or continue with the pregnancy and birth against her will. With such limited access, it has been reported that women are increasingly seeking abortion services out</w:t>
      </w:r>
      <w:r w:rsidR="00657E33">
        <w:t>-</w:t>
      </w:r>
      <w:r w:rsidRPr="009F6087">
        <w:t>of</w:t>
      </w:r>
      <w:r w:rsidR="00657E33">
        <w:t>-</w:t>
      </w:r>
      <w:r w:rsidRPr="009F6087">
        <w:t>country, and in some cases, engaging in unsafe practices to terminate unwanted pregnancies.</w:t>
      </w:r>
      <w:r w:rsidRPr="00895D18">
        <w:rPr>
          <w:vertAlign w:val="superscript"/>
        </w:rPr>
        <w:footnoteReference w:id="29"/>
      </w:r>
    </w:p>
    <w:p w14:paraId="7108DD47" w14:textId="77777777" w:rsidR="003B2EE7" w:rsidRDefault="003B2EE7" w:rsidP="003B2EE7">
      <w:pPr>
        <w:pStyle w:val="ListParagraph"/>
      </w:pPr>
    </w:p>
    <w:p w14:paraId="47CAD6FD" w14:textId="5E11CF67" w:rsidR="003B2EE7" w:rsidRPr="00336EE1" w:rsidRDefault="003B2EE7" w:rsidP="00732750">
      <w:pPr>
        <w:pStyle w:val="ListParagraph"/>
        <w:numPr>
          <w:ilvl w:val="0"/>
          <w:numId w:val="4"/>
        </w:numPr>
      </w:pPr>
      <w:r>
        <w:t xml:space="preserve">In recent years, Canada has experienced an increase in actions taken by a </w:t>
      </w:r>
      <w:r w:rsidRPr="00336EE1">
        <w:t>small, vocal</w:t>
      </w:r>
      <w:r>
        <w:t>,</w:t>
      </w:r>
      <w:r w:rsidRPr="00336EE1">
        <w:t xml:space="preserve"> and well-funded </w:t>
      </w:r>
      <w:r>
        <w:t xml:space="preserve">groups </w:t>
      </w:r>
      <w:r w:rsidRPr="00336EE1">
        <w:t>dedicated to curtailing and violating</w:t>
      </w:r>
      <w:r w:rsidR="00A02DB2">
        <w:t xml:space="preserve"> women’s</w:t>
      </w:r>
      <w:r w:rsidRPr="00336EE1">
        <w:t xml:space="preserve"> </w:t>
      </w:r>
      <w:r w:rsidR="00A02DB2">
        <w:t xml:space="preserve">reproductive </w:t>
      </w:r>
      <w:r w:rsidRPr="00336EE1">
        <w:t>rights through the activities of anti-choice organizations (often known as Crisis Pregnancy Centres</w:t>
      </w:r>
      <w:r w:rsidR="003F6C8B">
        <w:t xml:space="preserve"> (CPCs)</w:t>
      </w:r>
      <w:r>
        <w:t>, of which there are approximately 180 in Canada</w:t>
      </w:r>
      <w:r w:rsidR="003F6C8B">
        <w:t>)</w:t>
      </w:r>
      <w:r w:rsidR="00DA7A8A">
        <w:t>.</w:t>
      </w:r>
      <w:r>
        <w:rPr>
          <w:rStyle w:val="FootnoteReference"/>
        </w:rPr>
        <w:footnoteReference w:id="30"/>
      </w:r>
      <w:r w:rsidRPr="00336EE1">
        <w:t xml:space="preserve"> </w:t>
      </w:r>
      <w:r w:rsidR="001D06F2">
        <w:t>M</w:t>
      </w:r>
      <w:r w:rsidRPr="00336EE1">
        <w:t>any of these organizations actively interfere with people’s access to abortion care by, for example, sharing misleading information</w:t>
      </w:r>
      <w:r w:rsidR="003F6C8B">
        <w:t xml:space="preserve">, and </w:t>
      </w:r>
      <w:r w:rsidRPr="00336EE1">
        <w:t>gatekeeping or picketing abortion clinics or hospitals.</w:t>
      </w:r>
      <w:r w:rsidRPr="00336EE1">
        <w:rPr>
          <w:rStyle w:val="FootnoteReference"/>
        </w:rPr>
        <w:footnoteReference w:id="31"/>
      </w:r>
      <w:r w:rsidRPr="00336EE1">
        <w:t xml:space="preserve"> Some of these tactics result in delayed access to health</w:t>
      </w:r>
      <w:r w:rsidR="005579E4">
        <w:t xml:space="preserve"> </w:t>
      </w:r>
      <w:r w:rsidRPr="00336EE1">
        <w:t>care. Abortion is a time</w:t>
      </w:r>
      <w:r>
        <w:t>-</w:t>
      </w:r>
      <w:r w:rsidRPr="00336EE1">
        <w:t xml:space="preserve">sensitive procedure and the more a person is delayed, the more trouble they can have accessing the service. Delaying access jeopardizes people’s ability to make important decisions about pregnancy as early as possible and to </w:t>
      </w:r>
      <w:r>
        <w:t>access</w:t>
      </w:r>
      <w:r w:rsidRPr="00336EE1">
        <w:t xml:space="preserve"> the appropriate care.</w:t>
      </w:r>
      <w:r w:rsidRPr="00336EE1">
        <w:rPr>
          <w:rStyle w:val="FootnoteReference"/>
        </w:rPr>
        <w:footnoteReference w:id="32"/>
      </w:r>
    </w:p>
    <w:p w14:paraId="6C182B17" w14:textId="77777777" w:rsidR="00001881" w:rsidRDefault="00001881" w:rsidP="00001881">
      <w:pPr>
        <w:pStyle w:val="ListParagraph"/>
      </w:pPr>
    </w:p>
    <w:p w14:paraId="22ECC9DD" w14:textId="6B705840" w:rsidR="003B2EE7" w:rsidRPr="009F6087" w:rsidRDefault="00D8740D" w:rsidP="00732750">
      <w:pPr>
        <w:pStyle w:val="ListParagraph"/>
        <w:numPr>
          <w:ilvl w:val="0"/>
          <w:numId w:val="4"/>
        </w:numPr>
      </w:pPr>
      <w:r w:rsidRPr="009F6087">
        <w:rPr>
          <w:noProof/>
        </w:rPr>
        <w:lastRenderedPageBreak/>
        <mc:AlternateContent>
          <mc:Choice Requires="wps">
            <w:drawing>
              <wp:anchor distT="45720" distB="45720" distL="114300" distR="114300" simplePos="0" relativeHeight="251660288" behindDoc="0" locked="0" layoutInCell="1" allowOverlap="1" wp14:anchorId="1DEDA49F" wp14:editId="2BDDFC4E">
                <wp:simplePos x="0" y="0"/>
                <wp:positionH relativeFrom="margin">
                  <wp:posOffset>13970</wp:posOffset>
                </wp:positionH>
                <wp:positionV relativeFrom="paragraph">
                  <wp:posOffset>2221230</wp:posOffset>
                </wp:positionV>
                <wp:extent cx="6838950" cy="22161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2216150"/>
                        </a:xfrm>
                        <a:prstGeom prst="rect">
                          <a:avLst/>
                        </a:prstGeom>
                        <a:solidFill>
                          <a:srgbClr val="FFFFFF"/>
                        </a:solidFill>
                        <a:ln w="9525">
                          <a:solidFill>
                            <a:srgbClr val="000000"/>
                          </a:solidFill>
                          <a:miter lim="800000"/>
                          <a:headEnd/>
                          <a:tailEnd/>
                        </a:ln>
                      </wps:spPr>
                      <wps:txbx>
                        <w:txbxContent>
                          <w:p w14:paraId="790EB171" w14:textId="77777777" w:rsidR="003F6C8B" w:rsidRPr="00FE4564" w:rsidRDefault="003F6C8B" w:rsidP="003F6C8B">
                            <w:pPr>
                              <w:pStyle w:val="Heading3"/>
                              <w:spacing w:after="40"/>
                              <w:rPr>
                                <w:bCs/>
                                <w:lang w:val="en-GB"/>
                              </w:rPr>
                            </w:pPr>
                            <w:r w:rsidRPr="00FE4564">
                              <w:rPr>
                                <w:rStyle w:val="Heading2Char"/>
                                <w:bCs/>
                                <w:sz w:val="32"/>
                              </w:rPr>
                              <w:t xml:space="preserve">Recommended Questions to be included in the List of Issues </w:t>
                            </w:r>
                          </w:p>
                          <w:p w14:paraId="7A9667A2" w14:textId="77777777" w:rsidR="00A07EE1" w:rsidRPr="00B8534F" w:rsidRDefault="00A07EE1" w:rsidP="009D1724">
                            <w:pPr>
                              <w:rPr>
                                <w:lang w:val="en-GB"/>
                              </w:rPr>
                            </w:pPr>
                            <w:r w:rsidRPr="00BC22A7">
                              <w:t xml:space="preserve">Recognizing the existence of discriminatory policies and barriers that prevent individuals in Canada from accessing safe abortion services: </w:t>
                            </w:r>
                          </w:p>
                          <w:p w14:paraId="7712B593" w14:textId="029E1220" w:rsidR="00A07EE1" w:rsidRPr="00A2526A" w:rsidRDefault="00A07EE1" w:rsidP="00732750">
                            <w:pPr>
                              <w:pStyle w:val="ListParagraph"/>
                              <w:numPr>
                                <w:ilvl w:val="0"/>
                                <w:numId w:val="1"/>
                              </w:numPr>
                              <w:spacing w:line="259" w:lineRule="auto"/>
                              <w:rPr>
                                <w:lang w:val="en-GB"/>
                              </w:rPr>
                            </w:pPr>
                            <w:r w:rsidRPr="00A2526A">
                              <w:t xml:space="preserve">What steps has the Government of Canada taken to enact penalties against provinces refusing to uphold the criteria set out in section 13 of the Canada Health Act? </w:t>
                            </w:r>
                          </w:p>
                          <w:p w14:paraId="7E5BE08A" w14:textId="2494970F" w:rsidR="00A07EE1" w:rsidRPr="00B26C96" w:rsidRDefault="00A07EE1" w:rsidP="00732750">
                            <w:pPr>
                              <w:pStyle w:val="ListParagraph"/>
                              <w:numPr>
                                <w:ilvl w:val="0"/>
                                <w:numId w:val="1"/>
                              </w:numPr>
                              <w:spacing w:line="259" w:lineRule="auto"/>
                              <w:rPr>
                                <w:lang w:val="en-GB"/>
                              </w:rPr>
                            </w:pPr>
                            <w:r w:rsidRPr="00A2526A">
                              <w:t>What steps has the Government of Canada taken to implement CEDAW Concluding Observation 40 (a) to ensure equal access to abortion services in all provinces and territories?</w:t>
                            </w:r>
                          </w:p>
                          <w:p w14:paraId="7373E320" w14:textId="1918A8A4" w:rsidR="00B26C96" w:rsidRPr="00A2526A" w:rsidRDefault="00B26C96" w:rsidP="00732750">
                            <w:pPr>
                              <w:pStyle w:val="ListParagraph"/>
                              <w:numPr>
                                <w:ilvl w:val="0"/>
                                <w:numId w:val="1"/>
                              </w:numPr>
                              <w:spacing w:line="259" w:lineRule="auto"/>
                              <w:rPr>
                                <w:lang w:val="en-GB"/>
                              </w:rPr>
                            </w:pPr>
                            <w:r>
                              <w:t xml:space="preserve">What steps has the Government of Canada taken to prevent undue interference by non-state actors to access abortion care?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DA49F" id="_x0000_s1027" type="#_x0000_t202" style="position:absolute;left:0;text-align:left;margin-left:1.1pt;margin-top:174.9pt;width:538.5pt;height:174.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">
                <v:textbox>
                  <w:txbxContent>
                    <w:p w14:paraId="790EB171" w14:textId="77777777" w:rsidR="003F6C8B" w:rsidRPr="00FE4564" w:rsidRDefault="003F6C8B" w:rsidP="003F6C8B">
                      <w:pPr>
                        <w:pStyle w:val="Heading3"/>
                        <w:spacing w:after="40"/>
                        <w:rPr>
                          <w:bCs/>
                          <w:lang w:val="en-GB"/>
                        </w:rPr>
                      </w:pPr>
                      <w:r w:rsidRPr="00FE4564">
                        <w:rPr>
                          <w:rStyle w:val="Heading2Char"/>
                          <w:bCs/>
                          <w:sz w:val="32"/>
                        </w:rPr>
                        <w:t xml:space="preserve">Recommended Questions to be included in the List of Issues </w:t>
                      </w:r>
                    </w:p>
                    <w:p w14:paraId="7A9667A2" w14:textId="77777777" w:rsidR="00A07EE1" w:rsidRPr="00B8534F" w:rsidRDefault="00A07EE1" w:rsidP="009D1724">
                      <w:pPr>
                        <w:rPr>
                          <w:lang w:val="en-GB"/>
                        </w:rPr>
                      </w:pPr>
                      <w:r w:rsidRPr="00BC22A7">
                        <w:t xml:space="preserve">Recognizing the existence of discriminatory policies and barriers that prevent individuals in Canada from accessing safe abortion services: </w:t>
                      </w:r>
                    </w:p>
                    <w:p w14:paraId="7712B593" w14:textId="029E1220" w:rsidR="00A07EE1" w:rsidRPr="00A2526A" w:rsidRDefault="00A07EE1" w:rsidP="00732750">
                      <w:pPr>
                        <w:pStyle w:val="ListParagraph"/>
                        <w:numPr>
                          <w:ilvl w:val="0"/>
                          <w:numId w:val="1"/>
                        </w:numPr>
                        <w:spacing w:line="259" w:lineRule="auto"/>
                        <w:rPr>
                          <w:lang w:val="en-GB"/>
                        </w:rPr>
                      </w:pPr>
                      <w:r w:rsidRPr="00A2526A">
                        <w:t xml:space="preserve">What steps has the Government of Canada taken to enact penalties against provinces refusing to uphold the criteria set out in section 13 of the Canada Health Act? </w:t>
                      </w:r>
                    </w:p>
                    <w:p w14:paraId="7E5BE08A" w14:textId="2494970F" w:rsidR="00A07EE1" w:rsidRPr="00B26C96" w:rsidRDefault="00A07EE1" w:rsidP="00732750">
                      <w:pPr>
                        <w:pStyle w:val="ListParagraph"/>
                        <w:numPr>
                          <w:ilvl w:val="0"/>
                          <w:numId w:val="1"/>
                        </w:numPr>
                        <w:spacing w:line="259" w:lineRule="auto"/>
                        <w:rPr>
                          <w:lang w:val="en-GB"/>
                        </w:rPr>
                      </w:pPr>
                      <w:r w:rsidRPr="00A2526A">
                        <w:t>What steps has the Government of Canada taken to implement CEDAW Concluding Observation 40 (a) to ensure equal access to abortion services in all provinces and territories?</w:t>
                      </w:r>
                    </w:p>
                    <w:p w14:paraId="7373E320" w14:textId="1918A8A4" w:rsidR="00B26C96" w:rsidRPr="00A2526A" w:rsidRDefault="00B26C96" w:rsidP="00732750">
                      <w:pPr>
                        <w:pStyle w:val="ListParagraph"/>
                        <w:numPr>
                          <w:ilvl w:val="0"/>
                          <w:numId w:val="1"/>
                        </w:numPr>
                        <w:spacing w:line="259" w:lineRule="auto"/>
                        <w:rPr>
                          <w:lang w:val="en-GB"/>
                        </w:rPr>
                      </w:pPr>
                      <w:r>
                        <w:t xml:space="preserve">What steps has the Government of Canada taken to prevent undue interference by non-state actors to access abortion care? </w:t>
                      </w:r>
                    </w:p>
                  </w:txbxContent>
                </v:textbox>
                <w10:wrap type="square" anchorx="margin"/>
              </v:shape>
            </w:pict>
          </mc:Fallback>
        </mc:AlternateContent>
      </w:r>
      <w:r w:rsidR="003B2EE7" w:rsidRPr="00892807">
        <w:t>The harmful activities of Canadian anti-choice groups go well beyond the safe expression of political positions and lobbying</w:t>
      </w:r>
      <w:r w:rsidR="003F6C8B">
        <w:t>, as</w:t>
      </w:r>
      <w:r w:rsidR="003B2EE7">
        <w:t xml:space="preserve"> they often involve</w:t>
      </w:r>
      <w:r w:rsidR="003B2EE7" w:rsidRPr="00892807">
        <w:t xml:space="preserve"> the dissemination of false health information and the establishment of </w:t>
      </w:r>
      <w:r w:rsidR="003F6C8B">
        <w:t>CPCs.</w:t>
      </w:r>
      <w:r w:rsidR="003B2EE7" w:rsidRPr="00892807">
        <w:t xml:space="preserve"> CPCs are facilities that intentionally prevent access to abortion services. They often deceive people into thinking they </w:t>
      </w:r>
      <w:r w:rsidR="003B2EE7" w:rsidRPr="003B2EE7">
        <w:rPr>
          <w:i/>
        </w:rPr>
        <w:t>are</w:t>
      </w:r>
      <w:r w:rsidR="003B2EE7" w:rsidRPr="00892807">
        <w:t xml:space="preserve"> abortion clinics </w:t>
      </w:r>
      <w:r w:rsidR="003F6C8B">
        <w:t>–</w:t>
      </w:r>
      <w:r w:rsidR="003B2EE7" w:rsidRPr="00892807">
        <w:t xml:space="preserve"> </w:t>
      </w:r>
      <w:r w:rsidR="003F6C8B">
        <w:t xml:space="preserve">and </w:t>
      </w:r>
      <w:r w:rsidR="003B2EE7" w:rsidRPr="00892807">
        <w:t>in many cases</w:t>
      </w:r>
      <w:r w:rsidR="003F6C8B">
        <w:t>,</w:t>
      </w:r>
      <w:r w:rsidR="003B2EE7" w:rsidRPr="00892807">
        <w:t xml:space="preserve"> they open as geographically close to abortion clinics as possible, so that people can literally walk into the wrong building by mistake. Once a pregnant person is inside the facility</w:t>
      </w:r>
      <w:r w:rsidR="003B2EE7">
        <w:t>,</w:t>
      </w:r>
      <w:r w:rsidR="003B2EE7" w:rsidRPr="00892807">
        <w:t xml:space="preserve"> they often present them with false health information and suggest pregnancy options that exclude abortion</w:t>
      </w:r>
      <w:r w:rsidR="003F6C8B">
        <w:t>. The result</w:t>
      </w:r>
      <w:r w:rsidR="003B2EE7" w:rsidRPr="00892807">
        <w:t xml:space="preserve"> is that individuals can be delayed and misled while seeking the care of their choice. In many cases, a town or city that does not have abortion clinics will have a CPC, and it has been found that some CPCs are receiving public funding to operate</w:t>
      </w:r>
      <w:r w:rsidR="003B2EE7">
        <w:t>.</w:t>
      </w:r>
      <w:r w:rsidR="003B2EE7" w:rsidRPr="00892807">
        <w:rPr>
          <w:rStyle w:val="FootnoteReference"/>
        </w:rPr>
        <w:footnoteReference w:id="33"/>
      </w:r>
      <w:r w:rsidR="002119AF">
        <w:t xml:space="preserve"> CPCs often operate in unregulated contexts, particularly in cases where there are no health care providers on staff. As a result, CPCs are not held to the same regulatory standards that require client confidentiality and privacy, </w:t>
      </w:r>
      <w:r w:rsidR="0028011A">
        <w:t xml:space="preserve">adherence to health care standards, </w:t>
      </w:r>
      <w:proofErr w:type="gramStart"/>
      <w:r w:rsidR="0028011A">
        <w:t>etc..</w:t>
      </w:r>
      <w:proofErr w:type="gramEnd"/>
      <w:r w:rsidR="0028011A">
        <w:t xml:space="preserve"> </w:t>
      </w:r>
      <w:r w:rsidR="002119AF">
        <w:t xml:space="preserve"> </w:t>
      </w:r>
      <w:r w:rsidR="003B2EE7" w:rsidRPr="00892807">
        <w:t xml:space="preserve"> </w:t>
      </w:r>
    </w:p>
    <w:p w14:paraId="68FF3EBB" w14:textId="58165F3B" w:rsidR="00C33F34" w:rsidRPr="00B35F11" w:rsidRDefault="00C33F34" w:rsidP="001D7F2A">
      <w:pPr>
        <w:rPr>
          <w:rStyle w:val="Heading2Char"/>
          <w:b/>
          <w:highlight w:val="yellow"/>
        </w:rPr>
      </w:pPr>
    </w:p>
    <w:p w14:paraId="223DF695" w14:textId="10CF5CE7" w:rsidR="001D7F2A" w:rsidRPr="004B44DC" w:rsidRDefault="00C33F34" w:rsidP="001D7F2A">
      <w:r w:rsidRPr="004B44DC">
        <w:rPr>
          <w:rStyle w:val="Heading2Char"/>
          <w:b/>
        </w:rPr>
        <w:t xml:space="preserve">BACKGROUND: </w:t>
      </w:r>
      <w:r w:rsidR="001D7F2A" w:rsidRPr="004B44DC">
        <w:rPr>
          <w:rStyle w:val="Heading2Char"/>
          <w:b/>
        </w:rPr>
        <w:t xml:space="preserve">Forced sterilization </w:t>
      </w:r>
    </w:p>
    <w:p w14:paraId="01CA7C0E" w14:textId="316BB538" w:rsidR="00A72CCA" w:rsidRDefault="0010431C" w:rsidP="00732750">
      <w:pPr>
        <w:pStyle w:val="ListParagraph"/>
        <w:numPr>
          <w:ilvl w:val="0"/>
          <w:numId w:val="4"/>
        </w:numPr>
      </w:pPr>
      <w:r w:rsidRPr="00D12FA2">
        <w:t xml:space="preserve">General recommendation 19 </w:t>
      </w:r>
      <w:r w:rsidR="002F1F1C" w:rsidRPr="00D12FA2">
        <w:t xml:space="preserve">of the Committee </w:t>
      </w:r>
      <w:r w:rsidRPr="00D12FA2">
        <w:t xml:space="preserve">states that “compulsory sterilization or abortion adversely affects women's physical and mental </w:t>
      </w:r>
      <w:proofErr w:type="gramStart"/>
      <w:r w:rsidRPr="00D12FA2">
        <w:t>health, and</w:t>
      </w:r>
      <w:proofErr w:type="gramEnd"/>
      <w:r w:rsidRPr="00D12FA2">
        <w:t xml:space="preserve"> infringes the right of women to decide on the number and spacing of their children.” General recommendation 24 on women and health calls upon states to “ensure that measures are taken to prevent coercion in regard to fertility and reproduction, and to ensure that women are not forced to seek unsafe medical procedures…because of lack of appropriate services in regard to fertility control.”</w:t>
      </w:r>
      <w:r w:rsidRPr="00D12FA2">
        <w:rPr>
          <w:vertAlign w:val="superscript"/>
        </w:rPr>
        <w:footnoteReference w:id="34"/>
      </w:r>
      <w:r w:rsidR="006F0BD7">
        <w:t xml:space="preserve"> </w:t>
      </w:r>
      <w:r w:rsidR="00A73F11" w:rsidRPr="00D12FA2">
        <w:t>The Committee</w:t>
      </w:r>
      <w:r w:rsidR="0083514C" w:rsidRPr="00D12FA2">
        <w:t xml:space="preserve"> has</w:t>
      </w:r>
      <w:r w:rsidR="00A73F11" w:rsidRPr="00D12FA2">
        <w:t xml:space="preserve">, on numerous occasions, expressed concern regarding incidences of forced sterilization, particularly among marginalized communities. </w:t>
      </w:r>
      <w:r w:rsidR="00F43E1F">
        <w:t xml:space="preserve">The </w:t>
      </w:r>
      <w:r w:rsidR="00A73F11" w:rsidRPr="00D12FA2">
        <w:t xml:space="preserve">Committee has called for the elimination of forced sterilization, raising awareness among </w:t>
      </w:r>
      <w:r w:rsidR="00113772" w:rsidRPr="00D12FA2">
        <w:t>health</w:t>
      </w:r>
      <w:r w:rsidR="00A73F11" w:rsidRPr="00D12FA2">
        <w:t xml:space="preserve"> professionals of their prejudices towards marginalized women, providing social and health services support to vulnerable women, developing clear a definition of free, prior</w:t>
      </w:r>
      <w:r w:rsidR="003F6C8B">
        <w:t>,</w:t>
      </w:r>
      <w:r w:rsidR="00A73F11" w:rsidRPr="00D12FA2">
        <w:t xml:space="preserve"> and informed consent in cases of sterilization, and to financially </w:t>
      </w:r>
      <w:r w:rsidR="00113772" w:rsidRPr="00D12FA2">
        <w:t>compensate</w:t>
      </w:r>
      <w:r w:rsidR="00A73F11" w:rsidRPr="00D12FA2">
        <w:t xml:space="preserve"> victims of coercive or non-consensual sterilizations.</w:t>
      </w:r>
      <w:r w:rsidR="00A73F11" w:rsidRPr="00D12FA2">
        <w:rPr>
          <w:rStyle w:val="FootnoteReference"/>
        </w:rPr>
        <w:footnoteReference w:id="35"/>
      </w:r>
    </w:p>
    <w:p w14:paraId="5005E11A" w14:textId="77777777" w:rsidR="00A72CCA" w:rsidRDefault="00A72CCA" w:rsidP="00A72CCA">
      <w:pPr>
        <w:pStyle w:val="ListParagraph"/>
      </w:pPr>
    </w:p>
    <w:p w14:paraId="20266C87" w14:textId="1D7C3E8C" w:rsidR="00742E5B" w:rsidRPr="001C7707" w:rsidRDefault="00A72CCA" w:rsidP="00732750">
      <w:pPr>
        <w:pStyle w:val="ListParagraph"/>
        <w:numPr>
          <w:ilvl w:val="0"/>
          <w:numId w:val="4"/>
        </w:numPr>
      </w:pPr>
      <w:r w:rsidRPr="001C7707">
        <w:t>UN Special Procedures have also addressed this issue.</w:t>
      </w:r>
      <w:r w:rsidR="00742E5B" w:rsidRPr="00E26D15">
        <w:rPr>
          <w:vertAlign w:val="superscript"/>
        </w:rPr>
        <w:footnoteReference w:id="36"/>
      </w:r>
      <w:r w:rsidR="00742E5B" w:rsidRPr="001C7707">
        <w:t xml:space="preserve"> </w:t>
      </w:r>
      <w:r w:rsidRPr="001C7707">
        <w:t xml:space="preserve">Abuse and mistreatment of women seeking reproductive health services can cause permanent and severe physical and emotional suffering, including in the form of forced </w:t>
      </w:r>
      <w:r w:rsidRPr="001C7707">
        <w:lastRenderedPageBreak/>
        <w:t>sterilization, and has severe impacts on women’s personal integrity, physical</w:t>
      </w:r>
      <w:r w:rsidR="003F6C8B">
        <w:t>,</w:t>
      </w:r>
      <w:r w:rsidRPr="001C7707">
        <w:t xml:space="preserve"> and mental wellbeing, and family life, as recognized by the Special Rapporteur on violence against women</w:t>
      </w:r>
      <w:r w:rsidR="00742E5B" w:rsidRPr="00AC1578">
        <w:rPr>
          <w:vertAlign w:val="superscript"/>
        </w:rPr>
        <w:footnoteReference w:id="37"/>
      </w:r>
      <w:r w:rsidR="00742E5B" w:rsidRPr="001C7707">
        <w:t xml:space="preserve"> </w:t>
      </w:r>
      <w:r w:rsidRPr="001C7707">
        <w:t>and the Special Rapporteur on torture.</w:t>
      </w:r>
      <w:r w:rsidR="00742E5B" w:rsidRPr="008F3BF3">
        <w:rPr>
          <w:vertAlign w:val="superscript"/>
        </w:rPr>
        <w:footnoteReference w:id="38"/>
      </w:r>
      <w:r w:rsidR="00742E5B" w:rsidRPr="001C7707">
        <w:t xml:space="preserve"> </w:t>
      </w:r>
      <w:r w:rsidRPr="001C7707">
        <w:t>The UN Special Rapporteur on torture has therefore held that forced sterilization may constitute torture or ill-treatment,</w:t>
      </w:r>
      <w:r w:rsidR="00742E5B" w:rsidRPr="00E25C14">
        <w:rPr>
          <w:vertAlign w:val="superscript"/>
        </w:rPr>
        <w:footnoteReference w:id="39"/>
      </w:r>
      <w:r w:rsidR="00742E5B" w:rsidRPr="001C7707">
        <w:t xml:space="preserve"> </w:t>
      </w:r>
      <w:r w:rsidRPr="001C7707">
        <w:t>especially when it targets women because of multiple forms of discrimination,</w:t>
      </w:r>
      <w:r w:rsidR="00742E5B" w:rsidRPr="00FF7C74">
        <w:rPr>
          <w:vertAlign w:val="superscript"/>
        </w:rPr>
        <w:footnoteReference w:id="40"/>
      </w:r>
      <w:r w:rsidR="00742E5B" w:rsidRPr="001C7707">
        <w:t xml:space="preserve"> </w:t>
      </w:r>
      <w:r w:rsidRPr="001C7707">
        <w:t>including when “ethnic and racial minorities, women from marginalized communities and women with disabilities [are targeted] for involuntary sterilization because of discriminatory notions that they are “unfit” to bear children.”</w:t>
      </w:r>
      <w:r w:rsidR="00742E5B" w:rsidRPr="00C53DD3">
        <w:rPr>
          <w:vertAlign w:val="superscript"/>
        </w:rPr>
        <w:footnoteReference w:id="41"/>
      </w:r>
      <w:r w:rsidR="00742E5B" w:rsidRPr="001C7707">
        <w:t xml:space="preserve"> </w:t>
      </w:r>
      <w:r w:rsidRPr="001C7707">
        <w:t>The Special Rapporteur on the rights of the rights of Indigenous peoples similarly expressed concern about the forced sterilization of Indigenous women, among other severe violations of their sexual and reproductive rights committed in parallel with the historical denial of their rights to self-determination and cultural autonomy.</w:t>
      </w:r>
      <w:r w:rsidR="00742E5B" w:rsidRPr="00F333E4">
        <w:rPr>
          <w:vertAlign w:val="superscript"/>
        </w:rPr>
        <w:footnoteReference w:id="42"/>
      </w:r>
    </w:p>
    <w:p w14:paraId="48C2F2B9" w14:textId="77777777" w:rsidR="00A72CCA" w:rsidRDefault="00A72CCA" w:rsidP="00A72CCA">
      <w:pPr>
        <w:pStyle w:val="ListParagraph"/>
      </w:pPr>
    </w:p>
    <w:p w14:paraId="16C8F9C0" w14:textId="32E98C62" w:rsidR="00D806E8" w:rsidRPr="00D806E8" w:rsidRDefault="00D806E8" w:rsidP="00732750">
      <w:pPr>
        <w:pStyle w:val="ListParagraph"/>
        <w:numPr>
          <w:ilvl w:val="0"/>
          <w:numId w:val="4"/>
        </w:numPr>
      </w:pPr>
      <w:r w:rsidRPr="00D806E8">
        <w:t>The UN Interagency statement aimed at eliminating forced and involuntary sterilization clearly states that “[s]</w:t>
      </w:r>
      <w:proofErr w:type="spellStart"/>
      <w:r w:rsidRPr="00D806E8">
        <w:t>terilization</w:t>
      </w:r>
      <w:proofErr w:type="spellEnd"/>
      <w:r w:rsidRPr="00D806E8">
        <w:t xml:space="preserve"> for prevention of future pregnancy cannot be justified on grounds of medical emergency</w:t>
      </w:r>
      <w:r w:rsidR="004D3962">
        <w:t>.</w:t>
      </w:r>
      <w:r w:rsidRPr="00D806E8">
        <w:t>”</w:t>
      </w:r>
      <w:r w:rsidR="00742E5B" w:rsidRPr="004D3962">
        <w:rPr>
          <w:vertAlign w:val="superscript"/>
        </w:rPr>
        <w:footnoteReference w:id="43"/>
      </w:r>
      <w:r w:rsidR="00742E5B" w:rsidRPr="00D806E8">
        <w:t xml:space="preserve"> </w:t>
      </w:r>
      <w:r w:rsidRPr="00D806E8">
        <w:t>Even when future pregnancy might pose a risk for life or health, existing alternative contraceptive methods must be offered and provided.</w:t>
      </w:r>
      <w:r w:rsidR="00742E5B" w:rsidRPr="0069171D">
        <w:rPr>
          <w:vertAlign w:val="superscript"/>
        </w:rPr>
        <w:footnoteReference w:id="44"/>
      </w:r>
      <w:r w:rsidR="00742E5B" w:rsidRPr="00D806E8">
        <w:t xml:space="preserve"> </w:t>
      </w:r>
      <w:r w:rsidRPr="00D806E8">
        <w:t>As a result, “the individual concerned must be given the time and information needed to make an informed choice about sterilization.”</w:t>
      </w:r>
      <w:r w:rsidR="00742E5B" w:rsidRPr="00586AE3">
        <w:rPr>
          <w:vertAlign w:val="superscript"/>
        </w:rPr>
        <w:footnoteReference w:id="45"/>
      </w:r>
      <w:r w:rsidR="00742E5B" w:rsidRPr="00D806E8">
        <w:t xml:space="preserve"> </w:t>
      </w:r>
    </w:p>
    <w:p w14:paraId="0E4FCB97" w14:textId="77777777" w:rsidR="00931C57" w:rsidRPr="00D12FA2" w:rsidRDefault="00931C57" w:rsidP="00931C57">
      <w:pPr>
        <w:pStyle w:val="ListParagraph"/>
      </w:pPr>
    </w:p>
    <w:p w14:paraId="18CD26DB" w14:textId="75798805" w:rsidR="00370B32" w:rsidRPr="00D12FA2" w:rsidRDefault="008A4C9F" w:rsidP="00732750">
      <w:pPr>
        <w:pStyle w:val="ListParagraph"/>
        <w:numPr>
          <w:ilvl w:val="0"/>
          <w:numId w:val="4"/>
        </w:numPr>
      </w:pPr>
      <w:r w:rsidRPr="00D12FA2">
        <w:t>Indigenous rights groups in Canada, and globally, have advocated for the application of the principle of free, prior and informed consent (FPIC) in line with the UN Declaration on the Rights of Indigenous Peoples and international human rights law. FPIC empowers Indigenous peoples and communities to meaningfully engage in decision-making that affects them, which includes decision-making around health laws, policies and programmes in the realm of sexual and reproductive rights.</w:t>
      </w:r>
      <w:r w:rsidR="00116A37" w:rsidRPr="00D12FA2">
        <w:t xml:space="preserve"> The Government of Canada has repeatedly denied the validity of FPIC in international fora</w:t>
      </w:r>
      <w:r w:rsidR="004E4F47" w:rsidRPr="00D12FA2">
        <w:t>,</w:t>
      </w:r>
      <w:r w:rsidR="00116A37" w:rsidRPr="00D12FA2">
        <w:rPr>
          <w:rStyle w:val="FootnoteReference"/>
        </w:rPr>
        <w:footnoteReference w:id="46"/>
      </w:r>
      <w:r w:rsidR="004E4F47" w:rsidRPr="00D12FA2">
        <w:t xml:space="preserve"> stating that the concept could be applied as a </w:t>
      </w:r>
      <w:r w:rsidR="005579E4">
        <w:t>“</w:t>
      </w:r>
      <w:r w:rsidR="004E4F47" w:rsidRPr="00D12FA2">
        <w:t>veto</w:t>
      </w:r>
      <w:r w:rsidR="005579E4">
        <w:t>”</w:t>
      </w:r>
      <w:r w:rsidR="004E4F47" w:rsidRPr="00D12FA2">
        <w:t xml:space="preserve"> to Indigenous groups. </w:t>
      </w:r>
    </w:p>
    <w:p w14:paraId="11585D87" w14:textId="77777777" w:rsidR="00370B32" w:rsidRDefault="00370B32" w:rsidP="00370B32">
      <w:pPr>
        <w:pStyle w:val="ListParagraph"/>
      </w:pPr>
    </w:p>
    <w:p w14:paraId="62923567" w14:textId="4AE7C024" w:rsidR="00370B32" w:rsidRPr="00402B2B" w:rsidRDefault="00D22F79" w:rsidP="00732750">
      <w:pPr>
        <w:pStyle w:val="ListParagraph"/>
        <w:numPr>
          <w:ilvl w:val="0"/>
          <w:numId w:val="4"/>
        </w:numPr>
      </w:pPr>
      <w:r w:rsidRPr="008D2BA1">
        <w:lastRenderedPageBreak/>
        <w:t xml:space="preserve">In 2018, the UN Committee Against Torture’s </w:t>
      </w:r>
      <w:r w:rsidR="00370B32" w:rsidRPr="008D2BA1">
        <w:t>Concluding Observations 51 (a) and (b) called on Canada to ensure that all allegations of forced or coerced sterilization are impartially investigated, that the persons responsible are held accountable and that adequate redress is provided to the victims, and adopt legislative and policy measures to prevent and criminalize the forced or coerced sterilization of women, particularly by clearly defining the requirement for free, prior and informed consent with regard to sterilization and by raising awareness among indigenous women and medical personnel of that requirement.</w:t>
      </w:r>
      <w:r w:rsidR="008D2BA1" w:rsidRPr="008D2BA1">
        <w:t xml:space="preserve"> The Committee further requested that Canada provide information on follow-up to the recommendations pertaining to forced sterilization by December 9</w:t>
      </w:r>
      <w:r w:rsidR="00445570">
        <w:t>,</w:t>
      </w:r>
      <w:r w:rsidR="008D2BA1" w:rsidRPr="008D2BA1">
        <w:t xml:space="preserve"> 2019. The Government of Canada has yet to follow-up. </w:t>
      </w:r>
    </w:p>
    <w:p w14:paraId="23168C23" w14:textId="4E6C7E6E" w:rsidR="00C33F34" w:rsidRPr="004B44DC" w:rsidRDefault="00DF4518" w:rsidP="00C33F34">
      <w:pPr>
        <w:rPr>
          <w:rStyle w:val="Heading2Char"/>
          <w:b/>
        </w:rPr>
      </w:pPr>
      <w:r>
        <w:rPr>
          <w:rStyle w:val="Heading2Char"/>
          <w:b/>
        </w:rPr>
        <w:t xml:space="preserve">Forced sterilization in Canada </w:t>
      </w:r>
    </w:p>
    <w:p w14:paraId="6A5F9D2E" w14:textId="461B4A2F" w:rsidR="000A596F" w:rsidRDefault="000A596F" w:rsidP="00732750">
      <w:pPr>
        <w:pStyle w:val="ListParagraph"/>
        <w:numPr>
          <w:ilvl w:val="0"/>
          <w:numId w:val="4"/>
        </w:numPr>
      </w:pPr>
      <w:r w:rsidRPr="000A596F">
        <w:t xml:space="preserve">The 1980 Supreme Court of Canada (SCC) </w:t>
      </w:r>
      <w:proofErr w:type="spellStart"/>
      <w:r w:rsidRPr="000A596F">
        <w:t>Hopp</w:t>
      </w:r>
      <w:proofErr w:type="spellEnd"/>
      <w:r w:rsidRPr="000A596F">
        <w:t xml:space="preserve"> v. </w:t>
      </w:r>
      <w:proofErr w:type="spellStart"/>
      <w:r w:rsidRPr="000A596F">
        <w:t>Lepp</w:t>
      </w:r>
      <w:proofErr w:type="spellEnd"/>
      <w:r w:rsidR="00742E5B" w:rsidRPr="00CA1202">
        <w:rPr>
          <w:vertAlign w:val="superscript"/>
        </w:rPr>
        <w:footnoteReference w:id="47"/>
      </w:r>
      <w:r w:rsidR="00742E5B" w:rsidRPr="000A596F">
        <w:t xml:space="preserve"> </w:t>
      </w:r>
      <w:r w:rsidRPr="000A596F">
        <w:t>decision determined the legal importance of fully informed consent. In 1986 SCC decision E. (Mrs.) v. Eve made the practice of forced or compulsory sterilization illegal in Canada,</w:t>
      </w:r>
      <w:r w:rsidR="00742E5B" w:rsidRPr="00E620A1">
        <w:rPr>
          <w:vertAlign w:val="superscript"/>
        </w:rPr>
        <w:footnoteReference w:id="48"/>
      </w:r>
      <w:r w:rsidR="00742E5B" w:rsidRPr="000A596F">
        <w:t xml:space="preserve"> </w:t>
      </w:r>
      <w:r w:rsidRPr="000A596F">
        <w:t>and solidified that parents/guardians of people with disabilities cannot force their consent or consent on their behalf. However, involuntary sterilizations are still being practiced because of the historical legacy of ableist, racist</w:t>
      </w:r>
      <w:r w:rsidR="005579E4">
        <w:t>,</w:t>
      </w:r>
      <w:r w:rsidRPr="000A596F">
        <w:t xml:space="preserve"> and colonial state policies which position Indigenous women and women with disabilities as vulnerable and without agency which can in turn create situations where guardians, doctors, and third parties influence and coerce women’s consent.</w:t>
      </w:r>
    </w:p>
    <w:p w14:paraId="247C38D6" w14:textId="77777777" w:rsidR="000A596F" w:rsidRDefault="000A596F" w:rsidP="000A596F">
      <w:pPr>
        <w:pStyle w:val="ListParagraph"/>
      </w:pPr>
    </w:p>
    <w:p w14:paraId="3EF17564" w14:textId="63AFCB5C" w:rsidR="00425475" w:rsidRPr="003B2EE7" w:rsidRDefault="004C7E7F" w:rsidP="00732750">
      <w:pPr>
        <w:pStyle w:val="ListParagraph"/>
        <w:numPr>
          <w:ilvl w:val="0"/>
          <w:numId w:val="4"/>
        </w:numPr>
      </w:pPr>
      <w:r w:rsidRPr="003B2EE7">
        <w:t>In November 2015, media outlets released reports of women in the province of Saskatchewan having undergone forced sterilization</w:t>
      </w:r>
      <w:r w:rsidR="002937D3" w:rsidRPr="003B2EE7">
        <w:t xml:space="preserve"> in the last five years</w:t>
      </w:r>
      <w:r w:rsidRPr="003B2EE7">
        <w:t>.</w:t>
      </w:r>
      <w:r w:rsidR="00C60168" w:rsidRPr="003B2EE7">
        <w:rPr>
          <w:rStyle w:val="FootnoteReference"/>
        </w:rPr>
        <w:footnoteReference w:id="49"/>
      </w:r>
      <w:r w:rsidRPr="003B2EE7">
        <w:t xml:space="preserve"> </w:t>
      </w:r>
      <w:r w:rsidR="00C60168" w:rsidRPr="003B2EE7">
        <w:t>The women reported being pressured by health professionals and social workers to undergo tubal ligation surgeries.</w:t>
      </w:r>
      <w:r w:rsidR="00EF58DC" w:rsidRPr="003B2EE7">
        <w:t xml:space="preserve"> In response, the regional health authority commi</w:t>
      </w:r>
      <w:r w:rsidR="002158AE" w:rsidRPr="003B2EE7">
        <w:t>tted to launching an independent</w:t>
      </w:r>
      <w:r w:rsidR="00EF58DC" w:rsidRPr="003B2EE7">
        <w:t xml:space="preserve"> investigation </w:t>
      </w:r>
      <w:r w:rsidR="000229DC" w:rsidRPr="003B2EE7">
        <w:t>to examine</w:t>
      </w:r>
      <w:r w:rsidR="00565188" w:rsidRPr="003B2EE7">
        <w:t xml:space="preserve"> the issue</w:t>
      </w:r>
      <w:r w:rsidR="00EF58DC" w:rsidRPr="003B2EE7">
        <w:t xml:space="preserve">. </w:t>
      </w:r>
      <w:r w:rsidR="008F6D36" w:rsidRPr="003B2EE7">
        <w:t>Many advocates believe there are other women in Canada</w:t>
      </w:r>
      <w:r w:rsidR="0016432B" w:rsidRPr="003B2EE7">
        <w:t>, particularly Indigenous women,</w:t>
      </w:r>
      <w:r w:rsidR="008F6D36" w:rsidRPr="003B2EE7">
        <w:t xml:space="preserve"> who have had similar experience</w:t>
      </w:r>
      <w:r w:rsidR="00E90D7E" w:rsidRPr="003B2EE7">
        <w:t>s</w:t>
      </w:r>
      <w:r w:rsidR="008F6D36" w:rsidRPr="003B2EE7">
        <w:t xml:space="preserve"> within the health care system</w:t>
      </w:r>
      <w:r w:rsidR="00A44E00" w:rsidRPr="003B2EE7">
        <w:t>.</w:t>
      </w:r>
      <w:r w:rsidR="00A44E00" w:rsidRPr="003B2EE7">
        <w:rPr>
          <w:rStyle w:val="FootnoteReference"/>
        </w:rPr>
        <w:t xml:space="preserve"> </w:t>
      </w:r>
      <w:r w:rsidR="00A44E00" w:rsidRPr="003B2EE7">
        <w:rPr>
          <w:rStyle w:val="FootnoteReference"/>
        </w:rPr>
        <w:footnoteReference w:id="50"/>
      </w:r>
      <w:r w:rsidR="00AA4882" w:rsidRPr="003B2EE7">
        <w:rPr>
          <w:rStyle w:val="FootnoteReference"/>
        </w:rPr>
        <w:t xml:space="preserve"> </w:t>
      </w:r>
      <w:r w:rsidR="00251300" w:rsidRPr="003B2EE7">
        <w:rPr>
          <w:rStyle w:val="FootnoteReference"/>
        </w:rPr>
        <w:t xml:space="preserve"> </w:t>
      </w:r>
    </w:p>
    <w:p w14:paraId="5031463C" w14:textId="77777777" w:rsidR="00425475" w:rsidRDefault="00425475" w:rsidP="00425475">
      <w:pPr>
        <w:pStyle w:val="ListParagraph"/>
      </w:pPr>
    </w:p>
    <w:p w14:paraId="0F18388C" w14:textId="7F777891" w:rsidR="00742E5B" w:rsidRDefault="00C372B2" w:rsidP="00732750">
      <w:pPr>
        <w:pStyle w:val="ListParagraph"/>
        <w:numPr>
          <w:ilvl w:val="0"/>
          <w:numId w:val="4"/>
        </w:numPr>
      </w:pPr>
      <w:r>
        <w:t xml:space="preserve">A </w:t>
      </w:r>
      <w:r w:rsidR="00425475" w:rsidRPr="00425475">
        <w:t>2017 report</w:t>
      </w:r>
      <w:r w:rsidR="00742E5B" w:rsidRPr="00C372B2">
        <w:rPr>
          <w:vertAlign w:val="superscript"/>
        </w:rPr>
        <w:footnoteReference w:id="51"/>
      </w:r>
      <w:r w:rsidR="00742E5B" w:rsidRPr="00425475">
        <w:t xml:space="preserve"> </w:t>
      </w:r>
      <w:r w:rsidR="00425475" w:rsidRPr="00425475">
        <w:t>confirmed that many women had similar experiences of being forced or coerced towards tubal ligation within the health care system.</w:t>
      </w:r>
      <w:r w:rsidR="00742E5B" w:rsidRPr="003D57B7">
        <w:rPr>
          <w:vertAlign w:val="superscript"/>
        </w:rPr>
        <w:footnoteReference w:id="52"/>
      </w:r>
      <w:r w:rsidR="00742E5B" w:rsidRPr="00425475">
        <w:t xml:space="preserve"> </w:t>
      </w:r>
      <w:r w:rsidR="00425475" w:rsidRPr="00425475">
        <w:t xml:space="preserve">The report proposed </w:t>
      </w:r>
      <w:proofErr w:type="gramStart"/>
      <w:r w:rsidR="00425475" w:rsidRPr="00425475">
        <w:t>a number of</w:t>
      </w:r>
      <w:proofErr w:type="gramEnd"/>
      <w:r w:rsidR="00425475" w:rsidRPr="00425475">
        <w:t xml:space="preserve"> concrete recommendations to be acted upon by the </w:t>
      </w:r>
      <w:r w:rsidR="005579E4">
        <w:t>P</w:t>
      </w:r>
      <w:r w:rsidR="00425475" w:rsidRPr="00425475">
        <w:t xml:space="preserve">rovince and the </w:t>
      </w:r>
      <w:r w:rsidR="005579E4">
        <w:t>F</w:t>
      </w:r>
      <w:r w:rsidR="00425475" w:rsidRPr="00425475">
        <w:t xml:space="preserve">ederal </w:t>
      </w:r>
      <w:r w:rsidR="005579E4">
        <w:t>G</w:t>
      </w:r>
      <w:r w:rsidR="00425475" w:rsidRPr="00425475">
        <w:t xml:space="preserve">overnment, including a recommendation to launch a national inquiry into forced tubal ligation among across the country. </w:t>
      </w:r>
      <w:r w:rsidR="00425475" w:rsidRPr="001C7707">
        <w:t>In October 2017</w:t>
      </w:r>
      <w:r w:rsidR="005579E4">
        <w:t>,</w:t>
      </w:r>
      <w:r w:rsidR="00425475" w:rsidRPr="001C7707">
        <w:t xml:space="preserve"> a class action suit representing </w:t>
      </w:r>
      <w:r w:rsidR="005579E4">
        <w:t>55</w:t>
      </w:r>
      <w:r w:rsidR="00425475" w:rsidRPr="001C7707">
        <w:t xml:space="preserve"> Indigenous women was filed against the province of Saskatchewan</w:t>
      </w:r>
      <w:r w:rsidR="00742E5B" w:rsidRPr="00C2459F">
        <w:rPr>
          <w:vertAlign w:val="superscript"/>
        </w:rPr>
        <w:footnoteReference w:id="53"/>
      </w:r>
      <w:r w:rsidR="005579E4">
        <w:t>,</w:t>
      </w:r>
      <w:r w:rsidR="00425475" w:rsidRPr="00C2459F">
        <w:rPr>
          <w:vertAlign w:val="superscript"/>
        </w:rPr>
        <w:t xml:space="preserve"> </w:t>
      </w:r>
      <w:r w:rsidR="00425475" w:rsidRPr="001C7707">
        <w:t xml:space="preserve">the </w:t>
      </w:r>
      <w:r w:rsidR="005579E4">
        <w:t>F</w:t>
      </w:r>
      <w:r w:rsidR="00425475" w:rsidRPr="001C7707">
        <w:t xml:space="preserve">ederal </w:t>
      </w:r>
      <w:r w:rsidR="005579E4">
        <w:t>Go</w:t>
      </w:r>
      <w:r w:rsidR="00425475" w:rsidRPr="001C7707">
        <w:t>vernment, regional health authorities</w:t>
      </w:r>
      <w:r w:rsidR="005579E4">
        <w:t>,</w:t>
      </w:r>
      <w:r w:rsidR="00425475" w:rsidRPr="001C7707">
        <w:t xml:space="preserve"> and individual physicians regarding recent incidents of forced sterilization of women in Saskatchewan. Intergenerational trauma on mental and sexual health</w:t>
      </w:r>
      <w:r w:rsidR="005579E4">
        <w:t>,</w:t>
      </w:r>
      <w:r w:rsidR="00425475" w:rsidRPr="001C7707">
        <w:t xml:space="preserve"> as well as the history of how accessing reproductive health care</w:t>
      </w:r>
      <w:r w:rsidR="005579E4">
        <w:t>,</w:t>
      </w:r>
      <w:r w:rsidR="00425475" w:rsidRPr="001C7707">
        <w:t xml:space="preserve"> has impacted Indigenous people (and other marginalized communities) and show that can impact the trust between patients/clients and providers.</w:t>
      </w:r>
      <w:r w:rsidR="00742E5B" w:rsidRPr="00DC00A2">
        <w:rPr>
          <w:vertAlign w:val="superscript"/>
        </w:rPr>
        <w:footnoteReference w:id="54"/>
      </w:r>
    </w:p>
    <w:p w14:paraId="366AB994" w14:textId="77777777" w:rsidR="008C72BD" w:rsidRPr="00B35F11" w:rsidRDefault="008C72BD" w:rsidP="008C72BD">
      <w:pPr>
        <w:pStyle w:val="ListParagraph"/>
        <w:rPr>
          <w:highlight w:val="yellow"/>
        </w:rPr>
      </w:pPr>
    </w:p>
    <w:p w14:paraId="45CC440F" w14:textId="25594C23" w:rsidR="00BD73A9" w:rsidRPr="00E76C40" w:rsidRDefault="00D806E8" w:rsidP="00732750">
      <w:pPr>
        <w:pStyle w:val="ListParagraph"/>
        <w:numPr>
          <w:ilvl w:val="0"/>
          <w:numId w:val="4"/>
        </w:numPr>
      </w:pPr>
      <w:r w:rsidRPr="00E76C40">
        <w:rPr>
          <w:noProof/>
          <w:lang w:eastAsia="en-CA"/>
        </w:rPr>
        <mc:AlternateContent>
          <mc:Choice Requires="wps">
            <w:drawing>
              <wp:anchor distT="45720" distB="45720" distL="114300" distR="114300" simplePos="0" relativeHeight="251666432" behindDoc="0" locked="0" layoutInCell="1" allowOverlap="1" wp14:anchorId="7C0810FE" wp14:editId="7F714BDF">
                <wp:simplePos x="0" y="0"/>
                <wp:positionH relativeFrom="margin">
                  <wp:align>right</wp:align>
                </wp:positionH>
                <wp:positionV relativeFrom="paragraph">
                  <wp:posOffset>1993265</wp:posOffset>
                </wp:positionV>
                <wp:extent cx="6838950" cy="137160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371600"/>
                        </a:xfrm>
                        <a:prstGeom prst="rect">
                          <a:avLst/>
                        </a:prstGeom>
                        <a:solidFill>
                          <a:srgbClr val="FFFFFF"/>
                        </a:solidFill>
                        <a:ln w="9525">
                          <a:solidFill>
                            <a:srgbClr val="000000"/>
                          </a:solidFill>
                          <a:miter lim="800000"/>
                          <a:headEnd/>
                          <a:tailEnd/>
                        </a:ln>
                      </wps:spPr>
                      <wps:txbx>
                        <w:txbxContent>
                          <w:p w14:paraId="3F62F45A" w14:textId="77777777" w:rsidR="006A4359" w:rsidRPr="00FE4564" w:rsidRDefault="006A4359" w:rsidP="006A4359">
                            <w:pPr>
                              <w:pStyle w:val="Heading3"/>
                              <w:spacing w:after="40"/>
                              <w:rPr>
                                <w:bCs/>
                                <w:lang w:val="en-GB"/>
                              </w:rPr>
                            </w:pPr>
                            <w:r w:rsidRPr="00FE4564">
                              <w:rPr>
                                <w:rStyle w:val="Heading2Char"/>
                                <w:bCs/>
                                <w:sz w:val="32"/>
                              </w:rPr>
                              <w:t xml:space="preserve">Recommended Questions to be included in the List of Issues </w:t>
                            </w:r>
                          </w:p>
                          <w:p w14:paraId="51F2EFCD" w14:textId="72D7B5A1" w:rsidR="00A07EE1" w:rsidRPr="002F6BBF" w:rsidRDefault="00A07EE1" w:rsidP="004378BF">
                            <w:r>
                              <w:t xml:space="preserve">Recognizing </w:t>
                            </w:r>
                            <w:r w:rsidRPr="001759B2">
                              <w:t>recent instances of health professional</w:t>
                            </w:r>
                            <w:r>
                              <w:t xml:space="preserve">s use of sterilization against the will of the patient, </w:t>
                            </w:r>
                          </w:p>
                          <w:p w14:paraId="6FE67C64" w14:textId="0299B59E" w:rsidR="00A07EE1" w:rsidRPr="0035226F" w:rsidRDefault="00A07EE1" w:rsidP="00732750">
                            <w:pPr>
                              <w:pStyle w:val="ListParagraph"/>
                              <w:numPr>
                                <w:ilvl w:val="0"/>
                                <w:numId w:val="2"/>
                              </w:numPr>
                              <w:spacing w:before="120" w:line="259" w:lineRule="auto"/>
                            </w:pPr>
                            <w:r>
                              <w:t>What steps has the Government of Canada taken to investigate instances of forced sterilization, provide reparations to the victims of forced sterilization and ensure the non-repetition of forced sterilization, particularly among Indigenous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810FE" id="_x0000_s1028" type="#_x0000_t202" style="position:absolute;left:0;text-align:left;margin-left:487.3pt;margin-top:156.95pt;width:538.5pt;height:108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">
                <v:textbox>
                  <w:txbxContent>
                    <w:p w14:paraId="3F62F45A" w14:textId="77777777" w:rsidR="006A4359" w:rsidRPr="00FE4564" w:rsidRDefault="006A4359" w:rsidP="006A4359">
                      <w:pPr>
                        <w:pStyle w:val="Heading3"/>
                        <w:spacing w:after="40"/>
                        <w:rPr>
                          <w:bCs/>
                          <w:lang w:val="en-GB"/>
                        </w:rPr>
                      </w:pPr>
                      <w:r w:rsidRPr="00FE4564">
                        <w:rPr>
                          <w:rStyle w:val="Heading2Char"/>
                          <w:bCs/>
                          <w:sz w:val="32"/>
                        </w:rPr>
                        <w:t xml:space="preserve">Recommended Questions to be included in the List of Issues </w:t>
                      </w:r>
                    </w:p>
                    <w:p w14:paraId="51F2EFCD" w14:textId="72D7B5A1" w:rsidR="00A07EE1" w:rsidRPr="002F6BBF" w:rsidRDefault="00A07EE1" w:rsidP="004378BF">
                      <w:r>
                        <w:t xml:space="preserve">Recognizing </w:t>
                      </w:r>
                      <w:r w:rsidRPr="001759B2">
                        <w:t>recent instances of health professional</w:t>
                      </w:r>
                      <w:r>
                        <w:t xml:space="preserve">s use of sterilization against the will of the patient, </w:t>
                      </w:r>
                    </w:p>
                    <w:p w14:paraId="6FE67C64" w14:textId="0299B59E" w:rsidR="00A07EE1" w:rsidRPr="0035226F" w:rsidRDefault="00A07EE1" w:rsidP="00732750">
                      <w:pPr>
                        <w:pStyle w:val="ListParagraph"/>
                        <w:numPr>
                          <w:ilvl w:val="0"/>
                          <w:numId w:val="2"/>
                        </w:numPr>
                        <w:spacing w:before="120" w:line="259" w:lineRule="auto"/>
                      </w:pPr>
                      <w:r>
                        <w:t>What steps has the Government of Canada taken to investigate instances of forced sterilization, provide reparations to the victims of forced sterilization and ensure the non-repetition of forced sterilization, particularly among Indigenous Women?</w:t>
                      </w:r>
                    </w:p>
                  </w:txbxContent>
                </v:textbox>
                <w10:wrap type="square" anchorx="margin"/>
              </v:shape>
            </w:pict>
          </mc:Fallback>
        </mc:AlternateContent>
      </w:r>
      <w:r w:rsidR="00055697" w:rsidRPr="00E76C40">
        <w:t>According to the Native Youth Sexual Health Network</w:t>
      </w:r>
      <w:r w:rsidR="003B7F0A" w:rsidRPr="00E76C40">
        <w:t xml:space="preserve"> (NYSHN)</w:t>
      </w:r>
      <w:r w:rsidR="00055697" w:rsidRPr="00E76C40">
        <w:t>, forms of sterilization persi</w:t>
      </w:r>
      <w:r w:rsidR="009F076F" w:rsidRPr="00E76C40">
        <w:t xml:space="preserve">st among Indigenous </w:t>
      </w:r>
      <w:r w:rsidR="00957A43">
        <w:t>c</w:t>
      </w:r>
      <w:r w:rsidR="009F076F" w:rsidRPr="00E76C40">
        <w:t>ommunities.</w:t>
      </w:r>
      <w:r w:rsidR="000454AC" w:rsidRPr="00E76C40">
        <w:rPr>
          <w:vertAlign w:val="superscript"/>
        </w:rPr>
        <w:footnoteReference w:id="55"/>
      </w:r>
      <w:r w:rsidR="003B7F0A" w:rsidRPr="00E76C40">
        <w:t xml:space="preserve"> NYSHN writes that </w:t>
      </w:r>
      <w:r w:rsidR="00A117FB" w:rsidRPr="00E76C40">
        <w:t xml:space="preserve">‘modern forms of </w:t>
      </w:r>
      <w:r w:rsidR="003B7F0A" w:rsidRPr="00E76C40">
        <w:t>forced sterilization</w:t>
      </w:r>
      <w:r w:rsidR="00A117FB" w:rsidRPr="00E76C40">
        <w:t>’</w:t>
      </w:r>
      <w:r w:rsidR="003B7F0A" w:rsidRPr="00E76C40">
        <w:t xml:space="preserve"> </w:t>
      </w:r>
      <w:r w:rsidR="00E97D87" w:rsidRPr="00E76C40">
        <w:t>occur</w:t>
      </w:r>
      <w:r w:rsidR="00A117FB" w:rsidRPr="00E76C40">
        <w:t xml:space="preserve"> </w:t>
      </w:r>
      <w:r w:rsidR="003B7F0A" w:rsidRPr="00E76C40">
        <w:t>through the “over-prescription of Depo-Provera to Indigenous youth, which has been proven to cause signs of infertility when over-used.”</w:t>
      </w:r>
      <w:r w:rsidR="009F76AA" w:rsidRPr="00E76C40">
        <w:rPr>
          <w:vertAlign w:val="superscript"/>
        </w:rPr>
        <w:t xml:space="preserve"> </w:t>
      </w:r>
      <w:r w:rsidR="009F76AA" w:rsidRPr="00E76C40">
        <w:rPr>
          <w:vertAlign w:val="superscript"/>
        </w:rPr>
        <w:footnoteReference w:id="56"/>
      </w:r>
      <w:r w:rsidR="00EA34C9" w:rsidRPr="00E76C40">
        <w:rPr>
          <w:vertAlign w:val="superscript"/>
        </w:rPr>
        <w:t xml:space="preserve"> </w:t>
      </w:r>
      <w:r w:rsidR="00381E94" w:rsidRPr="00E76C40">
        <w:t xml:space="preserve">NYSHN </w:t>
      </w:r>
      <w:r w:rsidR="00E97D87" w:rsidRPr="00E76C40">
        <w:t xml:space="preserve">has </w:t>
      </w:r>
      <w:r w:rsidR="00381E94" w:rsidRPr="00E76C40">
        <w:t>also repor</w:t>
      </w:r>
      <w:r w:rsidR="00E97D87" w:rsidRPr="00E76C40">
        <w:t>ted</w:t>
      </w:r>
      <w:r w:rsidR="00381E94" w:rsidRPr="00E76C40">
        <w:t xml:space="preserve"> incidences </w:t>
      </w:r>
      <w:r w:rsidR="0022650B" w:rsidRPr="00E76C40">
        <w:t>of forced sterilization in Canadian prisons.</w:t>
      </w:r>
      <w:r w:rsidR="00381E94" w:rsidRPr="00E76C40">
        <w:rPr>
          <w:rStyle w:val="FootnoteReference"/>
        </w:rPr>
        <w:footnoteReference w:id="57"/>
      </w:r>
      <w:r w:rsidR="00381E94" w:rsidRPr="00E76C40">
        <w:t xml:space="preserve"> </w:t>
      </w:r>
      <w:r w:rsidR="00E6280E" w:rsidRPr="00E76C40">
        <w:t xml:space="preserve">At an institutional level, </w:t>
      </w:r>
      <w:r w:rsidR="00113A50" w:rsidRPr="00E76C40">
        <w:t>“th</w:t>
      </w:r>
      <w:r w:rsidR="008C72BD" w:rsidRPr="00E76C40">
        <w:t xml:space="preserve">e ideology that justified historical coerced sterilization continues to shape state and medical interventions in the reproductive lives of women, (especially) marginalized, racialized and Indigenous women, pressuring them to get sterilized for their own good, to save them and society from having </w:t>
      </w:r>
      <w:r w:rsidR="00E6280E" w:rsidRPr="00E76C40">
        <w:t>to care for additional children.</w:t>
      </w:r>
      <w:r w:rsidR="008C72BD" w:rsidRPr="00E76C40">
        <w:t>”</w:t>
      </w:r>
      <w:r w:rsidR="00E6280E" w:rsidRPr="00E76C40">
        <w:rPr>
          <w:rStyle w:val="FootnoteReference"/>
        </w:rPr>
        <w:footnoteReference w:id="58"/>
      </w:r>
      <w:r w:rsidR="00141887" w:rsidRPr="00E76C40">
        <w:t xml:space="preserve"> </w:t>
      </w:r>
      <w:r w:rsidR="00AC7BEB" w:rsidRPr="00E76C40">
        <w:t>This speaks to the l</w:t>
      </w:r>
      <w:r w:rsidR="00141887" w:rsidRPr="00E76C40">
        <w:t xml:space="preserve">ongstanding forms of systemic racism, and other types of discrimination, </w:t>
      </w:r>
      <w:r w:rsidR="005E0486" w:rsidRPr="00E76C40">
        <w:t xml:space="preserve">that have </w:t>
      </w:r>
      <w:r w:rsidR="00141887" w:rsidRPr="00E76C40">
        <w:t xml:space="preserve">contributed to </w:t>
      </w:r>
      <w:r w:rsidR="00A76661" w:rsidRPr="00E76C40">
        <w:t xml:space="preserve">the </w:t>
      </w:r>
      <w:r w:rsidR="006E601E" w:rsidRPr="00E76C40">
        <w:t>marginalization of Indigenous peop</w:t>
      </w:r>
      <w:r w:rsidR="0081285F" w:rsidRPr="00E76C40">
        <w:t>le</w:t>
      </w:r>
      <w:r w:rsidR="00DB3591">
        <w:t>s</w:t>
      </w:r>
      <w:r w:rsidR="0081285F" w:rsidRPr="00E76C40">
        <w:t xml:space="preserve"> in Canada</w:t>
      </w:r>
      <w:r w:rsidR="00D74EE2" w:rsidRPr="00E76C40">
        <w:t xml:space="preserve">. Such forms of marginalization and discrimination </w:t>
      </w:r>
      <w:r w:rsidR="0081285F" w:rsidRPr="00E76C40">
        <w:t xml:space="preserve">can </w:t>
      </w:r>
      <w:r w:rsidR="00A4284E" w:rsidRPr="00E76C40">
        <w:t>lead to</w:t>
      </w:r>
      <w:r w:rsidR="005D77F7" w:rsidRPr="00E76C40">
        <w:t xml:space="preserve"> barriers in access to health </w:t>
      </w:r>
      <w:r w:rsidR="00C436F6" w:rsidRPr="00E76C40">
        <w:t xml:space="preserve">care </w:t>
      </w:r>
      <w:r w:rsidR="009E254E" w:rsidRPr="00E76C40">
        <w:t>and negative health outcomes.</w:t>
      </w:r>
      <w:r w:rsidR="00C436F6" w:rsidRPr="00E76C40">
        <w:t xml:space="preserve"> </w:t>
      </w:r>
      <w:r w:rsidR="005D77F7" w:rsidRPr="00E76C40">
        <w:t xml:space="preserve"> </w:t>
      </w:r>
      <w:r w:rsidR="00A4284E" w:rsidRPr="00E76C40">
        <w:t xml:space="preserve"> </w:t>
      </w:r>
    </w:p>
    <w:p w14:paraId="2A348EB2" w14:textId="77777777" w:rsidR="00100AF7" w:rsidRDefault="00100AF7" w:rsidP="00BC26BB">
      <w:pPr>
        <w:spacing w:before="160"/>
        <w:rPr>
          <w:rStyle w:val="Heading2Char"/>
          <w:b/>
        </w:rPr>
      </w:pPr>
      <w:bookmarkStart w:id="0" w:name="_Toc462997896"/>
    </w:p>
    <w:p w14:paraId="2E8623A2" w14:textId="78D1F86E" w:rsidR="00BC26BB" w:rsidRPr="00D57912" w:rsidRDefault="00BC26BB" w:rsidP="00BC26BB">
      <w:pPr>
        <w:spacing w:before="160"/>
        <w:rPr>
          <w:rStyle w:val="Heading2Char"/>
          <w:b/>
        </w:rPr>
      </w:pPr>
      <w:r w:rsidRPr="00D57912">
        <w:rPr>
          <w:rStyle w:val="Heading2Char"/>
          <w:b/>
        </w:rPr>
        <w:t>Background: health and safety of sex workers</w:t>
      </w:r>
      <w:bookmarkEnd w:id="0"/>
    </w:p>
    <w:p w14:paraId="75E81F08" w14:textId="3249F97E" w:rsidR="005E1629" w:rsidRPr="00A51A32" w:rsidRDefault="00B41E83" w:rsidP="00732750">
      <w:pPr>
        <w:pStyle w:val="ListParagraph"/>
        <w:numPr>
          <w:ilvl w:val="0"/>
          <w:numId w:val="4"/>
        </w:numPr>
      </w:pPr>
      <w:r w:rsidRPr="00A51A32">
        <w:t xml:space="preserve">The </w:t>
      </w:r>
      <w:r w:rsidR="007B259B">
        <w:t>Committee</w:t>
      </w:r>
      <w:r w:rsidRPr="00A51A32">
        <w:t xml:space="preserve"> has regularly expressed concern regarding the rights violations, particularly women’s </w:t>
      </w:r>
      <w:r w:rsidR="008B57D6" w:rsidRPr="00A51A32">
        <w:t>rights to h</w:t>
      </w:r>
      <w:r w:rsidRPr="00A51A32">
        <w:t xml:space="preserve">ealth and safety, entailed through the criminalization of sex work. </w:t>
      </w:r>
      <w:r w:rsidR="00E154CD" w:rsidRPr="00A51A32">
        <w:t>Recent Concluding Observations from the Committee have</w:t>
      </w:r>
      <w:r w:rsidR="00640CBA" w:rsidRPr="00A51A32">
        <w:t xml:space="preserve"> expressed concern regarding migrant women engaged in sex work</w:t>
      </w:r>
      <w:r w:rsidR="00A557FE" w:rsidRPr="00A51A32">
        <w:t>, which prevents migrants from reporting incidents of violence and abuse</w:t>
      </w:r>
      <w:r w:rsidR="00835317">
        <w:t>,</w:t>
      </w:r>
      <w:r w:rsidR="00DA4B15">
        <w:rPr>
          <w:rStyle w:val="FootnoteReference"/>
        </w:rPr>
        <w:footnoteReference w:id="59"/>
      </w:r>
      <w:r w:rsidR="00E154CD" w:rsidRPr="00A51A32">
        <w:t xml:space="preserve"> </w:t>
      </w:r>
      <w:r w:rsidR="00835317">
        <w:t>and</w:t>
      </w:r>
      <w:r w:rsidR="00835317" w:rsidRPr="004D6D28">
        <w:t xml:space="preserve"> called for the decriminalization of sex work.</w:t>
      </w:r>
      <w:r w:rsidR="00835317" w:rsidRPr="00C2459F">
        <w:rPr>
          <w:vertAlign w:val="superscript"/>
        </w:rPr>
        <w:footnoteReference w:id="60"/>
      </w:r>
      <w:r w:rsidR="00835317" w:rsidRPr="004D6D28">
        <w:t xml:space="preserve"> </w:t>
      </w:r>
      <w:r w:rsidR="00835317" w:rsidRPr="00D71F56">
        <w:t xml:space="preserve"> </w:t>
      </w:r>
      <w:r w:rsidR="00A557FE" w:rsidRPr="00A51A32">
        <w:t>The Committee called for a review of national legislation towards reducing negative impacts on migrant women in particular.</w:t>
      </w:r>
      <w:r w:rsidR="007D7910" w:rsidRPr="00A51A32">
        <w:rPr>
          <w:rStyle w:val="FootnoteReference"/>
        </w:rPr>
        <w:footnoteReference w:id="61"/>
      </w:r>
      <w:r w:rsidR="007D4EED">
        <w:rPr>
          <w:rStyle w:val="FootnoteReference"/>
        </w:rPr>
        <w:t xml:space="preserve"> </w:t>
      </w:r>
      <w:r w:rsidR="000366DF">
        <w:t>T</w:t>
      </w:r>
      <w:r w:rsidR="007D7910" w:rsidRPr="00A51A32">
        <w:t xml:space="preserve">he Committee on Economic, Social and Cultural Rights, </w:t>
      </w:r>
      <w:r w:rsidR="000366DF">
        <w:t xml:space="preserve">has also </w:t>
      </w:r>
      <w:r w:rsidR="003B4DB4" w:rsidRPr="00A51A32">
        <w:t>expressed concern regarding the criminalization of sex work resulting in rights violations, exposure to harassment</w:t>
      </w:r>
      <w:r w:rsidR="00EA596C">
        <w:t>,</w:t>
      </w:r>
      <w:r w:rsidR="003B4DB4" w:rsidRPr="00A51A32">
        <w:t xml:space="preserve"> and arbitrary arrest and detention, resulting in sex workers not being able to report physical and sexual violence against them.</w:t>
      </w:r>
      <w:r w:rsidR="00DA4B15">
        <w:rPr>
          <w:rStyle w:val="FootnoteReference"/>
        </w:rPr>
        <w:footnoteReference w:id="62"/>
      </w:r>
      <w:r w:rsidR="003B4DB4" w:rsidRPr="00A51A32">
        <w:t xml:space="preserve"> The Committee</w:t>
      </w:r>
      <w:r w:rsidR="000366DF">
        <w:t xml:space="preserve"> on Economic, Social and Cultural Rights</w:t>
      </w:r>
      <w:r w:rsidR="003B4DB4" w:rsidRPr="00A51A32">
        <w:t xml:space="preserve"> </w:t>
      </w:r>
      <w:r w:rsidR="00764627" w:rsidRPr="00A51A32">
        <w:t>calls on states to end the arrests of sex workers, decriminalize sex work</w:t>
      </w:r>
      <w:r w:rsidR="00EA596C">
        <w:t>,</w:t>
      </w:r>
      <w:r w:rsidR="00764627" w:rsidRPr="00A51A32">
        <w:t xml:space="preserve"> </w:t>
      </w:r>
      <w:r w:rsidR="00FC7126" w:rsidRPr="00A51A32">
        <w:t xml:space="preserve">and </w:t>
      </w:r>
      <w:r w:rsidR="00764627" w:rsidRPr="00A51A32">
        <w:t>provide assistance and support to victims of harassment, violence</w:t>
      </w:r>
      <w:r w:rsidR="00EA596C">
        <w:t>,</w:t>
      </w:r>
      <w:r w:rsidR="00764627" w:rsidRPr="00A51A32">
        <w:t xml:space="preserve"> and exploitations.</w:t>
      </w:r>
      <w:r w:rsidR="007D7910" w:rsidRPr="00A51A32">
        <w:rPr>
          <w:vertAlign w:val="superscript"/>
        </w:rPr>
        <w:footnoteReference w:id="63"/>
      </w:r>
      <w:r w:rsidR="00D57B6D">
        <w:t xml:space="preserve"> </w:t>
      </w:r>
    </w:p>
    <w:p w14:paraId="1AD5859D" w14:textId="77777777" w:rsidR="005E1629" w:rsidRDefault="005E1629" w:rsidP="005E1629">
      <w:pPr>
        <w:pStyle w:val="ListParagraph"/>
      </w:pPr>
    </w:p>
    <w:p w14:paraId="6B11C123" w14:textId="415E3BDC" w:rsidR="00BC26BB" w:rsidRPr="004D6D28" w:rsidRDefault="00BC26BB" w:rsidP="00732750">
      <w:pPr>
        <w:pStyle w:val="ListParagraph"/>
        <w:numPr>
          <w:ilvl w:val="0"/>
          <w:numId w:val="4"/>
        </w:numPr>
      </w:pPr>
      <w:r w:rsidRPr="004D6D28">
        <w:lastRenderedPageBreak/>
        <w:t>Laws that criminalize sex work violate sex workers’ right to be free from discrimination, stereotyping</w:t>
      </w:r>
      <w:r w:rsidR="00EA596C">
        <w:t>,</w:t>
      </w:r>
      <w:r w:rsidRPr="004D6D28">
        <w:t xml:space="preserve"> and violence, including in the areas of health, employment</w:t>
      </w:r>
      <w:r w:rsidR="00EA596C">
        <w:t>,</w:t>
      </w:r>
      <w:r w:rsidRPr="004D6D28">
        <w:t xml:space="preserve"> and access to justice. Sex work laws force sex workers, clients</w:t>
      </w:r>
      <w:r w:rsidR="00EA596C">
        <w:t>,</w:t>
      </w:r>
      <w:r w:rsidRPr="004D6D28">
        <w:t xml:space="preserve"> and third parties into unsafe and unprotected areas. They restrict access to important safety strategies, resulting in significant and profound negative consequences on sex workers’ right to health, security, safety, and equality. Such laws represent violations under </w:t>
      </w:r>
      <w:r w:rsidR="00A325F1">
        <w:t>a</w:t>
      </w:r>
      <w:r w:rsidRPr="004D6D28">
        <w:t xml:space="preserve">rticle 12 as interpreted by the Committee, the work of the Special Rapporteur on the right to health and the work of the Special Rapporteur on extreme poverty and human rights. States are obligated to show due diligence in the protection of sex workers’ human rights through the enactment and reform of evidence and rights-based laws and policies and by addressing the intersecting and layered systems of oppression that impact sex workers’ experiences. </w:t>
      </w:r>
      <w:r w:rsidR="006B5469">
        <w:t>T</w:t>
      </w:r>
      <w:r w:rsidR="006B5469" w:rsidRPr="004D6D28">
        <w:t>he Special Rapporteur on the right to health has condemned the criminalization, full or asymmetrical, of sex work as violating sex workers’ right to health by creating barriers to their access to health services, which can lead to poor health outcomes.</w:t>
      </w:r>
      <w:r w:rsidR="006B5469" w:rsidRPr="00C2459F">
        <w:rPr>
          <w:vertAlign w:val="superscript"/>
        </w:rPr>
        <w:footnoteReference w:id="64"/>
      </w:r>
      <w:r w:rsidR="00FA7798">
        <w:t xml:space="preserve"> </w:t>
      </w:r>
      <w:r w:rsidRPr="004D6D28">
        <w:t xml:space="preserve">UN agencies, including UNAIDS, </w:t>
      </w:r>
      <w:r w:rsidR="00ED52C6">
        <w:t>World Health Organization and the International Organization for Migration</w:t>
      </w:r>
      <w:r w:rsidR="00FD6C3C">
        <w:t>,</w:t>
      </w:r>
      <w:r w:rsidR="00ED52C6">
        <w:t xml:space="preserve"> </w:t>
      </w:r>
      <w:r w:rsidRPr="004D6D28">
        <w:t xml:space="preserve">support the decriminalization of sex work. </w:t>
      </w:r>
    </w:p>
    <w:p w14:paraId="232B39E7" w14:textId="11A1494A" w:rsidR="00BC26BB" w:rsidRPr="004B44DC" w:rsidRDefault="001B057C" w:rsidP="00BC26BB">
      <w:pPr>
        <w:rPr>
          <w:rStyle w:val="Heading2Char"/>
          <w:b/>
        </w:rPr>
      </w:pPr>
      <w:r>
        <w:rPr>
          <w:rStyle w:val="Heading2Char"/>
          <w:b/>
        </w:rPr>
        <w:t xml:space="preserve">Sex work in Canada </w:t>
      </w:r>
    </w:p>
    <w:p w14:paraId="4C5912D5" w14:textId="40FE909D" w:rsidR="00BC26BB" w:rsidRPr="00D973DD" w:rsidRDefault="00C01D6C" w:rsidP="00ED52C6">
      <w:pPr>
        <w:pStyle w:val="ListParagraph"/>
        <w:numPr>
          <w:ilvl w:val="0"/>
          <w:numId w:val="4"/>
        </w:numPr>
      </w:pPr>
      <w:r w:rsidRPr="004D6D28">
        <w:t xml:space="preserve">In 2016, the CEDAW Committee recommended that Canada decriminalize women engaged in sex work. Canada has failed to take any action since then. </w:t>
      </w:r>
      <w:r w:rsidR="00BC26BB" w:rsidRPr="00D973DD">
        <w:rPr>
          <w:lang w:val="en-GB"/>
        </w:rPr>
        <w:t>The criminalization of sex work (including third parties and clients)</w:t>
      </w:r>
      <w:r w:rsidR="00BC26BB" w:rsidRPr="00D973DD">
        <w:rPr>
          <w:rStyle w:val="FootnoteReference"/>
          <w:lang w:val="en-GB"/>
        </w:rPr>
        <w:footnoteReference w:id="65"/>
      </w:r>
      <w:r w:rsidR="00BC26BB" w:rsidRPr="00D973DD">
        <w:rPr>
          <w:lang w:val="en-GB"/>
        </w:rPr>
        <w:t xml:space="preserve"> in Canada represents violations of </w:t>
      </w:r>
      <w:r w:rsidR="00A325F1">
        <w:rPr>
          <w:lang w:val="en-GB"/>
        </w:rPr>
        <w:t>a</w:t>
      </w:r>
      <w:r w:rsidR="00BC26BB" w:rsidRPr="00D973DD">
        <w:rPr>
          <w:lang w:val="en-GB"/>
        </w:rPr>
        <w:t xml:space="preserve">rticle 12 as interpreted </w:t>
      </w:r>
      <w:r w:rsidR="00BC26BB">
        <w:rPr>
          <w:lang w:val="en-GB"/>
        </w:rPr>
        <w:t xml:space="preserve">by the </w:t>
      </w:r>
      <w:r w:rsidR="00BC26BB" w:rsidRPr="00D973DD">
        <w:rPr>
          <w:lang w:val="en-GB"/>
        </w:rPr>
        <w:t xml:space="preserve">Committee. The Government of Canada, despite having the responsibility and authority to address these human rights violations, has failed to respect and protect </w:t>
      </w:r>
      <w:r w:rsidR="00BC26BB">
        <w:rPr>
          <w:lang w:val="en-GB"/>
        </w:rPr>
        <w:t xml:space="preserve">sex workers’ </w:t>
      </w:r>
      <w:r w:rsidR="00BC26BB" w:rsidRPr="00D973DD">
        <w:rPr>
          <w:lang w:val="en-GB"/>
        </w:rPr>
        <w:t>human rights.</w:t>
      </w:r>
      <w:r w:rsidR="00BC26BB" w:rsidRPr="00D973DD">
        <w:t xml:space="preserve"> </w:t>
      </w:r>
    </w:p>
    <w:p w14:paraId="10344CE6" w14:textId="77777777" w:rsidR="00BC26BB" w:rsidRPr="006A31CD" w:rsidRDefault="00BC26BB" w:rsidP="00BC26BB">
      <w:pPr>
        <w:pStyle w:val="ListParagraph"/>
        <w:rPr>
          <w:highlight w:val="yellow"/>
        </w:rPr>
      </w:pPr>
    </w:p>
    <w:p w14:paraId="4176CD06" w14:textId="685ED036" w:rsidR="00BC26BB" w:rsidRPr="00D60424" w:rsidRDefault="00BC26BB" w:rsidP="00ED52C6">
      <w:pPr>
        <w:pStyle w:val="ListParagraph"/>
        <w:numPr>
          <w:ilvl w:val="0"/>
          <w:numId w:val="4"/>
        </w:numPr>
      </w:pPr>
      <w:r w:rsidRPr="00D60424">
        <w:t>In 2013 the Supreme Court of Canada (SCC) struck down elements of the Criminal Code that were determined to violate the rights of sex workers by undermining their health and safety. In response, the federal government tabled Bill C-36 in 2014</w:t>
      </w:r>
      <w:r>
        <w:t>, the Protection of Communities and Exploited Persons Act (</w:t>
      </w:r>
      <w:r w:rsidRPr="00D60424">
        <w:t>PCEPA</w:t>
      </w:r>
      <w:r>
        <w:t>).</w:t>
      </w:r>
      <w:r w:rsidRPr="00D60424">
        <w:t xml:space="preserve"> PCEPA effectively criminalizes the purchase of sexual services; communicating for the purpose of purchasing and selling sexual services; receiving a material benefit from the crimes of purchasing sexual services or communicating to obtain them; procuring a person to offer or provide sexual services for consideration; and prohibiting advertising of sexual services. With PCEPA, the </w:t>
      </w:r>
      <w:r w:rsidR="00E76B0D">
        <w:t>F</w:t>
      </w:r>
      <w:r w:rsidRPr="00D60424">
        <w:t xml:space="preserve">ederal </w:t>
      </w:r>
      <w:r w:rsidR="00E76B0D">
        <w:t>G</w:t>
      </w:r>
      <w:r w:rsidRPr="00D60424">
        <w:t>overnment reinstated provisions very similar to those already found by the SCC to be harmful to sex workers’ lives, health</w:t>
      </w:r>
      <w:r w:rsidR="00E76B0D">
        <w:t>,</w:t>
      </w:r>
      <w:r w:rsidRPr="00D60424">
        <w:t xml:space="preserve"> and safety. This approach continues to impose danger, increase </w:t>
      </w:r>
      <w:r>
        <w:t>surveillance and over</w:t>
      </w:r>
      <w:r w:rsidR="00E76B0D">
        <w:t>-</w:t>
      </w:r>
      <w:r>
        <w:t>policing</w:t>
      </w:r>
      <w:r w:rsidRPr="00D60424">
        <w:t>, decrease agency, provide little control over working conditions</w:t>
      </w:r>
      <w:r w:rsidR="00E76B0D">
        <w:t>,</w:t>
      </w:r>
      <w:r w:rsidRPr="00D60424">
        <w:t xml:space="preserve"> and reduce safe</w:t>
      </w:r>
      <w:r>
        <w:t>ty</w:t>
      </w:r>
      <w:r w:rsidRPr="00D60424">
        <w:t xml:space="preserve"> for sex workers. </w:t>
      </w:r>
    </w:p>
    <w:p w14:paraId="05A4453C" w14:textId="77777777" w:rsidR="00BC26BB" w:rsidRPr="006A31CD" w:rsidRDefault="00BC26BB" w:rsidP="00BC26BB">
      <w:pPr>
        <w:pStyle w:val="ListParagraph"/>
        <w:rPr>
          <w:highlight w:val="yellow"/>
        </w:rPr>
      </w:pPr>
    </w:p>
    <w:p w14:paraId="058BB2BA" w14:textId="749B7A85" w:rsidR="00BC26BB" w:rsidRDefault="00BC26BB" w:rsidP="00ED52C6">
      <w:pPr>
        <w:pStyle w:val="ListParagraph"/>
        <w:numPr>
          <w:ilvl w:val="0"/>
          <w:numId w:val="4"/>
        </w:numPr>
      </w:pPr>
      <w:r>
        <w:t>E</w:t>
      </w:r>
      <w:r w:rsidRPr="00151C5C">
        <w:t>viden</w:t>
      </w:r>
      <w:r w:rsidR="00FE7D06">
        <w:t>c</w:t>
      </w:r>
      <w:r w:rsidRPr="00151C5C">
        <w:t xml:space="preserve">e from Canada and throughout the world clearly indicates that </w:t>
      </w:r>
      <w:r>
        <w:t>criminalization</w:t>
      </w:r>
      <w:r w:rsidRPr="00151C5C">
        <w:t xml:space="preserve"> forces sex workers into unsafe and unprotected areas restricting access to important safety strategies that can have significant and profound negative consequences on sex workers’ health, security, safety, equality</w:t>
      </w:r>
      <w:r w:rsidR="00E76B0D">
        <w:t>,</w:t>
      </w:r>
      <w:r w:rsidRPr="00151C5C">
        <w:t xml:space="preserve"> and human rights.</w:t>
      </w:r>
      <w:r w:rsidRPr="00151C5C">
        <w:rPr>
          <w:rStyle w:val="FootnoteReference"/>
        </w:rPr>
        <w:footnoteReference w:id="66"/>
      </w:r>
      <w:r w:rsidRPr="00151C5C">
        <w:t xml:space="preserve"> In the context of the right to health, the criminalization of both the selling and/or the purchase of sexual services: creates fear among sex workers that they may face legal consequences or harassment if they carry condoms and lubricant, which can be used as evidence of sex work,</w:t>
      </w:r>
      <w:r w:rsidRPr="00151C5C">
        <w:rPr>
          <w:rStyle w:val="FootnoteReference"/>
        </w:rPr>
        <w:footnoteReference w:id="67"/>
      </w:r>
      <w:r w:rsidRPr="00151C5C">
        <w:t xml:space="preserve"> reduces sex workers’ ability to negotiate safer sex with clients, on the street as well as indoors </w:t>
      </w:r>
      <w:r w:rsidRPr="00151C5C">
        <w:lastRenderedPageBreak/>
        <w:t>or on the phone,</w:t>
      </w:r>
      <w:r w:rsidRPr="00151C5C">
        <w:rPr>
          <w:rStyle w:val="FootnoteReference"/>
        </w:rPr>
        <w:footnoteReference w:id="68"/>
      </w:r>
      <w:r w:rsidRPr="00151C5C">
        <w:t xml:space="preserve"> affects the relationship between sex workers and any service providers (such as those providing condoms and harm reduction supplies)</w:t>
      </w:r>
      <w:r w:rsidR="00E76B0D">
        <w:t>,</w:t>
      </w:r>
      <w:r w:rsidRPr="00151C5C">
        <w:t xml:space="preserve"> as sex workers may fear being identified as sex workers which could lead to police entrapment,</w:t>
      </w:r>
      <w:r w:rsidRPr="00151C5C">
        <w:rPr>
          <w:vertAlign w:val="superscript"/>
        </w:rPr>
        <w:footnoteReference w:id="69"/>
      </w:r>
      <w:r w:rsidRPr="00151C5C">
        <w:t xml:space="preserve"> and heightens risks of HIV and other sexually transmitted infections</w:t>
      </w:r>
      <w:r w:rsidR="00E76B0D">
        <w:t>,</w:t>
      </w:r>
      <w:r w:rsidRPr="00151C5C">
        <w:t xml:space="preserve"> as sex workers face substantial barriers in accessing prevention, treatment, and care services, largely because of stigma, discrimination</w:t>
      </w:r>
      <w:r w:rsidR="00E76B0D">
        <w:t>,</w:t>
      </w:r>
      <w:r w:rsidRPr="00151C5C">
        <w:t xml:space="preserve"> and criminalization. According to the Lancet, decriminalization of sex work was determined to be the single most efficient structural intervention to reduce HIV infections among sex workers through reducing the risk of violence.</w:t>
      </w:r>
      <w:r w:rsidRPr="00151C5C">
        <w:rPr>
          <w:rStyle w:val="FootnoteReference"/>
        </w:rPr>
        <w:footnoteReference w:id="70"/>
      </w:r>
      <w:r w:rsidRPr="00151C5C">
        <w:t xml:space="preserve"> The criminalization of sex work increases the likelihood of additional violation of sex workers’ human rights, namely the right to live free of violence and the right to bodily autonomy and women’s agency.</w:t>
      </w:r>
      <w:r w:rsidRPr="00151C5C">
        <w:rPr>
          <w:rStyle w:val="FootnoteReference"/>
        </w:rPr>
        <w:footnoteReference w:id="71"/>
      </w:r>
      <w:r w:rsidRPr="00151C5C">
        <w:t xml:space="preserve"> </w:t>
      </w:r>
    </w:p>
    <w:p w14:paraId="38B8702A" w14:textId="77777777" w:rsidR="005D386C" w:rsidRDefault="005D386C" w:rsidP="005D386C">
      <w:pPr>
        <w:pStyle w:val="ListParagraph"/>
      </w:pPr>
    </w:p>
    <w:p w14:paraId="57323EF2" w14:textId="297FA403" w:rsidR="00F936AB" w:rsidRDefault="00F936AB" w:rsidP="00ED52C6">
      <w:pPr>
        <w:pStyle w:val="ListParagraph"/>
        <w:numPr>
          <w:ilvl w:val="0"/>
          <w:numId w:val="4"/>
        </w:numPr>
      </w:pPr>
      <w:r w:rsidRPr="00465291">
        <w:t>Migrant sex workers are at particularly at risk of experiencing human rights violations, detainment</w:t>
      </w:r>
      <w:r w:rsidR="00E76B0D">
        <w:t>,</w:t>
      </w:r>
      <w:r w:rsidRPr="00465291">
        <w:t xml:space="preserve"> and deportation. </w:t>
      </w:r>
      <w:r w:rsidR="007E4EF5">
        <w:t>R</w:t>
      </w:r>
      <w:r w:rsidRPr="00465291">
        <w:t>eports suggest migrant women sex workers are being targeted, creating environments of fear which further limit sex workers’ ability to access health services, report incidences of violence, or seek broader support services.</w:t>
      </w:r>
      <w:r w:rsidRPr="00465291">
        <w:rPr>
          <w:vertAlign w:val="superscript"/>
        </w:rPr>
        <w:footnoteReference w:id="72"/>
      </w:r>
      <w:r w:rsidRPr="00465291">
        <w:t xml:space="preserve"> Canada’s sex work-related laws do not explicitly address migrant sex workers but their stated objective is to “ensure consistency between prostitution offences and the existing human trafficking offences.” The laws rests on the incorrect conflation of consensual sex work with coercion or trafficking, which prohibits the former. Human trafficking frameworks are therefore being applied to the context of sex work,</w:t>
      </w:r>
      <w:r w:rsidRPr="00465291">
        <w:rPr>
          <w:vertAlign w:val="superscript"/>
        </w:rPr>
        <w:footnoteReference w:id="73"/>
      </w:r>
      <w:r w:rsidRPr="00465291">
        <w:t xml:space="preserve"> which limits meaningful dialogue about the rights of sex workers and creates the assumption that all sex workers are victims.</w:t>
      </w:r>
      <w:r w:rsidRPr="00465291">
        <w:rPr>
          <w:vertAlign w:val="superscript"/>
        </w:rPr>
        <w:footnoteReference w:id="74"/>
      </w:r>
      <w:r w:rsidRPr="00465291">
        <w:rPr>
          <w:vertAlign w:val="superscript"/>
        </w:rPr>
        <w:t xml:space="preserve"> </w:t>
      </w:r>
      <w:r w:rsidRPr="00465291">
        <w:t xml:space="preserve">The new laws therefore uphold misconceptions about sex work and sex workers: that all sex workers are women or that they are inherently victims. It positions all sex workers, and by extension women, as vulnerable or in need of state protection. This approach denies sex workers, and women more generally, their agency as rational decision-makers who each navigate </w:t>
      </w:r>
      <w:proofErr w:type="gramStart"/>
      <w:r w:rsidRPr="00465291">
        <w:t>more or less constrained</w:t>
      </w:r>
      <w:proofErr w:type="gramEnd"/>
      <w:r w:rsidRPr="00465291">
        <w:t xml:space="preserve"> choices. It is also important to consider that Canada has existing laws that directly target </w:t>
      </w:r>
      <w:r w:rsidRPr="00465291">
        <w:lastRenderedPageBreak/>
        <w:t xml:space="preserve">exploitation, violence and non-consensual sexual activities, including those that prohibit physical assault, sexual </w:t>
      </w:r>
      <w:r w:rsidR="00973D0F" w:rsidRPr="00B35F11">
        <w:rPr>
          <w:noProof/>
          <w:highlight w:val="yellow"/>
          <w:lang w:eastAsia="en-CA"/>
        </w:rPr>
        <mc:AlternateContent>
          <mc:Choice Requires="wps">
            <w:drawing>
              <wp:anchor distT="45720" distB="45720" distL="114300" distR="114300" simplePos="0" relativeHeight="251671552" behindDoc="0" locked="0" layoutInCell="1" allowOverlap="1" wp14:anchorId="1EE9A91C" wp14:editId="5D1BFEA2">
                <wp:simplePos x="0" y="0"/>
                <wp:positionH relativeFrom="margin">
                  <wp:align>right</wp:align>
                </wp:positionH>
                <wp:positionV relativeFrom="paragraph">
                  <wp:posOffset>586740</wp:posOffset>
                </wp:positionV>
                <wp:extent cx="6838950" cy="1864995"/>
                <wp:effectExtent l="0" t="0" r="1905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1864995"/>
                        </a:xfrm>
                        <a:prstGeom prst="rect">
                          <a:avLst/>
                        </a:prstGeom>
                        <a:solidFill>
                          <a:srgbClr val="FFFFFF"/>
                        </a:solidFill>
                        <a:ln w="9525">
                          <a:solidFill>
                            <a:srgbClr val="000000"/>
                          </a:solidFill>
                          <a:miter lim="800000"/>
                          <a:headEnd/>
                          <a:tailEnd/>
                        </a:ln>
                      </wps:spPr>
                      <wps:txbx>
                        <w:txbxContent>
                          <w:p w14:paraId="60FDA90C" w14:textId="77777777" w:rsidR="00EF19E1" w:rsidRPr="00FE4564" w:rsidRDefault="00EF19E1" w:rsidP="00EF19E1">
                            <w:pPr>
                              <w:pStyle w:val="Heading3"/>
                              <w:spacing w:after="40"/>
                              <w:rPr>
                                <w:bCs/>
                                <w:lang w:val="en-GB"/>
                              </w:rPr>
                            </w:pPr>
                            <w:bookmarkStart w:id="1" w:name="_GoBack"/>
                            <w:r w:rsidRPr="00FE4564">
                              <w:rPr>
                                <w:rStyle w:val="Heading2Char"/>
                                <w:bCs/>
                                <w:sz w:val="32"/>
                              </w:rPr>
                              <w:t xml:space="preserve">Recommended Questions to be included in the List of Issues </w:t>
                            </w:r>
                          </w:p>
                          <w:p w14:paraId="7E4B281E" w14:textId="77777777" w:rsidR="00EF19E1" w:rsidRPr="00DE0C67" w:rsidRDefault="00EF19E1" w:rsidP="00EF19E1">
                            <w:r w:rsidRPr="00DE0C67">
                              <w:t xml:space="preserve">Recognizing ongoing violations of sex workers’ right to health and safety, </w:t>
                            </w:r>
                          </w:p>
                          <w:p w14:paraId="244F0348" w14:textId="77777777" w:rsidR="00EF19E1" w:rsidRDefault="00EF19E1" w:rsidP="00EF19E1">
                            <w:pPr>
                              <w:pStyle w:val="ListParagraph"/>
                              <w:numPr>
                                <w:ilvl w:val="0"/>
                                <w:numId w:val="2"/>
                              </w:numPr>
                              <w:tabs>
                                <w:tab w:val="num" w:pos="360"/>
                              </w:tabs>
                              <w:spacing w:before="120" w:line="259" w:lineRule="auto"/>
                              <w:ind w:left="0" w:firstLine="0"/>
                              <w:contextualSpacing w:val="0"/>
                            </w:pPr>
                            <w:r w:rsidRPr="00DE0C67">
                              <w:t>What steps has the Government of Canada taken to respect, protect and fulfill sex workers’ rights</w:t>
                            </w:r>
                            <w:r>
                              <w:t xml:space="preserve"> by removing all criminal sanctions against sex work?</w:t>
                            </w:r>
                          </w:p>
                          <w:p w14:paraId="063DA8B7" w14:textId="77777777" w:rsidR="00EF19E1" w:rsidRPr="00BC26BB" w:rsidRDefault="00EF19E1" w:rsidP="00EF19E1">
                            <w:pPr>
                              <w:pStyle w:val="ListParagraph"/>
                              <w:numPr>
                                <w:ilvl w:val="0"/>
                                <w:numId w:val="2"/>
                              </w:numPr>
                              <w:tabs>
                                <w:tab w:val="num" w:pos="360"/>
                              </w:tabs>
                              <w:spacing w:before="120" w:line="259" w:lineRule="auto"/>
                              <w:ind w:left="0" w:firstLine="0"/>
                              <w:contextualSpacing w:val="0"/>
                            </w:pPr>
                            <w:r w:rsidRPr="00BC26BB">
                              <w:t>What</w:t>
                            </w:r>
                            <w:r>
                              <w:t xml:space="preserve"> steps will </w:t>
                            </w:r>
                            <w:r w:rsidRPr="00BC26BB">
                              <w:t xml:space="preserve">the </w:t>
                            </w:r>
                            <w:r>
                              <w:t xml:space="preserve">Government of Canada take to </w:t>
                            </w:r>
                            <w:r w:rsidRPr="00BC26BB">
                              <w:t>ensure that laws</w:t>
                            </w:r>
                            <w:r>
                              <w:t xml:space="preserve">, policies, and </w:t>
                            </w:r>
                            <w:r w:rsidRPr="00BC26BB">
                              <w:t>programs, including those targeting human trafficking, do not infringe on sex workers' fundamental rights to health, labour protections, and security of the person?</w:t>
                            </w:r>
                          </w:p>
                          <w:bookmarkEnd w:id="1"/>
                          <w:p w14:paraId="067E39DE" w14:textId="77777777" w:rsidR="00EF19E1" w:rsidRPr="00DE0C67" w:rsidRDefault="00EF19E1" w:rsidP="00EF19E1">
                            <w:pPr>
                              <w:spacing w:before="120" w:line="259"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9A91C" id="_x0000_s1029" type="#_x0000_t202" style="position:absolute;left:0;text-align:left;margin-left:487.3pt;margin-top:46.2pt;width:538.5pt;height:146.8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">
                <v:textbox>
                  <w:txbxContent>
                    <w:p w14:paraId="60FDA90C" w14:textId="77777777" w:rsidR="00EF19E1" w:rsidRPr="00FE4564" w:rsidRDefault="00EF19E1" w:rsidP="00EF19E1">
                      <w:pPr>
                        <w:pStyle w:val="Heading3"/>
                        <w:spacing w:after="40"/>
                        <w:rPr>
                          <w:bCs/>
                          <w:lang w:val="en-GB"/>
                        </w:rPr>
                      </w:pPr>
                      <w:bookmarkStart w:id="2" w:name="_GoBack"/>
                      <w:r w:rsidRPr="00FE4564">
                        <w:rPr>
                          <w:rStyle w:val="Heading2Char"/>
                          <w:bCs/>
                          <w:sz w:val="32"/>
                        </w:rPr>
                        <w:t xml:space="preserve">Recommended Questions to be included in the List of Issues </w:t>
                      </w:r>
                    </w:p>
                    <w:p w14:paraId="7E4B281E" w14:textId="77777777" w:rsidR="00EF19E1" w:rsidRPr="00DE0C67" w:rsidRDefault="00EF19E1" w:rsidP="00EF19E1">
                      <w:r w:rsidRPr="00DE0C67">
                        <w:t xml:space="preserve">Recognizing ongoing violations of sex workers’ right to health and safety, </w:t>
                      </w:r>
                    </w:p>
                    <w:p w14:paraId="244F0348" w14:textId="77777777" w:rsidR="00EF19E1" w:rsidRDefault="00EF19E1" w:rsidP="00EF19E1">
                      <w:pPr>
                        <w:pStyle w:val="ListParagraph"/>
                        <w:numPr>
                          <w:ilvl w:val="0"/>
                          <w:numId w:val="2"/>
                        </w:numPr>
                        <w:tabs>
                          <w:tab w:val="num" w:pos="360"/>
                        </w:tabs>
                        <w:spacing w:before="120" w:line="259" w:lineRule="auto"/>
                        <w:ind w:left="0" w:firstLine="0"/>
                        <w:contextualSpacing w:val="0"/>
                      </w:pPr>
                      <w:r w:rsidRPr="00DE0C67">
                        <w:t>What steps has the Government of Canada taken to respect, protect and fulfill sex workers’ rights</w:t>
                      </w:r>
                      <w:r>
                        <w:t xml:space="preserve"> by removing all criminal sanctions against sex work?</w:t>
                      </w:r>
                    </w:p>
                    <w:p w14:paraId="063DA8B7" w14:textId="77777777" w:rsidR="00EF19E1" w:rsidRPr="00BC26BB" w:rsidRDefault="00EF19E1" w:rsidP="00EF19E1">
                      <w:pPr>
                        <w:pStyle w:val="ListParagraph"/>
                        <w:numPr>
                          <w:ilvl w:val="0"/>
                          <w:numId w:val="2"/>
                        </w:numPr>
                        <w:tabs>
                          <w:tab w:val="num" w:pos="360"/>
                        </w:tabs>
                        <w:spacing w:before="120" w:line="259" w:lineRule="auto"/>
                        <w:ind w:left="0" w:firstLine="0"/>
                        <w:contextualSpacing w:val="0"/>
                      </w:pPr>
                      <w:r w:rsidRPr="00BC26BB">
                        <w:t>What</w:t>
                      </w:r>
                      <w:r>
                        <w:t xml:space="preserve"> steps will </w:t>
                      </w:r>
                      <w:r w:rsidRPr="00BC26BB">
                        <w:t xml:space="preserve">the </w:t>
                      </w:r>
                      <w:r>
                        <w:t xml:space="preserve">Government of Canada take to </w:t>
                      </w:r>
                      <w:r w:rsidRPr="00BC26BB">
                        <w:t>ensure that laws</w:t>
                      </w:r>
                      <w:r>
                        <w:t xml:space="preserve">, policies, and </w:t>
                      </w:r>
                      <w:r w:rsidRPr="00BC26BB">
                        <w:t>programs, including those targeting human trafficking, do not infringe on sex workers' fundamental rights to health, labour protections, and security of the person?</w:t>
                      </w:r>
                    </w:p>
                    <w:bookmarkEnd w:id="2"/>
                    <w:p w14:paraId="067E39DE" w14:textId="77777777" w:rsidR="00EF19E1" w:rsidRPr="00DE0C67" w:rsidRDefault="00EF19E1" w:rsidP="00EF19E1">
                      <w:pPr>
                        <w:spacing w:before="120" w:line="259" w:lineRule="auto"/>
                      </w:pPr>
                    </w:p>
                  </w:txbxContent>
                </v:textbox>
                <w10:wrap type="square" anchorx="margin"/>
              </v:shape>
            </w:pict>
          </mc:Fallback>
        </mc:AlternateContent>
      </w:r>
      <w:r w:rsidRPr="00465291">
        <w:t>assault, threatening, harassment, murder, extortion, human trafficking</w:t>
      </w:r>
      <w:r w:rsidR="00E76B0D">
        <w:t>,</w:t>
      </w:r>
      <w:r w:rsidRPr="00465291">
        <w:t xml:space="preserve"> and child exploitation. </w:t>
      </w:r>
    </w:p>
    <w:p w14:paraId="033E4520" w14:textId="2D2CC49E" w:rsidR="0013228E" w:rsidRDefault="0013228E" w:rsidP="0013228E"/>
    <w:p w14:paraId="24C4F70A" w14:textId="6E7C0463" w:rsidR="0013228E" w:rsidRDefault="0013228E" w:rsidP="0013228E"/>
    <w:p w14:paraId="1D33F531" w14:textId="6CE7BC63" w:rsidR="0013228E" w:rsidRPr="0078362F" w:rsidRDefault="0013228E" w:rsidP="0013228E"/>
    <w:sectPr w:rsidR="0013228E" w:rsidRPr="0078362F" w:rsidSect="000028EE">
      <w:footerReference w:type="default" r:id="rId11"/>
      <w:pgSz w:w="12240" w:h="15840"/>
      <w:pgMar w:top="720"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2773D" w14:textId="77777777" w:rsidR="007E51D5" w:rsidRDefault="007E51D5" w:rsidP="00C57DE5">
      <w:pPr>
        <w:spacing w:after="0" w:line="240" w:lineRule="auto"/>
      </w:pPr>
      <w:r>
        <w:separator/>
      </w:r>
    </w:p>
  </w:endnote>
  <w:endnote w:type="continuationSeparator" w:id="0">
    <w:p w14:paraId="164C54E7" w14:textId="77777777" w:rsidR="007E51D5" w:rsidRDefault="007E51D5" w:rsidP="00C5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garamond">
    <w:altName w:val="Cambria"/>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Gotham Rounded Bold">
    <w:altName w:val="Calibri"/>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6274" w14:textId="60C0250B" w:rsidR="00A07EE1" w:rsidRDefault="00A07EE1">
    <w:pPr>
      <w:pStyle w:val="Footer"/>
      <w:pBdr>
        <w:top w:val="single" w:sz="4" w:space="1" w:color="D9D9D9" w:themeColor="background1" w:themeShade="D9"/>
      </w:pBdr>
      <w:jc w:val="right"/>
    </w:pPr>
    <w:r>
      <w:rPr>
        <w:noProof/>
        <w:color w:val="7F7F7F" w:themeColor="background1" w:themeShade="7F"/>
        <w:spacing w:val="60"/>
        <w:lang w:eastAsia="en-CA"/>
      </w:rPr>
      <w:drawing>
        <wp:anchor distT="0" distB="0" distL="114300" distR="114300" simplePos="0" relativeHeight="251658240" behindDoc="0" locked="0" layoutInCell="1" allowOverlap="1" wp14:anchorId="0F1088C6" wp14:editId="152FED44">
          <wp:simplePos x="0" y="0"/>
          <wp:positionH relativeFrom="margin">
            <wp:posOffset>0</wp:posOffset>
          </wp:positionH>
          <wp:positionV relativeFrom="paragraph">
            <wp:posOffset>118257</wp:posOffset>
          </wp:positionV>
          <wp:extent cx="357505" cy="357505"/>
          <wp:effectExtent l="0" t="0" r="4445" b="4445"/>
          <wp:wrapNone/>
          <wp:docPr id="5" name="Picture 5" descr="C:\Users\Ani\AppData\Local\Microsoft\Windows\INetCache\Content.Word\ava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i\AppData\Local\Microsoft\Windows\INetCache\Content.Word\avata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7505" cy="35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22ADBE" w14:textId="39E351A6" w:rsidR="00A07EE1" w:rsidRDefault="007E51D5">
    <w:pPr>
      <w:pStyle w:val="Footer"/>
      <w:pBdr>
        <w:top w:val="single" w:sz="4" w:space="1" w:color="D9D9D9" w:themeColor="background1" w:themeShade="D9"/>
      </w:pBdr>
      <w:jc w:val="right"/>
    </w:pPr>
    <w:sdt>
      <w:sdtPr>
        <w:id w:val="1974944597"/>
        <w:docPartObj>
          <w:docPartGallery w:val="Page Numbers (Bottom of Page)"/>
          <w:docPartUnique/>
        </w:docPartObj>
      </w:sdtPr>
      <w:sdtEndPr>
        <w:rPr>
          <w:color w:val="7F7F7F" w:themeColor="background1" w:themeShade="7F"/>
          <w:spacing w:val="60"/>
        </w:rPr>
      </w:sdtEndPr>
      <w:sdtContent>
        <w:r w:rsidR="00A07EE1" w:rsidRPr="00306D4F">
          <w:rPr>
            <w:color w:val="E26F54"/>
          </w:rPr>
          <w:fldChar w:fldCharType="begin"/>
        </w:r>
        <w:r w:rsidR="00A07EE1" w:rsidRPr="00306D4F">
          <w:rPr>
            <w:color w:val="E26F54"/>
          </w:rPr>
          <w:instrText xml:space="preserve"> PAGE   \* MERGEFORMAT </w:instrText>
        </w:r>
        <w:r w:rsidR="00A07EE1" w:rsidRPr="00306D4F">
          <w:rPr>
            <w:color w:val="E26F54"/>
          </w:rPr>
          <w:fldChar w:fldCharType="separate"/>
        </w:r>
        <w:r w:rsidR="00A07EE1">
          <w:rPr>
            <w:noProof/>
            <w:color w:val="E26F54"/>
          </w:rPr>
          <w:t>8</w:t>
        </w:r>
        <w:r w:rsidR="00A07EE1" w:rsidRPr="00306D4F">
          <w:rPr>
            <w:noProof/>
            <w:color w:val="E26F54"/>
          </w:rPr>
          <w:fldChar w:fldCharType="end"/>
        </w:r>
        <w:r w:rsidR="00A07EE1" w:rsidRPr="00306D4F">
          <w:rPr>
            <w:color w:val="E26F54"/>
          </w:rPr>
          <w:t xml:space="preserve"> | </w:t>
        </w:r>
        <w:r w:rsidR="00A07EE1">
          <w:rPr>
            <w:color w:val="7F7F7F" w:themeColor="background1" w:themeShade="7F"/>
            <w:spacing w:val="60"/>
          </w:rPr>
          <w:t>Page</w:t>
        </w:r>
      </w:sdtContent>
    </w:sdt>
  </w:p>
  <w:p w14:paraId="516DAB6F" w14:textId="25041411" w:rsidR="00A07EE1" w:rsidRDefault="00A07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9DB59" w14:textId="77777777" w:rsidR="007E51D5" w:rsidRDefault="007E51D5" w:rsidP="00C57DE5">
      <w:pPr>
        <w:spacing w:after="0" w:line="240" w:lineRule="auto"/>
      </w:pPr>
      <w:r>
        <w:separator/>
      </w:r>
    </w:p>
  </w:footnote>
  <w:footnote w:type="continuationSeparator" w:id="0">
    <w:p w14:paraId="5AB35FBD" w14:textId="77777777" w:rsidR="007E51D5" w:rsidRDefault="007E51D5" w:rsidP="00C57DE5">
      <w:pPr>
        <w:spacing w:after="0" w:line="240" w:lineRule="auto"/>
      </w:pPr>
      <w:r>
        <w:continuationSeparator/>
      </w:r>
    </w:p>
  </w:footnote>
  <w:footnote w:id="1">
    <w:p w14:paraId="49FDECC5" w14:textId="77777777"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Convention on the Elimination of All forms of Discrimination Against Women. 1979. </w:t>
      </w:r>
    </w:p>
  </w:footnote>
  <w:footnote w:id="2">
    <w:p w14:paraId="17487868" w14:textId="10D3FD75"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00A944A2" w:rsidRPr="008137C5">
        <w:rPr>
          <w:rFonts w:ascii="Adobe Garamond Pro" w:hAnsi="Adobe Garamond Pro"/>
          <w:sz w:val="18"/>
          <w:szCs w:val="18"/>
        </w:rPr>
        <w:t xml:space="preserve">UN </w:t>
      </w:r>
      <w:r w:rsidRPr="008137C5">
        <w:rPr>
          <w:rFonts w:ascii="Adobe Garamond Pro" w:hAnsi="Adobe Garamond Pro"/>
          <w:sz w:val="18"/>
          <w:szCs w:val="18"/>
        </w:rPr>
        <w:t>Committee on the Elimination of Discrimination Against Women. (CEDAW) General Recommendation 21 on equality in marriage and family relations, 1994 and 24 on women and health, 1999.</w:t>
      </w:r>
    </w:p>
  </w:footnote>
  <w:footnote w:id="3">
    <w:p w14:paraId="2ED1909C" w14:textId="5019CE06" w:rsidR="00E72F96" w:rsidRPr="008137C5" w:rsidRDefault="00A07EE1" w:rsidP="00047A74">
      <w:pPr>
        <w:spacing w:after="0" w:line="240" w:lineRule="auto"/>
        <w:rPr>
          <w:sz w:val="18"/>
          <w:szCs w:val="18"/>
        </w:rPr>
      </w:pPr>
      <w:r w:rsidRPr="008137C5">
        <w:rPr>
          <w:rStyle w:val="FootnoteReference"/>
          <w:sz w:val="18"/>
          <w:szCs w:val="18"/>
        </w:rPr>
        <w:footnoteRef/>
      </w:r>
      <w:r w:rsidRPr="008137C5">
        <w:rPr>
          <w:sz w:val="18"/>
          <w:szCs w:val="18"/>
        </w:rPr>
        <w:t xml:space="preserve"> </w:t>
      </w:r>
      <w:r w:rsidR="00C14EBF" w:rsidRPr="008137C5">
        <w:rPr>
          <w:sz w:val="18"/>
          <w:szCs w:val="18"/>
        </w:rPr>
        <w:t>CEDAW/C/CHN/CO/7-8</w:t>
      </w:r>
      <w:r w:rsidR="00EE1CA9" w:rsidRPr="008137C5">
        <w:rPr>
          <w:sz w:val="18"/>
          <w:szCs w:val="18"/>
        </w:rPr>
        <w:t>,</w:t>
      </w:r>
      <w:r w:rsidR="00C14EBF" w:rsidRPr="008137C5">
        <w:rPr>
          <w:sz w:val="18"/>
          <w:szCs w:val="18"/>
        </w:rPr>
        <w:t xml:space="preserve"> 2014</w:t>
      </w:r>
      <w:r w:rsidR="00EE1CA9" w:rsidRPr="008137C5">
        <w:rPr>
          <w:sz w:val="18"/>
          <w:szCs w:val="18"/>
        </w:rPr>
        <w:t>,</w:t>
      </w:r>
      <w:r w:rsidR="00C14EBF" w:rsidRPr="008137C5">
        <w:rPr>
          <w:sz w:val="18"/>
          <w:szCs w:val="18"/>
        </w:rPr>
        <w:t xml:space="preserve"> For the achievement of the sexual and reproductive health and rights under the Convention, effective age-appropriate education on sexual and reproductive health must be provided at school. CEDAW/C/PER/CO/7-8</w:t>
      </w:r>
      <w:r w:rsidR="000366DF" w:rsidRPr="008137C5">
        <w:rPr>
          <w:sz w:val="18"/>
          <w:szCs w:val="18"/>
        </w:rPr>
        <w:t>,</w:t>
      </w:r>
      <w:r w:rsidR="00C14EBF" w:rsidRPr="008137C5">
        <w:rPr>
          <w:sz w:val="18"/>
          <w:szCs w:val="18"/>
        </w:rPr>
        <w:t>2014</w:t>
      </w:r>
      <w:r w:rsidR="000366DF" w:rsidRPr="008137C5">
        <w:rPr>
          <w:sz w:val="18"/>
          <w:szCs w:val="18"/>
        </w:rPr>
        <w:t>,</w:t>
      </w:r>
      <w:r w:rsidR="00C14EBF" w:rsidRPr="008137C5">
        <w:rPr>
          <w:sz w:val="18"/>
          <w:szCs w:val="18"/>
        </w:rPr>
        <w:t xml:space="preserve"> The lack of implementation of the existing framework on CSE results in limited access to age-appropriate information and intercultural perspectives on sexual and reproductive health and rights, including on responsible sexual behaviour, prevention of early pregnancy and sexually transmitted diseases and measures to provide protection from sexual abuse. CEDAW/C/MNE/CO/</w:t>
      </w:r>
      <w:proofErr w:type="gramStart"/>
      <w:r w:rsidR="00C14EBF" w:rsidRPr="008137C5">
        <w:rPr>
          <w:sz w:val="18"/>
          <w:szCs w:val="18"/>
        </w:rPr>
        <w:t>2</w:t>
      </w:r>
      <w:r w:rsidR="00EE1CA9" w:rsidRPr="008137C5">
        <w:rPr>
          <w:sz w:val="18"/>
          <w:szCs w:val="18"/>
        </w:rPr>
        <w:t>,</w:t>
      </w:r>
      <w:r w:rsidR="00C14EBF" w:rsidRPr="008137C5">
        <w:rPr>
          <w:sz w:val="18"/>
          <w:szCs w:val="18"/>
        </w:rPr>
        <w:t>2017</w:t>
      </w:r>
      <w:r w:rsidR="00EE1CA9" w:rsidRPr="008137C5">
        <w:rPr>
          <w:sz w:val="18"/>
          <w:szCs w:val="18"/>
        </w:rPr>
        <w:t>,</w:t>
      </w:r>
      <w:r w:rsidR="00C14EBF" w:rsidRPr="008137C5">
        <w:rPr>
          <w:sz w:val="18"/>
          <w:szCs w:val="18"/>
        </w:rPr>
        <w:t>:</w:t>
      </w:r>
      <w:proofErr w:type="gramEnd"/>
      <w:r w:rsidR="00C14EBF" w:rsidRPr="008137C5">
        <w:rPr>
          <w:sz w:val="18"/>
          <w:szCs w:val="18"/>
        </w:rPr>
        <w:t xml:space="preserve"> </w:t>
      </w:r>
      <w:r w:rsidR="000366DF" w:rsidRPr="008137C5">
        <w:rPr>
          <w:sz w:val="18"/>
          <w:szCs w:val="18"/>
        </w:rPr>
        <w:t>The Committee expressed its c</w:t>
      </w:r>
      <w:r w:rsidR="00C14EBF" w:rsidRPr="008137C5">
        <w:rPr>
          <w:sz w:val="18"/>
          <w:szCs w:val="18"/>
        </w:rPr>
        <w:t>oncern</w:t>
      </w:r>
      <w:r w:rsidR="000366DF" w:rsidRPr="008137C5">
        <w:rPr>
          <w:sz w:val="18"/>
          <w:szCs w:val="18"/>
        </w:rPr>
        <w:t>s</w:t>
      </w:r>
      <w:r w:rsidR="00C14EBF" w:rsidRPr="008137C5">
        <w:rPr>
          <w:sz w:val="18"/>
          <w:szCs w:val="18"/>
        </w:rPr>
        <w:t xml:space="preserve"> about sex education being insufficiently taught and not covering the social relations of gender and the impact of patriarchal attitudes and discriminatory stereotypes on sexual relations. CEDAW/C/ARG/CO/7</w:t>
      </w:r>
      <w:r w:rsidR="00EE1CA9" w:rsidRPr="008137C5">
        <w:rPr>
          <w:sz w:val="18"/>
          <w:szCs w:val="18"/>
        </w:rPr>
        <w:t>,</w:t>
      </w:r>
      <w:r w:rsidR="00C14EBF" w:rsidRPr="008137C5">
        <w:rPr>
          <w:sz w:val="18"/>
          <w:szCs w:val="18"/>
        </w:rPr>
        <w:t>2016</w:t>
      </w:r>
      <w:r w:rsidR="00EE1CA9" w:rsidRPr="008137C5">
        <w:rPr>
          <w:sz w:val="18"/>
          <w:szCs w:val="18"/>
        </w:rPr>
        <w:t>,</w:t>
      </w:r>
      <w:r w:rsidR="00C14EBF" w:rsidRPr="008137C5">
        <w:rPr>
          <w:sz w:val="18"/>
          <w:szCs w:val="18"/>
        </w:rPr>
        <w:t xml:space="preserve"> </w:t>
      </w:r>
      <w:r w:rsidR="000366DF" w:rsidRPr="008137C5">
        <w:rPr>
          <w:sz w:val="18"/>
          <w:szCs w:val="18"/>
        </w:rPr>
        <w:t xml:space="preserve">The Committee expressed its concerns </w:t>
      </w:r>
      <w:r w:rsidR="00C14EBF" w:rsidRPr="008137C5">
        <w:rPr>
          <w:sz w:val="18"/>
          <w:szCs w:val="18"/>
        </w:rPr>
        <w:t xml:space="preserve">about limited implementation of CSE programmes in provinces. </w:t>
      </w:r>
    </w:p>
  </w:footnote>
  <w:footnote w:id="4">
    <w:p w14:paraId="2915718C" w14:textId="0E1ED3CC" w:rsidR="00A07EE1" w:rsidRPr="008137C5" w:rsidRDefault="00A07EE1"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United Nations Special Rapporteur on the right to education. Annual report to the General Assembly on the human right to comprehensive sexual education. 2010. </w:t>
      </w:r>
    </w:p>
  </w:footnote>
  <w:footnote w:id="5">
    <w:p w14:paraId="270AD2BD" w14:textId="202EC4E8" w:rsidR="0095105A" w:rsidRPr="008137C5" w:rsidRDefault="0095105A"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Committee on the rights of the child. General Comment 4 on adolescent health and development in the context of the Convention on the rights of the child. 2003. </w:t>
      </w:r>
    </w:p>
  </w:footnote>
  <w:footnote w:id="6">
    <w:p w14:paraId="2A172698" w14:textId="1F96F074" w:rsidR="0095105A" w:rsidRPr="008137C5" w:rsidRDefault="0095105A"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00776E4D" w:rsidRPr="008137C5">
        <w:rPr>
          <w:rFonts w:ascii="Adobe Garamond Pro" w:hAnsi="Adobe Garamond Pro"/>
          <w:sz w:val="18"/>
          <w:szCs w:val="18"/>
        </w:rPr>
        <w:t>Committee on Economic, Social and Cultural Rights (CESCR)</w:t>
      </w:r>
      <w:r w:rsidR="00EE1CA9" w:rsidRPr="008137C5">
        <w:rPr>
          <w:rFonts w:ascii="Adobe Garamond Pro" w:hAnsi="Adobe Garamond Pro"/>
          <w:sz w:val="18"/>
          <w:szCs w:val="18"/>
        </w:rPr>
        <w:t>, 2016,</w:t>
      </w:r>
      <w:r w:rsidR="00776E4D" w:rsidRPr="008137C5">
        <w:rPr>
          <w:rFonts w:ascii="Adobe Garamond Pro" w:hAnsi="Adobe Garamond Pro"/>
          <w:sz w:val="18"/>
          <w:szCs w:val="18"/>
        </w:rPr>
        <w:t xml:space="preserve"> General Comment 22 on the Right to sexual and reproductive health (article 12 of the International Covenant on Economic, Social and Cultural Rights</w:t>
      </w:r>
      <w:r w:rsidR="00DC51D4" w:rsidRPr="008137C5">
        <w:rPr>
          <w:rFonts w:ascii="Adobe Garamond Pro" w:hAnsi="Adobe Garamond Pro"/>
          <w:sz w:val="18"/>
          <w:szCs w:val="18"/>
        </w:rPr>
        <w:t xml:space="preserve">. </w:t>
      </w:r>
    </w:p>
  </w:footnote>
  <w:footnote w:id="7">
    <w:p w14:paraId="2D5179DF" w14:textId="07740282" w:rsidR="00A07EE1" w:rsidRPr="00426F08" w:rsidRDefault="00A07EE1" w:rsidP="00047A74">
      <w:pPr>
        <w:pStyle w:val="FootnoteText"/>
        <w:rPr>
          <w:rFonts w:ascii="Adobe Garamond Pro" w:hAnsi="Adobe Garamond Pro"/>
          <w:color w:val="E26F54"/>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Upworthy. “Oh kindergarten. Finger painting, ABCs, and sexuality education.” June/July 2015. </w:t>
      </w:r>
      <w:hyperlink r:id="rId1" w:history="1">
        <w:r w:rsidRPr="00426F08">
          <w:rPr>
            <w:rStyle w:val="Hyperlink"/>
            <w:rFonts w:ascii="Adobe Garamond Pro" w:hAnsi="Adobe Garamond Pro"/>
            <w:color w:val="E26F54"/>
            <w:sz w:val="18"/>
            <w:szCs w:val="18"/>
          </w:rPr>
          <w:t>http://www.upworthy.com/kids-dont-usually-learn-about-the-birds-and-bees-in-kindergarten-unless-of-course-theyre-dutch</w:t>
        </w:r>
      </w:hyperlink>
      <w:r w:rsidRPr="00426F08">
        <w:rPr>
          <w:rFonts w:ascii="Adobe Garamond Pro" w:hAnsi="Adobe Garamond Pro"/>
          <w:color w:val="E26F54"/>
          <w:sz w:val="18"/>
          <w:szCs w:val="18"/>
        </w:rPr>
        <w:t xml:space="preserve"> </w:t>
      </w:r>
    </w:p>
  </w:footnote>
  <w:footnote w:id="8">
    <w:p w14:paraId="608EF453" w14:textId="7845ECFE" w:rsidR="00CA12AE" w:rsidRPr="008137C5" w:rsidRDefault="00CA12AE"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00AC333B" w:rsidRPr="008137C5">
        <w:rPr>
          <w:rFonts w:ascii="Adobe Garamond Pro" w:hAnsi="Adobe Garamond Pro"/>
          <w:sz w:val="18"/>
          <w:szCs w:val="18"/>
        </w:rPr>
        <w:t>Canada played an instrumental role establishing the position of UN Special Rapporteur on violence against women and leading the annual resolution on the same topic at the UN Human Rights Council</w:t>
      </w:r>
      <w:r w:rsidR="00DF670E" w:rsidRPr="008137C5">
        <w:rPr>
          <w:rFonts w:ascii="Adobe Garamond Pro" w:hAnsi="Adobe Garamond Pro"/>
          <w:sz w:val="18"/>
          <w:szCs w:val="18"/>
        </w:rPr>
        <w:t>;</w:t>
      </w:r>
      <w:r w:rsidR="00F0704F" w:rsidRPr="008137C5">
        <w:rPr>
          <w:rFonts w:ascii="Adobe Garamond Pro" w:hAnsi="Adobe Garamond Pro"/>
          <w:sz w:val="18"/>
          <w:szCs w:val="18"/>
        </w:rPr>
        <w:t xml:space="preserve"> </w:t>
      </w:r>
      <w:r w:rsidR="00DF670E" w:rsidRPr="008137C5">
        <w:rPr>
          <w:rFonts w:ascii="Adobe Garamond Pro" w:hAnsi="Adobe Garamond Pro"/>
          <w:sz w:val="18"/>
          <w:szCs w:val="18"/>
        </w:rPr>
        <w:t xml:space="preserve">with </w:t>
      </w:r>
      <w:r w:rsidR="00F0704F" w:rsidRPr="008137C5">
        <w:rPr>
          <w:rFonts w:ascii="Adobe Garamond Pro" w:hAnsi="Adobe Garamond Pro"/>
          <w:sz w:val="18"/>
          <w:szCs w:val="18"/>
        </w:rPr>
        <w:t>increasingly progressive references to CSE</w:t>
      </w:r>
      <w:r w:rsidR="00642754" w:rsidRPr="008137C5">
        <w:rPr>
          <w:rFonts w:ascii="Adobe Garamond Pro" w:hAnsi="Adobe Garamond Pro"/>
          <w:sz w:val="18"/>
          <w:szCs w:val="18"/>
        </w:rPr>
        <w:t xml:space="preserve"> in the annual VAW resolutions. </w:t>
      </w:r>
      <w:r w:rsidR="00DF670E" w:rsidRPr="008137C5">
        <w:rPr>
          <w:rFonts w:ascii="Adobe Garamond Pro" w:hAnsi="Adobe Garamond Pro"/>
          <w:sz w:val="18"/>
          <w:szCs w:val="18"/>
        </w:rPr>
        <w:t xml:space="preserve"> </w:t>
      </w:r>
    </w:p>
  </w:footnote>
  <w:footnote w:id="9">
    <w:p w14:paraId="06501252" w14:textId="4816D47B" w:rsidR="00D94749" w:rsidRPr="008137C5" w:rsidRDefault="00D94749" w:rsidP="00047A74">
      <w:pPr>
        <w:spacing w:after="0" w:line="240" w:lineRule="auto"/>
        <w:rPr>
          <w:rFonts w:eastAsia="Times New Roman"/>
          <w:sz w:val="18"/>
          <w:szCs w:val="18"/>
          <w:lang w:eastAsia="en-CA"/>
        </w:rPr>
      </w:pPr>
      <w:r w:rsidRPr="008137C5">
        <w:rPr>
          <w:rStyle w:val="FootnoteReference"/>
          <w:sz w:val="18"/>
          <w:szCs w:val="18"/>
        </w:rPr>
        <w:footnoteRef/>
      </w:r>
      <w:r w:rsidRPr="008137C5">
        <w:rPr>
          <w:sz w:val="18"/>
          <w:szCs w:val="18"/>
        </w:rPr>
        <w:t xml:space="preserve"> </w:t>
      </w:r>
      <w:r w:rsidRPr="008137C5">
        <w:rPr>
          <w:rFonts w:eastAsia="Times New Roman"/>
          <w:sz w:val="18"/>
          <w:szCs w:val="18"/>
          <w:lang w:eastAsia="en-CA"/>
        </w:rPr>
        <w:t xml:space="preserve">Haddad N, Li JS, McGuire M. HIV in Canada-Surveillance Report, 2017. Canada Communicable Disease Report. 2018;44(12):324–332. Available from: </w:t>
      </w:r>
      <w:hyperlink r:id="rId2" w:history="1">
        <w:r w:rsidRPr="00426F08">
          <w:rPr>
            <w:rStyle w:val="Hyperlink"/>
            <w:rFonts w:eastAsia="Times New Roman"/>
            <w:color w:val="E26F54"/>
            <w:sz w:val="18"/>
            <w:szCs w:val="18"/>
            <w:lang w:eastAsia="en-CA"/>
          </w:rPr>
          <w:t>https://www.canada.ca/en/public-health/services/reports-publications/canada-communicable-disease-report-ccdr/monthly-issue/2018-44/issue-12-december-6-2018/article-3-hiv-in-canada-2017.html</w:t>
        </w:r>
      </w:hyperlink>
      <w:r w:rsidRPr="00426F08">
        <w:rPr>
          <w:rFonts w:eastAsia="Times New Roman"/>
          <w:color w:val="E26F54"/>
          <w:sz w:val="18"/>
          <w:szCs w:val="18"/>
          <w:lang w:eastAsia="en-CA"/>
        </w:rPr>
        <w:t xml:space="preserve"> </w:t>
      </w:r>
    </w:p>
  </w:footnote>
  <w:footnote w:id="10">
    <w:p w14:paraId="6756E766" w14:textId="0DD63429" w:rsidR="00047A74" w:rsidRPr="00DF21A8" w:rsidRDefault="00047A74" w:rsidP="00047A74">
      <w:pPr>
        <w:spacing w:after="0" w:line="240" w:lineRule="auto"/>
        <w:rPr>
          <w:rFonts w:eastAsia="Times New Roman"/>
          <w:color w:val="E26F54"/>
          <w:sz w:val="18"/>
          <w:szCs w:val="18"/>
          <w:lang w:eastAsia="en-CA"/>
        </w:rPr>
      </w:pPr>
      <w:r w:rsidRPr="008137C5">
        <w:rPr>
          <w:rStyle w:val="FootnoteReference"/>
          <w:sz w:val="18"/>
          <w:szCs w:val="18"/>
        </w:rPr>
        <w:footnoteRef/>
      </w:r>
      <w:r w:rsidRPr="008137C5">
        <w:rPr>
          <w:sz w:val="18"/>
          <w:szCs w:val="18"/>
        </w:rPr>
        <w:t xml:space="preserve"> </w:t>
      </w:r>
      <w:hyperlink r:id="rId3" w:history="1">
        <w:r w:rsidRPr="00DF21A8">
          <w:rPr>
            <w:rStyle w:val="Hyperlink"/>
            <w:rFonts w:eastAsia="Times New Roman"/>
            <w:color w:val="E26F54"/>
            <w:sz w:val="18"/>
            <w:szCs w:val="18"/>
            <w:lang w:eastAsia="en-CA"/>
          </w:rPr>
          <w:t>https://www.canada.ca/en/health-canada/services/publications/diseases-conditions/update-sexually-transmitted-infections-canada-2016.html</w:t>
        </w:r>
      </w:hyperlink>
      <w:r w:rsidRPr="00DF21A8">
        <w:rPr>
          <w:rFonts w:eastAsia="Times New Roman"/>
          <w:color w:val="E26F54"/>
          <w:sz w:val="18"/>
          <w:szCs w:val="18"/>
          <w:lang w:eastAsia="en-CA"/>
        </w:rPr>
        <w:t>   </w:t>
      </w:r>
    </w:p>
  </w:footnote>
  <w:footnote w:id="11">
    <w:p w14:paraId="3F7493FB" w14:textId="19B0B8C9" w:rsidR="00CA34E8" w:rsidRPr="008137C5" w:rsidRDefault="00CA34E8" w:rsidP="00047A74">
      <w:pPr>
        <w:spacing w:after="0" w:line="240" w:lineRule="auto"/>
        <w:rPr>
          <w:rFonts w:eastAsia="Times New Roman"/>
          <w:sz w:val="18"/>
          <w:szCs w:val="18"/>
          <w:lang w:eastAsia="en-CA"/>
        </w:rPr>
      </w:pPr>
      <w:r w:rsidRPr="008137C5">
        <w:rPr>
          <w:rStyle w:val="FootnoteReference"/>
          <w:sz w:val="18"/>
          <w:szCs w:val="18"/>
        </w:rPr>
        <w:footnoteRef/>
      </w:r>
      <w:r w:rsidRPr="008137C5">
        <w:rPr>
          <w:sz w:val="18"/>
          <w:szCs w:val="18"/>
        </w:rPr>
        <w:t xml:space="preserve"> </w:t>
      </w:r>
      <w:hyperlink r:id="rId4" w:history="1">
        <w:r w:rsidRPr="00DF21A8">
          <w:rPr>
            <w:rStyle w:val="Hyperlink"/>
            <w:rFonts w:eastAsia="Times New Roman"/>
            <w:color w:val="E26F54"/>
            <w:sz w:val="18"/>
            <w:szCs w:val="18"/>
            <w:lang w:eastAsia="en-CA"/>
          </w:rPr>
          <w:t>https://www.catie.ca/en/hiv-canada/3/3-1/3-1-1</w:t>
        </w:r>
      </w:hyperlink>
      <w:r w:rsidRPr="00DF21A8">
        <w:rPr>
          <w:rFonts w:eastAsia="Times New Roman"/>
          <w:color w:val="E26F54"/>
          <w:sz w:val="18"/>
          <w:szCs w:val="18"/>
          <w:lang w:eastAsia="en-CA"/>
        </w:rPr>
        <w:t xml:space="preserve">  </w:t>
      </w:r>
      <w:r w:rsidRPr="008137C5">
        <w:rPr>
          <w:rFonts w:eastAsia="Times New Roman"/>
          <w:sz w:val="18"/>
          <w:szCs w:val="18"/>
          <w:lang w:eastAsia="en-CA"/>
        </w:rPr>
        <w:t> </w:t>
      </w:r>
    </w:p>
  </w:footnote>
  <w:footnote w:id="12">
    <w:p w14:paraId="1C592CD8" w14:textId="6C9A82B5" w:rsidR="00A07EE1" w:rsidRPr="008137C5" w:rsidRDefault="00A07EE1"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hyperlink r:id="rId5" w:history="1">
        <w:r w:rsidRPr="00DF21A8">
          <w:rPr>
            <w:rStyle w:val="Hyperlink"/>
            <w:rFonts w:ascii="Adobe Garamond Pro" w:hAnsi="Adobe Garamond Pro"/>
            <w:color w:val="E26F54"/>
            <w:sz w:val="18"/>
            <w:szCs w:val="18"/>
          </w:rPr>
          <w:t>https://globalnews.ca/news/4325268/ontario-sex-ed-curriculum/</w:t>
        </w:r>
      </w:hyperlink>
      <w:r w:rsidRPr="00DF21A8">
        <w:rPr>
          <w:rFonts w:ascii="Adobe Garamond Pro" w:hAnsi="Adobe Garamond Pro"/>
          <w:color w:val="E26F54"/>
          <w:sz w:val="18"/>
          <w:szCs w:val="18"/>
        </w:rPr>
        <w:t xml:space="preserve"> </w:t>
      </w:r>
    </w:p>
  </w:footnote>
  <w:footnote w:id="13">
    <w:p w14:paraId="720094B7" w14:textId="77777777" w:rsidR="00A07EE1" w:rsidRPr="008137C5" w:rsidRDefault="00A07EE1" w:rsidP="00047A74">
      <w:pPr>
        <w:spacing w:after="0" w:line="240" w:lineRule="auto"/>
        <w:ind w:left="284" w:hanging="284"/>
        <w:rPr>
          <w:sz w:val="18"/>
          <w:szCs w:val="18"/>
        </w:rPr>
      </w:pPr>
      <w:r w:rsidRPr="008137C5">
        <w:rPr>
          <w:rStyle w:val="FootnoteReference"/>
          <w:sz w:val="18"/>
          <w:szCs w:val="18"/>
        </w:rPr>
        <w:footnoteRef/>
      </w:r>
      <w:r w:rsidRPr="008137C5">
        <w:rPr>
          <w:sz w:val="18"/>
          <w:szCs w:val="18"/>
        </w:rPr>
        <w:t xml:space="preserve"> </w:t>
      </w:r>
      <w:proofErr w:type="spellStart"/>
      <w:r w:rsidRPr="008137C5">
        <w:rPr>
          <w:sz w:val="18"/>
          <w:szCs w:val="18"/>
        </w:rPr>
        <w:t>Rushowy</w:t>
      </w:r>
      <w:proofErr w:type="spellEnd"/>
      <w:r w:rsidRPr="008137C5">
        <w:rPr>
          <w:sz w:val="18"/>
          <w:szCs w:val="18"/>
        </w:rPr>
        <w:t xml:space="preserve">, Kristin. “Sex education in Ontario schools outdated, teachers say.” </w:t>
      </w:r>
      <w:r w:rsidRPr="008137C5">
        <w:rPr>
          <w:i/>
          <w:sz w:val="18"/>
          <w:szCs w:val="18"/>
        </w:rPr>
        <w:t>The Toronto Star</w:t>
      </w:r>
      <w:r w:rsidRPr="008137C5">
        <w:rPr>
          <w:sz w:val="18"/>
          <w:szCs w:val="18"/>
        </w:rPr>
        <w:t xml:space="preserve">, </w:t>
      </w:r>
      <w:r w:rsidRPr="008137C5">
        <w:rPr>
          <w:rStyle w:val="published-date"/>
          <w:sz w:val="18"/>
          <w:szCs w:val="18"/>
        </w:rPr>
        <w:t>October 10, 2013.</w:t>
      </w:r>
    </w:p>
  </w:footnote>
  <w:footnote w:id="14">
    <w:p w14:paraId="33F52FEA" w14:textId="1BC1F0BC" w:rsidR="00A07EE1" w:rsidRPr="00DF21A8" w:rsidRDefault="00A07EE1" w:rsidP="00047A74">
      <w:pPr>
        <w:pStyle w:val="FootnoteText"/>
        <w:rPr>
          <w:rFonts w:ascii="Adobe Garamond Pro" w:hAnsi="Adobe Garamond Pro"/>
          <w:color w:val="E26F54"/>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hyperlink r:id="rId6" w:history="1">
        <w:r w:rsidRPr="00DF21A8">
          <w:rPr>
            <w:rStyle w:val="Hyperlink"/>
            <w:rFonts w:ascii="Adobe Garamond Pro" w:hAnsi="Adobe Garamond Pro"/>
            <w:color w:val="E26F54"/>
            <w:sz w:val="18"/>
            <w:szCs w:val="18"/>
          </w:rPr>
          <w:t>https://www.actioncanadashr.org/action-canada-calls-on-un-to-intervene-in-ontario-sex-ed-crisis/</w:t>
        </w:r>
      </w:hyperlink>
    </w:p>
  </w:footnote>
  <w:footnote w:id="15">
    <w:p w14:paraId="3E5B647D" w14:textId="4C49FF29"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hyperlink r:id="rId7" w:history="1">
        <w:r w:rsidRPr="00DF21A8">
          <w:rPr>
            <w:rStyle w:val="Hyperlink"/>
            <w:rFonts w:ascii="Adobe Garamond Pro" w:hAnsi="Adobe Garamond Pro"/>
            <w:color w:val="E26F54"/>
            <w:sz w:val="18"/>
            <w:szCs w:val="18"/>
          </w:rPr>
          <w:t>https://www.ohchr.org/Documents/Issues/Women/WG/Communications/OL_CAN_20_12_2018.pdf</w:t>
        </w:r>
      </w:hyperlink>
      <w:r w:rsidRPr="00DF21A8">
        <w:rPr>
          <w:rFonts w:ascii="Adobe Garamond Pro" w:hAnsi="Adobe Garamond Pro"/>
          <w:color w:val="E26F54"/>
          <w:sz w:val="18"/>
          <w:szCs w:val="18"/>
        </w:rPr>
        <w:t xml:space="preserve"> </w:t>
      </w:r>
    </w:p>
  </w:footnote>
  <w:footnote w:id="16">
    <w:p w14:paraId="6285B6E3" w14:textId="7C934D8E"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Read Action Canada’s </w:t>
      </w:r>
      <w:r w:rsidR="000366DF" w:rsidRPr="008137C5">
        <w:rPr>
          <w:rFonts w:ascii="Adobe Garamond Pro" w:hAnsi="Adobe Garamond Pro"/>
          <w:sz w:val="18"/>
          <w:szCs w:val="18"/>
        </w:rPr>
        <w:t>response</w:t>
      </w:r>
      <w:r w:rsidRPr="008137C5">
        <w:rPr>
          <w:rFonts w:ascii="Adobe Garamond Pro" w:hAnsi="Adobe Garamond Pro"/>
          <w:sz w:val="18"/>
          <w:szCs w:val="18"/>
        </w:rPr>
        <w:t xml:space="preserve"> to Canada’s respond to the Communication from UN Special Procedures: </w:t>
      </w:r>
      <w:hyperlink r:id="rId8" w:history="1">
        <w:r w:rsidRPr="00DF21A8">
          <w:rPr>
            <w:rStyle w:val="Hyperlink"/>
            <w:rFonts w:ascii="Adobe Garamond Pro" w:hAnsi="Adobe Garamond Pro"/>
            <w:color w:val="E26F54"/>
            <w:sz w:val="18"/>
            <w:szCs w:val="18"/>
          </w:rPr>
          <w:t>https://www.actioncanadashr.org/sites/default/files/2019-06/AC%20response%20to%20UN%20SP%20comms%20to%20CAN%20re%20CSE%20in%20ON_Final.pdf</w:t>
        </w:r>
      </w:hyperlink>
      <w:r w:rsidRPr="00DF21A8">
        <w:rPr>
          <w:rFonts w:ascii="Adobe Garamond Pro" w:hAnsi="Adobe Garamond Pro"/>
          <w:color w:val="E26F54"/>
          <w:sz w:val="18"/>
          <w:szCs w:val="18"/>
        </w:rPr>
        <w:t xml:space="preserve"> </w:t>
      </w:r>
    </w:p>
  </w:footnote>
  <w:footnote w:id="17">
    <w:p w14:paraId="53C1C4E4" w14:textId="77777777" w:rsidR="00A07EE1" w:rsidRPr="008137C5" w:rsidRDefault="00A07EE1" w:rsidP="00047A74">
      <w:pPr>
        <w:spacing w:after="0" w:line="240" w:lineRule="auto"/>
        <w:ind w:left="284" w:hanging="284"/>
        <w:rPr>
          <w:sz w:val="18"/>
          <w:szCs w:val="18"/>
        </w:rPr>
      </w:pPr>
      <w:r w:rsidRPr="008137C5">
        <w:rPr>
          <w:rStyle w:val="FootnoteReference"/>
          <w:sz w:val="18"/>
          <w:szCs w:val="18"/>
        </w:rPr>
        <w:footnoteRef/>
      </w:r>
      <w:r w:rsidRPr="008137C5">
        <w:rPr>
          <w:sz w:val="18"/>
          <w:szCs w:val="18"/>
        </w:rPr>
        <w:t xml:space="preserve"> “Teen, mother launch complaint against abstinence-based sex ed.” CBC News, July 10, 2014. </w:t>
      </w:r>
    </w:p>
  </w:footnote>
  <w:footnote w:id="18">
    <w:p w14:paraId="03BEC829" w14:textId="3A13425D" w:rsidR="00A07EE1" w:rsidRPr="008137C5" w:rsidRDefault="00A07EE1"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Guttmacher Institute “</w:t>
      </w:r>
      <w:r w:rsidR="000366DF" w:rsidRPr="008137C5">
        <w:rPr>
          <w:rFonts w:ascii="Adobe Garamond Pro" w:hAnsi="Adobe Garamond Pro"/>
          <w:sz w:val="18"/>
          <w:szCs w:val="18"/>
        </w:rPr>
        <w:t>Consequences</w:t>
      </w:r>
      <w:r w:rsidRPr="008137C5">
        <w:rPr>
          <w:rFonts w:ascii="Adobe Garamond Pro" w:hAnsi="Adobe Garamond Pro"/>
          <w:sz w:val="18"/>
          <w:szCs w:val="18"/>
        </w:rPr>
        <w:t xml:space="preserve"> of Sex Education on Teen and Young Adult Sexual Behaviors and Outcomes.” (2012). </w:t>
      </w:r>
      <w:hyperlink r:id="rId9" w:history="1">
        <w:r w:rsidRPr="00DF21A8">
          <w:rPr>
            <w:rStyle w:val="Hyperlink"/>
            <w:rFonts w:ascii="Adobe Garamond Pro" w:hAnsi="Adobe Garamond Pro"/>
            <w:color w:val="E26F54"/>
            <w:sz w:val="18"/>
            <w:szCs w:val="18"/>
          </w:rPr>
          <w:t>https://www.guttmacher.org/pubs/journals/j.jadohealth.2011.12.028.pdf</w:t>
        </w:r>
      </w:hyperlink>
      <w:r w:rsidRPr="00DF21A8">
        <w:rPr>
          <w:rFonts w:ascii="Adobe Garamond Pro" w:hAnsi="Adobe Garamond Pro"/>
          <w:color w:val="E26F54"/>
          <w:sz w:val="18"/>
          <w:szCs w:val="18"/>
        </w:rPr>
        <w:t xml:space="preserve"> </w:t>
      </w:r>
      <w:r w:rsidRPr="008137C5">
        <w:rPr>
          <w:rFonts w:ascii="Adobe Garamond Pro" w:hAnsi="Adobe Garamond Pro"/>
          <w:sz w:val="18"/>
          <w:szCs w:val="18"/>
        </w:rPr>
        <w:t xml:space="preserve">and Advocates for Youth. “Abstinence-Only-Until-Marriage Programs: Ineffective, Unethical, and Poor Public Health.” (2007) </w:t>
      </w:r>
      <w:hyperlink r:id="rId10" w:history="1">
        <w:r w:rsidRPr="00DF21A8">
          <w:rPr>
            <w:rStyle w:val="Hyperlink"/>
            <w:rFonts w:ascii="Adobe Garamond Pro" w:hAnsi="Adobe Garamond Pro"/>
            <w:color w:val="E26F54"/>
            <w:sz w:val="18"/>
            <w:szCs w:val="18"/>
          </w:rPr>
          <w:t>http://www.advocatesforyouth.org/publications/publications-a-z/597-abstinence-only-until-marriage-programs-ineffective-unethical-and-poor-public-health</w:t>
        </w:r>
      </w:hyperlink>
      <w:r w:rsidRPr="00DF21A8">
        <w:rPr>
          <w:rFonts w:ascii="Adobe Garamond Pro" w:hAnsi="Adobe Garamond Pro"/>
          <w:color w:val="E26F54"/>
          <w:sz w:val="18"/>
          <w:szCs w:val="18"/>
        </w:rPr>
        <w:t xml:space="preserve"> </w:t>
      </w:r>
    </w:p>
  </w:footnote>
  <w:footnote w:id="19">
    <w:p w14:paraId="24D6AF8E" w14:textId="5B506C03"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008F7A92" w:rsidRPr="008137C5">
        <w:rPr>
          <w:rFonts w:ascii="Adobe Garamond Pro" w:hAnsi="Adobe Garamond Pro"/>
          <w:sz w:val="18"/>
          <w:szCs w:val="18"/>
        </w:rPr>
        <w:t>CEDAW</w:t>
      </w:r>
      <w:r w:rsidRPr="008137C5">
        <w:rPr>
          <w:rFonts w:ascii="Adobe Garamond Pro" w:hAnsi="Adobe Garamond Pro"/>
          <w:sz w:val="18"/>
          <w:szCs w:val="18"/>
        </w:rPr>
        <w:t>. General Recommendation 24 on women and health. (1999).</w:t>
      </w:r>
    </w:p>
  </w:footnote>
  <w:footnote w:id="20">
    <w:p w14:paraId="74016F20" w14:textId="39CD2361"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CEDAW CEDAW/C/SVK/CO/4, 2009, and CEDAW General Recommendation 24. 1999. </w:t>
      </w:r>
    </w:p>
  </w:footnote>
  <w:footnote w:id="21">
    <w:p w14:paraId="37F476FD" w14:textId="32FB5A76"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CEDAW. 57</w:t>
      </w:r>
      <w:r w:rsidRPr="008137C5">
        <w:rPr>
          <w:rFonts w:ascii="Adobe Garamond Pro" w:hAnsi="Adobe Garamond Pro"/>
          <w:sz w:val="18"/>
          <w:szCs w:val="18"/>
          <w:vertAlign w:val="superscript"/>
        </w:rPr>
        <w:t>th</w:t>
      </w:r>
      <w:r w:rsidRPr="008137C5">
        <w:rPr>
          <w:rFonts w:ascii="Adobe Garamond Pro" w:hAnsi="Adobe Garamond Pro"/>
          <w:sz w:val="18"/>
          <w:szCs w:val="18"/>
        </w:rPr>
        <w:t xml:space="preserve"> session. Statement against women on sexual and reproductive health and rights: Beyond 2014 ICPD review. 2014. </w:t>
      </w:r>
      <w:hyperlink r:id="rId11" w:history="1">
        <w:r w:rsidRPr="00F420B6">
          <w:rPr>
            <w:rStyle w:val="Hyperlink"/>
            <w:rFonts w:ascii="Adobe Garamond Pro" w:hAnsi="Adobe Garamond Pro"/>
            <w:color w:val="E26F54"/>
            <w:sz w:val="18"/>
            <w:szCs w:val="18"/>
          </w:rPr>
          <w:t>http://www.ohchr.org/Documents/HRBodies/CEDAW/Statements/SRHR26Feb2014.pdf</w:t>
        </w:r>
      </w:hyperlink>
    </w:p>
  </w:footnote>
  <w:footnote w:id="22">
    <w:p w14:paraId="7E133C57" w14:textId="0FE5B458"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CEDAW</w:t>
      </w:r>
      <w:r w:rsidR="000366DF" w:rsidRPr="008137C5">
        <w:rPr>
          <w:rFonts w:ascii="Adobe Garamond Pro" w:hAnsi="Adobe Garamond Pro"/>
          <w:sz w:val="18"/>
          <w:szCs w:val="18"/>
        </w:rPr>
        <w:t>,</w:t>
      </w:r>
      <w:r w:rsidRPr="008137C5">
        <w:rPr>
          <w:rFonts w:ascii="Adobe Garamond Pro" w:hAnsi="Adobe Garamond Pro"/>
          <w:sz w:val="18"/>
          <w:szCs w:val="18"/>
        </w:rPr>
        <w:t xml:space="preserve"> CEDAW/C/AUT/CO/7-8, 2013. </w:t>
      </w:r>
    </w:p>
  </w:footnote>
  <w:footnote w:id="23">
    <w:p w14:paraId="5F808D81" w14:textId="37EF9F00"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CEDAW, CEDAW/C/MEX/CO/7-8, 2012.</w:t>
      </w:r>
    </w:p>
  </w:footnote>
  <w:footnote w:id="24">
    <w:p w14:paraId="754CE262" w14:textId="77777777" w:rsidR="00A07EE1" w:rsidRPr="008137C5" w:rsidRDefault="00A07EE1" w:rsidP="00047A74">
      <w:pPr>
        <w:spacing w:after="0" w:line="240" w:lineRule="auto"/>
        <w:rPr>
          <w:sz w:val="18"/>
          <w:szCs w:val="18"/>
          <w:lang w:val="en-US"/>
        </w:rPr>
      </w:pPr>
      <w:r w:rsidRPr="008137C5">
        <w:rPr>
          <w:rStyle w:val="FootnoteReference"/>
          <w:sz w:val="18"/>
          <w:szCs w:val="18"/>
        </w:rPr>
        <w:footnoteRef/>
      </w:r>
      <w:r w:rsidRPr="008137C5">
        <w:rPr>
          <w:sz w:val="18"/>
          <w:szCs w:val="18"/>
        </w:rPr>
        <w:t xml:space="preserve"> Shaw, Jessica (2006). </w:t>
      </w:r>
      <w:r w:rsidRPr="008137C5">
        <w:rPr>
          <w:i/>
          <w:sz w:val="18"/>
          <w:szCs w:val="18"/>
        </w:rPr>
        <w:t xml:space="preserve">Reality Check: A Close Look </w:t>
      </w:r>
      <w:proofErr w:type="gramStart"/>
      <w:r w:rsidRPr="008137C5">
        <w:rPr>
          <w:i/>
          <w:sz w:val="18"/>
          <w:szCs w:val="18"/>
        </w:rPr>
        <w:t>At</w:t>
      </w:r>
      <w:proofErr w:type="gramEnd"/>
      <w:r w:rsidRPr="008137C5">
        <w:rPr>
          <w:i/>
          <w:sz w:val="18"/>
          <w:szCs w:val="18"/>
        </w:rPr>
        <w:t xml:space="preserve"> Accessing Hospital Abortion Services In Canada</w:t>
      </w:r>
      <w:r w:rsidRPr="008137C5">
        <w:rPr>
          <w:sz w:val="18"/>
          <w:szCs w:val="18"/>
        </w:rPr>
        <w:t xml:space="preserve">. Ottawa: Canadians for Choice. [This qualitative study has not been updated thus this data has not been validated since 2006 –but to our knowledge, </w:t>
      </w:r>
      <w:proofErr w:type="gramStart"/>
      <w:r w:rsidRPr="008137C5">
        <w:rPr>
          <w:sz w:val="18"/>
          <w:szCs w:val="18"/>
        </w:rPr>
        <w:t>a number of</w:t>
      </w:r>
      <w:proofErr w:type="gramEnd"/>
      <w:r w:rsidRPr="008137C5">
        <w:rPr>
          <w:sz w:val="18"/>
          <w:szCs w:val="18"/>
        </w:rPr>
        <w:t xml:space="preserve"> hospitals have ceased offering abortion services since that time, and as a result we would expect the current picture to reflect an even more significant disparity.]</w:t>
      </w:r>
    </w:p>
  </w:footnote>
  <w:footnote w:id="25">
    <w:p w14:paraId="6D6BF818" w14:textId="6584BE17" w:rsidR="00A07EE1" w:rsidRPr="00F420B6" w:rsidRDefault="00A07EE1" w:rsidP="00047A74">
      <w:pPr>
        <w:pStyle w:val="FootnoteText"/>
        <w:rPr>
          <w:rFonts w:ascii="Adobe Garamond Pro" w:hAnsi="Adobe Garamond Pro"/>
          <w:color w:val="E26F54"/>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Pr="008137C5">
        <w:rPr>
          <w:rFonts w:ascii="Adobe Garamond Pro" w:hAnsi="Adobe Garamond Pro"/>
          <w:sz w:val="18"/>
          <w:szCs w:val="18"/>
          <w:lang w:val="en-CA"/>
        </w:rPr>
        <w:t xml:space="preserve">Action Canada for Sexual Health and Rights. 2019. Access at a Glance. </w:t>
      </w:r>
      <w:hyperlink r:id="rId12" w:history="1">
        <w:r w:rsidRPr="00F420B6">
          <w:rPr>
            <w:rStyle w:val="Hyperlink"/>
            <w:rFonts w:ascii="Adobe Garamond Pro" w:hAnsi="Adobe Garamond Pro"/>
            <w:color w:val="E26F54"/>
            <w:sz w:val="18"/>
            <w:szCs w:val="18"/>
          </w:rPr>
          <w:t>https://www.actioncanadashr.org/news/2019-09-19-2019-launch-access-glance-identifies-realities-abortion-access-canada</w:t>
        </w:r>
      </w:hyperlink>
      <w:r w:rsidRPr="00F420B6">
        <w:rPr>
          <w:rFonts w:ascii="Adobe Garamond Pro" w:hAnsi="Adobe Garamond Pro"/>
          <w:color w:val="E26F54"/>
          <w:sz w:val="18"/>
          <w:szCs w:val="18"/>
        </w:rPr>
        <w:t xml:space="preserve"> </w:t>
      </w:r>
    </w:p>
  </w:footnote>
  <w:footnote w:id="26">
    <w:p w14:paraId="2195CB4E" w14:textId="6DCE69E4"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The Guardian. “Women turning to desperate measures due to lack of abortion services.” November 2011. </w:t>
      </w:r>
      <w:hyperlink r:id="rId13" w:history="1">
        <w:r w:rsidRPr="00F420B6">
          <w:rPr>
            <w:rStyle w:val="Hyperlink"/>
            <w:rFonts w:ascii="Adobe Garamond Pro" w:hAnsi="Adobe Garamond Pro"/>
            <w:color w:val="E26F54"/>
            <w:sz w:val="18"/>
            <w:szCs w:val="18"/>
          </w:rPr>
          <w:t>http://www.theguardian.pe.ca/News/Local/2011-11-10/article-2802198/Women-turning-to-desperate-measures-due-to-lack-of-abortion-services/1</w:t>
        </w:r>
      </w:hyperlink>
      <w:r w:rsidRPr="00F420B6">
        <w:rPr>
          <w:rFonts w:ascii="Adobe Garamond Pro" w:hAnsi="Adobe Garamond Pro"/>
          <w:color w:val="E26F54"/>
          <w:sz w:val="18"/>
          <w:szCs w:val="18"/>
        </w:rPr>
        <w:t xml:space="preserve"> </w:t>
      </w:r>
      <w:r w:rsidRPr="008137C5">
        <w:rPr>
          <w:rFonts w:ascii="Adobe Garamond Pro" w:hAnsi="Adobe Garamond Pro"/>
          <w:sz w:val="18"/>
          <w:szCs w:val="18"/>
        </w:rPr>
        <w:t xml:space="preserve">and </w:t>
      </w:r>
      <w:hyperlink r:id="rId14" w:history="1">
        <w:r w:rsidRPr="00F420B6">
          <w:rPr>
            <w:rStyle w:val="Hyperlink"/>
            <w:rFonts w:ascii="Adobe Garamond Pro" w:hAnsi="Adobe Garamond Pro"/>
            <w:color w:val="E26F54"/>
            <w:sz w:val="18"/>
            <w:szCs w:val="18"/>
          </w:rPr>
          <w:t>http://projects.upei.ca/cmacquarrie/files/2014/01/trials_and_trails_final.pdf</w:t>
        </w:r>
      </w:hyperlink>
      <w:r w:rsidRPr="00F420B6">
        <w:rPr>
          <w:rFonts w:ascii="Adobe Garamond Pro" w:hAnsi="Adobe Garamond Pro"/>
          <w:color w:val="E26F54"/>
          <w:sz w:val="18"/>
          <w:szCs w:val="18"/>
        </w:rPr>
        <w:t xml:space="preserve"> </w:t>
      </w:r>
    </w:p>
  </w:footnote>
  <w:footnote w:id="27">
    <w:p w14:paraId="0C6AA930" w14:textId="161B356D" w:rsidR="00A07EE1" w:rsidRPr="00F420B6" w:rsidRDefault="00A07EE1" w:rsidP="00047A74">
      <w:pPr>
        <w:pStyle w:val="FootnoteText"/>
        <w:rPr>
          <w:rFonts w:ascii="Adobe Garamond Pro" w:hAnsi="Adobe Garamond Pro"/>
          <w:color w:val="E26F54"/>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Action Canada for Sexual Health and Rights. Mapping Abortion Access in Canada. 2015</w:t>
      </w:r>
      <w:r w:rsidRPr="00F420B6">
        <w:rPr>
          <w:rFonts w:ascii="Adobe Garamond Pro" w:hAnsi="Adobe Garamond Pro"/>
          <w:color w:val="E26F54"/>
          <w:sz w:val="18"/>
          <w:szCs w:val="18"/>
        </w:rPr>
        <w:t xml:space="preserve">. </w:t>
      </w:r>
      <w:hyperlink r:id="rId15" w:history="1">
        <w:r w:rsidRPr="00F420B6">
          <w:rPr>
            <w:rStyle w:val="Hyperlink"/>
            <w:rFonts w:ascii="Adobe Garamond Pro" w:hAnsi="Adobe Garamond Pro"/>
            <w:color w:val="E26F54"/>
            <w:sz w:val="18"/>
            <w:szCs w:val="18"/>
          </w:rPr>
          <w:t>http://www.sexualhealthandrights.ca/wp-content/uploads/2015/10/Map-Access-CHC-and-AC.pdf</w:t>
        </w:r>
      </w:hyperlink>
      <w:r w:rsidRPr="00F420B6">
        <w:rPr>
          <w:rFonts w:ascii="Adobe Garamond Pro" w:hAnsi="Adobe Garamond Pro"/>
          <w:color w:val="E26F54"/>
          <w:sz w:val="18"/>
          <w:szCs w:val="18"/>
        </w:rPr>
        <w:t xml:space="preserve"> </w:t>
      </w:r>
    </w:p>
  </w:footnote>
  <w:footnote w:id="28">
    <w:p w14:paraId="34951164" w14:textId="46EE1849" w:rsidR="00DB182C" w:rsidRPr="00F420B6" w:rsidRDefault="00DB182C" w:rsidP="00047A74">
      <w:pPr>
        <w:autoSpaceDE w:val="0"/>
        <w:autoSpaceDN w:val="0"/>
        <w:adjustRightInd w:val="0"/>
        <w:spacing w:after="0" w:line="240" w:lineRule="auto"/>
        <w:rPr>
          <w:color w:val="E26F54"/>
          <w:sz w:val="18"/>
          <w:szCs w:val="18"/>
        </w:rPr>
      </w:pPr>
      <w:r w:rsidRPr="008137C5">
        <w:rPr>
          <w:rStyle w:val="FootnoteReference"/>
          <w:sz w:val="18"/>
          <w:szCs w:val="18"/>
        </w:rPr>
        <w:footnoteRef/>
      </w:r>
      <w:r w:rsidRPr="008137C5">
        <w:rPr>
          <w:sz w:val="18"/>
          <w:szCs w:val="18"/>
        </w:rPr>
        <w:t xml:space="preserve"> </w:t>
      </w:r>
      <w:r w:rsidR="00DF0ECB" w:rsidRPr="008137C5">
        <w:rPr>
          <w:color w:val="000000"/>
          <w:sz w:val="18"/>
          <w:szCs w:val="18"/>
        </w:rPr>
        <w:t xml:space="preserve">If any of province or territory fails to meet any one of the criteria set out in section 13 of the </w:t>
      </w:r>
      <w:r w:rsidR="00DF0ECB" w:rsidRPr="008137C5">
        <w:rPr>
          <w:i/>
          <w:color w:val="000000"/>
          <w:sz w:val="18"/>
          <w:szCs w:val="18"/>
        </w:rPr>
        <w:t>Act</w:t>
      </w:r>
      <w:r w:rsidR="00DF0ECB" w:rsidRPr="008137C5">
        <w:rPr>
          <w:color w:val="000000"/>
          <w:sz w:val="18"/>
          <w:szCs w:val="18"/>
        </w:rPr>
        <w:t>, or if the province allows extra billing by medical practitioners or permits user charges for insured health services (which abortion is considered to be), the province will face as the penalty a reduction or withholding of the cash contribution. The Act requires provinces and territories to provide universal coverage for all insured persons for all medically necessary hospital and physician services, without co-payments</w:t>
      </w:r>
      <w:r w:rsidR="00FA42A5" w:rsidRPr="008137C5">
        <w:rPr>
          <w:color w:val="000000"/>
          <w:sz w:val="18"/>
          <w:szCs w:val="18"/>
        </w:rPr>
        <w:t>.</w:t>
      </w:r>
      <w:r w:rsidR="00DF0ECB" w:rsidRPr="008137C5">
        <w:rPr>
          <w:color w:val="000000"/>
          <w:sz w:val="18"/>
          <w:szCs w:val="18"/>
        </w:rPr>
        <w:t xml:space="preserve"> </w:t>
      </w:r>
      <w:r w:rsidR="00DF0ECB" w:rsidRPr="008137C5">
        <w:rPr>
          <w:color w:val="auto"/>
          <w:sz w:val="18"/>
          <w:szCs w:val="18"/>
        </w:rPr>
        <w:t xml:space="preserve">In other words, making women pay for a service deemed to be medically necessary under the Canada Health Act is a violation of the Act. </w:t>
      </w:r>
      <w:r w:rsidR="00335D5C" w:rsidRPr="008137C5">
        <w:rPr>
          <w:color w:val="000000"/>
          <w:sz w:val="18"/>
          <w:szCs w:val="18"/>
          <w:lang w:val="en-US"/>
        </w:rPr>
        <w:t xml:space="preserve">Canada Health Act (R.S., 1985, c. C-6), online </w:t>
      </w:r>
      <w:hyperlink r:id="rId16" w:history="1">
        <w:r w:rsidR="00335D5C" w:rsidRPr="00F420B6">
          <w:rPr>
            <w:rStyle w:val="Hyperlink"/>
            <w:color w:val="E26F54"/>
            <w:sz w:val="18"/>
            <w:szCs w:val="18"/>
            <w:lang w:val="en-US"/>
          </w:rPr>
          <w:t>http://laws.justice.gc.ca/en/showdoc/cs/C-6/boga:3::bo-ga:s_4?page=3</w:t>
        </w:r>
      </w:hyperlink>
      <w:r w:rsidR="00F87C32" w:rsidRPr="00F420B6">
        <w:rPr>
          <w:color w:val="E26F54"/>
          <w:sz w:val="18"/>
          <w:szCs w:val="18"/>
          <w:lang w:val="en-US"/>
        </w:rPr>
        <w:t xml:space="preserve">. </w:t>
      </w:r>
      <w:r w:rsidR="00335D5C" w:rsidRPr="00F420B6">
        <w:rPr>
          <w:color w:val="E26F54"/>
          <w:sz w:val="18"/>
          <w:szCs w:val="18"/>
          <w:lang w:val="en-US"/>
        </w:rPr>
        <w:t xml:space="preserve"> </w:t>
      </w:r>
    </w:p>
  </w:footnote>
  <w:footnote w:id="29">
    <w:p w14:paraId="31C27BB1" w14:textId="77777777" w:rsidR="00A07EE1" w:rsidRPr="00F420B6" w:rsidRDefault="00A07EE1" w:rsidP="00047A74">
      <w:pPr>
        <w:pStyle w:val="FootnoteText"/>
        <w:rPr>
          <w:rFonts w:ascii="Adobe Garamond Pro" w:hAnsi="Adobe Garamond Pro"/>
          <w:color w:val="E26F54"/>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Allen, Tess. October </w:t>
      </w:r>
      <w:proofErr w:type="gramStart"/>
      <w:r w:rsidRPr="008137C5">
        <w:rPr>
          <w:rFonts w:ascii="Adobe Garamond Pro" w:hAnsi="Adobe Garamond Pro"/>
          <w:sz w:val="18"/>
          <w:szCs w:val="18"/>
        </w:rPr>
        <w:t>20</w:t>
      </w:r>
      <w:proofErr w:type="gramEnd"/>
      <w:r w:rsidRPr="008137C5">
        <w:rPr>
          <w:rFonts w:ascii="Adobe Garamond Pro" w:hAnsi="Adobe Garamond Pro"/>
          <w:sz w:val="18"/>
          <w:szCs w:val="18"/>
        </w:rPr>
        <w:t xml:space="preserve"> 2014. ‘Lacking access to abortion access, New Brunswick women head to Main abortion clinics.’ </w:t>
      </w:r>
      <w:hyperlink r:id="rId17" w:history="1">
        <w:r w:rsidRPr="00F420B6">
          <w:rPr>
            <w:rStyle w:val="Hyperlink"/>
            <w:rFonts w:ascii="Adobe Garamond Pro" w:hAnsi="Adobe Garamond Pro"/>
            <w:color w:val="E26F54"/>
            <w:sz w:val="18"/>
            <w:szCs w:val="18"/>
          </w:rPr>
          <w:t>http://rabble.ca/news/2014/10/lacking-abortion-access-new-brunswick-women-head-maine-abortion-clinics</w:t>
        </w:r>
      </w:hyperlink>
      <w:r w:rsidRPr="008137C5">
        <w:rPr>
          <w:rFonts w:ascii="Adobe Garamond Pro" w:hAnsi="Adobe Garamond Pro"/>
          <w:sz w:val="18"/>
          <w:szCs w:val="18"/>
        </w:rPr>
        <w:t xml:space="preserve"> and </w:t>
      </w:r>
      <w:hyperlink r:id="rId18" w:history="1">
        <w:r w:rsidRPr="00F420B6">
          <w:rPr>
            <w:rStyle w:val="Hyperlink"/>
            <w:rFonts w:ascii="Adobe Garamond Pro" w:hAnsi="Adobe Garamond Pro"/>
            <w:color w:val="E26F54"/>
            <w:sz w:val="18"/>
            <w:szCs w:val="18"/>
          </w:rPr>
          <w:t>http://rabble.ca/columnists/2014/05/new-brunswick-invites-return-unsafe-abortions</w:t>
        </w:r>
      </w:hyperlink>
      <w:r w:rsidRPr="00F420B6">
        <w:rPr>
          <w:rFonts w:ascii="Adobe Garamond Pro" w:hAnsi="Adobe Garamond Pro"/>
          <w:color w:val="E26F54"/>
          <w:sz w:val="18"/>
          <w:szCs w:val="18"/>
        </w:rPr>
        <w:t xml:space="preserve"> </w:t>
      </w:r>
    </w:p>
  </w:footnote>
  <w:footnote w:id="30">
    <w:p w14:paraId="4C6AE454" w14:textId="77777777" w:rsidR="00A07EE1" w:rsidRPr="008137C5" w:rsidRDefault="00A07EE1" w:rsidP="00047A74">
      <w:pPr>
        <w:pStyle w:val="FootnoteText"/>
        <w:rPr>
          <w:rFonts w:ascii="Adobe Garamond Pro" w:hAnsi="Adobe Garamond Pro"/>
          <w:color w:val="E26F54"/>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hyperlink r:id="rId19" w:history="1">
        <w:r w:rsidRPr="008137C5">
          <w:rPr>
            <w:rStyle w:val="Hyperlink"/>
            <w:rFonts w:ascii="Adobe Garamond Pro" w:hAnsi="Adobe Garamond Pro"/>
            <w:color w:val="E26F54"/>
            <w:sz w:val="18"/>
            <w:szCs w:val="18"/>
          </w:rPr>
          <w:t>http://www.arcc-cdac.ca/CPC-study/CPC-Website-Study-ARCC-2016.pdf</w:t>
        </w:r>
      </w:hyperlink>
      <w:r w:rsidRPr="008137C5">
        <w:rPr>
          <w:rFonts w:ascii="Adobe Garamond Pro" w:hAnsi="Adobe Garamond Pro"/>
          <w:sz w:val="18"/>
          <w:szCs w:val="18"/>
        </w:rPr>
        <w:t xml:space="preserve"> </w:t>
      </w:r>
    </w:p>
  </w:footnote>
  <w:footnote w:id="31">
    <w:p w14:paraId="41613B69" w14:textId="77777777"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hyperlink r:id="rId20" w:history="1">
        <w:r w:rsidRPr="008137C5">
          <w:rPr>
            <w:rStyle w:val="Hyperlink"/>
            <w:rFonts w:ascii="Adobe Garamond Pro" w:hAnsi="Adobe Garamond Pro"/>
            <w:color w:val="E26F54"/>
            <w:sz w:val="18"/>
            <w:szCs w:val="18"/>
          </w:rPr>
          <w:t>http://www.arcc-cdac.ca/CPC-study/list-anti-choice-groups.pdf</w:t>
        </w:r>
      </w:hyperlink>
      <w:r w:rsidRPr="008137C5">
        <w:rPr>
          <w:rFonts w:ascii="Adobe Garamond Pro" w:hAnsi="Adobe Garamond Pro"/>
          <w:sz w:val="18"/>
          <w:szCs w:val="18"/>
        </w:rPr>
        <w:t xml:space="preserve"> and </w:t>
      </w:r>
      <w:hyperlink r:id="rId21" w:history="1">
        <w:r w:rsidRPr="008137C5">
          <w:rPr>
            <w:rStyle w:val="Hyperlink"/>
            <w:rFonts w:ascii="Adobe Garamond Pro" w:hAnsi="Adobe Garamond Pro"/>
            <w:color w:val="E26F54"/>
            <w:sz w:val="18"/>
            <w:szCs w:val="18"/>
          </w:rPr>
          <w:t>http://www.arcc-cdac.ca/CPC-study/CPC-Website-Study-ARCC-2016.pdf</w:t>
        </w:r>
      </w:hyperlink>
      <w:r w:rsidRPr="008137C5">
        <w:rPr>
          <w:rFonts w:ascii="Adobe Garamond Pro" w:hAnsi="Adobe Garamond Pro"/>
          <w:color w:val="E26F54"/>
          <w:sz w:val="18"/>
          <w:szCs w:val="18"/>
        </w:rPr>
        <w:t xml:space="preserve"> </w:t>
      </w:r>
    </w:p>
  </w:footnote>
  <w:footnote w:id="32">
    <w:p w14:paraId="4A310210" w14:textId="77777777"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hyperlink r:id="rId22" w:history="1">
        <w:r w:rsidRPr="008137C5">
          <w:rPr>
            <w:rStyle w:val="Hyperlink"/>
            <w:rFonts w:ascii="Adobe Garamond Pro" w:hAnsi="Adobe Garamond Pro"/>
            <w:color w:val="E26F54"/>
            <w:sz w:val="18"/>
            <w:szCs w:val="18"/>
          </w:rPr>
          <w:t>https://www.ncbi.nlm.nih.gov/pubmed/22958665</w:t>
        </w:r>
      </w:hyperlink>
      <w:r w:rsidRPr="008137C5">
        <w:rPr>
          <w:rStyle w:val="Hyperlink"/>
          <w:rFonts w:ascii="Adobe Garamond Pro" w:hAnsi="Adobe Garamond Pro"/>
          <w:color w:val="E26F54"/>
          <w:sz w:val="18"/>
          <w:szCs w:val="18"/>
        </w:rPr>
        <w:t xml:space="preserve"> </w:t>
      </w:r>
    </w:p>
  </w:footnote>
  <w:footnote w:id="33">
    <w:p w14:paraId="1E496100" w14:textId="77777777"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hyperlink r:id="rId23" w:history="1">
        <w:r w:rsidRPr="008137C5">
          <w:rPr>
            <w:rStyle w:val="Hyperlink"/>
            <w:rFonts w:ascii="Adobe Garamond Pro" w:hAnsi="Adobe Garamond Pro"/>
            <w:color w:val="E26F54"/>
            <w:sz w:val="18"/>
            <w:szCs w:val="18"/>
          </w:rPr>
          <w:t>https://globalnews.ca/news/2703632/crisis-prexgnancy-centres-mislead-women-report-says/</w:t>
        </w:r>
      </w:hyperlink>
      <w:r w:rsidRPr="008137C5">
        <w:rPr>
          <w:rFonts w:ascii="Adobe Garamond Pro" w:hAnsi="Adobe Garamond Pro"/>
          <w:color w:val="E26F54"/>
          <w:sz w:val="18"/>
          <w:szCs w:val="18"/>
        </w:rPr>
        <w:t xml:space="preserve"> </w:t>
      </w:r>
    </w:p>
  </w:footnote>
  <w:footnote w:id="34">
    <w:p w14:paraId="659BD7DC" w14:textId="336C8767"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CEDAW. General Recommendations 19, 1992, and 24, 1999.</w:t>
      </w:r>
    </w:p>
  </w:footnote>
  <w:footnote w:id="35">
    <w:p w14:paraId="71D70732" w14:textId="5E28AFC3" w:rsidR="00A07EE1" w:rsidRPr="008137C5" w:rsidRDefault="00A07EE1" w:rsidP="00047A74">
      <w:pPr>
        <w:pStyle w:val="FootnoteText"/>
        <w:rPr>
          <w:rFonts w:ascii="Adobe Garamond Pro" w:hAnsi="Adobe Garamond Pro"/>
          <w:sz w:val="18"/>
          <w:szCs w:val="18"/>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CEDAW. CEDAW/C/CZE/CO/5 (2010), CEDAW/C/JOR/CO/5 (2021) and CEDAW/C/HUN/CO/7-8 (2013). </w:t>
      </w:r>
    </w:p>
  </w:footnote>
  <w:footnote w:id="36">
    <w:p w14:paraId="7D1E323C" w14:textId="14070EB1" w:rsidR="00A07EE1" w:rsidRPr="008137C5" w:rsidRDefault="00A07EE1" w:rsidP="00047A74">
      <w:pPr>
        <w:pStyle w:val="FootnoteText"/>
        <w:contextualSpacing/>
        <w:rPr>
          <w:rFonts w:ascii="Adobe Garamond Pro" w:hAnsi="Adobe Garamond Pro" w:cstheme="majorHAnsi"/>
          <w:sz w:val="18"/>
          <w:szCs w:val="18"/>
        </w:rPr>
      </w:pPr>
      <w:r w:rsidRPr="008137C5">
        <w:rPr>
          <w:rStyle w:val="FootnoteReference"/>
          <w:rFonts w:ascii="Adobe Garamond Pro" w:hAnsi="Adobe Garamond Pro" w:cstheme="majorHAnsi"/>
          <w:color w:val="auto"/>
          <w:sz w:val="18"/>
          <w:szCs w:val="18"/>
        </w:rPr>
        <w:footnoteRef/>
      </w:r>
      <w:r w:rsidRPr="008137C5">
        <w:rPr>
          <w:rFonts w:ascii="Adobe Garamond Pro" w:hAnsi="Adobe Garamond Pro" w:cstheme="majorHAnsi"/>
          <w:color w:val="auto"/>
          <w:sz w:val="18"/>
          <w:szCs w:val="18"/>
        </w:rPr>
        <w:t xml:space="preserve"> Including the </w:t>
      </w:r>
      <w:r w:rsidRPr="008137C5">
        <w:rPr>
          <w:rFonts w:ascii="Adobe Garamond Pro" w:hAnsi="Adobe Garamond Pro" w:cstheme="majorHAnsi"/>
          <w:b/>
          <w:color w:val="auto"/>
          <w:sz w:val="18"/>
          <w:szCs w:val="18"/>
        </w:rPr>
        <w:t>Special Rapporteur on Torture</w:t>
      </w:r>
      <w:r w:rsidRPr="008137C5">
        <w:rPr>
          <w:rFonts w:ascii="Adobe Garamond Pro" w:hAnsi="Adobe Garamond Pro" w:cstheme="majorHAnsi"/>
          <w:color w:val="auto"/>
          <w:sz w:val="18"/>
          <w:szCs w:val="18"/>
        </w:rPr>
        <w:t xml:space="preserve"> (see e.g. UN Human </w:t>
      </w:r>
      <w:r w:rsidRPr="008137C5">
        <w:rPr>
          <w:rFonts w:ascii="Adobe Garamond Pro" w:hAnsi="Adobe Garamond Pro" w:cstheme="majorHAnsi"/>
          <w:sz w:val="18"/>
          <w:szCs w:val="18"/>
        </w:rPr>
        <w:t xml:space="preserve">Rights Council, </w:t>
      </w:r>
      <w:r w:rsidRPr="008137C5">
        <w:rPr>
          <w:rFonts w:ascii="Adobe Garamond Pro" w:hAnsi="Adobe Garamond Pro" w:cstheme="majorHAnsi"/>
          <w:i/>
          <w:sz w:val="18"/>
          <w:szCs w:val="18"/>
        </w:rPr>
        <w:t>Report of the Special Rapporteur on torture and other cruel, inhuman or degrading treatment or punishment</w:t>
      </w:r>
      <w:r w:rsidRPr="008137C5">
        <w:rPr>
          <w:rFonts w:ascii="Adobe Garamond Pro" w:hAnsi="Adobe Garamond Pro" w:cstheme="majorHAnsi"/>
          <w:sz w:val="18"/>
          <w:szCs w:val="18"/>
        </w:rPr>
        <w:t xml:space="preserve">, 31-35, 1 February 2013, A/HRC/22/53; UN Human Rights Council, </w:t>
      </w:r>
      <w:r w:rsidRPr="008137C5">
        <w:rPr>
          <w:rFonts w:ascii="Adobe Garamond Pro" w:hAnsi="Adobe Garamond Pro" w:cstheme="majorHAnsi"/>
          <w:i/>
          <w:sz w:val="18"/>
          <w:szCs w:val="18"/>
        </w:rPr>
        <w:t>Report of the Special Rapporteur on torture and other cruel, inhuman or degrading treatment or punishment</w:t>
      </w:r>
      <w:r w:rsidRPr="008137C5">
        <w:rPr>
          <w:rFonts w:ascii="Adobe Garamond Pro" w:hAnsi="Adobe Garamond Pro" w:cstheme="majorHAnsi"/>
          <w:sz w:val="18"/>
          <w:szCs w:val="18"/>
        </w:rPr>
        <w:t xml:space="preserve">, 38, 15 January 2008, A/HRC/7/3); the </w:t>
      </w:r>
      <w:r w:rsidRPr="008137C5">
        <w:rPr>
          <w:rFonts w:ascii="Adobe Garamond Pro" w:hAnsi="Adobe Garamond Pro" w:cstheme="majorHAnsi"/>
          <w:b/>
          <w:sz w:val="18"/>
          <w:szCs w:val="18"/>
        </w:rPr>
        <w:t>Special Rapporteur on Violence against Women</w:t>
      </w:r>
      <w:r w:rsidRPr="008137C5">
        <w:rPr>
          <w:rFonts w:ascii="Adobe Garamond Pro" w:hAnsi="Adobe Garamond Pro" w:cstheme="majorHAnsi"/>
          <w:sz w:val="18"/>
          <w:szCs w:val="18"/>
        </w:rPr>
        <w:t xml:space="preserve"> (see e.g. </w:t>
      </w:r>
      <w:r w:rsidRPr="008137C5">
        <w:rPr>
          <w:rFonts w:ascii="Adobe Garamond Pro" w:hAnsi="Adobe Garamond Pro" w:cstheme="majorHAnsi"/>
          <w:i/>
          <w:sz w:val="18"/>
          <w:szCs w:val="18"/>
        </w:rPr>
        <w:t>Report of the Special Rapporteur on violence against women, its causes and consequences</w:t>
      </w:r>
      <w:r w:rsidRPr="008137C5">
        <w:rPr>
          <w:rFonts w:ascii="Adobe Garamond Pro" w:hAnsi="Adobe Garamond Pro" w:cstheme="majorHAnsi"/>
          <w:sz w:val="18"/>
          <w:szCs w:val="18"/>
        </w:rPr>
        <w:t xml:space="preserve">,  28 &amp; 36, U.N. Doc. A/67/227 (2012)); the </w:t>
      </w:r>
      <w:r w:rsidRPr="008137C5">
        <w:rPr>
          <w:rFonts w:ascii="Adobe Garamond Pro" w:hAnsi="Adobe Garamond Pro" w:cstheme="majorHAnsi"/>
          <w:b/>
          <w:sz w:val="18"/>
          <w:szCs w:val="18"/>
        </w:rPr>
        <w:t xml:space="preserve">Special Rapporteur on the rights of persons with disabilities </w:t>
      </w:r>
      <w:r w:rsidRPr="008137C5">
        <w:rPr>
          <w:rFonts w:ascii="Adobe Garamond Pro" w:hAnsi="Adobe Garamond Pro" w:cstheme="majorHAnsi"/>
          <w:sz w:val="18"/>
          <w:szCs w:val="18"/>
        </w:rPr>
        <w:t xml:space="preserve">(see e.g. Report of the Special Rapporteur on the rights of persons with disabilities, 34, A/72/133, 14 July 2017); the </w:t>
      </w:r>
      <w:r w:rsidRPr="008137C5">
        <w:rPr>
          <w:rFonts w:ascii="Adobe Garamond Pro" w:hAnsi="Adobe Garamond Pro" w:cstheme="majorHAnsi"/>
          <w:b/>
          <w:sz w:val="18"/>
          <w:szCs w:val="18"/>
        </w:rPr>
        <w:t>Special Rapporteur on minority issues</w:t>
      </w:r>
      <w:r w:rsidRPr="008137C5">
        <w:rPr>
          <w:rFonts w:ascii="Adobe Garamond Pro" w:hAnsi="Adobe Garamond Pro" w:cstheme="majorHAnsi"/>
          <w:sz w:val="18"/>
          <w:szCs w:val="18"/>
        </w:rPr>
        <w:t xml:space="preserve"> (see e.g. </w:t>
      </w:r>
      <w:r w:rsidRPr="008137C5">
        <w:rPr>
          <w:rFonts w:ascii="Adobe Garamond Pro" w:hAnsi="Adobe Garamond Pro" w:cstheme="majorHAnsi"/>
          <w:i/>
          <w:sz w:val="18"/>
          <w:szCs w:val="18"/>
        </w:rPr>
        <w:t xml:space="preserve">Report of the Special Rapporteur on minority issues, Rita </w:t>
      </w:r>
      <w:proofErr w:type="spellStart"/>
      <w:r w:rsidRPr="008137C5">
        <w:rPr>
          <w:rFonts w:ascii="Adobe Garamond Pro" w:hAnsi="Adobe Garamond Pro" w:cstheme="majorHAnsi"/>
          <w:i/>
          <w:sz w:val="18"/>
          <w:szCs w:val="18"/>
        </w:rPr>
        <w:t>Izsák</w:t>
      </w:r>
      <w:proofErr w:type="spellEnd"/>
      <w:r w:rsidRPr="008137C5">
        <w:rPr>
          <w:rFonts w:ascii="Adobe Garamond Pro" w:hAnsi="Adobe Garamond Pro" w:cstheme="majorHAnsi"/>
          <w:i/>
          <w:sz w:val="18"/>
          <w:szCs w:val="18"/>
        </w:rPr>
        <w:t>: Comprehensive study of the human rights situation of Roma worldwide, with a particular focus on the phenomenon</w:t>
      </w:r>
      <w:r w:rsidRPr="008137C5">
        <w:rPr>
          <w:rFonts w:ascii="Adobe Garamond Pro" w:hAnsi="Adobe Garamond Pro" w:cstheme="majorHAnsi"/>
          <w:sz w:val="18"/>
          <w:szCs w:val="18"/>
        </w:rPr>
        <w:t xml:space="preserve"> </w:t>
      </w:r>
      <w:r w:rsidRPr="008137C5">
        <w:rPr>
          <w:rFonts w:ascii="Adobe Garamond Pro" w:hAnsi="Adobe Garamond Pro" w:cstheme="majorHAnsi"/>
          <w:i/>
          <w:sz w:val="18"/>
          <w:szCs w:val="18"/>
        </w:rPr>
        <w:t>of anti-</w:t>
      </w:r>
      <w:proofErr w:type="spellStart"/>
      <w:r w:rsidRPr="008137C5">
        <w:rPr>
          <w:rFonts w:ascii="Adobe Garamond Pro" w:hAnsi="Adobe Garamond Pro" w:cstheme="majorHAnsi"/>
          <w:i/>
          <w:sz w:val="18"/>
          <w:szCs w:val="18"/>
        </w:rPr>
        <w:t>Gypsyism</w:t>
      </w:r>
      <w:proofErr w:type="spellEnd"/>
      <w:r w:rsidRPr="008137C5">
        <w:rPr>
          <w:rFonts w:ascii="Adobe Garamond Pro" w:hAnsi="Adobe Garamond Pro" w:cstheme="majorHAnsi"/>
          <w:i/>
          <w:sz w:val="18"/>
          <w:szCs w:val="18"/>
        </w:rPr>
        <w:t xml:space="preserve">, </w:t>
      </w:r>
      <w:r w:rsidRPr="008137C5">
        <w:rPr>
          <w:rFonts w:ascii="Adobe Garamond Pro" w:hAnsi="Adobe Garamond Pro" w:cstheme="majorHAnsi"/>
          <w:sz w:val="18"/>
          <w:szCs w:val="18"/>
        </w:rPr>
        <w:t xml:space="preserve">27, A/HRC/29/24, 11 May 2015); the </w:t>
      </w:r>
      <w:r w:rsidRPr="008137C5">
        <w:rPr>
          <w:rFonts w:ascii="Adobe Garamond Pro" w:hAnsi="Adobe Garamond Pro" w:cstheme="majorHAnsi"/>
          <w:b/>
          <w:sz w:val="18"/>
          <w:szCs w:val="18"/>
        </w:rPr>
        <w:t>Working Group on the issue of discrimination against women in law and in practice</w:t>
      </w:r>
      <w:r w:rsidRPr="008137C5">
        <w:rPr>
          <w:rFonts w:ascii="Adobe Garamond Pro" w:hAnsi="Adobe Garamond Pro" w:cstheme="majorHAnsi"/>
          <w:sz w:val="18"/>
          <w:szCs w:val="18"/>
        </w:rPr>
        <w:t xml:space="preserve"> (see e.g. </w:t>
      </w:r>
      <w:r w:rsidRPr="008137C5">
        <w:rPr>
          <w:rFonts w:ascii="Adobe Garamond Pro" w:hAnsi="Adobe Garamond Pro" w:cstheme="majorHAnsi"/>
          <w:i/>
          <w:sz w:val="18"/>
          <w:szCs w:val="18"/>
        </w:rPr>
        <w:t>Report of the Working Group on the issue of discrimination against women in law and in practice,</w:t>
      </w:r>
      <w:r w:rsidRPr="008137C5">
        <w:rPr>
          <w:rFonts w:ascii="Adobe Garamond Pro" w:hAnsi="Adobe Garamond Pro" w:cstheme="majorHAnsi"/>
          <w:sz w:val="18"/>
          <w:szCs w:val="18"/>
        </w:rPr>
        <w:t xml:space="preserve"> 45, 48, 54, 57, A/HRC/32/44, 8 April 2016); the </w:t>
      </w:r>
      <w:r w:rsidRPr="008137C5">
        <w:rPr>
          <w:rFonts w:ascii="Adobe Garamond Pro" w:hAnsi="Adobe Garamond Pro" w:cstheme="majorHAnsi"/>
          <w:b/>
          <w:sz w:val="18"/>
          <w:szCs w:val="18"/>
        </w:rPr>
        <w:t>Special Rapporteur on the right of everyone to the enjoyment of the highest attainable standard of physical and mental health</w:t>
      </w:r>
      <w:r w:rsidRPr="008137C5">
        <w:rPr>
          <w:rFonts w:ascii="Adobe Garamond Pro" w:hAnsi="Adobe Garamond Pro" w:cstheme="majorHAnsi"/>
          <w:sz w:val="18"/>
          <w:szCs w:val="18"/>
        </w:rPr>
        <w:t xml:space="preserve"> (see e.g. </w:t>
      </w:r>
      <w:r w:rsidRPr="008137C5">
        <w:rPr>
          <w:rFonts w:ascii="Adobe Garamond Pro" w:hAnsi="Adobe Garamond Pro" w:cstheme="majorHAnsi"/>
          <w:i/>
          <w:sz w:val="18"/>
          <w:szCs w:val="18"/>
        </w:rPr>
        <w:t xml:space="preserve">Interim report of the Special Rapporteur on the right of everyone to the enjoyment of the highest attainable standard of physical and mental health, </w:t>
      </w:r>
      <w:r w:rsidRPr="008137C5">
        <w:rPr>
          <w:rFonts w:ascii="Adobe Garamond Pro" w:hAnsi="Adobe Garamond Pro" w:cstheme="majorHAnsi"/>
          <w:sz w:val="18"/>
          <w:szCs w:val="18"/>
        </w:rPr>
        <w:t>12, A/66/254, 3 August 2011).</w:t>
      </w:r>
    </w:p>
  </w:footnote>
  <w:footnote w:id="37">
    <w:p w14:paraId="0A7A14AC" w14:textId="74CB0CAF" w:rsidR="00A07EE1" w:rsidRPr="008137C5" w:rsidRDefault="00A07EE1" w:rsidP="00047A74">
      <w:pPr>
        <w:pStyle w:val="FootnoteText"/>
        <w:contextualSpacing/>
        <w:rPr>
          <w:rFonts w:ascii="Adobe Garamond Pro" w:hAnsi="Adobe Garamond Pro" w:cstheme="majorHAnsi"/>
          <w:sz w:val="18"/>
          <w:szCs w:val="18"/>
        </w:rPr>
      </w:pPr>
      <w:r w:rsidRPr="008137C5">
        <w:rPr>
          <w:rStyle w:val="FootnoteReference"/>
          <w:rFonts w:ascii="Adobe Garamond Pro" w:hAnsi="Adobe Garamond Pro" w:cstheme="majorHAnsi"/>
          <w:sz w:val="18"/>
          <w:szCs w:val="18"/>
        </w:rPr>
        <w:footnoteRef/>
      </w:r>
      <w:r w:rsidRPr="008137C5">
        <w:rPr>
          <w:rFonts w:ascii="Adobe Garamond Pro" w:hAnsi="Adobe Garamond Pro" w:cstheme="majorHAnsi"/>
          <w:sz w:val="18"/>
          <w:szCs w:val="18"/>
        </w:rPr>
        <w:t xml:space="preserve"> UN Special Rapporteur on Violence against Women, Report of the Special Rapporteur on violence against women, its causes and consequences, 28 &amp; 36, U.N. Doc. A/67/227 (2012).</w:t>
      </w:r>
    </w:p>
  </w:footnote>
  <w:footnote w:id="38">
    <w:p w14:paraId="0877BB1E" w14:textId="2CB27AA7" w:rsidR="00A07EE1" w:rsidRPr="008137C5" w:rsidRDefault="00A07EE1" w:rsidP="00047A74">
      <w:pPr>
        <w:pStyle w:val="FootnoteText"/>
        <w:contextualSpacing/>
        <w:rPr>
          <w:rFonts w:ascii="Adobe Garamond Pro" w:hAnsi="Adobe Garamond Pro" w:cstheme="majorHAnsi"/>
          <w:sz w:val="18"/>
          <w:szCs w:val="18"/>
        </w:rPr>
      </w:pPr>
      <w:r w:rsidRPr="008137C5">
        <w:rPr>
          <w:rStyle w:val="FootnoteReference"/>
          <w:rFonts w:ascii="Adobe Garamond Pro" w:hAnsi="Adobe Garamond Pro" w:cstheme="majorHAnsi"/>
          <w:sz w:val="18"/>
          <w:szCs w:val="18"/>
        </w:rPr>
        <w:footnoteRef/>
      </w:r>
      <w:r w:rsidRPr="008137C5">
        <w:rPr>
          <w:rFonts w:ascii="Adobe Garamond Pro" w:hAnsi="Adobe Garamond Pro" w:cstheme="majorHAnsi"/>
          <w:sz w:val="18"/>
          <w:szCs w:val="18"/>
        </w:rPr>
        <w:t xml:space="preserve"> UN Human Rights Council, </w:t>
      </w:r>
      <w:r w:rsidRPr="008137C5">
        <w:rPr>
          <w:rFonts w:ascii="Adobe Garamond Pro" w:hAnsi="Adobe Garamond Pro" w:cstheme="majorHAnsi"/>
          <w:i/>
          <w:sz w:val="18"/>
          <w:szCs w:val="18"/>
        </w:rPr>
        <w:t>Report of the Special Rapporteur on torture and other cruel, inhuman or degrading treatment or punishment</w:t>
      </w:r>
      <w:r w:rsidRPr="008137C5">
        <w:rPr>
          <w:rFonts w:ascii="Adobe Garamond Pro" w:hAnsi="Adobe Garamond Pro" w:cstheme="majorHAnsi"/>
          <w:sz w:val="18"/>
          <w:szCs w:val="18"/>
        </w:rPr>
        <w:t>, 46, 1 February 2013, A/HRC/22/53.</w:t>
      </w:r>
    </w:p>
  </w:footnote>
  <w:footnote w:id="39">
    <w:p w14:paraId="74521CF3" w14:textId="086D5925" w:rsidR="00A07EE1" w:rsidRPr="008137C5" w:rsidRDefault="00A07EE1" w:rsidP="00047A74">
      <w:pPr>
        <w:pStyle w:val="FootnoteText"/>
        <w:contextualSpacing/>
        <w:rPr>
          <w:rFonts w:ascii="Adobe Garamond Pro" w:hAnsi="Adobe Garamond Pro" w:cstheme="majorHAnsi"/>
          <w:sz w:val="18"/>
          <w:szCs w:val="18"/>
        </w:rPr>
      </w:pPr>
      <w:r w:rsidRPr="008137C5">
        <w:rPr>
          <w:rStyle w:val="FootnoteReference"/>
          <w:rFonts w:ascii="Adobe Garamond Pro" w:hAnsi="Adobe Garamond Pro" w:cstheme="majorHAnsi"/>
          <w:sz w:val="18"/>
          <w:szCs w:val="18"/>
        </w:rPr>
        <w:footnoteRef/>
      </w:r>
      <w:r w:rsidRPr="008137C5">
        <w:rPr>
          <w:rFonts w:ascii="Adobe Garamond Pro" w:hAnsi="Adobe Garamond Pro" w:cstheme="majorHAnsi"/>
          <w:sz w:val="18"/>
          <w:szCs w:val="18"/>
        </w:rPr>
        <w:t xml:space="preserve"> UN Human Rights Council, </w:t>
      </w:r>
      <w:r w:rsidRPr="008137C5">
        <w:rPr>
          <w:rFonts w:ascii="Adobe Garamond Pro" w:hAnsi="Adobe Garamond Pro" w:cstheme="majorHAnsi"/>
          <w:i/>
          <w:sz w:val="18"/>
          <w:szCs w:val="18"/>
        </w:rPr>
        <w:t>Report of the Special Rapporteur on torture and other cruel, inhuman or degrading treatment or punishment</w:t>
      </w:r>
      <w:r w:rsidRPr="008137C5">
        <w:rPr>
          <w:rFonts w:ascii="Adobe Garamond Pro" w:hAnsi="Adobe Garamond Pro" w:cstheme="majorHAnsi"/>
          <w:sz w:val="18"/>
          <w:szCs w:val="18"/>
        </w:rPr>
        <w:t xml:space="preserve">, 31-35, 1 February 2013, A/HRC/22/53; UN Human Rights Council, </w:t>
      </w:r>
      <w:r w:rsidRPr="008137C5">
        <w:rPr>
          <w:rFonts w:ascii="Adobe Garamond Pro" w:hAnsi="Adobe Garamond Pro" w:cstheme="majorHAnsi"/>
          <w:i/>
          <w:sz w:val="18"/>
          <w:szCs w:val="18"/>
        </w:rPr>
        <w:t>Report of the Special Rapporteur on torture and other cruel, inhuman or degrading treatment or punishment</w:t>
      </w:r>
      <w:r w:rsidRPr="008137C5">
        <w:rPr>
          <w:rFonts w:ascii="Adobe Garamond Pro" w:hAnsi="Adobe Garamond Pro" w:cstheme="majorHAnsi"/>
          <w:sz w:val="18"/>
          <w:szCs w:val="18"/>
        </w:rPr>
        <w:t>, 38, 15 January 2008, A/HRC/7/3.</w:t>
      </w:r>
    </w:p>
  </w:footnote>
  <w:footnote w:id="40">
    <w:p w14:paraId="0D2D992E" w14:textId="561833DB" w:rsidR="00A07EE1" w:rsidRPr="008137C5" w:rsidRDefault="00A07EE1" w:rsidP="00047A74">
      <w:pPr>
        <w:pStyle w:val="FootnoteText"/>
        <w:contextualSpacing/>
        <w:rPr>
          <w:rFonts w:ascii="Adobe Garamond Pro" w:hAnsi="Adobe Garamond Pro" w:cstheme="majorHAnsi"/>
          <w:sz w:val="18"/>
          <w:szCs w:val="18"/>
        </w:rPr>
      </w:pPr>
      <w:r w:rsidRPr="008137C5">
        <w:rPr>
          <w:rStyle w:val="FootnoteReference"/>
          <w:rFonts w:ascii="Adobe Garamond Pro" w:hAnsi="Adobe Garamond Pro" w:cstheme="majorHAnsi"/>
          <w:sz w:val="18"/>
          <w:szCs w:val="18"/>
        </w:rPr>
        <w:footnoteRef/>
      </w:r>
      <w:r w:rsidRPr="008137C5">
        <w:rPr>
          <w:rFonts w:ascii="Adobe Garamond Pro" w:hAnsi="Adobe Garamond Pro" w:cstheme="majorHAnsi"/>
          <w:sz w:val="18"/>
          <w:szCs w:val="18"/>
        </w:rPr>
        <w:t xml:space="preserve"> UN Human Rights Council, </w:t>
      </w:r>
      <w:r w:rsidRPr="008137C5">
        <w:rPr>
          <w:rFonts w:ascii="Adobe Garamond Pro" w:hAnsi="Adobe Garamond Pro" w:cstheme="majorHAnsi"/>
          <w:i/>
          <w:sz w:val="18"/>
          <w:szCs w:val="18"/>
        </w:rPr>
        <w:t>Report of the Special Rapporteur on torture and other cruel, inhuman or degrading treatment or punishment</w:t>
      </w:r>
      <w:r w:rsidRPr="008137C5">
        <w:rPr>
          <w:rFonts w:ascii="Adobe Garamond Pro" w:hAnsi="Adobe Garamond Pro" w:cstheme="majorHAnsi"/>
          <w:sz w:val="18"/>
          <w:szCs w:val="18"/>
        </w:rPr>
        <w:t>, 32, 1 February 2013, A/HRC/22/53.</w:t>
      </w:r>
    </w:p>
  </w:footnote>
  <w:footnote w:id="41">
    <w:p w14:paraId="295A39C7" w14:textId="798A3491" w:rsidR="00A07EE1" w:rsidRPr="008137C5" w:rsidRDefault="00A07EE1" w:rsidP="00047A74">
      <w:pPr>
        <w:pStyle w:val="FootnoteText"/>
        <w:contextualSpacing/>
        <w:rPr>
          <w:rFonts w:ascii="Adobe Garamond Pro" w:hAnsi="Adobe Garamond Pro" w:cstheme="majorHAnsi"/>
          <w:sz w:val="18"/>
          <w:szCs w:val="18"/>
        </w:rPr>
      </w:pPr>
      <w:r w:rsidRPr="008137C5">
        <w:rPr>
          <w:rStyle w:val="FootnoteReference"/>
          <w:rFonts w:ascii="Adobe Garamond Pro" w:hAnsi="Adobe Garamond Pro" w:cstheme="majorHAnsi"/>
          <w:sz w:val="18"/>
          <w:szCs w:val="18"/>
        </w:rPr>
        <w:footnoteRef/>
      </w:r>
      <w:r w:rsidRPr="008137C5">
        <w:rPr>
          <w:rFonts w:ascii="Adobe Garamond Pro" w:hAnsi="Adobe Garamond Pro" w:cstheme="majorHAnsi"/>
          <w:sz w:val="18"/>
          <w:szCs w:val="18"/>
        </w:rPr>
        <w:t xml:space="preserve"> UN Human Rights Council, </w:t>
      </w:r>
      <w:r w:rsidRPr="008137C5">
        <w:rPr>
          <w:rFonts w:ascii="Adobe Garamond Pro" w:hAnsi="Adobe Garamond Pro" w:cstheme="majorHAnsi"/>
          <w:i/>
          <w:sz w:val="18"/>
          <w:szCs w:val="18"/>
        </w:rPr>
        <w:t>Report of the Special Rapporteur on torture and other cruel, inhuman or degrading treatment or punishment</w:t>
      </w:r>
      <w:r w:rsidRPr="008137C5">
        <w:rPr>
          <w:rFonts w:ascii="Adobe Garamond Pro" w:hAnsi="Adobe Garamond Pro" w:cstheme="majorHAnsi"/>
          <w:sz w:val="18"/>
          <w:szCs w:val="18"/>
        </w:rPr>
        <w:t>, 48, 1 February 2013, A/HRC/22/53.</w:t>
      </w:r>
    </w:p>
  </w:footnote>
  <w:footnote w:id="42">
    <w:p w14:paraId="05674663" w14:textId="5EF9DD57" w:rsidR="00A07EE1" w:rsidRPr="008137C5" w:rsidRDefault="00A07EE1" w:rsidP="00047A74">
      <w:pPr>
        <w:pStyle w:val="FootnoteText"/>
        <w:contextualSpacing/>
        <w:rPr>
          <w:rFonts w:ascii="Adobe Garamond Pro" w:hAnsi="Adobe Garamond Pro" w:cstheme="majorHAnsi"/>
          <w:sz w:val="18"/>
          <w:szCs w:val="18"/>
        </w:rPr>
      </w:pPr>
      <w:r w:rsidRPr="008137C5">
        <w:rPr>
          <w:rStyle w:val="FootnoteReference"/>
          <w:rFonts w:ascii="Adobe Garamond Pro" w:hAnsi="Adobe Garamond Pro" w:cstheme="majorHAnsi"/>
          <w:sz w:val="18"/>
          <w:szCs w:val="18"/>
        </w:rPr>
        <w:footnoteRef/>
      </w:r>
      <w:r w:rsidRPr="008137C5">
        <w:rPr>
          <w:rFonts w:ascii="Adobe Garamond Pro" w:hAnsi="Adobe Garamond Pro" w:cstheme="majorHAnsi"/>
          <w:sz w:val="18"/>
          <w:szCs w:val="18"/>
        </w:rPr>
        <w:t xml:space="preserve"> UN Human Rights Council, Report of the Special Rapporteur on the rights of indigenous peoples, Victoria </w:t>
      </w:r>
      <w:proofErr w:type="spellStart"/>
      <w:r w:rsidRPr="008137C5">
        <w:rPr>
          <w:rFonts w:ascii="Adobe Garamond Pro" w:hAnsi="Adobe Garamond Pro" w:cstheme="majorHAnsi"/>
          <w:sz w:val="18"/>
          <w:szCs w:val="18"/>
        </w:rPr>
        <w:t>Tauli-Corpuz</w:t>
      </w:r>
      <w:proofErr w:type="spellEnd"/>
      <w:r w:rsidRPr="008137C5">
        <w:rPr>
          <w:rFonts w:ascii="Adobe Garamond Pro" w:hAnsi="Adobe Garamond Pro" w:cstheme="majorHAnsi"/>
          <w:sz w:val="18"/>
          <w:szCs w:val="18"/>
        </w:rPr>
        <w:t>, 34, 6 August 2015, A/HRC/30/41.</w:t>
      </w:r>
    </w:p>
  </w:footnote>
  <w:footnote w:id="43">
    <w:p w14:paraId="1790E0A3" w14:textId="77777777" w:rsidR="00A07EE1" w:rsidRPr="008137C5" w:rsidRDefault="00A07EE1" w:rsidP="00047A74">
      <w:pPr>
        <w:pBdr>
          <w:top w:val="nil"/>
          <w:left w:val="nil"/>
          <w:bottom w:val="nil"/>
          <w:right w:val="nil"/>
          <w:between w:val="nil"/>
        </w:pBdr>
        <w:spacing w:after="0" w:line="240" w:lineRule="auto"/>
        <w:contextualSpacing/>
        <w:jc w:val="both"/>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WHO, </w:t>
      </w:r>
      <w:proofErr w:type="gramStart"/>
      <w:r w:rsidRPr="008137C5">
        <w:rPr>
          <w:rFonts w:cstheme="majorHAnsi"/>
          <w:sz w:val="18"/>
          <w:szCs w:val="18"/>
        </w:rPr>
        <w:t>et.</w:t>
      </w:r>
      <w:proofErr w:type="gramEnd"/>
      <w:r w:rsidRPr="008137C5">
        <w:rPr>
          <w:rFonts w:cstheme="majorHAnsi"/>
          <w:sz w:val="18"/>
          <w:szCs w:val="18"/>
        </w:rPr>
        <w:t xml:space="preserve"> al., Eliminating forced, coercive or otherwise involuntary sterilization: An interagency statement 9 (2014), available at http://apps.who.int/iris/bitstream/10665/112848/1/9789241507325_eng.pdf </w:t>
      </w:r>
    </w:p>
  </w:footnote>
  <w:footnote w:id="44">
    <w:p w14:paraId="2C068BC8" w14:textId="77777777" w:rsidR="00A07EE1" w:rsidRPr="008137C5" w:rsidRDefault="00A07EE1" w:rsidP="00047A74">
      <w:pPr>
        <w:pBdr>
          <w:top w:val="nil"/>
          <w:left w:val="nil"/>
          <w:bottom w:val="nil"/>
          <w:right w:val="nil"/>
          <w:between w:val="nil"/>
        </w:pBdr>
        <w:spacing w:after="0" w:line="240" w:lineRule="auto"/>
        <w:contextualSpacing/>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Id.</w:t>
      </w:r>
    </w:p>
  </w:footnote>
  <w:footnote w:id="45">
    <w:p w14:paraId="122D44D6" w14:textId="77777777" w:rsidR="00A07EE1" w:rsidRPr="008137C5" w:rsidRDefault="00A07EE1" w:rsidP="00047A74">
      <w:pPr>
        <w:pBdr>
          <w:top w:val="nil"/>
          <w:left w:val="nil"/>
          <w:bottom w:val="nil"/>
          <w:right w:val="nil"/>
          <w:between w:val="nil"/>
        </w:pBdr>
        <w:spacing w:after="0" w:line="240" w:lineRule="auto"/>
        <w:contextualSpacing/>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Id.</w:t>
      </w:r>
    </w:p>
  </w:footnote>
  <w:footnote w:id="46">
    <w:p w14:paraId="11B9B8EE" w14:textId="17E62F94" w:rsidR="00A07EE1" w:rsidRPr="008137C5" w:rsidRDefault="00A07EE1"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Pr="008137C5">
        <w:rPr>
          <w:rFonts w:ascii="Adobe Garamond Pro" w:hAnsi="Adobe Garamond Pro"/>
          <w:sz w:val="18"/>
          <w:szCs w:val="18"/>
          <w:lang w:val="en-CA"/>
        </w:rPr>
        <w:t xml:space="preserve">Government of Canada. Permanent Mission of Canada to the UN. “Canada’s Statement on the World Conference on Indigenous Peoples Outcome Document.” September 2014. </w:t>
      </w:r>
      <w:hyperlink r:id="rId24" w:history="1">
        <w:r w:rsidRPr="008C0CAA">
          <w:rPr>
            <w:rStyle w:val="Hyperlink"/>
            <w:rFonts w:ascii="Adobe Garamond Pro" w:hAnsi="Adobe Garamond Pro"/>
            <w:color w:val="E26F54"/>
            <w:sz w:val="18"/>
            <w:szCs w:val="18"/>
            <w:lang w:val="en-CA"/>
          </w:rPr>
          <w:t>http://www.canadainternational.gc.ca/prmny-mponu/canada_un-canada_onu/statements-declarations/other-autres/2014-09-22_wcipd-padd.aspx?lang=eng</w:t>
        </w:r>
      </w:hyperlink>
      <w:r w:rsidRPr="008C0CAA">
        <w:rPr>
          <w:rFonts w:ascii="Adobe Garamond Pro" w:hAnsi="Adobe Garamond Pro"/>
          <w:color w:val="E26F54"/>
          <w:sz w:val="18"/>
          <w:szCs w:val="18"/>
          <w:lang w:val="en-CA"/>
        </w:rPr>
        <w:t xml:space="preserve">  </w:t>
      </w:r>
      <w:r w:rsidRPr="008137C5">
        <w:rPr>
          <w:rFonts w:ascii="Adobe Garamond Pro" w:hAnsi="Adobe Garamond Pro"/>
          <w:sz w:val="18"/>
          <w:szCs w:val="18"/>
          <w:lang w:val="en-CA"/>
        </w:rPr>
        <w:t xml:space="preserve">and Amnesty International Canada. “Free, Prior and Informed Consent.” 2013. </w:t>
      </w:r>
      <w:hyperlink r:id="rId25" w:history="1">
        <w:r w:rsidRPr="008C0CAA">
          <w:rPr>
            <w:rStyle w:val="Hyperlink"/>
            <w:rFonts w:ascii="Adobe Garamond Pro" w:hAnsi="Adobe Garamond Pro"/>
            <w:color w:val="E26F54"/>
            <w:sz w:val="18"/>
            <w:szCs w:val="18"/>
            <w:lang w:val="en-CA"/>
          </w:rPr>
          <w:t>http://www.amnesty.ca/sites/amnesty/files/fpic_factsheet_nov_2013.pdf</w:t>
        </w:r>
      </w:hyperlink>
      <w:r w:rsidRPr="008C0CAA">
        <w:rPr>
          <w:rFonts w:ascii="Adobe Garamond Pro" w:hAnsi="Adobe Garamond Pro"/>
          <w:color w:val="E26F54"/>
          <w:sz w:val="18"/>
          <w:szCs w:val="18"/>
          <w:lang w:val="en-CA"/>
        </w:rPr>
        <w:t xml:space="preserve"> </w:t>
      </w:r>
    </w:p>
  </w:footnote>
  <w:footnote w:id="47">
    <w:p w14:paraId="1980A81E" w14:textId="77777777" w:rsidR="00A07EE1" w:rsidRPr="008137C5" w:rsidRDefault="00A07EE1" w:rsidP="00047A74">
      <w:pPr>
        <w:spacing w:after="0" w:line="240" w:lineRule="auto"/>
        <w:contextualSpacing/>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w:t>
      </w:r>
      <w:proofErr w:type="spellStart"/>
      <w:r w:rsidRPr="008137C5">
        <w:rPr>
          <w:rFonts w:cstheme="majorHAnsi"/>
          <w:sz w:val="18"/>
          <w:szCs w:val="18"/>
        </w:rPr>
        <w:t>Hopp</w:t>
      </w:r>
      <w:proofErr w:type="spellEnd"/>
      <w:r w:rsidRPr="008137C5">
        <w:rPr>
          <w:rFonts w:cstheme="majorHAnsi"/>
          <w:sz w:val="18"/>
          <w:szCs w:val="18"/>
        </w:rPr>
        <w:t xml:space="preserve"> v. </w:t>
      </w:r>
      <w:proofErr w:type="spellStart"/>
      <w:r w:rsidRPr="008137C5">
        <w:rPr>
          <w:rFonts w:cstheme="majorHAnsi"/>
          <w:sz w:val="18"/>
          <w:szCs w:val="18"/>
        </w:rPr>
        <w:t>Lepp</w:t>
      </w:r>
      <w:proofErr w:type="spellEnd"/>
      <w:r w:rsidRPr="008137C5">
        <w:rPr>
          <w:rFonts w:cstheme="majorHAnsi"/>
          <w:sz w:val="18"/>
          <w:szCs w:val="18"/>
        </w:rPr>
        <w:t xml:space="preserve">, [1980] 2 SCR 192, 1980 CanLII 14 (SCC), Available at: </w:t>
      </w:r>
      <w:hyperlink r:id="rId26">
        <w:r w:rsidRPr="008137C5">
          <w:rPr>
            <w:rFonts w:cstheme="majorHAnsi"/>
            <w:sz w:val="18"/>
            <w:szCs w:val="18"/>
            <w:u w:val="single"/>
          </w:rPr>
          <w:t>http://canlii.ca/t/1mjv6</w:t>
        </w:r>
      </w:hyperlink>
      <w:r w:rsidRPr="008137C5">
        <w:rPr>
          <w:rFonts w:cstheme="majorHAnsi"/>
          <w:sz w:val="18"/>
          <w:szCs w:val="18"/>
        </w:rPr>
        <w:t xml:space="preserve">, [Accessed 2017-02-21].  </w:t>
      </w:r>
    </w:p>
  </w:footnote>
  <w:footnote w:id="48">
    <w:p w14:paraId="77BE5352" w14:textId="77777777" w:rsidR="00A07EE1" w:rsidRPr="008137C5" w:rsidRDefault="00A07EE1" w:rsidP="00047A74">
      <w:pPr>
        <w:spacing w:after="0" w:line="240" w:lineRule="auto"/>
        <w:contextualSpacing/>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E. (Mrs.) v. Eve, [1986] 2 SCR 388, 1986 CanLII 36 (SCC), Available at: </w:t>
      </w:r>
      <w:hyperlink r:id="rId27">
        <w:r w:rsidRPr="008137C5">
          <w:rPr>
            <w:rFonts w:cstheme="majorHAnsi"/>
            <w:sz w:val="18"/>
            <w:szCs w:val="18"/>
            <w:u w:val="single"/>
          </w:rPr>
          <w:t>http://canlii.ca/t/1ftqt</w:t>
        </w:r>
      </w:hyperlink>
      <w:r w:rsidRPr="008137C5">
        <w:rPr>
          <w:rFonts w:cstheme="majorHAnsi"/>
          <w:sz w:val="18"/>
          <w:szCs w:val="18"/>
        </w:rPr>
        <w:t xml:space="preserve"> [Accessed 2017-02-21].</w:t>
      </w:r>
    </w:p>
  </w:footnote>
  <w:footnote w:id="49">
    <w:p w14:paraId="10869D86" w14:textId="35C57EAF" w:rsidR="00A07EE1" w:rsidRPr="008137C5" w:rsidRDefault="00A07EE1"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Pr="008137C5">
        <w:rPr>
          <w:rFonts w:ascii="Adobe Garamond Pro" w:hAnsi="Adobe Garamond Pro"/>
          <w:sz w:val="18"/>
          <w:szCs w:val="18"/>
          <w:lang w:val="en-CA"/>
        </w:rPr>
        <w:t xml:space="preserve">National Post. “Saskatoon Health Region apologizes after aboriginal women felt pressured by staff to have tubes tied.” November 2015. </w:t>
      </w:r>
      <w:hyperlink r:id="rId28" w:history="1">
        <w:r w:rsidRPr="008C0CAA">
          <w:rPr>
            <w:rStyle w:val="Hyperlink"/>
            <w:rFonts w:ascii="Adobe Garamond Pro" w:hAnsi="Adobe Garamond Pro"/>
            <w:color w:val="E26F54"/>
            <w:sz w:val="18"/>
            <w:szCs w:val="18"/>
            <w:lang w:val="en-CA"/>
          </w:rPr>
          <w:t>http://news.nationalpost.com/news/canada/saskatoon-health-region-apologizes-after-aboriginal-women-felt-pressured-by-staff-to-have-tubes-tied</w:t>
        </w:r>
      </w:hyperlink>
      <w:r w:rsidRPr="008C0CAA">
        <w:rPr>
          <w:rFonts w:ascii="Adobe Garamond Pro" w:hAnsi="Adobe Garamond Pro"/>
          <w:color w:val="E26F54"/>
          <w:sz w:val="18"/>
          <w:szCs w:val="18"/>
          <w:lang w:val="en-CA"/>
        </w:rPr>
        <w:t xml:space="preserve"> </w:t>
      </w:r>
    </w:p>
  </w:footnote>
  <w:footnote w:id="50">
    <w:p w14:paraId="7D4ACCB8" w14:textId="67D7CED7" w:rsidR="00A07EE1" w:rsidRPr="008137C5" w:rsidRDefault="00A07EE1" w:rsidP="00047A74">
      <w:pPr>
        <w:pStyle w:val="FootnoteText"/>
        <w:rPr>
          <w:rFonts w:ascii="Adobe Garamond Pro" w:hAnsi="Adobe Garamond Pro"/>
          <w:color w:val="0000FF"/>
          <w:sz w:val="18"/>
          <w:szCs w:val="18"/>
          <w:u w:val="single"/>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Radical Criminology. “Art through a birch bark health: an illustrated interview with Erin Marie Konsmo. </w:t>
      </w:r>
      <w:hyperlink r:id="rId29" w:history="1">
        <w:r w:rsidRPr="008C0CAA">
          <w:rPr>
            <w:rStyle w:val="Hyperlink"/>
            <w:rFonts w:ascii="Adobe Garamond Pro" w:hAnsi="Adobe Garamond Pro"/>
            <w:color w:val="E26F54"/>
            <w:sz w:val="18"/>
            <w:szCs w:val="18"/>
          </w:rPr>
          <w:t>http://journal.radicalcriminology.org/index.php/rc/article/view/29/html</w:t>
        </w:r>
      </w:hyperlink>
      <w:r w:rsidRPr="008C0CAA">
        <w:rPr>
          <w:rFonts w:ascii="Adobe Garamond Pro" w:hAnsi="Adobe Garamond Pro"/>
          <w:color w:val="E26F54"/>
          <w:sz w:val="18"/>
          <w:szCs w:val="18"/>
        </w:rPr>
        <w:t xml:space="preserve">, </w:t>
      </w:r>
      <w:r w:rsidRPr="008137C5">
        <w:rPr>
          <w:rFonts w:ascii="Adobe Garamond Pro" w:hAnsi="Adobe Garamond Pro"/>
          <w:sz w:val="18"/>
          <w:szCs w:val="18"/>
        </w:rPr>
        <w:t xml:space="preserve">2013, and </w:t>
      </w:r>
      <w:r w:rsidRPr="008137C5">
        <w:rPr>
          <w:rFonts w:ascii="Adobe Garamond Pro" w:hAnsi="Adobe Garamond Pro"/>
          <w:sz w:val="18"/>
          <w:szCs w:val="18"/>
          <w:lang w:val="en-CA"/>
        </w:rPr>
        <w:t xml:space="preserve">Vice News. “This Woman Says a Hospital in Canada Pushed Her to Undergo Sterilization.” November 2015. </w:t>
      </w:r>
      <w:hyperlink r:id="rId30" w:history="1">
        <w:r w:rsidRPr="008C0CAA">
          <w:rPr>
            <w:rStyle w:val="Hyperlink"/>
            <w:rFonts w:ascii="Adobe Garamond Pro" w:hAnsi="Adobe Garamond Pro"/>
            <w:color w:val="E26F54"/>
            <w:sz w:val="18"/>
            <w:szCs w:val="18"/>
          </w:rPr>
          <w:t>https://news.vice.com/article/this-woman-says-a-hospital-in-canada-pushed-her-to-undergo-sterilization</w:t>
        </w:r>
      </w:hyperlink>
    </w:p>
  </w:footnote>
  <w:footnote w:id="51">
    <w:p w14:paraId="522394AD" w14:textId="77777777" w:rsidR="00A07EE1" w:rsidRPr="008137C5" w:rsidRDefault="00A07EE1" w:rsidP="00047A74">
      <w:pPr>
        <w:pBdr>
          <w:top w:val="nil"/>
          <w:left w:val="nil"/>
          <w:bottom w:val="nil"/>
          <w:right w:val="nil"/>
          <w:between w:val="nil"/>
        </w:pBdr>
        <w:spacing w:after="0" w:line="240" w:lineRule="auto"/>
        <w:contextualSpacing/>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Id.</w:t>
      </w:r>
    </w:p>
  </w:footnote>
  <w:footnote w:id="52">
    <w:p w14:paraId="3A0B98C6" w14:textId="77777777" w:rsidR="00A07EE1" w:rsidRPr="008137C5" w:rsidRDefault="00A07EE1" w:rsidP="00047A74">
      <w:pPr>
        <w:pBdr>
          <w:top w:val="nil"/>
          <w:left w:val="nil"/>
          <w:bottom w:val="nil"/>
          <w:right w:val="nil"/>
          <w:between w:val="nil"/>
        </w:pBdr>
        <w:spacing w:after="0" w:line="240" w:lineRule="auto"/>
        <w:contextualSpacing/>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Radical Criminology. “Art through a birch bark health: an illustrated interview with Erin Marie Konsmo. </w:t>
      </w:r>
      <w:hyperlink r:id="rId31">
        <w:r w:rsidRPr="003748E7">
          <w:rPr>
            <w:rFonts w:cstheme="majorHAnsi"/>
            <w:color w:val="E26F54"/>
            <w:sz w:val="18"/>
            <w:szCs w:val="18"/>
            <w:u w:val="single"/>
          </w:rPr>
          <w:t>http://journal.radicalcriminology.org/index.php/rc/article/view/29/html</w:t>
        </w:r>
      </w:hyperlink>
      <w:r w:rsidRPr="008137C5">
        <w:rPr>
          <w:rFonts w:cstheme="majorHAnsi"/>
          <w:sz w:val="18"/>
          <w:szCs w:val="18"/>
        </w:rPr>
        <w:t xml:space="preserve">, 2013, and Vice News. “This Woman Says a Hospital in Canada Pushed Her to Undergo Sterilization.” November 2015. </w:t>
      </w:r>
      <w:hyperlink r:id="rId32">
        <w:r w:rsidRPr="003748E7">
          <w:rPr>
            <w:rFonts w:cstheme="majorHAnsi"/>
            <w:color w:val="E26F54"/>
            <w:sz w:val="18"/>
            <w:szCs w:val="18"/>
            <w:u w:val="single"/>
          </w:rPr>
          <w:t>https://news.vice.com/article/this-woman-says-a-hospital-in-canada-pushed-her-to-undergo-sterilization</w:t>
        </w:r>
      </w:hyperlink>
      <w:r w:rsidRPr="003748E7">
        <w:rPr>
          <w:rFonts w:cstheme="majorHAnsi"/>
          <w:color w:val="E26F54"/>
          <w:sz w:val="18"/>
          <w:szCs w:val="18"/>
          <w:u w:val="single"/>
        </w:rPr>
        <w:t>.</w:t>
      </w:r>
    </w:p>
  </w:footnote>
  <w:footnote w:id="53">
    <w:p w14:paraId="2F3E1E8A" w14:textId="77777777" w:rsidR="00A07EE1" w:rsidRPr="008137C5" w:rsidRDefault="00A07EE1" w:rsidP="00047A74">
      <w:pPr>
        <w:pBdr>
          <w:top w:val="nil"/>
          <w:left w:val="nil"/>
          <w:bottom w:val="nil"/>
          <w:right w:val="nil"/>
          <w:between w:val="nil"/>
        </w:pBdr>
        <w:spacing w:after="0" w:line="240" w:lineRule="auto"/>
        <w:contextualSpacing/>
        <w:rPr>
          <w:rFonts w:cstheme="majorHAnsi"/>
          <w:sz w:val="18"/>
          <w:szCs w:val="18"/>
        </w:rPr>
      </w:pPr>
      <w:r w:rsidRPr="008137C5">
        <w:rPr>
          <w:rFonts w:cstheme="majorHAnsi"/>
          <w:sz w:val="18"/>
          <w:szCs w:val="18"/>
          <w:vertAlign w:val="superscript"/>
        </w:rPr>
        <w:footnoteRef/>
      </w:r>
      <w:r w:rsidRPr="008137C5">
        <w:rPr>
          <w:rFonts w:cstheme="majorHAnsi"/>
          <w:sz w:val="18"/>
          <w:szCs w:val="18"/>
        </w:rPr>
        <w:t xml:space="preserve"> CBC News. “Sask. Indigenous Women File Lawsuit Claiming Coerced Sterilization.” 10 October 2017. </w:t>
      </w:r>
      <w:hyperlink r:id="rId33">
        <w:r w:rsidRPr="003748E7">
          <w:rPr>
            <w:rFonts w:cstheme="majorHAnsi"/>
            <w:color w:val="E26F54"/>
            <w:sz w:val="18"/>
            <w:szCs w:val="18"/>
            <w:u w:val="single"/>
          </w:rPr>
          <w:t>https://www.cbc.ca/news/canada/saskatchewan/sask-indigenous-women-file-lawsuit-claiming-coerced-sterilization-1.4348848</w:t>
        </w:r>
      </w:hyperlink>
    </w:p>
  </w:footnote>
  <w:footnote w:id="54">
    <w:p w14:paraId="7D265923" w14:textId="77777777" w:rsidR="00A07EE1" w:rsidRPr="004B7E9C" w:rsidRDefault="00A07EE1" w:rsidP="00047A74">
      <w:pPr>
        <w:pStyle w:val="FootnoteText"/>
        <w:rPr>
          <w:rFonts w:ascii="Adobe Garamond Pro" w:hAnsi="Adobe Garamond Pro" w:cstheme="majorHAnsi"/>
          <w:color w:val="E26F54"/>
          <w:sz w:val="18"/>
          <w:szCs w:val="18"/>
          <w:lang w:val="en-CA"/>
        </w:rPr>
      </w:pPr>
      <w:r w:rsidRPr="008137C5">
        <w:rPr>
          <w:rStyle w:val="FootnoteReference"/>
          <w:rFonts w:ascii="Adobe Garamond Pro" w:hAnsi="Adobe Garamond Pro" w:cstheme="majorHAnsi"/>
          <w:sz w:val="18"/>
          <w:szCs w:val="18"/>
        </w:rPr>
        <w:footnoteRef/>
      </w:r>
      <w:r w:rsidRPr="008137C5">
        <w:rPr>
          <w:rFonts w:ascii="Adobe Garamond Pro" w:hAnsi="Adobe Garamond Pro" w:cstheme="majorHAnsi"/>
          <w:sz w:val="18"/>
          <w:szCs w:val="18"/>
        </w:rPr>
        <w:t xml:space="preserve"> Ottawa Rape Crisis Centre. “When a Patient Has Experienced Sexual Violence.” February 2018. </w:t>
      </w:r>
      <w:hyperlink r:id="rId34" w:history="1">
        <w:r w:rsidRPr="004B7E9C">
          <w:rPr>
            <w:rStyle w:val="Hyperlink"/>
            <w:rFonts w:ascii="Adobe Garamond Pro" w:hAnsi="Adobe Garamond Pro" w:cstheme="majorHAnsi"/>
            <w:color w:val="E26F54"/>
            <w:sz w:val="18"/>
            <w:szCs w:val="18"/>
          </w:rPr>
          <w:t>http://www.srhweek.ca/providers/people-and-communities/sexual-violence/</w:t>
        </w:r>
      </w:hyperlink>
      <w:r w:rsidRPr="004B7E9C">
        <w:rPr>
          <w:rFonts w:ascii="Adobe Garamond Pro" w:hAnsi="Adobe Garamond Pro" w:cstheme="majorHAnsi"/>
          <w:color w:val="E26F54"/>
          <w:sz w:val="18"/>
          <w:szCs w:val="18"/>
        </w:rPr>
        <w:t xml:space="preserve"> </w:t>
      </w:r>
    </w:p>
  </w:footnote>
  <w:footnote w:id="55">
    <w:p w14:paraId="00263658" w14:textId="24DDB909" w:rsidR="00A07EE1" w:rsidRPr="004B7E9C" w:rsidRDefault="00A07EE1" w:rsidP="00047A74">
      <w:pPr>
        <w:pStyle w:val="FootnoteText"/>
        <w:rPr>
          <w:rFonts w:ascii="Adobe Garamond Pro" w:hAnsi="Adobe Garamond Pro"/>
          <w:color w:val="E26F54"/>
          <w:sz w:val="18"/>
          <w:szCs w:val="18"/>
          <w:u w:val="single"/>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Radical Criminology. “Art through a birch bark health: an illustrated interview with Erin Marie Konsmo. </w:t>
      </w:r>
      <w:hyperlink r:id="rId35" w:history="1">
        <w:r w:rsidRPr="004B7E9C">
          <w:rPr>
            <w:rStyle w:val="Hyperlink"/>
            <w:rFonts w:ascii="Adobe Garamond Pro" w:hAnsi="Adobe Garamond Pro"/>
            <w:color w:val="E26F54"/>
            <w:sz w:val="18"/>
            <w:szCs w:val="18"/>
          </w:rPr>
          <w:t>http://journal.radicalcriminology.org/index.php/rc/article/view/29/html</w:t>
        </w:r>
      </w:hyperlink>
      <w:r w:rsidRPr="004B7E9C">
        <w:rPr>
          <w:rFonts w:ascii="Adobe Garamond Pro" w:hAnsi="Adobe Garamond Pro"/>
          <w:color w:val="E26F54"/>
          <w:sz w:val="18"/>
          <w:szCs w:val="18"/>
        </w:rPr>
        <w:t xml:space="preserve">, </w:t>
      </w:r>
      <w:r w:rsidRPr="008137C5">
        <w:rPr>
          <w:rFonts w:ascii="Adobe Garamond Pro" w:hAnsi="Adobe Garamond Pro"/>
          <w:sz w:val="18"/>
          <w:szCs w:val="18"/>
        </w:rPr>
        <w:t xml:space="preserve">2013, and </w:t>
      </w:r>
      <w:r w:rsidRPr="008137C5">
        <w:rPr>
          <w:rFonts w:ascii="Adobe Garamond Pro" w:hAnsi="Adobe Garamond Pro"/>
          <w:sz w:val="18"/>
          <w:szCs w:val="18"/>
          <w:lang w:val="en-CA"/>
        </w:rPr>
        <w:t xml:space="preserve">Vice News. “This Woman Says a Hospital in Canada Pushed Her to Undergo Sterilization.” November 2015. </w:t>
      </w:r>
      <w:hyperlink r:id="rId36" w:history="1">
        <w:r w:rsidRPr="004B7E9C">
          <w:rPr>
            <w:rStyle w:val="Hyperlink"/>
            <w:rFonts w:ascii="Adobe Garamond Pro" w:hAnsi="Adobe Garamond Pro"/>
            <w:color w:val="E26F54"/>
            <w:sz w:val="18"/>
            <w:szCs w:val="18"/>
          </w:rPr>
          <w:t>https://news.vice.com/article/this-woman-says-a-hospital-in-canada-pushed-her-to-undergo-sterilization</w:t>
        </w:r>
      </w:hyperlink>
    </w:p>
  </w:footnote>
  <w:footnote w:id="56">
    <w:p w14:paraId="5F509CE9" w14:textId="13D07B84" w:rsidR="00A07EE1" w:rsidRPr="008137C5" w:rsidRDefault="00A07EE1" w:rsidP="00047A74">
      <w:pPr>
        <w:pStyle w:val="FootnoteText"/>
        <w:rPr>
          <w:rFonts w:ascii="Adobe Garamond Pro" w:hAnsi="Adobe Garamond Pro"/>
          <w:color w:val="0000FF"/>
          <w:sz w:val="18"/>
          <w:szCs w:val="18"/>
          <w:u w:val="single"/>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Radical Criminology. “Art through a birch bark health: an illustrated interview with Erin Marie Konsmo. </w:t>
      </w:r>
      <w:hyperlink r:id="rId37" w:history="1">
        <w:r w:rsidRPr="004B7E9C">
          <w:rPr>
            <w:rStyle w:val="Hyperlink"/>
            <w:rFonts w:ascii="Adobe Garamond Pro" w:hAnsi="Adobe Garamond Pro"/>
            <w:color w:val="E26F54"/>
            <w:sz w:val="18"/>
            <w:szCs w:val="18"/>
          </w:rPr>
          <w:t>http://journal.radicalcriminology.org/index.php/rc/article/view/29/html</w:t>
        </w:r>
      </w:hyperlink>
      <w:r w:rsidRPr="004B7E9C">
        <w:rPr>
          <w:rFonts w:ascii="Adobe Garamond Pro" w:hAnsi="Adobe Garamond Pro"/>
          <w:color w:val="E26F54"/>
          <w:sz w:val="18"/>
          <w:szCs w:val="18"/>
        </w:rPr>
        <w:t xml:space="preserve">, </w:t>
      </w:r>
      <w:r w:rsidRPr="008137C5">
        <w:rPr>
          <w:rFonts w:ascii="Adobe Garamond Pro" w:hAnsi="Adobe Garamond Pro"/>
          <w:sz w:val="18"/>
          <w:szCs w:val="18"/>
        </w:rPr>
        <w:t>2013.</w:t>
      </w:r>
    </w:p>
  </w:footnote>
  <w:footnote w:id="57">
    <w:p w14:paraId="7B0B5540" w14:textId="5F275BCF" w:rsidR="00A07EE1" w:rsidRPr="004B7E9C" w:rsidRDefault="00A07EE1" w:rsidP="00047A74">
      <w:pPr>
        <w:pStyle w:val="FootnoteText"/>
        <w:rPr>
          <w:rFonts w:ascii="Adobe Garamond Pro" w:hAnsi="Adobe Garamond Pro"/>
          <w:color w:val="E26F54"/>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Native Youth Sexual Health Network. 2013. Presentation during </w:t>
      </w:r>
      <w:r w:rsidRPr="008137C5">
        <w:rPr>
          <w:rFonts w:ascii="Adobe Garamond Pro" w:hAnsi="Adobe Garamond Pro"/>
          <w:color w:val="111111"/>
          <w:sz w:val="18"/>
          <w:szCs w:val="18"/>
          <w:shd w:val="clear" w:color="auto" w:fill="F9F9F9"/>
        </w:rPr>
        <w:t>6</w:t>
      </w:r>
      <w:r w:rsidRPr="008137C5">
        <w:rPr>
          <w:rFonts w:ascii="Adobe Garamond Pro" w:hAnsi="Adobe Garamond Pro"/>
          <w:color w:val="111111"/>
          <w:sz w:val="18"/>
          <w:szCs w:val="18"/>
          <w:shd w:val="clear" w:color="auto" w:fill="F9F9F9"/>
          <w:vertAlign w:val="superscript"/>
        </w:rPr>
        <w:t>th</w:t>
      </w:r>
      <w:r w:rsidRPr="008137C5">
        <w:rPr>
          <w:rFonts w:ascii="Adobe Garamond Pro" w:hAnsi="Adobe Garamond Pro"/>
          <w:color w:val="111111"/>
          <w:sz w:val="18"/>
          <w:szCs w:val="18"/>
          <w:shd w:val="clear" w:color="auto" w:fill="F9F9F9"/>
        </w:rPr>
        <w:t xml:space="preserve"> session of the Expert Mechanism on the Rights of Indigenous Peoples July 8-12, 2013; </w:t>
      </w:r>
      <w:hyperlink r:id="rId38" w:history="1">
        <w:r w:rsidRPr="004B7E9C">
          <w:rPr>
            <w:rStyle w:val="Hyperlink"/>
            <w:rFonts w:ascii="Adobe Garamond Pro" w:hAnsi="Adobe Garamond Pro"/>
            <w:color w:val="E26F54"/>
            <w:sz w:val="18"/>
            <w:szCs w:val="18"/>
            <w:shd w:val="clear" w:color="auto" w:fill="F9F9F9"/>
          </w:rPr>
          <w:t>http://www.nativeyouthsexualhealth.com/emrip2013item5.pdf</w:t>
        </w:r>
      </w:hyperlink>
      <w:r w:rsidRPr="004B7E9C">
        <w:rPr>
          <w:rStyle w:val="Hyperlink"/>
          <w:rFonts w:ascii="Adobe Garamond Pro" w:hAnsi="Adobe Garamond Pro"/>
          <w:color w:val="E26F54"/>
          <w:sz w:val="18"/>
          <w:szCs w:val="18"/>
          <w:shd w:val="clear" w:color="auto" w:fill="F9F9F9"/>
        </w:rPr>
        <w:t xml:space="preserve"> </w:t>
      </w:r>
    </w:p>
  </w:footnote>
  <w:footnote w:id="58">
    <w:p w14:paraId="33661A14" w14:textId="500B4E2A" w:rsidR="00A07EE1" w:rsidRPr="008137C5" w:rsidRDefault="00A07EE1"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Saskatoon Star Phoenix. “Saskatchewan women pressured to have tubal ligations.” November 17, 2015. </w:t>
      </w:r>
      <w:hyperlink r:id="rId39" w:history="1">
        <w:r w:rsidRPr="004B7E9C">
          <w:rPr>
            <w:rStyle w:val="Hyperlink"/>
            <w:rFonts w:ascii="Adobe Garamond Pro" w:hAnsi="Adobe Garamond Pro"/>
            <w:color w:val="E26F54"/>
            <w:sz w:val="18"/>
            <w:szCs w:val="18"/>
          </w:rPr>
          <w:t>http://thestarphoenix.com/news/national/women-pressured-to-have-tubal-ligations</w:t>
        </w:r>
      </w:hyperlink>
      <w:r w:rsidRPr="004B7E9C">
        <w:rPr>
          <w:rFonts w:ascii="Adobe Garamond Pro" w:hAnsi="Adobe Garamond Pro"/>
          <w:color w:val="E26F54"/>
          <w:sz w:val="18"/>
          <w:szCs w:val="18"/>
        </w:rPr>
        <w:t xml:space="preserve"> </w:t>
      </w:r>
    </w:p>
  </w:footnote>
  <w:footnote w:id="59">
    <w:p w14:paraId="1E6672C9" w14:textId="6E0A2CA0" w:rsidR="00DA4B15" w:rsidRPr="008137C5" w:rsidRDefault="00DA4B15">
      <w:pPr>
        <w:pStyle w:val="FootnoteText"/>
        <w:rPr>
          <w:sz w:val="18"/>
          <w:szCs w:val="18"/>
          <w:lang w:val="es-CO"/>
        </w:rPr>
      </w:pPr>
      <w:r w:rsidRPr="008137C5">
        <w:rPr>
          <w:rStyle w:val="FootnoteReference"/>
          <w:sz w:val="18"/>
          <w:szCs w:val="18"/>
        </w:rPr>
        <w:footnoteRef/>
      </w:r>
      <w:r w:rsidRPr="008137C5">
        <w:rPr>
          <w:sz w:val="18"/>
          <w:szCs w:val="18"/>
        </w:rPr>
        <w:t xml:space="preserve"> </w:t>
      </w:r>
      <w:r w:rsidRPr="008137C5">
        <w:rPr>
          <w:rFonts w:ascii="Adobe Garamond Pro" w:hAnsi="Adobe Garamond Pro"/>
          <w:sz w:val="18"/>
          <w:szCs w:val="18"/>
          <w:lang w:val="en-CA"/>
        </w:rPr>
        <w:t>CEDAW/C/NZL/CO/8, 2018, Concluding Observations to New Zealand, paras. 27(a), (b); 28(a)</w:t>
      </w:r>
    </w:p>
  </w:footnote>
  <w:footnote w:id="60">
    <w:p w14:paraId="6ADE1F1F" w14:textId="77777777" w:rsidR="00835317" w:rsidRPr="008137C5" w:rsidRDefault="00835317" w:rsidP="00835317">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CEDAW/C/FJI/CO/4, 2010, Concluding Observations to Fiji.</w:t>
      </w:r>
    </w:p>
  </w:footnote>
  <w:footnote w:id="61">
    <w:p w14:paraId="053939EB" w14:textId="7A443D2D" w:rsidR="007D7910" w:rsidRPr="008137C5" w:rsidRDefault="007D7910"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00DA4B15" w:rsidRPr="008137C5">
        <w:rPr>
          <w:rFonts w:ascii="Adobe Garamond Pro" w:hAnsi="Adobe Garamond Pro"/>
          <w:sz w:val="18"/>
          <w:szCs w:val="18"/>
          <w:lang w:val="en-CA"/>
        </w:rPr>
        <w:t>Id.</w:t>
      </w:r>
    </w:p>
  </w:footnote>
  <w:footnote w:id="62">
    <w:p w14:paraId="4D581C9A" w14:textId="6F148B02" w:rsidR="00DA4B15" w:rsidRPr="008137C5" w:rsidRDefault="00DA4B15">
      <w:pPr>
        <w:pStyle w:val="FootnoteText"/>
        <w:rPr>
          <w:sz w:val="18"/>
          <w:szCs w:val="18"/>
          <w:lang w:val="es-CO"/>
        </w:rPr>
      </w:pPr>
      <w:r w:rsidRPr="008137C5">
        <w:rPr>
          <w:rStyle w:val="FootnoteReference"/>
          <w:sz w:val="18"/>
          <w:szCs w:val="18"/>
        </w:rPr>
        <w:footnoteRef/>
      </w:r>
      <w:r w:rsidRPr="008137C5">
        <w:rPr>
          <w:sz w:val="18"/>
          <w:szCs w:val="18"/>
        </w:rPr>
        <w:t xml:space="preserve"> </w:t>
      </w:r>
      <w:r w:rsidRPr="008137C5">
        <w:rPr>
          <w:rFonts w:ascii="Adobe Garamond Pro" w:hAnsi="Adobe Garamond Pro"/>
          <w:sz w:val="18"/>
          <w:szCs w:val="18"/>
          <w:lang w:val="en-CA"/>
        </w:rPr>
        <w:t>CESCR, E/C.12/ZAF/CO/1, 2018, Concluding Observations to South Africa, paras. 32-33.</w:t>
      </w:r>
    </w:p>
  </w:footnote>
  <w:footnote w:id="63">
    <w:p w14:paraId="44778CDC" w14:textId="26EBE3CE" w:rsidR="007D7910" w:rsidRPr="008137C5" w:rsidRDefault="007D7910" w:rsidP="00047A74">
      <w:pPr>
        <w:pStyle w:val="FootnoteText"/>
        <w:rPr>
          <w:rFonts w:ascii="Adobe Garamond Pro" w:hAnsi="Adobe Garamond Pro"/>
          <w:sz w:val="18"/>
          <w:szCs w:val="18"/>
          <w:lang w:val="en-CA"/>
        </w:rPr>
      </w:pPr>
      <w:r w:rsidRPr="008137C5">
        <w:rPr>
          <w:rStyle w:val="FootnoteReference"/>
          <w:rFonts w:ascii="Adobe Garamond Pro" w:hAnsi="Adobe Garamond Pro"/>
          <w:sz w:val="18"/>
          <w:szCs w:val="18"/>
        </w:rPr>
        <w:footnoteRef/>
      </w:r>
      <w:r w:rsidRPr="008137C5">
        <w:rPr>
          <w:rFonts w:ascii="Adobe Garamond Pro" w:hAnsi="Adobe Garamond Pro"/>
          <w:sz w:val="18"/>
          <w:szCs w:val="18"/>
        </w:rPr>
        <w:t xml:space="preserve"> </w:t>
      </w:r>
      <w:r w:rsidR="00DA4B15" w:rsidRPr="008137C5">
        <w:rPr>
          <w:rFonts w:ascii="Adobe Garamond Pro" w:hAnsi="Adobe Garamond Pro"/>
          <w:sz w:val="18"/>
          <w:szCs w:val="18"/>
          <w:lang w:val="en-CA"/>
        </w:rPr>
        <w:t>Id.</w:t>
      </w:r>
    </w:p>
  </w:footnote>
  <w:footnote w:id="64">
    <w:p w14:paraId="06E47BED" w14:textId="77777777" w:rsidR="006B5469" w:rsidRPr="008137C5" w:rsidRDefault="006B5469" w:rsidP="006B5469">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UN General Assembly. 2010. </w:t>
      </w:r>
      <w:hyperlink r:id="rId40" w:history="1">
        <w:r w:rsidRPr="008137C5">
          <w:rPr>
            <w:rStyle w:val="Hyperlink"/>
            <w:rFonts w:ascii="Adobe Garamond Pro" w:eastAsiaTheme="majorEastAsia" w:hAnsi="Adobe Garamond Pro" w:cstheme="minorHAnsi"/>
            <w:i/>
            <w:iCs/>
            <w:color w:val="E26F54"/>
            <w:sz w:val="18"/>
            <w:szCs w:val="18"/>
          </w:rPr>
          <w:t>Report of the Special Rapporteur on the right of everyone to the enjoyment of the highest attainable standard of physical and mental health, Anand Grover</w:t>
        </w:r>
      </w:hyperlink>
      <w:r w:rsidRPr="008137C5">
        <w:rPr>
          <w:rFonts w:ascii="Adobe Garamond Pro" w:hAnsi="Adobe Garamond Pro" w:cstheme="minorHAnsi"/>
          <w:color w:val="E26F54"/>
          <w:sz w:val="18"/>
          <w:szCs w:val="18"/>
        </w:rPr>
        <w:t xml:space="preserve"> </w:t>
      </w:r>
      <w:r w:rsidRPr="008137C5">
        <w:rPr>
          <w:rFonts w:ascii="Adobe Garamond Pro" w:hAnsi="Adobe Garamond Pro" w:cstheme="minorHAnsi"/>
          <w:sz w:val="18"/>
          <w:szCs w:val="18"/>
        </w:rPr>
        <w:t>Human Rights Council, 14</w:t>
      </w:r>
      <w:r w:rsidRPr="008137C5">
        <w:rPr>
          <w:rFonts w:ascii="Adobe Garamond Pro" w:hAnsi="Adobe Garamond Pro" w:cstheme="minorHAnsi"/>
          <w:sz w:val="18"/>
          <w:szCs w:val="18"/>
          <w:vertAlign w:val="superscript"/>
        </w:rPr>
        <w:t>th</w:t>
      </w:r>
      <w:r w:rsidRPr="008137C5">
        <w:rPr>
          <w:rFonts w:ascii="Adobe Garamond Pro" w:hAnsi="Adobe Garamond Pro" w:cstheme="minorHAnsi"/>
          <w:sz w:val="18"/>
          <w:szCs w:val="18"/>
        </w:rPr>
        <w:t xml:space="preserve"> session. A/HRC/14/20.</w:t>
      </w:r>
    </w:p>
  </w:footnote>
  <w:footnote w:id="65">
    <w:p w14:paraId="7B52299D" w14:textId="77777777" w:rsidR="00BC26BB" w:rsidRPr="008137C5" w:rsidRDefault="00BC26B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Canadian Alliance for Sex Work Law Reform. “Sex work and changes to the Criminal Code after bill C-36: what does the evidence say.” </w:t>
      </w:r>
      <w:hyperlink r:id="rId41" w:history="1">
        <w:r w:rsidRPr="008137C5">
          <w:rPr>
            <w:rStyle w:val="Hyperlink"/>
            <w:rFonts w:ascii="Adobe Garamond Pro" w:eastAsiaTheme="majorEastAsia" w:hAnsi="Adobe Garamond Pro" w:cstheme="minorHAnsi"/>
            <w:color w:val="E26F54"/>
            <w:sz w:val="18"/>
            <w:szCs w:val="18"/>
          </w:rPr>
          <w:t>www.sexworklawreform.com</w:t>
        </w:r>
      </w:hyperlink>
      <w:r w:rsidRPr="008137C5">
        <w:rPr>
          <w:rFonts w:ascii="Adobe Garamond Pro" w:hAnsi="Adobe Garamond Pro" w:cstheme="minorHAnsi"/>
          <w:sz w:val="18"/>
          <w:szCs w:val="18"/>
        </w:rPr>
        <w:t xml:space="preserve">  </w:t>
      </w:r>
    </w:p>
  </w:footnote>
  <w:footnote w:id="66">
    <w:p w14:paraId="1A13559D" w14:textId="77777777" w:rsidR="00BC26BB" w:rsidRPr="008137C5" w:rsidRDefault="00BC26B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World Health Organization. 2015. Sexual health, human rights and the law. </w:t>
      </w:r>
      <w:hyperlink r:id="rId42" w:history="1">
        <w:r w:rsidRPr="008137C5">
          <w:rPr>
            <w:rStyle w:val="Hyperlink"/>
            <w:rFonts w:ascii="Adobe Garamond Pro" w:eastAsiaTheme="majorEastAsia" w:hAnsi="Adobe Garamond Pro" w:cstheme="minorHAnsi"/>
            <w:color w:val="E26F54"/>
            <w:sz w:val="18"/>
            <w:szCs w:val="18"/>
            <w:lang w:val="fr-CA"/>
          </w:rPr>
          <w:t>http://apps.who.int/iris/bitstream/10665/175556/1/9789241564984_eng.pdf?ua=1</w:t>
        </w:r>
      </w:hyperlink>
      <w:r w:rsidRPr="008137C5">
        <w:rPr>
          <w:rFonts w:ascii="Adobe Garamond Pro" w:hAnsi="Adobe Garamond Pro" w:cstheme="minorHAnsi"/>
          <w:sz w:val="18"/>
          <w:szCs w:val="18"/>
          <w:lang w:val="fr-CA"/>
        </w:rPr>
        <w:t xml:space="preserve">,  SWUAV et al. </w:t>
      </w:r>
      <w:r w:rsidRPr="008137C5">
        <w:rPr>
          <w:rFonts w:ascii="Adobe Garamond Pro" w:hAnsi="Adobe Garamond Pro" w:cstheme="minorHAnsi"/>
          <w:sz w:val="18"/>
          <w:szCs w:val="18"/>
        </w:rPr>
        <w:t xml:space="preserve">“My Work Should Not Cost me My Life” (Vancouver: Pivot Legal Society, 2014), available at: </w:t>
      </w:r>
      <w:hyperlink r:id="rId43" w:history="1">
        <w:r w:rsidRPr="008137C5">
          <w:rPr>
            <w:rStyle w:val="Hyperlink"/>
            <w:rFonts w:ascii="Adobe Garamond Pro" w:eastAsiaTheme="majorEastAsia" w:hAnsi="Adobe Garamond Pro" w:cstheme="minorHAnsi"/>
            <w:color w:val="E26F54"/>
            <w:sz w:val="18"/>
            <w:szCs w:val="18"/>
          </w:rPr>
          <w:t>http://www.pivotlegal.org/my_work</w:t>
        </w:r>
      </w:hyperlink>
      <w:r w:rsidRPr="008137C5">
        <w:rPr>
          <w:rFonts w:ascii="Adobe Garamond Pro" w:hAnsi="Adobe Garamond Pro" w:cstheme="minorHAnsi"/>
          <w:sz w:val="18"/>
          <w:szCs w:val="18"/>
        </w:rPr>
        <w:t xml:space="preserve"> and Canada (Attorney General) v. Bedford, 2013 SCC 72 </w:t>
      </w:r>
      <w:proofErr w:type="spellStart"/>
      <w:r w:rsidRPr="008137C5">
        <w:rPr>
          <w:rFonts w:ascii="Adobe Garamond Pro" w:hAnsi="Adobe Garamond Pro" w:cstheme="minorHAnsi"/>
          <w:sz w:val="18"/>
          <w:szCs w:val="18"/>
        </w:rPr>
        <w:t>CanLII</w:t>
      </w:r>
      <w:proofErr w:type="spellEnd"/>
      <w:r w:rsidRPr="008137C5">
        <w:rPr>
          <w:rFonts w:ascii="Adobe Garamond Pro" w:hAnsi="Adobe Garamond Pro" w:cstheme="minorHAnsi"/>
          <w:sz w:val="18"/>
          <w:szCs w:val="18"/>
        </w:rPr>
        <w:t xml:space="preserve">. 2013. 3 SCR 1101. Available at: </w:t>
      </w:r>
      <w:hyperlink r:id="rId44" w:history="1">
        <w:r w:rsidRPr="008137C5">
          <w:rPr>
            <w:rStyle w:val="Hyperlink"/>
            <w:rFonts w:ascii="Adobe Garamond Pro" w:eastAsiaTheme="majorEastAsia" w:hAnsi="Adobe Garamond Pro" w:cstheme="minorHAnsi"/>
            <w:color w:val="E26F54"/>
            <w:sz w:val="18"/>
            <w:szCs w:val="18"/>
          </w:rPr>
          <w:t>http://canlii.ca/t/g2f56</w:t>
        </w:r>
      </w:hyperlink>
      <w:r w:rsidRPr="008137C5">
        <w:rPr>
          <w:rFonts w:ascii="Adobe Garamond Pro" w:hAnsi="Adobe Garamond Pro" w:cstheme="minorHAnsi"/>
          <w:sz w:val="18"/>
          <w:szCs w:val="18"/>
        </w:rPr>
        <w:t xml:space="preserve"> </w:t>
      </w:r>
    </w:p>
  </w:footnote>
  <w:footnote w:id="67">
    <w:p w14:paraId="72C818F6" w14:textId="77777777" w:rsidR="00BC26BB" w:rsidRPr="008137C5" w:rsidRDefault="00BC26B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Canadian Alliance for Sex Work Law Reform: factsheet “Why Decriminalization is Consistent with Public Health Goals.” </w:t>
      </w:r>
      <w:hyperlink r:id="rId45" w:history="1">
        <w:r w:rsidRPr="008137C5">
          <w:rPr>
            <w:rStyle w:val="Hyperlink"/>
            <w:rFonts w:ascii="Adobe Garamond Pro" w:eastAsiaTheme="majorEastAsia" w:hAnsi="Adobe Garamond Pro" w:cstheme="minorHAnsi"/>
            <w:color w:val="E26F54"/>
            <w:sz w:val="18"/>
            <w:szCs w:val="18"/>
          </w:rPr>
          <w:t>https://drive.google.com/folderview?id=0B3mqMOhRg5FeLWpPd21VYTlidTA&amp;usp=sharing&amp;tid=0B3mqMOhRg5FeNlY4ZkxFb2pLaWM</w:t>
        </w:r>
      </w:hyperlink>
    </w:p>
  </w:footnote>
  <w:footnote w:id="68">
    <w:p w14:paraId="017286AA" w14:textId="77777777" w:rsidR="00BC26BB" w:rsidRPr="008137C5" w:rsidRDefault="00BC26B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Kim Blankenship and Stephen Koester, “Criminal  Law, Policing Policy and HIV Risk in Female Street Sex Workers and Injection Drug Users” (2002) 30 Journal of Law, Medicine and Ethics 548, p.550; Annika Eriksson and Anna </w:t>
      </w:r>
      <w:proofErr w:type="spellStart"/>
      <w:r w:rsidRPr="008137C5">
        <w:rPr>
          <w:rFonts w:ascii="Adobe Garamond Pro" w:hAnsi="Adobe Garamond Pro" w:cstheme="minorHAnsi"/>
          <w:sz w:val="18"/>
          <w:szCs w:val="18"/>
        </w:rPr>
        <w:t>Gavanas</w:t>
      </w:r>
      <w:proofErr w:type="spellEnd"/>
      <w:r w:rsidRPr="008137C5">
        <w:rPr>
          <w:rFonts w:ascii="Adobe Garamond Pro" w:hAnsi="Adobe Garamond Pro" w:cstheme="minorHAnsi"/>
          <w:sz w:val="18"/>
          <w:szCs w:val="18"/>
        </w:rPr>
        <w:t>, Prostitution in Sweden 2007 (</w:t>
      </w:r>
      <w:proofErr w:type="spellStart"/>
      <w:r w:rsidRPr="008137C5">
        <w:rPr>
          <w:rFonts w:ascii="Adobe Garamond Pro" w:hAnsi="Adobe Garamond Pro" w:cstheme="minorHAnsi"/>
          <w:sz w:val="18"/>
          <w:szCs w:val="18"/>
        </w:rPr>
        <w:t>Socialstyrelsen</w:t>
      </w:r>
      <w:proofErr w:type="spellEnd"/>
      <w:r w:rsidRPr="008137C5">
        <w:rPr>
          <w:rFonts w:ascii="Adobe Garamond Pro" w:hAnsi="Adobe Garamond Pro" w:cstheme="minorHAnsi"/>
          <w:sz w:val="18"/>
          <w:szCs w:val="18"/>
        </w:rPr>
        <w:t xml:space="preserve"> 2008) </w:t>
      </w:r>
      <w:hyperlink r:id="rId46" w:history="1">
        <w:r w:rsidRPr="008137C5">
          <w:rPr>
            <w:rStyle w:val="Hyperlink"/>
            <w:rFonts w:ascii="Adobe Garamond Pro" w:eastAsiaTheme="majorEastAsia" w:hAnsi="Adobe Garamond Pro" w:cstheme="minorHAnsi"/>
            <w:color w:val="E26F54"/>
            <w:sz w:val="18"/>
            <w:szCs w:val="18"/>
          </w:rPr>
          <w:t>http://www.socialstyrelsen.se/lists/artikelkatalog/attachments/8806/2008-126-65_200812665.pdf</w:t>
        </w:r>
      </w:hyperlink>
      <w:r w:rsidRPr="008137C5">
        <w:rPr>
          <w:rFonts w:ascii="Adobe Garamond Pro" w:hAnsi="Adobe Garamond Pro" w:cstheme="minorHAnsi"/>
          <w:sz w:val="18"/>
          <w:szCs w:val="18"/>
        </w:rPr>
        <w:t xml:space="preserve"> p.48; Ulf </w:t>
      </w:r>
      <w:proofErr w:type="spellStart"/>
      <w:r w:rsidRPr="008137C5">
        <w:rPr>
          <w:rFonts w:ascii="Adobe Garamond Pro" w:hAnsi="Adobe Garamond Pro" w:cstheme="minorHAnsi"/>
          <w:sz w:val="18"/>
          <w:szCs w:val="18"/>
        </w:rPr>
        <w:t>Stridbeck</w:t>
      </w:r>
      <w:proofErr w:type="spellEnd"/>
      <w:r w:rsidRPr="008137C5">
        <w:rPr>
          <w:rFonts w:ascii="Adobe Garamond Pro" w:hAnsi="Adobe Garamond Pro" w:cstheme="minorHAnsi"/>
          <w:sz w:val="18"/>
          <w:szCs w:val="18"/>
        </w:rPr>
        <w:t xml:space="preserve"> (ed.), Purchasing Sexual Services in Sweden and the Netherlands: Legal Regulation and Experiences—An Abbreviated  English Version. A Report by a Working Group on the legal regulation  of  the  purchase of sexual services (</w:t>
      </w:r>
      <w:proofErr w:type="spellStart"/>
      <w:r w:rsidRPr="008137C5">
        <w:rPr>
          <w:rFonts w:ascii="Adobe Garamond Pro" w:hAnsi="Adobe Garamond Pro" w:cstheme="minorHAnsi"/>
          <w:sz w:val="18"/>
          <w:szCs w:val="18"/>
        </w:rPr>
        <w:t>Justis-ogPolitidepartementet</w:t>
      </w:r>
      <w:proofErr w:type="spellEnd"/>
      <w:r w:rsidRPr="008137C5">
        <w:rPr>
          <w:rFonts w:ascii="Adobe Garamond Pro" w:hAnsi="Adobe Garamond Pro" w:cstheme="minorHAnsi"/>
          <w:sz w:val="18"/>
          <w:szCs w:val="18"/>
        </w:rPr>
        <w:t xml:space="preserve">, 2004) </w:t>
      </w:r>
      <w:hyperlink r:id="rId47" w:history="1">
        <w:r w:rsidRPr="008137C5">
          <w:rPr>
            <w:rStyle w:val="Hyperlink"/>
            <w:rFonts w:ascii="Adobe Garamond Pro" w:eastAsiaTheme="majorEastAsia" w:hAnsi="Adobe Garamond Pro" w:cstheme="minorHAnsi"/>
            <w:color w:val="E26F54"/>
            <w:sz w:val="18"/>
            <w:szCs w:val="18"/>
          </w:rPr>
          <w:t>http://www.regjeringen.no/upload/kilde/jd/rap/2004/0034/ddd/pdfv/232216- purchasing_sexual_services_in_sweden_and_the_nederlands.pdf</w:t>
        </w:r>
      </w:hyperlink>
      <w:r w:rsidRPr="008137C5">
        <w:rPr>
          <w:rFonts w:ascii="Adobe Garamond Pro" w:hAnsi="Adobe Garamond Pro" w:cstheme="minorHAnsi"/>
          <w:sz w:val="18"/>
          <w:szCs w:val="18"/>
        </w:rPr>
        <w:t xml:space="preserve"> pp.13 and 19; Petra </w:t>
      </w:r>
      <w:proofErr w:type="spellStart"/>
      <w:r w:rsidRPr="008137C5">
        <w:rPr>
          <w:rFonts w:ascii="Adobe Garamond Pro" w:hAnsi="Adobe Garamond Pro" w:cstheme="minorHAnsi"/>
          <w:sz w:val="18"/>
          <w:szCs w:val="18"/>
        </w:rPr>
        <w:t>Östergren</w:t>
      </w:r>
      <w:proofErr w:type="spellEnd"/>
      <w:r w:rsidRPr="008137C5">
        <w:rPr>
          <w:rFonts w:ascii="Adobe Garamond Pro" w:hAnsi="Adobe Garamond Pro" w:cstheme="minorHAnsi"/>
          <w:sz w:val="18"/>
          <w:szCs w:val="18"/>
        </w:rPr>
        <w:t>, “</w:t>
      </w:r>
      <w:proofErr w:type="spellStart"/>
      <w:r w:rsidRPr="008137C5">
        <w:rPr>
          <w:rFonts w:ascii="Adobe Garamond Pro" w:hAnsi="Adobe Garamond Pro" w:cstheme="minorHAnsi"/>
          <w:sz w:val="18"/>
          <w:szCs w:val="18"/>
        </w:rPr>
        <w:t>Sexworkers</w:t>
      </w:r>
      <w:proofErr w:type="spellEnd"/>
      <w:r w:rsidRPr="008137C5">
        <w:rPr>
          <w:rFonts w:ascii="Adobe Garamond Pro" w:hAnsi="Adobe Garamond Pro" w:cstheme="minorHAnsi"/>
          <w:sz w:val="18"/>
          <w:szCs w:val="18"/>
        </w:rPr>
        <w:t xml:space="preserve"> critique of Swedish Prostitution policy” (2004), </w:t>
      </w:r>
      <w:hyperlink r:id="rId48" w:history="1">
        <w:r w:rsidRPr="008137C5">
          <w:rPr>
            <w:rStyle w:val="Hyperlink"/>
            <w:rFonts w:ascii="Adobe Garamond Pro" w:eastAsiaTheme="majorEastAsia" w:hAnsi="Adobe Garamond Pro" w:cstheme="minorHAnsi"/>
            <w:color w:val="E26F54"/>
            <w:sz w:val="18"/>
            <w:szCs w:val="18"/>
          </w:rPr>
          <w:t>http://www.petraostergren.com/pages.aspx?r_id=40716</w:t>
        </w:r>
      </w:hyperlink>
      <w:r w:rsidRPr="008137C5">
        <w:rPr>
          <w:rFonts w:ascii="Adobe Garamond Pro" w:hAnsi="Adobe Garamond Pro" w:cstheme="minorHAnsi"/>
          <w:sz w:val="18"/>
          <w:szCs w:val="18"/>
        </w:rPr>
        <w:t xml:space="preserve">; Rosie Campbell and </w:t>
      </w:r>
      <w:proofErr w:type="spellStart"/>
      <w:r w:rsidRPr="008137C5">
        <w:rPr>
          <w:rFonts w:ascii="Adobe Garamond Pro" w:hAnsi="Adobe Garamond Pro" w:cstheme="minorHAnsi"/>
          <w:sz w:val="18"/>
          <w:szCs w:val="18"/>
        </w:rPr>
        <w:t>Merl</w:t>
      </w:r>
      <w:proofErr w:type="spellEnd"/>
      <w:r w:rsidRPr="008137C5">
        <w:rPr>
          <w:rFonts w:ascii="Adobe Garamond Pro" w:hAnsi="Adobe Garamond Pro" w:cstheme="minorHAnsi"/>
          <w:sz w:val="18"/>
          <w:szCs w:val="18"/>
        </w:rPr>
        <w:t xml:space="preserve"> </w:t>
      </w:r>
      <w:proofErr w:type="spellStart"/>
      <w:r w:rsidRPr="008137C5">
        <w:rPr>
          <w:rFonts w:ascii="Adobe Garamond Pro" w:hAnsi="Adobe Garamond Pro" w:cstheme="minorHAnsi"/>
          <w:sz w:val="18"/>
          <w:szCs w:val="18"/>
        </w:rPr>
        <w:t>Storr</w:t>
      </w:r>
      <w:proofErr w:type="spellEnd"/>
      <w:r w:rsidRPr="008137C5">
        <w:rPr>
          <w:rFonts w:ascii="Adobe Garamond Pro" w:hAnsi="Adobe Garamond Pro" w:cstheme="minorHAnsi"/>
          <w:sz w:val="18"/>
          <w:szCs w:val="18"/>
        </w:rPr>
        <w:t xml:space="preserve">, “Challenging the </w:t>
      </w:r>
      <w:proofErr w:type="spellStart"/>
      <w:r w:rsidRPr="008137C5">
        <w:rPr>
          <w:rFonts w:ascii="Adobe Garamond Pro" w:hAnsi="Adobe Garamond Pro" w:cstheme="minorHAnsi"/>
          <w:sz w:val="18"/>
          <w:szCs w:val="18"/>
        </w:rPr>
        <w:t>Kerb</w:t>
      </w:r>
      <w:proofErr w:type="spellEnd"/>
      <w:r w:rsidRPr="008137C5">
        <w:rPr>
          <w:rFonts w:ascii="Adobe Garamond Pro" w:hAnsi="Adobe Garamond Pro" w:cstheme="minorHAnsi"/>
          <w:sz w:val="18"/>
          <w:szCs w:val="18"/>
        </w:rPr>
        <w:t xml:space="preserve"> Crawler Rehabilitation </w:t>
      </w:r>
      <w:proofErr w:type="spellStart"/>
      <w:r w:rsidRPr="008137C5">
        <w:rPr>
          <w:rFonts w:ascii="Adobe Garamond Pro" w:hAnsi="Adobe Garamond Pro" w:cstheme="minorHAnsi"/>
          <w:sz w:val="18"/>
          <w:szCs w:val="18"/>
        </w:rPr>
        <w:t>Programme</w:t>
      </w:r>
      <w:proofErr w:type="spellEnd"/>
      <w:r w:rsidRPr="008137C5">
        <w:rPr>
          <w:rFonts w:ascii="Adobe Garamond Pro" w:hAnsi="Adobe Garamond Pro" w:cstheme="minorHAnsi"/>
          <w:sz w:val="18"/>
          <w:szCs w:val="18"/>
        </w:rPr>
        <w:t xml:space="preserve">” (2001) 67 Feminist Review 94, 102 citing Steph Wilcock, The Lifeline </w:t>
      </w:r>
      <w:proofErr w:type="spellStart"/>
      <w:r w:rsidRPr="008137C5">
        <w:rPr>
          <w:rFonts w:ascii="Adobe Garamond Pro" w:hAnsi="Adobe Garamond Pro" w:cstheme="minorHAnsi"/>
          <w:sz w:val="18"/>
          <w:szCs w:val="18"/>
        </w:rPr>
        <w:t>Sexwork</w:t>
      </w:r>
      <w:proofErr w:type="spellEnd"/>
      <w:r w:rsidRPr="008137C5">
        <w:rPr>
          <w:rFonts w:ascii="Adobe Garamond Pro" w:hAnsi="Adobe Garamond Pro" w:cstheme="minorHAnsi"/>
          <w:sz w:val="18"/>
          <w:szCs w:val="18"/>
        </w:rPr>
        <w:t xml:space="preserve"> Project Report: Occupational Health and Safety Issues and Drug Using Patterns of Current </w:t>
      </w:r>
      <w:proofErr w:type="spellStart"/>
      <w:r w:rsidRPr="008137C5">
        <w:rPr>
          <w:rFonts w:ascii="Adobe Garamond Pro" w:hAnsi="Adobe Garamond Pro" w:cstheme="minorHAnsi"/>
          <w:sz w:val="18"/>
          <w:szCs w:val="18"/>
        </w:rPr>
        <w:t>Sexworker</w:t>
      </w:r>
      <w:proofErr w:type="spellEnd"/>
      <w:r w:rsidRPr="008137C5">
        <w:rPr>
          <w:rFonts w:ascii="Adobe Garamond Pro" w:hAnsi="Adobe Garamond Pro" w:cstheme="minorHAnsi"/>
          <w:sz w:val="18"/>
          <w:szCs w:val="18"/>
        </w:rPr>
        <w:t xml:space="preserve">: Survey Findings (Manchester: Lifeline, 1998); Pro </w:t>
      </w:r>
      <w:proofErr w:type="spellStart"/>
      <w:r w:rsidRPr="008137C5">
        <w:rPr>
          <w:rFonts w:ascii="Adobe Garamond Pro" w:hAnsi="Adobe Garamond Pro" w:cstheme="minorHAnsi"/>
          <w:sz w:val="18"/>
          <w:szCs w:val="18"/>
        </w:rPr>
        <w:t>Sentret</w:t>
      </w:r>
      <w:proofErr w:type="spellEnd"/>
      <w:r w:rsidRPr="008137C5">
        <w:rPr>
          <w:rFonts w:ascii="Adobe Garamond Pro" w:hAnsi="Adobe Garamond Pro" w:cstheme="minorHAnsi"/>
          <w:sz w:val="18"/>
          <w:szCs w:val="18"/>
        </w:rPr>
        <w:t xml:space="preserve">, </w:t>
      </w:r>
      <w:proofErr w:type="spellStart"/>
      <w:r w:rsidRPr="008137C5">
        <w:rPr>
          <w:rFonts w:ascii="Adobe Garamond Pro" w:hAnsi="Adobe Garamond Pro" w:cstheme="minorHAnsi"/>
          <w:sz w:val="18"/>
          <w:szCs w:val="18"/>
        </w:rPr>
        <w:t>Året</w:t>
      </w:r>
      <w:proofErr w:type="spellEnd"/>
      <w:r w:rsidRPr="008137C5">
        <w:rPr>
          <w:rFonts w:ascii="Adobe Garamond Pro" w:hAnsi="Adobe Garamond Pro" w:cstheme="minorHAnsi"/>
          <w:sz w:val="18"/>
          <w:szCs w:val="18"/>
        </w:rPr>
        <w:t xml:space="preserve"> 2010/2011), pp.72, 78-79.</w:t>
      </w:r>
    </w:p>
  </w:footnote>
  <w:footnote w:id="69">
    <w:p w14:paraId="21A4CD73" w14:textId="77777777" w:rsidR="00BC26BB" w:rsidRPr="008137C5" w:rsidRDefault="00BC26B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w:t>
      </w:r>
      <w:proofErr w:type="spellStart"/>
      <w:r w:rsidRPr="008137C5">
        <w:rPr>
          <w:rFonts w:ascii="Adobe Garamond Pro" w:hAnsi="Adobe Garamond Pro" w:cstheme="minorHAnsi"/>
          <w:sz w:val="18"/>
          <w:szCs w:val="18"/>
        </w:rPr>
        <w:t>Helsedirektoratet</w:t>
      </w:r>
      <w:proofErr w:type="spellEnd"/>
      <w:r w:rsidRPr="008137C5">
        <w:rPr>
          <w:rFonts w:ascii="Adobe Garamond Pro" w:hAnsi="Adobe Garamond Pro" w:cstheme="minorHAnsi"/>
          <w:sz w:val="18"/>
          <w:szCs w:val="18"/>
        </w:rPr>
        <w:t xml:space="preserve"> (Norwegian Directorate of Health), UNGASS Country Progress Report Norway: Jan. 2008–Dec. 2009 (</w:t>
      </w:r>
      <w:proofErr w:type="spellStart"/>
      <w:r w:rsidRPr="008137C5">
        <w:rPr>
          <w:rFonts w:ascii="Adobe Garamond Pro" w:hAnsi="Adobe Garamond Pro" w:cstheme="minorHAnsi"/>
          <w:sz w:val="18"/>
          <w:szCs w:val="18"/>
        </w:rPr>
        <w:t>Helsedirektoratet</w:t>
      </w:r>
      <w:proofErr w:type="spellEnd"/>
      <w:r w:rsidRPr="008137C5">
        <w:rPr>
          <w:rFonts w:ascii="Adobe Garamond Pro" w:hAnsi="Adobe Garamond Pro" w:cstheme="minorHAnsi"/>
          <w:sz w:val="18"/>
          <w:szCs w:val="18"/>
        </w:rPr>
        <w:t xml:space="preserve">, Apr. 2010) </w:t>
      </w:r>
      <w:hyperlink r:id="rId49" w:history="1">
        <w:r w:rsidRPr="008137C5">
          <w:rPr>
            <w:rStyle w:val="Hyperlink"/>
            <w:rFonts w:ascii="Adobe Garamond Pro" w:eastAsiaTheme="majorEastAsia" w:hAnsi="Adobe Garamond Pro" w:cstheme="minorHAnsi"/>
            <w:color w:val="E26F54"/>
            <w:sz w:val="18"/>
            <w:szCs w:val="18"/>
          </w:rPr>
          <w:t>http://www.unaids.org/en/dataanalysis/knowyourresponse/countryprogressreports/2010countries/norway_2010</w:t>
        </w:r>
      </w:hyperlink>
      <w:r w:rsidRPr="008137C5">
        <w:rPr>
          <w:rFonts w:ascii="Adobe Garamond Pro" w:hAnsi="Adobe Garamond Pro" w:cstheme="minorHAnsi"/>
          <w:sz w:val="18"/>
          <w:szCs w:val="18"/>
        </w:rPr>
        <w:t>.</w:t>
      </w:r>
    </w:p>
  </w:footnote>
  <w:footnote w:id="70">
    <w:p w14:paraId="4A6A7644" w14:textId="77777777" w:rsidR="00BC26BB" w:rsidRPr="008137C5" w:rsidRDefault="00BC26B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The Lancet. 2014. “HIV and Sex Workers.” </w:t>
      </w:r>
      <w:hyperlink r:id="rId50" w:history="1">
        <w:r w:rsidRPr="008137C5">
          <w:rPr>
            <w:rStyle w:val="Hyperlink"/>
            <w:rFonts w:ascii="Adobe Garamond Pro" w:eastAsiaTheme="majorEastAsia" w:hAnsi="Adobe Garamond Pro" w:cstheme="minorHAnsi"/>
            <w:color w:val="E26F54"/>
            <w:sz w:val="18"/>
            <w:szCs w:val="18"/>
          </w:rPr>
          <w:t>http://www.thelancet.com/series/HIV-and-sex-workers</w:t>
        </w:r>
      </w:hyperlink>
      <w:r w:rsidRPr="008137C5">
        <w:rPr>
          <w:rFonts w:ascii="Adobe Garamond Pro" w:hAnsi="Adobe Garamond Pro" w:cstheme="minorHAnsi"/>
          <w:sz w:val="18"/>
          <w:szCs w:val="18"/>
        </w:rPr>
        <w:t>.</w:t>
      </w:r>
    </w:p>
  </w:footnote>
  <w:footnote w:id="71">
    <w:p w14:paraId="7147EA9A" w14:textId="2C604028" w:rsidR="00BC26BB" w:rsidRPr="00426F08" w:rsidRDefault="00BC26BB" w:rsidP="00047A74">
      <w:pPr>
        <w:spacing w:after="0" w:line="240" w:lineRule="auto"/>
        <w:rPr>
          <w:rFonts w:cstheme="minorHAnsi"/>
          <w:color w:val="E26F54"/>
          <w:sz w:val="18"/>
          <w:szCs w:val="18"/>
        </w:rPr>
      </w:pPr>
      <w:r w:rsidRPr="008137C5">
        <w:rPr>
          <w:rStyle w:val="FootnoteReference"/>
          <w:rFonts w:cstheme="minorHAnsi"/>
          <w:sz w:val="18"/>
          <w:szCs w:val="18"/>
        </w:rPr>
        <w:footnoteRef/>
      </w:r>
      <w:r w:rsidRPr="008137C5">
        <w:rPr>
          <w:rFonts w:cstheme="minorHAnsi"/>
          <w:sz w:val="18"/>
          <w:szCs w:val="18"/>
        </w:rPr>
        <w:t xml:space="preserve"> The criminalization of both the selling and the purchase of sexual services invites police harassment as well as makes sex workers more vulnerable to violence as it pushes sex work underground where it is harder to negotiate safer working conditions and consistent condom use; increases sex workers’ isolation and marginalization while it concurrently limits access to police protection and support services, as well as decreases their ability to report violence to police; results in sex workers having to take risks with new, less familiar or less desirable clients as they have less time to screen them, and being displaced to isolated areas as the client’s fear of arrest may also have a dispersal effect; prevents sex workers from implementing simple safety enhancing measures such as working in pairs, working in familiar areas or having the time to consult bad date lists, which provides critical information for people to protect themselves; and intensifies the social stigma of selling sex. The Criminalization of the selling and purchase of sexual services is a violation of the right to bodily autonomy and to have control over and decide freely upon all matters relating to one’s sexuality. The new law’s assumption about sex workers as women strongly links this approach with the desire to control women’s sexuality, hinders sex workers’ ability to communicate with their clients about what services they consent to provide and which ones they do not, and rests on the incorrect conflation of consensual sex work with coercion or trafficking, which prohibits the former.</w:t>
      </w:r>
      <w:r w:rsidR="00415B8E" w:rsidRPr="008137C5">
        <w:rPr>
          <w:rFonts w:cstheme="minorHAnsi"/>
          <w:sz w:val="18"/>
          <w:szCs w:val="18"/>
        </w:rPr>
        <w:t xml:space="preserve"> For more information, visit the Canadian Alliance for Sex Work Law Reform: </w:t>
      </w:r>
      <w:hyperlink r:id="rId51" w:history="1">
        <w:r w:rsidR="00415B8E" w:rsidRPr="00426F08">
          <w:rPr>
            <w:rStyle w:val="Hyperlink"/>
            <w:color w:val="E26F54"/>
            <w:sz w:val="18"/>
            <w:szCs w:val="18"/>
          </w:rPr>
          <w:t>http://sexworklawreform.com/wp-content/uploads/2017/05/Laws-General.pdf</w:t>
        </w:r>
      </w:hyperlink>
      <w:r w:rsidR="00415B8E" w:rsidRPr="00426F08">
        <w:rPr>
          <w:rFonts w:cstheme="minorHAnsi"/>
          <w:color w:val="E26F54"/>
          <w:sz w:val="18"/>
          <w:szCs w:val="18"/>
        </w:rPr>
        <w:t xml:space="preserve"> </w:t>
      </w:r>
    </w:p>
  </w:footnote>
  <w:footnote w:id="72">
    <w:p w14:paraId="18709ECD" w14:textId="77777777" w:rsidR="00F936AB" w:rsidRPr="008137C5" w:rsidRDefault="00F936AB" w:rsidP="00047A74">
      <w:pPr>
        <w:spacing w:after="0" w:line="240" w:lineRule="auto"/>
        <w:ind w:right="-20"/>
        <w:rPr>
          <w:rFonts w:eastAsia="Arial" w:cstheme="minorHAnsi"/>
          <w:sz w:val="18"/>
          <w:szCs w:val="18"/>
        </w:rPr>
      </w:pPr>
      <w:r w:rsidRPr="008137C5">
        <w:rPr>
          <w:rStyle w:val="FootnoteReference"/>
          <w:rFonts w:cstheme="minorHAnsi"/>
          <w:sz w:val="18"/>
          <w:szCs w:val="18"/>
        </w:rPr>
        <w:footnoteRef/>
      </w:r>
      <w:r w:rsidRPr="008137C5">
        <w:rPr>
          <w:rFonts w:cstheme="minorHAnsi"/>
          <w:sz w:val="18"/>
          <w:szCs w:val="18"/>
        </w:rPr>
        <w:t xml:space="preserve"> </w:t>
      </w:r>
      <w:r w:rsidRPr="008137C5">
        <w:rPr>
          <w:rFonts w:eastAsia="Arial" w:cstheme="minorHAnsi"/>
          <w:spacing w:val="-1"/>
          <w:sz w:val="18"/>
          <w:szCs w:val="18"/>
        </w:rPr>
        <w:t>B</w:t>
      </w:r>
      <w:r w:rsidRPr="008137C5">
        <w:rPr>
          <w:rFonts w:eastAsia="Arial" w:cstheme="minorHAnsi"/>
          <w:sz w:val="18"/>
          <w:szCs w:val="18"/>
        </w:rPr>
        <w:t>ut</w:t>
      </w:r>
      <w:r w:rsidRPr="008137C5">
        <w:rPr>
          <w:rFonts w:eastAsia="Arial" w:cstheme="minorHAnsi"/>
          <w:spacing w:val="2"/>
          <w:sz w:val="18"/>
          <w:szCs w:val="18"/>
        </w:rPr>
        <w:t>t</w:t>
      </w:r>
      <w:r w:rsidRPr="008137C5">
        <w:rPr>
          <w:rFonts w:eastAsia="Arial" w:cstheme="minorHAnsi"/>
          <w:sz w:val="18"/>
          <w:szCs w:val="18"/>
        </w:rPr>
        <w:t>e</w:t>
      </w:r>
      <w:r w:rsidRPr="008137C5">
        <w:rPr>
          <w:rFonts w:eastAsia="Arial" w:cstheme="minorHAnsi"/>
          <w:spacing w:val="1"/>
          <w:sz w:val="18"/>
          <w:szCs w:val="18"/>
        </w:rPr>
        <w:t>r</w:t>
      </w:r>
      <w:r w:rsidRPr="008137C5">
        <w:rPr>
          <w:rFonts w:eastAsia="Arial" w:cstheme="minorHAnsi"/>
          <w:spacing w:val="2"/>
          <w:sz w:val="18"/>
          <w:szCs w:val="18"/>
        </w:rPr>
        <w:t>f</w:t>
      </w:r>
      <w:r w:rsidRPr="008137C5">
        <w:rPr>
          <w:rFonts w:eastAsia="Arial" w:cstheme="minorHAnsi"/>
          <w:spacing w:val="1"/>
          <w:sz w:val="18"/>
          <w:szCs w:val="18"/>
        </w:rPr>
        <w:t>l</w:t>
      </w:r>
      <w:r w:rsidRPr="008137C5">
        <w:rPr>
          <w:rFonts w:eastAsia="Arial" w:cstheme="minorHAnsi"/>
          <w:sz w:val="18"/>
          <w:szCs w:val="18"/>
        </w:rPr>
        <w:t>y</w:t>
      </w:r>
      <w:r w:rsidRPr="008137C5">
        <w:rPr>
          <w:rFonts w:eastAsia="Arial" w:cstheme="minorHAnsi"/>
          <w:spacing w:val="-11"/>
          <w:sz w:val="18"/>
          <w:szCs w:val="18"/>
        </w:rPr>
        <w:t xml:space="preserve"> </w:t>
      </w:r>
      <w:r w:rsidRPr="008137C5">
        <w:rPr>
          <w:rFonts w:eastAsia="Arial" w:cstheme="minorHAnsi"/>
          <w:spacing w:val="1"/>
          <w:sz w:val="18"/>
          <w:szCs w:val="18"/>
        </w:rPr>
        <w:t>(</w:t>
      </w:r>
      <w:r w:rsidRPr="008137C5">
        <w:rPr>
          <w:rFonts w:eastAsia="Arial" w:cstheme="minorHAnsi"/>
          <w:spacing w:val="-1"/>
          <w:sz w:val="18"/>
          <w:szCs w:val="18"/>
        </w:rPr>
        <w:t>A</w:t>
      </w:r>
      <w:r w:rsidRPr="008137C5">
        <w:rPr>
          <w:rFonts w:eastAsia="Arial" w:cstheme="minorHAnsi"/>
          <w:spacing w:val="4"/>
          <w:sz w:val="18"/>
          <w:szCs w:val="18"/>
        </w:rPr>
        <w:t>s</w:t>
      </w:r>
      <w:r w:rsidRPr="008137C5">
        <w:rPr>
          <w:rFonts w:eastAsia="Arial" w:cstheme="minorHAnsi"/>
          <w:spacing w:val="-1"/>
          <w:sz w:val="18"/>
          <w:szCs w:val="18"/>
        </w:rPr>
        <w:t>i</w:t>
      </w:r>
      <w:r w:rsidRPr="008137C5">
        <w:rPr>
          <w:rFonts w:eastAsia="Arial" w:cstheme="minorHAnsi"/>
          <w:sz w:val="18"/>
          <w:szCs w:val="18"/>
        </w:rPr>
        <w:t>an</w:t>
      </w:r>
      <w:r w:rsidRPr="008137C5">
        <w:rPr>
          <w:rFonts w:eastAsia="Arial" w:cstheme="minorHAnsi"/>
          <w:spacing w:val="-4"/>
          <w:sz w:val="18"/>
          <w:szCs w:val="18"/>
        </w:rPr>
        <w:t xml:space="preserve"> </w:t>
      </w:r>
      <w:r w:rsidRPr="008137C5">
        <w:rPr>
          <w:rFonts w:eastAsia="Arial" w:cstheme="minorHAnsi"/>
          <w:sz w:val="18"/>
          <w:szCs w:val="18"/>
        </w:rPr>
        <w:t>and</w:t>
      </w:r>
      <w:r w:rsidRPr="008137C5">
        <w:rPr>
          <w:rFonts w:eastAsia="Arial" w:cstheme="minorHAnsi"/>
          <w:spacing w:val="-1"/>
          <w:sz w:val="18"/>
          <w:szCs w:val="18"/>
        </w:rPr>
        <w:t xml:space="preserve"> </w:t>
      </w:r>
      <w:r w:rsidRPr="008137C5">
        <w:rPr>
          <w:rFonts w:eastAsia="Arial" w:cstheme="minorHAnsi"/>
          <w:spacing w:val="2"/>
          <w:sz w:val="18"/>
          <w:szCs w:val="18"/>
        </w:rPr>
        <w:t>M</w:t>
      </w:r>
      <w:r w:rsidRPr="008137C5">
        <w:rPr>
          <w:rFonts w:eastAsia="Arial" w:cstheme="minorHAnsi"/>
          <w:spacing w:val="-1"/>
          <w:sz w:val="18"/>
          <w:szCs w:val="18"/>
        </w:rPr>
        <w:t>i</w:t>
      </w:r>
      <w:r w:rsidRPr="008137C5">
        <w:rPr>
          <w:rFonts w:eastAsia="Arial" w:cstheme="minorHAnsi"/>
          <w:sz w:val="18"/>
          <w:szCs w:val="18"/>
        </w:rPr>
        <w:t>g</w:t>
      </w:r>
      <w:r w:rsidRPr="008137C5">
        <w:rPr>
          <w:rFonts w:eastAsia="Arial" w:cstheme="minorHAnsi"/>
          <w:spacing w:val="1"/>
          <w:sz w:val="18"/>
          <w:szCs w:val="18"/>
        </w:rPr>
        <w:t>r</w:t>
      </w:r>
      <w:r w:rsidRPr="008137C5">
        <w:rPr>
          <w:rFonts w:eastAsia="Arial" w:cstheme="minorHAnsi"/>
          <w:spacing w:val="2"/>
          <w:sz w:val="18"/>
          <w:szCs w:val="18"/>
        </w:rPr>
        <w:t>a</w:t>
      </w:r>
      <w:r w:rsidRPr="008137C5">
        <w:rPr>
          <w:rFonts w:eastAsia="Arial" w:cstheme="minorHAnsi"/>
          <w:sz w:val="18"/>
          <w:szCs w:val="18"/>
        </w:rPr>
        <w:t>nt</w:t>
      </w:r>
      <w:r w:rsidRPr="008137C5">
        <w:rPr>
          <w:rFonts w:eastAsia="Arial" w:cstheme="minorHAnsi"/>
          <w:spacing w:val="-8"/>
          <w:sz w:val="18"/>
          <w:szCs w:val="18"/>
        </w:rPr>
        <w:t xml:space="preserve"> </w:t>
      </w:r>
      <w:r w:rsidRPr="008137C5">
        <w:rPr>
          <w:rFonts w:eastAsia="Arial" w:cstheme="minorHAnsi"/>
          <w:spacing w:val="2"/>
          <w:sz w:val="18"/>
          <w:szCs w:val="18"/>
        </w:rPr>
        <w:t>S</w:t>
      </w:r>
      <w:r w:rsidRPr="008137C5">
        <w:rPr>
          <w:rFonts w:eastAsia="Arial" w:cstheme="minorHAnsi"/>
          <w:sz w:val="18"/>
          <w:szCs w:val="18"/>
        </w:rPr>
        <w:t>ex</w:t>
      </w:r>
      <w:r w:rsidRPr="008137C5">
        <w:rPr>
          <w:rFonts w:eastAsia="Arial" w:cstheme="minorHAnsi"/>
          <w:spacing w:val="-7"/>
          <w:sz w:val="18"/>
          <w:szCs w:val="18"/>
        </w:rPr>
        <w:t xml:space="preserve"> </w:t>
      </w:r>
      <w:r w:rsidRPr="008137C5">
        <w:rPr>
          <w:rFonts w:eastAsia="Arial" w:cstheme="minorHAnsi"/>
          <w:spacing w:val="9"/>
          <w:sz w:val="18"/>
          <w:szCs w:val="18"/>
        </w:rPr>
        <w:t>W</w:t>
      </w:r>
      <w:r w:rsidRPr="008137C5">
        <w:rPr>
          <w:rFonts w:eastAsia="Arial" w:cstheme="minorHAnsi"/>
          <w:sz w:val="18"/>
          <w:szCs w:val="18"/>
        </w:rPr>
        <w:t>o</w:t>
      </w:r>
      <w:r w:rsidRPr="008137C5">
        <w:rPr>
          <w:rFonts w:eastAsia="Arial" w:cstheme="minorHAnsi"/>
          <w:spacing w:val="-2"/>
          <w:sz w:val="18"/>
          <w:szCs w:val="18"/>
        </w:rPr>
        <w:t>r</w:t>
      </w:r>
      <w:r w:rsidRPr="008137C5">
        <w:rPr>
          <w:rFonts w:eastAsia="Arial" w:cstheme="minorHAnsi"/>
          <w:spacing w:val="4"/>
          <w:sz w:val="18"/>
          <w:szCs w:val="18"/>
        </w:rPr>
        <w:t>k</w:t>
      </w:r>
      <w:r w:rsidRPr="008137C5">
        <w:rPr>
          <w:rFonts w:eastAsia="Arial" w:cstheme="minorHAnsi"/>
          <w:sz w:val="18"/>
          <w:szCs w:val="18"/>
        </w:rPr>
        <w:t>e</w:t>
      </w:r>
      <w:r w:rsidRPr="008137C5">
        <w:rPr>
          <w:rFonts w:eastAsia="Arial" w:cstheme="minorHAnsi"/>
          <w:spacing w:val="1"/>
          <w:sz w:val="18"/>
          <w:szCs w:val="18"/>
        </w:rPr>
        <w:t>r</w:t>
      </w:r>
      <w:r w:rsidRPr="008137C5">
        <w:rPr>
          <w:rFonts w:eastAsia="Arial" w:cstheme="minorHAnsi"/>
          <w:sz w:val="18"/>
          <w:szCs w:val="18"/>
        </w:rPr>
        <w:t>s</w:t>
      </w:r>
      <w:r w:rsidRPr="008137C5">
        <w:rPr>
          <w:rFonts w:eastAsia="Arial" w:cstheme="minorHAnsi"/>
          <w:spacing w:val="-6"/>
          <w:sz w:val="18"/>
          <w:szCs w:val="18"/>
        </w:rPr>
        <w:t xml:space="preserve"> </w:t>
      </w:r>
      <w:r w:rsidRPr="008137C5">
        <w:rPr>
          <w:rFonts w:eastAsia="Arial" w:cstheme="minorHAnsi"/>
          <w:spacing w:val="-1"/>
          <w:sz w:val="18"/>
          <w:szCs w:val="18"/>
        </w:rPr>
        <w:t>S</w:t>
      </w:r>
      <w:r w:rsidRPr="008137C5">
        <w:rPr>
          <w:rFonts w:eastAsia="Arial" w:cstheme="minorHAnsi"/>
          <w:sz w:val="18"/>
          <w:szCs w:val="18"/>
        </w:rPr>
        <w:t>uppo</w:t>
      </w:r>
      <w:r w:rsidRPr="008137C5">
        <w:rPr>
          <w:rFonts w:eastAsia="Arial" w:cstheme="minorHAnsi"/>
          <w:spacing w:val="1"/>
          <w:sz w:val="18"/>
          <w:szCs w:val="18"/>
        </w:rPr>
        <w:t>r</w:t>
      </w:r>
      <w:r w:rsidRPr="008137C5">
        <w:rPr>
          <w:rFonts w:eastAsia="Arial" w:cstheme="minorHAnsi"/>
          <w:sz w:val="18"/>
          <w:szCs w:val="18"/>
        </w:rPr>
        <w:t>t</w:t>
      </w:r>
      <w:r w:rsidRPr="008137C5">
        <w:rPr>
          <w:rFonts w:eastAsia="Arial" w:cstheme="minorHAnsi"/>
          <w:spacing w:val="-8"/>
          <w:sz w:val="18"/>
          <w:szCs w:val="18"/>
        </w:rPr>
        <w:t xml:space="preserve"> </w:t>
      </w:r>
      <w:r w:rsidRPr="008137C5">
        <w:rPr>
          <w:rFonts w:eastAsia="Arial" w:cstheme="minorHAnsi"/>
          <w:sz w:val="18"/>
          <w:szCs w:val="18"/>
        </w:rPr>
        <w:t>N</w:t>
      </w:r>
      <w:r w:rsidRPr="008137C5">
        <w:rPr>
          <w:rFonts w:eastAsia="Arial" w:cstheme="minorHAnsi"/>
          <w:spacing w:val="2"/>
          <w:sz w:val="18"/>
          <w:szCs w:val="18"/>
        </w:rPr>
        <w:t>e</w:t>
      </w:r>
      <w:r w:rsidRPr="008137C5">
        <w:rPr>
          <w:rFonts w:eastAsia="Arial" w:cstheme="minorHAnsi"/>
          <w:sz w:val="18"/>
          <w:szCs w:val="18"/>
        </w:rPr>
        <w:t>two</w:t>
      </w:r>
      <w:r w:rsidRPr="008137C5">
        <w:rPr>
          <w:rFonts w:eastAsia="Arial" w:cstheme="minorHAnsi"/>
          <w:spacing w:val="1"/>
          <w:sz w:val="18"/>
          <w:szCs w:val="18"/>
        </w:rPr>
        <w:t>r</w:t>
      </w:r>
      <w:r w:rsidRPr="008137C5">
        <w:rPr>
          <w:rFonts w:eastAsia="Arial" w:cstheme="minorHAnsi"/>
          <w:spacing w:val="4"/>
          <w:sz w:val="18"/>
          <w:szCs w:val="18"/>
        </w:rPr>
        <w:t>k</w:t>
      </w:r>
      <w:r w:rsidRPr="008137C5">
        <w:rPr>
          <w:rFonts w:eastAsia="Arial" w:cstheme="minorHAnsi"/>
          <w:spacing w:val="1"/>
          <w:sz w:val="18"/>
          <w:szCs w:val="18"/>
        </w:rPr>
        <w:t>)</w:t>
      </w:r>
      <w:r w:rsidRPr="008137C5">
        <w:rPr>
          <w:rFonts w:eastAsia="Arial" w:cstheme="minorHAnsi"/>
          <w:sz w:val="18"/>
          <w:szCs w:val="18"/>
        </w:rPr>
        <w:t>,</w:t>
      </w:r>
      <w:r w:rsidRPr="008137C5">
        <w:rPr>
          <w:rFonts w:eastAsia="Arial" w:cstheme="minorHAnsi"/>
          <w:spacing w:val="-10"/>
          <w:sz w:val="18"/>
          <w:szCs w:val="18"/>
        </w:rPr>
        <w:t xml:space="preserve"> </w:t>
      </w:r>
      <w:r w:rsidRPr="008137C5">
        <w:rPr>
          <w:rFonts w:eastAsia="Arial" w:cstheme="minorHAnsi"/>
          <w:i/>
          <w:spacing w:val="-1"/>
          <w:sz w:val="18"/>
          <w:szCs w:val="18"/>
        </w:rPr>
        <w:t>S</w:t>
      </w:r>
      <w:r w:rsidRPr="008137C5">
        <w:rPr>
          <w:rFonts w:eastAsia="Arial" w:cstheme="minorHAnsi"/>
          <w:i/>
          <w:sz w:val="18"/>
          <w:szCs w:val="18"/>
        </w:rPr>
        <w:t>top</w:t>
      </w:r>
      <w:r w:rsidRPr="008137C5">
        <w:rPr>
          <w:rFonts w:eastAsia="Arial" w:cstheme="minorHAnsi"/>
          <w:i/>
          <w:spacing w:val="-5"/>
          <w:sz w:val="18"/>
          <w:szCs w:val="18"/>
        </w:rPr>
        <w:t xml:space="preserve"> </w:t>
      </w:r>
      <w:r w:rsidRPr="008137C5">
        <w:rPr>
          <w:rFonts w:eastAsia="Arial" w:cstheme="minorHAnsi"/>
          <w:i/>
          <w:sz w:val="18"/>
          <w:szCs w:val="18"/>
        </w:rPr>
        <w:t>t</w:t>
      </w:r>
      <w:r w:rsidRPr="008137C5">
        <w:rPr>
          <w:rFonts w:eastAsia="Arial" w:cstheme="minorHAnsi"/>
          <w:i/>
          <w:spacing w:val="2"/>
          <w:sz w:val="18"/>
          <w:szCs w:val="18"/>
        </w:rPr>
        <w:t>h</w:t>
      </w:r>
      <w:r w:rsidRPr="008137C5">
        <w:rPr>
          <w:rFonts w:eastAsia="Arial" w:cstheme="minorHAnsi"/>
          <w:i/>
          <w:sz w:val="18"/>
          <w:szCs w:val="18"/>
        </w:rPr>
        <w:t>e</w:t>
      </w:r>
      <w:r w:rsidRPr="008137C5">
        <w:rPr>
          <w:rFonts w:eastAsia="Arial" w:cstheme="minorHAnsi"/>
          <w:i/>
          <w:spacing w:val="-4"/>
          <w:sz w:val="18"/>
          <w:szCs w:val="18"/>
        </w:rPr>
        <w:t xml:space="preserve"> </w:t>
      </w:r>
      <w:r w:rsidRPr="008137C5">
        <w:rPr>
          <w:rFonts w:eastAsia="Arial" w:cstheme="minorHAnsi"/>
          <w:i/>
          <w:sz w:val="18"/>
          <w:szCs w:val="18"/>
        </w:rPr>
        <w:t>ha</w:t>
      </w:r>
      <w:r w:rsidRPr="008137C5">
        <w:rPr>
          <w:rFonts w:eastAsia="Arial" w:cstheme="minorHAnsi"/>
          <w:i/>
          <w:spacing w:val="3"/>
          <w:sz w:val="18"/>
          <w:szCs w:val="18"/>
        </w:rPr>
        <w:t>r</w:t>
      </w:r>
      <w:r w:rsidRPr="008137C5">
        <w:rPr>
          <w:rFonts w:eastAsia="Arial" w:cstheme="minorHAnsi"/>
          <w:i/>
          <w:sz w:val="18"/>
          <w:szCs w:val="18"/>
        </w:rPr>
        <w:t>m</w:t>
      </w:r>
      <w:r w:rsidRPr="008137C5">
        <w:rPr>
          <w:rFonts w:eastAsia="Arial" w:cstheme="minorHAnsi"/>
          <w:i/>
          <w:spacing w:val="-6"/>
          <w:sz w:val="18"/>
          <w:szCs w:val="18"/>
        </w:rPr>
        <w:t xml:space="preserve"> </w:t>
      </w:r>
      <w:r w:rsidRPr="008137C5">
        <w:rPr>
          <w:rFonts w:eastAsia="Arial" w:cstheme="minorHAnsi"/>
          <w:i/>
          <w:sz w:val="18"/>
          <w:szCs w:val="18"/>
        </w:rPr>
        <w:t>f</w:t>
      </w:r>
      <w:r w:rsidRPr="008137C5">
        <w:rPr>
          <w:rFonts w:eastAsia="Arial" w:cstheme="minorHAnsi"/>
          <w:i/>
          <w:spacing w:val="1"/>
          <w:sz w:val="18"/>
          <w:szCs w:val="18"/>
        </w:rPr>
        <w:t>r</w:t>
      </w:r>
      <w:r w:rsidRPr="008137C5">
        <w:rPr>
          <w:rFonts w:eastAsia="Arial" w:cstheme="minorHAnsi"/>
          <w:i/>
          <w:sz w:val="18"/>
          <w:szCs w:val="18"/>
        </w:rPr>
        <w:t>om ant</w:t>
      </w:r>
      <w:r w:rsidRPr="008137C5">
        <w:rPr>
          <w:rFonts w:eastAsia="Arial" w:cstheme="minorHAnsi"/>
          <w:i/>
          <w:spacing w:val="1"/>
          <w:sz w:val="18"/>
          <w:szCs w:val="18"/>
        </w:rPr>
        <w:t>i-</w:t>
      </w:r>
      <w:r w:rsidRPr="008137C5">
        <w:rPr>
          <w:rFonts w:eastAsia="Arial" w:cstheme="minorHAnsi"/>
          <w:i/>
          <w:sz w:val="18"/>
          <w:szCs w:val="18"/>
        </w:rPr>
        <w:t>t</w:t>
      </w:r>
      <w:r w:rsidRPr="008137C5">
        <w:rPr>
          <w:rFonts w:eastAsia="Arial" w:cstheme="minorHAnsi"/>
          <w:i/>
          <w:spacing w:val="1"/>
          <w:sz w:val="18"/>
          <w:szCs w:val="18"/>
        </w:rPr>
        <w:t>r</w:t>
      </w:r>
      <w:r w:rsidRPr="008137C5">
        <w:rPr>
          <w:rFonts w:eastAsia="Arial" w:cstheme="minorHAnsi"/>
          <w:i/>
          <w:spacing w:val="2"/>
          <w:sz w:val="18"/>
          <w:szCs w:val="18"/>
        </w:rPr>
        <w:t>a</w:t>
      </w:r>
      <w:r w:rsidRPr="008137C5">
        <w:rPr>
          <w:rFonts w:eastAsia="Arial" w:cstheme="minorHAnsi"/>
          <w:i/>
          <w:sz w:val="18"/>
          <w:szCs w:val="18"/>
        </w:rPr>
        <w:t>ff</w:t>
      </w:r>
      <w:r w:rsidRPr="008137C5">
        <w:rPr>
          <w:rFonts w:eastAsia="Arial" w:cstheme="minorHAnsi"/>
          <w:i/>
          <w:spacing w:val="-1"/>
          <w:sz w:val="18"/>
          <w:szCs w:val="18"/>
        </w:rPr>
        <w:t>i</w:t>
      </w:r>
      <w:r w:rsidRPr="008137C5">
        <w:rPr>
          <w:rFonts w:eastAsia="Arial" w:cstheme="minorHAnsi"/>
          <w:i/>
          <w:spacing w:val="1"/>
          <w:sz w:val="18"/>
          <w:szCs w:val="18"/>
        </w:rPr>
        <w:t>ck</w:t>
      </w:r>
      <w:r w:rsidRPr="008137C5">
        <w:rPr>
          <w:rFonts w:eastAsia="Arial" w:cstheme="minorHAnsi"/>
          <w:i/>
          <w:spacing w:val="-1"/>
          <w:sz w:val="18"/>
          <w:szCs w:val="18"/>
        </w:rPr>
        <w:t>i</w:t>
      </w:r>
      <w:r w:rsidRPr="008137C5">
        <w:rPr>
          <w:rFonts w:eastAsia="Arial" w:cstheme="minorHAnsi"/>
          <w:i/>
          <w:spacing w:val="2"/>
          <w:sz w:val="18"/>
          <w:szCs w:val="18"/>
        </w:rPr>
        <w:t>n</w:t>
      </w:r>
      <w:r w:rsidRPr="008137C5">
        <w:rPr>
          <w:rFonts w:eastAsia="Arial" w:cstheme="minorHAnsi"/>
          <w:i/>
          <w:sz w:val="18"/>
          <w:szCs w:val="18"/>
        </w:rPr>
        <w:t>g</w:t>
      </w:r>
      <w:r w:rsidRPr="008137C5">
        <w:rPr>
          <w:rFonts w:eastAsia="Arial" w:cstheme="minorHAnsi"/>
          <w:i/>
          <w:spacing w:val="-13"/>
          <w:sz w:val="18"/>
          <w:szCs w:val="18"/>
        </w:rPr>
        <w:t xml:space="preserve"> </w:t>
      </w:r>
      <w:r w:rsidRPr="008137C5">
        <w:rPr>
          <w:rFonts w:eastAsia="Arial" w:cstheme="minorHAnsi"/>
          <w:i/>
          <w:spacing w:val="2"/>
          <w:sz w:val="18"/>
          <w:szCs w:val="18"/>
        </w:rPr>
        <w:t>p</w:t>
      </w:r>
      <w:r w:rsidRPr="008137C5">
        <w:rPr>
          <w:rFonts w:eastAsia="Arial" w:cstheme="minorHAnsi"/>
          <w:i/>
          <w:sz w:val="18"/>
          <w:szCs w:val="18"/>
        </w:rPr>
        <w:t>o</w:t>
      </w:r>
      <w:r w:rsidRPr="008137C5">
        <w:rPr>
          <w:rFonts w:eastAsia="Arial" w:cstheme="minorHAnsi"/>
          <w:i/>
          <w:spacing w:val="1"/>
          <w:sz w:val="18"/>
          <w:szCs w:val="18"/>
        </w:rPr>
        <w:t>l</w:t>
      </w:r>
      <w:r w:rsidRPr="008137C5">
        <w:rPr>
          <w:rFonts w:eastAsia="Arial" w:cstheme="minorHAnsi"/>
          <w:i/>
          <w:spacing w:val="-1"/>
          <w:sz w:val="18"/>
          <w:szCs w:val="18"/>
        </w:rPr>
        <w:t>i</w:t>
      </w:r>
      <w:r w:rsidRPr="008137C5">
        <w:rPr>
          <w:rFonts w:eastAsia="Arial" w:cstheme="minorHAnsi"/>
          <w:i/>
          <w:spacing w:val="1"/>
          <w:sz w:val="18"/>
          <w:szCs w:val="18"/>
        </w:rPr>
        <w:t>c</w:t>
      </w:r>
      <w:r w:rsidRPr="008137C5">
        <w:rPr>
          <w:rFonts w:eastAsia="Arial" w:cstheme="minorHAnsi"/>
          <w:i/>
          <w:spacing w:val="-1"/>
          <w:sz w:val="18"/>
          <w:szCs w:val="18"/>
        </w:rPr>
        <w:t>i</w:t>
      </w:r>
      <w:r w:rsidRPr="008137C5">
        <w:rPr>
          <w:rFonts w:eastAsia="Arial" w:cstheme="minorHAnsi"/>
          <w:i/>
          <w:sz w:val="18"/>
          <w:szCs w:val="18"/>
        </w:rPr>
        <w:t>es</w:t>
      </w:r>
      <w:r w:rsidRPr="008137C5">
        <w:rPr>
          <w:rFonts w:eastAsia="Arial" w:cstheme="minorHAnsi"/>
          <w:sz w:val="18"/>
          <w:szCs w:val="18"/>
        </w:rPr>
        <w:t xml:space="preserve"> </w:t>
      </w:r>
      <w:r w:rsidRPr="008137C5">
        <w:rPr>
          <w:rFonts w:eastAsia="Arial" w:cstheme="minorHAnsi"/>
          <w:i/>
          <w:sz w:val="18"/>
          <w:szCs w:val="18"/>
        </w:rPr>
        <w:t>&amp;</w:t>
      </w:r>
      <w:r w:rsidRPr="008137C5">
        <w:rPr>
          <w:rFonts w:eastAsia="Arial" w:cstheme="minorHAnsi"/>
          <w:i/>
          <w:spacing w:val="-2"/>
          <w:sz w:val="18"/>
          <w:szCs w:val="18"/>
        </w:rPr>
        <w:t xml:space="preserve"> </w:t>
      </w:r>
      <w:r w:rsidRPr="008137C5">
        <w:rPr>
          <w:rFonts w:eastAsia="Arial" w:cstheme="minorHAnsi"/>
          <w:i/>
          <w:spacing w:val="1"/>
          <w:sz w:val="18"/>
          <w:szCs w:val="18"/>
        </w:rPr>
        <w:t>c</w:t>
      </w:r>
      <w:r w:rsidRPr="008137C5">
        <w:rPr>
          <w:rFonts w:eastAsia="Arial" w:cstheme="minorHAnsi"/>
          <w:i/>
          <w:sz w:val="18"/>
          <w:szCs w:val="18"/>
        </w:rPr>
        <w:t>a</w:t>
      </w:r>
      <w:r w:rsidRPr="008137C5">
        <w:rPr>
          <w:rFonts w:eastAsia="Arial" w:cstheme="minorHAnsi"/>
          <w:i/>
          <w:spacing w:val="2"/>
          <w:sz w:val="18"/>
          <w:szCs w:val="18"/>
        </w:rPr>
        <w:t>m</w:t>
      </w:r>
      <w:r w:rsidRPr="008137C5">
        <w:rPr>
          <w:rFonts w:eastAsia="Arial" w:cstheme="minorHAnsi"/>
          <w:i/>
          <w:sz w:val="18"/>
          <w:szCs w:val="18"/>
        </w:rPr>
        <w:t>pa</w:t>
      </w:r>
      <w:r w:rsidRPr="008137C5">
        <w:rPr>
          <w:rFonts w:eastAsia="Arial" w:cstheme="minorHAnsi"/>
          <w:i/>
          <w:spacing w:val="1"/>
          <w:sz w:val="18"/>
          <w:szCs w:val="18"/>
        </w:rPr>
        <w:t>i</w:t>
      </w:r>
      <w:r w:rsidRPr="008137C5">
        <w:rPr>
          <w:rFonts w:eastAsia="Arial" w:cstheme="minorHAnsi"/>
          <w:i/>
          <w:sz w:val="18"/>
          <w:szCs w:val="18"/>
        </w:rPr>
        <w:t>gn</w:t>
      </w:r>
      <w:r w:rsidRPr="008137C5">
        <w:rPr>
          <w:rFonts w:eastAsia="Arial" w:cstheme="minorHAnsi"/>
          <w:i/>
          <w:spacing w:val="1"/>
          <w:sz w:val="18"/>
          <w:szCs w:val="18"/>
        </w:rPr>
        <w:t>s</w:t>
      </w:r>
      <w:r w:rsidRPr="008137C5">
        <w:rPr>
          <w:rFonts w:eastAsia="Arial" w:cstheme="minorHAnsi"/>
          <w:i/>
          <w:sz w:val="18"/>
          <w:szCs w:val="18"/>
        </w:rPr>
        <w:t>:</w:t>
      </w:r>
      <w:r w:rsidRPr="008137C5">
        <w:rPr>
          <w:rFonts w:eastAsia="Arial" w:cstheme="minorHAnsi"/>
          <w:i/>
          <w:spacing w:val="-11"/>
          <w:sz w:val="18"/>
          <w:szCs w:val="18"/>
        </w:rPr>
        <w:t xml:space="preserve"> </w:t>
      </w:r>
      <w:r w:rsidRPr="008137C5">
        <w:rPr>
          <w:rFonts w:eastAsia="Arial" w:cstheme="minorHAnsi"/>
          <w:i/>
          <w:spacing w:val="1"/>
          <w:sz w:val="18"/>
          <w:szCs w:val="18"/>
        </w:rPr>
        <w:t>s</w:t>
      </w:r>
      <w:r w:rsidRPr="008137C5">
        <w:rPr>
          <w:rFonts w:eastAsia="Arial" w:cstheme="minorHAnsi"/>
          <w:i/>
          <w:sz w:val="18"/>
          <w:szCs w:val="18"/>
        </w:rPr>
        <w:t>u</w:t>
      </w:r>
      <w:r w:rsidRPr="008137C5">
        <w:rPr>
          <w:rFonts w:eastAsia="Arial" w:cstheme="minorHAnsi"/>
          <w:i/>
          <w:spacing w:val="2"/>
          <w:sz w:val="18"/>
          <w:szCs w:val="18"/>
        </w:rPr>
        <w:t>p</w:t>
      </w:r>
      <w:r w:rsidRPr="008137C5">
        <w:rPr>
          <w:rFonts w:eastAsia="Arial" w:cstheme="minorHAnsi"/>
          <w:i/>
          <w:sz w:val="18"/>
          <w:szCs w:val="18"/>
        </w:rPr>
        <w:t>po</w:t>
      </w:r>
      <w:r w:rsidRPr="008137C5">
        <w:rPr>
          <w:rFonts w:eastAsia="Arial" w:cstheme="minorHAnsi"/>
          <w:i/>
          <w:spacing w:val="1"/>
          <w:sz w:val="18"/>
          <w:szCs w:val="18"/>
        </w:rPr>
        <w:t>r</w:t>
      </w:r>
      <w:r w:rsidRPr="008137C5">
        <w:rPr>
          <w:rFonts w:eastAsia="Arial" w:cstheme="minorHAnsi"/>
          <w:i/>
          <w:sz w:val="18"/>
          <w:szCs w:val="18"/>
        </w:rPr>
        <w:t>t</w:t>
      </w:r>
      <w:r w:rsidRPr="008137C5">
        <w:rPr>
          <w:rFonts w:eastAsia="Arial" w:cstheme="minorHAnsi"/>
          <w:i/>
          <w:spacing w:val="-8"/>
          <w:sz w:val="18"/>
          <w:szCs w:val="18"/>
        </w:rPr>
        <w:t xml:space="preserve"> </w:t>
      </w:r>
      <w:r w:rsidRPr="008137C5">
        <w:rPr>
          <w:rFonts w:eastAsia="Arial" w:cstheme="minorHAnsi"/>
          <w:i/>
          <w:spacing w:val="1"/>
          <w:sz w:val="18"/>
          <w:szCs w:val="18"/>
        </w:rPr>
        <w:t>s</w:t>
      </w:r>
      <w:r w:rsidRPr="008137C5">
        <w:rPr>
          <w:rFonts w:eastAsia="Arial" w:cstheme="minorHAnsi"/>
          <w:i/>
          <w:sz w:val="18"/>
          <w:szCs w:val="18"/>
        </w:rPr>
        <w:t>ex wo</w:t>
      </w:r>
      <w:r w:rsidRPr="008137C5">
        <w:rPr>
          <w:rFonts w:eastAsia="Arial" w:cstheme="minorHAnsi"/>
          <w:i/>
          <w:spacing w:val="1"/>
          <w:sz w:val="18"/>
          <w:szCs w:val="18"/>
        </w:rPr>
        <w:t>rk</w:t>
      </w:r>
      <w:r w:rsidRPr="008137C5">
        <w:rPr>
          <w:rFonts w:eastAsia="Arial" w:cstheme="minorHAnsi"/>
          <w:i/>
          <w:sz w:val="18"/>
          <w:szCs w:val="18"/>
        </w:rPr>
        <w:t>e</w:t>
      </w:r>
      <w:r w:rsidRPr="008137C5">
        <w:rPr>
          <w:rFonts w:eastAsia="Arial" w:cstheme="minorHAnsi"/>
          <w:i/>
          <w:spacing w:val="1"/>
          <w:sz w:val="18"/>
          <w:szCs w:val="18"/>
        </w:rPr>
        <w:t>r</w:t>
      </w:r>
      <w:r w:rsidRPr="008137C5">
        <w:rPr>
          <w:rFonts w:eastAsia="Arial" w:cstheme="minorHAnsi"/>
          <w:i/>
          <w:spacing w:val="4"/>
          <w:sz w:val="18"/>
          <w:szCs w:val="18"/>
        </w:rPr>
        <w:t>s</w:t>
      </w:r>
      <w:r w:rsidRPr="008137C5">
        <w:rPr>
          <w:rFonts w:eastAsia="Arial" w:cstheme="minorHAnsi"/>
          <w:i/>
          <w:sz w:val="18"/>
          <w:szCs w:val="18"/>
        </w:rPr>
        <w:t>’</w:t>
      </w:r>
      <w:r w:rsidRPr="008137C5">
        <w:rPr>
          <w:rFonts w:eastAsia="Arial" w:cstheme="minorHAnsi"/>
          <w:i/>
          <w:spacing w:val="-13"/>
          <w:sz w:val="18"/>
          <w:szCs w:val="18"/>
        </w:rPr>
        <w:t xml:space="preserve"> </w:t>
      </w:r>
      <w:r w:rsidRPr="008137C5">
        <w:rPr>
          <w:rFonts w:eastAsia="Arial" w:cstheme="minorHAnsi"/>
          <w:i/>
          <w:spacing w:val="3"/>
          <w:sz w:val="18"/>
          <w:szCs w:val="18"/>
        </w:rPr>
        <w:t>r</w:t>
      </w:r>
      <w:r w:rsidRPr="008137C5">
        <w:rPr>
          <w:rFonts w:eastAsia="Arial" w:cstheme="minorHAnsi"/>
          <w:i/>
          <w:spacing w:val="-1"/>
          <w:sz w:val="18"/>
          <w:szCs w:val="18"/>
        </w:rPr>
        <w:t>i</w:t>
      </w:r>
      <w:r w:rsidRPr="008137C5">
        <w:rPr>
          <w:rFonts w:eastAsia="Arial" w:cstheme="minorHAnsi"/>
          <w:i/>
          <w:sz w:val="18"/>
          <w:szCs w:val="18"/>
        </w:rPr>
        <w:t>g</w:t>
      </w:r>
      <w:r w:rsidRPr="008137C5">
        <w:rPr>
          <w:rFonts w:eastAsia="Arial" w:cstheme="minorHAnsi"/>
          <w:i/>
          <w:spacing w:val="2"/>
          <w:sz w:val="18"/>
          <w:szCs w:val="18"/>
        </w:rPr>
        <w:t>h</w:t>
      </w:r>
      <w:r w:rsidRPr="008137C5">
        <w:rPr>
          <w:rFonts w:eastAsia="Arial" w:cstheme="minorHAnsi"/>
          <w:i/>
          <w:sz w:val="18"/>
          <w:szCs w:val="18"/>
        </w:rPr>
        <w:t>t</w:t>
      </w:r>
      <w:r w:rsidRPr="008137C5">
        <w:rPr>
          <w:rFonts w:eastAsia="Arial" w:cstheme="minorHAnsi"/>
          <w:i/>
          <w:spacing w:val="1"/>
          <w:sz w:val="18"/>
          <w:szCs w:val="18"/>
        </w:rPr>
        <w:t>s</w:t>
      </w:r>
      <w:r w:rsidRPr="008137C5">
        <w:rPr>
          <w:rFonts w:eastAsia="Arial" w:cstheme="minorHAnsi"/>
          <w:i/>
          <w:sz w:val="18"/>
          <w:szCs w:val="18"/>
        </w:rPr>
        <w:t>,</w:t>
      </w:r>
      <w:r w:rsidRPr="008137C5">
        <w:rPr>
          <w:rFonts w:eastAsia="Arial" w:cstheme="minorHAnsi"/>
          <w:i/>
          <w:spacing w:val="-6"/>
          <w:sz w:val="18"/>
          <w:szCs w:val="18"/>
        </w:rPr>
        <w:t xml:space="preserve"> </w:t>
      </w:r>
      <w:r w:rsidRPr="008137C5">
        <w:rPr>
          <w:rFonts w:eastAsia="Arial" w:cstheme="minorHAnsi"/>
          <w:i/>
          <w:spacing w:val="-1"/>
          <w:sz w:val="18"/>
          <w:szCs w:val="18"/>
        </w:rPr>
        <w:t>j</w:t>
      </w:r>
      <w:r w:rsidRPr="008137C5">
        <w:rPr>
          <w:rFonts w:eastAsia="Arial" w:cstheme="minorHAnsi"/>
          <w:i/>
          <w:sz w:val="18"/>
          <w:szCs w:val="18"/>
        </w:rPr>
        <w:t>u</w:t>
      </w:r>
      <w:r w:rsidRPr="008137C5">
        <w:rPr>
          <w:rFonts w:eastAsia="Arial" w:cstheme="minorHAnsi"/>
          <w:i/>
          <w:spacing w:val="1"/>
          <w:sz w:val="18"/>
          <w:szCs w:val="18"/>
        </w:rPr>
        <w:t>s</w:t>
      </w:r>
      <w:r w:rsidRPr="008137C5">
        <w:rPr>
          <w:rFonts w:eastAsia="Arial" w:cstheme="minorHAnsi"/>
          <w:i/>
          <w:spacing w:val="2"/>
          <w:sz w:val="18"/>
          <w:szCs w:val="18"/>
        </w:rPr>
        <w:t>t</w:t>
      </w:r>
      <w:r w:rsidRPr="008137C5">
        <w:rPr>
          <w:rFonts w:eastAsia="Arial" w:cstheme="minorHAnsi"/>
          <w:i/>
          <w:spacing w:val="-1"/>
          <w:sz w:val="18"/>
          <w:szCs w:val="18"/>
        </w:rPr>
        <w:t>i</w:t>
      </w:r>
      <w:r w:rsidRPr="008137C5">
        <w:rPr>
          <w:rFonts w:eastAsia="Arial" w:cstheme="minorHAnsi"/>
          <w:i/>
          <w:spacing w:val="1"/>
          <w:sz w:val="18"/>
          <w:szCs w:val="18"/>
        </w:rPr>
        <w:t>c</w:t>
      </w:r>
      <w:r w:rsidRPr="008137C5">
        <w:rPr>
          <w:rFonts w:eastAsia="Arial" w:cstheme="minorHAnsi"/>
          <w:i/>
          <w:sz w:val="18"/>
          <w:szCs w:val="18"/>
        </w:rPr>
        <w:t>e</w:t>
      </w:r>
      <w:r w:rsidRPr="008137C5">
        <w:rPr>
          <w:rFonts w:eastAsia="Arial" w:cstheme="minorHAnsi"/>
          <w:i/>
          <w:spacing w:val="-7"/>
          <w:sz w:val="18"/>
          <w:szCs w:val="18"/>
        </w:rPr>
        <w:t xml:space="preserve"> </w:t>
      </w:r>
      <w:r w:rsidRPr="008137C5">
        <w:rPr>
          <w:rFonts w:eastAsia="Arial" w:cstheme="minorHAnsi"/>
          <w:i/>
          <w:spacing w:val="2"/>
          <w:sz w:val="18"/>
          <w:szCs w:val="18"/>
        </w:rPr>
        <w:t>a</w:t>
      </w:r>
      <w:r w:rsidRPr="008137C5">
        <w:rPr>
          <w:rFonts w:eastAsia="Arial" w:cstheme="minorHAnsi"/>
          <w:i/>
          <w:sz w:val="18"/>
          <w:szCs w:val="18"/>
        </w:rPr>
        <w:t>nd</w:t>
      </w:r>
      <w:r w:rsidRPr="008137C5">
        <w:rPr>
          <w:rFonts w:eastAsia="Arial" w:cstheme="minorHAnsi"/>
          <w:i/>
          <w:spacing w:val="-1"/>
          <w:sz w:val="18"/>
          <w:szCs w:val="18"/>
        </w:rPr>
        <w:t xml:space="preserve"> </w:t>
      </w:r>
      <w:r w:rsidRPr="008137C5">
        <w:rPr>
          <w:rFonts w:eastAsia="Arial" w:cstheme="minorHAnsi"/>
          <w:i/>
          <w:sz w:val="18"/>
          <w:szCs w:val="18"/>
        </w:rPr>
        <w:t>d</w:t>
      </w:r>
      <w:r w:rsidRPr="008137C5">
        <w:rPr>
          <w:rFonts w:eastAsia="Arial" w:cstheme="minorHAnsi"/>
          <w:i/>
          <w:spacing w:val="-1"/>
          <w:sz w:val="18"/>
          <w:szCs w:val="18"/>
        </w:rPr>
        <w:t>i</w:t>
      </w:r>
      <w:r w:rsidRPr="008137C5">
        <w:rPr>
          <w:rFonts w:eastAsia="Arial" w:cstheme="minorHAnsi"/>
          <w:i/>
          <w:spacing w:val="2"/>
          <w:sz w:val="18"/>
          <w:szCs w:val="18"/>
        </w:rPr>
        <w:t>g</w:t>
      </w:r>
      <w:r w:rsidRPr="008137C5">
        <w:rPr>
          <w:rFonts w:eastAsia="Arial" w:cstheme="minorHAnsi"/>
          <w:i/>
          <w:sz w:val="18"/>
          <w:szCs w:val="18"/>
        </w:rPr>
        <w:t>n</w:t>
      </w:r>
      <w:r w:rsidRPr="008137C5">
        <w:rPr>
          <w:rFonts w:eastAsia="Arial" w:cstheme="minorHAnsi"/>
          <w:i/>
          <w:spacing w:val="-1"/>
          <w:sz w:val="18"/>
          <w:szCs w:val="18"/>
        </w:rPr>
        <w:t>i</w:t>
      </w:r>
      <w:r w:rsidRPr="008137C5">
        <w:rPr>
          <w:rFonts w:eastAsia="Arial" w:cstheme="minorHAnsi"/>
          <w:i/>
          <w:sz w:val="18"/>
          <w:szCs w:val="18"/>
        </w:rPr>
        <w:t>t</w:t>
      </w:r>
      <w:r w:rsidRPr="008137C5">
        <w:rPr>
          <w:rFonts w:eastAsia="Arial" w:cstheme="minorHAnsi"/>
          <w:i/>
          <w:spacing w:val="3"/>
          <w:sz w:val="18"/>
          <w:szCs w:val="18"/>
        </w:rPr>
        <w:t>y</w:t>
      </w:r>
      <w:r w:rsidRPr="008137C5">
        <w:rPr>
          <w:rFonts w:eastAsia="Arial" w:cstheme="minorHAnsi"/>
          <w:sz w:val="18"/>
          <w:szCs w:val="18"/>
        </w:rPr>
        <w:t>,</w:t>
      </w:r>
      <w:r w:rsidRPr="008137C5">
        <w:rPr>
          <w:rFonts w:eastAsia="Arial" w:cstheme="minorHAnsi"/>
          <w:spacing w:val="-4"/>
          <w:sz w:val="18"/>
          <w:szCs w:val="18"/>
        </w:rPr>
        <w:t xml:space="preserve"> </w:t>
      </w:r>
      <w:r w:rsidRPr="008137C5">
        <w:rPr>
          <w:rFonts w:eastAsia="Arial" w:cstheme="minorHAnsi"/>
          <w:sz w:val="18"/>
          <w:szCs w:val="18"/>
        </w:rPr>
        <w:t>20</w:t>
      </w:r>
      <w:r w:rsidRPr="008137C5">
        <w:rPr>
          <w:rFonts w:eastAsia="Arial" w:cstheme="minorHAnsi"/>
          <w:spacing w:val="2"/>
          <w:sz w:val="18"/>
          <w:szCs w:val="18"/>
        </w:rPr>
        <w:t>1</w:t>
      </w:r>
      <w:r w:rsidRPr="008137C5">
        <w:rPr>
          <w:rFonts w:eastAsia="Arial" w:cstheme="minorHAnsi"/>
          <w:sz w:val="18"/>
          <w:szCs w:val="18"/>
        </w:rPr>
        <w:t>6.</w:t>
      </w:r>
    </w:p>
  </w:footnote>
  <w:footnote w:id="73">
    <w:p w14:paraId="3388EDD3" w14:textId="77777777" w:rsidR="00F936AB" w:rsidRPr="008137C5" w:rsidRDefault="00F936A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See the </w:t>
      </w:r>
      <w:r w:rsidRPr="008137C5">
        <w:rPr>
          <w:rFonts w:ascii="Adobe Garamond Pro" w:eastAsia="Arial" w:hAnsi="Adobe Garamond Pro" w:cstheme="minorHAnsi"/>
          <w:i/>
          <w:sz w:val="18"/>
          <w:szCs w:val="18"/>
        </w:rPr>
        <w:t>Na</w:t>
      </w:r>
      <w:r w:rsidRPr="008137C5">
        <w:rPr>
          <w:rFonts w:ascii="Adobe Garamond Pro" w:eastAsia="Arial" w:hAnsi="Adobe Garamond Pro" w:cstheme="minorHAnsi"/>
          <w:i/>
          <w:spacing w:val="2"/>
          <w:sz w:val="18"/>
          <w:szCs w:val="18"/>
        </w:rPr>
        <w:t>t</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o</w:t>
      </w:r>
      <w:r w:rsidRPr="008137C5">
        <w:rPr>
          <w:rFonts w:ascii="Adobe Garamond Pro" w:eastAsia="Arial" w:hAnsi="Adobe Garamond Pro" w:cstheme="minorHAnsi"/>
          <w:i/>
          <w:spacing w:val="2"/>
          <w:sz w:val="18"/>
          <w:szCs w:val="18"/>
        </w:rPr>
        <w:t>n</w:t>
      </w:r>
      <w:r w:rsidRPr="008137C5">
        <w:rPr>
          <w:rFonts w:ascii="Adobe Garamond Pro" w:eastAsia="Arial" w:hAnsi="Adobe Garamond Pro" w:cstheme="minorHAnsi"/>
          <w:i/>
          <w:sz w:val="18"/>
          <w:szCs w:val="18"/>
        </w:rPr>
        <w:t>al</w:t>
      </w:r>
      <w:r w:rsidRPr="008137C5">
        <w:rPr>
          <w:rFonts w:ascii="Adobe Garamond Pro" w:eastAsia="Arial" w:hAnsi="Adobe Garamond Pro" w:cstheme="minorHAnsi"/>
          <w:i/>
          <w:spacing w:val="-6"/>
          <w:sz w:val="18"/>
          <w:szCs w:val="18"/>
        </w:rPr>
        <w:t xml:space="preserve"> </w:t>
      </w:r>
      <w:r w:rsidRPr="008137C5">
        <w:rPr>
          <w:rFonts w:ascii="Adobe Garamond Pro" w:eastAsia="Arial" w:hAnsi="Adobe Garamond Pro" w:cstheme="minorHAnsi"/>
          <w:i/>
          <w:spacing w:val="-1"/>
          <w:sz w:val="18"/>
          <w:szCs w:val="18"/>
        </w:rPr>
        <w:t>A</w:t>
      </w:r>
      <w:r w:rsidRPr="008137C5">
        <w:rPr>
          <w:rFonts w:ascii="Adobe Garamond Pro" w:eastAsia="Arial" w:hAnsi="Adobe Garamond Pro" w:cstheme="minorHAnsi"/>
          <w:i/>
          <w:spacing w:val="1"/>
          <w:sz w:val="18"/>
          <w:szCs w:val="18"/>
        </w:rPr>
        <w:t>c</w:t>
      </w:r>
      <w:r w:rsidRPr="008137C5">
        <w:rPr>
          <w:rFonts w:ascii="Adobe Garamond Pro" w:eastAsia="Arial" w:hAnsi="Adobe Garamond Pro" w:cstheme="minorHAnsi"/>
          <w:i/>
          <w:sz w:val="18"/>
          <w:szCs w:val="18"/>
        </w:rPr>
        <w:t>t</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2"/>
          <w:sz w:val="18"/>
          <w:szCs w:val="18"/>
        </w:rPr>
        <w:t>o</w:t>
      </w:r>
      <w:r w:rsidRPr="008137C5">
        <w:rPr>
          <w:rFonts w:ascii="Adobe Garamond Pro" w:eastAsia="Arial" w:hAnsi="Adobe Garamond Pro" w:cstheme="minorHAnsi"/>
          <w:i/>
          <w:sz w:val="18"/>
          <w:szCs w:val="18"/>
        </w:rPr>
        <w:t>n</w:t>
      </w:r>
      <w:r w:rsidRPr="008137C5">
        <w:rPr>
          <w:rFonts w:ascii="Adobe Garamond Pro" w:eastAsia="Arial" w:hAnsi="Adobe Garamond Pro" w:cstheme="minorHAnsi"/>
          <w:i/>
          <w:spacing w:val="-7"/>
          <w:sz w:val="18"/>
          <w:szCs w:val="18"/>
        </w:rPr>
        <w:t xml:space="preserve"> </w:t>
      </w:r>
      <w:r w:rsidRPr="008137C5">
        <w:rPr>
          <w:rFonts w:ascii="Adobe Garamond Pro" w:eastAsia="Arial" w:hAnsi="Adobe Garamond Pro" w:cstheme="minorHAnsi"/>
          <w:i/>
          <w:spacing w:val="2"/>
          <w:sz w:val="18"/>
          <w:szCs w:val="18"/>
        </w:rPr>
        <w:t>P</w:t>
      </w:r>
      <w:r w:rsidRPr="008137C5">
        <w:rPr>
          <w:rFonts w:ascii="Adobe Garamond Pro" w:eastAsia="Arial" w:hAnsi="Adobe Garamond Pro" w:cstheme="minorHAnsi"/>
          <w:i/>
          <w:spacing w:val="-1"/>
          <w:sz w:val="18"/>
          <w:szCs w:val="18"/>
        </w:rPr>
        <w:t>l</w:t>
      </w:r>
      <w:r w:rsidRPr="008137C5">
        <w:rPr>
          <w:rFonts w:ascii="Adobe Garamond Pro" w:eastAsia="Arial" w:hAnsi="Adobe Garamond Pro" w:cstheme="minorHAnsi"/>
          <w:i/>
          <w:sz w:val="18"/>
          <w:szCs w:val="18"/>
        </w:rPr>
        <w:t>an</w:t>
      </w:r>
      <w:r w:rsidRPr="008137C5">
        <w:rPr>
          <w:rFonts w:ascii="Adobe Garamond Pro" w:eastAsia="Arial" w:hAnsi="Adobe Garamond Pro" w:cstheme="minorHAnsi"/>
          <w:i/>
          <w:spacing w:val="-2"/>
          <w:sz w:val="18"/>
          <w:szCs w:val="18"/>
        </w:rPr>
        <w:t xml:space="preserve"> </w:t>
      </w:r>
      <w:r w:rsidRPr="008137C5">
        <w:rPr>
          <w:rFonts w:ascii="Adobe Garamond Pro" w:eastAsia="Arial" w:hAnsi="Adobe Garamond Pro" w:cstheme="minorHAnsi"/>
          <w:i/>
          <w:sz w:val="18"/>
          <w:szCs w:val="18"/>
        </w:rPr>
        <w:t>to</w:t>
      </w:r>
      <w:r w:rsidRPr="008137C5">
        <w:rPr>
          <w:rFonts w:ascii="Adobe Garamond Pro" w:eastAsia="Arial" w:hAnsi="Adobe Garamond Pro" w:cstheme="minorHAnsi"/>
          <w:i/>
          <w:spacing w:val="-3"/>
          <w:sz w:val="18"/>
          <w:szCs w:val="18"/>
        </w:rPr>
        <w:t xml:space="preserve"> </w:t>
      </w:r>
      <w:r w:rsidRPr="008137C5">
        <w:rPr>
          <w:rFonts w:ascii="Adobe Garamond Pro" w:eastAsia="Arial" w:hAnsi="Adobe Garamond Pro" w:cstheme="minorHAnsi"/>
          <w:i/>
          <w:spacing w:val="3"/>
          <w:sz w:val="18"/>
          <w:szCs w:val="18"/>
        </w:rPr>
        <w:t>C</w:t>
      </w:r>
      <w:r w:rsidRPr="008137C5">
        <w:rPr>
          <w:rFonts w:ascii="Adobe Garamond Pro" w:eastAsia="Arial" w:hAnsi="Adobe Garamond Pro" w:cstheme="minorHAnsi"/>
          <w:i/>
          <w:sz w:val="18"/>
          <w:szCs w:val="18"/>
        </w:rPr>
        <w:t>om</w:t>
      </w:r>
      <w:r w:rsidRPr="008137C5">
        <w:rPr>
          <w:rFonts w:ascii="Adobe Garamond Pro" w:eastAsia="Arial" w:hAnsi="Adobe Garamond Pro" w:cstheme="minorHAnsi"/>
          <w:i/>
          <w:spacing w:val="2"/>
          <w:sz w:val="18"/>
          <w:szCs w:val="18"/>
        </w:rPr>
        <w:t>b</w:t>
      </w:r>
      <w:r w:rsidRPr="008137C5">
        <w:rPr>
          <w:rFonts w:ascii="Adobe Garamond Pro" w:eastAsia="Arial" w:hAnsi="Adobe Garamond Pro" w:cstheme="minorHAnsi"/>
          <w:i/>
          <w:sz w:val="18"/>
          <w:szCs w:val="18"/>
        </w:rPr>
        <w:t>at</w:t>
      </w:r>
      <w:r w:rsidRPr="008137C5">
        <w:rPr>
          <w:rFonts w:ascii="Adobe Garamond Pro" w:eastAsia="Arial" w:hAnsi="Adobe Garamond Pro" w:cstheme="minorHAnsi"/>
          <w:i/>
          <w:spacing w:val="-8"/>
          <w:sz w:val="18"/>
          <w:szCs w:val="18"/>
        </w:rPr>
        <w:t xml:space="preserve"> </w:t>
      </w:r>
      <w:r w:rsidRPr="008137C5">
        <w:rPr>
          <w:rFonts w:ascii="Adobe Garamond Pro" w:eastAsia="Arial" w:hAnsi="Adobe Garamond Pro" w:cstheme="minorHAnsi"/>
          <w:i/>
          <w:spacing w:val="3"/>
          <w:sz w:val="18"/>
          <w:szCs w:val="18"/>
        </w:rPr>
        <w:t>H</w:t>
      </w:r>
      <w:r w:rsidRPr="008137C5">
        <w:rPr>
          <w:rFonts w:ascii="Adobe Garamond Pro" w:eastAsia="Arial" w:hAnsi="Adobe Garamond Pro" w:cstheme="minorHAnsi"/>
          <w:i/>
          <w:sz w:val="18"/>
          <w:szCs w:val="18"/>
        </w:rPr>
        <w:t>um</w:t>
      </w:r>
      <w:r w:rsidRPr="008137C5">
        <w:rPr>
          <w:rFonts w:ascii="Adobe Garamond Pro" w:eastAsia="Arial" w:hAnsi="Adobe Garamond Pro" w:cstheme="minorHAnsi"/>
          <w:i/>
          <w:spacing w:val="2"/>
          <w:sz w:val="18"/>
          <w:szCs w:val="18"/>
        </w:rPr>
        <w:t>a</w:t>
      </w:r>
      <w:r w:rsidRPr="008137C5">
        <w:rPr>
          <w:rFonts w:ascii="Adobe Garamond Pro" w:eastAsia="Arial" w:hAnsi="Adobe Garamond Pro" w:cstheme="minorHAnsi"/>
          <w:i/>
          <w:sz w:val="18"/>
          <w:szCs w:val="18"/>
        </w:rPr>
        <w:t>n</w:t>
      </w:r>
      <w:r w:rsidRPr="008137C5">
        <w:rPr>
          <w:rFonts w:ascii="Adobe Garamond Pro" w:eastAsia="Arial" w:hAnsi="Adobe Garamond Pro" w:cstheme="minorHAnsi"/>
          <w:i/>
          <w:spacing w:val="-7"/>
          <w:sz w:val="18"/>
          <w:szCs w:val="18"/>
        </w:rPr>
        <w:t xml:space="preserve"> </w:t>
      </w:r>
      <w:r w:rsidRPr="008137C5">
        <w:rPr>
          <w:rFonts w:ascii="Adobe Garamond Pro" w:eastAsia="Arial" w:hAnsi="Adobe Garamond Pro" w:cstheme="minorHAnsi"/>
          <w:i/>
          <w:spacing w:val="3"/>
          <w:sz w:val="18"/>
          <w:szCs w:val="18"/>
        </w:rPr>
        <w:t>T</w:t>
      </w:r>
      <w:r w:rsidRPr="008137C5">
        <w:rPr>
          <w:rFonts w:ascii="Adobe Garamond Pro" w:eastAsia="Arial" w:hAnsi="Adobe Garamond Pro" w:cstheme="minorHAnsi"/>
          <w:i/>
          <w:spacing w:val="1"/>
          <w:sz w:val="18"/>
          <w:szCs w:val="18"/>
        </w:rPr>
        <w:t>r</w:t>
      </w:r>
      <w:r w:rsidRPr="008137C5">
        <w:rPr>
          <w:rFonts w:ascii="Adobe Garamond Pro" w:eastAsia="Arial" w:hAnsi="Adobe Garamond Pro" w:cstheme="minorHAnsi"/>
          <w:i/>
          <w:sz w:val="18"/>
          <w:szCs w:val="18"/>
        </w:rPr>
        <w:t>aff</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1"/>
          <w:sz w:val="18"/>
          <w:szCs w:val="18"/>
        </w:rPr>
        <w:t>ck</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ng</w:t>
      </w:r>
      <w:r w:rsidRPr="008137C5">
        <w:rPr>
          <w:rFonts w:ascii="Adobe Garamond Pro" w:eastAsia="Arial" w:hAnsi="Adobe Garamond Pro" w:cstheme="minorHAnsi"/>
          <w:i/>
          <w:spacing w:val="-6"/>
          <w:sz w:val="18"/>
          <w:szCs w:val="18"/>
        </w:rPr>
        <w:t xml:space="preserve"> </w:t>
      </w:r>
      <w:r w:rsidRPr="008137C5">
        <w:rPr>
          <w:rFonts w:ascii="Adobe Garamond Pro" w:eastAsia="Arial" w:hAnsi="Adobe Garamond Pro" w:cstheme="minorHAnsi"/>
          <w:spacing w:val="-6"/>
          <w:sz w:val="18"/>
          <w:szCs w:val="18"/>
        </w:rPr>
        <w:t>which</w:t>
      </w:r>
      <w:r w:rsidRPr="008137C5">
        <w:rPr>
          <w:rFonts w:ascii="Adobe Garamond Pro" w:eastAsia="Arial" w:hAnsi="Adobe Garamond Pro" w:cstheme="minorHAnsi"/>
          <w:i/>
          <w:spacing w:val="-6"/>
          <w:sz w:val="18"/>
          <w:szCs w:val="18"/>
        </w:rPr>
        <w:t xml:space="preserve"> </w:t>
      </w:r>
      <w:r w:rsidRPr="008137C5">
        <w:rPr>
          <w:rFonts w:ascii="Adobe Garamond Pro" w:eastAsia="Arial" w:hAnsi="Adobe Garamond Pro" w:cstheme="minorHAnsi"/>
          <w:spacing w:val="4"/>
          <w:sz w:val="18"/>
          <w:szCs w:val="18"/>
        </w:rPr>
        <w:t>m</w:t>
      </w:r>
      <w:r w:rsidRPr="008137C5">
        <w:rPr>
          <w:rFonts w:ascii="Adobe Garamond Pro" w:eastAsia="Arial" w:hAnsi="Adobe Garamond Pro" w:cstheme="minorHAnsi"/>
          <w:spacing w:val="-3"/>
          <w:sz w:val="18"/>
          <w:szCs w:val="18"/>
        </w:rPr>
        <w:t>a</w:t>
      </w:r>
      <w:r w:rsidRPr="008137C5">
        <w:rPr>
          <w:rFonts w:ascii="Adobe Garamond Pro" w:eastAsia="Arial" w:hAnsi="Adobe Garamond Pro" w:cstheme="minorHAnsi"/>
          <w:spacing w:val="4"/>
          <w:sz w:val="18"/>
          <w:szCs w:val="18"/>
        </w:rPr>
        <w:t>k</w:t>
      </w:r>
      <w:r w:rsidRPr="008137C5">
        <w:rPr>
          <w:rFonts w:ascii="Adobe Garamond Pro" w:eastAsia="Arial" w:hAnsi="Adobe Garamond Pro" w:cstheme="minorHAnsi"/>
          <w:sz w:val="18"/>
          <w:szCs w:val="18"/>
        </w:rPr>
        <w:t>es</w:t>
      </w:r>
      <w:r w:rsidRPr="008137C5">
        <w:rPr>
          <w:rFonts w:ascii="Adobe Garamond Pro" w:eastAsia="Arial" w:hAnsi="Adobe Garamond Pro" w:cstheme="minorHAnsi"/>
          <w:spacing w:val="-5"/>
          <w:sz w:val="18"/>
          <w:szCs w:val="18"/>
        </w:rPr>
        <w:t xml:space="preserve"> </w:t>
      </w:r>
      <w:r w:rsidRPr="008137C5">
        <w:rPr>
          <w:rFonts w:ascii="Adobe Garamond Pro" w:eastAsia="Arial" w:hAnsi="Adobe Garamond Pro" w:cstheme="minorHAnsi"/>
          <w:spacing w:val="1"/>
          <w:sz w:val="18"/>
          <w:szCs w:val="18"/>
        </w:rPr>
        <w:t>c</w:t>
      </w:r>
      <w:r w:rsidRPr="008137C5">
        <w:rPr>
          <w:rFonts w:ascii="Adobe Garamond Pro" w:eastAsia="Arial" w:hAnsi="Adobe Garamond Pro" w:cstheme="minorHAnsi"/>
          <w:spacing w:val="-1"/>
          <w:sz w:val="18"/>
          <w:szCs w:val="18"/>
        </w:rPr>
        <w:t>l</w:t>
      </w:r>
      <w:r w:rsidRPr="008137C5">
        <w:rPr>
          <w:rFonts w:ascii="Adobe Garamond Pro" w:eastAsia="Arial" w:hAnsi="Adobe Garamond Pro" w:cstheme="minorHAnsi"/>
          <w:spacing w:val="2"/>
          <w:sz w:val="18"/>
          <w:szCs w:val="18"/>
        </w:rPr>
        <w:t>a</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m</w:t>
      </w:r>
      <w:r w:rsidRPr="008137C5">
        <w:rPr>
          <w:rFonts w:ascii="Adobe Garamond Pro" w:eastAsia="Arial" w:hAnsi="Adobe Garamond Pro" w:cstheme="minorHAnsi"/>
          <w:spacing w:val="-1"/>
          <w:sz w:val="18"/>
          <w:szCs w:val="18"/>
        </w:rPr>
        <w:t xml:space="preserve"> </w:t>
      </w:r>
      <w:r w:rsidRPr="008137C5">
        <w:rPr>
          <w:rFonts w:ascii="Adobe Garamond Pro" w:eastAsia="Arial" w:hAnsi="Adobe Garamond Pro" w:cstheme="minorHAnsi"/>
          <w:sz w:val="18"/>
          <w:szCs w:val="18"/>
        </w:rPr>
        <w:t>that the</w:t>
      </w:r>
      <w:r w:rsidRPr="008137C5">
        <w:rPr>
          <w:rFonts w:ascii="Adobe Garamond Pro" w:eastAsia="Arial" w:hAnsi="Adobe Garamond Pro" w:cstheme="minorHAnsi"/>
          <w:spacing w:val="-4"/>
          <w:sz w:val="18"/>
          <w:szCs w:val="18"/>
        </w:rPr>
        <w:t xml:space="preserve"> </w:t>
      </w:r>
      <w:r w:rsidRPr="008137C5">
        <w:rPr>
          <w:rFonts w:ascii="Adobe Garamond Pro" w:eastAsia="Arial" w:hAnsi="Adobe Garamond Pro" w:cstheme="minorHAnsi"/>
          <w:spacing w:val="1"/>
          <w:sz w:val="18"/>
          <w:szCs w:val="18"/>
        </w:rPr>
        <w:t>s</w:t>
      </w:r>
      <w:r w:rsidRPr="008137C5">
        <w:rPr>
          <w:rFonts w:ascii="Adobe Garamond Pro" w:eastAsia="Arial" w:hAnsi="Adobe Garamond Pro" w:cstheme="minorHAnsi"/>
          <w:sz w:val="18"/>
          <w:szCs w:val="18"/>
        </w:rPr>
        <w:t>e</w:t>
      </w:r>
      <w:r w:rsidRPr="008137C5">
        <w:rPr>
          <w:rFonts w:ascii="Adobe Garamond Pro" w:eastAsia="Arial" w:hAnsi="Adobe Garamond Pro" w:cstheme="minorHAnsi"/>
          <w:spacing w:val="1"/>
          <w:sz w:val="18"/>
          <w:szCs w:val="18"/>
        </w:rPr>
        <w:t>x</w:t>
      </w:r>
      <w:r w:rsidRPr="008137C5">
        <w:rPr>
          <w:rFonts w:ascii="Adobe Garamond Pro" w:eastAsia="Arial" w:hAnsi="Adobe Garamond Pro" w:cstheme="minorHAnsi"/>
          <w:sz w:val="18"/>
          <w:szCs w:val="18"/>
        </w:rPr>
        <w:t>u</w:t>
      </w:r>
      <w:r w:rsidRPr="008137C5">
        <w:rPr>
          <w:rFonts w:ascii="Adobe Garamond Pro" w:eastAsia="Arial" w:hAnsi="Adobe Garamond Pro" w:cstheme="minorHAnsi"/>
          <w:spacing w:val="2"/>
          <w:sz w:val="18"/>
          <w:szCs w:val="18"/>
        </w:rPr>
        <w:t>a</w:t>
      </w:r>
      <w:r w:rsidRPr="008137C5">
        <w:rPr>
          <w:rFonts w:ascii="Adobe Garamond Pro" w:eastAsia="Arial" w:hAnsi="Adobe Garamond Pro" w:cstheme="minorHAnsi"/>
          <w:sz w:val="18"/>
          <w:szCs w:val="18"/>
        </w:rPr>
        <w:t>l</w:t>
      </w:r>
      <w:r w:rsidRPr="008137C5">
        <w:rPr>
          <w:rFonts w:ascii="Adobe Garamond Pro" w:eastAsia="Arial" w:hAnsi="Adobe Garamond Pro" w:cstheme="minorHAnsi"/>
          <w:spacing w:val="-7"/>
          <w:sz w:val="18"/>
          <w:szCs w:val="18"/>
        </w:rPr>
        <w:t xml:space="preserve"> </w:t>
      </w:r>
      <w:r w:rsidRPr="008137C5">
        <w:rPr>
          <w:rFonts w:ascii="Adobe Garamond Pro" w:eastAsia="Arial" w:hAnsi="Adobe Garamond Pro" w:cstheme="minorHAnsi"/>
          <w:sz w:val="18"/>
          <w:szCs w:val="18"/>
        </w:rPr>
        <w:t>e</w:t>
      </w:r>
      <w:r w:rsidRPr="008137C5">
        <w:rPr>
          <w:rFonts w:ascii="Adobe Garamond Pro" w:eastAsia="Arial" w:hAnsi="Adobe Garamond Pro" w:cstheme="minorHAnsi"/>
          <w:spacing w:val="1"/>
          <w:sz w:val="18"/>
          <w:szCs w:val="18"/>
        </w:rPr>
        <w:t>x</w:t>
      </w:r>
      <w:r w:rsidRPr="008137C5">
        <w:rPr>
          <w:rFonts w:ascii="Adobe Garamond Pro" w:eastAsia="Arial" w:hAnsi="Adobe Garamond Pro" w:cstheme="minorHAnsi"/>
          <w:spacing w:val="2"/>
          <w:sz w:val="18"/>
          <w:szCs w:val="18"/>
        </w:rPr>
        <w:t>p</w:t>
      </w:r>
      <w:r w:rsidRPr="008137C5">
        <w:rPr>
          <w:rFonts w:ascii="Adobe Garamond Pro" w:eastAsia="Arial" w:hAnsi="Adobe Garamond Pro" w:cstheme="minorHAnsi"/>
          <w:spacing w:val="-1"/>
          <w:sz w:val="18"/>
          <w:szCs w:val="18"/>
        </w:rPr>
        <w:t>l</w:t>
      </w:r>
      <w:r w:rsidRPr="008137C5">
        <w:rPr>
          <w:rFonts w:ascii="Adobe Garamond Pro" w:eastAsia="Arial" w:hAnsi="Adobe Garamond Pro" w:cstheme="minorHAnsi"/>
          <w:spacing w:val="2"/>
          <w:sz w:val="18"/>
          <w:szCs w:val="18"/>
        </w:rPr>
        <w:t>o</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ta</w:t>
      </w:r>
      <w:r w:rsidRPr="008137C5">
        <w:rPr>
          <w:rFonts w:ascii="Adobe Garamond Pro" w:eastAsia="Arial" w:hAnsi="Adobe Garamond Pro" w:cstheme="minorHAnsi"/>
          <w:spacing w:val="2"/>
          <w:sz w:val="18"/>
          <w:szCs w:val="18"/>
        </w:rPr>
        <w:t>t</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pacing w:val="2"/>
          <w:sz w:val="18"/>
          <w:szCs w:val="18"/>
        </w:rPr>
        <w:t>o</w:t>
      </w:r>
      <w:r w:rsidRPr="008137C5">
        <w:rPr>
          <w:rFonts w:ascii="Adobe Garamond Pro" w:eastAsia="Arial" w:hAnsi="Adobe Garamond Pro" w:cstheme="minorHAnsi"/>
          <w:sz w:val="18"/>
          <w:szCs w:val="18"/>
        </w:rPr>
        <w:t>n</w:t>
      </w:r>
      <w:r w:rsidRPr="008137C5">
        <w:rPr>
          <w:rFonts w:ascii="Adobe Garamond Pro" w:eastAsia="Arial" w:hAnsi="Adobe Garamond Pro" w:cstheme="minorHAnsi"/>
          <w:spacing w:val="-11"/>
          <w:sz w:val="18"/>
          <w:szCs w:val="18"/>
        </w:rPr>
        <w:t xml:space="preserve"> </w:t>
      </w:r>
      <w:r w:rsidRPr="008137C5">
        <w:rPr>
          <w:rFonts w:ascii="Adobe Garamond Pro" w:eastAsia="Arial" w:hAnsi="Adobe Garamond Pro" w:cstheme="minorHAnsi"/>
          <w:sz w:val="18"/>
          <w:szCs w:val="18"/>
        </w:rPr>
        <w:t>of</w:t>
      </w:r>
      <w:r w:rsidRPr="008137C5">
        <w:rPr>
          <w:rFonts w:ascii="Adobe Garamond Pro" w:eastAsia="Arial" w:hAnsi="Adobe Garamond Pro" w:cstheme="minorHAnsi"/>
          <w:spacing w:val="2"/>
          <w:sz w:val="18"/>
          <w:szCs w:val="18"/>
        </w:rPr>
        <w:t xml:space="preserve"> </w:t>
      </w:r>
      <w:r w:rsidRPr="008137C5">
        <w:rPr>
          <w:rFonts w:ascii="Adobe Garamond Pro" w:eastAsia="Arial" w:hAnsi="Adobe Garamond Pro" w:cstheme="minorHAnsi"/>
          <w:sz w:val="18"/>
          <w:szCs w:val="18"/>
        </w:rPr>
        <w:t>wo</w:t>
      </w:r>
      <w:r w:rsidRPr="008137C5">
        <w:rPr>
          <w:rFonts w:ascii="Adobe Garamond Pro" w:eastAsia="Arial" w:hAnsi="Adobe Garamond Pro" w:cstheme="minorHAnsi"/>
          <w:spacing w:val="4"/>
          <w:sz w:val="18"/>
          <w:szCs w:val="18"/>
        </w:rPr>
        <w:t>m</w:t>
      </w:r>
      <w:r w:rsidRPr="008137C5">
        <w:rPr>
          <w:rFonts w:ascii="Adobe Garamond Pro" w:eastAsia="Arial" w:hAnsi="Adobe Garamond Pro" w:cstheme="minorHAnsi"/>
          <w:sz w:val="18"/>
          <w:szCs w:val="18"/>
        </w:rPr>
        <w:t>en</w:t>
      </w:r>
      <w:r w:rsidRPr="008137C5">
        <w:rPr>
          <w:rFonts w:ascii="Adobe Garamond Pro" w:eastAsia="Arial" w:hAnsi="Adobe Garamond Pro" w:cstheme="minorHAnsi"/>
          <w:spacing w:val="-7"/>
          <w:sz w:val="18"/>
          <w:szCs w:val="18"/>
        </w:rPr>
        <w:t xml:space="preserve"> </w:t>
      </w:r>
      <w:r w:rsidRPr="008137C5">
        <w:rPr>
          <w:rFonts w:ascii="Adobe Garamond Pro" w:eastAsia="Arial" w:hAnsi="Adobe Garamond Pro" w:cstheme="minorHAnsi"/>
          <w:sz w:val="18"/>
          <w:szCs w:val="18"/>
        </w:rPr>
        <w:t>and</w:t>
      </w:r>
      <w:r w:rsidRPr="008137C5">
        <w:rPr>
          <w:rFonts w:ascii="Adobe Garamond Pro" w:eastAsia="Arial" w:hAnsi="Adobe Garamond Pro" w:cstheme="minorHAnsi"/>
          <w:spacing w:val="-4"/>
          <w:sz w:val="18"/>
          <w:szCs w:val="18"/>
        </w:rPr>
        <w:t xml:space="preserve"> </w:t>
      </w:r>
      <w:r w:rsidRPr="008137C5">
        <w:rPr>
          <w:rFonts w:ascii="Adobe Garamond Pro" w:eastAsia="Arial" w:hAnsi="Adobe Garamond Pro" w:cstheme="minorHAnsi"/>
          <w:spacing w:val="2"/>
          <w:sz w:val="18"/>
          <w:szCs w:val="18"/>
        </w:rPr>
        <w:t>g</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pacing w:val="1"/>
          <w:sz w:val="18"/>
          <w:szCs w:val="18"/>
        </w:rPr>
        <w:t>r</w:t>
      </w:r>
      <w:r w:rsidRPr="008137C5">
        <w:rPr>
          <w:rFonts w:ascii="Adobe Garamond Pro" w:eastAsia="Arial" w:hAnsi="Adobe Garamond Pro" w:cstheme="minorHAnsi"/>
          <w:spacing w:val="-1"/>
          <w:sz w:val="18"/>
          <w:szCs w:val="18"/>
        </w:rPr>
        <w:t>l</w:t>
      </w:r>
      <w:r w:rsidRPr="008137C5">
        <w:rPr>
          <w:rFonts w:ascii="Adobe Garamond Pro" w:eastAsia="Arial" w:hAnsi="Adobe Garamond Pro" w:cstheme="minorHAnsi"/>
          <w:sz w:val="18"/>
          <w:szCs w:val="18"/>
        </w:rPr>
        <w:t>s</w:t>
      </w:r>
      <w:r w:rsidRPr="008137C5">
        <w:rPr>
          <w:rFonts w:ascii="Adobe Garamond Pro" w:eastAsia="Arial" w:hAnsi="Adobe Garamond Pro" w:cstheme="minorHAnsi"/>
          <w:spacing w:val="-3"/>
          <w:sz w:val="18"/>
          <w:szCs w:val="18"/>
        </w:rPr>
        <w:t xml:space="preserve"> </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 xml:space="preserve">s </w:t>
      </w:r>
      <w:r w:rsidRPr="008137C5">
        <w:rPr>
          <w:rFonts w:ascii="Adobe Garamond Pro" w:eastAsia="Arial" w:hAnsi="Adobe Garamond Pro" w:cstheme="minorHAnsi"/>
          <w:spacing w:val="2"/>
          <w:sz w:val="18"/>
          <w:szCs w:val="18"/>
        </w:rPr>
        <w:t>t</w:t>
      </w:r>
      <w:r w:rsidRPr="008137C5">
        <w:rPr>
          <w:rFonts w:ascii="Adobe Garamond Pro" w:eastAsia="Arial" w:hAnsi="Adobe Garamond Pro" w:cstheme="minorHAnsi"/>
          <w:sz w:val="18"/>
          <w:szCs w:val="18"/>
        </w:rPr>
        <w:t>he</w:t>
      </w:r>
      <w:r w:rsidRPr="008137C5">
        <w:rPr>
          <w:rFonts w:ascii="Adobe Garamond Pro" w:eastAsia="Arial" w:hAnsi="Adobe Garamond Pro" w:cstheme="minorHAnsi"/>
          <w:spacing w:val="-4"/>
          <w:sz w:val="18"/>
          <w:szCs w:val="18"/>
        </w:rPr>
        <w:t xml:space="preserve"> </w:t>
      </w:r>
      <w:r w:rsidRPr="008137C5">
        <w:rPr>
          <w:rFonts w:ascii="Adobe Garamond Pro" w:eastAsia="Arial" w:hAnsi="Adobe Garamond Pro" w:cstheme="minorHAnsi"/>
          <w:spacing w:val="4"/>
          <w:sz w:val="18"/>
          <w:szCs w:val="18"/>
        </w:rPr>
        <w:t>m</w:t>
      </w:r>
      <w:r w:rsidRPr="008137C5">
        <w:rPr>
          <w:rFonts w:ascii="Adobe Garamond Pro" w:eastAsia="Arial" w:hAnsi="Adobe Garamond Pro" w:cstheme="minorHAnsi"/>
          <w:sz w:val="18"/>
          <w:szCs w:val="18"/>
        </w:rPr>
        <w:t>o</w:t>
      </w:r>
      <w:r w:rsidRPr="008137C5">
        <w:rPr>
          <w:rFonts w:ascii="Adobe Garamond Pro" w:eastAsia="Arial" w:hAnsi="Adobe Garamond Pro" w:cstheme="minorHAnsi"/>
          <w:spacing w:val="1"/>
          <w:sz w:val="18"/>
          <w:szCs w:val="18"/>
        </w:rPr>
        <w:t>s</w:t>
      </w:r>
      <w:r w:rsidRPr="008137C5">
        <w:rPr>
          <w:rFonts w:ascii="Adobe Garamond Pro" w:eastAsia="Arial" w:hAnsi="Adobe Garamond Pro" w:cstheme="minorHAnsi"/>
          <w:sz w:val="18"/>
          <w:szCs w:val="18"/>
        </w:rPr>
        <w:t>t</w:t>
      </w:r>
      <w:r w:rsidRPr="008137C5">
        <w:rPr>
          <w:rFonts w:ascii="Adobe Garamond Pro" w:eastAsia="Arial" w:hAnsi="Adobe Garamond Pro" w:cstheme="minorHAnsi"/>
          <w:spacing w:val="-5"/>
          <w:sz w:val="18"/>
          <w:szCs w:val="18"/>
        </w:rPr>
        <w:t xml:space="preserve"> </w:t>
      </w:r>
      <w:r w:rsidRPr="008137C5">
        <w:rPr>
          <w:rFonts w:ascii="Adobe Garamond Pro" w:eastAsia="Arial" w:hAnsi="Adobe Garamond Pro" w:cstheme="minorHAnsi"/>
          <w:spacing w:val="1"/>
          <w:sz w:val="18"/>
          <w:szCs w:val="18"/>
        </w:rPr>
        <w:t>c</w:t>
      </w:r>
      <w:r w:rsidRPr="008137C5">
        <w:rPr>
          <w:rFonts w:ascii="Adobe Garamond Pro" w:eastAsia="Arial" w:hAnsi="Adobe Garamond Pro" w:cstheme="minorHAnsi"/>
          <w:spacing w:val="-3"/>
          <w:sz w:val="18"/>
          <w:szCs w:val="18"/>
        </w:rPr>
        <w:t>o</w:t>
      </w:r>
      <w:r w:rsidRPr="008137C5">
        <w:rPr>
          <w:rFonts w:ascii="Adobe Garamond Pro" w:eastAsia="Arial" w:hAnsi="Adobe Garamond Pro" w:cstheme="minorHAnsi"/>
          <w:spacing w:val="2"/>
          <w:sz w:val="18"/>
          <w:szCs w:val="18"/>
        </w:rPr>
        <w:t>m</w:t>
      </w:r>
      <w:r w:rsidRPr="008137C5">
        <w:rPr>
          <w:rFonts w:ascii="Adobe Garamond Pro" w:eastAsia="Arial" w:hAnsi="Adobe Garamond Pro" w:cstheme="minorHAnsi"/>
          <w:spacing w:val="4"/>
          <w:sz w:val="18"/>
          <w:szCs w:val="18"/>
        </w:rPr>
        <w:t>m</w:t>
      </w:r>
      <w:r w:rsidRPr="008137C5">
        <w:rPr>
          <w:rFonts w:ascii="Adobe Garamond Pro" w:eastAsia="Arial" w:hAnsi="Adobe Garamond Pro" w:cstheme="minorHAnsi"/>
          <w:sz w:val="18"/>
          <w:szCs w:val="18"/>
        </w:rPr>
        <w:t>on</w:t>
      </w:r>
      <w:r w:rsidRPr="008137C5">
        <w:rPr>
          <w:rFonts w:ascii="Adobe Garamond Pro" w:eastAsia="Arial" w:hAnsi="Adobe Garamond Pro" w:cstheme="minorHAnsi"/>
          <w:spacing w:val="-11"/>
          <w:sz w:val="18"/>
          <w:szCs w:val="18"/>
        </w:rPr>
        <w:t xml:space="preserve"> </w:t>
      </w:r>
      <w:r w:rsidRPr="008137C5">
        <w:rPr>
          <w:rFonts w:ascii="Adobe Garamond Pro" w:eastAsia="Arial" w:hAnsi="Adobe Garamond Pro" w:cstheme="minorHAnsi"/>
          <w:spacing w:val="4"/>
          <w:sz w:val="18"/>
          <w:szCs w:val="18"/>
        </w:rPr>
        <w:t>m</w:t>
      </w:r>
      <w:r w:rsidRPr="008137C5">
        <w:rPr>
          <w:rFonts w:ascii="Adobe Garamond Pro" w:eastAsia="Arial" w:hAnsi="Adobe Garamond Pro" w:cstheme="minorHAnsi"/>
          <w:sz w:val="18"/>
          <w:szCs w:val="18"/>
        </w:rPr>
        <w:t>an</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pacing w:val="2"/>
          <w:sz w:val="18"/>
          <w:szCs w:val="18"/>
        </w:rPr>
        <w:t>f</w:t>
      </w:r>
      <w:r w:rsidRPr="008137C5">
        <w:rPr>
          <w:rFonts w:ascii="Adobe Garamond Pro" w:eastAsia="Arial" w:hAnsi="Adobe Garamond Pro" w:cstheme="minorHAnsi"/>
          <w:sz w:val="18"/>
          <w:szCs w:val="18"/>
        </w:rPr>
        <w:t>e</w:t>
      </w:r>
      <w:r w:rsidRPr="008137C5">
        <w:rPr>
          <w:rFonts w:ascii="Adobe Garamond Pro" w:eastAsia="Arial" w:hAnsi="Adobe Garamond Pro" w:cstheme="minorHAnsi"/>
          <w:spacing w:val="1"/>
          <w:sz w:val="18"/>
          <w:szCs w:val="18"/>
        </w:rPr>
        <w:t>s</w:t>
      </w:r>
      <w:r w:rsidRPr="008137C5">
        <w:rPr>
          <w:rFonts w:ascii="Adobe Garamond Pro" w:eastAsia="Arial" w:hAnsi="Adobe Garamond Pro" w:cstheme="minorHAnsi"/>
          <w:sz w:val="18"/>
          <w:szCs w:val="18"/>
        </w:rPr>
        <w:t>tat</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on</w:t>
      </w:r>
      <w:r w:rsidRPr="008137C5">
        <w:rPr>
          <w:rFonts w:ascii="Adobe Garamond Pro" w:eastAsia="Arial" w:hAnsi="Adobe Garamond Pro" w:cstheme="minorHAnsi"/>
          <w:spacing w:val="-10"/>
          <w:sz w:val="18"/>
          <w:szCs w:val="18"/>
        </w:rPr>
        <w:t xml:space="preserve"> </w:t>
      </w:r>
      <w:r w:rsidRPr="008137C5">
        <w:rPr>
          <w:rFonts w:ascii="Adobe Garamond Pro" w:eastAsia="Arial" w:hAnsi="Adobe Garamond Pro" w:cstheme="minorHAnsi"/>
          <w:sz w:val="18"/>
          <w:szCs w:val="18"/>
        </w:rPr>
        <w:t>of t</w:t>
      </w:r>
      <w:r w:rsidRPr="008137C5">
        <w:rPr>
          <w:rFonts w:ascii="Adobe Garamond Pro" w:eastAsia="Arial" w:hAnsi="Adobe Garamond Pro" w:cstheme="minorHAnsi"/>
          <w:spacing w:val="1"/>
          <w:sz w:val="18"/>
          <w:szCs w:val="18"/>
        </w:rPr>
        <w:t>r</w:t>
      </w:r>
      <w:r w:rsidRPr="008137C5">
        <w:rPr>
          <w:rFonts w:ascii="Adobe Garamond Pro" w:eastAsia="Arial" w:hAnsi="Adobe Garamond Pro" w:cstheme="minorHAnsi"/>
          <w:sz w:val="18"/>
          <w:szCs w:val="18"/>
        </w:rPr>
        <w:t>a</w:t>
      </w:r>
      <w:r w:rsidRPr="008137C5">
        <w:rPr>
          <w:rFonts w:ascii="Adobe Garamond Pro" w:eastAsia="Arial" w:hAnsi="Adobe Garamond Pro" w:cstheme="minorHAnsi"/>
          <w:spacing w:val="2"/>
          <w:sz w:val="18"/>
          <w:szCs w:val="18"/>
        </w:rPr>
        <w:t>ff</w:t>
      </w:r>
      <w:r w:rsidRPr="008137C5">
        <w:rPr>
          <w:rFonts w:ascii="Adobe Garamond Pro" w:eastAsia="Arial" w:hAnsi="Adobe Garamond Pro" w:cstheme="minorHAnsi"/>
          <w:spacing w:val="-1"/>
          <w:sz w:val="18"/>
          <w:szCs w:val="18"/>
        </w:rPr>
        <w:t>ic</w:t>
      </w:r>
      <w:r w:rsidRPr="008137C5">
        <w:rPr>
          <w:rFonts w:ascii="Adobe Garamond Pro" w:eastAsia="Arial" w:hAnsi="Adobe Garamond Pro" w:cstheme="minorHAnsi"/>
          <w:spacing w:val="4"/>
          <w:sz w:val="18"/>
          <w:szCs w:val="18"/>
        </w:rPr>
        <w:t>k</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ng</w:t>
      </w:r>
      <w:r w:rsidRPr="008137C5">
        <w:rPr>
          <w:rFonts w:ascii="Adobe Garamond Pro" w:eastAsia="Arial" w:hAnsi="Adobe Garamond Pro" w:cstheme="minorHAnsi"/>
          <w:spacing w:val="-10"/>
          <w:sz w:val="18"/>
          <w:szCs w:val="18"/>
        </w:rPr>
        <w:t xml:space="preserve"> </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n</w:t>
      </w:r>
      <w:r w:rsidRPr="008137C5">
        <w:rPr>
          <w:rFonts w:ascii="Adobe Garamond Pro" w:eastAsia="Arial" w:hAnsi="Adobe Garamond Pro" w:cstheme="minorHAnsi"/>
          <w:spacing w:val="-3"/>
          <w:sz w:val="18"/>
          <w:szCs w:val="18"/>
        </w:rPr>
        <w:t xml:space="preserve"> </w:t>
      </w:r>
      <w:r w:rsidRPr="008137C5">
        <w:rPr>
          <w:rFonts w:ascii="Adobe Garamond Pro" w:eastAsia="Arial" w:hAnsi="Adobe Garamond Pro" w:cstheme="minorHAnsi"/>
          <w:sz w:val="18"/>
          <w:szCs w:val="18"/>
        </w:rPr>
        <w:t>C</w:t>
      </w:r>
      <w:r w:rsidRPr="008137C5">
        <w:rPr>
          <w:rFonts w:ascii="Adobe Garamond Pro" w:eastAsia="Arial" w:hAnsi="Adobe Garamond Pro" w:cstheme="minorHAnsi"/>
          <w:spacing w:val="2"/>
          <w:sz w:val="18"/>
          <w:szCs w:val="18"/>
        </w:rPr>
        <w:t>a</w:t>
      </w:r>
      <w:r w:rsidRPr="008137C5">
        <w:rPr>
          <w:rFonts w:ascii="Adobe Garamond Pro" w:eastAsia="Arial" w:hAnsi="Adobe Garamond Pro" w:cstheme="minorHAnsi"/>
          <w:sz w:val="18"/>
          <w:szCs w:val="18"/>
        </w:rPr>
        <w:t>na</w:t>
      </w:r>
      <w:r w:rsidRPr="008137C5">
        <w:rPr>
          <w:rFonts w:ascii="Adobe Garamond Pro" w:eastAsia="Arial" w:hAnsi="Adobe Garamond Pro" w:cstheme="minorHAnsi"/>
          <w:spacing w:val="2"/>
          <w:sz w:val="18"/>
          <w:szCs w:val="18"/>
        </w:rPr>
        <w:t>d</w:t>
      </w:r>
      <w:r w:rsidRPr="008137C5">
        <w:rPr>
          <w:rFonts w:ascii="Adobe Garamond Pro" w:eastAsia="Arial" w:hAnsi="Adobe Garamond Pro" w:cstheme="minorHAnsi"/>
          <w:sz w:val="18"/>
          <w:szCs w:val="18"/>
        </w:rPr>
        <w:t xml:space="preserve">a. </w:t>
      </w:r>
      <w:r w:rsidRPr="008137C5">
        <w:rPr>
          <w:rFonts w:ascii="Adobe Garamond Pro" w:eastAsia="Arial" w:hAnsi="Adobe Garamond Pro" w:cstheme="minorHAnsi"/>
          <w:spacing w:val="-1"/>
          <w:sz w:val="18"/>
          <w:szCs w:val="18"/>
        </w:rPr>
        <w:t>S</w:t>
      </w:r>
      <w:r w:rsidRPr="008137C5">
        <w:rPr>
          <w:rFonts w:ascii="Adobe Garamond Pro" w:eastAsia="Arial" w:hAnsi="Adobe Garamond Pro" w:cstheme="minorHAnsi"/>
          <w:sz w:val="18"/>
          <w:szCs w:val="18"/>
        </w:rPr>
        <w:t>ee</w:t>
      </w:r>
      <w:r w:rsidRPr="008137C5">
        <w:rPr>
          <w:rFonts w:ascii="Adobe Garamond Pro" w:eastAsia="Arial" w:hAnsi="Adobe Garamond Pro" w:cstheme="minorHAnsi"/>
          <w:spacing w:val="-2"/>
          <w:sz w:val="18"/>
          <w:szCs w:val="18"/>
        </w:rPr>
        <w:t xml:space="preserve"> </w:t>
      </w:r>
      <w:r w:rsidRPr="008137C5">
        <w:rPr>
          <w:rFonts w:ascii="Adobe Garamond Pro" w:eastAsia="Arial" w:hAnsi="Adobe Garamond Pro" w:cstheme="minorHAnsi"/>
          <w:spacing w:val="-1"/>
          <w:sz w:val="18"/>
          <w:szCs w:val="18"/>
        </w:rPr>
        <w:t>P</w:t>
      </w:r>
      <w:r w:rsidRPr="008137C5">
        <w:rPr>
          <w:rFonts w:ascii="Adobe Garamond Pro" w:eastAsia="Arial" w:hAnsi="Adobe Garamond Pro" w:cstheme="minorHAnsi"/>
          <w:spacing w:val="2"/>
          <w:sz w:val="18"/>
          <w:szCs w:val="18"/>
        </w:rPr>
        <w:t>u</w:t>
      </w:r>
      <w:r w:rsidRPr="008137C5">
        <w:rPr>
          <w:rFonts w:ascii="Adobe Garamond Pro" w:eastAsia="Arial" w:hAnsi="Adobe Garamond Pro" w:cstheme="minorHAnsi"/>
          <w:sz w:val="18"/>
          <w:szCs w:val="18"/>
        </w:rPr>
        <w:t>b</w:t>
      </w:r>
      <w:r w:rsidRPr="008137C5">
        <w:rPr>
          <w:rFonts w:ascii="Adobe Garamond Pro" w:eastAsia="Arial" w:hAnsi="Adobe Garamond Pro" w:cstheme="minorHAnsi"/>
          <w:spacing w:val="1"/>
          <w:sz w:val="18"/>
          <w:szCs w:val="18"/>
        </w:rPr>
        <w:t>l</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c</w:t>
      </w:r>
      <w:r w:rsidRPr="008137C5">
        <w:rPr>
          <w:rFonts w:ascii="Adobe Garamond Pro" w:eastAsia="Arial" w:hAnsi="Adobe Garamond Pro" w:cstheme="minorHAnsi"/>
          <w:spacing w:val="-4"/>
          <w:sz w:val="18"/>
          <w:szCs w:val="18"/>
        </w:rPr>
        <w:t xml:space="preserve"> </w:t>
      </w:r>
      <w:r w:rsidRPr="008137C5">
        <w:rPr>
          <w:rFonts w:ascii="Adobe Garamond Pro" w:eastAsia="Arial" w:hAnsi="Adobe Garamond Pro" w:cstheme="minorHAnsi"/>
          <w:spacing w:val="2"/>
          <w:sz w:val="18"/>
          <w:szCs w:val="18"/>
        </w:rPr>
        <w:t>S</w:t>
      </w:r>
      <w:r w:rsidRPr="008137C5">
        <w:rPr>
          <w:rFonts w:ascii="Adobe Garamond Pro" w:eastAsia="Arial" w:hAnsi="Adobe Garamond Pro" w:cstheme="minorHAnsi"/>
          <w:sz w:val="18"/>
          <w:szCs w:val="18"/>
        </w:rPr>
        <w:t>a</w:t>
      </w:r>
      <w:r w:rsidRPr="008137C5">
        <w:rPr>
          <w:rFonts w:ascii="Adobe Garamond Pro" w:eastAsia="Arial" w:hAnsi="Adobe Garamond Pro" w:cstheme="minorHAnsi"/>
          <w:spacing w:val="2"/>
          <w:sz w:val="18"/>
          <w:szCs w:val="18"/>
        </w:rPr>
        <w:t>f</w:t>
      </w:r>
      <w:r w:rsidRPr="008137C5">
        <w:rPr>
          <w:rFonts w:ascii="Adobe Garamond Pro" w:eastAsia="Arial" w:hAnsi="Adobe Garamond Pro" w:cstheme="minorHAnsi"/>
          <w:sz w:val="18"/>
          <w:szCs w:val="18"/>
        </w:rPr>
        <w:t>e</w:t>
      </w:r>
      <w:r w:rsidRPr="008137C5">
        <w:rPr>
          <w:rFonts w:ascii="Adobe Garamond Pro" w:eastAsia="Arial" w:hAnsi="Adobe Garamond Pro" w:cstheme="minorHAnsi"/>
          <w:spacing w:val="2"/>
          <w:sz w:val="18"/>
          <w:szCs w:val="18"/>
        </w:rPr>
        <w:t>t</w:t>
      </w:r>
      <w:r w:rsidRPr="008137C5">
        <w:rPr>
          <w:rFonts w:ascii="Adobe Garamond Pro" w:eastAsia="Arial" w:hAnsi="Adobe Garamond Pro" w:cstheme="minorHAnsi"/>
          <w:sz w:val="18"/>
          <w:szCs w:val="18"/>
        </w:rPr>
        <w:t>y</w:t>
      </w:r>
      <w:r w:rsidRPr="008137C5">
        <w:rPr>
          <w:rFonts w:ascii="Adobe Garamond Pro" w:eastAsia="Arial" w:hAnsi="Adobe Garamond Pro" w:cstheme="minorHAnsi"/>
          <w:spacing w:val="-10"/>
          <w:sz w:val="18"/>
          <w:szCs w:val="18"/>
        </w:rPr>
        <w:t xml:space="preserve"> </w:t>
      </w:r>
      <w:r w:rsidRPr="008137C5">
        <w:rPr>
          <w:rFonts w:ascii="Adobe Garamond Pro" w:eastAsia="Arial" w:hAnsi="Adobe Garamond Pro" w:cstheme="minorHAnsi"/>
          <w:spacing w:val="3"/>
          <w:sz w:val="18"/>
          <w:szCs w:val="18"/>
        </w:rPr>
        <w:t>C</w:t>
      </w:r>
      <w:r w:rsidRPr="008137C5">
        <w:rPr>
          <w:rFonts w:ascii="Adobe Garamond Pro" w:eastAsia="Arial" w:hAnsi="Adobe Garamond Pro" w:cstheme="minorHAnsi"/>
          <w:sz w:val="18"/>
          <w:szCs w:val="18"/>
        </w:rPr>
        <w:t>an</w:t>
      </w:r>
      <w:r w:rsidRPr="008137C5">
        <w:rPr>
          <w:rFonts w:ascii="Adobe Garamond Pro" w:eastAsia="Arial" w:hAnsi="Adobe Garamond Pro" w:cstheme="minorHAnsi"/>
          <w:spacing w:val="2"/>
          <w:sz w:val="18"/>
          <w:szCs w:val="18"/>
        </w:rPr>
        <w:t>a</w:t>
      </w:r>
      <w:r w:rsidRPr="008137C5">
        <w:rPr>
          <w:rFonts w:ascii="Adobe Garamond Pro" w:eastAsia="Arial" w:hAnsi="Adobe Garamond Pro" w:cstheme="minorHAnsi"/>
          <w:sz w:val="18"/>
          <w:szCs w:val="18"/>
        </w:rPr>
        <w:t>da,</w:t>
      </w:r>
      <w:r w:rsidRPr="008137C5">
        <w:rPr>
          <w:rFonts w:ascii="Adobe Garamond Pro" w:eastAsia="Arial" w:hAnsi="Adobe Garamond Pro" w:cstheme="minorHAnsi"/>
          <w:spacing w:val="-6"/>
          <w:sz w:val="18"/>
          <w:szCs w:val="18"/>
        </w:rPr>
        <w:t xml:space="preserve"> </w:t>
      </w:r>
      <w:r w:rsidRPr="008137C5">
        <w:rPr>
          <w:rFonts w:ascii="Adobe Garamond Pro" w:eastAsia="Arial" w:hAnsi="Adobe Garamond Pro" w:cstheme="minorHAnsi"/>
          <w:i/>
          <w:sz w:val="18"/>
          <w:szCs w:val="18"/>
        </w:rPr>
        <w:t>Nat</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on</w:t>
      </w:r>
      <w:r w:rsidRPr="008137C5">
        <w:rPr>
          <w:rFonts w:ascii="Adobe Garamond Pro" w:eastAsia="Arial" w:hAnsi="Adobe Garamond Pro" w:cstheme="minorHAnsi"/>
          <w:i/>
          <w:spacing w:val="2"/>
          <w:sz w:val="18"/>
          <w:szCs w:val="18"/>
        </w:rPr>
        <w:t>a</w:t>
      </w:r>
      <w:r w:rsidRPr="008137C5">
        <w:rPr>
          <w:rFonts w:ascii="Adobe Garamond Pro" w:eastAsia="Arial" w:hAnsi="Adobe Garamond Pro" w:cstheme="minorHAnsi"/>
          <w:i/>
          <w:sz w:val="18"/>
          <w:szCs w:val="18"/>
        </w:rPr>
        <w:t>l</w:t>
      </w:r>
      <w:r w:rsidRPr="008137C5">
        <w:rPr>
          <w:rFonts w:ascii="Adobe Garamond Pro" w:eastAsia="Arial" w:hAnsi="Adobe Garamond Pro" w:cstheme="minorHAnsi"/>
          <w:i/>
          <w:spacing w:val="-6"/>
          <w:sz w:val="18"/>
          <w:szCs w:val="18"/>
        </w:rPr>
        <w:t xml:space="preserve"> </w:t>
      </w:r>
      <w:r w:rsidRPr="008137C5">
        <w:rPr>
          <w:rFonts w:ascii="Adobe Garamond Pro" w:eastAsia="Arial" w:hAnsi="Adobe Garamond Pro" w:cstheme="minorHAnsi"/>
          <w:i/>
          <w:spacing w:val="-1"/>
          <w:sz w:val="18"/>
          <w:szCs w:val="18"/>
        </w:rPr>
        <w:t>A</w:t>
      </w:r>
      <w:r w:rsidRPr="008137C5">
        <w:rPr>
          <w:rFonts w:ascii="Adobe Garamond Pro" w:eastAsia="Arial" w:hAnsi="Adobe Garamond Pro" w:cstheme="minorHAnsi"/>
          <w:i/>
          <w:spacing w:val="1"/>
          <w:sz w:val="18"/>
          <w:szCs w:val="18"/>
        </w:rPr>
        <w:t>c</w:t>
      </w:r>
      <w:r w:rsidRPr="008137C5">
        <w:rPr>
          <w:rFonts w:ascii="Adobe Garamond Pro" w:eastAsia="Arial" w:hAnsi="Adobe Garamond Pro" w:cstheme="minorHAnsi"/>
          <w:i/>
          <w:sz w:val="18"/>
          <w:szCs w:val="18"/>
        </w:rPr>
        <w:t>t</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2"/>
          <w:sz w:val="18"/>
          <w:szCs w:val="18"/>
        </w:rPr>
        <w:t>o</w:t>
      </w:r>
      <w:r w:rsidRPr="008137C5">
        <w:rPr>
          <w:rFonts w:ascii="Adobe Garamond Pro" w:eastAsia="Arial" w:hAnsi="Adobe Garamond Pro" w:cstheme="minorHAnsi"/>
          <w:i/>
          <w:sz w:val="18"/>
          <w:szCs w:val="18"/>
        </w:rPr>
        <w:t>n</w:t>
      </w:r>
      <w:r w:rsidRPr="008137C5">
        <w:rPr>
          <w:rFonts w:ascii="Adobe Garamond Pro" w:eastAsia="Arial" w:hAnsi="Adobe Garamond Pro" w:cstheme="minorHAnsi"/>
          <w:i/>
          <w:spacing w:val="-7"/>
          <w:sz w:val="18"/>
          <w:szCs w:val="18"/>
        </w:rPr>
        <w:t xml:space="preserve"> </w:t>
      </w:r>
      <w:r w:rsidRPr="008137C5">
        <w:rPr>
          <w:rFonts w:ascii="Adobe Garamond Pro" w:eastAsia="Arial" w:hAnsi="Adobe Garamond Pro" w:cstheme="minorHAnsi"/>
          <w:i/>
          <w:spacing w:val="2"/>
          <w:sz w:val="18"/>
          <w:szCs w:val="18"/>
        </w:rPr>
        <w:t>P</w:t>
      </w:r>
      <w:r w:rsidRPr="008137C5">
        <w:rPr>
          <w:rFonts w:ascii="Adobe Garamond Pro" w:eastAsia="Arial" w:hAnsi="Adobe Garamond Pro" w:cstheme="minorHAnsi"/>
          <w:i/>
          <w:spacing w:val="-1"/>
          <w:sz w:val="18"/>
          <w:szCs w:val="18"/>
        </w:rPr>
        <w:t>l</w:t>
      </w:r>
      <w:r w:rsidRPr="008137C5">
        <w:rPr>
          <w:rFonts w:ascii="Adobe Garamond Pro" w:eastAsia="Arial" w:hAnsi="Adobe Garamond Pro" w:cstheme="minorHAnsi"/>
          <w:i/>
          <w:spacing w:val="2"/>
          <w:sz w:val="18"/>
          <w:szCs w:val="18"/>
        </w:rPr>
        <w:t>a</w:t>
      </w:r>
      <w:r w:rsidRPr="008137C5">
        <w:rPr>
          <w:rFonts w:ascii="Adobe Garamond Pro" w:eastAsia="Arial" w:hAnsi="Adobe Garamond Pro" w:cstheme="minorHAnsi"/>
          <w:i/>
          <w:sz w:val="18"/>
          <w:szCs w:val="18"/>
        </w:rPr>
        <w:t>n</w:t>
      </w:r>
      <w:r w:rsidRPr="008137C5">
        <w:rPr>
          <w:rFonts w:ascii="Adobe Garamond Pro" w:eastAsia="Arial" w:hAnsi="Adobe Garamond Pro" w:cstheme="minorHAnsi"/>
          <w:i/>
          <w:spacing w:val="-5"/>
          <w:sz w:val="18"/>
          <w:szCs w:val="18"/>
        </w:rPr>
        <w:t xml:space="preserve"> </w:t>
      </w:r>
      <w:r w:rsidRPr="008137C5">
        <w:rPr>
          <w:rFonts w:ascii="Adobe Garamond Pro" w:eastAsia="Arial" w:hAnsi="Adobe Garamond Pro" w:cstheme="minorHAnsi"/>
          <w:i/>
          <w:sz w:val="18"/>
          <w:szCs w:val="18"/>
        </w:rPr>
        <w:t>to C</w:t>
      </w:r>
      <w:r w:rsidRPr="008137C5">
        <w:rPr>
          <w:rFonts w:ascii="Adobe Garamond Pro" w:eastAsia="Arial" w:hAnsi="Adobe Garamond Pro" w:cstheme="minorHAnsi"/>
          <w:i/>
          <w:spacing w:val="2"/>
          <w:sz w:val="18"/>
          <w:szCs w:val="18"/>
        </w:rPr>
        <w:t>o</w:t>
      </w:r>
      <w:r w:rsidRPr="008137C5">
        <w:rPr>
          <w:rFonts w:ascii="Adobe Garamond Pro" w:eastAsia="Arial" w:hAnsi="Adobe Garamond Pro" w:cstheme="minorHAnsi"/>
          <w:i/>
          <w:sz w:val="18"/>
          <w:szCs w:val="18"/>
        </w:rPr>
        <w:t>mbat</w:t>
      </w:r>
      <w:r w:rsidRPr="008137C5">
        <w:rPr>
          <w:rFonts w:ascii="Adobe Garamond Pro" w:eastAsia="Arial" w:hAnsi="Adobe Garamond Pro" w:cstheme="minorHAnsi"/>
          <w:i/>
          <w:spacing w:val="-5"/>
          <w:sz w:val="18"/>
          <w:szCs w:val="18"/>
        </w:rPr>
        <w:t xml:space="preserve"> </w:t>
      </w:r>
      <w:r w:rsidRPr="008137C5">
        <w:rPr>
          <w:rFonts w:ascii="Adobe Garamond Pro" w:eastAsia="Arial" w:hAnsi="Adobe Garamond Pro" w:cstheme="minorHAnsi"/>
          <w:i/>
          <w:sz w:val="18"/>
          <w:szCs w:val="18"/>
        </w:rPr>
        <w:t>Hu</w:t>
      </w:r>
      <w:r w:rsidRPr="008137C5">
        <w:rPr>
          <w:rFonts w:ascii="Adobe Garamond Pro" w:eastAsia="Arial" w:hAnsi="Adobe Garamond Pro" w:cstheme="minorHAnsi"/>
          <w:i/>
          <w:spacing w:val="2"/>
          <w:sz w:val="18"/>
          <w:szCs w:val="18"/>
        </w:rPr>
        <w:t>m</w:t>
      </w:r>
      <w:r w:rsidRPr="008137C5">
        <w:rPr>
          <w:rFonts w:ascii="Adobe Garamond Pro" w:eastAsia="Arial" w:hAnsi="Adobe Garamond Pro" w:cstheme="minorHAnsi"/>
          <w:i/>
          <w:sz w:val="18"/>
          <w:szCs w:val="18"/>
        </w:rPr>
        <w:t>an</w:t>
      </w:r>
      <w:r w:rsidRPr="008137C5">
        <w:rPr>
          <w:rFonts w:ascii="Adobe Garamond Pro" w:eastAsia="Arial" w:hAnsi="Adobe Garamond Pro" w:cstheme="minorHAnsi"/>
          <w:i/>
          <w:spacing w:val="-7"/>
          <w:sz w:val="18"/>
          <w:szCs w:val="18"/>
        </w:rPr>
        <w:t xml:space="preserve"> </w:t>
      </w:r>
      <w:r w:rsidRPr="008137C5">
        <w:rPr>
          <w:rFonts w:ascii="Adobe Garamond Pro" w:eastAsia="Arial" w:hAnsi="Adobe Garamond Pro" w:cstheme="minorHAnsi"/>
          <w:i/>
          <w:spacing w:val="1"/>
          <w:sz w:val="18"/>
          <w:szCs w:val="18"/>
        </w:rPr>
        <w:t>Tr</w:t>
      </w:r>
      <w:r w:rsidRPr="008137C5">
        <w:rPr>
          <w:rFonts w:ascii="Adobe Garamond Pro" w:eastAsia="Arial" w:hAnsi="Adobe Garamond Pro" w:cstheme="minorHAnsi"/>
          <w:i/>
          <w:sz w:val="18"/>
          <w:szCs w:val="18"/>
        </w:rPr>
        <w:t>a</w:t>
      </w:r>
      <w:r w:rsidRPr="008137C5">
        <w:rPr>
          <w:rFonts w:ascii="Adobe Garamond Pro" w:eastAsia="Arial" w:hAnsi="Adobe Garamond Pro" w:cstheme="minorHAnsi"/>
          <w:i/>
          <w:spacing w:val="2"/>
          <w:sz w:val="18"/>
          <w:szCs w:val="18"/>
        </w:rPr>
        <w:t>f</w:t>
      </w:r>
      <w:r w:rsidRPr="008137C5">
        <w:rPr>
          <w:rFonts w:ascii="Adobe Garamond Pro" w:eastAsia="Arial" w:hAnsi="Adobe Garamond Pro" w:cstheme="minorHAnsi"/>
          <w:i/>
          <w:sz w:val="18"/>
          <w:szCs w:val="18"/>
        </w:rPr>
        <w:t>f</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1"/>
          <w:sz w:val="18"/>
          <w:szCs w:val="18"/>
        </w:rPr>
        <w:t>ck</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2"/>
          <w:sz w:val="18"/>
          <w:szCs w:val="18"/>
        </w:rPr>
        <w:t>n</w:t>
      </w:r>
      <w:r w:rsidRPr="008137C5">
        <w:rPr>
          <w:rFonts w:ascii="Adobe Garamond Pro" w:eastAsia="Arial" w:hAnsi="Adobe Garamond Pro" w:cstheme="minorHAnsi"/>
          <w:i/>
          <w:sz w:val="18"/>
          <w:szCs w:val="18"/>
        </w:rPr>
        <w:t>g</w:t>
      </w:r>
      <w:r w:rsidRPr="008137C5">
        <w:rPr>
          <w:rFonts w:ascii="Adobe Garamond Pro" w:eastAsia="Arial" w:hAnsi="Adobe Garamond Pro" w:cstheme="minorHAnsi"/>
          <w:sz w:val="18"/>
          <w:szCs w:val="18"/>
        </w:rPr>
        <w:t>,</w:t>
      </w:r>
      <w:r w:rsidRPr="008137C5">
        <w:rPr>
          <w:rFonts w:ascii="Adobe Garamond Pro" w:eastAsia="Arial" w:hAnsi="Adobe Garamond Pro" w:cstheme="minorHAnsi"/>
          <w:spacing w:val="-11"/>
          <w:sz w:val="18"/>
          <w:szCs w:val="18"/>
        </w:rPr>
        <w:t xml:space="preserve"> </w:t>
      </w:r>
      <w:r w:rsidRPr="008137C5">
        <w:rPr>
          <w:rFonts w:ascii="Adobe Garamond Pro" w:eastAsia="Arial" w:hAnsi="Adobe Garamond Pro" w:cstheme="minorHAnsi"/>
          <w:spacing w:val="2"/>
          <w:sz w:val="18"/>
          <w:szCs w:val="18"/>
        </w:rPr>
        <w:t>2</w:t>
      </w:r>
      <w:r w:rsidRPr="008137C5">
        <w:rPr>
          <w:rFonts w:ascii="Adobe Garamond Pro" w:eastAsia="Arial" w:hAnsi="Adobe Garamond Pro" w:cstheme="minorHAnsi"/>
          <w:sz w:val="18"/>
          <w:szCs w:val="18"/>
        </w:rPr>
        <w:t>012.</w:t>
      </w:r>
    </w:p>
  </w:footnote>
  <w:footnote w:id="74">
    <w:p w14:paraId="271878D8" w14:textId="77777777" w:rsidR="00F936AB" w:rsidRPr="008137C5" w:rsidRDefault="00F936AB" w:rsidP="00047A74">
      <w:pPr>
        <w:pStyle w:val="FootnoteText"/>
        <w:rPr>
          <w:rFonts w:ascii="Adobe Garamond Pro" w:hAnsi="Adobe Garamond Pro" w:cstheme="minorHAnsi"/>
          <w:sz w:val="18"/>
          <w:szCs w:val="18"/>
        </w:rPr>
      </w:pPr>
      <w:r w:rsidRPr="008137C5">
        <w:rPr>
          <w:rStyle w:val="FootnoteReference"/>
          <w:rFonts w:ascii="Adobe Garamond Pro" w:hAnsi="Adobe Garamond Pro" w:cstheme="minorHAnsi"/>
          <w:sz w:val="18"/>
          <w:szCs w:val="18"/>
        </w:rPr>
        <w:footnoteRef/>
      </w:r>
      <w:r w:rsidRPr="008137C5">
        <w:rPr>
          <w:rFonts w:ascii="Adobe Garamond Pro" w:hAnsi="Adobe Garamond Pro" w:cstheme="minorHAnsi"/>
          <w:sz w:val="18"/>
          <w:szCs w:val="18"/>
        </w:rPr>
        <w:t xml:space="preserve"> </w:t>
      </w:r>
      <w:r w:rsidRPr="008137C5">
        <w:rPr>
          <w:rFonts w:ascii="Adobe Garamond Pro" w:eastAsia="Arial" w:hAnsi="Adobe Garamond Pro" w:cstheme="minorHAnsi"/>
          <w:spacing w:val="-1"/>
          <w:sz w:val="18"/>
          <w:szCs w:val="18"/>
        </w:rPr>
        <w:t>B</w:t>
      </w:r>
      <w:r w:rsidRPr="008137C5">
        <w:rPr>
          <w:rFonts w:ascii="Adobe Garamond Pro" w:eastAsia="Arial" w:hAnsi="Adobe Garamond Pro" w:cstheme="minorHAnsi"/>
          <w:sz w:val="18"/>
          <w:szCs w:val="18"/>
        </w:rPr>
        <w:t>ut</w:t>
      </w:r>
      <w:r w:rsidRPr="008137C5">
        <w:rPr>
          <w:rFonts w:ascii="Adobe Garamond Pro" w:eastAsia="Arial" w:hAnsi="Adobe Garamond Pro" w:cstheme="minorHAnsi"/>
          <w:spacing w:val="2"/>
          <w:sz w:val="18"/>
          <w:szCs w:val="18"/>
        </w:rPr>
        <w:t>t</w:t>
      </w:r>
      <w:r w:rsidRPr="008137C5">
        <w:rPr>
          <w:rFonts w:ascii="Adobe Garamond Pro" w:eastAsia="Arial" w:hAnsi="Adobe Garamond Pro" w:cstheme="minorHAnsi"/>
          <w:sz w:val="18"/>
          <w:szCs w:val="18"/>
        </w:rPr>
        <w:t>e</w:t>
      </w:r>
      <w:r w:rsidRPr="008137C5">
        <w:rPr>
          <w:rFonts w:ascii="Adobe Garamond Pro" w:eastAsia="Arial" w:hAnsi="Adobe Garamond Pro" w:cstheme="minorHAnsi"/>
          <w:spacing w:val="1"/>
          <w:sz w:val="18"/>
          <w:szCs w:val="18"/>
        </w:rPr>
        <w:t>r</w:t>
      </w:r>
      <w:r w:rsidRPr="008137C5">
        <w:rPr>
          <w:rFonts w:ascii="Adobe Garamond Pro" w:eastAsia="Arial" w:hAnsi="Adobe Garamond Pro" w:cstheme="minorHAnsi"/>
          <w:spacing w:val="2"/>
          <w:sz w:val="18"/>
          <w:szCs w:val="18"/>
        </w:rPr>
        <w:t>f</w:t>
      </w:r>
      <w:r w:rsidRPr="008137C5">
        <w:rPr>
          <w:rFonts w:ascii="Adobe Garamond Pro" w:eastAsia="Arial" w:hAnsi="Adobe Garamond Pro" w:cstheme="minorHAnsi"/>
          <w:spacing w:val="1"/>
          <w:sz w:val="18"/>
          <w:szCs w:val="18"/>
        </w:rPr>
        <w:t>l</w:t>
      </w:r>
      <w:r w:rsidRPr="008137C5">
        <w:rPr>
          <w:rFonts w:ascii="Adobe Garamond Pro" w:eastAsia="Arial" w:hAnsi="Adobe Garamond Pro" w:cstheme="minorHAnsi"/>
          <w:sz w:val="18"/>
          <w:szCs w:val="18"/>
        </w:rPr>
        <w:t>y</w:t>
      </w:r>
      <w:r w:rsidRPr="008137C5">
        <w:rPr>
          <w:rFonts w:ascii="Adobe Garamond Pro" w:eastAsia="Arial" w:hAnsi="Adobe Garamond Pro" w:cstheme="minorHAnsi"/>
          <w:spacing w:val="-11"/>
          <w:sz w:val="18"/>
          <w:szCs w:val="18"/>
        </w:rPr>
        <w:t xml:space="preserve"> </w:t>
      </w:r>
      <w:r w:rsidRPr="008137C5">
        <w:rPr>
          <w:rFonts w:ascii="Adobe Garamond Pro" w:eastAsia="Arial" w:hAnsi="Adobe Garamond Pro" w:cstheme="minorHAnsi"/>
          <w:spacing w:val="1"/>
          <w:sz w:val="18"/>
          <w:szCs w:val="18"/>
        </w:rPr>
        <w:t>(</w:t>
      </w:r>
      <w:r w:rsidRPr="008137C5">
        <w:rPr>
          <w:rFonts w:ascii="Adobe Garamond Pro" w:eastAsia="Arial" w:hAnsi="Adobe Garamond Pro" w:cstheme="minorHAnsi"/>
          <w:spacing w:val="-1"/>
          <w:sz w:val="18"/>
          <w:szCs w:val="18"/>
        </w:rPr>
        <w:t>A</w:t>
      </w:r>
      <w:r w:rsidRPr="008137C5">
        <w:rPr>
          <w:rFonts w:ascii="Adobe Garamond Pro" w:eastAsia="Arial" w:hAnsi="Adobe Garamond Pro" w:cstheme="minorHAnsi"/>
          <w:spacing w:val="4"/>
          <w:sz w:val="18"/>
          <w:szCs w:val="18"/>
        </w:rPr>
        <w:t>s</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an</w:t>
      </w:r>
      <w:r w:rsidRPr="008137C5">
        <w:rPr>
          <w:rFonts w:ascii="Adobe Garamond Pro" w:eastAsia="Arial" w:hAnsi="Adobe Garamond Pro" w:cstheme="minorHAnsi"/>
          <w:spacing w:val="-4"/>
          <w:sz w:val="18"/>
          <w:szCs w:val="18"/>
        </w:rPr>
        <w:t xml:space="preserve"> </w:t>
      </w:r>
      <w:r w:rsidRPr="008137C5">
        <w:rPr>
          <w:rFonts w:ascii="Adobe Garamond Pro" w:eastAsia="Arial" w:hAnsi="Adobe Garamond Pro" w:cstheme="minorHAnsi"/>
          <w:sz w:val="18"/>
          <w:szCs w:val="18"/>
        </w:rPr>
        <w:t>and</w:t>
      </w:r>
      <w:r w:rsidRPr="008137C5">
        <w:rPr>
          <w:rFonts w:ascii="Adobe Garamond Pro" w:eastAsia="Arial" w:hAnsi="Adobe Garamond Pro" w:cstheme="minorHAnsi"/>
          <w:spacing w:val="-1"/>
          <w:sz w:val="18"/>
          <w:szCs w:val="18"/>
        </w:rPr>
        <w:t xml:space="preserve"> </w:t>
      </w:r>
      <w:r w:rsidRPr="008137C5">
        <w:rPr>
          <w:rFonts w:ascii="Adobe Garamond Pro" w:eastAsia="Arial" w:hAnsi="Adobe Garamond Pro" w:cstheme="minorHAnsi"/>
          <w:spacing w:val="2"/>
          <w:sz w:val="18"/>
          <w:szCs w:val="18"/>
        </w:rPr>
        <w:t>M</w:t>
      </w:r>
      <w:r w:rsidRPr="008137C5">
        <w:rPr>
          <w:rFonts w:ascii="Adobe Garamond Pro" w:eastAsia="Arial" w:hAnsi="Adobe Garamond Pro" w:cstheme="minorHAnsi"/>
          <w:spacing w:val="-1"/>
          <w:sz w:val="18"/>
          <w:szCs w:val="18"/>
        </w:rPr>
        <w:t>i</w:t>
      </w:r>
      <w:r w:rsidRPr="008137C5">
        <w:rPr>
          <w:rFonts w:ascii="Adobe Garamond Pro" w:eastAsia="Arial" w:hAnsi="Adobe Garamond Pro" w:cstheme="minorHAnsi"/>
          <w:sz w:val="18"/>
          <w:szCs w:val="18"/>
        </w:rPr>
        <w:t>g</w:t>
      </w:r>
      <w:r w:rsidRPr="008137C5">
        <w:rPr>
          <w:rFonts w:ascii="Adobe Garamond Pro" w:eastAsia="Arial" w:hAnsi="Adobe Garamond Pro" w:cstheme="minorHAnsi"/>
          <w:spacing w:val="1"/>
          <w:sz w:val="18"/>
          <w:szCs w:val="18"/>
        </w:rPr>
        <w:t>r</w:t>
      </w:r>
      <w:r w:rsidRPr="008137C5">
        <w:rPr>
          <w:rFonts w:ascii="Adobe Garamond Pro" w:eastAsia="Arial" w:hAnsi="Adobe Garamond Pro" w:cstheme="minorHAnsi"/>
          <w:spacing w:val="2"/>
          <w:sz w:val="18"/>
          <w:szCs w:val="18"/>
        </w:rPr>
        <w:t>a</w:t>
      </w:r>
      <w:r w:rsidRPr="008137C5">
        <w:rPr>
          <w:rFonts w:ascii="Adobe Garamond Pro" w:eastAsia="Arial" w:hAnsi="Adobe Garamond Pro" w:cstheme="minorHAnsi"/>
          <w:sz w:val="18"/>
          <w:szCs w:val="18"/>
        </w:rPr>
        <w:t>nt</w:t>
      </w:r>
      <w:r w:rsidRPr="008137C5">
        <w:rPr>
          <w:rFonts w:ascii="Adobe Garamond Pro" w:eastAsia="Arial" w:hAnsi="Adobe Garamond Pro" w:cstheme="minorHAnsi"/>
          <w:spacing w:val="-8"/>
          <w:sz w:val="18"/>
          <w:szCs w:val="18"/>
        </w:rPr>
        <w:t xml:space="preserve"> </w:t>
      </w:r>
      <w:r w:rsidRPr="008137C5">
        <w:rPr>
          <w:rFonts w:ascii="Adobe Garamond Pro" w:eastAsia="Arial" w:hAnsi="Adobe Garamond Pro" w:cstheme="minorHAnsi"/>
          <w:spacing w:val="2"/>
          <w:sz w:val="18"/>
          <w:szCs w:val="18"/>
        </w:rPr>
        <w:t>S</w:t>
      </w:r>
      <w:r w:rsidRPr="008137C5">
        <w:rPr>
          <w:rFonts w:ascii="Adobe Garamond Pro" w:eastAsia="Arial" w:hAnsi="Adobe Garamond Pro" w:cstheme="minorHAnsi"/>
          <w:sz w:val="18"/>
          <w:szCs w:val="18"/>
        </w:rPr>
        <w:t>ex</w:t>
      </w:r>
      <w:r w:rsidRPr="008137C5">
        <w:rPr>
          <w:rFonts w:ascii="Adobe Garamond Pro" w:eastAsia="Arial" w:hAnsi="Adobe Garamond Pro" w:cstheme="minorHAnsi"/>
          <w:spacing w:val="-7"/>
          <w:sz w:val="18"/>
          <w:szCs w:val="18"/>
        </w:rPr>
        <w:t xml:space="preserve"> </w:t>
      </w:r>
      <w:r w:rsidRPr="008137C5">
        <w:rPr>
          <w:rFonts w:ascii="Adobe Garamond Pro" w:eastAsia="Arial" w:hAnsi="Adobe Garamond Pro" w:cstheme="minorHAnsi"/>
          <w:spacing w:val="9"/>
          <w:sz w:val="18"/>
          <w:szCs w:val="18"/>
        </w:rPr>
        <w:t>W</w:t>
      </w:r>
      <w:r w:rsidRPr="008137C5">
        <w:rPr>
          <w:rFonts w:ascii="Adobe Garamond Pro" w:eastAsia="Arial" w:hAnsi="Adobe Garamond Pro" w:cstheme="minorHAnsi"/>
          <w:sz w:val="18"/>
          <w:szCs w:val="18"/>
        </w:rPr>
        <w:t>o</w:t>
      </w:r>
      <w:r w:rsidRPr="008137C5">
        <w:rPr>
          <w:rFonts w:ascii="Adobe Garamond Pro" w:eastAsia="Arial" w:hAnsi="Adobe Garamond Pro" w:cstheme="minorHAnsi"/>
          <w:spacing w:val="-2"/>
          <w:sz w:val="18"/>
          <w:szCs w:val="18"/>
        </w:rPr>
        <w:t>r</w:t>
      </w:r>
      <w:r w:rsidRPr="008137C5">
        <w:rPr>
          <w:rFonts w:ascii="Adobe Garamond Pro" w:eastAsia="Arial" w:hAnsi="Adobe Garamond Pro" w:cstheme="minorHAnsi"/>
          <w:spacing w:val="4"/>
          <w:sz w:val="18"/>
          <w:szCs w:val="18"/>
        </w:rPr>
        <w:t>k</w:t>
      </w:r>
      <w:r w:rsidRPr="008137C5">
        <w:rPr>
          <w:rFonts w:ascii="Adobe Garamond Pro" w:eastAsia="Arial" w:hAnsi="Adobe Garamond Pro" w:cstheme="minorHAnsi"/>
          <w:sz w:val="18"/>
          <w:szCs w:val="18"/>
        </w:rPr>
        <w:t>e</w:t>
      </w:r>
      <w:r w:rsidRPr="008137C5">
        <w:rPr>
          <w:rFonts w:ascii="Adobe Garamond Pro" w:eastAsia="Arial" w:hAnsi="Adobe Garamond Pro" w:cstheme="minorHAnsi"/>
          <w:spacing w:val="1"/>
          <w:sz w:val="18"/>
          <w:szCs w:val="18"/>
        </w:rPr>
        <w:t>r</w:t>
      </w:r>
      <w:r w:rsidRPr="008137C5">
        <w:rPr>
          <w:rFonts w:ascii="Adobe Garamond Pro" w:eastAsia="Arial" w:hAnsi="Adobe Garamond Pro" w:cstheme="minorHAnsi"/>
          <w:sz w:val="18"/>
          <w:szCs w:val="18"/>
        </w:rPr>
        <w:t>s</w:t>
      </w:r>
      <w:r w:rsidRPr="008137C5">
        <w:rPr>
          <w:rFonts w:ascii="Adobe Garamond Pro" w:eastAsia="Arial" w:hAnsi="Adobe Garamond Pro" w:cstheme="minorHAnsi"/>
          <w:spacing w:val="-6"/>
          <w:sz w:val="18"/>
          <w:szCs w:val="18"/>
        </w:rPr>
        <w:t xml:space="preserve"> </w:t>
      </w:r>
      <w:r w:rsidRPr="008137C5">
        <w:rPr>
          <w:rFonts w:ascii="Adobe Garamond Pro" w:eastAsia="Arial" w:hAnsi="Adobe Garamond Pro" w:cstheme="minorHAnsi"/>
          <w:spacing w:val="-1"/>
          <w:sz w:val="18"/>
          <w:szCs w:val="18"/>
        </w:rPr>
        <w:t>S</w:t>
      </w:r>
      <w:r w:rsidRPr="008137C5">
        <w:rPr>
          <w:rFonts w:ascii="Adobe Garamond Pro" w:eastAsia="Arial" w:hAnsi="Adobe Garamond Pro" w:cstheme="minorHAnsi"/>
          <w:sz w:val="18"/>
          <w:szCs w:val="18"/>
        </w:rPr>
        <w:t>uppo</w:t>
      </w:r>
      <w:r w:rsidRPr="008137C5">
        <w:rPr>
          <w:rFonts w:ascii="Adobe Garamond Pro" w:eastAsia="Arial" w:hAnsi="Adobe Garamond Pro" w:cstheme="minorHAnsi"/>
          <w:spacing w:val="1"/>
          <w:sz w:val="18"/>
          <w:szCs w:val="18"/>
        </w:rPr>
        <w:t>r</w:t>
      </w:r>
      <w:r w:rsidRPr="008137C5">
        <w:rPr>
          <w:rFonts w:ascii="Adobe Garamond Pro" w:eastAsia="Arial" w:hAnsi="Adobe Garamond Pro" w:cstheme="minorHAnsi"/>
          <w:sz w:val="18"/>
          <w:szCs w:val="18"/>
        </w:rPr>
        <w:t>t</w:t>
      </w:r>
      <w:r w:rsidRPr="008137C5">
        <w:rPr>
          <w:rFonts w:ascii="Adobe Garamond Pro" w:eastAsia="Arial" w:hAnsi="Adobe Garamond Pro" w:cstheme="minorHAnsi"/>
          <w:spacing w:val="-8"/>
          <w:sz w:val="18"/>
          <w:szCs w:val="18"/>
        </w:rPr>
        <w:t xml:space="preserve"> </w:t>
      </w:r>
      <w:r w:rsidRPr="008137C5">
        <w:rPr>
          <w:rFonts w:ascii="Adobe Garamond Pro" w:eastAsia="Arial" w:hAnsi="Adobe Garamond Pro" w:cstheme="minorHAnsi"/>
          <w:sz w:val="18"/>
          <w:szCs w:val="18"/>
        </w:rPr>
        <w:t>N</w:t>
      </w:r>
      <w:r w:rsidRPr="008137C5">
        <w:rPr>
          <w:rFonts w:ascii="Adobe Garamond Pro" w:eastAsia="Arial" w:hAnsi="Adobe Garamond Pro" w:cstheme="minorHAnsi"/>
          <w:spacing w:val="2"/>
          <w:sz w:val="18"/>
          <w:szCs w:val="18"/>
        </w:rPr>
        <w:t>e</w:t>
      </w:r>
      <w:r w:rsidRPr="008137C5">
        <w:rPr>
          <w:rFonts w:ascii="Adobe Garamond Pro" w:eastAsia="Arial" w:hAnsi="Adobe Garamond Pro" w:cstheme="minorHAnsi"/>
          <w:sz w:val="18"/>
          <w:szCs w:val="18"/>
        </w:rPr>
        <w:t>two</w:t>
      </w:r>
      <w:r w:rsidRPr="008137C5">
        <w:rPr>
          <w:rFonts w:ascii="Adobe Garamond Pro" w:eastAsia="Arial" w:hAnsi="Adobe Garamond Pro" w:cstheme="minorHAnsi"/>
          <w:spacing w:val="1"/>
          <w:sz w:val="18"/>
          <w:szCs w:val="18"/>
        </w:rPr>
        <w:t>r</w:t>
      </w:r>
      <w:r w:rsidRPr="008137C5">
        <w:rPr>
          <w:rFonts w:ascii="Adobe Garamond Pro" w:eastAsia="Arial" w:hAnsi="Adobe Garamond Pro" w:cstheme="minorHAnsi"/>
          <w:spacing w:val="4"/>
          <w:sz w:val="18"/>
          <w:szCs w:val="18"/>
        </w:rPr>
        <w:t>k</w:t>
      </w:r>
      <w:r w:rsidRPr="008137C5">
        <w:rPr>
          <w:rFonts w:ascii="Adobe Garamond Pro" w:eastAsia="Arial" w:hAnsi="Adobe Garamond Pro" w:cstheme="minorHAnsi"/>
          <w:spacing w:val="1"/>
          <w:sz w:val="18"/>
          <w:szCs w:val="18"/>
        </w:rPr>
        <w:t>)</w:t>
      </w:r>
      <w:r w:rsidRPr="008137C5">
        <w:rPr>
          <w:rFonts w:ascii="Adobe Garamond Pro" w:eastAsia="Arial" w:hAnsi="Adobe Garamond Pro" w:cstheme="minorHAnsi"/>
          <w:sz w:val="18"/>
          <w:szCs w:val="18"/>
        </w:rPr>
        <w:t>,</w:t>
      </w:r>
      <w:r w:rsidRPr="008137C5">
        <w:rPr>
          <w:rFonts w:ascii="Adobe Garamond Pro" w:eastAsia="Arial" w:hAnsi="Adobe Garamond Pro" w:cstheme="minorHAnsi"/>
          <w:spacing w:val="-10"/>
          <w:sz w:val="18"/>
          <w:szCs w:val="18"/>
        </w:rPr>
        <w:t xml:space="preserve"> </w:t>
      </w:r>
      <w:r w:rsidRPr="008137C5">
        <w:rPr>
          <w:rFonts w:ascii="Adobe Garamond Pro" w:eastAsia="Arial" w:hAnsi="Adobe Garamond Pro" w:cstheme="minorHAnsi"/>
          <w:i/>
          <w:spacing w:val="-1"/>
          <w:sz w:val="18"/>
          <w:szCs w:val="18"/>
        </w:rPr>
        <w:t>S</w:t>
      </w:r>
      <w:r w:rsidRPr="008137C5">
        <w:rPr>
          <w:rFonts w:ascii="Adobe Garamond Pro" w:eastAsia="Arial" w:hAnsi="Adobe Garamond Pro" w:cstheme="minorHAnsi"/>
          <w:i/>
          <w:sz w:val="18"/>
          <w:szCs w:val="18"/>
        </w:rPr>
        <w:t>top</w:t>
      </w:r>
      <w:r w:rsidRPr="008137C5">
        <w:rPr>
          <w:rFonts w:ascii="Adobe Garamond Pro" w:eastAsia="Arial" w:hAnsi="Adobe Garamond Pro" w:cstheme="minorHAnsi"/>
          <w:i/>
          <w:spacing w:val="-5"/>
          <w:sz w:val="18"/>
          <w:szCs w:val="18"/>
        </w:rPr>
        <w:t xml:space="preserve"> </w:t>
      </w:r>
      <w:r w:rsidRPr="008137C5">
        <w:rPr>
          <w:rFonts w:ascii="Adobe Garamond Pro" w:eastAsia="Arial" w:hAnsi="Adobe Garamond Pro" w:cstheme="minorHAnsi"/>
          <w:i/>
          <w:sz w:val="18"/>
          <w:szCs w:val="18"/>
        </w:rPr>
        <w:t>t</w:t>
      </w:r>
      <w:r w:rsidRPr="008137C5">
        <w:rPr>
          <w:rFonts w:ascii="Adobe Garamond Pro" w:eastAsia="Arial" w:hAnsi="Adobe Garamond Pro" w:cstheme="minorHAnsi"/>
          <w:i/>
          <w:spacing w:val="2"/>
          <w:sz w:val="18"/>
          <w:szCs w:val="18"/>
        </w:rPr>
        <w:t>h</w:t>
      </w:r>
      <w:r w:rsidRPr="008137C5">
        <w:rPr>
          <w:rFonts w:ascii="Adobe Garamond Pro" w:eastAsia="Arial" w:hAnsi="Adobe Garamond Pro" w:cstheme="minorHAnsi"/>
          <w:i/>
          <w:sz w:val="18"/>
          <w:szCs w:val="18"/>
        </w:rPr>
        <w:t>e</w:t>
      </w:r>
      <w:r w:rsidRPr="008137C5">
        <w:rPr>
          <w:rFonts w:ascii="Adobe Garamond Pro" w:eastAsia="Arial" w:hAnsi="Adobe Garamond Pro" w:cstheme="minorHAnsi"/>
          <w:i/>
          <w:spacing w:val="-4"/>
          <w:sz w:val="18"/>
          <w:szCs w:val="18"/>
        </w:rPr>
        <w:t xml:space="preserve"> </w:t>
      </w:r>
      <w:r w:rsidRPr="008137C5">
        <w:rPr>
          <w:rFonts w:ascii="Adobe Garamond Pro" w:eastAsia="Arial" w:hAnsi="Adobe Garamond Pro" w:cstheme="minorHAnsi"/>
          <w:i/>
          <w:sz w:val="18"/>
          <w:szCs w:val="18"/>
        </w:rPr>
        <w:t>ha</w:t>
      </w:r>
      <w:r w:rsidRPr="008137C5">
        <w:rPr>
          <w:rFonts w:ascii="Adobe Garamond Pro" w:eastAsia="Arial" w:hAnsi="Adobe Garamond Pro" w:cstheme="minorHAnsi"/>
          <w:i/>
          <w:spacing w:val="3"/>
          <w:sz w:val="18"/>
          <w:szCs w:val="18"/>
        </w:rPr>
        <w:t>r</w:t>
      </w:r>
      <w:r w:rsidRPr="008137C5">
        <w:rPr>
          <w:rFonts w:ascii="Adobe Garamond Pro" w:eastAsia="Arial" w:hAnsi="Adobe Garamond Pro" w:cstheme="minorHAnsi"/>
          <w:i/>
          <w:sz w:val="18"/>
          <w:szCs w:val="18"/>
        </w:rPr>
        <w:t>m</w:t>
      </w:r>
      <w:r w:rsidRPr="008137C5">
        <w:rPr>
          <w:rFonts w:ascii="Adobe Garamond Pro" w:eastAsia="Arial" w:hAnsi="Adobe Garamond Pro" w:cstheme="minorHAnsi"/>
          <w:i/>
          <w:spacing w:val="-6"/>
          <w:sz w:val="18"/>
          <w:szCs w:val="18"/>
        </w:rPr>
        <w:t xml:space="preserve"> </w:t>
      </w:r>
      <w:r w:rsidRPr="008137C5">
        <w:rPr>
          <w:rFonts w:ascii="Adobe Garamond Pro" w:eastAsia="Arial" w:hAnsi="Adobe Garamond Pro" w:cstheme="minorHAnsi"/>
          <w:i/>
          <w:sz w:val="18"/>
          <w:szCs w:val="18"/>
        </w:rPr>
        <w:t>f</w:t>
      </w:r>
      <w:r w:rsidRPr="008137C5">
        <w:rPr>
          <w:rFonts w:ascii="Adobe Garamond Pro" w:eastAsia="Arial" w:hAnsi="Adobe Garamond Pro" w:cstheme="minorHAnsi"/>
          <w:i/>
          <w:spacing w:val="1"/>
          <w:sz w:val="18"/>
          <w:szCs w:val="18"/>
        </w:rPr>
        <w:t>r</w:t>
      </w:r>
      <w:r w:rsidRPr="008137C5">
        <w:rPr>
          <w:rFonts w:ascii="Adobe Garamond Pro" w:eastAsia="Arial" w:hAnsi="Adobe Garamond Pro" w:cstheme="minorHAnsi"/>
          <w:i/>
          <w:sz w:val="18"/>
          <w:szCs w:val="18"/>
        </w:rPr>
        <w:t>om ant</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t</w:t>
      </w:r>
      <w:r w:rsidRPr="008137C5">
        <w:rPr>
          <w:rFonts w:ascii="Adobe Garamond Pro" w:eastAsia="Arial" w:hAnsi="Adobe Garamond Pro" w:cstheme="minorHAnsi"/>
          <w:i/>
          <w:spacing w:val="1"/>
          <w:sz w:val="18"/>
          <w:szCs w:val="18"/>
        </w:rPr>
        <w:t>r</w:t>
      </w:r>
      <w:r w:rsidRPr="008137C5">
        <w:rPr>
          <w:rFonts w:ascii="Adobe Garamond Pro" w:eastAsia="Arial" w:hAnsi="Adobe Garamond Pro" w:cstheme="minorHAnsi"/>
          <w:i/>
          <w:spacing w:val="2"/>
          <w:sz w:val="18"/>
          <w:szCs w:val="18"/>
        </w:rPr>
        <w:t>a</w:t>
      </w:r>
      <w:r w:rsidRPr="008137C5">
        <w:rPr>
          <w:rFonts w:ascii="Adobe Garamond Pro" w:eastAsia="Arial" w:hAnsi="Adobe Garamond Pro" w:cstheme="minorHAnsi"/>
          <w:i/>
          <w:sz w:val="18"/>
          <w:szCs w:val="18"/>
        </w:rPr>
        <w:t>ff</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1"/>
          <w:sz w:val="18"/>
          <w:szCs w:val="18"/>
        </w:rPr>
        <w:t>ck</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2"/>
          <w:sz w:val="18"/>
          <w:szCs w:val="18"/>
        </w:rPr>
        <w:t>n</w:t>
      </w:r>
      <w:r w:rsidRPr="008137C5">
        <w:rPr>
          <w:rFonts w:ascii="Adobe Garamond Pro" w:eastAsia="Arial" w:hAnsi="Adobe Garamond Pro" w:cstheme="minorHAnsi"/>
          <w:i/>
          <w:sz w:val="18"/>
          <w:szCs w:val="18"/>
        </w:rPr>
        <w:t>g</w:t>
      </w:r>
      <w:r w:rsidRPr="008137C5">
        <w:rPr>
          <w:rFonts w:ascii="Adobe Garamond Pro" w:eastAsia="Arial" w:hAnsi="Adobe Garamond Pro" w:cstheme="minorHAnsi"/>
          <w:i/>
          <w:spacing w:val="-13"/>
          <w:sz w:val="18"/>
          <w:szCs w:val="18"/>
        </w:rPr>
        <w:t xml:space="preserve"> </w:t>
      </w:r>
      <w:r w:rsidRPr="008137C5">
        <w:rPr>
          <w:rFonts w:ascii="Adobe Garamond Pro" w:eastAsia="Arial" w:hAnsi="Adobe Garamond Pro" w:cstheme="minorHAnsi"/>
          <w:i/>
          <w:spacing w:val="2"/>
          <w:sz w:val="18"/>
          <w:szCs w:val="18"/>
        </w:rPr>
        <w:t>p</w:t>
      </w:r>
      <w:r w:rsidRPr="008137C5">
        <w:rPr>
          <w:rFonts w:ascii="Adobe Garamond Pro" w:eastAsia="Arial" w:hAnsi="Adobe Garamond Pro" w:cstheme="minorHAnsi"/>
          <w:i/>
          <w:sz w:val="18"/>
          <w:szCs w:val="18"/>
        </w:rPr>
        <w:t>o</w:t>
      </w:r>
      <w:r w:rsidRPr="008137C5">
        <w:rPr>
          <w:rFonts w:ascii="Adobe Garamond Pro" w:eastAsia="Arial" w:hAnsi="Adobe Garamond Pro" w:cstheme="minorHAnsi"/>
          <w:i/>
          <w:spacing w:val="1"/>
          <w:sz w:val="18"/>
          <w:szCs w:val="18"/>
        </w:rPr>
        <w:t>l</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1"/>
          <w:sz w:val="18"/>
          <w:szCs w:val="18"/>
        </w:rPr>
        <w:t>c</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es</w:t>
      </w:r>
      <w:r w:rsidRPr="008137C5">
        <w:rPr>
          <w:rFonts w:ascii="Adobe Garamond Pro" w:eastAsia="Arial" w:hAnsi="Adobe Garamond Pro" w:cstheme="minorHAnsi"/>
          <w:sz w:val="18"/>
          <w:szCs w:val="18"/>
        </w:rPr>
        <w:t xml:space="preserve"> </w:t>
      </w:r>
      <w:r w:rsidRPr="008137C5">
        <w:rPr>
          <w:rFonts w:ascii="Adobe Garamond Pro" w:eastAsia="Arial" w:hAnsi="Adobe Garamond Pro" w:cstheme="minorHAnsi"/>
          <w:i/>
          <w:sz w:val="18"/>
          <w:szCs w:val="18"/>
        </w:rPr>
        <w:t>&amp;</w:t>
      </w:r>
      <w:r w:rsidRPr="008137C5">
        <w:rPr>
          <w:rFonts w:ascii="Adobe Garamond Pro" w:eastAsia="Arial" w:hAnsi="Adobe Garamond Pro" w:cstheme="minorHAnsi"/>
          <w:i/>
          <w:spacing w:val="-2"/>
          <w:sz w:val="18"/>
          <w:szCs w:val="18"/>
        </w:rPr>
        <w:t xml:space="preserve"> </w:t>
      </w:r>
      <w:r w:rsidRPr="008137C5">
        <w:rPr>
          <w:rFonts w:ascii="Adobe Garamond Pro" w:eastAsia="Arial" w:hAnsi="Adobe Garamond Pro" w:cstheme="minorHAnsi"/>
          <w:i/>
          <w:spacing w:val="1"/>
          <w:sz w:val="18"/>
          <w:szCs w:val="18"/>
        </w:rPr>
        <w:t>c</w:t>
      </w:r>
      <w:r w:rsidRPr="008137C5">
        <w:rPr>
          <w:rFonts w:ascii="Adobe Garamond Pro" w:eastAsia="Arial" w:hAnsi="Adobe Garamond Pro" w:cstheme="minorHAnsi"/>
          <w:i/>
          <w:sz w:val="18"/>
          <w:szCs w:val="18"/>
        </w:rPr>
        <w:t>a</w:t>
      </w:r>
      <w:r w:rsidRPr="008137C5">
        <w:rPr>
          <w:rFonts w:ascii="Adobe Garamond Pro" w:eastAsia="Arial" w:hAnsi="Adobe Garamond Pro" w:cstheme="minorHAnsi"/>
          <w:i/>
          <w:spacing w:val="2"/>
          <w:sz w:val="18"/>
          <w:szCs w:val="18"/>
        </w:rPr>
        <w:t>m</w:t>
      </w:r>
      <w:r w:rsidRPr="008137C5">
        <w:rPr>
          <w:rFonts w:ascii="Adobe Garamond Pro" w:eastAsia="Arial" w:hAnsi="Adobe Garamond Pro" w:cstheme="minorHAnsi"/>
          <w:i/>
          <w:sz w:val="18"/>
          <w:szCs w:val="18"/>
        </w:rPr>
        <w:t>pa</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gn</w:t>
      </w:r>
      <w:r w:rsidRPr="008137C5">
        <w:rPr>
          <w:rFonts w:ascii="Adobe Garamond Pro" w:eastAsia="Arial" w:hAnsi="Adobe Garamond Pro" w:cstheme="minorHAnsi"/>
          <w:i/>
          <w:spacing w:val="1"/>
          <w:sz w:val="18"/>
          <w:szCs w:val="18"/>
        </w:rPr>
        <w:t>s</w:t>
      </w:r>
      <w:r w:rsidRPr="008137C5">
        <w:rPr>
          <w:rFonts w:ascii="Adobe Garamond Pro" w:eastAsia="Arial" w:hAnsi="Adobe Garamond Pro" w:cstheme="minorHAnsi"/>
          <w:i/>
          <w:sz w:val="18"/>
          <w:szCs w:val="18"/>
        </w:rPr>
        <w:t>:</w:t>
      </w:r>
      <w:r w:rsidRPr="008137C5">
        <w:rPr>
          <w:rFonts w:ascii="Adobe Garamond Pro" w:eastAsia="Arial" w:hAnsi="Adobe Garamond Pro" w:cstheme="minorHAnsi"/>
          <w:i/>
          <w:spacing w:val="-11"/>
          <w:sz w:val="18"/>
          <w:szCs w:val="18"/>
        </w:rPr>
        <w:t xml:space="preserve"> </w:t>
      </w:r>
      <w:r w:rsidRPr="008137C5">
        <w:rPr>
          <w:rFonts w:ascii="Adobe Garamond Pro" w:eastAsia="Arial" w:hAnsi="Adobe Garamond Pro" w:cstheme="minorHAnsi"/>
          <w:i/>
          <w:spacing w:val="1"/>
          <w:sz w:val="18"/>
          <w:szCs w:val="18"/>
        </w:rPr>
        <w:t>s</w:t>
      </w:r>
      <w:r w:rsidRPr="008137C5">
        <w:rPr>
          <w:rFonts w:ascii="Adobe Garamond Pro" w:eastAsia="Arial" w:hAnsi="Adobe Garamond Pro" w:cstheme="minorHAnsi"/>
          <w:i/>
          <w:sz w:val="18"/>
          <w:szCs w:val="18"/>
        </w:rPr>
        <w:t>u</w:t>
      </w:r>
      <w:r w:rsidRPr="008137C5">
        <w:rPr>
          <w:rFonts w:ascii="Adobe Garamond Pro" w:eastAsia="Arial" w:hAnsi="Adobe Garamond Pro" w:cstheme="minorHAnsi"/>
          <w:i/>
          <w:spacing w:val="2"/>
          <w:sz w:val="18"/>
          <w:szCs w:val="18"/>
        </w:rPr>
        <w:t>p</w:t>
      </w:r>
      <w:r w:rsidRPr="008137C5">
        <w:rPr>
          <w:rFonts w:ascii="Adobe Garamond Pro" w:eastAsia="Arial" w:hAnsi="Adobe Garamond Pro" w:cstheme="minorHAnsi"/>
          <w:i/>
          <w:sz w:val="18"/>
          <w:szCs w:val="18"/>
        </w:rPr>
        <w:t>po</w:t>
      </w:r>
      <w:r w:rsidRPr="008137C5">
        <w:rPr>
          <w:rFonts w:ascii="Adobe Garamond Pro" w:eastAsia="Arial" w:hAnsi="Adobe Garamond Pro" w:cstheme="minorHAnsi"/>
          <w:i/>
          <w:spacing w:val="1"/>
          <w:sz w:val="18"/>
          <w:szCs w:val="18"/>
        </w:rPr>
        <w:t>r</w:t>
      </w:r>
      <w:r w:rsidRPr="008137C5">
        <w:rPr>
          <w:rFonts w:ascii="Adobe Garamond Pro" w:eastAsia="Arial" w:hAnsi="Adobe Garamond Pro" w:cstheme="minorHAnsi"/>
          <w:i/>
          <w:sz w:val="18"/>
          <w:szCs w:val="18"/>
        </w:rPr>
        <w:t>t</w:t>
      </w:r>
      <w:r w:rsidRPr="008137C5">
        <w:rPr>
          <w:rFonts w:ascii="Adobe Garamond Pro" w:eastAsia="Arial" w:hAnsi="Adobe Garamond Pro" w:cstheme="minorHAnsi"/>
          <w:i/>
          <w:spacing w:val="-8"/>
          <w:sz w:val="18"/>
          <w:szCs w:val="18"/>
        </w:rPr>
        <w:t xml:space="preserve"> </w:t>
      </w:r>
      <w:r w:rsidRPr="008137C5">
        <w:rPr>
          <w:rFonts w:ascii="Adobe Garamond Pro" w:eastAsia="Arial" w:hAnsi="Adobe Garamond Pro" w:cstheme="minorHAnsi"/>
          <w:i/>
          <w:spacing w:val="1"/>
          <w:sz w:val="18"/>
          <w:szCs w:val="18"/>
        </w:rPr>
        <w:t>s</w:t>
      </w:r>
      <w:r w:rsidRPr="008137C5">
        <w:rPr>
          <w:rFonts w:ascii="Adobe Garamond Pro" w:eastAsia="Arial" w:hAnsi="Adobe Garamond Pro" w:cstheme="minorHAnsi"/>
          <w:i/>
          <w:sz w:val="18"/>
          <w:szCs w:val="18"/>
        </w:rPr>
        <w:t>ex wo</w:t>
      </w:r>
      <w:r w:rsidRPr="008137C5">
        <w:rPr>
          <w:rFonts w:ascii="Adobe Garamond Pro" w:eastAsia="Arial" w:hAnsi="Adobe Garamond Pro" w:cstheme="minorHAnsi"/>
          <w:i/>
          <w:spacing w:val="1"/>
          <w:sz w:val="18"/>
          <w:szCs w:val="18"/>
        </w:rPr>
        <w:t>rk</w:t>
      </w:r>
      <w:r w:rsidRPr="008137C5">
        <w:rPr>
          <w:rFonts w:ascii="Adobe Garamond Pro" w:eastAsia="Arial" w:hAnsi="Adobe Garamond Pro" w:cstheme="minorHAnsi"/>
          <w:i/>
          <w:sz w:val="18"/>
          <w:szCs w:val="18"/>
        </w:rPr>
        <w:t>e</w:t>
      </w:r>
      <w:r w:rsidRPr="008137C5">
        <w:rPr>
          <w:rFonts w:ascii="Adobe Garamond Pro" w:eastAsia="Arial" w:hAnsi="Adobe Garamond Pro" w:cstheme="minorHAnsi"/>
          <w:i/>
          <w:spacing w:val="1"/>
          <w:sz w:val="18"/>
          <w:szCs w:val="18"/>
        </w:rPr>
        <w:t>r</w:t>
      </w:r>
      <w:r w:rsidRPr="008137C5">
        <w:rPr>
          <w:rFonts w:ascii="Adobe Garamond Pro" w:eastAsia="Arial" w:hAnsi="Adobe Garamond Pro" w:cstheme="minorHAnsi"/>
          <w:i/>
          <w:spacing w:val="4"/>
          <w:sz w:val="18"/>
          <w:szCs w:val="18"/>
        </w:rPr>
        <w:t>s</w:t>
      </w:r>
      <w:r w:rsidRPr="008137C5">
        <w:rPr>
          <w:rFonts w:ascii="Adobe Garamond Pro" w:eastAsia="Arial" w:hAnsi="Adobe Garamond Pro" w:cstheme="minorHAnsi"/>
          <w:i/>
          <w:sz w:val="18"/>
          <w:szCs w:val="18"/>
        </w:rPr>
        <w:t>’</w:t>
      </w:r>
      <w:r w:rsidRPr="008137C5">
        <w:rPr>
          <w:rFonts w:ascii="Adobe Garamond Pro" w:eastAsia="Arial" w:hAnsi="Adobe Garamond Pro" w:cstheme="minorHAnsi"/>
          <w:i/>
          <w:spacing w:val="-13"/>
          <w:sz w:val="18"/>
          <w:szCs w:val="18"/>
        </w:rPr>
        <w:t xml:space="preserve"> </w:t>
      </w:r>
      <w:r w:rsidRPr="008137C5">
        <w:rPr>
          <w:rFonts w:ascii="Adobe Garamond Pro" w:eastAsia="Arial" w:hAnsi="Adobe Garamond Pro" w:cstheme="minorHAnsi"/>
          <w:i/>
          <w:spacing w:val="3"/>
          <w:sz w:val="18"/>
          <w:szCs w:val="18"/>
        </w:rPr>
        <w:t>r</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g</w:t>
      </w:r>
      <w:r w:rsidRPr="008137C5">
        <w:rPr>
          <w:rFonts w:ascii="Adobe Garamond Pro" w:eastAsia="Arial" w:hAnsi="Adobe Garamond Pro" w:cstheme="minorHAnsi"/>
          <w:i/>
          <w:spacing w:val="2"/>
          <w:sz w:val="18"/>
          <w:szCs w:val="18"/>
        </w:rPr>
        <w:t>h</w:t>
      </w:r>
      <w:r w:rsidRPr="008137C5">
        <w:rPr>
          <w:rFonts w:ascii="Adobe Garamond Pro" w:eastAsia="Arial" w:hAnsi="Adobe Garamond Pro" w:cstheme="minorHAnsi"/>
          <w:i/>
          <w:sz w:val="18"/>
          <w:szCs w:val="18"/>
        </w:rPr>
        <w:t>t</w:t>
      </w:r>
      <w:r w:rsidRPr="008137C5">
        <w:rPr>
          <w:rFonts w:ascii="Adobe Garamond Pro" w:eastAsia="Arial" w:hAnsi="Adobe Garamond Pro" w:cstheme="minorHAnsi"/>
          <w:i/>
          <w:spacing w:val="1"/>
          <w:sz w:val="18"/>
          <w:szCs w:val="18"/>
        </w:rPr>
        <w:t>s</w:t>
      </w:r>
      <w:r w:rsidRPr="008137C5">
        <w:rPr>
          <w:rFonts w:ascii="Adobe Garamond Pro" w:eastAsia="Arial" w:hAnsi="Adobe Garamond Pro" w:cstheme="minorHAnsi"/>
          <w:i/>
          <w:sz w:val="18"/>
          <w:szCs w:val="18"/>
        </w:rPr>
        <w:t>,</w:t>
      </w:r>
      <w:r w:rsidRPr="008137C5">
        <w:rPr>
          <w:rFonts w:ascii="Adobe Garamond Pro" w:eastAsia="Arial" w:hAnsi="Adobe Garamond Pro" w:cstheme="minorHAnsi"/>
          <w:i/>
          <w:spacing w:val="-6"/>
          <w:sz w:val="18"/>
          <w:szCs w:val="18"/>
        </w:rPr>
        <w:t xml:space="preserve"> </w:t>
      </w:r>
      <w:r w:rsidRPr="008137C5">
        <w:rPr>
          <w:rFonts w:ascii="Adobe Garamond Pro" w:eastAsia="Arial" w:hAnsi="Adobe Garamond Pro" w:cstheme="minorHAnsi"/>
          <w:i/>
          <w:spacing w:val="-1"/>
          <w:sz w:val="18"/>
          <w:szCs w:val="18"/>
        </w:rPr>
        <w:t>j</w:t>
      </w:r>
      <w:r w:rsidRPr="008137C5">
        <w:rPr>
          <w:rFonts w:ascii="Adobe Garamond Pro" w:eastAsia="Arial" w:hAnsi="Adobe Garamond Pro" w:cstheme="minorHAnsi"/>
          <w:i/>
          <w:sz w:val="18"/>
          <w:szCs w:val="18"/>
        </w:rPr>
        <w:t>u</w:t>
      </w:r>
      <w:r w:rsidRPr="008137C5">
        <w:rPr>
          <w:rFonts w:ascii="Adobe Garamond Pro" w:eastAsia="Arial" w:hAnsi="Adobe Garamond Pro" w:cstheme="minorHAnsi"/>
          <w:i/>
          <w:spacing w:val="1"/>
          <w:sz w:val="18"/>
          <w:szCs w:val="18"/>
        </w:rPr>
        <w:t>s</w:t>
      </w:r>
      <w:r w:rsidRPr="008137C5">
        <w:rPr>
          <w:rFonts w:ascii="Adobe Garamond Pro" w:eastAsia="Arial" w:hAnsi="Adobe Garamond Pro" w:cstheme="minorHAnsi"/>
          <w:i/>
          <w:spacing w:val="2"/>
          <w:sz w:val="18"/>
          <w:szCs w:val="18"/>
        </w:rPr>
        <w:t>t</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1"/>
          <w:sz w:val="18"/>
          <w:szCs w:val="18"/>
        </w:rPr>
        <w:t>c</w:t>
      </w:r>
      <w:r w:rsidRPr="008137C5">
        <w:rPr>
          <w:rFonts w:ascii="Adobe Garamond Pro" w:eastAsia="Arial" w:hAnsi="Adobe Garamond Pro" w:cstheme="minorHAnsi"/>
          <w:i/>
          <w:sz w:val="18"/>
          <w:szCs w:val="18"/>
        </w:rPr>
        <w:t>e</w:t>
      </w:r>
      <w:r w:rsidRPr="008137C5">
        <w:rPr>
          <w:rFonts w:ascii="Adobe Garamond Pro" w:eastAsia="Arial" w:hAnsi="Adobe Garamond Pro" w:cstheme="minorHAnsi"/>
          <w:i/>
          <w:spacing w:val="-7"/>
          <w:sz w:val="18"/>
          <w:szCs w:val="18"/>
        </w:rPr>
        <w:t xml:space="preserve"> </w:t>
      </w:r>
      <w:r w:rsidRPr="008137C5">
        <w:rPr>
          <w:rFonts w:ascii="Adobe Garamond Pro" w:eastAsia="Arial" w:hAnsi="Adobe Garamond Pro" w:cstheme="minorHAnsi"/>
          <w:i/>
          <w:spacing w:val="2"/>
          <w:sz w:val="18"/>
          <w:szCs w:val="18"/>
        </w:rPr>
        <w:t>a</w:t>
      </w:r>
      <w:r w:rsidRPr="008137C5">
        <w:rPr>
          <w:rFonts w:ascii="Adobe Garamond Pro" w:eastAsia="Arial" w:hAnsi="Adobe Garamond Pro" w:cstheme="minorHAnsi"/>
          <w:i/>
          <w:sz w:val="18"/>
          <w:szCs w:val="18"/>
        </w:rPr>
        <w:t>nd</w:t>
      </w:r>
      <w:r w:rsidRPr="008137C5">
        <w:rPr>
          <w:rFonts w:ascii="Adobe Garamond Pro" w:eastAsia="Arial" w:hAnsi="Adobe Garamond Pro" w:cstheme="minorHAnsi"/>
          <w:i/>
          <w:spacing w:val="-1"/>
          <w:sz w:val="18"/>
          <w:szCs w:val="18"/>
        </w:rPr>
        <w:t xml:space="preserve"> </w:t>
      </w:r>
      <w:r w:rsidRPr="008137C5">
        <w:rPr>
          <w:rFonts w:ascii="Adobe Garamond Pro" w:eastAsia="Arial" w:hAnsi="Adobe Garamond Pro" w:cstheme="minorHAnsi"/>
          <w:i/>
          <w:sz w:val="18"/>
          <w:szCs w:val="18"/>
        </w:rPr>
        <w:t>d</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pacing w:val="2"/>
          <w:sz w:val="18"/>
          <w:szCs w:val="18"/>
        </w:rPr>
        <w:t>g</w:t>
      </w:r>
      <w:r w:rsidRPr="008137C5">
        <w:rPr>
          <w:rFonts w:ascii="Adobe Garamond Pro" w:eastAsia="Arial" w:hAnsi="Adobe Garamond Pro" w:cstheme="minorHAnsi"/>
          <w:i/>
          <w:sz w:val="18"/>
          <w:szCs w:val="18"/>
        </w:rPr>
        <w:t>n</w:t>
      </w:r>
      <w:r w:rsidRPr="008137C5">
        <w:rPr>
          <w:rFonts w:ascii="Adobe Garamond Pro" w:eastAsia="Arial" w:hAnsi="Adobe Garamond Pro" w:cstheme="minorHAnsi"/>
          <w:i/>
          <w:spacing w:val="-1"/>
          <w:sz w:val="18"/>
          <w:szCs w:val="18"/>
        </w:rPr>
        <w:t>i</w:t>
      </w:r>
      <w:r w:rsidRPr="008137C5">
        <w:rPr>
          <w:rFonts w:ascii="Adobe Garamond Pro" w:eastAsia="Arial" w:hAnsi="Adobe Garamond Pro" w:cstheme="minorHAnsi"/>
          <w:i/>
          <w:sz w:val="18"/>
          <w:szCs w:val="18"/>
        </w:rPr>
        <w:t>t</w:t>
      </w:r>
      <w:r w:rsidRPr="008137C5">
        <w:rPr>
          <w:rFonts w:ascii="Adobe Garamond Pro" w:eastAsia="Arial" w:hAnsi="Adobe Garamond Pro" w:cstheme="minorHAnsi"/>
          <w:i/>
          <w:spacing w:val="3"/>
          <w:sz w:val="18"/>
          <w:szCs w:val="18"/>
        </w:rPr>
        <w:t>y</w:t>
      </w:r>
      <w:r w:rsidRPr="008137C5">
        <w:rPr>
          <w:rFonts w:ascii="Adobe Garamond Pro" w:eastAsia="Arial" w:hAnsi="Adobe Garamond Pro" w:cstheme="minorHAnsi"/>
          <w:sz w:val="18"/>
          <w:szCs w:val="18"/>
        </w:rPr>
        <w:t>,</w:t>
      </w:r>
      <w:r w:rsidRPr="008137C5">
        <w:rPr>
          <w:rFonts w:ascii="Adobe Garamond Pro" w:eastAsia="Arial" w:hAnsi="Adobe Garamond Pro" w:cstheme="minorHAnsi"/>
          <w:spacing w:val="-4"/>
          <w:sz w:val="18"/>
          <w:szCs w:val="18"/>
        </w:rPr>
        <w:t xml:space="preserve"> </w:t>
      </w:r>
      <w:r w:rsidRPr="008137C5">
        <w:rPr>
          <w:rFonts w:ascii="Adobe Garamond Pro" w:eastAsia="Arial" w:hAnsi="Adobe Garamond Pro" w:cstheme="minorHAnsi"/>
          <w:sz w:val="18"/>
          <w:szCs w:val="18"/>
        </w:rPr>
        <w:t>20</w:t>
      </w:r>
      <w:r w:rsidRPr="008137C5">
        <w:rPr>
          <w:rFonts w:ascii="Adobe Garamond Pro" w:eastAsia="Arial" w:hAnsi="Adobe Garamond Pro" w:cstheme="minorHAnsi"/>
          <w:spacing w:val="2"/>
          <w:sz w:val="18"/>
          <w:szCs w:val="18"/>
        </w:rPr>
        <w:t>1</w:t>
      </w:r>
      <w:r w:rsidRPr="008137C5">
        <w:rPr>
          <w:rFonts w:ascii="Adobe Garamond Pro" w:eastAsia="Arial" w:hAnsi="Adobe Garamond Pro" w:cstheme="minorHAnsi"/>
          <w:sz w:val="18"/>
          <w:szCs w:val="18"/>
        </w:rPr>
        <w:t>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62C98"/>
    <w:multiLevelType w:val="hybridMultilevel"/>
    <w:tmpl w:val="6FF688B8"/>
    <w:lvl w:ilvl="0" w:tplc="8592C3DC">
      <w:start w:val="1"/>
      <w:numFmt w:val="decimal"/>
      <w:lvlText w:val="%1."/>
      <w:lvlJc w:val="left"/>
      <w:pPr>
        <w:ind w:left="720" w:hanging="360"/>
      </w:pPr>
      <w:rPr>
        <w:rFonts w:hint="eastAsia"/>
        <w:b/>
        <w:color w:val="3E4752"/>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66B6D1B"/>
    <w:multiLevelType w:val="hybridMultilevel"/>
    <w:tmpl w:val="FB883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2FF43AF"/>
    <w:multiLevelType w:val="hybridMultilevel"/>
    <w:tmpl w:val="3F1A2FCA"/>
    <w:lvl w:ilvl="0" w:tplc="8E1AFFEE">
      <w:start w:val="1"/>
      <w:numFmt w:val="decimal"/>
      <w:lvlText w:val="%1."/>
      <w:lvlJc w:val="left"/>
      <w:pPr>
        <w:ind w:left="720" w:hanging="360"/>
      </w:pPr>
      <w:rPr>
        <w:rFonts w:ascii="Adobe garamond" w:hAnsi="Adobe garamond" w:hint="default"/>
        <w:sz w:val="20"/>
        <w:szCs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AA769DB"/>
    <w:multiLevelType w:val="hybridMultilevel"/>
    <w:tmpl w:val="80BC135C"/>
    <w:lvl w:ilvl="0" w:tplc="10090001">
      <w:start w:val="1"/>
      <w:numFmt w:val="bullet"/>
      <w:lvlText w:val=""/>
      <w:lvlJc w:val="left"/>
      <w:pPr>
        <w:ind w:left="720" w:hanging="360"/>
      </w:pPr>
      <w:rPr>
        <w:rFonts w:ascii="Symbol" w:hAnsi="Symbol"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D2C"/>
    <w:rsid w:val="000006B9"/>
    <w:rsid w:val="00001881"/>
    <w:rsid w:val="00001D4E"/>
    <w:rsid w:val="000028EE"/>
    <w:rsid w:val="00004302"/>
    <w:rsid w:val="0000456E"/>
    <w:rsid w:val="00005697"/>
    <w:rsid w:val="00007248"/>
    <w:rsid w:val="00011169"/>
    <w:rsid w:val="0001407F"/>
    <w:rsid w:val="000155E2"/>
    <w:rsid w:val="00015A25"/>
    <w:rsid w:val="000164F2"/>
    <w:rsid w:val="00016990"/>
    <w:rsid w:val="00017519"/>
    <w:rsid w:val="00017DAB"/>
    <w:rsid w:val="0002020E"/>
    <w:rsid w:val="00020E68"/>
    <w:rsid w:val="000226E4"/>
    <w:rsid w:val="000229DC"/>
    <w:rsid w:val="00024B31"/>
    <w:rsid w:val="00034A94"/>
    <w:rsid w:val="000366DF"/>
    <w:rsid w:val="0003700A"/>
    <w:rsid w:val="00042580"/>
    <w:rsid w:val="00044131"/>
    <w:rsid w:val="000454AC"/>
    <w:rsid w:val="000456DE"/>
    <w:rsid w:val="00045F6C"/>
    <w:rsid w:val="00046EAB"/>
    <w:rsid w:val="00047264"/>
    <w:rsid w:val="00047A74"/>
    <w:rsid w:val="000501D9"/>
    <w:rsid w:val="000502C0"/>
    <w:rsid w:val="00051E79"/>
    <w:rsid w:val="00051F82"/>
    <w:rsid w:val="000526C3"/>
    <w:rsid w:val="00055098"/>
    <w:rsid w:val="00055697"/>
    <w:rsid w:val="00055890"/>
    <w:rsid w:val="00056464"/>
    <w:rsid w:val="00057852"/>
    <w:rsid w:val="000613B5"/>
    <w:rsid w:val="000617EC"/>
    <w:rsid w:val="0006196F"/>
    <w:rsid w:val="00062E47"/>
    <w:rsid w:val="000630CB"/>
    <w:rsid w:val="00066CFC"/>
    <w:rsid w:val="00076631"/>
    <w:rsid w:val="00082BA5"/>
    <w:rsid w:val="00087F70"/>
    <w:rsid w:val="00090412"/>
    <w:rsid w:val="00093E86"/>
    <w:rsid w:val="00094335"/>
    <w:rsid w:val="00096DBA"/>
    <w:rsid w:val="00096FB8"/>
    <w:rsid w:val="000A0E66"/>
    <w:rsid w:val="000A223E"/>
    <w:rsid w:val="000A3905"/>
    <w:rsid w:val="000A4E71"/>
    <w:rsid w:val="000A596F"/>
    <w:rsid w:val="000A7155"/>
    <w:rsid w:val="000A7DCF"/>
    <w:rsid w:val="000B094A"/>
    <w:rsid w:val="000B0CA7"/>
    <w:rsid w:val="000B2C1D"/>
    <w:rsid w:val="000B7A37"/>
    <w:rsid w:val="000C03C5"/>
    <w:rsid w:val="000C11D6"/>
    <w:rsid w:val="000C1822"/>
    <w:rsid w:val="000C2144"/>
    <w:rsid w:val="000C2956"/>
    <w:rsid w:val="000C394A"/>
    <w:rsid w:val="000C7362"/>
    <w:rsid w:val="000C7637"/>
    <w:rsid w:val="000C764A"/>
    <w:rsid w:val="000D088D"/>
    <w:rsid w:val="000D0F16"/>
    <w:rsid w:val="000D1F5A"/>
    <w:rsid w:val="000D2F97"/>
    <w:rsid w:val="000D38BF"/>
    <w:rsid w:val="000D4221"/>
    <w:rsid w:val="000D4D5E"/>
    <w:rsid w:val="000E2063"/>
    <w:rsid w:val="000E4D43"/>
    <w:rsid w:val="000E635B"/>
    <w:rsid w:val="000E74D1"/>
    <w:rsid w:val="000F1873"/>
    <w:rsid w:val="000F210A"/>
    <w:rsid w:val="000F2A9A"/>
    <w:rsid w:val="000F33E3"/>
    <w:rsid w:val="000F3800"/>
    <w:rsid w:val="000F4524"/>
    <w:rsid w:val="000F5B56"/>
    <w:rsid w:val="000F60BC"/>
    <w:rsid w:val="000F6A3F"/>
    <w:rsid w:val="000F7440"/>
    <w:rsid w:val="000F7D16"/>
    <w:rsid w:val="00100AF7"/>
    <w:rsid w:val="00102AF1"/>
    <w:rsid w:val="001033E1"/>
    <w:rsid w:val="0010431C"/>
    <w:rsid w:val="00105CE6"/>
    <w:rsid w:val="00111442"/>
    <w:rsid w:val="00113772"/>
    <w:rsid w:val="0011398B"/>
    <w:rsid w:val="00113A50"/>
    <w:rsid w:val="00115623"/>
    <w:rsid w:val="001167CC"/>
    <w:rsid w:val="00116A0E"/>
    <w:rsid w:val="00116A37"/>
    <w:rsid w:val="00117E42"/>
    <w:rsid w:val="00120883"/>
    <w:rsid w:val="00120A23"/>
    <w:rsid w:val="00121DA5"/>
    <w:rsid w:val="00125EA9"/>
    <w:rsid w:val="00131F03"/>
    <w:rsid w:val="0013228E"/>
    <w:rsid w:val="001334B8"/>
    <w:rsid w:val="00133D7C"/>
    <w:rsid w:val="00133DC6"/>
    <w:rsid w:val="00135028"/>
    <w:rsid w:val="0013561E"/>
    <w:rsid w:val="00135B0D"/>
    <w:rsid w:val="001361BD"/>
    <w:rsid w:val="00137FA6"/>
    <w:rsid w:val="00141887"/>
    <w:rsid w:val="00141D96"/>
    <w:rsid w:val="00144037"/>
    <w:rsid w:val="001459E7"/>
    <w:rsid w:val="001463CE"/>
    <w:rsid w:val="00146663"/>
    <w:rsid w:val="00150252"/>
    <w:rsid w:val="00150632"/>
    <w:rsid w:val="0015277B"/>
    <w:rsid w:val="00154AD1"/>
    <w:rsid w:val="00155A71"/>
    <w:rsid w:val="00155BB1"/>
    <w:rsid w:val="00157532"/>
    <w:rsid w:val="001601AE"/>
    <w:rsid w:val="001603AB"/>
    <w:rsid w:val="001621EB"/>
    <w:rsid w:val="00162F8B"/>
    <w:rsid w:val="0016432B"/>
    <w:rsid w:val="0016445C"/>
    <w:rsid w:val="00165D1A"/>
    <w:rsid w:val="00165F26"/>
    <w:rsid w:val="00166919"/>
    <w:rsid w:val="00166A7F"/>
    <w:rsid w:val="0016727B"/>
    <w:rsid w:val="00171250"/>
    <w:rsid w:val="00174BA0"/>
    <w:rsid w:val="0017729A"/>
    <w:rsid w:val="00180397"/>
    <w:rsid w:val="00180B98"/>
    <w:rsid w:val="0018142B"/>
    <w:rsid w:val="00190701"/>
    <w:rsid w:val="00191C76"/>
    <w:rsid w:val="00192E01"/>
    <w:rsid w:val="00194431"/>
    <w:rsid w:val="00196040"/>
    <w:rsid w:val="00196CCE"/>
    <w:rsid w:val="001971D4"/>
    <w:rsid w:val="001A0343"/>
    <w:rsid w:val="001A272E"/>
    <w:rsid w:val="001A35C3"/>
    <w:rsid w:val="001A3894"/>
    <w:rsid w:val="001A3DFF"/>
    <w:rsid w:val="001A670C"/>
    <w:rsid w:val="001B057C"/>
    <w:rsid w:val="001B0840"/>
    <w:rsid w:val="001B60BC"/>
    <w:rsid w:val="001B6AE8"/>
    <w:rsid w:val="001C0C46"/>
    <w:rsid w:val="001C34C7"/>
    <w:rsid w:val="001C606A"/>
    <w:rsid w:val="001C7D28"/>
    <w:rsid w:val="001D06F2"/>
    <w:rsid w:val="001D2DD7"/>
    <w:rsid w:val="001D3DE7"/>
    <w:rsid w:val="001D453F"/>
    <w:rsid w:val="001D52F0"/>
    <w:rsid w:val="001D5728"/>
    <w:rsid w:val="001D71B1"/>
    <w:rsid w:val="001D71F5"/>
    <w:rsid w:val="001D77CF"/>
    <w:rsid w:val="001D7F2A"/>
    <w:rsid w:val="001E063A"/>
    <w:rsid w:val="001E2FE6"/>
    <w:rsid w:val="001E4EBA"/>
    <w:rsid w:val="001E78A4"/>
    <w:rsid w:val="001F01DC"/>
    <w:rsid w:val="001F01F2"/>
    <w:rsid w:val="001F1BB9"/>
    <w:rsid w:val="001F59DF"/>
    <w:rsid w:val="001F67BA"/>
    <w:rsid w:val="001F67D7"/>
    <w:rsid w:val="001F7780"/>
    <w:rsid w:val="001F7B72"/>
    <w:rsid w:val="00201A75"/>
    <w:rsid w:val="0020298F"/>
    <w:rsid w:val="00206ECA"/>
    <w:rsid w:val="002079B3"/>
    <w:rsid w:val="0021136E"/>
    <w:rsid w:val="002119AF"/>
    <w:rsid w:val="00214493"/>
    <w:rsid w:val="002146F9"/>
    <w:rsid w:val="00214AAB"/>
    <w:rsid w:val="002158AE"/>
    <w:rsid w:val="00216A01"/>
    <w:rsid w:val="00216D20"/>
    <w:rsid w:val="0021793C"/>
    <w:rsid w:val="00222C3F"/>
    <w:rsid w:val="00223E06"/>
    <w:rsid w:val="00224F66"/>
    <w:rsid w:val="00225623"/>
    <w:rsid w:val="0022650B"/>
    <w:rsid w:val="00230731"/>
    <w:rsid w:val="00231C3D"/>
    <w:rsid w:val="00234345"/>
    <w:rsid w:val="00235F72"/>
    <w:rsid w:val="0024129A"/>
    <w:rsid w:val="00241A6B"/>
    <w:rsid w:val="00241B48"/>
    <w:rsid w:val="00244452"/>
    <w:rsid w:val="00250493"/>
    <w:rsid w:val="00250590"/>
    <w:rsid w:val="00251300"/>
    <w:rsid w:val="0025202B"/>
    <w:rsid w:val="00254A76"/>
    <w:rsid w:val="002565A5"/>
    <w:rsid w:val="0026203D"/>
    <w:rsid w:val="00262CBD"/>
    <w:rsid w:val="00262EBB"/>
    <w:rsid w:val="00265717"/>
    <w:rsid w:val="0026591D"/>
    <w:rsid w:val="00267FAB"/>
    <w:rsid w:val="00271480"/>
    <w:rsid w:val="00271513"/>
    <w:rsid w:val="002719C5"/>
    <w:rsid w:val="00271B21"/>
    <w:rsid w:val="00274A2D"/>
    <w:rsid w:val="0027539F"/>
    <w:rsid w:val="002755D0"/>
    <w:rsid w:val="0028011A"/>
    <w:rsid w:val="00281659"/>
    <w:rsid w:val="0028186A"/>
    <w:rsid w:val="00285A86"/>
    <w:rsid w:val="00285B9F"/>
    <w:rsid w:val="00285CE9"/>
    <w:rsid w:val="00287498"/>
    <w:rsid w:val="00287F80"/>
    <w:rsid w:val="002937D3"/>
    <w:rsid w:val="002940C0"/>
    <w:rsid w:val="00295D8C"/>
    <w:rsid w:val="002967F8"/>
    <w:rsid w:val="002971F1"/>
    <w:rsid w:val="00297CD4"/>
    <w:rsid w:val="002A4A07"/>
    <w:rsid w:val="002A77A1"/>
    <w:rsid w:val="002B0164"/>
    <w:rsid w:val="002B248B"/>
    <w:rsid w:val="002B2680"/>
    <w:rsid w:val="002B4A53"/>
    <w:rsid w:val="002B4D30"/>
    <w:rsid w:val="002B7291"/>
    <w:rsid w:val="002C029F"/>
    <w:rsid w:val="002C4EEB"/>
    <w:rsid w:val="002D0654"/>
    <w:rsid w:val="002D272B"/>
    <w:rsid w:val="002D525E"/>
    <w:rsid w:val="002D5306"/>
    <w:rsid w:val="002D5FBB"/>
    <w:rsid w:val="002D6533"/>
    <w:rsid w:val="002D75ED"/>
    <w:rsid w:val="002D78DC"/>
    <w:rsid w:val="002E16AB"/>
    <w:rsid w:val="002E179F"/>
    <w:rsid w:val="002E2FB9"/>
    <w:rsid w:val="002E3180"/>
    <w:rsid w:val="002E3798"/>
    <w:rsid w:val="002E57B9"/>
    <w:rsid w:val="002E71D9"/>
    <w:rsid w:val="002F078C"/>
    <w:rsid w:val="002F150A"/>
    <w:rsid w:val="002F1F1C"/>
    <w:rsid w:val="002F4CCC"/>
    <w:rsid w:val="002F6139"/>
    <w:rsid w:val="002F669E"/>
    <w:rsid w:val="002F7BF5"/>
    <w:rsid w:val="00300D54"/>
    <w:rsid w:val="00301405"/>
    <w:rsid w:val="00301BD8"/>
    <w:rsid w:val="00306580"/>
    <w:rsid w:val="00306D4F"/>
    <w:rsid w:val="00311975"/>
    <w:rsid w:val="00311AD4"/>
    <w:rsid w:val="0032103E"/>
    <w:rsid w:val="0032228D"/>
    <w:rsid w:val="003224AE"/>
    <w:rsid w:val="00323019"/>
    <w:rsid w:val="003242CF"/>
    <w:rsid w:val="00325478"/>
    <w:rsid w:val="00326B71"/>
    <w:rsid w:val="003302FF"/>
    <w:rsid w:val="003311A1"/>
    <w:rsid w:val="00332222"/>
    <w:rsid w:val="00332F60"/>
    <w:rsid w:val="00335276"/>
    <w:rsid w:val="00335D5C"/>
    <w:rsid w:val="00337300"/>
    <w:rsid w:val="00340561"/>
    <w:rsid w:val="003431F4"/>
    <w:rsid w:val="003438E5"/>
    <w:rsid w:val="003443E3"/>
    <w:rsid w:val="00344505"/>
    <w:rsid w:val="00345F40"/>
    <w:rsid w:val="0034776A"/>
    <w:rsid w:val="00355376"/>
    <w:rsid w:val="00355A3F"/>
    <w:rsid w:val="00356364"/>
    <w:rsid w:val="0036023E"/>
    <w:rsid w:val="00360C2F"/>
    <w:rsid w:val="00361A01"/>
    <w:rsid w:val="00361A72"/>
    <w:rsid w:val="003677E5"/>
    <w:rsid w:val="00370B32"/>
    <w:rsid w:val="00371A86"/>
    <w:rsid w:val="00371E7A"/>
    <w:rsid w:val="00372364"/>
    <w:rsid w:val="003748E7"/>
    <w:rsid w:val="0037537D"/>
    <w:rsid w:val="00376A16"/>
    <w:rsid w:val="00376F9B"/>
    <w:rsid w:val="00381E94"/>
    <w:rsid w:val="0038303C"/>
    <w:rsid w:val="00383901"/>
    <w:rsid w:val="003844A3"/>
    <w:rsid w:val="00384B7D"/>
    <w:rsid w:val="00385458"/>
    <w:rsid w:val="00386068"/>
    <w:rsid w:val="003914E4"/>
    <w:rsid w:val="00391F9B"/>
    <w:rsid w:val="003924A8"/>
    <w:rsid w:val="00393605"/>
    <w:rsid w:val="003939EB"/>
    <w:rsid w:val="003941F6"/>
    <w:rsid w:val="00395548"/>
    <w:rsid w:val="00395BDD"/>
    <w:rsid w:val="003961B3"/>
    <w:rsid w:val="00397AA0"/>
    <w:rsid w:val="003A0EB7"/>
    <w:rsid w:val="003A22B4"/>
    <w:rsid w:val="003A3B09"/>
    <w:rsid w:val="003A4612"/>
    <w:rsid w:val="003A7A23"/>
    <w:rsid w:val="003A7FDC"/>
    <w:rsid w:val="003B115E"/>
    <w:rsid w:val="003B23BE"/>
    <w:rsid w:val="003B25CD"/>
    <w:rsid w:val="003B2EE7"/>
    <w:rsid w:val="003B4DB4"/>
    <w:rsid w:val="003B7F0A"/>
    <w:rsid w:val="003C22B7"/>
    <w:rsid w:val="003C6EAC"/>
    <w:rsid w:val="003C762C"/>
    <w:rsid w:val="003D0D6A"/>
    <w:rsid w:val="003D1FA1"/>
    <w:rsid w:val="003D2F6D"/>
    <w:rsid w:val="003D3C7E"/>
    <w:rsid w:val="003D4CB5"/>
    <w:rsid w:val="003D57B7"/>
    <w:rsid w:val="003D5ECC"/>
    <w:rsid w:val="003D6A68"/>
    <w:rsid w:val="003D7F23"/>
    <w:rsid w:val="003E021C"/>
    <w:rsid w:val="003E1129"/>
    <w:rsid w:val="003E1491"/>
    <w:rsid w:val="003E3739"/>
    <w:rsid w:val="003E5C76"/>
    <w:rsid w:val="003E6D46"/>
    <w:rsid w:val="003E75B3"/>
    <w:rsid w:val="003F0378"/>
    <w:rsid w:val="003F0D0B"/>
    <w:rsid w:val="003F0FD9"/>
    <w:rsid w:val="003F6C8B"/>
    <w:rsid w:val="003F6CAE"/>
    <w:rsid w:val="003F7B2C"/>
    <w:rsid w:val="00401627"/>
    <w:rsid w:val="00402B2B"/>
    <w:rsid w:val="0040351C"/>
    <w:rsid w:val="00403DA4"/>
    <w:rsid w:val="00404AB2"/>
    <w:rsid w:val="00405F9D"/>
    <w:rsid w:val="004068AF"/>
    <w:rsid w:val="0041021F"/>
    <w:rsid w:val="0041072F"/>
    <w:rsid w:val="00412AE9"/>
    <w:rsid w:val="00413407"/>
    <w:rsid w:val="00414367"/>
    <w:rsid w:val="00415B8E"/>
    <w:rsid w:val="00420DD5"/>
    <w:rsid w:val="00421FA1"/>
    <w:rsid w:val="00422813"/>
    <w:rsid w:val="004252BE"/>
    <w:rsid w:val="00425475"/>
    <w:rsid w:val="0042565C"/>
    <w:rsid w:val="004256E6"/>
    <w:rsid w:val="0042607B"/>
    <w:rsid w:val="00426B80"/>
    <w:rsid w:val="00426F08"/>
    <w:rsid w:val="00426FBB"/>
    <w:rsid w:val="00432B8B"/>
    <w:rsid w:val="0043386C"/>
    <w:rsid w:val="004346D7"/>
    <w:rsid w:val="004378BF"/>
    <w:rsid w:val="00437DF3"/>
    <w:rsid w:val="00437EF7"/>
    <w:rsid w:val="00442015"/>
    <w:rsid w:val="00442CF9"/>
    <w:rsid w:val="00442E76"/>
    <w:rsid w:val="00443DDC"/>
    <w:rsid w:val="004452A8"/>
    <w:rsid w:val="00445411"/>
    <w:rsid w:val="00445570"/>
    <w:rsid w:val="00445C9C"/>
    <w:rsid w:val="00446834"/>
    <w:rsid w:val="00446A23"/>
    <w:rsid w:val="00447408"/>
    <w:rsid w:val="004477B5"/>
    <w:rsid w:val="004547EC"/>
    <w:rsid w:val="004549AB"/>
    <w:rsid w:val="00454CB6"/>
    <w:rsid w:val="00455F54"/>
    <w:rsid w:val="00456335"/>
    <w:rsid w:val="00456FF9"/>
    <w:rsid w:val="004574B8"/>
    <w:rsid w:val="00460763"/>
    <w:rsid w:val="004613E8"/>
    <w:rsid w:val="00462840"/>
    <w:rsid w:val="00465953"/>
    <w:rsid w:val="00465C8B"/>
    <w:rsid w:val="00467194"/>
    <w:rsid w:val="004703A4"/>
    <w:rsid w:val="00471AB6"/>
    <w:rsid w:val="00473D83"/>
    <w:rsid w:val="00474291"/>
    <w:rsid w:val="00482445"/>
    <w:rsid w:val="00483752"/>
    <w:rsid w:val="004900E0"/>
    <w:rsid w:val="00491737"/>
    <w:rsid w:val="00492376"/>
    <w:rsid w:val="004935C1"/>
    <w:rsid w:val="0049656B"/>
    <w:rsid w:val="004A11C0"/>
    <w:rsid w:val="004A3245"/>
    <w:rsid w:val="004A4467"/>
    <w:rsid w:val="004A6621"/>
    <w:rsid w:val="004A7966"/>
    <w:rsid w:val="004A7C00"/>
    <w:rsid w:val="004B01C4"/>
    <w:rsid w:val="004B160F"/>
    <w:rsid w:val="004B1EF5"/>
    <w:rsid w:val="004B2DE2"/>
    <w:rsid w:val="004B44D0"/>
    <w:rsid w:val="004B44DC"/>
    <w:rsid w:val="004B5707"/>
    <w:rsid w:val="004B7E4E"/>
    <w:rsid w:val="004B7E9C"/>
    <w:rsid w:val="004C2359"/>
    <w:rsid w:val="004C3044"/>
    <w:rsid w:val="004C376D"/>
    <w:rsid w:val="004C6193"/>
    <w:rsid w:val="004C6B1A"/>
    <w:rsid w:val="004C7104"/>
    <w:rsid w:val="004C7426"/>
    <w:rsid w:val="004C7E7F"/>
    <w:rsid w:val="004D0777"/>
    <w:rsid w:val="004D1B6B"/>
    <w:rsid w:val="004D2EBD"/>
    <w:rsid w:val="004D2FBF"/>
    <w:rsid w:val="004D3962"/>
    <w:rsid w:val="004D4386"/>
    <w:rsid w:val="004D6D28"/>
    <w:rsid w:val="004D7434"/>
    <w:rsid w:val="004D751C"/>
    <w:rsid w:val="004E3D24"/>
    <w:rsid w:val="004E4F47"/>
    <w:rsid w:val="004E6ADC"/>
    <w:rsid w:val="004E6D6C"/>
    <w:rsid w:val="004F0853"/>
    <w:rsid w:val="004F1461"/>
    <w:rsid w:val="004F390C"/>
    <w:rsid w:val="004F40DF"/>
    <w:rsid w:val="004F4849"/>
    <w:rsid w:val="004F6F91"/>
    <w:rsid w:val="004F7845"/>
    <w:rsid w:val="00502135"/>
    <w:rsid w:val="00506210"/>
    <w:rsid w:val="005073B5"/>
    <w:rsid w:val="00507991"/>
    <w:rsid w:val="00507B1C"/>
    <w:rsid w:val="00511084"/>
    <w:rsid w:val="00511C83"/>
    <w:rsid w:val="00512359"/>
    <w:rsid w:val="0051463E"/>
    <w:rsid w:val="00515497"/>
    <w:rsid w:val="00516998"/>
    <w:rsid w:val="00520EC4"/>
    <w:rsid w:val="005241FE"/>
    <w:rsid w:val="00527DE7"/>
    <w:rsid w:val="0053011C"/>
    <w:rsid w:val="00531FCE"/>
    <w:rsid w:val="00532599"/>
    <w:rsid w:val="00532D4E"/>
    <w:rsid w:val="00533195"/>
    <w:rsid w:val="00536BC0"/>
    <w:rsid w:val="00537995"/>
    <w:rsid w:val="00540A28"/>
    <w:rsid w:val="00541E15"/>
    <w:rsid w:val="00545062"/>
    <w:rsid w:val="00545A65"/>
    <w:rsid w:val="00547C92"/>
    <w:rsid w:val="00550402"/>
    <w:rsid w:val="005504C3"/>
    <w:rsid w:val="00551A5F"/>
    <w:rsid w:val="005579E4"/>
    <w:rsid w:val="00557E0A"/>
    <w:rsid w:val="00560426"/>
    <w:rsid w:val="0056087F"/>
    <w:rsid w:val="00561F60"/>
    <w:rsid w:val="005634B4"/>
    <w:rsid w:val="0056403D"/>
    <w:rsid w:val="00565188"/>
    <w:rsid w:val="00566FAF"/>
    <w:rsid w:val="00567AAD"/>
    <w:rsid w:val="00572939"/>
    <w:rsid w:val="00573924"/>
    <w:rsid w:val="00574BDD"/>
    <w:rsid w:val="0057591F"/>
    <w:rsid w:val="0057596A"/>
    <w:rsid w:val="005763C6"/>
    <w:rsid w:val="005776FA"/>
    <w:rsid w:val="00580A4F"/>
    <w:rsid w:val="00580B50"/>
    <w:rsid w:val="005819F5"/>
    <w:rsid w:val="00581C8C"/>
    <w:rsid w:val="00582A91"/>
    <w:rsid w:val="00582B57"/>
    <w:rsid w:val="00583EF8"/>
    <w:rsid w:val="005840D1"/>
    <w:rsid w:val="0058573D"/>
    <w:rsid w:val="00586AE3"/>
    <w:rsid w:val="005940DB"/>
    <w:rsid w:val="0059423F"/>
    <w:rsid w:val="005A1AEA"/>
    <w:rsid w:val="005A216F"/>
    <w:rsid w:val="005A2D76"/>
    <w:rsid w:val="005A31FA"/>
    <w:rsid w:val="005B04D2"/>
    <w:rsid w:val="005B0C55"/>
    <w:rsid w:val="005B6AED"/>
    <w:rsid w:val="005C20DA"/>
    <w:rsid w:val="005C4719"/>
    <w:rsid w:val="005C482C"/>
    <w:rsid w:val="005C5CA2"/>
    <w:rsid w:val="005C5D87"/>
    <w:rsid w:val="005C62A1"/>
    <w:rsid w:val="005C659D"/>
    <w:rsid w:val="005C73E2"/>
    <w:rsid w:val="005D19E7"/>
    <w:rsid w:val="005D26D6"/>
    <w:rsid w:val="005D2CCC"/>
    <w:rsid w:val="005D386C"/>
    <w:rsid w:val="005D3CEB"/>
    <w:rsid w:val="005D408F"/>
    <w:rsid w:val="005D6658"/>
    <w:rsid w:val="005D77F7"/>
    <w:rsid w:val="005E0486"/>
    <w:rsid w:val="005E1629"/>
    <w:rsid w:val="005E2411"/>
    <w:rsid w:val="005E2619"/>
    <w:rsid w:val="005E4128"/>
    <w:rsid w:val="005E442F"/>
    <w:rsid w:val="005F0A78"/>
    <w:rsid w:val="005F12F7"/>
    <w:rsid w:val="005F1C37"/>
    <w:rsid w:val="005F3AC9"/>
    <w:rsid w:val="005F4664"/>
    <w:rsid w:val="005F5794"/>
    <w:rsid w:val="005F5A4E"/>
    <w:rsid w:val="005F609F"/>
    <w:rsid w:val="005F6604"/>
    <w:rsid w:val="005F740B"/>
    <w:rsid w:val="00601AFE"/>
    <w:rsid w:val="00601B92"/>
    <w:rsid w:val="006032D7"/>
    <w:rsid w:val="00605576"/>
    <w:rsid w:val="0060597A"/>
    <w:rsid w:val="00606ECF"/>
    <w:rsid w:val="006076B5"/>
    <w:rsid w:val="006076E0"/>
    <w:rsid w:val="006076FF"/>
    <w:rsid w:val="006169E7"/>
    <w:rsid w:val="00617C85"/>
    <w:rsid w:val="00617D90"/>
    <w:rsid w:val="006212DF"/>
    <w:rsid w:val="006223EF"/>
    <w:rsid w:val="00624E32"/>
    <w:rsid w:val="00632071"/>
    <w:rsid w:val="0063573E"/>
    <w:rsid w:val="006367CD"/>
    <w:rsid w:val="0063748C"/>
    <w:rsid w:val="00637BB8"/>
    <w:rsid w:val="00640CBA"/>
    <w:rsid w:val="00642754"/>
    <w:rsid w:val="00643872"/>
    <w:rsid w:val="00646E7F"/>
    <w:rsid w:val="00650F2B"/>
    <w:rsid w:val="00651368"/>
    <w:rsid w:val="006521DC"/>
    <w:rsid w:val="006529B1"/>
    <w:rsid w:val="006547C8"/>
    <w:rsid w:val="0065499F"/>
    <w:rsid w:val="00657E33"/>
    <w:rsid w:val="00661393"/>
    <w:rsid w:val="00661A5A"/>
    <w:rsid w:val="006634C5"/>
    <w:rsid w:val="00664709"/>
    <w:rsid w:val="00666098"/>
    <w:rsid w:val="00667A70"/>
    <w:rsid w:val="0067471E"/>
    <w:rsid w:val="00675DF7"/>
    <w:rsid w:val="00676FBF"/>
    <w:rsid w:val="00677036"/>
    <w:rsid w:val="006810BF"/>
    <w:rsid w:val="00681D1B"/>
    <w:rsid w:val="00691467"/>
    <w:rsid w:val="0069171D"/>
    <w:rsid w:val="006924D3"/>
    <w:rsid w:val="00693B51"/>
    <w:rsid w:val="006942F2"/>
    <w:rsid w:val="006964B7"/>
    <w:rsid w:val="0069771B"/>
    <w:rsid w:val="006A053B"/>
    <w:rsid w:val="006A1356"/>
    <w:rsid w:val="006A2A13"/>
    <w:rsid w:val="006A31CD"/>
    <w:rsid w:val="006A34EA"/>
    <w:rsid w:val="006A3E79"/>
    <w:rsid w:val="006A3F32"/>
    <w:rsid w:val="006A4359"/>
    <w:rsid w:val="006A4DA8"/>
    <w:rsid w:val="006A636D"/>
    <w:rsid w:val="006A706B"/>
    <w:rsid w:val="006A741D"/>
    <w:rsid w:val="006A7D7E"/>
    <w:rsid w:val="006B0E5A"/>
    <w:rsid w:val="006B39BC"/>
    <w:rsid w:val="006B5469"/>
    <w:rsid w:val="006B5B62"/>
    <w:rsid w:val="006B5E83"/>
    <w:rsid w:val="006C168E"/>
    <w:rsid w:val="006C1779"/>
    <w:rsid w:val="006C732F"/>
    <w:rsid w:val="006D160B"/>
    <w:rsid w:val="006D2316"/>
    <w:rsid w:val="006D6251"/>
    <w:rsid w:val="006E2DC4"/>
    <w:rsid w:val="006E3217"/>
    <w:rsid w:val="006E601E"/>
    <w:rsid w:val="006E6D94"/>
    <w:rsid w:val="006E795A"/>
    <w:rsid w:val="006F0376"/>
    <w:rsid w:val="006F0817"/>
    <w:rsid w:val="006F0BD7"/>
    <w:rsid w:val="006F0C9A"/>
    <w:rsid w:val="006F1BE3"/>
    <w:rsid w:val="006F3796"/>
    <w:rsid w:val="006F3CE9"/>
    <w:rsid w:val="006F592D"/>
    <w:rsid w:val="006F5A20"/>
    <w:rsid w:val="00700E4C"/>
    <w:rsid w:val="0070378B"/>
    <w:rsid w:val="00705E19"/>
    <w:rsid w:val="00712734"/>
    <w:rsid w:val="00712D9A"/>
    <w:rsid w:val="00713DEA"/>
    <w:rsid w:val="00714354"/>
    <w:rsid w:val="00715C6B"/>
    <w:rsid w:val="0072065D"/>
    <w:rsid w:val="00725829"/>
    <w:rsid w:val="00725E80"/>
    <w:rsid w:val="0072622B"/>
    <w:rsid w:val="00730CDC"/>
    <w:rsid w:val="007311B1"/>
    <w:rsid w:val="00731344"/>
    <w:rsid w:val="007314D9"/>
    <w:rsid w:val="007320FB"/>
    <w:rsid w:val="00732750"/>
    <w:rsid w:val="00733489"/>
    <w:rsid w:val="00734DCF"/>
    <w:rsid w:val="007362FF"/>
    <w:rsid w:val="00742E5B"/>
    <w:rsid w:val="00742FFA"/>
    <w:rsid w:val="00743AF1"/>
    <w:rsid w:val="00743F08"/>
    <w:rsid w:val="0074689D"/>
    <w:rsid w:val="007468B7"/>
    <w:rsid w:val="00746E08"/>
    <w:rsid w:val="0075125C"/>
    <w:rsid w:val="007516FC"/>
    <w:rsid w:val="0075341A"/>
    <w:rsid w:val="00754538"/>
    <w:rsid w:val="00754B46"/>
    <w:rsid w:val="00757354"/>
    <w:rsid w:val="007608BC"/>
    <w:rsid w:val="00761E4F"/>
    <w:rsid w:val="0076351F"/>
    <w:rsid w:val="0076398E"/>
    <w:rsid w:val="00764627"/>
    <w:rsid w:val="007651C0"/>
    <w:rsid w:val="007652B3"/>
    <w:rsid w:val="00766BAC"/>
    <w:rsid w:val="00772138"/>
    <w:rsid w:val="007739D0"/>
    <w:rsid w:val="0077455A"/>
    <w:rsid w:val="00775E88"/>
    <w:rsid w:val="00776564"/>
    <w:rsid w:val="00776E4D"/>
    <w:rsid w:val="00777704"/>
    <w:rsid w:val="00781975"/>
    <w:rsid w:val="00782D39"/>
    <w:rsid w:val="0078362F"/>
    <w:rsid w:val="0079103A"/>
    <w:rsid w:val="007918F9"/>
    <w:rsid w:val="00792910"/>
    <w:rsid w:val="00794ADE"/>
    <w:rsid w:val="0079579C"/>
    <w:rsid w:val="00796D4A"/>
    <w:rsid w:val="00797F95"/>
    <w:rsid w:val="007A28E2"/>
    <w:rsid w:val="007A4E4F"/>
    <w:rsid w:val="007A7575"/>
    <w:rsid w:val="007A7B0D"/>
    <w:rsid w:val="007B05DA"/>
    <w:rsid w:val="007B1B7F"/>
    <w:rsid w:val="007B259B"/>
    <w:rsid w:val="007B28BE"/>
    <w:rsid w:val="007B5482"/>
    <w:rsid w:val="007B5C35"/>
    <w:rsid w:val="007B76D0"/>
    <w:rsid w:val="007C3DE3"/>
    <w:rsid w:val="007C491B"/>
    <w:rsid w:val="007C4D80"/>
    <w:rsid w:val="007C6EFB"/>
    <w:rsid w:val="007C70AB"/>
    <w:rsid w:val="007C7617"/>
    <w:rsid w:val="007C7790"/>
    <w:rsid w:val="007C7C7D"/>
    <w:rsid w:val="007D0B2A"/>
    <w:rsid w:val="007D1D0D"/>
    <w:rsid w:val="007D1F70"/>
    <w:rsid w:val="007D226B"/>
    <w:rsid w:val="007D39AA"/>
    <w:rsid w:val="007D400B"/>
    <w:rsid w:val="007D422A"/>
    <w:rsid w:val="007D4EED"/>
    <w:rsid w:val="007D557A"/>
    <w:rsid w:val="007D6708"/>
    <w:rsid w:val="007D6E06"/>
    <w:rsid w:val="007D7910"/>
    <w:rsid w:val="007D7FF0"/>
    <w:rsid w:val="007E2487"/>
    <w:rsid w:val="007E4183"/>
    <w:rsid w:val="007E47C9"/>
    <w:rsid w:val="007E4EF5"/>
    <w:rsid w:val="007E51D5"/>
    <w:rsid w:val="007E6544"/>
    <w:rsid w:val="007E7545"/>
    <w:rsid w:val="007F12A8"/>
    <w:rsid w:val="007F3205"/>
    <w:rsid w:val="007F3348"/>
    <w:rsid w:val="007F3378"/>
    <w:rsid w:val="007F40FD"/>
    <w:rsid w:val="007F411C"/>
    <w:rsid w:val="007F4D9D"/>
    <w:rsid w:val="007F4EC4"/>
    <w:rsid w:val="007F61A2"/>
    <w:rsid w:val="007F7E21"/>
    <w:rsid w:val="008027AB"/>
    <w:rsid w:val="00804261"/>
    <w:rsid w:val="00805D9F"/>
    <w:rsid w:val="0081285F"/>
    <w:rsid w:val="008128CD"/>
    <w:rsid w:val="00813362"/>
    <w:rsid w:val="008137C5"/>
    <w:rsid w:val="0082249E"/>
    <w:rsid w:val="00822AA6"/>
    <w:rsid w:val="0082556F"/>
    <w:rsid w:val="00825937"/>
    <w:rsid w:val="00827CDB"/>
    <w:rsid w:val="00830A3B"/>
    <w:rsid w:val="00831DE9"/>
    <w:rsid w:val="00834CE2"/>
    <w:rsid w:val="0083514C"/>
    <w:rsid w:val="00835317"/>
    <w:rsid w:val="00836A57"/>
    <w:rsid w:val="0084044F"/>
    <w:rsid w:val="00841631"/>
    <w:rsid w:val="0084412F"/>
    <w:rsid w:val="00845F07"/>
    <w:rsid w:val="008475D3"/>
    <w:rsid w:val="008509E9"/>
    <w:rsid w:val="0085384A"/>
    <w:rsid w:val="00853F57"/>
    <w:rsid w:val="008559A9"/>
    <w:rsid w:val="00857796"/>
    <w:rsid w:val="00857C33"/>
    <w:rsid w:val="00857C70"/>
    <w:rsid w:val="00861A8E"/>
    <w:rsid w:val="00862030"/>
    <w:rsid w:val="00862BF0"/>
    <w:rsid w:val="00862DF4"/>
    <w:rsid w:val="0086400B"/>
    <w:rsid w:val="008651DA"/>
    <w:rsid w:val="00870929"/>
    <w:rsid w:val="00872D4B"/>
    <w:rsid w:val="008735F6"/>
    <w:rsid w:val="0088114A"/>
    <w:rsid w:val="00881C85"/>
    <w:rsid w:val="00882F64"/>
    <w:rsid w:val="00886FE2"/>
    <w:rsid w:val="0089043E"/>
    <w:rsid w:val="00892482"/>
    <w:rsid w:val="00892916"/>
    <w:rsid w:val="008950FC"/>
    <w:rsid w:val="00895D18"/>
    <w:rsid w:val="00896588"/>
    <w:rsid w:val="008A2946"/>
    <w:rsid w:val="008A3A49"/>
    <w:rsid w:val="008A4C9F"/>
    <w:rsid w:val="008A4E96"/>
    <w:rsid w:val="008A61E3"/>
    <w:rsid w:val="008A63EA"/>
    <w:rsid w:val="008A6614"/>
    <w:rsid w:val="008A6A7E"/>
    <w:rsid w:val="008B243B"/>
    <w:rsid w:val="008B5751"/>
    <w:rsid w:val="008B57D6"/>
    <w:rsid w:val="008B5878"/>
    <w:rsid w:val="008B6432"/>
    <w:rsid w:val="008B6995"/>
    <w:rsid w:val="008C052C"/>
    <w:rsid w:val="008C0CAA"/>
    <w:rsid w:val="008C16C8"/>
    <w:rsid w:val="008C1DB9"/>
    <w:rsid w:val="008C24E6"/>
    <w:rsid w:val="008C2D86"/>
    <w:rsid w:val="008C5D32"/>
    <w:rsid w:val="008C620F"/>
    <w:rsid w:val="008C72BD"/>
    <w:rsid w:val="008D0910"/>
    <w:rsid w:val="008D0E08"/>
    <w:rsid w:val="008D0E21"/>
    <w:rsid w:val="008D0EF6"/>
    <w:rsid w:val="008D17A2"/>
    <w:rsid w:val="008D2646"/>
    <w:rsid w:val="008D2BA1"/>
    <w:rsid w:val="008D2D8B"/>
    <w:rsid w:val="008D42AF"/>
    <w:rsid w:val="008D4CBB"/>
    <w:rsid w:val="008D4D21"/>
    <w:rsid w:val="008D4E56"/>
    <w:rsid w:val="008D4E82"/>
    <w:rsid w:val="008D6FEF"/>
    <w:rsid w:val="008D772F"/>
    <w:rsid w:val="008E0512"/>
    <w:rsid w:val="008E0A90"/>
    <w:rsid w:val="008E3866"/>
    <w:rsid w:val="008E645F"/>
    <w:rsid w:val="008E70C9"/>
    <w:rsid w:val="008F016A"/>
    <w:rsid w:val="008F08C7"/>
    <w:rsid w:val="008F1DB0"/>
    <w:rsid w:val="008F30C9"/>
    <w:rsid w:val="008F3BF3"/>
    <w:rsid w:val="008F3D1E"/>
    <w:rsid w:val="008F58E3"/>
    <w:rsid w:val="008F6B46"/>
    <w:rsid w:val="008F6D36"/>
    <w:rsid w:val="008F76D3"/>
    <w:rsid w:val="008F7A92"/>
    <w:rsid w:val="00900537"/>
    <w:rsid w:val="00910215"/>
    <w:rsid w:val="009124D4"/>
    <w:rsid w:val="00914D3F"/>
    <w:rsid w:val="009155BD"/>
    <w:rsid w:val="00915DF7"/>
    <w:rsid w:val="00917810"/>
    <w:rsid w:val="00917FB2"/>
    <w:rsid w:val="00920AFA"/>
    <w:rsid w:val="009245FF"/>
    <w:rsid w:val="00925A64"/>
    <w:rsid w:val="00927FA4"/>
    <w:rsid w:val="00931C57"/>
    <w:rsid w:val="00934B7C"/>
    <w:rsid w:val="00935358"/>
    <w:rsid w:val="00935C34"/>
    <w:rsid w:val="00935D2C"/>
    <w:rsid w:val="00935D31"/>
    <w:rsid w:val="00935E19"/>
    <w:rsid w:val="0093670C"/>
    <w:rsid w:val="009415CA"/>
    <w:rsid w:val="0094290B"/>
    <w:rsid w:val="009429DA"/>
    <w:rsid w:val="009433F7"/>
    <w:rsid w:val="00943586"/>
    <w:rsid w:val="009452CD"/>
    <w:rsid w:val="00946716"/>
    <w:rsid w:val="00946785"/>
    <w:rsid w:val="00947A79"/>
    <w:rsid w:val="0095105A"/>
    <w:rsid w:val="00952956"/>
    <w:rsid w:val="00955B91"/>
    <w:rsid w:val="009563EF"/>
    <w:rsid w:val="00957544"/>
    <w:rsid w:val="00957708"/>
    <w:rsid w:val="00957A43"/>
    <w:rsid w:val="00960AD4"/>
    <w:rsid w:val="00960BE5"/>
    <w:rsid w:val="00961D95"/>
    <w:rsid w:val="009628E1"/>
    <w:rsid w:val="00963CEF"/>
    <w:rsid w:val="00966109"/>
    <w:rsid w:val="0096690F"/>
    <w:rsid w:val="00971C13"/>
    <w:rsid w:val="00972972"/>
    <w:rsid w:val="009739E1"/>
    <w:rsid w:val="00973D0F"/>
    <w:rsid w:val="00975638"/>
    <w:rsid w:val="00975925"/>
    <w:rsid w:val="00975BC4"/>
    <w:rsid w:val="00976245"/>
    <w:rsid w:val="00982045"/>
    <w:rsid w:val="00982B8C"/>
    <w:rsid w:val="00982C62"/>
    <w:rsid w:val="00990448"/>
    <w:rsid w:val="00990FF6"/>
    <w:rsid w:val="0099172A"/>
    <w:rsid w:val="00991EB3"/>
    <w:rsid w:val="00992494"/>
    <w:rsid w:val="00995833"/>
    <w:rsid w:val="0099743E"/>
    <w:rsid w:val="00997FED"/>
    <w:rsid w:val="009A2EAB"/>
    <w:rsid w:val="009A32AD"/>
    <w:rsid w:val="009A4A8A"/>
    <w:rsid w:val="009A4F4F"/>
    <w:rsid w:val="009A6565"/>
    <w:rsid w:val="009A6ED8"/>
    <w:rsid w:val="009B3402"/>
    <w:rsid w:val="009B4861"/>
    <w:rsid w:val="009B5198"/>
    <w:rsid w:val="009B5A30"/>
    <w:rsid w:val="009B647A"/>
    <w:rsid w:val="009B73D0"/>
    <w:rsid w:val="009C0107"/>
    <w:rsid w:val="009C09D2"/>
    <w:rsid w:val="009C09F1"/>
    <w:rsid w:val="009C0B5F"/>
    <w:rsid w:val="009C0B8D"/>
    <w:rsid w:val="009C1452"/>
    <w:rsid w:val="009C49E5"/>
    <w:rsid w:val="009C5AF9"/>
    <w:rsid w:val="009C6C36"/>
    <w:rsid w:val="009C799B"/>
    <w:rsid w:val="009D1724"/>
    <w:rsid w:val="009D1FBC"/>
    <w:rsid w:val="009D2D15"/>
    <w:rsid w:val="009D6768"/>
    <w:rsid w:val="009D6BD6"/>
    <w:rsid w:val="009E0050"/>
    <w:rsid w:val="009E006C"/>
    <w:rsid w:val="009E0E3B"/>
    <w:rsid w:val="009E254E"/>
    <w:rsid w:val="009E2964"/>
    <w:rsid w:val="009E6174"/>
    <w:rsid w:val="009F076F"/>
    <w:rsid w:val="009F1164"/>
    <w:rsid w:val="009F3D3E"/>
    <w:rsid w:val="009F545D"/>
    <w:rsid w:val="009F6087"/>
    <w:rsid w:val="009F76AA"/>
    <w:rsid w:val="00A02DB2"/>
    <w:rsid w:val="00A04E0F"/>
    <w:rsid w:val="00A0502A"/>
    <w:rsid w:val="00A06564"/>
    <w:rsid w:val="00A06647"/>
    <w:rsid w:val="00A06CB9"/>
    <w:rsid w:val="00A07EE1"/>
    <w:rsid w:val="00A10A8D"/>
    <w:rsid w:val="00A10C15"/>
    <w:rsid w:val="00A117FB"/>
    <w:rsid w:val="00A11D87"/>
    <w:rsid w:val="00A12425"/>
    <w:rsid w:val="00A139F6"/>
    <w:rsid w:val="00A16E67"/>
    <w:rsid w:val="00A17E45"/>
    <w:rsid w:val="00A21468"/>
    <w:rsid w:val="00A21E91"/>
    <w:rsid w:val="00A22120"/>
    <w:rsid w:val="00A22FB0"/>
    <w:rsid w:val="00A230DE"/>
    <w:rsid w:val="00A2526A"/>
    <w:rsid w:val="00A2740E"/>
    <w:rsid w:val="00A325F1"/>
    <w:rsid w:val="00A32A56"/>
    <w:rsid w:val="00A340CA"/>
    <w:rsid w:val="00A34EB7"/>
    <w:rsid w:val="00A3744D"/>
    <w:rsid w:val="00A402B9"/>
    <w:rsid w:val="00A40424"/>
    <w:rsid w:val="00A40A76"/>
    <w:rsid w:val="00A40E66"/>
    <w:rsid w:val="00A4197E"/>
    <w:rsid w:val="00A4284E"/>
    <w:rsid w:val="00A42B14"/>
    <w:rsid w:val="00A44E00"/>
    <w:rsid w:val="00A45948"/>
    <w:rsid w:val="00A45C89"/>
    <w:rsid w:val="00A467A1"/>
    <w:rsid w:val="00A50392"/>
    <w:rsid w:val="00A51A32"/>
    <w:rsid w:val="00A5251A"/>
    <w:rsid w:val="00A535F4"/>
    <w:rsid w:val="00A53F65"/>
    <w:rsid w:val="00A557FE"/>
    <w:rsid w:val="00A568A1"/>
    <w:rsid w:val="00A60400"/>
    <w:rsid w:val="00A61796"/>
    <w:rsid w:val="00A64D0A"/>
    <w:rsid w:val="00A65848"/>
    <w:rsid w:val="00A67300"/>
    <w:rsid w:val="00A701A1"/>
    <w:rsid w:val="00A71DD8"/>
    <w:rsid w:val="00A7203B"/>
    <w:rsid w:val="00A72CCA"/>
    <w:rsid w:val="00A730D9"/>
    <w:rsid w:val="00A73A98"/>
    <w:rsid w:val="00A73C20"/>
    <w:rsid w:val="00A73F11"/>
    <w:rsid w:val="00A750E6"/>
    <w:rsid w:val="00A76661"/>
    <w:rsid w:val="00A819CF"/>
    <w:rsid w:val="00A81A72"/>
    <w:rsid w:val="00A86717"/>
    <w:rsid w:val="00A87870"/>
    <w:rsid w:val="00A91B78"/>
    <w:rsid w:val="00A9362C"/>
    <w:rsid w:val="00A944A2"/>
    <w:rsid w:val="00A94CB6"/>
    <w:rsid w:val="00A95734"/>
    <w:rsid w:val="00A958C1"/>
    <w:rsid w:val="00A95A3C"/>
    <w:rsid w:val="00A97469"/>
    <w:rsid w:val="00AA0668"/>
    <w:rsid w:val="00AA1AC0"/>
    <w:rsid w:val="00AA2176"/>
    <w:rsid w:val="00AA4882"/>
    <w:rsid w:val="00AA5069"/>
    <w:rsid w:val="00AA5F7F"/>
    <w:rsid w:val="00AA75C4"/>
    <w:rsid w:val="00AB003E"/>
    <w:rsid w:val="00AB0C39"/>
    <w:rsid w:val="00AB1147"/>
    <w:rsid w:val="00AB2B23"/>
    <w:rsid w:val="00AB3584"/>
    <w:rsid w:val="00AB7784"/>
    <w:rsid w:val="00AC1578"/>
    <w:rsid w:val="00AC1886"/>
    <w:rsid w:val="00AC1C3C"/>
    <w:rsid w:val="00AC2CE0"/>
    <w:rsid w:val="00AC315F"/>
    <w:rsid w:val="00AC333B"/>
    <w:rsid w:val="00AC658A"/>
    <w:rsid w:val="00AC6D13"/>
    <w:rsid w:val="00AC751A"/>
    <w:rsid w:val="00AC7BEB"/>
    <w:rsid w:val="00AC7EB7"/>
    <w:rsid w:val="00AD3632"/>
    <w:rsid w:val="00AD67A2"/>
    <w:rsid w:val="00AD7416"/>
    <w:rsid w:val="00AD7947"/>
    <w:rsid w:val="00AE07D6"/>
    <w:rsid w:val="00AE4B9D"/>
    <w:rsid w:val="00AF0D16"/>
    <w:rsid w:val="00AF0D4A"/>
    <w:rsid w:val="00AF2134"/>
    <w:rsid w:val="00AF2D5B"/>
    <w:rsid w:val="00AF536C"/>
    <w:rsid w:val="00AF5E92"/>
    <w:rsid w:val="00AF6116"/>
    <w:rsid w:val="00AF7390"/>
    <w:rsid w:val="00AF7BA5"/>
    <w:rsid w:val="00AF7BBE"/>
    <w:rsid w:val="00B04BCF"/>
    <w:rsid w:val="00B0503D"/>
    <w:rsid w:val="00B063DB"/>
    <w:rsid w:val="00B10360"/>
    <w:rsid w:val="00B1064C"/>
    <w:rsid w:val="00B107B6"/>
    <w:rsid w:val="00B10D14"/>
    <w:rsid w:val="00B11A39"/>
    <w:rsid w:val="00B132FD"/>
    <w:rsid w:val="00B1487D"/>
    <w:rsid w:val="00B15678"/>
    <w:rsid w:val="00B157E0"/>
    <w:rsid w:val="00B178B8"/>
    <w:rsid w:val="00B21DF0"/>
    <w:rsid w:val="00B23DA8"/>
    <w:rsid w:val="00B24272"/>
    <w:rsid w:val="00B24861"/>
    <w:rsid w:val="00B253B8"/>
    <w:rsid w:val="00B26C96"/>
    <w:rsid w:val="00B3394A"/>
    <w:rsid w:val="00B339D4"/>
    <w:rsid w:val="00B358CD"/>
    <w:rsid w:val="00B35F11"/>
    <w:rsid w:val="00B36ACF"/>
    <w:rsid w:val="00B405EE"/>
    <w:rsid w:val="00B40E29"/>
    <w:rsid w:val="00B41696"/>
    <w:rsid w:val="00B41E83"/>
    <w:rsid w:val="00B424DF"/>
    <w:rsid w:val="00B45013"/>
    <w:rsid w:val="00B46073"/>
    <w:rsid w:val="00B460C7"/>
    <w:rsid w:val="00B47378"/>
    <w:rsid w:val="00B474FF"/>
    <w:rsid w:val="00B4793B"/>
    <w:rsid w:val="00B512A6"/>
    <w:rsid w:val="00B5350A"/>
    <w:rsid w:val="00B53E1B"/>
    <w:rsid w:val="00B54581"/>
    <w:rsid w:val="00B56A17"/>
    <w:rsid w:val="00B61403"/>
    <w:rsid w:val="00B61F4A"/>
    <w:rsid w:val="00B63A80"/>
    <w:rsid w:val="00B64009"/>
    <w:rsid w:val="00B654E0"/>
    <w:rsid w:val="00B65C75"/>
    <w:rsid w:val="00B6670B"/>
    <w:rsid w:val="00B72D70"/>
    <w:rsid w:val="00B74229"/>
    <w:rsid w:val="00B74B68"/>
    <w:rsid w:val="00B757B5"/>
    <w:rsid w:val="00B758A4"/>
    <w:rsid w:val="00B76490"/>
    <w:rsid w:val="00B76A73"/>
    <w:rsid w:val="00B76F3E"/>
    <w:rsid w:val="00B81111"/>
    <w:rsid w:val="00B819BA"/>
    <w:rsid w:val="00B91140"/>
    <w:rsid w:val="00B920C4"/>
    <w:rsid w:val="00B95EDC"/>
    <w:rsid w:val="00B96BBE"/>
    <w:rsid w:val="00BA100C"/>
    <w:rsid w:val="00BA1C5B"/>
    <w:rsid w:val="00BA2051"/>
    <w:rsid w:val="00BA2E18"/>
    <w:rsid w:val="00BA3600"/>
    <w:rsid w:val="00BA4244"/>
    <w:rsid w:val="00BA65C4"/>
    <w:rsid w:val="00BA65EC"/>
    <w:rsid w:val="00BA7B4C"/>
    <w:rsid w:val="00BB4692"/>
    <w:rsid w:val="00BB477E"/>
    <w:rsid w:val="00BC0DD0"/>
    <w:rsid w:val="00BC1737"/>
    <w:rsid w:val="00BC24FF"/>
    <w:rsid w:val="00BC26BB"/>
    <w:rsid w:val="00BC34FD"/>
    <w:rsid w:val="00BC3736"/>
    <w:rsid w:val="00BC6403"/>
    <w:rsid w:val="00BD061B"/>
    <w:rsid w:val="00BD0718"/>
    <w:rsid w:val="00BD09B3"/>
    <w:rsid w:val="00BD146D"/>
    <w:rsid w:val="00BD2055"/>
    <w:rsid w:val="00BD2B2A"/>
    <w:rsid w:val="00BD31F1"/>
    <w:rsid w:val="00BD513E"/>
    <w:rsid w:val="00BD73A9"/>
    <w:rsid w:val="00BD76DA"/>
    <w:rsid w:val="00BD7F75"/>
    <w:rsid w:val="00BE1C62"/>
    <w:rsid w:val="00BE1E01"/>
    <w:rsid w:val="00BE3695"/>
    <w:rsid w:val="00BE42C5"/>
    <w:rsid w:val="00BE5A44"/>
    <w:rsid w:val="00BE5E36"/>
    <w:rsid w:val="00BF2F13"/>
    <w:rsid w:val="00BF3A53"/>
    <w:rsid w:val="00BF4615"/>
    <w:rsid w:val="00C01D6C"/>
    <w:rsid w:val="00C02723"/>
    <w:rsid w:val="00C03BB0"/>
    <w:rsid w:val="00C107F4"/>
    <w:rsid w:val="00C116AA"/>
    <w:rsid w:val="00C11DBE"/>
    <w:rsid w:val="00C14EBF"/>
    <w:rsid w:val="00C1671C"/>
    <w:rsid w:val="00C1787A"/>
    <w:rsid w:val="00C21643"/>
    <w:rsid w:val="00C2176E"/>
    <w:rsid w:val="00C23C2D"/>
    <w:rsid w:val="00C2459F"/>
    <w:rsid w:val="00C253A1"/>
    <w:rsid w:val="00C25B71"/>
    <w:rsid w:val="00C25E6E"/>
    <w:rsid w:val="00C26DA6"/>
    <w:rsid w:val="00C27DF3"/>
    <w:rsid w:val="00C308C9"/>
    <w:rsid w:val="00C31E81"/>
    <w:rsid w:val="00C33138"/>
    <w:rsid w:val="00C33F34"/>
    <w:rsid w:val="00C3479F"/>
    <w:rsid w:val="00C372B2"/>
    <w:rsid w:val="00C37528"/>
    <w:rsid w:val="00C40056"/>
    <w:rsid w:val="00C42F0D"/>
    <w:rsid w:val="00C436F6"/>
    <w:rsid w:val="00C44932"/>
    <w:rsid w:val="00C46AE1"/>
    <w:rsid w:val="00C46BC1"/>
    <w:rsid w:val="00C50758"/>
    <w:rsid w:val="00C5263E"/>
    <w:rsid w:val="00C526D2"/>
    <w:rsid w:val="00C53DD3"/>
    <w:rsid w:val="00C56EDF"/>
    <w:rsid w:val="00C57A1E"/>
    <w:rsid w:val="00C57DE5"/>
    <w:rsid w:val="00C60168"/>
    <w:rsid w:val="00C61A20"/>
    <w:rsid w:val="00C63037"/>
    <w:rsid w:val="00C63B0B"/>
    <w:rsid w:val="00C70FD9"/>
    <w:rsid w:val="00C71974"/>
    <w:rsid w:val="00C724B9"/>
    <w:rsid w:val="00C735D8"/>
    <w:rsid w:val="00C73B32"/>
    <w:rsid w:val="00C76399"/>
    <w:rsid w:val="00C80860"/>
    <w:rsid w:val="00C84D3F"/>
    <w:rsid w:val="00C8554B"/>
    <w:rsid w:val="00C914B2"/>
    <w:rsid w:val="00C92A7F"/>
    <w:rsid w:val="00C92C43"/>
    <w:rsid w:val="00C95D08"/>
    <w:rsid w:val="00C95E37"/>
    <w:rsid w:val="00CA0BF2"/>
    <w:rsid w:val="00CA1202"/>
    <w:rsid w:val="00CA12AE"/>
    <w:rsid w:val="00CA2096"/>
    <w:rsid w:val="00CA2C5C"/>
    <w:rsid w:val="00CA34E8"/>
    <w:rsid w:val="00CA4E88"/>
    <w:rsid w:val="00CA560E"/>
    <w:rsid w:val="00CB0A1C"/>
    <w:rsid w:val="00CB5681"/>
    <w:rsid w:val="00CB652D"/>
    <w:rsid w:val="00CB71D2"/>
    <w:rsid w:val="00CC05A1"/>
    <w:rsid w:val="00CC35AF"/>
    <w:rsid w:val="00CC6E04"/>
    <w:rsid w:val="00CD175E"/>
    <w:rsid w:val="00CD2486"/>
    <w:rsid w:val="00CD294C"/>
    <w:rsid w:val="00CD2E90"/>
    <w:rsid w:val="00CD3B37"/>
    <w:rsid w:val="00CE4FE2"/>
    <w:rsid w:val="00CE648B"/>
    <w:rsid w:val="00CE6AD7"/>
    <w:rsid w:val="00CE6FA0"/>
    <w:rsid w:val="00CF429E"/>
    <w:rsid w:val="00CF5117"/>
    <w:rsid w:val="00CF62C4"/>
    <w:rsid w:val="00CF715B"/>
    <w:rsid w:val="00D02AA2"/>
    <w:rsid w:val="00D02C8A"/>
    <w:rsid w:val="00D0316F"/>
    <w:rsid w:val="00D03EBF"/>
    <w:rsid w:val="00D04523"/>
    <w:rsid w:val="00D05C45"/>
    <w:rsid w:val="00D06F77"/>
    <w:rsid w:val="00D07CC6"/>
    <w:rsid w:val="00D10633"/>
    <w:rsid w:val="00D11C50"/>
    <w:rsid w:val="00D12FA2"/>
    <w:rsid w:val="00D13554"/>
    <w:rsid w:val="00D1627E"/>
    <w:rsid w:val="00D16B75"/>
    <w:rsid w:val="00D2005D"/>
    <w:rsid w:val="00D214EB"/>
    <w:rsid w:val="00D22F79"/>
    <w:rsid w:val="00D24BB2"/>
    <w:rsid w:val="00D24DAA"/>
    <w:rsid w:val="00D25E52"/>
    <w:rsid w:val="00D30BFF"/>
    <w:rsid w:val="00D330A2"/>
    <w:rsid w:val="00D34105"/>
    <w:rsid w:val="00D34E96"/>
    <w:rsid w:val="00D41096"/>
    <w:rsid w:val="00D41264"/>
    <w:rsid w:val="00D4161C"/>
    <w:rsid w:val="00D43CFB"/>
    <w:rsid w:val="00D460F5"/>
    <w:rsid w:val="00D46831"/>
    <w:rsid w:val="00D52D43"/>
    <w:rsid w:val="00D537D5"/>
    <w:rsid w:val="00D53AE7"/>
    <w:rsid w:val="00D5449A"/>
    <w:rsid w:val="00D571D5"/>
    <w:rsid w:val="00D57B6D"/>
    <w:rsid w:val="00D57BE4"/>
    <w:rsid w:val="00D57F28"/>
    <w:rsid w:val="00D60340"/>
    <w:rsid w:val="00D607DE"/>
    <w:rsid w:val="00D6685C"/>
    <w:rsid w:val="00D66A6A"/>
    <w:rsid w:val="00D70111"/>
    <w:rsid w:val="00D713FE"/>
    <w:rsid w:val="00D717EE"/>
    <w:rsid w:val="00D71F56"/>
    <w:rsid w:val="00D723EC"/>
    <w:rsid w:val="00D72BFF"/>
    <w:rsid w:val="00D74826"/>
    <w:rsid w:val="00D74EE2"/>
    <w:rsid w:val="00D806E8"/>
    <w:rsid w:val="00D81AB2"/>
    <w:rsid w:val="00D81D9E"/>
    <w:rsid w:val="00D823F7"/>
    <w:rsid w:val="00D83E7F"/>
    <w:rsid w:val="00D83EB4"/>
    <w:rsid w:val="00D8740D"/>
    <w:rsid w:val="00D9243C"/>
    <w:rsid w:val="00D93B79"/>
    <w:rsid w:val="00D94749"/>
    <w:rsid w:val="00D94F7A"/>
    <w:rsid w:val="00D97214"/>
    <w:rsid w:val="00DA02E7"/>
    <w:rsid w:val="00DA0580"/>
    <w:rsid w:val="00DA0B84"/>
    <w:rsid w:val="00DA2A37"/>
    <w:rsid w:val="00DA4B15"/>
    <w:rsid w:val="00DA64E9"/>
    <w:rsid w:val="00DA7A8A"/>
    <w:rsid w:val="00DB1635"/>
    <w:rsid w:val="00DB182C"/>
    <w:rsid w:val="00DB3591"/>
    <w:rsid w:val="00DB73D8"/>
    <w:rsid w:val="00DC00A2"/>
    <w:rsid w:val="00DC1BF2"/>
    <w:rsid w:val="00DC2B35"/>
    <w:rsid w:val="00DC51D4"/>
    <w:rsid w:val="00DC56C2"/>
    <w:rsid w:val="00DD1387"/>
    <w:rsid w:val="00DD3CC9"/>
    <w:rsid w:val="00DD53BC"/>
    <w:rsid w:val="00DD6049"/>
    <w:rsid w:val="00DD6B01"/>
    <w:rsid w:val="00DD6F19"/>
    <w:rsid w:val="00DE0393"/>
    <w:rsid w:val="00DE0B81"/>
    <w:rsid w:val="00DE3DE5"/>
    <w:rsid w:val="00DF00E2"/>
    <w:rsid w:val="00DF0895"/>
    <w:rsid w:val="00DF0B38"/>
    <w:rsid w:val="00DF0ECB"/>
    <w:rsid w:val="00DF1C2E"/>
    <w:rsid w:val="00DF21A8"/>
    <w:rsid w:val="00DF34F3"/>
    <w:rsid w:val="00DF3E8A"/>
    <w:rsid w:val="00DF3E92"/>
    <w:rsid w:val="00DF4518"/>
    <w:rsid w:val="00DF670E"/>
    <w:rsid w:val="00E017A6"/>
    <w:rsid w:val="00E04B8D"/>
    <w:rsid w:val="00E051AE"/>
    <w:rsid w:val="00E06D85"/>
    <w:rsid w:val="00E07343"/>
    <w:rsid w:val="00E07845"/>
    <w:rsid w:val="00E07D79"/>
    <w:rsid w:val="00E142ED"/>
    <w:rsid w:val="00E154CD"/>
    <w:rsid w:val="00E16E91"/>
    <w:rsid w:val="00E20D61"/>
    <w:rsid w:val="00E2125C"/>
    <w:rsid w:val="00E21B4A"/>
    <w:rsid w:val="00E21CF7"/>
    <w:rsid w:val="00E22BAC"/>
    <w:rsid w:val="00E24399"/>
    <w:rsid w:val="00E25C14"/>
    <w:rsid w:val="00E26D15"/>
    <w:rsid w:val="00E27CCD"/>
    <w:rsid w:val="00E27E4F"/>
    <w:rsid w:val="00E30373"/>
    <w:rsid w:val="00E304A2"/>
    <w:rsid w:val="00E3358A"/>
    <w:rsid w:val="00E367FA"/>
    <w:rsid w:val="00E40DEF"/>
    <w:rsid w:val="00E43222"/>
    <w:rsid w:val="00E43939"/>
    <w:rsid w:val="00E45E4E"/>
    <w:rsid w:val="00E4687C"/>
    <w:rsid w:val="00E5022E"/>
    <w:rsid w:val="00E5078D"/>
    <w:rsid w:val="00E51230"/>
    <w:rsid w:val="00E5384D"/>
    <w:rsid w:val="00E53870"/>
    <w:rsid w:val="00E54050"/>
    <w:rsid w:val="00E54884"/>
    <w:rsid w:val="00E554BC"/>
    <w:rsid w:val="00E5790B"/>
    <w:rsid w:val="00E601F9"/>
    <w:rsid w:val="00E620A1"/>
    <w:rsid w:val="00E6280E"/>
    <w:rsid w:val="00E62BC5"/>
    <w:rsid w:val="00E64679"/>
    <w:rsid w:val="00E654CA"/>
    <w:rsid w:val="00E654F6"/>
    <w:rsid w:val="00E67110"/>
    <w:rsid w:val="00E67BFD"/>
    <w:rsid w:val="00E67DA9"/>
    <w:rsid w:val="00E72C97"/>
    <w:rsid w:val="00E72F96"/>
    <w:rsid w:val="00E7550D"/>
    <w:rsid w:val="00E75879"/>
    <w:rsid w:val="00E76B0D"/>
    <w:rsid w:val="00E76C40"/>
    <w:rsid w:val="00E803BC"/>
    <w:rsid w:val="00E80E45"/>
    <w:rsid w:val="00E81D36"/>
    <w:rsid w:val="00E81E17"/>
    <w:rsid w:val="00E82D9C"/>
    <w:rsid w:val="00E8597E"/>
    <w:rsid w:val="00E90D7E"/>
    <w:rsid w:val="00E911E3"/>
    <w:rsid w:val="00E94D92"/>
    <w:rsid w:val="00E9595B"/>
    <w:rsid w:val="00E961E5"/>
    <w:rsid w:val="00E962FB"/>
    <w:rsid w:val="00E96F02"/>
    <w:rsid w:val="00E96F04"/>
    <w:rsid w:val="00E97622"/>
    <w:rsid w:val="00E97D87"/>
    <w:rsid w:val="00EA1E1F"/>
    <w:rsid w:val="00EA2CB3"/>
    <w:rsid w:val="00EA34C9"/>
    <w:rsid w:val="00EA47AF"/>
    <w:rsid w:val="00EA520E"/>
    <w:rsid w:val="00EA596C"/>
    <w:rsid w:val="00EA5AF2"/>
    <w:rsid w:val="00EA718A"/>
    <w:rsid w:val="00EB1CF3"/>
    <w:rsid w:val="00EB1E6F"/>
    <w:rsid w:val="00EB39CB"/>
    <w:rsid w:val="00EB43AA"/>
    <w:rsid w:val="00EB5DC1"/>
    <w:rsid w:val="00EB65E7"/>
    <w:rsid w:val="00EC05A5"/>
    <w:rsid w:val="00EC14F3"/>
    <w:rsid w:val="00EC1F73"/>
    <w:rsid w:val="00EC426E"/>
    <w:rsid w:val="00EC475F"/>
    <w:rsid w:val="00EC5780"/>
    <w:rsid w:val="00EC5A70"/>
    <w:rsid w:val="00ED0134"/>
    <w:rsid w:val="00ED3C41"/>
    <w:rsid w:val="00ED3D55"/>
    <w:rsid w:val="00ED52C6"/>
    <w:rsid w:val="00EE075E"/>
    <w:rsid w:val="00EE111D"/>
    <w:rsid w:val="00EE1CA9"/>
    <w:rsid w:val="00EE313F"/>
    <w:rsid w:val="00EE43DC"/>
    <w:rsid w:val="00EE6AF6"/>
    <w:rsid w:val="00EE78BA"/>
    <w:rsid w:val="00EE7F15"/>
    <w:rsid w:val="00EF19E1"/>
    <w:rsid w:val="00EF36E7"/>
    <w:rsid w:val="00EF3E48"/>
    <w:rsid w:val="00EF3ECE"/>
    <w:rsid w:val="00EF576B"/>
    <w:rsid w:val="00EF58DC"/>
    <w:rsid w:val="00F0105F"/>
    <w:rsid w:val="00F044A5"/>
    <w:rsid w:val="00F061D1"/>
    <w:rsid w:val="00F0704F"/>
    <w:rsid w:val="00F07EDB"/>
    <w:rsid w:val="00F12CEC"/>
    <w:rsid w:val="00F13E87"/>
    <w:rsid w:val="00F16B54"/>
    <w:rsid w:val="00F1714E"/>
    <w:rsid w:val="00F2176D"/>
    <w:rsid w:val="00F25717"/>
    <w:rsid w:val="00F2734D"/>
    <w:rsid w:val="00F27415"/>
    <w:rsid w:val="00F3160D"/>
    <w:rsid w:val="00F317B0"/>
    <w:rsid w:val="00F3319E"/>
    <w:rsid w:val="00F333E4"/>
    <w:rsid w:val="00F34865"/>
    <w:rsid w:val="00F420B6"/>
    <w:rsid w:val="00F43E1F"/>
    <w:rsid w:val="00F44B50"/>
    <w:rsid w:val="00F45E57"/>
    <w:rsid w:val="00F46DE6"/>
    <w:rsid w:val="00F47535"/>
    <w:rsid w:val="00F50979"/>
    <w:rsid w:val="00F55D40"/>
    <w:rsid w:val="00F56EDB"/>
    <w:rsid w:val="00F660E9"/>
    <w:rsid w:val="00F66713"/>
    <w:rsid w:val="00F71080"/>
    <w:rsid w:val="00F74D9F"/>
    <w:rsid w:val="00F75306"/>
    <w:rsid w:val="00F757EB"/>
    <w:rsid w:val="00F77BA4"/>
    <w:rsid w:val="00F80665"/>
    <w:rsid w:val="00F81259"/>
    <w:rsid w:val="00F81657"/>
    <w:rsid w:val="00F836B3"/>
    <w:rsid w:val="00F84EEC"/>
    <w:rsid w:val="00F858CE"/>
    <w:rsid w:val="00F86431"/>
    <w:rsid w:val="00F87C32"/>
    <w:rsid w:val="00F936AB"/>
    <w:rsid w:val="00F95152"/>
    <w:rsid w:val="00F96188"/>
    <w:rsid w:val="00F97A0A"/>
    <w:rsid w:val="00FA072F"/>
    <w:rsid w:val="00FA2204"/>
    <w:rsid w:val="00FA42A5"/>
    <w:rsid w:val="00FA5861"/>
    <w:rsid w:val="00FA5AFE"/>
    <w:rsid w:val="00FA6CA6"/>
    <w:rsid w:val="00FA7798"/>
    <w:rsid w:val="00FB0BC0"/>
    <w:rsid w:val="00FB35BC"/>
    <w:rsid w:val="00FB4739"/>
    <w:rsid w:val="00FB4AC1"/>
    <w:rsid w:val="00FB4EE9"/>
    <w:rsid w:val="00FB5DEE"/>
    <w:rsid w:val="00FB7219"/>
    <w:rsid w:val="00FC01C4"/>
    <w:rsid w:val="00FC113F"/>
    <w:rsid w:val="00FC18CC"/>
    <w:rsid w:val="00FC2672"/>
    <w:rsid w:val="00FC369F"/>
    <w:rsid w:val="00FC36EA"/>
    <w:rsid w:val="00FC7126"/>
    <w:rsid w:val="00FC740C"/>
    <w:rsid w:val="00FD17B7"/>
    <w:rsid w:val="00FD3BF1"/>
    <w:rsid w:val="00FD6C3C"/>
    <w:rsid w:val="00FE0DFD"/>
    <w:rsid w:val="00FE321A"/>
    <w:rsid w:val="00FE5314"/>
    <w:rsid w:val="00FE579D"/>
    <w:rsid w:val="00FE658B"/>
    <w:rsid w:val="00FE7D06"/>
    <w:rsid w:val="00FF14AF"/>
    <w:rsid w:val="00FF274C"/>
    <w:rsid w:val="00FF4AE7"/>
    <w:rsid w:val="00FF6E94"/>
    <w:rsid w:val="00FF7C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374EF7"/>
  <w15:chartTrackingRefBased/>
  <w15:docId w15:val="{C1F6777F-2704-4775-854F-C8A63061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CA"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08C7"/>
    <w:rPr>
      <w:rFonts w:ascii="Adobe Garamond Pro" w:hAnsi="Adobe Garamond Pro"/>
      <w:color w:val="3E4752"/>
      <w:sz w:val="22"/>
    </w:rPr>
  </w:style>
  <w:style w:type="paragraph" w:styleId="Heading1">
    <w:name w:val="heading 1"/>
    <w:basedOn w:val="Normal"/>
    <w:next w:val="Normal"/>
    <w:link w:val="Heading1Char"/>
    <w:uiPriority w:val="9"/>
    <w:qFormat/>
    <w:rsid w:val="008F08C7"/>
    <w:pPr>
      <w:keepNext/>
      <w:keepLines/>
      <w:spacing w:before="320" w:after="80" w:line="240" w:lineRule="auto"/>
      <w:outlineLvl w:val="0"/>
    </w:pPr>
    <w:rPr>
      <w:rFonts w:ascii="Gotham Rounded Bold" w:eastAsiaTheme="majorEastAsia" w:hAnsi="Gotham Rounded Bold" w:cstheme="majorBidi"/>
      <w:color w:val="E26F54"/>
      <w:sz w:val="28"/>
      <w:szCs w:val="40"/>
    </w:rPr>
  </w:style>
  <w:style w:type="paragraph" w:styleId="Heading2">
    <w:name w:val="heading 2"/>
    <w:basedOn w:val="Normal"/>
    <w:next w:val="Normal"/>
    <w:link w:val="Heading2Char"/>
    <w:uiPriority w:val="9"/>
    <w:unhideWhenUsed/>
    <w:qFormat/>
    <w:rsid w:val="008F08C7"/>
    <w:pPr>
      <w:keepNext/>
      <w:keepLines/>
      <w:spacing w:before="160" w:after="40" w:line="240" w:lineRule="auto"/>
      <w:jc w:val="center"/>
      <w:outlineLvl w:val="1"/>
    </w:pPr>
    <w:rPr>
      <w:rFonts w:ascii="Gotham Rounded Bold" w:eastAsiaTheme="majorEastAsia" w:hAnsi="Gotham Rounded Bold" w:cstheme="majorBidi"/>
      <w:sz w:val="24"/>
      <w:szCs w:val="32"/>
    </w:rPr>
  </w:style>
  <w:style w:type="paragraph" w:styleId="Heading3">
    <w:name w:val="heading 3"/>
    <w:basedOn w:val="Normal"/>
    <w:next w:val="Normal"/>
    <w:link w:val="Heading3Char"/>
    <w:uiPriority w:val="9"/>
    <w:unhideWhenUsed/>
    <w:qFormat/>
    <w:rsid w:val="008F08C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F08C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F08C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F08C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F08C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F08C7"/>
    <w:pPr>
      <w:keepNext/>
      <w:keepLines/>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8F08C7"/>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D2C"/>
    <w:rPr>
      <w:color w:val="0000FF"/>
      <w:u w:val="single"/>
    </w:rPr>
  </w:style>
  <w:style w:type="paragraph" w:styleId="NormalWeb">
    <w:name w:val="Normal (Web)"/>
    <w:basedOn w:val="Normal"/>
    <w:uiPriority w:val="99"/>
    <w:unhideWhenUsed/>
    <w:rsid w:val="00C57DE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57DE5"/>
    <w:pPr>
      <w:ind w:left="720"/>
      <w:contextualSpacing/>
    </w:pPr>
  </w:style>
  <w:style w:type="paragraph" w:styleId="Header">
    <w:name w:val="header"/>
    <w:basedOn w:val="Normal"/>
    <w:link w:val="HeaderChar"/>
    <w:uiPriority w:val="99"/>
    <w:unhideWhenUsed/>
    <w:rsid w:val="00C57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DE5"/>
  </w:style>
  <w:style w:type="paragraph" w:styleId="Footer">
    <w:name w:val="footer"/>
    <w:basedOn w:val="Normal"/>
    <w:link w:val="FooterChar"/>
    <w:uiPriority w:val="99"/>
    <w:unhideWhenUsed/>
    <w:rsid w:val="00C5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DE5"/>
  </w:style>
  <w:style w:type="character" w:styleId="FootnoteReference">
    <w:name w:val="footnote reference"/>
    <w:basedOn w:val="DefaultParagraphFont"/>
    <w:uiPriority w:val="99"/>
    <w:rsid w:val="007D1F70"/>
    <w:rPr>
      <w:vertAlign w:val="superscript"/>
    </w:rPr>
  </w:style>
  <w:style w:type="paragraph" w:styleId="FootnoteText">
    <w:name w:val="footnote text"/>
    <w:basedOn w:val="Normal"/>
    <w:link w:val="FootnoteTextChar"/>
    <w:uiPriority w:val="99"/>
    <w:rsid w:val="007D1F70"/>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7D1F70"/>
    <w:rPr>
      <w:rFonts w:ascii="Times New Roman" w:eastAsia="Times New Roman" w:hAnsi="Times New Roman" w:cs="Times New Roman"/>
      <w:sz w:val="20"/>
      <w:szCs w:val="20"/>
      <w:lang w:val="en-US"/>
    </w:rPr>
  </w:style>
  <w:style w:type="paragraph" w:styleId="Title">
    <w:name w:val="Title"/>
    <w:basedOn w:val="Normal"/>
    <w:next w:val="Normal"/>
    <w:link w:val="TitleChar"/>
    <w:uiPriority w:val="10"/>
    <w:qFormat/>
    <w:rsid w:val="008F08C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F08C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F08C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F08C7"/>
    <w:rPr>
      <w:color w:val="44546A" w:themeColor="text2"/>
      <w:sz w:val="28"/>
      <w:szCs w:val="28"/>
    </w:rPr>
  </w:style>
  <w:style w:type="character" w:customStyle="1" w:styleId="Heading1Char">
    <w:name w:val="Heading 1 Char"/>
    <w:basedOn w:val="DefaultParagraphFont"/>
    <w:link w:val="Heading1"/>
    <w:uiPriority w:val="9"/>
    <w:rsid w:val="008F08C7"/>
    <w:rPr>
      <w:rFonts w:ascii="Gotham Rounded Bold" w:eastAsiaTheme="majorEastAsia" w:hAnsi="Gotham Rounded Bold" w:cstheme="majorBidi"/>
      <w:color w:val="E26F54"/>
      <w:sz w:val="28"/>
      <w:szCs w:val="40"/>
    </w:rPr>
  </w:style>
  <w:style w:type="character" w:styleId="CommentReference">
    <w:name w:val="annotation reference"/>
    <w:basedOn w:val="DefaultParagraphFont"/>
    <w:uiPriority w:val="99"/>
    <w:semiHidden/>
    <w:rsid w:val="00361A01"/>
    <w:rPr>
      <w:rFonts w:cs="Times New Roman"/>
      <w:sz w:val="16"/>
      <w:szCs w:val="16"/>
    </w:rPr>
  </w:style>
  <w:style w:type="paragraph" w:styleId="CommentText">
    <w:name w:val="annotation text"/>
    <w:basedOn w:val="Normal"/>
    <w:link w:val="CommentTextChar"/>
    <w:uiPriority w:val="99"/>
    <w:rsid w:val="00361A01"/>
    <w:pPr>
      <w:spacing w:after="200" w:line="276" w:lineRule="auto"/>
    </w:pPr>
    <w:rPr>
      <w:rFonts w:ascii="Calibri" w:eastAsia="SimSun" w:hAnsi="Calibri" w:cs="Arial"/>
      <w:sz w:val="20"/>
      <w:szCs w:val="20"/>
      <w:lang w:val="en-US" w:eastAsia="zh-CN"/>
    </w:rPr>
  </w:style>
  <w:style w:type="character" w:customStyle="1" w:styleId="CommentTextChar">
    <w:name w:val="Comment Text Char"/>
    <w:basedOn w:val="DefaultParagraphFont"/>
    <w:link w:val="CommentText"/>
    <w:uiPriority w:val="99"/>
    <w:rsid w:val="00361A01"/>
    <w:rPr>
      <w:rFonts w:ascii="Calibri" w:eastAsia="SimSun" w:hAnsi="Calibri" w:cs="Arial"/>
      <w:sz w:val="20"/>
      <w:szCs w:val="20"/>
      <w:lang w:val="en-US" w:eastAsia="zh-CN"/>
    </w:rPr>
  </w:style>
  <w:style w:type="paragraph" w:styleId="BalloonText">
    <w:name w:val="Balloon Text"/>
    <w:basedOn w:val="Normal"/>
    <w:link w:val="BalloonTextChar"/>
    <w:uiPriority w:val="99"/>
    <w:semiHidden/>
    <w:unhideWhenUsed/>
    <w:rsid w:val="0036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A01"/>
    <w:rPr>
      <w:rFonts w:ascii="Segoe UI" w:hAnsi="Segoe UI" w:cs="Segoe UI"/>
      <w:sz w:val="18"/>
      <w:szCs w:val="18"/>
    </w:rPr>
  </w:style>
  <w:style w:type="character" w:customStyle="1" w:styleId="InternetLink">
    <w:name w:val="Internet Link"/>
    <w:basedOn w:val="DefaultParagraphFont"/>
    <w:uiPriority w:val="99"/>
    <w:unhideWhenUsed/>
    <w:rsid w:val="00F317B0"/>
    <w:rPr>
      <w:color w:val="0563C1" w:themeColor="hyperlink"/>
      <w:u w:val="single"/>
    </w:rPr>
  </w:style>
  <w:style w:type="character" w:customStyle="1" w:styleId="FootnoteAnchor">
    <w:name w:val="Footnote Anchor"/>
    <w:rsid w:val="00F317B0"/>
    <w:rPr>
      <w:vertAlign w:val="superscript"/>
    </w:rPr>
  </w:style>
  <w:style w:type="paragraph" w:customStyle="1" w:styleId="Footnote">
    <w:name w:val="Footnote"/>
    <w:basedOn w:val="Normal"/>
    <w:rsid w:val="00F317B0"/>
    <w:pPr>
      <w:suppressAutoHyphens/>
      <w:spacing w:after="200" w:line="276" w:lineRule="auto"/>
    </w:pPr>
  </w:style>
  <w:style w:type="character" w:customStyle="1" w:styleId="Heading2Char">
    <w:name w:val="Heading 2 Char"/>
    <w:basedOn w:val="DefaultParagraphFont"/>
    <w:link w:val="Heading2"/>
    <w:uiPriority w:val="9"/>
    <w:rsid w:val="008F08C7"/>
    <w:rPr>
      <w:rFonts w:ascii="Gotham Rounded Bold" w:eastAsiaTheme="majorEastAsia" w:hAnsi="Gotham Rounded Bold" w:cstheme="majorBidi"/>
      <w:color w:val="3E4752"/>
      <w:sz w:val="24"/>
      <w:szCs w:val="32"/>
    </w:rPr>
  </w:style>
  <w:style w:type="character" w:customStyle="1" w:styleId="apple-converted-space">
    <w:name w:val="apple-converted-space"/>
    <w:basedOn w:val="DefaultParagraphFont"/>
    <w:rsid w:val="00CD2E90"/>
  </w:style>
  <w:style w:type="paragraph" w:styleId="CommentSubject">
    <w:name w:val="annotation subject"/>
    <w:basedOn w:val="CommentText"/>
    <w:next w:val="CommentText"/>
    <w:link w:val="CommentSubjectChar"/>
    <w:uiPriority w:val="99"/>
    <w:semiHidden/>
    <w:unhideWhenUsed/>
    <w:rsid w:val="00287498"/>
    <w:pPr>
      <w:spacing w:after="160" w:line="240" w:lineRule="auto"/>
    </w:pPr>
    <w:rPr>
      <w:rFonts w:asciiTheme="minorHAnsi" w:eastAsiaTheme="minorHAnsi" w:hAnsiTheme="minorHAnsi" w:cstheme="minorBidi"/>
      <w:b/>
      <w:bCs/>
      <w:lang w:val="en-CA" w:eastAsia="en-US"/>
    </w:rPr>
  </w:style>
  <w:style w:type="character" w:customStyle="1" w:styleId="CommentSubjectChar">
    <w:name w:val="Comment Subject Char"/>
    <w:basedOn w:val="CommentTextChar"/>
    <w:link w:val="CommentSubject"/>
    <w:uiPriority w:val="99"/>
    <w:semiHidden/>
    <w:rsid w:val="00287498"/>
    <w:rPr>
      <w:rFonts w:ascii="Calibri" w:eastAsia="SimSun" w:hAnsi="Calibri" w:cs="Arial"/>
      <w:b/>
      <w:bCs/>
      <w:sz w:val="20"/>
      <w:szCs w:val="20"/>
      <w:lang w:val="en-US" w:eastAsia="zh-CN"/>
    </w:rPr>
  </w:style>
  <w:style w:type="paragraph" w:styleId="Revision">
    <w:name w:val="Revision"/>
    <w:hidden/>
    <w:uiPriority w:val="99"/>
    <w:semiHidden/>
    <w:rsid w:val="00A60400"/>
    <w:pPr>
      <w:spacing w:after="0" w:line="240" w:lineRule="auto"/>
    </w:pPr>
  </w:style>
  <w:style w:type="paragraph" w:styleId="EndnoteText">
    <w:name w:val="endnote text"/>
    <w:basedOn w:val="Normal"/>
    <w:link w:val="EndnoteTextChar"/>
    <w:uiPriority w:val="99"/>
    <w:unhideWhenUsed/>
    <w:rsid w:val="00DF0895"/>
    <w:pPr>
      <w:spacing w:after="0" w:line="240" w:lineRule="auto"/>
    </w:pPr>
    <w:rPr>
      <w:sz w:val="20"/>
      <w:szCs w:val="20"/>
    </w:rPr>
  </w:style>
  <w:style w:type="character" w:customStyle="1" w:styleId="EndnoteTextChar">
    <w:name w:val="Endnote Text Char"/>
    <w:basedOn w:val="DefaultParagraphFont"/>
    <w:link w:val="EndnoteText"/>
    <w:uiPriority w:val="99"/>
    <w:rsid w:val="00DF0895"/>
    <w:rPr>
      <w:sz w:val="20"/>
      <w:szCs w:val="20"/>
    </w:rPr>
  </w:style>
  <w:style w:type="character" w:styleId="EndnoteReference">
    <w:name w:val="endnote reference"/>
    <w:basedOn w:val="DefaultParagraphFont"/>
    <w:uiPriority w:val="99"/>
    <w:unhideWhenUsed/>
    <w:rsid w:val="00DF0895"/>
    <w:rPr>
      <w:vertAlign w:val="superscript"/>
    </w:rPr>
  </w:style>
  <w:style w:type="character" w:customStyle="1" w:styleId="Heading3Char">
    <w:name w:val="Heading 3 Char"/>
    <w:basedOn w:val="DefaultParagraphFont"/>
    <w:link w:val="Heading3"/>
    <w:uiPriority w:val="9"/>
    <w:rsid w:val="008F08C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F08C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F08C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F08C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F08C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F08C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F08C7"/>
    <w:rPr>
      <w:b/>
      <w:bCs/>
      <w:i/>
      <w:iCs/>
    </w:rPr>
  </w:style>
  <w:style w:type="paragraph" w:styleId="Caption">
    <w:name w:val="caption"/>
    <w:basedOn w:val="Normal"/>
    <w:next w:val="Normal"/>
    <w:uiPriority w:val="35"/>
    <w:semiHidden/>
    <w:unhideWhenUsed/>
    <w:qFormat/>
    <w:rsid w:val="008F08C7"/>
    <w:pPr>
      <w:spacing w:line="240" w:lineRule="auto"/>
    </w:pPr>
    <w:rPr>
      <w:b/>
      <w:bCs/>
      <w:color w:val="404040" w:themeColor="text1" w:themeTint="BF"/>
      <w:sz w:val="16"/>
      <w:szCs w:val="16"/>
    </w:rPr>
  </w:style>
  <w:style w:type="character" w:styleId="Strong">
    <w:name w:val="Strong"/>
    <w:basedOn w:val="DefaultParagraphFont"/>
    <w:uiPriority w:val="22"/>
    <w:qFormat/>
    <w:rsid w:val="008F08C7"/>
    <w:rPr>
      <w:b/>
      <w:bCs/>
    </w:rPr>
  </w:style>
  <w:style w:type="character" w:styleId="Emphasis">
    <w:name w:val="Emphasis"/>
    <w:basedOn w:val="DefaultParagraphFont"/>
    <w:uiPriority w:val="20"/>
    <w:qFormat/>
    <w:rsid w:val="008F08C7"/>
    <w:rPr>
      <w:i/>
      <w:iCs/>
      <w:color w:val="000000" w:themeColor="text1"/>
    </w:rPr>
  </w:style>
  <w:style w:type="paragraph" w:styleId="NoSpacing">
    <w:name w:val="No Spacing"/>
    <w:uiPriority w:val="1"/>
    <w:qFormat/>
    <w:rsid w:val="008F08C7"/>
    <w:pPr>
      <w:spacing w:after="0" w:line="240" w:lineRule="auto"/>
    </w:pPr>
  </w:style>
  <w:style w:type="paragraph" w:styleId="Quote">
    <w:name w:val="Quote"/>
    <w:basedOn w:val="Normal"/>
    <w:next w:val="Normal"/>
    <w:link w:val="QuoteChar"/>
    <w:uiPriority w:val="29"/>
    <w:qFormat/>
    <w:rsid w:val="008F08C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F08C7"/>
    <w:rPr>
      <w:i/>
      <w:iCs/>
      <w:color w:val="7B7B7B" w:themeColor="accent3" w:themeShade="BF"/>
      <w:sz w:val="24"/>
      <w:szCs w:val="24"/>
    </w:rPr>
  </w:style>
  <w:style w:type="paragraph" w:styleId="IntenseQuote">
    <w:name w:val="Intense Quote"/>
    <w:basedOn w:val="Normal"/>
    <w:next w:val="Normal"/>
    <w:link w:val="IntenseQuoteChar"/>
    <w:uiPriority w:val="30"/>
    <w:qFormat/>
    <w:rsid w:val="008F08C7"/>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8F08C7"/>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8F08C7"/>
    <w:rPr>
      <w:i/>
      <w:iCs/>
      <w:color w:val="595959" w:themeColor="text1" w:themeTint="A6"/>
    </w:rPr>
  </w:style>
  <w:style w:type="character" w:styleId="IntenseEmphasis">
    <w:name w:val="Intense Emphasis"/>
    <w:basedOn w:val="DefaultParagraphFont"/>
    <w:uiPriority w:val="21"/>
    <w:qFormat/>
    <w:rsid w:val="008F08C7"/>
    <w:rPr>
      <w:b/>
      <w:bCs/>
      <w:i/>
      <w:iCs/>
      <w:color w:val="auto"/>
    </w:rPr>
  </w:style>
  <w:style w:type="character" w:styleId="SubtleReference">
    <w:name w:val="Subtle Reference"/>
    <w:basedOn w:val="DefaultParagraphFont"/>
    <w:uiPriority w:val="31"/>
    <w:qFormat/>
    <w:rsid w:val="008F08C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F08C7"/>
    <w:rPr>
      <w:b/>
      <w:bCs/>
      <w:caps w:val="0"/>
      <w:smallCaps/>
      <w:color w:val="auto"/>
      <w:spacing w:val="0"/>
      <w:u w:val="single"/>
    </w:rPr>
  </w:style>
  <w:style w:type="character" w:styleId="BookTitle">
    <w:name w:val="Book Title"/>
    <w:basedOn w:val="DefaultParagraphFont"/>
    <w:uiPriority w:val="33"/>
    <w:qFormat/>
    <w:rsid w:val="008F08C7"/>
    <w:rPr>
      <w:b/>
      <w:bCs/>
      <w:caps w:val="0"/>
      <w:smallCaps/>
      <w:spacing w:val="0"/>
    </w:rPr>
  </w:style>
  <w:style w:type="paragraph" w:styleId="TOCHeading">
    <w:name w:val="TOC Heading"/>
    <w:basedOn w:val="Heading1"/>
    <w:next w:val="Normal"/>
    <w:uiPriority w:val="39"/>
    <w:semiHidden/>
    <w:unhideWhenUsed/>
    <w:qFormat/>
    <w:rsid w:val="008F08C7"/>
    <w:pPr>
      <w:outlineLvl w:val="9"/>
    </w:pPr>
  </w:style>
  <w:style w:type="character" w:customStyle="1" w:styleId="5yl5">
    <w:name w:val="_5yl5"/>
    <w:basedOn w:val="DefaultParagraphFont"/>
    <w:rsid w:val="00C3479F"/>
  </w:style>
  <w:style w:type="character" w:customStyle="1" w:styleId="relative-date">
    <w:name w:val="relative-date"/>
    <w:basedOn w:val="DefaultParagraphFont"/>
    <w:rsid w:val="00E962FB"/>
  </w:style>
  <w:style w:type="character" w:customStyle="1" w:styleId="published-date">
    <w:name w:val="published-date"/>
    <w:basedOn w:val="DefaultParagraphFont"/>
    <w:rsid w:val="00090412"/>
  </w:style>
  <w:style w:type="paragraph" w:customStyle="1" w:styleId="SingleTxtG">
    <w:name w:val="_ Single Txt_G"/>
    <w:basedOn w:val="Normal"/>
    <w:link w:val="SingleTxtGChar"/>
    <w:qFormat/>
    <w:rsid w:val="0060597A"/>
    <w:pPr>
      <w:suppressAutoHyphens/>
      <w:spacing w:after="120" w:line="240" w:lineRule="atLeast"/>
      <w:ind w:left="1134" w:right="1134"/>
      <w:jc w:val="both"/>
    </w:pPr>
    <w:rPr>
      <w:rFonts w:ascii="Times New Roman" w:eastAsia="Times New Roman" w:hAnsi="Times New Roman" w:cs="Times New Roman"/>
      <w:color w:val="auto"/>
      <w:sz w:val="20"/>
      <w:szCs w:val="20"/>
      <w:lang w:val="en-GB"/>
    </w:rPr>
  </w:style>
  <w:style w:type="paragraph" w:customStyle="1" w:styleId="SingleTxt">
    <w:name w:val="__Single Txt"/>
    <w:basedOn w:val="Normal"/>
    <w:rsid w:val="00E646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color w:val="auto"/>
      <w:spacing w:val="4"/>
      <w:w w:val="103"/>
      <w:kern w:val="14"/>
      <w:sz w:val="20"/>
      <w:szCs w:val="20"/>
      <w:lang w:val="en-GB" w:eastAsia="en-GB"/>
    </w:rPr>
  </w:style>
  <w:style w:type="character" w:customStyle="1" w:styleId="highlight">
    <w:name w:val="highlight"/>
    <w:basedOn w:val="DefaultParagraphFont"/>
    <w:rsid w:val="00020E68"/>
  </w:style>
  <w:style w:type="paragraph" w:customStyle="1" w:styleId="HM">
    <w:name w:val="_ H __M"/>
    <w:basedOn w:val="Normal"/>
    <w:next w:val="Normal"/>
    <w:rsid w:val="00AE4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60" w:lineRule="exact"/>
      <w:outlineLvl w:val="0"/>
    </w:pPr>
    <w:rPr>
      <w:rFonts w:ascii="Times New Roman" w:eastAsia="Times New Roman" w:hAnsi="Times New Roman" w:cs="Times New Roman"/>
      <w:b/>
      <w:color w:val="auto"/>
      <w:spacing w:val="-3"/>
      <w:w w:val="99"/>
      <w:kern w:val="14"/>
      <w:sz w:val="34"/>
      <w:szCs w:val="20"/>
      <w:lang w:val="en-GB"/>
    </w:rPr>
  </w:style>
  <w:style w:type="character" w:styleId="FollowedHyperlink">
    <w:name w:val="FollowedHyperlink"/>
    <w:basedOn w:val="DefaultParagraphFont"/>
    <w:uiPriority w:val="99"/>
    <w:semiHidden/>
    <w:unhideWhenUsed/>
    <w:rsid w:val="003D0D6A"/>
    <w:rPr>
      <w:color w:val="954F72" w:themeColor="followedHyperlink"/>
      <w:u w:val="single"/>
    </w:rPr>
  </w:style>
  <w:style w:type="character" w:styleId="UnresolvedMention">
    <w:name w:val="Unresolved Mention"/>
    <w:basedOn w:val="DefaultParagraphFont"/>
    <w:uiPriority w:val="99"/>
    <w:semiHidden/>
    <w:unhideWhenUsed/>
    <w:rsid w:val="009A4A8A"/>
    <w:rPr>
      <w:color w:val="605E5C"/>
      <w:shd w:val="clear" w:color="auto" w:fill="E1DFDD"/>
    </w:rPr>
  </w:style>
  <w:style w:type="character" w:customStyle="1" w:styleId="fontstyle01">
    <w:name w:val="fontstyle01"/>
    <w:basedOn w:val="DefaultParagraphFont"/>
    <w:rsid w:val="001D5728"/>
    <w:rPr>
      <w:rFonts w:ascii="Times New Roman" w:hAnsi="Times New Roman" w:cs="Times New Roman" w:hint="default"/>
      <w:b/>
      <w:bCs/>
      <w:i w:val="0"/>
      <w:iCs w:val="0"/>
      <w:color w:val="000000"/>
      <w:sz w:val="20"/>
      <w:szCs w:val="20"/>
    </w:rPr>
  </w:style>
  <w:style w:type="character" w:customStyle="1" w:styleId="SingleTxtGChar">
    <w:name w:val="_ Single Txt_G Char"/>
    <w:basedOn w:val="DefaultParagraphFont"/>
    <w:link w:val="SingleTxtG"/>
    <w:locked/>
    <w:rsid w:val="00370B3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0893">
      <w:bodyDiv w:val="1"/>
      <w:marLeft w:val="0"/>
      <w:marRight w:val="0"/>
      <w:marTop w:val="0"/>
      <w:marBottom w:val="0"/>
      <w:divBdr>
        <w:top w:val="none" w:sz="0" w:space="0" w:color="auto"/>
        <w:left w:val="none" w:sz="0" w:space="0" w:color="auto"/>
        <w:bottom w:val="none" w:sz="0" w:space="0" w:color="auto"/>
        <w:right w:val="none" w:sz="0" w:space="0" w:color="auto"/>
      </w:divBdr>
    </w:div>
    <w:div w:id="340743221">
      <w:bodyDiv w:val="1"/>
      <w:marLeft w:val="0"/>
      <w:marRight w:val="0"/>
      <w:marTop w:val="0"/>
      <w:marBottom w:val="0"/>
      <w:divBdr>
        <w:top w:val="none" w:sz="0" w:space="0" w:color="auto"/>
        <w:left w:val="none" w:sz="0" w:space="0" w:color="auto"/>
        <w:bottom w:val="none" w:sz="0" w:space="0" w:color="auto"/>
        <w:right w:val="none" w:sz="0" w:space="0" w:color="auto"/>
      </w:divBdr>
    </w:div>
    <w:div w:id="493834129">
      <w:bodyDiv w:val="1"/>
      <w:marLeft w:val="0"/>
      <w:marRight w:val="0"/>
      <w:marTop w:val="0"/>
      <w:marBottom w:val="0"/>
      <w:divBdr>
        <w:top w:val="none" w:sz="0" w:space="0" w:color="auto"/>
        <w:left w:val="none" w:sz="0" w:space="0" w:color="auto"/>
        <w:bottom w:val="none" w:sz="0" w:space="0" w:color="auto"/>
        <w:right w:val="none" w:sz="0" w:space="0" w:color="auto"/>
      </w:divBdr>
    </w:div>
    <w:div w:id="619457718">
      <w:bodyDiv w:val="1"/>
      <w:marLeft w:val="0"/>
      <w:marRight w:val="0"/>
      <w:marTop w:val="0"/>
      <w:marBottom w:val="0"/>
      <w:divBdr>
        <w:top w:val="none" w:sz="0" w:space="0" w:color="auto"/>
        <w:left w:val="none" w:sz="0" w:space="0" w:color="auto"/>
        <w:bottom w:val="none" w:sz="0" w:space="0" w:color="auto"/>
        <w:right w:val="none" w:sz="0" w:space="0" w:color="auto"/>
      </w:divBdr>
      <w:divsChild>
        <w:div w:id="2141220389">
          <w:marLeft w:val="1799"/>
          <w:marRight w:val="0"/>
          <w:marTop w:val="0"/>
          <w:marBottom w:val="0"/>
          <w:divBdr>
            <w:top w:val="none" w:sz="0" w:space="0" w:color="auto"/>
            <w:left w:val="none" w:sz="0" w:space="0" w:color="auto"/>
            <w:bottom w:val="none" w:sz="0" w:space="0" w:color="auto"/>
            <w:right w:val="none" w:sz="0" w:space="0" w:color="auto"/>
          </w:divBdr>
        </w:div>
      </w:divsChild>
    </w:div>
    <w:div w:id="942880838">
      <w:bodyDiv w:val="1"/>
      <w:marLeft w:val="0"/>
      <w:marRight w:val="0"/>
      <w:marTop w:val="0"/>
      <w:marBottom w:val="0"/>
      <w:divBdr>
        <w:top w:val="none" w:sz="0" w:space="0" w:color="auto"/>
        <w:left w:val="none" w:sz="0" w:space="0" w:color="auto"/>
        <w:bottom w:val="none" w:sz="0" w:space="0" w:color="auto"/>
        <w:right w:val="none" w:sz="0" w:space="0" w:color="auto"/>
      </w:divBdr>
    </w:div>
    <w:div w:id="1085227660">
      <w:bodyDiv w:val="1"/>
      <w:marLeft w:val="0"/>
      <w:marRight w:val="0"/>
      <w:marTop w:val="0"/>
      <w:marBottom w:val="0"/>
      <w:divBdr>
        <w:top w:val="none" w:sz="0" w:space="0" w:color="auto"/>
        <w:left w:val="none" w:sz="0" w:space="0" w:color="auto"/>
        <w:bottom w:val="none" w:sz="0" w:space="0" w:color="auto"/>
        <w:right w:val="none" w:sz="0" w:space="0" w:color="auto"/>
      </w:divBdr>
    </w:div>
    <w:div w:id="1247611033">
      <w:bodyDiv w:val="1"/>
      <w:marLeft w:val="0"/>
      <w:marRight w:val="0"/>
      <w:marTop w:val="0"/>
      <w:marBottom w:val="0"/>
      <w:divBdr>
        <w:top w:val="none" w:sz="0" w:space="0" w:color="auto"/>
        <w:left w:val="none" w:sz="0" w:space="0" w:color="auto"/>
        <w:bottom w:val="none" w:sz="0" w:space="0" w:color="auto"/>
        <w:right w:val="none" w:sz="0" w:space="0" w:color="auto"/>
      </w:divBdr>
    </w:div>
    <w:div w:id="1450853611">
      <w:bodyDiv w:val="1"/>
      <w:marLeft w:val="0"/>
      <w:marRight w:val="0"/>
      <w:marTop w:val="0"/>
      <w:marBottom w:val="0"/>
      <w:divBdr>
        <w:top w:val="none" w:sz="0" w:space="0" w:color="auto"/>
        <w:left w:val="none" w:sz="0" w:space="0" w:color="auto"/>
        <w:bottom w:val="none" w:sz="0" w:space="0" w:color="auto"/>
        <w:right w:val="none" w:sz="0" w:space="0" w:color="auto"/>
      </w:divBdr>
    </w:div>
    <w:div w:id="1461607626">
      <w:bodyDiv w:val="1"/>
      <w:marLeft w:val="0"/>
      <w:marRight w:val="0"/>
      <w:marTop w:val="0"/>
      <w:marBottom w:val="0"/>
      <w:divBdr>
        <w:top w:val="none" w:sz="0" w:space="0" w:color="auto"/>
        <w:left w:val="none" w:sz="0" w:space="0" w:color="auto"/>
        <w:bottom w:val="none" w:sz="0" w:space="0" w:color="auto"/>
        <w:right w:val="none" w:sz="0" w:space="0" w:color="auto"/>
      </w:divBdr>
    </w:div>
    <w:div w:id="1482624503">
      <w:bodyDiv w:val="1"/>
      <w:marLeft w:val="0"/>
      <w:marRight w:val="0"/>
      <w:marTop w:val="0"/>
      <w:marBottom w:val="0"/>
      <w:divBdr>
        <w:top w:val="none" w:sz="0" w:space="0" w:color="auto"/>
        <w:left w:val="none" w:sz="0" w:space="0" w:color="auto"/>
        <w:bottom w:val="none" w:sz="0" w:space="0" w:color="auto"/>
        <w:right w:val="none" w:sz="0" w:space="0" w:color="auto"/>
      </w:divBdr>
    </w:div>
    <w:div w:id="1746878332">
      <w:bodyDiv w:val="1"/>
      <w:marLeft w:val="0"/>
      <w:marRight w:val="0"/>
      <w:marTop w:val="0"/>
      <w:marBottom w:val="0"/>
      <w:divBdr>
        <w:top w:val="none" w:sz="0" w:space="0" w:color="auto"/>
        <w:left w:val="none" w:sz="0" w:space="0" w:color="auto"/>
        <w:bottom w:val="none" w:sz="0" w:space="0" w:color="auto"/>
        <w:right w:val="none" w:sz="0" w:space="0" w:color="auto"/>
      </w:divBdr>
      <w:divsChild>
        <w:div w:id="1135175428">
          <w:marLeft w:val="0"/>
          <w:marRight w:val="0"/>
          <w:marTop w:val="0"/>
          <w:marBottom w:val="0"/>
          <w:divBdr>
            <w:top w:val="none" w:sz="0" w:space="0" w:color="auto"/>
            <w:left w:val="none" w:sz="0" w:space="0" w:color="auto"/>
            <w:bottom w:val="none" w:sz="0" w:space="0" w:color="auto"/>
            <w:right w:val="none" w:sz="0" w:space="0" w:color="auto"/>
          </w:divBdr>
          <w:divsChild>
            <w:div w:id="421418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262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372126">
      <w:bodyDiv w:val="1"/>
      <w:marLeft w:val="0"/>
      <w:marRight w:val="0"/>
      <w:marTop w:val="0"/>
      <w:marBottom w:val="0"/>
      <w:divBdr>
        <w:top w:val="none" w:sz="0" w:space="0" w:color="auto"/>
        <w:left w:val="none" w:sz="0" w:space="0" w:color="auto"/>
        <w:bottom w:val="none" w:sz="0" w:space="0" w:color="auto"/>
        <w:right w:val="none" w:sz="0" w:space="0" w:color="auto"/>
      </w:divBdr>
      <w:divsChild>
        <w:div w:id="1937975875">
          <w:marLeft w:val="1799"/>
          <w:marRight w:val="0"/>
          <w:marTop w:val="0"/>
          <w:marBottom w:val="0"/>
          <w:divBdr>
            <w:top w:val="none" w:sz="0" w:space="0" w:color="auto"/>
            <w:left w:val="none" w:sz="0" w:space="0" w:color="auto"/>
            <w:bottom w:val="none" w:sz="0" w:space="0" w:color="auto"/>
            <w:right w:val="none" w:sz="0" w:space="0" w:color="auto"/>
          </w:divBdr>
        </w:div>
      </w:divsChild>
    </w:div>
    <w:div w:id="208110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Sarah@actioncanadashr.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www.theguardian.pe.ca/News/Local/2011-11-10/article-2802198/Women-turning-to-desperate-measures-due-to-lack-of-abortion-services/1" TargetMode="External"/><Relationship Id="rId18" Type="http://schemas.openxmlformats.org/officeDocument/2006/relationships/hyperlink" Target="http://rabble.ca/columnists/2014/05/new-brunswick-invites-return-unsafe-abortions" TargetMode="External"/><Relationship Id="rId26" Type="http://schemas.openxmlformats.org/officeDocument/2006/relationships/hyperlink" Target="http://canlii.ca/t/1mjv6" TargetMode="External"/><Relationship Id="rId39" Type="http://schemas.openxmlformats.org/officeDocument/2006/relationships/hyperlink" Target="http://thestarphoenix.com/news/national/women-pressured-to-have-tubal-ligations" TargetMode="External"/><Relationship Id="rId3" Type="http://schemas.openxmlformats.org/officeDocument/2006/relationships/hyperlink" Target="https://www.canada.ca/en/health-canada/services/publications/diseases-conditions/update-sexually-transmitted-infections-canada-2016.html" TargetMode="External"/><Relationship Id="rId21" Type="http://schemas.openxmlformats.org/officeDocument/2006/relationships/hyperlink" Target="http://www.arcc-cdac.ca/CPC-study/CPC-Website-Study-ARCC-2016.pdf" TargetMode="External"/><Relationship Id="rId34" Type="http://schemas.openxmlformats.org/officeDocument/2006/relationships/hyperlink" Target="http://www.srhweek.ca/providers/people-and-communities/sexual-violence/" TargetMode="External"/><Relationship Id="rId42" Type="http://schemas.openxmlformats.org/officeDocument/2006/relationships/hyperlink" Target="http://apps.who.int/iris/bitstream/10665/175556/1/9789241564984_eng.pdf?ua=1" TargetMode="External"/><Relationship Id="rId47" Type="http://schemas.openxmlformats.org/officeDocument/2006/relationships/hyperlink" Target="http://www.regjeringen.no/upload/kilde/jd/rap/2004/0034/ddd/pdfv/232216-%20purchasing_sexual_services_in_sweden_and_the_nederlands.pdf" TargetMode="External"/><Relationship Id="rId50" Type="http://schemas.openxmlformats.org/officeDocument/2006/relationships/hyperlink" Target="http://www.thelancet.com/series/HIV-and-sex-workers" TargetMode="External"/><Relationship Id="rId7" Type="http://schemas.openxmlformats.org/officeDocument/2006/relationships/hyperlink" Target="https://www.ohchr.org/Documents/Issues/Women/WG/Communications/OL_CAN_20_12_2018.pdf" TargetMode="External"/><Relationship Id="rId12" Type="http://schemas.openxmlformats.org/officeDocument/2006/relationships/hyperlink" Target="https://www.actioncanadashr.org/news/2019-09-19-2019-launch-access-glance-identifies-realities-abortion-access-canada" TargetMode="External"/><Relationship Id="rId17" Type="http://schemas.openxmlformats.org/officeDocument/2006/relationships/hyperlink" Target="http://rabble.ca/news/2014/10/lacking-abortion-access-new-brunswick-women-head-maine-abortion-clinics" TargetMode="External"/><Relationship Id="rId25" Type="http://schemas.openxmlformats.org/officeDocument/2006/relationships/hyperlink" Target="http://www.amnesty.ca/sites/amnesty/files/fpic_factsheet_nov_2013.pdf" TargetMode="External"/><Relationship Id="rId33" Type="http://schemas.openxmlformats.org/officeDocument/2006/relationships/hyperlink" Target="https://www.cbc.ca/news/canada/saskatchewan/sask-indigenous-women-file-lawsuit-claiming-coerced-sterilization-1.4348848" TargetMode="External"/><Relationship Id="rId38" Type="http://schemas.openxmlformats.org/officeDocument/2006/relationships/hyperlink" Target="http://www.nativeyouthsexualhealth.com/emrip2013item5.pdf" TargetMode="External"/><Relationship Id="rId46" Type="http://schemas.openxmlformats.org/officeDocument/2006/relationships/hyperlink" Target="http://www.socialstyrelsen.se/lists/artikelkatalog/attachments/8806/2008-126-65_200812665.pdf" TargetMode="External"/><Relationship Id="rId2" Type="http://schemas.openxmlformats.org/officeDocument/2006/relationships/hyperlink" Target="https://www.canada.ca/en/public-health/services/reports-publications/canada-communicable-disease-report-ccdr/monthly-issue/2018-44/issue-12-december-6-2018/article-3-hiv-in-canada-2017.html" TargetMode="External"/><Relationship Id="rId16" Type="http://schemas.openxmlformats.org/officeDocument/2006/relationships/hyperlink" Target="http://laws.justice.gc.ca/en/showdoc/cs/C-6/boga:3::bo-ga:s_4?page=3" TargetMode="External"/><Relationship Id="rId20" Type="http://schemas.openxmlformats.org/officeDocument/2006/relationships/hyperlink" Target="http://www.arcc-cdac.ca/CPC-study/list-anti-choice-groups.pdf" TargetMode="External"/><Relationship Id="rId29" Type="http://schemas.openxmlformats.org/officeDocument/2006/relationships/hyperlink" Target="http://journal.radicalcriminology.org/index.php/rc/article/view/29/html" TargetMode="External"/><Relationship Id="rId41" Type="http://schemas.openxmlformats.org/officeDocument/2006/relationships/hyperlink" Target="http://www.sexworklawreform.com" TargetMode="External"/><Relationship Id="rId1" Type="http://schemas.openxmlformats.org/officeDocument/2006/relationships/hyperlink" Target="http://www.upworthy.com/kids-dont-usually-learn-about-the-birds-and-bees-in-kindergarten-unless-of-course-theyre-dutch" TargetMode="External"/><Relationship Id="rId6" Type="http://schemas.openxmlformats.org/officeDocument/2006/relationships/hyperlink" Target="https://www.actioncanadashr.org/action-canada-calls-on-un-to-intervene-in-ontario-sex-ed-crisis/" TargetMode="External"/><Relationship Id="rId11" Type="http://schemas.openxmlformats.org/officeDocument/2006/relationships/hyperlink" Target="http://www.ohchr.org/Documents/HRBodies/CEDAW/Statements/SRHR26Feb2014.pdf" TargetMode="External"/><Relationship Id="rId24" Type="http://schemas.openxmlformats.org/officeDocument/2006/relationships/hyperlink" Target="http://www.canadainternational.gc.ca/prmny-mponu/canada_un-canada_onu/statements-declarations/other-autres/2014-09-22_wcipd-padd.aspx?lang=eng" TargetMode="External"/><Relationship Id="rId32" Type="http://schemas.openxmlformats.org/officeDocument/2006/relationships/hyperlink" Target="https://news.vice.com/article/this-woman-says-a-hospital-in-canada-pushed-her-to-undergo-sterilization" TargetMode="External"/><Relationship Id="rId37" Type="http://schemas.openxmlformats.org/officeDocument/2006/relationships/hyperlink" Target="http://journal.radicalcriminology.org/index.php/rc/article/view/29/html" TargetMode="External"/><Relationship Id="rId40" Type="http://schemas.openxmlformats.org/officeDocument/2006/relationships/hyperlink" Target="http://www.aidslaw.ca/site/wp-content/uploads/2014/02/4_R.Special2010EN.pdf" TargetMode="External"/><Relationship Id="rId45" Type="http://schemas.openxmlformats.org/officeDocument/2006/relationships/hyperlink" Target="https://drive.google.com/folderview?id=0B3mqMOhRg5FeLWpPd21VYTlidTA&amp;usp=sharing&amp;tid=0B3mqMOhRg5FeNlY4ZkxFb2pLaWM" TargetMode="External"/><Relationship Id="rId5" Type="http://schemas.openxmlformats.org/officeDocument/2006/relationships/hyperlink" Target="https://globalnews.ca/news/4325268/ontario-sex-ed-curriculum/" TargetMode="External"/><Relationship Id="rId15" Type="http://schemas.openxmlformats.org/officeDocument/2006/relationships/hyperlink" Target="http://www.sexualhealthandrights.ca/wp-content/uploads/2015/10/Map-Access-CHC-and-AC.pdf" TargetMode="External"/><Relationship Id="rId23" Type="http://schemas.openxmlformats.org/officeDocument/2006/relationships/hyperlink" Target="https://globalnews.ca/news/2703632/crisis-prexgnancy-centres-mislead-women-report-says/" TargetMode="External"/><Relationship Id="rId28" Type="http://schemas.openxmlformats.org/officeDocument/2006/relationships/hyperlink" Target="http://news.nationalpost.com/news/canada/saskatoon-health-region-apologizes-after-aboriginal-women-felt-pressured-by-staff-to-have-tubes-tied" TargetMode="External"/><Relationship Id="rId36" Type="http://schemas.openxmlformats.org/officeDocument/2006/relationships/hyperlink" Target="https://news.vice.com/article/this-woman-says-a-hospital-in-canada-pushed-her-to-undergo-sterilization" TargetMode="External"/><Relationship Id="rId49" Type="http://schemas.openxmlformats.org/officeDocument/2006/relationships/hyperlink" Target="http://www.unaids.org/en/dataanalysis/knowyourresponse/countryprogressreports/2010countries/norway_2010_" TargetMode="External"/><Relationship Id="rId10" Type="http://schemas.openxmlformats.org/officeDocument/2006/relationships/hyperlink" Target="http://www.advocatesforyouth.org/publications/publications-a-z/597-abstinence-only-until-marriage-programs-ineffective-unethical-and-poor-public-health" TargetMode="External"/><Relationship Id="rId19" Type="http://schemas.openxmlformats.org/officeDocument/2006/relationships/hyperlink" Target="http://www.arcc-cdac.ca/CPC-study/CPC-Website-Study-ARCC-2016.pdf" TargetMode="External"/><Relationship Id="rId31" Type="http://schemas.openxmlformats.org/officeDocument/2006/relationships/hyperlink" Target="http://journal.radicalcriminology.org/index.php/rc/article/view/29/html" TargetMode="External"/><Relationship Id="rId44" Type="http://schemas.openxmlformats.org/officeDocument/2006/relationships/hyperlink" Target="http://canlii.ca/t/g2f56" TargetMode="External"/><Relationship Id="rId4" Type="http://schemas.openxmlformats.org/officeDocument/2006/relationships/hyperlink" Target="https://www.catie.ca/en/hiv-canada/3/3-1/3-1-1" TargetMode="External"/><Relationship Id="rId9" Type="http://schemas.openxmlformats.org/officeDocument/2006/relationships/hyperlink" Target="https://www.guttmacher.org/pubs/journals/j.jadohealth.2011.12.028.pdf" TargetMode="External"/><Relationship Id="rId14" Type="http://schemas.openxmlformats.org/officeDocument/2006/relationships/hyperlink" Target="http://projects.upei.ca/cmacquarrie/files/2014/01/trials_and_trails_final.pdf" TargetMode="External"/><Relationship Id="rId22" Type="http://schemas.openxmlformats.org/officeDocument/2006/relationships/hyperlink" Target="https://www.ncbi.nlm.nih.gov/pubmed/22958665" TargetMode="External"/><Relationship Id="rId27" Type="http://schemas.openxmlformats.org/officeDocument/2006/relationships/hyperlink" Target="http://canlii.ca/t/1ftqt" TargetMode="External"/><Relationship Id="rId30" Type="http://schemas.openxmlformats.org/officeDocument/2006/relationships/hyperlink" Target="https://news.vice.com/article/this-woman-says-a-hospital-in-canada-pushed-her-to-undergo-sterilization" TargetMode="External"/><Relationship Id="rId35" Type="http://schemas.openxmlformats.org/officeDocument/2006/relationships/hyperlink" Target="http://journal.radicalcriminology.org/index.php/rc/article/view/29/html" TargetMode="External"/><Relationship Id="rId43" Type="http://schemas.openxmlformats.org/officeDocument/2006/relationships/hyperlink" Target="http://www.pivotlegal.org/my_work" TargetMode="External"/><Relationship Id="rId48" Type="http://schemas.openxmlformats.org/officeDocument/2006/relationships/hyperlink" Target="http://www.petraostergren.com/pages.aspx?r_id=40716" TargetMode="External"/><Relationship Id="rId8" Type="http://schemas.openxmlformats.org/officeDocument/2006/relationships/hyperlink" Target="https://www.actioncanadashr.org/sites/default/files/2019-06/AC%20response%20to%20UN%20SP%20comms%20to%20CAN%20re%20CSE%20in%20ON_Final.pdf" TargetMode="External"/><Relationship Id="rId51" Type="http://schemas.openxmlformats.org/officeDocument/2006/relationships/hyperlink" Target="http://sexworklawreform.com/wp-content/uploads/2017/05/Laws-Gener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DE2770-12ED-4831-875B-B450D6A77811}">
  <ds:schemaRefs>
    <ds:schemaRef ds:uri="http://schemas.openxmlformats.org/officeDocument/2006/bibliography"/>
  </ds:schemaRefs>
</ds:datastoreItem>
</file>

<file path=customXml/itemProps2.xml><?xml version="1.0" encoding="utf-8"?>
<ds:datastoreItem xmlns:ds="http://schemas.openxmlformats.org/officeDocument/2006/customXml" ds:itemID="{3DE97384-E70A-42C8-AE0A-E8FD49FFD680}"/>
</file>

<file path=customXml/itemProps3.xml><?xml version="1.0" encoding="utf-8"?>
<ds:datastoreItem xmlns:ds="http://schemas.openxmlformats.org/officeDocument/2006/customXml" ds:itemID="{89D4F79A-6A57-4251-B30B-2401CA85D469}"/>
</file>

<file path=customXml/itemProps4.xml><?xml version="1.0" encoding="utf-8"?>
<ds:datastoreItem xmlns:ds="http://schemas.openxmlformats.org/officeDocument/2006/customXml" ds:itemID="{A3325A85-9FAB-4418-8014-7C155615B65B}"/>
</file>

<file path=docProps/app.xml><?xml version="1.0" encoding="utf-8"?>
<Properties xmlns="http://schemas.openxmlformats.org/officeDocument/2006/extended-properties" xmlns:vt="http://schemas.openxmlformats.org/officeDocument/2006/docPropsVTypes">
  <Template>Normal</Template>
  <TotalTime>147</TotalTime>
  <Pages>14</Pages>
  <Words>5367</Words>
  <Characters>30598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Kennell</dc:creator>
  <cp:keywords/>
  <dc:description/>
  <cp:lastModifiedBy>Sarah Kennell</cp:lastModifiedBy>
  <cp:revision>64</cp:revision>
  <cp:lastPrinted>2015-09-23T14:32:00Z</cp:lastPrinted>
  <dcterms:created xsi:type="dcterms:W3CDTF">2019-09-27T14:08:00Z</dcterms:created>
  <dcterms:modified xsi:type="dcterms:W3CDTF">2019-09-30T12:32:00Z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