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B91A1" w14:textId="38C871B9" w:rsidR="66069C63" w:rsidRPr="00ED6836" w:rsidRDefault="66069C63" w:rsidP="00ED6836">
      <w:pPr>
        <w:rPr>
          <w:b/>
          <w:sz w:val="36"/>
          <w:szCs w:val="36"/>
          <w:lang w:val="en-GB"/>
        </w:rPr>
      </w:pPr>
      <w:bookmarkStart w:id="0" w:name="_Toc157418909"/>
      <w:bookmarkStart w:id="1" w:name="_Toc2144730834"/>
      <w:r w:rsidRPr="12929EE9">
        <w:rPr>
          <w:b/>
          <w:sz w:val="36"/>
          <w:szCs w:val="36"/>
          <w:lang w:val="en-GB"/>
        </w:rPr>
        <w:t xml:space="preserve">REDRESS </w:t>
      </w:r>
      <w:r w:rsidR="090F4E64" w:rsidRPr="12929EE9">
        <w:rPr>
          <w:b/>
          <w:sz w:val="36"/>
          <w:szCs w:val="36"/>
          <w:lang w:val="en-GB"/>
        </w:rPr>
        <w:t>SUBMISSION FOR THE</w:t>
      </w:r>
      <w:r w:rsidR="42AAEE21" w:rsidRPr="12929EE9">
        <w:rPr>
          <w:b/>
          <w:sz w:val="36"/>
          <w:szCs w:val="36"/>
          <w:lang w:val="en-GB"/>
        </w:rPr>
        <w:t xml:space="preserve"> </w:t>
      </w:r>
      <w:r w:rsidR="78958809" w:rsidRPr="12929EE9">
        <w:rPr>
          <w:b/>
          <w:sz w:val="36"/>
          <w:szCs w:val="36"/>
          <w:lang w:val="en-GB"/>
        </w:rPr>
        <w:t xml:space="preserve">REVIEW OF THE </w:t>
      </w:r>
      <w:r w:rsidR="4ABF00C9" w:rsidRPr="12929EE9">
        <w:rPr>
          <w:b/>
          <w:sz w:val="36"/>
          <w:szCs w:val="36"/>
          <w:lang w:val="en-GB"/>
        </w:rPr>
        <w:t>U</w:t>
      </w:r>
      <w:r w:rsidR="654E4490" w:rsidRPr="12929EE9">
        <w:rPr>
          <w:b/>
          <w:sz w:val="36"/>
          <w:szCs w:val="36"/>
          <w:lang w:val="en-GB"/>
        </w:rPr>
        <w:t>K</w:t>
      </w:r>
      <w:r w:rsidR="78958809" w:rsidRPr="12929EE9">
        <w:rPr>
          <w:b/>
          <w:sz w:val="36"/>
          <w:szCs w:val="36"/>
          <w:lang w:val="en-GB"/>
        </w:rPr>
        <w:t xml:space="preserve"> BY</w:t>
      </w:r>
      <w:r w:rsidR="62D777AD" w:rsidRPr="12929EE9">
        <w:rPr>
          <w:b/>
          <w:sz w:val="36"/>
          <w:szCs w:val="36"/>
          <w:lang w:val="en-GB"/>
        </w:rPr>
        <w:t xml:space="preserve"> </w:t>
      </w:r>
      <w:r w:rsidR="54EF6FB1" w:rsidRPr="12929EE9">
        <w:rPr>
          <w:b/>
          <w:sz w:val="36"/>
          <w:szCs w:val="36"/>
          <w:lang w:val="en-GB"/>
        </w:rPr>
        <w:t>THE HUMAN RIGHTS COMMITTEE</w:t>
      </w:r>
      <w:bookmarkEnd w:id="0"/>
      <w:bookmarkEnd w:id="1"/>
    </w:p>
    <w:p w14:paraId="54687921" w14:textId="77777777" w:rsidR="00D55586" w:rsidRDefault="00D55586" w:rsidP="00ED6836">
      <w:pPr>
        <w:rPr>
          <w:b/>
          <w:bCs/>
          <w:sz w:val="28"/>
          <w:szCs w:val="28"/>
          <w:lang w:val="en-GB"/>
        </w:rPr>
      </w:pPr>
      <w:bookmarkStart w:id="2" w:name="_Toc701532537"/>
    </w:p>
    <w:p w14:paraId="5D5614C8" w14:textId="7F4D52A5" w:rsidR="006528E1" w:rsidRDefault="78958809" w:rsidP="00ED6836">
      <w:pPr>
        <w:rPr>
          <w:b/>
          <w:bCs/>
          <w:sz w:val="28"/>
          <w:szCs w:val="28"/>
          <w:lang w:val="en-GB"/>
        </w:rPr>
      </w:pPr>
      <w:r w:rsidRPr="00ED6836">
        <w:rPr>
          <w:b/>
          <w:bCs/>
          <w:sz w:val="28"/>
          <w:szCs w:val="28"/>
          <w:lang w:val="en-GB"/>
        </w:rPr>
        <w:t>FEBRUARY</w:t>
      </w:r>
      <w:r w:rsidR="006528E1" w:rsidRPr="00ED6836">
        <w:rPr>
          <w:b/>
          <w:bCs/>
          <w:sz w:val="28"/>
          <w:szCs w:val="28"/>
          <w:lang w:val="en-GB"/>
        </w:rPr>
        <w:t xml:space="preserve"> 2023</w:t>
      </w:r>
      <w:bookmarkEnd w:id="2"/>
    </w:p>
    <w:p w14:paraId="2CB38DA2" w14:textId="77777777" w:rsidR="00D55586" w:rsidRPr="00ED6836" w:rsidRDefault="00D55586" w:rsidP="00ED6836">
      <w:pPr>
        <w:rPr>
          <w:b/>
          <w:bCs/>
          <w:sz w:val="28"/>
          <w:szCs w:val="28"/>
          <w:lang w:val="en-GB"/>
        </w:rPr>
      </w:pPr>
    </w:p>
    <w:p w14:paraId="3081D8A8" w14:textId="58C55DE2" w:rsidR="776C61AD" w:rsidRPr="00ED6836" w:rsidRDefault="776C61AD" w:rsidP="00ED6836">
      <w:pPr>
        <w:rPr>
          <w:sz w:val="22"/>
          <w:szCs w:val="22"/>
          <w:lang w:val="en-GB"/>
        </w:rPr>
      </w:pPr>
      <w:bookmarkStart w:id="3" w:name="_Toc273485012"/>
      <w:r w:rsidRPr="02D873CA">
        <w:rPr>
          <w:sz w:val="22"/>
          <w:szCs w:val="22"/>
          <w:lang w:val="en-GB"/>
        </w:rPr>
        <w:t>Stakeholder response</w:t>
      </w:r>
      <w:r w:rsidR="65D7EEA6" w:rsidRPr="02D873CA">
        <w:rPr>
          <w:sz w:val="22"/>
          <w:szCs w:val="22"/>
          <w:lang w:val="en-GB"/>
        </w:rPr>
        <w:t xml:space="preserve"> to the United Nations Human Rights Committee’s List of Issues on the Covenant on Civil and Political Rights (ICCPR) dated May 2020</w:t>
      </w:r>
      <w:bookmarkEnd w:id="3"/>
      <w:r w:rsidR="00C24596">
        <w:rPr>
          <w:sz w:val="22"/>
          <w:szCs w:val="22"/>
          <w:lang w:val="en-GB"/>
        </w:rPr>
        <w:t>.</w:t>
      </w:r>
    </w:p>
    <w:p w14:paraId="02EB2634" w14:textId="77777777" w:rsidR="00ED6836" w:rsidRDefault="00ED6836" w:rsidP="00ED6836">
      <w:pPr>
        <w:rPr>
          <w:sz w:val="22"/>
          <w:szCs w:val="22"/>
          <w:lang w:val="en-GB"/>
        </w:rPr>
      </w:pPr>
      <w:bookmarkStart w:id="4" w:name="_Toc802767354"/>
    </w:p>
    <w:p w14:paraId="190BD34D" w14:textId="70C711E3" w:rsidR="4C4580CE" w:rsidRPr="00ED6836" w:rsidRDefault="4C4580CE" w:rsidP="00ED6836">
      <w:pPr>
        <w:rPr>
          <w:sz w:val="22"/>
          <w:szCs w:val="22"/>
          <w:lang w:val="en-GB"/>
        </w:rPr>
      </w:pPr>
      <w:r w:rsidRPr="02D873CA">
        <w:rPr>
          <w:sz w:val="22"/>
          <w:szCs w:val="22"/>
          <w:lang w:val="en-GB"/>
        </w:rPr>
        <w:t xml:space="preserve">By </w:t>
      </w:r>
      <w:r w:rsidR="793E0828" w:rsidRPr="02D873CA">
        <w:rPr>
          <w:sz w:val="22"/>
          <w:szCs w:val="22"/>
          <w:lang w:val="en-GB"/>
        </w:rPr>
        <w:t>R</w:t>
      </w:r>
      <w:r w:rsidR="38144941" w:rsidRPr="02D873CA">
        <w:rPr>
          <w:sz w:val="22"/>
          <w:szCs w:val="22"/>
          <w:lang w:val="en-GB"/>
        </w:rPr>
        <w:t>EDRESS</w:t>
      </w:r>
      <w:bookmarkEnd w:id="4"/>
    </w:p>
    <w:p w14:paraId="39C1DCEA" w14:textId="77777777" w:rsidR="00ED6836" w:rsidRDefault="00ED6836" w:rsidP="00ED6836">
      <w:pPr>
        <w:rPr>
          <w:i/>
          <w:sz w:val="22"/>
          <w:szCs w:val="22"/>
          <w:lang w:val="en-GB"/>
        </w:rPr>
      </w:pPr>
    </w:p>
    <w:p w14:paraId="2637452C" w14:textId="417A8B65" w:rsidR="793E0828" w:rsidRPr="00ED6836" w:rsidRDefault="793E0828" w:rsidP="00ED6836">
      <w:pPr>
        <w:rPr>
          <w:i/>
          <w:sz w:val="22"/>
          <w:szCs w:val="22"/>
          <w:lang w:val="en-GB"/>
        </w:rPr>
      </w:pPr>
      <w:r w:rsidRPr="02D873CA">
        <w:rPr>
          <w:i/>
          <w:sz w:val="22"/>
          <w:szCs w:val="22"/>
          <w:lang w:val="en-GB"/>
        </w:rPr>
        <w:t>REDRESS is an NGO that pursues legal claims on behalf of survivors of torture in the UK and around the world to obtain justice and reparation for the violation of their human rights</w:t>
      </w:r>
      <w:r w:rsidR="00A141B2">
        <w:rPr>
          <w:i/>
          <w:sz w:val="22"/>
          <w:szCs w:val="22"/>
          <w:lang w:val="en-GB"/>
        </w:rPr>
        <w:t>.</w:t>
      </w:r>
      <w:r w:rsidR="00A141B2" w:rsidRPr="00A141B2">
        <w:rPr>
          <w:rStyle w:val="FootnoteReference"/>
          <w:sz w:val="22"/>
          <w:szCs w:val="22"/>
          <w:lang w:val="en-GB"/>
        </w:rPr>
        <w:t xml:space="preserve"> </w:t>
      </w:r>
      <w:r w:rsidR="00A141B2">
        <w:rPr>
          <w:rStyle w:val="FootnoteReference"/>
          <w:sz w:val="22"/>
          <w:szCs w:val="22"/>
          <w:lang w:val="en-GB"/>
        </w:rPr>
        <w:footnoteReference w:id="2"/>
      </w:r>
    </w:p>
    <w:p w14:paraId="31A8DA66" w14:textId="77777777" w:rsidR="00ED6836" w:rsidRDefault="00ED6836" w:rsidP="00ED6836">
      <w:pPr>
        <w:rPr>
          <w:rFonts w:ascii="Calibri" w:hAnsi="Calibri" w:cs="Calibri"/>
          <w:sz w:val="22"/>
          <w:szCs w:val="22"/>
          <w:lang w:val="en-GB"/>
        </w:rPr>
      </w:pPr>
    </w:p>
    <w:p w14:paraId="01408E40" w14:textId="2FFA7F91" w:rsidR="1B7ACFDA" w:rsidRPr="00ED6836" w:rsidRDefault="1B7ACFDA" w:rsidP="00ED6836">
      <w:pPr>
        <w:rPr>
          <w:rFonts w:ascii="Calibri" w:hAnsi="Calibri" w:cs="Calibri"/>
          <w:sz w:val="22"/>
          <w:szCs w:val="22"/>
          <w:lang w:val="en-GB"/>
        </w:rPr>
      </w:pPr>
      <w:r w:rsidRPr="02D873CA">
        <w:rPr>
          <w:rFonts w:ascii="Calibri" w:hAnsi="Calibri" w:cs="Calibri"/>
          <w:sz w:val="22"/>
          <w:szCs w:val="22"/>
          <w:lang w:val="en-GB"/>
        </w:rPr>
        <w:t>140</w:t>
      </w:r>
      <w:r w:rsidRPr="02D873CA">
        <w:rPr>
          <w:rFonts w:ascii="Calibri" w:hAnsi="Calibri" w:cs="Calibri"/>
          <w:sz w:val="22"/>
          <w:szCs w:val="22"/>
          <w:vertAlign w:val="superscript"/>
          <w:lang w:val="en-GB"/>
        </w:rPr>
        <w:t>th</w:t>
      </w:r>
      <w:r w:rsidRPr="02D873CA">
        <w:rPr>
          <w:rFonts w:ascii="Calibri" w:hAnsi="Calibri" w:cs="Calibri"/>
          <w:sz w:val="22"/>
          <w:szCs w:val="22"/>
          <w:lang w:val="en-GB"/>
        </w:rPr>
        <w:t xml:space="preserve"> Session (04 Mar 2024 - 28 Mar 2024)</w:t>
      </w:r>
      <w:r w:rsidR="00A141B2">
        <w:rPr>
          <w:rFonts w:ascii="Calibri" w:hAnsi="Calibri" w:cs="Calibri"/>
          <w:sz w:val="22"/>
          <w:szCs w:val="22"/>
          <w:lang w:val="en-GB"/>
        </w:rPr>
        <w:t>.</w:t>
      </w:r>
    </w:p>
    <w:p w14:paraId="6AE22A6D" w14:textId="77777777" w:rsidR="00ED6836" w:rsidRDefault="00ED6836" w:rsidP="00ED6836">
      <w:pPr>
        <w:rPr>
          <w:rFonts w:ascii="Calibri" w:hAnsi="Calibri" w:cs="Calibri"/>
          <w:sz w:val="22"/>
          <w:szCs w:val="22"/>
          <w:lang w:val="en-GB"/>
        </w:rPr>
      </w:pPr>
    </w:p>
    <w:p w14:paraId="248B8291" w14:textId="15426A73" w:rsidR="1E502E3A" w:rsidRPr="00ED6836" w:rsidRDefault="1E502E3A" w:rsidP="00ED6836">
      <w:pPr>
        <w:rPr>
          <w:rFonts w:ascii="Calibri" w:hAnsi="Calibri" w:cs="Calibri"/>
          <w:sz w:val="22"/>
          <w:szCs w:val="22"/>
          <w:lang w:val="en-GB"/>
        </w:rPr>
      </w:pPr>
      <w:r w:rsidRPr="02D873CA">
        <w:rPr>
          <w:rFonts w:ascii="Calibri" w:hAnsi="Calibri" w:cs="Calibri"/>
          <w:sz w:val="22"/>
          <w:szCs w:val="22"/>
          <w:lang w:val="en-GB"/>
        </w:rPr>
        <w:t xml:space="preserve">Submitted on </w:t>
      </w:r>
      <w:r w:rsidR="0A862B0F" w:rsidRPr="00C24596">
        <w:rPr>
          <w:rFonts w:ascii="Calibri" w:hAnsi="Calibri" w:cs="Calibri"/>
          <w:sz w:val="22"/>
          <w:szCs w:val="22"/>
          <w:lang w:val="en-GB"/>
        </w:rPr>
        <w:t>0</w:t>
      </w:r>
      <w:r w:rsidR="133DEDAE" w:rsidRPr="00C24596">
        <w:rPr>
          <w:rFonts w:ascii="Calibri" w:hAnsi="Calibri" w:cs="Calibri"/>
          <w:sz w:val="22"/>
          <w:szCs w:val="22"/>
          <w:lang w:val="en-GB"/>
        </w:rPr>
        <w:t>4</w:t>
      </w:r>
      <w:r w:rsidRPr="00C24596">
        <w:rPr>
          <w:rFonts w:ascii="Calibri" w:hAnsi="Calibri" w:cs="Calibri"/>
          <w:sz w:val="22"/>
          <w:szCs w:val="22"/>
          <w:lang w:val="en-GB"/>
        </w:rPr>
        <w:t xml:space="preserve"> February 2024</w:t>
      </w:r>
      <w:r w:rsidR="00A141B2">
        <w:rPr>
          <w:rFonts w:ascii="Calibri" w:hAnsi="Calibri" w:cs="Calibri"/>
          <w:sz w:val="22"/>
          <w:szCs w:val="22"/>
          <w:lang w:val="en-GB"/>
        </w:rPr>
        <w:t>.</w:t>
      </w:r>
    </w:p>
    <w:p w14:paraId="17862618" w14:textId="77777777" w:rsidR="00945AC3" w:rsidRDefault="00945AC3" w:rsidP="4E49A2EE">
      <w:pPr>
        <w:pStyle w:val="RBasicText"/>
        <w:numPr>
          <w:ilvl w:val="0"/>
          <w:numId w:val="0"/>
        </w:numPr>
        <w:jc w:val="both"/>
        <w:rPr>
          <w:rFonts w:ascii="Calibri" w:hAnsi="Calibri" w:cs="Calibri"/>
        </w:rPr>
      </w:pPr>
    </w:p>
    <w:sdt>
      <w:sdtPr>
        <w:rPr>
          <w:rFonts w:asciiTheme="minorHAnsi" w:eastAsiaTheme="minorHAnsi" w:hAnsiTheme="minorHAnsi" w:cstheme="minorBidi"/>
          <w:color w:val="auto"/>
          <w:kern w:val="2"/>
          <w:sz w:val="24"/>
          <w:szCs w:val="24"/>
          <w:lang w:val="pt-BR" w:eastAsia="en-US"/>
          <w14:ligatures w14:val="standardContextual"/>
        </w:rPr>
        <w:id w:val="295536079"/>
        <w:docPartObj>
          <w:docPartGallery w:val="Table of Contents"/>
          <w:docPartUnique/>
        </w:docPartObj>
      </w:sdtPr>
      <w:sdtEndPr/>
      <w:sdtContent>
        <w:p w14:paraId="4E7009A2" w14:textId="43F02F99" w:rsidR="00945AC3" w:rsidRPr="00945AC3" w:rsidRDefault="00945AC3">
          <w:pPr>
            <w:pStyle w:val="TOCHeading"/>
            <w:rPr>
              <w:rFonts w:asciiTheme="minorHAnsi" w:hAnsiTheme="minorHAnsi" w:cstheme="minorBidi"/>
              <w:b/>
              <w:color w:val="auto"/>
            </w:rPr>
          </w:pPr>
          <w:r w:rsidRPr="31C05D32">
            <w:rPr>
              <w:rFonts w:asciiTheme="minorHAnsi" w:hAnsiTheme="minorHAnsi" w:cstheme="minorBidi"/>
              <w:b/>
              <w:color w:val="auto"/>
            </w:rPr>
            <w:t>Contents</w:t>
          </w:r>
        </w:p>
        <w:p w14:paraId="047D8305" w14:textId="1688F825" w:rsidR="00D20DFF" w:rsidRDefault="00485152">
          <w:pPr>
            <w:pStyle w:val="TOC1"/>
            <w:tabs>
              <w:tab w:val="right" w:leader="dot" w:pos="8494"/>
            </w:tabs>
            <w:rPr>
              <w:rFonts w:eastAsiaTheme="minorEastAsia"/>
              <w:noProof/>
              <w:sz w:val="22"/>
              <w:szCs w:val="22"/>
              <w:lang w:val="en-GB" w:eastAsia="en-GB"/>
            </w:rPr>
          </w:pPr>
          <w:r>
            <w:fldChar w:fldCharType="begin"/>
          </w:r>
          <w:r w:rsidR="005D4A5D">
            <w:instrText>TOC \o "1-3" \h \z \u</w:instrText>
          </w:r>
          <w:r>
            <w:fldChar w:fldCharType="separate"/>
          </w:r>
          <w:hyperlink w:anchor="_Toc157769651" w:history="1">
            <w:r w:rsidR="00D20DFF" w:rsidRPr="00291A13">
              <w:rPr>
                <w:rStyle w:val="Hyperlink"/>
                <w:rFonts w:ascii="Calibri" w:hAnsi="Calibri" w:cs="Calibri"/>
                <w:noProof/>
              </w:rPr>
              <w:t>Summary and key recommendations</w:t>
            </w:r>
            <w:r w:rsidR="00D20DFF">
              <w:rPr>
                <w:noProof/>
                <w:webHidden/>
              </w:rPr>
              <w:tab/>
            </w:r>
            <w:r w:rsidR="00D20DFF">
              <w:rPr>
                <w:noProof/>
                <w:webHidden/>
              </w:rPr>
              <w:fldChar w:fldCharType="begin"/>
            </w:r>
            <w:r w:rsidR="00D20DFF">
              <w:rPr>
                <w:noProof/>
                <w:webHidden/>
              </w:rPr>
              <w:instrText xml:space="preserve"> PAGEREF _Toc157769651 \h </w:instrText>
            </w:r>
            <w:r w:rsidR="00D20DFF">
              <w:rPr>
                <w:noProof/>
                <w:webHidden/>
              </w:rPr>
            </w:r>
            <w:r w:rsidR="00D20DFF">
              <w:rPr>
                <w:noProof/>
                <w:webHidden/>
              </w:rPr>
              <w:fldChar w:fldCharType="separate"/>
            </w:r>
            <w:r w:rsidR="00D20DFF">
              <w:rPr>
                <w:noProof/>
                <w:webHidden/>
              </w:rPr>
              <w:t>2</w:t>
            </w:r>
            <w:r w:rsidR="00D20DFF">
              <w:rPr>
                <w:noProof/>
                <w:webHidden/>
              </w:rPr>
              <w:fldChar w:fldCharType="end"/>
            </w:r>
          </w:hyperlink>
        </w:p>
        <w:p w14:paraId="5E181621" w14:textId="67E1ED35" w:rsidR="00D20DFF" w:rsidRDefault="00D20DFF">
          <w:pPr>
            <w:pStyle w:val="TOC1"/>
            <w:tabs>
              <w:tab w:val="right" w:leader="dot" w:pos="8494"/>
            </w:tabs>
            <w:rPr>
              <w:rFonts w:eastAsiaTheme="minorEastAsia"/>
              <w:noProof/>
              <w:sz w:val="22"/>
              <w:szCs w:val="22"/>
              <w:lang w:val="en-GB" w:eastAsia="en-GB"/>
            </w:rPr>
          </w:pPr>
          <w:hyperlink w:anchor="_Toc157769652" w:history="1">
            <w:r w:rsidRPr="00291A13">
              <w:rPr>
                <w:rStyle w:val="Hyperlink"/>
                <w:rFonts w:ascii="Calibri" w:hAnsi="Calibri" w:cs="Calibri"/>
                <w:noProof/>
              </w:rPr>
              <w:t>1. Criminalisation of torture</w:t>
            </w:r>
            <w:r>
              <w:rPr>
                <w:noProof/>
                <w:webHidden/>
              </w:rPr>
              <w:tab/>
            </w:r>
            <w:r>
              <w:rPr>
                <w:noProof/>
                <w:webHidden/>
              </w:rPr>
              <w:fldChar w:fldCharType="begin"/>
            </w:r>
            <w:r>
              <w:rPr>
                <w:noProof/>
                <w:webHidden/>
              </w:rPr>
              <w:instrText xml:space="preserve"> PAGEREF _Toc157769652 \h </w:instrText>
            </w:r>
            <w:r>
              <w:rPr>
                <w:noProof/>
                <w:webHidden/>
              </w:rPr>
            </w:r>
            <w:r>
              <w:rPr>
                <w:noProof/>
                <w:webHidden/>
              </w:rPr>
              <w:fldChar w:fldCharType="separate"/>
            </w:r>
            <w:r>
              <w:rPr>
                <w:noProof/>
                <w:webHidden/>
              </w:rPr>
              <w:t>2</w:t>
            </w:r>
            <w:r>
              <w:rPr>
                <w:noProof/>
                <w:webHidden/>
              </w:rPr>
              <w:fldChar w:fldCharType="end"/>
            </w:r>
          </w:hyperlink>
        </w:p>
        <w:p w14:paraId="5D15DC7C" w14:textId="4252550D" w:rsidR="00D20DFF" w:rsidRDefault="00D20DFF">
          <w:pPr>
            <w:pStyle w:val="TOC1"/>
            <w:tabs>
              <w:tab w:val="right" w:leader="dot" w:pos="8494"/>
            </w:tabs>
            <w:rPr>
              <w:rFonts w:eastAsiaTheme="minorEastAsia"/>
              <w:noProof/>
              <w:sz w:val="22"/>
              <w:szCs w:val="22"/>
              <w:lang w:val="en-GB" w:eastAsia="en-GB"/>
            </w:rPr>
          </w:pPr>
          <w:hyperlink w:anchor="_Toc157769653" w:history="1">
            <w:r w:rsidRPr="00291A13">
              <w:rPr>
                <w:rStyle w:val="Hyperlink"/>
                <w:rFonts w:ascii="Calibri" w:hAnsi="Calibri" w:cs="Calibri"/>
                <w:noProof/>
              </w:rPr>
              <w:t>2. UK involvement in torture/rendition</w:t>
            </w:r>
            <w:r>
              <w:rPr>
                <w:noProof/>
                <w:webHidden/>
              </w:rPr>
              <w:tab/>
            </w:r>
            <w:r>
              <w:rPr>
                <w:noProof/>
                <w:webHidden/>
              </w:rPr>
              <w:fldChar w:fldCharType="begin"/>
            </w:r>
            <w:r>
              <w:rPr>
                <w:noProof/>
                <w:webHidden/>
              </w:rPr>
              <w:instrText xml:space="preserve"> PAGEREF _Toc157769653 \h </w:instrText>
            </w:r>
            <w:r>
              <w:rPr>
                <w:noProof/>
                <w:webHidden/>
              </w:rPr>
            </w:r>
            <w:r>
              <w:rPr>
                <w:noProof/>
                <w:webHidden/>
              </w:rPr>
              <w:fldChar w:fldCharType="separate"/>
            </w:r>
            <w:r>
              <w:rPr>
                <w:noProof/>
                <w:webHidden/>
              </w:rPr>
              <w:t>5</w:t>
            </w:r>
            <w:r>
              <w:rPr>
                <w:noProof/>
                <w:webHidden/>
              </w:rPr>
              <w:fldChar w:fldCharType="end"/>
            </w:r>
          </w:hyperlink>
        </w:p>
        <w:p w14:paraId="2AB85B7D" w14:textId="78B22FD5" w:rsidR="00D20DFF" w:rsidRDefault="00D20DFF">
          <w:pPr>
            <w:pStyle w:val="TOC1"/>
            <w:tabs>
              <w:tab w:val="right" w:leader="dot" w:pos="8494"/>
            </w:tabs>
            <w:rPr>
              <w:rFonts w:eastAsiaTheme="minorEastAsia"/>
              <w:noProof/>
              <w:sz w:val="22"/>
              <w:szCs w:val="22"/>
              <w:lang w:val="en-GB" w:eastAsia="en-GB"/>
            </w:rPr>
          </w:pPr>
          <w:hyperlink w:anchor="_Toc157769654" w:history="1">
            <w:r w:rsidRPr="00291A13">
              <w:rPr>
                <w:rStyle w:val="Hyperlink"/>
                <w:rFonts w:ascii="Calibri" w:hAnsi="Calibri" w:cs="Calibri"/>
                <w:noProof/>
              </w:rPr>
              <w:t>3. Non-refoulement</w:t>
            </w:r>
            <w:r>
              <w:rPr>
                <w:noProof/>
                <w:webHidden/>
              </w:rPr>
              <w:tab/>
            </w:r>
            <w:r>
              <w:rPr>
                <w:noProof/>
                <w:webHidden/>
              </w:rPr>
              <w:fldChar w:fldCharType="begin"/>
            </w:r>
            <w:r>
              <w:rPr>
                <w:noProof/>
                <w:webHidden/>
              </w:rPr>
              <w:instrText xml:space="preserve"> PAGEREF _Toc157769654 \h </w:instrText>
            </w:r>
            <w:r>
              <w:rPr>
                <w:noProof/>
                <w:webHidden/>
              </w:rPr>
            </w:r>
            <w:r>
              <w:rPr>
                <w:noProof/>
                <w:webHidden/>
              </w:rPr>
              <w:fldChar w:fldCharType="separate"/>
            </w:r>
            <w:r>
              <w:rPr>
                <w:noProof/>
                <w:webHidden/>
              </w:rPr>
              <w:t>6</w:t>
            </w:r>
            <w:r>
              <w:rPr>
                <w:noProof/>
                <w:webHidden/>
              </w:rPr>
              <w:fldChar w:fldCharType="end"/>
            </w:r>
          </w:hyperlink>
        </w:p>
        <w:p w14:paraId="7D9A8719" w14:textId="6E099385" w:rsidR="00D20DFF" w:rsidRDefault="00D20DFF">
          <w:pPr>
            <w:pStyle w:val="TOC1"/>
            <w:tabs>
              <w:tab w:val="right" w:leader="dot" w:pos="8494"/>
            </w:tabs>
            <w:rPr>
              <w:rFonts w:eastAsiaTheme="minorEastAsia"/>
              <w:noProof/>
              <w:sz w:val="22"/>
              <w:szCs w:val="22"/>
              <w:lang w:val="en-GB" w:eastAsia="en-GB"/>
            </w:rPr>
          </w:pPr>
          <w:hyperlink w:anchor="_Toc157769655" w:history="1">
            <w:r w:rsidRPr="00291A13">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_Toc157769655 \h </w:instrText>
            </w:r>
            <w:r>
              <w:rPr>
                <w:noProof/>
                <w:webHidden/>
              </w:rPr>
            </w:r>
            <w:r>
              <w:rPr>
                <w:noProof/>
                <w:webHidden/>
              </w:rPr>
              <w:fldChar w:fldCharType="separate"/>
            </w:r>
            <w:r>
              <w:rPr>
                <w:noProof/>
                <w:webHidden/>
              </w:rPr>
              <w:t>8</w:t>
            </w:r>
            <w:r>
              <w:rPr>
                <w:noProof/>
                <w:webHidden/>
              </w:rPr>
              <w:fldChar w:fldCharType="end"/>
            </w:r>
          </w:hyperlink>
        </w:p>
        <w:p w14:paraId="1140DB5D" w14:textId="2C3DCF3B" w:rsidR="0049207C" w:rsidRDefault="00485152" w:rsidP="02D873CA">
          <w:pPr>
            <w:pStyle w:val="TOC1"/>
            <w:tabs>
              <w:tab w:val="right" w:leader="dot" w:pos="8490"/>
            </w:tabs>
            <w:rPr>
              <w:rStyle w:val="Hyperlink"/>
              <w:noProof/>
              <w:lang w:val="en-GB" w:eastAsia="en-GB"/>
            </w:rPr>
          </w:pPr>
          <w:r>
            <w:fldChar w:fldCharType="end"/>
          </w:r>
        </w:p>
      </w:sdtContent>
    </w:sdt>
    <w:p w14:paraId="005EC66B" w14:textId="63D1F474" w:rsidR="00140AD2" w:rsidRDefault="00140AD2" w:rsidP="002A3AFC">
      <w:pPr>
        <w:pStyle w:val="TOC1"/>
        <w:tabs>
          <w:tab w:val="right" w:leader="dot" w:pos="8490"/>
        </w:tabs>
        <w:rPr>
          <w:rStyle w:val="Hyperlink"/>
          <w:noProof/>
          <w:lang w:val="en-GB" w:eastAsia="en-GB"/>
        </w:rPr>
      </w:pPr>
    </w:p>
    <w:p w14:paraId="3B2E5C1A" w14:textId="5B6D1A49" w:rsidR="00945AC3" w:rsidRDefault="00945AC3">
      <w:pPr>
        <w:rPr>
          <w:lang w:val="en-GB"/>
        </w:rPr>
      </w:pPr>
    </w:p>
    <w:p w14:paraId="7AEC171D" w14:textId="77777777" w:rsidR="00140AD2" w:rsidRDefault="00140AD2" w:rsidP="4E49A2EE">
      <w:pPr>
        <w:pStyle w:val="RHeadingLevelOne"/>
        <w:pBdr>
          <w:bottom w:val="single" w:sz="24" w:space="1" w:color="FBDD35"/>
        </w:pBdr>
        <w:spacing w:before="360"/>
        <w:ind w:left="0"/>
        <w:rPr>
          <w:rFonts w:ascii="Calibri" w:hAnsi="Calibri" w:cs="Calibri"/>
          <w:sz w:val="28"/>
          <w:szCs w:val="28"/>
        </w:rPr>
      </w:pPr>
      <w:r>
        <w:rPr>
          <w:rFonts w:ascii="Calibri" w:hAnsi="Calibri" w:cs="Calibri"/>
          <w:sz w:val="28"/>
          <w:szCs w:val="28"/>
        </w:rPr>
        <w:br w:type="page"/>
      </w:r>
    </w:p>
    <w:p w14:paraId="1B24B5E9" w14:textId="3B6A2603" w:rsidR="006528E1" w:rsidRPr="003F1355" w:rsidRDefault="2290220D" w:rsidP="4E49A2EE">
      <w:pPr>
        <w:pStyle w:val="RHeadingLevelOne"/>
        <w:pBdr>
          <w:bottom w:val="single" w:sz="24" w:space="1" w:color="FBDD35"/>
        </w:pBdr>
        <w:spacing w:before="360"/>
        <w:ind w:left="0"/>
        <w:rPr>
          <w:rFonts w:ascii="Calibri" w:hAnsi="Calibri" w:cs="Calibri"/>
          <w:sz w:val="28"/>
          <w:szCs w:val="28"/>
        </w:rPr>
      </w:pPr>
      <w:bookmarkStart w:id="5" w:name="_Toc1653154415"/>
      <w:bookmarkStart w:id="6" w:name="_Toc884903375"/>
      <w:bookmarkStart w:id="7" w:name="_Toc756342448"/>
      <w:bookmarkStart w:id="8" w:name="_Toc157769651"/>
      <w:r w:rsidRPr="4E49A2EE">
        <w:rPr>
          <w:rFonts w:ascii="Calibri" w:hAnsi="Calibri" w:cs="Calibri"/>
          <w:sz w:val="28"/>
          <w:szCs w:val="28"/>
        </w:rPr>
        <w:lastRenderedPageBreak/>
        <w:t xml:space="preserve">Summary and </w:t>
      </w:r>
      <w:r w:rsidR="00140AD2">
        <w:rPr>
          <w:rFonts w:ascii="Calibri" w:hAnsi="Calibri" w:cs="Calibri"/>
          <w:sz w:val="28"/>
          <w:szCs w:val="28"/>
        </w:rPr>
        <w:t>key recommendations</w:t>
      </w:r>
      <w:bookmarkEnd w:id="6"/>
      <w:bookmarkEnd w:id="7"/>
      <w:bookmarkEnd w:id="5"/>
      <w:bookmarkEnd w:id="8"/>
    </w:p>
    <w:p w14:paraId="6683B618" w14:textId="629F0873" w:rsidR="2BE08565" w:rsidRPr="003000FD" w:rsidRDefault="2BE08565" w:rsidP="003000FD">
      <w:pPr>
        <w:pStyle w:val="RBasicText"/>
      </w:pPr>
      <w:r w:rsidRPr="778DC15B">
        <w:t xml:space="preserve">This submission to the Human Rights Committee focuses on three key issues raised in the UN’s List of Issues </w:t>
      </w:r>
      <w:r w:rsidR="007B7EE5">
        <w:t>prior to the submission of the eighth periodic report,</w:t>
      </w:r>
      <w:r w:rsidR="007B7EE5">
        <w:rPr>
          <w:rStyle w:val="FootnoteReference"/>
          <w:rFonts w:ascii="Calibri" w:hAnsi="Calibri" w:cs="Calibri"/>
        </w:rPr>
        <w:footnoteReference w:id="3"/>
      </w:r>
      <w:r w:rsidR="007B7EE5">
        <w:t xml:space="preserve"> </w:t>
      </w:r>
      <w:r w:rsidRPr="778DC15B">
        <w:t>related to the UK's compliance with the International Covenant on Civil and Political Rights (ICCPR). The first addresses the criminalisation of torture</w:t>
      </w:r>
      <w:r w:rsidR="5132D3E3" w:rsidRPr="778DC15B">
        <w:t xml:space="preserve"> (para.11)</w:t>
      </w:r>
      <w:r w:rsidRPr="778DC15B">
        <w:t xml:space="preserve">, emphasizing the need for universal jurisdiction. The </w:t>
      </w:r>
      <w:r w:rsidRPr="003000FD">
        <w:t>second highlights the UK's involvement in torture and rendition</w:t>
      </w:r>
      <w:r w:rsidR="7A86A28F" w:rsidRPr="003000FD">
        <w:t xml:space="preserve"> (para.13)</w:t>
      </w:r>
      <w:r w:rsidRPr="003000FD">
        <w:t>, urging a prompt and impartial investigation into allegations of collusion. The third underscores the importance of non-refoulement</w:t>
      </w:r>
      <w:r w:rsidR="3D29BF2E" w:rsidRPr="003000FD">
        <w:t xml:space="preserve"> (para.18)</w:t>
      </w:r>
      <w:r w:rsidRPr="003000FD">
        <w:t>, expressing grave concerns about recent legislative developments, particularly the Illegal Migration Act</w:t>
      </w:r>
      <w:r w:rsidR="007E7412" w:rsidRPr="003000FD">
        <w:t xml:space="preserve"> 2023</w:t>
      </w:r>
      <w:r w:rsidRPr="003000FD">
        <w:t xml:space="preserve"> and the proposed Safety of Rwanda (Asylum and Immigration) Bill.</w:t>
      </w:r>
    </w:p>
    <w:p w14:paraId="60B6680B" w14:textId="7FF4931D" w:rsidR="007E7412" w:rsidRPr="003000FD" w:rsidRDefault="007E7412" w:rsidP="003000FD">
      <w:pPr>
        <w:pStyle w:val="RBasicText"/>
      </w:pPr>
      <w:r w:rsidRPr="003000FD">
        <w:t xml:space="preserve">We </w:t>
      </w:r>
      <w:r w:rsidR="00016859" w:rsidRPr="003000FD">
        <w:t xml:space="preserve">urge the Committee to </w:t>
      </w:r>
      <w:r w:rsidR="0014519E" w:rsidRPr="003000FD">
        <w:t>make the following recommendations to the UK in its concluding observations</w:t>
      </w:r>
      <w:r w:rsidR="000D0322" w:rsidRPr="003000FD">
        <w:t xml:space="preserve">, </w:t>
      </w:r>
      <w:r w:rsidR="2AE29C07" w:rsidRPr="003000FD">
        <w:t>for</w:t>
      </w:r>
      <w:r w:rsidR="000D0322" w:rsidRPr="003000FD">
        <w:t xml:space="preserve"> the UK </w:t>
      </w:r>
      <w:r w:rsidR="2AE29C07" w:rsidRPr="003000FD">
        <w:t xml:space="preserve">to </w:t>
      </w:r>
      <w:r w:rsidR="2588B865" w:rsidRPr="003000FD">
        <w:t>fully comply</w:t>
      </w:r>
      <w:r w:rsidR="000D0322" w:rsidRPr="003000FD">
        <w:t xml:space="preserve"> with the ICCPR</w:t>
      </w:r>
      <w:r w:rsidR="0014519E" w:rsidRPr="003000FD">
        <w:t>:</w:t>
      </w:r>
    </w:p>
    <w:p w14:paraId="02768EE3" w14:textId="1B355C70" w:rsidR="7285F945" w:rsidRPr="00AB056A" w:rsidRDefault="7285F945" w:rsidP="00D61281">
      <w:pPr>
        <w:pStyle w:val="RBasicText"/>
        <w:rPr>
          <w:b/>
          <w:bCs/>
        </w:rPr>
      </w:pPr>
      <w:r w:rsidRPr="00AB056A">
        <w:rPr>
          <w:b/>
          <w:bCs/>
        </w:rPr>
        <w:t>The UK should review its legal framework in relation to universal jurisdiction and close loopholes that prevent accountability for perpetrators of international crimes who come to the UK.</w:t>
      </w:r>
    </w:p>
    <w:p w14:paraId="69214B16" w14:textId="78F61088" w:rsidR="27E7F130" w:rsidRPr="00AB056A" w:rsidRDefault="27E7F130" w:rsidP="00D61281">
      <w:pPr>
        <w:pStyle w:val="RBasicText"/>
        <w:rPr>
          <w:b/>
        </w:rPr>
      </w:pPr>
      <w:r w:rsidRPr="00AB056A">
        <w:rPr>
          <w:b/>
        </w:rPr>
        <w:t>The UK should ensure that there are prompt, effective and impartial investigations into allegations of collusion in torture/rendition, and cooperate fully with any investigations in relation to these matters, ensuring that there is accountability for any UK officials found to have been responsible.</w:t>
      </w:r>
    </w:p>
    <w:p w14:paraId="6570C13E" w14:textId="0A92939D" w:rsidR="42B9915D" w:rsidRPr="00D61281" w:rsidRDefault="42B9915D" w:rsidP="00D61281">
      <w:pPr>
        <w:pStyle w:val="RBasicText"/>
        <w:rPr>
          <w:b/>
        </w:rPr>
      </w:pPr>
      <w:r w:rsidRPr="00D61281">
        <w:rPr>
          <w:b/>
        </w:rPr>
        <w:t>The UK Government must adhere to its international legal obligations including the absolute prohibition on torture</w:t>
      </w:r>
      <w:r w:rsidR="2C9D618A" w:rsidRPr="00D61281">
        <w:rPr>
          <w:b/>
          <w:bCs/>
        </w:rPr>
        <w:t xml:space="preserve">: </w:t>
      </w:r>
      <w:r w:rsidR="2C9D618A" w:rsidRPr="00D61281">
        <w:rPr>
          <w:rFonts w:eastAsia="Calibri"/>
          <w:b/>
          <w:bCs/>
        </w:rPr>
        <w:t xml:space="preserve">the </w:t>
      </w:r>
      <w:r w:rsidR="2C9D618A" w:rsidRPr="00D61281">
        <w:rPr>
          <w:b/>
          <w:bCs/>
        </w:rPr>
        <w:t xml:space="preserve">Safety of Rwanda (Asylum and Immigration) </w:t>
      </w:r>
      <w:r w:rsidR="2C9D618A" w:rsidRPr="00D61281">
        <w:rPr>
          <w:rFonts w:eastAsia="Calibri"/>
          <w:b/>
          <w:bCs/>
        </w:rPr>
        <w:t>Bill (if enacted) will cause these obligations to be breached</w:t>
      </w:r>
      <w:r w:rsidRPr="00D61281">
        <w:rPr>
          <w:rFonts w:eastAsia="Calibri"/>
          <w:b/>
        </w:rPr>
        <w:t>.</w:t>
      </w:r>
    </w:p>
    <w:p w14:paraId="54FD513B" w14:textId="032B3457" w:rsidR="002A3AFC" w:rsidRPr="003F1355" w:rsidRDefault="0049207C" w:rsidP="002A3AFC">
      <w:pPr>
        <w:pStyle w:val="RHeadingLevelOne"/>
        <w:pBdr>
          <w:bottom w:val="single" w:sz="24" w:space="1" w:color="FBDD35"/>
        </w:pBdr>
        <w:spacing w:before="360"/>
        <w:ind w:left="0"/>
        <w:rPr>
          <w:rFonts w:ascii="Calibri" w:hAnsi="Calibri" w:cs="Calibri"/>
          <w:sz w:val="28"/>
          <w:szCs w:val="28"/>
        </w:rPr>
      </w:pPr>
      <w:bookmarkStart w:id="9" w:name="_Toc314022918"/>
      <w:bookmarkStart w:id="10" w:name="_Toc1008514159"/>
      <w:bookmarkStart w:id="11" w:name="_Toc157769652"/>
      <w:r>
        <w:rPr>
          <w:rFonts w:ascii="Calibri" w:hAnsi="Calibri" w:cs="Calibri"/>
          <w:sz w:val="28"/>
          <w:szCs w:val="28"/>
        </w:rPr>
        <w:t xml:space="preserve">1. </w:t>
      </w:r>
      <w:r w:rsidR="007C4047">
        <w:rPr>
          <w:rFonts w:ascii="Calibri" w:hAnsi="Calibri" w:cs="Calibri"/>
          <w:sz w:val="28"/>
          <w:szCs w:val="28"/>
        </w:rPr>
        <w:t>Criminalisation of torture</w:t>
      </w:r>
      <w:bookmarkEnd w:id="9"/>
      <w:bookmarkEnd w:id="10"/>
      <w:bookmarkEnd w:id="11"/>
    </w:p>
    <w:p w14:paraId="520C848F" w14:textId="3886B8D6" w:rsidR="00643A23" w:rsidRDefault="56A21DA5" w:rsidP="02D873CA">
      <w:pPr>
        <w:pStyle w:val="RBasicText"/>
        <w:numPr>
          <w:ilvl w:val="0"/>
          <w:numId w:val="0"/>
        </w:numPr>
        <w:jc w:val="both"/>
        <w:rPr>
          <w:i/>
          <w:iCs/>
        </w:rPr>
      </w:pPr>
      <w:r w:rsidRPr="02D873CA">
        <w:rPr>
          <w:i/>
          <w:iCs/>
        </w:rPr>
        <w:t xml:space="preserve">Summary: </w:t>
      </w:r>
      <w:r w:rsidR="5F58049F" w:rsidRPr="02D873CA">
        <w:rPr>
          <w:i/>
          <w:iCs/>
        </w:rPr>
        <w:t xml:space="preserve">The legal framework for universal jurisdiction in England and Wales is limited, meaning that it is rarely used to </w:t>
      </w:r>
      <w:r w:rsidR="1C558AE8" w:rsidRPr="02D873CA">
        <w:rPr>
          <w:i/>
          <w:iCs/>
        </w:rPr>
        <w:t xml:space="preserve">hold </w:t>
      </w:r>
      <w:r w:rsidR="0884D7C0" w:rsidRPr="02D873CA">
        <w:rPr>
          <w:i/>
          <w:iCs/>
        </w:rPr>
        <w:t>suspects of</w:t>
      </w:r>
      <w:r w:rsidR="578A0D26" w:rsidRPr="02D873CA">
        <w:rPr>
          <w:i/>
          <w:iCs/>
        </w:rPr>
        <w:t xml:space="preserve"> international crimes</w:t>
      </w:r>
      <w:r w:rsidR="0884D7C0" w:rsidRPr="02D873CA">
        <w:rPr>
          <w:i/>
          <w:iCs/>
        </w:rPr>
        <w:t xml:space="preserve"> – including torture </w:t>
      </w:r>
      <w:r w:rsidR="4A9CC77F" w:rsidRPr="02D873CA">
        <w:rPr>
          <w:i/>
          <w:iCs/>
        </w:rPr>
        <w:t>–</w:t>
      </w:r>
      <w:r w:rsidR="0884D7C0" w:rsidRPr="02D873CA">
        <w:rPr>
          <w:i/>
          <w:iCs/>
        </w:rPr>
        <w:t xml:space="preserve"> accountable in UK courts</w:t>
      </w:r>
      <w:r w:rsidR="0D4FE3BC" w:rsidRPr="02D873CA">
        <w:rPr>
          <w:i/>
          <w:iCs/>
        </w:rPr>
        <w:t xml:space="preserve">. </w:t>
      </w:r>
      <w:r w:rsidR="1037042B" w:rsidRPr="02D873CA">
        <w:rPr>
          <w:i/>
          <w:iCs/>
        </w:rPr>
        <w:t>The UK should r</w:t>
      </w:r>
      <w:r w:rsidR="0D4FE3BC" w:rsidRPr="02D873CA">
        <w:rPr>
          <w:i/>
          <w:iCs/>
        </w:rPr>
        <w:t xml:space="preserve">eform </w:t>
      </w:r>
      <w:r w:rsidR="5F4791B1" w:rsidRPr="02D873CA">
        <w:rPr>
          <w:i/>
          <w:iCs/>
        </w:rPr>
        <w:t>its legal</w:t>
      </w:r>
      <w:r w:rsidR="0D4FE3BC" w:rsidRPr="02D873CA">
        <w:rPr>
          <w:i/>
          <w:iCs/>
        </w:rPr>
        <w:t xml:space="preserve"> framework</w:t>
      </w:r>
      <w:r w:rsidR="1037042B" w:rsidRPr="02D873CA">
        <w:rPr>
          <w:i/>
          <w:iCs/>
        </w:rPr>
        <w:t xml:space="preserve"> and </w:t>
      </w:r>
      <w:r w:rsidR="5F4791B1" w:rsidRPr="02D873CA">
        <w:rPr>
          <w:i/>
          <w:iCs/>
        </w:rPr>
        <w:t xml:space="preserve">stop granting special mission immunity </w:t>
      </w:r>
      <w:r w:rsidR="58B7AEE1" w:rsidRPr="02D873CA">
        <w:rPr>
          <w:i/>
          <w:iCs/>
        </w:rPr>
        <w:t>to individuals</w:t>
      </w:r>
      <w:r w:rsidR="5F4791B1" w:rsidRPr="02D873CA">
        <w:rPr>
          <w:i/>
          <w:iCs/>
        </w:rPr>
        <w:t xml:space="preserve"> suspected of committing torture from prosecution in the UK. </w:t>
      </w:r>
    </w:p>
    <w:p w14:paraId="65ECB368" w14:textId="31071C53" w:rsidR="5CD11864" w:rsidRDefault="2FA9E54C" w:rsidP="00D61281">
      <w:pPr>
        <w:pStyle w:val="RBasicText"/>
      </w:pPr>
      <w:r w:rsidRPr="02D873CA">
        <w:rPr>
          <w:rFonts w:ascii="Calibri" w:hAnsi="Calibri" w:cs="Calibri"/>
        </w:rPr>
        <w:t>In</w:t>
      </w:r>
      <w:r>
        <w:t xml:space="preserve"> relation to the prohibition of torture and cruel, inhuman, or degrading treatment or punishment </w:t>
      </w:r>
      <w:r w:rsidR="0408F4D3">
        <w:t xml:space="preserve">and the right to an effective remedy </w:t>
      </w:r>
      <w:r>
        <w:t xml:space="preserve">(ICCPR, art. </w:t>
      </w:r>
      <w:r w:rsidR="0CF36FC1">
        <w:t>2)</w:t>
      </w:r>
      <w:r>
        <w:t>, we note the UK’s response to the Committee’s List of issues that “the UK Government has no plans to reform the offence of torture under s.134 Criminal Justice Act 1988.”</w:t>
      </w:r>
    </w:p>
    <w:p w14:paraId="6D40120B" w14:textId="09085416" w:rsidR="00820447" w:rsidRPr="00643A23" w:rsidRDefault="65CF7506" w:rsidP="00D61281">
      <w:pPr>
        <w:pStyle w:val="RBasicText"/>
      </w:pPr>
      <w:r w:rsidRPr="45232D93">
        <w:t xml:space="preserve">At present, English </w:t>
      </w:r>
      <w:r w:rsidR="00BC2A21">
        <w:t xml:space="preserve">and Welsh </w:t>
      </w:r>
      <w:r w:rsidRPr="45232D93">
        <w:t>law includes a limited form of universal jurisdiction. English courts can exercise universal jurisdiction over the crimes of torture, hostage-taking, and a small number of war crimes known as “grave breaches” of the Geneva Conventions</w:t>
      </w:r>
      <w:r w:rsidR="00820447" w:rsidRPr="45232D93">
        <w:rPr>
          <w:rStyle w:val="FootnoteReference"/>
        </w:rPr>
        <w:footnoteReference w:id="4"/>
      </w:r>
      <w:r w:rsidRPr="45232D93">
        <w:t xml:space="preserve"> if the perpetrator is present in the UK. English courts also have jurisdiction over genocide, crimes against humanity, and war crimes</w:t>
      </w:r>
      <w:r w:rsidR="00820447" w:rsidRPr="45232D93">
        <w:rPr>
          <w:rStyle w:val="FootnoteReference"/>
        </w:rPr>
        <w:footnoteReference w:id="5"/>
      </w:r>
      <w:r w:rsidRPr="45232D93">
        <w:t xml:space="preserve"> but only if the perpetrator is present in the UK and is either a UK national or a legal resident. </w:t>
      </w:r>
      <w:r w:rsidR="00820447" w:rsidRPr="45232D93">
        <w:rPr>
          <w:rStyle w:val="FootnoteReference"/>
        </w:rPr>
        <w:footnoteReference w:id="6"/>
      </w:r>
      <w:r w:rsidRPr="45232D93">
        <w:t xml:space="preserve"> This means that non-citizens and non</w:t>
      </w:r>
      <w:r w:rsidR="302A717C" w:rsidRPr="45232D93">
        <w:t xml:space="preserve">-residents can come to London without fear of prosecution, even if they </w:t>
      </w:r>
      <w:r w:rsidR="302A717C" w:rsidRPr="45232D93">
        <w:lastRenderedPageBreak/>
        <w:t>are reasonably suspected of committing genocide.</w:t>
      </w:r>
      <w:r w:rsidR="1533171F" w:rsidRPr="45232D93">
        <w:t xml:space="preserve"> </w:t>
      </w:r>
      <w:r w:rsidR="4007F2C9" w:rsidRPr="45232D93">
        <w:t xml:space="preserve">There is no principled reason that UK courts should be able to prosecute non-citizens and non-residents for torture </w:t>
      </w:r>
      <w:r w:rsidR="4007F2C9" w:rsidRPr="00AB056A">
        <w:t>but</w:t>
      </w:r>
      <w:r w:rsidR="4007F2C9" w:rsidRPr="45232D93">
        <w:t xml:space="preserve"> not crimes against humanity, or war crimes and genocide – which can all be committed through torture when other elements are present.</w:t>
      </w:r>
    </w:p>
    <w:p w14:paraId="1DC8D016" w14:textId="0399D4FF" w:rsidR="27C5192D" w:rsidRDefault="5F65DF76" w:rsidP="00D61281">
      <w:pPr>
        <w:pStyle w:val="RBasicText"/>
      </w:pPr>
      <w:r w:rsidRPr="45232D93">
        <w:t xml:space="preserve">Official data shows that between 2013 and 2015, 135 individuals were refused citizenship in the UK by the Home Office due to their alleged involvement in war crimes, crimes against humanity, </w:t>
      </w:r>
      <w:r w:rsidR="00410533" w:rsidRPr="45232D93">
        <w:t>genocide,</w:t>
      </w:r>
      <w:r w:rsidRPr="45232D93">
        <w:t xml:space="preserve"> or torture.</w:t>
      </w:r>
      <w:r w:rsidR="27C5192D" w:rsidRPr="45232D93">
        <w:rPr>
          <w:rStyle w:val="FootnoteReference"/>
        </w:rPr>
        <w:footnoteReference w:id="7"/>
      </w:r>
      <w:r w:rsidRPr="45232D93">
        <w:t xml:space="preserve"> Yet none of </w:t>
      </w:r>
      <w:r w:rsidRPr="00AB056A">
        <w:t>these</w:t>
      </w:r>
      <w:r w:rsidRPr="45232D93">
        <w:t xml:space="preserve"> cases were referred to the Metropolitan Police. Under existing guidelines, the police cannot begin investigations until they have a suspect, and that suspect is in the UK. As a result of this, and practical challenges in gathering evidence of crimes committed abroad, there have only been three successful prosecutions of international crimes in English courts, ever.</w:t>
      </w:r>
      <w:r w:rsidR="27C5192D" w:rsidRPr="45232D93">
        <w:rPr>
          <w:rStyle w:val="FootnoteReference"/>
        </w:rPr>
        <w:footnoteReference w:id="8"/>
      </w:r>
      <w:r w:rsidRPr="45232D93">
        <w:t xml:space="preserve"> The last successful prosecution took place well over a decade ago.</w:t>
      </w:r>
      <w:r w:rsidR="27C5192D" w:rsidRPr="45232D93">
        <w:rPr>
          <w:rStyle w:val="FootnoteReference"/>
        </w:rPr>
        <w:footnoteReference w:id="9"/>
      </w:r>
      <w:r>
        <w:t xml:space="preserve"> This record stands in stark contrast to jurisdictions such as Germany, France, Belgium and Sweden, whose domestic courts have seen a surge in the number of prosecutions initiated under universal jurisdiction</w:t>
      </w:r>
      <w:r w:rsidRPr="45232D93">
        <w:t xml:space="preserve"> laws in recent years.</w:t>
      </w:r>
    </w:p>
    <w:p w14:paraId="35406537" w14:textId="3224AF64" w:rsidR="00011E63" w:rsidRDefault="218B3B97" w:rsidP="00D61281">
      <w:pPr>
        <w:pStyle w:val="RBasicText"/>
      </w:pPr>
      <w:r w:rsidRPr="45232D93">
        <w:t xml:space="preserve">In </w:t>
      </w:r>
      <w:r w:rsidR="1861DC85" w:rsidRPr="45232D93">
        <w:t>our</w:t>
      </w:r>
      <w:r w:rsidRPr="45232D93">
        <w:t xml:space="preserve"> recent report,</w:t>
      </w:r>
      <w:r w:rsidR="2B42B739" w:rsidRPr="45232D93">
        <w:t xml:space="preserve"> </w:t>
      </w:r>
      <w:r w:rsidR="2B42B739" w:rsidRPr="02D873CA">
        <w:rPr>
          <w:i/>
          <w:iCs/>
        </w:rPr>
        <w:t>Global Britain, Global Justice: Strengthening Accountability for International Crimes in England and Wales,</w:t>
      </w:r>
      <w:r w:rsidRPr="00486F43">
        <w:rPr>
          <w:rStyle w:val="FootnoteReference"/>
        </w:rPr>
        <w:t xml:space="preserve"> </w:t>
      </w:r>
      <w:r w:rsidRPr="45232D93">
        <w:t xml:space="preserve">REDRESS </w:t>
      </w:r>
      <w:r w:rsidR="005F743B">
        <w:t xml:space="preserve">and the Clooney Foundation for Justice </w:t>
      </w:r>
      <w:r w:rsidRPr="45232D93">
        <w:t xml:space="preserve">highlighted the need for the </w:t>
      </w:r>
      <w:r w:rsidRPr="00AB056A">
        <w:t>UK</w:t>
      </w:r>
      <w:r w:rsidRPr="45232D93">
        <w:t xml:space="preserve"> to reform the offence of torture under the Criminal Justice Act to </w:t>
      </w:r>
      <w:r w:rsidR="10EF5C6F" w:rsidRPr="45232D93">
        <w:t>include</w:t>
      </w:r>
      <w:r w:rsidR="50BAD09C" w:rsidRPr="45232D93">
        <w:t xml:space="preserve"> additional modes of liability.</w:t>
      </w:r>
      <w:r w:rsidR="00264D46">
        <w:rPr>
          <w:rStyle w:val="FootnoteReference"/>
        </w:rPr>
        <w:footnoteReference w:id="10"/>
      </w:r>
      <w:r w:rsidR="50BAD09C" w:rsidRPr="45232D93">
        <w:t xml:space="preserve"> </w:t>
      </w:r>
      <w:r w:rsidR="68FDD6A7" w:rsidRPr="45232D93">
        <w:t>Under the</w:t>
      </w:r>
      <w:r w:rsidR="1B033974" w:rsidRPr="45232D93">
        <w:t xml:space="preserve"> CJA</w:t>
      </w:r>
      <w:r w:rsidR="50BAD09C" w:rsidRPr="45232D93">
        <w:t>, a superior or commander whose subordinates have committed isolated acts of torture not constituting crimes against humanity or war crimes (which would be covered under the I</w:t>
      </w:r>
      <w:r w:rsidR="76FF7E27" w:rsidRPr="45232D93">
        <w:t>nternational Criminal Court Act 2001</w:t>
      </w:r>
      <w:r w:rsidR="50BAD09C" w:rsidRPr="45232D93">
        <w:t>) cannot be held responsible under current UK legislation</w:t>
      </w:r>
      <w:r w:rsidR="5F7A83FB" w:rsidRPr="45232D93">
        <w:t>.</w:t>
      </w:r>
      <w:r w:rsidR="50BAD09C" w:rsidRPr="45232D93">
        <w:t xml:space="preserve"> Section 134 of the CJA does not provide</w:t>
      </w:r>
      <w:r w:rsidR="76FF7E27" w:rsidRPr="45232D93">
        <w:t xml:space="preserve"> </w:t>
      </w:r>
      <w:r w:rsidR="50BAD09C" w:rsidRPr="45232D93">
        <w:t>for command or superior responsibility. While commanders could be tried under other theories of liability,</w:t>
      </w:r>
      <w:r w:rsidR="001712DC" w:rsidRPr="45232D93">
        <w:rPr>
          <w:rStyle w:val="FootnoteReference"/>
        </w:rPr>
        <w:footnoteReference w:id="11"/>
      </w:r>
      <w:r w:rsidR="50BAD09C" w:rsidRPr="45232D93">
        <w:t xml:space="preserve"> such modes may not capture the responsibility of architects or orchestrators of these crimes for acts that they should have prevented or punished. By requiring superiors to take affirmative, pro-active measures to curb the behaviour of their subordinates, command responsibility acts as a deterrent for grave crimes. </w:t>
      </w:r>
    </w:p>
    <w:p w14:paraId="0C33CADC" w14:textId="6B63E7CA" w:rsidR="008F1CB5" w:rsidRDefault="7837DECB" w:rsidP="00D61281">
      <w:pPr>
        <w:pStyle w:val="RBasicText"/>
      </w:pPr>
      <w:r w:rsidRPr="45232D93">
        <w:t xml:space="preserve">In addition to legislative challenges in prosecuting torture, </w:t>
      </w:r>
      <w:r w:rsidR="568879CA" w:rsidRPr="45232D93">
        <w:t xml:space="preserve">the </w:t>
      </w:r>
      <w:r w:rsidR="6F3D9C65" w:rsidRPr="45232D93">
        <w:t xml:space="preserve">recurrent </w:t>
      </w:r>
      <w:r w:rsidR="568879CA" w:rsidRPr="45232D93">
        <w:t xml:space="preserve">use of special mission immunity continues to </w:t>
      </w:r>
      <w:r w:rsidR="1AB6D4A2" w:rsidRPr="45232D93">
        <w:t xml:space="preserve">obstruct the ability to prosecute </w:t>
      </w:r>
      <w:r w:rsidR="1C5B578C" w:rsidRPr="45232D93">
        <w:t xml:space="preserve">individuals suspected </w:t>
      </w:r>
      <w:r w:rsidR="1DE585D7" w:rsidRPr="45232D93">
        <w:t>of international crimes, including torture.</w:t>
      </w:r>
      <w:r w:rsidR="001C06C2">
        <w:rPr>
          <w:rStyle w:val="FootnoteReference"/>
          <w:rFonts w:ascii="Calibri" w:hAnsi="Calibri" w:cs="Calibri"/>
        </w:rPr>
        <w:footnoteReference w:id="12"/>
      </w:r>
      <w:r w:rsidR="1DE585D7" w:rsidRPr="45232D93">
        <w:t xml:space="preserve"> For example, </w:t>
      </w:r>
      <w:r w:rsidR="5B703D3E" w:rsidRPr="45232D93">
        <w:t xml:space="preserve">in 2016 </w:t>
      </w:r>
      <w:r w:rsidR="1DE585D7" w:rsidRPr="45232D93">
        <w:t>the UK police refused to arrest an Egyptian General alleged to be responsible for torture after a violent coup</w:t>
      </w:r>
      <w:r w:rsidR="004C4587">
        <w:t xml:space="preserve"> </w:t>
      </w:r>
      <w:r w:rsidR="1DE585D7" w:rsidRPr="45232D93">
        <w:t xml:space="preserve">despite its obligation under the UN Convention against Torture </w:t>
      </w:r>
      <w:r w:rsidR="646D4FB6">
        <w:t>to</w:t>
      </w:r>
      <w:r w:rsidR="1DE585D7" w:rsidRPr="45232D93">
        <w:t xml:space="preserve"> prosecute acts of torture occurring abroad when </w:t>
      </w:r>
      <w:r w:rsidR="01384602">
        <w:t xml:space="preserve">the </w:t>
      </w:r>
      <w:r w:rsidR="1DE585D7" w:rsidRPr="45232D93">
        <w:t>alleged perpetrators are in the UK.</w:t>
      </w:r>
      <w:r w:rsidR="005D1027" w:rsidRPr="45232D93">
        <w:rPr>
          <w:rStyle w:val="FootnoteReference"/>
        </w:rPr>
        <w:footnoteReference w:id="13"/>
      </w:r>
      <w:r w:rsidR="5FCA120C" w:rsidRPr="45232D93">
        <w:t xml:space="preserve"> </w:t>
      </w:r>
    </w:p>
    <w:p w14:paraId="49936EE2" w14:textId="78A26EA2" w:rsidR="008F1CB5" w:rsidDel="006C0817" w:rsidRDefault="78FF72F1" w:rsidP="00D61281">
      <w:pPr>
        <w:pStyle w:val="RBasicText"/>
      </w:pPr>
      <w:r w:rsidRPr="45232D93">
        <w:rPr>
          <w:rFonts w:ascii="Calibri" w:hAnsi="Calibri" w:cs="Calibri"/>
        </w:rPr>
        <w:lastRenderedPageBreak/>
        <w:t>In addition to th</w:t>
      </w:r>
      <w:r w:rsidR="08CB1E22" w:rsidRPr="45232D93">
        <w:rPr>
          <w:rFonts w:ascii="Calibri" w:hAnsi="Calibri" w:cs="Calibri"/>
        </w:rPr>
        <w:t xml:space="preserve">is case, special mission immunity has prevented </w:t>
      </w:r>
      <w:r w:rsidR="3C9D6EAA" w:rsidRPr="45232D93">
        <w:t>steps to prosecute people in at least three other cases</w:t>
      </w:r>
      <w:r w:rsidR="606A6C46">
        <w:t>:</w:t>
      </w:r>
      <w:r w:rsidR="3C9D6EAA" w:rsidRPr="45232D93">
        <w:t xml:space="preserve"> </w:t>
      </w:r>
      <w:r w:rsidR="08CB1E22" w:rsidRPr="45232D93">
        <w:t xml:space="preserve">a) </w:t>
      </w:r>
      <w:r w:rsidR="3C9D6EAA" w:rsidRPr="45232D93">
        <w:t>the Minister for Commerce and International Trade of the People’s Republic of China, Bo Xilai, who was accused of “conspiracy to torture committed in Liao Ning Province since July 1999</w:t>
      </w:r>
      <w:r w:rsidR="08CB1E22" w:rsidRPr="45232D93">
        <w:t>”</w:t>
      </w:r>
      <w:r w:rsidR="606A6C46">
        <w:t>;</w:t>
      </w:r>
      <w:r w:rsidR="008D4643">
        <w:rPr>
          <w:rStyle w:val="FootnoteReference"/>
        </w:rPr>
        <w:footnoteReference w:id="14"/>
      </w:r>
      <w:r w:rsidR="08CB1E22" w:rsidRPr="45232D93">
        <w:t xml:space="preserve"> b)</w:t>
      </w:r>
      <w:r w:rsidR="3C9D6EAA" w:rsidRPr="45232D93">
        <w:t xml:space="preserve"> the then-Israeli Defence Minister, Ehud Barak, accused of war crimes and breaches of the Geneva Conventions in Gaza</w:t>
      </w:r>
      <w:r w:rsidR="57A35285">
        <w:t>;</w:t>
      </w:r>
      <w:r w:rsidR="00B223CD">
        <w:rPr>
          <w:rStyle w:val="FootnoteReference"/>
        </w:rPr>
        <w:footnoteReference w:id="15"/>
      </w:r>
      <w:r w:rsidR="08CB1E22" w:rsidRPr="45232D93">
        <w:t xml:space="preserve"> and c)</w:t>
      </w:r>
      <w:r w:rsidR="3C9D6EAA" w:rsidRPr="45232D93">
        <w:t xml:space="preserve"> the former head of State of the USSR, Mikhail Gorbachev, accused of giving orders to troops to disperse peaceful demonstrations </w:t>
      </w:r>
      <w:r w:rsidR="67B7FD27">
        <w:t>in</w:t>
      </w:r>
      <w:r w:rsidR="3C9D6EAA" w:rsidRPr="45232D93">
        <w:t xml:space="preserve"> 1989 in Georgia</w:t>
      </w:r>
      <w:r w:rsidR="49E86D3F">
        <w:t xml:space="preserve"> and</w:t>
      </w:r>
      <w:r w:rsidR="3C9D6EAA" w:rsidRPr="45232D93">
        <w:t xml:space="preserve"> 1991 in Lithuania</w:t>
      </w:r>
      <w:r w:rsidR="1BF2E057">
        <w:t>,</w:t>
      </w:r>
      <w:r w:rsidR="3C9D6EAA" w:rsidRPr="45232D93">
        <w:t xml:space="preserve"> and</w:t>
      </w:r>
      <w:r w:rsidR="49E86D3F">
        <w:t xml:space="preserve"> for ordering </w:t>
      </w:r>
      <w:r w:rsidR="3C9D6EAA" w:rsidRPr="45232D93">
        <w:t xml:space="preserve">an attack on the </w:t>
      </w:r>
      <w:r w:rsidR="2F3D5AAD">
        <w:t>c</w:t>
      </w:r>
      <w:r w:rsidR="3C9D6EAA" w:rsidRPr="45232D93">
        <w:t>ity of Baku in Azerbaijan on 20 January 1990</w:t>
      </w:r>
      <w:r w:rsidR="2F3D5AAD">
        <w:t>, allegedly resulting in deaths</w:t>
      </w:r>
      <w:r w:rsidR="3C9D6EAA" w:rsidRPr="45232D93">
        <w:t>.</w:t>
      </w:r>
      <w:r w:rsidR="00D17170" w:rsidRPr="45232D93">
        <w:rPr>
          <w:rStyle w:val="FootnoteReference"/>
        </w:rPr>
        <w:footnoteReference w:id="16"/>
      </w:r>
      <w:r w:rsidR="3C9D6EAA" w:rsidRPr="45232D93">
        <w:t xml:space="preserve"> There is a clear tension between the conferral of </w:t>
      </w:r>
      <w:r w:rsidR="56A21DA5" w:rsidRPr="45232D93">
        <w:t>special mission immunity</w:t>
      </w:r>
      <w:r w:rsidR="3C9D6EAA" w:rsidRPr="45232D93">
        <w:t xml:space="preserve"> and several of the UK’s international legal obligations.</w:t>
      </w:r>
      <w:r w:rsidR="77587636">
        <w:t xml:space="preserve"> </w:t>
      </w:r>
      <w:r w:rsidR="2D60F962" w:rsidRPr="45232D93">
        <w:t>The UK should</w:t>
      </w:r>
      <w:r w:rsidR="66F478AB" w:rsidRPr="45232D93">
        <w:t xml:space="preserve"> </w:t>
      </w:r>
      <w:r w:rsidR="00F5F0F9" w:rsidRPr="45232D93">
        <w:t>therefore</w:t>
      </w:r>
      <w:r w:rsidR="2D60F962" w:rsidRPr="45232D93">
        <w:t xml:space="preserve"> codify its approach to special mission immunity, including its scope under customary international law. The UK should refuse to accept an individual as being on a special mission, and potentially entitled to immunity, when there are reasonable grounds to suspect that the individual has been involved in or associated with international crimes including torture, war crimes, crimes against humanity or genocide.</w:t>
      </w:r>
      <w:r w:rsidR="005D1027" w:rsidRPr="45232D93">
        <w:rPr>
          <w:rStyle w:val="FootnoteReference"/>
        </w:rPr>
        <w:footnoteReference w:id="17"/>
      </w:r>
      <w:r w:rsidR="2D60F962" w:rsidRPr="45232D93">
        <w:t xml:space="preserve"> Reasonable </w:t>
      </w:r>
      <w:r w:rsidR="2D60F962" w:rsidRPr="00AB056A">
        <w:t>grounds</w:t>
      </w:r>
      <w:r w:rsidR="2D60F962" w:rsidRPr="45232D93">
        <w:t xml:space="preserve"> include instances when the individual is identified as a suspect by the International Criminal Court, the UK authorities or a UN investigative mechanism.</w:t>
      </w:r>
      <w:r w:rsidR="005D1027" w:rsidRPr="45232D93">
        <w:rPr>
          <w:rStyle w:val="FootnoteReference"/>
        </w:rPr>
        <w:footnoteReference w:id="18"/>
      </w:r>
    </w:p>
    <w:p w14:paraId="776AF568" w14:textId="039D00FA" w:rsidR="00FA63C1" w:rsidRPr="004A2C94" w:rsidRDefault="2A2BB2D2" w:rsidP="00D61281">
      <w:pPr>
        <w:pStyle w:val="RBasicText"/>
      </w:pPr>
      <w:r w:rsidRPr="02D873CA">
        <w:t xml:space="preserve">The UK should </w:t>
      </w:r>
      <w:r w:rsidR="5F366926" w:rsidRPr="02D873CA">
        <w:t>review its legal framework in re</w:t>
      </w:r>
      <w:r w:rsidR="762CB365" w:rsidRPr="02D873CA">
        <w:t xml:space="preserve">lation to universal jurisdiction and </w:t>
      </w:r>
      <w:r w:rsidRPr="02D873CA">
        <w:t xml:space="preserve">close loopholes </w:t>
      </w:r>
      <w:r w:rsidR="0CC098FE" w:rsidRPr="02D873CA">
        <w:t xml:space="preserve">that prevent accountability for perpetrators of international crimes </w:t>
      </w:r>
      <w:r w:rsidRPr="02D873CA">
        <w:t>who come to the UK.</w:t>
      </w:r>
    </w:p>
    <w:p w14:paraId="132C7344" w14:textId="77777777" w:rsidR="00912543" w:rsidRDefault="00912543">
      <w:pPr>
        <w:rPr>
          <w:rFonts w:ascii="Calibri" w:eastAsia="Times New Roman" w:hAnsi="Calibri" w:cs="Calibri"/>
          <w:b/>
          <w:bCs/>
          <w:caps/>
          <w:kern w:val="0"/>
          <w:sz w:val="28"/>
          <w:szCs w:val="28"/>
          <w:lang w:val="en-GB"/>
          <w14:ligatures w14:val="none"/>
        </w:rPr>
      </w:pPr>
      <w:bookmarkStart w:id="12" w:name="_Toc1558653692"/>
      <w:bookmarkStart w:id="13" w:name="_Toc338163275"/>
      <w:r>
        <w:rPr>
          <w:rFonts w:ascii="Calibri" w:hAnsi="Calibri" w:cs="Calibri"/>
          <w:sz w:val="28"/>
          <w:szCs w:val="28"/>
        </w:rPr>
        <w:br w:type="page"/>
      </w:r>
    </w:p>
    <w:p w14:paraId="5F0A9EC2" w14:textId="43D3107D" w:rsidR="007C4047" w:rsidRPr="003F1355" w:rsidRDefault="0049207C" w:rsidP="007C4047">
      <w:pPr>
        <w:pStyle w:val="RHeadingLevelOne"/>
        <w:pBdr>
          <w:bottom w:val="single" w:sz="24" w:space="1" w:color="FBDD35"/>
        </w:pBdr>
        <w:spacing w:before="360"/>
        <w:ind w:left="0"/>
        <w:rPr>
          <w:rFonts w:ascii="Calibri" w:hAnsi="Calibri" w:cs="Calibri"/>
          <w:sz w:val="28"/>
          <w:szCs w:val="28"/>
        </w:rPr>
      </w:pPr>
      <w:bookmarkStart w:id="14" w:name="_Toc157769653"/>
      <w:r>
        <w:rPr>
          <w:rFonts w:ascii="Calibri" w:hAnsi="Calibri" w:cs="Calibri"/>
          <w:sz w:val="28"/>
          <w:szCs w:val="28"/>
        </w:rPr>
        <w:lastRenderedPageBreak/>
        <w:t xml:space="preserve">2. </w:t>
      </w:r>
      <w:r w:rsidR="007C4047">
        <w:rPr>
          <w:rFonts w:ascii="Calibri" w:hAnsi="Calibri" w:cs="Calibri"/>
          <w:sz w:val="28"/>
          <w:szCs w:val="28"/>
        </w:rPr>
        <w:t>UK involvement in torture/rendition</w:t>
      </w:r>
      <w:bookmarkEnd w:id="12"/>
      <w:bookmarkEnd w:id="13"/>
      <w:bookmarkEnd w:id="14"/>
    </w:p>
    <w:p w14:paraId="70B06673" w14:textId="5D24979A" w:rsidR="00DB1F87" w:rsidRDefault="00212088" w:rsidP="00345CD7">
      <w:pPr>
        <w:pStyle w:val="RBasicText"/>
        <w:numPr>
          <w:ilvl w:val="0"/>
          <w:numId w:val="0"/>
        </w:numPr>
        <w:spacing w:line="259" w:lineRule="auto"/>
        <w:ind w:firstLine="20"/>
      </w:pPr>
      <w:r>
        <w:rPr>
          <w:i/>
          <w:iCs/>
        </w:rPr>
        <w:t xml:space="preserve">Summary: </w:t>
      </w:r>
      <w:r w:rsidRPr="00212088">
        <w:rPr>
          <w:i/>
          <w:iCs/>
        </w:rPr>
        <w:t xml:space="preserve">The UK should </w:t>
      </w:r>
      <w:r w:rsidR="00B80649">
        <w:rPr>
          <w:i/>
          <w:iCs/>
        </w:rPr>
        <w:t>ensure that there is a prompt, effective and impartial investigation into any allegations of</w:t>
      </w:r>
      <w:r w:rsidRPr="00212088">
        <w:rPr>
          <w:i/>
          <w:iCs/>
        </w:rPr>
        <w:t xml:space="preserve"> </w:t>
      </w:r>
      <w:r w:rsidR="00A012E5">
        <w:rPr>
          <w:i/>
          <w:iCs/>
        </w:rPr>
        <w:t xml:space="preserve">collusion by its officials in </w:t>
      </w:r>
      <w:r w:rsidRPr="00212088">
        <w:rPr>
          <w:i/>
          <w:iCs/>
        </w:rPr>
        <w:t xml:space="preserve">torture and/or </w:t>
      </w:r>
      <w:r w:rsidR="00A012E5">
        <w:rPr>
          <w:i/>
          <w:iCs/>
        </w:rPr>
        <w:t>rendition.</w:t>
      </w:r>
      <w:r w:rsidR="00A012E5" w:rsidRPr="4E49A2EE" w:rsidDel="00212088">
        <w:t xml:space="preserve"> </w:t>
      </w:r>
    </w:p>
    <w:p w14:paraId="3A574B1B" w14:textId="69ADD781" w:rsidR="00DB1F87" w:rsidRDefault="0074671A" w:rsidP="00AB056A">
      <w:pPr>
        <w:pStyle w:val="RBasicText"/>
      </w:pPr>
      <w:bookmarkStart w:id="15" w:name="_Ref157433296"/>
      <w:r>
        <w:t xml:space="preserve">In relation to </w:t>
      </w:r>
      <w:r w:rsidR="009340C9">
        <w:t>the prohibition of</w:t>
      </w:r>
      <w:r w:rsidR="00E22593" w:rsidRPr="00E22593">
        <w:t xml:space="preserve"> torture and cruel, inhuman or degrading treatment or punishment, right to liberty and security of person, and counter-terrorism measures (</w:t>
      </w:r>
      <w:r w:rsidR="6E316EB1" w:rsidRPr="45232D93">
        <w:t xml:space="preserve">ICCPR, </w:t>
      </w:r>
      <w:r w:rsidR="00E22593" w:rsidRPr="00E22593">
        <w:t>arts. 2, 4, 7, 9, 10, 14 and 19)</w:t>
      </w:r>
      <w:r w:rsidR="00E22593">
        <w:t xml:space="preserve">, we note the </w:t>
      </w:r>
      <w:r w:rsidR="001A6C28">
        <w:t>request in the list of issues for the State to “</w:t>
      </w:r>
      <w:r w:rsidR="001A6C28" w:rsidRPr="001A6C28">
        <w:t>provide updated information on the steps taken to effectively investigate the alleged involvement of the British authorities in rendition programmes and on follow-up measures taken</w:t>
      </w:r>
      <w:r w:rsidR="001A6C28">
        <w:t>”</w:t>
      </w:r>
      <w:r w:rsidR="00B54096">
        <w:t>.</w:t>
      </w:r>
      <w:r w:rsidR="00B54096">
        <w:rPr>
          <w:rStyle w:val="FootnoteReference"/>
        </w:rPr>
        <w:footnoteReference w:id="19"/>
      </w:r>
      <w:bookmarkEnd w:id="15"/>
      <w:r w:rsidR="001A6C28">
        <w:t xml:space="preserve"> </w:t>
      </w:r>
    </w:p>
    <w:p w14:paraId="4B67D3D6" w14:textId="3090607C" w:rsidR="000A1397" w:rsidRDefault="00611DEB" w:rsidP="00D61281">
      <w:pPr>
        <w:pStyle w:val="RBasicText"/>
      </w:pPr>
      <w:r>
        <w:t>The United Kingdom has</w:t>
      </w:r>
      <w:r w:rsidR="00BA6C08">
        <w:t xml:space="preserve">, along with </w:t>
      </w:r>
      <w:r w:rsidR="009F061A">
        <w:t xml:space="preserve">a number of </w:t>
      </w:r>
      <w:r w:rsidR="00BA6C08">
        <w:t xml:space="preserve">other European States, long been accused of </w:t>
      </w:r>
      <w:r w:rsidR="003C67AF" w:rsidRPr="003C67AF">
        <w:t xml:space="preserve">passive or active involvement in the </w:t>
      </w:r>
      <w:r w:rsidR="003C67AF">
        <w:t xml:space="preserve">US </w:t>
      </w:r>
      <w:r w:rsidR="003C67AF" w:rsidRPr="003C67AF">
        <w:t xml:space="preserve">CIA’s </w:t>
      </w:r>
      <w:r w:rsidR="00391566">
        <w:t xml:space="preserve">secret detention </w:t>
      </w:r>
      <w:r w:rsidR="003C67AF" w:rsidRPr="003C67AF">
        <w:t>programme</w:t>
      </w:r>
      <w:r w:rsidR="00391566">
        <w:t>, set up in the aftermath of the 9/11 attacks</w:t>
      </w:r>
      <w:r w:rsidR="009F061A">
        <w:t>.</w:t>
      </w:r>
      <w:r w:rsidR="00361D09">
        <w:rPr>
          <w:rStyle w:val="FootnoteReference"/>
        </w:rPr>
        <w:footnoteReference w:id="20"/>
      </w:r>
      <w:r w:rsidR="003C67AF" w:rsidRPr="003C67AF">
        <w:t xml:space="preserve"> </w:t>
      </w:r>
      <w:r w:rsidR="009F061A">
        <w:t>Numerous international bodies</w:t>
      </w:r>
      <w:r w:rsidR="00E62155">
        <w:t xml:space="preserve"> (not least the European Court of Human Rights</w:t>
      </w:r>
      <w:r w:rsidR="002C0DDD">
        <w:t>)</w:t>
      </w:r>
      <w:r w:rsidR="00E62155">
        <w:t xml:space="preserve"> have </w:t>
      </w:r>
      <w:r w:rsidR="003C67AF" w:rsidRPr="003C67AF">
        <w:t xml:space="preserve">urged </w:t>
      </w:r>
      <w:r w:rsidR="00E62155">
        <w:t>these European States</w:t>
      </w:r>
      <w:r w:rsidR="003C67AF" w:rsidRPr="003C67AF">
        <w:t xml:space="preserve"> to conduct effective investigations into allegations of torture and other ill-treatment, in line with their international legal obligations</w:t>
      </w:r>
      <w:r w:rsidR="003C67AF" w:rsidRPr="45232D93">
        <w:t>.</w:t>
      </w:r>
      <w:r w:rsidR="0089515A">
        <w:rPr>
          <w:rStyle w:val="FootnoteReference"/>
        </w:rPr>
        <w:footnoteReference w:id="21"/>
      </w:r>
    </w:p>
    <w:p w14:paraId="41E91211" w14:textId="043565E4" w:rsidR="00DB1F87" w:rsidRDefault="009F7483" w:rsidP="00D61281">
      <w:pPr>
        <w:pStyle w:val="RBasicText"/>
      </w:pPr>
      <w:r>
        <w:t>One such case is that of REDRESS’s client, Mr Mustafa al-Hawsawi</w:t>
      </w:r>
      <w:r w:rsidR="005E1DCA">
        <w:t xml:space="preserve">, who was </w:t>
      </w:r>
      <w:r w:rsidR="07202832">
        <w:t xml:space="preserve">arbitrarily </w:t>
      </w:r>
      <w:r w:rsidR="005E1DCA">
        <w:t xml:space="preserve">detained </w:t>
      </w:r>
      <w:r w:rsidR="07202832">
        <w:t xml:space="preserve">and ill-treated </w:t>
      </w:r>
      <w:r w:rsidR="005E1DCA">
        <w:t>in Lithuania</w:t>
      </w:r>
      <w:r w:rsidR="49ABF98B">
        <w:t xml:space="preserve">, after which he was </w:t>
      </w:r>
      <w:r w:rsidR="6CBB0112">
        <w:t xml:space="preserve">transferred </w:t>
      </w:r>
      <w:r w:rsidR="49ABF98B">
        <w:t xml:space="preserve">to </w:t>
      </w:r>
      <w:r w:rsidR="6CBB0112">
        <w:t xml:space="preserve">Guantanamo, where </w:t>
      </w:r>
      <w:r w:rsidR="631D393E">
        <w:t xml:space="preserve">he suffered further </w:t>
      </w:r>
      <w:r w:rsidR="6CBB0112">
        <w:t>torture.</w:t>
      </w:r>
      <w:r w:rsidR="49ABF98B">
        <w:t xml:space="preserve"> </w:t>
      </w:r>
      <w:r w:rsidR="6CBB0112" w:rsidRPr="00AB056A">
        <w:t>The</w:t>
      </w:r>
      <w:r w:rsidR="00184482">
        <w:t xml:space="preserve"> case has recently been the subject of a judgment by the European Court of Human Rights</w:t>
      </w:r>
      <w:r w:rsidR="00DB0A44">
        <w:t>.</w:t>
      </w:r>
      <w:r w:rsidR="00DB0A44">
        <w:rPr>
          <w:rStyle w:val="FootnoteReference"/>
        </w:rPr>
        <w:footnoteReference w:id="22"/>
      </w:r>
      <w:r w:rsidR="000F4594">
        <w:t xml:space="preserve"> Lithuanian’s </w:t>
      </w:r>
      <w:r w:rsidR="00CC4CC2">
        <w:t>investigation of Mr al-Hawsawi’s allegations</w:t>
      </w:r>
      <w:r w:rsidR="000F4594">
        <w:t xml:space="preserve"> has been the subject of previous Human Rights Committee concern</w:t>
      </w:r>
      <w:r w:rsidR="00F6236D">
        <w:t>,</w:t>
      </w:r>
      <w:r w:rsidR="00DB0A44">
        <w:rPr>
          <w:rStyle w:val="FootnoteReference"/>
        </w:rPr>
        <w:footnoteReference w:id="23"/>
      </w:r>
      <w:r w:rsidR="00400E0E">
        <w:t xml:space="preserve"> and the European Court of Human Rights’ judgment recently </w:t>
      </w:r>
      <w:r w:rsidR="00DB0A44">
        <w:t>confirmed again</w:t>
      </w:r>
      <w:r w:rsidR="00400E0E">
        <w:t xml:space="preserve"> that the </w:t>
      </w:r>
      <w:r w:rsidR="00586EDE">
        <w:t xml:space="preserve">investigation </w:t>
      </w:r>
      <w:r w:rsidR="00586EDE" w:rsidRPr="00586EDE">
        <w:t>No. 01-2-00015-14</w:t>
      </w:r>
      <w:r w:rsidR="00586EDE">
        <w:t xml:space="preserve"> (which covers the cases of </w:t>
      </w:r>
      <w:r w:rsidR="00AF0537">
        <w:t xml:space="preserve">both </w:t>
      </w:r>
      <w:r w:rsidR="00586EDE">
        <w:t>al-Hawsawi and Abu Zubaydah)</w:t>
      </w:r>
      <w:r w:rsidR="00B71868">
        <w:t xml:space="preserve"> still remains pending.</w:t>
      </w:r>
    </w:p>
    <w:p w14:paraId="06AF9314" w14:textId="3A57D64D" w:rsidR="00287080" w:rsidRDefault="00287080" w:rsidP="00D61281">
      <w:pPr>
        <w:pStyle w:val="RBasicText"/>
      </w:pPr>
      <w:r>
        <w:t xml:space="preserve">The al-Hawsawi case is also particularly relevant to the UK, as </w:t>
      </w:r>
      <w:r w:rsidR="00F6236D">
        <w:t>in 2023</w:t>
      </w:r>
      <w:r>
        <w:t xml:space="preserve"> the Investigatory Powers Tribunal</w:t>
      </w:r>
      <w:r w:rsidR="0057258D">
        <w:t xml:space="preserve"> (IPT)</w:t>
      </w:r>
      <w:r>
        <w:t xml:space="preserve"> – the judicial body which oversees the actions of the UK intelligence services – opened two separate investigations into allegations that UK agencies were involved in the ill-treatment of two prisoners detained by the US,</w:t>
      </w:r>
      <w:r w:rsidR="00DB0A44">
        <w:t xml:space="preserve"> Mr</w:t>
      </w:r>
      <w:r>
        <w:t xml:space="preserve"> al-Hawsawi and Abd al-Rahim al-Nashiri.</w:t>
      </w:r>
      <w:r w:rsidR="00DA13CF">
        <w:rPr>
          <w:rStyle w:val="FootnoteReference"/>
        </w:rPr>
        <w:footnoteReference w:id="24"/>
      </w:r>
      <w:r>
        <w:t xml:space="preserve"> There is evidence to suggest that UK intelligence agencies facilitated or conspired with US authorities in the torture and ill-treatment of </w:t>
      </w:r>
      <w:r>
        <w:lastRenderedPageBreak/>
        <w:t>those 17 prisoners classed as ‘high-value detainees’ within the CIA programme (which included al-Hawsawi</w:t>
      </w:r>
      <w:r w:rsidR="00305FE7">
        <w:t xml:space="preserve"> </w:t>
      </w:r>
      <w:r w:rsidR="004F67E7">
        <w:t>and al-Nashiri</w:t>
      </w:r>
      <w:r>
        <w:t>).</w:t>
      </w:r>
    </w:p>
    <w:p w14:paraId="2566E60D" w14:textId="568B41E3" w:rsidR="00DB1F87" w:rsidRDefault="00287080" w:rsidP="00D61281">
      <w:pPr>
        <w:pStyle w:val="RBasicText"/>
      </w:pPr>
      <w:r>
        <w:t xml:space="preserve">Allegations of the UK intelligence services’ collusion in torture have </w:t>
      </w:r>
      <w:r w:rsidR="00520F66">
        <w:t xml:space="preserve">also </w:t>
      </w:r>
      <w:r>
        <w:t>resurfaced in recent years in the case of Jagtar Singh Johal, a British national who has been arbitrarily detained in India since 2017</w:t>
      </w:r>
      <w:r w:rsidRPr="45232D93">
        <w:t>.</w:t>
      </w:r>
      <w:r w:rsidR="00225255">
        <w:rPr>
          <w:rStyle w:val="FootnoteReference"/>
        </w:rPr>
        <w:footnoteReference w:id="25"/>
      </w:r>
      <w:r>
        <w:t xml:space="preserve"> UK intelligence agencies are accused of tipping off Indian authorities about him before his abduction and torture by Indian police.</w:t>
      </w:r>
      <w:r w:rsidR="00A84E33">
        <w:rPr>
          <w:rStyle w:val="FootnoteReference"/>
        </w:rPr>
        <w:footnoteReference w:id="26"/>
      </w:r>
    </w:p>
    <w:p w14:paraId="5E571A7D" w14:textId="6DD0F518" w:rsidR="00BF044E" w:rsidRDefault="00BF044E" w:rsidP="00D61281">
      <w:pPr>
        <w:pStyle w:val="RBasicText"/>
      </w:pPr>
      <w:r>
        <w:t xml:space="preserve">The UK’s response to </w:t>
      </w:r>
      <w:r w:rsidR="000A4406">
        <w:t>the UN</w:t>
      </w:r>
      <w:r w:rsidR="00913800">
        <w:t xml:space="preserve"> Human Rights Committee’s</w:t>
      </w:r>
      <w:r w:rsidR="000A4406">
        <w:t xml:space="preserve"> List of Issues</w:t>
      </w:r>
      <w:r w:rsidR="00913800">
        <w:t xml:space="preserve"> on </w:t>
      </w:r>
      <w:r w:rsidR="00405DD7">
        <w:t>the question of investigations into rendition and related matters</w:t>
      </w:r>
      <w:r w:rsidR="00A57C71">
        <w:rPr>
          <w:rStyle w:val="FootnoteReference"/>
        </w:rPr>
        <w:footnoteReference w:id="27"/>
      </w:r>
      <w:r w:rsidR="00151997">
        <w:t xml:space="preserve"> </w:t>
      </w:r>
      <w:r w:rsidR="009D0EB4">
        <w:t xml:space="preserve">largely focuses on past events and improvements to its policies and procedures put in place since then. It </w:t>
      </w:r>
      <w:r w:rsidR="000F26A3">
        <w:t>refers</w:t>
      </w:r>
      <w:r w:rsidR="00151997">
        <w:t xml:space="preserve"> to</w:t>
      </w:r>
      <w:r w:rsidR="00955835">
        <w:t xml:space="preserve"> the evidence it gave to the </w:t>
      </w:r>
      <w:r w:rsidR="002F0609">
        <w:t xml:space="preserve">Intelligence and Security Committee’s </w:t>
      </w:r>
      <w:r w:rsidR="00145051">
        <w:t xml:space="preserve">(ISC) </w:t>
      </w:r>
      <w:r w:rsidR="00955835">
        <w:t xml:space="preserve">inquiry which led to its </w:t>
      </w:r>
      <w:r w:rsidR="002F0609">
        <w:t>2018 report</w:t>
      </w:r>
      <w:r w:rsidR="00955835">
        <w:t>,</w:t>
      </w:r>
      <w:r w:rsidR="00955835">
        <w:rPr>
          <w:rStyle w:val="FootnoteReference"/>
        </w:rPr>
        <w:footnoteReference w:id="28"/>
      </w:r>
      <w:r w:rsidR="002F0609">
        <w:t xml:space="preserve"> and its statement in Parliament</w:t>
      </w:r>
      <w:r w:rsidR="00CB7D9D">
        <w:t xml:space="preserve"> on 18 July 2019</w:t>
      </w:r>
      <w:r w:rsidR="00904ECC">
        <w:rPr>
          <w:rStyle w:val="FootnoteReference"/>
        </w:rPr>
        <w:footnoteReference w:id="29"/>
      </w:r>
      <w:r w:rsidR="00B0668F">
        <w:t xml:space="preserve"> in which it </w:t>
      </w:r>
      <w:r w:rsidR="007F3306">
        <w:t>stressed that</w:t>
      </w:r>
      <w:r w:rsidR="009A1224">
        <w:t xml:space="preserve"> “</w:t>
      </w:r>
      <w:r w:rsidR="009A1224" w:rsidRPr="009A1224">
        <w:t>the ISC found no evidence to support allegations that UK personnel directly carried out physical mistreatment of detainees</w:t>
      </w:r>
      <w:r w:rsidR="009A1224">
        <w:t>” and that “</w:t>
      </w:r>
      <w:r w:rsidR="003D343A">
        <w:t>l</w:t>
      </w:r>
      <w:r w:rsidR="003D343A" w:rsidRPr="003D343A">
        <w:t>essons have been learned from these challenging events</w:t>
      </w:r>
      <w:r w:rsidR="003D343A">
        <w:t>”</w:t>
      </w:r>
      <w:r w:rsidR="001573E3">
        <w:t>.</w:t>
      </w:r>
      <w:r w:rsidR="00AB0BE8">
        <w:t xml:space="preserve"> It further states that “the UK </w:t>
      </w:r>
      <w:r w:rsidR="0A115333">
        <w:t>G</w:t>
      </w:r>
      <w:r w:rsidR="1EC247A1">
        <w:t>overnment</w:t>
      </w:r>
      <w:r w:rsidR="00AB0BE8">
        <w:t xml:space="preserve"> investigates allegations against UK personnel and bring complaints to the attention of detaining authorities in other countries, except where to do so might itself lead to unacceptable treatment.</w:t>
      </w:r>
      <w:r w:rsidR="00062CFC">
        <w:t>”</w:t>
      </w:r>
    </w:p>
    <w:p w14:paraId="34B09861" w14:textId="7345D44D" w:rsidR="001573E3" w:rsidRDefault="001573E3" w:rsidP="00D61281">
      <w:pPr>
        <w:pStyle w:val="RBasicText"/>
      </w:pPr>
      <w:r>
        <w:t>The al-Hawsawi</w:t>
      </w:r>
      <w:r w:rsidR="00EE6B4A">
        <w:t>/al-Nashiri</w:t>
      </w:r>
      <w:r>
        <w:t xml:space="preserve"> allegations, currently being investigated by the </w:t>
      </w:r>
      <w:r w:rsidR="0057258D">
        <w:t>IPT, and the allegations of collusion that have been made</w:t>
      </w:r>
      <w:r w:rsidR="003746D8">
        <w:t xml:space="preserve"> in the Jagtar Singh Johal case, would suggest that </w:t>
      </w:r>
      <w:r w:rsidR="003627B9">
        <w:t xml:space="preserve">the UK response to the List of </w:t>
      </w:r>
      <w:r w:rsidR="00371A48">
        <w:t xml:space="preserve">Issues </w:t>
      </w:r>
      <w:r w:rsidR="006A089C">
        <w:t xml:space="preserve">is </w:t>
      </w:r>
      <w:r w:rsidR="003746D8">
        <w:t>insufficient</w:t>
      </w:r>
      <w:r w:rsidR="00AB365F">
        <w:t xml:space="preserve"> to ensure that the UK is abiding by its obligations under the ICCPR</w:t>
      </w:r>
      <w:r w:rsidR="00676B97">
        <w:t>. Specifically, there are</w:t>
      </w:r>
      <w:r w:rsidR="006E664E">
        <w:t xml:space="preserve"> (a) additional past events which require investigation</w:t>
      </w:r>
      <w:r w:rsidR="00676B97">
        <w:t xml:space="preserve"> (such as the allegations made by al-Hawsawi and al-Nashiri)</w:t>
      </w:r>
      <w:r w:rsidR="006E664E">
        <w:t>, and (b) emerging</w:t>
      </w:r>
      <w:r w:rsidR="000B605E">
        <w:t xml:space="preserve"> new allegations</w:t>
      </w:r>
      <w:r w:rsidR="00882FBC">
        <w:t xml:space="preserve"> which require investigation (such as those in the case of Jagtar Singh Johal)</w:t>
      </w:r>
      <w:r w:rsidR="00AB365F">
        <w:t>.</w:t>
      </w:r>
    </w:p>
    <w:p w14:paraId="3ADED6C9" w14:textId="55FD917F" w:rsidR="007C4047" w:rsidRPr="0049207C" w:rsidRDefault="00522D31" w:rsidP="00D61281">
      <w:pPr>
        <w:pStyle w:val="RBasicText"/>
      </w:pPr>
      <w:r w:rsidRPr="00345CD7">
        <w:t xml:space="preserve">The UK should </w:t>
      </w:r>
      <w:r w:rsidR="00257806">
        <w:t xml:space="preserve">ensure that there are prompt, effective </w:t>
      </w:r>
      <w:r w:rsidR="00257806" w:rsidRPr="00AB056A">
        <w:t>and</w:t>
      </w:r>
      <w:r w:rsidR="00257806">
        <w:t xml:space="preserve"> impartial investi</w:t>
      </w:r>
      <w:r w:rsidR="00155D75">
        <w:t>gations</w:t>
      </w:r>
      <w:r w:rsidR="00B4447A">
        <w:t xml:space="preserve"> into allegations of </w:t>
      </w:r>
      <w:r w:rsidR="001F56BA">
        <w:t xml:space="preserve">collusion in </w:t>
      </w:r>
      <w:r w:rsidR="001F56BA" w:rsidRPr="00D61281">
        <w:t>torture</w:t>
      </w:r>
      <w:r w:rsidR="001F56BA">
        <w:t xml:space="preserve">/rendition, and </w:t>
      </w:r>
      <w:r w:rsidRPr="00345CD7">
        <w:t>cooperate fully with any investigations in relation to these matters</w:t>
      </w:r>
      <w:r w:rsidR="00B76062" w:rsidRPr="00345CD7">
        <w:t xml:space="preserve">, </w:t>
      </w:r>
      <w:r w:rsidR="001F56BA">
        <w:t>ensuring</w:t>
      </w:r>
      <w:r w:rsidR="00B76062" w:rsidRPr="00345CD7">
        <w:t xml:space="preserve"> that there is accountability for</w:t>
      </w:r>
      <w:r w:rsidR="00C26D29" w:rsidRPr="00345CD7">
        <w:t xml:space="preserve"> any UK officials</w:t>
      </w:r>
      <w:r w:rsidR="008D2FF4" w:rsidRPr="00345CD7">
        <w:t xml:space="preserve"> found to have been responsible</w:t>
      </w:r>
      <w:r w:rsidRPr="00345CD7">
        <w:t>.</w:t>
      </w:r>
    </w:p>
    <w:p w14:paraId="606129DB" w14:textId="36AAEBCE" w:rsidR="007C4047" w:rsidRPr="003F1355" w:rsidRDefault="7EA6D20A" w:rsidP="02D873CA">
      <w:pPr>
        <w:pStyle w:val="RHeadingLevelOne"/>
        <w:pBdr>
          <w:bottom w:val="single" w:sz="24" w:space="1" w:color="FBDD35"/>
        </w:pBdr>
        <w:spacing w:before="360"/>
        <w:ind w:left="0"/>
        <w:rPr>
          <w:rFonts w:ascii="Calibri" w:hAnsi="Calibri" w:cs="Calibri"/>
          <w:sz w:val="28"/>
          <w:szCs w:val="28"/>
        </w:rPr>
      </w:pPr>
      <w:bookmarkStart w:id="16" w:name="_Toc1056368015"/>
      <w:bookmarkStart w:id="17" w:name="_Toc895413925"/>
      <w:bookmarkStart w:id="18" w:name="_Toc157769654"/>
      <w:r w:rsidRPr="02D873CA">
        <w:rPr>
          <w:rFonts w:ascii="Calibri" w:hAnsi="Calibri" w:cs="Calibri"/>
          <w:sz w:val="28"/>
          <w:szCs w:val="28"/>
        </w:rPr>
        <w:t xml:space="preserve">3. </w:t>
      </w:r>
      <w:r w:rsidR="007C4047">
        <w:rPr>
          <w:rFonts w:ascii="Calibri" w:hAnsi="Calibri" w:cs="Calibri"/>
          <w:sz w:val="28"/>
          <w:szCs w:val="28"/>
        </w:rPr>
        <w:t>Non-refoulement</w:t>
      </w:r>
      <w:bookmarkEnd w:id="16"/>
      <w:bookmarkEnd w:id="17"/>
      <w:bookmarkEnd w:id="18"/>
    </w:p>
    <w:p w14:paraId="6FBA1948" w14:textId="0C2F4737" w:rsidR="00DB1F87" w:rsidRPr="00963D37" w:rsidRDefault="00E7261F" w:rsidP="00963D37">
      <w:pPr>
        <w:pStyle w:val="RBasicText"/>
        <w:numPr>
          <w:ilvl w:val="0"/>
          <w:numId w:val="0"/>
        </w:numPr>
        <w:spacing w:line="259" w:lineRule="auto"/>
        <w:rPr>
          <w:rFonts w:ascii="Calibri" w:eastAsia="Calibri" w:hAnsi="Calibri" w:cs="Calibri"/>
          <w:i/>
          <w:color w:val="000000" w:themeColor="text1"/>
        </w:rPr>
      </w:pPr>
      <w:r w:rsidRPr="00963D37">
        <w:rPr>
          <w:rFonts w:ascii="Calibri" w:eastAsia="Calibri" w:hAnsi="Calibri" w:cs="Calibri"/>
          <w:i/>
          <w:iCs/>
          <w:color w:val="000000" w:themeColor="text1"/>
        </w:rPr>
        <w:t xml:space="preserve">Summary: </w:t>
      </w:r>
      <w:r w:rsidR="00963D37">
        <w:rPr>
          <w:rFonts w:ascii="Calibri" w:eastAsia="Calibri" w:hAnsi="Calibri" w:cs="Calibri"/>
          <w:i/>
          <w:iCs/>
          <w:color w:val="000000" w:themeColor="text1"/>
        </w:rPr>
        <w:t>In the light of recent legislative developments, t</w:t>
      </w:r>
      <w:r w:rsidRPr="00963D37">
        <w:rPr>
          <w:rFonts w:ascii="Calibri" w:eastAsia="Calibri" w:hAnsi="Calibri" w:cs="Calibri"/>
          <w:i/>
          <w:iCs/>
          <w:color w:val="000000" w:themeColor="text1"/>
        </w:rPr>
        <w:t>he UK Government must be urged to adhere to its international legal obligations including the absolute prohibition on torture</w:t>
      </w:r>
      <w:r w:rsidR="00104786">
        <w:rPr>
          <w:rFonts w:ascii="Calibri" w:eastAsia="Calibri" w:hAnsi="Calibri" w:cs="Calibri"/>
          <w:i/>
          <w:iCs/>
          <w:color w:val="000000" w:themeColor="text1"/>
        </w:rPr>
        <w:t xml:space="preserve">, and the </w:t>
      </w:r>
      <w:r w:rsidR="009E2E13">
        <w:rPr>
          <w:rFonts w:ascii="Calibri" w:eastAsia="Calibri" w:hAnsi="Calibri" w:cs="Calibri"/>
          <w:i/>
          <w:iCs/>
          <w:color w:val="000000" w:themeColor="text1"/>
        </w:rPr>
        <w:t>ban on refoulement</w:t>
      </w:r>
      <w:r w:rsidR="00DB1F87" w:rsidRPr="00963D37">
        <w:rPr>
          <w:rFonts w:ascii="Calibri" w:eastAsia="Calibri" w:hAnsi="Calibri" w:cs="Calibri"/>
          <w:i/>
          <w:iCs/>
          <w:color w:val="000000" w:themeColor="text1"/>
        </w:rPr>
        <w:t>.</w:t>
      </w:r>
    </w:p>
    <w:p w14:paraId="11CFF869" w14:textId="19DC8514" w:rsidR="00A2584E" w:rsidRDefault="00531887" w:rsidP="00D61281">
      <w:pPr>
        <w:pStyle w:val="RBasicText"/>
        <w:rPr>
          <w:rFonts w:eastAsia="Calibri"/>
        </w:rPr>
      </w:pPr>
      <w:r>
        <w:rPr>
          <w:rFonts w:eastAsia="Calibri"/>
        </w:rPr>
        <w:t>In relation to the t</w:t>
      </w:r>
      <w:r w:rsidRPr="00531887">
        <w:rPr>
          <w:rFonts w:eastAsia="Calibri"/>
        </w:rPr>
        <w:t>reatment of aliens, including migrants, refugees and asylum seekers (</w:t>
      </w:r>
      <w:r w:rsidR="4CBE2912" w:rsidRPr="45232D93">
        <w:rPr>
          <w:rFonts w:eastAsia="Calibri"/>
        </w:rPr>
        <w:t xml:space="preserve">ICCPR, </w:t>
      </w:r>
      <w:r w:rsidRPr="00531887">
        <w:rPr>
          <w:rFonts w:eastAsia="Calibri"/>
        </w:rPr>
        <w:t>arts. 2, 9, 10, 13, 14 and 26)</w:t>
      </w:r>
      <w:r w:rsidR="00FD5B5A">
        <w:rPr>
          <w:rFonts w:eastAsia="Calibri"/>
        </w:rPr>
        <w:t xml:space="preserve">, we are </w:t>
      </w:r>
      <w:r w:rsidR="00FD5B5A" w:rsidRPr="00AB056A">
        <w:rPr>
          <w:rFonts w:eastAsia="Calibri"/>
        </w:rPr>
        <w:t>gravely</w:t>
      </w:r>
      <w:r w:rsidR="00FD5B5A">
        <w:rPr>
          <w:rFonts w:eastAsia="Calibri"/>
        </w:rPr>
        <w:t xml:space="preserve"> concerned that the</w:t>
      </w:r>
      <w:r w:rsidR="00EB1114">
        <w:rPr>
          <w:rFonts w:eastAsia="Calibri"/>
        </w:rPr>
        <w:t xml:space="preserve"> UK’s </w:t>
      </w:r>
      <w:r w:rsidR="00C233D2">
        <w:rPr>
          <w:rFonts w:eastAsia="Calibri"/>
        </w:rPr>
        <w:t xml:space="preserve">new </w:t>
      </w:r>
      <w:r w:rsidR="00C233D2">
        <w:rPr>
          <w:rFonts w:eastAsia="Calibri"/>
        </w:rPr>
        <w:lastRenderedPageBreak/>
        <w:t>legislation in this area</w:t>
      </w:r>
      <w:r w:rsidR="00AE7B1B">
        <w:rPr>
          <w:rFonts w:eastAsia="Calibri"/>
        </w:rPr>
        <w:t>,</w:t>
      </w:r>
      <w:r w:rsidR="00C233D2">
        <w:rPr>
          <w:rFonts w:eastAsia="Calibri"/>
        </w:rPr>
        <w:t xml:space="preserve"> </w:t>
      </w:r>
      <w:r w:rsidR="00F05E8D">
        <w:rPr>
          <w:rFonts w:eastAsia="Calibri"/>
        </w:rPr>
        <w:t>most notably the Illegal Migration Act 2023</w:t>
      </w:r>
      <w:r w:rsidR="00C1385E">
        <w:rPr>
          <w:rStyle w:val="FootnoteReference"/>
          <w:rFonts w:ascii="Calibri" w:eastAsia="Calibri" w:hAnsi="Calibri" w:cs="Calibri"/>
          <w:color w:val="000000" w:themeColor="text1"/>
        </w:rPr>
        <w:footnoteReference w:id="30"/>
      </w:r>
      <w:r w:rsidR="003E16F0">
        <w:rPr>
          <w:rFonts w:eastAsia="Calibri"/>
        </w:rPr>
        <w:t xml:space="preserve"> and the</w:t>
      </w:r>
      <w:r w:rsidR="003B17DC">
        <w:rPr>
          <w:rFonts w:eastAsia="Calibri"/>
        </w:rPr>
        <w:t xml:space="preserve"> proposed </w:t>
      </w:r>
      <w:r w:rsidR="007827EF" w:rsidRPr="007827EF">
        <w:rPr>
          <w:rFonts w:eastAsia="Calibri"/>
        </w:rPr>
        <w:t>Safety of Rwanda (Asylum and Immigration) Bill</w:t>
      </w:r>
      <w:r w:rsidR="003D4574">
        <w:rPr>
          <w:rStyle w:val="FootnoteReference"/>
          <w:rFonts w:ascii="Calibri" w:eastAsia="Calibri" w:hAnsi="Calibri" w:cs="Calibri"/>
          <w:color w:val="000000" w:themeColor="text1"/>
        </w:rPr>
        <w:footnoteReference w:id="31"/>
      </w:r>
      <w:r w:rsidR="007827EF">
        <w:rPr>
          <w:rFonts w:eastAsia="Calibri"/>
        </w:rPr>
        <w:t xml:space="preserve"> currently passing through Parliament, together </w:t>
      </w:r>
      <w:r w:rsidR="00216A0D">
        <w:rPr>
          <w:rFonts w:eastAsia="Calibri"/>
        </w:rPr>
        <w:t>present a grave</w:t>
      </w:r>
      <w:r w:rsidR="005F2DDD">
        <w:rPr>
          <w:rFonts w:eastAsia="Calibri"/>
        </w:rPr>
        <w:t xml:space="preserve"> risk </w:t>
      </w:r>
      <w:r w:rsidR="00323CD0">
        <w:rPr>
          <w:rFonts w:eastAsia="Calibri"/>
        </w:rPr>
        <w:t xml:space="preserve">that </w:t>
      </w:r>
      <w:r w:rsidR="005F2DDD">
        <w:rPr>
          <w:rFonts w:eastAsia="Calibri"/>
        </w:rPr>
        <w:t>the UK</w:t>
      </w:r>
      <w:r w:rsidR="00323CD0">
        <w:rPr>
          <w:rFonts w:eastAsia="Calibri"/>
        </w:rPr>
        <w:t xml:space="preserve"> will breach </w:t>
      </w:r>
      <w:r w:rsidR="005F2DDD">
        <w:rPr>
          <w:rFonts w:eastAsia="Calibri"/>
        </w:rPr>
        <w:t xml:space="preserve">its ICCPR </w:t>
      </w:r>
      <w:r w:rsidR="003174ED">
        <w:rPr>
          <w:rFonts w:eastAsia="Calibri"/>
        </w:rPr>
        <w:t>obligations.</w:t>
      </w:r>
    </w:p>
    <w:p w14:paraId="1A82C3AF" w14:textId="7E8C583F" w:rsidR="00FD5B5A" w:rsidRPr="00FD5B5A" w:rsidRDefault="3B1414CB" w:rsidP="00D61281">
      <w:pPr>
        <w:pStyle w:val="RBasicText"/>
        <w:rPr>
          <w:rFonts w:eastAsia="Calibri"/>
        </w:rPr>
      </w:pPr>
      <w:r w:rsidRPr="02D873CA">
        <w:rPr>
          <w:rFonts w:eastAsia="Calibri"/>
        </w:rPr>
        <w:t xml:space="preserve">The </w:t>
      </w:r>
      <w:r w:rsidR="1AADD915" w:rsidRPr="02D873CA">
        <w:rPr>
          <w:rFonts w:eastAsia="Calibri"/>
        </w:rPr>
        <w:t>absolute</w:t>
      </w:r>
      <w:r w:rsidR="00FD5B5A" w:rsidRPr="02D873CA">
        <w:rPr>
          <w:rFonts w:eastAsia="Calibri"/>
        </w:rPr>
        <w:t xml:space="preserve"> prohibition of torture and ill-treatment is </w:t>
      </w:r>
      <w:r w:rsidR="00FD5B5A" w:rsidRPr="00AB056A">
        <w:rPr>
          <w:rFonts w:eastAsia="Calibri"/>
        </w:rPr>
        <w:t>guaranteed</w:t>
      </w:r>
      <w:r w:rsidR="00FD5B5A" w:rsidRPr="02D873CA">
        <w:rPr>
          <w:rFonts w:eastAsia="Calibri"/>
        </w:rPr>
        <w:t xml:space="preserve"> by the United Kingdom by virtue of customary international law and the ratification of various international and regional human rights instruments, including</w:t>
      </w:r>
      <w:r w:rsidR="006C51F5" w:rsidRPr="02D873CA">
        <w:rPr>
          <w:rFonts w:eastAsia="Calibri"/>
        </w:rPr>
        <w:t xml:space="preserve">, </w:t>
      </w:r>
      <w:r w:rsidR="006C51F5" w:rsidRPr="02D873CA">
        <w:rPr>
          <w:rFonts w:eastAsia="Calibri"/>
          <w:i/>
        </w:rPr>
        <w:t xml:space="preserve">inter alia, </w:t>
      </w:r>
      <w:r w:rsidR="00FD5B5A" w:rsidRPr="02D873CA">
        <w:rPr>
          <w:rFonts w:eastAsia="Calibri"/>
        </w:rPr>
        <w:t xml:space="preserve">the </w:t>
      </w:r>
      <w:r w:rsidR="00FC4803" w:rsidRPr="02D873CA">
        <w:rPr>
          <w:rFonts w:eastAsia="Calibri"/>
        </w:rPr>
        <w:t>ICCPR</w:t>
      </w:r>
      <w:r w:rsidR="006C51F5" w:rsidRPr="02D873CA">
        <w:rPr>
          <w:rFonts w:eastAsia="Calibri"/>
        </w:rPr>
        <w:t>.</w:t>
      </w:r>
    </w:p>
    <w:p w14:paraId="609D5C69" w14:textId="051FF56E" w:rsidR="000E3B25" w:rsidRPr="00963D37" w:rsidRDefault="00FD5B5A" w:rsidP="00D61281">
      <w:pPr>
        <w:pStyle w:val="RBasicText"/>
        <w:rPr>
          <w:rFonts w:eastAsia="Calibri"/>
        </w:rPr>
      </w:pPr>
      <w:r w:rsidRPr="00FD5B5A">
        <w:rPr>
          <w:rFonts w:eastAsia="Calibri"/>
        </w:rPr>
        <w:t xml:space="preserve">The prohibition incorporates a ban on sending someone to a country where he or she is at risk of torture (refoulement), or </w:t>
      </w:r>
      <w:r w:rsidRPr="00D61281">
        <w:rPr>
          <w:rFonts w:eastAsia="Calibri"/>
        </w:rPr>
        <w:t>where</w:t>
      </w:r>
      <w:r w:rsidRPr="00FD5B5A">
        <w:rPr>
          <w:rFonts w:eastAsia="Calibri"/>
        </w:rPr>
        <w:t xml:space="preserve"> there is a </w:t>
      </w:r>
      <w:r w:rsidRPr="00AB056A">
        <w:rPr>
          <w:rFonts w:eastAsia="Calibri"/>
        </w:rPr>
        <w:t>possibility</w:t>
      </w:r>
      <w:r w:rsidRPr="00FD5B5A">
        <w:rPr>
          <w:rFonts w:eastAsia="Calibri"/>
        </w:rPr>
        <w:t xml:space="preserve"> that they will be sent on to another third country where such a risk may exist.</w:t>
      </w:r>
      <w:r w:rsidR="009B67CB">
        <w:rPr>
          <w:rStyle w:val="FootnoteReference"/>
          <w:rFonts w:ascii="Calibri" w:eastAsia="Calibri" w:hAnsi="Calibri" w:cs="Calibri"/>
          <w:color w:val="000000" w:themeColor="text1"/>
        </w:rPr>
        <w:footnoteReference w:id="32"/>
      </w:r>
      <w:r w:rsidRPr="00FD5B5A">
        <w:rPr>
          <w:rFonts w:eastAsia="Calibri"/>
        </w:rPr>
        <w:t xml:space="preserve"> The absolute prohibition of refoulement to torture is even stronger </w:t>
      </w:r>
      <w:r w:rsidR="001537A2">
        <w:rPr>
          <w:rFonts w:eastAsia="Calibri"/>
        </w:rPr>
        <w:t xml:space="preserve">under the ICCPR </w:t>
      </w:r>
      <w:r w:rsidRPr="00FD5B5A">
        <w:rPr>
          <w:rFonts w:eastAsia="Calibri"/>
        </w:rPr>
        <w:t>than in the Refugee Convention, as it means that individuals cannot be returned or expelled to torture even when they might not otherwise qualify for refugee status under the Refugee Convention.</w:t>
      </w:r>
    </w:p>
    <w:p w14:paraId="504FFEC4" w14:textId="1A6F3E22" w:rsidR="00FD7312" w:rsidRPr="00FD7312" w:rsidRDefault="00FD7312" w:rsidP="00D61281">
      <w:pPr>
        <w:pStyle w:val="RBasicText"/>
        <w:rPr>
          <w:rFonts w:eastAsia="Calibri"/>
        </w:rPr>
      </w:pPr>
      <w:r w:rsidRPr="02D873CA">
        <w:rPr>
          <w:rFonts w:eastAsia="Calibri"/>
        </w:rPr>
        <w:t xml:space="preserve">However, the Bill which the UK </w:t>
      </w:r>
      <w:r w:rsidRPr="00D61281">
        <w:rPr>
          <w:rFonts w:eastAsia="Calibri"/>
        </w:rPr>
        <w:t>Government</w:t>
      </w:r>
      <w:r w:rsidRPr="02D873CA">
        <w:rPr>
          <w:rFonts w:eastAsia="Calibri"/>
        </w:rPr>
        <w:t xml:space="preserve"> is trying to pass</w:t>
      </w:r>
      <w:r w:rsidR="00B73602" w:rsidRPr="02D873CA">
        <w:rPr>
          <w:rFonts w:eastAsia="Calibri"/>
        </w:rPr>
        <w:t xml:space="preserve"> seeks to </w:t>
      </w:r>
      <w:r w:rsidR="00A651CD" w:rsidRPr="02D873CA">
        <w:rPr>
          <w:rFonts w:eastAsia="Calibri"/>
        </w:rPr>
        <w:t xml:space="preserve">transfer </w:t>
      </w:r>
      <w:r w:rsidR="00191E6C" w:rsidRPr="02D873CA">
        <w:rPr>
          <w:rFonts w:eastAsia="Calibri"/>
        </w:rPr>
        <w:t xml:space="preserve">some </w:t>
      </w:r>
      <w:r w:rsidR="00A651CD" w:rsidRPr="02D873CA">
        <w:rPr>
          <w:rFonts w:eastAsia="Calibri"/>
        </w:rPr>
        <w:t>asylum seekers to Rwanda</w:t>
      </w:r>
      <w:r w:rsidR="00191E6C" w:rsidRPr="02D873CA">
        <w:rPr>
          <w:rFonts w:eastAsia="Calibri"/>
        </w:rPr>
        <w:t xml:space="preserve"> rather than processing them in the UK, and</w:t>
      </w:r>
      <w:r w:rsidR="007238CC" w:rsidRPr="02D873CA">
        <w:rPr>
          <w:rFonts w:eastAsia="Calibri"/>
        </w:rPr>
        <w:t xml:space="preserve"> </w:t>
      </w:r>
      <w:r w:rsidRPr="02D873CA">
        <w:rPr>
          <w:rFonts w:eastAsia="Calibri"/>
        </w:rPr>
        <w:t>relies on the following:</w:t>
      </w:r>
    </w:p>
    <w:p w14:paraId="27ED95D2" w14:textId="155B8550" w:rsidR="00FD7312" w:rsidRPr="00D61281" w:rsidRDefault="00FD7312" w:rsidP="00D61281">
      <w:pPr>
        <w:pStyle w:val="RBasicText"/>
        <w:numPr>
          <w:ilvl w:val="1"/>
          <w:numId w:val="16"/>
        </w:numPr>
        <w:rPr>
          <w:rFonts w:eastAsia="Calibri"/>
        </w:rPr>
      </w:pPr>
      <w:r w:rsidRPr="00FD7312">
        <w:rPr>
          <w:rFonts w:eastAsia="Calibri"/>
        </w:rPr>
        <w:t xml:space="preserve">An </w:t>
      </w:r>
      <w:r w:rsidRPr="00D61281">
        <w:rPr>
          <w:rFonts w:eastAsia="Calibri"/>
        </w:rPr>
        <w:t xml:space="preserve">assertion that international law (including the prohibition on torture) is irrelevant to decisions on these issues </w:t>
      </w:r>
      <w:r w:rsidR="00FC117D" w:rsidRPr="00D61281">
        <w:rPr>
          <w:rFonts w:eastAsia="Calibri"/>
        </w:rPr>
        <w:t>– the Bill states that</w:t>
      </w:r>
      <w:r w:rsidRPr="00D61281">
        <w:rPr>
          <w:rFonts w:eastAsia="Calibri"/>
        </w:rPr>
        <w:t xml:space="preserve"> “…the validity of an Act is unaffected by international law” (clause 1(4)(b))</w:t>
      </w:r>
      <w:r w:rsidR="0035555A" w:rsidRPr="00D61281">
        <w:rPr>
          <w:rFonts w:eastAsia="Calibri"/>
        </w:rPr>
        <w:t>, and</w:t>
      </w:r>
    </w:p>
    <w:p w14:paraId="6099735A" w14:textId="3322517F" w:rsidR="00FD7312" w:rsidRPr="00FD7312" w:rsidRDefault="00FD7312" w:rsidP="00D61281">
      <w:pPr>
        <w:pStyle w:val="RBasicText"/>
        <w:numPr>
          <w:ilvl w:val="1"/>
          <w:numId w:val="16"/>
        </w:numPr>
        <w:rPr>
          <w:rFonts w:eastAsia="Calibri"/>
        </w:rPr>
      </w:pPr>
      <w:r w:rsidRPr="00D61281">
        <w:rPr>
          <w:rFonts w:eastAsia="Calibri"/>
        </w:rPr>
        <w:t>An assertion that torture and ill-treatment does not exist in Rwanda, despite the existence of evidence to the contrary (see below) - “…every decision-maker must conclusively</w:t>
      </w:r>
      <w:r w:rsidRPr="00FD7312">
        <w:rPr>
          <w:rFonts w:eastAsia="Calibri"/>
        </w:rPr>
        <w:t xml:space="preserve"> treat the Republic of Rwanda as a safe country” (clause 2(1))</w:t>
      </w:r>
      <w:r w:rsidR="0035555A">
        <w:rPr>
          <w:rFonts w:eastAsia="Calibri"/>
        </w:rPr>
        <w:t>.</w:t>
      </w:r>
      <w:r w:rsidRPr="00FD7312">
        <w:rPr>
          <w:rFonts w:eastAsia="Calibri"/>
        </w:rPr>
        <w:t xml:space="preserve"> </w:t>
      </w:r>
    </w:p>
    <w:p w14:paraId="2805ED6D" w14:textId="72347B8B" w:rsidR="00D77CAD" w:rsidRPr="00BB7DFF" w:rsidRDefault="00C21E22" w:rsidP="00D61281">
      <w:pPr>
        <w:pStyle w:val="RBasicText"/>
        <w:rPr>
          <w:rFonts w:eastAsia="Calibri"/>
        </w:rPr>
      </w:pPr>
      <w:r w:rsidRPr="00BB7DFF">
        <w:rPr>
          <w:rFonts w:eastAsia="Calibri"/>
        </w:rPr>
        <w:t xml:space="preserve">Recent reports confirm that torture persists in Rwanda, along </w:t>
      </w:r>
      <w:r w:rsidRPr="00D61281">
        <w:rPr>
          <w:rFonts w:eastAsia="Calibri"/>
        </w:rPr>
        <w:t>with</w:t>
      </w:r>
      <w:r w:rsidRPr="00BB7DFF">
        <w:rPr>
          <w:rFonts w:eastAsia="Calibri"/>
        </w:rPr>
        <w:t xml:space="preserve"> continued risks of refoulement to third countries. It is clear that Rwanda does not have in place safeguards against torture, or an effective process for responding to allegations of torture.</w:t>
      </w:r>
      <w:r w:rsidR="00245873">
        <w:rPr>
          <w:rStyle w:val="FootnoteReference"/>
          <w:rFonts w:ascii="Calibri" w:eastAsia="Calibri" w:hAnsi="Calibri" w:cs="Calibri"/>
          <w:color w:val="000000" w:themeColor="text1"/>
        </w:rPr>
        <w:footnoteReference w:id="33"/>
      </w:r>
      <w:r w:rsidR="00BB7DFF" w:rsidRPr="00BB7DFF">
        <w:rPr>
          <w:rFonts w:eastAsia="Calibri"/>
        </w:rPr>
        <w:t xml:space="preserve"> The Bill seeks to assert that Rwanda is free of torture and ill-treatment when the evidence does not support this. </w:t>
      </w:r>
    </w:p>
    <w:p w14:paraId="2CEB5682" w14:textId="77777777" w:rsidR="000A7B16" w:rsidRPr="000A7B16" w:rsidRDefault="000A7B16" w:rsidP="00D61281">
      <w:pPr>
        <w:pStyle w:val="RBasicText"/>
        <w:rPr>
          <w:rFonts w:eastAsia="Calibri"/>
        </w:rPr>
      </w:pPr>
      <w:r w:rsidRPr="02D873CA">
        <w:rPr>
          <w:rFonts w:eastAsia="Calibri"/>
        </w:rPr>
        <w:t xml:space="preserve">Non-refoulement requires a proper </w:t>
      </w:r>
      <w:r w:rsidRPr="00D61281">
        <w:rPr>
          <w:rFonts w:eastAsia="Calibri"/>
        </w:rPr>
        <w:t>assessment</w:t>
      </w:r>
      <w:r w:rsidRPr="02D873CA">
        <w:rPr>
          <w:rFonts w:eastAsia="Calibri"/>
        </w:rPr>
        <w:t xml:space="preserve"> of someone’s </w:t>
      </w:r>
      <w:r w:rsidRPr="00AB056A">
        <w:rPr>
          <w:rFonts w:eastAsia="Calibri"/>
        </w:rPr>
        <w:t>individual</w:t>
      </w:r>
      <w:r w:rsidRPr="02D873CA">
        <w:rPr>
          <w:rFonts w:eastAsia="Calibri"/>
        </w:rPr>
        <w:t xml:space="preserve"> circumstances and the situation in their destination country. The combination of the impact of this Bill alongside the Illegal Immigration Act will mean that:</w:t>
      </w:r>
    </w:p>
    <w:p w14:paraId="5B62916A" w14:textId="0308DE9F" w:rsidR="000A7B16" w:rsidRPr="00D61281" w:rsidRDefault="000A7B16" w:rsidP="00D61281">
      <w:pPr>
        <w:pStyle w:val="RBasicText"/>
        <w:numPr>
          <w:ilvl w:val="0"/>
          <w:numId w:val="23"/>
        </w:numPr>
        <w:rPr>
          <w:rFonts w:eastAsia="Calibri"/>
        </w:rPr>
      </w:pPr>
      <w:r w:rsidRPr="02D873CA">
        <w:rPr>
          <w:rFonts w:eastAsia="Calibri"/>
        </w:rPr>
        <w:t xml:space="preserve">the UK is unlikely to be able to assess the risks of transferring someone to Rwanda, running the risk of refoulement on the part of the UK </w:t>
      </w:r>
      <w:r w:rsidR="4B11A05A" w:rsidRPr="02D873CA">
        <w:rPr>
          <w:rFonts w:eastAsia="Calibri"/>
        </w:rPr>
        <w:t>G</w:t>
      </w:r>
      <w:r w:rsidR="5430C560" w:rsidRPr="02D873CA">
        <w:rPr>
          <w:rFonts w:eastAsia="Calibri"/>
        </w:rPr>
        <w:t>overnment.</w:t>
      </w:r>
      <w:r w:rsidRPr="02D873CA">
        <w:rPr>
          <w:rFonts w:eastAsia="Calibri"/>
        </w:rPr>
        <w:t xml:space="preserve"> The new UK-Rwanda Treaty does not require the UK to undertake such a comprehensive </w:t>
      </w:r>
      <w:r w:rsidRPr="00D61281">
        <w:rPr>
          <w:rFonts w:eastAsia="Calibri"/>
        </w:rPr>
        <w:t>assessment before relocation to Rwanda. The Illegal Migration Act detains asylum-seekers, and requires them to challenge removal decisions within 8 days, during which time the vast majority will be unable to access a lawyer or obtain evidence about their own vulnerabilities or the likely impact on them of transfer to Rwanda); and</w:t>
      </w:r>
    </w:p>
    <w:p w14:paraId="6F7187B1" w14:textId="77777777" w:rsidR="000A7B16" w:rsidRPr="000A7B16" w:rsidRDefault="000A7B16" w:rsidP="00D61281">
      <w:pPr>
        <w:pStyle w:val="RBasicText"/>
        <w:numPr>
          <w:ilvl w:val="0"/>
          <w:numId w:val="23"/>
        </w:numPr>
        <w:rPr>
          <w:rFonts w:eastAsia="Calibri"/>
        </w:rPr>
      </w:pPr>
      <w:r w:rsidRPr="00D61281">
        <w:rPr>
          <w:rFonts w:eastAsia="Calibri"/>
        </w:rPr>
        <w:lastRenderedPageBreak/>
        <w:t>refoulement from Rwanda to a third country is very likely if Rwanda’s asylum system is not working properly</w:t>
      </w:r>
      <w:r w:rsidRPr="000A7B16">
        <w:rPr>
          <w:rFonts w:eastAsia="Calibri"/>
        </w:rPr>
        <w:t>, since the system is unlikely to be able to undertake the required assessment or respect its outcome.</w:t>
      </w:r>
    </w:p>
    <w:p w14:paraId="716F78A0" w14:textId="04917BFA" w:rsidR="000A7B16" w:rsidRPr="000A7B16" w:rsidRDefault="000A7B16" w:rsidP="00D61281">
      <w:pPr>
        <w:pStyle w:val="RBasicText"/>
        <w:rPr>
          <w:rFonts w:eastAsia="Calibri"/>
        </w:rPr>
      </w:pPr>
      <w:r w:rsidRPr="000A7B16">
        <w:rPr>
          <w:rFonts w:eastAsia="Calibri"/>
        </w:rPr>
        <w:t xml:space="preserve">The recently signed bi-lateral </w:t>
      </w:r>
      <w:r w:rsidRPr="00154CAC">
        <w:rPr>
          <w:rFonts w:eastAsia="Calibri"/>
        </w:rPr>
        <w:t>treaty</w:t>
      </w:r>
      <w:r w:rsidRPr="000A7B16">
        <w:rPr>
          <w:rFonts w:eastAsia="Calibri"/>
        </w:rPr>
        <w:t xml:space="preserve"> between the UK and Rwanda</w:t>
      </w:r>
      <w:r w:rsidR="009D05CC">
        <w:rPr>
          <w:rStyle w:val="FootnoteReference"/>
          <w:rFonts w:ascii="Calibri" w:eastAsia="Calibri" w:hAnsi="Calibri" w:cs="Calibri"/>
          <w:color w:val="000000" w:themeColor="text1"/>
        </w:rPr>
        <w:footnoteReference w:id="34"/>
      </w:r>
      <w:r w:rsidRPr="000A7B16">
        <w:rPr>
          <w:rFonts w:eastAsia="Calibri"/>
        </w:rPr>
        <w:t xml:space="preserve"> </w:t>
      </w:r>
      <w:r w:rsidRPr="00AB056A">
        <w:rPr>
          <w:rFonts w:eastAsia="Calibri"/>
        </w:rPr>
        <w:t>expresses</w:t>
      </w:r>
      <w:r w:rsidRPr="000A7B16">
        <w:rPr>
          <w:rFonts w:eastAsia="Calibri"/>
        </w:rPr>
        <w:t xml:space="preserve"> Rwanda’s intention to comply with international obligations, but effectively admits that there is no adequate system at present – for example:</w:t>
      </w:r>
    </w:p>
    <w:p w14:paraId="5C737E8B" w14:textId="77777777" w:rsidR="000A7B16" w:rsidRPr="00154CAC" w:rsidRDefault="000A7B16" w:rsidP="00154CAC">
      <w:pPr>
        <w:pStyle w:val="RBasicText"/>
        <w:numPr>
          <w:ilvl w:val="0"/>
          <w:numId w:val="24"/>
        </w:numPr>
        <w:rPr>
          <w:rFonts w:eastAsia="Calibri"/>
        </w:rPr>
      </w:pPr>
      <w:r w:rsidRPr="000A7B16">
        <w:rPr>
          <w:rFonts w:eastAsia="Calibri"/>
        </w:rPr>
        <w:t xml:space="preserve">Rwanda commits to future cooperation with the UK “to agree an effective system” to avoid </w:t>
      </w:r>
      <w:r w:rsidRPr="00154CAC">
        <w:rPr>
          <w:rFonts w:eastAsia="Calibri"/>
        </w:rPr>
        <w:t>refoulement (Article 10(3));</w:t>
      </w:r>
    </w:p>
    <w:p w14:paraId="55CA9467" w14:textId="77777777" w:rsidR="000A7B16" w:rsidRDefault="000A7B16" w:rsidP="00154CAC">
      <w:pPr>
        <w:pStyle w:val="RBasicText"/>
        <w:numPr>
          <w:ilvl w:val="0"/>
          <w:numId w:val="24"/>
        </w:numPr>
        <w:rPr>
          <w:rFonts w:eastAsia="Calibri"/>
        </w:rPr>
      </w:pPr>
      <w:r w:rsidRPr="00154CAC">
        <w:rPr>
          <w:rFonts w:eastAsia="Calibri"/>
        </w:rPr>
        <w:t>Rwanda commits to establishing</w:t>
      </w:r>
      <w:r w:rsidRPr="000A7B16">
        <w:rPr>
          <w:rFonts w:eastAsia="Calibri"/>
        </w:rPr>
        <w:t xml:space="preserve"> an Appeal Body for rejected cases (Annex B, 4.2).</w:t>
      </w:r>
    </w:p>
    <w:p w14:paraId="545E410C" w14:textId="15D7761D" w:rsidR="00E7261F" w:rsidRPr="00AB056A" w:rsidRDefault="00E7261F" w:rsidP="00154CAC">
      <w:pPr>
        <w:pStyle w:val="RBasicText"/>
        <w:rPr>
          <w:rFonts w:eastAsia="Calibri"/>
        </w:rPr>
      </w:pPr>
      <w:r w:rsidRPr="02D873CA">
        <w:rPr>
          <w:rFonts w:eastAsia="Calibri"/>
        </w:rPr>
        <w:t xml:space="preserve">The Bill sends out a dangerous signal that the UK is willing to circumvent the rule of law, and so </w:t>
      </w:r>
      <w:r w:rsidRPr="00154CAC">
        <w:rPr>
          <w:rFonts w:eastAsia="Calibri"/>
        </w:rPr>
        <w:t>undermines</w:t>
      </w:r>
      <w:r w:rsidRPr="00AB056A">
        <w:rPr>
          <w:rFonts w:eastAsia="Calibri"/>
        </w:rPr>
        <w:t xml:space="preserve"> the international rules-based order</w:t>
      </w:r>
      <w:r w:rsidR="628FC561" w:rsidRPr="00AB056A">
        <w:rPr>
          <w:rFonts w:eastAsia="Calibri"/>
        </w:rPr>
        <w:t>, including international treaties like the ICCPR</w:t>
      </w:r>
      <w:r w:rsidRPr="00AB056A">
        <w:rPr>
          <w:rFonts w:eastAsia="Calibri"/>
        </w:rPr>
        <w:t xml:space="preserve">. </w:t>
      </w:r>
    </w:p>
    <w:p w14:paraId="6D6881D1" w14:textId="78BF77F6" w:rsidR="00AF0351" w:rsidRPr="00AB056A" w:rsidRDefault="00AF0351" w:rsidP="00154CAC">
      <w:pPr>
        <w:pStyle w:val="RBasicText"/>
        <w:rPr>
          <w:rFonts w:eastAsia="Calibri"/>
        </w:rPr>
      </w:pPr>
      <w:r w:rsidRPr="00AB056A">
        <w:rPr>
          <w:rFonts w:eastAsia="Calibri"/>
        </w:rPr>
        <w:t xml:space="preserve">Unfortunately, </w:t>
      </w:r>
      <w:r w:rsidR="001F30A7" w:rsidRPr="00AB056A">
        <w:rPr>
          <w:rFonts w:eastAsia="Calibri"/>
        </w:rPr>
        <w:t>our concerns with regard to the UK’s obligations in this area now extend</w:t>
      </w:r>
      <w:r w:rsidRPr="00AB056A">
        <w:rPr>
          <w:rFonts w:eastAsia="Calibri"/>
        </w:rPr>
        <w:t xml:space="preserve"> well beyond the </w:t>
      </w:r>
      <w:r w:rsidR="00EC36B1" w:rsidRPr="00AB056A">
        <w:rPr>
          <w:rFonts w:eastAsia="Calibri"/>
        </w:rPr>
        <w:t xml:space="preserve">issues </w:t>
      </w:r>
      <w:r w:rsidR="00EC36B1" w:rsidRPr="00154CAC">
        <w:rPr>
          <w:rFonts w:eastAsia="Calibri"/>
        </w:rPr>
        <w:t>highlighted</w:t>
      </w:r>
      <w:r w:rsidR="00EC36B1" w:rsidRPr="00AB056A">
        <w:rPr>
          <w:rFonts w:eastAsia="Calibri"/>
        </w:rPr>
        <w:t xml:space="preserve"> in previous Concluding Observations, and the </w:t>
      </w:r>
      <w:r w:rsidR="001F30A7" w:rsidRPr="00AB056A">
        <w:rPr>
          <w:rFonts w:eastAsia="Calibri"/>
        </w:rPr>
        <w:t xml:space="preserve">UK Government’s response. </w:t>
      </w:r>
    </w:p>
    <w:p w14:paraId="419B2C89" w14:textId="6A93D848" w:rsidR="00D83BD5" w:rsidRPr="00963D37" w:rsidRDefault="00D83BD5" w:rsidP="00154CAC">
      <w:pPr>
        <w:pStyle w:val="RBasicText"/>
        <w:rPr>
          <w:rFonts w:eastAsia="Calibri"/>
        </w:rPr>
      </w:pPr>
      <w:r w:rsidRPr="00AB056A">
        <w:rPr>
          <w:rFonts w:eastAsia="Calibri"/>
        </w:rPr>
        <w:t xml:space="preserve">The UK Government must </w:t>
      </w:r>
      <w:r w:rsidR="00E7261F" w:rsidRPr="00AB056A">
        <w:rPr>
          <w:rFonts w:eastAsia="Calibri"/>
        </w:rPr>
        <w:t xml:space="preserve">be urged to </w:t>
      </w:r>
      <w:r w:rsidRPr="00AB056A">
        <w:rPr>
          <w:rFonts w:eastAsia="Calibri"/>
        </w:rPr>
        <w:t xml:space="preserve">adhere </w:t>
      </w:r>
      <w:r w:rsidRPr="00154CAC">
        <w:rPr>
          <w:rFonts w:eastAsia="Calibri"/>
        </w:rPr>
        <w:t>to</w:t>
      </w:r>
      <w:r w:rsidRPr="00AB056A">
        <w:rPr>
          <w:rFonts w:eastAsia="Calibri"/>
        </w:rPr>
        <w:t xml:space="preserve"> its international legal obligations including the absolute prohibition</w:t>
      </w:r>
      <w:r w:rsidRPr="02D873CA">
        <w:rPr>
          <w:rFonts w:eastAsia="Calibri"/>
        </w:rPr>
        <w:t xml:space="preserve"> on torture</w:t>
      </w:r>
      <w:r w:rsidR="1011EDFE" w:rsidRPr="02D873CA">
        <w:rPr>
          <w:rFonts w:eastAsia="Calibri"/>
        </w:rPr>
        <w:t>: the Bill (if enacted) will cause these obligations to be breached</w:t>
      </w:r>
      <w:r w:rsidR="00345CD7" w:rsidRPr="02D873CA">
        <w:rPr>
          <w:rFonts w:eastAsia="Calibri"/>
        </w:rPr>
        <w:t>.</w:t>
      </w:r>
      <w:r w:rsidRPr="02D873CA">
        <w:rPr>
          <w:rFonts w:eastAsia="Calibri"/>
        </w:rPr>
        <w:t xml:space="preserve"> </w:t>
      </w:r>
    </w:p>
    <w:p w14:paraId="17654436" w14:textId="421502A0" w:rsidR="004202EB" w:rsidRPr="003F1355" w:rsidRDefault="004202EB" w:rsidP="00B56CBF">
      <w:pPr>
        <w:pStyle w:val="RHeadingLevelOne"/>
        <w:pBdr>
          <w:bottom w:val="single" w:sz="24" w:space="1" w:color="FBDD35"/>
        </w:pBdr>
        <w:spacing w:before="360"/>
        <w:ind w:left="0"/>
        <w:rPr>
          <w:rFonts w:ascii="Calibri" w:hAnsi="Calibri" w:cs="Calibri"/>
          <w:sz w:val="28"/>
          <w:szCs w:val="28"/>
        </w:rPr>
      </w:pPr>
      <w:bookmarkStart w:id="19" w:name="_Toc280409121"/>
      <w:bookmarkStart w:id="20" w:name="_Toc1057959780"/>
      <w:bookmarkStart w:id="21" w:name="_Toc157769655"/>
      <w:r>
        <w:rPr>
          <w:rFonts w:ascii="Calibri" w:hAnsi="Calibri" w:cs="Calibri"/>
          <w:sz w:val="28"/>
          <w:szCs w:val="28"/>
        </w:rPr>
        <w:t>Conclusion</w:t>
      </w:r>
      <w:bookmarkEnd w:id="19"/>
      <w:bookmarkEnd w:id="20"/>
      <w:bookmarkEnd w:id="21"/>
    </w:p>
    <w:p w14:paraId="70ECC0B0" w14:textId="7CB3A7F2" w:rsidR="1B7123B8" w:rsidRDefault="004E4D9C" w:rsidP="00154CAC">
      <w:pPr>
        <w:pStyle w:val="RBasicText"/>
      </w:pPr>
      <w:r w:rsidRPr="02D873CA">
        <w:t xml:space="preserve">If </w:t>
      </w:r>
      <w:r w:rsidR="6FA202C4" w:rsidRPr="02D873CA">
        <w:t>accepted</w:t>
      </w:r>
      <w:r w:rsidRPr="02D873CA">
        <w:t>, the</w:t>
      </w:r>
      <w:r w:rsidR="00F06CE3" w:rsidRPr="02D873CA">
        <w:t xml:space="preserve"> </w:t>
      </w:r>
      <w:r w:rsidR="008B6F1B" w:rsidRPr="02D873CA">
        <w:t>recommendations in this submission</w:t>
      </w:r>
      <w:r w:rsidRPr="02D873CA">
        <w:t xml:space="preserve"> –</w:t>
      </w:r>
      <w:r w:rsidR="00344C30" w:rsidRPr="02D873CA">
        <w:t xml:space="preserve"> </w:t>
      </w:r>
      <w:r w:rsidR="00EB1410" w:rsidRPr="02D873CA">
        <w:t xml:space="preserve">to improve the framework for universal jurisdiction, </w:t>
      </w:r>
      <w:r w:rsidR="004465BE" w:rsidRPr="02D873CA">
        <w:t xml:space="preserve">to </w:t>
      </w:r>
      <w:r w:rsidR="32B963F6" w:rsidRPr="02D873CA">
        <w:t>ensure</w:t>
      </w:r>
      <w:r w:rsidR="004465BE" w:rsidRPr="02D873CA">
        <w:t xml:space="preserve"> impartial investigations into torture and rendition allegations, and </w:t>
      </w:r>
      <w:r w:rsidR="2B44CC8E" w:rsidRPr="02D873CA">
        <w:t xml:space="preserve">to uphold </w:t>
      </w:r>
      <w:r w:rsidR="005E4E48" w:rsidRPr="02D873CA">
        <w:t xml:space="preserve">the ban </w:t>
      </w:r>
      <w:r w:rsidR="005E4E48" w:rsidRPr="00AB056A">
        <w:t>on</w:t>
      </w:r>
      <w:r w:rsidR="005E4E48" w:rsidRPr="02D873CA">
        <w:t xml:space="preserve"> refoulement</w:t>
      </w:r>
      <w:r w:rsidRPr="02D873CA">
        <w:t xml:space="preserve"> – </w:t>
      </w:r>
      <w:r w:rsidR="006A2B1A" w:rsidRPr="02D873CA">
        <w:t xml:space="preserve">would </w:t>
      </w:r>
      <w:r w:rsidRPr="02D873CA">
        <w:t xml:space="preserve">significantly improve the UK’s compliance with the ICCPR. </w:t>
      </w:r>
      <w:r w:rsidR="03AC0473" w:rsidRPr="02D873CA">
        <w:t xml:space="preserve">The lack of significant progress since the previous ICCPR review, as evident in the UK's response to the List of Issues, necessitates robust </w:t>
      </w:r>
      <w:r w:rsidR="00D15D73" w:rsidRPr="02D873CA">
        <w:t xml:space="preserve">scrutiny </w:t>
      </w:r>
      <w:r w:rsidR="03AC0473" w:rsidRPr="02D873CA">
        <w:t>from the Human Rights Committee. The legislative changes, particularly the</w:t>
      </w:r>
      <w:r w:rsidR="004206FD" w:rsidRPr="02D873CA">
        <w:t xml:space="preserve"> proposed</w:t>
      </w:r>
      <w:r w:rsidR="03AC0473" w:rsidRPr="02D873CA">
        <w:t xml:space="preserve"> Safety of Rwanda </w:t>
      </w:r>
      <w:r w:rsidR="27D3146D" w:rsidRPr="02D873CA">
        <w:rPr>
          <w:rFonts w:eastAsia="Calibri"/>
          <w:color w:val="000000" w:themeColor="text1"/>
        </w:rPr>
        <w:t>(Asylum and Immigration)</w:t>
      </w:r>
      <w:r w:rsidR="27D3146D" w:rsidRPr="02D873CA">
        <w:t xml:space="preserve"> </w:t>
      </w:r>
      <w:r w:rsidR="03AC0473" w:rsidRPr="02D873CA">
        <w:t>Bill, raise alarming concerns about potential breaches of international obligations. The Committee is urged to include these pressing issues in its concluding observations</w:t>
      </w:r>
      <w:r w:rsidR="000F20F1" w:rsidRPr="02D873CA">
        <w:t>.</w:t>
      </w:r>
    </w:p>
    <w:p w14:paraId="2785E35B" w14:textId="4D5F3FC6" w:rsidR="1B7123B8" w:rsidRDefault="1B7123B8" w:rsidP="00B56CBF">
      <w:pPr>
        <w:pStyle w:val="RBasicText"/>
        <w:numPr>
          <w:ilvl w:val="0"/>
          <w:numId w:val="0"/>
        </w:numPr>
        <w:ind w:left="547" w:hanging="547"/>
      </w:pPr>
    </w:p>
    <w:sectPr w:rsidR="1B7123B8" w:rsidSect="002D0B15">
      <w:headerReference w:type="default" r:id="rId11"/>
      <w:footerReference w:type="even" r:id="rId12"/>
      <w:footerReference w:type="default" r:id="rId13"/>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70D6B" w14:textId="77777777" w:rsidR="002D0B15" w:rsidRDefault="002D0B15" w:rsidP="001F5F76">
      <w:r>
        <w:separator/>
      </w:r>
    </w:p>
  </w:endnote>
  <w:endnote w:type="continuationSeparator" w:id="0">
    <w:p w14:paraId="059FB49D" w14:textId="77777777" w:rsidR="002D0B15" w:rsidRDefault="002D0B15" w:rsidP="001F5F76">
      <w:r>
        <w:continuationSeparator/>
      </w:r>
    </w:p>
  </w:endnote>
  <w:endnote w:type="continuationNotice" w:id="1">
    <w:p w14:paraId="77F404D3" w14:textId="77777777" w:rsidR="002D0B15" w:rsidRDefault="002D0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610046"/>
      <w:docPartObj>
        <w:docPartGallery w:val="Page Numbers (Bottom of Page)"/>
        <w:docPartUnique/>
      </w:docPartObj>
    </w:sdtPr>
    <w:sdtContent>
      <w:p w14:paraId="34C01018" w14:textId="04FDD825" w:rsidR="001F5F76" w:rsidRDefault="001F5F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4424F3" w14:textId="77777777" w:rsidR="001F5F76" w:rsidRDefault="001F5F76" w:rsidP="001F5F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2911343"/>
      <w:docPartObj>
        <w:docPartGallery w:val="Page Numbers (Bottom of Page)"/>
        <w:docPartUnique/>
      </w:docPartObj>
    </w:sdtPr>
    <w:sdtContent>
      <w:p w14:paraId="475D93E9" w14:textId="6DA744E9" w:rsidR="001F5F76" w:rsidRDefault="001F5F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D6859C" w14:textId="77777777" w:rsidR="001F5F76" w:rsidRDefault="001F5F76" w:rsidP="001F5F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6185E" w14:textId="77777777" w:rsidR="002D0B15" w:rsidRDefault="002D0B15" w:rsidP="001F5F76">
      <w:r>
        <w:separator/>
      </w:r>
    </w:p>
  </w:footnote>
  <w:footnote w:type="continuationSeparator" w:id="0">
    <w:p w14:paraId="32C8EF95" w14:textId="77777777" w:rsidR="002D0B15" w:rsidRDefault="002D0B15" w:rsidP="001F5F76">
      <w:r>
        <w:continuationSeparator/>
      </w:r>
    </w:p>
  </w:footnote>
  <w:footnote w:type="continuationNotice" w:id="1">
    <w:p w14:paraId="3995F37D" w14:textId="77777777" w:rsidR="002D0B15" w:rsidRDefault="002D0B15"/>
  </w:footnote>
  <w:footnote w:id="2">
    <w:p w14:paraId="27562E2F" w14:textId="77777777" w:rsidR="00A141B2" w:rsidRDefault="00A141B2" w:rsidP="00A141B2">
      <w:pPr>
        <w:pStyle w:val="FootnoteText"/>
        <w:ind w:left="708" w:hanging="708"/>
      </w:pPr>
      <w:r>
        <w:rPr>
          <w:rStyle w:val="FootnoteReference"/>
        </w:rPr>
        <w:footnoteRef/>
      </w:r>
      <w:r>
        <w:t xml:space="preserve"> See redress.org</w:t>
      </w:r>
    </w:p>
  </w:footnote>
  <w:footnote w:id="3">
    <w:p w14:paraId="4C4518CE" w14:textId="791EFD39" w:rsidR="007B7EE5" w:rsidRDefault="007B7EE5">
      <w:pPr>
        <w:pStyle w:val="FootnoteText"/>
      </w:pPr>
      <w:r>
        <w:rPr>
          <w:rStyle w:val="FootnoteReference"/>
        </w:rPr>
        <w:footnoteRef/>
      </w:r>
      <w:r>
        <w:t xml:space="preserve"> </w:t>
      </w:r>
      <w:r w:rsidR="00185324" w:rsidRPr="00EA6BF0">
        <w:t>CCPR/C/GBR/QPR/8</w:t>
      </w:r>
      <w:r w:rsidR="00185324">
        <w:t>, 5 May 2020.</w:t>
      </w:r>
    </w:p>
  </w:footnote>
  <w:footnote w:id="4">
    <w:p w14:paraId="0AA047C6" w14:textId="6B5E142D" w:rsidR="00820447" w:rsidRDefault="00820447">
      <w:pPr>
        <w:pStyle w:val="FootnoteText"/>
      </w:pPr>
      <w:r>
        <w:rPr>
          <w:rStyle w:val="FootnoteReference"/>
        </w:rPr>
        <w:footnoteRef/>
      </w:r>
      <w:r>
        <w:t xml:space="preserve"> </w:t>
      </w:r>
      <w:r w:rsidR="00BA2CC4">
        <w:t>On torture, see Criminal Justice Act 1988; on hostage-taking, see Taking of Hostages Act 1982; on breaches of the Geneva Conventions, see Geneva Conventions Act 1957.</w:t>
      </w:r>
    </w:p>
  </w:footnote>
  <w:footnote w:id="5">
    <w:p w14:paraId="1825D084" w14:textId="013F6E3C" w:rsidR="00820447" w:rsidRDefault="00820447">
      <w:pPr>
        <w:pStyle w:val="FootnoteText"/>
      </w:pPr>
      <w:r>
        <w:rPr>
          <w:rStyle w:val="FootnoteReference"/>
        </w:rPr>
        <w:footnoteRef/>
      </w:r>
      <w:r>
        <w:t xml:space="preserve"> </w:t>
      </w:r>
      <w:r w:rsidR="00607AFF">
        <w:t>See International Criminal Court Act 2001, which gives effect to the Rome Statute in the UK.</w:t>
      </w:r>
    </w:p>
  </w:footnote>
  <w:footnote w:id="6">
    <w:p w14:paraId="4632F61F" w14:textId="4A3ADE23" w:rsidR="00820447" w:rsidRDefault="00820447">
      <w:pPr>
        <w:pStyle w:val="FootnoteText"/>
      </w:pPr>
      <w:r>
        <w:rPr>
          <w:rStyle w:val="FootnoteReference"/>
        </w:rPr>
        <w:footnoteRef/>
      </w:r>
      <w:r>
        <w:t xml:space="preserve"> </w:t>
      </w:r>
      <w:r w:rsidR="00314B21">
        <w:t>International Criminal Court Act 2001, s 51(2)(b).</w:t>
      </w:r>
    </w:p>
  </w:footnote>
  <w:footnote w:id="7">
    <w:p w14:paraId="44F0A370" w14:textId="74CE9966" w:rsidR="45232D93" w:rsidRDefault="45232D93" w:rsidP="45232D93">
      <w:pPr>
        <w:pStyle w:val="FootnoteText"/>
      </w:pPr>
      <w:r w:rsidRPr="45232D93">
        <w:rPr>
          <w:rStyle w:val="FootnoteReference"/>
        </w:rPr>
        <w:footnoteRef/>
      </w:r>
      <w:r>
        <w:t xml:space="preserve"> Freedom of Information Request held in REDRESS’ files</w:t>
      </w:r>
      <w:r w:rsidR="003978B4">
        <w:t>.</w:t>
      </w:r>
    </w:p>
  </w:footnote>
  <w:footnote w:id="8">
    <w:p w14:paraId="2D385A3B" w14:textId="0B64608F" w:rsidR="45232D93" w:rsidRDefault="45232D93" w:rsidP="45232D93">
      <w:pPr>
        <w:pStyle w:val="FootnoteText"/>
      </w:pPr>
      <w:r w:rsidRPr="45232D93">
        <w:rPr>
          <w:rStyle w:val="FootnoteReference"/>
        </w:rPr>
        <w:footnoteRef/>
      </w:r>
      <w:r>
        <w:t xml:space="preserve"> R v. Sawoniuk [2000] Court of Appeal (Criminal Division), Crim. L. R. 506; R v Payne [2006] Military Court, H DEP 2007/411; R v Zardad [2007] Court of Appeal (Criminal Division), Crim. 279.</w:t>
      </w:r>
    </w:p>
  </w:footnote>
  <w:footnote w:id="9">
    <w:p w14:paraId="22E07139" w14:textId="779E1E38" w:rsidR="45232D93" w:rsidRDefault="45232D93" w:rsidP="45232D93">
      <w:pPr>
        <w:pStyle w:val="FootnoteText"/>
      </w:pPr>
      <w:r w:rsidRPr="45232D93">
        <w:rPr>
          <w:rStyle w:val="FootnoteReference"/>
        </w:rPr>
        <w:footnoteRef/>
      </w:r>
      <w:r>
        <w:t xml:space="preserve"> R v Payne [2006] Military Court, H DEP 2007/411 (a guilty plea before a court martial).</w:t>
      </w:r>
    </w:p>
  </w:footnote>
  <w:footnote w:id="10">
    <w:p w14:paraId="2764FD38" w14:textId="1E132F37" w:rsidR="00264D46" w:rsidRPr="00B62796" w:rsidRDefault="00264D46">
      <w:pPr>
        <w:pStyle w:val="FootnoteText"/>
      </w:pPr>
      <w:r w:rsidRPr="00B62796">
        <w:rPr>
          <w:rStyle w:val="FootnoteReference"/>
        </w:rPr>
        <w:footnoteRef/>
      </w:r>
      <w:r w:rsidRPr="00B62796">
        <w:t xml:space="preserve"> </w:t>
      </w:r>
      <w:r w:rsidR="00410533" w:rsidRPr="00B62796">
        <w:t>REDRESS and Clooney Foundation for Justice (</w:t>
      </w:r>
      <w:r w:rsidR="00B62796" w:rsidRPr="00B62796">
        <w:t xml:space="preserve">2023), </w:t>
      </w:r>
      <w:r w:rsidR="00BD3985" w:rsidRPr="00B62796">
        <w:rPr>
          <w:i/>
          <w:iCs/>
        </w:rPr>
        <w:t>Global Justice: Strengthening Accountability for International Crimes in England and Wales</w:t>
      </w:r>
      <w:r w:rsidR="00B62796" w:rsidRPr="00B62796">
        <w:rPr>
          <w:rStyle w:val="Hyperlink"/>
          <w:i/>
          <w:iCs/>
          <w:color w:val="auto"/>
          <w:u w:val="none"/>
        </w:rPr>
        <w:t xml:space="preserve">, </w:t>
      </w:r>
      <w:r w:rsidR="00B62796" w:rsidRPr="00B62796">
        <w:rPr>
          <w:rStyle w:val="Hyperlink"/>
          <w:color w:val="auto"/>
          <w:u w:val="none"/>
        </w:rPr>
        <w:t xml:space="preserve">available at: </w:t>
      </w:r>
      <w:hyperlink r:id="rId1" w:history="1">
        <w:r w:rsidR="00A51E00">
          <w:rPr>
            <w:rStyle w:val="Hyperlink"/>
          </w:rPr>
          <w:t>Global Britain, Global Justice: Strengthening Accountability for International Crimes in England and Wales | Redress</w:t>
        </w:r>
      </w:hyperlink>
    </w:p>
  </w:footnote>
  <w:footnote w:id="11">
    <w:p w14:paraId="26BB6D8F" w14:textId="078170A2" w:rsidR="001712DC" w:rsidRDefault="001712DC">
      <w:pPr>
        <w:pStyle w:val="FootnoteText"/>
      </w:pPr>
      <w:r>
        <w:rPr>
          <w:rStyle w:val="FootnoteReference"/>
        </w:rPr>
        <w:footnoteRef/>
      </w:r>
      <w:r>
        <w:t xml:space="preserve"> </w:t>
      </w:r>
      <w:r w:rsidR="00DC5DED">
        <w:t>For example, conspiracy to commit an offence outside England and Wales under Section 1A of the Criminal Law Act 1977, aiding and abetting under the Accessories and Abettors Act 1861, or encouraging and assisting an offence under Sections 44-45 of the Serious Crime Act 2007.</w:t>
      </w:r>
    </w:p>
  </w:footnote>
  <w:footnote w:id="12">
    <w:p w14:paraId="35600365" w14:textId="5BD1760B" w:rsidR="001C06C2" w:rsidRDefault="001C06C2">
      <w:pPr>
        <w:pStyle w:val="FootnoteText"/>
      </w:pPr>
      <w:r>
        <w:rPr>
          <w:rStyle w:val="FootnoteReference"/>
        </w:rPr>
        <w:footnoteRef/>
      </w:r>
      <w:r>
        <w:t xml:space="preserve"> See</w:t>
      </w:r>
      <w:r w:rsidR="00A51E00">
        <w:t>:</w:t>
      </w:r>
      <w:r>
        <w:t xml:space="preserve"> </w:t>
      </w:r>
      <w:r w:rsidR="00A51E00">
        <w:rPr>
          <w:i/>
          <w:iCs/>
        </w:rPr>
        <w:t xml:space="preserve">Global </w:t>
      </w:r>
      <w:r w:rsidR="00EA4CBE">
        <w:rPr>
          <w:i/>
          <w:iCs/>
        </w:rPr>
        <w:t>Britain, Global Justice</w:t>
      </w:r>
      <w:r w:rsidR="00EA4CBE" w:rsidRPr="00EA4CBE">
        <w:rPr>
          <w:i/>
          <w:iCs/>
        </w:rPr>
        <w:t>,</w:t>
      </w:r>
      <w:r w:rsidR="00770FB4" w:rsidRPr="00EA4CBE">
        <w:rPr>
          <w:rStyle w:val="Hyperlink"/>
          <w:color w:val="auto"/>
          <w:u w:val="none"/>
        </w:rPr>
        <w:t xml:space="preserve"> p. 50.</w:t>
      </w:r>
    </w:p>
  </w:footnote>
  <w:footnote w:id="13">
    <w:p w14:paraId="152AF575" w14:textId="3849B908" w:rsidR="005D1027" w:rsidRDefault="005D1027">
      <w:pPr>
        <w:pStyle w:val="FootnoteText"/>
      </w:pPr>
      <w:r>
        <w:rPr>
          <w:rStyle w:val="FootnoteReference"/>
        </w:rPr>
        <w:footnoteRef/>
      </w:r>
      <w:r>
        <w:t xml:space="preserve"> </w:t>
      </w:r>
      <w:r w:rsidR="004C4587">
        <w:t xml:space="preserve">REDRESS, </w:t>
      </w:r>
      <w:r w:rsidR="004C4587">
        <w:rPr>
          <w:i/>
          <w:iCs/>
        </w:rPr>
        <w:t xml:space="preserve">Special mission immunity and General Hegazy Case, </w:t>
      </w:r>
      <w:r w:rsidR="004C4587">
        <w:t xml:space="preserve">available at: </w:t>
      </w:r>
      <w:hyperlink r:id="rId2" w:history="1">
        <w:r w:rsidR="004C4587">
          <w:rPr>
            <w:rStyle w:val="Hyperlink"/>
          </w:rPr>
          <w:t>Special mission immunity and General Hegazy case | Redress</w:t>
        </w:r>
      </w:hyperlink>
    </w:p>
  </w:footnote>
  <w:footnote w:id="14">
    <w:p w14:paraId="56F79886" w14:textId="579F40FB" w:rsidR="008D4643" w:rsidRDefault="008D4643">
      <w:pPr>
        <w:pStyle w:val="FootnoteText"/>
      </w:pPr>
      <w:r>
        <w:rPr>
          <w:rStyle w:val="FootnoteReference"/>
        </w:rPr>
        <w:footnoteRef/>
      </w:r>
      <w:r>
        <w:t xml:space="preserve"> Re Bo Xilai (2005) 128 ILR 713.</w:t>
      </w:r>
    </w:p>
  </w:footnote>
  <w:footnote w:id="15">
    <w:p w14:paraId="13D500BD" w14:textId="72C01981" w:rsidR="00B223CD" w:rsidRDefault="00B223CD">
      <w:pPr>
        <w:pStyle w:val="FootnoteText"/>
      </w:pPr>
      <w:r>
        <w:rPr>
          <w:rStyle w:val="FootnoteReference"/>
        </w:rPr>
        <w:footnoteRef/>
      </w:r>
      <w:r>
        <w:t xml:space="preserve"> Re Ehud Barak, City of Westminster Magistrates’ Court, 16 June 2008 (unreported)</w:t>
      </w:r>
      <w:r w:rsidR="004C4587">
        <w:t>.</w:t>
      </w:r>
    </w:p>
  </w:footnote>
  <w:footnote w:id="16">
    <w:p w14:paraId="3F46CD76" w14:textId="74D476C1" w:rsidR="00D17170" w:rsidRDefault="00D17170">
      <w:pPr>
        <w:pStyle w:val="FootnoteText"/>
      </w:pPr>
      <w:r>
        <w:rPr>
          <w:rStyle w:val="FootnoteReference"/>
        </w:rPr>
        <w:footnoteRef/>
      </w:r>
      <w:r>
        <w:t xml:space="preserve"> </w:t>
      </w:r>
      <w:r w:rsidR="00B223CD">
        <w:t>Re Mikhail Gorbachev, City of Westminster Magistrates’ Court, 30 March 2011 (unreported).</w:t>
      </w:r>
    </w:p>
  </w:footnote>
  <w:footnote w:id="17">
    <w:p w14:paraId="229FA0E6" w14:textId="6B40C4C0" w:rsidR="005D1027" w:rsidRDefault="005D1027">
      <w:pPr>
        <w:pStyle w:val="FootnoteText"/>
      </w:pPr>
      <w:r>
        <w:rPr>
          <w:rStyle w:val="FootnoteReference"/>
        </w:rPr>
        <w:footnoteRef/>
      </w:r>
      <w:r>
        <w:t xml:space="preserve"> </w:t>
      </w:r>
      <w:r w:rsidR="00907EB6">
        <w:t xml:space="preserve">See Convention against Torture and Other Cruel, Inhuman or Degrading Treatment or Punishment, Article 5.2, Dec. 10, 1984, 1465 U.N.T.S. 85 (“Each State Party shall … take such measures as may be necessary to establish its jurisdiction over such offences in cases where the alleged offender is present in any territory under its jurisdiction and it does not extradite him pursuant to article 8 to any of the States mentioned in paragraph I of this article.”); Convention on the Prevention and Punishment of the Crime of Genocide, adopted by the UN General Assembly, Res. 260 A (III), 9 December 1948, Article I (‘The Contracting Parties confirm that genocide … is a crime under international law which they undertake to prevent and to punish’); Geneva Convention for the Amelioration of the Condition of the Wounded and Sick in the Armed Forces in the Field Article 50, Aug. 12 1949, 75 U.N.T.S. 31; Geneva Convention for the Amelioration of the Condition of the Wounded, Sick, and Shipwrecked Members of Armed Forces at Sea Article 51, Aug. 12 1949 75 U.N.T.S. 85; Geneva Convention Relative to the Treatment of Prisoners of War Article 129, Aug. 12 1949, 75 U.N.T.S. 135; Geneva Convention Relative to the Protection of Civilian Persons in the Time of War Article 146, Aug. 12 1949, 75 U.N.T.S. 287. </w:t>
      </w:r>
    </w:p>
  </w:footnote>
  <w:footnote w:id="18">
    <w:p w14:paraId="1EE9B02C" w14:textId="386B9263" w:rsidR="005D1027" w:rsidRDefault="005D1027">
      <w:pPr>
        <w:pStyle w:val="FootnoteText"/>
      </w:pPr>
      <w:r>
        <w:rPr>
          <w:rStyle w:val="FootnoteReference"/>
        </w:rPr>
        <w:footnoteRef/>
      </w:r>
      <w:r>
        <w:t xml:space="preserve"> </w:t>
      </w:r>
      <w:r w:rsidR="004A2C94">
        <w:t>This is consistent with Home Office guidance, which provides that an individual will be refused citizenship if “there are reasonable grounds to suspect [that] they […] have been involved in or associated with war crimes, crimes against humanity or genocide, terrorism, or other actions that are considered not to be conducive to the public good”.</w:t>
      </w:r>
    </w:p>
  </w:footnote>
  <w:footnote w:id="19">
    <w:p w14:paraId="30F8F1E9" w14:textId="674AF156" w:rsidR="00B54096" w:rsidRDefault="00B54096">
      <w:pPr>
        <w:pStyle w:val="FootnoteText"/>
      </w:pPr>
      <w:r>
        <w:rPr>
          <w:rStyle w:val="FootnoteReference"/>
        </w:rPr>
        <w:footnoteRef/>
      </w:r>
      <w:r>
        <w:t xml:space="preserve"> </w:t>
      </w:r>
      <w:r w:rsidRPr="00EA6BF0">
        <w:t>CCPR/C/GBR/QPR/8</w:t>
      </w:r>
      <w:r>
        <w:t>, 5 May 2020, para. 13.</w:t>
      </w:r>
    </w:p>
  </w:footnote>
  <w:footnote w:id="20">
    <w:p w14:paraId="02BCE05C" w14:textId="273C97E0" w:rsidR="00361D09" w:rsidRDefault="00361D09">
      <w:pPr>
        <w:pStyle w:val="FootnoteText"/>
      </w:pPr>
      <w:r>
        <w:rPr>
          <w:rStyle w:val="FootnoteReference"/>
        </w:rPr>
        <w:footnoteRef/>
      </w:r>
      <w:r>
        <w:t xml:space="preserve"> See, for example</w:t>
      </w:r>
      <w:r w:rsidR="00803390">
        <w:t xml:space="preserve">: </w:t>
      </w:r>
      <w:hyperlink r:id="rId3" w:history="1">
        <w:r w:rsidRPr="00803390">
          <w:rPr>
            <w:rStyle w:val="Hyperlink"/>
          </w:rPr>
          <w:t xml:space="preserve">Parliamentary Assembly Council of Europe, Committee on Legal Affairs and Human Rights (Senator D. Marty), </w:t>
        </w:r>
        <w:r w:rsidRPr="0082053D">
          <w:rPr>
            <w:rStyle w:val="Hyperlink"/>
            <w:i/>
            <w:iCs/>
          </w:rPr>
          <w:t>Alleged secret detentions and unlawful inter-state transfers of detainees involving Council of Europe member states</w:t>
        </w:r>
        <w:r w:rsidR="00D55B07" w:rsidRPr="00803390">
          <w:rPr>
            <w:rStyle w:val="Hyperlink"/>
          </w:rPr>
          <w:t xml:space="preserve">, </w:t>
        </w:r>
        <w:r w:rsidR="00527804" w:rsidRPr="00803390">
          <w:rPr>
            <w:rStyle w:val="Hyperlink"/>
          </w:rPr>
          <w:t xml:space="preserve">Doc. 10957, </w:t>
        </w:r>
        <w:r w:rsidR="00607EA4" w:rsidRPr="00803390">
          <w:rPr>
            <w:rStyle w:val="Hyperlink"/>
          </w:rPr>
          <w:t>12 June 2006</w:t>
        </w:r>
      </w:hyperlink>
      <w:r w:rsidR="00607EA4">
        <w:t>.</w:t>
      </w:r>
    </w:p>
  </w:footnote>
  <w:footnote w:id="21">
    <w:p w14:paraId="350F4AB4" w14:textId="7A3834D0" w:rsidR="0089515A" w:rsidRPr="00552031" w:rsidRDefault="0089515A" w:rsidP="0089515A">
      <w:pPr>
        <w:pStyle w:val="FootnoteText"/>
      </w:pPr>
      <w:r>
        <w:rPr>
          <w:rStyle w:val="FootnoteReference"/>
        </w:rPr>
        <w:footnoteRef/>
      </w:r>
      <w:r>
        <w:t xml:space="preserve"> See, for example: ECtHR, </w:t>
      </w:r>
      <w:hyperlink r:id="rId4" w:history="1">
        <w:r w:rsidRPr="006B6DEB">
          <w:rPr>
            <w:rStyle w:val="Hyperlink"/>
            <w:i/>
            <w:iCs/>
          </w:rPr>
          <w:t>Factsheet – Secret detention sites</w:t>
        </w:r>
      </w:hyperlink>
      <w:r>
        <w:t xml:space="preserve">, March 2019; </w:t>
      </w:r>
      <w:r w:rsidR="00B80169">
        <w:t xml:space="preserve">UN Committee against Torture, </w:t>
      </w:r>
      <w:r w:rsidR="00BD54F8" w:rsidRPr="0082053D">
        <w:rPr>
          <w:i/>
        </w:rPr>
        <w:t>Concluding observations on the fourth periodic report of Lithuania</w:t>
      </w:r>
      <w:r w:rsidR="00BD54F8">
        <w:t xml:space="preserve">, </w:t>
      </w:r>
      <w:r w:rsidR="000D311F" w:rsidRPr="000D311F">
        <w:t>CAT/C/LTU/CO/4</w:t>
      </w:r>
      <w:r w:rsidR="000D311F">
        <w:t xml:space="preserve">, </w:t>
      </w:r>
      <w:r w:rsidR="008324FA">
        <w:t>21 December 2021</w:t>
      </w:r>
      <w:r w:rsidR="008122AA">
        <w:t>, para</w:t>
      </w:r>
      <w:r w:rsidR="000F5206">
        <w:t>s</w:t>
      </w:r>
      <w:r w:rsidR="008122AA">
        <w:t>.</w:t>
      </w:r>
      <w:r w:rsidR="000F5206">
        <w:t xml:space="preserve"> 19-20</w:t>
      </w:r>
      <w:r w:rsidR="008122AA">
        <w:t xml:space="preserve">. </w:t>
      </w:r>
    </w:p>
  </w:footnote>
  <w:footnote w:id="22">
    <w:p w14:paraId="6763ED77" w14:textId="6FA5649C" w:rsidR="00DB0A44" w:rsidRDefault="00DB0A44">
      <w:pPr>
        <w:pStyle w:val="FootnoteText"/>
      </w:pPr>
      <w:r>
        <w:rPr>
          <w:rStyle w:val="FootnoteReference"/>
        </w:rPr>
        <w:footnoteRef/>
      </w:r>
      <w:r>
        <w:t xml:space="preserve"> </w:t>
      </w:r>
      <w:r>
        <w:rPr>
          <w:i/>
          <w:iCs/>
        </w:rPr>
        <w:t>A</w:t>
      </w:r>
      <w:r w:rsidRPr="0034494D">
        <w:rPr>
          <w:i/>
          <w:iCs/>
        </w:rPr>
        <w:t>l-Hawsawi v Lithuania</w:t>
      </w:r>
      <w:r>
        <w:t>, Appl. No: 6383/17, 16 January 2024</w:t>
      </w:r>
      <w:r w:rsidR="003C14DF">
        <w:t>.</w:t>
      </w:r>
    </w:p>
  </w:footnote>
  <w:footnote w:id="23">
    <w:p w14:paraId="0B650A47" w14:textId="0365F989" w:rsidR="00DB0A44" w:rsidRDefault="00DB0A44">
      <w:pPr>
        <w:pStyle w:val="FootnoteText"/>
      </w:pPr>
      <w:r>
        <w:rPr>
          <w:rStyle w:val="FootnoteReference"/>
        </w:rPr>
        <w:footnoteRef/>
      </w:r>
      <w:r>
        <w:t xml:space="preserve"> For example, </w:t>
      </w:r>
      <w:r w:rsidR="008D6BD0">
        <w:t>see</w:t>
      </w:r>
      <w:r>
        <w:t xml:space="preserve"> </w:t>
      </w:r>
      <w:r w:rsidRPr="0034494D">
        <w:rPr>
          <w:i/>
          <w:iCs/>
        </w:rPr>
        <w:t>Concluding Observations on the Third Periodic Report of Lithuania</w:t>
      </w:r>
      <w:r>
        <w:t xml:space="preserve">, </w:t>
      </w:r>
      <w:r w:rsidRPr="00D77AA0">
        <w:t>CCPR/C/LTU/CO/4</w:t>
      </w:r>
      <w:r>
        <w:t>, 29 August 2018, paras. 23-24</w:t>
      </w:r>
      <w:r w:rsidR="00C803F5">
        <w:t>.</w:t>
      </w:r>
    </w:p>
  </w:footnote>
  <w:footnote w:id="24">
    <w:p w14:paraId="08B0BFD8" w14:textId="1797BA8D" w:rsidR="00DA13CF" w:rsidRDefault="00DA13CF">
      <w:pPr>
        <w:pStyle w:val="FootnoteText"/>
      </w:pPr>
      <w:r>
        <w:rPr>
          <w:rStyle w:val="FootnoteReference"/>
        </w:rPr>
        <w:footnoteRef/>
      </w:r>
      <w:r>
        <w:t xml:space="preserve"> </w:t>
      </w:r>
      <w:hyperlink r:id="rId5" w:history="1">
        <w:r w:rsidR="002343D5" w:rsidRPr="003C14DF">
          <w:rPr>
            <w:rStyle w:val="Hyperlink"/>
            <w:color w:val="auto"/>
            <w:u w:val="none"/>
          </w:rPr>
          <w:t>Mustafa Adam Ahmed Al-Hawsawi v (1) Security Service, (2) Secret Intelligence Service, (3) Government Communications Headquarters, (4) Ministry Of Defence [2023] UKIPTrib 5</w:t>
        </w:r>
      </w:hyperlink>
      <w:r w:rsidR="002343D5" w:rsidRPr="003C14DF">
        <w:t xml:space="preserve">; </w:t>
      </w:r>
      <w:r w:rsidR="00963188" w:rsidRPr="003C14DF">
        <w:t xml:space="preserve"> </w:t>
      </w:r>
      <w:r w:rsidR="00606604" w:rsidRPr="00B4317B">
        <w:t>Abd Al-Rahim Al Nashiri v (1) Security Service (2) Secr</w:t>
      </w:r>
      <w:r w:rsidR="00606604" w:rsidRPr="00B4317B">
        <w:t>e</w:t>
      </w:r>
      <w:r w:rsidR="00606604" w:rsidRPr="00B4317B">
        <w:t>t Intelligence Service (3) Government Communications Headquarters (4) Ministry of Defence [2023] UKIPTrib 9</w:t>
      </w:r>
      <w:r w:rsidR="00B4317B">
        <w:t xml:space="preserve">, available at: </w:t>
      </w:r>
      <w:hyperlink r:id="rId6" w:history="1">
        <w:r w:rsidR="007C4EF2">
          <w:rPr>
            <w:rStyle w:val="Hyperlink"/>
          </w:rPr>
          <w:t>Abd Al-Rahim Al Nashiri v (1) Security Service (2) Secret Intelligence Service (3) Government Communications Headquarters (4) Ministry of Defence - The Investigatory Powers Tribunal</w:t>
        </w:r>
      </w:hyperlink>
      <w:r w:rsidR="00B4317B">
        <w:t>.</w:t>
      </w:r>
    </w:p>
  </w:footnote>
  <w:footnote w:id="25">
    <w:p w14:paraId="376B8B7D" w14:textId="47DE20B4" w:rsidR="00225255" w:rsidRDefault="00225255">
      <w:pPr>
        <w:pStyle w:val="FootnoteText"/>
      </w:pPr>
      <w:r>
        <w:rPr>
          <w:rStyle w:val="FootnoteReference"/>
        </w:rPr>
        <w:footnoteRef/>
      </w:r>
      <w:r>
        <w:t xml:space="preserve"> </w:t>
      </w:r>
      <w:r w:rsidR="00467044">
        <w:t xml:space="preserve">UN Human Rights Council, </w:t>
      </w:r>
      <w:r w:rsidR="00DD154E" w:rsidRPr="00DD154E">
        <w:t>Working Group on Arbitrary Detention</w:t>
      </w:r>
      <w:r w:rsidR="00DD154E">
        <w:t xml:space="preserve">, </w:t>
      </w:r>
      <w:r w:rsidR="000E2A9B" w:rsidRPr="0082053D">
        <w:rPr>
          <w:i/>
          <w:iCs/>
        </w:rPr>
        <w:t>Opinion No. 80/2021 concerning Jagtar Singh Johal (India)</w:t>
      </w:r>
      <w:r w:rsidR="000E2A9B">
        <w:t xml:space="preserve">, </w:t>
      </w:r>
      <w:r w:rsidR="009D2347" w:rsidRPr="009D2347">
        <w:t>A/HRC/WGAD/2021/80</w:t>
      </w:r>
      <w:r w:rsidR="009D2347">
        <w:t>, 4 May 2022.</w:t>
      </w:r>
    </w:p>
  </w:footnote>
  <w:footnote w:id="26">
    <w:p w14:paraId="1ABD365B" w14:textId="6523891F" w:rsidR="00A84E33" w:rsidRDefault="00A84E33" w:rsidP="00D53B9F">
      <w:pPr>
        <w:pStyle w:val="FootnoteText"/>
      </w:pPr>
      <w:r>
        <w:rPr>
          <w:rStyle w:val="FootnoteReference"/>
        </w:rPr>
        <w:footnoteRef/>
      </w:r>
      <w:r>
        <w:t xml:space="preserve"> Frank Gardner</w:t>
      </w:r>
      <w:r w:rsidRPr="0082053D">
        <w:rPr>
          <w:i/>
        </w:rPr>
        <w:t>, Jagtar Sing Johal case: UK spy agencies accused of tip-off that led to torture</w:t>
      </w:r>
      <w:r>
        <w:t>, BBC News, 22 August 2022,</w:t>
      </w:r>
      <w:r w:rsidR="00E97BB5">
        <w:t xml:space="preserve"> </w:t>
      </w:r>
      <w:r>
        <w:t>https://www.bbc.co.uk/news/uk-62639233/</w:t>
      </w:r>
      <w:r w:rsidR="009539DB">
        <w:t xml:space="preserve">; </w:t>
      </w:r>
      <w:r w:rsidR="00D53B9F" w:rsidRPr="008B6466">
        <w:rPr>
          <w:i/>
          <w:iCs/>
        </w:rPr>
        <w:t>JAGTAR SINGH JOHAL: ARBITRARILY DETAINED BRITISH BLOGGER FACING DEATH PENALTY, Briefing by Reprieve and REDRESS for Backbench Business Committee debate on 19 January 2023</w:t>
      </w:r>
      <w:r w:rsidR="008B6466" w:rsidRPr="008B6466">
        <w:rPr>
          <w:i/>
          <w:iCs/>
        </w:rPr>
        <w:t>,</w:t>
      </w:r>
      <w:r w:rsidR="008B6466" w:rsidRPr="008B6466">
        <w:t xml:space="preserve"> </w:t>
      </w:r>
      <w:r w:rsidR="008B6466">
        <w:t xml:space="preserve">available at: </w:t>
      </w:r>
      <w:hyperlink r:id="rId7" w:history="1">
        <w:r w:rsidR="008B6466">
          <w:rPr>
            <w:rStyle w:val="Hyperlink"/>
          </w:rPr>
          <w:t>2023_01_18_PUB-JSJohal-MP-briefing-January-2023-Backbench-Business-Debate.pdf (redress.org)</w:t>
        </w:r>
      </w:hyperlink>
      <w:r w:rsidR="008B6466">
        <w:t>.</w:t>
      </w:r>
    </w:p>
  </w:footnote>
  <w:footnote w:id="27">
    <w:p w14:paraId="7BA003DF" w14:textId="1C8C3B7D" w:rsidR="00A57C71" w:rsidRDefault="00A57C71">
      <w:pPr>
        <w:pStyle w:val="FootnoteText"/>
      </w:pPr>
      <w:r>
        <w:rPr>
          <w:rStyle w:val="FootnoteReference"/>
        </w:rPr>
        <w:footnoteRef/>
      </w:r>
      <w:r>
        <w:t xml:space="preserve"> Supra, para. </w:t>
      </w:r>
      <w:r w:rsidR="00615145">
        <w:fldChar w:fldCharType="begin"/>
      </w:r>
      <w:r w:rsidR="00615145">
        <w:instrText xml:space="preserve"> REF _Ref157433296 \r \h </w:instrText>
      </w:r>
      <w:r w:rsidR="00615145">
        <w:fldChar w:fldCharType="separate"/>
      </w:r>
      <w:r w:rsidR="00615145">
        <w:t>9</w:t>
      </w:r>
      <w:r w:rsidR="00615145">
        <w:fldChar w:fldCharType="end"/>
      </w:r>
      <w:r w:rsidR="00615145">
        <w:t>.</w:t>
      </w:r>
    </w:p>
  </w:footnote>
  <w:footnote w:id="28">
    <w:p w14:paraId="7823A9DA" w14:textId="4459F3AD" w:rsidR="00955835" w:rsidRDefault="00955835" w:rsidP="00A51DCF">
      <w:pPr>
        <w:pStyle w:val="FootnoteText"/>
      </w:pPr>
      <w:r w:rsidRPr="00B4317B">
        <w:rPr>
          <w:rStyle w:val="FootnoteReference"/>
        </w:rPr>
        <w:footnoteRef/>
      </w:r>
      <w:r w:rsidRPr="00B4317B">
        <w:t xml:space="preserve"> </w:t>
      </w:r>
      <w:r w:rsidR="00145051" w:rsidRPr="00B4317B">
        <w:t xml:space="preserve">ISC, </w:t>
      </w:r>
      <w:r w:rsidR="00A51DCF" w:rsidRPr="00B4317B">
        <w:rPr>
          <w:i/>
          <w:iCs/>
        </w:rPr>
        <w:t>Detainee Mistreatment and Renditi</w:t>
      </w:r>
      <w:r w:rsidR="00A51DCF" w:rsidRPr="00B4317B">
        <w:rPr>
          <w:i/>
          <w:iCs/>
        </w:rPr>
        <w:t>o</w:t>
      </w:r>
      <w:r w:rsidR="00A51DCF" w:rsidRPr="00B4317B">
        <w:rPr>
          <w:i/>
          <w:iCs/>
        </w:rPr>
        <w:t>n: 2001–2010</w:t>
      </w:r>
      <w:r w:rsidR="00A51DCF" w:rsidRPr="00B4317B">
        <w:t>, 28 June 2018</w:t>
      </w:r>
      <w:r w:rsidR="008B6466" w:rsidRPr="00B4317B">
        <w:t xml:space="preserve">, </w:t>
      </w:r>
      <w:r w:rsidR="008B6466">
        <w:t xml:space="preserve">available at: </w:t>
      </w:r>
      <w:hyperlink r:id="rId8" w:history="1">
        <w:r w:rsidR="00B4317B">
          <w:rPr>
            <w:rStyle w:val="Hyperlink"/>
          </w:rPr>
          <w:t>HC 1113 Detainee Mistreatment and Rendition (independent.gov.uk)</w:t>
        </w:r>
      </w:hyperlink>
      <w:r w:rsidR="008B6466">
        <w:t>.</w:t>
      </w:r>
    </w:p>
  </w:footnote>
  <w:footnote w:id="29">
    <w:p w14:paraId="319DA5B4" w14:textId="3C3E0290" w:rsidR="00904ECC" w:rsidRDefault="00904ECC">
      <w:pPr>
        <w:pStyle w:val="FootnoteText"/>
      </w:pPr>
      <w:r>
        <w:rPr>
          <w:rStyle w:val="FootnoteReference"/>
        </w:rPr>
        <w:footnoteRef/>
      </w:r>
      <w:r>
        <w:t xml:space="preserve"> </w:t>
      </w:r>
      <w:r w:rsidRPr="00904ECC">
        <w:t>https://hansard.parliament.uk/Commons/2019-07-18/debates/86F17839-026E-4F7A-9E1C-06C7219621E5/Detainees</w:t>
      </w:r>
    </w:p>
  </w:footnote>
  <w:footnote w:id="30">
    <w:p w14:paraId="4A10A30A" w14:textId="7AA78BF5" w:rsidR="00C1385E" w:rsidRPr="0082053D" w:rsidRDefault="00C1385E">
      <w:pPr>
        <w:pStyle w:val="FootnoteText"/>
        <w:rPr>
          <w:b/>
          <w:bCs/>
        </w:rPr>
      </w:pPr>
      <w:r>
        <w:rPr>
          <w:rStyle w:val="FootnoteReference"/>
        </w:rPr>
        <w:footnoteRef/>
      </w:r>
      <w:r>
        <w:t xml:space="preserve"> Illegal Migration Act 2023</w:t>
      </w:r>
      <w:r w:rsidR="00D36F23">
        <w:t xml:space="preserve"> (UK)</w:t>
      </w:r>
      <w:r w:rsidR="004F5CC9">
        <w:t xml:space="preserve">, available at: </w:t>
      </w:r>
      <w:hyperlink r:id="rId9" w:history="1">
        <w:r w:rsidR="004F5CC9">
          <w:rPr>
            <w:rStyle w:val="Hyperlink"/>
          </w:rPr>
          <w:t>Illegal Migration Act 2023 (legislation.gov.uk)</w:t>
        </w:r>
      </w:hyperlink>
    </w:p>
  </w:footnote>
  <w:footnote w:id="31">
    <w:p w14:paraId="352BDBBF" w14:textId="32C5ADF5" w:rsidR="003D4574" w:rsidRDefault="003D4574">
      <w:pPr>
        <w:pStyle w:val="FootnoteText"/>
      </w:pPr>
      <w:r>
        <w:rPr>
          <w:rStyle w:val="FootnoteReference"/>
        </w:rPr>
        <w:footnoteRef/>
      </w:r>
      <w:r>
        <w:t xml:space="preserve"> </w:t>
      </w:r>
      <w:r w:rsidR="004F5CC9">
        <w:t>Safet</w:t>
      </w:r>
      <w:r w:rsidR="001221ED">
        <w:t>y of Rwanda (Asylum and Immigration) Bill</w:t>
      </w:r>
      <w:r w:rsidR="00D36F23">
        <w:t xml:space="preserve"> (UK)</w:t>
      </w:r>
      <w:r w:rsidR="001221ED">
        <w:t xml:space="preserve">, available at: </w:t>
      </w:r>
      <w:hyperlink r:id="rId10" w:history="1">
        <w:r w:rsidR="001221ED">
          <w:rPr>
            <w:rStyle w:val="Hyperlink"/>
          </w:rPr>
          <w:t>Safety of Rwanda (Asylum and Immigration) Bill - Parliamentary Bills - UK Parliament</w:t>
        </w:r>
      </w:hyperlink>
    </w:p>
  </w:footnote>
  <w:footnote w:id="32">
    <w:p w14:paraId="1B11D9BE" w14:textId="5EC7F923" w:rsidR="009B67CB" w:rsidRDefault="009B67CB">
      <w:pPr>
        <w:pStyle w:val="FootnoteText"/>
      </w:pPr>
      <w:r>
        <w:rPr>
          <w:rStyle w:val="FootnoteReference"/>
        </w:rPr>
        <w:footnoteRef/>
      </w:r>
      <w:r>
        <w:t xml:space="preserve"> </w:t>
      </w:r>
      <w:r w:rsidRPr="009B67CB">
        <w:t>Human Rights Committee, General Comment No. 31, para 12</w:t>
      </w:r>
      <w:r w:rsidR="004C12B4">
        <w:t>.</w:t>
      </w:r>
    </w:p>
  </w:footnote>
  <w:footnote w:id="33">
    <w:p w14:paraId="4251CE22" w14:textId="39E38E5F" w:rsidR="00245873" w:rsidRDefault="00245873" w:rsidP="0009127E">
      <w:pPr>
        <w:pStyle w:val="FootnoteText"/>
      </w:pPr>
      <w:r>
        <w:rPr>
          <w:rStyle w:val="FootnoteReference"/>
        </w:rPr>
        <w:footnoteRef/>
      </w:r>
      <w:r>
        <w:t xml:space="preserve"> </w:t>
      </w:r>
      <w:r w:rsidR="00AF55E3">
        <w:t>For details and examples, see</w:t>
      </w:r>
      <w:r w:rsidR="007C4EF2">
        <w:t>:</w:t>
      </w:r>
      <w:r w:rsidR="00AF55E3">
        <w:t xml:space="preserve"> </w:t>
      </w:r>
      <w:hyperlink r:id="rId11" w:history="1">
        <w:r w:rsidR="0009127E" w:rsidRPr="00426F8F">
          <w:rPr>
            <w:rStyle w:val="Hyperlink"/>
          </w:rPr>
          <w:t xml:space="preserve">REDRESS, </w:t>
        </w:r>
        <w:r w:rsidR="0009127E" w:rsidRPr="002A3AFC">
          <w:rPr>
            <w:rStyle w:val="Hyperlink"/>
            <w:i/>
            <w:iCs/>
          </w:rPr>
          <w:t>TORTURE IN RWANDA: REDRESS Briefing on the Safety of Rwanda (Asylum and Immigration) Bill</w:t>
        </w:r>
        <w:r w:rsidR="0009127E" w:rsidRPr="00426F8F">
          <w:rPr>
            <w:rStyle w:val="Hyperlink"/>
          </w:rPr>
          <w:t>. December 2023.</w:t>
        </w:r>
      </w:hyperlink>
    </w:p>
  </w:footnote>
  <w:footnote w:id="34">
    <w:p w14:paraId="5C4DD613" w14:textId="12FCC1CB" w:rsidR="009D05CC" w:rsidRDefault="009D05CC">
      <w:pPr>
        <w:pStyle w:val="FootnoteText"/>
      </w:pPr>
      <w:r>
        <w:rPr>
          <w:rStyle w:val="FootnoteReference"/>
        </w:rPr>
        <w:footnoteRef/>
      </w:r>
      <w:r w:rsidR="007C4EF2">
        <w:t xml:space="preserve"> </w:t>
      </w:r>
      <w:r w:rsidR="0055268C">
        <w:t xml:space="preserve">UK Home Office, </w:t>
      </w:r>
      <w:r w:rsidR="0055268C" w:rsidRPr="0055268C">
        <w:t>UK-Rwanda treaty: provision of an asylum partnership</w:t>
      </w:r>
      <w:r w:rsidR="0055268C">
        <w:t xml:space="preserve">, </w:t>
      </w:r>
      <w:r w:rsidR="00E335C1">
        <w:t xml:space="preserve">available at: </w:t>
      </w:r>
      <w:hyperlink r:id="rId12" w:history="1">
        <w:r w:rsidR="00E335C1">
          <w:rPr>
            <w:rStyle w:val="Hyperlink"/>
          </w:rPr>
          <w:t>UK-Rwanda treaty: provision of an asylum partnership - GOV.UK (www.gov.uk)</w:t>
        </w:r>
      </w:hyperlink>
      <w:r w:rsidR="00E335C1">
        <w:t>.</w:t>
      </w:r>
      <w:r w:rsidR="00D369B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2DE70" w14:textId="555D406D" w:rsidR="001F5F76" w:rsidRDefault="001F5F76">
    <w:pPr>
      <w:pStyle w:val="Header"/>
    </w:pPr>
    <w:r w:rsidRPr="00E40D5A">
      <w:rPr>
        <w:noProof/>
      </w:rPr>
      <w:drawing>
        <wp:anchor distT="0" distB="0" distL="114300" distR="114300" simplePos="0" relativeHeight="251658242" behindDoc="1" locked="0" layoutInCell="1" allowOverlap="1" wp14:anchorId="2BC8BE67" wp14:editId="63476F65">
          <wp:simplePos x="0" y="0"/>
          <wp:positionH relativeFrom="column">
            <wp:posOffset>3601720</wp:posOffset>
          </wp:positionH>
          <wp:positionV relativeFrom="paragraph">
            <wp:posOffset>-43180</wp:posOffset>
          </wp:positionV>
          <wp:extent cx="1793240" cy="600710"/>
          <wp:effectExtent l="0" t="0" r="0" b="0"/>
          <wp:wrapNone/>
          <wp:docPr id="923190572" name="Picture 923190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190572" name=""/>
                  <pic:cNvPicPr/>
                </pic:nvPicPr>
                <pic:blipFill>
                  <a:blip r:embed="rId1">
                    <a:extLst>
                      <a:ext uri="{28A0092B-C50C-407E-A947-70E740481C1C}">
                        <a14:useLocalDpi xmlns:a14="http://schemas.microsoft.com/office/drawing/2010/main" val="0"/>
                      </a:ext>
                    </a:extLst>
                  </a:blip>
                  <a:stretch>
                    <a:fillRect/>
                  </a:stretch>
                </pic:blipFill>
                <pic:spPr>
                  <a:xfrm>
                    <a:off x="0" y="0"/>
                    <a:ext cx="1793240" cy="6007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14:anchorId="7AC66ECC" wp14:editId="6B5CD43F">
              <wp:simplePos x="0" y="0"/>
              <wp:positionH relativeFrom="column">
                <wp:posOffset>-1071880</wp:posOffset>
              </wp:positionH>
              <wp:positionV relativeFrom="paragraph">
                <wp:posOffset>-44450</wp:posOffset>
              </wp:positionV>
              <wp:extent cx="4600575" cy="193040"/>
              <wp:effectExtent l="0" t="0" r="0" b="0"/>
              <wp:wrapNone/>
              <wp:docPr id="1502115967" name="Rectangle 1502115967"/>
              <wp:cNvGraphicFramePr/>
              <a:graphic xmlns:a="http://schemas.openxmlformats.org/drawingml/2006/main">
                <a:graphicData uri="http://schemas.microsoft.com/office/word/2010/wordprocessingShape">
                  <wps:wsp>
                    <wps:cNvSpPr/>
                    <wps:spPr>
                      <a:xfrm>
                        <a:off x="0" y="0"/>
                        <a:ext cx="4600575" cy="193040"/>
                      </a:xfrm>
                      <a:prstGeom prst="rect">
                        <a:avLst/>
                      </a:prstGeom>
                      <a:solidFill>
                        <a:srgbClr val="FBDD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v:rect id="Retângulo 5" style="position:absolute;margin-left:-84.4pt;margin-top:-3.5pt;width:362.25pt;height:15.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fbdd35" stroked="f" strokeweight="1pt" w14:anchorId="4C8A0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"/>
          </w:pict>
        </mc:Fallback>
      </mc:AlternateContent>
    </w:r>
    <w:r>
      <w:rPr>
        <w:noProof/>
      </w:rPr>
      <mc:AlternateContent>
        <mc:Choice Requires="wps">
          <w:drawing>
            <wp:anchor distT="0" distB="0" distL="114300" distR="114300" simplePos="0" relativeHeight="251658241" behindDoc="0" locked="0" layoutInCell="1" allowOverlap="1" wp14:anchorId="66C0EC39" wp14:editId="7A216576">
              <wp:simplePos x="0" y="0"/>
              <wp:positionH relativeFrom="column">
                <wp:posOffset>-1071245</wp:posOffset>
              </wp:positionH>
              <wp:positionV relativeFrom="paragraph">
                <wp:posOffset>226480</wp:posOffset>
              </wp:positionV>
              <wp:extent cx="4600575" cy="193040"/>
              <wp:effectExtent l="0" t="0" r="0" b="0"/>
              <wp:wrapNone/>
              <wp:docPr id="1361641654" name="Rectangle 1361641654"/>
              <wp:cNvGraphicFramePr/>
              <a:graphic xmlns:a="http://schemas.openxmlformats.org/drawingml/2006/main">
                <a:graphicData uri="http://schemas.microsoft.com/office/word/2010/wordprocessingShape">
                  <wps:wsp>
                    <wps:cNvSpPr/>
                    <wps:spPr>
                      <a:xfrm>
                        <a:off x="0" y="0"/>
                        <a:ext cx="4600575" cy="193040"/>
                      </a:xfrm>
                      <a:prstGeom prst="rect">
                        <a:avLst/>
                      </a:prstGeom>
                      <a:solidFill>
                        <a:srgbClr val="FBDD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v:rect id="Retângulo 5" style="position:absolute;margin-left:-84.35pt;margin-top:17.85pt;width:362.25pt;height:15.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fbdd35" stroked="f" strokeweight="1pt" w14:anchorId="0414DA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52F6"/>
    <w:multiLevelType w:val="multilevel"/>
    <w:tmpl w:val="DEA04A22"/>
    <w:lvl w:ilvl="0">
      <w:start w:val="1"/>
      <w:numFmt w:val="decimal"/>
      <w:lvlText w:val="%1."/>
      <w:lvlJc w:val="left"/>
      <w:pPr>
        <w:ind w:left="360" w:hanging="360"/>
      </w:pPr>
      <w:rPr>
        <w:rFonts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o"/>
      <w:lvlJc w:val="left"/>
      <w:pPr>
        <w:tabs>
          <w:tab w:val="num" w:pos="1440"/>
        </w:tabs>
        <w:ind w:left="1440" w:hanging="360"/>
      </w:pPr>
      <w:rPr>
        <w:rFonts w:ascii="Courier New" w:hAnsi="Courier New" w:hint="default"/>
        <w:sz w:val="20"/>
      </w:rPr>
    </w:lvl>
    <w:lvl w:ilvl="3" w:tentative="1">
      <w:start w:val="1"/>
      <w:numFmt w:val="bullet"/>
      <w:lvlText w:val="o"/>
      <w:lvlJc w:val="left"/>
      <w:pPr>
        <w:tabs>
          <w:tab w:val="num" w:pos="2160"/>
        </w:tabs>
        <w:ind w:left="2160" w:hanging="360"/>
      </w:pPr>
      <w:rPr>
        <w:rFonts w:ascii="Courier New" w:hAnsi="Courier New" w:hint="default"/>
        <w:sz w:val="20"/>
      </w:rPr>
    </w:lvl>
    <w:lvl w:ilvl="4" w:tentative="1">
      <w:start w:val="1"/>
      <w:numFmt w:val="bullet"/>
      <w:lvlText w:val="o"/>
      <w:lvlJc w:val="left"/>
      <w:pPr>
        <w:tabs>
          <w:tab w:val="num" w:pos="2880"/>
        </w:tabs>
        <w:ind w:left="2880" w:hanging="360"/>
      </w:pPr>
      <w:rPr>
        <w:rFonts w:ascii="Courier New" w:hAnsi="Courier New" w:hint="default"/>
        <w:sz w:val="20"/>
      </w:rPr>
    </w:lvl>
    <w:lvl w:ilvl="5" w:tentative="1">
      <w:start w:val="1"/>
      <w:numFmt w:val="bullet"/>
      <w:lvlText w:val="o"/>
      <w:lvlJc w:val="left"/>
      <w:pPr>
        <w:tabs>
          <w:tab w:val="num" w:pos="3600"/>
        </w:tabs>
        <w:ind w:left="3600" w:hanging="360"/>
      </w:pPr>
      <w:rPr>
        <w:rFonts w:ascii="Courier New" w:hAnsi="Courier New" w:hint="default"/>
        <w:sz w:val="20"/>
      </w:rPr>
    </w:lvl>
    <w:lvl w:ilvl="6" w:tentative="1">
      <w:start w:val="1"/>
      <w:numFmt w:val="bullet"/>
      <w:lvlText w:val="o"/>
      <w:lvlJc w:val="left"/>
      <w:pPr>
        <w:tabs>
          <w:tab w:val="num" w:pos="4320"/>
        </w:tabs>
        <w:ind w:left="4320" w:hanging="360"/>
      </w:pPr>
      <w:rPr>
        <w:rFonts w:ascii="Courier New" w:hAnsi="Courier New" w:hint="default"/>
        <w:sz w:val="20"/>
      </w:rPr>
    </w:lvl>
    <w:lvl w:ilvl="7" w:tentative="1">
      <w:start w:val="1"/>
      <w:numFmt w:val="bullet"/>
      <w:lvlText w:val="o"/>
      <w:lvlJc w:val="left"/>
      <w:pPr>
        <w:tabs>
          <w:tab w:val="num" w:pos="5040"/>
        </w:tabs>
        <w:ind w:left="5040" w:hanging="360"/>
      </w:pPr>
      <w:rPr>
        <w:rFonts w:ascii="Courier New" w:hAnsi="Courier New" w:hint="default"/>
        <w:sz w:val="20"/>
      </w:rPr>
    </w:lvl>
    <w:lvl w:ilvl="8" w:tentative="1">
      <w:start w:val="1"/>
      <w:numFmt w:val="bullet"/>
      <w:lvlText w:val="o"/>
      <w:lvlJc w:val="left"/>
      <w:pPr>
        <w:tabs>
          <w:tab w:val="num" w:pos="5760"/>
        </w:tabs>
        <w:ind w:left="5760" w:hanging="360"/>
      </w:pPr>
      <w:rPr>
        <w:rFonts w:ascii="Courier New" w:hAnsi="Courier New" w:hint="default"/>
        <w:sz w:val="20"/>
      </w:rPr>
    </w:lvl>
  </w:abstractNum>
  <w:abstractNum w:abstractNumId="1" w15:restartNumberingAfterBreak="0">
    <w:nsid w:val="069F22FE"/>
    <w:multiLevelType w:val="hybridMultilevel"/>
    <w:tmpl w:val="7E7CD54E"/>
    <w:lvl w:ilvl="0" w:tplc="A82E6DDE">
      <w:start w:val="1"/>
      <w:numFmt w:val="bullet"/>
      <w:lvlText w:val=""/>
      <w:lvlJc w:val="left"/>
      <w:pPr>
        <w:ind w:left="720" w:hanging="360"/>
      </w:pPr>
      <w:rPr>
        <w:rFonts w:ascii="Symbol" w:hAnsi="Symbol" w:hint="default"/>
      </w:rPr>
    </w:lvl>
    <w:lvl w:ilvl="1" w:tplc="6DD86CCA">
      <w:start w:val="1"/>
      <w:numFmt w:val="bullet"/>
      <w:lvlText w:val="o"/>
      <w:lvlJc w:val="left"/>
      <w:pPr>
        <w:ind w:left="1440" w:hanging="360"/>
      </w:pPr>
      <w:rPr>
        <w:rFonts w:ascii="Courier New" w:hAnsi="Courier New" w:hint="default"/>
      </w:rPr>
    </w:lvl>
    <w:lvl w:ilvl="2" w:tplc="052CD78C">
      <w:start w:val="1"/>
      <w:numFmt w:val="bullet"/>
      <w:lvlText w:val=""/>
      <w:lvlJc w:val="left"/>
      <w:pPr>
        <w:ind w:left="2160" w:hanging="360"/>
      </w:pPr>
      <w:rPr>
        <w:rFonts w:ascii="Wingdings" w:hAnsi="Wingdings" w:hint="default"/>
      </w:rPr>
    </w:lvl>
    <w:lvl w:ilvl="3" w:tplc="D5AE005C">
      <w:start w:val="1"/>
      <w:numFmt w:val="bullet"/>
      <w:lvlText w:val=""/>
      <w:lvlJc w:val="left"/>
      <w:pPr>
        <w:ind w:left="2880" w:hanging="360"/>
      </w:pPr>
      <w:rPr>
        <w:rFonts w:ascii="Symbol" w:hAnsi="Symbol" w:hint="default"/>
      </w:rPr>
    </w:lvl>
    <w:lvl w:ilvl="4" w:tplc="1FDEE5E0">
      <w:start w:val="1"/>
      <w:numFmt w:val="bullet"/>
      <w:lvlText w:val="o"/>
      <w:lvlJc w:val="left"/>
      <w:pPr>
        <w:ind w:left="3600" w:hanging="360"/>
      </w:pPr>
      <w:rPr>
        <w:rFonts w:ascii="Courier New" w:hAnsi="Courier New" w:hint="default"/>
      </w:rPr>
    </w:lvl>
    <w:lvl w:ilvl="5" w:tplc="5F3E2B8A">
      <w:start w:val="1"/>
      <w:numFmt w:val="bullet"/>
      <w:lvlText w:val=""/>
      <w:lvlJc w:val="left"/>
      <w:pPr>
        <w:ind w:left="4320" w:hanging="360"/>
      </w:pPr>
      <w:rPr>
        <w:rFonts w:ascii="Wingdings" w:hAnsi="Wingdings" w:hint="default"/>
      </w:rPr>
    </w:lvl>
    <w:lvl w:ilvl="6" w:tplc="96B42588">
      <w:start w:val="1"/>
      <w:numFmt w:val="bullet"/>
      <w:lvlText w:val=""/>
      <w:lvlJc w:val="left"/>
      <w:pPr>
        <w:ind w:left="5040" w:hanging="360"/>
      </w:pPr>
      <w:rPr>
        <w:rFonts w:ascii="Symbol" w:hAnsi="Symbol" w:hint="default"/>
      </w:rPr>
    </w:lvl>
    <w:lvl w:ilvl="7" w:tplc="4A446C84">
      <w:start w:val="1"/>
      <w:numFmt w:val="bullet"/>
      <w:lvlText w:val="o"/>
      <w:lvlJc w:val="left"/>
      <w:pPr>
        <w:ind w:left="5760" w:hanging="360"/>
      </w:pPr>
      <w:rPr>
        <w:rFonts w:ascii="Courier New" w:hAnsi="Courier New" w:hint="default"/>
      </w:rPr>
    </w:lvl>
    <w:lvl w:ilvl="8" w:tplc="856054E8">
      <w:start w:val="1"/>
      <w:numFmt w:val="bullet"/>
      <w:lvlText w:val=""/>
      <w:lvlJc w:val="left"/>
      <w:pPr>
        <w:ind w:left="6480" w:hanging="360"/>
      </w:pPr>
      <w:rPr>
        <w:rFonts w:ascii="Wingdings" w:hAnsi="Wingdings" w:hint="default"/>
      </w:rPr>
    </w:lvl>
  </w:abstractNum>
  <w:abstractNum w:abstractNumId="2" w15:restartNumberingAfterBreak="0">
    <w:nsid w:val="1984CC95"/>
    <w:multiLevelType w:val="hybridMultilevel"/>
    <w:tmpl w:val="60B45230"/>
    <w:lvl w:ilvl="0" w:tplc="655AA6F0">
      <w:start w:val="1"/>
      <w:numFmt w:val="decimal"/>
      <w:lvlText w:val="%1."/>
      <w:lvlJc w:val="left"/>
      <w:pPr>
        <w:ind w:left="720" w:hanging="360"/>
      </w:pPr>
    </w:lvl>
    <w:lvl w:ilvl="1" w:tplc="D58AAF02">
      <w:start w:val="1"/>
      <w:numFmt w:val="lowerLetter"/>
      <w:lvlText w:val="%2."/>
      <w:lvlJc w:val="left"/>
      <w:pPr>
        <w:ind w:left="1440" w:hanging="360"/>
      </w:pPr>
    </w:lvl>
    <w:lvl w:ilvl="2" w:tplc="6EDA2C72">
      <w:start w:val="1"/>
      <w:numFmt w:val="lowerRoman"/>
      <w:lvlText w:val="%3."/>
      <w:lvlJc w:val="right"/>
      <w:pPr>
        <w:ind w:left="2160" w:hanging="180"/>
      </w:pPr>
    </w:lvl>
    <w:lvl w:ilvl="3" w:tplc="5938133E">
      <w:start w:val="1"/>
      <w:numFmt w:val="decimal"/>
      <w:lvlText w:val="%4."/>
      <w:lvlJc w:val="left"/>
      <w:pPr>
        <w:ind w:left="2880" w:hanging="360"/>
      </w:pPr>
    </w:lvl>
    <w:lvl w:ilvl="4" w:tplc="9D7C486C">
      <w:start w:val="1"/>
      <w:numFmt w:val="lowerLetter"/>
      <w:lvlText w:val="%5."/>
      <w:lvlJc w:val="left"/>
      <w:pPr>
        <w:ind w:left="3600" w:hanging="360"/>
      </w:pPr>
    </w:lvl>
    <w:lvl w:ilvl="5" w:tplc="C5C0119A">
      <w:start w:val="1"/>
      <w:numFmt w:val="lowerRoman"/>
      <w:lvlText w:val="%6."/>
      <w:lvlJc w:val="right"/>
      <w:pPr>
        <w:ind w:left="4320" w:hanging="180"/>
      </w:pPr>
    </w:lvl>
    <w:lvl w:ilvl="6" w:tplc="ADD8D868">
      <w:start w:val="1"/>
      <w:numFmt w:val="decimal"/>
      <w:lvlText w:val="%7."/>
      <w:lvlJc w:val="left"/>
      <w:pPr>
        <w:ind w:left="5040" w:hanging="360"/>
      </w:pPr>
    </w:lvl>
    <w:lvl w:ilvl="7" w:tplc="A9C8F08C">
      <w:start w:val="1"/>
      <w:numFmt w:val="lowerLetter"/>
      <w:lvlText w:val="%8."/>
      <w:lvlJc w:val="left"/>
      <w:pPr>
        <w:ind w:left="5760" w:hanging="360"/>
      </w:pPr>
    </w:lvl>
    <w:lvl w:ilvl="8" w:tplc="C9F8B9E8">
      <w:start w:val="1"/>
      <w:numFmt w:val="lowerRoman"/>
      <w:lvlText w:val="%9."/>
      <w:lvlJc w:val="right"/>
      <w:pPr>
        <w:ind w:left="6480" w:hanging="180"/>
      </w:pPr>
    </w:lvl>
  </w:abstractNum>
  <w:abstractNum w:abstractNumId="3" w15:restartNumberingAfterBreak="0">
    <w:nsid w:val="1D0105AE"/>
    <w:multiLevelType w:val="hybridMultilevel"/>
    <w:tmpl w:val="39A24C1E"/>
    <w:lvl w:ilvl="0" w:tplc="78EC80B6">
      <w:start w:val="1"/>
      <w:numFmt w:val="bullet"/>
      <w:lvlText w:val=""/>
      <w:lvlJc w:val="left"/>
      <w:pPr>
        <w:ind w:left="720" w:hanging="360"/>
      </w:pPr>
      <w:rPr>
        <w:rFonts w:ascii="Symbol" w:hAnsi="Symbol" w:hint="default"/>
      </w:rPr>
    </w:lvl>
    <w:lvl w:ilvl="1" w:tplc="5B88E078">
      <w:start w:val="1"/>
      <w:numFmt w:val="bullet"/>
      <w:lvlText w:val="o"/>
      <w:lvlJc w:val="left"/>
      <w:pPr>
        <w:ind w:left="1440" w:hanging="360"/>
      </w:pPr>
      <w:rPr>
        <w:rFonts w:ascii="Courier New" w:hAnsi="Courier New" w:hint="default"/>
      </w:rPr>
    </w:lvl>
    <w:lvl w:ilvl="2" w:tplc="F4BC779A">
      <w:start w:val="1"/>
      <w:numFmt w:val="bullet"/>
      <w:lvlText w:val=""/>
      <w:lvlJc w:val="left"/>
      <w:pPr>
        <w:ind w:left="2160" w:hanging="360"/>
      </w:pPr>
      <w:rPr>
        <w:rFonts w:ascii="Wingdings" w:hAnsi="Wingdings" w:hint="default"/>
      </w:rPr>
    </w:lvl>
    <w:lvl w:ilvl="3" w:tplc="AB4C0B9A">
      <w:start w:val="1"/>
      <w:numFmt w:val="bullet"/>
      <w:lvlText w:val=""/>
      <w:lvlJc w:val="left"/>
      <w:pPr>
        <w:ind w:left="2880" w:hanging="360"/>
      </w:pPr>
      <w:rPr>
        <w:rFonts w:ascii="Symbol" w:hAnsi="Symbol" w:hint="default"/>
      </w:rPr>
    </w:lvl>
    <w:lvl w:ilvl="4" w:tplc="8482D294">
      <w:start w:val="1"/>
      <w:numFmt w:val="bullet"/>
      <w:lvlText w:val="o"/>
      <w:lvlJc w:val="left"/>
      <w:pPr>
        <w:ind w:left="3600" w:hanging="360"/>
      </w:pPr>
      <w:rPr>
        <w:rFonts w:ascii="Courier New" w:hAnsi="Courier New" w:hint="default"/>
      </w:rPr>
    </w:lvl>
    <w:lvl w:ilvl="5" w:tplc="112E5DF8">
      <w:start w:val="1"/>
      <w:numFmt w:val="bullet"/>
      <w:lvlText w:val=""/>
      <w:lvlJc w:val="left"/>
      <w:pPr>
        <w:ind w:left="4320" w:hanging="360"/>
      </w:pPr>
      <w:rPr>
        <w:rFonts w:ascii="Wingdings" w:hAnsi="Wingdings" w:hint="default"/>
      </w:rPr>
    </w:lvl>
    <w:lvl w:ilvl="6" w:tplc="8A00AF5A">
      <w:start w:val="1"/>
      <w:numFmt w:val="bullet"/>
      <w:lvlText w:val=""/>
      <w:lvlJc w:val="left"/>
      <w:pPr>
        <w:ind w:left="5040" w:hanging="360"/>
      </w:pPr>
      <w:rPr>
        <w:rFonts w:ascii="Symbol" w:hAnsi="Symbol" w:hint="default"/>
      </w:rPr>
    </w:lvl>
    <w:lvl w:ilvl="7" w:tplc="BFEEA92E">
      <w:start w:val="1"/>
      <w:numFmt w:val="bullet"/>
      <w:lvlText w:val="o"/>
      <w:lvlJc w:val="left"/>
      <w:pPr>
        <w:ind w:left="5760" w:hanging="360"/>
      </w:pPr>
      <w:rPr>
        <w:rFonts w:ascii="Courier New" w:hAnsi="Courier New" w:hint="default"/>
      </w:rPr>
    </w:lvl>
    <w:lvl w:ilvl="8" w:tplc="E6C48EC2">
      <w:start w:val="1"/>
      <w:numFmt w:val="bullet"/>
      <w:lvlText w:val=""/>
      <w:lvlJc w:val="left"/>
      <w:pPr>
        <w:ind w:left="6480" w:hanging="360"/>
      </w:pPr>
      <w:rPr>
        <w:rFonts w:ascii="Wingdings" w:hAnsi="Wingdings" w:hint="default"/>
      </w:rPr>
    </w:lvl>
  </w:abstractNum>
  <w:abstractNum w:abstractNumId="4" w15:restartNumberingAfterBreak="0">
    <w:nsid w:val="1EE4560E"/>
    <w:multiLevelType w:val="multilevel"/>
    <w:tmpl w:val="2F5ADF44"/>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980A51"/>
    <w:multiLevelType w:val="hybridMultilevel"/>
    <w:tmpl w:val="75E8D2B4"/>
    <w:lvl w:ilvl="0" w:tplc="C84CA2C8">
      <w:start w:val="1"/>
      <w:numFmt w:val="bullet"/>
      <w:lvlText w:val=""/>
      <w:lvlJc w:val="left"/>
      <w:pPr>
        <w:ind w:left="720" w:hanging="360"/>
      </w:pPr>
      <w:rPr>
        <w:rFonts w:ascii="Symbol" w:hAnsi="Symbol" w:hint="default"/>
      </w:rPr>
    </w:lvl>
    <w:lvl w:ilvl="1" w:tplc="6D98BAF6">
      <w:start w:val="1"/>
      <w:numFmt w:val="bullet"/>
      <w:lvlText w:val="o"/>
      <w:lvlJc w:val="left"/>
      <w:pPr>
        <w:ind w:left="1440" w:hanging="360"/>
      </w:pPr>
      <w:rPr>
        <w:rFonts w:ascii="Courier New" w:hAnsi="Courier New" w:hint="default"/>
      </w:rPr>
    </w:lvl>
    <w:lvl w:ilvl="2" w:tplc="FB28BB40">
      <w:start w:val="1"/>
      <w:numFmt w:val="bullet"/>
      <w:lvlText w:val=""/>
      <w:lvlJc w:val="left"/>
      <w:pPr>
        <w:ind w:left="2160" w:hanging="360"/>
      </w:pPr>
      <w:rPr>
        <w:rFonts w:ascii="Wingdings" w:hAnsi="Wingdings" w:hint="default"/>
      </w:rPr>
    </w:lvl>
    <w:lvl w:ilvl="3" w:tplc="29B08D8E">
      <w:start w:val="1"/>
      <w:numFmt w:val="bullet"/>
      <w:lvlText w:val=""/>
      <w:lvlJc w:val="left"/>
      <w:pPr>
        <w:ind w:left="2880" w:hanging="360"/>
      </w:pPr>
      <w:rPr>
        <w:rFonts w:ascii="Symbol" w:hAnsi="Symbol" w:hint="default"/>
      </w:rPr>
    </w:lvl>
    <w:lvl w:ilvl="4" w:tplc="FB1A9E28">
      <w:start w:val="1"/>
      <w:numFmt w:val="bullet"/>
      <w:lvlText w:val="o"/>
      <w:lvlJc w:val="left"/>
      <w:pPr>
        <w:ind w:left="3600" w:hanging="360"/>
      </w:pPr>
      <w:rPr>
        <w:rFonts w:ascii="Courier New" w:hAnsi="Courier New" w:hint="default"/>
      </w:rPr>
    </w:lvl>
    <w:lvl w:ilvl="5" w:tplc="E2D002DA">
      <w:start w:val="1"/>
      <w:numFmt w:val="bullet"/>
      <w:lvlText w:val=""/>
      <w:lvlJc w:val="left"/>
      <w:pPr>
        <w:ind w:left="4320" w:hanging="360"/>
      </w:pPr>
      <w:rPr>
        <w:rFonts w:ascii="Wingdings" w:hAnsi="Wingdings" w:hint="default"/>
      </w:rPr>
    </w:lvl>
    <w:lvl w:ilvl="6" w:tplc="C966D6E0">
      <w:start w:val="1"/>
      <w:numFmt w:val="bullet"/>
      <w:lvlText w:val=""/>
      <w:lvlJc w:val="left"/>
      <w:pPr>
        <w:ind w:left="5040" w:hanging="360"/>
      </w:pPr>
      <w:rPr>
        <w:rFonts w:ascii="Symbol" w:hAnsi="Symbol" w:hint="default"/>
      </w:rPr>
    </w:lvl>
    <w:lvl w:ilvl="7" w:tplc="0456BAA2">
      <w:start w:val="1"/>
      <w:numFmt w:val="bullet"/>
      <w:lvlText w:val="o"/>
      <w:lvlJc w:val="left"/>
      <w:pPr>
        <w:ind w:left="5760" w:hanging="360"/>
      </w:pPr>
      <w:rPr>
        <w:rFonts w:ascii="Courier New" w:hAnsi="Courier New" w:hint="default"/>
      </w:rPr>
    </w:lvl>
    <w:lvl w:ilvl="8" w:tplc="829C1710">
      <w:start w:val="1"/>
      <w:numFmt w:val="bullet"/>
      <w:lvlText w:val=""/>
      <w:lvlJc w:val="left"/>
      <w:pPr>
        <w:ind w:left="6480" w:hanging="360"/>
      </w:pPr>
      <w:rPr>
        <w:rFonts w:ascii="Wingdings" w:hAnsi="Wingdings" w:hint="default"/>
      </w:rPr>
    </w:lvl>
  </w:abstractNum>
  <w:abstractNum w:abstractNumId="6" w15:restartNumberingAfterBreak="0">
    <w:nsid w:val="27EB0C02"/>
    <w:multiLevelType w:val="hybridMultilevel"/>
    <w:tmpl w:val="7D6E5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EC712"/>
    <w:multiLevelType w:val="hybridMultilevel"/>
    <w:tmpl w:val="52C26CCC"/>
    <w:lvl w:ilvl="0" w:tplc="712ABDC2">
      <w:start w:val="1"/>
      <w:numFmt w:val="bullet"/>
      <w:lvlText w:val=""/>
      <w:lvlJc w:val="left"/>
      <w:pPr>
        <w:ind w:left="720" w:hanging="360"/>
      </w:pPr>
      <w:rPr>
        <w:rFonts w:ascii="Symbol" w:hAnsi="Symbol" w:hint="default"/>
      </w:rPr>
    </w:lvl>
    <w:lvl w:ilvl="1" w:tplc="734A66F0">
      <w:start w:val="1"/>
      <w:numFmt w:val="bullet"/>
      <w:lvlText w:val="o"/>
      <w:lvlJc w:val="left"/>
      <w:pPr>
        <w:ind w:left="1440" w:hanging="360"/>
      </w:pPr>
      <w:rPr>
        <w:rFonts w:ascii="Courier New" w:hAnsi="Courier New" w:hint="default"/>
      </w:rPr>
    </w:lvl>
    <w:lvl w:ilvl="2" w:tplc="6ECE37DE">
      <w:start w:val="1"/>
      <w:numFmt w:val="bullet"/>
      <w:lvlText w:val=""/>
      <w:lvlJc w:val="left"/>
      <w:pPr>
        <w:ind w:left="2160" w:hanging="360"/>
      </w:pPr>
      <w:rPr>
        <w:rFonts w:ascii="Wingdings" w:hAnsi="Wingdings" w:hint="default"/>
      </w:rPr>
    </w:lvl>
    <w:lvl w:ilvl="3" w:tplc="B05A1D32">
      <w:start w:val="1"/>
      <w:numFmt w:val="bullet"/>
      <w:lvlText w:val=""/>
      <w:lvlJc w:val="left"/>
      <w:pPr>
        <w:ind w:left="2880" w:hanging="360"/>
      </w:pPr>
      <w:rPr>
        <w:rFonts w:ascii="Symbol" w:hAnsi="Symbol" w:hint="default"/>
      </w:rPr>
    </w:lvl>
    <w:lvl w:ilvl="4" w:tplc="53C8B0DE">
      <w:start w:val="1"/>
      <w:numFmt w:val="bullet"/>
      <w:lvlText w:val="o"/>
      <w:lvlJc w:val="left"/>
      <w:pPr>
        <w:ind w:left="3600" w:hanging="360"/>
      </w:pPr>
      <w:rPr>
        <w:rFonts w:ascii="Courier New" w:hAnsi="Courier New" w:hint="default"/>
      </w:rPr>
    </w:lvl>
    <w:lvl w:ilvl="5" w:tplc="C0A62C90">
      <w:start w:val="1"/>
      <w:numFmt w:val="bullet"/>
      <w:lvlText w:val=""/>
      <w:lvlJc w:val="left"/>
      <w:pPr>
        <w:ind w:left="4320" w:hanging="360"/>
      </w:pPr>
      <w:rPr>
        <w:rFonts w:ascii="Wingdings" w:hAnsi="Wingdings" w:hint="default"/>
      </w:rPr>
    </w:lvl>
    <w:lvl w:ilvl="6" w:tplc="11B0E132">
      <w:start w:val="1"/>
      <w:numFmt w:val="bullet"/>
      <w:lvlText w:val=""/>
      <w:lvlJc w:val="left"/>
      <w:pPr>
        <w:ind w:left="5040" w:hanging="360"/>
      </w:pPr>
      <w:rPr>
        <w:rFonts w:ascii="Symbol" w:hAnsi="Symbol" w:hint="default"/>
      </w:rPr>
    </w:lvl>
    <w:lvl w:ilvl="7" w:tplc="D868B32A">
      <w:start w:val="1"/>
      <w:numFmt w:val="bullet"/>
      <w:lvlText w:val="o"/>
      <w:lvlJc w:val="left"/>
      <w:pPr>
        <w:ind w:left="5760" w:hanging="360"/>
      </w:pPr>
      <w:rPr>
        <w:rFonts w:ascii="Courier New" w:hAnsi="Courier New" w:hint="default"/>
      </w:rPr>
    </w:lvl>
    <w:lvl w:ilvl="8" w:tplc="068C9472">
      <w:start w:val="1"/>
      <w:numFmt w:val="bullet"/>
      <w:lvlText w:val=""/>
      <w:lvlJc w:val="left"/>
      <w:pPr>
        <w:ind w:left="6480" w:hanging="360"/>
      </w:pPr>
      <w:rPr>
        <w:rFonts w:ascii="Wingdings" w:hAnsi="Wingdings" w:hint="default"/>
      </w:rPr>
    </w:lvl>
  </w:abstractNum>
  <w:abstractNum w:abstractNumId="8" w15:restartNumberingAfterBreak="0">
    <w:nsid w:val="312E6CFB"/>
    <w:multiLevelType w:val="hybridMultilevel"/>
    <w:tmpl w:val="730CEE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345067"/>
    <w:multiLevelType w:val="multilevel"/>
    <w:tmpl w:val="9B3CB2C8"/>
    <w:lvl w:ilvl="0">
      <w:start w:val="1"/>
      <w:numFmt w:val="decimal"/>
      <w:pStyle w:val="RBasicText"/>
      <w:lvlText w:val="%1."/>
      <w:lvlJc w:val="left"/>
      <w:pPr>
        <w:tabs>
          <w:tab w:val="num" w:pos="540"/>
        </w:tabs>
        <w:ind w:left="547" w:hanging="547"/>
      </w:p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3E667657"/>
    <w:multiLevelType w:val="hybridMultilevel"/>
    <w:tmpl w:val="FA16DEA4"/>
    <w:lvl w:ilvl="0" w:tplc="BAD05CEA">
      <w:start w:val="1"/>
      <w:numFmt w:val="bullet"/>
      <w:lvlText w:val=""/>
      <w:lvlJc w:val="left"/>
      <w:pPr>
        <w:ind w:left="720" w:hanging="360"/>
      </w:pPr>
      <w:rPr>
        <w:rFonts w:ascii="Symbol" w:hAnsi="Symbol" w:hint="default"/>
      </w:rPr>
    </w:lvl>
    <w:lvl w:ilvl="1" w:tplc="07628C2E">
      <w:start w:val="1"/>
      <w:numFmt w:val="bullet"/>
      <w:lvlText w:val="o"/>
      <w:lvlJc w:val="left"/>
      <w:pPr>
        <w:ind w:left="1440" w:hanging="360"/>
      </w:pPr>
      <w:rPr>
        <w:rFonts w:ascii="Courier New" w:hAnsi="Courier New" w:hint="default"/>
      </w:rPr>
    </w:lvl>
    <w:lvl w:ilvl="2" w:tplc="21A4DF84">
      <w:start w:val="1"/>
      <w:numFmt w:val="bullet"/>
      <w:lvlText w:val=""/>
      <w:lvlJc w:val="left"/>
      <w:pPr>
        <w:ind w:left="2160" w:hanging="360"/>
      </w:pPr>
      <w:rPr>
        <w:rFonts w:ascii="Wingdings" w:hAnsi="Wingdings" w:hint="default"/>
      </w:rPr>
    </w:lvl>
    <w:lvl w:ilvl="3" w:tplc="890C3024">
      <w:start w:val="1"/>
      <w:numFmt w:val="bullet"/>
      <w:lvlText w:val=""/>
      <w:lvlJc w:val="left"/>
      <w:pPr>
        <w:ind w:left="2880" w:hanging="360"/>
      </w:pPr>
      <w:rPr>
        <w:rFonts w:ascii="Symbol" w:hAnsi="Symbol" w:hint="default"/>
      </w:rPr>
    </w:lvl>
    <w:lvl w:ilvl="4" w:tplc="1D04ACF6">
      <w:start w:val="1"/>
      <w:numFmt w:val="bullet"/>
      <w:lvlText w:val="o"/>
      <w:lvlJc w:val="left"/>
      <w:pPr>
        <w:ind w:left="3600" w:hanging="360"/>
      </w:pPr>
      <w:rPr>
        <w:rFonts w:ascii="Courier New" w:hAnsi="Courier New" w:hint="default"/>
      </w:rPr>
    </w:lvl>
    <w:lvl w:ilvl="5" w:tplc="FA3A43DC">
      <w:start w:val="1"/>
      <w:numFmt w:val="bullet"/>
      <w:lvlText w:val=""/>
      <w:lvlJc w:val="left"/>
      <w:pPr>
        <w:ind w:left="4320" w:hanging="360"/>
      </w:pPr>
      <w:rPr>
        <w:rFonts w:ascii="Wingdings" w:hAnsi="Wingdings" w:hint="default"/>
      </w:rPr>
    </w:lvl>
    <w:lvl w:ilvl="6" w:tplc="B644025A">
      <w:start w:val="1"/>
      <w:numFmt w:val="bullet"/>
      <w:lvlText w:val=""/>
      <w:lvlJc w:val="left"/>
      <w:pPr>
        <w:ind w:left="5040" w:hanging="360"/>
      </w:pPr>
      <w:rPr>
        <w:rFonts w:ascii="Symbol" w:hAnsi="Symbol" w:hint="default"/>
      </w:rPr>
    </w:lvl>
    <w:lvl w:ilvl="7" w:tplc="86E22E16">
      <w:start w:val="1"/>
      <w:numFmt w:val="bullet"/>
      <w:lvlText w:val="o"/>
      <w:lvlJc w:val="left"/>
      <w:pPr>
        <w:ind w:left="5760" w:hanging="360"/>
      </w:pPr>
      <w:rPr>
        <w:rFonts w:ascii="Courier New" w:hAnsi="Courier New" w:hint="default"/>
      </w:rPr>
    </w:lvl>
    <w:lvl w:ilvl="8" w:tplc="51FEE796">
      <w:start w:val="1"/>
      <w:numFmt w:val="bullet"/>
      <w:lvlText w:val=""/>
      <w:lvlJc w:val="left"/>
      <w:pPr>
        <w:ind w:left="6480" w:hanging="360"/>
      </w:pPr>
      <w:rPr>
        <w:rFonts w:ascii="Wingdings" w:hAnsi="Wingdings" w:hint="default"/>
      </w:rPr>
    </w:lvl>
  </w:abstractNum>
  <w:abstractNum w:abstractNumId="11" w15:restartNumberingAfterBreak="0">
    <w:nsid w:val="53A06702"/>
    <w:multiLevelType w:val="hybridMultilevel"/>
    <w:tmpl w:val="00344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AFB4F9"/>
    <w:multiLevelType w:val="multilevel"/>
    <w:tmpl w:val="1F0439A0"/>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8CA0B29"/>
    <w:multiLevelType w:val="hybridMultilevel"/>
    <w:tmpl w:val="5044D714"/>
    <w:lvl w:ilvl="0" w:tplc="A27A97BE">
      <w:start w:val="1"/>
      <w:numFmt w:val="bullet"/>
      <w:lvlText w:val=""/>
      <w:lvlJc w:val="left"/>
      <w:pPr>
        <w:ind w:left="720" w:hanging="360"/>
      </w:pPr>
      <w:rPr>
        <w:rFonts w:ascii="Symbol" w:hAnsi="Symbol" w:hint="default"/>
      </w:rPr>
    </w:lvl>
    <w:lvl w:ilvl="1" w:tplc="DEC0163C">
      <w:start w:val="1"/>
      <w:numFmt w:val="bullet"/>
      <w:lvlText w:val="o"/>
      <w:lvlJc w:val="left"/>
      <w:pPr>
        <w:ind w:left="1440" w:hanging="360"/>
      </w:pPr>
      <w:rPr>
        <w:rFonts w:ascii="Courier New" w:hAnsi="Courier New" w:hint="default"/>
      </w:rPr>
    </w:lvl>
    <w:lvl w:ilvl="2" w:tplc="62E0B68E">
      <w:start w:val="1"/>
      <w:numFmt w:val="bullet"/>
      <w:lvlText w:val=""/>
      <w:lvlJc w:val="left"/>
      <w:pPr>
        <w:ind w:left="2160" w:hanging="360"/>
      </w:pPr>
      <w:rPr>
        <w:rFonts w:ascii="Wingdings" w:hAnsi="Wingdings" w:hint="default"/>
      </w:rPr>
    </w:lvl>
    <w:lvl w:ilvl="3" w:tplc="1CE6FF68">
      <w:start w:val="1"/>
      <w:numFmt w:val="bullet"/>
      <w:lvlText w:val=""/>
      <w:lvlJc w:val="left"/>
      <w:pPr>
        <w:ind w:left="2880" w:hanging="360"/>
      </w:pPr>
      <w:rPr>
        <w:rFonts w:ascii="Symbol" w:hAnsi="Symbol" w:hint="default"/>
      </w:rPr>
    </w:lvl>
    <w:lvl w:ilvl="4" w:tplc="E4066A82">
      <w:start w:val="1"/>
      <w:numFmt w:val="bullet"/>
      <w:lvlText w:val="o"/>
      <w:lvlJc w:val="left"/>
      <w:pPr>
        <w:ind w:left="3600" w:hanging="360"/>
      </w:pPr>
      <w:rPr>
        <w:rFonts w:ascii="Courier New" w:hAnsi="Courier New" w:hint="default"/>
      </w:rPr>
    </w:lvl>
    <w:lvl w:ilvl="5" w:tplc="8318A8B6">
      <w:start w:val="1"/>
      <w:numFmt w:val="bullet"/>
      <w:lvlText w:val=""/>
      <w:lvlJc w:val="left"/>
      <w:pPr>
        <w:ind w:left="4320" w:hanging="360"/>
      </w:pPr>
      <w:rPr>
        <w:rFonts w:ascii="Wingdings" w:hAnsi="Wingdings" w:hint="default"/>
      </w:rPr>
    </w:lvl>
    <w:lvl w:ilvl="6" w:tplc="F3220A20">
      <w:start w:val="1"/>
      <w:numFmt w:val="bullet"/>
      <w:lvlText w:val=""/>
      <w:lvlJc w:val="left"/>
      <w:pPr>
        <w:ind w:left="5040" w:hanging="360"/>
      </w:pPr>
      <w:rPr>
        <w:rFonts w:ascii="Symbol" w:hAnsi="Symbol" w:hint="default"/>
      </w:rPr>
    </w:lvl>
    <w:lvl w:ilvl="7" w:tplc="CC985714">
      <w:start w:val="1"/>
      <w:numFmt w:val="bullet"/>
      <w:lvlText w:val="o"/>
      <w:lvlJc w:val="left"/>
      <w:pPr>
        <w:ind w:left="5760" w:hanging="360"/>
      </w:pPr>
      <w:rPr>
        <w:rFonts w:ascii="Courier New" w:hAnsi="Courier New" w:hint="default"/>
      </w:rPr>
    </w:lvl>
    <w:lvl w:ilvl="8" w:tplc="F9F2537A">
      <w:start w:val="1"/>
      <w:numFmt w:val="bullet"/>
      <w:lvlText w:val=""/>
      <w:lvlJc w:val="left"/>
      <w:pPr>
        <w:ind w:left="6480" w:hanging="360"/>
      </w:pPr>
      <w:rPr>
        <w:rFonts w:ascii="Wingdings" w:hAnsi="Wingdings" w:hint="default"/>
      </w:rPr>
    </w:lvl>
  </w:abstractNum>
  <w:abstractNum w:abstractNumId="14" w15:restartNumberingAfterBreak="0">
    <w:nsid w:val="68F006F2"/>
    <w:multiLevelType w:val="hybridMultilevel"/>
    <w:tmpl w:val="D8B6571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C9E3CC1"/>
    <w:multiLevelType w:val="hybridMultilevel"/>
    <w:tmpl w:val="60B4523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6DDCC881"/>
    <w:multiLevelType w:val="hybridMultilevel"/>
    <w:tmpl w:val="8B5828BE"/>
    <w:lvl w:ilvl="0" w:tplc="7ECA7F2E">
      <w:start w:val="1"/>
      <w:numFmt w:val="bullet"/>
      <w:lvlText w:val=""/>
      <w:lvlJc w:val="left"/>
      <w:pPr>
        <w:ind w:left="720" w:hanging="360"/>
      </w:pPr>
      <w:rPr>
        <w:rFonts w:ascii="Symbol" w:hAnsi="Symbol" w:hint="default"/>
      </w:rPr>
    </w:lvl>
    <w:lvl w:ilvl="1" w:tplc="978ECE5C">
      <w:start w:val="1"/>
      <w:numFmt w:val="bullet"/>
      <w:lvlText w:val="o"/>
      <w:lvlJc w:val="left"/>
      <w:pPr>
        <w:ind w:left="1440" w:hanging="360"/>
      </w:pPr>
      <w:rPr>
        <w:rFonts w:ascii="Courier New" w:hAnsi="Courier New" w:hint="default"/>
      </w:rPr>
    </w:lvl>
    <w:lvl w:ilvl="2" w:tplc="5884240E">
      <w:start w:val="1"/>
      <w:numFmt w:val="bullet"/>
      <w:lvlText w:val=""/>
      <w:lvlJc w:val="left"/>
      <w:pPr>
        <w:ind w:left="2160" w:hanging="360"/>
      </w:pPr>
      <w:rPr>
        <w:rFonts w:ascii="Wingdings" w:hAnsi="Wingdings" w:hint="default"/>
      </w:rPr>
    </w:lvl>
    <w:lvl w:ilvl="3" w:tplc="A1ACD37A">
      <w:start w:val="1"/>
      <w:numFmt w:val="bullet"/>
      <w:lvlText w:val=""/>
      <w:lvlJc w:val="left"/>
      <w:pPr>
        <w:ind w:left="2880" w:hanging="360"/>
      </w:pPr>
      <w:rPr>
        <w:rFonts w:ascii="Symbol" w:hAnsi="Symbol" w:hint="default"/>
      </w:rPr>
    </w:lvl>
    <w:lvl w:ilvl="4" w:tplc="651A2CB0">
      <w:start w:val="1"/>
      <w:numFmt w:val="bullet"/>
      <w:lvlText w:val="o"/>
      <w:lvlJc w:val="left"/>
      <w:pPr>
        <w:ind w:left="3600" w:hanging="360"/>
      </w:pPr>
      <w:rPr>
        <w:rFonts w:ascii="Courier New" w:hAnsi="Courier New" w:hint="default"/>
      </w:rPr>
    </w:lvl>
    <w:lvl w:ilvl="5" w:tplc="ADD421EE">
      <w:start w:val="1"/>
      <w:numFmt w:val="bullet"/>
      <w:lvlText w:val=""/>
      <w:lvlJc w:val="left"/>
      <w:pPr>
        <w:ind w:left="4320" w:hanging="360"/>
      </w:pPr>
      <w:rPr>
        <w:rFonts w:ascii="Wingdings" w:hAnsi="Wingdings" w:hint="default"/>
      </w:rPr>
    </w:lvl>
    <w:lvl w:ilvl="6" w:tplc="16E0DB5A">
      <w:start w:val="1"/>
      <w:numFmt w:val="bullet"/>
      <w:lvlText w:val=""/>
      <w:lvlJc w:val="left"/>
      <w:pPr>
        <w:ind w:left="5040" w:hanging="360"/>
      </w:pPr>
      <w:rPr>
        <w:rFonts w:ascii="Symbol" w:hAnsi="Symbol" w:hint="default"/>
      </w:rPr>
    </w:lvl>
    <w:lvl w:ilvl="7" w:tplc="9F505D84">
      <w:start w:val="1"/>
      <w:numFmt w:val="bullet"/>
      <w:lvlText w:val="o"/>
      <w:lvlJc w:val="left"/>
      <w:pPr>
        <w:ind w:left="5760" w:hanging="360"/>
      </w:pPr>
      <w:rPr>
        <w:rFonts w:ascii="Courier New" w:hAnsi="Courier New" w:hint="default"/>
      </w:rPr>
    </w:lvl>
    <w:lvl w:ilvl="8" w:tplc="0A20B026">
      <w:start w:val="1"/>
      <w:numFmt w:val="bullet"/>
      <w:lvlText w:val=""/>
      <w:lvlJc w:val="left"/>
      <w:pPr>
        <w:ind w:left="6480" w:hanging="360"/>
      </w:pPr>
      <w:rPr>
        <w:rFonts w:ascii="Wingdings" w:hAnsi="Wingdings" w:hint="default"/>
      </w:rPr>
    </w:lvl>
  </w:abstractNum>
  <w:abstractNum w:abstractNumId="17" w15:restartNumberingAfterBreak="0">
    <w:nsid w:val="704F5F6A"/>
    <w:multiLevelType w:val="hybridMultilevel"/>
    <w:tmpl w:val="60B4523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090F8ED"/>
    <w:multiLevelType w:val="multilevel"/>
    <w:tmpl w:val="FDAA21D4"/>
    <w:lvl w:ilvl="0">
      <w:start w:val="1"/>
      <w:numFmt w:val="decimal"/>
      <w:lvlText w:val="%1."/>
      <w:lvlJc w:val="left"/>
      <w:pPr>
        <w:ind w:left="547" w:hanging="54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584DA2F"/>
    <w:multiLevelType w:val="hybridMultilevel"/>
    <w:tmpl w:val="AA2C00C2"/>
    <w:lvl w:ilvl="0" w:tplc="77961B9C">
      <w:start w:val="1"/>
      <w:numFmt w:val="bullet"/>
      <w:lvlText w:val=""/>
      <w:lvlJc w:val="left"/>
      <w:pPr>
        <w:ind w:left="720" w:hanging="360"/>
      </w:pPr>
      <w:rPr>
        <w:rFonts w:ascii="Symbol" w:hAnsi="Symbol" w:hint="default"/>
      </w:rPr>
    </w:lvl>
    <w:lvl w:ilvl="1" w:tplc="9CEA6CCE">
      <w:start w:val="1"/>
      <w:numFmt w:val="bullet"/>
      <w:lvlText w:val="o"/>
      <w:lvlJc w:val="left"/>
      <w:pPr>
        <w:ind w:left="1440" w:hanging="360"/>
      </w:pPr>
      <w:rPr>
        <w:rFonts w:ascii="Courier New" w:hAnsi="Courier New" w:hint="default"/>
      </w:rPr>
    </w:lvl>
    <w:lvl w:ilvl="2" w:tplc="A1826F40">
      <w:start w:val="1"/>
      <w:numFmt w:val="bullet"/>
      <w:lvlText w:val=""/>
      <w:lvlJc w:val="left"/>
      <w:pPr>
        <w:ind w:left="2160" w:hanging="360"/>
      </w:pPr>
      <w:rPr>
        <w:rFonts w:ascii="Wingdings" w:hAnsi="Wingdings" w:hint="default"/>
      </w:rPr>
    </w:lvl>
    <w:lvl w:ilvl="3" w:tplc="6A34AD98">
      <w:start w:val="1"/>
      <w:numFmt w:val="bullet"/>
      <w:lvlText w:val=""/>
      <w:lvlJc w:val="left"/>
      <w:pPr>
        <w:ind w:left="2880" w:hanging="360"/>
      </w:pPr>
      <w:rPr>
        <w:rFonts w:ascii="Symbol" w:hAnsi="Symbol" w:hint="default"/>
      </w:rPr>
    </w:lvl>
    <w:lvl w:ilvl="4" w:tplc="4ED224F8">
      <w:start w:val="1"/>
      <w:numFmt w:val="bullet"/>
      <w:lvlText w:val="o"/>
      <w:lvlJc w:val="left"/>
      <w:pPr>
        <w:ind w:left="3600" w:hanging="360"/>
      </w:pPr>
      <w:rPr>
        <w:rFonts w:ascii="Courier New" w:hAnsi="Courier New" w:hint="default"/>
      </w:rPr>
    </w:lvl>
    <w:lvl w:ilvl="5" w:tplc="A462D9D8">
      <w:start w:val="1"/>
      <w:numFmt w:val="bullet"/>
      <w:lvlText w:val=""/>
      <w:lvlJc w:val="left"/>
      <w:pPr>
        <w:ind w:left="4320" w:hanging="360"/>
      </w:pPr>
      <w:rPr>
        <w:rFonts w:ascii="Wingdings" w:hAnsi="Wingdings" w:hint="default"/>
      </w:rPr>
    </w:lvl>
    <w:lvl w:ilvl="6" w:tplc="F0A8FABE">
      <w:start w:val="1"/>
      <w:numFmt w:val="bullet"/>
      <w:lvlText w:val=""/>
      <w:lvlJc w:val="left"/>
      <w:pPr>
        <w:ind w:left="5040" w:hanging="360"/>
      </w:pPr>
      <w:rPr>
        <w:rFonts w:ascii="Symbol" w:hAnsi="Symbol" w:hint="default"/>
      </w:rPr>
    </w:lvl>
    <w:lvl w:ilvl="7" w:tplc="D54E997C">
      <w:start w:val="1"/>
      <w:numFmt w:val="bullet"/>
      <w:lvlText w:val="o"/>
      <w:lvlJc w:val="left"/>
      <w:pPr>
        <w:ind w:left="5760" w:hanging="360"/>
      </w:pPr>
      <w:rPr>
        <w:rFonts w:ascii="Courier New" w:hAnsi="Courier New" w:hint="default"/>
      </w:rPr>
    </w:lvl>
    <w:lvl w:ilvl="8" w:tplc="B9BC1968">
      <w:start w:val="1"/>
      <w:numFmt w:val="bullet"/>
      <w:lvlText w:val=""/>
      <w:lvlJc w:val="left"/>
      <w:pPr>
        <w:ind w:left="6480" w:hanging="360"/>
      </w:pPr>
      <w:rPr>
        <w:rFonts w:ascii="Wingdings" w:hAnsi="Wingdings" w:hint="default"/>
      </w:rPr>
    </w:lvl>
  </w:abstractNum>
  <w:abstractNum w:abstractNumId="20" w15:restartNumberingAfterBreak="0">
    <w:nsid w:val="78952DCD"/>
    <w:multiLevelType w:val="hybridMultilevel"/>
    <w:tmpl w:val="8CD66394"/>
    <w:lvl w:ilvl="0" w:tplc="8F2AAF2A">
      <w:start w:val="1"/>
      <w:numFmt w:val="bullet"/>
      <w:lvlText w:val=""/>
      <w:lvlJc w:val="left"/>
      <w:pPr>
        <w:ind w:left="720" w:hanging="360"/>
      </w:pPr>
      <w:rPr>
        <w:rFonts w:ascii="Symbol" w:hAnsi="Symbol" w:hint="default"/>
      </w:rPr>
    </w:lvl>
    <w:lvl w:ilvl="1" w:tplc="68ECA066">
      <w:start w:val="1"/>
      <w:numFmt w:val="bullet"/>
      <w:lvlText w:val="o"/>
      <w:lvlJc w:val="left"/>
      <w:pPr>
        <w:ind w:left="1440" w:hanging="360"/>
      </w:pPr>
      <w:rPr>
        <w:rFonts w:ascii="Courier New" w:hAnsi="Courier New" w:hint="default"/>
      </w:rPr>
    </w:lvl>
    <w:lvl w:ilvl="2" w:tplc="00C0288A">
      <w:start w:val="1"/>
      <w:numFmt w:val="bullet"/>
      <w:lvlText w:val=""/>
      <w:lvlJc w:val="left"/>
      <w:pPr>
        <w:ind w:left="2160" w:hanging="360"/>
      </w:pPr>
      <w:rPr>
        <w:rFonts w:ascii="Wingdings" w:hAnsi="Wingdings" w:hint="default"/>
      </w:rPr>
    </w:lvl>
    <w:lvl w:ilvl="3" w:tplc="9A30B0AC">
      <w:start w:val="1"/>
      <w:numFmt w:val="bullet"/>
      <w:lvlText w:val=""/>
      <w:lvlJc w:val="left"/>
      <w:pPr>
        <w:ind w:left="2880" w:hanging="360"/>
      </w:pPr>
      <w:rPr>
        <w:rFonts w:ascii="Symbol" w:hAnsi="Symbol" w:hint="default"/>
      </w:rPr>
    </w:lvl>
    <w:lvl w:ilvl="4" w:tplc="4EBCEB10">
      <w:start w:val="1"/>
      <w:numFmt w:val="bullet"/>
      <w:lvlText w:val="o"/>
      <w:lvlJc w:val="left"/>
      <w:pPr>
        <w:ind w:left="3600" w:hanging="360"/>
      </w:pPr>
      <w:rPr>
        <w:rFonts w:ascii="Courier New" w:hAnsi="Courier New" w:hint="default"/>
      </w:rPr>
    </w:lvl>
    <w:lvl w:ilvl="5" w:tplc="5E2E616E">
      <w:start w:val="1"/>
      <w:numFmt w:val="bullet"/>
      <w:lvlText w:val=""/>
      <w:lvlJc w:val="left"/>
      <w:pPr>
        <w:ind w:left="4320" w:hanging="360"/>
      </w:pPr>
      <w:rPr>
        <w:rFonts w:ascii="Wingdings" w:hAnsi="Wingdings" w:hint="default"/>
      </w:rPr>
    </w:lvl>
    <w:lvl w:ilvl="6" w:tplc="1F9E38EC">
      <w:start w:val="1"/>
      <w:numFmt w:val="bullet"/>
      <w:lvlText w:val=""/>
      <w:lvlJc w:val="left"/>
      <w:pPr>
        <w:ind w:left="5040" w:hanging="360"/>
      </w:pPr>
      <w:rPr>
        <w:rFonts w:ascii="Symbol" w:hAnsi="Symbol" w:hint="default"/>
      </w:rPr>
    </w:lvl>
    <w:lvl w:ilvl="7" w:tplc="1328350E">
      <w:start w:val="1"/>
      <w:numFmt w:val="bullet"/>
      <w:lvlText w:val="o"/>
      <w:lvlJc w:val="left"/>
      <w:pPr>
        <w:ind w:left="5760" w:hanging="360"/>
      </w:pPr>
      <w:rPr>
        <w:rFonts w:ascii="Courier New" w:hAnsi="Courier New" w:hint="default"/>
      </w:rPr>
    </w:lvl>
    <w:lvl w:ilvl="8" w:tplc="A1F24974">
      <w:start w:val="1"/>
      <w:numFmt w:val="bullet"/>
      <w:lvlText w:val=""/>
      <w:lvlJc w:val="left"/>
      <w:pPr>
        <w:ind w:left="6480" w:hanging="360"/>
      </w:pPr>
      <w:rPr>
        <w:rFonts w:ascii="Wingdings" w:hAnsi="Wingdings" w:hint="default"/>
      </w:rPr>
    </w:lvl>
  </w:abstractNum>
  <w:abstractNum w:abstractNumId="21" w15:restartNumberingAfterBreak="0">
    <w:nsid w:val="78D025BA"/>
    <w:multiLevelType w:val="hybridMultilevel"/>
    <w:tmpl w:val="730CEEB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9D40FCA"/>
    <w:multiLevelType w:val="hybridMultilevel"/>
    <w:tmpl w:val="D4FA0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CC4053"/>
    <w:multiLevelType w:val="hybridMultilevel"/>
    <w:tmpl w:val="D79E4882"/>
    <w:lvl w:ilvl="0" w:tplc="002AB222">
      <w:start w:val="1"/>
      <w:numFmt w:val="bullet"/>
      <w:lvlText w:val=""/>
      <w:lvlJc w:val="left"/>
      <w:pPr>
        <w:ind w:left="720" w:hanging="360"/>
      </w:pPr>
      <w:rPr>
        <w:rFonts w:ascii="Symbol" w:hAnsi="Symbol" w:hint="default"/>
      </w:rPr>
    </w:lvl>
    <w:lvl w:ilvl="1" w:tplc="5F781704">
      <w:start w:val="1"/>
      <w:numFmt w:val="bullet"/>
      <w:lvlText w:val="o"/>
      <w:lvlJc w:val="left"/>
      <w:pPr>
        <w:ind w:left="1440" w:hanging="360"/>
      </w:pPr>
      <w:rPr>
        <w:rFonts w:ascii="Courier New" w:hAnsi="Courier New" w:hint="default"/>
      </w:rPr>
    </w:lvl>
    <w:lvl w:ilvl="2" w:tplc="75BE61A2">
      <w:start w:val="1"/>
      <w:numFmt w:val="bullet"/>
      <w:lvlText w:val=""/>
      <w:lvlJc w:val="left"/>
      <w:pPr>
        <w:ind w:left="2160" w:hanging="360"/>
      </w:pPr>
      <w:rPr>
        <w:rFonts w:ascii="Wingdings" w:hAnsi="Wingdings" w:hint="default"/>
      </w:rPr>
    </w:lvl>
    <w:lvl w:ilvl="3" w:tplc="08389CE6">
      <w:start w:val="1"/>
      <w:numFmt w:val="bullet"/>
      <w:lvlText w:val=""/>
      <w:lvlJc w:val="left"/>
      <w:pPr>
        <w:ind w:left="2880" w:hanging="360"/>
      </w:pPr>
      <w:rPr>
        <w:rFonts w:ascii="Symbol" w:hAnsi="Symbol" w:hint="default"/>
      </w:rPr>
    </w:lvl>
    <w:lvl w:ilvl="4" w:tplc="B94AD79E">
      <w:start w:val="1"/>
      <w:numFmt w:val="bullet"/>
      <w:lvlText w:val="o"/>
      <w:lvlJc w:val="left"/>
      <w:pPr>
        <w:ind w:left="3600" w:hanging="360"/>
      </w:pPr>
      <w:rPr>
        <w:rFonts w:ascii="Courier New" w:hAnsi="Courier New" w:hint="default"/>
      </w:rPr>
    </w:lvl>
    <w:lvl w:ilvl="5" w:tplc="86E2EB40">
      <w:start w:val="1"/>
      <w:numFmt w:val="bullet"/>
      <w:lvlText w:val=""/>
      <w:lvlJc w:val="left"/>
      <w:pPr>
        <w:ind w:left="4320" w:hanging="360"/>
      </w:pPr>
      <w:rPr>
        <w:rFonts w:ascii="Wingdings" w:hAnsi="Wingdings" w:hint="default"/>
      </w:rPr>
    </w:lvl>
    <w:lvl w:ilvl="6" w:tplc="B1CA3A26">
      <w:start w:val="1"/>
      <w:numFmt w:val="bullet"/>
      <w:lvlText w:val=""/>
      <w:lvlJc w:val="left"/>
      <w:pPr>
        <w:ind w:left="5040" w:hanging="360"/>
      </w:pPr>
      <w:rPr>
        <w:rFonts w:ascii="Symbol" w:hAnsi="Symbol" w:hint="default"/>
      </w:rPr>
    </w:lvl>
    <w:lvl w:ilvl="7" w:tplc="41524348">
      <w:start w:val="1"/>
      <w:numFmt w:val="bullet"/>
      <w:lvlText w:val="o"/>
      <w:lvlJc w:val="left"/>
      <w:pPr>
        <w:ind w:left="5760" w:hanging="360"/>
      </w:pPr>
      <w:rPr>
        <w:rFonts w:ascii="Courier New" w:hAnsi="Courier New" w:hint="default"/>
      </w:rPr>
    </w:lvl>
    <w:lvl w:ilvl="8" w:tplc="A7E20C8A">
      <w:start w:val="1"/>
      <w:numFmt w:val="bullet"/>
      <w:lvlText w:val=""/>
      <w:lvlJc w:val="left"/>
      <w:pPr>
        <w:ind w:left="6480" w:hanging="360"/>
      </w:pPr>
      <w:rPr>
        <w:rFonts w:ascii="Wingdings" w:hAnsi="Wingdings" w:hint="default"/>
      </w:rPr>
    </w:lvl>
  </w:abstractNum>
  <w:num w:numId="1" w16cid:durableId="550770064">
    <w:abstractNumId w:val="1"/>
  </w:num>
  <w:num w:numId="2" w16cid:durableId="615910685">
    <w:abstractNumId w:val="10"/>
  </w:num>
  <w:num w:numId="3" w16cid:durableId="611934340">
    <w:abstractNumId w:val="7"/>
  </w:num>
  <w:num w:numId="4" w16cid:durableId="1546792728">
    <w:abstractNumId w:val="23"/>
  </w:num>
  <w:num w:numId="5" w16cid:durableId="1957180075">
    <w:abstractNumId w:val="20"/>
  </w:num>
  <w:num w:numId="6" w16cid:durableId="1279145075">
    <w:abstractNumId w:val="13"/>
  </w:num>
  <w:num w:numId="7" w16cid:durableId="1161197892">
    <w:abstractNumId w:val="5"/>
  </w:num>
  <w:num w:numId="8" w16cid:durableId="339891974">
    <w:abstractNumId w:val="19"/>
  </w:num>
  <w:num w:numId="9" w16cid:durableId="416561710">
    <w:abstractNumId w:val="3"/>
  </w:num>
  <w:num w:numId="10" w16cid:durableId="1624769331">
    <w:abstractNumId w:val="16"/>
  </w:num>
  <w:num w:numId="11" w16cid:durableId="830801661">
    <w:abstractNumId w:val="18"/>
  </w:num>
  <w:num w:numId="12" w16cid:durableId="2007004335">
    <w:abstractNumId w:val="2"/>
  </w:num>
  <w:num w:numId="13" w16cid:durableId="1767916225">
    <w:abstractNumId w:val="12"/>
  </w:num>
  <w:num w:numId="14" w16cid:durableId="1025058530">
    <w:abstractNumId w:val="4"/>
  </w:num>
  <w:num w:numId="15" w16cid:durableId="1812165210">
    <w:abstractNumId w:val="9"/>
  </w:num>
  <w:num w:numId="16" w16cid:durableId="1235235206">
    <w:abstractNumId w:val="14"/>
  </w:num>
  <w:num w:numId="17" w16cid:durableId="603417544">
    <w:abstractNumId w:val="6"/>
  </w:num>
  <w:num w:numId="18" w16cid:durableId="1938637530">
    <w:abstractNumId w:val="0"/>
  </w:num>
  <w:num w:numId="19" w16cid:durableId="861895655">
    <w:abstractNumId w:val="17"/>
  </w:num>
  <w:num w:numId="20" w16cid:durableId="1900701112">
    <w:abstractNumId w:val="15"/>
  </w:num>
  <w:num w:numId="21" w16cid:durableId="526604042">
    <w:abstractNumId w:val="11"/>
  </w:num>
  <w:num w:numId="22" w16cid:durableId="121384972">
    <w:abstractNumId w:val="22"/>
  </w:num>
  <w:num w:numId="23" w16cid:durableId="792553059">
    <w:abstractNumId w:val="8"/>
  </w:num>
  <w:num w:numId="24" w16cid:durableId="1044268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76"/>
    <w:rsid w:val="00007889"/>
    <w:rsid w:val="00011E63"/>
    <w:rsid w:val="00012904"/>
    <w:rsid w:val="00015098"/>
    <w:rsid w:val="00016859"/>
    <w:rsid w:val="00020483"/>
    <w:rsid w:val="00035369"/>
    <w:rsid w:val="00041F52"/>
    <w:rsid w:val="00046BEA"/>
    <w:rsid w:val="00057485"/>
    <w:rsid w:val="00062CFC"/>
    <w:rsid w:val="000714AA"/>
    <w:rsid w:val="00075A03"/>
    <w:rsid w:val="0007710B"/>
    <w:rsid w:val="000815AB"/>
    <w:rsid w:val="0009127E"/>
    <w:rsid w:val="000954D2"/>
    <w:rsid w:val="00096EDF"/>
    <w:rsid w:val="000A1027"/>
    <w:rsid w:val="000A1397"/>
    <w:rsid w:val="000A2104"/>
    <w:rsid w:val="000A3F80"/>
    <w:rsid w:val="000A4406"/>
    <w:rsid w:val="000A64C2"/>
    <w:rsid w:val="000A7B16"/>
    <w:rsid w:val="000B605E"/>
    <w:rsid w:val="000C5223"/>
    <w:rsid w:val="000D0322"/>
    <w:rsid w:val="000D311F"/>
    <w:rsid w:val="000D40BA"/>
    <w:rsid w:val="000D6273"/>
    <w:rsid w:val="000E2A9B"/>
    <w:rsid w:val="000E3B25"/>
    <w:rsid w:val="000F20F1"/>
    <w:rsid w:val="000F26A3"/>
    <w:rsid w:val="000F4594"/>
    <w:rsid w:val="000F5206"/>
    <w:rsid w:val="00104786"/>
    <w:rsid w:val="00107AA3"/>
    <w:rsid w:val="00111413"/>
    <w:rsid w:val="00112E0C"/>
    <w:rsid w:val="00114F45"/>
    <w:rsid w:val="00117908"/>
    <w:rsid w:val="001214F1"/>
    <w:rsid w:val="00121DEE"/>
    <w:rsid w:val="001221ED"/>
    <w:rsid w:val="00126907"/>
    <w:rsid w:val="00130B5B"/>
    <w:rsid w:val="00133D28"/>
    <w:rsid w:val="001401CA"/>
    <w:rsid w:val="00140AD2"/>
    <w:rsid w:val="00145051"/>
    <w:rsid w:val="0014519E"/>
    <w:rsid w:val="00151997"/>
    <w:rsid w:val="001537A2"/>
    <w:rsid w:val="00154CAC"/>
    <w:rsid w:val="001553B9"/>
    <w:rsid w:val="001558B4"/>
    <w:rsid w:val="00155D75"/>
    <w:rsid w:val="001573E3"/>
    <w:rsid w:val="001712DC"/>
    <w:rsid w:val="00173DCA"/>
    <w:rsid w:val="001745A0"/>
    <w:rsid w:val="0017736E"/>
    <w:rsid w:val="001811F6"/>
    <w:rsid w:val="00181687"/>
    <w:rsid w:val="00181FD0"/>
    <w:rsid w:val="00184482"/>
    <w:rsid w:val="00185324"/>
    <w:rsid w:val="001876F3"/>
    <w:rsid w:val="0019030A"/>
    <w:rsid w:val="00191E6C"/>
    <w:rsid w:val="00195C95"/>
    <w:rsid w:val="001A00AF"/>
    <w:rsid w:val="001A0436"/>
    <w:rsid w:val="001A1635"/>
    <w:rsid w:val="001A5029"/>
    <w:rsid w:val="001A6C28"/>
    <w:rsid w:val="001B6486"/>
    <w:rsid w:val="001C06C2"/>
    <w:rsid w:val="001C196A"/>
    <w:rsid w:val="001D24FE"/>
    <w:rsid w:val="001D26DA"/>
    <w:rsid w:val="001D7907"/>
    <w:rsid w:val="001E5163"/>
    <w:rsid w:val="001E5878"/>
    <w:rsid w:val="001E7287"/>
    <w:rsid w:val="001E7295"/>
    <w:rsid w:val="001F30A7"/>
    <w:rsid w:val="001F56BA"/>
    <w:rsid w:val="001F5F76"/>
    <w:rsid w:val="00201F2F"/>
    <w:rsid w:val="00204FB5"/>
    <w:rsid w:val="00205CB5"/>
    <w:rsid w:val="002065DE"/>
    <w:rsid w:val="00212088"/>
    <w:rsid w:val="00216A0D"/>
    <w:rsid w:val="00217DA7"/>
    <w:rsid w:val="00223785"/>
    <w:rsid w:val="00225255"/>
    <w:rsid w:val="0023260F"/>
    <w:rsid w:val="00232D55"/>
    <w:rsid w:val="00233C73"/>
    <w:rsid w:val="002343D5"/>
    <w:rsid w:val="00245873"/>
    <w:rsid w:val="00256DF8"/>
    <w:rsid w:val="00257318"/>
    <w:rsid w:val="00257806"/>
    <w:rsid w:val="00264D46"/>
    <w:rsid w:val="00273CA6"/>
    <w:rsid w:val="00284D83"/>
    <w:rsid w:val="00285401"/>
    <w:rsid w:val="00287080"/>
    <w:rsid w:val="00290FD2"/>
    <w:rsid w:val="002A3AFC"/>
    <w:rsid w:val="002A3D38"/>
    <w:rsid w:val="002A51DE"/>
    <w:rsid w:val="002A59A1"/>
    <w:rsid w:val="002A5EC0"/>
    <w:rsid w:val="002A7376"/>
    <w:rsid w:val="002A7CA8"/>
    <w:rsid w:val="002B3412"/>
    <w:rsid w:val="002C0DDD"/>
    <w:rsid w:val="002C180F"/>
    <w:rsid w:val="002D0B15"/>
    <w:rsid w:val="002D0E06"/>
    <w:rsid w:val="002D19A8"/>
    <w:rsid w:val="002D4E03"/>
    <w:rsid w:val="002E46E3"/>
    <w:rsid w:val="002E720B"/>
    <w:rsid w:val="002F0609"/>
    <w:rsid w:val="002F198B"/>
    <w:rsid w:val="003000FD"/>
    <w:rsid w:val="00304D9B"/>
    <w:rsid w:val="00305623"/>
    <w:rsid w:val="00305FE7"/>
    <w:rsid w:val="00314B21"/>
    <w:rsid w:val="003166D2"/>
    <w:rsid w:val="003174ED"/>
    <w:rsid w:val="003222E5"/>
    <w:rsid w:val="00322ED0"/>
    <w:rsid w:val="00323CD0"/>
    <w:rsid w:val="00344C30"/>
    <w:rsid w:val="00345CD7"/>
    <w:rsid w:val="00346A43"/>
    <w:rsid w:val="0034795F"/>
    <w:rsid w:val="00352B94"/>
    <w:rsid w:val="0035555A"/>
    <w:rsid w:val="00360053"/>
    <w:rsid w:val="00360470"/>
    <w:rsid w:val="00360F0D"/>
    <w:rsid w:val="00361D09"/>
    <w:rsid w:val="003627B9"/>
    <w:rsid w:val="00362838"/>
    <w:rsid w:val="00364989"/>
    <w:rsid w:val="003657ED"/>
    <w:rsid w:val="00365D86"/>
    <w:rsid w:val="00366568"/>
    <w:rsid w:val="003665DE"/>
    <w:rsid w:val="00366647"/>
    <w:rsid w:val="003703F1"/>
    <w:rsid w:val="00371A48"/>
    <w:rsid w:val="003746D8"/>
    <w:rsid w:val="003827DD"/>
    <w:rsid w:val="00386839"/>
    <w:rsid w:val="003902CA"/>
    <w:rsid w:val="00391566"/>
    <w:rsid w:val="00391C32"/>
    <w:rsid w:val="00391E5D"/>
    <w:rsid w:val="003977C8"/>
    <w:rsid w:val="003978B4"/>
    <w:rsid w:val="003A11A0"/>
    <w:rsid w:val="003A27A0"/>
    <w:rsid w:val="003A35CA"/>
    <w:rsid w:val="003A3C77"/>
    <w:rsid w:val="003A3DA6"/>
    <w:rsid w:val="003A463A"/>
    <w:rsid w:val="003A7B56"/>
    <w:rsid w:val="003B17DC"/>
    <w:rsid w:val="003B22EF"/>
    <w:rsid w:val="003B563F"/>
    <w:rsid w:val="003C14DF"/>
    <w:rsid w:val="003C46BD"/>
    <w:rsid w:val="003C67AF"/>
    <w:rsid w:val="003C763C"/>
    <w:rsid w:val="003D343A"/>
    <w:rsid w:val="003D4574"/>
    <w:rsid w:val="003D5D88"/>
    <w:rsid w:val="003E1086"/>
    <w:rsid w:val="003E16F0"/>
    <w:rsid w:val="003E1E75"/>
    <w:rsid w:val="003F08AB"/>
    <w:rsid w:val="003F11C9"/>
    <w:rsid w:val="003F1A4F"/>
    <w:rsid w:val="003F28FC"/>
    <w:rsid w:val="003F3DE4"/>
    <w:rsid w:val="00400E0E"/>
    <w:rsid w:val="00402A02"/>
    <w:rsid w:val="00404973"/>
    <w:rsid w:val="00405DD7"/>
    <w:rsid w:val="00410533"/>
    <w:rsid w:val="00413FDF"/>
    <w:rsid w:val="004202EB"/>
    <w:rsid w:val="004206FD"/>
    <w:rsid w:val="00420B24"/>
    <w:rsid w:val="00426F8F"/>
    <w:rsid w:val="00435568"/>
    <w:rsid w:val="00436E5B"/>
    <w:rsid w:val="00444AF9"/>
    <w:rsid w:val="004455DE"/>
    <w:rsid w:val="00446070"/>
    <w:rsid w:val="004465BE"/>
    <w:rsid w:val="00447855"/>
    <w:rsid w:val="00451153"/>
    <w:rsid w:val="00467044"/>
    <w:rsid w:val="00472B10"/>
    <w:rsid w:val="0047562E"/>
    <w:rsid w:val="004813B8"/>
    <w:rsid w:val="00484DFD"/>
    <w:rsid w:val="00485152"/>
    <w:rsid w:val="00486F43"/>
    <w:rsid w:val="0049207C"/>
    <w:rsid w:val="004A14C0"/>
    <w:rsid w:val="004A2C94"/>
    <w:rsid w:val="004B2418"/>
    <w:rsid w:val="004B4CE6"/>
    <w:rsid w:val="004C12B4"/>
    <w:rsid w:val="004C4587"/>
    <w:rsid w:val="004C6C7E"/>
    <w:rsid w:val="004D123B"/>
    <w:rsid w:val="004D7169"/>
    <w:rsid w:val="004D7F55"/>
    <w:rsid w:val="004E310E"/>
    <w:rsid w:val="004E4D9C"/>
    <w:rsid w:val="004E5B53"/>
    <w:rsid w:val="004F0161"/>
    <w:rsid w:val="004F23E2"/>
    <w:rsid w:val="004F355D"/>
    <w:rsid w:val="004F3990"/>
    <w:rsid w:val="004F5CC9"/>
    <w:rsid w:val="004F67E7"/>
    <w:rsid w:val="00502B15"/>
    <w:rsid w:val="005106A7"/>
    <w:rsid w:val="005116CC"/>
    <w:rsid w:val="0051739C"/>
    <w:rsid w:val="00520F66"/>
    <w:rsid w:val="00522D31"/>
    <w:rsid w:val="00523925"/>
    <w:rsid w:val="00525C32"/>
    <w:rsid w:val="00526C5B"/>
    <w:rsid w:val="005270D6"/>
    <w:rsid w:val="00527804"/>
    <w:rsid w:val="00531887"/>
    <w:rsid w:val="005320B6"/>
    <w:rsid w:val="005417F0"/>
    <w:rsid w:val="00542607"/>
    <w:rsid w:val="00543EE8"/>
    <w:rsid w:val="005467F8"/>
    <w:rsid w:val="00552031"/>
    <w:rsid w:val="0055268C"/>
    <w:rsid w:val="005577D9"/>
    <w:rsid w:val="005606FF"/>
    <w:rsid w:val="005624F1"/>
    <w:rsid w:val="00563C29"/>
    <w:rsid w:val="0057258D"/>
    <w:rsid w:val="00572AF1"/>
    <w:rsid w:val="005731AD"/>
    <w:rsid w:val="00574B81"/>
    <w:rsid w:val="00574D28"/>
    <w:rsid w:val="00586EDE"/>
    <w:rsid w:val="00592D24"/>
    <w:rsid w:val="00594BC5"/>
    <w:rsid w:val="005963E3"/>
    <w:rsid w:val="005A1981"/>
    <w:rsid w:val="005A1ACE"/>
    <w:rsid w:val="005A2EFF"/>
    <w:rsid w:val="005A4EA1"/>
    <w:rsid w:val="005A52D7"/>
    <w:rsid w:val="005B1003"/>
    <w:rsid w:val="005B282C"/>
    <w:rsid w:val="005B3012"/>
    <w:rsid w:val="005B7240"/>
    <w:rsid w:val="005C2F10"/>
    <w:rsid w:val="005C5F2B"/>
    <w:rsid w:val="005D1027"/>
    <w:rsid w:val="005D3DD0"/>
    <w:rsid w:val="005D4A5D"/>
    <w:rsid w:val="005D6939"/>
    <w:rsid w:val="005E1DCA"/>
    <w:rsid w:val="005E2D68"/>
    <w:rsid w:val="005E49F6"/>
    <w:rsid w:val="005E4E48"/>
    <w:rsid w:val="005F2DDD"/>
    <w:rsid w:val="005F399B"/>
    <w:rsid w:val="005F743B"/>
    <w:rsid w:val="00606604"/>
    <w:rsid w:val="00606839"/>
    <w:rsid w:val="00607050"/>
    <w:rsid w:val="00607AFF"/>
    <w:rsid w:val="00607EA4"/>
    <w:rsid w:val="00611DEB"/>
    <w:rsid w:val="00613A9C"/>
    <w:rsid w:val="00615145"/>
    <w:rsid w:val="00624194"/>
    <w:rsid w:val="0063631B"/>
    <w:rsid w:val="006363A1"/>
    <w:rsid w:val="00643A23"/>
    <w:rsid w:val="00645750"/>
    <w:rsid w:val="00646B37"/>
    <w:rsid w:val="006475E3"/>
    <w:rsid w:val="006509BE"/>
    <w:rsid w:val="00651879"/>
    <w:rsid w:val="006519E4"/>
    <w:rsid w:val="006528E1"/>
    <w:rsid w:val="006549BC"/>
    <w:rsid w:val="006559E9"/>
    <w:rsid w:val="00663414"/>
    <w:rsid w:val="006725CD"/>
    <w:rsid w:val="006740B5"/>
    <w:rsid w:val="00676B97"/>
    <w:rsid w:val="006835B7"/>
    <w:rsid w:val="0068524B"/>
    <w:rsid w:val="0069642F"/>
    <w:rsid w:val="006A089C"/>
    <w:rsid w:val="006A2B1A"/>
    <w:rsid w:val="006A512B"/>
    <w:rsid w:val="006B0A37"/>
    <w:rsid w:val="006B1145"/>
    <w:rsid w:val="006B2046"/>
    <w:rsid w:val="006B3882"/>
    <w:rsid w:val="006B6DEB"/>
    <w:rsid w:val="006C0817"/>
    <w:rsid w:val="006C18FF"/>
    <w:rsid w:val="006C51F5"/>
    <w:rsid w:val="006C5B62"/>
    <w:rsid w:val="006E664E"/>
    <w:rsid w:val="006F007C"/>
    <w:rsid w:val="006F5CC8"/>
    <w:rsid w:val="007013A8"/>
    <w:rsid w:val="00702F4C"/>
    <w:rsid w:val="007155FE"/>
    <w:rsid w:val="007173EE"/>
    <w:rsid w:val="007238CC"/>
    <w:rsid w:val="0074671A"/>
    <w:rsid w:val="00747BEB"/>
    <w:rsid w:val="00753D2D"/>
    <w:rsid w:val="00760E98"/>
    <w:rsid w:val="007634BF"/>
    <w:rsid w:val="00770FB4"/>
    <w:rsid w:val="0077294F"/>
    <w:rsid w:val="007827EF"/>
    <w:rsid w:val="00794170"/>
    <w:rsid w:val="007971EC"/>
    <w:rsid w:val="00797718"/>
    <w:rsid w:val="00797E7C"/>
    <w:rsid w:val="00797E99"/>
    <w:rsid w:val="007A11AA"/>
    <w:rsid w:val="007A14AB"/>
    <w:rsid w:val="007A2F86"/>
    <w:rsid w:val="007B22BB"/>
    <w:rsid w:val="007B7EE5"/>
    <w:rsid w:val="007C102F"/>
    <w:rsid w:val="007C4047"/>
    <w:rsid w:val="007C4EF2"/>
    <w:rsid w:val="007C724A"/>
    <w:rsid w:val="007D645A"/>
    <w:rsid w:val="007E4999"/>
    <w:rsid w:val="007E7412"/>
    <w:rsid w:val="007E7E9C"/>
    <w:rsid w:val="007F3306"/>
    <w:rsid w:val="00800CE9"/>
    <w:rsid w:val="00800F18"/>
    <w:rsid w:val="0080309C"/>
    <w:rsid w:val="00803390"/>
    <w:rsid w:val="00807DB2"/>
    <w:rsid w:val="008122AA"/>
    <w:rsid w:val="00814B4A"/>
    <w:rsid w:val="00816A46"/>
    <w:rsid w:val="00820447"/>
    <w:rsid w:val="0082053D"/>
    <w:rsid w:val="0082570B"/>
    <w:rsid w:val="00831958"/>
    <w:rsid w:val="008324FA"/>
    <w:rsid w:val="00835ECC"/>
    <w:rsid w:val="008462D8"/>
    <w:rsid w:val="00851AE1"/>
    <w:rsid w:val="00854E10"/>
    <w:rsid w:val="00855D53"/>
    <w:rsid w:val="00857894"/>
    <w:rsid w:val="00867270"/>
    <w:rsid w:val="00867546"/>
    <w:rsid w:val="008779D9"/>
    <w:rsid w:val="00882FBC"/>
    <w:rsid w:val="00883676"/>
    <w:rsid w:val="008917D4"/>
    <w:rsid w:val="0089515A"/>
    <w:rsid w:val="0089519F"/>
    <w:rsid w:val="008B02C5"/>
    <w:rsid w:val="008B6466"/>
    <w:rsid w:val="008B6D98"/>
    <w:rsid w:val="008B6F1B"/>
    <w:rsid w:val="008C1D17"/>
    <w:rsid w:val="008C2C43"/>
    <w:rsid w:val="008C74AA"/>
    <w:rsid w:val="008D2FF4"/>
    <w:rsid w:val="008D3EF1"/>
    <w:rsid w:val="008D3FCD"/>
    <w:rsid w:val="008D4643"/>
    <w:rsid w:val="008D6BD0"/>
    <w:rsid w:val="008D779D"/>
    <w:rsid w:val="008E0AF4"/>
    <w:rsid w:val="008E1CC6"/>
    <w:rsid w:val="008E6F69"/>
    <w:rsid w:val="008F1CB5"/>
    <w:rsid w:val="008F2C78"/>
    <w:rsid w:val="008F2E52"/>
    <w:rsid w:val="008F4AFA"/>
    <w:rsid w:val="00901C52"/>
    <w:rsid w:val="00904ECC"/>
    <w:rsid w:val="00907EB6"/>
    <w:rsid w:val="00912543"/>
    <w:rsid w:val="00913084"/>
    <w:rsid w:val="00913800"/>
    <w:rsid w:val="0091427E"/>
    <w:rsid w:val="00927B9F"/>
    <w:rsid w:val="00932B66"/>
    <w:rsid w:val="009340C9"/>
    <w:rsid w:val="00935550"/>
    <w:rsid w:val="00942FDE"/>
    <w:rsid w:val="009439E2"/>
    <w:rsid w:val="00943D4A"/>
    <w:rsid w:val="00945AC3"/>
    <w:rsid w:val="00951894"/>
    <w:rsid w:val="009539DB"/>
    <w:rsid w:val="00955835"/>
    <w:rsid w:val="0096138C"/>
    <w:rsid w:val="00963188"/>
    <w:rsid w:val="00963D37"/>
    <w:rsid w:val="00970307"/>
    <w:rsid w:val="009713F3"/>
    <w:rsid w:val="00980346"/>
    <w:rsid w:val="00997CC1"/>
    <w:rsid w:val="009A1224"/>
    <w:rsid w:val="009A29ED"/>
    <w:rsid w:val="009A2B00"/>
    <w:rsid w:val="009B31DA"/>
    <w:rsid w:val="009B4403"/>
    <w:rsid w:val="009B574F"/>
    <w:rsid w:val="009B67CB"/>
    <w:rsid w:val="009B7E92"/>
    <w:rsid w:val="009C10B9"/>
    <w:rsid w:val="009C4BA6"/>
    <w:rsid w:val="009C72F9"/>
    <w:rsid w:val="009D05CC"/>
    <w:rsid w:val="009D0EB4"/>
    <w:rsid w:val="009D197D"/>
    <w:rsid w:val="009D2347"/>
    <w:rsid w:val="009D241A"/>
    <w:rsid w:val="009D6312"/>
    <w:rsid w:val="009E14BA"/>
    <w:rsid w:val="009E253F"/>
    <w:rsid w:val="009E2E13"/>
    <w:rsid w:val="009E364C"/>
    <w:rsid w:val="009E3D0A"/>
    <w:rsid w:val="009E5249"/>
    <w:rsid w:val="009F061A"/>
    <w:rsid w:val="009F7483"/>
    <w:rsid w:val="00A012E5"/>
    <w:rsid w:val="00A026A9"/>
    <w:rsid w:val="00A02E87"/>
    <w:rsid w:val="00A03971"/>
    <w:rsid w:val="00A03E7F"/>
    <w:rsid w:val="00A0557F"/>
    <w:rsid w:val="00A056B2"/>
    <w:rsid w:val="00A13179"/>
    <w:rsid w:val="00A141B2"/>
    <w:rsid w:val="00A2530A"/>
    <w:rsid w:val="00A2584E"/>
    <w:rsid w:val="00A32FF7"/>
    <w:rsid w:val="00A35A0F"/>
    <w:rsid w:val="00A36E1B"/>
    <w:rsid w:val="00A4418A"/>
    <w:rsid w:val="00A51DCF"/>
    <w:rsid w:val="00A51E00"/>
    <w:rsid w:val="00A543EB"/>
    <w:rsid w:val="00A57C71"/>
    <w:rsid w:val="00A57D67"/>
    <w:rsid w:val="00A61DE2"/>
    <w:rsid w:val="00A651CD"/>
    <w:rsid w:val="00A77CF4"/>
    <w:rsid w:val="00A800DC"/>
    <w:rsid w:val="00A81B5C"/>
    <w:rsid w:val="00A841C7"/>
    <w:rsid w:val="00A84E33"/>
    <w:rsid w:val="00A9759D"/>
    <w:rsid w:val="00AA0460"/>
    <w:rsid w:val="00AA7135"/>
    <w:rsid w:val="00AB056A"/>
    <w:rsid w:val="00AB0BE8"/>
    <w:rsid w:val="00AB365F"/>
    <w:rsid w:val="00AB3B04"/>
    <w:rsid w:val="00AB6951"/>
    <w:rsid w:val="00AB6DC2"/>
    <w:rsid w:val="00AC12B4"/>
    <w:rsid w:val="00AD288E"/>
    <w:rsid w:val="00AD457D"/>
    <w:rsid w:val="00AE0198"/>
    <w:rsid w:val="00AE3FE6"/>
    <w:rsid w:val="00AE70A2"/>
    <w:rsid w:val="00AE72D5"/>
    <w:rsid w:val="00AE7B1B"/>
    <w:rsid w:val="00AF0351"/>
    <w:rsid w:val="00AF0537"/>
    <w:rsid w:val="00AF0C3F"/>
    <w:rsid w:val="00AF3A3F"/>
    <w:rsid w:val="00AF4E58"/>
    <w:rsid w:val="00AF542F"/>
    <w:rsid w:val="00AF55E3"/>
    <w:rsid w:val="00B0668F"/>
    <w:rsid w:val="00B11004"/>
    <w:rsid w:val="00B223CD"/>
    <w:rsid w:val="00B23296"/>
    <w:rsid w:val="00B34AC6"/>
    <w:rsid w:val="00B358FC"/>
    <w:rsid w:val="00B36F45"/>
    <w:rsid w:val="00B37E2E"/>
    <w:rsid w:val="00B4024F"/>
    <w:rsid w:val="00B4317B"/>
    <w:rsid w:val="00B434F5"/>
    <w:rsid w:val="00B4447A"/>
    <w:rsid w:val="00B46A97"/>
    <w:rsid w:val="00B51F5B"/>
    <w:rsid w:val="00B54096"/>
    <w:rsid w:val="00B55297"/>
    <w:rsid w:val="00B56CBF"/>
    <w:rsid w:val="00B62796"/>
    <w:rsid w:val="00B675F8"/>
    <w:rsid w:val="00B71868"/>
    <w:rsid w:val="00B727D5"/>
    <w:rsid w:val="00B73602"/>
    <w:rsid w:val="00B73E76"/>
    <w:rsid w:val="00B76062"/>
    <w:rsid w:val="00B80169"/>
    <w:rsid w:val="00B80649"/>
    <w:rsid w:val="00B8096F"/>
    <w:rsid w:val="00B81803"/>
    <w:rsid w:val="00B86647"/>
    <w:rsid w:val="00B924A9"/>
    <w:rsid w:val="00B93285"/>
    <w:rsid w:val="00BA2CC4"/>
    <w:rsid w:val="00BA6C08"/>
    <w:rsid w:val="00BB1DA8"/>
    <w:rsid w:val="00BB6BDC"/>
    <w:rsid w:val="00BB7DFF"/>
    <w:rsid w:val="00BC2411"/>
    <w:rsid w:val="00BC2A21"/>
    <w:rsid w:val="00BD3985"/>
    <w:rsid w:val="00BD54F8"/>
    <w:rsid w:val="00BD5F8F"/>
    <w:rsid w:val="00BD7D48"/>
    <w:rsid w:val="00BE4A1F"/>
    <w:rsid w:val="00BE5CDB"/>
    <w:rsid w:val="00BF044E"/>
    <w:rsid w:val="00BF1664"/>
    <w:rsid w:val="00BF368A"/>
    <w:rsid w:val="00BF4F04"/>
    <w:rsid w:val="00BF7F85"/>
    <w:rsid w:val="00C0180D"/>
    <w:rsid w:val="00C01E46"/>
    <w:rsid w:val="00C062B8"/>
    <w:rsid w:val="00C0DABC"/>
    <w:rsid w:val="00C1385E"/>
    <w:rsid w:val="00C14C4F"/>
    <w:rsid w:val="00C16E4C"/>
    <w:rsid w:val="00C21833"/>
    <w:rsid w:val="00C21E22"/>
    <w:rsid w:val="00C233D2"/>
    <w:rsid w:val="00C24596"/>
    <w:rsid w:val="00C25B92"/>
    <w:rsid w:val="00C26D29"/>
    <w:rsid w:val="00C27FE0"/>
    <w:rsid w:val="00C401E8"/>
    <w:rsid w:val="00C417C5"/>
    <w:rsid w:val="00C5180B"/>
    <w:rsid w:val="00C56283"/>
    <w:rsid w:val="00C56F60"/>
    <w:rsid w:val="00C6129A"/>
    <w:rsid w:val="00C6784C"/>
    <w:rsid w:val="00C67878"/>
    <w:rsid w:val="00C803F5"/>
    <w:rsid w:val="00C82238"/>
    <w:rsid w:val="00C83857"/>
    <w:rsid w:val="00C90FEC"/>
    <w:rsid w:val="00C940FF"/>
    <w:rsid w:val="00CA6AE2"/>
    <w:rsid w:val="00CB14A4"/>
    <w:rsid w:val="00CB54D4"/>
    <w:rsid w:val="00CB7D9D"/>
    <w:rsid w:val="00CC4CC2"/>
    <w:rsid w:val="00CC63D0"/>
    <w:rsid w:val="00CC6474"/>
    <w:rsid w:val="00CD1926"/>
    <w:rsid w:val="00CD57A6"/>
    <w:rsid w:val="00CE5179"/>
    <w:rsid w:val="00CF0C98"/>
    <w:rsid w:val="00CF4D1A"/>
    <w:rsid w:val="00CF75CA"/>
    <w:rsid w:val="00D00879"/>
    <w:rsid w:val="00D120F9"/>
    <w:rsid w:val="00D125B3"/>
    <w:rsid w:val="00D1312B"/>
    <w:rsid w:val="00D15D73"/>
    <w:rsid w:val="00D16503"/>
    <w:rsid w:val="00D16A76"/>
    <w:rsid w:val="00D17170"/>
    <w:rsid w:val="00D17816"/>
    <w:rsid w:val="00D205E7"/>
    <w:rsid w:val="00D20DFF"/>
    <w:rsid w:val="00D369BC"/>
    <w:rsid w:val="00D36A0A"/>
    <w:rsid w:val="00D36F23"/>
    <w:rsid w:val="00D43C27"/>
    <w:rsid w:val="00D44B1E"/>
    <w:rsid w:val="00D45687"/>
    <w:rsid w:val="00D52602"/>
    <w:rsid w:val="00D53B9F"/>
    <w:rsid w:val="00D54E8F"/>
    <w:rsid w:val="00D55586"/>
    <w:rsid w:val="00D55B07"/>
    <w:rsid w:val="00D61281"/>
    <w:rsid w:val="00D61B3E"/>
    <w:rsid w:val="00D70639"/>
    <w:rsid w:val="00D71222"/>
    <w:rsid w:val="00D77AA0"/>
    <w:rsid w:val="00D77CAD"/>
    <w:rsid w:val="00D811AA"/>
    <w:rsid w:val="00D83BD5"/>
    <w:rsid w:val="00D87437"/>
    <w:rsid w:val="00DA13CF"/>
    <w:rsid w:val="00DA4B7A"/>
    <w:rsid w:val="00DA55CA"/>
    <w:rsid w:val="00DB0A44"/>
    <w:rsid w:val="00DB184F"/>
    <w:rsid w:val="00DB1C2E"/>
    <w:rsid w:val="00DB1F87"/>
    <w:rsid w:val="00DB4E58"/>
    <w:rsid w:val="00DC0ABE"/>
    <w:rsid w:val="00DC17A2"/>
    <w:rsid w:val="00DC2B3E"/>
    <w:rsid w:val="00DC595D"/>
    <w:rsid w:val="00DC5DED"/>
    <w:rsid w:val="00DD113B"/>
    <w:rsid w:val="00DD154E"/>
    <w:rsid w:val="00DD186B"/>
    <w:rsid w:val="00DF4D3B"/>
    <w:rsid w:val="00DF73EB"/>
    <w:rsid w:val="00E1238E"/>
    <w:rsid w:val="00E166D0"/>
    <w:rsid w:val="00E17963"/>
    <w:rsid w:val="00E207EA"/>
    <w:rsid w:val="00E21392"/>
    <w:rsid w:val="00E21A82"/>
    <w:rsid w:val="00E22593"/>
    <w:rsid w:val="00E237C5"/>
    <w:rsid w:val="00E335C1"/>
    <w:rsid w:val="00E40109"/>
    <w:rsid w:val="00E44673"/>
    <w:rsid w:val="00E45066"/>
    <w:rsid w:val="00E51120"/>
    <w:rsid w:val="00E54F6C"/>
    <w:rsid w:val="00E60E47"/>
    <w:rsid w:val="00E62155"/>
    <w:rsid w:val="00E66277"/>
    <w:rsid w:val="00E70DF0"/>
    <w:rsid w:val="00E70F31"/>
    <w:rsid w:val="00E71474"/>
    <w:rsid w:val="00E7261F"/>
    <w:rsid w:val="00E7435D"/>
    <w:rsid w:val="00E7597B"/>
    <w:rsid w:val="00E76A99"/>
    <w:rsid w:val="00E7766C"/>
    <w:rsid w:val="00E80971"/>
    <w:rsid w:val="00E81A8D"/>
    <w:rsid w:val="00E85E28"/>
    <w:rsid w:val="00E8759A"/>
    <w:rsid w:val="00E928FF"/>
    <w:rsid w:val="00E97BB5"/>
    <w:rsid w:val="00EA065F"/>
    <w:rsid w:val="00EA2D87"/>
    <w:rsid w:val="00EA4CBE"/>
    <w:rsid w:val="00EA5AB6"/>
    <w:rsid w:val="00EA63EB"/>
    <w:rsid w:val="00EA6BF0"/>
    <w:rsid w:val="00EB1114"/>
    <w:rsid w:val="00EB1410"/>
    <w:rsid w:val="00EB4D6C"/>
    <w:rsid w:val="00EB681F"/>
    <w:rsid w:val="00EC366A"/>
    <w:rsid w:val="00EC36B1"/>
    <w:rsid w:val="00EC6CB0"/>
    <w:rsid w:val="00EC7D98"/>
    <w:rsid w:val="00ED6836"/>
    <w:rsid w:val="00EE0C56"/>
    <w:rsid w:val="00EE6B4A"/>
    <w:rsid w:val="00EE73CD"/>
    <w:rsid w:val="00EF3DDE"/>
    <w:rsid w:val="00F0163A"/>
    <w:rsid w:val="00F05E8D"/>
    <w:rsid w:val="00F06CE3"/>
    <w:rsid w:val="00F13C29"/>
    <w:rsid w:val="00F17436"/>
    <w:rsid w:val="00F20970"/>
    <w:rsid w:val="00F22FA0"/>
    <w:rsid w:val="00F33F37"/>
    <w:rsid w:val="00F3595C"/>
    <w:rsid w:val="00F4150F"/>
    <w:rsid w:val="00F4634E"/>
    <w:rsid w:val="00F466AE"/>
    <w:rsid w:val="00F472D2"/>
    <w:rsid w:val="00F47F67"/>
    <w:rsid w:val="00F54D67"/>
    <w:rsid w:val="00F5F0F9"/>
    <w:rsid w:val="00F60858"/>
    <w:rsid w:val="00F60D38"/>
    <w:rsid w:val="00F611D3"/>
    <w:rsid w:val="00F6236D"/>
    <w:rsid w:val="00F64944"/>
    <w:rsid w:val="00F65260"/>
    <w:rsid w:val="00F66035"/>
    <w:rsid w:val="00F70ECB"/>
    <w:rsid w:val="00F81F3C"/>
    <w:rsid w:val="00F83F28"/>
    <w:rsid w:val="00F91779"/>
    <w:rsid w:val="00F94CE4"/>
    <w:rsid w:val="00FA63C1"/>
    <w:rsid w:val="00FA7DB5"/>
    <w:rsid w:val="00FB2735"/>
    <w:rsid w:val="00FB2BBB"/>
    <w:rsid w:val="00FB2F42"/>
    <w:rsid w:val="00FB50CC"/>
    <w:rsid w:val="00FB6158"/>
    <w:rsid w:val="00FC117D"/>
    <w:rsid w:val="00FC3CAF"/>
    <w:rsid w:val="00FC405B"/>
    <w:rsid w:val="00FC4803"/>
    <w:rsid w:val="00FD36EB"/>
    <w:rsid w:val="00FD5B5A"/>
    <w:rsid w:val="00FD5BC8"/>
    <w:rsid w:val="00FD7312"/>
    <w:rsid w:val="00FF3951"/>
    <w:rsid w:val="01133A6E"/>
    <w:rsid w:val="01384602"/>
    <w:rsid w:val="017FDE04"/>
    <w:rsid w:val="01A737FD"/>
    <w:rsid w:val="023A0D6B"/>
    <w:rsid w:val="029AC56F"/>
    <w:rsid w:val="02C8F583"/>
    <w:rsid w:val="02D873CA"/>
    <w:rsid w:val="03A4C746"/>
    <w:rsid w:val="03AC0473"/>
    <w:rsid w:val="0408F4D3"/>
    <w:rsid w:val="040F2B2E"/>
    <w:rsid w:val="0549E185"/>
    <w:rsid w:val="05750B6C"/>
    <w:rsid w:val="05CE0711"/>
    <w:rsid w:val="06AD73A9"/>
    <w:rsid w:val="06D93691"/>
    <w:rsid w:val="06E3BCE3"/>
    <w:rsid w:val="07097ED3"/>
    <w:rsid w:val="07202832"/>
    <w:rsid w:val="07BF2249"/>
    <w:rsid w:val="08793249"/>
    <w:rsid w:val="0884D7C0"/>
    <w:rsid w:val="08CB1E22"/>
    <w:rsid w:val="090F4E64"/>
    <w:rsid w:val="0947A6D7"/>
    <w:rsid w:val="098ED005"/>
    <w:rsid w:val="09BE7F6E"/>
    <w:rsid w:val="0A115333"/>
    <w:rsid w:val="0A32A837"/>
    <w:rsid w:val="0A4F69BB"/>
    <w:rsid w:val="0A862B0F"/>
    <w:rsid w:val="0B2CD124"/>
    <w:rsid w:val="0C0B036E"/>
    <w:rsid w:val="0C5FA840"/>
    <w:rsid w:val="0CC098FE"/>
    <w:rsid w:val="0CF36FC1"/>
    <w:rsid w:val="0D212E97"/>
    <w:rsid w:val="0D4FE3BC"/>
    <w:rsid w:val="0DD1CF7F"/>
    <w:rsid w:val="0E4F145F"/>
    <w:rsid w:val="0E62B75D"/>
    <w:rsid w:val="0E9AA38C"/>
    <w:rsid w:val="0FF15987"/>
    <w:rsid w:val="1011EDFE"/>
    <w:rsid w:val="1037042B"/>
    <w:rsid w:val="10A2F32C"/>
    <w:rsid w:val="10EF5C6F"/>
    <w:rsid w:val="116E05FF"/>
    <w:rsid w:val="127A44F2"/>
    <w:rsid w:val="12929EE9"/>
    <w:rsid w:val="133A5B18"/>
    <w:rsid w:val="133DEDAE"/>
    <w:rsid w:val="13D02B48"/>
    <w:rsid w:val="140475D5"/>
    <w:rsid w:val="14641D76"/>
    <w:rsid w:val="14CFF132"/>
    <w:rsid w:val="1533171F"/>
    <w:rsid w:val="153C03E3"/>
    <w:rsid w:val="16F3566A"/>
    <w:rsid w:val="1763B26D"/>
    <w:rsid w:val="17E20694"/>
    <w:rsid w:val="17F40ED7"/>
    <w:rsid w:val="1861DC85"/>
    <w:rsid w:val="1A7F2572"/>
    <w:rsid w:val="1AADD915"/>
    <w:rsid w:val="1AB6D4A2"/>
    <w:rsid w:val="1ACB7A28"/>
    <w:rsid w:val="1ADE18B1"/>
    <w:rsid w:val="1AE4CC2B"/>
    <w:rsid w:val="1B033974"/>
    <w:rsid w:val="1B03E83E"/>
    <w:rsid w:val="1B370CF1"/>
    <w:rsid w:val="1B7123B8"/>
    <w:rsid w:val="1B7ACFDA"/>
    <w:rsid w:val="1BF2E057"/>
    <w:rsid w:val="1C558AE8"/>
    <w:rsid w:val="1C5B578C"/>
    <w:rsid w:val="1DE585D7"/>
    <w:rsid w:val="1E502E3A"/>
    <w:rsid w:val="1EAA0371"/>
    <w:rsid w:val="1EC247A1"/>
    <w:rsid w:val="1ECA311C"/>
    <w:rsid w:val="1EDC9663"/>
    <w:rsid w:val="20617D12"/>
    <w:rsid w:val="210312F9"/>
    <w:rsid w:val="218B3B97"/>
    <w:rsid w:val="21DD8546"/>
    <w:rsid w:val="2290220D"/>
    <w:rsid w:val="236B0352"/>
    <w:rsid w:val="24AC3FAD"/>
    <w:rsid w:val="24E70A61"/>
    <w:rsid w:val="2504E47C"/>
    <w:rsid w:val="2514F05F"/>
    <w:rsid w:val="25761945"/>
    <w:rsid w:val="2588B865"/>
    <w:rsid w:val="2670A38F"/>
    <w:rsid w:val="2784E42F"/>
    <w:rsid w:val="27C5192D"/>
    <w:rsid w:val="27D3146D"/>
    <w:rsid w:val="27E7F130"/>
    <w:rsid w:val="28A8E692"/>
    <w:rsid w:val="28BC4842"/>
    <w:rsid w:val="299E2ABC"/>
    <w:rsid w:val="2A2BB2D2"/>
    <w:rsid w:val="2A39D0DD"/>
    <w:rsid w:val="2AA33FB3"/>
    <w:rsid w:val="2AE29C07"/>
    <w:rsid w:val="2B42B739"/>
    <w:rsid w:val="2B44CC8E"/>
    <w:rsid w:val="2BA3D3B3"/>
    <w:rsid w:val="2BE08565"/>
    <w:rsid w:val="2C8D22B9"/>
    <w:rsid w:val="2C9D618A"/>
    <w:rsid w:val="2CA08B3F"/>
    <w:rsid w:val="2D18407A"/>
    <w:rsid w:val="2D60F962"/>
    <w:rsid w:val="2E08045B"/>
    <w:rsid w:val="2E3631E2"/>
    <w:rsid w:val="2EDA448C"/>
    <w:rsid w:val="2EF9FDDE"/>
    <w:rsid w:val="2F3D5AAD"/>
    <w:rsid w:val="2FA9E54C"/>
    <w:rsid w:val="2FAA2FC0"/>
    <w:rsid w:val="2FED0044"/>
    <w:rsid w:val="302A717C"/>
    <w:rsid w:val="3063D548"/>
    <w:rsid w:val="3069051D"/>
    <w:rsid w:val="30A06741"/>
    <w:rsid w:val="30E818FF"/>
    <w:rsid w:val="31C05D32"/>
    <w:rsid w:val="31F8B169"/>
    <w:rsid w:val="320FF8AA"/>
    <w:rsid w:val="3293A1BA"/>
    <w:rsid w:val="32B963F6"/>
    <w:rsid w:val="33C8CCD3"/>
    <w:rsid w:val="34E95012"/>
    <w:rsid w:val="35229D7E"/>
    <w:rsid w:val="356860D8"/>
    <w:rsid w:val="3577909B"/>
    <w:rsid w:val="35BCE68A"/>
    <w:rsid w:val="36EF08B1"/>
    <w:rsid w:val="37056810"/>
    <w:rsid w:val="37568BDC"/>
    <w:rsid w:val="37D06ED2"/>
    <w:rsid w:val="38144941"/>
    <w:rsid w:val="381DABCE"/>
    <w:rsid w:val="38955022"/>
    <w:rsid w:val="38FE61CE"/>
    <w:rsid w:val="39B6494D"/>
    <w:rsid w:val="3B1414CB"/>
    <w:rsid w:val="3B89B0DD"/>
    <w:rsid w:val="3B942687"/>
    <w:rsid w:val="3BD2E813"/>
    <w:rsid w:val="3C0A20F7"/>
    <w:rsid w:val="3C9D6EAA"/>
    <w:rsid w:val="3D29BF2E"/>
    <w:rsid w:val="3E5A6176"/>
    <w:rsid w:val="3E5D1F37"/>
    <w:rsid w:val="3ECBC749"/>
    <w:rsid w:val="3F4FFD48"/>
    <w:rsid w:val="3F9B2C47"/>
    <w:rsid w:val="4007F2C9"/>
    <w:rsid w:val="40AA2340"/>
    <w:rsid w:val="41568571"/>
    <w:rsid w:val="418BE3F4"/>
    <w:rsid w:val="41B58EE0"/>
    <w:rsid w:val="41B86BD8"/>
    <w:rsid w:val="41CA765C"/>
    <w:rsid w:val="428EED70"/>
    <w:rsid w:val="42AAEE21"/>
    <w:rsid w:val="42B9915D"/>
    <w:rsid w:val="4310AA7F"/>
    <w:rsid w:val="4330A892"/>
    <w:rsid w:val="43B1251A"/>
    <w:rsid w:val="44F66F30"/>
    <w:rsid w:val="45232D93"/>
    <w:rsid w:val="4614740A"/>
    <w:rsid w:val="47083C03"/>
    <w:rsid w:val="4772AC32"/>
    <w:rsid w:val="479B9E95"/>
    <w:rsid w:val="489D33E3"/>
    <w:rsid w:val="48C4E792"/>
    <w:rsid w:val="497DBE2B"/>
    <w:rsid w:val="49ABF98B"/>
    <w:rsid w:val="49E48104"/>
    <w:rsid w:val="49E86D3F"/>
    <w:rsid w:val="4A06BF3B"/>
    <w:rsid w:val="4A3E0728"/>
    <w:rsid w:val="4A9CC77F"/>
    <w:rsid w:val="4ABF00C9"/>
    <w:rsid w:val="4B11A05A"/>
    <w:rsid w:val="4B871B77"/>
    <w:rsid w:val="4BD78AA9"/>
    <w:rsid w:val="4C4580CE"/>
    <w:rsid w:val="4CADD28D"/>
    <w:rsid w:val="4CBE2912"/>
    <w:rsid w:val="4CD0B2F5"/>
    <w:rsid w:val="4DA3B4D2"/>
    <w:rsid w:val="4E49A2EE"/>
    <w:rsid w:val="4E9B4BDA"/>
    <w:rsid w:val="4F372D76"/>
    <w:rsid w:val="4FB4664D"/>
    <w:rsid w:val="50BAD09C"/>
    <w:rsid w:val="50D5B849"/>
    <w:rsid w:val="511AFF01"/>
    <w:rsid w:val="5132D3E3"/>
    <w:rsid w:val="51D53005"/>
    <w:rsid w:val="5238F5E1"/>
    <w:rsid w:val="5341D149"/>
    <w:rsid w:val="53624E62"/>
    <w:rsid w:val="53F34681"/>
    <w:rsid w:val="540CA75B"/>
    <w:rsid w:val="5430C560"/>
    <w:rsid w:val="5476A117"/>
    <w:rsid w:val="54D64D09"/>
    <w:rsid w:val="54EF6FB1"/>
    <w:rsid w:val="5531D2D5"/>
    <w:rsid w:val="5556E736"/>
    <w:rsid w:val="555CBD31"/>
    <w:rsid w:val="55BED960"/>
    <w:rsid w:val="55FF977A"/>
    <w:rsid w:val="5606DDB9"/>
    <w:rsid w:val="565634F9"/>
    <w:rsid w:val="568879CA"/>
    <w:rsid w:val="56A21DA5"/>
    <w:rsid w:val="56E75A38"/>
    <w:rsid w:val="57290E4E"/>
    <w:rsid w:val="573327ED"/>
    <w:rsid w:val="577ADB0A"/>
    <w:rsid w:val="578A0D26"/>
    <w:rsid w:val="57A35285"/>
    <w:rsid w:val="58234C21"/>
    <w:rsid w:val="58B7AEE1"/>
    <w:rsid w:val="5927E68A"/>
    <w:rsid w:val="5A162F01"/>
    <w:rsid w:val="5B703D3E"/>
    <w:rsid w:val="5B805BDD"/>
    <w:rsid w:val="5BC09212"/>
    <w:rsid w:val="5CD11864"/>
    <w:rsid w:val="5CDD777E"/>
    <w:rsid w:val="5DF72F9A"/>
    <w:rsid w:val="5E03B0BC"/>
    <w:rsid w:val="5E17B137"/>
    <w:rsid w:val="5E1F80B3"/>
    <w:rsid w:val="5E494D71"/>
    <w:rsid w:val="5EB5D317"/>
    <w:rsid w:val="5F299C5D"/>
    <w:rsid w:val="5F29C7C4"/>
    <w:rsid w:val="5F366926"/>
    <w:rsid w:val="5F4791B1"/>
    <w:rsid w:val="5F58049F"/>
    <w:rsid w:val="5F61B6B1"/>
    <w:rsid w:val="5F63C41D"/>
    <w:rsid w:val="5F65DF76"/>
    <w:rsid w:val="5F7A83FB"/>
    <w:rsid w:val="5FCA120C"/>
    <w:rsid w:val="6039B5DD"/>
    <w:rsid w:val="606A6C46"/>
    <w:rsid w:val="60959A72"/>
    <w:rsid w:val="613DAB03"/>
    <w:rsid w:val="61555177"/>
    <w:rsid w:val="628FC561"/>
    <w:rsid w:val="62A2134F"/>
    <w:rsid w:val="62D777AD"/>
    <w:rsid w:val="62EC3BDA"/>
    <w:rsid w:val="631D393E"/>
    <w:rsid w:val="636DD453"/>
    <w:rsid w:val="646D4FB6"/>
    <w:rsid w:val="64DF4563"/>
    <w:rsid w:val="64FC78CF"/>
    <w:rsid w:val="654E4490"/>
    <w:rsid w:val="654FE425"/>
    <w:rsid w:val="6551CF97"/>
    <w:rsid w:val="65CF7506"/>
    <w:rsid w:val="65D7EEA6"/>
    <w:rsid w:val="66069C63"/>
    <w:rsid w:val="66B56FD0"/>
    <w:rsid w:val="66F478AB"/>
    <w:rsid w:val="6716210E"/>
    <w:rsid w:val="67870B89"/>
    <w:rsid w:val="67B7FD27"/>
    <w:rsid w:val="68FDD6A7"/>
    <w:rsid w:val="6900BBB3"/>
    <w:rsid w:val="6A604C17"/>
    <w:rsid w:val="6B33CD7F"/>
    <w:rsid w:val="6B400BCB"/>
    <w:rsid w:val="6B5C8EC3"/>
    <w:rsid w:val="6BBCFE09"/>
    <w:rsid w:val="6BE27FC5"/>
    <w:rsid w:val="6C32F561"/>
    <w:rsid w:val="6C9084CC"/>
    <w:rsid w:val="6CBB0112"/>
    <w:rsid w:val="6CFA5B6E"/>
    <w:rsid w:val="6D50CC08"/>
    <w:rsid w:val="6DC6FA20"/>
    <w:rsid w:val="6E316EB1"/>
    <w:rsid w:val="6EA38D0D"/>
    <w:rsid w:val="6F3D9C65"/>
    <w:rsid w:val="6FA202C4"/>
    <w:rsid w:val="6FB04904"/>
    <w:rsid w:val="70D79701"/>
    <w:rsid w:val="70E11764"/>
    <w:rsid w:val="717B9EFB"/>
    <w:rsid w:val="7285F945"/>
    <w:rsid w:val="72A74BB2"/>
    <w:rsid w:val="72AA8160"/>
    <w:rsid w:val="72CEFC57"/>
    <w:rsid w:val="737BCC90"/>
    <w:rsid w:val="73ADDF1C"/>
    <w:rsid w:val="73D7AD49"/>
    <w:rsid w:val="749E201D"/>
    <w:rsid w:val="75CA2079"/>
    <w:rsid w:val="75DAA1B8"/>
    <w:rsid w:val="762CB365"/>
    <w:rsid w:val="76BB2540"/>
    <w:rsid w:val="76FF7E27"/>
    <w:rsid w:val="77587636"/>
    <w:rsid w:val="775DEB77"/>
    <w:rsid w:val="776C61AD"/>
    <w:rsid w:val="778DC15B"/>
    <w:rsid w:val="7837DECB"/>
    <w:rsid w:val="78958809"/>
    <w:rsid w:val="78C03272"/>
    <w:rsid w:val="78FF72F1"/>
    <w:rsid w:val="793E0828"/>
    <w:rsid w:val="79C72A41"/>
    <w:rsid w:val="7A5B23DF"/>
    <w:rsid w:val="7A86A28F"/>
    <w:rsid w:val="7AB5B245"/>
    <w:rsid w:val="7AC39650"/>
    <w:rsid w:val="7B62FAA2"/>
    <w:rsid w:val="7BDF6EA5"/>
    <w:rsid w:val="7DA9D861"/>
    <w:rsid w:val="7DCC8B78"/>
    <w:rsid w:val="7EA6D20A"/>
    <w:rsid w:val="7F039BE9"/>
    <w:rsid w:val="7FCF8B5E"/>
    <w:rsid w:val="7FF66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7CD7C"/>
  <w15:chartTrackingRefBased/>
  <w15:docId w15:val="{9CADDC8B-F8A9-4574-9242-2BF08B13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8E1"/>
  </w:style>
  <w:style w:type="paragraph" w:styleId="Heading1">
    <w:name w:val="heading 1"/>
    <w:basedOn w:val="Normal"/>
    <w:next w:val="Normal"/>
    <w:link w:val="Heading1Char"/>
    <w:uiPriority w:val="9"/>
    <w:qFormat/>
    <w:rsid w:val="00945AC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F76"/>
    <w:pPr>
      <w:tabs>
        <w:tab w:val="center" w:pos="4252"/>
        <w:tab w:val="right" w:pos="8504"/>
      </w:tabs>
    </w:pPr>
  </w:style>
  <w:style w:type="character" w:customStyle="1" w:styleId="HeaderChar">
    <w:name w:val="Header Char"/>
    <w:basedOn w:val="DefaultParagraphFont"/>
    <w:link w:val="Header"/>
    <w:uiPriority w:val="99"/>
    <w:rsid w:val="001F5F76"/>
  </w:style>
  <w:style w:type="paragraph" w:styleId="Footer">
    <w:name w:val="footer"/>
    <w:basedOn w:val="Normal"/>
    <w:link w:val="FooterChar"/>
    <w:uiPriority w:val="99"/>
    <w:unhideWhenUsed/>
    <w:rsid w:val="001F5F76"/>
    <w:pPr>
      <w:tabs>
        <w:tab w:val="center" w:pos="4252"/>
        <w:tab w:val="right" w:pos="8504"/>
      </w:tabs>
    </w:pPr>
  </w:style>
  <w:style w:type="character" w:customStyle="1" w:styleId="FooterChar">
    <w:name w:val="Footer Char"/>
    <w:basedOn w:val="DefaultParagraphFont"/>
    <w:link w:val="Footer"/>
    <w:uiPriority w:val="99"/>
    <w:rsid w:val="001F5F76"/>
  </w:style>
  <w:style w:type="character" w:styleId="PageNumber">
    <w:name w:val="page number"/>
    <w:basedOn w:val="DefaultParagraphFont"/>
    <w:uiPriority w:val="99"/>
    <w:semiHidden/>
    <w:unhideWhenUsed/>
    <w:rsid w:val="001F5F76"/>
  </w:style>
  <w:style w:type="paragraph" w:customStyle="1" w:styleId="RHeadingLevelOne">
    <w:name w:val="R Heading Level One"/>
    <w:basedOn w:val="Normal"/>
    <w:next w:val="Normal"/>
    <w:qFormat/>
    <w:rsid w:val="001F5F76"/>
    <w:pPr>
      <w:spacing w:after="120"/>
      <w:ind w:left="540"/>
      <w:outlineLvl w:val="0"/>
    </w:pPr>
    <w:rPr>
      <w:rFonts w:eastAsia="Times New Roman" w:cs="Times New Roman"/>
      <w:b/>
      <w:bCs/>
      <w:caps/>
      <w:kern w:val="0"/>
      <w:sz w:val="22"/>
      <w:szCs w:val="20"/>
      <w:lang w:val="en-GB"/>
      <w14:ligatures w14:val="none"/>
    </w:rPr>
  </w:style>
  <w:style w:type="paragraph" w:customStyle="1" w:styleId="RHeadingLevelTwo">
    <w:name w:val="R Heading Level Two"/>
    <w:next w:val="Normal"/>
    <w:qFormat/>
    <w:rsid w:val="001F5F76"/>
    <w:pPr>
      <w:spacing w:after="120"/>
      <w:ind w:left="540"/>
      <w:outlineLvl w:val="1"/>
    </w:pPr>
    <w:rPr>
      <w:rFonts w:eastAsia="Times New Roman" w:cs="Times New Roman"/>
      <w:b/>
      <w:bCs/>
      <w:kern w:val="0"/>
      <w:sz w:val="22"/>
      <w:szCs w:val="20"/>
      <w:lang w:val="en-US"/>
      <w14:ligatures w14:val="none"/>
    </w:rPr>
  </w:style>
  <w:style w:type="paragraph" w:customStyle="1" w:styleId="RBasicText">
    <w:name w:val="R Basic Text"/>
    <w:basedOn w:val="Normal"/>
    <w:link w:val="RBasicTextChar"/>
    <w:qFormat/>
    <w:rsid w:val="001F5F76"/>
    <w:pPr>
      <w:numPr>
        <w:numId w:val="15"/>
      </w:numPr>
      <w:spacing w:after="120"/>
    </w:pPr>
    <w:rPr>
      <w:rFonts w:eastAsia="Times New Roman" w:cs="Times New Roman"/>
      <w:kern w:val="0"/>
      <w:sz w:val="22"/>
      <w:szCs w:val="22"/>
      <w:lang w:val="en-GB"/>
      <w14:ligatures w14:val="none"/>
    </w:rPr>
  </w:style>
  <w:style w:type="character" w:styleId="FootnoteReference">
    <w:name w:val="footnote reference"/>
    <w:aliases w:val="Footnotes refss,Style 10,4_G"/>
    <w:semiHidden/>
    <w:rsid w:val="001F5F76"/>
    <w:rPr>
      <w:vertAlign w:val="superscript"/>
    </w:rPr>
  </w:style>
  <w:style w:type="character" w:customStyle="1" w:styleId="RBasicTextChar">
    <w:name w:val="R Basic Text Char"/>
    <w:link w:val="RBasicText"/>
    <w:rsid w:val="001F5F76"/>
    <w:rPr>
      <w:rFonts w:eastAsia="Times New Roman" w:cs="Times New Roman"/>
      <w:kern w:val="0"/>
      <w:sz w:val="22"/>
      <w:szCs w:val="22"/>
      <w:lang w:val="en-GB"/>
      <w14:ligatures w14:val="none"/>
    </w:rPr>
  </w:style>
  <w:style w:type="paragraph" w:styleId="FootnoteText">
    <w:name w:val="footnote text"/>
    <w:basedOn w:val="Normal"/>
    <w:link w:val="FootnoteTextChar"/>
    <w:semiHidden/>
    <w:rsid w:val="001F5F76"/>
    <w:pPr>
      <w:ind w:left="113" w:hanging="113"/>
    </w:pPr>
    <w:rPr>
      <w:rFonts w:ascii="Calibri" w:eastAsia="Times New Roman" w:hAnsi="Calibri" w:cs="Times New Roman"/>
      <w:kern w:val="0"/>
      <w:sz w:val="20"/>
      <w:szCs w:val="20"/>
      <w:lang w:val="en-GB"/>
      <w14:ligatures w14:val="none"/>
    </w:rPr>
  </w:style>
  <w:style w:type="character" w:customStyle="1" w:styleId="FootnoteTextChar">
    <w:name w:val="Footnote Text Char"/>
    <w:basedOn w:val="DefaultParagraphFont"/>
    <w:link w:val="FootnoteText"/>
    <w:semiHidden/>
    <w:rsid w:val="001F5F76"/>
    <w:rPr>
      <w:rFonts w:ascii="Calibri" w:eastAsia="Times New Roman" w:hAnsi="Calibri" w:cs="Times New Roman"/>
      <w:kern w:val="0"/>
      <w:sz w:val="20"/>
      <w:szCs w:val="20"/>
      <w:lang w:val="en-GB"/>
      <w14:ligatures w14:val="none"/>
    </w:rPr>
  </w:style>
  <w:style w:type="character" w:styleId="Hyperlink">
    <w:name w:val="Hyperlink"/>
    <w:uiPriority w:val="99"/>
    <w:rsid w:val="001F5F76"/>
    <w:rPr>
      <w:color w:val="0000FF"/>
      <w:u w:val="single"/>
    </w:rPr>
  </w:style>
  <w:style w:type="paragraph" w:styleId="ListParagraph">
    <w:name w:val="List Paragraph"/>
    <w:basedOn w:val="Normal"/>
    <w:uiPriority w:val="34"/>
    <w:qFormat/>
    <w:rsid w:val="001F5F76"/>
    <w:pPr>
      <w:spacing w:after="200" w:line="276" w:lineRule="auto"/>
      <w:ind w:left="720"/>
      <w:contextualSpacing/>
    </w:pPr>
    <w:rPr>
      <w:rFonts w:eastAsiaTheme="minorEastAsia"/>
      <w:kern w:val="0"/>
      <w:sz w:val="22"/>
      <w:szCs w:val="22"/>
      <w:lang w:val="en-GB" w:eastAsia="en-GB"/>
      <w14:ligatures w14:val="no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945A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5AC3"/>
    <w:pPr>
      <w:spacing w:line="259" w:lineRule="auto"/>
      <w:outlineLvl w:val="9"/>
    </w:pPr>
    <w:rPr>
      <w:kern w:val="0"/>
      <w:lang w:val="en-GB" w:eastAsia="en-GB"/>
      <w14:ligatures w14:val="none"/>
    </w:rPr>
  </w:style>
  <w:style w:type="paragraph" w:styleId="TOC1">
    <w:name w:val="toc 1"/>
    <w:basedOn w:val="Normal"/>
    <w:next w:val="Normal"/>
    <w:autoRedefine/>
    <w:uiPriority w:val="39"/>
    <w:unhideWhenUsed/>
    <w:rsid w:val="00945AC3"/>
    <w:pPr>
      <w:spacing w:after="100"/>
    </w:pPr>
  </w:style>
  <w:style w:type="paragraph" w:styleId="TOC2">
    <w:name w:val="toc 2"/>
    <w:basedOn w:val="Normal"/>
    <w:next w:val="Normal"/>
    <w:autoRedefine/>
    <w:uiPriority w:val="39"/>
    <w:unhideWhenUsed/>
    <w:rsid w:val="00945AC3"/>
    <w:pPr>
      <w:spacing w:after="100"/>
      <w:ind w:left="240"/>
    </w:pPr>
  </w:style>
  <w:style w:type="character" w:styleId="FollowedHyperlink">
    <w:name w:val="FollowedHyperlink"/>
    <w:basedOn w:val="DefaultParagraphFont"/>
    <w:uiPriority w:val="99"/>
    <w:semiHidden/>
    <w:unhideWhenUsed/>
    <w:rsid w:val="0019030A"/>
    <w:rPr>
      <w:color w:val="954F72" w:themeColor="followedHyperlink"/>
      <w:u w:val="single"/>
    </w:rPr>
  </w:style>
  <w:style w:type="character" w:styleId="UnresolvedMention">
    <w:name w:val="Unresolved Mention"/>
    <w:basedOn w:val="DefaultParagraphFont"/>
    <w:uiPriority w:val="99"/>
    <w:semiHidden/>
    <w:unhideWhenUsed/>
    <w:rsid w:val="003B22E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B4CE6"/>
    <w:rPr>
      <w:b/>
      <w:bCs/>
    </w:rPr>
  </w:style>
  <w:style w:type="character" w:customStyle="1" w:styleId="CommentSubjectChar">
    <w:name w:val="Comment Subject Char"/>
    <w:basedOn w:val="CommentTextChar"/>
    <w:link w:val="CommentSubject"/>
    <w:uiPriority w:val="99"/>
    <w:semiHidden/>
    <w:rsid w:val="004B4CE6"/>
    <w:rPr>
      <w:b/>
      <w:bCs/>
      <w:sz w:val="20"/>
      <w:szCs w:val="20"/>
    </w:rPr>
  </w:style>
  <w:style w:type="paragraph" w:styleId="Revision">
    <w:name w:val="Revision"/>
    <w:hidden/>
    <w:uiPriority w:val="99"/>
    <w:semiHidden/>
    <w:rsid w:val="00855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218336">
      <w:bodyDiv w:val="1"/>
      <w:marLeft w:val="0"/>
      <w:marRight w:val="0"/>
      <w:marTop w:val="0"/>
      <w:marBottom w:val="0"/>
      <w:divBdr>
        <w:top w:val="none" w:sz="0" w:space="0" w:color="auto"/>
        <w:left w:val="none" w:sz="0" w:space="0" w:color="auto"/>
        <w:bottom w:val="none" w:sz="0" w:space="0" w:color="auto"/>
        <w:right w:val="none" w:sz="0" w:space="0" w:color="auto"/>
      </w:divBdr>
    </w:div>
    <w:div w:id="1549873783">
      <w:bodyDiv w:val="1"/>
      <w:marLeft w:val="0"/>
      <w:marRight w:val="0"/>
      <w:marTop w:val="0"/>
      <w:marBottom w:val="0"/>
      <w:divBdr>
        <w:top w:val="none" w:sz="0" w:space="0" w:color="auto"/>
        <w:left w:val="none" w:sz="0" w:space="0" w:color="auto"/>
        <w:bottom w:val="none" w:sz="0" w:space="0" w:color="auto"/>
        <w:right w:val="none" w:sz="0" w:space="0" w:color="auto"/>
      </w:divBdr>
    </w:div>
    <w:div w:id="169233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sc.independent.gov.uk/wp-content/uploads/2021/01/20180628-HC1113-Report-Detainee-Mistreatment-and-Rendition-2001-10.pdf" TargetMode="External"/><Relationship Id="rId3" Type="http://schemas.openxmlformats.org/officeDocument/2006/relationships/hyperlink" Target="https://www.europarl.europa.eu/meetdocs/2009_2014/documents/droi/dv/306_martydetentionsfirst_/306_martydetentionsfirst_en.pdf" TargetMode="External"/><Relationship Id="rId7" Type="http://schemas.openxmlformats.org/officeDocument/2006/relationships/hyperlink" Target="https://redress.org/wp-content/uploads/2023/01/2023_01_18_PUB-JSJohal-MP-briefing-January-2023-Backbench-Business-Debate.pdf" TargetMode="External"/><Relationship Id="rId12" Type="http://schemas.openxmlformats.org/officeDocument/2006/relationships/hyperlink" Target="https://www.gov.uk/government/publications/uk-rwanda-treaty-provision-of-an-asylum-partnership" TargetMode="External"/><Relationship Id="rId2" Type="http://schemas.openxmlformats.org/officeDocument/2006/relationships/hyperlink" Target="https://redress.org/casework/generalhegazycase/" TargetMode="External"/><Relationship Id="rId1" Type="http://schemas.openxmlformats.org/officeDocument/2006/relationships/hyperlink" Target="https://redress.org/publication/global-britain-global-justice-strengthening-accountability-for-international-crimes-in-england-and-wales/" TargetMode="External"/><Relationship Id="rId6" Type="http://schemas.openxmlformats.org/officeDocument/2006/relationships/hyperlink" Target="https://investigatorypowerstribunal.org.uk/judgement/abd-al-rahim-al-nashiri-v-1-security-service-2-secret-intelligence-service-3-government-communications-headquarters-4-ministry-of-defence-2/" TargetMode="External"/><Relationship Id="rId11" Type="http://schemas.openxmlformats.org/officeDocument/2006/relationships/hyperlink" Target="https://redress.org/wp-content/uploads/2023/12/2023-12-12-Rwanda-Bill-REDRESS-briefing.pdf" TargetMode="External"/><Relationship Id="rId5" Type="http://schemas.openxmlformats.org/officeDocument/2006/relationships/hyperlink" Target="https://investigatorypowerstribunal.org.uk/judgement/mustafa-adam-ahmed-al-hawsawi-v-1-security-service-2-secret-intelligence-service-3-government-communications-headquarters-4-ministry-of-defence/" TargetMode="External"/><Relationship Id="rId10" Type="http://schemas.openxmlformats.org/officeDocument/2006/relationships/hyperlink" Target="https://bills.parliament.uk/bills/3540" TargetMode="External"/><Relationship Id="rId4" Type="http://schemas.openxmlformats.org/officeDocument/2006/relationships/hyperlink" Target="https://www.echr.coe.int/documents/d/echr/FS_Secret_detention_ENG" TargetMode="External"/><Relationship Id="rId9" Type="http://schemas.openxmlformats.org/officeDocument/2006/relationships/hyperlink" Target="https://www.legislation.gov.uk/ukpga/2023/37/contents/ena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C876F67DF94449AB901E20D0B16068" ma:contentTypeVersion="18" ma:contentTypeDescription="Create a new document." ma:contentTypeScope="" ma:versionID="8b70df349a74c4765667de6dcf3e2004">
  <xsd:schema xmlns:xsd="http://www.w3.org/2001/XMLSchema" xmlns:xs="http://www.w3.org/2001/XMLSchema" xmlns:p="http://schemas.microsoft.com/office/2006/metadata/properties" xmlns:ns2="3ca8ec79-61db-4d0a-8def-ed02265cbf64" xmlns:ns3="fb4bf39c-ebd2-47e5-8cf7-3addc12ccbf5" targetNamespace="http://schemas.microsoft.com/office/2006/metadata/properties" ma:root="true" ma:fieldsID="7aef2dd0a0748490a0fc5cc79839b040" ns2:_="" ns3:_="">
    <xsd:import namespace="3ca8ec79-61db-4d0a-8def-ed02265cbf64"/>
    <xsd:import namespace="fb4bf39c-ebd2-47e5-8cf7-3addc12ccb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8ec79-61db-4d0a-8def-ed02265cb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ce7d263-4b44-46c4-a2a8-8b982b8603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4bf39c-ebd2-47e5-8cf7-3addc12ccbf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46c41f-e3c2-448c-b9fb-d2f403b34b03}" ma:internalName="TaxCatchAll" ma:showField="CatchAllData" ma:web="fb4bf39c-ebd2-47e5-8cf7-3addc12ccb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a8ec79-61db-4d0a-8def-ed02265cbf64">
      <Terms xmlns="http://schemas.microsoft.com/office/infopath/2007/PartnerControls"/>
    </lcf76f155ced4ddcb4097134ff3c332f>
    <TaxCatchAll xmlns="fb4bf39c-ebd2-47e5-8cf7-3addc12ccbf5" xsi:nil="true"/>
    <SharedWithUsers xmlns="fb4bf39c-ebd2-47e5-8cf7-3addc12ccbf5">
      <UserInfo>
        <DisplayName>Chris Esdaile</DisplayName>
        <AccountId>83</AccountId>
        <AccountType/>
      </UserInfo>
      <UserInfo>
        <DisplayName>Alejandra Vicente</DisplayName>
        <AccountId>103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28176-5315-4982-9CFD-BFE973FEA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8ec79-61db-4d0a-8def-ed02265cbf64"/>
    <ds:schemaRef ds:uri="fb4bf39c-ebd2-47e5-8cf7-3addc12ccb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4E942-6FE5-4323-856B-9743A0FE5829}">
  <ds:schemaRefs>
    <ds:schemaRef ds:uri="http://schemas.microsoft.com/sharepoint/v3/contenttype/forms"/>
  </ds:schemaRefs>
</ds:datastoreItem>
</file>

<file path=customXml/itemProps3.xml><?xml version="1.0" encoding="utf-8"?>
<ds:datastoreItem xmlns:ds="http://schemas.openxmlformats.org/officeDocument/2006/customXml" ds:itemID="{2E699E8F-3CDE-45EC-BB7D-15DC9BB2CBFF}">
  <ds:schemaRefs>
    <ds:schemaRef ds:uri="http://purl.org/dc/elements/1.1/"/>
    <ds:schemaRef ds:uri="http://purl.org/dc/terms/"/>
    <ds:schemaRef ds:uri="http://schemas.microsoft.com/office/2006/documentManagement/types"/>
    <ds:schemaRef ds:uri="http://purl.org/dc/dcmitype/"/>
    <ds:schemaRef ds:uri="3ca8ec79-61db-4d0a-8def-ed02265cbf64"/>
    <ds:schemaRef ds:uri="http://www.w3.org/XML/1998/namespace"/>
    <ds:schemaRef ds:uri="http://schemas.microsoft.com/office/infopath/2007/PartnerControls"/>
    <ds:schemaRef ds:uri="http://schemas.openxmlformats.org/package/2006/metadata/core-properties"/>
    <ds:schemaRef ds:uri="fb4bf39c-ebd2-47e5-8cf7-3addc12ccbf5"/>
    <ds:schemaRef ds:uri="http://schemas.microsoft.com/office/2006/metadata/properties"/>
  </ds:schemaRefs>
</ds:datastoreItem>
</file>

<file path=customXml/itemProps4.xml><?xml version="1.0" encoding="utf-8"?>
<ds:datastoreItem xmlns:ds="http://schemas.openxmlformats.org/officeDocument/2006/customXml" ds:itemID="{48C9D4C1-206D-4BB7-A5CB-C00B15A54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2702</Words>
  <Characters>15404</Characters>
  <Application>Microsoft Office Word</Application>
  <DocSecurity>0</DocSecurity>
  <Lines>128</Lines>
  <Paragraphs>36</Paragraphs>
  <ScaleCrop>false</ScaleCrop>
  <Company/>
  <LinksUpToDate>false</LinksUpToDate>
  <CharactersWithSpaces>18070</CharactersWithSpaces>
  <SharedDoc>false</SharedDoc>
  <HLinks>
    <vt:vector size="132" baseType="variant">
      <vt:variant>
        <vt:i4>6225935</vt:i4>
      </vt:variant>
      <vt:variant>
        <vt:i4>48</vt:i4>
      </vt:variant>
      <vt:variant>
        <vt:i4>0</vt:i4>
      </vt:variant>
      <vt:variant>
        <vt:i4>5</vt:i4>
      </vt:variant>
      <vt:variant>
        <vt:lpwstr>https://documents-dds-ny.un.org/doc/UNDOC/GEN/G15/182/29/PDF/G1518229.pdf?OpenElement</vt:lpwstr>
      </vt:variant>
      <vt:variant>
        <vt:lpwstr/>
      </vt:variant>
      <vt:variant>
        <vt:i4>1835011</vt:i4>
      </vt:variant>
      <vt:variant>
        <vt:i4>45</vt:i4>
      </vt:variant>
      <vt:variant>
        <vt:i4>0</vt:i4>
      </vt:variant>
      <vt:variant>
        <vt:i4>5</vt:i4>
      </vt:variant>
      <vt:variant>
        <vt:lpwstr>https://www.gov.uk/government/publications/uk-response-to-the-uns-human-rights-committees-list-of-issues</vt:lpwstr>
      </vt:variant>
      <vt:variant>
        <vt:lpwstr/>
      </vt:variant>
      <vt:variant>
        <vt:i4>1900663</vt:i4>
      </vt:variant>
      <vt:variant>
        <vt:i4>42</vt:i4>
      </vt:variant>
      <vt:variant>
        <vt:i4>0</vt:i4>
      </vt:variant>
      <vt:variant>
        <vt:i4>5</vt:i4>
      </vt:variant>
      <vt:variant>
        <vt:lpwstr>https://tbinternet.ohchr.org/_layouts/15/treatybodyexternal/Download.aspx?symbolno=CCPR%2fC%2fGBR%2fQPR%2f8&amp;Lang=en</vt:lpwstr>
      </vt:variant>
      <vt:variant>
        <vt:lpwstr/>
      </vt:variant>
      <vt:variant>
        <vt:i4>6160410</vt:i4>
      </vt:variant>
      <vt:variant>
        <vt:i4>39</vt:i4>
      </vt:variant>
      <vt:variant>
        <vt:i4>0</vt:i4>
      </vt:variant>
      <vt:variant>
        <vt:i4>5</vt:i4>
      </vt:variant>
      <vt:variant>
        <vt:lpwstr>https://redress.org/wp-content/uploads/2023/01/REDRESS-Survivors-of-Torture-Manifesto.pdf</vt:lpwstr>
      </vt:variant>
      <vt:variant>
        <vt:lpwstr/>
      </vt:variant>
      <vt:variant>
        <vt:i4>7340127</vt:i4>
      </vt:variant>
      <vt:variant>
        <vt:i4>36</vt:i4>
      </vt:variant>
      <vt:variant>
        <vt:i4>0</vt:i4>
      </vt:variant>
      <vt:variant>
        <vt:i4>5</vt:i4>
      </vt:variant>
      <vt:variant>
        <vt:lpwstr>https://www.libertyhumanrights.org.uk/wp-content/uploads/2020/04/UK-Implementation-of-UNCAT_REDRESS_March2019_Web.pdf</vt:lpwstr>
      </vt:variant>
      <vt:variant>
        <vt:lpwstr>:~:text=This%20report%20follows%20four%20consultation%20events%20and%20a,or%20provided%20written%20evidence%20to%20inform%20the%20report.</vt:lpwstr>
      </vt:variant>
      <vt:variant>
        <vt:i4>3473506</vt:i4>
      </vt:variant>
      <vt:variant>
        <vt:i4>33</vt:i4>
      </vt:variant>
      <vt:variant>
        <vt:i4>0</vt:i4>
      </vt:variant>
      <vt:variant>
        <vt:i4>5</vt:i4>
      </vt:variant>
      <vt:variant>
        <vt:lpwstr>https://redress.org/wp-content/uploads/2023/10/Global-Britain-Global-Justice-report.pdf</vt:lpwstr>
      </vt:variant>
      <vt:variant>
        <vt:lpwstr/>
      </vt:variant>
      <vt:variant>
        <vt:i4>1048627</vt:i4>
      </vt:variant>
      <vt:variant>
        <vt:i4>26</vt:i4>
      </vt:variant>
      <vt:variant>
        <vt:i4>0</vt:i4>
      </vt:variant>
      <vt:variant>
        <vt:i4>5</vt:i4>
      </vt:variant>
      <vt:variant>
        <vt:lpwstr/>
      </vt:variant>
      <vt:variant>
        <vt:lpwstr>_Toc157502559</vt:lpwstr>
      </vt:variant>
      <vt:variant>
        <vt:i4>1048627</vt:i4>
      </vt:variant>
      <vt:variant>
        <vt:i4>20</vt:i4>
      </vt:variant>
      <vt:variant>
        <vt:i4>0</vt:i4>
      </vt:variant>
      <vt:variant>
        <vt:i4>5</vt:i4>
      </vt:variant>
      <vt:variant>
        <vt:lpwstr/>
      </vt:variant>
      <vt:variant>
        <vt:lpwstr>_Toc157502558</vt:lpwstr>
      </vt:variant>
      <vt:variant>
        <vt:i4>1048627</vt:i4>
      </vt:variant>
      <vt:variant>
        <vt:i4>14</vt:i4>
      </vt:variant>
      <vt:variant>
        <vt:i4>0</vt:i4>
      </vt:variant>
      <vt:variant>
        <vt:i4>5</vt:i4>
      </vt:variant>
      <vt:variant>
        <vt:lpwstr/>
      </vt:variant>
      <vt:variant>
        <vt:lpwstr>_Toc157502557</vt:lpwstr>
      </vt:variant>
      <vt:variant>
        <vt:i4>1048627</vt:i4>
      </vt:variant>
      <vt:variant>
        <vt:i4>8</vt:i4>
      </vt:variant>
      <vt:variant>
        <vt:i4>0</vt:i4>
      </vt:variant>
      <vt:variant>
        <vt:i4>5</vt:i4>
      </vt:variant>
      <vt:variant>
        <vt:lpwstr/>
      </vt:variant>
      <vt:variant>
        <vt:lpwstr>_Toc157502556</vt:lpwstr>
      </vt:variant>
      <vt:variant>
        <vt:i4>1048627</vt:i4>
      </vt:variant>
      <vt:variant>
        <vt:i4>2</vt:i4>
      </vt:variant>
      <vt:variant>
        <vt:i4>0</vt:i4>
      </vt:variant>
      <vt:variant>
        <vt:i4>5</vt:i4>
      </vt:variant>
      <vt:variant>
        <vt:lpwstr/>
      </vt:variant>
      <vt:variant>
        <vt:lpwstr>_Toc157502555</vt:lpwstr>
      </vt:variant>
      <vt:variant>
        <vt:i4>852085</vt:i4>
      </vt:variant>
      <vt:variant>
        <vt:i4>24</vt:i4>
      </vt:variant>
      <vt:variant>
        <vt:i4>0</vt:i4>
      </vt:variant>
      <vt:variant>
        <vt:i4>5</vt:i4>
      </vt:variant>
      <vt:variant>
        <vt:lpwstr>https://assets.publishing.service.gov.uk/media/656f51d30f12ef07a53e0295/UK-Rwanda_MEDP_-_English_-_Formatted__5_Dec_23__-_UK_VERSION.pdf</vt:lpwstr>
      </vt:variant>
      <vt:variant>
        <vt:lpwstr/>
      </vt:variant>
      <vt:variant>
        <vt:i4>6422586</vt:i4>
      </vt:variant>
      <vt:variant>
        <vt:i4>21</vt:i4>
      </vt:variant>
      <vt:variant>
        <vt:i4>0</vt:i4>
      </vt:variant>
      <vt:variant>
        <vt:i4>5</vt:i4>
      </vt:variant>
      <vt:variant>
        <vt:lpwstr>https://redress.org/wp-content/uploads/2023/12/2023-12-12-Rwanda-Bill-REDRESS-briefing.pdf</vt:lpwstr>
      </vt:variant>
      <vt:variant>
        <vt:lpwstr/>
      </vt:variant>
      <vt:variant>
        <vt:i4>3276906</vt:i4>
      </vt:variant>
      <vt:variant>
        <vt:i4>18</vt:i4>
      </vt:variant>
      <vt:variant>
        <vt:i4>0</vt:i4>
      </vt:variant>
      <vt:variant>
        <vt:i4>5</vt:i4>
      </vt:variant>
      <vt:variant>
        <vt:lpwstr>https://bills.parliament.uk/bills/3540</vt:lpwstr>
      </vt:variant>
      <vt:variant>
        <vt:lpwstr/>
      </vt:variant>
      <vt:variant>
        <vt:i4>1048671</vt:i4>
      </vt:variant>
      <vt:variant>
        <vt:i4>15</vt:i4>
      </vt:variant>
      <vt:variant>
        <vt:i4>0</vt:i4>
      </vt:variant>
      <vt:variant>
        <vt:i4>5</vt:i4>
      </vt:variant>
      <vt:variant>
        <vt:lpwstr>https://www.legislation.gov.uk/ukpga/2023/37/contents/enacted</vt:lpwstr>
      </vt:variant>
      <vt:variant>
        <vt:lpwstr/>
      </vt:variant>
      <vt:variant>
        <vt:i4>589896</vt:i4>
      </vt:variant>
      <vt:variant>
        <vt:i4>12</vt:i4>
      </vt:variant>
      <vt:variant>
        <vt:i4>0</vt:i4>
      </vt:variant>
      <vt:variant>
        <vt:i4>5</vt:i4>
      </vt:variant>
      <vt:variant>
        <vt:lpwstr>https://isc.independent.gov.uk/wp-content/uploads/2021/01/20180628-HC1113-Report-Detainee-Mistreatment-and-Rendition-2001-10.pdf</vt:lpwstr>
      </vt:variant>
      <vt:variant>
        <vt:lpwstr/>
      </vt:variant>
      <vt:variant>
        <vt:i4>5374009</vt:i4>
      </vt:variant>
      <vt:variant>
        <vt:i4>6</vt:i4>
      </vt:variant>
      <vt:variant>
        <vt:i4>0</vt:i4>
      </vt:variant>
      <vt:variant>
        <vt:i4>5</vt:i4>
      </vt:variant>
      <vt:variant>
        <vt:lpwstr>https://redress.org/wp-content/uploads/2023/01/2023_01_18_PUB-JSJohal-MP-briefing-January-2023-Backbench-Business-Debate.pdf</vt:lpwstr>
      </vt:variant>
      <vt:variant>
        <vt:lpwstr/>
      </vt:variant>
      <vt:variant>
        <vt:i4>5963805</vt:i4>
      </vt:variant>
      <vt:variant>
        <vt:i4>3</vt:i4>
      </vt:variant>
      <vt:variant>
        <vt:i4>0</vt:i4>
      </vt:variant>
      <vt:variant>
        <vt:i4>5</vt:i4>
      </vt:variant>
      <vt:variant>
        <vt:lpwstr>https://investigatorypowerstribunal.org.uk/judgement/abd-al-rahim-al-nashiri-v-1-security-service-2-secret-intelligence-service-3-government-communications-headquarters-4-ministry-of-defence-2/</vt:lpwstr>
      </vt:variant>
      <vt:variant>
        <vt:lpwstr/>
      </vt:variant>
      <vt:variant>
        <vt:i4>1835089</vt:i4>
      </vt:variant>
      <vt:variant>
        <vt:i4>0</vt:i4>
      </vt:variant>
      <vt:variant>
        <vt:i4>0</vt:i4>
      </vt:variant>
      <vt:variant>
        <vt:i4>5</vt:i4>
      </vt:variant>
      <vt:variant>
        <vt:lpwstr>https://investigatorypowerstribunal.org.uk/judgement/mustafa-adam-ahmed-al-hawsawi-v-1-security-service-2-secret-intelligence-service-3-government-communications-headquarters-4-ministry-of-defence/</vt:lpwstr>
      </vt:variant>
      <vt:variant>
        <vt:lpwstr/>
      </vt:variant>
      <vt:variant>
        <vt:i4>3407975</vt:i4>
      </vt:variant>
      <vt:variant>
        <vt:i4>6</vt:i4>
      </vt:variant>
      <vt:variant>
        <vt:i4>0</vt:i4>
      </vt:variant>
      <vt:variant>
        <vt:i4>5</vt:i4>
      </vt:variant>
      <vt:variant>
        <vt:lpwstr>https://humanrightstracker.com/en/un-treaty/iccpr/</vt:lpwstr>
      </vt:variant>
      <vt:variant>
        <vt:lpwstr/>
      </vt:variant>
      <vt:variant>
        <vt:i4>3932180</vt:i4>
      </vt:variant>
      <vt:variant>
        <vt:i4>3</vt:i4>
      </vt:variant>
      <vt:variant>
        <vt:i4>0</vt:i4>
      </vt:variant>
      <vt:variant>
        <vt:i4>5</vt:i4>
      </vt:variant>
      <vt:variant>
        <vt:lpwstr>https://tbinternet.ohchr.org/_layouts/15/treatybodyexternal/Download.aspx?symbolno=INT%2FCCPR%2FPOW%2F140%2F36226&amp;Lang=en</vt:lpwstr>
      </vt:variant>
      <vt:variant>
        <vt:lpwstr/>
      </vt:variant>
      <vt:variant>
        <vt:i4>4391022</vt:i4>
      </vt:variant>
      <vt:variant>
        <vt:i4>0</vt:i4>
      </vt:variant>
      <vt:variant>
        <vt:i4>0</vt:i4>
      </vt:variant>
      <vt:variant>
        <vt:i4>5</vt:i4>
      </vt:variant>
      <vt:variant>
        <vt:lpwstr>C:\Users\OliviaDehnavi\Downloads\INT_CCPR_INF_140_36048_E.pdf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Duilio Scrok</dc:creator>
  <cp:keywords/>
  <dc:description/>
  <cp:lastModifiedBy>Olivia Dehnavi</cp:lastModifiedBy>
  <cp:revision>92</cp:revision>
  <dcterms:created xsi:type="dcterms:W3CDTF">2023-06-02T18:59:00Z</dcterms:created>
  <dcterms:modified xsi:type="dcterms:W3CDTF">2024-02-02T12:35:00Z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0x01010082C876F67DF94449AB901E20D0B16068</vt:lpwstr>
  </property>
  <property fmtid="{D5CDD505-2E9C-101B-9397-08002B2CF9AE}" pid="3" name="MediaServiceImageTags">
    <vt:lpwstr/>
  </property>
</Properties>
</file>