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4056C" w14:textId="2605C35E" w:rsidR="00D6151D" w:rsidRPr="00D6151D" w:rsidRDefault="00D6151D" w:rsidP="00941DD7">
      <w:pPr>
        <w:jc w:val="center"/>
        <w:rPr>
          <w:rFonts w:asciiTheme="majorBidi" w:hAnsiTheme="majorBidi" w:cstheme="majorBidi"/>
          <w:b/>
          <w:bCs/>
        </w:rPr>
      </w:pPr>
      <w:r w:rsidRPr="00D6151D">
        <w:rPr>
          <w:rFonts w:asciiTheme="majorBidi" w:hAnsiTheme="majorBidi" w:cstheme="majorBidi"/>
          <w:b/>
          <w:bCs/>
        </w:rPr>
        <w:t xml:space="preserve">Report Submitted to the </w:t>
      </w:r>
      <w:proofErr w:type="spellStart"/>
      <w:r w:rsidR="00941DD7" w:rsidRPr="00E31DF9">
        <w:rPr>
          <w:rFonts w:asciiTheme="majorBidi" w:hAnsiTheme="majorBidi" w:cstheme="majorBidi"/>
          <w:b/>
          <w:bCs/>
        </w:rPr>
        <w:t>CESCR</w:t>
      </w:r>
      <w:proofErr w:type="spellEnd"/>
      <w:r w:rsidR="00941DD7" w:rsidRPr="00E31DF9">
        <w:rPr>
          <w:rFonts w:asciiTheme="majorBidi" w:hAnsiTheme="majorBidi" w:cstheme="majorBidi"/>
          <w:b/>
          <w:bCs/>
        </w:rPr>
        <w:t xml:space="preserve"> </w:t>
      </w:r>
      <w:r w:rsidRPr="00D6151D">
        <w:rPr>
          <w:rFonts w:asciiTheme="majorBidi" w:hAnsiTheme="majorBidi" w:cstheme="majorBidi"/>
          <w:b/>
          <w:bCs/>
        </w:rPr>
        <w:t>Regarding the Review of the Arab Republic of Egypt in the Framework of the List of Issues Relating to the Fifth Periodic Report</w:t>
      </w:r>
    </w:p>
    <w:p w14:paraId="30D79167" w14:textId="100DA974" w:rsidR="00941DD7" w:rsidRPr="00E31DF9" w:rsidRDefault="00D6151D" w:rsidP="00F8167A">
      <w:pPr>
        <w:jc w:val="both"/>
        <w:rPr>
          <w:rFonts w:asciiTheme="majorBidi" w:hAnsiTheme="majorBidi" w:cstheme="majorBidi"/>
        </w:rPr>
      </w:pPr>
      <w:r w:rsidRPr="00D6151D">
        <w:rPr>
          <w:rFonts w:asciiTheme="majorBidi" w:hAnsiTheme="majorBidi" w:cstheme="majorBidi"/>
          <w:b/>
          <w:bCs/>
        </w:rPr>
        <w:t>Submitted to:</w:t>
      </w:r>
      <w:r w:rsidRPr="00D6151D">
        <w:rPr>
          <w:rFonts w:asciiTheme="majorBidi" w:hAnsiTheme="majorBidi" w:cstheme="majorBidi"/>
        </w:rPr>
        <w:t xml:space="preserve"> The Committee on Economic, Social</w:t>
      </w:r>
      <w:r w:rsidR="00941DD7" w:rsidRPr="00E31DF9">
        <w:rPr>
          <w:rFonts w:asciiTheme="majorBidi" w:hAnsiTheme="majorBidi" w:cstheme="majorBidi"/>
        </w:rPr>
        <w:t>,</w:t>
      </w:r>
      <w:r w:rsidRPr="00D6151D">
        <w:rPr>
          <w:rFonts w:asciiTheme="majorBidi" w:hAnsiTheme="majorBidi" w:cstheme="majorBidi"/>
        </w:rPr>
        <w:t xml:space="preserve"> and Cultural Rights</w:t>
      </w:r>
    </w:p>
    <w:p w14:paraId="48340E19" w14:textId="77777777" w:rsidR="00941DD7" w:rsidRPr="00E31DF9" w:rsidRDefault="00D6151D" w:rsidP="00F8167A">
      <w:pPr>
        <w:jc w:val="both"/>
        <w:rPr>
          <w:rFonts w:asciiTheme="majorBidi" w:hAnsiTheme="majorBidi" w:cstheme="majorBidi"/>
        </w:rPr>
      </w:pPr>
      <w:r w:rsidRPr="00D6151D">
        <w:rPr>
          <w:rFonts w:asciiTheme="majorBidi" w:hAnsiTheme="majorBidi" w:cstheme="majorBidi"/>
          <w:b/>
          <w:bCs/>
        </w:rPr>
        <w:t>Submitted by:</w:t>
      </w:r>
      <w:r w:rsidRPr="00D6151D">
        <w:rPr>
          <w:rFonts w:asciiTheme="majorBidi" w:hAnsiTheme="majorBidi" w:cstheme="majorBidi"/>
        </w:rPr>
        <w:t xml:space="preserve"> Partners for Transparency (holding consultative status with the Economic and Social Council of the United Nations)</w:t>
      </w:r>
    </w:p>
    <w:p w14:paraId="1270CC71" w14:textId="5489DEC5" w:rsidR="00D6151D" w:rsidRPr="00D6151D" w:rsidRDefault="00D6151D" w:rsidP="00F8167A">
      <w:pPr>
        <w:jc w:val="both"/>
        <w:rPr>
          <w:rFonts w:asciiTheme="majorBidi" w:hAnsiTheme="majorBidi" w:cstheme="majorBidi"/>
        </w:rPr>
      </w:pPr>
      <w:r w:rsidRPr="00D6151D">
        <w:rPr>
          <w:rFonts w:asciiTheme="majorBidi" w:hAnsiTheme="majorBidi" w:cstheme="majorBidi"/>
          <w:b/>
          <w:bCs/>
        </w:rPr>
        <w:t>Date:</w:t>
      </w:r>
      <w:r w:rsidRPr="00D6151D">
        <w:rPr>
          <w:rFonts w:asciiTheme="majorBidi" w:hAnsiTheme="majorBidi" w:cstheme="majorBidi"/>
        </w:rPr>
        <w:t xml:space="preserve"> November 2025</w:t>
      </w:r>
    </w:p>
    <w:p w14:paraId="0C5FB41D" w14:textId="77777777" w:rsidR="00D6151D" w:rsidRPr="00D6151D" w:rsidRDefault="00D6151D" w:rsidP="00941DD7">
      <w:pPr>
        <w:shd w:val="clear" w:color="auto" w:fill="95DCF7" w:themeFill="accent4" w:themeFillTint="66"/>
        <w:jc w:val="both"/>
        <w:rPr>
          <w:rFonts w:asciiTheme="majorBidi" w:hAnsiTheme="majorBidi" w:cstheme="majorBidi"/>
          <w:b/>
          <w:bCs/>
        </w:rPr>
      </w:pPr>
      <w:r w:rsidRPr="00D6151D">
        <w:rPr>
          <w:rFonts w:asciiTheme="majorBidi" w:hAnsiTheme="majorBidi" w:cstheme="majorBidi"/>
          <w:b/>
          <w:bCs/>
        </w:rPr>
        <w:t>Introduction</w:t>
      </w:r>
    </w:p>
    <w:p w14:paraId="4E8D84B1" w14:textId="4398DD26" w:rsidR="00D6151D" w:rsidRPr="00D6151D" w:rsidRDefault="00D6151D" w:rsidP="008136A7">
      <w:pPr>
        <w:jc w:val="both"/>
        <w:rPr>
          <w:rFonts w:asciiTheme="majorBidi" w:hAnsiTheme="majorBidi" w:cstheme="majorBidi"/>
        </w:rPr>
      </w:pPr>
      <w:r w:rsidRPr="00D6151D">
        <w:rPr>
          <w:rFonts w:asciiTheme="majorBidi" w:hAnsiTheme="majorBidi" w:cstheme="majorBidi"/>
        </w:rPr>
        <w:t>The Arab Republic of Egypt ratified the International Covenant on Economic, Social and Cultural Rights</w:t>
      </w:r>
      <w:r w:rsidR="008136A7" w:rsidRPr="00E31DF9">
        <w:rPr>
          <w:rFonts w:asciiTheme="majorBidi" w:hAnsiTheme="majorBidi" w:cstheme="majorBidi"/>
        </w:rPr>
        <w:t xml:space="preserve"> (</w:t>
      </w:r>
      <w:proofErr w:type="spellStart"/>
      <w:r w:rsidR="008136A7" w:rsidRPr="00E31DF9">
        <w:rPr>
          <w:rFonts w:asciiTheme="majorBidi" w:hAnsiTheme="majorBidi" w:cstheme="majorBidi"/>
        </w:rPr>
        <w:t>ICESCR</w:t>
      </w:r>
      <w:proofErr w:type="spellEnd"/>
      <w:r w:rsidR="008136A7" w:rsidRPr="00E31DF9">
        <w:rPr>
          <w:rFonts w:asciiTheme="majorBidi" w:hAnsiTheme="majorBidi" w:cstheme="majorBidi"/>
        </w:rPr>
        <w:t>)</w:t>
      </w:r>
      <w:r w:rsidRPr="00D6151D">
        <w:rPr>
          <w:rFonts w:asciiTheme="majorBidi" w:hAnsiTheme="majorBidi" w:cstheme="majorBidi"/>
        </w:rPr>
        <w:t xml:space="preserve"> in January 1982, thereby becoming legally obligated to implement its provisions within its territory and to take necessary legislative, administrative, and policy measures to ensure the realization of the rights enshrined therein. The state is also required to align its national legislation with the provisions of the Covenant to ensure consistency with relevant international standards.</w:t>
      </w:r>
    </w:p>
    <w:p w14:paraId="26285112" w14:textId="61785E13" w:rsidR="00D6151D" w:rsidRPr="00D6151D" w:rsidRDefault="00D6151D" w:rsidP="00F8167A">
      <w:pPr>
        <w:jc w:val="both"/>
        <w:rPr>
          <w:rFonts w:asciiTheme="majorBidi" w:hAnsiTheme="majorBidi" w:cstheme="majorBidi"/>
        </w:rPr>
      </w:pPr>
      <w:r w:rsidRPr="00D6151D">
        <w:rPr>
          <w:rFonts w:asciiTheme="majorBidi" w:hAnsiTheme="majorBidi" w:cstheme="majorBidi"/>
        </w:rPr>
        <w:t xml:space="preserve">In recent years, the Egyptian state has made commendable efforts to promote the range of economic, social, and cultural rights enshrined in the Covenant. This includes the launch of the National Human Rights Strategy (2021-2026), which incorporates a specific focus on economic, social, and cultural rights, as well as social protection programs such as "Takaful and Karama" (Solidarity and Dignity), the expansion of comprehensive health insurance coverage, public health initiatives such as "100 </w:t>
      </w:r>
      <w:proofErr w:type="gramStart"/>
      <w:r w:rsidRPr="00D6151D">
        <w:rPr>
          <w:rFonts w:asciiTheme="majorBidi" w:hAnsiTheme="majorBidi" w:cstheme="majorBidi"/>
        </w:rPr>
        <w:t>Million</w:t>
      </w:r>
      <w:proofErr w:type="gramEnd"/>
      <w:r w:rsidRPr="00D6151D">
        <w:rPr>
          <w:rFonts w:asciiTheme="majorBidi" w:hAnsiTheme="majorBidi" w:cstheme="majorBidi"/>
        </w:rPr>
        <w:t xml:space="preserve"> </w:t>
      </w:r>
      <w:proofErr w:type="spellStart"/>
      <w:r w:rsidR="00941DD7" w:rsidRPr="00E31DF9">
        <w:rPr>
          <w:rFonts w:asciiTheme="majorBidi" w:hAnsiTheme="majorBidi" w:cstheme="majorBidi"/>
        </w:rPr>
        <w:t>Seha</w:t>
      </w:r>
      <w:proofErr w:type="spellEnd"/>
      <w:r w:rsidRPr="00D6151D">
        <w:rPr>
          <w:rFonts w:asciiTheme="majorBidi" w:hAnsiTheme="majorBidi" w:cstheme="majorBidi"/>
        </w:rPr>
        <w:t>," and housing initiatives like "Housing for All Egyptians." Additionally, the National Anti-Corruption Strategy aims to strengthen principles of transparency and good governance, contributing to improved resource management and ensuring that resources are directed toward meeting the basic needs of citizens.</w:t>
      </w:r>
    </w:p>
    <w:p w14:paraId="73BAE00D" w14:textId="77777777" w:rsidR="00D6151D" w:rsidRPr="00D6151D" w:rsidRDefault="00D6151D" w:rsidP="00F8167A">
      <w:pPr>
        <w:jc w:val="both"/>
        <w:rPr>
          <w:rFonts w:asciiTheme="majorBidi" w:hAnsiTheme="majorBidi" w:cstheme="majorBidi"/>
        </w:rPr>
      </w:pPr>
      <w:r w:rsidRPr="00D6151D">
        <w:rPr>
          <w:rFonts w:asciiTheme="majorBidi" w:hAnsiTheme="majorBidi" w:cstheme="majorBidi"/>
        </w:rPr>
        <w:t>Despite the Egyptian government's efforts in social and economic development, recent years have revealed a series of challenges affecting the rights guaranteed under the Covenant, particularly concerning the right to work under fair and satisfactory conditions, the right to an adequate standard of living, the right to health and education, and the equitable distribution of resources and public services.</w:t>
      </w:r>
    </w:p>
    <w:p w14:paraId="63323B9F" w14:textId="48110077" w:rsidR="00D6151D" w:rsidRPr="00D6151D" w:rsidRDefault="00D6151D" w:rsidP="00F8167A">
      <w:pPr>
        <w:jc w:val="both"/>
        <w:rPr>
          <w:rFonts w:asciiTheme="majorBidi" w:hAnsiTheme="majorBidi" w:cstheme="majorBidi"/>
        </w:rPr>
      </w:pPr>
      <w:r w:rsidRPr="00D6151D">
        <w:rPr>
          <w:rFonts w:asciiTheme="majorBidi" w:hAnsiTheme="majorBidi" w:cstheme="majorBidi"/>
        </w:rPr>
        <w:t xml:space="preserve">In light of the above, Partners for Transparency presents in this report an overview and detailed observations to the </w:t>
      </w:r>
      <w:r w:rsidR="00F8167A" w:rsidRPr="00E31DF9">
        <w:rPr>
          <w:rFonts w:asciiTheme="majorBidi" w:hAnsiTheme="majorBidi" w:cstheme="majorBidi"/>
        </w:rPr>
        <w:t>Committee on Economic, Social and Cultural Rights (</w:t>
      </w:r>
      <w:proofErr w:type="spellStart"/>
      <w:r w:rsidR="00F8167A" w:rsidRPr="00E31DF9">
        <w:rPr>
          <w:rFonts w:asciiTheme="majorBidi" w:hAnsiTheme="majorBidi" w:cstheme="majorBidi"/>
        </w:rPr>
        <w:t>CESCR</w:t>
      </w:r>
      <w:proofErr w:type="spellEnd"/>
      <w:r w:rsidR="00F8167A" w:rsidRPr="00E31DF9">
        <w:rPr>
          <w:rFonts w:asciiTheme="majorBidi" w:hAnsiTheme="majorBidi" w:cstheme="majorBidi"/>
        </w:rPr>
        <w:t xml:space="preserve">) </w:t>
      </w:r>
      <w:r w:rsidRPr="00D6151D">
        <w:rPr>
          <w:rFonts w:asciiTheme="majorBidi" w:hAnsiTheme="majorBidi" w:cstheme="majorBidi"/>
        </w:rPr>
        <w:t>regarding the status of economic, social, and cultural rights in Egypt, in the context of the state's review within the framework of the "List of Issues Relating to the Fifth Periodic Report." The report includes a list of issues that the organization believes require formal clarifications and corrective measures from the state party, seeking to enhance social justice and guarantee the protection of economic and social rights for all citizens without discrimination.</w:t>
      </w:r>
    </w:p>
    <w:p w14:paraId="192627FE" w14:textId="77777777" w:rsidR="00D6151D" w:rsidRPr="00D6151D" w:rsidRDefault="00D6151D" w:rsidP="00150DF4">
      <w:pPr>
        <w:shd w:val="clear" w:color="auto" w:fill="95DCF7" w:themeFill="accent4" w:themeFillTint="66"/>
        <w:jc w:val="both"/>
        <w:rPr>
          <w:rFonts w:asciiTheme="majorBidi" w:hAnsiTheme="majorBidi" w:cstheme="majorBidi"/>
          <w:b/>
          <w:bCs/>
        </w:rPr>
      </w:pPr>
      <w:r w:rsidRPr="00D6151D">
        <w:rPr>
          <w:rFonts w:asciiTheme="majorBidi" w:hAnsiTheme="majorBidi" w:cstheme="majorBidi"/>
          <w:b/>
          <w:bCs/>
        </w:rPr>
        <w:t>The Right to Work Under Fair and Satisfactory Conditions</w:t>
      </w:r>
    </w:p>
    <w:p w14:paraId="67D8FDF5" w14:textId="2C4D7066" w:rsidR="00D6151D" w:rsidRPr="00D6151D" w:rsidRDefault="00D6151D" w:rsidP="008136A7">
      <w:pPr>
        <w:jc w:val="both"/>
        <w:rPr>
          <w:rFonts w:asciiTheme="majorBidi" w:hAnsiTheme="majorBidi" w:cstheme="majorBidi"/>
        </w:rPr>
      </w:pPr>
      <w:r w:rsidRPr="00D6151D">
        <w:rPr>
          <w:rFonts w:asciiTheme="majorBidi" w:hAnsiTheme="majorBidi" w:cstheme="majorBidi"/>
        </w:rPr>
        <w:lastRenderedPageBreak/>
        <w:t xml:space="preserve">The Arab Republic of Egypt is obligated, under Articles 6 and 7 of the </w:t>
      </w:r>
      <w:proofErr w:type="spellStart"/>
      <w:r w:rsidR="008136A7" w:rsidRPr="00E31DF9">
        <w:rPr>
          <w:rFonts w:asciiTheme="majorBidi" w:hAnsiTheme="majorBidi" w:cstheme="majorBidi"/>
        </w:rPr>
        <w:t>ICESCR</w:t>
      </w:r>
      <w:proofErr w:type="spellEnd"/>
      <w:r w:rsidRPr="00D6151D">
        <w:rPr>
          <w:rFonts w:asciiTheme="majorBidi" w:hAnsiTheme="majorBidi" w:cstheme="majorBidi"/>
        </w:rPr>
        <w:t>, to ensure the right to work under fair and satisfactory conditions, guaranteeing equality in opportunities and wages, as well as safe working conditions, and to take appropriate measures to ensure the actual realization of this right. This includes adopting policies and programs aimed at achieving sustainable economic and productive development while providing fair and equal employment opportunities for all citizens without discrimination.</w:t>
      </w:r>
    </w:p>
    <w:p w14:paraId="0A93932C" w14:textId="5925EC86" w:rsidR="00D6151D" w:rsidRPr="00D6151D" w:rsidRDefault="00D6151D" w:rsidP="00F8167A">
      <w:pPr>
        <w:jc w:val="both"/>
        <w:rPr>
          <w:rFonts w:asciiTheme="majorBidi" w:hAnsiTheme="majorBidi" w:cstheme="majorBidi"/>
        </w:rPr>
      </w:pPr>
      <w:r w:rsidRPr="00D6151D">
        <w:rPr>
          <w:rFonts w:asciiTheme="majorBidi" w:hAnsiTheme="majorBidi" w:cstheme="majorBidi"/>
        </w:rPr>
        <w:t xml:space="preserve">In practice, the Egyptian government has made significant efforts in recent years to ensure the right to work under fair and satisfactory conditions and to provide job opportunities for Egyptian citizens. In this regard, the new Labor Law No. 14 of 2025, which came into effect in September 2025, addresses issues related to employment conditions, workers' rights, working hours, vacations, the guarantee of a minimum wage, protection against arbitrary dismissal, and the provision of mechanisms for grievance and resolution of </w:t>
      </w:r>
      <w:proofErr w:type="spellStart"/>
      <w:r w:rsidRPr="00D6151D">
        <w:rPr>
          <w:rFonts w:asciiTheme="majorBidi" w:hAnsiTheme="majorBidi" w:cstheme="majorBidi"/>
        </w:rPr>
        <w:t>labor</w:t>
      </w:r>
      <w:proofErr w:type="spellEnd"/>
      <w:r w:rsidRPr="00D6151D">
        <w:rPr>
          <w:rFonts w:asciiTheme="majorBidi" w:hAnsiTheme="majorBidi" w:cstheme="majorBidi"/>
        </w:rPr>
        <w:t xml:space="preserve"> disputes. It emphasizes employers' obligations to provide a safe and healthy working environment and recognizes the rights of women workers and persons with disabilities.</w:t>
      </w:r>
      <w:r w:rsidR="005967FB" w:rsidRPr="00E31DF9">
        <w:rPr>
          <w:rStyle w:val="FootnoteReference"/>
          <w:rFonts w:asciiTheme="majorBidi" w:hAnsiTheme="majorBidi" w:cstheme="majorBidi"/>
        </w:rPr>
        <w:footnoteReference w:id="1"/>
      </w:r>
    </w:p>
    <w:p w14:paraId="5A81B96D" w14:textId="16AD9A4E" w:rsidR="00D6151D" w:rsidRPr="00D6151D" w:rsidRDefault="00D6151D" w:rsidP="00F8167A">
      <w:pPr>
        <w:jc w:val="both"/>
        <w:rPr>
          <w:rFonts w:asciiTheme="majorBidi" w:hAnsiTheme="majorBidi" w:cstheme="majorBidi"/>
        </w:rPr>
      </w:pPr>
      <w:r w:rsidRPr="00D6151D">
        <w:rPr>
          <w:rFonts w:asciiTheme="majorBidi" w:hAnsiTheme="majorBidi" w:cstheme="majorBidi"/>
        </w:rPr>
        <w:t>Moreover, the national projects and major programs implemented in recent years have contributed to increasing employment rates and reducing unemployment. According to official data, government programs have succeeded in providing over 7 million job opportunities both domestically and abroad, expanding the employment base thanks to the expansion of large national projects in infrastructure and energy, alongside efforts to attract local and foreign investments. This has led to a decrease in the unemployment rate from 13% in 2014 to 6.1% in 2025.</w:t>
      </w:r>
      <w:r w:rsidR="005967FB" w:rsidRPr="00E31DF9">
        <w:rPr>
          <w:rStyle w:val="FootnoteReference"/>
          <w:rFonts w:asciiTheme="majorBidi" w:hAnsiTheme="majorBidi" w:cstheme="majorBidi"/>
        </w:rPr>
        <w:footnoteReference w:id="2"/>
      </w:r>
      <w:r w:rsidRPr="00D6151D">
        <w:rPr>
          <w:rFonts w:asciiTheme="majorBidi" w:hAnsiTheme="majorBidi" w:cstheme="majorBidi"/>
        </w:rPr>
        <w:t xml:space="preserve"> The state has also launched programs to support small and medium-sized enterprises and entrepreneurship through initiatives from the Central Bank for facilitated financing and programs from the Micro, Small, and Medium Enterprise Development Agency, thereby contributing to the integration of large segments of youth and women into the formal </w:t>
      </w:r>
      <w:proofErr w:type="spellStart"/>
      <w:r w:rsidRPr="00D6151D">
        <w:rPr>
          <w:rFonts w:asciiTheme="majorBidi" w:hAnsiTheme="majorBidi" w:cstheme="majorBidi"/>
        </w:rPr>
        <w:t>labor</w:t>
      </w:r>
      <w:proofErr w:type="spellEnd"/>
      <w:r w:rsidRPr="00D6151D">
        <w:rPr>
          <w:rFonts w:asciiTheme="majorBidi" w:hAnsiTheme="majorBidi" w:cstheme="majorBidi"/>
        </w:rPr>
        <w:t xml:space="preserve"> market and enhancing the economic empowerment of the most vulnerable groups.</w:t>
      </w:r>
    </w:p>
    <w:p w14:paraId="67C29170" w14:textId="5DF5CDEA" w:rsidR="00116164" w:rsidRPr="00116164" w:rsidRDefault="00116164" w:rsidP="00F8167A">
      <w:pPr>
        <w:jc w:val="both"/>
        <w:rPr>
          <w:rFonts w:asciiTheme="majorBidi" w:hAnsiTheme="majorBidi" w:cstheme="majorBidi"/>
        </w:rPr>
      </w:pPr>
      <w:r w:rsidRPr="00116164">
        <w:rPr>
          <w:rFonts w:asciiTheme="majorBidi" w:hAnsiTheme="majorBidi" w:cstheme="majorBidi"/>
        </w:rPr>
        <w:t xml:space="preserve">Despite these government efforts aiming to provide job opportunities and improve the operating environment, challenges remain. Unemployment rates among young people are still high; according to estimates from the Central Agency for Public Mobilization and Statistics, unemployment among youth aged 25-29 reached approximately 20.7% during the second quarter of 2025. Additionally, the gender gap in the </w:t>
      </w:r>
      <w:proofErr w:type="spellStart"/>
      <w:r w:rsidRPr="00116164">
        <w:rPr>
          <w:rFonts w:asciiTheme="majorBidi" w:hAnsiTheme="majorBidi" w:cstheme="majorBidi"/>
        </w:rPr>
        <w:t>labor</w:t>
      </w:r>
      <w:proofErr w:type="spellEnd"/>
      <w:r w:rsidRPr="00116164">
        <w:rPr>
          <w:rFonts w:asciiTheme="majorBidi" w:hAnsiTheme="majorBidi" w:cstheme="majorBidi"/>
        </w:rPr>
        <w:t xml:space="preserve"> market is widening. The workforce included about 26.5 million males, compared to only 7.1 million females in the second quarter of 2025, reflecting the continued low participation of women in the economy and their limited access to equal job opportunities across various sectors.</w:t>
      </w:r>
      <w:r w:rsidR="005967FB" w:rsidRPr="00E31DF9">
        <w:rPr>
          <w:rStyle w:val="FootnoteReference"/>
          <w:rFonts w:asciiTheme="majorBidi" w:hAnsiTheme="majorBidi" w:cstheme="majorBidi"/>
        </w:rPr>
        <w:footnoteReference w:id="3"/>
      </w:r>
    </w:p>
    <w:p w14:paraId="2E526DE0" w14:textId="0E9C9A8C" w:rsidR="00116164" w:rsidRPr="00116164" w:rsidRDefault="00116164" w:rsidP="00F8167A">
      <w:pPr>
        <w:jc w:val="both"/>
        <w:rPr>
          <w:rFonts w:asciiTheme="majorBidi" w:hAnsiTheme="majorBidi" w:cstheme="majorBidi"/>
        </w:rPr>
      </w:pPr>
      <w:r w:rsidRPr="00116164">
        <w:rPr>
          <w:rFonts w:asciiTheme="majorBidi" w:hAnsiTheme="majorBidi" w:cstheme="majorBidi"/>
        </w:rPr>
        <w:t xml:space="preserve">Furthermore, the informal economy in Egypt represents one of the most significant structural obstacles. Unofficial estimates suggest that its size accounts for approximately 40% of the gross </w:t>
      </w:r>
      <w:r w:rsidRPr="00116164">
        <w:rPr>
          <w:rFonts w:asciiTheme="majorBidi" w:hAnsiTheme="majorBidi" w:cstheme="majorBidi"/>
        </w:rPr>
        <w:lastRenderedPageBreak/>
        <w:t xml:space="preserve">domestic product and employs about 63% of total employed individuals in all sectors, depriving millions of workers of basic </w:t>
      </w:r>
      <w:proofErr w:type="spellStart"/>
      <w:r w:rsidRPr="00116164">
        <w:rPr>
          <w:rFonts w:asciiTheme="majorBidi" w:hAnsiTheme="majorBidi" w:cstheme="majorBidi"/>
        </w:rPr>
        <w:t>labor</w:t>
      </w:r>
      <w:proofErr w:type="spellEnd"/>
      <w:r w:rsidRPr="00116164">
        <w:rPr>
          <w:rFonts w:asciiTheme="majorBidi" w:hAnsiTheme="majorBidi" w:cstheme="majorBidi"/>
        </w:rPr>
        <w:t xml:space="preserve"> rights and social protection, and limiting their ability to enjoy decent and stable working conditions.</w:t>
      </w:r>
      <w:r w:rsidR="005967FB" w:rsidRPr="00E31DF9">
        <w:rPr>
          <w:rStyle w:val="FootnoteReference"/>
          <w:rFonts w:asciiTheme="majorBidi" w:hAnsiTheme="majorBidi" w:cstheme="majorBidi"/>
        </w:rPr>
        <w:footnoteReference w:id="4"/>
      </w:r>
    </w:p>
    <w:p w14:paraId="2B4DEB57" w14:textId="77777777" w:rsidR="00116164" w:rsidRPr="00116164" w:rsidRDefault="00116164" w:rsidP="005967FB">
      <w:pPr>
        <w:shd w:val="clear" w:color="auto" w:fill="95DCF7" w:themeFill="accent4" w:themeFillTint="66"/>
        <w:jc w:val="both"/>
        <w:rPr>
          <w:rFonts w:asciiTheme="majorBidi" w:hAnsiTheme="majorBidi" w:cstheme="majorBidi"/>
        </w:rPr>
      </w:pPr>
      <w:r w:rsidRPr="00116164">
        <w:rPr>
          <w:rFonts w:asciiTheme="majorBidi" w:hAnsiTheme="majorBidi" w:cstheme="majorBidi"/>
          <w:b/>
          <w:bCs/>
        </w:rPr>
        <w:t>The Right to an Adequate Standard of Living</w:t>
      </w:r>
    </w:p>
    <w:p w14:paraId="674A2E96" w14:textId="0F54EAB4" w:rsidR="00116164" w:rsidRPr="00116164" w:rsidRDefault="00116164" w:rsidP="008136A7">
      <w:pPr>
        <w:jc w:val="both"/>
        <w:rPr>
          <w:rFonts w:asciiTheme="majorBidi" w:hAnsiTheme="majorBidi" w:cstheme="majorBidi"/>
        </w:rPr>
      </w:pPr>
      <w:r w:rsidRPr="00116164">
        <w:rPr>
          <w:rFonts w:asciiTheme="majorBidi" w:hAnsiTheme="majorBidi" w:cstheme="majorBidi"/>
        </w:rPr>
        <w:t xml:space="preserve">The Arab Republic of Egypt is obligated, under Article 11 of the </w:t>
      </w:r>
      <w:proofErr w:type="spellStart"/>
      <w:r w:rsidR="008136A7" w:rsidRPr="00E31DF9">
        <w:rPr>
          <w:rFonts w:asciiTheme="majorBidi" w:hAnsiTheme="majorBidi" w:cstheme="majorBidi"/>
        </w:rPr>
        <w:t>ICESCR</w:t>
      </w:r>
      <w:proofErr w:type="spellEnd"/>
      <w:r w:rsidRPr="00116164">
        <w:rPr>
          <w:rFonts w:asciiTheme="majorBidi" w:hAnsiTheme="majorBidi" w:cstheme="majorBidi"/>
        </w:rPr>
        <w:t>, to ensure that everyone has the right to an adequate standard of living for themselves and their families, which provides them with sufficient food, clothing, and housing, as well as the right to continuous improvement of their living conditions.</w:t>
      </w:r>
    </w:p>
    <w:p w14:paraId="23EA235C" w14:textId="76BCFE78" w:rsidR="00116164" w:rsidRPr="00116164" w:rsidRDefault="00116164" w:rsidP="00F8167A">
      <w:pPr>
        <w:jc w:val="both"/>
        <w:rPr>
          <w:rFonts w:asciiTheme="majorBidi" w:hAnsiTheme="majorBidi" w:cstheme="majorBidi"/>
        </w:rPr>
      </w:pPr>
      <w:r w:rsidRPr="00116164">
        <w:rPr>
          <w:rFonts w:asciiTheme="majorBidi" w:hAnsiTheme="majorBidi" w:cstheme="majorBidi"/>
        </w:rPr>
        <w:t>In this context, the Egyptian state has expanded its coverage of the most vulnerable groups in recent years through cash and in-kind support programs. Foremost among these is the "Takaful and Karama" program, which covers more than 5.2 million families with a budget of approximately 40 billion Egyptian pounds in the 2024/2025 budget. Additionally, the food support system benefits nearly 60 million citizens through ration cards. Pensioners have also benefited from recurring annual increases approved by the state to alleviate living costs, including a 15% increase in March 2024, benefiting around 13 million citizens under an urgent package worth 180 billion Egyptian pounds,</w:t>
      </w:r>
      <w:r w:rsidR="00C30321" w:rsidRPr="00E31DF9">
        <w:rPr>
          <w:rStyle w:val="FootnoteReference"/>
          <w:rFonts w:asciiTheme="majorBidi" w:hAnsiTheme="majorBidi" w:cstheme="majorBidi"/>
        </w:rPr>
        <w:footnoteReference w:id="5"/>
      </w:r>
      <w:r w:rsidRPr="00116164">
        <w:rPr>
          <w:rFonts w:asciiTheme="majorBidi" w:hAnsiTheme="majorBidi" w:cstheme="majorBidi"/>
        </w:rPr>
        <w:t xml:space="preserve"> followed by another 15% increase in July 2025</w:t>
      </w:r>
      <w:r w:rsidR="00C30321" w:rsidRPr="00E31DF9">
        <w:rPr>
          <w:rFonts w:asciiTheme="majorBidi" w:hAnsiTheme="majorBidi" w:cstheme="majorBidi"/>
        </w:rPr>
        <w:t>,</w:t>
      </w:r>
      <w:r w:rsidRPr="00116164">
        <w:rPr>
          <w:rFonts w:asciiTheme="majorBidi" w:hAnsiTheme="majorBidi" w:cstheme="majorBidi"/>
        </w:rPr>
        <w:t xml:space="preserve"> benefiting about 11.5 million pensioners and beneficiaries, </w:t>
      </w:r>
      <w:proofErr w:type="spellStart"/>
      <w:r w:rsidRPr="00116164">
        <w:rPr>
          <w:rFonts w:asciiTheme="majorBidi" w:hAnsiTheme="majorBidi" w:cstheme="majorBidi"/>
        </w:rPr>
        <w:t>totaling</w:t>
      </w:r>
      <w:proofErr w:type="spellEnd"/>
      <w:r w:rsidRPr="00116164">
        <w:rPr>
          <w:rFonts w:asciiTheme="majorBidi" w:hAnsiTheme="majorBidi" w:cstheme="majorBidi"/>
        </w:rPr>
        <w:t xml:space="preserve"> 70 billion Egyptian pounds. This constitutes a broad social safety net that helps alleviate burdens on poor and middle-class segments and enhances their ability to meet basic needs.</w:t>
      </w:r>
      <w:r w:rsidR="005967FB" w:rsidRPr="00E31DF9">
        <w:rPr>
          <w:rStyle w:val="FootnoteReference"/>
          <w:rFonts w:asciiTheme="majorBidi" w:hAnsiTheme="majorBidi" w:cstheme="majorBidi"/>
        </w:rPr>
        <w:footnoteReference w:id="6"/>
      </w:r>
    </w:p>
    <w:p w14:paraId="685B455B" w14:textId="2666244D" w:rsidR="00116164" w:rsidRPr="00116164" w:rsidRDefault="00116164" w:rsidP="00F8167A">
      <w:pPr>
        <w:jc w:val="both"/>
        <w:rPr>
          <w:rFonts w:asciiTheme="majorBidi" w:hAnsiTheme="majorBidi" w:cstheme="majorBidi"/>
        </w:rPr>
      </w:pPr>
      <w:r w:rsidRPr="00116164">
        <w:rPr>
          <w:rFonts w:asciiTheme="majorBidi" w:hAnsiTheme="majorBidi" w:cstheme="majorBidi"/>
        </w:rPr>
        <w:t>Regarding the right to adequate housing, the Egyptian state has made diligent efforts to realize citizens' right to suitable accommodation, evident in the implementation of numerous large projects to enhance this right. These include the "Housing for All Egyptians" project, which aims to provide an apartment for every citizen; the "Bayt Al-Watan" project; the "</w:t>
      </w:r>
      <w:proofErr w:type="spellStart"/>
      <w:r w:rsidRPr="00116164">
        <w:rPr>
          <w:rFonts w:asciiTheme="majorBidi" w:hAnsiTheme="majorBidi" w:cstheme="majorBidi"/>
        </w:rPr>
        <w:t>Sakan</w:t>
      </w:r>
      <w:proofErr w:type="spellEnd"/>
      <w:r w:rsidRPr="00116164">
        <w:rPr>
          <w:rFonts w:asciiTheme="majorBidi" w:hAnsiTheme="majorBidi" w:cstheme="majorBidi"/>
        </w:rPr>
        <w:t xml:space="preserve"> </w:t>
      </w:r>
      <w:proofErr w:type="spellStart"/>
      <w:r w:rsidRPr="00116164">
        <w:rPr>
          <w:rFonts w:asciiTheme="majorBidi" w:hAnsiTheme="majorBidi" w:cstheme="majorBidi"/>
        </w:rPr>
        <w:t>Misr</w:t>
      </w:r>
      <w:proofErr w:type="spellEnd"/>
      <w:r w:rsidRPr="00116164">
        <w:rPr>
          <w:rFonts w:asciiTheme="majorBidi" w:hAnsiTheme="majorBidi" w:cstheme="majorBidi"/>
        </w:rPr>
        <w:t>" project; and the Fourth Generation Cities project, among other national initiatives. According to official data up to June 2024, 661,000 housing units were completed out of a total of one million designated for low-income individuals under the presidential initiative "Housing for All Egyptians." The social housing program targeting middle-income and above has seen the completion of approximately 684,000 social housing units, with 130,000 additional housing units scheduled for delivery during the 2025/2026 fiscal year. These efforts are part of a comprehensive policy aimed at achieving social justice and meeting the housing needs of various segments of society, translating the state's constitutional commitment to the right to housing into tangible achievements on the ground.</w:t>
      </w:r>
      <w:r w:rsidR="00C30321" w:rsidRPr="00E31DF9">
        <w:rPr>
          <w:rStyle w:val="FootnoteReference"/>
          <w:rFonts w:asciiTheme="majorBidi" w:hAnsiTheme="majorBidi" w:cstheme="majorBidi"/>
        </w:rPr>
        <w:footnoteReference w:id="7"/>
      </w:r>
    </w:p>
    <w:p w14:paraId="30D4FE8C" w14:textId="163A1A53" w:rsidR="00D30C3F" w:rsidRPr="00D30C3F" w:rsidRDefault="00D30C3F" w:rsidP="003A7E12">
      <w:pPr>
        <w:jc w:val="both"/>
        <w:rPr>
          <w:rFonts w:asciiTheme="majorBidi" w:hAnsiTheme="majorBidi" w:cstheme="majorBidi"/>
        </w:rPr>
      </w:pPr>
      <w:r w:rsidRPr="00D30C3F">
        <w:rPr>
          <w:rFonts w:asciiTheme="majorBidi" w:hAnsiTheme="majorBidi" w:cstheme="majorBidi"/>
        </w:rPr>
        <w:lastRenderedPageBreak/>
        <w:t xml:space="preserve">Despite government efforts aimed at improving citizens' living standards through expanding social protection and providing adequate housing, challenges persist. Data from the Central Agency for Public Mobilization and Statistics </w:t>
      </w:r>
      <w:r w:rsidR="003A7E12" w:rsidRPr="00E31DF9">
        <w:rPr>
          <w:rFonts w:asciiTheme="majorBidi" w:hAnsiTheme="majorBidi" w:cstheme="majorBidi"/>
        </w:rPr>
        <w:t>(</w:t>
      </w:r>
      <w:proofErr w:type="spellStart"/>
      <w:r w:rsidR="003A7E12" w:rsidRPr="00E31DF9">
        <w:rPr>
          <w:rFonts w:asciiTheme="majorBidi" w:hAnsiTheme="majorBidi" w:cstheme="majorBidi"/>
        </w:rPr>
        <w:t>CAPMAS</w:t>
      </w:r>
      <w:proofErr w:type="spellEnd"/>
      <w:r w:rsidR="003A7E12" w:rsidRPr="00E31DF9">
        <w:rPr>
          <w:rFonts w:asciiTheme="majorBidi" w:hAnsiTheme="majorBidi" w:cstheme="majorBidi"/>
        </w:rPr>
        <w:t>) indicate</w:t>
      </w:r>
      <w:r w:rsidRPr="00D30C3F">
        <w:rPr>
          <w:rFonts w:asciiTheme="majorBidi" w:hAnsiTheme="majorBidi" w:cstheme="majorBidi"/>
        </w:rPr>
        <w:t xml:space="preserve"> that poverty rates in Egypt have reached extremely high levels. Rising inflation rates exceeding 35% have led to increasing economic and social pressures on citizens, reflected in a rise in the poverty rate to over 32.5%, according to estimates from the Egyptian government and the World Bank. This situation has resulted in the erosion of real incomes and a decline in citizens' purchasing power, indicating a growing segment of the population at risk of poverty. Furthermore, the disparity between the value of aid and rising prices limits its effectiveness in ensuring an adequate standard of living. Workers in the informal sector continue to suffer from weak protections, while the housing gap persists due to rapid population growth and rising housing unit prices compared to the incomes of the majority of citizens. Additionally, the problem of informal settlements, where millions live in unstable housing conditions, continues, despite state efforts to develop some of these areas into secure residential communities.</w:t>
      </w:r>
      <w:r w:rsidR="00C30321" w:rsidRPr="00E31DF9">
        <w:rPr>
          <w:rStyle w:val="FootnoteReference"/>
          <w:rFonts w:asciiTheme="majorBidi" w:hAnsiTheme="majorBidi" w:cstheme="majorBidi"/>
        </w:rPr>
        <w:footnoteReference w:id="8"/>
      </w:r>
    </w:p>
    <w:p w14:paraId="763613BA" w14:textId="77777777" w:rsidR="00D30C3F" w:rsidRPr="00D30C3F" w:rsidRDefault="00D30C3F" w:rsidP="00C30321">
      <w:pPr>
        <w:shd w:val="clear" w:color="auto" w:fill="95DCF7" w:themeFill="accent4" w:themeFillTint="66"/>
        <w:jc w:val="both"/>
        <w:rPr>
          <w:rFonts w:asciiTheme="majorBidi" w:hAnsiTheme="majorBidi" w:cstheme="majorBidi"/>
        </w:rPr>
      </w:pPr>
      <w:r w:rsidRPr="00D30C3F">
        <w:rPr>
          <w:rFonts w:asciiTheme="majorBidi" w:hAnsiTheme="majorBidi" w:cstheme="majorBidi"/>
          <w:b/>
          <w:bCs/>
        </w:rPr>
        <w:t>The Right to the Highest Attainable Standard of Physical and Mental Health</w:t>
      </w:r>
    </w:p>
    <w:p w14:paraId="139FC2BB" w14:textId="37E1874F" w:rsidR="00D30C3F" w:rsidRPr="00D30C3F" w:rsidRDefault="00D30C3F" w:rsidP="008136A7">
      <w:pPr>
        <w:jc w:val="both"/>
        <w:rPr>
          <w:rFonts w:asciiTheme="majorBidi" w:hAnsiTheme="majorBidi" w:cstheme="majorBidi"/>
        </w:rPr>
      </w:pPr>
      <w:r w:rsidRPr="00D30C3F">
        <w:rPr>
          <w:rFonts w:asciiTheme="majorBidi" w:hAnsiTheme="majorBidi" w:cstheme="majorBidi"/>
        </w:rPr>
        <w:t xml:space="preserve">The Arab Republic of Egypt is obligated, under Article 12 of the </w:t>
      </w:r>
      <w:proofErr w:type="spellStart"/>
      <w:r w:rsidR="008136A7" w:rsidRPr="00E31DF9">
        <w:rPr>
          <w:rFonts w:asciiTheme="majorBidi" w:hAnsiTheme="majorBidi" w:cstheme="majorBidi"/>
        </w:rPr>
        <w:t>ICESCR</w:t>
      </w:r>
      <w:proofErr w:type="spellEnd"/>
      <w:r w:rsidRPr="00D30C3F">
        <w:rPr>
          <w:rFonts w:asciiTheme="majorBidi" w:hAnsiTheme="majorBidi" w:cstheme="majorBidi"/>
        </w:rPr>
        <w:t>, to ensure that everyone has the right to the highest attainable standard of physical and mental health. This includes providing comprehensive and equitable preventive and curative healthcare services and ensuring equal opportunities for accessing medical care without discrimination.</w:t>
      </w:r>
    </w:p>
    <w:p w14:paraId="72FE32A8" w14:textId="0F335F52" w:rsidR="00D30C3F" w:rsidRPr="00D30C3F" w:rsidRDefault="00D30C3F" w:rsidP="00F8167A">
      <w:pPr>
        <w:jc w:val="both"/>
        <w:rPr>
          <w:rFonts w:asciiTheme="majorBidi" w:hAnsiTheme="majorBidi" w:cstheme="majorBidi"/>
        </w:rPr>
      </w:pPr>
      <w:r w:rsidRPr="00D30C3F">
        <w:rPr>
          <w:rFonts w:asciiTheme="majorBidi" w:hAnsiTheme="majorBidi" w:cstheme="majorBidi"/>
        </w:rPr>
        <w:t>In this regard, the Egyptian state has placed significant emphasis in recent years on expanding health coverage and improving the quality of medical services for all citizens. Since 2018, the state has implemented a comprehensive health insurance system, a pivotal step toward ensuring complete health coverage for all citizens by 2030. This system aims to cover all individuals residing in the country under mandatory health insurance. As of May 2025, approximately 12.8 million citizens have benefited from the comprehensive health insurance system, reflecting the state’s constitutional commitment to the right to health in a comprehensive and just manner.</w:t>
      </w:r>
      <w:r w:rsidR="003A7E12" w:rsidRPr="00E31DF9">
        <w:rPr>
          <w:rStyle w:val="FootnoteReference"/>
          <w:rFonts w:asciiTheme="majorBidi" w:hAnsiTheme="majorBidi" w:cstheme="majorBidi"/>
        </w:rPr>
        <w:footnoteReference w:id="9"/>
      </w:r>
    </w:p>
    <w:p w14:paraId="64F64C68" w14:textId="4AC9B6DF" w:rsidR="00D30C3F" w:rsidRPr="00D30C3F" w:rsidRDefault="00D30C3F" w:rsidP="007409C6">
      <w:pPr>
        <w:jc w:val="both"/>
        <w:rPr>
          <w:rFonts w:asciiTheme="majorBidi" w:hAnsiTheme="majorBidi" w:cstheme="majorBidi"/>
        </w:rPr>
      </w:pPr>
      <w:r w:rsidRPr="00D30C3F">
        <w:rPr>
          <w:rFonts w:asciiTheme="majorBidi" w:hAnsiTheme="majorBidi" w:cstheme="majorBidi"/>
        </w:rPr>
        <w:t xml:space="preserve">Moreover, the government has launched a wide range of national initiatives under the slogan "100 </w:t>
      </w:r>
      <w:proofErr w:type="gramStart"/>
      <w:r w:rsidR="003A7E12" w:rsidRPr="00E31DF9">
        <w:rPr>
          <w:rFonts w:asciiTheme="majorBidi" w:hAnsiTheme="majorBidi" w:cstheme="majorBidi"/>
        </w:rPr>
        <w:t>Million</w:t>
      </w:r>
      <w:proofErr w:type="gramEnd"/>
      <w:r w:rsidR="003A7E12" w:rsidRPr="00E31DF9">
        <w:rPr>
          <w:rFonts w:asciiTheme="majorBidi" w:hAnsiTheme="majorBidi" w:cstheme="majorBidi"/>
        </w:rPr>
        <w:t xml:space="preserve"> </w:t>
      </w:r>
      <w:proofErr w:type="spellStart"/>
      <w:r w:rsidR="003A7E12" w:rsidRPr="00E31DF9">
        <w:rPr>
          <w:rFonts w:asciiTheme="majorBidi" w:hAnsiTheme="majorBidi" w:cstheme="majorBidi"/>
        </w:rPr>
        <w:t>Seha</w:t>
      </w:r>
      <w:proofErr w:type="spellEnd"/>
      <w:r w:rsidRPr="00D30C3F">
        <w:rPr>
          <w:rFonts w:asciiTheme="majorBidi" w:hAnsiTheme="majorBidi" w:cstheme="majorBidi"/>
        </w:rPr>
        <w:t>," aiming to achieve comprehensive healthcare and ensure easy access to medical services. By August 2025, over 80 million people have benefited from these initiatives. Notable initiatives include the campaign to eliminate Hepatitis C and screen for non-communicable diseases, which involved medical screening for over 50 million citizens and provided treatment to 1.8 million diabetes patients and 10 million hypertension patients.</w:t>
      </w:r>
      <w:r w:rsidR="007409C6" w:rsidRPr="00E31DF9">
        <w:rPr>
          <w:rStyle w:val="FootnoteReference"/>
          <w:rFonts w:asciiTheme="majorBidi" w:hAnsiTheme="majorBidi" w:cstheme="majorBidi"/>
        </w:rPr>
        <w:footnoteReference w:id="10"/>
      </w:r>
      <w:r w:rsidRPr="00D30C3F">
        <w:rPr>
          <w:rFonts w:asciiTheme="majorBidi" w:hAnsiTheme="majorBidi" w:cstheme="majorBidi"/>
        </w:rPr>
        <w:t xml:space="preserve"> Additionally, an initiative for early detection of </w:t>
      </w:r>
      <w:proofErr w:type="spellStart"/>
      <w:r w:rsidRPr="00D30C3F">
        <w:rPr>
          <w:rFonts w:asciiTheme="majorBidi" w:hAnsiTheme="majorBidi" w:cstheme="majorBidi"/>
        </w:rPr>
        <w:t>anemia</w:t>
      </w:r>
      <w:proofErr w:type="spellEnd"/>
      <w:r w:rsidRPr="00D30C3F">
        <w:rPr>
          <w:rFonts w:asciiTheme="majorBidi" w:hAnsiTheme="majorBidi" w:cstheme="majorBidi"/>
        </w:rPr>
        <w:t>, obesity, and stunting targeted schoolchildren, with over 22 million students examined and results electronically linked to more than 3,000 clinics for necessary treatment.</w:t>
      </w:r>
      <w:r w:rsidR="007409C6" w:rsidRPr="00E31DF9">
        <w:rPr>
          <w:rFonts w:asciiTheme="majorBidi" w:hAnsiTheme="majorBidi" w:cstheme="majorBidi"/>
        </w:rPr>
        <w:t xml:space="preserve"> </w:t>
      </w:r>
      <w:r w:rsidRPr="00D30C3F">
        <w:rPr>
          <w:rFonts w:asciiTheme="majorBidi" w:hAnsiTheme="majorBidi" w:cstheme="majorBidi"/>
        </w:rPr>
        <w:t xml:space="preserve">Other initiatives include supporting Egyptian </w:t>
      </w:r>
      <w:r w:rsidRPr="00D30C3F">
        <w:rPr>
          <w:rFonts w:asciiTheme="majorBidi" w:hAnsiTheme="majorBidi" w:cstheme="majorBidi"/>
        </w:rPr>
        <w:lastRenderedPageBreak/>
        <w:t xml:space="preserve">women’s health for early detection of breast </w:t>
      </w:r>
      <w:proofErr w:type="spellStart"/>
      <w:r w:rsidRPr="00D30C3F">
        <w:rPr>
          <w:rFonts w:asciiTheme="majorBidi" w:hAnsiTheme="majorBidi" w:cstheme="majorBidi"/>
        </w:rPr>
        <w:t>tumors</w:t>
      </w:r>
      <w:proofErr w:type="spellEnd"/>
      <w:r w:rsidRPr="00D30C3F">
        <w:rPr>
          <w:rFonts w:asciiTheme="majorBidi" w:hAnsiTheme="majorBidi" w:cstheme="majorBidi"/>
        </w:rPr>
        <w:t xml:space="preserve"> and chronic diseases, and a maternal and </w:t>
      </w:r>
      <w:proofErr w:type="spellStart"/>
      <w:r w:rsidRPr="00D30C3F">
        <w:rPr>
          <w:rFonts w:asciiTheme="majorBidi" w:hAnsiTheme="majorBidi" w:cstheme="majorBidi"/>
        </w:rPr>
        <w:t>fetal</w:t>
      </w:r>
      <w:proofErr w:type="spellEnd"/>
      <w:r w:rsidRPr="00D30C3F">
        <w:rPr>
          <w:rFonts w:asciiTheme="majorBidi" w:hAnsiTheme="majorBidi" w:cstheme="majorBidi"/>
        </w:rPr>
        <w:t xml:space="preserve"> health initiative that offers monitoring and early detection services during pregnancy. The initiative for the detection and treatment of hearing impairment in newborns has screened more than 1.25 million infants since its launch in September 2019.</w:t>
      </w:r>
      <w:r w:rsidR="007409C6" w:rsidRPr="00E31DF9">
        <w:rPr>
          <w:rStyle w:val="FootnoteReference"/>
          <w:rFonts w:asciiTheme="majorBidi" w:hAnsiTheme="majorBidi" w:cstheme="majorBidi"/>
        </w:rPr>
        <w:footnoteReference w:id="11"/>
      </w:r>
    </w:p>
    <w:p w14:paraId="57DE229F" w14:textId="77777777" w:rsidR="00D30C3F" w:rsidRPr="00D30C3F" w:rsidRDefault="00D30C3F" w:rsidP="00F8167A">
      <w:pPr>
        <w:jc w:val="both"/>
        <w:rPr>
          <w:rFonts w:asciiTheme="majorBidi" w:hAnsiTheme="majorBidi" w:cstheme="majorBidi"/>
        </w:rPr>
      </w:pPr>
      <w:r w:rsidRPr="00D30C3F">
        <w:rPr>
          <w:rFonts w:asciiTheme="majorBidi" w:hAnsiTheme="majorBidi" w:cstheme="majorBidi"/>
        </w:rPr>
        <w:t>Furthermore, the initiative for early detection of chronic diseases and kidney disorders has contributed to examining millions of citizens and providing early treatment for detected cases, thereby helping to reduce mortality rates and long-term health burdens. Collectively, these initiatives represent a model for integrating preventive and curative health policies, illustrating the state’s success in transitioning from a reactive treatment approach to a public health strategy focused on prevention and early detection, improving public health indicators and enhancing equity in access to medical services.</w:t>
      </w:r>
    </w:p>
    <w:p w14:paraId="5066FF06" w14:textId="7D20C39B" w:rsidR="00D30C3F" w:rsidRPr="00D30C3F" w:rsidRDefault="00D30C3F" w:rsidP="00F8167A">
      <w:pPr>
        <w:jc w:val="both"/>
        <w:rPr>
          <w:rFonts w:asciiTheme="majorBidi" w:hAnsiTheme="majorBidi" w:cstheme="majorBidi"/>
        </w:rPr>
      </w:pPr>
      <w:r w:rsidRPr="00D30C3F">
        <w:rPr>
          <w:rFonts w:asciiTheme="majorBidi" w:hAnsiTheme="majorBidi" w:cstheme="majorBidi"/>
        </w:rPr>
        <w:t>Despite these extensive government efforts aimed at enhancing the right to health through major national projects and initiatives, the reality still faces fundamental challenges. The healthcare sector is under severe pressure due to rapid population growth and a shortage of medical personnel. According to official estimates from the Egyptian Medical Syndicate, the average number of doctors in Egypt is just 8.6 per 10,000 citizens, compared to the global average of 23 doctors. This indicates a significant shortfall in the medical services provided to citizens. Although government spending on healthcare in Egypt has increased, it has not exceeded 1.17% of the Gross Domestic Product, which is substantially lower than the constitutional requirement of 3%.</w:t>
      </w:r>
      <w:r w:rsidR="007409C6" w:rsidRPr="00E31DF9">
        <w:rPr>
          <w:rStyle w:val="FootnoteReference"/>
          <w:rFonts w:asciiTheme="majorBidi" w:hAnsiTheme="majorBidi" w:cstheme="majorBidi"/>
        </w:rPr>
        <w:footnoteReference w:id="12"/>
      </w:r>
      <w:r w:rsidRPr="00D30C3F">
        <w:rPr>
          <w:rFonts w:asciiTheme="majorBidi" w:hAnsiTheme="majorBidi" w:cstheme="majorBidi"/>
        </w:rPr>
        <w:t xml:space="preserve"> This limitation affects the quality of healthcare services, particularly in rural and underserved areas. Furthermore, rising inflation rates exceeding 35% have increased the burden of accessing healthcare services and medications, forcing families to bear the majority of healthcare costs from their own incomes, which limits equal opportunities to enjoy the right to health and exacerbates the plight of low-income groups.</w:t>
      </w:r>
      <w:r w:rsidR="007409C6" w:rsidRPr="00E31DF9">
        <w:rPr>
          <w:rStyle w:val="FootnoteReference"/>
          <w:rFonts w:asciiTheme="majorBidi" w:hAnsiTheme="majorBidi" w:cstheme="majorBidi"/>
        </w:rPr>
        <w:footnoteReference w:id="13"/>
      </w:r>
    </w:p>
    <w:p w14:paraId="1A525921" w14:textId="77777777" w:rsidR="00D30C3F" w:rsidRPr="00D30C3F" w:rsidRDefault="00D30C3F" w:rsidP="007409C6">
      <w:pPr>
        <w:shd w:val="clear" w:color="auto" w:fill="95DCF7" w:themeFill="accent4" w:themeFillTint="66"/>
        <w:jc w:val="both"/>
        <w:rPr>
          <w:rFonts w:asciiTheme="majorBidi" w:hAnsiTheme="majorBidi" w:cstheme="majorBidi"/>
        </w:rPr>
      </w:pPr>
      <w:r w:rsidRPr="00D30C3F">
        <w:rPr>
          <w:rFonts w:asciiTheme="majorBidi" w:hAnsiTheme="majorBidi" w:cstheme="majorBidi"/>
          <w:b/>
          <w:bCs/>
        </w:rPr>
        <w:t>The Right to Education</w:t>
      </w:r>
    </w:p>
    <w:p w14:paraId="6432198F" w14:textId="1E7B6EF4" w:rsidR="00D30C3F" w:rsidRPr="00D30C3F" w:rsidRDefault="00D30C3F" w:rsidP="00F8167A">
      <w:pPr>
        <w:jc w:val="both"/>
        <w:rPr>
          <w:rFonts w:asciiTheme="majorBidi" w:hAnsiTheme="majorBidi" w:cstheme="majorBidi"/>
        </w:rPr>
      </w:pPr>
      <w:r w:rsidRPr="00D30C3F">
        <w:rPr>
          <w:rFonts w:asciiTheme="majorBidi" w:hAnsiTheme="majorBidi" w:cstheme="majorBidi"/>
        </w:rPr>
        <w:t xml:space="preserve">The Arab Republic of Egypt is obligated under Articles 13 and 14 of the </w:t>
      </w:r>
      <w:proofErr w:type="spellStart"/>
      <w:r w:rsidR="008136A7" w:rsidRPr="00E31DF9">
        <w:rPr>
          <w:rFonts w:asciiTheme="majorBidi" w:hAnsiTheme="majorBidi" w:cstheme="majorBidi"/>
        </w:rPr>
        <w:t>ICESCR</w:t>
      </w:r>
      <w:proofErr w:type="spellEnd"/>
      <w:r w:rsidRPr="00D30C3F">
        <w:rPr>
          <w:rFonts w:asciiTheme="majorBidi" w:hAnsiTheme="majorBidi" w:cstheme="majorBidi"/>
        </w:rPr>
        <w:t xml:space="preserve"> to guarantee the right to education and training, which includes compulsory and free primary education, improving the quality of education, and expanding opportunities for all citizens.</w:t>
      </w:r>
    </w:p>
    <w:p w14:paraId="710B633B" w14:textId="77777777" w:rsidR="00D30C3F" w:rsidRPr="00D30C3F" w:rsidRDefault="00D30C3F" w:rsidP="00F8167A">
      <w:pPr>
        <w:jc w:val="both"/>
        <w:rPr>
          <w:rFonts w:asciiTheme="majorBidi" w:hAnsiTheme="majorBidi" w:cstheme="majorBidi"/>
        </w:rPr>
      </w:pPr>
      <w:r w:rsidRPr="00D30C3F">
        <w:rPr>
          <w:rFonts w:asciiTheme="majorBidi" w:hAnsiTheme="majorBidi" w:cstheme="majorBidi"/>
        </w:rPr>
        <w:t>In this context, the Egyptian state has placed particular emphasis on developing pre-university and higher education as a foundation for human development and social justice. Since 2022, the Ministry of Education and Technical Education has initiated a plan to hire 30,000 teaching assistants annually for five years, which aims to appoint 150,000 new teachers to address the existing shortage and meet educational needs.</w:t>
      </w:r>
    </w:p>
    <w:p w14:paraId="5CEAB7EE" w14:textId="57BA4541" w:rsidR="00D30C3F" w:rsidRPr="00D30C3F" w:rsidRDefault="00D30C3F" w:rsidP="00F8167A">
      <w:pPr>
        <w:jc w:val="both"/>
        <w:rPr>
          <w:rFonts w:asciiTheme="majorBidi" w:hAnsiTheme="majorBidi" w:cstheme="majorBidi"/>
        </w:rPr>
      </w:pPr>
      <w:r w:rsidRPr="00D30C3F">
        <w:rPr>
          <w:rFonts w:asciiTheme="majorBidi" w:hAnsiTheme="majorBidi" w:cstheme="majorBidi"/>
        </w:rPr>
        <w:lastRenderedPageBreak/>
        <w:t>Regarding educational infrastructure, from 2014 to 2024, the state established nearly 128,000 new classrooms, bringing the total number of classrooms for the 2023/2024 academic year to about 550,000, distributed across 298,698 school buildings. This reflects a notable expansion in accommodating population growth and meeting the increasing demand for education. The state has also invested in enhancing the efficiency of educational staff, with approximately 629,700 teachers in primary grades trained on the new education system, thereby strengthening their ability to apply modern curricula focused on interaction and skill development.</w:t>
      </w:r>
      <w:r w:rsidR="00114615" w:rsidRPr="00E31DF9">
        <w:rPr>
          <w:rStyle w:val="FootnoteReference"/>
          <w:rFonts w:asciiTheme="majorBidi" w:hAnsiTheme="majorBidi" w:cstheme="majorBidi"/>
        </w:rPr>
        <w:footnoteReference w:id="14"/>
      </w:r>
    </w:p>
    <w:p w14:paraId="339F1C13" w14:textId="0F37E779" w:rsidR="00D30C3F" w:rsidRPr="00D30C3F" w:rsidRDefault="00D30C3F" w:rsidP="00F8167A">
      <w:pPr>
        <w:jc w:val="both"/>
        <w:rPr>
          <w:rFonts w:asciiTheme="majorBidi" w:hAnsiTheme="majorBidi" w:cstheme="majorBidi"/>
        </w:rPr>
      </w:pPr>
      <w:r w:rsidRPr="00D30C3F">
        <w:rPr>
          <w:rFonts w:asciiTheme="majorBidi" w:hAnsiTheme="majorBidi" w:cstheme="majorBidi"/>
        </w:rPr>
        <w:t>The "Decent Life" project has further reinforced these efforts by replacing and renovating more than 15,000 classrooms by mid-2025 to improve the learning environment and make it safer and more inclusive. More than 55% of these interventions have taken place in Upper Egypt, reflecting the state’s commitment to addressing developmental gaps and improving the quality of education in priority areas.</w:t>
      </w:r>
      <w:r w:rsidR="00114615" w:rsidRPr="00E31DF9">
        <w:rPr>
          <w:rStyle w:val="FootnoteReference"/>
          <w:rFonts w:asciiTheme="majorBidi" w:hAnsiTheme="majorBidi" w:cstheme="majorBidi"/>
        </w:rPr>
        <w:footnoteReference w:id="15"/>
      </w:r>
    </w:p>
    <w:p w14:paraId="7A04CCFB" w14:textId="5B8EB540" w:rsidR="00D30C3F" w:rsidRPr="00D30C3F" w:rsidRDefault="00D30C3F" w:rsidP="00F8167A">
      <w:pPr>
        <w:jc w:val="both"/>
        <w:rPr>
          <w:rFonts w:asciiTheme="majorBidi" w:hAnsiTheme="majorBidi" w:cstheme="majorBidi"/>
        </w:rPr>
      </w:pPr>
      <w:r w:rsidRPr="00D30C3F">
        <w:rPr>
          <w:rFonts w:asciiTheme="majorBidi" w:hAnsiTheme="majorBidi" w:cstheme="majorBidi"/>
        </w:rPr>
        <w:t>Regarding financial resources, the budget for the fiscal year 2024/2025 allocated about 35.5 billion Egyptian pounds for expanding the construction of classrooms and religious institutes at the pre-university education stage. The total allocations for pre-university and higher education and scientific research reached about 998.1 billion Egyptian pounds, including 565.2 billion pounds for pre-university education, 293.1 billion pounds for higher education, and 140.1 billion pounds for scientific research. These efforts have led to an increase in the capacity of schools, with the number of students enrolled in pre-university education during the 2025/2026 academic year reaching approximately 25.68 million students in public and private schools nationwide. This reflects the success of government policies in expanding the base of beneficiaries of the right to education and ensuring its continuity with better quality.</w:t>
      </w:r>
      <w:r w:rsidR="00114615" w:rsidRPr="00E31DF9">
        <w:rPr>
          <w:rStyle w:val="FootnoteReference"/>
          <w:rFonts w:asciiTheme="majorBidi" w:hAnsiTheme="majorBidi" w:cstheme="majorBidi"/>
        </w:rPr>
        <w:footnoteReference w:id="16"/>
      </w:r>
    </w:p>
    <w:p w14:paraId="71D23D84" w14:textId="2F3FDC31" w:rsidR="00F8167A" w:rsidRPr="00F8167A" w:rsidRDefault="00F8167A" w:rsidP="00F8167A">
      <w:pPr>
        <w:jc w:val="both"/>
        <w:rPr>
          <w:rFonts w:asciiTheme="majorBidi" w:hAnsiTheme="majorBidi" w:cstheme="majorBidi"/>
        </w:rPr>
      </w:pPr>
      <w:r w:rsidRPr="00F8167A">
        <w:rPr>
          <w:rFonts w:asciiTheme="majorBidi" w:hAnsiTheme="majorBidi" w:cstheme="majorBidi"/>
        </w:rPr>
        <w:t>Despite these extensive government efforts aimed at enhancing the right to education through national programs and significant investments, the reality still faces major structural challenges. Weak spending on education remains one of the most prominent obstacles, as it has not exceeded 1.72% of the Gross Domestic Product, which is far below the constitutional requirement of 6%.</w:t>
      </w:r>
      <w:r w:rsidR="00114615" w:rsidRPr="00E31DF9">
        <w:rPr>
          <w:rStyle w:val="FootnoteReference"/>
          <w:rFonts w:asciiTheme="majorBidi" w:hAnsiTheme="majorBidi" w:cstheme="majorBidi"/>
        </w:rPr>
        <w:footnoteReference w:id="17"/>
      </w:r>
      <w:r w:rsidRPr="00F8167A">
        <w:rPr>
          <w:rFonts w:asciiTheme="majorBidi" w:hAnsiTheme="majorBidi" w:cstheme="majorBidi"/>
        </w:rPr>
        <w:t xml:space="preserve"> This shortcoming has resulted in a deficit of over 320,000 teachers, alongside an urgent need to build approximately 117,000 classrooms to reduce high densities within classrooms. Additionally, the imbalance in the distribution of schools between urban and rural areas exacerbates the gap in educational opportunities and negatively impacts the </w:t>
      </w:r>
      <w:r w:rsidRPr="00F8167A">
        <w:rPr>
          <w:rFonts w:asciiTheme="majorBidi" w:hAnsiTheme="majorBidi" w:cstheme="majorBidi"/>
        </w:rPr>
        <w:lastRenderedPageBreak/>
        <w:t>quality of the educational process and its outcomes, reflecting the ongoing challenges to fully enjoying the right to education.</w:t>
      </w:r>
      <w:r w:rsidR="00114615" w:rsidRPr="00E31DF9">
        <w:rPr>
          <w:rStyle w:val="FootnoteReference"/>
          <w:rFonts w:asciiTheme="majorBidi" w:hAnsiTheme="majorBidi" w:cstheme="majorBidi"/>
        </w:rPr>
        <w:footnoteReference w:id="18"/>
      </w:r>
    </w:p>
    <w:p w14:paraId="298ED2D0" w14:textId="77777777" w:rsidR="00F8167A" w:rsidRPr="00F8167A" w:rsidRDefault="00F8167A" w:rsidP="00114615">
      <w:pPr>
        <w:shd w:val="clear" w:color="auto" w:fill="95DCF7" w:themeFill="accent4" w:themeFillTint="66"/>
        <w:jc w:val="both"/>
        <w:rPr>
          <w:rFonts w:asciiTheme="majorBidi" w:hAnsiTheme="majorBidi" w:cstheme="majorBidi"/>
          <w:b/>
          <w:bCs/>
        </w:rPr>
      </w:pPr>
      <w:r w:rsidRPr="00F8167A">
        <w:rPr>
          <w:rFonts w:asciiTheme="majorBidi" w:hAnsiTheme="majorBidi" w:cstheme="majorBidi"/>
          <w:b/>
          <w:bCs/>
        </w:rPr>
        <w:t>List of Issues:</w:t>
      </w:r>
    </w:p>
    <w:p w14:paraId="673A31BA" w14:textId="6983479F" w:rsidR="00F8167A" w:rsidRPr="00F8167A" w:rsidRDefault="00F8167A" w:rsidP="00F8167A">
      <w:pPr>
        <w:jc w:val="both"/>
        <w:rPr>
          <w:rFonts w:asciiTheme="majorBidi" w:hAnsiTheme="majorBidi" w:cstheme="majorBidi"/>
        </w:rPr>
      </w:pPr>
      <w:r w:rsidRPr="00F8167A">
        <w:rPr>
          <w:rFonts w:asciiTheme="majorBidi" w:hAnsiTheme="majorBidi" w:cstheme="majorBidi"/>
        </w:rPr>
        <w:t>In light of the above, the "Partners for Transparency" seeks to obtain information from the state party regarding the following issues:</w:t>
      </w:r>
    </w:p>
    <w:p w14:paraId="3E92A74E" w14:textId="77777777" w:rsidR="00F8167A" w:rsidRPr="00F8167A" w:rsidRDefault="00F8167A" w:rsidP="00F8167A">
      <w:pPr>
        <w:jc w:val="both"/>
        <w:rPr>
          <w:rFonts w:asciiTheme="majorBidi" w:hAnsiTheme="majorBidi" w:cstheme="majorBidi"/>
        </w:rPr>
      </w:pPr>
      <w:r w:rsidRPr="00F8167A">
        <w:rPr>
          <w:rFonts w:asciiTheme="majorBidi" w:hAnsiTheme="majorBidi" w:cstheme="majorBidi"/>
          <w:b/>
          <w:bCs/>
        </w:rPr>
        <w:t>The Right to Work under Fair and Satisfactory Conditions:</w:t>
      </w:r>
    </w:p>
    <w:p w14:paraId="1B29230B" w14:textId="77777777" w:rsidR="00F8167A" w:rsidRPr="00F8167A" w:rsidRDefault="00F8167A" w:rsidP="00F8167A">
      <w:pPr>
        <w:numPr>
          <w:ilvl w:val="0"/>
          <w:numId w:val="1"/>
        </w:numPr>
        <w:jc w:val="both"/>
        <w:rPr>
          <w:rFonts w:asciiTheme="majorBidi" w:hAnsiTheme="majorBidi" w:cstheme="majorBidi"/>
        </w:rPr>
      </w:pPr>
      <w:r w:rsidRPr="00F8167A">
        <w:rPr>
          <w:rFonts w:asciiTheme="majorBidi" w:hAnsiTheme="majorBidi" w:cstheme="majorBidi"/>
        </w:rPr>
        <w:t>What steps is the Egyptian government taking to ensure the effective implementation of the new Labor Law No. 14 of 2025, particularly concerning combating arbitrary dismissal and ensuring equality in wages and working conditions?</w:t>
      </w:r>
    </w:p>
    <w:p w14:paraId="14323052" w14:textId="77777777" w:rsidR="00F8167A" w:rsidRPr="00F8167A" w:rsidRDefault="00F8167A" w:rsidP="00F8167A">
      <w:pPr>
        <w:numPr>
          <w:ilvl w:val="0"/>
          <w:numId w:val="1"/>
        </w:numPr>
        <w:jc w:val="both"/>
        <w:rPr>
          <w:rFonts w:asciiTheme="majorBidi" w:hAnsiTheme="majorBidi" w:cstheme="majorBidi"/>
        </w:rPr>
      </w:pPr>
      <w:r w:rsidRPr="00F8167A">
        <w:rPr>
          <w:rFonts w:asciiTheme="majorBidi" w:hAnsiTheme="majorBidi" w:cstheme="majorBidi"/>
        </w:rPr>
        <w:t>Please provide updated data on employment in the informal economy, including information on social-demographic characteristics, industry, working hours, and income for different workforce categories.</w:t>
      </w:r>
    </w:p>
    <w:p w14:paraId="64746CAA" w14:textId="77777777" w:rsidR="00F8167A" w:rsidRPr="00F8167A" w:rsidRDefault="00F8167A" w:rsidP="00F8167A">
      <w:pPr>
        <w:numPr>
          <w:ilvl w:val="0"/>
          <w:numId w:val="1"/>
        </w:numPr>
        <w:jc w:val="both"/>
        <w:rPr>
          <w:rFonts w:asciiTheme="majorBidi" w:hAnsiTheme="majorBidi" w:cstheme="majorBidi"/>
        </w:rPr>
      </w:pPr>
      <w:r w:rsidRPr="00F8167A">
        <w:rPr>
          <w:rFonts w:asciiTheme="majorBidi" w:hAnsiTheme="majorBidi" w:cstheme="majorBidi"/>
        </w:rPr>
        <w:t xml:space="preserve">Given the continued high levels of informal employment, what policies is the government implementing to integrate these groups into the formal economy and ensure they receive social and </w:t>
      </w:r>
      <w:proofErr w:type="spellStart"/>
      <w:r w:rsidRPr="00F8167A">
        <w:rPr>
          <w:rFonts w:asciiTheme="majorBidi" w:hAnsiTheme="majorBidi" w:cstheme="majorBidi"/>
        </w:rPr>
        <w:t>labor</w:t>
      </w:r>
      <w:proofErr w:type="spellEnd"/>
      <w:r w:rsidRPr="00F8167A">
        <w:rPr>
          <w:rFonts w:asciiTheme="majorBidi" w:hAnsiTheme="majorBidi" w:cstheme="majorBidi"/>
        </w:rPr>
        <w:t xml:space="preserve"> protections?</w:t>
      </w:r>
    </w:p>
    <w:p w14:paraId="61799C68" w14:textId="77777777" w:rsidR="00F8167A" w:rsidRPr="00F8167A" w:rsidRDefault="00F8167A" w:rsidP="00F8167A">
      <w:pPr>
        <w:numPr>
          <w:ilvl w:val="0"/>
          <w:numId w:val="1"/>
        </w:numPr>
        <w:jc w:val="both"/>
        <w:rPr>
          <w:rFonts w:asciiTheme="majorBidi" w:hAnsiTheme="majorBidi" w:cstheme="majorBidi"/>
        </w:rPr>
      </w:pPr>
      <w:r w:rsidRPr="00F8167A">
        <w:rPr>
          <w:rFonts w:asciiTheme="majorBidi" w:hAnsiTheme="majorBidi" w:cstheme="majorBidi"/>
        </w:rPr>
        <w:t xml:space="preserve">What measures are being taken to ensure equal opportunities between genders in employment and promotion within the </w:t>
      </w:r>
      <w:proofErr w:type="spellStart"/>
      <w:r w:rsidRPr="00F8167A">
        <w:rPr>
          <w:rFonts w:asciiTheme="majorBidi" w:hAnsiTheme="majorBidi" w:cstheme="majorBidi"/>
        </w:rPr>
        <w:t>labor</w:t>
      </w:r>
      <w:proofErr w:type="spellEnd"/>
      <w:r w:rsidRPr="00F8167A">
        <w:rPr>
          <w:rFonts w:asciiTheme="majorBidi" w:hAnsiTheme="majorBidi" w:cstheme="majorBidi"/>
        </w:rPr>
        <w:t xml:space="preserve"> market, particularly in the public and private sectors?</w:t>
      </w:r>
    </w:p>
    <w:p w14:paraId="11723C24" w14:textId="77777777" w:rsidR="00F8167A" w:rsidRPr="00F8167A" w:rsidRDefault="00F8167A" w:rsidP="00F8167A">
      <w:pPr>
        <w:jc w:val="both"/>
        <w:rPr>
          <w:rFonts w:asciiTheme="majorBidi" w:hAnsiTheme="majorBidi" w:cstheme="majorBidi"/>
        </w:rPr>
      </w:pPr>
      <w:r w:rsidRPr="00F8167A">
        <w:rPr>
          <w:rFonts w:asciiTheme="majorBidi" w:hAnsiTheme="majorBidi" w:cstheme="majorBidi"/>
          <w:b/>
          <w:bCs/>
        </w:rPr>
        <w:t>The Right to an Adequate Standard of Living:</w:t>
      </w:r>
    </w:p>
    <w:p w14:paraId="6679FC4E" w14:textId="77777777" w:rsidR="00F8167A" w:rsidRPr="00F8167A" w:rsidRDefault="00F8167A" w:rsidP="00F8167A">
      <w:pPr>
        <w:numPr>
          <w:ilvl w:val="0"/>
          <w:numId w:val="2"/>
        </w:numPr>
        <w:jc w:val="both"/>
        <w:rPr>
          <w:rFonts w:asciiTheme="majorBidi" w:hAnsiTheme="majorBidi" w:cstheme="majorBidi"/>
        </w:rPr>
      </w:pPr>
      <w:r w:rsidRPr="00F8167A">
        <w:rPr>
          <w:rFonts w:asciiTheme="majorBidi" w:hAnsiTheme="majorBidi" w:cstheme="majorBidi"/>
        </w:rPr>
        <w:t>How does the Egyptian government assess the impact of social protection programs such as "Takaful and Karama" and the food support system in reducing poverty rates and improving living standards?</w:t>
      </w:r>
    </w:p>
    <w:p w14:paraId="70D12442" w14:textId="77777777" w:rsidR="00F8167A" w:rsidRPr="00F8167A" w:rsidRDefault="00F8167A" w:rsidP="00F8167A">
      <w:pPr>
        <w:numPr>
          <w:ilvl w:val="0"/>
          <w:numId w:val="2"/>
        </w:numPr>
        <w:jc w:val="both"/>
        <w:rPr>
          <w:rFonts w:asciiTheme="majorBidi" w:hAnsiTheme="majorBidi" w:cstheme="majorBidi"/>
        </w:rPr>
      </w:pPr>
      <w:r w:rsidRPr="00F8167A">
        <w:rPr>
          <w:rFonts w:asciiTheme="majorBidi" w:hAnsiTheme="majorBidi" w:cstheme="majorBidi"/>
        </w:rPr>
        <w:t>What steps is the state taking to address the gap between the value of assistance provided and rising inflation rates exceeding 35%, ensuring the preservation of purchasing power for low-income households?</w:t>
      </w:r>
    </w:p>
    <w:p w14:paraId="2268F5B5" w14:textId="77777777" w:rsidR="00F8167A" w:rsidRPr="00F8167A" w:rsidRDefault="00F8167A" w:rsidP="00F8167A">
      <w:pPr>
        <w:numPr>
          <w:ilvl w:val="0"/>
          <w:numId w:val="2"/>
        </w:numPr>
        <w:jc w:val="both"/>
        <w:rPr>
          <w:rFonts w:asciiTheme="majorBidi" w:hAnsiTheme="majorBidi" w:cstheme="majorBidi"/>
        </w:rPr>
      </w:pPr>
      <w:r w:rsidRPr="00F8167A">
        <w:rPr>
          <w:rFonts w:asciiTheme="majorBidi" w:hAnsiTheme="majorBidi" w:cstheme="majorBidi"/>
        </w:rPr>
        <w:t>What measures are being taken to continue the development of unsafe and informal areas and ensure the sustainability of these efforts to guarantee adequate housing for all citizens?</w:t>
      </w:r>
    </w:p>
    <w:p w14:paraId="2FA6F2CD" w14:textId="77777777" w:rsidR="00F8167A" w:rsidRPr="00F8167A" w:rsidRDefault="00F8167A" w:rsidP="00F8167A">
      <w:pPr>
        <w:jc w:val="both"/>
        <w:rPr>
          <w:rFonts w:asciiTheme="majorBidi" w:hAnsiTheme="majorBidi" w:cstheme="majorBidi"/>
        </w:rPr>
      </w:pPr>
      <w:r w:rsidRPr="00F8167A">
        <w:rPr>
          <w:rFonts w:asciiTheme="majorBidi" w:hAnsiTheme="majorBidi" w:cstheme="majorBidi"/>
          <w:b/>
          <w:bCs/>
        </w:rPr>
        <w:t>The Right to the Highest Attainable Standard of Physical and Mental Health:</w:t>
      </w:r>
    </w:p>
    <w:p w14:paraId="32BD7857" w14:textId="77777777" w:rsidR="00F8167A" w:rsidRPr="00F8167A" w:rsidRDefault="00F8167A" w:rsidP="00F8167A">
      <w:pPr>
        <w:numPr>
          <w:ilvl w:val="0"/>
          <w:numId w:val="3"/>
        </w:numPr>
        <w:jc w:val="both"/>
        <w:rPr>
          <w:rFonts w:asciiTheme="majorBidi" w:hAnsiTheme="majorBidi" w:cstheme="majorBidi"/>
        </w:rPr>
      </w:pPr>
      <w:r w:rsidRPr="00F8167A">
        <w:rPr>
          <w:rFonts w:asciiTheme="majorBidi" w:hAnsiTheme="majorBidi" w:cstheme="majorBidi"/>
        </w:rPr>
        <w:t>What steps is the government taking to accelerate comprehensive coverage under the universal health insurance system and ensure its sustainability?</w:t>
      </w:r>
    </w:p>
    <w:p w14:paraId="29BE8197" w14:textId="77777777" w:rsidR="00F8167A" w:rsidRPr="00F8167A" w:rsidRDefault="00F8167A" w:rsidP="00F8167A">
      <w:pPr>
        <w:numPr>
          <w:ilvl w:val="0"/>
          <w:numId w:val="3"/>
        </w:numPr>
        <w:jc w:val="both"/>
        <w:rPr>
          <w:rFonts w:asciiTheme="majorBidi" w:hAnsiTheme="majorBidi" w:cstheme="majorBidi"/>
        </w:rPr>
      </w:pPr>
      <w:r w:rsidRPr="00F8167A">
        <w:rPr>
          <w:rFonts w:asciiTheme="majorBidi" w:hAnsiTheme="majorBidi" w:cstheme="majorBidi"/>
        </w:rPr>
        <w:lastRenderedPageBreak/>
        <w:t>How does the state explain the gap between the number of doctors and global averages, and what policies are being adopted to address the shortage of medical personnel and improve their working conditions to reduce migration?</w:t>
      </w:r>
    </w:p>
    <w:p w14:paraId="0C7E4B7C" w14:textId="77777777" w:rsidR="00F8167A" w:rsidRPr="00F8167A" w:rsidRDefault="00F8167A" w:rsidP="00F8167A">
      <w:pPr>
        <w:numPr>
          <w:ilvl w:val="0"/>
          <w:numId w:val="3"/>
        </w:numPr>
        <w:jc w:val="both"/>
        <w:rPr>
          <w:rFonts w:asciiTheme="majorBidi" w:hAnsiTheme="majorBidi" w:cstheme="majorBidi"/>
        </w:rPr>
      </w:pPr>
      <w:r w:rsidRPr="00F8167A">
        <w:rPr>
          <w:rFonts w:asciiTheme="majorBidi" w:hAnsiTheme="majorBidi" w:cstheme="majorBidi"/>
        </w:rPr>
        <w:t>What measures are aimed at increasing government expenditure on health to align with the constitutional percentage of 3% of the Gross Domestic Product?</w:t>
      </w:r>
    </w:p>
    <w:p w14:paraId="64228E6A" w14:textId="77777777" w:rsidR="00F8167A" w:rsidRPr="00F8167A" w:rsidRDefault="00F8167A" w:rsidP="00F8167A">
      <w:pPr>
        <w:jc w:val="both"/>
        <w:rPr>
          <w:rFonts w:asciiTheme="majorBidi" w:hAnsiTheme="majorBidi" w:cstheme="majorBidi"/>
        </w:rPr>
      </w:pPr>
      <w:r w:rsidRPr="00F8167A">
        <w:rPr>
          <w:rFonts w:asciiTheme="majorBidi" w:hAnsiTheme="majorBidi" w:cstheme="majorBidi"/>
          <w:b/>
          <w:bCs/>
        </w:rPr>
        <w:t>The Right to Education:</w:t>
      </w:r>
    </w:p>
    <w:p w14:paraId="1CBE6575" w14:textId="77777777" w:rsidR="00F8167A" w:rsidRPr="00F8167A" w:rsidRDefault="00F8167A" w:rsidP="00F8167A">
      <w:pPr>
        <w:numPr>
          <w:ilvl w:val="0"/>
          <w:numId w:val="4"/>
        </w:numPr>
        <w:jc w:val="both"/>
        <w:rPr>
          <w:rFonts w:asciiTheme="majorBidi" w:hAnsiTheme="majorBidi" w:cstheme="majorBidi"/>
        </w:rPr>
      </w:pPr>
      <w:r w:rsidRPr="00F8167A">
        <w:rPr>
          <w:rFonts w:asciiTheme="majorBidi" w:hAnsiTheme="majorBidi" w:cstheme="majorBidi"/>
        </w:rPr>
        <w:t>What policies and measures is the government taking to ensure gradual increases in education allocations in accordance with the constitutional requirement of 6% of the Gross Domestic Product?</w:t>
      </w:r>
    </w:p>
    <w:p w14:paraId="4F46F106" w14:textId="77777777" w:rsidR="00F8167A" w:rsidRPr="00F8167A" w:rsidRDefault="00F8167A" w:rsidP="00F8167A">
      <w:pPr>
        <w:numPr>
          <w:ilvl w:val="0"/>
          <w:numId w:val="4"/>
        </w:numPr>
        <w:jc w:val="both"/>
        <w:rPr>
          <w:rFonts w:asciiTheme="majorBidi" w:hAnsiTheme="majorBidi" w:cstheme="majorBidi"/>
        </w:rPr>
      </w:pPr>
      <w:r w:rsidRPr="00F8167A">
        <w:rPr>
          <w:rFonts w:asciiTheme="majorBidi" w:hAnsiTheme="majorBidi" w:cstheme="majorBidi"/>
        </w:rPr>
        <w:t>How does the state plan to address the existing shortage of teachers and classrooms and reduce densities within classrooms?</w:t>
      </w:r>
    </w:p>
    <w:p w14:paraId="6F9963DF" w14:textId="77777777" w:rsidR="00F8167A" w:rsidRPr="00F8167A" w:rsidRDefault="00F8167A" w:rsidP="00F8167A">
      <w:pPr>
        <w:numPr>
          <w:ilvl w:val="0"/>
          <w:numId w:val="4"/>
        </w:numPr>
        <w:jc w:val="both"/>
        <w:rPr>
          <w:rFonts w:asciiTheme="majorBidi" w:hAnsiTheme="majorBidi" w:cstheme="majorBidi"/>
        </w:rPr>
      </w:pPr>
      <w:r w:rsidRPr="00F8167A">
        <w:rPr>
          <w:rFonts w:asciiTheme="majorBidi" w:hAnsiTheme="majorBidi" w:cstheme="majorBidi"/>
        </w:rPr>
        <w:t>What measures are being taken to ensure equal educational opportunities between governorates, particularly in rural areas and Upper Egypt?</w:t>
      </w:r>
    </w:p>
    <w:p w14:paraId="31B241EF" w14:textId="77777777" w:rsidR="00D6151D" w:rsidRPr="00E31DF9" w:rsidRDefault="00D6151D" w:rsidP="00F8167A">
      <w:pPr>
        <w:jc w:val="both"/>
        <w:rPr>
          <w:rFonts w:asciiTheme="majorBidi" w:hAnsiTheme="majorBidi" w:cstheme="majorBidi"/>
        </w:rPr>
      </w:pPr>
    </w:p>
    <w:sectPr w:rsidR="00D6151D" w:rsidRPr="00E31DF9">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F9447" w14:textId="77777777" w:rsidR="008C3A31" w:rsidRDefault="008C3A31" w:rsidP="005967FB">
      <w:pPr>
        <w:spacing w:after="0" w:line="240" w:lineRule="auto"/>
      </w:pPr>
      <w:r>
        <w:separator/>
      </w:r>
    </w:p>
  </w:endnote>
  <w:endnote w:type="continuationSeparator" w:id="0">
    <w:p w14:paraId="67CA2EBD" w14:textId="77777777" w:rsidR="008C3A31" w:rsidRDefault="008C3A31" w:rsidP="005967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E31DF9" w:rsidRPr="00E31DF9" w14:paraId="593DB664" w14:textId="77777777" w:rsidTr="00F86868">
      <w:trPr>
        <w:trHeight w:val="510"/>
      </w:trPr>
      <w:tc>
        <w:tcPr>
          <w:tcW w:w="9974" w:type="dxa"/>
          <w:gridSpan w:val="5"/>
          <w:tcBorders>
            <w:bottom w:val="nil"/>
          </w:tcBorders>
          <w:vAlign w:val="center"/>
        </w:tcPr>
        <w:p w14:paraId="6A6FCC78" w14:textId="77777777" w:rsidR="00E31DF9" w:rsidRPr="00E31DF9" w:rsidRDefault="00E31DF9" w:rsidP="00E31DF9">
          <w:pPr>
            <w:spacing w:after="0" w:line="240" w:lineRule="auto"/>
            <w:suppressOverlap/>
            <w:jc w:val="both"/>
            <w:rPr>
              <w:rFonts w:ascii="Times New Roman" w:hAnsi="Times New Roman" w:cs="Times New Roman"/>
              <w:b/>
              <w:bCs/>
              <w:color w:val="E48527"/>
              <w:sz w:val="16"/>
              <w:szCs w:val="16"/>
            </w:rPr>
          </w:pPr>
          <w:r w:rsidRPr="00E31DF9">
            <w:rPr>
              <w:rFonts w:ascii="Times New Roman" w:hAnsi="Times New Roman" w:cs="Times New Roman"/>
              <w:b/>
              <w:bCs/>
              <w:noProof/>
              <w:color w:val="E48527"/>
              <w:sz w:val="16"/>
              <w:szCs w:val="16"/>
            </w:rPr>
            <mc:AlternateContent>
              <mc:Choice Requires="wps">
                <w:drawing>
                  <wp:anchor distT="0" distB="0" distL="114300" distR="114300" simplePos="0" relativeHeight="251659264" behindDoc="0" locked="0" layoutInCell="1" allowOverlap="1" wp14:anchorId="4ABF3726" wp14:editId="24B377E3">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0EAD89"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" strokeweight="1.5pt"/>
                </w:pict>
              </mc:Fallback>
            </mc:AlternateContent>
          </w:r>
          <w:r w:rsidRPr="00E31DF9">
            <w:rPr>
              <w:rFonts w:ascii="Times New Roman" w:hAnsi="Times New Roman" w:cs="Times New Roman"/>
              <w:b/>
              <w:bCs/>
              <w:color w:val="E48527"/>
              <w:sz w:val="16"/>
              <w:szCs w:val="16"/>
            </w:rPr>
            <w:t>A.</w:t>
          </w:r>
        </w:p>
        <w:p w14:paraId="5E03F793" w14:textId="511BE09C" w:rsidR="00E31DF9" w:rsidRPr="00E31DF9" w:rsidRDefault="00E31DF9" w:rsidP="00E31DF9">
          <w:pPr>
            <w:spacing w:after="0" w:line="240" w:lineRule="auto"/>
            <w:suppressOverlap/>
            <w:jc w:val="both"/>
            <w:rPr>
              <w:rStyle w:val="apple-style-span"/>
              <w:rFonts w:ascii="Times New Roman" w:hAnsi="Times New Roman" w:cs="Times New Roman"/>
              <w:b/>
              <w:bCs/>
              <w:color w:val="006B86"/>
              <w:sz w:val="16"/>
              <w:szCs w:val="16"/>
            </w:rPr>
          </w:pPr>
          <w:r w:rsidRPr="00E31DF9">
            <w:rPr>
              <w:rFonts w:ascii="Times New Roman" w:hAnsi="Times New Roman" w:cs="Times New Roman"/>
              <w:b/>
              <w:bCs/>
              <w:color w:val="006B86"/>
              <w:sz w:val="16"/>
              <w:szCs w:val="16"/>
            </w:rPr>
            <w:t xml:space="preserve">148 </w:t>
          </w:r>
          <w:proofErr w:type="spellStart"/>
          <w:r w:rsidRPr="00E31DF9">
            <w:rPr>
              <w:rFonts w:ascii="Times New Roman" w:hAnsi="Times New Roman" w:cs="Times New Roman"/>
              <w:b/>
              <w:bCs/>
              <w:color w:val="006B86"/>
              <w:sz w:val="16"/>
              <w:szCs w:val="16"/>
            </w:rPr>
            <w:t>Misr</w:t>
          </w:r>
          <w:proofErr w:type="spellEnd"/>
          <w:r w:rsidRPr="00E31DF9">
            <w:rPr>
              <w:rFonts w:ascii="Times New Roman" w:hAnsi="Times New Roman" w:cs="Times New Roman"/>
              <w:b/>
              <w:bCs/>
              <w:color w:val="006B86"/>
              <w:sz w:val="16"/>
              <w:szCs w:val="16"/>
            </w:rPr>
            <w:t xml:space="preserve"> Helwan El-</w:t>
          </w:r>
          <w:proofErr w:type="spellStart"/>
          <w:r w:rsidRPr="00E31DF9">
            <w:rPr>
              <w:rFonts w:ascii="Times New Roman" w:hAnsi="Times New Roman" w:cs="Times New Roman"/>
              <w:b/>
              <w:bCs/>
              <w:color w:val="006B86"/>
              <w:sz w:val="16"/>
              <w:szCs w:val="16"/>
            </w:rPr>
            <w:t>Zyrae</w:t>
          </w:r>
          <w:proofErr w:type="spellEnd"/>
          <w:r w:rsidRPr="00E31DF9">
            <w:rPr>
              <w:rFonts w:ascii="Times New Roman" w:hAnsi="Times New Roman" w:cs="Times New Roman"/>
              <w:b/>
              <w:bCs/>
              <w:color w:val="006B86"/>
              <w:sz w:val="16"/>
              <w:szCs w:val="16"/>
            </w:rPr>
            <w:t xml:space="preserve"> Road, El </w:t>
          </w:r>
          <w:proofErr w:type="spellStart"/>
          <w:r w:rsidRPr="00E31DF9">
            <w:rPr>
              <w:rFonts w:ascii="Times New Roman" w:hAnsi="Times New Roman" w:cs="Times New Roman"/>
              <w:b/>
              <w:bCs/>
              <w:color w:val="006B86"/>
              <w:sz w:val="16"/>
              <w:szCs w:val="16"/>
            </w:rPr>
            <w:t>Matbaa</w:t>
          </w:r>
          <w:proofErr w:type="spellEnd"/>
          <w:r w:rsidRPr="00E31DF9">
            <w:rPr>
              <w:rFonts w:ascii="Times New Roman" w:hAnsi="Times New Roman" w:cs="Times New Roman"/>
              <w:b/>
              <w:bCs/>
              <w:color w:val="006B86"/>
              <w:sz w:val="16"/>
              <w:szCs w:val="16"/>
            </w:rPr>
            <w:t xml:space="preserve"> </w:t>
          </w:r>
          <w:proofErr w:type="spellStart"/>
          <w:r w:rsidRPr="00E31DF9">
            <w:rPr>
              <w:rFonts w:ascii="Times New Roman" w:hAnsi="Times New Roman" w:cs="Times New Roman"/>
              <w:b/>
              <w:bCs/>
              <w:color w:val="006B86"/>
              <w:sz w:val="16"/>
              <w:szCs w:val="16"/>
            </w:rPr>
            <w:t>Sq</w:t>
          </w:r>
          <w:proofErr w:type="spellEnd"/>
          <w:r w:rsidRPr="00E31DF9">
            <w:rPr>
              <w:rFonts w:ascii="Times New Roman" w:hAnsi="Times New Roman" w:cs="Times New Roman"/>
              <w:b/>
              <w:bCs/>
              <w:color w:val="006B86"/>
              <w:sz w:val="16"/>
              <w:szCs w:val="16"/>
            </w:rPr>
            <w:t xml:space="preserve">, </w:t>
          </w:r>
          <w:proofErr w:type="spellStart"/>
          <w:proofErr w:type="gramStart"/>
          <w:r w:rsidRPr="00E31DF9">
            <w:rPr>
              <w:rFonts w:ascii="Times New Roman" w:hAnsi="Times New Roman" w:cs="Times New Roman"/>
              <w:b/>
              <w:bCs/>
              <w:color w:val="006B86"/>
              <w:sz w:val="16"/>
              <w:szCs w:val="16"/>
            </w:rPr>
            <w:t>H.El</w:t>
          </w:r>
          <w:proofErr w:type="spellEnd"/>
          <w:proofErr w:type="gramEnd"/>
          <w:r w:rsidRPr="00E31DF9">
            <w:rPr>
              <w:rFonts w:ascii="Times New Roman" w:hAnsi="Times New Roman" w:cs="Times New Roman"/>
              <w:b/>
              <w:bCs/>
              <w:color w:val="006B86"/>
              <w:sz w:val="16"/>
              <w:szCs w:val="16"/>
            </w:rPr>
            <w:t xml:space="preserve"> Maadi, Cairo, Egypt</w:t>
          </w:r>
        </w:p>
      </w:tc>
    </w:tr>
    <w:tr w:rsidR="00E31DF9" w:rsidRPr="00E31DF9" w14:paraId="2944AD75" w14:textId="77777777" w:rsidTr="00F86868">
      <w:trPr>
        <w:trHeight w:val="510"/>
      </w:trPr>
      <w:tc>
        <w:tcPr>
          <w:tcW w:w="1842" w:type="dxa"/>
          <w:tcBorders>
            <w:bottom w:val="nil"/>
            <w:right w:val="single" w:sz="12" w:space="0" w:color="auto"/>
          </w:tcBorders>
          <w:vAlign w:val="center"/>
        </w:tcPr>
        <w:p w14:paraId="2F8AFB10" w14:textId="77777777" w:rsidR="00E31DF9" w:rsidRPr="00E31DF9" w:rsidRDefault="00E31DF9" w:rsidP="00E31DF9">
          <w:pPr>
            <w:spacing w:after="0" w:line="240" w:lineRule="auto"/>
            <w:suppressOverlap/>
            <w:rPr>
              <w:rStyle w:val="apple-style-span"/>
              <w:rFonts w:ascii="Times New Roman" w:hAnsi="Times New Roman" w:cs="Times New Roman"/>
              <w:b/>
              <w:bCs/>
              <w:color w:val="E48527"/>
              <w:sz w:val="16"/>
              <w:szCs w:val="16"/>
            </w:rPr>
          </w:pPr>
          <w:r w:rsidRPr="00E31DF9">
            <w:rPr>
              <w:rStyle w:val="apple-style-span"/>
              <w:rFonts w:ascii="Times New Roman" w:hAnsi="Times New Roman" w:cs="Times New Roman"/>
              <w:b/>
              <w:bCs/>
              <w:color w:val="E48527"/>
              <w:sz w:val="16"/>
              <w:szCs w:val="16"/>
            </w:rPr>
            <w:t>M.</w:t>
          </w:r>
        </w:p>
        <w:p w14:paraId="01CE5B66" w14:textId="77777777" w:rsidR="00E31DF9" w:rsidRPr="00E31DF9" w:rsidRDefault="00E31DF9" w:rsidP="00E31DF9">
          <w:pPr>
            <w:spacing w:after="0" w:line="240" w:lineRule="auto"/>
            <w:suppressOverlap/>
            <w:rPr>
              <w:rStyle w:val="apple-style-span"/>
              <w:rFonts w:ascii="Times New Roman" w:hAnsi="Times New Roman" w:cs="Times New Roman"/>
              <w:b/>
              <w:bCs/>
              <w:color w:val="006B86"/>
              <w:sz w:val="16"/>
              <w:szCs w:val="16"/>
              <w:rtl/>
              <w:lang w:bidi="ar-EG"/>
            </w:rPr>
          </w:pPr>
          <w:r w:rsidRPr="00E31DF9">
            <w:rPr>
              <w:rStyle w:val="apple-style-span"/>
              <w:rFonts w:ascii="Times New Roman" w:hAnsi="Times New Roman" w:cs="Times New Roman"/>
              <w:b/>
              <w:bCs/>
              <w:color w:val="006B86"/>
              <w:sz w:val="16"/>
              <w:szCs w:val="16"/>
            </w:rPr>
            <w:t xml:space="preserve"> </w:t>
          </w:r>
          <w:r w:rsidRPr="00E31DF9">
            <w:rPr>
              <w:rStyle w:val="apple-style-span"/>
              <w:b/>
              <w:bCs/>
              <w:color w:val="006B86"/>
              <w:sz w:val="16"/>
              <w:szCs w:val="16"/>
            </w:rPr>
            <w:t>+ 20 1</w:t>
          </w:r>
          <w:r w:rsidRPr="00E31DF9">
            <w:rPr>
              <w:rStyle w:val="apple-style-span"/>
              <w:rFonts w:hint="cs"/>
              <w:b/>
              <w:bCs/>
              <w:color w:val="006B86"/>
              <w:sz w:val="16"/>
              <w:szCs w:val="16"/>
              <w:rtl/>
            </w:rPr>
            <w:t>277050886</w:t>
          </w:r>
        </w:p>
      </w:tc>
      <w:tc>
        <w:tcPr>
          <w:tcW w:w="1843" w:type="dxa"/>
          <w:tcBorders>
            <w:left w:val="single" w:sz="12" w:space="0" w:color="auto"/>
            <w:bottom w:val="nil"/>
            <w:right w:val="single" w:sz="12" w:space="0" w:color="auto"/>
          </w:tcBorders>
          <w:vAlign w:val="center"/>
        </w:tcPr>
        <w:p w14:paraId="64950F93" w14:textId="77777777" w:rsidR="00E31DF9" w:rsidRPr="00E31DF9" w:rsidRDefault="00E31DF9" w:rsidP="00E31DF9">
          <w:pPr>
            <w:spacing w:after="0" w:line="240" w:lineRule="auto"/>
            <w:suppressOverlap/>
            <w:rPr>
              <w:rStyle w:val="apple-style-span"/>
              <w:rFonts w:ascii="Times New Roman" w:hAnsi="Times New Roman" w:cs="Times New Roman"/>
              <w:b/>
              <w:bCs/>
              <w:color w:val="E48527"/>
              <w:sz w:val="16"/>
              <w:szCs w:val="16"/>
            </w:rPr>
          </w:pPr>
          <w:proofErr w:type="spellStart"/>
          <w:r w:rsidRPr="00E31DF9">
            <w:rPr>
              <w:rStyle w:val="apple-style-span"/>
              <w:rFonts w:ascii="Times New Roman" w:hAnsi="Times New Roman" w:cs="Times New Roman"/>
              <w:b/>
              <w:bCs/>
              <w:color w:val="E48527"/>
              <w:sz w:val="16"/>
              <w:szCs w:val="16"/>
            </w:rPr>
            <w:t>T.F</w:t>
          </w:r>
          <w:proofErr w:type="spellEnd"/>
        </w:p>
        <w:p w14:paraId="45836B19" w14:textId="77777777" w:rsidR="00E31DF9" w:rsidRPr="00E31DF9" w:rsidRDefault="00E31DF9" w:rsidP="00E31DF9">
          <w:pPr>
            <w:spacing w:after="0" w:line="240" w:lineRule="auto"/>
            <w:suppressOverlap/>
            <w:rPr>
              <w:rStyle w:val="apple-style-span"/>
              <w:rFonts w:ascii="Times New Roman" w:hAnsi="Times New Roman" w:cs="Times New Roman"/>
              <w:b/>
              <w:bCs/>
              <w:color w:val="006B86"/>
              <w:sz w:val="16"/>
              <w:szCs w:val="16"/>
              <w:rtl/>
              <w:lang w:bidi="ar-EG"/>
            </w:rPr>
          </w:pPr>
          <w:r w:rsidRPr="00E31DF9">
            <w:rPr>
              <w:rStyle w:val="apple-style-span"/>
              <w:b/>
              <w:bCs/>
              <w:color w:val="006B86"/>
              <w:sz w:val="16"/>
              <w:szCs w:val="16"/>
            </w:rPr>
            <w:t>+ (20) (2)253 44 704</w:t>
          </w:r>
        </w:p>
      </w:tc>
      <w:tc>
        <w:tcPr>
          <w:tcW w:w="1843" w:type="dxa"/>
          <w:tcBorders>
            <w:left w:val="single" w:sz="12" w:space="0" w:color="auto"/>
            <w:bottom w:val="nil"/>
            <w:right w:val="single" w:sz="12" w:space="0" w:color="auto"/>
          </w:tcBorders>
          <w:vAlign w:val="center"/>
        </w:tcPr>
        <w:p w14:paraId="5DB06FC1" w14:textId="77777777" w:rsidR="00E31DF9" w:rsidRPr="00E31DF9" w:rsidRDefault="00E31DF9" w:rsidP="00E31DF9">
          <w:pPr>
            <w:spacing w:after="0" w:line="240" w:lineRule="auto"/>
            <w:suppressOverlap/>
            <w:rPr>
              <w:rStyle w:val="apple-style-span"/>
              <w:rFonts w:ascii="Times New Roman" w:hAnsi="Times New Roman" w:cs="Times New Roman"/>
              <w:b/>
              <w:bCs/>
              <w:color w:val="E48527"/>
              <w:sz w:val="16"/>
              <w:szCs w:val="16"/>
            </w:rPr>
          </w:pPr>
          <w:r w:rsidRPr="00E31DF9">
            <w:rPr>
              <w:rStyle w:val="apple-style-span"/>
              <w:rFonts w:ascii="Times New Roman" w:hAnsi="Times New Roman" w:cs="Times New Roman"/>
              <w:b/>
              <w:bCs/>
              <w:color w:val="E48527"/>
              <w:sz w:val="16"/>
              <w:szCs w:val="16"/>
            </w:rPr>
            <w:t>T.</w:t>
          </w:r>
        </w:p>
        <w:p w14:paraId="54BC1880" w14:textId="77777777" w:rsidR="00E31DF9" w:rsidRPr="00E31DF9" w:rsidRDefault="00E31DF9" w:rsidP="00E31DF9">
          <w:pPr>
            <w:spacing w:after="0" w:line="240" w:lineRule="auto"/>
            <w:suppressOverlap/>
            <w:rPr>
              <w:rStyle w:val="apple-style-span"/>
              <w:rFonts w:ascii="Times New Roman" w:hAnsi="Times New Roman" w:cs="Times New Roman"/>
              <w:b/>
              <w:bCs/>
              <w:color w:val="006B86"/>
              <w:sz w:val="16"/>
              <w:szCs w:val="16"/>
              <w:rtl/>
              <w:lang w:bidi="ar-EG"/>
            </w:rPr>
          </w:pPr>
          <w:r w:rsidRPr="00E31DF9">
            <w:rPr>
              <w:rStyle w:val="apple-style-span"/>
              <w:b/>
              <w:bCs/>
              <w:color w:val="006B86"/>
              <w:sz w:val="16"/>
              <w:szCs w:val="16"/>
            </w:rPr>
            <w:t>+(20) (2)253 44 705</w:t>
          </w:r>
        </w:p>
      </w:tc>
      <w:tc>
        <w:tcPr>
          <w:tcW w:w="1843" w:type="dxa"/>
          <w:tcBorders>
            <w:left w:val="single" w:sz="12" w:space="0" w:color="auto"/>
            <w:bottom w:val="nil"/>
            <w:right w:val="single" w:sz="12" w:space="0" w:color="auto"/>
          </w:tcBorders>
          <w:vAlign w:val="center"/>
        </w:tcPr>
        <w:p w14:paraId="4F04DB16" w14:textId="77777777" w:rsidR="00E31DF9" w:rsidRPr="00E31DF9" w:rsidRDefault="00E31DF9" w:rsidP="00E31DF9">
          <w:pPr>
            <w:spacing w:after="0" w:line="240" w:lineRule="auto"/>
            <w:suppressOverlap/>
            <w:rPr>
              <w:rFonts w:ascii="Times New Roman" w:hAnsi="Times New Roman" w:cs="Times New Roman"/>
              <w:b/>
              <w:bCs/>
              <w:color w:val="E48527"/>
              <w:sz w:val="16"/>
              <w:szCs w:val="16"/>
            </w:rPr>
          </w:pPr>
          <w:r w:rsidRPr="00E31DF9">
            <w:rPr>
              <w:rFonts w:ascii="Times New Roman" w:hAnsi="Times New Roman" w:cs="Times New Roman"/>
              <w:b/>
              <w:bCs/>
              <w:color w:val="E48527"/>
              <w:sz w:val="16"/>
              <w:szCs w:val="16"/>
            </w:rPr>
            <w:t>E.</w:t>
          </w:r>
        </w:p>
        <w:p w14:paraId="0855CD1D" w14:textId="77777777" w:rsidR="00E31DF9" w:rsidRPr="00E31DF9" w:rsidRDefault="00E31DF9" w:rsidP="00E31DF9">
          <w:pPr>
            <w:spacing w:after="0" w:line="240" w:lineRule="auto"/>
            <w:suppressOverlap/>
            <w:rPr>
              <w:rStyle w:val="apple-style-span"/>
              <w:rFonts w:ascii="Times New Roman" w:hAnsi="Times New Roman" w:cs="Times New Roman"/>
              <w:b/>
              <w:bCs/>
              <w:color w:val="006B86"/>
              <w:sz w:val="16"/>
              <w:szCs w:val="16"/>
              <w:rtl/>
              <w:lang w:bidi="ar-EG"/>
            </w:rPr>
          </w:pPr>
          <w:r w:rsidRPr="00E31DF9">
            <w:rPr>
              <w:rStyle w:val="apple-style-span"/>
              <w:rFonts w:ascii="Times New Roman" w:hAnsi="Times New Roman" w:cs="Times New Roman"/>
              <w:b/>
              <w:bCs/>
              <w:color w:val="006B86"/>
              <w:sz w:val="16"/>
              <w:szCs w:val="16"/>
            </w:rPr>
            <w:t xml:space="preserve"> </w:t>
          </w:r>
          <w:proofErr w:type="spellStart"/>
          <w:r w:rsidRPr="00E31DF9">
            <w:rPr>
              <w:rStyle w:val="apple-style-span"/>
              <w:b/>
              <w:bCs/>
              <w:color w:val="006B86"/>
              <w:sz w:val="16"/>
              <w:szCs w:val="16"/>
            </w:rPr>
            <w:t>info@pfort.org</w:t>
          </w:r>
          <w:proofErr w:type="spellEnd"/>
        </w:p>
      </w:tc>
      <w:tc>
        <w:tcPr>
          <w:tcW w:w="1843" w:type="dxa"/>
          <w:tcBorders>
            <w:left w:val="single" w:sz="12" w:space="0" w:color="auto"/>
            <w:bottom w:val="nil"/>
          </w:tcBorders>
          <w:vAlign w:val="center"/>
        </w:tcPr>
        <w:p w14:paraId="5EAA7726" w14:textId="77777777" w:rsidR="00E31DF9" w:rsidRPr="00E31DF9" w:rsidRDefault="00E31DF9" w:rsidP="00E31DF9">
          <w:pPr>
            <w:spacing w:after="0" w:line="240" w:lineRule="auto"/>
            <w:suppressOverlap/>
            <w:rPr>
              <w:rFonts w:ascii="Times New Roman" w:hAnsi="Times New Roman" w:cs="Times New Roman"/>
              <w:b/>
              <w:bCs/>
              <w:color w:val="E48527"/>
              <w:sz w:val="16"/>
              <w:szCs w:val="16"/>
            </w:rPr>
          </w:pPr>
          <w:r w:rsidRPr="00E31DF9">
            <w:rPr>
              <w:rFonts w:ascii="Times New Roman" w:hAnsi="Times New Roman" w:cs="Times New Roman"/>
              <w:b/>
              <w:bCs/>
              <w:color w:val="E48527"/>
              <w:sz w:val="16"/>
              <w:szCs w:val="16"/>
            </w:rPr>
            <w:t>W.</w:t>
          </w:r>
        </w:p>
        <w:p w14:paraId="4CA9CDB0" w14:textId="77777777" w:rsidR="00E31DF9" w:rsidRPr="00E31DF9" w:rsidRDefault="00E31DF9" w:rsidP="00E31DF9">
          <w:pPr>
            <w:spacing w:after="0" w:line="240" w:lineRule="auto"/>
            <w:suppressOverlap/>
            <w:rPr>
              <w:rStyle w:val="apple-style-span"/>
              <w:rFonts w:ascii="Times New Roman" w:hAnsi="Times New Roman" w:cs="Times New Roman"/>
              <w:b/>
              <w:bCs/>
              <w:color w:val="006B86"/>
              <w:sz w:val="16"/>
              <w:szCs w:val="16"/>
              <w:rtl/>
              <w:lang w:bidi="ar-EG"/>
            </w:rPr>
          </w:pPr>
          <w:proofErr w:type="spellStart"/>
          <w:r w:rsidRPr="00E31DF9">
            <w:rPr>
              <w:rStyle w:val="apple-style-span"/>
              <w:b/>
              <w:bCs/>
              <w:color w:val="006B86"/>
              <w:sz w:val="16"/>
              <w:szCs w:val="16"/>
            </w:rPr>
            <w:t>www.pfort.org</w:t>
          </w:r>
          <w:proofErr w:type="spellEnd"/>
          <w:r w:rsidRPr="00E31DF9">
            <w:rPr>
              <w:rFonts w:ascii="Times New Roman" w:hAnsi="Times New Roman" w:cs="Times New Roman"/>
              <w:b/>
              <w:bCs/>
              <w:color w:val="006B86"/>
              <w:sz w:val="16"/>
              <w:szCs w:val="16"/>
            </w:rPr>
            <w:t> </w:t>
          </w:r>
        </w:p>
      </w:tc>
    </w:tr>
  </w:tbl>
  <w:p w14:paraId="3BBC6776" w14:textId="77777777" w:rsidR="00E31DF9" w:rsidRDefault="00E31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314BF" w14:textId="77777777" w:rsidR="008C3A31" w:rsidRDefault="008C3A31" w:rsidP="005967FB">
      <w:pPr>
        <w:spacing w:after="0" w:line="240" w:lineRule="auto"/>
      </w:pPr>
      <w:r>
        <w:separator/>
      </w:r>
    </w:p>
  </w:footnote>
  <w:footnote w:type="continuationSeparator" w:id="0">
    <w:p w14:paraId="10E15936" w14:textId="77777777" w:rsidR="008C3A31" w:rsidRDefault="008C3A31" w:rsidP="005967FB">
      <w:pPr>
        <w:spacing w:after="0" w:line="240" w:lineRule="auto"/>
      </w:pPr>
      <w:r>
        <w:continuationSeparator/>
      </w:r>
    </w:p>
  </w:footnote>
  <w:footnote w:id="1">
    <w:p w14:paraId="1EEFAB45" w14:textId="0B0B7B6E" w:rsidR="005967FB" w:rsidRDefault="005967FB" w:rsidP="00E31DF9">
      <w:pPr>
        <w:pStyle w:val="FootnoteText"/>
        <w:jc w:val="both"/>
      </w:pPr>
      <w:r>
        <w:rPr>
          <w:rStyle w:val="FootnoteReference"/>
        </w:rPr>
        <w:footnoteRef/>
      </w:r>
      <w:r>
        <w:t xml:space="preserve"> </w:t>
      </w:r>
      <w:r w:rsidR="00E31DF9" w:rsidRPr="00E31DF9">
        <w:t xml:space="preserve">New Labor Law No. 14 of 2025. </w:t>
      </w:r>
      <w:hyperlink r:id="rId1" w:history="1">
        <w:r w:rsidR="00E31DF9" w:rsidRPr="0013488C">
          <w:rPr>
            <w:rStyle w:val="Hyperlink"/>
          </w:rPr>
          <w:t>https://</w:t>
        </w:r>
        <w:proofErr w:type="spellStart"/>
        <w:r w:rsidR="00E31DF9" w:rsidRPr="0013488C">
          <w:rPr>
            <w:rStyle w:val="Hyperlink"/>
          </w:rPr>
          <w:t>tinyl.co</w:t>
        </w:r>
        <w:proofErr w:type="spellEnd"/>
        <w:r w:rsidR="00E31DF9" w:rsidRPr="0013488C">
          <w:rPr>
            <w:rStyle w:val="Hyperlink"/>
          </w:rPr>
          <w:t>/</w:t>
        </w:r>
        <w:proofErr w:type="spellStart"/>
        <w:r w:rsidR="00E31DF9" w:rsidRPr="0013488C">
          <w:rPr>
            <w:rStyle w:val="Hyperlink"/>
          </w:rPr>
          <w:t>3l9a</w:t>
        </w:r>
        <w:proofErr w:type="spellEnd"/>
      </w:hyperlink>
      <w:r w:rsidR="00E31DF9">
        <w:t xml:space="preserve"> </w:t>
      </w:r>
    </w:p>
  </w:footnote>
  <w:footnote w:id="2">
    <w:p w14:paraId="1D0551D8" w14:textId="76CA4AAD" w:rsidR="005967FB" w:rsidRDefault="005967FB" w:rsidP="00E31DF9">
      <w:pPr>
        <w:pStyle w:val="FootnoteText"/>
        <w:jc w:val="both"/>
      </w:pPr>
      <w:r>
        <w:rPr>
          <w:rStyle w:val="FootnoteReference"/>
        </w:rPr>
        <w:footnoteRef/>
      </w:r>
      <w:r>
        <w:t xml:space="preserve"> </w:t>
      </w:r>
      <w:r w:rsidR="00E31DF9" w:rsidRPr="00E31DF9">
        <w:t xml:space="preserve">The unemployment rate declines to 6.1% during the second quarter of 2025, Al-Ahram, June 18, 2025, link: </w:t>
      </w:r>
      <w:hyperlink r:id="rId2" w:history="1">
        <w:r w:rsidR="00E31DF9" w:rsidRPr="0013488C">
          <w:rPr>
            <w:rStyle w:val="Hyperlink"/>
          </w:rPr>
          <w:t>https://</w:t>
        </w:r>
        <w:proofErr w:type="spellStart"/>
        <w:r w:rsidR="00E31DF9" w:rsidRPr="0013488C">
          <w:rPr>
            <w:rStyle w:val="Hyperlink"/>
          </w:rPr>
          <w:t>tinyl.co</w:t>
        </w:r>
        <w:proofErr w:type="spellEnd"/>
        <w:r w:rsidR="00E31DF9" w:rsidRPr="0013488C">
          <w:rPr>
            <w:rStyle w:val="Hyperlink"/>
          </w:rPr>
          <w:t>/</w:t>
        </w:r>
        <w:proofErr w:type="spellStart"/>
        <w:r w:rsidR="00E31DF9" w:rsidRPr="0013488C">
          <w:rPr>
            <w:rStyle w:val="Hyperlink"/>
          </w:rPr>
          <w:t>3xei</w:t>
        </w:r>
        <w:proofErr w:type="spellEnd"/>
      </w:hyperlink>
      <w:r w:rsidR="00E31DF9">
        <w:t xml:space="preserve"> </w:t>
      </w:r>
    </w:p>
  </w:footnote>
  <w:footnote w:id="3">
    <w:p w14:paraId="39E976F4" w14:textId="57EB1667" w:rsidR="005967FB" w:rsidRDefault="005967FB" w:rsidP="00E31DF9">
      <w:pPr>
        <w:pStyle w:val="FootnoteText"/>
        <w:jc w:val="both"/>
      </w:pPr>
      <w:r>
        <w:rPr>
          <w:rStyle w:val="FootnoteReference"/>
        </w:rPr>
        <w:footnoteRef/>
      </w:r>
      <w:r>
        <w:t xml:space="preserve"> </w:t>
      </w:r>
      <w:r w:rsidR="00E31DF9" w:rsidRPr="00E31DF9">
        <w:t>Ibid</w:t>
      </w:r>
    </w:p>
  </w:footnote>
  <w:footnote w:id="4">
    <w:p w14:paraId="28E1A8F4" w14:textId="24E643FD" w:rsidR="005967FB" w:rsidRPr="00E31DF9" w:rsidRDefault="005967FB" w:rsidP="00E31DF9">
      <w:pPr>
        <w:pStyle w:val="FootnoteText"/>
        <w:jc w:val="both"/>
        <w:rPr>
          <w:rFonts w:asciiTheme="majorBidi" w:hAnsiTheme="majorBidi" w:cstheme="majorBidi"/>
          <w:lang w:bidi="ar-EG"/>
        </w:rPr>
      </w:pPr>
      <w:r>
        <w:rPr>
          <w:rStyle w:val="FootnoteReference"/>
        </w:rPr>
        <w:footnoteRef/>
      </w:r>
      <w:r>
        <w:t xml:space="preserve"> </w:t>
      </w:r>
      <w:r w:rsidR="00E31DF9" w:rsidRPr="00327D1D">
        <w:rPr>
          <w:rFonts w:asciiTheme="majorBidi" w:hAnsiTheme="majorBidi" w:cstheme="majorBidi"/>
        </w:rPr>
        <w:t>ESTIMATING THE CAUSAL RELATIONSHIP</w:t>
      </w:r>
      <w:r w:rsidR="00E31DF9">
        <w:rPr>
          <w:rFonts w:asciiTheme="majorBidi" w:hAnsiTheme="majorBidi" w:cstheme="majorBidi"/>
        </w:rPr>
        <w:t>:</w:t>
      </w:r>
      <w:r w:rsidR="00E31DF9" w:rsidRPr="00327D1D">
        <w:rPr>
          <w:rFonts w:asciiTheme="majorBidi" w:hAnsiTheme="majorBidi" w:cstheme="majorBidi"/>
        </w:rPr>
        <w:t xml:space="preserve"> THE SIZE OF THE INFORMAL ECONOMY AND TAX REVENUES IN EGYPT</w:t>
      </w:r>
      <w:r w:rsidR="00E31DF9" w:rsidRPr="00327D1D">
        <w:rPr>
          <w:rFonts w:asciiTheme="majorBidi" w:hAnsiTheme="majorBidi" w:cstheme="majorBidi"/>
          <w:rtl/>
        </w:rPr>
        <w:t xml:space="preserve">. </w:t>
      </w:r>
      <w:hyperlink r:id="rId3" w:history="1">
        <w:r w:rsidR="00E31DF9" w:rsidRPr="00327D1D">
          <w:rPr>
            <w:rStyle w:val="Hyperlink"/>
            <w:rFonts w:asciiTheme="majorBidi" w:hAnsiTheme="majorBidi" w:cstheme="majorBidi"/>
          </w:rPr>
          <w:t>https://</w:t>
        </w:r>
        <w:proofErr w:type="spellStart"/>
        <w:r w:rsidR="00E31DF9" w:rsidRPr="00327D1D">
          <w:rPr>
            <w:rStyle w:val="Hyperlink"/>
            <w:rFonts w:asciiTheme="majorBidi" w:hAnsiTheme="majorBidi" w:cstheme="majorBidi"/>
          </w:rPr>
          <w:t>tinyl.co</w:t>
        </w:r>
        <w:proofErr w:type="spellEnd"/>
        <w:r w:rsidR="00E31DF9" w:rsidRPr="00327D1D">
          <w:rPr>
            <w:rStyle w:val="Hyperlink"/>
            <w:rFonts w:asciiTheme="majorBidi" w:hAnsiTheme="majorBidi" w:cstheme="majorBidi"/>
          </w:rPr>
          <w:t>/</w:t>
        </w:r>
        <w:proofErr w:type="spellStart"/>
        <w:r w:rsidR="00E31DF9" w:rsidRPr="00327D1D">
          <w:rPr>
            <w:rStyle w:val="Hyperlink"/>
            <w:rFonts w:asciiTheme="majorBidi" w:hAnsiTheme="majorBidi" w:cstheme="majorBidi"/>
          </w:rPr>
          <w:t>3lXD</w:t>
        </w:r>
        <w:proofErr w:type="spellEnd"/>
      </w:hyperlink>
      <w:r w:rsidR="00E31DF9" w:rsidRPr="00327D1D">
        <w:rPr>
          <w:rFonts w:asciiTheme="majorBidi" w:hAnsiTheme="majorBidi" w:cstheme="majorBidi"/>
          <w:rtl/>
        </w:rPr>
        <w:t xml:space="preserve"> </w:t>
      </w:r>
    </w:p>
  </w:footnote>
  <w:footnote w:id="5">
    <w:p w14:paraId="4B7B3236" w14:textId="35BDD484" w:rsidR="00C30321" w:rsidRDefault="00C30321" w:rsidP="00E31DF9">
      <w:pPr>
        <w:pStyle w:val="FootnoteText"/>
        <w:jc w:val="both"/>
      </w:pPr>
      <w:r>
        <w:rPr>
          <w:rStyle w:val="FootnoteReference"/>
        </w:rPr>
        <w:footnoteRef/>
      </w:r>
      <w:r>
        <w:t xml:space="preserve"> </w:t>
      </w:r>
      <w:r w:rsidR="00E31DF9" w:rsidRPr="00E31DF9">
        <w:t xml:space="preserve">Minister of Finance: 165 billion pounds in support of food supplies provided to 60 million citizens. </w:t>
      </w:r>
      <w:hyperlink r:id="rId4" w:history="1">
        <w:r w:rsidR="00E31DF9" w:rsidRPr="0013488C">
          <w:rPr>
            <w:rStyle w:val="Hyperlink"/>
          </w:rPr>
          <w:t>https://</w:t>
        </w:r>
        <w:proofErr w:type="spellStart"/>
        <w:r w:rsidR="00E31DF9" w:rsidRPr="0013488C">
          <w:rPr>
            <w:rStyle w:val="Hyperlink"/>
          </w:rPr>
          <w:t>tinyl.co</w:t>
        </w:r>
        <w:proofErr w:type="spellEnd"/>
        <w:r w:rsidR="00E31DF9" w:rsidRPr="0013488C">
          <w:rPr>
            <w:rStyle w:val="Hyperlink"/>
          </w:rPr>
          <w:t>/</w:t>
        </w:r>
        <w:proofErr w:type="spellStart"/>
        <w:r w:rsidR="00E31DF9" w:rsidRPr="0013488C">
          <w:rPr>
            <w:rStyle w:val="Hyperlink"/>
          </w:rPr>
          <w:t>3lFV</w:t>
        </w:r>
        <w:proofErr w:type="spellEnd"/>
      </w:hyperlink>
      <w:r w:rsidR="00E31DF9">
        <w:t xml:space="preserve"> </w:t>
      </w:r>
    </w:p>
  </w:footnote>
  <w:footnote w:id="6">
    <w:p w14:paraId="0929C661" w14:textId="72FB25D2" w:rsidR="005967FB" w:rsidRDefault="005967FB" w:rsidP="00E31DF9">
      <w:pPr>
        <w:pStyle w:val="FootnoteText"/>
        <w:jc w:val="both"/>
      </w:pPr>
      <w:r>
        <w:rPr>
          <w:rStyle w:val="FootnoteReference"/>
        </w:rPr>
        <w:footnoteRef/>
      </w:r>
      <w:r>
        <w:t xml:space="preserve"> </w:t>
      </w:r>
      <w:r w:rsidR="00E31DF9" w:rsidRPr="00E31DF9">
        <w:t xml:space="preserve">Awad thanks His Excellency the President for the decision to increase pensions by 15%, National Authority for Social Insurance, June 25, 2025, link: </w:t>
      </w:r>
      <w:hyperlink r:id="rId5" w:history="1">
        <w:r w:rsidR="00E31DF9" w:rsidRPr="0013488C">
          <w:rPr>
            <w:rStyle w:val="Hyperlink"/>
          </w:rPr>
          <w:t>https://</w:t>
        </w:r>
        <w:proofErr w:type="spellStart"/>
        <w:r w:rsidR="00E31DF9" w:rsidRPr="0013488C">
          <w:rPr>
            <w:rStyle w:val="Hyperlink"/>
          </w:rPr>
          <w:t>tinyl.co</w:t>
        </w:r>
        <w:proofErr w:type="spellEnd"/>
        <w:r w:rsidR="00E31DF9" w:rsidRPr="0013488C">
          <w:rPr>
            <w:rStyle w:val="Hyperlink"/>
          </w:rPr>
          <w:t>/</w:t>
        </w:r>
        <w:proofErr w:type="spellStart"/>
        <w:r w:rsidR="00E31DF9" w:rsidRPr="0013488C">
          <w:rPr>
            <w:rStyle w:val="Hyperlink"/>
          </w:rPr>
          <w:t>3xnN</w:t>
        </w:r>
        <w:proofErr w:type="spellEnd"/>
      </w:hyperlink>
      <w:r w:rsidR="00E31DF9">
        <w:t xml:space="preserve"> </w:t>
      </w:r>
    </w:p>
  </w:footnote>
  <w:footnote w:id="7">
    <w:p w14:paraId="378B6DB2" w14:textId="52C6A444" w:rsidR="00C30321" w:rsidRDefault="00C30321" w:rsidP="00E31DF9">
      <w:pPr>
        <w:pStyle w:val="FootnoteText"/>
        <w:jc w:val="both"/>
      </w:pPr>
      <w:r>
        <w:rPr>
          <w:rStyle w:val="FootnoteReference"/>
        </w:rPr>
        <w:footnoteRef/>
      </w:r>
      <w:r>
        <w:t xml:space="preserve"> </w:t>
      </w:r>
      <w:r w:rsidR="00E31DF9" w:rsidRPr="00E31DF9">
        <w:t xml:space="preserve">National Human Rights Strategy (third year, September 2023 - August 2024). </w:t>
      </w:r>
      <w:hyperlink r:id="rId6" w:history="1">
        <w:r w:rsidR="00E31DF9" w:rsidRPr="0013488C">
          <w:rPr>
            <w:rStyle w:val="Hyperlink"/>
          </w:rPr>
          <w:t>https://</w:t>
        </w:r>
        <w:proofErr w:type="spellStart"/>
        <w:r w:rsidR="00E31DF9" w:rsidRPr="0013488C">
          <w:rPr>
            <w:rStyle w:val="Hyperlink"/>
          </w:rPr>
          <w:t>tinyl.io</w:t>
        </w:r>
        <w:proofErr w:type="spellEnd"/>
        <w:r w:rsidR="00E31DF9" w:rsidRPr="0013488C">
          <w:rPr>
            <w:rStyle w:val="Hyperlink"/>
          </w:rPr>
          <w:t>/</w:t>
        </w:r>
        <w:proofErr w:type="spellStart"/>
        <w:r w:rsidR="00E31DF9" w:rsidRPr="0013488C">
          <w:rPr>
            <w:rStyle w:val="Hyperlink"/>
          </w:rPr>
          <w:t>BwbF</w:t>
        </w:r>
        <w:proofErr w:type="spellEnd"/>
      </w:hyperlink>
      <w:r w:rsidR="00E31DF9">
        <w:t xml:space="preserve"> </w:t>
      </w:r>
    </w:p>
  </w:footnote>
  <w:footnote w:id="8">
    <w:p w14:paraId="7999FC6F" w14:textId="6F6EC4B9" w:rsidR="00C30321" w:rsidRDefault="00C30321" w:rsidP="00E31DF9">
      <w:pPr>
        <w:pStyle w:val="FootnoteText"/>
        <w:jc w:val="both"/>
      </w:pPr>
      <w:r>
        <w:rPr>
          <w:rStyle w:val="FootnoteReference"/>
        </w:rPr>
        <w:footnoteRef/>
      </w:r>
      <w:r>
        <w:t xml:space="preserve"> </w:t>
      </w:r>
      <w:r w:rsidR="00E31DF9" w:rsidRPr="00E31DF9">
        <w:t xml:space="preserve">World Bank: Egypt’s national poverty rate rose to 32.5% in 2022. </w:t>
      </w:r>
      <w:hyperlink r:id="rId7" w:history="1">
        <w:r w:rsidR="00E31DF9" w:rsidRPr="0013488C">
          <w:rPr>
            <w:rStyle w:val="Hyperlink"/>
          </w:rPr>
          <w:t>https://</w:t>
        </w:r>
        <w:proofErr w:type="spellStart"/>
        <w:r w:rsidR="00E31DF9" w:rsidRPr="0013488C">
          <w:rPr>
            <w:rStyle w:val="Hyperlink"/>
          </w:rPr>
          <w:t>tinyl.co</w:t>
        </w:r>
        <w:proofErr w:type="spellEnd"/>
        <w:r w:rsidR="00E31DF9" w:rsidRPr="0013488C">
          <w:rPr>
            <w:rStyle w:val="Hyperlink"/>
          </w:rPr>
          <w:t>/</w:t>
        </w:r>
        <w:proofErr w:type="spellStart"/>
        <w:r w:rsidR="00E31DF9" w:rsidRPr="0013488C">
          <w:rPr>
            <w:rStyle w:val="Hyperlink"/>
          </w:rPr>
          <w:t>3lWb</w:t>
        </w:r>
        <w:proofErr w:type="spellEnd"/>
      </w:hyperlink>
      <w:r w:rsidR="00E31DF9">
        <w:t xml:space="preserve"> </w:t>
      </w:r>
    </w:p>
  </w:footnote>
  <w:footnote w:id="9">
    <w:p w14:paraId="40DC7806" w14:textId="038A722C" w:rsidR="003A7E12" w:rsidRDefault="003A7E12" w:rsidP="00E31DF9">
      <w:pPr>
        <w:pStyle w:val="FootnoteText"/>
        <w:jc w:val="both"/>
      </w:pPr>
      <w:r>
        <w:rPr>
          <w:rStyle w:val="FootnoteReference"/>
        </w:rPr>
        <w:footnoteRef/>
      </w:r>
      <w:r>
        <w:t xml:space="preserve"> </w:t>
      </w:r>
      <w:r w:rsidR="00E31DF9" w:rsidRPr="00E31DF9">
        <w:t>Minister of Health: The number of beneficiaries of comprehensive health insurance is currently 12.8 million citizens, Al-</w:t>
      </w:r>
      <w:proofErr w:type="spellStart"/>
      <w:r w:rsidR="00E31DF9" w:rsidRPr="00E31DF9">
        <w:t>Youm</w:t>
      </w:r>
      <w:proofErr w:type="spellEnd"/>
      <w:r w:rsidR="00E31DF9" w:rsidRPr="00E31DF9">
        <w:t xml:space="preserve"> Al-</w:t>
      </w:r>
      <w:proofErr w:type="spellStart"/>
      <w:r w:rsidR="00E31DF9" w:rsidRPr="00E31DF9">
        <w:t>Sabea</w:t>
      </w:r>
      <w:proofErr w:type="spellEnd"/>
      <w:r w:rsidR="00E31DF9" w:rsidRPr="00E31DF9">
        <w:t xml:space="preserve">, May 19, 2025, link: </w:t>
      </w:r>
      <w:hyperlink r:id="rId8" w:history="1">
        <w:r w:rsidR="00E31DF9" w:rsidRPr="0013488C">
          <w:rPr>
            <w:rStyle w:val="Hyperlink"/>
          </w:rPr>
          <w:t>https://</w:t>
        </w:r>
        <w:proofErr w:type="spellStart"/>
        <w:r w:rsidR="00E31DF9" w:rsidRPr="0013488C">
          <w:rPr>
            <w:rStyle w:val="Hyperlink"/>
          </w:rPr>
          <w:t>tinyl.co</w:t>
        </w:r>
        <w:proofErr w:type="spellEnd"/>
        <w:r w:rsidR="00E31DF9" w:rsidRPr="0013488C">
          <w:rPr>
            <w:rStyle w:val="Hyperlink"/>
          </w:rPr>
          <w:t>/</w:t>
        </w:r>
        <w:proofErr w:type="spellStart"/>
        <w:r w:rsidR="00E31DF9" w:rsidRPr="0013488C">
          <w:rPr>
            <w:rStyle w:val="Hyperlink"/>
          </w:rPr>
          <w:t>3xno</w:t>
        </w:r>
        <w:proofErr w:type="spellEnd"/>
      </w:hyperlink>
      <w:r w:rsidR="00E31DF9">
        <w:t xml:space="preserve"> </w:t>
      </w:r>
    </w:p>
  </w:footnote>
  <w:footnote w:id="10">
    <w:p w14:paraId="377955E4" w14:textId="6C78FEFB" w:rsidR="007409C6" w:rsidRDefault="007409C6" w:rsidP="00E31DF9">
      <w:pPr>
        <w:pStyle w:val="FootnoteText"/>
        <w:jc w:val="both"/>
      </w:pPr>
      <w:r>
        <w:rPr>
          <w:rStyle w:val="FootnoteReference"/>
        </w:rPr>
        <w:footnoteRef/>
      </w:r>
      <w:r>
        <w:t xml:space="preserve"> </w:t>
      </w:r>
      <w:r w:rsidR="00283313" w:rsidRPr="00283313">
        <w:t>“</w:t>
      </w:r>
      <w:bookmarkStart w:id="0" w:name="OLE_LINK1"/>
      <w:r w:rsidR="00283313" w:rsidRPr="00283313">
        <w:t>100 Healthy Days</w:t>
      </w:r>
      <w:bookmarkEnd w:id="0"/>
      <w:r w:rsidR="00283313" w:rsidRPr="00283313">
        <w:t xml:space="preserve">” initiative and building on what has been achieved to improve the health of Egyptians, Egyptian Observatory, link: </w:t>
      </w:r>
      <w:hyperlink r:id="rId9" w:history="1">
        <w:r w:rsidR="00283313" w:rsidRPr="0013488C">
          <w:rPr>
            <w:rStyle w:val="Hyperlink"/>
          </w:rPr>
          <w:t>https://</w:t>
        </w:r>
        <w:proofErr w:type="spellStart"/>
        <w:r w:rsidR="00283313" w:rsidRPr="0013488C">
          <w:rPr>
            <w:rStyle w:val="Hyperlink"/>
          </w:rPr>
          <w:t>tinyl.co</w:t>
        </w:r>
        <w:proofErr w:type="spellEnd"/>
        <w:r w:rsidR="00283313" w:rsidRPr="0013488C">
          <w:rPr>
            <w:rStyle w:val="Hyperlink"/>
          </w:rPr>
          <w:t>/</w:t>
        </w:r>
        <w:proofErr w:type="spellStart"/>
        <w:r w:rsidR="00283313" w:rsidRPr="0013488C">
          <w:rPr>
            <w:rStyle w:val="Hyperlink"/>
          </w:rPr>
          <w:t>3xob</w:t>
        </w:r>
        <w:proofErr w:type="spellEnd"/>
      </w:hyperlink>
      <w:r w:rsidR="00283313">
        <w:t xml:space="preserve"> </w:t>
      </w:r>
    </w:p>
  </w:footnote>
  <w:footnote w:id="11">
    <w:p w14:paraId="10C4EA0F" w14:textId="1A197FAA" w:rsidR="007409C6" w:rsidRDefault="007409C6" w:rsidP="00E31DF9">
      <w:pPr>
        <w:pStyle w:val="FootnoteText"/>
        <w:jc w:val="both"/>
      </w:pPr>
      <w:r>
        <w:rPr>
          <w:rStyle w:val="FootnoteReference"/>
        </w:rPr>
        <w:footnoteRef/>
      </w:r>
      <w:r>
        <w:t xml:space="preserve"> </w:t>
      </w:r>
      <w:r w:rsidR="00283313" w:rsidRPr="00283313">
        <w:t xml:space="preserve">National Human Rights Strategy (fourth year of implementation, September 2024 - August 2025), </w:t>
      </w:r>
      <w:r w:rsidR="00283313">
        <w:t>Supreme Standing Committee</w:t>
      </w:r>
      <w:r w:rsidR="00283313" w:rsidRPr="00283313">
        <w:t xml:space="preserve"> for Human Rights, link: </w:t>
      </w:r>
      <w:hyperlink r:id="rId10" w:history="1">
        <w:r w:rsidR="00283313" w:rsidRPr="0013488C">
          <w:rPr>
            <w:rStyle w:val="Hyperlink"/>
          </w:rPr>
          <w:t>https://</w:t>
        </w:r>
        <w:proofErr w:type="spellStart"/>
        <w:r w:rsidR="00283313" w:rsidRPr="0013488C">
          <w:rPr>
            <w:rStyle w:val="Hyperlink"/>
          </w:rPr>
          <w:t>tinyl.io</w:t>
        </w:r>
        <w:proofErr w:type="spellEnd"/>
        <w:r w:rsidR="00283313" w:rsidRPr="0013488C">
          <w:rPr>
            <w:rStyle w:val="Hyperlink"/>
          </w:rPr>
          <w:t>/</w:t>
        </w:r>
        <w:proofErr w:type="spellStart"/>
        <w:r w:rsidR="00283313" w:rsidRPr="0013488C">
          <w:rPr>
            <w:rStyle w:val="Hyperlink"/>
          </w:rPr>
          <w:t>BwbF</w:t>
        </w:r>
        <w:proofErr w:type="spellEnd"/>
      </w:hyperlink>
      <w:r w:rsidR="00283313">
        <w:t xml:space="preserve"> </w:t>
      </w:r>
    </w:p>
  </w:footnote>
  <w:footnote w:id="12">
    <w:p w14:paraId="6CFD1F85" w14:textId="0DEC78E2" w:rsidR="007409C6" w:rsidRDefault="007409C6" w:rsidP="00E31DF9">
      <w:pPr>
        <w:pStyle w:val="FootnoteText"/>
        <w:jc w:val="both"/>
      </w:pPr>
      <w:r>
        <w:rPr>
          <w:rStyle w:val="FootnoteReference"/>
        </w:rPr>
        <w:footnoteRef/>
      </w:r>
      <w:r>
        <w:t xml:space="preserve"> </w:t>
      </w:r>
      <w:r w:rsidR="00283313" w:rsidRPr="00283313">
        <w:t xml:space="preserve">“Education” and “Health” in the draft budget for 2024/2025, spending percentages decrease, and “Finance” continues to circumvent the constitution to inflate them. </w:t>
      </w:r>
      <w:hyperlink r:id="rId11" w:history="1">
        <w:r w:rsidR="00283313" w:rsidRPr="0013488C">
          <w:rPr>
            <w:rStyle w:val="Hyperlink"/>
          </w:rPr>
          <w:t>https://</w:t>
        </w:r>
        <w:proofErr w:type="spellStart"/>
        <w:r w:rsidR="00283313" w:rsidRPr="0013488C">
          <w:rPr>
            <w:rStyle w:val="Hyperlink"/>
          </w:rPr>
          <w:t>tinyl.co</w:t>
        </w:r>
        <w:proofErr w:type="spellEnd"/>
        <w:r w:rsidR="00283313" w:rsidRPr="0013488C">
          <w:rPr>
            <w:rStyle w:val="Hyperlink"/>
          </w:rPr>
          <w:t>/</w:t>
        </w:r>
        <w:proofErr w:type="spellStart"/>
        <w:r w:rsidR="00283313" w:rsidRPr="0013488C">
          <w:rPr>
            <w:rStyle w:val="Hyperlink"/>
          </w:rPr>
          <w:t>3lWy</w:t>
        </w:r>
        <w:proofErr w:type="spellEnd"/>
      </w:hyperlink>
      <w:r w:rsidR="00283313">
        <w:t xml:space="preserve"> </w:t>
      </w:r>
    </w:p>
  </w:footnote>
  <w:footnote w:id="13">
    <w:p w14:paraId="7EC22DE9" w14:textId="08AAE78F" w:rsidR="007409C6" w:rsidRDefault="007409C6" w:rsidP="00E31DF9">
      <w:pPr>
        <w:pStyle w:val="FootnoteText"/>
        <w:jc w:val="both"/>
      </w:pPr>
      <w:r>
        <w:rPr>
          <w:rStyle w:val="FootnoteReference"/>
        </w:rPr>
        <w:footnoteRef/>
      </w:r>
      <w:r>
        <w:t xml:space="preserve"> </w:t>
      </w:r>
      <w:r w:rsidR="00283313" w:rsidRPr="00283313">
        <w:t>The Doctors Syndicate sounds the alarm. https://</w:t>
      </w:r>
      <w:proofErr w:type="spellStart"/>
      <w:r w:rsidR="00283313" w:rsidRPr="00283313">
        <w:t>tinyl.co</w:t>
      </w:r>
      <w:proofErr w:type="spellEnd"/>
      <w:r w:rsidR="00283313" w:rsidRPr="00283313">
        <w:t>/</w:t>
      </w:r>
      <w:proofErr w:type="spellStart"/>
      <w:r w:rsidR="00283313" w:rsidRPr="00283313">
        <w:t>3lWR</w:t>
      </w:r>
      <w:proofErr w:type="spellEnd"/>
    </w:p>
  </w:footnote>
  <w:footnote w:id="14">
    <w:p w14:paraId="1FFFA322" w14:textId="13D9E6D0" w:rsidR="00114615" w:rsidRDefault="00114615" w:rsidP="00E31DF9">
      <w:pPr>
        <w:pStyle w:val="FootnoteText"/>
        <w:jc w:val="both"/>
      </w:pPr>
      <w:r>
        <w:rPr>
          <w:rStyle w:val="FootnoteReference"/>
        </w:rPr>
        <w:footnoteRef/>
      </w:r>
      <w:r>
        <w:t xml:space="preserve"> </w:t>
      </w:r>
      <w:r w:rsidR="00283313" w:rsidRPr="00283313">
        <w:t xml:space="preserve">Urgent| The General Authority for Educational Buildings reveals the number of new classrooms since 2014, </w:t>
      </w:r>
      <w:proofErr w:type="spellStart"/>
      <w:r w:rsidR="00283313" w:rsidRPr="00283313">
        <w:t>Kashkul</w:t>
      </w:r>
      <w:proofErr w:type="spellEnd"/>
      <w:r w:rsidR="00283313" w:rsidRPr="00283313">
        <w:t xml:space="preserve">, July 9, 2024, link: </w:t>
      </w:r>
      <w:hyperlink r:id="rId12" w:history="1">
        <w:r w:rsidR="00283313" w:rsidRPr="0013488C">
          <w:rPr>
            <w:rStyle w:val="Hyperlink"/>
          </w:rPr>
          <w:t>https://</w:t>
        </w:r>
        <w:proofErr w:type="spellStart"/>
        <w:r w:rsidR="00283313" w:rsidRPr="0013488C">
          <w:rPr>
            <w:rStyle w:val="Hyperlink"/>
          </w:rPr>
          <w:t>tinyl.co</w:t>
        </w:r>
        <w:proofErr w:type="spellEnd"/>
        <w:r w:rsidR="00283313" w:rsidRPr="0013488C">
          <w:rPr>
            <w:rStyle w:val="Hyperlink"/>
          </w:rPr>
          <w:t>/</w:t>
        </w:r>
        <w:proofErr w:type="spellStart"/>
        <w:r w:rsidR="00283313" w:rsidRPr="0013488C">
          <w:rPr>
            <w:rStyle w:val="Hyperlink"/>
          </w:rPr>
          <w:t>3xpu</w:t>
        </w:r>
        <w:proofErr w:type="spellEnd"/>
      </w:hyperlink>
      <w:r w:rsidR="00283313">
        <w:t xml:space="preserve"> </w:t>
      </w:r>
    </w:p>
  </w:footnote>
  <w:footnote w:id="15">
    <w:p w14:paraId="6EB7C633" w14:textId="67BBDA2B" w:rsidR="00114615" w:rsidRDefault="00114615" w:rsidP="00E31DF9">
      <w:pPr>
        <w:pStyle w:val="FootnoteText"/>
        <w:jc w:val="both"/>
      </w:pPr>
      <w:r>
        <w:rPr>
          <w:rStyle w:val="FootnoteReference"/>
        </w:rPr>
        <w:footnoteRef/>
      </w:r>
      <w:r>
        <w:t xml:space="preserve"> </w:t>
      </w:r>
      <w:r w:rsidR="00283313" w:rsidRPr="00283313">
        <w:t xml:space="preserve">National Human Rights Strategy (fourth year of implementation, September 2024 - August 2025), Supreme Standing Committee for Human Rights, link: </w:t>
      </w:r>
      <w:hyperlink r:id="rId13" w:history="1">
        <w:r w:rsidR="00283313" w:rsidRPr="0013488C">
          <w:rPr>
            <w:rStyle w:val="Hyperlink"/>
          </w:rPr>
          <w:t>https://</w:t>
        </w:r>
        <w:proofErr w:type="spellStart"/>
        <w:r w:rsidR="00283313" w:rsidRPr="0013488C">
          <w:rPr>
            <w:rStyle w:val="Hyperlink"/>
          </w:rPr>
          <w:t>tinyl.io</w:t>
        </w:r>
        <w:proofErr w:type="spellEnd"/>
        <w:r w:rsidR="00283313" w:rsidRPr="0013488C">
          <w:rPr>
            <w:rStyle w:val="Hyperlink"/>
          </w:rPr>
          <w:t>/</w:t>
        </w:r>
        <w:proofErr w:type="spellStart"/>
        <w:r w:rsidR="00283313" w:rsidRPr="0013488C">
          <w:rPr>
            <w:rStyle w:val="Hyperlink"/>
          </w:rPr>
          <w:t>BwbF</w:t>
        </w:r>
        <w:proofErr w:type="spellEnd"/>
      </w:hyperlink>
      <w:r w:rsidR="00283313">
        <w:t xml:space="preserve"> </w:t>
      </w:r>
    </w:p>
  </w:footnote>
  <w:footnote w:id="16">
    <w:p w14:paraId="0CCC43A0" w14:textId="44CCEA27" w:rsidR="00114615" w:rsidRDefault="00114615" w:rsidP="00E31DF9">
      <w:pPr>
        <w:pStyle w:val="FootnoteText"/>
        <w:jc w:val="both"/>
      </w:pPr>
      <w:r>
        <w:rPr>
          <w:rStyle w:val="FootnoteReference"/>
        </w:rPr>
        <w:footnoteRef/>
      </w:r>
      <w:r>
        <w:t xml:space="preserve"> </w:t>
      </w:r>
      <w:r w:rsidR="00283313" w:rsidRPr="00283313">
        <w:t>With more than 25 million students...Minister of Education: Egypt has the largest pre-university educational system, Al-Akhbar Al-</w:t>
      </w:r>
      <w:proofErr w:type="spellStart"/>
      <w:r w:rsidR="00283313" w:rsidRPr="00283313">
        <w:t>Masaie</w:t>
      </w:r>
      <w:proofErr w:type="spellEnd"/>
      <w:r w:rsidR="00283313" w:rsidRPr="00283313">
        <w:t xml:space="preserve">, November 12, 2025, link: </w:t>
      </w:r>
      <w:hyperlink r:id="rId14" w:history="1">
        <w:r w:rsidR="00283313" w:rsidRPr="0013488C">
          <w:rPr>
            <w:rStyle w:val="Hyperlink"/>
          </w:rPr>
          <w:t>https://</w:t>
        </w:r>
        <w:proofErr w:type="spellStart"/>
        <w:r w:rsidR="00283313" w:rsidRPr="0013488C">
          <w:rPr>
            <w:rStyle w:val="Hyperlink"/>
          </w:rPr>
          <w:t>tinyl.co</w:t>
        </w:r>
        <w:proofErr w:type="spellEnd"/>
        <w:r w:rsidR="00283313" w:rsidRPr="0013488C">
          <w:rPr>
            <w:rStyle w:val="Hyperlink"/>
          </w:rPr>
          <w:t>/</w:t>
        </w:r>
        <w:proofErr w:type="spellStart"/>
        <w:r w:rsidR="00283313" w:rsidRPr="0013488C">
          <w:rPr>
            <w:rStyle w:val="Hyperlink"/>
          </w:rPr>
          <w:t>3xq7</w:t>
        </w:r>
        <w:proofErr w:type="spellEnd"/>
      </w:hyperlink>
      <w:r w:rsidR="00283313">
        <w:t xml:space="preserve"> </w:t>
      </w:r>
    </w:p>
  </w:footnote>
  <w:footnote w:id="17">
    <w:p w14:paraId="409550D2" w14:textId="2583B455" w:rsidR="00114615" w:rsidRDefault="00114615" w:rsidP="00E31DF9">
      <w:pPr>
        <w:pStyle w:val="FootnoteText"/>
        <w:jc w:val="both"/>
      </w:pPr>
      <w:r>
        <w:rPr>
          <w:rStyle w:val="FootnoteReference"/>
        </w:rPr>
        <w:footnoteRef/>
      </w:r>
      <w:r>
        <w:t xml:space="preserve"> </w:t>
      </w:r>
      <w:r w:rsidR="00283313" w:rsidRPr="00283313">
        <w:t xml:space="preserve">“Education” and “Health” in the draft budget for 2024/2025, spending percentages decrease, and “Finance” continues to circumvent the constitution to inflate them. </w:t>
      </w:r>
      <w:hyperlink r:id="rId15" w:history="1">
        <w:r w:rsidR="00283313" w:rsidRPr="0013488C">
          <w:rPr>
            <w:rStyle w:val="Hyperlink"/>
          </w:rPr>
          <w:t>https://</w:t>
        </w:r>
        <w:proofErr w:type="spellStart"/>
        <w:r w:rsidR="00283313" w:rsidRPr="0013488C">
          <w:rPr>
            <w:rStyle w:val="Hyperlink"/>
          </w:rPr>
          <w:t>tinyl.co</w:t>
        </w:r>
        <w:proofErr w:type="spellEnd"/>
        <w:r w:rsidR="00283313" w:rsidRPr="0013488C">
          <w:rPr>
            <w:rStyle w:val="Hyperlink"/>
          </w:rPr>
          <w:t>/</w:t>
        </w:r>
        <w:proofErr w:type="spellStart"/>
        <w:r w:rsidR="00283313" w:rsidRPr="0013488C">
          <w:rPr>
            <w:rStyle w:val="Hyperlink"/>
          </w:rPr>
          <w:t>3lWy</w:t>
        </w:r>
        <w:proofErr w:type="spellEnd"/>
      </w:hyperlink>
      <w:r w:rsidR="00283313">
        <w:t xml:space="preserve"> </w:t>
      </w:r>
    </w:p>
  </w:footnote>
  <w:footnote w:id="18">
    <w:p w14:paraId="3FEF09C9" w14:textId="6B6164E9" w:rsidR="00114615" w:rsidRDefault="00114615" w:rsidP="00E31DF9">
      <w:pPr>
        <w:pStyle w:val="FootnoteText"/>
        <w:jc w:val="both"/>
      </w:pPr>
      <w:r>
        <w:rPr>
          <w:rStyle w:val="FootnoteReference"/>
        </w:rPr>
        <w:footnoteRef/>
      </w:r>
      <w:r>
        <w:t xml:space="preserve"> </w:t>
      </w:r>
      <w:r w:rsidRPr="006A4057">
        <w:t xml:space="preserve">Egypt Public Expenditure Review for Human Development </w:t>
      </w:r>
      <w:proofErr w:type="gramStart"/>
      <w:r w:rsidRPr="006A4057">
        <w:t>Sectors,  World</w:t>
      </w:r>
      <w:proofErr w:type="gramEnd"/>
      <w:r w:rsidRPr="006A4057">
        <w:t xml:space="preserve"> Bank, SEPTEMBER 27, 2022, link: </w:t>
      </w:r>
      <w:hyperlink r:id="rId16" w:history="1">
        <w:r w:rsidRPr="006D50D6">
          <w:rPr>
            <w:rStyle w:val="Hyperlink"/>
          </w:rPr>
          <w:t>https://tinyl.io/Auod</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2259"/>
    <w:multiLevelType w:val="multilevel"/>
    <w:tmpl w:val="DF10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E602B4"/>
    <w:multiLevelType w:val="multilevel"/>
    <w:tmpl w:val="B7246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977B6C"/>
    <w:multiLevelType w:val="multilevel"/>
    <w:tmpl w:val="7E2AA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7C730E"/>
    <w:multiLevelType w:val="multilevel"/>
    <w:tmpl w:val="3B54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0917094">
    <w:abstractNumId w:val="2"/>
  </w:num>
  <w:num w:numId="2" w16cid:durableId="613286427">
    <w:abstractNumId w:val="3"/>
  </w:num>
  <w:num w:numId="3" w16cid:durableId="1672370329">
    <w:abstractNumId w:val="0"/>
  </w:num>
  <w:num w:numId="4" w16cid:durableId="35545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51D"/>
    <w:rsid w:val="00114615"/>
    <w:rsid w:val="00116164"/>
    <w:rsid w:val="00150DF4"/>
    <w:rsid w:val="00283313"/>
    <w:rsid w:val="003A7E12"/>
    <w:rsid w:val="005967FB"/>
    <w:rsid w:val="005C0001"/>
    <w:rsid w:val="007409C6"/>
    <w:rsid w:val="008136A7"/>
    <w:rsid w:val="008C3A31"/>
    <w:rsid w:val="00941DD7"/>
    <w:rsid w:val="00C30321"/>
    <w:rsid w:val="00D30C3F"/>
    <w:rsid w:val="00D6151D"/>
    <w:rsid w:val="00E31DF9"/>
    <w:rsid w:val="00F8167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C4E60F"/>
  <w15:chartTrackingRefBased/>
  <w15:docId w15:val="{AB5E1A37-9851-4544-992C-1E6F8A705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15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15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15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15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15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15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15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15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15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5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15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15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15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15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15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15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15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151D"/>
    <w:rPr>
      <w:rFonts w:eastAsiaTheme="majorEastAsia" w:cstheme="majorBidi"/>
      <w:color w:val="272727" w:themeColor="text1" w:themeTint="D8"/>
    </w:rPr>
  </w:style>
  <w:style w:type="paragraph" w:styleId="Title">
    <w:name w:val="Title"/>
    <w:basedOn w:val="Normal"/>
    <w:next w:val="Normal"/>
    <w:link w:val="TitleChar"/>
    <w:uiPriority w:val="10"/>
    <w:qFormat/>
    <w:rsid w:val="00D615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5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5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5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51D"/>
    <w:pPr>
      <w:spacing w:before="160"/>
      <w:jc w:val="center"/>
    </w:pPr>
    <w:rPr>
      <w:i/>
      <w:iCs/>
      <w:color w:val="404040" w:themeColor="text1" w:themeTint="BF"/>
    </w:rPr>
  </w:style>
  <w:style w:type="character" w:customStyle="1" w:styleId="QuoteChar">
    <w:name w:val="Quote Char"/>
    <w:basedOn w:val="DefaultParagraphFont"/>
    <w:link w:val="Quote"/>
    <w:uiPriority w:val="29"/>
    <w:rsid w:val="00D6151D"/>
    <w:rPr>
      <w:i/>
      <w:iCs/>
      <w:color w:val="404040" w:themeColor="text1" w:themeTint="BF"/>
    </w:rPr>
  </w:style>
  <w:style w:type="paragraph" w:styleId="ListParagraph">
    <w:name w:val="List Paragraph"/>
    <w:basedOn w:val="Normal"/>
    <w:uiPriority w:val="34"/>
    <w:qFormat/>
    <w:rsid w:val="00D6151D"/>
    <w:pPr>
      <w:ind w:left="720"/>
      <w:contextualSpacing/>
    </w:pPr>
  </w:style>
  <w:style w:type="character" w:styleId="IntenseEmphasis">
    <w:name w:val="Intense Emphasis"/>
    <w:basedOn w:val="DefaultParagraphFont"/>
    <w:uiPriority w:val="21"/>
    <w:qFormat/>
    <w:rsid w:val="00D6151D"/>
    <w:rPr>
      <w:i/>
      <w:iCs/>
      <w:color w:val="0F4761" w:themeColor="accent1" w:themeShade="BF"/>
    </w:rPr>
  </w:style>
  <w:style w:type="paragraph" w:styleId="IntenseQuote">
    <w:name w:val="Intense Quote"/>
    <w:basedOn w:val="Normal"/>
    <w:next w:val="Normal"/>
    <w:link w:val="IntenseQuoteChar"/>
    <w:uiPriority w:val="30"/>
    <w:qFormat/>
    <w:rsid w:val="00D615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151D"/>
    <w:rPr>
      <w:i/>
      <w:iCs/>
      <w:color w:val="0F4761" w:themeColor="accent1" w:themeShade="BF"/>
    </w:rPr>
  </w:style>
  <w:style w:type="character" w:styleId="IntenseReference">
    <w:name w:val="Intense Reference"/>
    <w:basedOn w:val="DefaultParagraphFont"/>
    <w:uiPriority w:val="32"/>
    <w:qFormat/>
    <w:rsid w:val="00D6151D"/>
    <w:rPr>
      <w:b/>
      <w:bCs/>
      <w:smallCaps/>
      <w:color w:val="0F4761" w:themeColor="accent1" w:themeShade="BF"/>
      <w:spacing w:val="5"/>
    </w:rPr>
  </w:style>
  <w:style w:type="paragraph" w:styleId="FootnoteText">
    <w:name w:val="footnote text"/>
    <w:aliases w:val="5_G"/>
    <w:basedOn w:val="Normal"/>
    <w:link w:val="FootnoteTextChar"/>
    <w:uiPriority w:val="99"/>
    <w:unhideWhenUsed/>
    <w:qFormat/>
    <w:rsid w:val="005967FB"/>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5967FB"/>
    <w:rPr>
      <w:sz w:val="20"/>
      <w:szCs w:val="20"/>
    </w:rPr>
  </w:style>
  <w:style w:type="character" w:styleId="FootnoteReference">
    <w:name w:val="footnote reference"/>
    <w:basedOn w:val="DefaultParagraphFont"/>
    <w:uiPriority w:val="99"/>
    <w:semiHidden/>
    <w:unhideWhenUsed/>
    <w:rsid w:val="005967FB"/>
    <w:rPr>
      <w:vertAlign w:val="superscript"/>
    </w:rPr>
  </w:style>
  <w:style w:type="paragraph" w:styleId="EndnoteText">
    <w:name w:val="endnote text"/>
    <w:basedOn w:val="Normal"/>
    <w:link w:val="EndnoteTextChar"/>
    <w:uiPriority w:val="99"/>
    <w:semiHidden/>
    <w:unhideWhenUsed/>
    <w:rsid w:val="005967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967FB"/>
    <w:rPr>
      <w:sz w:val="20"/>
      <w:szCs w:val="20"/>
    </w:rPr>
  </w:style>
  <w:style w:type="character" w:styleId="EndnoteReference">
    <w:name w:val="endnote reference"/>
    <w:basedOn w:val="DefaultParagraphFont"/>
    <w:uiPriority w:val="99"/>
    <w:semiHidden/>
    <w:unhideWhenUsed/>
    <w:rsid w:val="005967FB"/>
    <w:rPr>
      <w:vertAlign w:val="superscript"/>
    </w:rPr>
  </w:style>
  <w:style w:type="character" w:styleId="Hyperlink">
    <w:name w:val="Hyperlink"/>
    <w:basedOn w:val="DefaultParagraphFont"/>
    <w:uiPriority w:val="99"/>
    <w:unhideWhenUsed/>
    <w:rsid w:val="00114615"/>
    <w:rPr>
      <w:color w:val="467886" w:themeColor="hyperlink"/>
      <w:u w:val="single"/>
    </w:rPr>
  </w:style>
  <w:style w:type="character" w:styleId="UnresolvedMention">
    <w:name w:val="Unresolved Mention"/>
    <w:basedOn w:val="DefaultParagraphFont"/>
    <w:uiPriority w:val="99"/>
    <w:semiHidden/>
    <w:unhideWhenUsed/>
    <w:rsid w:val="00283313"/>
    <w:rPr>
      <w:color w:val="605E5C"/>
      <w:shd w:val="clear" w:color="auto" w:fill="E1DFDD"/>
    </w:rPr>
  </w:style>
  <w:style w:type="paragraph" w:styleId="Header">
    <w:name w:val="header"/>
    <w:basedOn w:val="Normal"/>
    <w:link w:val="HeaderChar"/>
    <w:uiPriority w:val="99"/>
    <w:unhideWhenUsed/>
    <w:rsid w:val="00E31D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DF9"/>
  </w:style>
  <w:style w:type="paragraph" w:styleId="Footer">
    <w:name w:val="footer"/>
    <w:basedOn w:val="Normal"/>
    <w:link w:val="FooterChar"/>
    <w:uiPriority w:val="99"/>
    <w:unhideWhenUsed/>
    <w:rsid w:val="00E31D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DF9"/>
  </w:style>
  <w:style w:type="character" w:customStyle="1" w:styleId="apple-style-span">
    <w:name w:val="apple-style-span"/>
    <w:basedOn w:val="DefaultParagraphFont"/>
    <w:rsid w:val="00E31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187">
      <w:bodyDiv w:val="1"/>
      <w:marLeft w:val="0"/>
      <w:marRight w:val="0"/>
      <w:marTop w:val="0"/>
      <w:marBottom w:val="0"/>
      <w:divBdr>
        <w:top w:val="none" w:sz="0" w:space="0" w:color="auto"/>
        <w:left w:val="none" w:sz="0" w:space="0" w:color="auto"/>
        <w:bottom w:val="none" w:sz="0" w:space="0" w:color="auto"/>
        <w:right w:val="none" w:sz="0" w:space="0" w:color="auto"/>
      </w:divBdr>
    </w:div>
    <w:div w:id="444421253">
      <w:bodyDiv w:val="1"/>
      <w:marLeft w:val="0"/>
      <w:marRight w:val="0"/>
      <w:marTop w:val="0"/>
      <w:marBottom w:val="0"/>
      <w:divBdr>
        <w:top w:val="none" w:sz="0" w:space="0" w:color="auto"/>
        <w:left w:val="none" w:sz="0" w:space="0" w:color="auto"/>
        <w:bottom w:val="none" w:sz="0" w:space="0" w:color="auto"/>
        <w:right w:val="none" w:sz="0" w:space="0" w:color="auto"/>
      </w:divBdr>
    </w:div>
    <w:div w:id="527378852">
      <w:bodyDiv w:val="1"/>
      <w:marLeft w:val="0"/>
      <w:marRight w:val="0"/>
      <w:marTop w:val="0"/>
      <w:marBottom w:val="0"/>
      <w:divBdr>
        <w:top w:val="none" w:sz="0" w:space="0" w:color="auto"/>
        <w:left w:val="none" w:sz="0" w:space="0" w:color="auto"/>
        <w:bottom w:val="none" w:sz="0" w:space="0" w:color="auto"/>
        <w:right w:val="none" w:sz="0" w:space="0" w:color="auto"/>
      </w:divBdr>
    </w:div>
    <w:div w:id="667948466">
      <w:bodyDiv w:val="1"/>
      <w:marLeft w:val="0"/>
      <w:marRight w:val="0"/>
      <w:marTop w:val="0"/>
      <w:marBottom w:val="0"/>
      <w:divBdr>
        <w:top w:val="none" w:sz="0" w:space="0" w:color="auto"/>
        <w:left w:val="none" w:sz="0" w:space="0" w:color="auto"/>
        <w:bottom w:val="none" w:sz="0" w:space="0" w:color="auto"/>
        <w:right w:val="none" w:sz="0" w:space="0" w:color="auto"/>
      </w:divBdr>
    </w:div>
    <w:div w:id="1243946966">
      <w:bodyDiv w:val="1"/>
      <w:marLeft w:val="0"/>
      <w:marRight w:val="0"/>
      <w:marTop w:val="0"/>
      <w:marBottom w:val="0"/>
      <w:divBdr>
        <w:top w:val="none" w:sz="0" w:space="0" w:color="auto"/>
        <w:left w:val="none" w:sz="0" w:space="0" w:color="auto"/>
        <w:bottom w:val="none" w:sz="0" w:space="0" w:color="auto"/>
        <w:right w:val="none" w:sz="0" w:space="0" w:color="auto"/>
      </w:divBdr>
    </w:div>
    <w:div w:id="1418015318">
      <w:bodyDiv w:val="1"/>
      <w:marLeft w:val="0"/>
      <w:marRight w:val="0"/>
      <w:marTop w:val="0"/>
      <w:marBottom w:val="0"/>
      <w:divBdr>
        <w:top w:val="none" w:sz="0" w:space="0" w:color="auto"/>
        <w:left w:val="none" w:sz="0" w:space="0" w:color="auto"/>
        <w:bottom w:val="none" w:sz="0" w:space="0" w:color="auto"/>
        <w:right w:val="none" w:sz="0" w:space="0" w:color="auto"/>
      </w:divBdr>
    </w:div>
    <w:div w:id="1702395101">
      <w:bodyDiv w:val="1"/>
      <w:marLeft w:val="0"/>
      <w:marRight w:val="0"/>
      <w:marTop w:val="0"/>
      <w:marBottom w:val="0"/>
      <w:divBdr>
        <w:top w:val="none" w:sz="0" w:space="0" w:color="auto"/>
        <w:left w:val="none" w:sz="0" w:space="0" w:color="auto"/>
        <w:bottom w:val="none" w:sz="0" w:space="0" w:color="auto"/>
        <w:right w:val="none" w:sz="0" w:space="0" w:color="auto"/>
      </w:divBdr>
    </w:div>
    <w:div w:id="2071803810">
      <w:bodyDiv w:val="1"/>
      <w:marLeft w:val="0"/>
      <w:marRight w:val="0"/>
      <w:marTop w:val="0"/>
      <w:marBottom w:val="0"/>
      <w:divBdr>
        <w:top w:val="none" w:sz="0" w:space="0" w:color="auto"/>
        <w:left w:val="none" w:sz="0" w:space="0" w:color="auto"/>
        <w:bottom w:val="none" w:sz="0" w:space="0" w:color="auto"/>
        <w:right w:val="none" w:sz="0" w:space="0" w:color="auto"/>
      </w:divBdr>
    </w:div>
    <w:div w:id="2073233172">
      <w:bodyDiv w:val="1"/>
      <w:marLeft w:val="0"/>
      <w:marRight w:val="0"/>
      <w:marTop w:val="0"/>
      <w:marBottom w:val="0"/>
      <w:divBdr>
        <w:top w:val="none" w:sz="0" w:space="0" w:color="auto"/>
        <w:left w:val="none" w:sz="0" w:space="0" w:color="auto"/>
        <w:bottom w:val="none" w:sz="0" w:space="0" w:color="auto"/>
        <w:right w:val="none" w:sz="0" w:space="0" w:color="auto"/>
      </w:divBdr>
    </w:div>
    <w:div w:id="212411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tinyl.co/3xno" TargetMode="External"/><Relationship Id="rId13" Type="http://schemas.openxmlformats.org/officeDocument/2006/relationships/hyperlink" Target="https://tinyl.io/BwbF" TargetMode="External"/><Relationship Id="rId3" Type="http://schemas.openxmlformats.org/officeDocument/2006/relationships/hyperlink" Target="https://tinyl.co/3lXD" TargetMode="External"/><Relationship Id="rId7" Type="http://schemas.openxmlformats.org/officeDocument/2006/relationships/hyperlink" Target="https://tinyl.co/3lWb" TargetMode="External"/><Relationship Id="rId12" Type="http://schemas.openxmlformats.org/officeDocument/2006/relationships/hyperlink" Target="https://tinyl.co/3xpu" TargetMode="External"/><Relationship Id="rId2" Type="http://schemas.openxmlformats.org/officeDocument/2006/relationships/hyperlink" Target="https://tinyl.co/3xei" TargetMode="External"/><Relationship Id="rId16" Type="http://schemas.openxmlformats.org/officeDocument/2006/relationships/hyperlink" Target="https://tinyl.io/Auod" TargetMode="External"/><Relationship Id="rId1" Type="http://schemas.openxmlformats.org/officeDocument/2006/relationships/hyperlink" Target="https://tinyl.co/3l9a" TargetMode="External"/><Relationship Id="rId6" Type="http://schemas.openxmlformats.org/officeDocument/2006/relationships/hyperlink" Target="https://tinyl.io/BwbF" TargetMode="External"/><Relationship Id="rId11" Type="http://schemas.openxmlformats.org/officeDocument/2006/relationships/hyperlink" Target="https://tinyl.co/3lWy" TargetMode="External"/><Relationship Id="rId5" Type="http://schemas.openxmlformats.org/officeDocument/2006/relationships/hyperlink" Target="https://tinyl.co/3xnN" TargetMode="External"/><Relationship Id="rId15" Type="http://schemas.openxmlformats.org/officeDocument/2006/relationships/hyperlink" Target="https://tinyl.co/3lWy" TargetMode="External"/><Relationship Id="rId10" Type="http://schemas.openxmlformats.org/officeDocument/2006/relationships/hyperlink" Target="https://tinyl.io/BwbF" TargetMode="External"/><Relationship Id="rId4" Type="http://schemas.openxmlformats.org/officeDocument/2006/relationships/hyperlink" Target="https://tinyl.co/3lFV" TargetMode="External"/><Relationship Id="rId9" Type="http://schemas.openxmlformats.org/officeDocument/2006/relationships/hyperlink" Target="https://tinyl.co/3xob" TargetMode="External"/><Relationship Id="rId14" Type="http://schemas.openxmlformats.org/officeDocument/2006/relationships/hyperlink" Target="https://tinyl.co/3xq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2961</Words>
  <Characters>17294</Characters>
  <Application>Microsoft Office Word</Application>
  <DocSecurity>0</DocSecurity>
  <Lines>247</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Manar Ibrahim</cp:lastModifiedBy>
  <cp:revision>1</cp:revision>
  <dcterms:created xsi:type="dcterms:W3CDTF">2025-11-24T08:39:00Z</dcterms:created>
  <dcterms:modified xsi:type="dcterms:W3CDTF">2025-11-24T08:59:00Z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6f000ab5-c01c-4df1-a1f2-45e7494f31bd</vt:lpwstr>
  </property>
</Properties>
</file>