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453A12" w14:textId="77777777" w:rsidR="00AC4A70" w:rsidRDefault="00AC4A70">
      <w:pPr>
        <w:jc w:val="center"/>
        <w:rPr>
          <w:b/>
          <w:sz w:val="24"/>
          <w:szCs w:val="24"/>
          <w:u w:val="single"/>
        </w:rPr>
      </w:pPr>
    </w:p>
    <w:p w14:paraId="23D1917E" w14:textId="77777777" w:rsidR="00AC4A70" w:rsidRDefault="00091BA3">
      <w:pPr>
        <w:jc w:val="center"/>
        <w:rPr>
          <w:b/>
          <w:sz w:val="24"/>
          <w:szCs w:val="24"/>
          <w:u w:val="single"/>
        </w:rPr>
      </w:pPr>
      <w:r>
        <w:rPr>
          <w:b/>
          <w:sz w:val="24"/>
          <w:szCs w:val="24"/>
          <w:u w:val="single"/>
        </w:rPr>
        <w:t xml:space="preserve">Joint NGO Shadow Report Submission </w:t>
      </w:r>
    </w:p>
    <w:p w14:paraId="39C75728" w14:textId="04903B53" w:rsidR="00AC4A70" w:rsidRDefault="004510E6">
      <w:pPr>
        <w:jc w:val="center"/>
        <w:rPr>
          <w:b/>
          <w:sz w:val="24"/>
          <w:szCs w:val="24"/>
        </w:rPr>
      </w:pPr>
      <w:proofErr w:type="gramStart"/>
      <w:r>
        <w:rPr>
          <w:b/>
          <w:sz w:val="24"/>
          <w:szCs w:val="24"/>
        </w:rPr>
        <w:t>On  13</w:t>
      </w:r>
      <w:proofErr w:type="gramEnd"/>
      <w:r>
        <w:rPr>
          <w:b/>
          <w:sz w:val="24"/>
          <w:szCs w:val="24"/>
        </w:rPr>
        <w:t xml:space="preserve"> January 2020, </w:t>
      </w:r>
    </w:p>
    <w:p w14:paraId="2F675ED7" w14:textId="1F13BE4C" w:rsidR="00AC4A70" w:rsidRDefault="00091BA3">
      <w:pPr>
        <w:jc w:val="center"/>
        <w:rPr>
          <w:b/>
          <w:sz w:val="24"/>
          <w:szCs w:val="24"/>
        </w:rPr>
      </w:pPr>
      <w:r>
        <w:rPr>
          <w:b/>
          <w:sz w:val="24"/>
          <w:szCs w:val="24"/>
        </w:rPr>
        <w:t xml:space="preserve">On Article 12 of the Convention on the Elimination of All Forms of Discrimination </w:t>
      </w:r>
      <w:r w:rsidR="004510E6">
        <w:rPr>
          <w:b/>
          <w:sz w:val="24"/>
          <w:szCs w:val="24"/>
        </w:rPr>
        <w:t>against</w:t>
      </w:r>
      <w:r>
        <w:rPr>
          <w:b/>
          <w:sz w:val="24"/>
          <w:szCs w:val="24"/>
        </w:rPr>
        <w:t xml:space="preserve"> Women (ECEDAW)</w:t>
      </w:r>
    </w:p>
    <w:p w14:paraId="2BAE389F" w14:textId="77777777" w:rsidR="00AC4A70" w:rsidRDefault="00091BA3">
      <w:pPr>
        <w:jc w:val="center"/>
        <w:rPr>
          <w:b/>
          <w:sz w:val="24"/>
          <w:szCs w:val="24"/>
        </w:rPr>
      </w:pPr>
      <w:proofErr w:type="gramStart"/>
      <w:r>
        <w:rPr>
          <w:b/>
          <w:sz w:val="24"/>
          <w:szCs w:val="24"/>
        </w:rPr>
        <w:t>by</w:t>
      </w:r>
      <w:proofErr w:type="gramEnd"/>
      <w:r>
        <w:rPr>
          <w:b/>
          <w:sz w:val="24"/>
          <w:szCs w:val="24"/>
        </w:rPr>
        <w:t xml:space="preserve"> </w:t>
      </w:r>
    </w:p>
    <w:p w14:paraId="55BEEF6C" w14:textId="77777777" w:rsidR="00AC4A70" w:rsidRDefault="00091BA3">
      <w:pPr>
        <w:jc w:val="center"/>
        <w:rPr>
          <w:b/>
          <w:sz w:val="24"/>
          <w:szCs w:val="24"/>
        </w:rPr>
      </w:pPr>
      <w:r>
        <w:rPr>
          <w:b/>
          <w:sz w:val="24"/>
          <w:szCs w:val="24"/>
        </w:rPr>
        <w:t xml:space="preserve">Forum for Dignity Initiatives (FDI), Pakistan </w:t>
      </w:r>
    </w:p>
    <w:p w14:paraId="18F3DCE6" w14:textId="77777777" w:rsidR="00AC4A70" w:rsidRDefault="00091BA3">
      <w:pPr>
        <w:jc w:val="center"/>
        <w:rPr>
          <w:b/>
          <w:sz w:val="24"/>
          <w:szCs w:val="24"/>
        </w:rPr>
      </w:pPr>
      <w:proofErr w:type="gramStart"/>
      <w:r>
        <w:rPr>
          <w:b/>
          <w:sz w:val="24"/>
          <w:szCs w:val="24"/>
        </w:rPr>
        <w:t>and</w:t>
      </w:r>
      <w:proofErr w:type="gramEnd"/>
      <w:r>
        <w:rPr>
          <w:b/>
          <w:sz w:val="24"/>
          <w:szCs w:val="24"/>
        </w:rPr>
        <w:t xml:space="preserve"> the Asian-Pacific Resource &amp; Research Centre for Women (ARROW)</w:t>
      </w:r>
    </w:p>
    <w:p w14:paraId="5E6E3526" w14:textId="77777777" w:rsidR="00AC4A70" w:rsidRDefault="00091BA3">
      <w:pPr>
        <w:jc w:val="center"/>
        <w:rPr>
          <w:b/>
          <w:sz w:val="24"/>
          <w:szCs w:val="24"/>
        </w:rPr>
      </w:pPr>
      <w:proofErr w:type="gramStart"/>
      <w:r>
        <w:rPr>
          <w:b/>
          <w:sz w:val="24"/>
          <w:szCs w:val="24"/>
        </w:rPr>
        <w:t>on</w:t>
      </w:r>
      <w:proofErr w:type="gramEnd"/>
      <w:r>
        <w:rPr>
          <w:b/>
          <w:sz w:val="24"/>
          <w:szCs w:val="24"/>
        </w:rPr>
        <w:t xml:space="preserve"> behalf of Young </w:t>
      </w:r>
      <w:proofErr w:type="spellStart"/>
      <w:r>
        <w:rPr>
          <w:b/>
          <w:sz w:val="24"/>
          <w:szCs w:val="24"/>
        </w:rPr>
        <w:t>Omang</w:t>
      </w:r>
      <w:proofErr w:type="spellEnd"/>
      <w:r>
        <w:rPr>
          <w:b/>
          <w:sz w:val="24"/>
          <w:szCs w:val="24"/>
        </w:rPr>
        <w:t xml:space="preserve"> Pakistan</w:t>
      </w:r>
    </w:p>
    <w:p w14:paraId="44F9EB97" w14:textId="77777777" w:rsidR="00AC4A70" w:rsidRDefault="00091BA3">
      <w:pPr>
        <w:jc w:val="center"/>
        <w:rPr>
          <w:b/>
          <w:sz w:val="24"/>
          <w:szCs w:val="24"/>
        </w:rPr>
      </w:pPr>
      <w:proofErr w:type="gramStart"/>
      <w:r>
        <w:rPr>
          <w:b/>
          <w:sz w:val="24"/>
          <w:szCs w:val="24"/>
        </w:rPr>
        <w:t>for</w:t>
      </w:r>
      <w:proofErr w:type="gramEnd"/>
    </w:p>
    <w:p w14:paraId="42CFD234" w14:textId="77777777" w:rsidR="00AC4A70" w:rsidRDefault="00091BA3">
      <w:pPr>
        <w:jc w:val="center"/>
        <w:rPr>
          <w:b/>
          <w:sz w:val="24"/>
          <w:szCs w:val="24"/>
        </w:rPr>
      </w:pPr>
      <w:proofErr w:type="gramStart"/>
      <w:r>
        <w:rPr>
          <w:b/>
          <w:sz w:val="24"/>
          <w:szCs w:val="24"/>
        </w:rPr>
        <w:t>the</w:t>
      </w:r>
      <w:proofErr w:type="gramEnd"/>
      <w:r>
        <w:rPr>
          <w:b/>
          <w:sz w:val="24"/>
          <w:szCs w:val="24"/>
        </w:rPr>
        <w:t xml:space="preserve"> 5</w:t>
      </w:r>
      <w:r>
        <w:rPr>
          <w:b/>
          <w:sz w:val="24"/>
          <w:szCs w:val="24"/>
          <w:vertAlign w:val="superscript"/>
        </w:rPr>
        <w:t>th</w:t>
      </w:r>
      <w:r>
        <w:rPr>
          <w:b/>
          <w:sz w:val="24"/>
          <w:szCs w:val="24"/>
        </w:rPr>
        <w:t xml:space="preserve"> periodic review of Pakistan</w:t>
      </w:r>
    </w:p>
    <w:p w14:paraId="39BFE045" w14:textId="77777777" w:rsidR="00AC4A70" w:rsidRDefault="00AC4A70">
      <w:pPr>
        <w:jc w:val="center"/>
        <w:rPr>
          <w:b/>
          <w:sz w:val="24"/>
          <w:szCs w:val="24"/>
        </w:rPr>
      </w:pPr>
    </w:p>
    <w:p w14:paraId="110B8692" w14:textId="77777777" w:rsidR="00AC4A70" w:rsidRDefault="00AC4A70">
      <w:pPr>
        <w:jc w:val="center"/>
        <w:rPr>
          <w:b/>
          <w:sz w:val="24"/>
          <w:szCs w:val="24"/>
        </w:rPr>
      </w:pPr>
    </w:p>
    <w:p w14:paraId="023637CE" w14:textId="77777777" w:rsidR="00AC4A70" w:rsidRDefault="00091BA3">
      <w:pPr>
        <w:jc w:val="center"/>
        <w:rPr>
          <w:sz w:val="24"/>
          <w:szCs w:val="24"/>
        </w:rPr>
      </w:pPr>
      <w:r>
        <w:rPr>
          <w:noProof/>
          <w:sz w:val="24"/>
          <w:szCs w:val="24"/>
        </w:rPr>
        <w:drawing>
          <wp:inline distT="0" distB="0" distL="0" distR="0" wp14:anchorId="7D12AE11" wp14:editId="50ACCDEB">
            <wp:extent cx="2298700" cy="25177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98700" cy="2517775"/>
                    </a:xfrm>
                    <a:prstGeom prst="rect">
                      <a:avLst/>
                    </a:prstGeom>
                    <a:ln/>
                  </pic:spPr>
                </pic:pic>
              </a:graphicData>
            </a:graphic>
          </wp:inline>
        </w:drawing>
      </w:r>
    </w:p>
    <w:p w14:paraId="7507861E" w14:textId="77777777" w:rsidR="00AC4A70" w:rsidRDefault="00AC4A70">
      <w:pPr>
        <w:jc w:val="both"/>
        <w:rPr>
          <w:sz w:val="24"/>
          <w:szCs w:val="24"/>
        </w:rPr>
      </w:pPr>
    </w:p>
    <w:p w14:paraId="3CB11427" w14:textId="77777777" w:rsidR="00AC4A70" w:rsidRDefault="00AC4A70">
      <w:pPr>
        <w:jc w:val="both"/>
        <w:rPr>
          <w:sz w:val="24"/>
          <w:szCs w:val="24"/>
        </w:rPr>
      </w:pPr>
    </w:p>
    <w:p w14:paraId="705EF242" w14:textId="34525D76" w:rsidR="00AC4A70" w:rsidRDefault="00091BA3">
      <w:pPr>
        <w:rPr>
          <w:sz w:val="24"/>
          <w:szCs w:val="24"/>
        </w:rPr>
      </w:pPr>
      <w:r>
        <w:rPr>
          <w:sz w:val="24"/>
          <w:szCs w:val="24"/>
        </w:rPr>
        <w:t xml:space="preserve">The submission was been jointly prepared and submitted by </w:t>
      </w:r>
      <w:r w:rsidR="00D410C2">
        <w:rPr>
          <w:sz w:val="24"/>
          <w:szCs w:val="24"/>
        </w:rPr>
        <w:t xml:space="preserve">FDI and ARROW on behalf of </w:t>
      </w:r>
      <w:proofErr w:type="spellStart"/>
      <w:r w:rsidR="00D410C2">
        <w:rPr>
          <w:sz w:val="24"/>
          <w:szCs w:val="24"/>
        </w:rPr>
        <w:t>Aahung</w:t>
      </w:r>
      <w:proofErr w:type="spellEnd"/>
      <w:r w:rsidR="00D410C2">
        <w:rPr>
          <w:sz w:val="24"/>
          <w:szCs w:val="24"/>
        </w:rPr>
        <w:t xml:space="preserve">, Blue Veins, </w:t>
      </w:r>
      <w:proofErr w:type="spellStart"/>
      <w:r w:rsidR="00D410C2">
        <w:rPr>
          <w:sz w:val="24"/>
          <w:szCs w:val="24"/>
        </w:rPr>
        <w:t>Bargad</w:t>
      </w:r>
      <w:proofErr w:type="spellEnd"/>
      <w:r w:rsidR="00D410C2">
        <w:rPr>
          <w:sz w:val="24"/>
          <w:szCs w:val="24"/>
        </w:rPr>
        <w:t xml:space="preserve">, CDA, IRC, ITA, YAN and </w:t>
      </w:r>
      <w:proofErr w:type="spellStart"/>
      <w:r w:rsidR="00D410C2">
        <w:rPr>
          <w:sz w:val="24"/>
          <w:szCs w:val="24"/>
        </w:rPr>
        <w:t>Rahnum</w:t>
      </w:r>
      <w:r w:rsidR="004510E6">
        <w:rPr>
          <w:sz w:val="24"/>
          <w:szCs w:val="24"/>
        </w:rPr>
        <w:t>a</w:t>
      </w:r>
      <w:proofErr w:type="spellEnd"/>
      <w:r w:rsidR="004510E6">
        <w:rPr>
          <w:sz w:val="24"/>
          <w:szCs w:val="24"/>
        </w:rPr>
        <w:t xml:space="preserve">-FPAP. </w:t>
      </w:r>
      <w:r>
        <w:rPr>
          <w:sz w:val="24"/>
          <w:szCs w:val="24"/>
        </w:rPr>
        <w:t>The submission can be posted on the CEDAW website for public information purposes.</w:t>
      </w:r>
    </w:p>
    <w:p w14:paraId="0580C2DE" w14:textId="77777777" w:rsidR="00AC4A70" w:rsidRDefault="00AC4A70">
      <w:pPr>
        <w:jc w:val="both"/>
        <w:rPr>
          <w:sz w:val="24"/>
          <w:szCs w:val="24"/>
        </w:rPr>
      </w:pPr>
    </w:p>
    <w:p w14:paraId="37C07FE9" w14:textId="77777777" w:rsidR="00AC4A70" w:rsidRDefault="00AC4A70">
      <w:pPr>
        <w:jc w:val="both"/>
        <w:rPr>
          <w:b/>
          <w:sz w:val="24"/>
          <w:szCs w:val="24"/>
        </w:rPr>
      </w:pPr>
    </w:p>
    <w:p w14:paraId="6EF7EF80" w14:textId="77777777" w:rsidR="00AC4A70" w:rsidRDefault="00AC4A70">
      <w:pPr>
        <w:jc w:val="both"/>
        <w:rPr>
          <w:b/>
          <w:sz w:val="24"/>
          <w:szCs w:val="24"/>
        </w:rPr>
      </w:pPr>
    </w:p>
    <w:p w14:paraId="38ABE3E2" w14:textId="77777777" w:rsidR="00AC4A70" w:rsidRDefault="00091BA3">
      <w:pPr>
        <w:jc w:val="both"/>
        <w:rPr>
          <w:b/>
          <w:sz w:val="24"/>
          <w:szCs w:val="24"/>
        </w:rPr>
      </w:pPr>
      <w:r>
        <w:rPr>
          <w:b/>
          <w:sz w:val="24"/>
          <w:szCs w:val="24"/>
        </w:rPr>
        <w:t>Content</w:t>
      </w:r>
    </w:p>
    <w:p w14:paraId="35521B9C" w14:textId="77777777" w:rsidR="00AC4A70" w:rsidRDefault="00091BA3">
      <w:pPr>
        <w:numPr>
          <w:ilvl w:val="0"/>
          <w:numId w:val="4"/>
        </w:numPr>
        <w:pBdr>
          <w:top w:val="nil"/>
          <w:left w:val="nil"/>
          <w:bottom w:val="nil"/>
          <w:right w:val="nil"/>
          <w:between w:val="nil"/>
        </w:pBdr>
        <w:spacing w:after="0" w:line="600" w:lineRule="auto"/>
        <w:jc w:val="both"/>
        <w:rPr>
          <w:b/>
          <w:color w:val="000000"/>
          <w:sz w:val="24"/>
          <w:szCs w:val="24"/>
        </w:rPr>
      </w:pPr>
      <w:r>
        <w:rPr>
          <w:b/>
          <w:color w:val="000000"/>
          <w:sz w:val="24"/>
          <w:szCs w:val="24"/>
        </w:rPr>
        <w:t>Executive Summary</w:t>
      </w:r>
    </w:p>
    <w:p w14:paraId="29FA0697" w14:textId="77777777" w:rsidR="00AC4A70" w:rsidRDefault="00091BA3">
      <w:pPr>
        <w:numPr>
          <w:ilvl w:val="0"/>
          <w:numId w:val="4"/>
        </w:numPr>
        <w:pBdr>
          <w:top w:val="nil"/>
          <w:left w:val="nil"/>
          <w:bottom w:val="nil"/>
          <w:right w:val="nil"/>
          <w:between w:val="nil"/>
        </w:pBdr>
        <w:spacing w:after="0" w:line="600" w:lineRule="auto"/>
        <w:jc w:val="both"/>
        <w:rPr>
          <w:b/>
          <w:color w:val="000000"/>
          <w:sz w:val="24"/>
          <w:szCs w:val="24"/>
        </w:rPr>
      </w:pPr>
      <w:r>
        <w:rPr>
          <w:b/>
          <w:color w:val="000000"/>
          <w:sz w:val="24"/>
          <w:szCs w:val="24"/>
        </w:rPr>
        <w:t>Introduction</w:t>
      </w:r>
    </w:p>
    <w:p w14:paraId="77DB9D4D" w14:textId="77777777" w:rsidR="00AC4A70" w:rsidRDefault="00091BA3">
      <w:pPr>
        <w:numPr>
          <w:ilvl w:val="0"/>
          <w:numId w:val="4"/>
        </w:numPr>
        <w:pBdr>
          <w:top w:val="nil"/>
          <w:left w:val="nil"/>
          <w:bottom w:val="nil"/>
          <w:right w:val="nil"/>
          <w:between w:val="nil"/>
        </w:pBdr>
        <w:spacing w:after="0" w:line="600" w:lineRule="auto"/>
        <w:jc w:val="both"/>
        <w:rPr>
          <w:b/>
          <w:color w:val="000000"/>
          <w:sz w:val="24"/>
          <w:szCs w:val="24"/>
        </w:rPr>
      </w:pPr>
      <w:r>
        <w:rPr>
          <w:b/>
          <w:color w:val="000000"/>
          <w:sz w:val="24"/>
          <w:szCs w:val="24"/>
        </w:rPr>
        <w:t>Context</w:t>
      </w:r>
    </w:p>
    <w:p w14:paraId="3F2E99FE" w14:textId="77777777" w:rsidR="00AC4A70" w:rsidRDefault="00091BA3">
      <w:pPr>
        <w:numPr>
          <w:ilvl w:val="0"/>
          <w:numId w:val="4"/>
        </w:numPr>
        <w:pBdr>
          <w:top w:val="nil"/>
          <w:left w:val="nil"/>
          <w:bottom w:val="nil"/>
          <w:right w:val="nil"/>
          <w:between w:val="nil"/>
        </w:pBdr>
        <w:spacing w:after="0" w:line="600" w:lineRule="auto"/>
        <w:jc w:val="both"/>
        <w:rPr>
          <w:b/>
          <w:color w:val="000000"/>
          <w:sz w:val="24"/>
          <w:szCs w:val="24"/>
        </w:rPr>
      </w:pPr>
      <w:r>
        <w:rPr>
          <w:b/>
          <w:color w:val="000000"/>
          <w:sz w:val="24"/>
          <w:szCs w:val="24"/>
        </w:rPr>
        <w:t>SRHR and Article 12 of CEDAW</w:t>
      </w:r>
    </w:p>
    <w:p w14:paraId="79D68B66" w14:textId="77777777" w:rsidR="00AC4A70" w:rsidRDefault="00091BA3">
      <w:pPr>
        <w:numPr>
          <w:ilvl w:val="0"/>
          <w:numId w:val="4"/>
        </w:numPr>
        <w:pBdr>
          <w:top w:val="nil"/>
          <w:left w:val="nil"/>
          <w:bottom w:val="nil"/>
          <w:right w:val="nil"/>
          <w:between w:val="nil"/>
        </w:pBdr>
        <w:spacing w:after="0" w:line="600" w:lineRule="auto"/>
        <w:jc w:val="both"/>
        <w:rPr>
          <w:b/>
          <w:color w:val="000000"/>
          <w:sz w:val="24"/>
          <w:szCs w:val="24"/>
        </w:rPr>
      </w:pPr>
      <w:r>
        <w:rPr>
          <w:b/>
          <w:color w:val="000000"/>
          <w:sz w:val="24"/>
          <w:szCs w:val="24"/>
        </w:rPr>
        <w:t>Young Girls (Both cisgender &amp; Transgender) Health Issues</w:t>
      </w:r>
    </w:p>
    <w:p w14:paraId="36AEB800" w14:textId="77777777" w:rsidR="00AC4A70" w:rsidRDefault="00091BA3">
      <w:pPr>
        <w:numPr>
          <w:ilvl w:val="0"/>
          <w:numId w:val="5"/>
        </w:numPr>
        <w:pBdr>
          <w:top w:val="nil"/>
          <w:left w:val="nil"/>
          <w:bottom w:val="nil"/>
          <w:right w:val="nil"/>
          <w:between w:val="nil"/>
        </w:pBdr>
        <w:spacing w:after="0" w:line="600" w:lineRule="auto"/>
        <w:jc w:val="both"/>
        <w:rPr>
          <w:b/>
          <w:color w:val="000000"/>
        </w:rPr>
      </w:pPr>
      <w:r>
        <w:rPr>
          <w:b/>
          <w:color w:val="000000"/>
          <w:sz w:val="24"/>
          <w:szCs w:val="24"/>
        </w:rPr>
        <w:t>Lack of awareness and information</w:t>
      </w:r>
    </w:p>
    <w:p w14:paraId="67D599DC" w14:textId="77777777" w:rsidR="00AC4A70" w:rsidRDefault="00091BA3">
      <w:pPr>
        <w:numPr>
          <w:ilvl w:val="0"/>
          <w:numId w:val="5"/>
        </w:numPr>
        <w:pBdr>
          <w:top w:val="nil"/>
          <w:left w:val="nil"/>
          <w:bottom w:val="nil"/>
          <w:right w:val="nil"/>
          <w:between w:val="nil"/>
        </w:pBdr>
        <w:spacing w:after="0" w:line="600" w:lineRule="auto"/>
        <w:jc w:val="both"/>
        <w:rPr>
          <w:b/>
          <w:color w:val="000000"/>
        </w:rPr>
      </w:pPr>
      <w:r>
        <w:rPr>
          <w:b/>
          <w:color w:val="000000"/>
          <w:sz w:val="24"/>
          <w:szCs w:val="24"/>
        </w:rPr>
        <w:t>recommendations</w:t>
      </w:r>
    </w:p>
    <w:p w14:paraId="087C802A" w14:textId="77777777" w:rsidR="00AC4A70" w:rsidRDefault="00091BA3">
      <w:pPr>
        <w:numPr>
          <w:ilvl w:val="0"/>
          <w:numId w:val="5"/>
        </w:numPr>
        <w:pBdr>
          <w:top w:val="nil"/>
          <w:left w:val="nil"/>
          <w:bottom w:val="nil"/>
          <w:right w:val="nil"/>
          <w:between w:val="nil"/>
        </w:pBdr>
        <w:spacing w:after="0" w:line="600" w:lineRule="auto"/>
        <w:jc w:val="both"/>
        <w:rPr>
          <w:b/>
          <w:color w:val="000000"/>
        </w:rPr>
      </w:pPr>
      <w:r>
        <w:rPr>
          <w:b/>
          <w:color w:val="000000"/>
          <w:sz w:val="24"/>
          <w:szCs w:val="24"/>
        </w:rPr>
        <w:t>Sexual and gender based violence</w:t>
      </w:r>
    </w:p>
    <w:p w14:paraId="2B4D8CAC" w14:textId="77777777" w:rsidR="00AC4A70" w:rsidRDefault="00091BA3">
      <w:pPr>
        <w:numPr>
          <w:ilvl w:val="0"/>
          <w:numId w:val="5"/>
        </w:numPr>
        <w:pBdr>
          <w:top w:val="nil"/>
          <w:left w:val="nil"/>
          <w:bottom w:val="nil"/>
          <w:right w:val="nil"/>
          <w:between w:val="nil"/>
        </w:pBdr>
        <w:spacing w:after="0" w:line="600" w:lineRule="auto"/>
        <w:jc w:val="both"/>
        <w:rPr>
          <w:b/>
          <w:color w:val="000000"/>
        </w:rPr>
      </w:pPr>
      <w:r>
        <w:rPr>
          <w:b/>
          <w:color w:val="000000"/>
          <w:sz w:val="24"/>
          <w:szCs w:val="24"/>
        </w:rPr>
        <w:t>Transgender women</w:t>
      </w:r>
    </w:p>
    <w:p w14:paraId="591A6BEA" w14:textId="77777777" w:rsidR="00AC4A70" w:rsidRDefault="00091BA3">
      <w:pPr>
        <w:numPr>
          <w:ilvl w:val="0"/>
          <w:numId w:val="5"/>
        </w:numPr>
        <w:pBdr>
          <w:top w:val="nil"/>
          <w:left w:val="nil"/>
          <w:bottom w:val="nil"/>
          <w:right w:val="nil"/>
          <w:between w:val="nil"/>
        </w:pBdr>
        <w:spacing w:after="0" w:line="600" w:lineRule="auto"/>
        <w:jc w:val="both"/>
        <w:rPr>
          <w:b/>
          <w:color w:val="000000"/>
        </w:rPr>
      </w:pPr>
      <w:r>
        <w:rPr>
          <w:b/>
          <w:color w:val="000000"/>
          <w:sz w:val="24"/>
          <w:szCs w:val="24"/>
        </w:rPr>
        <w:t>recommendations</w:t>
      </w:r>
    </w:p>
    <w:p w14:paraId="65AACA25" w14:textId="77777777" w:rsidR="00AC4A70" w:rsidRDefault="00091BA3">
      <w:pPr>
        <w:numPr>
          <w:ilvl w:val="0"/>
          <w:numId w:val="5"/>
        </w:numPr>
        <w:pBdr>
          <w:top w:val="nil"/>
          <w:left w:val="nil"/>
          <w:bottom w:val="nil"/>
          <w:right w:val="nil"/>
          <w:between w:val="nil"/>
        </w:pBdr>
        <w:spacing w:after="0" w:line="600" w:lineRule="auto"/>
        <w:jc w:val="both"/>
        <w:rPr>
          <w:b/>
          <w:color w:val="000000"/>
        </w:rPr>
      </w:pPr>
      <w:r>
        <w:rPr>
          <w:b/>
          <w:color w:val="000000"/>
          <w:sz w:val="24"/>
          <w:szCs w:val="24"/>
        </w:rPr>
        <w:t>abortion</w:t>
      </w:r>
    </w:p>
    <w:p w14:paraId="6419DAFC" w14:textId="77777777" w:rsidR="00AC4A70" w:rsidRDefault="00091BA3">
      <w:pPr>
        <w:numPr>
          <w:ilvl w:val="0"/>
          <w:numId w:val="5"/>
        </w:numPr>
        <w:pBdr>
          <w:top w:val="nil"/>
          <w:left w:val="nil"/>
          <w:bottom w:val="nil"/>
          <w:right w:val="nil"/>
          <w:between w:val="nil"/>
        </w:pBdr>
        <w:spacing w:after="0" w:line="600" w:lineRule="auto"/>
        <w:jc w:val="both"/>
        <w:rPr>
          <w:b/>
          <w:color w:val="000000"/>
        </w:rPr>
      </w:pPr>
      <w:r>
        <w:rPr>
          <w:b/>
          <w:color w:val="000000"/>
          <w:sz w:val="24"/>
          <w:szCs w:val="24"/>
        </w:rPr>
        <w:t>recommendations</w:t>
      </w:r>
    </w:p>
    <w:p w14:paraId="4EF2E4D1" w14:textId="2588F7EC" w:rsidR="00AC4A70" w:rsidRDefault="00091BA3">
      <w:pPr>
        <w:numPr>
          <w:ilvl w:val="0"/>
          <w:numId w:val="5"/>
        </w:numPr>
        <w:pBdr>
          <w:top w:val="nil"/>
          <w:left w:val="nil"/>
          <w:bottom w:val="nil"/>
          <w:right w:val="nil"/>
          <w:between w:val="nil"/>
        </w:pBdr>
        <w:spacing w:after="0" w:line="600" w:lineRule="auto"/>
        <w:jc w:val="both"/>
        <w:rPr>
          <w:b/>
          <w:color w:val="000000"/>
        </w:rPr>
      </w:pPr>
      <w:r>
        <w:rPr>
          <w:b/>
          <w:color w:val="000000"/>
          <w:sz w:val="24"/>
          <w:szCs w:val="24"/>
        </w:rPr>
        <w:t xml:space="preserve">Harmful customary </w:t>
      </w:r>
      <w:r w:rsidR="004510E6">
        <w:rPr>
          <w:b/>
          <w:color w:val="000000"/>
          <w:sz w:val="24"/>
          <w:szCs w:val="24"/>
        </w:rPr>
        <w:t>practices</w:t>
      </w:r>
    </w:p>
    <w:p w14:paraId="5740F5A6" w14:textId="77777777" w:rsidR="00AC4A70" w:rsidRDefault="00091BA3">
      <w:pPr>
        <w:numPr>
          <w:ilvl w:val="0"/>
          <w:numId w:val="5"/>
        </w:numPr>
        <w:pBdr>
          <w:top w:val="nil"/>
          <w:left w:val="nil"/>
          <w:bottom w:val="nil"/>
          <w:right w:val="nil"/>
          <w:between w:val="nil"/>
        </w:pBdr>
        <w:spacing w:after="0" w:line="600" w:lineRule="auto"/>
        <w:jc w:val="both"/>
        <w:rPr>
          <w:b/>
          <w:color w:val="000000"/>
        </w:rPr>
      </w:pPr>
      <w:r>
        <w:rPr>
          <w:b/>
          <w:color w:val="000000"/>
          <w:sz w:val="24"/>
          <w:szCs w:val="24"/>
        </w:rPr>
        <w:t>Child and early marriages</w:t>
      </w:r>
    </w:p>
    <w:p w14:paraId="721CC555" w14:textId="77777777" w:rsidR="00AC4A70" w:rsidRDefault="00091BA3">
      <w:pPr>
        <w:numPr>
          <w:ilvl w:val="0"/>
          <w:numId w:val="5"/>
        </w:numPr>
        <w:pBdr>
          <w:top w:val="nil"/>
          <w:left w:val="nil"/>
          <w:bottom w:val="nil"/>
          <w:right w:val="nil"/>
          <w:between w:val="nil"/>
        </w:pBdr>
        <w:spacing w:line="600" w:lineRule="auto"/>
        <w:jc w:val="both"/>
        <w:rPr>
          <w:b/>
          <w:color w:val="000000"/>
        </w:rPr>
      </w:pPr>
      <w:r>
        <w:rPr>
          <w:b/>
          <w:color w:val="000000"/>
          <w:sz w:val="24"/>
          <w:szCs w:val="24"/>
        </w:rPr>
        <w:t>Recommendations</w:t>
      </w:r>
    </w:p>
    <w:p w14:paraId="54CB3A86" w14:textId="77777777" w:rsidR="00AC4A70" w:rsidRDefault="00091BA3">
      <w:pPr>
        <w:rPr>
          <w:b/>
          <w:sz w:val="24"/>
          <w:szCs w:val="24"/>
        </w:rPr>
      </w:pPr>
      <w:r>
        <w:br w:type="page"/>
      </w:r>
    </w:p>
    <w:p w14:paraId="13910F35" w14:textId="77777777" w:rsidR="00AC4A70" w:rsidRDefault="00AC4A70">
      <w:pPr>
        <w:jc w:val="both"/>
        <w:rPr>
          <w:b/>
          <w:sz w:val="24"/>
          <w:szCs w:val="24"/>
        </w:rPr>
      </w:pPr>
    </w:p>
    <w:p w14:paraId="3F0126A4" w14:textId="77777777" w:rsidR="00AC4A70" w:rsidRDefault="00091BA3">
      <w:pPr>
        <w:jc w:val="both"/>
        <w:rPr>
          <w:b/>
          <w:sz w:val="24"/>
          <w:szCs w:val="24"/>
        </w:rPr>
      </w:pPr>
      <w:r>
        <w:rPr>
          <w:b/>
          <w:sz w:val="24"/>
          <w:szCs w:val="24"/>
        </w:rPr>
        <w:t xml:space="preserve">List of abbreviations </w:t>
      </w:r>
    </w:p>
    <w:p w14:paraId="2A3438DF" w14:textId="77777777" w:rsidR="00AC4A70" w:rsidRDefault="00091BA3">
      <w:pPr>
        <w:spacing w:line="360" w:lineRule="auto"/>
        <w:jc w:val="both"/>
        <w:rPr>
          <w:sz w:val="24"/>
          <w:szCs w:val="24"/>
        </w:rPr>
      </w:pPr>
      <w:r>
        <w:rPr>
          <w:sz w:val="24"/>
          <w:szCs w:val="24"/>
        </w:rPr>
        <w:t xml:space="preserve">SRHR </w:t>
      </w:r>
      <w:r>
        <w:rPr>
          <w:sz w:val="24"/>
          <w:szCs w:val="24"/>
        </w:rPr>
        <w:tab/>
      </w:r>
      <w:r>
        <w:rPr>
          <w:sz w:val="24"/>
          <w:szCs w:val="24"/>
        </w:rPr>
        <w:tab/>
        <w:t>Sexual Reproductive Health and Rights</w:t>
      </w:r>
    </w:p>
    <w:p w14:paraId="30768DF1" w14:textId="77777777" w:rsidR="00AC4A70" w:rsidRDefault="00091BA3">
      <w:pPr>
        <w:spacing w:line="360" w:lineRule="auto"/>
        <w:jc w:val="both"/>
        <w:rPr>
          <w:sz w:val="24"/>
          <w:szCs w:val="24"/>
        </w:rPr>
      </w:pPr>
      <w:r>
        <w:rPr>
          <w:sz w:val="24"/>
          <w:szCs w:val="24"/>
        </w:rPr>
        <w:t xml:space="preserve">FP </w:t>
      </w:r>
      <w:r>
        <w:rPr>
          <w:sz w:val="24"/>
          <w:szCs w:val="24"/>
        </w:rPr>
        <w:tab/>
      </w:r>
      <w:r>
        <w:rPr>
          <w:sz w:val="24"/>
          <w:szCs w:val="24"/>
        </w:rPr>
        <w:tab/>
        <w:t>Family Planning</w:t>
      </w:r>
    </w:p>
    <w:p w14:paraId="4F30229A" w14:textId="77777777" w:rsidR="00AC4A70" w:rsidRDefault="00091BA3">
      <w:pPr>
        <w:spacing w:line="360" w:lineRule="auto"/>
        <w:jc w:val="both"/>
        <w:rPr>
          <w:sz w:val="24"/>
          <w:szCs w:val="24"/>
        </w:rPr>
      </w:pPr>
      <w:r>
        <w:rPr>
          <w:sz w:val="24"/>
          <w:szCs w:val="24"/>
        </w:rPr>
        <w:t xml:space="preserve">CIP </w:t>
      </w:r>
      <w:r>
        <w:rPr>
          <w:sz w:val="24"/>
          <w:szCs w:val="24"/>
        </w:rPr>
        <w:tab/>
      </w:r>
      <w:r>
        <w:rPr>
          <w:sz w:val="24"/>
          <w:szCs w:val="24"/>
        </w:rPr>
        <w:tab/>
      </w:r>
      <w:proofErr w:type="spellStart"/>
      <w:r>
        <w:rPr>
          <w:sz w:val="24"/>
          <w:szCs w:val="24"/>
        </w:rPr>
        <w:t>Costed</w:t>
      </w:r>
      <w:proofErr w:type="spellEnd"/>
      <w:r>
        <w:rPr>
          <w:sz w:val="24"/>
          <w:szCs w:val="24"/>
        </w:rPr>
        <w:t xml:space="preserve"> Implementation Plan</w:t>
      </w:r>
    </w:p>
    <w:p w14:paraId="04AC55CD" w14:textId="0444037B" w:rsidR="00AC4A70" w:rsidRDefault="00091BA3">
      <w:pPr>
        <w:spacing w:line="360" w:lineRule="auto"/>
        <w:jc w:val="both"/>
        <w:rPr>
          <w:sz w:val="24"/>
          <w:szCs w:val="24"/>
        </w:rPr>
      </w:pPr>
      <w:r>
        <w:rPr>
          <w:sz w:val="24"/>
          <w:szCs w:val="24"/>
        </w:rPr>
        <w:t xml:space="preserve">CEDAW </w:t>
      </w:r>
      <w:r>
        <w:rPr>
          <w:sz w:val="24"/>
          <w:szCs w:val="24"/>
        </w:rPr>
        <w:tab/>
        <w:t xml:space="preserve">Convention on Elimination of All Forms of Discrimination </w:t>
      </w:r>
      <w:r w:rsidR="004510E6">
        <w:rPr>
          <w:sz w:val="24"/>
          <w:szCs w:val="24"/>
        </w:rPr>
        <w:t>against</w:t>
      </w:r>
      <w:r>
        <w:rPr>
          <w:sz w:val="24"/>
          <w:szCs w:val="24"/>
        </w:rPr>
        <w:t xml:space="preserve"> Women</w:t>
      </w:r>
    </w:p>
    <w:p w14:paraId="62644381" w14:textId="021AB592" w:rsidR="00AC4A70" w:rsidRDefault="00091BA3">
      <w:pPr>
        <w:spacing w:line="360" w:lineRule="auto"/>
        <w:jc w:val="both"/>
        <w:rPr>
          <w:sz w:val="24"/>
          <w:szCs w:val="24"/>
        </w:rPr>
      </w:pPr>
      <w:r>
        <w:rPr>
          <w:sz w:val="24"/>
          <w:szCs w:val="24"/>
        </w:rPr>
        <w:t>NGOs</w:t>
      </w:r>
      <w:r>
        <w:rPr>
          <w:sz w:val="24"/>
          <w:szCs w:val="24"/>
        </w:rPr>
        <w:tab/>
      </w:r>
      <w:r>
        <w:rPr>
          <w:sz w:val="24"/>
          <w:szCs w:val="24"/>
        </w:rPr>
        <w:tab/>
      </w:r>
      <w:r w:rsidR="004510E6">
        <w:rPr>
          <w:sz w:val="24"/>
          <w:szCs w:val="24"/>
        </w:rPr>
        <w:t>Non-governmental</w:t>
      </w:r>
      <w:r>
        <w:rPr>
          <w:sz w:val="24"/>
          <w:szCs w:val="24"/>
        </w:rPr>
        <w:t xml:space="preserve"> organizations</w:t>
      </w:r>
    </w:p>
    <w:p w14:paraId="3B7EA83F" w14:textId="77777777" w:rsidR="00AC4A70" w:rsidRDefault="00091BA3">
      <w:pPr>
        <w:spacing w:line="360" w:lineRule="auto"/>
        <w:rPr>
          <w:sz w:val="24"/>
          <w:szCs w:val="24"/>
        </w:rPr>
      </w:pPr>
      <w:r>
        <w:rPr>
          <w:sz w:val="24"/>
          <w:szCs w:val="24"/>
        </w:rPr>
        <w:t xml:space="preserve">CDA </w:t>
      </w:r>
      <w:r>
        <w:rPr>
          <w:sz w:val="24"/>
          <w:szCs w:val="24"/>
        </w:rPr>
        <w:tab/>
      </w:r>
      <w:r>
        <w:rPr>
          <w:sz w:val="24"/>
          <w:szCs w:val="24"/>
        </w:rPr>
        <w:tab/>
      </w:r>
      <w:proofErr w:type="spellStart"/>
      <w:r>
        <w:rPr>
          <w:sz w:val="24"/>
          <w:szCs w:val="24"/>
        </w:rPr>
        <w:t>Channan</w:t>
      </w:r>
      <w:proofErr w:type="spellEnd"/>
      <w:r>
        <w:rPr>
          <w:sz w:val="24"/>
          <w:szCs w:val="24"/>
        </w:rPr>
        <w:t xml:space="preserve"> Development Association </w:t>
      </w:r>
    </w:p>
    <w:p w14:paraId="05094072" w14:textId="404646F2" w:rsidR="00AC4A70" w:rsidRDefault="00091BA3">
      <w:pPr>
        <w:spacing w:line="360" w:lineRule="auto"/>
        <w:rPr>
          <w:sz w:val="24"/>
          <w:szCs w:val="24"/>
        </w:rPr>
      </w:pPr>
      <w:r>
        <w:rPr>
          <w:sz w:val="24"/>
          <w:szCs w:val="24"/>
        </w:rPr>
        <w:t>FDI</w:t>
      </w:r>
      <w:r>
        <w:rPr>
          <w:sz w:val="24"/>
          <w:szCs w:val="24"/>
        </w:rPr>
        <w:tab/>
      </w:r>
      <w:r>
        <w:rPr>
          <w:sz w:val="24"/>
          <w:szCs w:val="24"/>
        </w:rPr>
        <w:tab/>
        <w:t>Forum for Dignity Initiative</w:t>
      </w:r>
      <w:r w:rsidR="004510E6">
        <w:rPr>
          <w:sz w:val="24"/>
          <w:szCs w:val="24"/>
        </w:rPr>
        <w:t>s</w:t>
      </w:r>
      <w:bookmarkStart w:id="0" w:name="_GoBack"/>
      <w:bookmarkEnd w:id="0"/>
      <w:r>
        <w:rPr>
          <w:sz w:val="24"/>
          <w:szCs w:val="24"/>
        </w:rPr>
        <w:t xml:space="preserve"> </w:t>
      </w:r>
    </w:p>
    <w:p w14:paraId="4EFA1ACC" w14:textId="77777777" w:rsidR="00AC4A70" w:rsidRDefault="00091BA3">
      <w:pPr>
        <w:spacing w:line="360" w:lineRule="auto"/>
        <w:rPr>
          <w:sz w:val="24"/>
          <w:szCs w:val="24"/>
        </w:rPr>
      </w:pPr>
      <w:r>
        <w:rPr>
          <w:sz w:val="24"/>
          <w:szCs w:val="24"/>
        </w:rPr>
        <w:t xml:space="preserve">IRC </w:t>
      </w:r>
      <w:r>
        <w:rPr>
          <w:sz w:val="24"/>
          <w:szCs w:val="24"/>
        </w:rPr>
        <w:tab/>
      </w:r>
      <w:r>
        <w:rPr>
          <w:sz w:val="24"/>
          <w:szCs w:val="24"/>
        </w:rPr>
        <w:tab/>
        <w:t xml:space="preserve"> Indus Resource Center  </w:t>
      </w:r>
    </w:p>
    <w:p w14:paraId="6BE2E597" w14:textId="77777777" w:rsidR="00AC4A70" w:rsidRDefault="00091BA3">
      <w:pPr>
        <w:spacing w:line="360" w:lineRule="auto"/>
        <w:rPr>
          <w:sz w:val="24"/>
          <w:szCs w:val="24"/>
        </w:rPr>
      </w:pPr>
      <w:r>
        <w:rPr>
          <w:sz w:val="24"/>
          <w:szCs w:val="24"/>
        </w:rPr>
        <w:t xml:space="preserve">ITA </w:t>
      </w:r>
      <w:r>
        <w:rPr>
          <w:sz w:val="24"/>
          <w:szCs w:val="24"/>
        </w:rPr>
        <w:tab/>
      </w:r>
      <w:r>
        <w:rPr>
          <w:sz w:val="24"/>
          <w:szCs w:val="24"/>
        </w:rPr>
        <w:tab/>
      </w:r>
      <w:proofErr w:type="spellStart"/>
      <w:r>
        <w:rPr>
          <w:sz w:val="24"/>
          <w:szCs w:val="24"/>
        </w:rPr>
        <w:t>Idara</w:t>
      </w:r>
      <w:proofErr w:type="spellEnd"/>
      <w:r>
        <w:rPr>
          <w:sz w:val="24"/>
          <w:szCs w:val="24"/>
        </w:rPr>
        <w:t>-</w:t>
      </w:r>
      <w:proofErr w:type="spellStart"/>
      <w:r>
        <w:rPr>
          <w:sz w:val="24"/>
          <w:szCs w:val="24"/>
        </w:rPr>
        <w:t>i</w:t>
      </w:r>
      <w:proofErr w:type="spellEnd"/>
      <w:r>
        <w:rPr>
          <w:sz w:val="24"/>
          <w:szCs w:val="24"/>
        </w:rPr>
        <w:t>-</w:t>
      </w:r>
      <w:proofErr w:type="spellStart"/>
      <w:r>
        <w:rPr>
          <w:sz w:val="24"/>
          <w:szCs w:val="24"/>
        </w:rPr>
        <w:t>Taleem</w:t>
      </w:r>
      <w:proofErr w:type="spellEnd"/>
      <w:r>
        <w:rPr>
          <w:sz w:val="24"/>
          <w:szCs w:val="24"/>
        </w:rPr>
        <w:t>-o-</w:t>
      </w:r>
      <w:proofErr w:type="spellStart"/>
      <w:r>
        <w:rPr>
          <w:sz w:val="24"/>
          <w:szCs w:val="24"/>
        </w:rPr>
        <w:t>Agahi</w:t>
      </w:r>
      <w:proofErr w:type="spellEnd"/>
      <w:r>
        <w:rPr>
          <w:sz w:val="24"/>
          <w:szCs w:val="24"/>
        </w:rPr>
        <w:t xml:space="preserve"> </w:t>
      </w:r>
    </w:p>
    <w:p w14:paraId="7A8EB7C1" w14:textId="77777777" w:rsidR="00AC4A70" w:rsidRDefault="00091BA3">
      <w:pPr>
        <w:spacing w:line="360" w:lineRule="auto"/>
        <w:rPr>
          <w:sz w:val="24"/>
          <w:szCs w:val="24"/>
        </w:rPr>
      </w:pPr>
      <w:r>
        <w:rPr>
          <w:sz w:val="24"/>
          <w:szCs w:val="24"/>
        </w:rPr>
        <w:t>R-FPAP</w:t>
      </w:r>
      <w:r>
        <w:rPr>
          <w:sz w:val="24"/>
          <w:szCs w:val="24"/>
        </w:rPr>
        <w:tab/>
      </w:r>
      <w:r>
        <w:rPr>
          <w:sz w:val="24"/>
          <w:szCs w:val="24"/>
        </w:rPr>
        <w:tab/>
      </w:r>
      <w:proofErr w:type="spellStart"/>
      <w:r>
        <w:rPr>
          <w:sz w:val="24"/>
          <w:szCs w:val="24"/>
        </w:rPr>
        <w:t>Rahnuma</w:t>
      </w:r>
      <w:proofErr w:type="spellEnd"/>
      <w:r>
        <w:rPr>
          <w:sz w:val="24"/>
          <w:szCs w:val="24"/>
        </w:rPr>
        <w:t>-Family Planning Association of Pakistan</w:t>
      </w:r>
    </w:p>
    <w:p w14:paraId="502C6884" w14:textId="77777777" w:rsidR="00AC4A70" w:rsidRDefault="00091BA3">
      <w:pPr>
        <w:spacing w:line="360" w:lineRule="auto"/>
        <w:rPr>
          <w:sz w:val="24"/>
          <w:szCs w:val="24"/>
        </w:rPr>
      </w:pPr>
      <w:r>
        <w:rPr>
          <w:sz w:val="24"/>
          <w:szCs w:val="24"/>
        </w:rPr>
        <w:t xml:space="preserve">YAN </w:t>
      </w:r>
      <w:r>
        <w:rPr>
          <w:sz w:val="24"/>
          <w:szCs w:val="24"/>
        </w:rPr>
        <w:tab/>
      </w:r>
      <w:r>
        <w:rPr>
          <w:sz w:val="24"/>
          <w:szCs w:val="24"/>
        </w:rPr>
        <w:tab/>
        <w:t xml:space="preserve"> Youth Advocacy Network</w:t>
      </w:r>
    </w:p>
    <w:p w14:paraId="52B25E1A" w14:textId="77777777" w:rsidR="00AC4A70" w:rsidRDefault="00091BA3">
      <w:pPr>
        <w:spacing w:line="360" w:lineRule="auto"/>
        <w:rPr>
          <w:sz w:val="24"/>
          <w:szCs w:val="24"/>
        </w:rPr>
      </w:pPr>
      <w:r>
        <w:rPr>
          <w:sz w:val="24"/>
          <w:szCs w:val="24"/>
        </w:rPr>
        <w:t>LSBE</w:t>
      </w:r>
      <w:r>
        <w:rPr>
          <w:sz w:val="24"/>
          <w:szCs w:val="24"/>
        </w:rPr>
        <w:tab/>
      </w:r>
      <w:r>
        <w:rPr>
          <w:sz w:val="24"/>
          <w:szCs w:val="24"/>
        </w:rPr>
        <w:tab/>
        <w:t>Life Skill Based Education</w:t>
      </w:r>
    </w:p>
    <w:p w14:paraId="1FD0F698" w14:textId="77777777" w:rsidR="00AC4A70" w:rsidRDefault="00091BA3">
      <w:pPr>
        <w:spacing w:line="360" w:lineRule="auto"/>
        <w:rPr>
          <w:sz w:val="24"/>
          <w:szCs w:val="24"/>
        </w:rPr>
      </w:pPr>
      <w:r>
        <w:rPr>
          <w:sz w:val="24"/>
          <w:szCs w:val="24"/>
        </w:rPr>
        <w:t>GOP</w:t>
      </w:r>
      <w:r>
        <w:rPr>
          <w:sz w:val="24"/>
          <w:szCs w:val="24"/>
        </w:rPr>
        <w:tab/>
      </w:r>
      <w:r>
        <w:rPr>
          <w:sz w:val="24"/>
          <w:szCs w:val="24"/>
        </w:rPr>
        <w:tab/>
        <w:t xml:space="preserve">Government of Pakistan </w:t>
      </w:r>
    </w:p>
    <w:p w14:paraId="2E90F552" w14:textId="77777777" w:rsidR="00AC4A70" w:rsidRDefault="00091BA3">
      <w:pPr>
        <w:spacing w:line="360" w:lineRule="auto"/>
        <w:rPr>
          <w:sz w:val="24"/>
          <w:szCs w:val="24"/>
        </w:rPr>
      </w:pPr>
      <w:r>
        <w:rPr>
          <w:sz w:val="24"/>
          <w:szCs w:val="24"/>
        </w:rPr>
        <w:t>CSO</w:t>
      </w:r>
      <w:r>
        <w:rPr>
          <w:sz w:val="24"/>
          <w:szCs w:val="24"/>
        </w:rPr>
        <w:tab/>
      </w:r>
      <w:r>
        <w:rPr>
          <w:sz w:val="24"/>
          <w:szCs w:val="24"/>
        </w:rPr>
        <w:tab/>
        <w:t>Civil Society Organization</w:t>
      </w:r>
    </w:p>
    <w:p w14:paraId="0A2004F0" w14:textId="77777777" w:rsidR="00AC4A70" w:rsidRDefault="00091BA3">
      <w:pPr>
        <w:spacing w:line="360" w:lineRule="auto"/>
        <w:rPr>
          <w:sz w:val="24"/>
          <w:szCs w:val="24"/>
        </w:rPr>
      </w:pPr>
      <w:r>
        <w:rPr>
          <w:sz w:val="24"/>
          <w:szCs w:val="24"/>
        </w:rPr>
        <w:t>ARROW</w:t>
      </w:r>
      <w:r>
        <w:rPr>
          <w:sz w:val="24"/>
          <w:szCs w:val="24"/>
        </w:rPr>
        <w:tab/>
        <w:t xml:space="preserve">Asia Pacific Resource and Research Centre for Women </w:t>
      </w:r>
      <w:r>
        <w:rPr>
          <w:sz w:val="24"/>
          <w:szCs w:val="24"/>
        </w:rPr>
        <w:br/>
        <w:t xml:space="preserve">RHRN </w:t>
      </w:r>
      <w:r>
        <w:rPr>
          <w:sz w:val="24"/>
          <w:szCs w:val="24"/>
        </w:rPr>
        <w:tab/>
      </w:r>
      <w:r>
        <w:rPr>
          <w:sz w:val="24"/>
          <w:szCs w:val="24"/>
        </w:rPr>
        <w:tab/>
        <w:t>Right Here Right Now</w:t>
      </w:r>
    </w:p>
    <w:p w14:paraId="096A1CDE" w14:textId="77777777" w:rsidR="00AC4A70" w:rsidRDefault="00091BA3">
      <w:pPr>
        <w:spacing w:line="360" w:lineRule="auto"/>
        <w:rPr>
          <w:sz w:val="24"/>
          <w:szCs w:val="24"/>
        </w:rPr>
      </w:pPr>
      <w:r>
        <w:rPr>
          <w:sz w:val="24"/>
          <w:szCs w:val="24"/>
        </w:rPr>
        <w:t>SGBV</w:t>
      </w:r>
      <w:r>
        <w:rPr>
          <w:sz w:val="24"/>
          <w:szCs w:val="24"/>
        </w:rPr>
        <w:tab/>
      </w:r>
      <w:r>
        <w:rPr>
          <w:sz w:val="24"/>
          <w:szCs w:val="24"/>
        </w:rPr>
        <w:tab/>
        <w:t>Sexual and Gender Based Violence</w:t>
      </w:r>
    </w:p>
    <w:p w14:paraId="46E23489" w14:textId="77777777" w:rsidR="00AC4A70" w:rsidRDefault="00091BA3">
      <w:pPr>
        <w:spacing w:line="360" w:lineRule="auto"/>
        <w:rPr>
          <w:sz w:val="24"/>
          <w:szCs w:val="24"/>
        </w:rPr>
      </w:pPr>
      <w:r>
        <w:rPr>
          <w:sz w:val="24"/>
          <w:szCs w:val="24"/>
        </w:rPr>
        <w:t xml:space="preserve">GBV </w:t>
      </w:r>
      <w:r>
        <w:rPr>
          <w:sz w:val="24"/>
          <w:szCs w:val="24"/>
        </w:rPr>
        <w:tab/>
      </w:r>
      <w:r>
        <w:rPr>
          <w:sz w:val="24"/>
          <w:szCs w:val="24"/>
        </w:rPr>
        <w:tab/>
        <w:t>Gender Based Violence</w:t>
      </w:r>
    </w:p>
    <w:p w14:paraId="6F0634F9" w14:textId="77777777" w:rsidR="00AC4A70" w:rsidRDefault="00091BA3">
      <w:pPr>
        <w:spacing w:line="360" w:lineRule="auto"/>
        <w:rPr>
          <w:b/>
          <w:sz w:val="24"/>
          <w:szCs w:val="24"/>
        </w:rPr>
      </w:pPr>
      <w:r>
        <w:rPr>
          <w:sz w:val="24"/>
          <w:szCs w:val="24"/>
        </w:rPr>
        <w:t>YFHS</w:t>
      </w:r>
      <w:r>
        <w:rPr>
          <w:sz w:val="24"/>
          <w:szCs w:val="24"/>
        </w:rPr>
        <w:tab/>
      </w:r>
      <w:r>
        <w:rPr>
          <w:sz w:val="24"/>
          <w:szCs w:val="24"/>
        </w:rPr>
        <w:tab/>
        <w:t>Youth Friendly Health Services.</w:t>
      </w:r>
      <w:r>
        <w:br w:type="page"/>
      </w:r>
    </w:p>
    <w:p w14:paraId="5C2B200D" w14:textId="77777777" w:rsidR="00AC4A70" w:rsidRDefault="00AC4A70">
      <w:pPr>
        <w:jc w:val="both"/>
        <w:rPr>
          <w:b/>
          <w:sz w:val="24"/>
          <w:szCs w:val="24"/>
        </w:rPr>
      </w:pPr>
    </w:p>
    <w:p w14:paraId="7D798CA1" w14:textId="77777777" w:rsidR="00AC4A70" w:rsidRDefault="00091BA3">
      <w:pPr>
        <w:pStyle w:val="Heading2"/>
        <w:rPr>
          <w:rFonts w:ascii="Calibri" w:eastAsia="Calibri" w:hAnsi="Calibri" w:cs="Calibri"/>
          <w:b/>
          <w:color w:val="000000"/>
          <w:sz w:val="28"/>
          <w:szCs w:val="28"/>
        </w:rPr>
      </w:pPr>
      <w:r>
        <w:rPr>
          <w:rFonts w:ascii="Calibri" w:eastAsia="Calibri" w:hAnsi="Calibri" w:cs="Calibri"/>
          <w:b/>
          <w:color w:val="000000"/>
          <w:sz w:val="28"/>
          <w:szCs w:val="28"/>
        </w:rPr>
        <w:t xml:space="preserve">Executive Summary: </w:t>
      </w:r>
    </w:p>
    <w:p w14:paraId="3B14EAA2" w14:textId="77777777" w:rsidR="00AC4A70" w:rsidRDefault="00AC4A70"/>
    <w:p w14:paraId="2C7A234B" w14:textId="77777777" w:rsidR="00AC4A70" w:rsidRDefault="00091BA3">
      <w:pPr>
        <w:spacing w:after="0" w:line="276" w:lineRule="auto"/>
        <w:ind w:left="720"/>
        <w:rPr>
          <w:sz w:val="24"/>
          <w:szCs w:val="24"/>
        </w:rPr>
      </w:pPr>
      <w:r>
        <w:rPr>
          <w:sz w:val="24"/>
          <w:szCs w:val="24"/>
        </w:rPr>
        <w:t>Pakistan will undergo the fifth periodic review by the CEDAW Committee at its 75</w:t>
      </w:r>
      <w:r>
        <w:rPr>
          <w:sz w:val="24"/>
          <w:szCs w:val="24"/>
          <w:vertAlign w:val="superscript"/>
        </w:rPr>
        <w:t>th</w:t>
      </w:r>
      <w:r>
        <w:rPr>
          <w:sz w:val="24"/>
          <w:szCs w:val="24"/>
        </w:rPr>
        <w:t xml:space="preserve"> session. This joint NGO shadow report aims to provide an overview of the status of implementation of right to health (Article 12 of CEDAW), with a focus on young girls’ sexual and reproductive health and rights (SRHR) along with recommendation for the state </w:t>
      </w:r>
      <w:proofErr w:type="spellStart"/>
      <w:r>
        <w:rPr>
          <w:sz w:val="24"/>
          <w:szCs w:val="24"/>
        </w:rPr>
        <w:t>party’s</w:t>
      </w:r>
      <w:proofErr w:type="spellEnd"/>
      <w:r>
        <w:rPr>
          <w:sz w:val="24"/>
          <w:szCs w:val="24"/>
        </w:rPr>
        <w:t xml:space="preserve"> and CEDAW Committee’s consideration. </w:t>
      </w:r>
    </w:p>
    <w:p w14:paraId="64A8B0F0" w14:textId="77777777" w:rsidR="00AC4A70" w:rsidRDefault="00AC4A70">
      <w:pPr>
        <w:spacing w:after="0" w:line="276" w:lineRule="auto"/>
        <w:ind w:left="720"/>
        <w:rPr>
          <w:sz w:val="24"/>
          <w:szCs w:val="24"/>
        </w:rPr>
      </w:pPr>
    </w:p>
    <w:p w14:paraId="3698C5F9" w14:textId="77777777" w:rsidR="00AC4A70" w:rsidRDefault="00091BA3">
      <w:pPr>
        <w:spacing w:after="0" w:line="276" w:lineRule="auto"/>
        <w:ind w:left="720"/>
        <w:rPr>
          <w:sz w:val="24"/>
          <w:szCs w:val="24"/>
        </w:rPr>
      </w:pPr>
      <w:r>
        <w:rPr>
          <w:sz w:val="24"/>
          <w:szCs w:val="24"/>
          <w:highlight w:val="white"/>
        </w:rPr>
        <w:t>The sexual and reproductive health and rights (SRHR) of the population, particularly of young girls, remain insufficiently addressed at the policy level as well as in terms of implementation. Moreover, in Pakistan, where talking about sexuality and sexual health and reproductive rights is considered a taboo in society, young people’s choices in this matter are restricted and their wellbeing jeopardized. The unequal power relation between men and women is also an important factor which makes it difficult for young girls and women to exercise autonomy when it comes to making informed decisions about their own bodies and negotiating their bodily rights.</w:t>
      </w:r>
    </w:p>
    <w:p w14:paraId="1DEFB2AF" w14:textId="77777777" w:rsidR="00AC4A70" w:rsidRDefault="00AC4A70">
      <w:pPr>
        <w:spacing w:after="0" w:line="276" w:lineRule="auto"/>
        <w:rPr>
          <w:sz w:val="24"/>
          <w:szCs w:val="24"/>
        </w:rPr>
      </w:pPr>
    </w:p>
    <w:p w14:paraId="0FA69328" w14:textId="77777777" w:rsidR="00AC4A70" w:rsidRDefault="00091BA3">
      <w:pPr>
        <w:spacing w:after="0" w:line="276" w:lineRule="auto"/>
        <w:ind w:left="720"/>
        <w:rPr>
          <w:sz w:val="24"/>
          <w:szCs w:val="24"/>
        </w:rPr>
      </w:pPr>
      <w:r>
        <w:rPr>
          <w:sz w:val="24"/>
          <w:szCs w:val="24"/>
        </w:rPr>
        <w:t>The rights, well-being and health of young people are crucial cornerstones of development. The ‘youth bulge’ in Pakistan’s population has been called the potential ‘Demographic Dividend’</w:t>
      </w:r>
      <w:r>
        <w:rPr>
          <w:sz w:val="24"/>
          <w:szCs w:val="24"/>
          <w:vertAlign w:val="superscript"/>
        </w:rPr>
        <w:footnoteReference w:id="1"/>
      </w:r>
      <w:r>
        <w:rPr>
          <w:sz w:val="24"/>
          <w:szCs w:val="24"/>
        </w:rPr>
        <w:t xml:space="preserve"> but despite this, young people’s SRHR needs remain largely invisible in the policy and programmatic framework of Pakistan. Concerns remain that in the absence of a facilitative and enabling policy and service provision framework from the State as well as a conducive social environment, this dividend could turn into a “disaster”</w:t>
      </w:r>
      <w:r>
        <w:rPr>
          <w:sz w:val="24"/>
          <w:szCs w:val="24"/>
          <w:vertAlign w:val="superscript"/>
        </w:rPr>
        <w:footnoteReference w:id="2"/>
      </w:r>
      <w:r>
        <w:rPr>
          <w:sz w:val="24"/>
          <w:szCs w:val="24"/>
        </w:rPr>
        <w:t xml:space="preserve"> or become lost. There is a pressing need for political will and comprehensive policies, </w:t>
      </w:r>
      <w:proofErr w:type="spellStart"/>
      <w:r>
        <w:rPr>
          <w:sz w:val="24"/>
          <w:szCs w:val="24"/>
        </w:rPr>
        <w:t>programmes</w:t>
      </w:r>
      <w:proofErr w:type="spellEnd"/>
      <w:r>
        <w:rPr>
          <w:sz w:val="24"/>
          <w:szCs w:val="24"/>
        </w:rPr>
        <w:t xml:space="preserve"> and resources to promote adequate and holistic support for young people’s SRHR.</w:t>
      </w:r>
    </w:p>
    <w:p w14:paraId="04682620" w14:textId="77777777" w:rsidR="00AC4A70" w:rsidRDefault="00AC4A70">
      <w:pPr>
        <w:jc w:val="both"/>
        <w:rPr>
          <w:b/>
          <w:sz w:val="24"/>
          <w:szCs w:val="24"/>
        </w:rPr>
      </w:pPr>
    </w:p>
    <w:p w14:paraId="2A8B3CC5" w14:textId="77777777" w:rsidR="00AC4A70" w:rsidRDefault="00091BA3">
      <w:pPr>
        <w:rPr>
          <w:b/>
          <w:sz w:val="24"/>
          <w:szCs w:val="24"/>
        </w:rPr>
      </w:pPr>
      <w:r>
        <w:br w:type="page"/>
      </w:r>
    </w:p>
    <w:p w14:paraId="3AA70C50" w14:textId="77777777" w:rsidR="00AC4A70" w:rsidRDefault="00091BA3">
      <w:pPr>
        <w:jc w:val="both"/>
        <w:rPr>
          <w:b/>
          <w:sz w:val="28"/>
          <w:szCs w:val="28"/>
        </w:rPr>
      </w:pPr>
      <w:r>
        <w:rPr>
          <w:b/>
          <w:sz w:val="28"/>
          <w:szCs w:val="28"/>
        </w:rPr>
        <w:lastRenderedPageBreak/>
        <w:t xml:space="preserve">Introduction: </w:t>
      </w:r>
    </w:p>
    <w:p w14:paraId="35901C20" w14:textId="77777777" w:rsidR="00AC4A70" w:rsidRDefault="00091BA3">
      <w:pPr>
        <w:jc w:val="both"/>
        <w:rPr>
          <w:sz w:val="24"/>
          <w:szCs w:val="24"/>
        </w:rPr>
      </w:pPr>
      <w:bookmarkStart w:id="1" w:name="_gjdgxs" w:colFirst="0" w:colLast="0"/>
      <w:bookmarkEnd w:id="1"/>
      <w:r>
        <w:rPr>
          <w:sz w:val="24"/>
          <w:szCs w:val="24"/>
        </w:rPr>
        <w:t xml:space="preserve">This joint NGO shadow report highlights issues for Article 12 of the Convention on Elimination of All Forms of Discrimination </w:t>
      </w:r>
      <w:proofErr w:type="gramStart"/>
      <w:r>
        <w:rPr>
          <w:sz w:val="24"/>
          <w:szCs w:val="24"/>
        </w:rPr>
        <w:t>Against</w:t>
      </w:r>
      <w:proofErr w:type="gramEnd"/>
      <w:r>
        <w:rPr>
          <w:sz w:val="24"/>
          <w:szCs w:val="24"/>
        </w:rPr>
        <w:t xml:space="preserve"> Women (CEDAW), the Right to Health. It sheds light on discrimination and violence faced by women and girls in Pakistan related to their sexual and reproductive health and rights (SRHR) and provides recommendations to the government and CEDAW Committee for the fifth reporting cycle of Pakistan. Pakistan has made great strides in terms of enacting laws and policies to address women and girls’ SRHR; however, progress on many indicators of SRHR remains stagnant. Through this shadow report, Young </w:t>
      </w:r>
      <w:proofErr w:type="spellStart"/>
      <w:r>
        <w:rPr>
          <w:sz w:val="24"/>
          <w:szCs w:val="24"/>
        </w:rPr>
        <w:t>Omang</w:t>
      </w:r>
      <w:proofErr w:type="spellEnd"/>
      <w:r>
        <w:rPr>
          <w:sz w:val="24"/>
          <w:szCs w:val="24"/>
        </w:rPr>
        <w:t>, Pakistan, aims to point out the gaps that remain in the health sector, progress made by the government of Pakistan, and the steps required to ensure full implementation of Pakistani women and girls’ right to health, including their right to sexual and reproductive health and rights.</w:t>
      </w:r>
    </w:p>
    <w:p w14:paraId="7493C0E7" w14:textId="77777777" w:rsidR="00AC4A70" w:rsidRDefault="00091BA3">
      <w:pPr>
        <w:jc w:val="both"/>
        <w:rPr>
          <w:sz w:val="24"/>
          <w:szCs w:val="24"/>
        </w:rPr>
      </w:pPr>
      <w:r>
        <w:rPr>
          <w:sz w:val="24"/>
          <w:szCs w:val="24"/>
        </w:rPr>
        <w:t xml:space="preserve">This joint submission has been submitted by the Forum for Dignity Initiative (FDI) and the Asian-Pacific Resource &amp; Research Centre for Women (ARROW) together with the Young </w:t>
      </w:r>
      <w:proofErr w:type="spellStart"/>
      <w:r>
        <w:rPr>
          <w:sz w:val="24"/>
          <w:szCs w:val="24"/>
        </w:rPr>
        <w:t>Omang</w:t>
      </w:r>
      <w:proofErr w:type="spellEnd"/>
      <w:r>
        <w:rPr>
          <w:sz w:val="24"/>
          <w:szCs w:val="24"/>
        </w:rPr>
        <w:t xml:space="preserve">, Pakistan. FDI is a human rights-based research and advocacy forum working for transgender people, sex workers, girls and young women. ARROW is a regional CSO that strives to promote women and young people’s sexual and reproductive health and rights through advocacy, human rights monitoring and accountability and the evidence-generation for advocacy. Young </w:t>
      </w:r>
      <w:proofErr w:type="spellStart"/>
      <w:r>
        <w:rPr>
          <w:sz w:val="24"/>
          <w:szCs w:val="24"/>
        </w:rPr>
        <w:t>Omang</w:t>
      </w:r>
      <w:proofErr w:type="spellEnd"/>
      <w:r>
        <w:rPr>
          <w:sz w:val="24"/>
          <w:szCs w:val="24"/>
        </w:rPr>
        <w:t xml:space="preserve"> is the Pakistan chapter of Right Here Right Now (RHRN), a global advocacy initiatives that envisions a world where young people, in all their diversity, are able to exercise their sexual and reproductive health and rights. Young </w:t>
      </w:r>
      <w:proofErr w:type="spellStart"/>
      <w:r>
        <w:rPr>
          <w:sz w:val="24"/>
          <w:szCs w:val="24"/>
        </w:rPr>
        <w:t>Omang</w:t>
      </w:r>
      <w:proofErr w:type="spellEnd"/>
      <w:r>
        <w:rPr>
          <w:sz w:val="24"/>
          <w:szCs w:val="24"/>
        </w:rPr>
        <w:t xml:space="preserve"> comprises of 9 civil society </w:t>
      </w:r>
      <w:proofErr w:type="spellStart"/>
      <w:r>
        <w:rPr>
          <w:sz w:val="24"/>
          <w:szCs w:val="24"/>
        </w:rPr>
        <w:t>organisations</w:t>
      </w:r>
      <w:proofErr w:type="spellEnd"/>
      <w:r>
        <w:rPr>
          <w:sz w:val="24"/>
          <w:szCs w:val="24"/>
        </w:rPr>
        <w:t xml:space="preserve">, including </w:t>
      </w:r>
      <w:proofErr w:type="spellStart"/>
      <w:r>
        <w:rPr>
          <w:sz w:val="24"/>
          <w:szCs w:val="24"/>
        </w:rPr>
        <w:t>Aahung</w:t>
      </w:r>
      <w:proofErr w:type="spellEnd"/>
      <w:r>
        <w:rPr>
          <w:sz w:val="24"/>
          <w:szCs w:val="24"/>
        </w:rPr>
        <w:t xml:space="preserve">, </w:t>
      </w:r>
      <w:proofErr w:type="spellStart"/>
      <w:r>
        <w:rPr>
          <w:sz w:val="24"/>
          <w:szCs w:val="24"/>
        </w:rPr>
        <w:t>Bargad</w:t>
      </w:r>
      <w:proofErr w:type="spellEnd"/>
      <w:r>
        <w:rPr>
          <w:sz w:val="24"/>
          <w:szCs w:val="24"/>
        </w:rPr>
        <w:t xml:space="preserve">, Blue Veins, </w:t>
      </w:r>
      <w:proofErr w:type="spellStart"/>
      <w:r>
        <w:rPr>
          <w:sz w:val="24"/>
          <w:szCs w:val="24"/>
        </w:rPr>
        <w:t>Channan</w:t>
      </w:r>
      <w:proofErr w:type="spellEnd"/>
      <w:r>
        <w:rPr>
          <w:sz w:val="24"/>
          <w:szCs w:val="24"/>
        </w:rPr>
        <w:t xml:space="preserve"> Development Association (CDA), Forum for Dignity Initiative (FDI), Indus Resource Center (IRC), </w:t>
      </w:r>
      <w:proofErr w:type="spellStart"/>
      <w:r>
        <w:rPr>
          <w:sz w:val="24"/>
          <w:szCs w:val="24"/>
        </w:rPr>
        <w:t>Idara</w:t>
      </w:r>
      <w:proofErr w:type="spellEnd"/>
      <w:r>
        <w:rPr>
          <w:sz w:val="24"/>
          <w:szCs w:val="24"/>
        </w:rPr>
        <w:t>-</w:t>
      </w:r>
      <w:proofErr w:type="spellStart"/>
      <w:r>
        <w:rPr>
          <w:sz w:val="24"/>
          <w:szCs w:val="24"/>
        </w:rPr>
        <w:t>i</w:t>
      </w:r>
      <w:proofErr w:type="spellEnd"/>
      <w:r>
        <w:rPr>
          <w:sz w:val="24"/>
          <w:szCs w:val="24"/>
        </w:rPr>
        <w:t>-</w:t>
      </w:r>
      <w:proofErr w:type="spellStart"/>
      <w:r>
        <w:rPr>
          <w:sz w:val="24"/>
          <w:szCs w:val="24"/>
        </w:rPr>
        <w:t>Taleem</w:t>
      </w:r>
      <w:proofErr w:type="spellEnd"/>
      <w:r>
        <w:rPr>
          <w:sz w:val="24"/>
          <w:szCs w:val="24"/>
        </w:rPr>
        <w:t>-o-</w:t>
      </w:r>
      <w:proofErr w:type="spellStart"/>
      <w:r>
        <w:rPr>
          <w:sz w:val="24"/>
          <w:szCs w:val="24"/>
        </w:rPr>
        <w:t>Agahi</w:t>
      </w:r>
      <w:proofErr w:type="spellEnd"/>
      <w:r>
        <w:rPr>
          <w:sz w:val="24"/>
          <w:szCs w:val="24"/>
        </w:rPr>
        <w:t xml:space="preserve"> (ITA), </w:t>
      </w:r>
      <w:proofErr w:type="spellStart"/>
      <w:r>
        <w:rPr>
          <w:sz w:val="24"/>
          <w:szCs w:val="24"/>
        </w:rPr>
        <w:t>Rahnuma</w:t>
      </w:r>
      <w:proofErr w:type="spellEnd"/>
      <w:r>
        <w:rPr>
          <w:sz w:val="24"/>
          <w:szCs w:val="24"/>
        </w:rPr>
        <w:t>-Family Planning Association of Pakistan (FPAP) and Youth Advocacy Network (YAN).</w:t>
      </w:r>
      <w:r>
        <w:rPr>
          <w:b/>
          <w:sz w:val="24"/>
          <w:szCs w:val="24"/>
        </w:rPr>
        <w:br/>
      </w:r>
      <w:r>
        <w:rPr>
          <w:b/>
          <w:sz w:val="24"/>
          <w:szCs w:val="24"/>
        </w:rPr>
        <w:br/>
      </w:r>
      <w:r>
        <w:rPr>
          <w:sz w:val="24"/>
          <w:szCs w:val="24"/>
        </w:rPr>
        <w:t xml:space="preserve">This joint submission is based on a consultative process that recorded the views and realities of young people from all over Pakistan by FDI (member of Young </w:t>
      </w:r>
      <w:proofErr w:type="spellStart"/>
      <w:r>
        <w:rPr>
          <w:sz w:val="24"/>
          <w:szCs w:val="24"/>
        </w:rPr>
        <w:t>Omang</w:t>
      </w:r>
      <w:proofErr w:type="spellEnd"/>
      <w:r>
        <w:rPr>
          <w:sz w:val="24"/>
          <w:szCs w:val="24"/>
        </w:rPr>
        <w:t xml:space="preserve">). Young </w:t>
      </w:r>
      <w:proofErr w:type="spellStart"/>
      <w:r>
        <w:rPr>
          <w:sz w:val="24"/>
          <w:szCs w:val="24"/>
        </w:rPr>
        <w:t>Omang</w:t>
      </w:r>
      <w:proofErr w:type="spellEnd"/>
      <w:r>
        <w:rPr>
          <w:sz w:val="24"/>
          <w:szCs w:val="24"/>
        </w:rPr>
        <w:t xml:space="preserve"> is the Pakistan chapter </w:t>
      </w:r>
      <w:r>
        <w:rPr>
          <w:sz w:val="24"/>
          <w:szCs w:val="24"/>
          <w:vertAlign w:val="superscript"/>
        </w:rPr>
        <w:footnoteReference w:id="3"/>
      </w:r>
      <w:r>
        <w:rPr>
          <w:sz w:val="24"/>
          <w:szCs w:val="24"/>
        </w:rPr>
        <w:t xml:space="preserve"> of ‘Right Here, Right Now’ Alliance which is a global partnership of eight </w:t>
      </w:r>
      <w:proofErr w:type="spellStart"/>
      <w:r>
        <w:rPr>
          <w:sz w:val="24"/>
          <w:szCs w:val="24"/>
        </w:rPr>
        <w:t>organisations</w:t>
      </w:r>
      <w:proofErr w:type="spellEnd"/>
      <w:r>
        <w:rPr>
          <w:sz w:val="24"/>
          <w:szCs w:val="24"/>
        </w:rPr>
        <w:t xml:space="preserve"> envisioning a world where young people, in all their diversity, acquire full and uninterrupted access to Life Skills Based Education (LSBE), and youth-friendly sexual and reproductive health services, including safe abortion. This consultative process has been inclusive in terms of geographical location, gender, and background, with a special focus on gender and religious minorities. Based on these consultations, a few issues stand out very clearly: there is an urgent need for Government of Pakistan (GOP) to address youth, including transgender youth, sexual and reproductive health (SRH) issues in their policies and </w:t>
      </w:r>
      <w:proofErr w:type="spellStart"/>
      <w:r>
        <w:rPr>
          <w:sz w:val="24"/>
          <w:szCs w:val="24"/>
        </w:rPr>
        <w:t>programmes</w:t>
      </w:r>
      <w:proofErr w:type="spellEnd"/>
      <w:r>
        <w:rPr>
          <w:sz w:val="24"/>
          <w:szCs w:val="24"/>
        </w:rPr>
        <w:t xml:space="preserve">. There is a need to initiate mass awareness campaigns; youth-friendly and gender sensitive SRH information and services for all with particular attention to vulnerable groups </w:t>
      </w:r>
      <w:r>
        <w:rPr>
          <w:sz w:val="24"/>
          <w:szCs w:val="24"/>
        </w:rPr>
        <w:lastRenderedPageBreak/>
        <w:t>including transgender youth; Life Skills-based Education (LSBE) for in and out of school youth including transgender youth; comprehensive legislation to address sexual and gender based violence (SGBV), harmful cultural practices like child marriages and discrimination.</w:t>
      </w:r>
    </w:p>
    <w:p w14:paraId="635C507B" w14:textId="77777777" w:rsidR="00AC4A70" w:rsidRDefault="00AC4A70">
      <w:pPr>
        <w:spacing w:after="0" w:line="276" w:lineRule="auto"/>
        <w:ind w:left="720"/>
        <w:rPr>
          <w:b/>
          <w:sz w:val="24"/>
          <w:szCs w:val="24"/>
        </w:rPr>
      </w:pPr>
    </w:p>
    <w:p w14:paraId="6788748B" w14:textId="77777777" w:rsidR="00AC4A70" w:rsidRDefault="00091BA3">
      <w:pPr>
        <w:spacing w:after="0" w:line="276" w:lineRule="auto"/>
        <w:rPr>
          <w:sz w:val="24"/>
          <w:szCs w:val="24"/>
        </w:rPr>
      </w:pPr>
      <w:r>
        <w:rPr>
          <w:b/>
          <w:sz w:val="24"/>
          <w:szCs w:val="24"/>
        </w:rPr>
        <w:t xml:space="preserve">Context: </w:t>
      </w:r>
    </w:p>
    <w:p w14:paraId="78EBEDFB" w14:textId="77777777" w:rsidR="00AC4A70" w:rsidRDefault="00AC4A70">
      <w:pPr>
        <w:spacing w:after="0" w:line="276" w:lineRule="auto"/>
        <w:jc w:val="both"/>
        <w:rPr>
          <w:sz w:val="24"/>
          <w:szCs w:val="24"/>
        </w:rPr>
      </w:pPr>
    </w:p>
    <w:p w14:paraId="0E15AF32" w14:textId="77777777" w:rsidR="00AC4A70" w:rsidRDefault="00091BA3">
      <w:pPr>
        <w:spacing w:after="0" w:line="276" w:lineRule="auto"/>
        <w:jc w:val="both"/>
        <w:rPr>
          <w:sz w:val="24"/>
          <w:szCs w:val="24"/>
        </w:rPr>
      </w:pPr>
      <w:r>
        <w:rPr>
          <w:sz w:val="24"/>
          <w:szCs w:val="24"/>
        </w:rPr>
        <w:t xml:space="preserve">Pakistan at this moment has the largest young population in its history (55% population under the age of 25 years) with subsequent cohorts predicted to be even larger. </w:t>
      </w:r>
      <w:r>
        <w:rPr>
          <w:sz w:val="24"/>
          <w:szCs w:val="24"/>
          <w:vertAlign w:val="superscript"/>
        </w:rPr>
        <w:footnoteReference w:id="4"/>
      </w:r>
      <w:r>
        <w:rPr>
          <w:sz w:val="24"/>
          <w:szCs w:val="24"/>
        </w:rPr>
        <w:t xml:space="preserve"> Standing on a very high Gender Inequality Index of 0.5 (ranking 121 out of 155 countries in the 2014 index) suggests that significant inequalities in terms of access to opportunities and services exist across genders. Moreover, in 2014, the female Human Development Index (HDI) value for Pakistan was 0.4 as compared to 0.6 for males, translating to a Gender Development Index (GDI) of 0.7, meaning that huge disparities persist between males and females when it comes to</w:t>
      </w:r>
      <w:r>
        <w:rPr>
          <w:sz w:val="24"/>
          <w:szCs w:val="24"/>
          <w:highlight w:val="white"/>
        </w:rPr>
        <w:t xml:space="preserve"> long and healthy lives, being knowledgeable and having a decent standard of living.</w:t>
      </w:r>
      <w:r>
        <w:rPr>
          <w:sz w:val="24"/>
          <w:szCs w:val="24"/>
        </w:rPr>
        <w:t xml:space="preserve"> Gross inequalities also exist between the urban and rural population, with the majority of the population residing in rural areas (62%).</w:t>
      </w:r>
    </w:p>
    <w:p w14:paraId="70EED220" w14:textId="77777777" w:rsidR="00AC4A70" w:rsidRDefault="00AC4A70">
      <w:pPr>
        <w:spacing w:after="0" w:line="276" w:lineRule="auto"/>
        <w:rPr>
          <w:sz w:val="24"/>
          <w:szCs w:val="24"/>
        </w:rPr>
      </w:pPr>
    </w:p>
    <w:p w14:paraId="150001F9" w14:textId="77777777" w:rsidR="00AC4A70" w:rsidRDefault="00091BA3">
      <w:pPr>
        <w:spacing w:after="0" w:line="276" w:lineRule="auto"/>
        <w:rPr>
          <w:sz w:val="24"/>
          <w:szCs w:val="24"/>
        </w:rPr>
      </w:pPr>
      <w:r>
        <w:rPr>
          <w:sz w:val="24"/>
          <w:szCs w:val="24"/>
        </w:rPr>
        <w:t xml:space="preserve">Research conducted in Pakistan shows that young people (below 30 years) </w:t>
      </w:r>
      <w:r>
        <w:rPr>
          <w:sz w:val="24"/>
          <w:szCs w:val="24"/>
          <w:vertAlign w:val="superscript"/>
        </w:rPr>
        <w:footnoteReference w:id="5"/>
      </w:r>
      <w:r>
        <w:rPr>
          <w:sz w:val="24"/>
          <w:szCs w:val="24"/>
        </w:rPr>
        <w:t>are ill-equipped to handle the complex health challenges they face due to inadequate information, lack of access to resources and lack of decision-making power</w:t>
      </w:r>
      <w:r>
        <w:rPr>
          <w:sz w:val="24"/>
          <w:szCs w:val="24"/>
          <w:vertAlign w:val="superscript"/>
        </w:rPr>
        <w:footnoteReference w:id="6"/>
      </w:r>
      <w:r>
        <w:rPr>
          <w:sz w:val="24"/>
          <w:szCs w:val="24"/>
        </w:rPr>
        <w:t>. Yet, the consultations that have been conducted for this report show a clear need among young people for more information on sexual health and access to youth-friendly health services. Basic data on education and health also shows that there are marked gender inequalities in access to education and health care. This also came out clearly from the consultations, where transgender youth and girls were mentioned as the two groups facing the most severe sexual health issues. Due to prevailing socio-cultural norms, young girls, after entering puberty, face greater challenges in accessing education opportunities and health care than young boys</w:t>
      </w:r>
      <w:r>
        <w:rPr>
          <w:sz w:val="24"/>
          <w:szCs w:val="24"/>
          <w:vertAlign w:val="superscript"/>
        </w:rPr>
        <w:footnoteReference w:id="7"/>
      </w:r>
      <w:r>
        <w:rPr>
          <w:sz w:val="24"/>
          <w:szCs w:val="24"/>
        </w:rPr>
        <w:t xml:space="preserve">. Most of the schools in the rural areas do not have a toilet which makes it nearly impossible for girls to attend school once they start menstruating, hence increasing the drop out ratio. Social norms enforcing segregation between males and females restrict mobility of women, especially unmarried young girls, limiting their access to basic health care. Young participants of the consultations emphasized </w:t>
      </w:r>
      <w:r>
        <w:rPr>
          <w:sz w:val="24"/>
          <w:szCs w:val="24"/>
        </w:rPr>
        <w:lastRenderedPageBreak/>
        <w:t>‘lack of information and awareness’ as the key issue affecting young people’s sexual health, followed by ‘gender unequal attitudes’ on a second place.</w:t>
      </w:r>
    </w:p>
    <w:p w14:paraId="3C587A1C" w14:textId="77777777" w:rsidR="00AC4A70" w:rsidRDefault="00AC4A70">
      <w:pPr>
        <w:spacing w:after="0" w:line="276" w:lineRule="auto"/>
        <w:ind w:left="720"/>
        <w:rPr>
          <w:sz w:val="24"/>
          <w:szCs w:val="24"/>
        </w:rPr>
      </w:pPr>
    </w:p>
    <w:p w14:paraId="2951570B" w14:textId="77777777" w:rsidR="00AC4A70" w:rsidRDefault="00091BA3">
      <w:pPr>
        <w:spacing w:after="0" w:line="276" w:lineRule="auto"/>
        <w:ind w:left="720"/>
        <w:rPr>
          <w:sz w:val="24"/>
          <w:szCs w:val="24"/>
        </w:rPr>
      </w:pPr>
      <w:r>
        <w:rPr>
          <w:sz w:val="24"/>
          <w:szCs w:val="24"/>
        </w:rPr>
        <w:t xml:space="preserve">Sexuality among young people is little researched in Pakistan, primarily owing to cultural taboos restricting open discussions on sexuality and sexual health in general. Pakistan’s </w:t>
      </w:r>
      <w:proofErr w:type="spellStart"/>
      <w:r>
        <w:rPr>
          <w:sz w:val="24"/>
          <w:szCs w:val="24"/>
        </w:rPr>
        <w:t>Hudood</w:t>
      </w:r>
      <w:proofErr w:type="spellEnd"/>
      <w:r>
        <w:rPr>
          <w:sz w:val="24"/>
          <w:szCs w:val="24"/>
        </w:rPr>
        <w:t xml:space="preserve"> Laws</w:t>
      </w:r>
      <w:r>
        <w:rPr>
          <w:sz w:val="24"/>
          <w:szCs w:val="24"/>
          <w:vertAlign w:val="superscript"/>
        </w:rPr>
        <w:footnoteReference w:id="8"/>
      </w:r>
      <w:r>
        <w:rPr>
          <w:sz w:val="24"/>
          <w:szCs w:val="24"/>
        </w:rPr>
        <w:t xml:space="preserve"> and customary practices, such as </w:t>
      </w:r>
      <w:proofErr w:type="spellStart"/>
      <w:r>
        <w:rPr>
          <w:sz w:val="24"/>
          <w:szCs w:val="24"/>
        </w:rPr>
        <w:t>karo</w:t>
      </w:r>
      <w:proofErr w:type="spellEnd"/>
      <w:r>
        <w:rPr>
          <w:sz w:val="24"/>
          <w:szCs w:val="24"/>
        </w:rPr>
        <w:t xml:space="preserve"> </w:t>
      </w:r>
      <w:proofErr w:type="spellStart"/>
      <w:proofErr w:type="gramStart"/>
      <w:r>
        <w:rPr>
          <w:sz w:val="24"/>
          <w:szCs w:val="24"/>
        </w:rPr>
        <w:t>kari</w:t>
      </w:r>
      <w:proofErr w:type="spellEnd"/>
      <w:proofErr w:type="gramEnd"/>
      <w:r>
        <w:rPr>
          <w:sz w:val="24"/>
          <w:szCs w:val="24"/>
          <w:vertAlign w:val="superscript"/>
        </w:rPr>
        <w:footnoteReference w:id="9"/>
      </w:r>
      <w:r>
        <w:rPr>
          <w:sz w:val="24"/>
          <w:szCs w:val="24"/>
        </w:rPr>
        <w:t>, make sex outside of marriage punishable by death. Female sexuality is tightly controlled, resulting in increased social restrictions on young unmarried girls. While studies show that young girls lack information on sexual and reproductive health, they themselves are shy about discussing these issues.</w:t>
      </w:r>
    </w:p>
    <w:p w14:paraId="308516CA" w14:textId="77777777" w:rsidR="00AC4A70" w:rsidRDefault="00AC4A70">
      <w:pPr>
        <w:spacing w:after="0" w:line="276" w:lineRule="auto"/>
        <w:ind w:left="720"/>
        <w:rPr>
          <w:sz w:val="24"/>
          <w:szCs w:val="24"/>
        </w:rPr>
      </w:pPr>
    </w:p>
    <w:p w14:paraId="7CC81C65" w14:textId="77777777" w:rsidR="00AC4A70" w:rsidRDefault="00091BA3">
      <w:pPr>
        <w:spacing w:after="0" w:line="276" w:lineRule="auto"/>
        <w:ind w:left="720"/>
        <w:rPr>
          <w:b/>
          <w:sz w:val="24"/>
          <w:szCs w:val="24"/>
        </w:rPr>
      </w:pPr>
      <w:r>
        <w:rPr>
          <w:b/>
          <w:sz w:val="24"/>
          <w:szCs w:val="24"/>
        </w:rPr>
        <w:t>Sexual and Reproductive Health and Rights and Article 12 of CEDAW</w:t>
      </w:r>
    </w:p>
    <w:p w14:paraId="23F646CE" w14:textId="77777777" w:rsidR="00AC4A70" w:rsidRDefault="00AC4A70">
      <w:pPr>
        <w:spacing w:after="0" w:line="276" w:lineRule="auto"/>
        <w:ind w:left="720"/>
        <w:rPr>
          <w:sz w:val="24"/>
          <w:szCs w:val="24"/>
        </w:rPr>
      </w:pPr>
    </w:p>
    <w:p w14:paraId="3A0706E8" w14:textId="77777777" w:rsidR="00AC4A70" w:rsidRDefault="00091BA3">
      <w:pPr>
        <w:spacing w:after="0" w:line="276" w:lineRule="auto"/>
        <w:ind w:left="720"/>
        <w:rPr>
          <w:sz w:val="24"/>
          <w:szCs w:val="24"/>
        </w:rPr>
      </w:pPr>
      <w:r>
        <w:rPr>
          <w:sz w:val="24"/>
          <w:szCs w:val="24"/>
        </w:rPr>
        <w:t>Article 12 of CEDAW states that all State Parties shall take all appropriate measures to eliminate discrimination against women in the field of health care in order to ensure, on a basis of equality of men and women, access to health care services, including those related to family planning. It further states that State Parties shall ensure to women</w:t>
      </w:r>
    </w:p>
    <w:p w14:paraId="3AA0C35B" w14:textId="77777777" w:rsidR="00AC4A70" w:rsidRDefault="00091BA3">
      <w:pPr>
        <w:spacing w:after="0" w:line="276" w:lineRule="auto"/>
        <w:ind w:left="720"/>
        <w:rPr>
          <w:sz w:val="24"/>
          <w:szCs w:val="24"/>
        </w:rPr>
      </w:pPr>
      <w:proofErr w:type="gramStart"/>
      <w:r>
        <w:rPr>
          <w:sz w:val="24"/>
          <w:szCs w:val="24"/>
        </w:rPr>
        <w:lastRenderedPageBreak/>
        <w:t>appropriate</w:t>
      </w:r>
      <w:proofErr w:type="gramEnd"/>
      <w:r>
        <w:rPr>
          <w:sz w:val="24"/>
          <w:szCs w:val="24"/>
        </w:rPr>
        <w:t xml:space="preserve"> services in connection with pregnancy, confinement and the post-natal period, granting free services where necessary, as well as adequate nutrition during pregnancy and lactation.</w:t>
      </w:r>
    </w:p>
    <w:p w14:paraId="44734211" w14:textId="77777777" w:rsidR="00AC4A70" w:rsidRDefault="00AC4A70">
      <w:pPr>
        <w:spacing w:after="0" w:line="276" w:lineRule="auto"/>
        <w:ind w:left="720"/>
        <w:rPr>
          <w:sz w:val="24"/>
          <w:szCs w:val="24"/>
        </w:rPr>
      </w:pPr>
    </w:p>
    <w:p w14:paraId="14BA4F02" w14:textId="77777777" w:rsidR="00AC4A70" w:rsidRDefault="00091BA3">
      <w:pPr>
        <w:spacing w:after="0" w:line="276" w:lineRule="auto"/>
        <w:ind w:left="720"/>
        <w:rPr>
          <w:sz w:val="24"/>
          <w:szCs w:val="24"/>
        </w:rPr>
      </w:pPr>
      <w:r>
        <w:rPr>
          <w:sz w:val="24"/>
          <w:szCs w:val="24"/>
        </w:rPr>
        <w:t xml:space="preserve">There is a consensus among expert world over that comprehensive sexual reproductive health and rights is an essential component of healthcare. Sexual Reproductive health is not just limited to provision of Family Planning services or mother and child care during and after pregnancy, it is a much more comprehensive package, essentials which are globally defined and recognized and include access to safe abortion services, Sexual health information, education, and counseling, inclusion of adolescents in planning and implementation of services and </w:t>
      </w:r>
      <w:proofErr w:type="spellStart"/>
      <w:r>
        <w:rPr>
          <w:sz w:val="24"/>
          <w:szCs w:val="24"/>
        </w:rPr>
        <w:t>programmes</w:t>
      </w:r>
      <w:proofErr w:type="spellEnd"/>
      <w:r>
        <w:rPr>
          <w:sz w:val="24"/>
          <w:szCs w:val="24"/>
        </w:rPr>
        <w:t xml:space="preserve">. Young </w:t>
      </w:r>
      <w:proofErr w:type="spellStart"/>
      <w:r>
        <w:rPr>
          <w:sz w:val="24"/>
          <w:szCs w:val="24"/>
        </w:rPr>
        <w:t>Omang</w:t>
      </w:r>
      <w:proofErr w:type="spellEnd"/>
      <w:r>
        <w:rPr>
          <w:sz w:val="24"/>
          <w:szCs w:val="24"/>
        </w:rPr>
        <w:t xml:space="preserve"> is working for SRHR specifically relating to people under age 30. This is one of the most neglected group in Pakistani society when it comes to SRHR. In countries like Pakistan discrimination not just exists on the basis of gender and sex it also exists on the basis of age. Young people’s sexual reproductive rights are most neglected. There is resistance in the society when comes to acknowledging SRHR of young people under the pretext that giving young people information and services in this context will promote free sex. </w:t>
      </w:r>
    </w:p>
    <w:p w14:paraId="4A75C87B" w14:textId="77777777" w:rsidR="00AC4A70" w:rsidRDefault="00AC4A70">
      <w:pPr>
        <w:spacing w:after="0" w:line="276" w:lineRule="auto"/>
        <w:ind w:left="720"/>
        <w:rPr>
          <w:sz w:val="24"/>
          <w:szCs w:val="24"/>
        </w:rPr>
      </w:pPr>
    </w:p>
    <w:p w14:paraId="2398FED6" w14:textId="77777777" w:rsidR="00AC4A70" w:rsidRDefault="00091BA3">
      <w:pPr>
        <w:rPr>
          <w:sz w:val="24"/>
          <w:szCs w:val="24"/>
        </w:rPr>
      </w:pPr>
      <w:r>
        <w:br w:type="page"/>
      </w:r>
    </w:p>
    <w:p w14:paraId="3F751DA7" w14:textId="77777777" w:rsidR="00AC4A70" w:rsidRDefault="00AC4A70">
      <w:pPr>
        <w:spacing w:after="0" w:line="276" w:lineRule="auto"/>
        <w:ind w:left="720"/>
        <w:rPr>
          <w:sz w:val="24"/>
          <w:szCs w:val="24"/>
        </w:rPr>
      </w:pPr>
    </w:p>
    <w:p w14:paraId="0AFF5534" w14:textId="77777777" w:rsidR="00AC4A70" w:rsidRDefault="00091BA3">
      <w:pPr>
        <w:jc w:val="both"/>
        <w:rPr>
          <w:b/>
          <w:sz w:val="24"/>
          <w:szCs w:val="24"/>
        </w:rPr>
      </w:pPr>
      <w:r>
        <w:rPr>
          <w:b/>
          <w:sz w:val="24"/>
          <w:szCs w:val="24"/>
        </w:rPr>
        <w:t>Young Girls (Both cisgender &amp; Transgender) Health Issues</w:t>
      </w:r>
    </w:p>
    <w:p w14:paraId="007474F3" w14:textId="77777777" w:rsidR="00AC4A70" w:rsidRDefault="00091BA3">
      <w:pPr>
        <w:ind w:firstLine="720"/>
        <w:jc w:val="both"/>
        <w:rPr>
          <w:b/>
          <w:sz w:val="24"/>
          <w:szCs w:val="24"/>
        </w:rPr>
      </w:pPr>
      <w:r>
        <w:rPr>
          <w:b/>
          <w:sz w:val="24"/>
          <w:szCs w:val="24"/>
        </w:rPr>
        <w:t>Lack of awareness and information and services</w:t>
      </w:r>
    </w:p>
    <w:p w14:paraId="0EB74594" w14:textId="77777777" w:rsidR="00AC4A70" w:rsidRDefault="00091BA3">
      <w:pPr>
        <w:ind w:left="720"/>
        <w:jc w:val="both"/>
        <w:rPr>
          <w:sz w:val="24"/>
          <w:szCs w:val="24"/>
        </w:rPr>
      </w:pPr>
      <w:r>
        <w:rPr>
          <w:sz w:val="24"/>
          <w:szCs w:val="24"/>
        </w:rPr>
        <w:t xml:space="preserve">Poor access to sexual and reproductive health services by adolescents is the most significant issue affecting young people’s health and wellbeing, together with the need for youth friendly health services and gender (including transgender) sensitive SRHR services. The government needs to focus on improving access to SRHR information and services for young people. There is a dire need to establish adolescent and youth friendly health services centers throughout the country. </w:t>
      </w:r>
    </w:p>
    <w:p w14:paraId="27F4F431" w14:textId="77777777" w:rsidR="00AC4A70" w:rsidRDefault="00091BA3">
      <w:pPr>
        <w:ind w:left="720"/>
        <w:jc w:val="both"/>
        <w:rPr>
          <w:sz w:val="24"/>
          <w:szCs w:val="24"/>
        </w:rPr>
      </w:pPr>
      <w:r>
        <w:rPr>
          <w:sz w:val="24"/>
          <w:szCs w:val="24"/>
        </w:rPr>
        <w:t xml:space="preserve">In Pakistan the government’s main focus in this context is mother and child services and nutrition with no specific initiatives or plans in place for inclusion of young people. There is a small component of youth FP services in </w:t>
      </w:r>
      <w:proofErr w:type="spellStart"/>
      <w:r>
        <w:rPr>
          <w:sz w:val="24"/>
          <w:szCs w:val="24"/>
        </w:rPr>
        <w:t>Costed</w:t>
      </w:r>
      <w:proofErr w:type="spellEnd"/>
      <w:r>
        <w:rPr>
          <w:sz w:val="24"/>
          <w:szCs w:val="24"/>
        </w:rPr>
        <w:t xml:space="preserve"> Implementation Plan CIP of Sindh that is being implemented through NGOs. Other provinces do not follow this example. </w:t>
      </w:r>
    </w:p>
    <w:p w14:paraId="7B48CE55" w14:textId="77777777" w:rsidR="00AC4A70" w:rsidRDefault="00091BA3">
      <w:pPr>
        <w:ind w:left="720"/>
        <w:jc w:val="both"/>
        <w:rPr>
          <w:sz w:val="24"/>
          <w:szCs w:val="24"/>
        </w:rPr>
      </w:pPr>
      <w:r>
        <w:rPr>
          <w:sz w:val="24"/>
          <w:szCs w:val="24"/>
        </w:rPr>
        <w:t>Life Skill Based Education is a culturally sensitive adaptation of comprehensive sexuality education that needs to be included in school curriculums in all provinces. So far Sindh is the only province in which provincial government has initiated the integration of LSBE in in school curriculum. The set of recommendations drafted by the order of Supreme Court of Pakistan and endorsed by the Counsel of Common Interest (the supreme law making body in the country) in 2018 to address the population growth rate in the country demands inclusion of LSBE in schools. LSBE is still not part of school curriculum in most provinces.</w:t>
      </w:r>
    </w:p>
    <w:p w14:paraId="332082DC" w14:textId="77777777" w:rsidR="00AC4A70" w:rsidRDefault="00091BA3">
      <w:pPr>
        <w:numPr>
          <w:ilvl w:val="0"/>
          <w:numId w:val="6"/>
        </w:numPr>
        <w:spacing w:after="0"/>
        <w:jc w:val="both"/>
        <w:rPr>
          <w:sz w:val="24"/>
          <w:szCs w:val="24"/>
        </w:rPr>
      </w:pPr>
      <w:r>
        <w:rPr>
          <w:sz w:val="24"/>
          <w:szCs w:val="24"/>
        </w:rPr>
        <w:t xml:space="preserve">Young girls often drop of school on attaining puberty and at primary level the enrolment of young girls is very low which means health related information provision to out of school young girls must also be part of the government </w:t>
      </w:r>
      <w:proofErr w:type="spellStart"/>
      <w:r>
        <w:rPr>
          <w:sz w:val="24"/>
          <w:szCs w:val="24"/>
        </w:rPr>
        <w:t>programmes</w:t>
      </w:r>
      <w:proofErr w:type="spellEnd"/>
      <w:r>
        <w:rPr>
          <w:sz w:val="24"/>
          <w:szCs w:val="24"/>
        </w:rPr>
        <w:t xml:space="preserve">. There is no mention about any youth friendly healthcare facilities providing easy and safe access to young unmarried girls and women for their sexual and reproductive healthcare information and services while provincial youth policies clearly provide for the establishment of youth centers. </w:t>
      </w:r>
    </w:p>
    <w:p w14:paraId="01490A6B" w14:textId="77777777" w:rsidR="00AC4A70" w:rsidRDefault="00AC4A70">
      <w:pPr>
        <w:spacing w:after="0"/>
        <w:ind w:left="720"/>
        <w:jc w:val="both"/>
        <w:rPr>
          <w:sz w:val="24"/>
          <w:szCs w:val="24"/>
        </w:rPr>
      </w:pPr>
    </w:p>
    <w:p w14:paraId="6A214BD6" w14:textId="77777777" w:rsidR="00AC4A70" w:rsidRDefault="00AC4A70">
      <w:pPr>
        <w:ind w:left="720"/>
        <w:jc w:val="both"/>
        <w:rPr>
          <w:sz w:val="24"/>
          <w:szCs w:val="24"/>
        </w:rPr>
      </w:pPr>
    </w:p>
    <w:p w14:paraId="1A674DF3" w14:textId="77777777" w:rsidR="00AC4A70" w:rsidRDefault="00091BA3">
      <w:pPr>
        <w:ind w:left="720"/>
        <w:jc w:val="both"/>
        <w:rPr>
          <w:sz w:val="24"/>
          <w:szCs w:val="24"/>
        </w:rPr>
      </w:pPr>
      <w:r>
        <w:rPr>
          <w:sz w:val="24"/>
          <w:szCs w:val="24"/>
        </w:rPr>
        <w:t>Recommendations:</w:t>
      </w:r>
    </w:p>
    <w:p w14:paraId="0826363A" w14:textId="77777777" w:rsidR="008655FF" w:rsidRDefault="008655FF">
      <w:pPr>
        <w:ind w:left="720"/>
        <w:jc w:val="both"/>
        <w:rPr>
          <w:sz w:val="24"/>
          <w:szCs w:val="24"/>
        </w:rPr>
      </w:pPr>
      <w:r>
        <w:rPr>
          <w:sz w:val="24"/>
          <w:szCs w:val="24"/>
        </w:rPr>
        <w:t>We urge the state to:</w:t>
      </w:r>
    </w:p>
    <w:p w14:paraId="3CFB0578" w14:textId="77777777" w:rsidR="00AC4A70" w:rsidRDefault="00091BA3">
      <w:pPr>
        <w:numPr>
          <w:ilvl w:val="0"/>
          <w:numId w:val="6"/>
        </w:numPr>
        <w:spacing w:after="0" w:line="216" w:lineRule="auto"/>
        <w:rPr>
          <w:sz w:val="24"/>
          <w:szCs w:val="24"/>
        </w:rPr>
      </w:pPr>
      <w:r>
        <w:rPr>
          <w:sz w:val="24"/>
          <w:szCs w:val="24"/>
        </w:rPr>
        <w:t xml:space="preserve">Include the concept of Youth Friendly Health Services (YFHS) in medical curriculum. </w:t>
      </w:r>
    </w:p>
    <w:p w14:paraId="050DA17E" w14:textId="77777777" w:rsidR="00AC4A70" w:rsidRDefault="00091BA3">
      <w:pPr>
        <w:numPr>
          <w:ilvl w:val="0"/>
          <w:numId w:val="6"/>
        </w:numPr>
        <w:spacing w:after="0" w:line="216" w:lineRule="auto"/>
        <w:rPr>
          <w:sz w:val="24"/>
          <w:szCs w:val="24"/>
        </w:rPr>
      </w:pPr>
      <w:r>
        <w:rPr>
          <w:sz w:val="24"/>
          <w:szCs w:val="24"/>
        </w:rPr>
        <w:t>Provide sensitization trainings to all health care providers on YFHS.</w:t>
      </w:r>
    </w:p>
    <w:p w14:paraId="76F90A87" w14:textId="5AFAA7EB" w:rsidR="00AC4A70" w:rsidRDefault="00091BA3">
      <w:pPr>
        <w:numPr>
          <w:ilvl w:val="0"/>
          <w:numId w:val="6"/>
        </w:numPr>
        <w:spacing w:after="0" w:line="216" w:lineRule="auto"/>
        <w:rPr>
          <w:sz w:val="24"/>
          <w:szCs w:val="24"/>
        </w:rPr>
      </w:pPr>
      <w:r>
        <w:rPr>
          <w:sz w:val="24"/>
          <w:szCs w:val="24"/>
        </w:rPr>
        <w:t>Provide training to school teachers</w:t>
      </w:r>
      <w:r w:rsidR="00F65D63">
        <w:rPr>
          <w:sz w:val="24"/>
          <w:szCs w:val="24"/>
        </w:rPr>
        <w:t xml:space="preserve"> on life skill based education to ensure effective and </w:t>
      </w:r>
      <w:proofErr w:type="spellStart"/>
      <w:r w:rsidR="00F65D63">
        <w:rPr>
          <w:sz w:val="24"/>
          <w:szCs w:val="24"/>
        </w:rPr>
        <w:t>judgement</w:t>
      </w:r>
      <w:proofErr w:type="spellEnd"/>
      <w:r w:rsidR="00F65D63">
        <w:rPr>
          <w:sz w:val="24"/>
          <w:szCs w:val="24"/>
        </w:rPr>
        <w:t>-free life-skills based education is being provided to them.</w:t>
      </w:r>
    </w:p>
    <w:p w14:paraId="4B15E03E" w14:textId="77777777" w:rsidR="00AC4A70" w:rsidRDefault="00091BA3">
      <w:pPr>
        <w:numPr>
          <w:ilvl w:val="0"/>
          <w:numId w:val="6"/>
        </w:numPr>
        <w:spacing w:after="0" w:line="216" w:lineRule="auto"/>
        <w:rPr>
          <w:sz w:val="24"/>
          <w:szCs w:val="24"/>
        </w:rPr>
      </w:pPr>
      <w:r>
        <w:rPr>
          <w:sz w:val="24"/>
          <w:szCs w:val="24"/>
        </w:rPr>
        <w:lastRenderedPageBreak/>
        <w:t xml:space="preserve">Include YFHS in all private and public hospitals and clinics. </w:t>
      </w:r>
    </w:p>
    <w:p w14:paraId="21488676" w14:textId="77777777" w:rsidR="00AC4A70" w:rsidRDefault="00091BA3">
      <w:pPr>
        <w:numPr>
          <w:ilvl w:val="0"/>
          <w:numId w:val="6"/>
        </w:numPr>
        <w:spacing w:after="0"/>
        <w:jc w:val="both"/>
        <w:rPr>
          <w:sz w:val="24"/>
          <w:szCs w:val="24"/>
        </w:rPr>
      </w:pPr>
      <w:r>
        <w:rPr>
          <w:sz w:val="24"/>
          <w:szCs w:val="24"/>
        </w:rPr>
        <w:t>Include Life Skill Based Education (LSBE) in school curriculum in all provinces.</w:t>
      </w:r>
    </w:p>
    <w:p w14:paraId="765B31D5" w14:textId="77777777" w:rsidR="00AC4A70" w:rsidRDefault="00091BA3">
      <w:pPr>
        <w:numPr>
          <w:ilvl w:val="0"/>
          <w:numId w:val="6"/>
        </w:numPr>
        <w:spacing w:after="0"/>
        <w:jc w:val="both"/>
        <w:rPr>
          <w:sz w:val="24"/>
          <w:szCs w:val="24"/>
        </w:rPr>
      </w:pPr>
      <w:r>
        <w:rPr>
          <w:sz w:val="24"/>
          <w:szCs w:val="24"/>
        </w:rPr>
        <w:t xml:space="preserve">Design </w:t>
      </w:r>
      <w:proofErr w:type="spellStart"/>
      <w:r>
        <w:rPr>
          <w:sz w:val="24"/>
          <w:szCs w:val="24"/>
        </w:rPr>
        <w:t>programmes</w:t>
      </w:r>
      <w:proofErr w:type="spellEnd"/>
      <w:r>
        <w:rPr>
          <w:sz w:val="24"/>
          <w:szCs w:val="24"/>
        </w:rPr>
        <w:t xml:space="preserve"> to reach out to out of school girls with sexual reproductive health information.  </w:t>
      </w:r>
    </w:p>
    <w:p w14:paraId="2393B7D6" w14:textId="77777777" w:rsidR="00AC4A70" w:rsidRDefault="00091BA3">
      <w:pPr>
        <w:numPr>
          <w:ilvl w:val="0"/>
          <w:numId w:val="6"/>
        </w:numPr>
        <w:spacing w:after="0"/>
        <w:jc w:val="both"/>
        <w:rPr>
          <w:sz w:val="24"/>
          <w:szCs w:val="24"/>
        </w:rPr>
      </w:pPr>
      <w:r>
        <w:rPr>
          <w:sz w:val="24"/>
          <w:szCs w:val="24"/>
        </w:rPr>
        <w:t>Establish accountability mechanisms to ensure effective provision of YFHS and LSBE.</w:t>
      </w:r>
    </w:p>
    <w:p w14:paraId="75003F2B" w14:textId="77777777" w:rsidR="00AC4A70" w:rsidRDefault="00AC4A70">
      <w:pPr>
        <w:spacing w:after="0"/>
        <w:ind w:left="720"/>
        <w:jc w:val="both"/>
        <w:rPr>
          <w:sz w:val="24"/>
          <w:szCs w:val="24"/>
        </w:rPr>
      </w:pPr>
    </w:p>
    <w:p w14:paraId="258437D4" w14:textId="77777777" w:rsidR="00AC4A70" w:rsidRDefault="00AC4A70">
      <w:pPr>
        <w:ind w:left="720"/>
        <w:jc w:val="both"/>
        <w:rPr>
          <w:sz w:val="24"/>
          <w:szCs w:val="24"/>
        </w:rPr>
      </w:pPr>
    </w:p>
    <w:p w14:paraId="5C5E865F" w14:textId="77777777" w:rsidR="00AC4A70" w:rsidRDefault="00091BA3">
      <w:pPr>
        <w:ind w:firstLine="720"/>
        <w:jc w:val="both"/>
        <w:rPr>
          <w:b/>
          <w:sz w:val="24"/>
          <w:szCs w:val="24"/>
        </w:rPr>
      </w:pPr>
      <w:r>
        <w:rPr>
          <w:b/>
          <w:sz w:val="24"/>
          <w:szCs w:val="24"/>
        </w:rPr>
        <w:t>Sexual and Gender Based Violence</w:t>
      </w:r>
    </w:p>
    <w:p w14:paraId="3155D9DB" w14:textId="77777777" w:rsidR="00AC4A70" w:rsidRDefault="00091BA3">
      <w:pPr>
        <w:spacing w:after="0" w:line="276" w:lineRule="auto"/>
        <w:ind w:left="720"/>
        <w:jc w:val="both"/>
        <w:rPr>
          <w:sz w:val="24"/>
          <w:szCs w:val="24"/>
        </w:rPr>
      </w:pPr>
      <w:r>
        <w:rPr>
          <w:sz w:val="24"/>
          <w:szCs w:val="24"/>
        </w:rPr>
        <w:t xml:space="preserve">Girls and transgender persons are most exposed to all kinds of violence including sexual, social, economic, psychological and physical. The Domestic Violence (Prevention and Protection) Acts have been enacted by Governments of Sindh and Balochistan in 2013 and 2014 respectively for which Rules of Business have also been notified. Despite this recent domestic violence act the situation of women has not changed much. Women, due to their economic dependence on the male members of their family, endure physical and psychological violence all their lives. A few who take a stand against such unfair behavior face social disapproval. Even the police is desensitized towards their fate and refuses to take action under the pretext that it’s a domestic affair and they do not want to invade the privacy of the home. The society’s main concern is with keeping the family unit intact without paying any attention to the price most women pay for it because their right to be protected from abuse is not upheld. Domestic violence is not limited to physical and psychological abuse only. In the changing world there are economic realities that have forced women into menial jobs where they work hard and are paid less compared to their male counter parts. But the worst form of violence is the lack of control over the money they earn themselves. Deprived of education, deprived of proper health care women carry on with triple burden of life on their shoulders. And due to patriarchal set up still end up subservient to their male family members.  Men controlling all aspects of women’s lives is an acceptable way of life in the society. Control over her mobility, her choice of clothing, choice of profession, choice of spouse, number of children lies with the men in their lives. Women taking control over their own lives end up paying heavily. A number of women protection laws were enacted since 2011 at the federal and provincial levels including The Acid control and Acid crime prevention act; Prevention of anti-women practices act; criminal law amendment (offence of rape); prevention of electronic crimes act and Hindu marriage act but due to weak implementation these laws are not effective in making any substantial change in the lives of women.  </w:t>
      </w:r>
    </w:p>
    <w:p w14:paraId="45937D40" w14:textId="77777777" w:rsidR="00AC4A70" w:rsidRDefault="00091BA3">
      <w:pPr>
        <w:spacing w:after="0" w:line="276" w:lineRule="auto"/>
        <w:ind w:left="720"/>
        <w:jc w:val="both"/>
        <w:rPr>
          <w:b/>
          <w:sz w:val="24"/>
          <w:szCs w:val="24"/>
        </w:rPr>
      </w:pPr>
      <w:r>
        <w:rPr>
          <w:sz w:val="24"/>
          <w:szCs w:val="24"/>
        </w:rPr>
        <w:t xml:space="preserve">Sexual and gender minorities are the worst affected. Transgender persons also go through various forms of violence in Pakistani society. They are deprived of equal right to education, healthcare and job opportunities. Their families disown them at birth </w:t>
      </w:r>
      <w:r>
        <w:rPr>
          <w:sz w:val="24"/>
          <w:szCs w:val="24"/>
        </w:rPr>
        <w:lastRenderedPageBreak/>
        <w:t xml:space="preserve">forcing them to live in communities where sex work is the most popular choice. This line of work expose them to physical violence of the most gruesome kind.  </w:t>
      </w:r>
    </w:p>
    <w:p w14:paraId="4638E028" w14:textId="77777777" w:rsidR="00AC4A70" w:rsidRDefault="00091BA3">
      <w:pPr>
        <w:spacing w:after="0" w:line="276" w:lineRule="auto"/>
        <w:ind w:left="720"/>
        <w:jc w:val="both"/>
        <w:rPr>
          <w:sz w:val="24"/>
          <w:szCs w:val="24"/>
        </w:rPr>
      </w:pPr>
      <w:r>
        <w:rPr>
          <w:sz w:val="24"/>
          <w:szCs w:val="24"/>
        </w:rPr>
        <w:t>Due to the criminalization of homosexuality under section 377</w:t>
      </w:r>
      <w:r>
        <w:rPr>
          <w:sz w:val="24"/>
          <w:szCs w:val="24"/>
          <w:vertAlign w:val="superscript"/>
        </w:rPr>
        <w:footnoteReference w:id="10"/>
      </w:r>
      <w:r>
        <w:rPr>
          <w:sz w:val="24"/>
          <w:szCs w:val="24"/>
        </w:rPr>
        <w:t xml:space="preserve"> of the Pakistan Penal Code, the LGBTIQ individuals are reluctant to reveal their sexual orientation and gender identity. “Coming out” as sexual and gender minority can result in teasing, abuse, beating and even killing. There is no open discussion on the subject because it is considered a grave moral offence by the religious authorities.</w:t>
      </w:r>
    </w:p>
    <w:p w14:paraId="0EFC4B8E" w14:textId="77777777" w:rsidR="00AC4A70" w:rsidRDefault="00AC4A70">
      <w:pPr>
        <w:spacing w:after="0" w:line="276" w:lineRule="auto"/>
        <w:jc w:val="both"/>
        <w:rPr>
          <w:sz w:val="24"/>
          <w:szCs w:val="24"/>
        </w:rPr>
      </w:pPr>
    </w:p>
    <w:p w14:paraId="7FEB4513" w14:textId="77777777" w:rsidR="00AC4A70" w:rsidRDefault="00091BA3">
      <w:pPr>
        <w:spacing w:after="0" w:line="276" w:lineRule="auto"/>
        <w:ind w:left="720"/>
        <w:jc w:val="both"/>
        <w:rPr>
          <w:sz w:val="24"/>
          <w:szCs w:val="24"/>
        </w:rPr>
      </w:pPr>
      <w:r>
        <w:rPr>
          <w:sz w:val="24"/>
          <w:szCs w:val="24"/>
        </w:rPr>
        <w:t>The emotional, verbal and physical abuse faced by the sexual and gender minorities stems from social and religious stigmatization of gender nonconformity and homosexuality. Due to the criminalization and social stigmatization of SGM, violence against them is rarely reported to the authorities. While the transgender populations have been recognized legally, they face routine verbal, emotional and physical abuse and violence from the society as well as law enforcement agencies.</w:t>
      </w:r>
    </w:p>
    <w:p w14:paraId="7FC5D678" w14:textId="77777777" w:rsidR="00AC4A70" w:rsidRDefault="00AC4A70">
      <w:pPr>
        <w:spacing w:after="0" w:line="276" w:lineRule="auto"/>
        <w:jc w:val="both"/>
        <w:rPr>
          <w:sz w:val="24"/>
          <w:szCs w:val="24"/>
        </w:rPr>
      </w:pPr>
    </w:p>
    <w:p w14:paraId="63C1C170" w14:textId="77777777" w:rsidR="00AC4A70" w:rsidRDefault="00091BA3">
      <w:pPr>
        <w:spacing w:after="0" w:line="276" w:lineRule="auto"/>
        <w:ind w:left="720"/>
        <w:jc w:val="both"/>
        <w:rPr>
          <w:sz w:val="24"/>
          <w:szCs w:val="24"/>
        </w:rPr>
      </w:pPr>
      <w:r>
        <w:rPr>
          <w:sz w:val="24"/>
          <w:szCs w:val="24"/>
        </w:rPr>
        <w:t>The Pakistani society in general still does not accept transgender people as full citizens and they continually face abandonment from their families at a very early age and denial of economic opportunities. The Supreme Court of Pakistan granted transgender people the right to vote and attain a National Identity Card back in 2011, but it has not been translated into legal and policy remedies to guarantee their rights. To obtain their Identity Cards, transgender people have to provide a medical certificate proving their gender-a practice no other gender has to perform. In case of imprisonment transgender women are kept in male cells as no separate cells exist for them. The transgender community of Pakistan remains the most marginalized despite recognition of their rights by the Supreme Court. The 2% employment quota in government jobs announced by the Supreme Court is not being implemented and transgender persons due to lack of employment opportunities more often than not resort to sex work. There are no specific measures in any policy to address transgender persons SRHR needs.</w:t>
      </w:r>
    </w:p>
    <w:p w14:paraId="1B26CBAB" w14:textId="77777777" w:rsidR="00AC4A70" w:rsidRDefault="00AC4A70">
      <w:pPr>
        <w:spacing w:after="0" w:line="276" w:lineRule="auto"/>
        <w:ind w:left="720"/>
        <w:jc w:val="both"/>
        <w:rPr>
          <w:sz w:val="24"/>
          <w:szCs w:val="24"/>
        </w:rPr>
      </w:pPr>
    </w:p>
    <w:p w14:paraId="3A601AC4" w14:textId="77777777" w:rsidR="00AC4A70" w:rsidRDefault="00091BA3">
      <w:pPr>
        <w:spacing w:after="0" w:line="276" w:lineRule="auto"/>
        <w:ind w:left="720"/>
        <w:jc w:val="both"/>
        <w:rPr>
          <w:sz w:val="24"/>
          <w:szCs w:val="24"/>
        </w:rPr>
      </w:pPr>
      <w:r>
        <w:rPr>
          <w:sz w:val="24"/>
          <w:szCs w:val="24"/>
        </w:rPr>
        <w:t xml:space="preserve">Transgender persons’ SRHR issues need to be addressed in policies and progammes including mass awareness campaigns;  Gender sensitive services for all vulnerable groups including transgender persons; appropriate legislation to address SGBV and discrimination.  </w:t>
      </w:r>
    </w:p>
    <w:p w14:paraId="13EF9B29" w14:textId="77777777" w:rsidR="00AC4A70" w:rsidRDefault="00AC4A70">
      <w:pPr>
        <w:spacing w:after="0" w:line="276" w:lineRule="auto"/>
        <w:ind w:left="720"/>
        <w:jc w:val="both"/>
        <w:rPr>
          <w:sz w:val="24"/>
          <w:szCs w:val="24"/>
        </w:rPr>
      </w:pPr>
    </w:p>
    <w:p w14:paraId="6A203215" w14:textId="77777777" w:rsidR="00AC4A70" w:rsidRDefault="00091BA3">
      <w:pPr>
        <w:ind w:left="720"/>
        <w:jc w:val="both"/>
        <w:rPr>
          <w:sz w:val="24"/>
          <w:szCs w:val="24"/>
        </w:rPr>
      </w:pPr>
      <w:r>
        <w:rPr>
          <w:sz w:val="24"/>
          <w:szCs w:val="24"/>
        </w:rPr>
        <w:t xml:space="preserve">In 2018 Pakistani government passed its first ever law “The Transgender Persons Rights Protection Act 2018”. The law under its section 12 provides for the equal protection of the right to health of TGs without any discrimination. Section 4 of the Act prohibits any kind of discrimination on the basis of gender identity, also the denial and unfair treatment in healthcare facilities. Unfortunately, despite the legal protection discrimination, denial and unequal access to healthcare services remains an issue for transgender persons and gender non-confirming people especially when it comes to their Sexual and Reproductive Health Rights. </w:t>
      </w:r>
    </w:p>
    <w:p w14:paraId="702E46B0" w14:textId="77777777" w:rsidR="00AC4A70" w:rsidRDefault="00091BA3">
      <w:pPr>
        <w:ind w:left="720"/>
        <w:jc w:val="both"/>
        <w:rPr>
          <w:sz w:val="24"/>
          <w:szCs w:val="24"/>
        </w:rPr>
      </w:pPr>
      <w:r>
        <w:rPr>
          <w:sz w:val="24"/>
          <w:szCs w:val="24"/>
        </w:rPr>
        <w:t xml:space="preserve">The policies, programs and strategies remain lacking in </w:t>
      </w:r>
      <w:proofErr w:type="gramStart"/>
      <w:r>
        <w:rPr>
          <w:sz w:val="24"/>
          <w:szCs w:val="24"/>
        </w:rPr>
        <w:t>trans</w:t>
      </w:r>
      <w:proofErr w:type="gramEnd"/>
      <w:r>
        <w:rPr>
          <w:sz w:val="24"/>
          <w:szCs w:val="24"/>
        </w:rPr>
        <w:t xml:space="preserve"> inclusiveness. The healthcare facilities and clinics fail to provide quality sexual and reproductive healthcare services to transgender persons. Transgender persons are at the highest risk of sexually transmitted infections and diseases. But they are forced to deal with their issues without any proper support from the system. The government needs to make transgender inclusive policies and programs so that transgender persons can be provided friendly and equal access to information and services regarding their sexual and reproductive health as per the WHO standards.</w:t>
      </w:r>
    </w:p>
    <w:p w14:paraId="3A5ABFD4" w14:textId="77777777" w:rsidR="00AC4A70" w:rsidRDefault="00091BA3">
      <w:pPr>
        <w:spacing w:after="0"/>
        <w:ind w:left="720"/>
        <w:jc w:val="both"/>
        <w:rPr>
          <w:sz w:val="24"/>
          <w:szCs w:val="24"/>
        </w:rPr>
      </w:pPr>
      <w:r>
        <w:rPr>
          <w:sz w:val="24"/>
          <w:szCs w:val="24"/>
        </w:rPr>
        <w:t>There is no provision for youth friendly &amp; gender sensitive (including transgender) health care centers for young girls. Only small scale services are available for young girls in some parts of the province of Sindh through private-public partnership with local NGOs. It is not enough. The government needs to take appropriate measures to address the sexual reproductive health needs of young girls and transgender women. There is no mention of transgender women health whereas the Transgender Protection of Rights Act 2017 under its article 17: Right to Health guarantees SRHR to transgender persons.</w:t>
      </w:r>
    </w:p>
    <w:p w14:paraId="467E0573" w14:textId="77777777" w:rsidR="00AC4A70" w:rsidRDefault="00AC4A70">
      <w:pPr>
        <w:spacing w:after="0"/>
        <w:ind w:left="720"/>
        <w:jc w:val="both"/>
        <w:rPr>
          <w:sz w:val="24"/>
          <w:szCs w:val="24"/>
        </w:rPr>
      </w:pPr>
    </w:p>
    <w:p w14:paraId="6BA3FA05" w14:textId="77777777" w:rsidR="00AC4A70" w:rsidRDefault="00091BA3">
      <w:pPr>
        <w:spacing w:after="0"/>
        <w:ind w:left="720"/>
        <w:jc w:val="both"/>
        <w:rPr>
          <w:sz w:val="24"/>
          <w:szCs w:val="24"/>
        </w:rPr>
      </w:pPr>
      <w:r>
        <w:rPr>
          <w:sz w:val="24"/>
          <w:szCs w:val="24"/>
        </w:rPr>
        <w:t>There is no mention of transgender women’s right to marriage and found a family neither in the state report nor in the Transgender Protection of Rights Act 2018. A gap that needs to be addressed if transgender person’s rights are to be fully acknowledged.</w:t>
      </w:r>
    </w:p>
    <w:p w14:paraId="0CBB8B94" w14:textId="77777777" w:rsidR="00AC4A70" w:rsidRDefault="00AC4A70">
      <w:pPr>
        <w:spacing w:after="0"/>
        <w:ind w:left="720"/>
        <w:jc w:val="both"/>
        <w:rPr>
          <w:sz w:val="24"/>
          <w:szCs w:val="24"/>
        </w:rPr>
      </w:pPr>
    </w:p>
    <w:p w14:paraId="11E666B0" w14:textId="77777777" w:rsidR="00AC4A70" w:rsidRDefault="00091BA3">
      <w:pPr>
        <w:spacing w:after="0"/>
        <w:ind w:left="720"/>
        <w:jc w:val="both"/>
        <w:rPr>
          <w:sz w:val="24"/>
          <w:szCs w:val="24"/>
        </w:rPr>
      </w:pPr>
      <w:r>
        <w:rPr>
          <w:sz w:val="24"/>
          <w:szCs w:val="24"/>
        </w:rPr>
        <w:t>It is imperative that policies dealing with education, health and social security are holistic, i.e. they cover every possible aspect for the alleviation of the living standards of young women and transgender women also including the differently abled women and girls.</w:t>
      </w:r>
    </w:p>
    <w:p w14:paraId="4EFE3113" w14:textId="77777777" w:rsidR="00AC4A70" w:rsidRDefault="00AC4A70">
      <w:pPr>
        <w:spacing w:after="0"/>
        <w:jc w:val="both"/>
        <w:rPr>
          <w:sz w:val="24"/>
          <w:szCs w:val="24"/>
        </w:rPr>
      </w:pPr>
    </w:p>
    <w:p w14:paraId="08AD7627" w14:textId="77777777" w:rsidR="00AC4A70" w:rsidRDefault="00091BA3">
      <w:pPr>
        <w:spacing w:after="0"/>
        <w:ind w:left="720"/>
        <w:jc w:val="both"/>
        <w:rPr>
          <w:sz w:val="24"/>
          <w:szCs w:val="24"/>
        </w:rPr>
      </w:pPr>
      <w:r>
        <w:rPr>
          <w:sz w:val="24"/>
          <w:szCs w:val="24"/>
        </w:rPr>
        <w:t>Recommendations</w:t>
      </w:r>
    </w:p>
    <w:p w14:paraId="019A7E41" w14:textId="10EFB41A" w:rsidR="00AC4A70" w:rsidRDefault="00C236D5" w:rsidP="00C236D5">
      <w:pPr>
        <w:spacing w:after="0" w:line="276" w:lineRule="auto"/>
        <w:ind w:left="720"/>
        <w:jc w:val="both"/>
        <w:rPr>
          <w:sz w:val="24"/>
          <w:szCs w:val="24"/>
        </w:rPr>
      </w:pPr>
      <w:r>
        <w:rPr>
          <w:sz w:val="24"/>
          <w:szCs w:val="24"/>
        </w:rPr>
        <w:t>We urge the state of Pakistan to undertake following measures on immediate basis:</w:t>
      </w:r>
    </w:p>
    <w:p w14:paraId="1EEA2D0D" w14:textId="46EE1319" w:rsidR="00AC4A70" w:rsidRDefault="00091BA3">
      <w:pPr>
        <w:numPr>
          <w:ilvl w:val="0"/>
          <w:numId w:val="1"/>
        </w:numPr>
        <w:spacing w:after="0"/>
        <w:jc w:val="both"/>
        <w:rPr>
          <w:sz w:val="24"/>
          <w:szCs w:val="24"/>
        </w:rPr>
      </w:pPr>
      <w:r>
        <w:rPr>
          <w:sz w:val="24"/>
          <w:szCs w:val="24"/>
        </w:rPr>
        <w:t>Ensure proper implemen</w:t>
      </w:r>
      <w:r w:rsidR="00BE4FF9">
        <w:rPr>
          <w:sz w:val="24"/>
          <w:szCs w:val="24"/>
        </w:rPr>
        <w:t>tation of women protection laws and the Transgender Rights Act 2018.</w:t>
      </w:r>
    </w:p>
    <w:p w14:paraId="18CF105C" w14:textId="77777777" w:rsidR="00AC4A70" w:rsidRDefault="00091BA3">
      <w:pPr>
        <w:numPr>
          <w:ilvl w:val="0"/>
          <w:numId w:val="1"/>
        </w:numPr>
        <w:spacing w:after="0"/>
        <w:jc w:val="both"/>
        <w:rPr>
          <w:sz w:val="24"/>
          <w:szCs w:val="24"/>
        </w:rPr>
      </w:pPr>
      <w:r>
        <w:rPr>
          <w:sz w:val="24"/>
          <w:szCs w:val="24"/>
        </w:rPr>
        <w:t xml:space="preserve">Sensitize law enforcing agency personnel on gender equality concepts. </w:t>
      </w:r>
    </w:p>
    <w:p w14:paraId="5AB36715" w14:textId="77777777" w:rsidR="00AC4A70" w:rsidRDefault="00091BA3">
      <w:pPr>
        <w:numPr>
          <w:ilvl w:val="0"/>
          <w:numId w:val="1"/>
        </w:numPr>
        <w:spacing w:after="0"/>
        <w:jc w:val="both"/>
        <w:rPr>
          <w:sz w:val="24"/>
          <w:szCs w:val="24"/>
        </w:rPr>
      </w:pPr>
      <w:r>
        <w:rPr>
          <w:sz w:val="24"/>
          <w:szCs w:val="24"/>
        </w:rPr>
        <w:lastRenderedPageBreak/>
        <w:t>Allocate adequate budgets for women and transgender women empowerment projects.</w:t>
      </w:r>
    </w:p>
    <w:p w14:paraId="2F868807" w14:textId="77777777" w:rsidR="00AC4A70" w:rsidRDefault="00091BA3">
      <w:pPr>
        <w:numPr>
          <w:ilvl w:val="0"/>
          <w:numId w:val="1"/>
        </w:numPr>
        <w:spacing w:after="0"/>
        <w:jc w:val="both"/>
        <w:rPr>
          <w:sz w:val="24"/>
          <w:szCs w:val="24"/>
        </w:rPr>
      </w:pPr>
      <w:r>
        <w:rPr>
          <w:sz w:val="24"/>
          <w:szCs w:val="24"/>
        </w:rPr>
        <w:t xml:space="preserve">Take immediate measures to implement the ban on verdicts of </w:t>
      </w:r>
      <w:proofErr w:type="spellStart"/>
      <w:r>
        <w:rPr>
          <w:sz w:val="24"/>
          <w:szCs w:val="24"/>
        </w:rPr>
        <w:t>jirgas</w:t>
      </w:r>
      <w:proofErr w:type="spellEnd"/>
      <w:r>
        <w:rPr>
          <w:sz w:val="24"/>
          <w:szCs w:val="24"/>
        </w:rPr>
        <w:t xml:space="preserve"> and </w:t>
      </w:r>
      <w:proofErr w:type="spellStart"/>
      <w:r>
        <w:rPr>
          <w:sz w:val="24"/>
          <w:szCs w:val="24"/>
        </w:rPr>
        <w:t>panchayats</w:t>
      </w:r>
      <w:proofErr w:type="spellEnd"/>
      <w:r>
        <w:rPr>
          <w:sz w:val="24"/>
          <w:szCs w:val="24"/>
        </w:rPr>
        <w:t xml:space="preserve"> as the parallel judicial system often used to suppress women.</w:t>
      </w:r>
    </w:p>
    <w:p w14:paraId="571D4C35" w14:textId="77777777" w:rsidR="00AC4A70" w:rsidRDefault="00091BA3">
      <w:pPr>
        <w:numPr>
          <w:ilvl w:val="0"/>
          <w:numId w:val="1"/>
        </w:numPr>
        <w:spacing w:after="0"/>
        <w:jc w:val="both"/>
        <w:rPr>
          <w:sz w:val="24"/>
          <w:szCs w:val="24"/>
        </w:rPr>
      </w:pPr>
      <w:r>
        <w:rPr>
          <w:sz w:val="24"/>
          <w:szCs w:val="24"/>
        </w:rPr>
        <w:t xml:space="preserve">Collect sex desegregated data for formation of improved and informed policy and </w:t>
      </w:r>
      <w:proofErr w:type="spellStart"/>
      <w:r>
        <w:rPr>
          <w:sz w:val="24"/>
          <w:szCs w:val="24"/>
        </w:rPr>
        <w:t>Programmes</w:t>
      </w:r>
      <w:proofErr w:type="spellEnd"/>
      <w:r>
        <w:rPr>
          <w:sz w:val="24"/>
          <w:szCs w:val="24"/>
        </w:rPr>
        <w:t>.</w:t>
      </w:r>
    </w:p>
    <w:p w14:paraId="1A017B07" w14:textId="77777777" w:rsidR="00AC4A70" w:rsidRDefault="00091BA3">
      <w:pPr>
        <w:numPr>
          <w:ilvl w:val="0"/>
          <w:numId w:val="1"/>
        </w:numPr>
        <w:spacing w:after="0"/>
        <w:jc w:val="both"/>
        <w:rPr>
          <w:sz w:val="24"/>
          <w:szCs w:val="24"/>
        </w:rPr>
      </w:pPr>
      <w:r>
        <w:rPr>
          <w:sz w:val="24"/>
          <w:szCs w:val="24"/>
        </w:rPr>
        <w:t>Ban forced, early marriages of transgender persons against their expression</w:t>
      </w:r>
    </w:p>
    <w:p w14:paraId="45D972FD" w14:textId="04D45DC3" w:rsidR="00AC4A70" w:rsidRDefault="00091BA3">
      <w:pPr>
        <w:numPr>
          <w:ilvl w:val="0"/>
          <w:numId w:val="1"/>
        </w:numPr>
        <w:spacing w:after="0"/>
        <w:jc w:val="both"/>
        <w:rPr>
          <w:sz w:val="24"/>
          <w:szCs w:val="24"/>
        </w:rPr>
      </w:pPr>
      <w:r>
        <w:rPr>
          <w:sz w:val="24"/>
          <w:szCs w:val="24"/>
        </w:rPr>
        <w:t xml:space="preserve">Sensitize parliamentary members </w:t>
      </w:r>
      <w:r w:rsidR="001A388E">
        <w:rPr>
          <w:sz w:val="24"/>
          <w:szCs w:val="24"/>
        </w:rPr>
        <w:t>on the human rights of transgender, intersex and gender non-conforming persons</w:t>
      </w:r>
    </w:p>
    <w:p w14:paraId="421D3DA2" w14:textId="77777777" w:rsidR="00AC4A70" w:rsidRDefault="00091BA3">
      <w:pPr>
        <w:numPr>
          <w:ilvl w:val="0"/>
          <w:numId w:val="1"/>
        </w:numPr>
        <w:spacing w:after="0"/>
        <w:jc w:val="both"/>
        <w:rPr>
          <w:sz w:val="24"/>
          <w:szCs w:val="24"/>
        </w:rPr>
      </w:pPr>
      <w:r>
        <w:rPr>
          <w:sz w:val="24"/>
          <w:szCs w:val="24"/>
        </w:rPr>
        <w:t>CEDAW Shall include transgender, intersex and gender non confirming women in its mandate</w:t>
      </w:r>
    </w:p>
    <w:p w14:paraId="76D25500" w14:textId="77777777" w:rsidR="00AC4A70" w:rsidRDefault="00AC4A70">
      <w:pPr>
        <w:spacing w:after="0"/>
        <w:ind w:left="1080"/>
        <w:jc w:val="both"/>
        <w:rPr>
          <w:sz w:val="24"/>
          <w:szCs w:val="24"/>
        </w:rPr>
      </w:pPr>
    </w:p>
    <w:p w14:paraId="7E13E971" w14:textId="77777777" w:rsidR="00AC4A70" w:rsidRDefault="00091BA3">
      <w:pPr>
        <w:ind w:firstLine="720"/>
        <w:jc w:val="both"/>
        <w:rPr>
          <w:b/>
          <w:sz w:val="24"/>
          <w:szCs w:val="24"/>
        </w:rPr>
      </w:pPr>
      <w:r>
        <w:rPr>
          <w:b/>
          <w:sz w:val="24"/>
          <w:szCs w:val="24"/>
        </w:rPr>
        <w:t>Harmful cultural and traditional practices</w:t>
      </w:r>
    </w:p>
    <w:p w14:paraId="5CEF8B69" w14:textId="77777777" w:rsidR="00AC4A70" w:rsidRDefault="00091BA3">
      <w:pPr>
        <w:ind w:left="720"/>
        <w:jc w:val="both"/>
        <w:rPr>
          <w:sz w:val="24"/>
          <w:szCs w:val="24"/>
        </w:rPr>
      </w:pPr>
      <w:r>
        <w:rPr>
          <w:sz w:val="24"/>
          <w:szCs w:val="24"/>
        </w:rPr>
        <w:t xml:space="preserve">The violation of girls’ SRHR takes many forms. Young girls in many tribal and rural areas face harmful cultural practices i.e. </w:t>
      </w:r>
      <w:proofErr w:type="spellStart"/>
      <w:r>
        <w:rPr>
          <w:sz w:val="24"/>
          <w:szCs w:val="24"/>
        </w:rPr>
        <w:t>Vanni</w:t>
      </w:r>
      <w:proofErr w:type="spellEnd"/>
      <w:r>
        <w:rPr>
          <w:sz w:val="24"/>
          <w:szCs w:val="24"/>
        </w:rPr>
        <w:t xml:space="preserve">, </w:t>
      </w:r>
      <w:proofErr w:type="spellStart"/>
      <w:r>
        <w:rPr>
          <w:sz w:val="24"/>
          <w:szCs w:val="24"/>
        </w:rPr>
        <w:t>Swara</w:t>
      </w:r>
      <w:proofErr w:type="spellEnd"/>
      <w:r>
        <w:rPr>
          <w:sz w:val="24"/>
          <w:szCs w:val="24"/>
        </w:rPr>
        <w:t xml:space="preserve">, Sang </w:t>
      </w:r>
      <w:proofErr w:type="spellStart"/>
      <w:r>
        <w:rPr>
          <w:sz w:val="24"/>
          <w:szCs w:val="24"/>
        </w:rPr>
        <w:t>Chatti</w:t>
      </w:r>
      <w:proofErr w:type="spellEnd"/>
      <w:r>
        <w:rPr>
          <w:sz w:val="24"/>
          <w:szCs w:val="24"/>
        </w:rPr>
        <w:t xml:space="preserve">, </w:t>
      </w:r>
      <w:proofErr w:type="spellStart"/>
      <w:r>
        <w:rPr>
          <w:sz w:val="24"/>
          <w:szCs w:val="24"/>
        </w:rPr>
        <w:t>Badal</w:t>
      </w:r>
      <w:proofErr w:type="spellEnd"/>
      <w:r>
        <w:rPr>
          <w:sz w:val="24"/>
          <w:szCs w:val="24"/>
        </w:rPr>
        <w:t xml:space="preserve">, </w:t>
      </w:r>
      <w:proofErr w:type="spellStart"/>
      <w:r>
        <w:rPr>
          <w:sz w:val="24"/>
          <w:szCs w:val="24"/>
        </w:rPr>
        <w:t>Bazo</w:t>
      </w:r>
      <w:proofErr w:type="spellEnd"/>
      <w:r>
        <w:rPr>
          <w:sz w:val="24"/>
          <w:szCs w:val="24"/>
        </w:rPr>
        <w:t xml:space="preserve">, </w:t>
      </w:r>
      <w:proofErr w:type="spellStart"/>
      <w:r>
        <w:rPr>
          <w:sz w:val="24"/>
          <w:szCs w:val="24"/>
        </w:rPr>
        <w:t>Watta</w:t>
      </w:r>
      <w:proofErr w:type="spellEnd"/>
      <w:r>
        <w:rPr>
          <w:sz w:val="24"/>
          <w:szCs w:val="24"/>
        </w:rPr>
        <w:t xml:space="preserve"> </w:t>
      </w:r>
      <w:proofErr w:type="spellStart"/>
      <w:r>
        <w:rPr>
          <w:sz w:val="24"/>
          <w:szCs w:val="24"/>
        </w:rPr>
        <w:t>Satta</w:t>
      </w:r>
      <w:proofErr w:type="spellEnd"/>
      <w:r>
        <w:rPr>
          <w:sz w:val="24"/>
          <w:szCs w:val="24"/>
        </w:rPr>
        <w:t xml:space="preserve"> and </w:t>
      </w:r>
      <w:proofErr w:type="spellStart"/>
      <w:r>
        <w:rPr>
          <w:sz w:val="24"/>
          <w:szCs w:val="24"/>
        </w:rPr>
        <w:t>Pait</w:t>
      </w:r>
      <w:proofErr w:type="spellEnd"/>
      <w:r>
        <w:rPr>
          <w:sz w:val="24"/>
          <w:szCs w:val="24"/>
        </w:rPr>
        <w:t xml:space="preserve"> </w:t>
      </w:r>
      <w:proofErr w:type="spellStart"/>
      <w:r>
        <w:rPr>
          <w:sz w:val="24"/>
          <w:szCs w:val="24"/>
        </w:rPr>
        <w:t>lakaei</w:t>
      </w:r>
      <w:proofErr w:type="spellEnd"/>
      <w:r>
        <w:rPr>
          <w:sz w:val="24"/>
          <w:szCs w:val="24"/>
        </w:rPr>
        <w:t xml:space="preserve">. All of these harmful cultural practices are anchored in a deeply patriarchal culture of treating girls and women as sexual objects or property of the family which is in violation of the convention on the right of the child (Articles 19 &amp; 34) and constitutes a form of sexual exploitation and/or abuse of children, adolescent girls and young women. The practice of </w:t>
      </w:r>
      <w:proofErr w:type="spellStart"/>
      <w:r>
        <w:rPr>
          <w:sz w:val="24"/>
          <w:szCs w:val="24"/>
        </w:rPr>
        <w:t>Swara</w:t>
      </w:r>
      <w:proofErr w:type="spellEnd"/>
      <w:r>
        <w:rPr>
          <w:sz w:val="24"/>
          <w:szCs w:val="24"/>
        </w:rPr>
        <w:t xml:space="preserve"> has been made illegal for a long time but it still a common practices, </w:t>
      </w:r>
      <w:proofErr w:type="spellStart"/>
      <w:r>
        <w:rPr>
          <w:sz w:val="24"/>
          <w:szCs w:val="24"/>
        </w:rPr>
        <w:t>Swara</w:t>
      </w:r>
      <w:proofErr w:type="spellEnd"/>
      <w:r>
        <w:rPr>
          <w:sz w:val="24"/>
          <w:szCs w:val="24"/>
        </w:rPr>
        <w:t xml:space="preserve"> is a Pashtun tradition that involves giving away a girl child to the enemy family in order to settle a blood feud among the men. The enactment of law prohibiting this practice has only forced people to use child marriage as a cover to continue with this harmful tradition. </w:t>
      </w:r>
    </w:p>
    <w:p w14:paraId="6CC4229E" w14:textId="77777777" w:rsidR="00AC4A70" w:rsidRDefault="00091BA3">
      <w:pPr>
        <w:ind w:left="720"/>
        <w:jc w:val="both"/>
        <w:rPr>
          <w:sz w:val="24"/>
          <w:szCs w:val="24"/>
        </w:rPr>
      </w:pPr>
      <w:r>
        <w:rPr>
          <w:sz w:val="24"/>
          <w:szCs w:val="24"/>
        </w:rPr>
        <w:t xml:space="preserve">  </w:t>
      </w:r>
    </w:p>
    <w:p w14:paraId="3B7101AF" w14:textId="77777777" w:rsidR="00AC4A70" w:rsidRDefault="00091BA3">
      <w:pPr>
        <w:ind w:firstLine="720"/>
        <w:jc w:val="both"/>
        <w:rPr>
          <w:b/>
          <w:sz w:val="24"/>
          <w:szCs w:val="24"/>
        </w:rPr>
      </w:pPr>
      <w:r>
        <w:rPr>
          <w:b/>
          <w:sz w:val="24"/>
          <w:szCs w:val="24"/>
        </w:rPr>
        <w:t>Early and child marriage</w:t>
      </w:r>
    </w:p>
    <w:p w14:paraId="795A5AD5" w14:textId="77777777" w:rsidR="00AC4A70" w:rsidRDefault="00091BA3">
      <w:pPr>
        <w:ind w:left="720"/>
        <w:jc w:val="both"/>
        <w:rPr>
          <w:sz w:val="24"/>
          <w:szCs w:val="24"/>
        </w:rPr>
      </w:pPr>
      <w:r>
        <w:rPr>
          <w:sz w:val="24"/>
          <w:szCs w:val="24"/>
        </w:rPr>
        <w:t>Early age marriage is highly prevalent in Pakistan. According to the Pakistan Demographic and Health Survey (PDHS 2017-2018), the median age of marriage for girls in Pakistan is 19.5. Approximately half of Pakistani women are married before the age of 18 and 9% of girls begin childbearing between the ages 15-19 years. Early and forced marriages often result in early pregnancy, which can increase the risk of maternal mortality and morbidity (140 per 100,000 live births), multiple miscarriages and malnutrition (mineral and calorie deficiency) in young mothers and also impedes their social and economic potential.</w:t>
      </w:r>
    </w:p>
    <w:p w14:paraId="1A5B896E" w14:textId="77777777" w:rsidR="00AC4A70" w:rsidRDefault="00091BA3">
      <w:pPr>
        <w:ind w:left="720"/>
        <w:jc w:val="both"/>
        <w:rPr>
          <w:sz w:val="24"/>
          <w:szCs w:val="24"/>
        </w:rPr>
      </w:pPr>
      <w:r>
        <w:rPr>
          <w:sz w:val="24"/>
          <w:szCs w:val="24"/>
        </w:rPr>
        <w:t xml:space="preserve">Despite endless advocacy efforts by civil society organizations Sindh is the only province that was able to review the Child Marriage Restraint Act of 1929 and enact a new law “Child marriage Restraint Act 2013” which raises the age of marriage from 16 to 18 years for girls. All the other provinces i.e. Khyber </w:t>
      </w:r>
      <w:proofErr w:type="spellStart"/>
      <w:r>
        <w:rPr>
          <w:sz w:val="24"/>
          <w:szCs w:val="24"/>
        </w:rPr>
        <w:t>Pakhtoonkwa</w:t>
      </w:r>
      <w:proofErr w:type="spellEnd"/>
      <w:r>
        <w:rPr>
          <w:sz w:val="24"/>
          <w:szCs w:val="24"/>
        </w:rPr>
        <w:t xml:space="preserve">, Punjab, Balochistan continue to follow the Act of 1929 which prescribes 16 as the minimum legal age for </w:t>
      </w:r>
      <w:r>
        <w:rPr>
          <w:sz w:val="24"/>
          <w:szCs w:val="24"/>
        </w:rPr>
        <w:lastRenderedPageBreak/>
        <w:t xml:space="preserve">marriage for girls and 18 for boys. The national parliament was also unable to review the law and change the age of marriage for girls to 18.  </w:t>
      </w:r>
    </w:p>
    <w:p w14:paraId="44B3F1BD" w14:textId="77777777" w:rsidR="00AC4A70" w:rsidRDefault="00091BA3">
      <w:pPr>
        <w:ind w:left="720"/>
        <w:jc w:val="both"/>
        <w:rPr>
          <w:b/>
          <w:sz w:val="24"/>
          <w:szCs w:val="24"/>
        </w:rPr>
      </w:pPr>
      <w:r>
        <w:rPr>
          <w:b/>
          <w:sz w:val="24"/>
          <w:szCs w:val="24"/>
        </w:rPr>
        <w:t>Recommendation</w:t>
      </w:r>
    </w:p>
    <w:p w14:paraId="464DC304" w14:textId="17B747F2" w:rsidR="00AC4A70" w:rsidRPr="001C04AF" w:rsidRDefault="001C04AF" w:rsidP="001C04AF">
      <w:pPr>
        <w:spacing w:after="0" w:line="276" w:lineRule="auto"/>
        <w:ind w:left="720"/>
        <w:jc w:val="both"/>
        <w:rPr>
          <w:sz w:val="24"/>
          <w:szCs w:val="24"/>
        </w:rPr>
      </w:pPr>
      <w:r>
        <w:rPr>
          <w:sz w:val="24"/>
          <w:szCs w:val="24"/>
        </w:rPr>
        <w:t>We urge the state of Pakistan to undertake following measures on immediate basis:</w:t>
      </w:r>
    </w:p>
    <w:p w14:paraId="303F44C0" w14:textId="77777777" w:rsidR="00AC4A70" w:rsidRDefault="00091BA3">
      <w:pPr>
        <w:numPr>
          <w:ilvl w:val="0"/>
          <w:numId w:val="2"/>
        </w:numPr>
        <w:spacing w:after="0"/>
        <w:jc w:val="both"/>
        <w:rPr>
          <w:sz w:val="24"/>
          <w:szCs w:val="24"/>
        </w:rPr>
      </w:pPr>
      <w:r>
        <w:rPr>
          <w:sz w:val="24"/>
          <w:szCs w:val="24"/>
        </w:rPr>
        <w:t xml:space="preserve">Amend the Child Marriage Restraint (Amendment) Act, 1929 to legislate equal minimum age of marriage for males and females at 18 years and make the law more effective. </w:t>
      </w:r>
    </w:p>
    <w:p w14:paraId="063D3A7E" w14:textId="77777777" w:rsidR="00AC4A70" w:rsidRDefault="00091BA3">
      <w:pPr>
        <w:numPr>
          <w:ilvl w:val="0"/>
          <w:numId w:val="2"/>
        </w:numPr>
        <w:spacing w:after="0"/>
        <w:jc w:val="both"/>
        <w:rPr>
          <w:sz w:val="24"/>
          <w:szCs w:val="24"/>
        </w:rPr>
      </w:pPr>
      <w:r>
        <w:rPr>
          <w:sz w:val="24"/>
          <w:szCs w:val="24"/>
        </w:rPr>
        <w:t xml:space="preserve">In line with its commitments under CEDAW, state must take all necessary measures to abolish harmful customary practices against young girls. </w:t>
      </w:r>
    </w:p>
    <w:p w14:paraId="75F9A4D9" w14:textId="77777777" w:rsidR="00AC4A70" w:rsidRDefault="00091BA3">
      <w:pPr>
        <w:numPr>
          <w:ilvl w:val="0"/>
          <w:numId w:val="2"/>
        </w:numPr>
        <w:spacing w:after="0"/>
        <w:jc w:val="both"/>
        <w:rPr>
          <w:sz w:val="24"/>
          <w:szCs w:val="24"/>
        </w:rPr>
      </w:pPr>
      <w:r>
        <w:rPr>
          <w:sz w:val="24"/>
          <w:szCs w:val="24"/>
        </w:rPr>
        <w:t xml:space="preserve">Take necessary measures to abolish sexual exploitation and abuse of girl child, women and transgender women. </w:t>
      </w:r>
    </w:p>
    <w:p w14:paraId="05361810" w14:textId="77777777" w:rsidR="00AC4A70" w:rsidRDefault="00091BA3">
      <w:pPr>
        <w:numPr>
          <w:ilvl w:val="0"/>
          <w:numId w:val="2"/>
        </w:numPr>
        <w:spacing w:after="0"/>
        <w:jc w:val="both"/>
        <w:rPr>
          <w:sz w:val="24"/>
          <w:szCs w:val="24"/>
        </w:rPr>
      </w:pPr>
      <w:r>
        <w:rPr>
          <w:sz w:val="24"/>
          <w:szCs w:val="24"/>
        </w:rPr>
        <w:t>Ensure the registration of all births, marriages and divorces as per provisions of NADRA, Ordinance 2000 through simplified procedures.</w:t>
      </w:r>
    </w:p>
    <w:p w14:paraId="0745E1C7" w14:textId="77777777" w:rsidR="00AC4A70" w:rsidRDefault="00AC4A70">
      <w:pPr>
        <w:spacing w:after="0"/>
        <w:ind w:left="1080"/>
        <w:jc w:val="both"/>
        <w:rPr>
          <w:sz w:val="24"/>
          <w:szCs w:val="24"/>
        </w:rPr>
      </w:pPr>
    </w:p>
    <w:p w14:paraId="1EF3391B" w14:textId="77777777" w:rsidR="00AC4A70" w:rsidRDefault="00AC4A70">
      <w:pPr>
        <w:ind w:left="720"/>
        <w:jc w:val="both"/>
        <w:rPr>
          <w:sz w:val="24"/>
          <w:szCs w:val="24"/>
        </w:rPr>
      </w:pPr>
    </w:p>
    <w:p w14:paraId="73E281EB" w14:textId="77777777" w:rsidR="00AC4A70" w:rsidRDefault="00091BA3">
      <w:pPr>
        <w:spacing w:after="0" w:line="276" w:lineRule="auto"/>
        <w:ind w:left="720"/>
        <w:jc w:val="both"/>
        <w:rPr>
          <w:b/>
          <w:sz w:val="24"/>
          <w:szCs w:val="24"/>
        </w:rPr>
      </w:pPr>
      <w:r>
        <w:rPr>
          <w:b/>
          <w:sz w:val="24"/>
          <w:szCs w:val="24"/>
        </w:rPr>
        <w:t>Abortion</w:t>
      </w:r>
    </w:p>
    <w:p w14:paraId="539F0EA7" w14:textId="77777777" w:rsidR="00AC4A70" w:rsidRDefault="00091BA3">
      <w:pPr>
        <w:spacing w:after="0" w:line="276" w:lineRule="auto"/>
        <w:ind w:left="720"/>
        <w:jc w:val="both"/>
        <w:rPr>
          <w:sz w:val="24"/>
          <w:szCs w:val="24"/>
        </w:rPr>
      </w:pPr>
      <w:bookmarkStart w:id="2" w:name="_30j0zll" w:colFirst="0" w:colLast="0"/>
      <w:bookmarkEnd w:id="2"/>
      <w:r>
        <w:rPr>
          <w:sz w:val="24"/>
          <w:szCs w:val="24"/>
        </w:rPr>
        <w:t xml:space="preserve">With the social stigma attached to this aspect of SRHR, abortion remains of the most de-prioritized areas in the health and rights framework. A relatively recent study conducted by the Population Council of Pakistan on Post Abortion Care revealed that Punjab has the highest number of Post Abortion Care Cases, resulting from unsafe </w:t>
      </w:r>
      <w:proofErr w:type="gramStart"/>
      <w:r>
        <w:rPr>
          <w:sz w:val="24"/>
          <w:szCs w:val="24"/>
        </w:rPr>
        <w:t>abortions, that</w:t>
      </w:r>
      <w:proofErr w:type="gramEnd"/>
      <w:r>
        <w:rPr>
          <w:sz w:val="24"/>
          <w:szCs w:val="24"/>
        </w:rPr>
        <w:t xml:space="preserve"> are treated in various facilities. </w:t>
      </w:r>
      <w:r>
        <w:rPr>
          <w:rFonts w:ascii="Arial" w:eastAsia="Arial" w:hAnsi="Arial" w:cs="Arial"/>
          <w:color w:val="222222"/>
          <w:highlight w:val="white"/>
        </w:rPr>
        <w:t>There were an estimated 2.25 million </w:t>
      </w:r>
      <w:r>
        <w:rPr>
          <w:rFonts w:ascii="Arial" w:eastAsia="Arial" w:hAnsi="Arial" w:cs="Arial"/>
          <w:b/>
          <w:color w:val="222222"/>
          <w:highlight w:val="white"/>
        </w:rPr>
        <w:t>induced abortions in Pakistan</w:t>
      </w:r>
      <w:r>
        <w:rPr>
          <w:rFonts w:ascii="Arial" w:eastAsia="Arial" w:hAnsi="Arial" w:cs="Arial"/>
          <w:color w:val="222222"/>
          <w:highlight w:val="white"/>
        </w:rPr>
        <w:t> in 2012</w:t>
      </w:r>
      <w:r>
        <w:rPr>
          <w:rFonts w:ascii="Arial" w:eastAsia="Arial" w:hAnsi="Arial" w:cs="Arial"/>
          <w:color w:val="222222"/>
          <w:highlight w:val="white"/>
          <w:vertAlign w:val="superscript"/>
        </w:rPr>
        <w:footnoteReference w:id="11"/>
      </w:r>
      <w:r>
        <w:rPr>
          <w:rFonts w:ascii="Arial" w:eastAsia="Arial" w:hAnsi="Arial" w:cs="Arial"/>
          <w:color w:val="222222"/>
          <w:highlight w:val="white"/>
        </w:rPr>
        <w:t>. The majority of these </w:t>
      </w:r>
      <w:r>
        <w:rPr>
          <w:rFonts w:ascii="Arial" w:eastAsia="Arial" w:hAnsi="Arial" w:cs="Arial"/>
          <w:b/>
          <w:color w:val="222222"/>
          <w:highlight w:val="white"/>
        </w:rPr>
        <w:t>abortions</w:t>
      </w:r>
      <w:r>
        <w:rPr>
          <w:rFonts w:ascii="Arial" w:eastAsia="Arial" w:hAnsi="Arial" w:cs="Arial"/>
          <w:color w:val="222222"/>
          <w:highlight w:val="white"/>
        </w:rPr>
        <w:t> were clandestine, and placed women's health and lives at risk. In 2012, the national </w:t>
      </w:r>
      <w:r>
        <w:rPr>
          <w:rFonts w:ascii="Arial" w:eastAsia="Arial" w:hAnsi="Arial" w:cs="Arial"/>
          <w:b/>
          <w:color w:val="222222"/>
          <w:highlight w:val="white"/>
        </w:rPr>
        <w:t>abortion</w:t>
      </w:r>
      <w:r>
        <w:rPr>
          <w:rFonts w:ascii="Arial" w:eastAsia="Arial" w:hAnsi="Arial" w:cs="Arial"/>
          <w:color w:val="222222"/>
          <w:highlight w:val="white"/>
        </w:rPr>
        <w:t> rate was 50 </w:t>
      </w:r>
      <w:r>
        <w:rPr>
          <w:rFonts w:ascii="Arial" w:eastAsia="Arial" w:hAnsi="Arial" w:cs="Arial"/>
          <w:b/>
          <w:color w:val="222222"/>
          <w:highlight w:val="white"/>
        </w:rPr>
        <w:t>abortions</w:t>
      </w:r>
      <w:r>
        <w:rPr>
          <w:rFonts w:ascii="Arial" w:eastAsia="Arial" w:hAnsi="Arial" w:cs="Arial"/>
          <w:color w:val="222222"/>
          <w:highlight w:val="white"/>
        </w:rPr>
        <w:t> per 1,000 women aged 15–49. The report further says there are around 4 million unintended pregnancies per annum which roughly makes up to 46 % of total annual pregnancies. Out of these 24.9% end up in induced abortions. Unsafe abortion is one of the main contributors in the high maternal mortality rate in the country.</w:t>
      </w:r>
      <w:r>
        <w:rPr>
          <w:sz w:val="24"/>
          <w:szCs w:val="24"/>
        </w:rPr>
        <w:t xml:space="preserve"> Experts agree that the existing law that allows for an abortion only if the mother’s life is in danger, is a flexible one and it is often the provider bias that leads to denial of services or poor quality of services provided to women who wish to have an abortion.</w:t>
      </w:r>
    </w:p>
    <w:p w14:paraId="31BEACCB" w14:textId="77777777" w:rsidR="00AD69C7" w:rsidRDefault="00AD69C7">
      <w:pPr>
        <w:spacing w:after="0" w:line="276" w:lineRule="auto"/>
        <w:ind w:left="720"/>
        <w:jc w:val="both"/>
        <w:rPr>
          <w:b/>
          <w:sz w:val="24"/>
          <w:szCs w:val="24"/>
        </w:rPr>
      </w:pPr>
    </w:p>
    <w:p w14:paraId="1802074B" w14:textId="535CFF65" w:rsidR="00AC4A70" w:rsidRDefault="00091BA3">
      <w:pPr>
        <w:spacing w:after="0" w:line="276" w:lineRule="auto"/>
        <w:ind w:left="720"/>
        <w:jc w:val="both"/>
        <w:rPr>
          <w:b/>
          <w:sz w:val="24"/>
          <w:szCs w:val="24"/>
        </w:rPr>
      </w:pPr>
      <w:r>
        <w:rPr>
          <w:b/>
          <w:sz w:val="24"/>
          <w:szCs w:val="24"/>
        </w:rPr>
        <w:t>Recommendation</w:t>
      </w:r>
      <w:r w:rsidR="00AD69C7">
        <w:rPr>
          <w:b/>
          <w:sz w:val="24"/>
          <w:szCs w:val="24"/>
        </w:rPr>
        <w:t>s</w:t>
      </w:r>
    </w:p>
    <w:p w14:paraId="49AE9C22" w14:textId="4AA89859" w:rsidR="0063795D" w:rsidRPr="0063795D" w:rsidRDefault="0063795D">
      <w:pPr>
        <w:spacing w:after="0" w:line="276" w:lineRule="auto"/>
        <w:ind w:left="720"/>
        <w:jc w:val="both"/>
        <w:rPr>
          <w:sz w:val="24"/>
          <w:szCs w:val="24"/>
        </w:rPr>
      </w:pPr>
      <w:r>
        <w:rPr>
          <w:sz w:val="24"/>
          <w:szCs w:val="24"/>
        </w:rPr>
        <w:t>We urge the state of Pakistan to undertake following measures on immediate basis:</w:t>
      </w:r>
    </w:p>
    <w:p w14:paraId="20DE8DEE" w14:textId="77777777" w:rsidR="00AC4A70" w:rsidRDefault="00091BA3">
      <w:pPr>
        <w:numPr>
          <w:ilvl w:val="0"/>
          <w:numId w:val="3"/>
        </w:numPr>
        <w:pBdr>
          <w:top w:val="nil"/>
          <w:left w:val="nil"/>
          <w:bottom w:val="nil"/>
          <w:right w:val="nil"/>
          <w:between w:val="nil"/>
        </w:pBdr>
        <w:spacing w:after="0" w:line="276" w:lineRule="auto"/>
        <w:jc w:val="both"/>
        <w:rPr>
          <w:color w:val="000000"/>
          <w:sz w:val="24"/>
          <w:szCs w:val="24"/>
        </w:rPr>
      </w:pPr>
      <w:r>
        <w:rPr>
          <w:color w:val="000000"/>
          <w:sz w:val="24"/>
          <w:szCs w:val="24"/>
        </w:rPr>
        <w:t xml:space="preserve">Service providers need to be </w:t>
      </w:r>
      <w:proofErr w:type="spellStart"/>
      <w:r>
        <w:rPr>
          <w:color w:val="000000"/>
          <w:sz w:val="24"/>
          <w:szCs w:val="24"/>
        </w:rPr>
        <w:t>sensitise</w:t>
      </w:r>
      <w:proofErr w:type="spellEnd"/>
      <w:r>
        <w:rPr>
          <w:color w:val="000000"/>
          <w:sz w:val="24"/>
          <w:szCs w:val="24"/>
        </w:rPr>
        <w:t xml:space="preserve"> towards existing provisions in the law and its link with the concept of accepting women’s rights over their bodies.</w:t>
      </w:r>
    </w:p>
    <w:p w14:paraId="14F7BA75" w14:textId="77777777" w:rsidR="00AC4A70" w:rsidRDefault="00091BA3">
      <w:pPr>
        <w:numPr>
          <w:ilvl w:val="0"/>
          <w:numId w:val="3"/>
        </w:numPr>
        <w:pBdr>
          <w:top w:val="nil"/>
          <w:left w:val="nil"/>
          <w:bottom w:val="nil"/>
          <w:right w:val="nil"/>
          <w:between w:val="nil"/>
        </w:pBdr>
        <w:spacing w:after="0" w:line="276" w:lineRule="auto"/>
        <w:jc w:val="both"/>
        <w:rPr>
          <w:color w:val="000000"/>
          <w:sz w:val="24"/>
          <w:szCs w:val="24"/>
        </w:rPr>
      </w:pPr>
      <w:r>
        <w:rPr>
          <w:color w:val="000000"/>
          <w:sz w:val="24"/>
          <w:szCs w:val="24"/>
        </w:rPr>
        <w:t xml:space="preserve">Awareness of provisions in existing laws should be given to young girls and women. </w:t>
      </w:r>
    </w:p>
    <w:p w14:paraId="700B2E79" w14:textId="5741B4D7" w:rsidR="00AC4A70" w:rsidRPr="00305D40" w:rsidRDefault="00091BA3" w:rsidP="00305D40">
      <w:pPr>
        <w:numPr>
          <w:ilvl w:val="0"/>
          <w:numId w:val="3"/>
        </w:numPr>
        <w:pBdr>
          <w:top w:val="nil"/>
          <w:left w:val="nil"/>
          <w:bottom w:val="nil"/>
          <w:right w:val="nil"/>
          <w:between w:val="nil"/>
        </w:pBdr>
        <w:spacing w:after="0" w:line="276" w:lineRule="auto"/>
        <w:jc w:val="both"/>
        <w:rPr>
          <w:color w:val="000000"/>
          <w:sz w:val="24"/>
          <w:szCs w:val="24"/>
        </w:rPr>
      </w:pPr>
      <w:r>
        <w:rPr>
          <w:color w:val="000000"/>
          <w:sz w:val="24"/>
          <w:szCs w:val="24"/>
        </w:rPr>
        <w:lastRenderedPageBreak/>
        <w:t xml:space="preserve">Incest and rape should be included in the category where abortion is permitted. </w:t>
      </w:r>
    </w:p>
    <w:p w14:paraId="7802BD68" w14:textId="77777777" w:rsidR="00AC4A70" w:rsidRDefault="00091BA3">
      <w:pPr>
        <w:rPr>
          <w:sz w:val="24"/>
          <w:szCs w:val="24"/>
        </w:rPr>
      </w:pPr>
      <w:r>
        <w:br w:type="page"/>
      </w:r>
    </w:p>
    <w:p w14:paraId="1C293CE3" w14:textId="77777777" w:rsidR="00AC4A70" w:rsidRDefault="00AC4A70">
      <w:pPr>
        <w:spacing w:after="0"/>
        <w:jc w:val="both"/>
        <w:rPr>
          <w:sz w:val="24"/>
          <w:szCs w:val="24"/>
        </w:rPr>
      </w:pPr>
    </w:p>
    <w:p w14:paraId="75119EE9" w14:textId="77777777" w:rsidR="00AC4A70" w:rsidRDefault="00091BA3">
      <w:pPr>
        <w:spacing w:after="0"/>
        <w:jc w:val="both"/>
        <w:rPr>
          <w:sz w:val="24"/>
          <w:szCs w:val="24"/>
        </w:rPr>
      </w:pPr>
      <w:r>
        <w:rPr>
          <w:sz w:val="24"/>
          <w:szCs w:val="24"/>
        </w:rPr>
        <w:t xml:space="preserve"> </w:t>
      </w:r>
    </w:p>
    <w:p w14:paraId="400A57AA" w14:textId="77777777" w:rsidR="00AC4A70" w:rsidRDefault="00AC4A70">
      <w:pPr>
        <w:spacing w:after="0"/>
        <w:ind w:left="1080"/>
        <w:jc w:val="both"/>
        <w:rPr>
          <w:sz w:val="24"/>
          <w:szCs w:val="24"/>
        </w:rPr>
      </w:pPr>
    </w:p>
    <w:p w14:paraId="67D1FAE2" w14:textId="77777777" w:rsidR="00AC4A70" w:rsidRDefault="00AC4A70">
      <w:pPr>
        <w:spacing w:after="0"/>
        <w:ind w:left="1080"/>
        <w:jc w:val="both"/>
        <w:rPr>
          <w:sz w:val="24"/>
          <w:szCs w:val="24"/>
        </w:rPr>
      </w:pPr>
    </w:p>
    <w:p w14:paraId="7D92A00A" w14:textId="77777777" w:rsidR="00AC4A70" w:rsidRDefault="00AC4A70">
      <w:pPr>
        <w:ind w:left="1080"/>
        <w:jc w:val="both"/>
        <w:rPr>
          <w:sz w:val="24"/>
          <w:szCs w:val="24"/>
        </w:rPr>
      </w:pPr>
    </w:p>
    <w:sectPr w:rsidR="00AC4A7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9BB9D8" w14:textId="77777777" w:rsidR="0056641A" w:rsidRDefault="0056641A">
      <w:pPr>
        <w:spacing w:after="0" w:line="240" w:lineRule="auto"/>
      </w:pPr>
      <w:r>
        <w:separator/>
      </w:r>
    </w:p>
  </w:endnote>
  <w:endnote w:type="continuationSeparator" w:id="0">
    <w:p w14:paraId="0A6FAD33" w14:textId="77777777" w:rsidR="0056641A" w:rsidRDefault="005664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757A02" w14:textId="77777777" w:rsidR="0056641A" w:rsidRDefault="0056641A">
      <w:pPr>
        <w:spacing w:after="0" w:line="240" w:lineRule="auto"/>
      </w:pPr>
      <w:r>
        <w:separator/>
      </w:r>
    </w:p>
  </w:footnote>
  <w:footnote w:type="continuationSeparator" w:id="0">
    <w:p w14:paraId="4DF2A0EF" w14:textId="77777777" w:rsidR="0056641A" w:rsidRDefault="0056641A">
      <w:pPr>
        <w:spacing w:after="0" w:line="240" w:lineRule="auto"/>
      </w:pPr>
      <w:r>
        <w:continuationSeparator/>
      </w:r>
    </w:p>
  </w:footnote>
  <w:footnote w:id="1">
    <w:p w14:paraId="646D2F32" w14:textId="77777777" w:rsidR="00091BA3" w:rsidRDefault="00091BA3">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http://www.popcouncil.org/uploads/pdfs/2013_CapturingDemoDivPak.pdf</w:t>
      </w:r>
    </w:p>
  </w:footnote>
  <w:footnote w:id="2">
    <w:p w14:paraId="4BB87F29" w14:textId="77777777" w:rsidR="00091BA3" w:rsidRDefault="00091BA3">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http://www.pakdiscussion.com/forum/showthread.php/45044-Demographic-dividend-or-disaster-Maleeha-Lodhi-23rd-October-2012</w:t>
      </w:r>
    </w:p>
  </w:footnote>
  <w:footnote w:id="3">
    <w:p w14:paraId="7FF3143E" w14:textId="77777777" w:rsidR="00091BA3" w:rsidRDefault="00091BA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Nine member organizations are part of the country platform of RHRN Pakistan: </w:t>
      </w:r>
      <w:proofErr w:type="spellStart"/>
      <w:r>
        <w:rPr>
          <w:color w:val="000000"/>
          <w:sz w:val="20"/>
          <w:szCs w:val="20"/>
        </w:rPr>
        <w:t>Rahnuma</w:t>
      </w:r>
      <w:proofErr w:type="spellEnd"/>
      <w:r>
        <w:rPr>
          <w:color w:val="000000"/>
          <w:sz w:val="20"/>
          <w:szCs w:val="20"/>
        </w:rPr>
        <w:t xml:space="preserve"> FPAP, </w:t>
      </w:r>
      <w:proofErr w:type="spellStart"/>
      <w:r>
        <w:rPr>
          <w:color w:val="000000"/>
          <w:sz w:val="20"/>
          <w:szCs w:val="20"/>
        </w:rPr>
        <w:t>Aahung</w:t>
      </w:r>
      <w:proofErr w:type="spellEnd"/>
      <w:r>
        <w:rPr>
          <w:color w:val="000000"/>
          <w:sz w:val="20"/>
          <w:szCs w:val="20"/>
        </w:rPr>
        <w:t xml:space="preserve">, Blue Veins, FDI, </w:t>
      </w:r>
      <w:proofErr w:type="spellStart"/>
      <w:r>
        <w:rPr>
          <w:color w:val="000000"/>
          <w:sz w:val="20"/>
          <w:szCs w:val="20"/>
        </w:rPr>
        <w:t>Bargad</w:t>
      </w:r>
      <w:proofErr w:type="spellEnd"/>
      <w:r>
        <w:rPr>
          <w:color w:val="000000"/>
          <w:sz w:val="20"/>
          <w:szCs w:val="20"/>
        </w:rPr>
        <w:t xml:space="preserve">, YAN, CDA, IRC and ITA. </w:t>
      </w:r>
    </w:p>
  </w:footnote>
  <w:footnote w:id="4">
    <w:p w14:paraId="2B5C9240" w14:textId="77777777" w:rsidR="00091BA3" w:rsidRDefault="00091BA3">
      <w:pPr>
        <w:spacing w:after="0"/>
        <w:rPr>
          <w:sz w:val="18"/>
          <w:szCs w:val="18"/>
        </w:rPr>
      </w:pPr>
      <w:r>
        <w:rPr>
          <w:rStyle w:val="FootnoteReference"/>
        </w:rPr>
        <w:footnoteRef/>
      </w:r>
      <w:r>
        <w:rPr>
          <w:sz w:val="18"/>
          <w:szCs w:val="18"/>
        </w:rPr>
        <w:t xml:space="preserve"> Situation assessment of adolescents for life skills and HIV prevention in selected districts of Pakistan. UNICEF 2006</w:t>
      </w:r>
    </w:p>
  </w:footnote>
  <w:footnote w:id="5">
    <w:p w14:paraId="19636151" w14:textId="77777777" w:rsidR="00091BA3" w:rsidRDefault="00091BA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Young </w:t>
      </w:r>
      <w:proofErr w:type="spellStart"/>
      <w:r>
        <w:rPr>
          <w:color w:val="000000"/>
          <w:sz w:val="20"/>
          <w:szCs w:val="20"/>
        </w:rPr>
        <w:t>Omang</w:t>
      </w:r>
      <w:proofErr w:type="spellEnd"/>
      <w:r>
        <w:rPr>
          <w:color w:val="000000"/>
          <w:sz w:val="20"/>
          <w:szCs w:val="20"/>
        </w:rPr>
        <w:t xml:space="preserve"> Alliance aims to be an effective voice for young people’s sexual and reproductive</w:t>
      </w:r>
    </w:p>
    <w:p w14:paraId="14991F85" w14:textId="77777777" w:rsidR="00091BA3" w:rsidRDefault="00091BA3">
      <w:pPr>
        <w:pBdr>
          <w:top w:val="nil"/>
          <w:left w:val="nil"/>
          <w:bottom w:val="nil"/>
          <w:right w:val="nil"/>
          <w:between w:val="nil"/>
        </w:pBdr>
        <w:spacing w:after="0" w:line="240" w:lineRule="auto"/>
        <w:rPr>
          <w:color w:val="000000"/>
          <w:sz w:val="20"/>
          <w:szCs w:val="20"/>
        </w:rPr>
      </w:pPr>
      <w:proofErr w:type="gramStart"/>
      <w:r>
        <w:rPr>
          <w:color w:val="000000"/>
          <w:sz w:val="20"/>
          <w:szCs w:val="20"/>
        </w:rPr>
        <w:t>health</w:t>
      </w:r>
      <w:proofErr w:type="gramEnd"/>
      <w:r>
        <w:rPr>
          <w:color w:val="000000"/>
          <w:sz w:val="20"/>
          <w:szCs w:val="20"/>
        </w:rPr>
        <w:t xml:space="preserve"> and rights (SRHR) in Pakistan. Keeping up with the country specific definition of youth the age for youth is defined as anyone under the age of 30.</w:t>
      </w:r>
    </w:p>
  </w:footnote>
  <w:footnote w:id="6">
    <w:p w14:paraId="515AE28B" w14:textId="77777777" w:rsidR="00091BA3" w:rsidRDefault="00091BA3">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http://www.childtrafficking.com/Docs/khan_2000__reproductive_hea.pdf</w:t>
      </w:r>
    </w:p>
  </w:footnote>
  <w:footnote w:id="7">
    <w:p w14:paraId="26B1D54D" w14:textId="77777777" w:rsidR="00091BA3" w:rsidRDefault="00091BA3">
      <w:pPr>
        <w:pBdr>
          <w:top w:val="nil"/>
          <w:left w:val="nil"/>
          <w:bottom w:val="nil"/>
          <w:right w:val="nil"/>
          <w:between w:val="nil"/>
        </w:pBdr>
        <w:spacing w:after="0" w:line="240" w:lineRule="auto"/>
        <w:rPr>
          <w:color w:val="000000"/>
          <w:sz w:val="18"/>
          <w:szCs w:val="18"/>
        </w:rPr>
      </w:pPr>
      <w:r>
        <w:rPr>
          <w:rStyle w:val="FootnoteReference"/>
        </w:rPr>
        <w:footnoteRef/>
      </w:r>
      <w:r>
        <w:rPr>
          <w:color w:val="000000"/>
          <w:sz w:val="18"/>
          <w:szCs w:val="18"/>
        </w:rPr>
        <w:t xml:space="preserve"> Ibid.</w:t>
      </w:r>
    </w:p>
  </w:footnote>
  <w:footnote w:id="8">
    <w:p w14:paraId="0F50A68B" w14:textId="77777777" w:rsidR="00091BA3" w:rsidRDefault="00091BA3">
      <w:pPr>
        <w:pBdr>
          <w:top w:val="nil"/>
          <w:left w:val="nil"/>
          <w:bottom w:val="nil"/>
          <w:right w:val="nil"/>
          <w:between w:val="nil"/>
        </w:pBdr>
        <w:shd w:val="clear" w:color="auto" w:fill="FFFFFF"/>
        <w:spacing w:before="120" w:after="120" w:line="240" w:lineRule="auto"/>
        <w:rPr>
          <w:rFonts w:ascii="Arial" w:eastAsia="Arial" w:hAnsi="Arial" w:cs="Arial"/>
          <w:color w:val="222222"/>
          <w:sz w:val="21"/>
          <w:szCs w:val="21"/>
        </w:rPr>
      </w:pPr>
      <w:r>
        <w:rPr>
          <w:rStyle w:val="FootnoteReference"/>
        </w:rPr>
        <w:footnoteRef/>
      </w:r>
      <w:r>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Hadood</w:t>
      </w:r>
      <w:proofErr w:type="spellEnd"/>
      <w:r>
        <w:rPr>
          <w:rFonts w:ascii="Times New Roman" w:eastAsia="Times New Roman" w:hAnsi="Times New Roman" w:cs="Times New Roman"/>
          <w:color w:val="000000"/>
          <w:sz w:val="24"/>
          <w:szCs w:val="24"/>
        </w:rPr>
        <w:t xml:space="preserve"> Ordinance:</w:t>
      </w:r>
      <w:r>
        <w:rPr>
          <w:rFonts w:ascii="Arial" w:eastAsia="Arial" w:hAnsi="Arial" w:cs="Arial"/>
          <w:color w:val="222222"/>
          <w:sz w:val="21"/>
          <w:szCs w:val="21"/>
        </w:rPr>
        <w:t xml:space="preserve"> The </w:t>
      </w:r>
      <w:proofErr w:type="spellStart"/>
      <w:r>
        <w:rPr>
          <w:rFonts w:ascii="Arial" w:eastAsia="Arial" w:hAnsi="Arial" w:cs="Arial"/>
          <w:color w:val="222222"/>
          <w:sz w:val="21"/>
          <w:szCs w:val="21"/>
        </w:rPr>
        <w:t>Hudood</w:t>
      </w:r>
      <w:proofErr w:type="spellEnd"/>
      <w:r>
        <w:rPr>
          <w:rFonts w:ascii="Arial" w:eastAsia="Arial" w:hAnsi="Arial" w:cs="Arial"/>
          <w:color w:val="222222"/>
          <w:sz w:val="21"/>
          <w:szCs w:val="21"/>
        </w:rPr>
        <w:t xml:space="preserve"> </w:t>
      </w:r>
      <w:proofErr w:type="spellStart"/>
      <w:r>
        <w:rPr>
          <w:rFonts w:ascii="Arial" w:eastAsia="Arial" w:hAnsi="Arial" w:cs="Arial"/>
          <w:color w:val="222222"/>
          <w:sz w:val="21"/>
          <w:szCs w:val="21"/>
        </w:rPr>
        <w:t>Ordinancesare</w:t>
      </w:r>
      <w:proofErr w:type="spellEnd"/>
      <w:r>
        <w:rPr>
          <w:rFonts w:ascii="Arial" w:eastAsia="Arial" w:hAnsi="Arial" w:cs="Arial"/>
          <w:color w:val="222222"/>
          <w:sz w:val="21"/>
          <w:szCs w:val="21"/>
        </w:rPr>
        <w:t xml:space="preserve"> laws in Pakistan that were enacted in 1979 as part of </w:t>
      </w:r>
      <w:proofErr w:type="spellStart"/>
      <w:r>
        <w:rPr>
          <w:rFonts w:ascii="Arial" w:eastAsia="Arial" w:hAnsi="Arial" w:cs="Arial"/>
          <w:color w:val="222222"/>
          <w:sz w:val="21"/>
          <w:szCs w:val="21"/>
        </w:rPr>
        <w:t>then</w:t>
      </w:r>
      <w:proofErr w:type="spellEnd"/>
      <w:r>
        <w:rPr>
          <w:rFonts w:ascii="Arial" w:eastAsia="Arial" w:hAnsi="Arial" w:cs="Arial"/>
          <w:color w:val="222222"/>
          <w:sz w:val="21"/>
          <w:szCs w:val="21"/>
        </w:rPr>
        <w:t xml:space="preserve"> military ruler </w:t>
      </w:r>
      <w:proofErr w:type="spellStart"/>
      <w:r>
        <w:rPr>
          <w:rFonts w:ascii="Arial" w:eastAsia="Arial" w:hAnsi="Arial" w:cs="Arial"/>
          <w:color w:val="222222"/>
          <w:sz w:val="21"/>
          <w:szCs w:val="21"/>
        </w:rPr>
        <w:t>Zai-ul-Haq’s</w:t>
      </w:r>
      <w:proofErr w:type="spellEnd"/>
      <w:r>
        <w:rPr>
          <w:rFonts w:ascii="Arial" w:eastAsia="Arial" w:hAnsi="Arial" w:cs="Arial"/>
          <w:color w:val="222222"/>
          <w:sz w:val="21"/>
          <w:szCs w:val="21"/>
        </w:rPr>
        <w:t xml:space="preserve"> </w:t>
      </w:r>
      <w:proofErr w:type="spellStart"/>
      <w:r>
        <w:rPr>
          <w:rFonts w:ascii="Arial" w:eastAsia="Arial" w:hAnsi="Arial" w:cs="Arial"/>
          <w:color w:val="222222"/>
          <w:sz w:val="21"/>
          <w:szCs w:val="21"/>
        </w:rPr>
        <w:t>Islamization</w:t>
      </w:r>
      <w:proofErr w:type="spellEnd"/>
      <w:r>
        <w:rPr>
          <w:rFonts w:ascii="Arial" w:eastAsia="Arial" w:hAnsi="Arial" w:cs="Arial"/>
          <w:color w:val="222222"/>
          <w:sz w:val="21"/>
          <w:szCs w:val="21"/>
        </w:rPr>
        <w:t> process. It replaced parts of the British-era Pakistan Penal Code, adding new criminal offences of adultery and fornication, and new punishments of whipping, amputation, and stoning to death. After much controversy and criticism parts of the law were extensively revised in 2006 by the Women’s Protection Bill.</w:t>
      </w:r>
    </w:p>
    <w:p w14:paraId="2411E57C" w14:textId="77777777" w:rsidR="00091BA3" w:rsidRDefault="00091BA3">
      <w:pPr>
        <w:pBdr>
          <w:top w:val="nil"/>
          <w:left w:val="nil"/>
          <w:bottom w:val="nil"/>
          <w:right w:val="nil"/>
          <w:between w:val="nil"/>
        </w:pBdr>
        <w:shd w:val="clear" w:color="auto" w:fill="FFFFFF"/>
        <w:spacing w:before="120" w:after="120" w:line="240" w:lineRule="auto"/>
        <w:rPr>
          <w:rFonts w:ascii="Arial" w:eastAsia="Arial" w:hAnsi="Arial" w:cs="Arial"/>
          <w:color w:val="222222"/>
          <w:sz w:val="21"/>
          <w:szCs w:val="21"/>
        </w:rPr>
      </w:pPr>
      <w:r>
        <w:rPr>
          <w:rFonts w:ascii="Arial" w:eastAsia="Arial" w:hAnsi="Arial" w:cs="Arial"/>
          <w:color w:val="222222"/>
          <w:sz w:val="21"/>
          <w:szCs w:val="21"/>
        </w:rPr>
        <w:t xml:space="preserve">The </w:t>
      </w:r>
      <w:proofErr w:type="spellStart"/>
      <w:r>
        <w:rPr>
          <w:rFonts w:ascii="Arial" w:eastAsia="Arial" w:hAnsi="Arial" w:cs="Arial"/>
          <w:color w:val="222222"/>
          <w:sz w:val="21"/>
          <w:szCs w:val="21"/>
        </w:rPr>
        <w:t>Hudood</w:t>
      </w:r>
      <w:proofErr w:type="spellEnd"/>
      <w:r>
        <w:rPr>
          <w:rFonts w:ascii="Arial" w:eastAsia="Arial" w:hAnsi="Arial" w:cs="Arial"/>
          <w:color w:val="222222"/>
          <w:sz w:val="21"/>
          <w:szCs w:val="21"/>
        </w:rPr>
        <w:t xml:space="preserve"> Law was intended to implement </w:t>
      </w:r>
      <w:proofErr w:type="spellStart"/>
      <w:r>
        <w:rPr>
          <w:rFonts w:ascii="Arial" w:eastAsia="Arial" w:hAnsi="Arial" w:cs="Arial"/>
          <w:color w:val="222222"/>
          <w:sz w:val="21"/>
          <w:szCs w:val="21"/>
        </w:rPr>
        <w:t>Shari’a</w:t>
      </w:r>
      <w:proofErr w:type="spellEnd"/>
      <w:r>
        <w:rPr>
          <w:rFonts w:ascii="Arial" w:eastAsia="Arial" w:hAnsi="Arial" w:cs="Arial"/>
          <w:color w:val="222222"/>
          <w:sz w:val="21"/>
          <w:szCs w:val="21"/>
        </w:rPr>
        <w:t xml:space="preserve"> law or bring Pakistani law into "conformity with the injunctions of Islam", by enforcing punishments mentioned in the Quran and </w:t>
      </w:r>
      <w:proofErr w:type="spellStart"/>
      <w:r>
        <w:rPr>
          <w:rFonts w:ascii="Arial" w:eastAsia="Arial" w:hAnsi="Arial" w:cs="Arial"/>
          <w:color w:val="222222"/>
          <w:sz w:val="21"/>
          <w:szCs w:val="21"/>
        </w:rPr>
        <w:t>sunnah</w:t>
      </w:r>
      <w:proofErr w:type="spellEnd"/>
      <w:r>
        <w:rPr>
          <w:rFonts w:ascii="Arial" w:eastAsia="Arial" w:hAnsi="Arial" w:cs="Arial"/>
          <w:color w:val="222222"/>
          <w:sz w:val="21"/>
          <w:szCs w:val="21"/>
        </w:rPr>
        <w:t xml:space="preserve"> for </w:t>
      </w:r>
      <w:proofErr w:type="spellStart"/>
      <w:r>
        <w:rPr>
          <w:rFonts w:ascii="Arial" w:eastAsia="Arial" w:hAnsi="Arial" w:cs="Arial"/>
          <w:color w:val="222222"/>
          <w:sz w:val="21"/>
          <w:szCs w:val="21"/>
        </w:rPr>
        <w:t>Zina</w:t>
      </w:r>
      <w:proofErr w:type="spellEnd"/>
      <w:r>
        <w:rPr>
          <w:rFonts w:ascii="Arial" w:eastAsia="Arial" w:hAnsi="Arial" w:cs="Arial"/>
          <w:color w:val="222222"/>
          <w:sz w:val="21"/>
          <w:szCs w:val="21"/>
        </w:rPr>
        <w:t xml:space="preserve"> (extramarital sex), </w:t>
      </w:r>
      <w:proofErr w:type="spellStart"/>
      <w:r>
        <w:rPr>
          <w:rFonts w:ascii="Arial" w:eastAsia="Arial" w:hAnsi="Arial" w:cs="Arial"/>
          <w:color w:val="222222"/>
          <w:sz w:val="21"/>
          <w:szCs w:val="21"/>
        </w:rPr>
        <w:t>qazf</w:t>
      </w:r>
      <w:proofErr w:type="spellEnd"/>
      <w:r>
        <w:rPr>
          <w:rFonts w:ascii="Arial" w:eastAsia="Arial" w:hAnsi="Arial" w:cs="Arial"/>
          <w:color w:val="222222"/>
          <w:sz w:val="21"/>
          <w:szCs w:val="21"/>
        </w:rPr>
        <w:t xml:space="preserve"> (false accusation of </w:t>
      </w:r>
      <w:proofErr w:type="spellStart"/>
      <w:r>
        <w:rPr>
          <w:rFonts w:ascii="Arial" w:eastAsia="Arial" w:hAnsi="Arial" w:cs="Arial"/>
          <w:color w:val="222222"/>
          <w:sz w:val="21"/>
          <w:szCs w:val="21"/>
        </w:rPr>
        <w:t>zina</w:t>
      </w:r>
      <w:proofErr w:type="spellEnd"/>
      <w:r>
        <w:rPr>
          <w:rFonts w:ascii="Arial" w:eastAsia="Arial" w:hAnsi="Arial" w:cs="Arial"/>
          <w:color w:val="222222"/>
          <w:sz w:val="21"/>
          <w:szCs w:val="21"/>
        </w:rPr>
        <w:t>), theft, and consumption of alcohol. The system provided for two kinds of offences — </w:t>
      </w:r>
      <w:proofErr w:type="spellStart"/>
      <w:r>
        <w:rPr>
          <w:rFonts w:ascii="Arial" w:eastAsia="Arial" w:hAnsi="Arial" w:cs="Arial"/>
          <w:i/>
          <w:color w:val="222222"/>
          <w:sz w:val="21"/>
          <w:szCs w:val="21"/>
        </w:rPr>
        <w:t>hadd</w:t>
      </w:r>
      <w:proofErr w:type="spellEnd"/>
      <w:r>
        <w:rPr>
          <w:rFonts w:ascii="Arial" w:eastAsia="Arial" w:hAnsi="Arial" w:cs="Arial"/>
          <w:color w:val="222222"/>
          <w:sz w:val="21"/>
          <w:szCs w:val="21"/>
        </w:rPr>
        <w:t> and </w:t>
      </w:r>
      <w:proofErr w:type="spellStart"/>
      <w:r>
        <w:rPr>
          <w:rFonts w:ascii="Arial" w:eastAsia="Arial" w:hAnsi="Arial" w:cs="Arial"/>
          <w:i/>
          <w:color w:val="222222"/>
          <w:sz w:val="21"/>
          <w:szCs w:val="21"/>
        </w:rPr>
        <w:t>tazir</w:t>
      </w:r>
      <w:proofErr w:type="spellEnd"/>
      <w:r>
        <w:rPr>
          <w:rFonts w:ascii="Arial" w:eastAsia="Arial" w:hAnsi="Arial" w:cs="Arial"/>
          <w:color w:val="222222"/>
          <w:sz w:val="21"/>
          <w:szCs w:val="21"/>
        </w:rPr>
        <w:t> — with different punishments to go with them. </w:t>
      </w:r>
      <w:proofErr w:type="spellStart"/>
      <w:r w:rsidR="0056641A">
        <w:fldChar w:fldCharType="begin"/>
      </w:r>
      <w:r w:rsidR="0056641A">
        <w:instrText xml:space="preserve"> HYPERLINK "https://en.wikipedia.org/wiki/Hadd" \h </w:instrText>
      </w:r>
      <w:r w:rsidR="0056641A">
        <w:fldChar w:fldCharType="separate"/>
      </w:r>
      <w:r>
        <w:rPr>
          <w:rFonts w:ascii="Arial" w:eastAsia="Arial" w:hAnsi="Arial" w:cs="Arial"/>
          <w:i/>
          <w:color w:val="0B0080"/>
          <w:sz w:val="21"/>
          <w:szCs w:val="21"/>
          <w:u w:val="single"/>
        </w:rPr>
        <w:t>Hadd</w:t>
      </w:r>
      <w:proofErr w:type="spellEnd"/>
      <w:r w:rsidR="0056641A">
        <w:rPr>
          <w:rFonts w:ascii="Arial" w:eastAsia="Arial" w:hAnsi="Arial" w:cs="Arial"/>
          <w:i/>
          <w:color w:val="0B0080"/>
          <w:sz w:val="21"/>
          <w:szCs w:val="21"/>
          <w:u w:val="single"/>
        </w:rPr>
        <w:fldChar w:fldCharType="end"/>
      </w:r>
      <w:r>
        <w:rPr>
          <w:rFonts w:ascii="Arial" w:eastAsia="Arial" w:hAnsi="Arial" w:cs="Arial"/>
          <w:color w:val="222222"/>
          <w:sz w:val="21"/>
          <w:szCs w:val="21"/>
        </w:rPr>
        <w:t xml:space="preserve"> offences (fixed punishment) require a higher standard of proof than </w:t>
      </w:r>
      <w:proofErr w:type="spellStart"/>
      <w:r>
        <w:rPr>
          <w:rFonts w:ascii="Arial" w:eastAsia="Arial" w:hAnsi="Arial" w:cs="Arial"/>
          <w:color w:val="222222"/>
          <w:sz w:val="21"/>
          <w:szCs w:val="21"/>
        </w:rPr>
        <w:t>tazir</w:t>
      </w:r>
      <w:proofErr w:type="spellEnd"/>
      <w:r>
        <w:rPr>
          <w:rFonts w:ascii="Arial" w:eastAsia="Arial" w:hAnsi="Arial" w:cs="Arial"/>
          <w:color w:val="222222"/>
          <w:sz w:val="21"/>
          <w:szCs w:val="21"/>
        </w:rPr>
        <w:t xml:space="preserve"> (discretionary punishment) and their punishments are more severe. </w:t>
      </w:r>
    </w:p>
    <w:p w14:paraId="5D9D885B" w14:textId="77777777" w:rsidR="00091BA3" w:rsidRDefault="00091BA3">
      <w:pPr>
        <w:pBdr>
          <w:top w:val="nil"/>
          <w:left w:val="nil"/>
          <w:bottom w:val="nil"/>
          <w:right w:val="nil"/>
          <w:between w:val="nil"/>
        </w:pBdr>
        <w:shd w:val="clear" w:color="auto" w:fill="FFFFFF"/>
        <w:spacing w:before="120" w:after="120" w:line="240" w:lineRule="auto"/>
        <w:rPr>
          <w:rFonts w:ascii="Arial" w:eastAsia="Arial" w:hAnsi="Arial" w:cs="Arial"/>
          <w:color w:val="222222"/>
          <w:sz w:val="21"/>
          <w:szCs w:val="21"/>
        </w:rPr>
      </w:pPr>
      <w:r>
        <w:rPr>
          <w:rFonts w:ascii="Arial" w:eastAsia="Arial" w:hAnsi="Arial" w:cs="Arial"/>
          <w:color w:val="222222"/>
          <w:sz w:val="21"/>
          <w:szCs w:val="21"/>
        </w:rPr>
        <w:t>The </w:t>
      </w:r>
      <w:proofErr w:type="spellStart"/>
      <w:r>
        <w:rPr>
          <w:rFonts w:ascii="Arial" w:eastAsia="Arial" w:hAnsi="Arial" w:cs="Arial"/>
          <w:i/>
          <w:color w:val="222222"/>
          <w:sz w:val="21"/>
          <w:szCs w:val="21"/>
        </w:rPr>
        <w:t>zina</w:t>
      </w:r>
      <w:proofErr w:type="spellEnd"/>
      <w:r>
        <w:rPr>
          <w:rFonts w:ascii="Arial" w:eastAsia="Arial" w:hAnsi="Arial" w:cs="Arial"/>
          <w:color w:val="222222"/>
          <w:sz w:val="21"/>
          <w:szCs w:val="21"/>
        </w:rPr>
        <w:t xml:space="preserve"> provisions of the law were particularly controversial and critics alleged that there were "hundreds of incidents where a woman subjected to rape, or even gang rape, was eventually accused of </w:t>
      </w:r>
      <w:proofErr w:type="spellStart"/>
      <w:r>
        <w:rPr>
          <w:rFonts w:ascii="Arial" w:eastAsia="Arial" w:hAnsi="Arial" w:cs="Arial"/>
          <w:color w:val="222222"/>
          <w:sz w:val="21"/>
          <w:szCs w:val="21"/>
        </w:rPr>
        <w:t>zina</w:t>
      </w:r>
      <w:proofErr w:type="spellEnd"/>
      <w:r>
        <w:rPr>
          <w:rFonts w:ascii="Arial" w:eastAsia="Arial" w:hAnsi="Arial" w:cs="Arial"/>
          <w:color w:val="222222"/>
          <w:sz w:val="21"/>
          <w:szCs w:val="21"/>
        </w:rPr>
        <w:t xml:space="preserve"> and incarcerated. Supporters defended the Ordinances' punishments as ordained by God and the law as the victim of "extremely unjust propaganda" in the media. </w:t>
      </w:r>
    </w:p>
    <w:p w14:paraId="7F8501BE" w14:textId="77777777" w:rsidR="00091BA3" w:rsidRDefault="00091BA3">
      <w:pPr>
        <w:shd w:val="clear" w:color="auto" w:fill="FFFFFF"/>
        <w:spacing w:before="120" w:after="120" w:line="240" w:lineRule="auto"/>
        <w:rPr>
          <w:rFonts w:ascii="Arial" w:eastAsia="Arial" w:hAnsi="Arial" w:cs="Arial"/>
          <w:color w:val="222222"/>
          <w:sz w:val="21"/>
          <w:szCs w:val="21"/>
        </w:rPr>
      </w:pPr>
      <w:r>
        <w:rPr>
          <w:rFonts w:ascii="Arial" w:eastAsia="Arial" w:hAnsi="Arial" w:cs="Arial"/>
          <w:color w:val="222222"/>
          <w:sz w:val="21"/>
          <w:szCs w:val="21"/>
        </w:rPr>
        <w:t xml:space="preserve">The Women Protection Bill returns a number of offenses from the </w:t>
      </w:r>
      <w:proofErr w:type="spellStart"/>
      <w:r>
        <w:rPr>
          <w:rFonts w:ascii="Arial" w:eastAsia="Arial" w:hAnsi="Arial" w:cs="Arial"/>
          <w:color w:val="222222"/>
          <w:sz w:val="21"/>
          <w:szCs w:val="21"/>
        </w:rPr>
        <w:t>Zina</w:t>
      </w:r>
      <w:proofErr w:type="spellEnd"/>
      <w:r>
        <w:rPr>
          <w:rFonts w:ascii="Arial" w:eastAsia="Arial" w:hAnsi="Arial" w:cs="Arial"/>
          <w:color w:val="222222"/>
          <w:sz w:val="21"/>
          <w:szCs w:val="21"/>
        </w:rPr>
        <w:t xml:space="preserve"> Ordinance to the Pakistan Penal Code, where they had been before 1979; since rape, unlike </w:t>
      </w:r>
      <w:proofErr w:type="spellStart"/>
      <w:r>
        <w:rPr>
          <w:rFonts w:ascii="Arial" w:eastAsia="Arial" w:hAnsi="Arial" w:cs="Arial"/>
          <w:i/>
          <w:color w:val="222222"/>
          <w:sz w:val="21"/>
          <w:szCs w:val="21"/>
        </w:rPr>
        <w:t>zina</w:t>
      </w:r>
      <w:proofErr w:type="spellEnd"/>
      <w:r>
        <w:rPr>
          <w:rFonts w:ascii="Arial" w:eastAsia="Arial" w:hAnsi="Arial" w:cs="Arial"/>
          <w:color w:val="222222"/>
          <w:sz w:val="21"/>
          <w:szCs w:val="21"/>
        </w:rPr>
        <w:t> and </w:t>
      </w:r>
      <w:proofErr w:type="spellStart"/>
      <w:r>
        <w:rPr>
          <w:rFonts w:ascii="Arial" w:eastAsia="Arial" w:hAnsi="Arial" w:cs="Arial"/>
          <w:i/>
          <w:color w:val="222222"/>
          <w:sz w:val="21"/>
          <w:szCs w:val="21"/>
        </w:rPr>
        <w:t>qazf</w:t>
      </w:r>
      <w:proofErr w:type="spellEnd"/>
      <w:r>
        <w:rPr>
          <w:rFonts w:ascii="Arial" w:eastAsia="Arial" w:hAnsi="Arial" w:cs="Arial"/>
          <w:color w:val="222222"/>
          <w:sz w:val="21"/>
          <w:szCs w:val="21"/>
        </w:rPr>
        <w:t xml:space="preserve">, is not mentioned in the Quran, rape is now excluded from Islamic criminal law. </w:t>
      </w:r>
      <w:proofErr w:type="gramStart"/>
      <w:r>
        <w:rPr>
          <w:rFonts w:ascii="Arial" w:eastAsia="Arial" w:hAnsi="Arial" w:cs="Arial"/>
          <w:color w:val="222222"/>
          <w:sz w:val="21"/>
          <w:szCs w:val="21"/>
        </w:rPr>
        <w:t>reformulates</w:t>
      </w:r>
      <w:proofErr w:type="gramEnd"/>
      <w:r>
        <w:rPr>
          <w:rFonts w:ascii="Arial" w:eastAsia="Arial" w:hAnsi="Arial" w:cs="Arial"/>
          <w:color w:val="222222"/>
          <w:sz w:val="21"/>
          <w:szCs w:val="21"/>
        </w:rPr>
        <w:t xml:space="preserve"> and redefines the offenses of </w:t>
      </w:r>
      <w:proofErr w:type="spellStart"/>
      <w:r>
        <w:rPr>
          <w:rFonts w:ascii="Arial" w:eastAsia="Arial" w:hAnsi="Arial" w:cs="Arial"/>
          <w:i/>
          <w:color w:val="222222"/>
          <w:sz w:val="21"/>
          <w:szCs w:val="21"/>
        </w:rPr>
        <w:t>zina</w:t>
      </w:r>
      <w:proofErr w:type="spellEnd"/>
      <w:r>
        <w:rPr>
          <w:rFonts w:ascii="Arial" w:eastAsia="Arial" w:hAnsi="Arial" w:cs="Arial"/>
          <w:color w:val="222222"/>
          <w:sz w:val="21"/>
          <w:szCs w:val="21"/>
        </w:rPr>
        <w:t> and </w:t>
      </w:r>
      <w:proofErr w:type="spellStart"/>
      <w:r>
        <w:rPr>
          <w:rFonts w:ascii="Arial" w:eastAsia="Arial" w:hAnsi="Arial" w:cs="Arial"/>
          <w:i/>
          <w:color w:val="222222"/>
          <w:sz w:val="21"/>
          <w:szCs w:val="21"/>
        </w:rPr>
        <w:t>qazf</w:t>
      </w:r>
      <w:proofErr w:type="spellEnd"/>
      <w:r>
        <w:rPr>
          <w:rFonts w:ascii="Arial" w:eastAsia="Arial" w:hAnsi="Arial" w:cs="Arial"/>
          <w:color w:val="222222"/>
          <w:sz w:val="21"/>
          <w:szCs w:val="21"/>
        </w:rPr>
        <w:t> (the wrongful accusation of </w:t>
      </w:r>
      <w:proofErr w:type="spellStart"/>
      <w:r>
        <w:rPr>
          <w:rFonts w:ascii="Arial" w:eastAsia="Arial" w:hAnsi="Arial" w:cs="Arial"/>
          <w:i/>
          <w:color w:val="222222"/>
          <w:sz w:val="21"/>
          <w:szCs w:val="21"/>
        </w:rPr>
        <w:t>zina</w:t>
      </w:r>
      <w:proofErr w:type="spellEnd"/>
      <w:r>
        <w:rPr>
          <w:rFonts w:ascii="Arial" w:eastAsia="Arial" w:hAnsi="Arial" w:cs="Arial"/>
          <w:color w:val="222222"/>
          <w:sz w:val="21"/>
          <w:szCs w:val="21"/>
        </w:rPr>
        <w:t>); no complaint of adultery or rape can be converted into one of fornication.</w:t>
      </w:r>
    </w:p>
    <w:p w14:paraId="2CA0CB70" w14:textId="77777777" w:rsidR="00091BA3" w:rsidRDefault="00091BA3">
      <w:pPr>
        <w:pBdr>
          <w:top w:val="nil"/>
          <w:left w:val="nil"/>
          <w:bottom w:val="nil"/>
          <w:right w:val="nil"/>
          <w:between w:val="nil"/>
        </w:pBdr>
        <w:spacing w:after="0" w:line="240" w:lineRule="auto"/>
        <w:rPr>
          <w:color w:val="000000"/>
          <w:sz w:val="20"/>
          <w:szCs w:val="20"/>
        </w:rPr>
      </w:pPr>
    </w:p>
  </w:footnote>
  <w:footnote w:id="9">
    <w:p w14:paraId="2FA95371" w14:textId="77777777" w:rsidR="00091BA3" w:rsidRDefault="00091BA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Karo</w:t>
      </w:r>
      <w:proofErr w:type="spellEnd"/>
      <w:r>
        <w:rPr>
          <w:color w:val="000000"/>
          <w:sz w:val="20"/>
          <w:szCs w:val="20"/>
        </w:rPr>
        <w:t xml:space="preserve"> Kari:  </w:t>
      </w:r>
      <w:proofErr w:type="spellStart"/>
      <w:r>
        <w:rPr>
          <w:rFonts w:ascii="Arial" w:eastAsia="Arial" w:hAnsi="Arial" w:cs="Arial"/>
          <w:color w:val="000000"/>
          <w:sz w:val="20"/>
          <w:szCs w:val="20"/>
          <w:highlight w:val="white"/>
        </w:rPr>
        <w:t>Karo</w:t>
      </w:r>
      <w:proofErr w:type="spellEnd"/>
      <w:r>
        <w:rPr>
          <w:rFonts w:ascii="Arial" w:eastAsia="Arial" w:hAnsi="Arial" w:cs="Arial"/>
          <w:color w:val="000000"/>
          <w:sz w:val="20"/>
          <w:szCs w:val="20"/>
          <w:highlight w:val="white"/>
        </w:rPr>
        <w:t xml:space="preserve">-Kari is a type of premeditated </w:t>
      </w:r>
      <w:proofErr w:type="spellStart"/>
      <w:r>
        <w:rPr>
          <w:rFonts w:ascii="Arial" w:eastAsia="Arial" w:hAnsi="Arial" w:cs="Arial"/>
          <w:color w:val="000000"/>
          <w:sz w:val="20"/>
          <w:szCs w:val="20"/>
          <w:highlight w:val="white"/>
        </w:rPr>
        <w:t>honour</w:t>
      </w:r>
      <w:proofErr w:type="spellEnd"/>
      <w:r>
        <w:rPr>
          <w:rFonts w:ascii="Arial" w:eastAsia="Arial" w:hAnsi="Arial" w:cs="Arial"/>
          <w:color w:val="000000"/>
          <w:sz w:val="20"/>
          <w:szCs w:val="20"/>
          <w:highlight w:val="white"/>
        </w:rPr>
        <w:t xml:space="preserve"> killing. The homicidal acts are primarily committed against women who are thought to have brought </w:t>
      </w:r>
      <w:proofErr w:type="spellStart"/>
      <w:r>
        <w:rPr>
          <w:rFonts w:ascii="Arial" w:eastAsia="Arial" w:hAnsi="Arial" w:cs="Arial"/>
          <w:color w:val="000000"/>
          <w:sz w:val="20"/>
          <w:szCs w:val="20"/>
          <w:highlight w:val="white"/>
        </w:rPr>
        <w:t>dishonour</w:t>
      </w:r>
      <w:proofErr w:type="spellEnd"/>
      <w:r>
        <w:rPr>
          <w:rFonts w:ascii="Arial" w:eastAsia="Arial" w:hAnsi="Arial" w:cs="Arial"/>
          <w:color w:val="000000"/>
          <w:sz w:val="20"/>
          <w:szCs w:val="20"/>
          <w:highlight w:val="white"/>
        </w:rPr>
        <w:t xml:space="preserve"> to their family by engaging in illicit pre-marital or extra-marital relations. In order to restore this </w:t>
      </w:r>
      <w:proofErr w:type="spellStart"/>
      <w:r>
        <w:rPr>
          <w:rFonts w:ascii="Arial" w:eastAsia="Arial" w:hAnsi="Arial" w:cs="Arial"/>
          <w:color w:val="000000"/>
          <w:sz w:val="20"/>
          <w:szCs w:val="20"/>
          <w:highlight w:val="white"/>
        </w:rPr>
        <w:t>honour</w:t>
      </w:r>
      <w:proofErr w:type="spellEnd"/>
      <w:r>
        <w:rPr>
          <w:rFonts w:ascii="Arial" w:eastAsia="Arial" w:hAnsi="Arial" w:cs="Arial"/>
          <w:color w:val="000000"/>
          <w:sz w:val="20"/>
          <w:szCs w:val="20"/>
          <w:highlight w:val="white"/>
        </w:rPr>
        <w:t xml:space="preserve">, a male family member must kill the female in question. The custom exists in all provinces under different names. In Sindh it is called </w:t>
      </w:r>
      <w:proofErr w:type="spellStart"/>
      <w:r>
        <w:rPr>
          <w:rFonts w:ascii="Arial" w:eastAsia="Arial" w:hAnsi="Arial" w:cs="Arial"/>
          <w:color w:val="000000"/>
          <w:sz w:val="20"/>
          <w:szCs w:val="20"/>
          <w:highlight w:val="white"/>
        </w:rPr>
        <w:t>Karo</w:t>
      </w:r>
      <w:proofErr w:type="spellEnd"/>
      <w:r>
        <w:rPr>
          <w:rFonts w:ascii="Arial" w:eastAsia="Arial" w:hAnsi="Arial" w:cs="Arial"/>
          <w:color w:val="000000"/>
          <w:sz w:val="20"/>
          <w:szCs w:val="20"/>
          <w:highlight w:val="white"/>
        </w:rPr>
        <w:t xml:space="preserve"> Kari, in Balochistan </w:t>
      </w:r>
      <w:proofErr w:type="spellStart"/>
      <w:r>
        <w:rPr>
          <w:rFonts w:ascii="Arial" w:eastAsia="Arial" w:hAnsi="Arial" w:cs="Arial"/>
          <w:color w:val="000000"/>
          <w:sz w:val="20"/>
          <w:szCs w:val="20"/>
          <w:highlight w:val="white"/>
        </w:rPr>
        <w:t>Siyahkari</w:t>
      </w:r>
      <w:proofErr w:type="spellEnd"/>
      <w:r>
        <w:rPr>
          <w:rFonts w:ascii="Arial" w:eastAsia="Arial" w:hAnsi="Arial" w:cs="Arial"/>
          <w:color w:val="000000"/>
          <w:sz w:val="20"/>
          <w:szCs w:val="20"/>
          <w:highlight w:val="white"/>
        </w:rPr>
        <w:t xml:space="preserve"> in KP </w:t>
      </w:r>
      <w:proofErr w:type="spellStart"/>
      <w:r>
        <w:rPr>
          <w:rFonts w:ascii="Arial" w:eastAsia="Arial" w:hAnsi="Arial" w:cs="Arial"/>
          <w:color w:val="000000"/>
          <w:sz w:val="20"/>
          <w:szCs w:val="20"/>
          <w:highlight w:val="white"/>
        </w:rPr>
        <w:t>Kor</w:t>
      </w:r>
      <w:proofErr w:type="spellEnd"/>
      <w:r>
        <w:rPr>
          <w:rFonts w:ascii="Arial" w:eastAsia="Arial" w:hAnsi="Arial" w:cs="Arial"/>
          <w:color w:val="000000"/>
          <w:sz w:val="20"/>
          <w:szCs w:val="20"/>
          <w:highlight w:val="white"/>
        </w:rPr>
        <w:t xml:space="preserve"> </w:t>
      </w:r>
      <w:proofErr w:type="spellStart"/>
      <w:r>
        <w:rPr>
          <w:rFonts w:ascii="Arial" w:eastAsia="Arial" w:hAnsi="Arial" w:cs="Arial"/>
          <w:color w:val="000000"/>
          <w:sz w:val="20"/>
          <w:szCs w:val="20"/>
          <w:highlight w:val="white"/>
        </w:rPr>
        <w:t>Kora</w:t>
      </w:r>
      <w:proofErr w:type="spellEnd"/>
      <w:r>
        <w:rPr>
          <w:rFonts w:ascii="Arial" w:eastAsia="Arial" w:hAnsi="Arial" w:cs="Arial"/>
          <w:color w:val="000000"/>
          <w:sz w:val="20"/>
          <w:szCs w:val="20"/>
          <w:highlight w:val="white"/>
        </w:rPr>
        <w:t xml:space="preserve"> and in Punjab Kala Kali. </w:t>
      </w:r>
    </w:p>
  </w:footnote>
  <w:footnote w:id="10">
    <w:p w14:paraId="0DF2E208" w14:textId="77777777" w:rsidR="00091BA3" w:rsidRDefault="00091BA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Section 377.</w:t>
      </w:r>
      <w:r>
        <w:rPr>
          <w:color w:val="000000"/>
          <w:sz w:val="20"/>
          <w:szCs w:val="20"/>
        </w:rPr>
        <w:tab/>
        <w:t>Unnatural offences: Whoever voluntarily has carnal intercourse against the order of nature with any man, woman or animal, shall be punished with imprisonment for life, or with imprisonment of either description for a term which shall not be less than two years nor more than ten years, and shall also be liable to fine. Explanation: Penetration is sufficient to constitute the carnal intercourse necessary to the offence described in this section.</w:t>
      </w:r>
    </w:p>
    <w:p w14:paraId="39D6076D" w14:textId="77777777" w:rsidR="00091BA3" w:rsidRDefault="00091BA3">
      <w:pPr>
        <w:pBdr>
          <w:top w:val="nil"/>
          <w:left w:val="nil"/>
          <w:bottom w:val="nil"/>
          <w:right w:val="nil"/>
          <w:between w:val="nil"/>
        </w:pBdr>
        <w:spacing w:after="0" w:line="240" w:lineRule="auto"/>
        <w:rPr>
          <w:color w:val="000000"/>
          <w:sz w:val="20"/>
          <w:szCs w:val="20"/>
        </w:rPr>
      </w:pPr>
    </w:p>
  </w:footnote>
  <w:footnote w:id="11">
    <w:p w14:paraId="62E7B51D" w14:textId="77777777" w:rsidR="00091BA3" w:rsidRDefault="00091BA3">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Induced abortions and unintended pregnancies in Pakistan 2012 by Population Council Pakistan.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E6FE4"/>
    <w:multiLevelType w:val="multilevel"/>
    <w:tmpl w:val="BF2A5C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6CC49E3"/>
    <w:multiLevelType w:val="multilevel"/>
    <w:tmpl w:val="BA9212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1A333F6D"/>
    <w:multiLevelType w:val="multilevel"/>
    <w:tmpl w:val="E95E3B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1F8F5A72"/>
    <w:multiLevelType w:val="multilevel"/>
    <w:tmpl w:val="1BCEF19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nsid w:val="23204808"/>
    <w:multiLevelType w:val="multilevel"/>
    <w:tmpl w:val="3342CA8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nsid w:val="40D021B7"/>
    <w:multiLevelType w:val="multilevel"/>
    <w:tmpl w:val="263885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3"/>
  </w:num>
  <w:num w:numId="3">
    <w:abstractNumId w:val="4"/>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A70"/>
    <w:rsid w:val="00091BA3"/>
    <w:rsid w:val="001A388E"/>
    <w:rsid w:val="001C04AF"/>
    <w:rsid w:val="00305D40"/>
    <w:rsid w:val="004510E6"/>
    <w:rsid w:val="0056641A"/>
    <w:rsid w:val="0063795D"/>
    <w:rsid w:val="00804DC4"/>
    <w:rsid w:val="008655FF"/>
    <w:rsid w:val="00AC4A70"/>
    <w:rsid w:val="00AD69C7"/>
    <w:rsid w:val="00BE4FF9"/>
    <w:rsid w:val="00C236D5"/>
    <w:rsid w:val="00D410C2"/>
    <w:rsid w:val="00E54147"/>
    <w:rsid w:val="00F65D6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81218A"/>
  <w15:docId w15:val="{47CD2EE6-3B84-4226-8752-439E43C18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824B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1"/>
    <w:next w:val="Normal1"/>
    <w:pPr>
      <w:keepNext/>
      <w:keepLines/>
      <w:spacing w:before="280" w:after="80"/>
      <w:outlineLvl w:val="2"/>
    </w:pPr>
    <w:rPr>
      <w:b/>
      <w:sz w:val="28"/>
      <w:szCs w:val="28"/>
    </w:rPr>
  </w:style>
  <w:style w:type="paragraph" w:styleId="Heading4">
    <w:name w:val="heading 4"/>
    <w:basedOn w:val="Normal1"/>
    <w:next w:val="Normal1"/>
    <w:pPr>
      <w:keepNext/>
      <w:keepLines/>
      <w:spacing w:before="240" w:after="40"/>
      <w:outlineLvl w:val="3"/>
    </w:pPr>
    <w:rPr>
      <w:b/>
      <w:sz w:val="24"/>
      <w:szCs w:val="24"/>
    </w:rPr>
  </w:style>
  <w:style w:type="paragraph" w:styleId="Heading5">
    <w:name w:val="heading 5"/>
    <w:basedOn w:val="Normal1"/>
    <w:next w:val="Normal1"/>
    <w:pPr>
      <w:keepNext/>
      <w:keepLines/>
      <w:spacing w:before="220" w:after="40"/>
      <w:outlineLvl w:val="4"/>
    </w:pPr>
    <w:rPr>
      <w:b/>
    </w:rPr>
  </w:style>
  <w:style w:type="paragraph" w:styleId="Heading6">
    <w:name w:val="heading 6"/>
    <w:basedOn w:val="Normal1"/>
    <w:next w:val="Normal1"/>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pPr>
    <w:rPr>
      <w:b/>
      <w:sz w:val="72"/>
      <w:szCs w:val="72"/>
    </w:rPr>
  </w:style>
  <w:style w:type="paragraph" w:styleId="BalloonText">
    <w:name w:val="Balloon Text"/>
    <w:basedOn w:val="Normal"/>
    <w:link w:val="BalloonTextChar"/>
    <w:uiPriority w:val="99"/>
    <w:semiHidden/>
    <w:unhideWhenUsed/>
    <w:rsid w:val="00BC41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199"/>
    <w:rPr>
      <w:rFonts w:ascii="Segoe UI" w:hAnsi="Segoe UI" w:cs="Segoe UI"/>
      <w:sz w:val="18"/>
      <w:szCs w:val="18"/>
    </w:rPr>
  </w:style>
  <w:style w:type="paragraph" w:styleId="FootnoteText">
    <w:name w:val="footnote text"/>
    <w:basedOn w:val="Normal"/>
    <w:link w:val="FootnoteTextChar"/>
    <w:uiPriority w:val="99"/>
    <w:unhideWhenUsed/>
    <w:rsid w:val="00B023BE"/>
    <w:pPr>
      <w:spacing w:after="0" w:line="240" w:lineRule="auto"/>
    </w:pPr>
    <w:rPr>
      <w:sz w:val="20"/>
      <w:szCs w:val="20"/>
    </w:rPr>
  </w:style>
  <w:style w:type="character" w:customStyle="1" w:styleId="FootnoteTextChar">
    <w:name w:val="Footnote Text Char"/>
    <w:basedOn w:val="DefaultParagraphFont"/>
    <w:link w:val="FootnoteText"/>
    <w:uiPriority w:val="99"/>
    <w:rsid w:val="00B023BE"/>
    <w:rPr>
      <w:sz w:val="20"/>
      <w:szCs w:val="20"/>
    </w:rPr>
  </w:style>
  <w:style w:type="paragraph" w:styleId="EndnoteText">
    <w:name w:val="endnote text"/>
    <w:basedOn w:val="Normal"/>
    <w:link w:val="EndnoteTextChar"/>
    <w:uiPriority w:val="99"/>
    <w:semiHidden/>
    <w:unhideWhenUsed/>
    <w:rsid w:val="00B023B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23BE"/>
    <w:rPr>
      <w:sz w:val="20"/>
      <w:szCs w:val="20"/>
    </w:rPr>
  </w:style>
  <w:style w:type="character" w:styleId="FootnoteReference">
    <w:name w:val="footnote reference"/>
    <w:uiPriority w:val="99"/>
    <w:unhideWhenUsed/>
    <w:rsid w:val="00B023BE"/>
    <w:rPr>
      <w:vertAlign w:val="superscript"/>
    </w:rPr>
  </w:style>
  <w:style w:type="paragraph" w:customStyle="1" w:styleId="Normal10">
    <w:name w:val="Normal1"/>
    <w:rsid w:val="00B023BE"/>
    <w:pPr>
      <w:spacing w:after="0" w:line="276" w:lineRule="auto"/>
    </w:pPr>
    <w:rPr>
      <w:rFonts w:ascii="Arial" w:eastAsia="Arial" w:hAnsi="Arial" w:cs="Arial"/>
      <w:color w:val="000000"/>
    </w:rPr>
  </w:style>
  <w:style w:type="character" w:styleId="EndnoteReference">
    <w:name w:val="endnote reference"/>
    <w:uiPriority w:val="99"/>
    <w:semiHidden/>
    <w:unhideWhenUsed/>
    <w:rsid w:val="00B023BE"/>
    <w:rPr>
      <w:vertAlign w:val="superscript"/>
    </w:rPr>
  </w:style>
  <w:style w:type="paragraph" w:styleId="ListParagraph">
    <w:name w:val="List Paragraph"/>
    <w:basedOn w:val="Normal"/>
    <w:uiPriority w:val="34"/>
    <w:qFormat/>
    <w:rsid w:val="00082C96"/>
    <w:pPr>
      <w:ind w:left="720"/>
      <w:contextualSpacing/>
    </w:pPr>
  </w:style>
  <w:style w:type="character" w:styleId="CommentReference">
    <w:name w:val="annotation reference"/>
    <w:basedOn w:val="DefaultParagraphFont"/>
    <w:uiPriority w:val="99"/>
    <w:semiHidden/>
    <w:unhideWhenUsed/>
    <w:rsid w:val="00875999"/>
    <w:rPr>
      <w:sz w:val="16"/>
      <w:szCs w:val="16"/>
    </w:rPr>
  </w:style>
  <w:style w:type="paragraph" w:styleId="CommentText">
    <w:name w:val="annotation text"/>
    <w:basedOn w:val="Normal"/>
    <w:link w:val="CommentTextChar"/>
    <w:uiPriority w:val="99"/>
    <w:semiHidden/>
    <w:unhideWhenUsed/>
    <w:rsid w:val="00875999"/>
    <w:pPr>
      <w:spacing w:line="240" w:lineRule="auto"/>
    </w:pPr>
    <w:rPr>
      <w:sz w:val="20"/>
      <w:szCs w:val="20"/>
    </w:rPr>
  </w:style>
  <w:style w:type="character" w:customStyle="1" w:styleId="CommentTextChar">
    <w:name w:val="Comment Text Char"/>
    <w:basedOn w:val="DefaultParagraphFont"/>
    <w:link w:val="CommentText"/>
    <w:uiPriority w:val="99"/>
    <w:semiHidden/>
    <w:rsid w:val="00875999"/>
    <w:rPr>
      <w:sz w:val="20"/>
      <w:szCs w:val="20"/>
    </w:rPr>
  </w:style>
  <w:style w:type="paragraph" w:styleId="CommentSubject">
    <w:name w:val="annotation subject"/>
    <w:basedOn w:val="CommentText"/>
    <w:next w:val="CommentText"/>
    <w:link w:val="CommentSubjectChar"/>
    <w:uiPriority w:val="99"/>
    <w:semiHidden/>
    <w:unhideWhenUsed/>
    <w:rsid w:val="00875999"/>
    <w:rPr>
      <w:b/>
      <w:bCs/>
    </w:rPr>
  </w:style>
  <w:style w:type="character" w:customStyle="1" w:styleId="CommentSubjectChar">
    <w:name w:val="Comment Subject Char"/>
    <w:basedOn w:val="CommentTextChar"/>
    <w:link w:val="CommentSubject"/>
    <w:uiPriority w:val="99"/>
    <w:semiHidden/>
    <w:rsid w:val="00875999"/>
    <w:rPr>
      <w:b/>
      <w:bCs/>
      <w:sz w:val="20"/>
      <w:szCs w:val="20"/>
    </w:rPr>
  </w:style>
  <w:style w:type="character" w:customStyle="1" w:styleId="Heading2Char">
    <w:name w:val="Heading 2 Char"/>
    <w:basedOn w:val="DefaultParagraphFont"/>
    <w:link w:val="Heading2"/>
    <w:uiPriority w:val="9"/>
    <w:rsid w:val="00824B8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86486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64861"/>
    <w:rPr>
      <w:color w:val="0000FF"/>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73EA21-3DA2-4784-8E3E-96F8254705FC}"/>
</file>

<file path=customXml/itemProps2.xml><?xml version="1.0" encoding="utf-8"?>
<ds:datastoreItem xmlns:ds="http://schemas.openxmlformats.org/officeDocument/2006/customXml" ds:itemID="{99AC59FE-27FC-4421-B9DF-B5C892596005}"/>
</file>

<file path=customXml/itemProps3.xml><?xml version="1.0" encoding="utf-8"?>
<ds:datastoreItem xmlns:ds="http://schemas.openxmlformats.org/officeDocument/2006/customXml" ds:itemID="{D6EA915F-95AD-404B-B3B9-944FE04733D3}"/>
</file>

<file path=docProps/app.xml><?xml version="1.0" encoding="utf-8"?>
<Properties xmlns="http://schemas.openxmlformats.org/officeDocument/2006/extended-properties" xmlns:vt="http://schemas.openxmlformats.org/officeDocument/2006/docPropsVTypes">
  <Template>Normal</Template>
  <TotalTime>1</TotalTime>
  <Pages>16</Pages>
  <Words>4012</Words>
  <Characters>22870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Menstrual Matters</Company>
  <LinksUpToDate>false</LinksUpToDate>
  <CharactersWithSpaces>26829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Nabila  Zar Malick</dc:creator>
  <cp:lastModifiedBy>personal</cp:lastModifiedBy>
  <cp:revision>2</cp:revision>
  <dcterms:created xsi:type="dcterms:W3CDTF">2020-01-13T17:45:00Z</dcterms:created>
  <dcterms:modified xsi:type="dcterms:W3CDTF">2020-01-13T17:45:00Z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