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B0FB4" w14:textId="77777777" w:rsidR="00FC09DF" w:rsidRDefault="00FC09DF">
      <w:pPr>
        <w:pStyle w:val="Heading1"/>
        <w:tabs>
          <w:tab w:val="left" w:pos="-142"/>
        </w:tabs>
        <w:spacing w:before="240" w:after="240"/>
        <w:ind w:right="-93"/>
        <w:jc w:val="center"/>
        <w:rPr>
          <w:sz w:val="24"/>
          <w:szCs w:val="24"/>
        </w:rPr>
      </w:pPr>
    </w:p>
    <w:p w14:paraId="25265C69" w14:textId="77777777" w:rsidR="00FC09DF" w:rsidRDefault="00FC09DF">
      <w:pPr>
        <w:pStyle w:val="Heading1"/>
        <w:tabs>
          <w:tab w:val="left" w:pos="-142"/>
        </w:tabs>
        <w:spacing w:before="240" w:after="240"/>
        <w:ind w:right="-93"/>
        <w:jc w:val="center"/>
        <w:rPr>
          <w:sz w:val="24"/>
          <w:szCs w:val="24"/>
        </w:rPr>
      </w:pPr>
    </w:p>
    <w:p w14:paraId="4BB3F0D3" w14:textId="77777777" w:rsidR="00FC09DF" w:rsidRDefault="00FC09DF">
      <w:pPr>
        <w:pStyle w:val="Heading1"/>
        <w:tabs>
          <w:tab w:val="left" w:pos="-142"/>
        </w:tabs>
        <w:spacing w:before="240" w:after="240"/>
        <w:ind w:right="-93"/>
        <w:jc w:val="center"/>
        <w:rPr>
          <w:sz w:val="24"/>
          <w:szCs w:val="24"/>
        </w:rPr>
      </w:pPr>
    </w:p>
    <w:p w14:paraId="512AAFD5" w14:textId="77777777" w:rsidR="00FC09DF" w:rsidRDefault="00FC09DF">
      <w:pPr>
        <w:pStyle w:val="Heading1"/>
        <w:tabs>
          <w:tab w:val="left" w:pos="-142"/>
        </w:tabs>
        <w:spacing w:before="240" w:after="240"/>
        <w:ind w:right="-93"/>
        <w:jc w:val="center"/>
        <w:rPr>
          <w:sz w:val="24"/>
          <w:szCs w:val="24"/>
        </w:rPr>
      </w:pPr>
    </w:p>
    <w:p w14:paraId="6DA86EC5" w14:textId="77777777" w:rsidR="00FC09DF" w:rsidRDefault="00FC09DF">
      <w:pPr>
        <w:pStyle w:val="Heading1"/>
        <w:tabs>
          <w:tab w:val="left" w:pos="-142"/>
        </w:tabs>
        <w:spacing w:before="240" w:after="240"/>
        <w:ind w:right="-93"/>
        <w:jc w:val="center"/>
        <w:rPr>
          <w:sz w:val="24"/>
          <w:szCs w:val="24"/>
        </w:rPr>
      </w:pPr>
    </w:p>
    <w:p w14:paraId="71AE6716" w14:textId="77777777" w:rsidR="00FC09DF" w:rsidRDefault="00A072DD">
      <w:pPr>
        <w:pStyle w:val="Heading1"/>
        <w:tabs>
          <w:tab w:val="left" w:pos="-142"/>
        </w:tabs>
        <w:spacing w:before="240" w:after="240"/>
        <w:ind w:right="-93"/>
        <w:jc w:val="center"/>
        <w:rPr>
          <w:sz w:val="24"/>
          <w:szCs w:val="24"/>
        </w:rPr>
      </w:pPr>
      <w:r>
        <w:rPr>
          <w:sz w:val="24"/>
          <w:szCs w:val="24"/>
        </w:rPr>
        <w:t>Apropiación de niñas, niños y adolescentes, sustitución de identidad, documentos de viaje, salud pública y migración</w:t>
      </w:r>
    </w:p>
    <w:p w14:paraId="4AB5AA02" w14:textId="77777777" w:rsidR="00FC09DF" w:rsidRDefault="00A072DD">
      <w:pPr>
        <w:pStyle w:val="Heading1"/>
        <w:tabs>
          <w:tab w:val="left" w:pos="-142"/>
        </w:tabs>
        <w:spacing w:before="240" w:after="240"/>
        <w:ind w:right="-93"/>
        <w:jc w:val="center"/>
        <w:rPr>
          <w:sz w:val="24"/>
          <w:szCs w:val="24"/>
        </w:rPr>
      </w:pPr>
      <w:r>
        <w:rPr>
          <w:sz w:val="24"/>
          <w:szCs w:val="24"/>
        </w:rPr>
        <w:t>(Observación 35 del Comité contra la Desaparición Forzada)</w:t>
      </w:r>
    </w:p>
    <w:p w14:paraId="3647E1AC" w14:textId="77777777" w:rsidR="00FC09DF" w:rsidRDefault="00A072DD">
      <w:pPr>
        <w:tabs>
          <w:tab w:val="left" w:pos="-142"/>
        </w:tabs>
        <w:spacing w:before="240" w:after="240"/>
        <w:ind w:right="-93"/>
        <w:jc w:val="both"/>
        <w:rPr>
          <w:rFonts w:ascii="Times New Roman" w:eastAsia="Times New Roman" w:hAnsi="Times New Roman" w:cs="Times New Roman"/>
          <w:i/>
          <w:iCs/>
        </w:rPr>
      </w:pPr>
      <w:r>
        <w:rPr>
          <w:rFonts w:ascii="Times New Roman" w:eastAsia="Times New Roman" w:hAnsi="Times New Roman" w:cs="Times New Roman"/>
          <w:i/>
          <w:iCs/>
        </w:rPr>
        <w:t>Presentada en relación con la información complementaria de Cuba bajo el artículo 29(5) de la Convención Internacional para la Protección de Todas las Personas contra las Desapariciones Forzadas</w:t>
      </w:r>
    </w:p>
    <w:p w14:paraId="7EA9603E" w14:textId="77777777" w:rsidR="00FC09DF" w:rsidRDefault="00A072DD">
      <w:pPr>
        <w:tabs>
          <w:tab w:val="left" w:pos="-142"/>
        </w:tabs>
        <w:spacing w:before="240" w:after="240"/>
        <w:ind w:right="-93"/>
        <w:jc w:val="center"/>
        <w:rPr>
          <w:rFonts w:ascii="Times New Roman" w:eastAsia="Times New Roman" w:hAnsi="Times New Roman" w:cs="Times New Roman"/>
          <w:b/>
          <w:bCs/>
          <w:i/>
          <w:iCs/>
        </w:rPr>
      </w:pPr>
      <w:r>
        <w:rPr>
          <w:rFonts w:ascii="Times New Roman" w:eastAsia="Times New Roman" w:hAnsi="Times New Roman" w:cs="Times New Roman"/>
          <w:b/>
          <w:bCs/>
        </w:rPr>
        <w:br/>
      </w:r>
      <w:r>
        <w:rPr>
          <w:rFonts w:ascii="Times New Roman" w:eastAsia="Times New Roman" w:hAnsi="Times New Roman" w:cs="Times New Roman"/>
          <w:b/>
          <w:bCs/>
          <w:i/>
          <w:iCs/>
        </w:rPr>
        <w:t>Junio de 2026</w:t>
      </w:r>
    </w:p>
    <w:p w14:paraId="42DE25C8" w14:textId="77777777" w:rsidR="00FC09DF" w:rsidRDefault="00FC09DF">
      <w:pPr>
        <w:tabs>
          <w:tab w:val="left" w:pos="-142"/>
        </w:tabs>
        <w:spacing w:before="240" w:after="240"/>
        <w:ind w:right="-93"/>
        <w:jc w:val="center"/>
        <w:rPr>
          <w:rFonts w:ascii="Times New Roman" w:eastAsia="Times New Roman" w:hAnsi="Times New Roman" w:cs="Times New Roman"/>
        </w:rPr>
      </w:pPr>
    </w:p>
    <w:p w14:paraId="5F5C3BDA" w14:textId="77777777" w:rsidR="00FC09DF" w:rsidRDefault="00A072DD">
      <w:pPr>
        <w:tabs>
          <w:tab w:val="left" w:pos="-142"/>
        </w:tabs>
        <w:spacing w:after="0"/>
        <w:ind w:right="-93"/>
        <w:jc w:val="center"/>
        <w:rPr>
          <w:rFonts w:ascii="Times New Roman" w:eastAsia="Times New Roman" w:hAnsi="Times New Roman" w:cs="Times New Roman"/>
        </w:rPr>
      </w:pPr>
      <w:r>
        <w:rPr>
          <w:rFonts w:ascii="Times New Roman" w:eastAsia="Times New Roman" w:hAnsi="Times New Roman" w:cs="Times New Roman"/>
        </w:rPr>
        <w:t>1120 Connecticut Ave NW. Washington,</w:t>
      </w:r>
    </w:p>
    <w:p w14:paraId="7070FDFF" w14:textId="77777777" w:rsidR="00FC09DF" w:rsidRDefault="00A072DD">
      <w:pPr>
        <w:tabs>
          <w:tab w:val="left" w:pos="-142"/>
        </w:tabs>
        <w:spacing w:after="0"/>
        <w:ind w:right="-93"/>
        <w:jc w:val="center"/>
        <w:rPr>
          <w:rFonts w:ascii="Times New Roman" w:eastAsia="Times New Roman" w:hAnsi="Times New Roman" w:cs="Times New Roman"/>
        </w:rPr>
      </w:pPr>
      <w:r>
        <w:rPr>
          <w:rFonts w:ascii="Times New Roman" w:eastAsia="Times New Roman" w:hAnsi="Times New Roman" w:cs="Times New Roman"/>
        </w:rPr>
        <w:t>D.C., 20036, United States.</w:t>
      </w:r>
    </w:p>
    <w:p w14:paraId="39CD1DBE" w14:textId="77777777" w:rsidR="00FC09DF" w:rsidRDefault="00A072DD">
      <w:pPr>
        <w:tabs>
          <w:tab w:val="left" w:pos="-142"/>
        </w:tabs>
        <w:spacing w:after="0"/>
        <w:ind w:right="-93"/>
        <w:jc w:val="center"/>
        <w:rPr>
          <w:rFonts w:ascii="Times New Roman" w:eastAsia="Times New Roman" w:hAnsi="Times New Roman" w:cs="Times New Roman"/>
        </w:rPr>
      </w:pPr>
      <w:r>
        <w:rPr>
          <w:rFonts w:ascii="Times New Roman" w:eastAsia="Times New Roman" w:hAnsi="Times New Roman" w:cs="Times New Roman"/>
        </w:rPr>
        <w:t>+19012674974.</w:t>
      </w:r>
    </w:p>
    <w:p w14:paraId="0CFAD07A" w14:textId="77777777" w:rsidR="00FC09DF" w:rsidRDefault="00A072DD">
      <w:pPr>
        <w:tabs>
          <w:tab w:val="left" w:pos="-142"/>
        </w:tabs>
        <w:ind w:right="-93"/>
        <w:jc w:val="both"/>
        <w:rPr>
          <w:rFonts w:ascii="Times New Roman" w:eastAsia="Times New Roman" w:hAnsi="Times New Roman" w:cs="Times New Roman"/>
        </w:rPr>
      </w:pPr>
      <w:r>
        <w:rPr>
          <w:rFonts w:ascii="Times New Roman" w:eastAsia="Times New Roman" w:hAnsi="Times New Roman" w:cs="Times New Roman"/>
        </w:rPr>
        <w:t xml:space="preserve">                                                              </w:t>
      </w:r>
      <w:hyperlink r:id="rId7">
        <w:r>
          <w:rPr>
            <w:rFonts w:ascii="Times New Roman" w:eastAsia="Times New Roman" w:hAnsi="Times New Roman" w:cs="Times New Roman"/>
            <w:color w:val="0563C1"/>
            <w:u w:val="single"/>
          </w:rPr>
          <w:t>legal@cubalex.org</w:t>
        </w:r>
      </w:hyperlink>
      <w:r>
        <w:rPr>
          <w:rFonts w:ascii="Times New Roman" w:eastAsia="Times New Roman" w:hAnsi="Times New Roman" w:cs="Times New Roman"/>
        </w:rPr>
        <w:t>.</w:t>
      </w:r>
    </w:p>
    <w:p w14:paraId="0D1C929E" w14:textId="77777777" w:rsidR="00FC09DF" w:rsidRDefault="00FC09DF">
      <w:pPr>
        <w:tabs>
          <w:tab w:val="left" w:pos="-142"/>
        </w:tabs>
        <w:ind w:right="-93"/>
        <w:jc w:val="both"/>
        <w:rPr>
          <w:rFonts w:ascii="Times New Roman" w:eastAsia="Times New Roman" w:hAnsi="Times New Roman" w:cs="Times New Roman"/>
        </w:rPr>
      </w:pPr>
    </w:p>
    <w:p w14:paraId="1C317704" w14:textId="77777777" w:rsidR="00FC09DF" w:rsidRDefault="00FC09DF">
      <w:pPr>
        <w:tabs>
          <w:tab w:val="left" w:pos="-142"/>
        </w:tabs>
        <w:ind w:right="-93"/>
        <w:jc w:val="both"/>
        <w:rPr>
          <w:rFonts w:ascii="Times New Roman" w:eastAsia="Times New Roman" w:hAnsi="Times New Roman" w:cs="Times New Roman"/>
        </w:rPr>
      </w:pPr>
    </w:p>
    <w:p w14:paraId="30AF9019" w14:textId="77777777" w:rsidR="00FC09DF" w:rsidRDefault="00FC09DF">
      <w:pPr>
        <w:tabs>
          <w:tab w:val="left" w:pos="-142"/>
        </w:tabs>
        <w:ind w:right="-93"/>
        <w:jc w:val="both"/>
        <w:rPr>
          <w:rFonts w:ascii="Times New Roman" w:eastAsia="Times New Roman" w:hAnsi="Times New Roman" w:cs="Times New Roman"/>
        </w:rPr>
      </w:pPr>
    </w:p>
    <w:p w14:paraId="5A37D909" w14:textId="77777777" w:rsidR="00FC09DF" w:rsidRDefault="00FC09DF">
      <w:pPr>
        <w:tabs>
          <w:tab w:val="left" w:pos="-142"/>
        </w:tabs>
        <w:ind w:right="-93"/>
        <w:jc w:val="both"/>
        <w:rPr>
          <w:rFonts w:ascii="Times New Roman" w:eastAsia="Times New Roman" w:hAnsi="Times New Roman" w:cs="Times New Roman"/>
        </w:rPr>
      </w:pPr>
    </w:p>
    <w:p w14:paraId="2B8E12D3" w14:textId="77777777" w:rsidR="00FC09DF" w:rsidRDefault="00FC09DF">
      <w:pPr>
        <w:tabs>
          <w:tab w:val="left" w:pos="-142"/>
        </w:tabs>
        <w:ind w:right="-93"/>
        <w:jc w:val="both"/>
        <w:rPr>
          <w:rFonts w:ascii="Times New Roman" w:eastAsia="Times New Roman" w:hAnsi="Times New Roman" w:cs="Times New Roman"/>
        </w:rPr>
      </w:pPr>
    </w:p>
    <w:p w14:paraId="0474F95B" w14:textId="77777777" w:rsidR="00FC09DF" w:rsidRDefault="00FC09DF">
      <w:pPr>
        <w:tabs>
          <w:tab w:val="left" w:pos="-142"/>
        </w:tabs>
        <w:ind w:right="-93"/>
        <w:jc w:val="both"/>
        <w:rPr>
          <w:rFonts w:ascii="Times New Roman" w:eastAsia="Times New Roman" w:hAnsi="Times New Roman" w:cs="Times New Roman"/>
        </w:rPr>
      </w:pPr>
    </w:p>
    <w:p w14:paraId="168EBD3A" w14:textId="77777777" w:rsidR="00FC09DF" w:rsidRDefault="00FC09DF">
      <w:pPr>
        <w:tabs>
          <w:tab w:val="left" w:pos="-142"/>
        </w:tabs>
        <w:ind w:right="-93"/>
        <w:jc w:val="both"/>
        <w:rPr>
          <w:rFonts w:ascii="Times New Roman" w:eastAsia="Times New Roman" w:hAnsi="Times New Roman" w:cs="Times New Roman"/>
        </w:rPr>
      </w:pPr>
    </w:p>
    <w:p w14:paraId="7CFE1124" w14:textId="77777777" w:rsidR="00FC09DF" w:rsidRDefault="00FC09DF">
      <w:pPr>
        <w:tabs>
          <w:tab w:val="left" w:pos="-142"/>
        </w:tabs>
        <w:ind w:right="-93"/>
        <w:jc w:val="both"/>
        <w:rPr>
          <w:rFonts w:ascii="Times New Roman" w:eastAsia="Times New Roman" w:hAnsi="Times New Roman" w:cs="Times New Roman"/>
        </w:rPr>
      </w:pPr>
    </w:p>
    <w:p w14:paraId="39E47F53" w14:textId="77777777" w:rsidR="00FC09DF" w:rsidRDefault="00FC09DF">
      <w:pPr>
        <w:tabs>
          <w:tab w:val="left" w:pos="-142"/>
        </w:tabs>
        <w:ind w:right="-93"/>
        <w:jc w:val="both"/>
        <w:rPr>
          <w:rFonts w:ascii="Times New Roman" w:eastAsia="Times New Roman" w:hAnsi="Times New Roman" w:cs="Times New Roman"/>
        </w:rPr>
      </w:pPr>
    </w:p>
    <w:p w14:paraId="0DF566B3" w14:textId="77777777" w:rsidR="00FC09DF" w:rsidRDefault="00A072DD">
      <w:pPr>
        <w:pBdr>
          <w:top w:val="nil"/>
          <w:left w:val="nil"/>
          <w:bottom w:val="nil"/>
          <w:right w:val="nil"/>
          <w:between w:val="nil"/>
        </w:pBdr>
        <w:tabs>
          <w:tab w:val="left" w:pos="-142"/>
        </w:tabs>
        <w:spacing w:before="240" w:after="240"/>
        <w:ind w:right="-93"/>
        <w:jc w:val="both"/>
        <w:rPr>
          <w:rFonts w:ascii="Times New Roman" w:eastAsia="Times New Roman" w:hAnsi="Times New Roman" w:cs="Times New Roman"/>
          <w:b/>
          <w:bCs/>
        </w:rPr>
      </w:pPr>
      <w:r>
        <w:rPr>
          <w:rFonts w:ascii="Times New Roman" w:eastAsia="Times New Roman" w:hAnsi="Times New Roman" w:cs="Times New Roman"/>
          <w:b/>
          <w:bCs/>
          <w:color w:val="000000"/>
        </w:rPr>
        <w:lastRenderedPageBreak/>
        <w:t xml:space="preserve">I. Presentación </w:t>
      </w:r>
    </w:p>
    <w:p w14:paraId="1A71A8D0" w14:textId="77777777" w:rsidR="00FC09DF" w:rsidRDefault="00A072DD">
      <w:pPr>
        <w:spacing w:before="180" w:after="180"/>
        <w:jc w:val="both"/>
        <w:rPr>
          <w:rFonts w:ascii="Times New Roman" w:eastAsia="Times New Roman" w:hAnsi="Times New Roman" w:cs="Times New Roman"/>
        </w:rPr>
      </w:pPr>
      <w:r>
        <w:rPr>
          <w:rFonts w:ascii="Times New Roman" w:eastAsia="Times New Roman" w:hAnsi="Times New Roman" w:cs="Times New Roman"/>
        </w:rPr>
        <w:t>Cubalex es una organización apartidista de derechos humanos fundada en La Habana en 2010 como centro independiente de asesoría jurídica. Tras el allanamiento de su sede en 2016, la confiscación de equipos y expedientes, y el exilio forzado de su equipo en 2017, continuó su labor desde el exterior como entidad sin fines de lucro registrada en Estados Unidos. Con más de quince años de experiencia, brinda asesoría legal gratuita, documenta violaciones de derechos humanos y representa casos ante mecanismos inte</w:t>
      </w:r>
      <w:r>
        <w:rPr>
          <w:rFonts w:ascii="Times New Roman" w:eastAsia="Times New Roman" w:hAnsi="Times New Roman" w:cs="Times New Roman"/>
        </w:rPr>
        <w:t>rnacionales y regionales, incluyendo la CIDH, órganos de tratados y procedimientos especiales de la ONU. Su trabajo se desarrolla especialmente en contextos de represión política, cierre del espacio cívico y discriminación estructural en Cuba, y ha participado en procesos ante CEDAW, CAT, CRC, CERD y en los EPU de Cuba de 2013, 2018, 2023 y 2024.</w:t>
      </w:r>
    </w:p>
    <w:p w14:paraId="1565E77E" w14:textId="77777777" w:rsidR="00FC09DF" w:rsidRDefault="00A072DD">
      <w:pPr>
        <w:spacing w:after="160"/>
        <w:jc w:val="both"/>
        <w:rPr>
          <w:rFonts w:ascii="Times New Roman" w:eastAsia="Times New Roman" w:hAnsi="Times New Roman" w:cs="Times New Roman"/>
        </w:rPr>
      </w:pPr>
      <w:r>
        <w:rPr>
          <w:rFonts w:ascii="Times New Roman" w:eastAsia="Times New Roman" w:hAnsi="Times New Roman" w:cs="Times New Roman"/>
        </w:rPr>
        <w:t xml:space="preserve">La Mesa de Diálogo de la Juventud Cubana (MDJC) es una plataforma de articulación juvenil que promueve la participación cívica, el debate plural y la construcción de propuestas para una sociedad más inclusiva. Impulsa espacios de diálogo intergeneracional y acciones de incidencia sobre derechos civiles, políticos y sociales que incluye a jóvenes líderes, activistas y artistas urbanos. La MDJC fue creada en el 2014 y ha sido registrada en el 2023 como asociación ante la imposibilidad de hacerlo dentro de la </w:t>
      </w:r>
      <w:r>
        <w:rPr>
          <w:rFonts w:ascii="Times New Roman" w:eastAsia="Times New Roman" w:hAnsi="Times New Roman" w:cs="Times New Roman"/>
        </w:rPr>
        <w:t>isla. Sus informes sobre la juventud han ayudado a medir la situación y el sentir de las juventudes cubanas. Ha participado en procesos ante la CIDH, el EPU, CEDAW, CERD, entre los años 2016 y 2026.</w:t>
      </w:r>
    </w:p>
    <w:p w14:paraId="016E7B88" w14:textId="77777777" w:rsidR="00FC09DF" w:rsidRDefault="00A072DD">
      <w:pPr>
        <w:spacing w:after="160"/>
        <w:jc w:val="both"/>
        <w:rPr>
          <w:rFonts w:ascii="Times New Roman" w:eastAsia="Times New Roman" w:hAnsi="Times New Roman" w:cs="Times New Roman"/>
        </w:rPr>
      </w:pPr>
      <w:r>
        <w:rPr>
          <w:rFonts w:ascii="Times New Roman" w:eastAsia="Times New Roman" w:hAnsi="Times New Roman" w:cs="Times New Roman"/>
        </w:rPr>
        <w:t>El Museo Virtual de la Memoria contra la Violencia Basada en Género (Museo V) es una iniciativa de la sociedad civil cubana que visibiliza las distintas formas de violencia basada en género que afectan a las mujeres en toda su diversidad. Creada en 2022 para dar espacio a artistas que, por su discurso político, quedaron excluidos del discurso oficial. Es una asociación registrada en España y se ha combinado desde su creación la denuncia, la creación artística y la reivindicación de voces negras y de persona</w:t>
      </w:r>
      <w:r>
        <w:rPr>
          <w:rFonts w:ascii="Times New Roman" w:eastAsia="Times New Roman" w:hAnsi="Times New Roman" w:cs="Times New Roman"/>
        </w:rPr>
        <w:t>s sexodisidentes. Como Museo V ha participado en procesos ante el EPU, la CIDH, la CEDAW  y el CERD, entre el 2023 y el 2026.</w:t>
      </w:r>
    </w:p>
    <w:p w14:paraId="0685D113" w14:textId="77777777" w:rsidR="00FC09DF" w:rsidRDefault="00A072DD">
      <w:pPr>
        <w:spacing w:after="160"/>
        <w:jc w:val="both"/>
        <w:rPr>
          <w:rFonts w:ascii="Times New Roman" w:eastAsia="Times New Roman" w:hAnsi="Times New Roman" w:cs="Times New Roman"/>
        </w:rPr>
      </w:pPr>
      <w:r>
        <w:rPr>
          <w:rFonts w:ascii="Times New Roman" w:eastAsia="Times New Roman" w:hAnsi="Times New Roman" w:cs="Times New Roman"/>
        </w:rPr>
        <w:t>El Museo de la Disidencia en Cuba es un proyecto de investigación y memoria que documenta las diversas expresiones históricas y contemporáneas de disidencia en el país. Fundada en 2016 por el artista Luis Manuel Otero Alcántara y la curadora Yanelys Nuñez Leyva, se ha mantenido en la observancia y denuncia constante de la situación de los artistas y activistas políticos dentro de Cuba.</w:t>
      </w:r>
    </w:p>
    <w:p w14:paraId="56B27003" w14:textId="77777777" w:rsidR="00FC09DF" w:rsidRDefault="00A072DD">
      <w:pPr>
        <w:spacing w:after="160"/>
        <w:jc w:val="both"/>
        <w:rPr>
          <w:rFonts w:ascii="Times New Roman" w:eastAsia="Times New Roman" w:hAnsi="Times New Roman" w:cs="Times New Roman"/>
        </w:rPr>
      </w:pPr>
      <w:r>
        <w:rPr>
          <w:rFonts w:ascii="Times New Roman" w:eastAsia="Times New Roman" w:hAnsi="Times New Roman" w:cs="Times New Roman"/>
        </w:rPr>
        <w:t>Las organizaciones firmantes autorizan al Comité contra la Desaparición Forzada a publicar este informe en su página web y a utilizarlo como insumo en el proceso de elaboración de la Lista de Temas Prioritarios relativa a Cuba.</w:t>
      </w:r>
    </w:p>
    <w:p w14:paraId="16800B93" w14:textId="77777777" w:rsidR="00FC09DF" w:rsidRDefault="00A072DD">
      <w:pPr>
        <w:pBdr>
          <w:top w:val="nil"/>
          <w:left w:val="nil"/>
          <w:bottom w:val="nil"/>
          <w:right w:val="nil"/>
          <w:between w:val="nil"/>
        </w:pBdr>
        <w:tabs>
          <w:tab w:val="left" w:pos="-142"/>
        </w:tabs>
        <w:spacing w:before="240" w:after="240"/>
        <w:ind w:right="-93"/>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II. Introducción</w:t>
      </w:r>
    </w:p>
    <w:p w14:paraId="4948D0E1"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El presente informe examina el grado de implementación por el Estado cubano de la recomendación formulada por el Comité contra la Desaparición Forzada en su observaciones 35 y 36, relativa al </w:t>
      </w:r>
      <w:r>
        <w:rPr>
          <w:rFonts w:ascii="Times New Roman" w:eastAsia="Times New Roman" w:hAnsi="Times New Roman" w:cs="Times New Roman"/>
          <w:color w:val="000000"/>
        </w:rPr>
        <w:lastRenderedPageBreak/>
        <w:t>artículo 25 de la Convención Internacional para la Protección de Todas las Personas contra las Desapariciones Forzadas.</w:t>
      </w:r>
      <w:r>
        <w:rPr>
          <w:rFonts w:ascii="Times New Roman" w:eastAsia="Times New Roman" w:hAnsi="Times New Roman" w:cs="Times New Roman"/>
          <w:color w:val="000000"/>
          <w:vertAlign w:val="superscript"/>
        </w:rPr>
        <w:footnoteReference w:id="1"/>
      </w:r>
    </w:p>
    <w:p w14:paraId="098236B6" w14:textId="77777777" w:rsidR="00FC09DF" w:rsidRDefault="00A072DD">
      <w:pPr>
        <w:pBdr>
          <w:top w:val="nil"/>
          <w:left w:val="nil"/>
          <w:bottom w:val="nil"/>
          <w:right w:val="nil"/>
          <w:between w:val="nil"/>
        </w:pBdr>
        <w:tabs>
          <w:tab w:val="left" w:pos="-142"/>
        </w:tabs>
        <w:spacing w:before="240" w:after="240"/>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El artículo 25 de la Convención Internacional para la Protección de Todas las Personas contra las Desapariciones Forzadas establece un régimen especializado de protección de niñas, niños y adolescentes frente a las consecuencias específicas derivadas de las desapariciones forzadas, imponiendo a los Estados obligaciones que trascienden la mera tipificación penal e incluyen la prevención, la investigación, la restitución de la identidad y el restablecimiento de los vínculos familiares.</w:t>
      </w:r>
      <w:r>
        <w:rPr>
          <w:rFonts w:ascii="Times New Roman" w:eastAsia="Times New Roman" w:hAnsi="Times New Roman" w:cs="Times New Roman"/>
          <w:color w:val="000000"/>
          <w:vertAlign w:val="superscript"/>
        </w:rPr>
        <w:footnoteReference w:id="2"/>
      </w:r>
    </w:p>
    <w:p w14:paraId="637997F7"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El análisis se centra en las medidas legislativas e institucionales adoptadas para prevenir la apropiación de niñas, niños y adolescentes, la sustitución o alteración de su identidad, la emisión de documentos de viaje, la salida del territorio nacional, la actuación del sistema de salud pública en el registro de nacimientos y la responsabilidad de los funcionarios que pudieran intervenir en estas conductas.</w:t>
      </w:r>
    </w:p>
    <w:p w14:paraId="4AC7D33E"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Desde las observaciones finales emitidas por el Comité en 2017, Cuba ha aprobado reformas en materia penal, familiar, registral, migratoria y de protección de la infancia. Entre ellas destacan la entrada en vigor del Código Penal</w:t>
      </w:r>
      <w:r>
        <w:rPr>
          <w:rFonts w:ascii="Times New Roman" w:eastAsia="Times New Roman" w:hAnsi="Times New Roman" w:cs="Times New Roman"/>
          <w:color w:val="000000"/>
          <w:vertAlign w:val="superscript"/>
        </w:rPr>
        <w:footnoteReference w:id="3"/>
      </w:r>
      <w:r>
        <w:rPr>
          <w:rFonts w:ascii="Times New Roman" w:eastAsia="Times New Roman" w:hAnsi="Times New Roman" w:cs="Times New Roman"/>
          <w:color w:val="000000"/>
        </w:rPr>
        <w:t>, el Código de las Familias</w:t>
      </w:r>
      <w:r>
        <w:rPr>
          <w:rFonts w:ascii="Times New Roman" w:eastAsia="Times New Roman" w:hAnsi="Times New Roman" w:cs="Times New Roman"/>
          <w:color w:val="000000"/>
          <w:vertAlign w:val="superscript"/>
        </w:rPr>
        <w:footnoteReference w:id="4"/>
      </w:r>
      <w:r>
        <w:rPr>
          <w:rFonts w:ascii="Times New Roman" w:eastAsia="Times New Roman" w:hAnsi="Times New Roman" w:cs="Times New Roman"/>
          <w:color w:val="000000"/>
        </w:rPr>
        <w:t>, la Ley del Registro Civil</w:t>
      </w:r>
      <w:r>
        <w:rPr>
          <w:rFonts w:ascii="Times New Roman" w:eastAsia="Times New Roman" w:hAnsi="Times New Roman" w:cs="Times New Roman"/>
          <w:color w:val="000000"/>
          <w:vertAlign w:val="superscript"/>
        </w:rPr>
        <w:footnoteReference w:id="5"/>
      </w:r>
      <w:r>
        <w:rPr>
          <w:rFonts w:ascii="Times New Roman" w:eastAsia="Times New Roman" w:hAnsi="Times New Roman" w:cs="Times New Roman"/>
          <w:color w:val="000000"/>
        </w:rPr>
        <w:t>, el Código de la Niñez, Adolescencias y Juventudes</w:t>
      </w:r>
      <w:r>
        <w:rPr>
          <w:rFonts w:ascii="Times New Roman" w:eastAsia="Times New Roman" w:hAnsi="Times New Roman" w:cs="Times New Roman"/>
          <w:color w:val="000000"/>
          <w:vertAlign w:val="superscript"/>
        </w:rPr>
        <w:footnoteReference w:id="6"/>
      </w:r>
      <w:r>
        <w:rPr>
          <w:rFonts w:ascii="Times New Roman" w:eastAsia="Times New Roman" w:hAnsi="Times New Roman" w:cs="Times New Roman"/>
          <w:color w:val="000000"/>
        </w:rPr>
        <w:t xml:space="preserve">. Además las nuevas Leyes de Migración y Extranjería, pendientes de su entrada en vigor en noviembre de 2026. Sin embargo, la existencia de estos avances normativos no permite, por sí sola, considerar cumplidas las exigencias del artículo 25, ya que permanecen dispersos y carecen de integración en un sistema jurídico e institucional especializado. </w:t>
      </w:r>
    </w:p>
    <w:p w14:paraId="6EFFDCAB" w14:textId="77777777" w:rsidR="00FC09DF" w:rsidRDefault="00A072DD">
      <w:pPr>
        <w:pBdr>
          <w:top w:val="nil"/>
          <w:left w:val="nil"/>
          <w:bottom w:val="nil"/>
          <w:right w:val="nil"/>
          <w:between w:val="nil"/>
        </w:pBdr>
        <w:tabs>
          <w:tab w:val="left" w:pos="-142"/>
        </w:tabs>
        <w:spacing w:before="240" w:after="240"/>
        <w:ind w:right="-93"/>
        <w:rPr>
          <w:rFonts w:ascii="Times New Roman" w:eastAsia="Times New Roman" w:hAnsi="Times New Roman" w:cs="Times New Roman"/>
          <w:color w:val="000000"/>
        </w:rPr>
      </w:pPr>
      <w:r>
        <w:rPr>
          <w:rFonts w:ascii="Times New Roman" w:eastAsia="Times New Roman" w:hAnsi="Times New Roman" w:cs="Times New Roman"/>
          <w:b/>
          <w:bCs/>
          <w:color w:val="000000"/>
        </w:rPr>
        <w:t>III. Resumen de la posición del Estado cubano.</w:t>
      </w:r>
      <w:r>
        <w:rPr>
          <w:rFonts w:ascii="Times New Roman" w:eastAsia="Times New Roman" w:hAnsi="Times New Roman" w:cs="Times New Roman"/>
          <w:b/>
          <w:bCs/>
          <w:color w:val="000000"/>
        </w:rPr>
        <w:br/>
      </w:r>
    </w:p>
    <w:p w14:paraId="68C18295" w14:textId="77777777" w:rsidR="00FC09DF" w:rsidRDefault="00A072DD">
      <w:pPr>
        <w:pBdr>
          <w:top w:val="nil"/>
          <w:left w:val="nil"/>
          <w:bottom w:val="nil"/>
          <w:right w:val="nil"/>
          <w:between w:val="nil"/>
        </w:pBdr>
        <w:tabs>
          <w:tab w:val="left" w:pos="-142"/>
        </w:tabs>
        <w:spacing w:before="240" w:after="240"/>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En la información presentada al Comité, el Estado cubano sostiene que el proceso de actualización legislativa desarrollado desde 2017 ha fortalecido la protección jurídica de niñas, niños y adolescentes mediante la aprobación de nuevas normas en materia penal, familiar, registral y migratoria. En particular, destaca la tipificación del delito de desaparición forzada en el Código Penal, el reconocimiento reforzado del derecho a la identidad en el Código de las Familias, la modernización del Registro Civil y </w:t>
      </w:r>
      <w:r>
        <w:rPr>
          <w:rFonts w:ascii="Times New Roman" w:eastAsia="Times New Roman" w:hAnsi="Times New Roman" w:cs="Times New Roman"/>
          <w:color w:val="000000"/>
        </w:rPr>
        <w:t>la incorporación de garantías específicas para personas menores de edad en las Leyes de Migración y Extranjería.</w:t>
      </w:r>
    </w:p>
    <w:p w14:paraId="62BB6EB6" w14:textId="77777777" w:rsidR="00FC09DF" w:rsidRDefault="00A072DD">
      <w:pPr>
        <w:pBdr>
          <w:top w:val="nil"/>
          <w:left w:val="nil"/>
          <w:bottom w:val="nil"/>
          <w:right w:val="nil"/>
          <w:between w:val="nil"/>
        </w:pBdr>
        <w:tabs>
          <w:tab w:val="left" w:pos="-142"/>
        </w:tabs>
        <w:spacing w:before="240" w:after="240"/>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Asimismo, el Estado considera que estas reformas ofrecen un marco adecuado para la protección de los derechos de niñas, niños y adolescentes y que las conductas relacionadas con la desaparición forzada y sus consecuencias encuentran respuesta suficiente en el ordenamiento jurídico vigente. A </w:t>
      </w:r>
      <w:r>
        <w:rPr>
          <w:rFonts w:ascii="Times New Roman" w:eastAsia="Times New Roman" w:hAnsi="Times New Roman" w:cs="Times New Roman"/>
          <w:color w:val="000000"/>
        </w:rPr>
        <w:lastRenderedPageBreak/>
        <w:t xml:space="preserve">ello </w:t>
      </w:r>
      <w:r>
        <w:rPr>
          <w:rFonts w:ascii="Times New Roman" w:eastAsia="Times New Roman" w:hAnsi="Times New Roman" w:cs="Times New Roman"/>
        </w:rPr>
        <w:t>reiteró</w:t>
      </w:r>
      <w:r>
        <w:rPr>
          <w:rFonts w:ascii="Times New Roman" w:eastAsia="Times New Roman" w:hAnsi="Times New Roman" w:cs="Times New Roman"/>
          <w:color w:val="000000"/>
        </w:rPr>
        <w:t xml:space="preserve"> que desde el 1 de enero de 1959 no se han producido desapariciones forzadas en el país y afirma que, por esa razón, no existen investigaciones penales, condenas ni medidas de reparación relacionadas con dicho delito. Sobre esa base, considera que determinadas recomendaciones formuladas por el Comité no requieren reformas adicionales.</w:t>
      </w:r>
    </w:p>
    <w:p w14:paraId="4B931B20"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No obstante, el Estado debía acreditar la existencia de un sistema preventivo integral que incluyera controles hospitalarios sobre recién nacidos, mecanismos de trazabilidad de la identidad, procedimientos específicos de revisión registral, garantías frente a adopciones fraudulentas, controles sobre la expedición de documentos de viaje y recursos eficaces para la restitución de la identidad de niñas y niños.</w:t>
      </w:r>
    </w:p>
    <w:p w14:paraId="658480C0" w14:textId="77777777" w:rsidR="00FC09DF" w:rsidRDefault="00A072DD">
      <w:pPr>
        <w:pBdr>
          <w:top w:val="nil"/>
          <w:left w:val="nil"/>
          <w:bottom w:val="nil"/>
          <w:right w:val="nil"/>
          <w:between w:val="nil"/>
        </w:pBdr>
        <w:tabs>
          <w:tab w:val="left" w:pos="-142"/>
        </w:tabs>
        <w:spacing w:before="240" w:after="240"/>
        <w:ind w:right="-93"/>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IV. Análisis crítico.</w:t>
      </w:r>
    </w:p>
    <w:p w14:paraId="274C35B2"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La principal recomendación del Comité permanece incumplida. Tipificación penal de la apropiación de niñas, niños y adolescentes</w:t>
      </w:r>
    </w:p>
    <w:p w14:paraId="31B4AF61"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La recomendación contenida en el párrafo 36 de las observaciones finales era clara</w:t>
      </w:r>
      <w:r>
        <w:rPr>
          <w:rFonts w:ascii="Times New Roman" w:eastAsia="Times New Roman" w:hAnsi="Times New Roman" w:cs="Times New Roman"/>
          <w:color w:val="000000"/>
          <w:vertAlign w:val="superscript"/>
        </w:rPr>
        <w:footnoteReference w:id="7"/>
      </w:r>
      <w:r>
        <w:rPr>
          <w:rFonts w:ascii="Times New Roman" w:eastAsia="Times New Roman" w:hAnsi="Times New Roman" w:cs="Times New Roman"/>
          <w:color w:val="000000"/>
        </w:rPr>
        <w:t xml:space="preserve">: incorporar a la legislación penal las conductas descritas en el artículo 25.1.a de la Convención como delitos específicos. </w:t>
      </w:r>
    </w:p>
    <w:p w14:paraId="7BB8DB2D"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Siete años después, el propio Estado reconoce que esa reforma no ha sido realizada. La aprobación del nuevo Código Penal constituyó un avance al incorporar el delito de desaparición forzada</w:t>
      </w:r>
      <w:r>
        <w:rPr>
          <w:rFonts w:ascii="Times New Roman" w:eastAsia="Times New Roman" w:hAnsi="Times New Roman" w:cs="Times New Roman"/>
          <w:color w:val="000000"/>
          <w:vertAlign w:val="superscript"/>
        </w:rPr>
        <w:footnoteReference w:id="8"/>
      </w:r>
      <w:r>
        <w:rPr>
          <w:rFonts w:ascii="Times New Roman" w:eastAsia="Times New Roman" w:hAnsi="Times New Roman" w:cs="Times New Roman"/>
          <w:color w:val="000000"/>
        </w:rPr>
        <w:t xml:space="preserve"> y prever circunstancias agravantes cuando la víctima sea una persona menor de edad o una mujer embarazada. Sin embargo, el examen de la legislación vigente no permite identificar un tipo penal autónomo que sancione específicamente la apropiación de niñas, niños y adolescentes, de hijos de personas desaparecidas o de menores nacidos durante el cautiverio de una persona desaparecida.</w:t>
      </w:r>
    </w:p>
    <w:p w14:paraId="7DBD3D5D"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rPr>
        <w:t>L</w:t>
      </w:r>
      <w:r>
        <w:rPr>
          <w:rFonts w:ascii="Times New Roman" w:eastAsia="Times New Roman" w:hAnsi="Times New Roman" w:cs="Times New Roman"/>
          <w:color w:val="000000"/>
        </w:rPr>
        <w:t>a agravación de la pena aplicable al delito de desaparición forzada no sustituye la tipificación específica de estas conductas, ya que el bien jurídico protegido trasciende la privación de libertad e incluye la identidad, la filiación, el nombre, la nacionalidad y la preservación de los vínculos familiares de niñas, niños y adolescentes.</w:t>
      </w:r>
    </w:p>
    <w:p w14:paraId="5FE807E7"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Tampoco se identifican disposiciones penales específicas que regulen la apropiación de menores derivada de desapariciones forzadas, la sustitución ilícita de identidad, la utilización de adopciones </w:t>
      </w:r>
      <w:r>
        <w:rPr>
          <w:rFonts w:ascii="Times New Roman" w:eastAsia="Times New Roman" w:hAnsi="Times New Roman" w:cs="Times New Roman"/>
          <w:color w:val="000000"/>
        </w:rPr>
        <w:lastRenderedPageBreak/>
        <w:t>fraudulentas en este contexto o mecanismos penales dirigidos específicamente a la protección de la identidad de las víctimas.</w:t>
      </w:r>
    </w:p>
    <w:p w14:paraId="63841124"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Protección de la identidad, registro de nacimientos y mecanismos para su restitución</w:t>
      </w:r>
    </w:p>
    <w:p w14:paraId="5C928551" w14:textId="77777777" w:rsidR="00FC09DF" w:rsidRDefault="00A072DD">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Las reformas legislativas aprobadas por Cuba fortalecen la protección general del derecho a la identidad. El Código de las Familias amplía las acciones de reclamación e impugnación de la maternidad y la paternidad, permite el empleo de pruebas científicas para la determinación de la filiación y reconoce el derecho de las personas adoptadas a conocer su origen biológico y acceder a la información contenida en su expediente de adopción.</w:t>
      </w:r>
      <w:r>
        <w:rPr>
          <w:rFonts w:ascii="Times New Roman" w:eastAsia="Times New Roman" w:hAnsi="Times New Roman" w:cs="Times New Roman"/>
          <w:color w:val="000000"/>
          <w:vertAlign w:val="superscript"/>
        </w:rPr>
        <w:footnoteReference w:id="9"/>
      </w:r>
      <w:r>
        <w:rPr>
          <w:rFonts w:ascii="Times New Roman" w:eastAsia="Times New Roman" w:hAnsi="Times New Roman" w:cs="Times New Roman"/>
          <w:color w:val="000000"/>
        </w:rPr>
        <w:t xml:space="preserve"> Por su parte, la Ley del Registro Civil moderniza el sistema registral mediante la creación de un registro individual para cada persona, el fortalecimiento de la seguridad jurídica de las inscripciones y la mejora de los procedimientos de rectificación y conservación de la información registral.</w:t>
      </w:r>
    </w:p>
    <w:p w14:paraId="7C115C33" w14:textId="77777777" w:rsidR="00FC09DF" w:rsidRDefault="00A072DD">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Asimismo, el sistema nacional de salud, organizado y dirigido por el Ministerio de Salud Pública, y desarrollado por la Ley de Salud Pública y su reglamento</w:t>
      </w:r>
      <w:r>
        <w:rPr>
          <w:rFonts w:ascii="Times New Roman" w:eastAsia="Times New Roman" w:hAnsi="Times New Roman" w:cs="Times New Roman"/>
          <w:color w:val="000000"/>
          <w:vertAlign w:val="superscript"/>
        </w:rPr>
        <w:footnoteReference w:id="10"/>
      </w:r>
      <w:r>
        <w:rPr>
          <w:rFonts w:ascii="Times New Roman" w:eastAsia="Times New Roman" w:hAnsi="Times New Roman" w:cs="Times New Roman"/>
          <w:color w:val="000000"/>
        </w:rPr>
        <w:t xml:space="preserve"> desempeña un papel esencial en la certificación de los nacimientos y en la emisión de la documentación que sirve de base para su inscripción en el Registro Civil, constituyendo un elemento fundamental para la protección inicial del derecho a la identidad.</w:t>
      </w:r>
    </w:p>
    <w:p w14:paraId="410B0052" w14:textId="77777777" w:rsidR="00FC09DF" w:rsidRDefault="00A072DD">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No obstante, la información disponible no permite identificar un régimen especializado para los supuestos previstos en el artículo 25 de la Convención. En particular, no se desprende de la legislación vigente la existencia de protocolos específicos para prevenir la sustitución de recién nacidos, mecanismos reforzados de identificación neonatal, procedimientos de trazabilidad desde el nacimiento o sistemas de coordinación entre los centros hospitalarios, el Registro Civil, la Fiscalía y los tribunales cuando</w:t>
      </w:r>
      <w:r>
        <w:rPr>
          <w:rFonts w:ascii="Times New Roman" w:eastAsia="Times New Roman" w:hAnsi="Times New Roman" w:cs="Times New Roman"/>
          <w:color w:val="000000"/>
        </w:rPr>
        <w:t xml:space="preserve"> existan indicios de alteración ilícita de la identidad.</w:t>
      </w:r>
    </w:p>
    <w:p w14:paraId="5E1823ED" w14:textId="77777777" w:rsidR="00FC09DF" w:rsidRDefault="00A072DD">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Del mismo modo, no se identifican procedimientos específicos para revisar inscripciones registrales, filiaciones o adopciones obtenidas como consecuencia de una desaparición forzada, ni mecanismos extraordinarios para restituir la identidad de niñas, niños y adolescentes cuya filiación hubiera sido alterada o cuya adopción hubiera servido para ocultar su origen biológico. Tampoco se identifican recursos diferenciados para impugnar cambios de identidad o salidas del territorio nacional en estos supuestos, ni</w:t>
      </w:r>
      <w:r>
        <w:rPr>
          <w:rFonts w:ascii="Times New Roman" w:eastAsia="Times New Roman" w:hAnsi="Times New Roman" w:cs="Times New Roman"/>
          <w:color w:val="000000"/>
        </w:rPr>
        <w:t xml:space="preserve"> mecanismos especializados de asistencia o acompañamiento para las familias que busquen la restitución de la identidad de sus hijos.</w:t>
      </w:r>
    </w:p>
    <w:p w14:paraId="5F2728A4"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Documentos de viaje, autorizaciones parentales y funcionamiento de la legislación migratoria respecto de niñas, niños y adolescentes</w:t>
      </w:r>
    </w:p>
    <w:p w14:paraId="7C4F0AD8"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La observación 35 solicita información sobre los mecanismos establecidos para prevenir la salida irregular del país de niñas, niños y adolescentes, los controles aplicables durante la expedición de documentos de viaje y las medidas adoptadas para impedir la apropiación o alteración de la identidad en el contexto de los procedimientos migratorios.</w:t>
      </w:r>
    </w:p>
    <w:p w14:paraId="7F5FF68D"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Las Leyes de Migración y de Extranjería aprobadas en 2024 incorporan disposiciones dirigidas a reforzar la protección de las personas menores de edad durante los procedimientos migratorios y reconocen principios como el interés superior del niño, la autonomía progresiva y el derecho a recibir atención diferenciada en situaciones de vulnerabilidad. La legislación vigente exige el cumplimiento de los requisitos legales para la expedición de documentos de viaje y regula las autorizaciones necesarias para la sa</w:t>
      </w:r>
      <w:r>
        <w:rPr>
          <w:rFonts w:ascii="Times New Roman" w:eastAsia="Times New Roman" w:hAnsi="Times New Roman" w:cs="Times New Roman"/>
          <w:color w:val="000000"/>
        </w:rPr>
        <w:t>lida del territorio nacional, entre ellas el otorgamiento de poder especial por los padres o representantes legales, en el que deben precisarse la autorización para la salida del país, el tiempo de permanencia en el extranjero y las facultades para realizar los trámites migratorios correspondientes ante las autoridades del país de destino.</w:t>
      </w:r>
      <w:r>
        <w:rPr>
          <w:rFonts w:ascii="Times New Roman" w:eastAsia="Times New Roman" w:hAnsi="Times New Roman" w:cs="Times New Roman"/>
          <w:color w:val="000000"/>
          <w:vertAlign w:val="superscript"/>
        </w:rPr>
        <w:footnoteReference w:id="11"/>
      </w:r>
    </w:p>
    <w:p w14:paraId="1F82899E"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Asimismo, la Ley de Extranjería tipifica como infracción grave la introducción o salida del territorio nacional de una persona menor de edad sin la documentación legalmente exigida, fortaleciendo los mecanismos administrativos de control fronterizo. La Ley de Migración también incorpora medidas específicas de protección para niñas, niños y adolescentes, particularmente respecto de quienes sean víctimas de trata de personas o tráfico ilícito de migrantes, regulando la actuación de las autoridades migratorias</w:t>
      </w:r>
      <w:r>
        <w:rPr>
          <w:rFonts w:ascii="Times New Roman" w:eastAsia="Times New Roman" w:hAnsi="Times New Roman" w:cs="Times New Roman"/>
          <w:color w:val="000000"/>
        </w:rPr>
        <w:t xml:space="preserve"> en estos supuestos.</w:t>
      </w:r>
      <w:r>
        <w:rPr>
          <w:rFonts w:ascii="Times New Roman" w:eastAsia="Times New Roman" w:hAnsi="Times New Roman" w:cs="Times New Roman"/>
          <w:color w:val="000000"/>
          <w:vertAlign w:val="superscript"/>
        </w:rPr>
        <w:footnoteReference w:id="12"/>
      </w:r>
      <w:r>
        <w:rPr>
          <w:rFonts w:ascii="Times New Roman" w:eastAsia="Times New Roman" w:hAnsi="Times New Roman" w:cs="Times New Roman"/>
          <w:color w:val="000000"/>
        </w:rPr>
        <w:t xml:space="preserve"> </w:t>
      </w:r>
    </w:p>
    <w:p w14:paraId="6DE638C1"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Sin embargo, la información disponible no permite determinar si, además del control documental ordinario, existen procedimientos específicos dirigidos a detectar posibles alteraciones de identidad, apropiaciones de niñas, niños y adolescentes o irregularidades relacionadas con la filiación durante la expedición de documentos de viaje o la autorización de salida del territorio nacional.</w:t>
      </w:r>
    </w:p>
    <w:p w14:paraId="341C3375"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Del mismo modo, no se identifican protocolos especializados que orienten la actuación de las autoridades migratorias cuando existan indicios razonables de que la identidad de una persona menor de edad pudiera haber sido alterada como consecuencia de una desaparición forzada, ni mecanismos específicos de coordinación con el Registro Civil, los tribunales, la Fiscalía u otras autoridades competentes para verificar la autenticidad de la identidad, activar investigaciones o facilitar la restitución de los víncu</w:t>
      </w:r>
      <w:r>
        <w:rPr>
          <w:rFonts w:ascii="Times New Roman" w:eastAsia="Times New Roman" w:hAnsi="Times New Roman" w:cs="Times New Roman"/>
          <w:color w:val="000000"/>
        </w:rPr>
        <w:t>los familiares.</w:t>
      </w:r>
    </w:p>
    <w:p w14:paraId="38EEE659"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En consecuencia, aunque la legislación migratoria regula la expedición de documentos de viaje, las autorizaciones parentales y los controles administrativos para la salida del territorio nacional, la información disponible no permite concluir que dichas medidas integren un sistema específico de prevención, detección e investigación de las conductas previstas en el artículo 25 de la Convención.</w:t>
      </w:r>
    </w:p>
    <w:p w14:paraId="4007ABD0" w14:textId="77777777" w:rsidR="00FC09DF" w:rsidRDefault="00FC09DF">
      <w:pPr>
        <w:pBdr>
          <w:top w:val="nil"/>
          <w:left w:val="nil"/>
          <w:bottom w:val="nil"/>
          <w:right w:val="nil"/>
          <w:between w:val="nil"/>
        </w:pBdr>
        <w:tabs>
          <w:tab w:val="left" w:pos="-142"/>
        </w:tabs>
        <w:ind w:right="-93"/>
        <w:jc w:val="both"/>
        <w:rPr>
          <w:rFonts w:ascii="Times New Roman" w:eastAsia="Times New Roman" w:hAnsi="Times New Roman" w:cs="Times New Roman"/>
        </w:rPr>
      </w:pPr>
    </w:p>
    <w:p w14:paraId="01572F58" w14:textId="77777777" w:rsidR="00FC09DF" w:rsidRDefault="00FC09DF">
      <w:pPr>
        <w:pBdr>
          <w:top w:val="nil"/>
          <w:left w:val="nil"/>
          <w:bottom w:val="nil"/>
          <w:right w:val="nil"/>
          <w:between w:val="nil"/>
        </w:pBdr>
        <w:tabs>
          <w:tab w:val="left" w:pos="-142"/>
        </w:tabs>
        <w:ind w:right="-93"/>
        <w:jc w:val="both"/>
        <w:rPr>
          <w:rFonts w:ascii="Times New Roman" w:eastAsia="Times New Roman" w:hAnsi="Times New Roman" w:cs="Times New Roman"/>
        </w:rPr>
      </w:pPr>
    </w:p>
    <w:p w14:paraId="08C00236" w14:textId="77777777" w:rsidR="00FC09DF" w:rsidRDefault="00FC09DF">
      <w:pPr>
        <w:pBdr>
          <w:top w:val="nil"/>
          <w:left w:val="nil"/>
          <w:bottom w:val="nil"/>
          <w:right w:val="nil"/>
          <w:between w:val="nil"/>
        </w:pBdr>
        <w:tabs>
          <w:tab w:val="left" w:pos="-142"/>
        </w:tabs>
        <w:ind w:right="-93"/>
        <w:jc w:val="both"/>
        <w:rPr>
          <w:rFonts w:ascii="Times New Roman" w:eastAsia="Times New Roman" w:hAnsi="Times New Roman" w:cs="Times New Roman"/>
        </w:rPr>
      </w:pPr>
    </w:p>
    <w:p w14:paraId="492190C8"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b/>
          <w:bCs/>
        </w:rPr>
      </w:pPr>
      <w:r>
        <w:rPr>
          <w:rFonts w:ascii="Times New Roman" w:eastAsia="Times New Roman" w:hAnsi="Times New Roman" w:cs="Times New Roman"/>
          <w:b/>
          <w:bCs/>
        </w:rPr>
        <w:t xml:space="preserve">Autoridades con facultades de accionar en materia de protección de menores. </w:t>
      </w:r>
    </w:p>
    <w:p w14:paraId="27BC32B8" w14:textId="77777777" w:rsidR="00FC09DF" w:rsidRDefault="00A072DD">
      <w:pPr>
        <w:numPr>
          <w:ilvl w:val="0"/>
          <w:numId w:val="1"/>
        </w:numPr>
        <w:pBdr>
          <w:top w:val="nil"/>
          <w:left w:val="nil"/>
          <w:bottom w:val="nil"/>
          <w:right w:val="nil"/>
          <w:between w:val="nil"/>
        </w:pBdr>
        <w:tabs>
          <w:tab w:val="left" w:pos="-142"/>
        </w:tabs>
        <w:ind w:right="-93"/>
        <w:jc w:val="both"/>
        <w:rPr>
          <w:rFonts w:ascii="Times New Roman" w:eastAsia="Times New Roman" w:hAnsi="Times New Roman" w:cs="Times New Roman"/>
          <w:b/>
          <w:bCs/>
        </w:rPr>
      </w:pPr>
      <w:r>
        <w:rPr>
          <w:rFonts w:ascii="Times New Roman" w:eastAsia="Times New Roman" w:hAnsi="Times New Roman" w:cs="Times New Roman"/>
          <w:b/>
          <w:bCs/>
        </w:rPr>
        <w:t>El rol insuficiente de la Fiscalía como autoridad garante.</w:t>
      </w:r>
    </w:p>
    <w:p w14:paraId="79F287C5" w14:textId="77777777" w:rsidR="00FC09DF" w:rsidRDefault="00A072DD">
      <w:pPr>
        <w:pBdr>
          <w:top w:val="nil"/>
          <w:left w:val="nil"/>
          <w:bottom w:val="nil"/>
          <w:right w:val="nil"/>
          <w:between w:val="nil"/>
        </w:pBdr>
        <w:tabs>
          <w:tab w:val="left" w:pos="-142"/>
        </w:tabs>
        <w:ind w:right="-93"/>
        <w:jc w:val="both"/>
      </w:pPr>
      <w:r>
        <w:rPr>
          <w:rFonts w:ascii="Times New Roman" w:eastAsia="Times New Roman" w:hAnsi="Times New Roman" w:cs="Times New Roman"/>
        </w:rPr>
        <w:t>La existencia de fiscales especializados en protección de niñas, niños y adolescentes constituye una medida positiva de organización administrativa desde fecha anterior al 2017; sin embargo, por sí sola no satisface las exigencias del artículo 25 de la Convención cuando dichos fiscales forman parte de una estructura institucional que carece de independencia funcional respecto de los órganos estatales potencialmente implicados en las investigaciones y cuando no existen mecanismos complementarios de supervisi</w:t>
      </w:r>
      <w:r>
        <w:rPr>
          <w:rFonts w:ascii="Times New Roman" w:eastAsia="Times New Roman" w:hAnsi="Times New Roman" w:cs="Times New Roman"/>
        </w:rPr>
        <w:t>ón externa, restitución de identidad, acceso a la información, participación de las víctimas y control judicial efectivo. La Ley de Fiscalía General de la República</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no previó competencias, procedimientos o mecanismos especializados para la prevención de la apropiación de niñas, niños y adolescentes, la restitución de su identidad, la revisión de situaciones civiles derivadas de desapariciones forzadas o la coordinación interinstitucional necesaria para estos supuestos</w:t>
      </w:r>
      <w:r>
        <w:t>.</w:t>
      </w:r>
    </w:p>
    <w:p w14:paraId="684F82FB"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rPr>
      </w:pPr>
      <w:r>
        <w:rPr>
          <w:rFonts w:ascii="Times New Roman" w:eastAsia="Times New Roman" w:hAnsi="Times New Roman" w:cs="Times New Roman"/>
        </w:rPr>
        <w:t>De hecho, Cuba no sostiene que los fiscales especializados en protección de menores sean el mecanismo de cumplimiento del artículo 25 de la Convención y de la lectura de sus alegaciones, identificamos algo más revelador: evita responder específicamente al artículo 25. En este orden el Estado no describe un sistema especializado de protección, sino que responde casi exclusivamente desde el Derecho penal.</w:t>
      </w:r>
    </w:p>
    <w:p w14:paraId="4D60BF1C"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rPr>
      </w:pPr>
      <w:r>
        <w:rPr>
          <w:rFonts w:ascii="Times New Roman" w:eastAsia="Times New Roman" w:hAnsi="Times New Roman" w:cs="Times New Roman"/>
        </w:rPr>
        <w:t>El Estado parte centra su respuesta en la existencia de órganos generales de la Fiscalía encargados de la protección de la legalidad y de los derechos de niñas, niños y adolescentes. Sin embargo, no acredita la existencia de unidades especializadas, protocolos específicos, procedimientos diferenciados ni mecanismos interinstitucionales destinados a prevenir, investigar y reparar las conductas contempladas en el artículo 25 de la Convención. La protección general de la infancia no equivale a la protección es</w:t>
      </w:r>
      <w:r>
        <w:rPr>
          <w:rFonts w:ascii="Times New Roman" w:eastAsia="Times New Roman" w:hAnsi="Times New Roman" w:cs="Times New Roman"/>
        </w:rPr>
        <w:t>pecializada exigida para los supuestos de apropiación de niñas y niños vinculados a desapariciones forzadas.</w:t>
      </w:r>
    </w:p>
    <w:p w14:paraId="13906C8B"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b/>
          <w:bCs/>
        </w:rPr>
      </w:pPr>
      <w:r>
        <w:rPr>
          <w:rFonts w:ascii="Times New Roman" w:eastAsia="Times New Roman" w:hAnsi="Times New Roman" w:cs="Times New Roman"/>
          <w:b/>
          <w:bCs/>
        </w:rPr>
        <w:t>2. La Defensoria Familiar como sujeto legitimado a accionar en temas de protección de menores.</w:t>
      </w:r>
    </w:p>
    <w:p w14:paraId="26A0BC08"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rPr>
      </w:pPr>
      <w:r>
        <w:rPr>
          <w:rFonts w:ascii="Times New Roman" w:eastAsia="Times New Roman" w:hAnsi="Times New Roman" w:cs="Times New Roman"/>
        </w:rPr>
        <w:lastRenderedPageBreak/>
        <w:t>La Defensoría</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constituye un avance institucional en la protección de personas en situación de vulnerabilidad, al establecer un sistema de asesoramiento, acompañamiento y defensa técnica para niñas, niños y adolescentes, personas con discapacidad, víctimas de violencia y otros colectivos vulnerables. Sin embargo, dicha estructura continúa integrada orgánica y funcionalmente al Ministerio de Justicia y carece de la independencia institucional exigida por los Principios de París para una Institución Nacional de Derechos Hu</w:t>
      </w:r>
      <w:r>
        <w:rPr>
          <w:rFonts w:ascii="Times New Roman" w:eastAsia="Times New Roman" w:hAnsi="Times New Roman" w:cs="Times New Roman"/>
        </w:rPr>
        <w:t xml:space="preserve">manos. </w:t>
      </w:r>
    </w:p>
    <w:p w14:paraId="7F5A46D5" w14:textId="77777777" w:rsidR="00FC09DF" w:rsidRDefault="00A072DD">
      <w:pPr>
        <w:pStyle w:val="Heading1"/>
        <w:tabs>
          <w:tab w:val="left" w:pos="-142"/>
        </w:tabs>
        <w:spacing w:before="240" w:after="240"/>
        <w:rPr>
          <w:b w:val="0"/>
          <w:bCs w:val="0"/>
          <w:sz w:val="24"/>
          <w:szCs w:val="24"/>
        </w:rPr>
      </w:pPr>
      <w:r>
        <w:rPr>
          <w:b w:val="0"/>
          <w:bCs w:val="0"/>
          <w:sz w:val="24"/>
          <w:szCs w:val="24"/>
        </w:rPr>
        <w:t xml:space="preserve">Asimismo, la normativa no atribuye a la Defensoría competencias específicas para prevenir, investigar o intervenir en supuestos de apropiación de niñas y niños vinculados a desapariciones forzadas, ni regula procedimientos especializados para la restitución de identidad, la preservación de pruebas biológicas y documentales, la coordinación con investigaciones penales o la búsqueda activa de las víctimas, por lo que no puede considerarse una respuesta suficiente al cumplimiento de las obligaciones derivadas </w:t>
      </w:r>
      <w:r>
        <w:rPr>
          <w:b w:val="0"/>
          <w:bCs w:val="0"/>
          <w:sz w:val="24"/>
          <w:szCs w:val="24"/>
        </w:rPr>
        <w:t>del artículo 25 de la Convención.</w:t>
      </w:r>
    </w:p>
    <w:p w14:paraId="455C67F8" w14:textId="77777777" w:rsidR="00FC09DF" w:rsidRDefault="00A072DD">
      <w:pPr>
        <w:pStyle w:val="Heading1"/>
        <w:tabs>
          <w:tab w:val="left" w:pos="-142"/>
        </w:tabs>
        <w:ind w:right="-93"/>
        <w:rPr>
          <w:sz w:val="24"/>
          <w:szCs w:val="24"/>
        </w:rPr>
      </w:pPr>
      <w:r>
        <w:rPr>
          <w:sz w:val="24"/>
          <w:szCs w:val="24"/>
        </w:rPr>
        <w:t>Sanciones para funcionarios que participen en la apropiación, sustitución de identidad o salida irregular de niñas, niños y adolescentes</w:t>
      </w:r>
    </w:p>
    <w:p w14:paraId="050D620D"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El artículo 25 de la Convención exige que el Estado cuente con mecanismos adecuados para investigar y sancionar a quienes participen en la apropiación de niñas, niños y adolescentes, la alteración de su identidad o la separación ilícita de su familia, incluidos los funcionarios públicos que intervengan en tales conductas.</w:t>
      </w:r>
    </w:p>
    <w:p w14:paraId="6D772EBD"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La legislación penal cubana contempla normas generales sobre responsabilidad penal y el ordenamiento jurídico prevé igualmente mecanismos de responsabilidad administrativa y disciplinaria para los funcionarios públicos.</w:t>
      </w:r>
    </w:p>
    <w:p w14:paraId="1048F456"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Sin embargo, la información disponible no permite identificar disposiciones específicas dirigidas a sancionar la participación de funcionarios en la apropiación de niñas, niños y adolescentes vinculada a desapariciones forzadas, en la sustitución de identidad o en la expedición irregular de documentación destinada a facilitar estas conductas.</w:t>
      </w:r>
    </w:p>
    <w:p w14:paraId="59D23B77" w14:textId="77777777" w:rsidR="00FC09DF" w:rsidRDefault="00A072DD">
      <w:pPr>
        <w:pBdr>
          <w:top w:val="nil"/>
          <w:left w:val="nil"/>
          <w:bottom w:val="nil"/>
          <w:right w:val="nil"/>
          <w:between w:val="nil"/>
        </w:pBdr>
        <w:tabs>
          <w:tab w:val="left" w:pos="-142"/>
        </w:tabs>
        <w:ind w:right="-93"/>
        <w:jc w:val="both"/>
        <w:rPr>
          <w:rFonts w:ascii="Times New Roman" w:eastAsia="Times New Roman" w:hAnsi="Times New Roman" w:cs="Times New Roman"/>
          <w:color w:val="000000"/>
        </w:rPr>
      </w:pPr>
      <w:r>
        <w:rPr>
          <w:rFonts w:ascii="Times New Roman" w:eastAsia="Times New Roman" w:hAnsi="Times New Roman" w:cs="Times New Roman"/>
          <w:color w:val="000000"/>
        </w:rPr>
        <w:t>Asimismo, no se dispone de información pública sobre investigaciones, procesos disciplinarios, sanciones administrativas o condenas penales impuestas por hechos de esta naturaleza, ni sobre la existencia de protocolos específicos para la actuación de las autoridades competentes cuando existan indicios de participación de funcionarios públicos.</w:t>
      </w:r>
    </w:p>
    <w:p w14:paraId="71403538" w14:textId="77777777" w:rsidR="00FC09DF" w:rsidRDefault="00A072DD">
      <w:pPr>
        <w:ind w:right="-91"/>
        <w:jc w:val="both"/>
        <w:rPr>
          <w:rFonts w:ascii="Times New Roman" w:eastAsia="Times New Roman" w:hAnsi="Times New Roman" w:cs="Times New Roman"/>
          <w:b/>
          <w:bCs/>
        </w:rPr>
      </w:pPr>
      <w:r>
        <w:rPr>
          <w:rFonts w:ascii="Times New Roman" w:eastAsia="Times New Roman" w:hAnsi="Times New Roman" w:cs="Times New Roman"/>
          <w:b/>
          <w:bCs/>
        </w:rPr>
        <w:t>V. Conclusiones</w:t>
      </w:r>
    </w:p>
    <w:p w14:paraId="4746A240"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 xml:space="preserve">La información complementaria presentada por Cuba evidencia avances parciales en la implementación de las recomendaciones formuladas por el Comité, particularmente mediante la incorporación del delito autónomo de desaparición forzada al Código Penal. </w:t>
      </w:r>
    </w:p>
    <w:p w14:paraId="7BCB434B" w14:textId="77777777" w:rsidR="00FC09DF" w:rsidRDefault="00A072DD">
      <w:pPr>
        <w:ind w:right="-91"/>
        <w:jc w:val="both"/>
        <w:rPr>
          <w:rFonts w:ascii="Times New Roman" w:eastAsia="Times New Roman" w:hAnsi="Times New Roman" w:cs="Times New Roman"/>
        </w:rPr>
      </w:pPr>
      <w:bookmarkStart w:id="0" w:name="_hrb8ta49zpm3" w:colFirst="0" w:colLast="0"/>
      <w:bookmarkEnd w:id="0"/>
      <w:r>
        <w:rPr>
          <w:rFonts w:ascii="Times New Roman" w:eastAsia="Times New Roman" w:hAnsi="Times New Roman" w:cs="Times New Roman"/>
        </w:rPr>
        <w:t xml:space="preserve">Más allá de la dimensión penal, la principal insuficiencia del marco presentado por el Estado radica en la ausencia de información verificable sobre los mecanismos administrativos e institucionales </w:t>
      </w:r>
      <w:r>
        <w:rPr>
          <w:rFonts w:ascii="Times New Roman" w:eastAsia="Times New Roman" w:hAnsi="Times New Roman" w:cs="Times New Roman"/>
        </w:rPr>
        <w:lastRenderedPageBreak/>
        <w:t>destinados a prevenir estas conductas. La respuesta estatal no permite conocer cómo se garantiza la trazabilidad de la identidad desde el nacimiento, qué controles se aplican sobre los registros civiles, qué procedimientos existen para revisar adopciones obtenidas mediante fraude o alteración de identidad, qué garantías rigen la expedición de documentos de viaje para menores ni qué recursos tienen disponibles las familias para obtener la restitución de la identidad de un niño.</w:t>
      </w:r>
    </w:p>
    <w:p w14:paraId="3FE1907A"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La reiterada afirmación de que en Cuba no existen desapariciones forzadas desde 1959 no responde a la preocupación planteada por el Comité. Las obligaciones derivadas del artículo 25 tienen una naturaleza esencialmente preventiva y exigen la existencia de un sistema normativo e institucional capaz de impedir la apropiación de menores, con independencia de que el Estado afirme no haber registrado casos.</w:t>
      </w:r>
    </w:p>
    <w:p w14:paraId="4B707874"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En consecuencia, persisten elementos suficientes para que el Comité solicite información complementaria que permita evaluar la efectividad de las garantías existentes y la adecuación del ordenamiento jurídico cubano a los estándares previstos por la Convención.</w:t>
      </w:r>
    </w:p>
    <w:p w14:paraId="34C9D5B4" w14:textId="77777777" w:rsidR="00FC09DF" w:rsidRDefault="00A072DD">
      <w:pPr>
        <w:ind w:right="-91"/>
        <w:jc w:val="both"/>
        <w:rPr>
          <w:rFonts w:ascii="Times New Roman" w:eastAsia="Times New Roman" w:hAnsi="Times New Roman" w:cs="Times New Roman"/>
          <w:b/>
          <w:bCs/>
        </w:rPr>
      </w:pPr>
      <w:r>
        <w:rPr>
          <w:rFonts w:ascii="Times New Roman" w:eastAsia="Times New Roman" w:hAnsi="Times New Roman" w:cs="Times New Roman"/>
          <w:b/>
          <w:bCs/>
        </w:rPr>
        <w:t>VI. Preguntas sugeridas al Comité</w:t>
      </w:r>
    </w:p>
    <w:p w14:paraId="3E1832E2"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Con el fin de facilitar un diálogo orientado a la obtención de información verificable, se sugiere que el Comité solicite al Estado cubano responder las siguientes cuestiones:</w:t>
      </w:r>
    </w:p>
    <w:p w14:paraId="4164CF6F"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1. Sírvase indicar si el Estado tiene previsto incorporar al Código Penal un delito específico que sancione las conductas previstas en el artículo 25.1.a de la Convención, precisando el cronograma legislativo y las instituciones responsables de dicha reforma.</w:t>
      </w:r>
    </w:p>
    <w:p w14:paraId="5376AC2A"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2. Identifique las disposiciones legales vigentes que regulan la prevención de la apropiación de niñas, niños y adolescentes, la sustitución o supresión de identidad y la alteración fraudulenta de la filiación, indicando expresamente qué autoridad es competente para su aplicación.</w:t>
      </w:r>
    </w:p>
    <w:p w14:paraId="0AB7B51B"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3. Sírvase describir los protocolos obligatorios aplicables en hospitales y maternidades para la identificación de recién nacidos, indicando qué mecanismos garantizan la correspondencia entre el nacimiento, la documentación clínica y la inscripción en el Registro del Estado Civil.</w:t>
      </w:r>
    </w:p>
    <w:p w14:paraId="44AB8B39"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4. Indique qué autoridad supervisa el cumplimiento de dichos protocolos, con qué frecuencia se realizan inspecciones o auditorías y cuántas inspecciones fueron practicadas entre 2019 y la fecha del examen.</w:t>
      </w:r>
    </w:p>
    <w:p w14:paraId="0408EF50"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5. Precise qué procedimientos administrativos o judiciales permiten impugnar una inscripción de nacimiento cuando existan indicios de sustitución de identidad, apropiación de un menor o alteración fraudulenta de la filiación, indicando quiénes están legitimados para promover tales procedimientos.</w:t>
      </w:r>
    </w:p>
    <w:p w14:paraId="65D18F3A"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6. Informe si la legislación cubana prevé la realización de pruebas genéticas ordenadas judicialmente para la restitución de la identidad de niñas, niños y adolescentes; una garantía presupuestaria para su realización sin riesgos de ser desestimada por carencia de recursos y especifique la autoridad competente para autorizarlas.</w:t>
      </w:r>
    </w:p>
    <w:p w14:paraId="337082A2"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lastRenderedPageBreak/>
        <w:t>7. Explique qué mecanismos contempla el Código de las Familias para revisar, suspender o dejar sin efecto una adopción cuando existan indicios de que esta derive de una desaparición forzada, apropiación de menores o alteración ilícita de identidad.</w:t>
      </w:r>
    </w:p>
    <w:p w14:paraId="7E503D2A"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8. Identifique la normativa aplicable a la expedición de documentos de identidad y pasaportes para menores de edad, indicando qué controles documentales y registrales se realizan antes de su emisión.</w:t>
      </w:r>
    </w:p>
    <w:p w14:paraId="67477CED"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9. Sírvase indicar qué autorizaciones parentales exige la legislación migratoria para la salida del país de niñas, niños y adolescentes, cómo se resuelven los desacuerdos entre quienes ejercen la responsabilidad parental y qué autoridad adopta la decisión final.</w:t>
      </w:r>
    </w:p>
    <w:p w14:paraId="3C9075ED"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10. Informe si existen registros estadísticos relativos a denuncias por sustitución de identidad, alteración de filiación, falsificación de certificados de nacimiento, apropiación de menores o expedición irregular de documentos de identidad o viaje, indicando el número de investigaciones, procesos penales, sanciones disciplinarias y condenas registradas desde 2018.</w:t>
      </w:r>
    </w:p>
    <w:p w14:paraId="0D08D92C"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11. Especifique las disposiciones penales y disciplinarias aplicables a funcionarios sanitarios, registrales, migratorios o judiciales que participen en hechos relacionados con la apropiación de menores, la alteración de identidad o la expedición fraudulenta de documentos oficiales.</w:t>
      </w:r>
    </w:p>
    <w:p w14:paraId="278018D2"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12. Indique qué mecanismos existen para garantizar el acceso de las familias a expedientes médicos, registrales y administrativos cuando soliciten la verificación o restitución de la identidad de un menor.</w:t>
      </w:r>
    </w:p>
    <w:p w14:paraId="7844EDBA"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13. Describa los mecanismos de coordinación existentes entre el Ministerio de Salud Pública, el Registro del Estado Civil, el Ministerio de Justicia, la Fiscalía General de la República, las autoridades migratorias y los tribunales para prevenir, detectar e investigar posibles casos de apropiación de niñas y niños o alteración de identidad.</w:t>
      </w:r>
    </w:p>
    <w:p w14:paraId="0760F6AE"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14. Informe si existe un protocolo nacional para la actuación inmediata ante denuncias relacionadas con sustitución de recién nacidos, alteración de identidad o apropiación de menores, identificando la autoridad responsable de su ejecución.</w:t>
      </w:r>
    </w:p>
    <w:p w14:paraId="2DE4194D"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15. Sírvase facilitar información sobre programas de formación dirigidos a personal sanitario, registradores civiles, jueces, fiscales, autoridades migratorias y fuerzas del orden respecto de las obligaciones derivadas del artículo 25 de la Convención, indicando el número de funcionarios capacitados desde 2018.</w:t>
      </w:r>
    </w:p>
    <w:p w14:paraId="22AB5945" w14:textId="77777777" w:rsidR="00FC09DF" w:rsidRDefault="00A072DD">
      <w:pPr>
        <w:ind w:right="-91"/>
        <w:jc w:val="both"/>
        <w:rPr>
          <w:rFonts w:ascii="Times New Roman" w:eastAsia="Times New Roman" w:hAnsi="Times New Roman" w:cs="Times New Roman"/>
        </w:rPr>
      </w:pPr>
      <w:r>
        <w:rPr>
          <w:rFonts w:ascii="Times New Roman" w:eastAsia="Times New Roman" w:hAnsi="Times New Roman" w:cs="Times New Roman"/>
        </w:rPr>
        <w:t>16. Sírvase informar si existen, dentro de la Fiscalía General de la República o de cualquier otro órgano del Estado, unidades especializadas, protocolos de actuación o equipos interdisciplinarios específicamente encargados de investigar los supuestos previstos en el artículo 25 de la Convención.</w:t>
      </w:r>
    </w:p>
    <w:p w14:paraId="228C6BAF" w14:textId="77777777" w:rsidR="00FC09DF" w:rsidRDefault="00FC09DF">
      <w:pPr>
        <w:ind w:right="-91"/>
        <w:jc w:val="both"/>
        <w:rPr>
          <w:rFonts w:ascii="Times New Roman" w:eastAsia="Times New Roman" w:hAnsi="Times New Roman" w:cs="Times New Roman"/>
        </w:rPr>
      </w:pPr>
    </w:p>
    <w:sectPr w:rsidR="00FC09DF">
      <w:headerReference w:type="default" r:id="rId8"/>
      <w:pgSz w:w="12240" w:h="15840"/>
      <w:pgMar w:top="1134" w:right="1418" w:bottom="85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DACDB" w14:textId="77777777" w:rsidR="00A072DD" w:rsidRDefault="00A072DD">
      <w:pPr>
        <w:spacing w:after="0"/>
      </w:pPr>
      <w:r>
        <w:separator/>
      </w:r>
    </w:p>
  </w:endnote>
  <w:endnote w:type="continuationSeparator" w:id="0">
    <w:p w14:paraId="48AE557D" w14:textId="77777777" w:rsidR="00A072DD" w:rsidRDefault="00A072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F493C9B6-FE1C-4861-9ECE-96D67305438C}"/>
    <w:embedBold r:id="rId2" w:fontKey="{6B36CAB2-FBF0-4B37-B0F1-A9772A252FB9}"/>
  </w:font>
  <w:font w:name="Calibri">
    <w:panose1 w:val="020F0502020204030204"/>
    <w:charset w:val="00"/>
    <w:family w:val="swiss"/>
    <w:pitch w:val="variable"/>
    <w:sig w:usb0="E4002EFF" w:usb1="C200247B" w:usb2="00000009" w:usb3="00000000" w:csb0="000001FF" w:csb1="00000000"/>
    <w:embedRegular r:id="rId3" w:fontKey="{41BE8D75-095C-4E4A-9E4B-FEE2690D3CEF}"/>
  </w:font>
  <w:font w:name="Georgia">
    <w:panose1 w:val="02040502050405020303"/>
    <w:charset w:val="00"/>
    <w:family w:val="auto"/>
    <w:pitch w:val="default"/>
    <w:embedItalic r:id="rId4" w:fontKey="{622CE488-9E6D-4A85-B49A-E2B70DB685A6}"/>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62861BD2-C06B-4645-96ED-857B50E3647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7BD5F" w14:textId="77777777" w:rsidR="00A072DD" w:rsidRDefault="00A072DD">
      <w:pPr>
        <w:spacing w:after="0"/>
      </w:pPr>
      <w:r>
        <w:separator/>
      </w:r>
    </w:p>
  </w:footnote>
  <w:footnote w:type="continuationSeparator" w:id="0">
    <w:p w14:paraId="40471A17" w14:textId="77777777" w:rsidR="00A072DD" w:rsidRDefault="00A072DD">
      <w:pPr>
        <w:spacing w:after="0"/>
      </w:pPr>
      <w:r>
        <w:continuationSeparator/>
      </w:r>
    </w:p>
  </w:footnote>
  <w:footnote w:id="1">
    <w:p w14:paraId="28ECC1CD" w14:textId="77777777" w:rsidR="00FC09DF" w:rsidRDefault="00A072DD">
      <w:pPr>
        <w:pBdr>
          <w:top w:val="nil"/>
          <w:left w:val="nil"/>
          <w:bottom w:val="nil"/>
          <w:right w:val="nil"/>
          <w:between w:val="nil"/>
        </w:pBdr>
        <w:spacing w:after="0"/>
        <w:rPr>
          <w:color w:val="000000"/>
          <w:sz w:val="16"/>
          <w:szCs w:val="16"/>
        </w:rPr>
      </w:pPr>
      <w:r>
        <w:rPr>
          <w:vertAlign w:val="superscript"/>
        </w:rPr>
        <w:footnoteRef/>
      </w:r>
      <w:r>
        <w:rPr>
          <w:sz w:val="16"/>
          <w:szCs w:val="16"/>
        </w:rPr>
        <w:t xml:space="preserve"> </w:t>
      </w:r>
      <w:r>
        <w:rPr>
          <w:rFonts w:ascii="Times New Roman" w:eastAsia="Times New Roman" w:hAnsi="Times New Roman" w:cs="Times New Roman"/>
          <w:sz w:val="18"/>
          <w:szCs w:val="18"/>
        </w:rPr>
        <w:t xml:space="preserve">Comité contra la Desaparición Forzada. (2017). </w:t>
      </w:r>
      <w:r>
        <w:rPr>
          <w:rFonts w:ascii="Times New Roman" w:eastAsia="Times New Roman" w:hAnsi="Times New Roman" w:cs="Times New Roman"/>
          <w:i/>
          <w:iCs/>
          <w:sz w:val="18"/>
          <w:szCs w:val="18"/>
        </w:rPr>
        <w:t>Observaciones finales sobre el informe presentado por Cuba en virtud del artículo 29, párrafo 1, de la Convención</w:t>
      </w:r>
      <w:r>
        <w:rPr>
          <w:rFonts w:ascii="Times New Roman" w:eastAsia="Times New Roman" w:hAnsi="Times New Roman" w:cs="Times New Roman"/>
          <w:sz w:val="18"/>
          <w:szCs w:val="18"/>
        </w:rPr>
        <w:t xml:space="preserve"> (CED/C/CUB/CO/1). Naciones Unidas.</w:t>
      </w:r>
    </w:p>
  </w:footnote>
  <w:footnote w:id="2">
    <w:p w14:paraId="1DD392EB" w14:textId="77777777" w:rsidR="00FC09DF" w:rsidRDefault="00A072DD">
      <w:pPr>
        <w:spacing w:after="0"/>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Naciones Unidas. (2006). </w:t>
      </w:r>
      <w:hyperlink r:id="rId1">
        <w:r>
          <w:rPr>
            <w:rFonts w:ascii="Times New Roman" w:eastAsia="Times New Roman" w:hAnsi="Times New Roman" w:cs="Times New Roman"/>
            <w:i/>
            <w:iCs/>
            <w:color w:val="1155CC"/>
            <w:sz w:val="18"/>
            <w:szCs w:val="18"/>
            <w:u w:val="single"/>
          </w:rPr>
          <w:t>Convención Internacional para la Protección de Todas las Personas contra las Desapariciones Forzadas</w:t>
        </w:r>
      </w:hyperlink>
      <w:r>
        <w:rPr>
          <w:rFonts w:ascii="Times New Roman" w:eastAsia="Times New Roman" w:hAnsi="Times New Roman" w:cs="Times New Roman"/>
          <w:sz w:val="18"/>
          <w:szCs w:val="18"/>
        </w:rPr>
        <w:t>.</w:t>
      </w:r>
    </w:p>
  </w:footnote>
  <w:footnote w:id="3">
    <w:p w14:paraId="58B7F2BF" w14:textId="77777777" w:rsidR="00FC09DF" w:rsidRDefault="00A072DD">
      <w:pPr>
        <w:pBdr>
          <w:top w:val="nil"/>
          <w:left w:val="nil"/>
          <w:bottom w:val="nil"/>
          <w:right w:val="nil"/>
          <w:between w:val="nil"/>
        </w:pBdr>
        <w:spacing w:after="0"/>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 xml:space="preserve">República de Cuba. (2022). </w:t>
      </w:r>
      <w:hyperlink r:id="rId2">
        <w:r>
          <w:rPr>
            <w:rFonts w:ascii="Times New Roman" w:eastAsia="Times New Roman" w:hAnsi="Times New Roman" w:cs="Times New Roman"/>
            <w:i/>
            <w:iCs/>
            <w:color w:val="1155CC"/>
            <w:sz w:val="18"/>
            <w:szCs w:val="18"/>
            <w:u w:val="single"/>
          </w:rPr>
          <w:t>Código Penal (Ley No. 151)</w:t>
        </w:r>
      </w:hyperlink>
      <w:r>
        <w:rPr>
          <w:rFonts w:ascii="Times New Roman" w:eastAsia="Times New Roman" w:hAnsi="Times New Roman" w:cs="Times New Roman"/>
          <w:sz w:val="18"/>
          <w:szCs w:val="18"/>
        </w:rPr>
        <w:t xml:space="preserve">. Gaceta Oficial de la República de Cuba </w:t>
      </w:r>
    </w:p>
  </w:footnote>
  <w:footnote w:id="4">
    <w:p w14:paraId="23E87E21" w14:textId="77777777" w:rsidR="00FC09DF" w:rsidRDefault="00A072DD">
      <w:pPr>
        <w:pBdr>
          <w:top w:val="nil"/>
          <w:left w:val="nil"/>
          <w:bottom w:val="nil"/>
          <w:right w:val="nil"/>
          <w:between w:val="nil"/>
        </w:pBdr>
        <w:spacing w:after="0"/>
        <w:rPr>
          <w:rFonts w:ascii="Times New Roman" w:eastAsia="Times New Roman" w:hAnsi="Times New Roman" w:cs="Times New Roman"/>
          <w:color w:val="000000"/>
          <w:sz w:val="18"/>
          <w:szCs w:val="18"/>
        </w:rPr>
      </w:pPr>
      <w:r>
        <w:rPr>
          <w:vertAlign w:val="superscript"/>
        </w:rPr>
        <w:footnoteRef/>
      </w:r>
      <w:r>
        <w:rPr>
          <w:color w:val="000000"/>
          <w:sz w:val="16"/>
          <w:szCs w:val="16"/>
        </w:rPr>
        <w:t xml:space="preserve"> </w:t>
      </w:r>
      <w:r>
        <w:rPr>
          <w:rFonts w:ascii="Times New Roman" w:eastAsia="Times New Roman" w:hAnsi="Times New Roman" w:cs="Times New Roman"/>
          <w:sz w:val="18"/>
          <w:szCs w:val="18"/>
        </w:rPr>
        <w:t>República de Cuba. (2022).</w:t>
      </w:r>
      <w:hyperlink r:id="rId3">
        <w:r>
          <w:rPr>
            <w:rFonts w:ascii="Times New Roman" w:eastAsia="Times New Roman" w:hAnsi="Times New Roman" w:cs="Times New Roman"/>
            <w:color w:val="1155CC"/>
            <w:sz w:val="18"/>
            <w:szCs w:val="18"/>
            <w:u w:val="single"/>
          </w:rPr>
          <w:t xml:space="preserve"> </w:t>
        </w:r>
      </w:hyperlink>
      <w:hyperlink r:id="rId4">
        <w:r>
          <w:rPr>
            <w:rFonts w:ascii="Times New Roman" w:eastAsia="Times New Roman" w:hAnsi="Times New Roman" w:cs="Times New Roman"/>
            <w:i/>
            <w:iCs/>
            <w:color w:val="1155CC"/>
            <w:sz w:val="18"/>
            <w:szCs w:val="18"/>
            <w:u w:val="single"/>
          </w:rPr>
          <w:t>Código de las Familias (Ley No. 156)</w:t>
        </w:r>
      </w:hyperlink>
      <w:r>
        <w:rPr>
          <w:rFonts w:ascii="Times New Roman" w:eastAsia="Times New Roman" w:hAnsi="Times New Roman" w:cs="Times New Roman"/>
          <w:sz w:val="18"/>
          <w:szCs w:val="18"/>
        </w:rPr>
        <w:t xml:space="preserve">. Gaceta Oficial de la República de Cuba  </w:t>
      </w:r>
      <w:r>
        <w:rPr>
          <w:rFonts w:ascii="Times New Roman" w:eastAsia="Times New Roman" w:hAnsi="Times New Roman" w:cs="Times New Roman"/>
          <w:color w:val="000000"/>
          <w:sz w:val="18"/>
          <w:szCs w:val="18"/>
        </w:rPr>
        <w:t xml:space="preserve"> </w:t>
      </w:r>
    </w:p>
  </w:footnote>
  <w:footnote w:id="5">
    <w:p w14:paraId="293B6B51" w14:textId="77777777" w:rsidR="00FC09DF" w:rsidRDefault="00A072DD">
      <w:pPr>
        <w:pBdr>
          <w:top w:val="nil"/>
          <w:left w:val="nil"/>
          <w:bottom w:val="nil"/>
          <w:right w:val="nil"/>
          <w:between w:val="nil"/>
        </w:pBdr>
        <w:spacing w:after="0"/>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 xml:space="preserve">República de Cuba. (2025). </w:t>
      </w:r>
      <w:hyperlink r:id="rId5">
        <w:r>
          <w:rPr>
            <w:rFonts w:ascii="Times New Roman" w:eastAsia="Times New Roman" w:hAnsi="Times New Roman" w:cs="Times New Roman"/>
            <w:i/>
            <w:iCs/>
            <w:color w:val="1155CC"/>
            <w:sz w:val="18"/>
            <w:szCs w:val="18"/>
            <w:u w:val="single"/>
          </w:rPr>
          <w:t>Ley del Registro Civil (Ley No. 180)</w:t>
        </w:r>
      </w:hyperlink>
      <w:hyperlink r:id="rId6">
        <w:r>
          <w:rPr>
            <w:rFonts w:ascii="Times New Roman" w:eastAsia="Times New Roman" w:hAnsi="Times New Roman" w:cs="Times New Roman"/>
            <w:color w:val="1155CC"/>
            <w:sz w:val="18"/>
            <w:szCs w:val="18"/>
            <w:u w:val="single"/>
          </w:rPr>
          <w:t>.</w:t>
        </w:r>
      </w:hyperlink>
      <w:r>
        <w:rPr>
          <w:rFonts w:ascii="Times New Roman" w:eastAsia="Times New Roman" w:hAnsi="Times New Roman" w:cs="Times New Roman"/>
          <w:sz w:val="18"/>
          <w:szCs w:val="18"/>
        </w:rPr>
        <w:t xml:space="preserve"> Gaceta Oficial de la República de Cuba </w:t>
      </w:r>
    </w:p>
  </w:footnote>
  <w:footnote w:id="6">
    <w:p w14:paraId="6790C629" w14:textId="77777777" w:rsidR="00FC09DF" w:rsidRDefault="00A072DD">
      <w:pPr>
        <w:pBdr>
          <w:top w:val="nil"/>
          <w:left w:val="nil"/>
          <w:bottom w:val="nil"/>
          <w:right w:val="nil"/>
          <w:between w:val="nil"/>
        </w:pBdr>
        <w:spacing w:after="0"/>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 xml:space="preserve">República de Cuba. (2024). </w:t>
      </w:r>
      <w:hyperlink r:id="rId7">
        <w:r>
          <w:rPr>
            <w:rFonts w:ascii="Times New Roman" w:eastAsia="Times New Roman" w:hAnsi="Times New Roman" w:cs="Times New Roman"/>
            <w:i/>
            <w:iCs/>
            <w:color w:val="1155CC"/>
            <w:sz w:val="18"/>
            <w:szCs w:val="18"/>
            <w:u w:val="single"/>
          </w:rPr>
          <w:t>Código de la Niñez, Adolescencias y Juventudes</w:t>
        </w:r>
      </w:hyperlink>
      <w:r>
        <w:rPr>
          <w:rFonts w:ascii="Times New Roman" w:eastAsia="Times New Roman" w:hAnsi="Times New Roman" w:cs="Times New Roman"/>
          <w:sz w:val="18"/>
          <w:szCs w:val="18"/>
        </w:rPr>
        <w:t xml:space="preserve">. Gaceta Oficial de la República de Cuba. </w:t>
      </w:r>
    </w:p>
  </w:footnote>
  <w:footnote w:id="7">
    <w:p w14:paraId="380EF487" w14:textId="77777777" w:rsidR="00FC09DF" w:rsidRDefault="00A072DD">
      <w:pPr>
        <w:pBdr>
          <w:top w:val="nil"/>
          <w:left w:val="nil"/>
          <w:bottom w:val="nil"/>
          <w:right w:val="nil"/>
          <w:between w:val="nil"/>
        </w:pBdr>
        <w:spacing w:after="0"/>
        <w:rPr>
          <w:sz w:val="16"/>
          <w:szCs w:val="16"/>
        </w:rPr>
      </w:pPr>
      <w:r>
        <w:rPr>
          <w:vertAlign w:val="superscript"/>
        </w:rPr>
        <w:footnoteRef/>
      </w:r>
      <w:r>
        <w:rPr>
          <w:color w:val="000000"/>
          <w:sz w:val="20"/>
          <w:szCs w:val="20"/>
        </w:rPr>
        <w:t xml:space="preserve"> </w:t>
      </w:r>
      <w:r>
        <w:rPr>
          <w:rFonts w:ascii="Times New Roman" w:eastAsia="Times New Roman" w:hAnsi="Times New Roman" w:cs="Times New Roman"/>
          <w:sz w:val="18"/>
          <w:szCs w:val="18"/>
        </w:rPr>
        <w:t xml:space="preserve">Comité contra la Desaparición Forzada. (2017). </w:t>
      </w:r>
      <w:r>
        <w:rPr>
          <w:rFonts w:ascii="Times New Roman" w:eastAsia="Times New Roman" w:hAnsi="Times New Roman" w:cs="Times New Roman"/>
          <w:i/>
          <w:iCs/>
          <w:sz w:val="18"/>
          <w:szCs w:val="18"/>
        </w:rPr>
        <w:t>Observaciones finales sobre el informe presentado por Cuba en virtud del artículo 29, párrafo 1, de la Convención</w:t>
      </w:r>
      <w:r>
        <w:rPr>
          <w:rFonts w:ascii="Times New Roman" w:eastAsia="Times New Roman" w:hAnsi="Times New Roman" w:cs="Times New Roman"/>
          <w:sz w:val="18"/>
          <w:szCs w:val="18"/>
        </w:rPr>
        <w:t xml:space="preserve"> (CED/C/CUB/CO/1). Naciones Unidas.</w:t>
      </w:r>
    </w:p>
  </w:footnote>
  <w:footnote w:id="8">
    <w:p w14:paraId="30C7AC85" w14:textId="77777777" w:rsidR="00FC09DF" w:rsidRDefault="00A072DD">
      <w:pPr>
        <w:pBdr>
          <w:top w:val="nil"/>
          <w:left w:val="nil"/>
          <w:bottom w:val="nil"/>
          <w:right w:val="nil"/>
          <w:between w:val="nil"/>
        </w:pBdr>
        <w:spacing w:after="0"/>
        <w:ind w:right="-104"/>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Artículo 367.1. El funcionario público, autoridad o sus agentes que, con abuso de las atribuciones inherentes a su cargo o con quebrantamiento de las formalidades legales establecidas y con la intención de dejarla fuera del amparo de la ley, prive de su libertad a una persona y no reconozca su detención o niegue información sobre su paradero, incurre en sanción de privación de libertad de cuatro a diez años.</w:t>
      </w:r>
    </w:p>
    <w:p w14:paraId="77323D1C" w14:textId="77777777" w:rsidR="00FC09DF" w:rsidRDefault="00A072DD">
      <w:pPr>
        <w:pBdr>
          <w:top w:val="nil"/>
          <w:left w:val="nil"/>
          <w:bottom w:val="nil"/>
          <w:right w:val="nil"/>
          <w:between w:val="nil"/>
        </w:pBdr>
        <w:spacing w:after="0"/>
        <w:ind w:right="-104"/>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 La sanción es de cinco a doce años de privación de libertad, si en el hecho concurre alguna de las circunstancias previstas en los incisos a), b), c), d) y e) del apartado 2 del Artículo 371 de este Código.</w:t>
      </w:r>
    </w:p>
    <w:p w14:paraId="5D5F505C" w14:textId="77777777" w:rsidR="00FC09DF" w:rsidRDefault="00A072DD">
      <w:pPr>
        <w:pBdr>
          <w:top w:val="nil"/>
          <w:left w:val="nil"/>
          <w:bottom w:val="nil"/>
          <w:right w:val="nil"/>
          <w:between w:val="nil"/>
        </w:pBdr>
        <w:spacing w:after="0"/>
        <w:ind w:right="-104"/>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 Si, como consecuencia del hecho, resulta la muerte de la víctima, siempre que este resultado haya podido o debido preverse por el agente, la sanción es de privación de libertad de siete a quince años.</w:t>
      </w:r>
    </w:p>
    <w:p w14:paraId="2C9AB68F" w14:textId="77777777" w:rsidR="00FC09DF" w:rsidRDefault="00A072DD">
      <w:pPr>
        <w:pBdr>
          <w:top w:val="nil"/>
          <w:left w:val="nil"/>
          <w:bottom w:val="nil"/>
          <w:right w:val="nil"/>
          <w:between w:val="nil"/>
        </w:pBdr>
        <w:spacing w:after="0"/>
        <w:ind w:right="-104"/>
        <w:jc w:val="both"/>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 xml:space="preserve">4. Las sanciones previstas en este artículo se imponen siempre que los hechos no constituyan un delito de mayor entidad.” </w:t>
      </w:r>
      <w:r>
        <w:rPr>
          <w:rFonts w:ascii="Times New Roman" w:eastAsia="Times New Roman" w:hAnsi="Times New Roman" w:cs="Times New Roman"/>
          <w:sz w:val="18"/>
          <w:szCs w:val="18"/>
        </w:rPr>
        <w:t xml:space="preserve">República de Cuba. (2022). </w:t>
      </w:r>
      <w:hyperlink r:id="rId8">
        <w:r>
          <w:rPr>
            <w:rFonts w:ascii="Times New Roman" w:eastAsia="Times New Roman" w:hAnsi="Times New Roman" w:cs="Times New Roman"/>
            <w:i/>
            <w:iCs/>
            <w:color w:val="1155CC"/>
            <w:sz w:val="18"/>
            <w:szCs w:val="18"/>
            <w:u w:val="single"/>
          </w:rPr>
          <w:t>Código Penal (Ley No. 151)</w:t>
        </w:r>
      </w:hyperlink>
      <w:r>
        <w:rPr>
          <w:rFonts w:ascii="Times New Roman" w:eastAsia="Times New Roman" w:hAnsi="Times New Roman" w:cs="Times New Roman"/>
          <w:sz w:val="18"/>
          <w:szCs w:val="18"/>
        </w:rPr>
        <w:t xml:space="preserve">. Gaceta Oficial de la República de Cuba. </w:t>
      </w:r>
    </w:p>
  </w:footnote>
  <w:footnote w:id="9">
    <w:p w14:paraId="465A5D52" w14:textId="77777777" w:rsidR="00FC09DF" w:rsidRDefault="00A072DD">
      <w:pPr>
        <w:pBdr>
          <w:top w:val="nil"/>
          <w:left w:val="nil"/>
          <w:bottom w:val="nil"/>
          <w:right w:val="nil"/>
          <w:between w:val="nil"/>
        </w:pBdr>
        <w:spacing w:after="0"/>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Artículo 91. Derechos de las personas adoptadas. 1. Las personas adoptadas tienen derecho a:</w:t>
      </w:r>
    </w:p>
    <w:p w14:paraId="13BAF6AC" w14:textId="77777777" w:rsidR="00FC09DF" w:rsidRDefault="00A072DD">
      <w:pPr>
        <w:pBdr>
          <w:top w:val="nil"/>
          <w:left w:val="nil"/>
          <w:bottom w:val="nil"/>
          <w:right w:val="nil"/>
          <w:between w:val="nil"/>
        </w:pBdr>
        <w:spacing w:after="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 Conocer su identidad biológica y su origen;</w:t>
      </w:r>
    </w:p>
    <w:p w14:paraId="0695DCD6" w14:textId="77777777" w:rsidR="00FC09DF" w:rsidRDefault="00A072DD">
      <w:pPr>
        <w:pBdr>
          <w:top w:val="nil"/>
          <w:left w:val="nil"/>
          <w:bottom w:val="nil"/>
          <w:right w:val="nil"/>
          <w:between w:val="nil"/>
        </w:pBdr>
        <w:spacing w:after="0"/>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 xml:space="preserve">b) acceder al expediente de adopción a partir de que adquieran la plena capacidad jurídica de acuerdo con las normas que en esta materia se establecen en el Código Civil o las que lo complementen (…) </w:t>
      </w:r>
      <w:r>
        <w:rPr>
          <w:rFonts w:ascii="Times New Roman" w:eastAsia="Times New Roman" w:hAnsi="Times New Roman" w:cs="Times New Roman"/>
          <w:sz w:val="18"/>
          <w:szCs w:val="18"/>
        </w:rPr>
        <w:t>República de Cuba. (2022).</w:t>
      </w:r>
      <w:hyperlink r:id="rId9">
        <w:r>
          <w:rPr>
            <w:rFonts w:ascii="Times New Roman" w:eastAsia="Times New Roman" w:hAnsi="Times New Roman" w:cs="Times New Roman"/>
            <w:color w:val="1155CC"/>
            <w:sz w:val="18"/>
            <w:szCs w:val="18"/>
            <w:u w:val="single"/>
          </w:rPr>
          <w:t xml:space="preserve"> </w:t>
        </w:r>
      </w:hyperlink>
      <w:hyperlink r:id="rId10">
        <w:r>
          <w:rPr>
            <w:rFonts w:ascii="Times New Roman" w:eastAsia="Times New Roman" w:hAnsi="Times New Roman" w:cs="Times New Roman"/>
            <w:i/>
            <w:iCs/>
            <w:color w:val="1155CC"/>
            <w:sz w:val="18"/>
            <w:szCs w:val="18"/>
            <w:u w:val="single"/>
          </w:rPr>
          <w:t>Código de las Familias (Ley No. 156)</w:t>
        </w:r>
      </w:hyperlink>
      <w:r>
        <w:rPr>
          <w:rFonts w:ascii="Times New Roman" w:eastAsia="Times New Roman" w:hAnsi="Times New Roman" w:cs="Times New Roman"/>
          <w:sz w:val="18"/>
          <w:szCs w:val="18"/>
        </w:rPr>
        <w:t xml:space="preserve">. Gaceta Oficial de la República de Cuba   </w:t>
      </w:r>
    </w:p>
  </w:footnote>
  <w:footnote w:id="10">
    <w:p w14:paraId="3E45A1A2" w14:textId="77777777" w:rsidR="00FC09DF" w:rsidRDefault="00A072DD">
      <w:pPr>
        <w:pBdr>
          <w:top w:val="nil"/>
          <w:left w:val="nil"/>
          <w:bottom w:val="nil"/>
          <w:right w:val="nil"/>
          <w:between w:val="nil"/>
        </w:pBdr>
        <w:spacing w:after="0"/>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sz w:val="18"/>
          <w:szCs w:val="18"/>
        </w:rPr>
        <w:t xml:space="preserve"> República de Cuba. (2026). </w:t>
      </w:r>
      <w:hyperlink r:id="rId11">
        <w:r>
          <w:rPr>
            <w:rFonts w:ascii="Times New Roman" w:eastAsia="Times New Roman" w:hAnsi="Times New Roman" w:cs="Times New Roman"/>
            <w:i/>
            <w:iCs/>
            <w:color w:val="1155CC"/>
            <w:sz w:val="18"/>
            <w:szCs w:val="18"/>
            <w:u w:val="single"/>
          </w:rPr>
          <w:t>Ley de la Salud Pública (Ley No. 165 de 2023)</w:t>
        </w:r>
      </w:hyperlink>
      <w:r>
        <w:rPr>
          <w:rFonts w:ascii="Times New Roman" w:eastAsia="Times New Roman" w:hAnsi="Times New Roman" w:cs="Times New Roman"/>
          <w:sz w:val="18"/>
          <w:szCs w:val="18"/>
        </w:rPr>
        <w:t xml:space="preserve">. Gaceta Oficial de la República de Cuba; República de Cuba. (2026). </w:t>
      </w:r>
      <w:hyperlink r:id="rId12">
        <w:r>
          <w:rPr>
            <w:rFonts w:ascii="Times New Roman" w:eastAsia="Times New Roman" w:hAnsi="Times New Roman" w:cs="Times New Roman"/>
            <w:i/>
            <w:iCs/>
            <w:color w:val="1155CC"/>
            <w:sz w:val="18"/>
            <w:szCs w:val="18"/>
            <w:u w:val="single"/>
          </w:rPr>
          <w:t>Reglamento de la Ley 165 “Ley de la Salud Pública” (Decreto No. 133 de 2025)</w:t>
        </w:r>
      </w:hyperlink>
      <w:r>
        <w:rPr>
          <w:rFonts w:ascii="Times New Roman" w:eastAsia="Times New Roman" w:hAnsi="Times New Roman" w:cs="Times New Roman"/>
          <w:sz w:val="18"/>
          <w:szCs w:val="18"/>
        </w:rPr>
        <w:t xml:space="preserve">. Gaceta Oficial de la República de Cuba.  </w:t>
      </w:r>
      <w:r>
        <w:rPr>
          <w:rFonts w:ascii="Times New Roman" w:eastAsia="Times New Roman" w:hAnsi="Times New Roman" w:cs="Times New Roman"/>
          <w:color w:val="000000"/>
          <w:sz w:val="18"/>
          <w:szCs w:val="18"/>
        </w:rPr>
        <w:t xml:space="preserve"> </w:t>
      </w:r>
    </w:p>
  </w:footnote>
  <w:footnote w:id="11">
    <w:p w14:paraId="10569DEB" w14:textId="77777777" w:rsidR="00FC09DF" w:rsidRDefault="00A072DD">
      <w:pPr>
        <w:pBdr>
          <w:top w:val="nil"/>
          <w:left w:val="nil"/>
          <w:bottom w:val="nil"/>
          <w:right w:val="nil"/>
          <w:between w:val="nil"/>
        </w:pBdr>
        <w:spacing w:after="0"/>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“Artículo 97. Toda persona que se encuentre en el territorio nacional no puede salir del país mientras se encuentre comprendida en alguno de los supuestos siguientes: h) las personas menores de edad ciudadanos cubanos a quienes les sea revocada la autorización de los padres, madres u otros representantes legales, formalizada ante Notario Público, o ante la ausencia de esta autorización, no cuente con la resolución dispuesta por un tribunal competente; (…)” </w:t>
      </w:r>
      <w:r>
        <w:rPr>
          <w:rFonts w:ascii="Times New Roman" w:eastAsia="Times New Roman" w:hAnsi="Times New Roman" w:cs="Times New Roman"/>
          <w:sz w:val="18"/>
          <w:szCs w:val="18"/>
        </w:rPr>
        <w:t xml:space="preserve">República de Cuba. (2024). </w:t>
      </w:r>
      <w:hyperlink r:id="rId13">
        <w:r>
          <w:rPr>
            <w:rFonts w:ascii="Times New Roman" w:eastAsia="Times New Roman" w:hAnsi="Times New Roman" w:cs="Times New Roman"/>
            <w:i/>
            <w:iCs/>
            <w:color w:val="1155CC"/>
            <w:sz w:val="18"/>
            <w:szCs w:val="18"/>
            <w:u w:val="single"/>
          </w:rPr>
          <w:t>Ley de Migración y Extranjería</w:t>
        </w:r>
      </w:hyperlink>
      <w:hyperlink r:id="rId14">
        <w:r>
          <w:rPr>
            <w:rFonts w:ascii="Times New Roman" w:eastAsia="Times New Roman" w:hAnsi="Times New Roman" w:cs="Times New Roman"/>
            <w:color w:val="1155CC"/>
            <w:sz w:val="18"/>
            <w:szCs w:val="18"/>
            <w:u w:val="single"/>
          </w:rPr>
          <w:t>.</w:t>
        </w:r>
      </w:hyperlink>
      <w:r>
        <w:rPr>
          <w:rFonts w:ascii="Times New Roman" w:eastAsia="Times New Roman" w:hAnsi="Times New Roman" w:cs="Times New Roman"/>
          <w:sz w:val="18"/>
          <w:szCs w:val="18"/>
        </w:rPr>
        <w:t xml:space="preserve"> Gaceta Oficial de la República de Cuba.  </w:t>
      </w:r>
    </w:p>
  </w:footnote>
  <w:footnote w:id="12">
    <w:p w14:paraId="65F50095" w14:textId="77777777" w:rsidR="00FC09DF" w:rsidRDefault="00A072DD">
      <w:pPr>
        <w:pBdr>
          <w:top w:val="nil"/>
          <w:left w:val="nil"/>
          <w:bottom w:val="nil"/>
          <w:right w:val="nil"/>
          <w:between w:val="nil"/>
        </w:pBdr>
        <w:spacing w:after="0"/>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Artículo 103.1. La Autoridad Migratoria realiza las acciones que resulten posibles dentro de la esfera de su competencia para ofrecer una atención priorizada a las víctimas que sean niños, niñas o adolescentes ciudadanos cubanos y se encuentren en el exterior, de acuerdo con su edad, estado de salud, documentación legal de identificación que posean; atendiendo a su interés superior, autonomía progresiva y grado de madurez, así como sus derechos a opinar y ser escuchado.</w:t>
      </w:r>
    </w:p>
    <w:p w14:paraId="03244786" w14:textId="77777777" w:rsidR="00FC09DF" w:rsidRDefault="00A072DD">
      <w:pPr>
        <w:pBdr>
          <w:top w:val="nil"/>
          <w:left w:val="nil"/>
          <w:bottom w:val="nil"/>
          <w:right w:val="nil"/>
          <w:between w:val="nil"/>
        </w:pBdr>
        <w:spacing w:after="0"/>
        <w:jc w:val="both"/>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 xml:space="preserve">2. Los niños, niñas o adolescentes extranjeros que se encuentren en el territorio nacional y sean víctimas de la trata de personas y del tráfico ilícito de migrantes, reciben un trato de la Autoridad Migratoria similar al que se refiere el párrafo anterior para los niños, niñas y adolescentes cubanos. </w:t>
      </w:r>
      <w:r>
        <w:rPr>
          <w:rFonts w:ascii="Times New Roman" w:eastAsia="Times New Roman" w:hAnsi="Times New Roman" w:cs="Times New Roman"/>
          <w:sz w:val="18"/>
          <w:szCs w:val="18"/>
        </w:rPr>
        <w:t xml:space="preserve">República de Cuba. (2024). </w:t>
      </w:r>
      <w:hyperlink r:id="rId15">
        <w:r>
          <w:rPr>
            <w:rFonts w:ascii="Times New Roman" w:eastAsia="Times New Roman" w:hAnsi="Times New Roman" w:cs="Times New Roman"/>
            <w:i/>
            <w:iCs/>
            <w:color w:val="1155CC"/>
            <w:sz w:val="18"/>
            <w:szCs w:val="18"/>
            <w:u w:val="single"/>
          </w:rPr>
          <w:t>Ley de Migración y Extranjería</w:t>
        </w:r>
      </w:hyperlink>
      <w:hyperlink r:id="rId16">
        <w:r>
          <w:rPr>
            <w:rFonts w:ascii="Times New Roman" w:eastAsia="Times New Roman" w:hAnsi="Times New Roman" w:cs="Times New Roman"/>
            <w:color w:val="1155CC"/>
            <w:sz w:val="18"/>
            <w:szCs w:val="18"/>
            <w:u w:val="single"/>
          </w:rPr>
          <w:t>.</w:t>
        </w:r>
      </w:hyperlink>
      <w:r>
        <w:rPr>
          <w:rFonts w:ascii="Times New Roman" w:eastAsia="Times New Roman" w:hAnsi="Times New Roman" w:cs="Times New Roman"/>
          <w:sz w:val="18"/>
          <w:szCs w:val="18"/>
        </w:rPr>
        <w:t xml:space="preserve"> Gaceta Oficial de la República de Cuba.  </w:t>
      </w:r>
    </w:p>
  </w:footnote>
  <w:footnote w:id="13">
    <w:p w14:paraId="21D888AB" w14:textId="77777777" w:rsidR="00FC09DF" w:rsidRDefault="00A072DD">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República de Cuba. (2023). </w:t>
      </w:r>
      <w:hyperlink r:id="rId17">
        <w:r>
          <w:rPr>
            <w:rFonts w:ascii="Times New Roman" w:eastAsia="Times New Roman" w:hAnsi="Times New Roman" w:cs="Times New Roman"/>
            <w:i/>
            <w:iCs/>
            <w:color w:val="1155CC"/>
            <w:sz w:val="18"/>
            <w:szCs w:val="18"/>
            <w:u w:val="single"/>
          </w:rPr>
          <w:t>Ley de la Fiscalía General de la República (Ley No. 160 de 2022)</w:t>
        </w:r>
      </w:hyperlink>
      <w:r>
        <w:rPr>
          <w:rFonts w:ascii="Times New Roman" w:eastAsia="Times New Roman" w:hAnsi="Times New Roman" w:cs="Times New Roman"/>
          <w:sz w:val="18"/>
          <w:szCs w:val="18"/>
        </w:rPr>
        <w:t xml:space="preserve">. Gaceta Oficial de la República de Cuba. </w:t>
      </w:r>
    </w:p>
  </w:footnote>
  <w:footnote w:id="14">
    <w:p w14:paraId="0AFFC951" w14:textId="77777777" w:rsidR="00FC09DF" w:rsidRDefault="00A072DD">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República de Cuba. (2023). </w:t>
      </w:r>
      <w:r>
        <w:rPr>
          <w:rFonts w:ascii="Times New Roman" w:eastAsia="Times New Roman" w:hAnsi="Times New Roman" w:cs="Times New Roman"/>
          <w:i/>
          <w:iCs/>
          <w:sz w:val="18"/>
          <w:szCs w:val="18"/>
        </w:rPr>
        <w:t xml:space="preserve">Manual de funcionamiento de la Defensoría en materia civil, familiar, mercantil, trabajo y seguridad social de las personas en situación de vulnerabilidad </w:t>
      </w:r>
      <w:hyperlink r:id="rId18">
        <w:r>
          <w:rPr>
            <w:rFonts w:ascii="Times New Roman" w:eastAsia="Times New Roman" w:hAnsi="Times New Roman" w:cs="Times New Roman"/>
            <w:i/>
            <w:iCs/>
            <w:color w:val="1155CC"/>
            <w:sz w:val="18"/>
            <w:szCs w:val="18"/>
            <w:u w:val="single"/>
          </w:rPr>
          <w:t>(Resolución No. 496 de 2023)</w:t>
        </w:r>
      </w:hyperlink>
      <w:r>
        <w:rPr>
          <w:rFonts w:ascii="Times New Roman" w:eastAsia="Times New Roman" w:hAnsi="Times New Roman" w:cs="Times New Roman"/>
          <w:sz w:val="18"/>
          <w:szCs w:val="18"/>
        </w:rPr>
        <w:t xml:space="preserve">. Gaceta Oficial de la República de Cuba.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AB29" w14:textId="77777777" w:rsidR="00FC09DF" w:rsidRDefault="00A072DD">
    <w:pPr>
      <w:spacing w:after="0" w:line="276" w:lineRule="auto"/>
      <w:jc w:val="center"/>
    </w:pPr>
    <w:r>
      <w:rPr>
        <w:rFonts w:ascii="Arial" w:eastAsia="Arial" w:hAnsi="Arial" w:cs="Arial"/>
        <w:noProof/>
        <w:sz w:val="22"/>
        <w:szCs w:val="22"/>
      </w:rPr>
      <w:drawing>
        <wp:inline distT="114300" distB="114300" distL="114300" distR="114300" wp14:anchorId="5B31B890" wp14:editId="1D824062">
          <wp:extent cx="3314700" cy="1181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9258" b="22013"/>
                  <a:stretch>
                    <a:fillRect/>
                  </a:stretch>
                </pic:blipFill>
                <pic:spPr>
                  <a:xfrm>
                    <a:off x="0" y="0"/>
                    <a:ext cx="3314700" cy="11811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63F20"/>
    <w:multiLevelType w:val="multilevel"/>
    <w:tmpl w:val="D5022C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62864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9DF"/>
    <w:rsid w:val="00096F1F"/>
    <w:rsid w:val="00A072DD"/>
    <w:rsid w:val="00C52314"/>
    <w:rsid w:val="00FC09DF"/>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BF21"/>
  <w15:docId w15:val="{6F774A39-8051-446C-9DB6-B504FD97A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SV" w:eastAsia="zh-CN"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80" w:after="180"/>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semiHidden/>
    <w:unhideWhenUsed/>
    <w:qFormat/>
    <w:pPr>
      <w:keepNext/>
      <w:keepLines/>
      <w:spacing w:before="40" w:after="0"/>
      <w:outlineLvl w:val="1"/>
    </w:pPr>
    <w:rPr>
      <w:rFonts w:ascii="Calibri" w:eastAsia="Calibri" w:hAnsi="Calibri" w:cs="Calibri"/>
      <w:color w:val="2E75B5"/>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E4D7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legal@cubalex.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gacetaoficial.gob.cu/es/ley-151-de-2022-de-asamblea-nacional-del-poder-popular" TargetMode="External"/><Relationship Id="rId13" Type="http://schemas.openxmlformats.org/officeDocument/2006/relationships/hyperlink" Target="https://www.parlamentocubano.gob.cu/sites/default/files/documento/2024-07/16.proyecto-ley-migracion-ultima-version.pdf" TargetMode="External"/><Relationship Id="rId18" Type="http://schemas.openxmlformats.org/officeDocument/2006/relationships/hyperlink" Target="https://www.gacetaoficial.gob.cu/sites/default/files/goc-2023-o96_0.pdf" TargetMode="External"/><Relationship Id="rId3" Type="http://schemas.openxmlformats.org/officeDocument/2006/relationships/hyperlink" Target="https://www.gacetaoficial.gob.cu/es/ley-156-de-2022-de-asamblea-nacional-del-poder-popular-0" TargetMode="External"/><Relationship Id="rId7" Type="http://schemas.openxmlformats.org/officeDocument/2006/relationships/hyperlink" Target="https://www.gacetaoficial.gob.cu/es/ley-178-de-2025-de-asamblea%20-nacional-del-poder-popular" TargetMode="External"/><Relationship Id="rId12" Type="http://schemas.openxmlformats.org/officeDocument/2006/relationships/hyperlink" Target="https://www.gacetaoficial.gob.cu/es/gaceta-oficial-no-9-ordinaria-de-2026" TargetMode="External"/><Relationship Id="rId17" Type="http://schemas.openxmlformats.org/officeDocument/2006/relationships/hyperlink" Target="https://www.gacetaoficial.gob.cu/es/ley-160-de-2022-de-asamblea-nacional-del-poder-popular" TargetMode="External"/><Relationship Id="rId2" Type="http://schemas.openxmlformats.org/officeDocument/2006/relationships/hyperlink" Target="https://www.gacetaoficial.gob.cu/es/ley-151-de-2022-de-asamblea-nacional-del-poder-popular" TargetMode="External"/><Relationship Id="rId16" Type="http://schemas.openxmlformats.org/officeDocument/2006/relationships/hyperlink" Target="https://www.parlamentocubano.gob.cu/sites/default/files/documento/2024-07/16.proyecto-ley-migracion-ultima-version.pdf" TargetMode="External"/><Relationship Id="rId1" Type="http://schemas.openxmlformats.org/officeDocument/2006/relationships/hyperlink" Target="https://www.ohchr.org/sites/default/files/disappearance-convention.pdf" TargetMode="External"/><Relationship Id="rId6" Type="http://schemas.openxmlformats.org/officeDocument/2006/relationships/hyperlink" Target="https://www.gacetaoficial.gob.cu/es/ley-180-de-2025-de-asamblea-nacional-del-poder-popular" TargetMode="External"/><Relationship Id="rId11" Type="http://schemas.openxmlformats.org/officeDocument/2006/relationships/hyperlink" Target="https://www.gacetaoficial.gob.cu/es/gaceta-oficial-no-9-ordinaria-de-2026" TargetMode="External"/><Relationship Id="rId5" Type="http://schemas.openxmlformats.org/officeDocument/2006/relationships/hyperlink" Target="https://www.gacetaoficial.gob.cu/es/ley-180-de-2025-de-asamblea-nacional-del-poder-popular" TargetMode="External"/><Relationship Id="rId15" Type="http://schemas.openxmlformats.org/officeDocument/2006/relationships/hyperlink" Target="https://www.parlamentocubano.gob.cu/sites/default/files/documento/2024-07/16.proyecto-ley-migracion-ultima-version.pdf" TargetMode="External"/><Relationship Id="rId10" Type="http://schemas.openxmlformats.org/officeDocument/2006/relationships/hyperlink" Target="https://www.gacetaoficial.gob.cu/es/ley-156-de-2022-de-asamblea-nacional-del-poder-popular-0" TargetMode="External"/><Relationship Id="rId4" Type="http://schemas.openxmlformats.org/officeDocument/2006/relationships/hyperlink" Target="https://www.gacetaoficial.gob.cu/es/ley-156-de-2022-de-asamblea-nacional-del-poder-popular-0" TargetMode="External"/><Relationship Id="rId9" Type="http://schemas.openxmlformats.org/officeDocument/2006/relationships/hyperlink" Target="https://www.gacetaoficial.gob.cu/es/ley-156-de-2022-de-asamblea-nacional-del-poder-popular-0" TargetMode="External"/><Relationship Id="rId14" Type="http://schemas.openxmlformats.org/officeDocument/2006/relationships/hyperlink" Target="https://www.parlamentocubano.gob.cu/sites/default/files/documento/2024-07/16.proyecto-ley-migracion-ultima-vers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2026-07-24T09:04:56+00:00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DB88227-728A-464E-8C83-E7FEFCE74DD0}"/>
</file>

<file path=customXml/itemProps2.xml><?xml version="1.0" encoding="utf-8"?>
<ds:datastoreItem xmlns:ds="http://schemas.openxmlformats.org/officeDocument/2006/customXml" ds:itemID="{2573C929-5370-477F-B174-BBBC5B6017CE}"/>
</file>

<file path=customXml/itemProps3.xml><?xml version="1.0" encoding="utf-8"?>
<ds:datastoreItem xmlns:ds="http://schemas.openxmlformats.org/officeDocument/2006/customXml" ds:itemID="{DA8C3F3A-FAFA-4D2E-BC58-A4D2D742505C}"/>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3773</Words>
  <Characters>21510</Characters>
  <Application>Microsoft Office Word</Application>
  <DocSecurity>0</DocSecurity>
  <Lines>179</Lines>
  <Paragraphs>50</Paragraphs>
  <ScaleCrop>false</ScaleCrop>
  <Company/>
  <LinksUpToDate>false</LinksUpToDate>
  <CharactersWithSpaces>25233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2026-07-24T09:04:00Z</dcterms:created>
  <dcterms:modified xsi:type="dcterms:W3CDTF">2026-07-24T09:04:00Z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