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36E9F" w14:textId="30B08324" w:rsidR="00B104F9" w:rsidRPr="00F24B2E" w:rsidRDefault="00B104F9" w:rsidP="00B104F9">
      <w:pPr>
        <w:pStyle w:val="NormalWeb"/>
        <w:jc w:val="center"/>
        <w:rPr>
          <w:rFonts w:ascii="Verdana" w:hAnsi="Verdana" w:cstheme="minorBidi"/>
          <w:b/>
          <w:bCs/>
          <w:sz w:val="18"/>
          <w:szCs w:val="22"/>
          <w:lang w:bidi="th-TH"/>
        </w:rPr>
      </w:pPr>
    </w:p>
    <w:p w14:paraId="6E17BEB9" w14:textId="7EA3C727" w:rsidR="00B104F9" w:rsidRDefault="00B104F9" w:rsidP="00B104F9">
      <w:pPr>
        <w:pStyle w:val="NormalWeb"/>
        <w:jc w:val="center"/>
        <w:rPr>
          <w:rFonts w:ascii="Verdana" w:hAnsi="Verdana"/>
          <w:b/>
          <w:bCs/>
          <w:sz w:val="18"/>
          <w:szCs w:val="18"/>
        </w:rPr>
      </w:pPr>
      <w:r>
        <w:rPr>
          <w:rFonts w:ascii="Verdana" w:hAnsi="Verdana"/>
          <w:b/>
          <w:bCs/>
          <w:noProof/>
          <w:sz w:val="18"/>
          <w:szCs w:val="18"/>
        </w:rPr>
        <w:drawing>
          <wp:anchor distT="0" distB="0" distL="114300" distR="114300" simplePos="0" relativeHeight="251659264" behindDoc="0" locked="0" layoutInCell="1" allowOverlap="1" wp14:anchorId="42570EC8" wp14:editId="0E8B8501">
            <wp:simplePos x="0" y="0"/>
            <wp:positionH relativeFrom="margin">
              <wp:posOffset>2063750</wp:posOffset>
            </wp:positionH>
            <wp:positionV relativeFrom="margin">
              <wp:posOffset>328295</wp:posOffset>
            </wp:positionV>
            <wp:extent cx="1600200" cy="609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0200" cy="609600"/>
                    </a:xfrm>
                    <a:prstGeom prst="rect">
                      <a:avLst/>
                    </a:prstGeom>
                    <a:noFill/>
                    <a:ln>
                      <a:noFill/>
                    </a:ln>
                  </pic:spPr>
                </pic:pic>
              </a:graphicData>
            </a:graphic>
          </wp:anchor>
        </w:drawing>
      </w:r>
    </w:p>
    <w:p w14:paraId="1FFCADCE" w14:textId="77777777" w:rsidR="00B104F9" w:rsidRDefault="00B104F9" w:rsidP="00B104F9">
      <w:pPr>
        <w:pStyle w:val="NormalWeb"/>
        <w:jc w:val="center"/>
        <w:rPr>
          <w:rFonts w:ascii="Verdana" w:hAnsi="Verdana"/>
          <w:b/>
          <w:bCs/>
          <w:sz w:val="18"/>
          <w:szCs w:val="18"/>
        </w:rPr>
      </w:pPr>
    </w:p>
    <w:p w14:paraId="3BA46F35" w14:textId="77777777" w:rsidR="00B104F9" w:rsidRPr="00E559A4" w:rsidRDefault="00B104F9" w:rsidP="00B104F9">
      <w:pPr>
        <w:pStyle w:val="NormalWeb"/>
        <w:jc w:val="center"/>
        <w:rPr>
          <w:rFonts w:ascii="Verdana" w:hAnsi="Verdana"/>
          <w:b/>
          <w:bCs/>
          <w:sz w:val="19"/>
          <w:szCs w:val="19"/>
        </w:rPr>
      </w:pPr>
    </w:p>
    <w:p w14:paraId="2E4B2703" w14:textId="77777777" w:rsidR="00B104F9" w:rsidRPr="006E1EB9" w:rsidRDefault="00B104F9" w:rsidP="00B104F9">
      <w:pPr>
        <w:pStyle w:val="NormalWeb"/>
        <w:jc w:val="center"/>
        <w:rPr>
          <w:rFonts w:ascii="Verdana" w:hAnsi="Verdana"/>
          <w:b/>
          <w:bCs/>
          <w:sz w:val="19"/>
          <w:szCs w:val="19"/>
        </w:rPr>
      </w:pPr>
      <w:r>
        <w:rPr>
          <w:rFonts w:ascii="Verdana" w:hAnsi="Verdana" w:cs="Angsana New"/>
          <w:b/>
          <w:bCs/>
          <w:color w:val="2E74B5" w:themeColor="accent5" w:themeShade="BF"/>
          <w:sz w:val="19"/>
          <w:szCs w:val="19"/>
          <w:cs/>
          <w:lang w:bidi="th-TH"/>
        </w:rPr>
        <w:t xml:space="preserve">                       </w:t>
      </w:r>
      <w:r>
        <w:rPr>
          <w:rFonts w:ascii="Verdana" w:hAnsi="Verdana"/>
          <w:b/>
          <w:bCs/>
          <w:color w:val="2E74B5" w:themeColor="accent5" w:themeShade="BF"/>
          <w:sz w:val="19"/>
          <w:szCs w:val="19"/>
        </w:rPr>
        <w:tab/>
      </w:r>
      <w:r>
        <w:rPr>
          <w:rFonts w:ascii="Verdana" w:hAnsi="Verdana"/>
          <w:b/>
          <w:bCs/>
          <w:color w:val="2E74B5" w:themeColor="accent5" w:themeShade="BF"/>
          <w:sz w:val="19"/>
          <w:szCs w:val="19"/>
        </w:rPr>
        <w:tab/>
      </w:r>
      <w:r w:rsidRPr="006E1EB9">
        <w:rPr>
          <w:rFonts w:ascii="Verdana" w:hAnsi="Verdana"/>
          <w:b/>
          <w:bCs/>
          <w:sz w:val="19"/>
          <w:szCs w:val="19"/>
        </w:rPr>
        <w:tab/>
      </w:r>
      <w:r w:rsidRPr="006E1EB9">
        <w:rPr>
          <w:rFonts w:ascii="Verdana" w:hAnsi="Verdana" w:cs="Angsana New"/>
          <w:b/>
          <w:bCs/>
          <w:sz w:val="19"/>
          <w:szCs w:val="19"/>
          <w:cs/>
          <w:lang w:bidi="th-TH"/>
        </w:rPr>
        <w:t xml:space="preserve">     </w:t>
      </w:r>
      <w:r w:rsidRPr="006E1EB9">
        <w:rPr>
          <w:rFonts w:ascii="Verdana" w:hAnsi="Verdana"/>
          <w:b/>
          <w:bCs/>
          <w:sz w:val="19"/>
          <w:szCs w:val="19"/>
        </w:rPr>
        <w:tab/>
      </w:r>
      <w:r w:rsidRPr="006E1EB9">
        <w:rPr>
          <w:rFonts w:ascii="Verdana" w:hAnsi="Verdana"/>
          <w:b/>
          <w:bCs/>
          <w:sz w:val="19"/>
          <w:szCs w:val="19"/>
        </w:rPr>
        <w:tab/>
      </w:r>
    </w:p>
    <w:p w14:paraId="14246101" w14:textId="3ED95C42" w:rsidR="00B104F9" w:rsidRPr="007823FE" w:rsidRDefault="00B104F9" w:rsidP="00B104F9">
      <w:pPr>
        <w:pStyle w:val="NormalWeb"/>
        <w:jc w:val="center"/>
        <w:rPr>
          <w:rFonts w:ascii="Verdana" w:hAnsi="Verdana"/>
          <w:b/>
          <w:bCs/>
        </w:rPr>
      </w:pPr>
      <w:r w:rsidRPr="007823FE">
        <w:rPr>
          <w:rFonts w:ascii="Verdana" w:hAnsi="Verdana"/>
          <w:b/>
          <w:bCs/>
        </w:rPr>
        <w:t xml:space="preserve">SUBMISSION OF THE INTERNATIONAL COMMISSION OF JURISTS TO THE </w:t>
      </w:r>
      <w:r w:rsidR="00AC141F">
        <w:rPr>
          <w:rFonts w:ascii="Verdana" w:hAnsi="Verdana"/>
          <w:b/>
          <w:bCs/>
        </w:rPr>
        <w:t xml:space="preserve">COMMITTEE ON </w:t>
      </w:r>
      <w:r w:rsidR="000829E3">
        <w:rPr>
          <w:rFonts w:ascii="Verdana" w:hAnsi="Verdana"/>
          <w:b/>
          <w:bCs/>
        </w:rPr>
        <w:t xml:space="preserve">THE ELIMINATION OF DISCRIMINATION AGAINST WOMEN </w:t>
      </w:r>
      <w:r w:rsidRPr="007823FE">
        <w:rPr>
          <w:rFonts w:ascii="Verdana" w:hAnsi="Verdana"/>
          <w:b/>
          <w:bCs/>
        </w:rPr>
        <w:t xml:space="preserve">IN ADVANCE OF THE EXAMINATION OF </w:t>
      </w:r>
      <w:r w:rsidR="000829E3">
        <w:rPr>
          <w:rFonts w:ascii="Verdana" w:hAnsi="Verdana"/>
          <w:b/>
          <w:bCs/>
        </w:rPr>
        <w:t xml:space="preserve">THE PHILIPPINES’ </w:t>
      </w:r>
      <w:r w:rsidR="005961B1">
        <w:rPr>
          <w:rFonts w:ascii="Verdana" w:hAnsi="Verdana"/>
          <w:b/>
          <w:bCs/>
        </w:rPr>
        <w:t xml:space="preserve">NINTH </w:t>
      </w:r>
      <w:r w:rsidRPr="007823FE">
        <w:rPr>
          <w:rFonts w:ascii="Verdana" w:hAnsi="Verdana"/>
          <w:b/>
          <w:bCs/>
        </w:rPr>
        <w:t xml:space="preserve">PERIODIC REPORT UNDER THE </w:t>
      </w:r>
      <w:r w:rsidR="00FB4131">
        <w:rPr>
          <w:rFonts w:ascii="Verdana" w:hAnsi="Verdana"/>
          <w:b/>
          <w:bCs/>
        </w:rPr>
        <w:t xml:space="preserve">CONVENTION ON THE ELIMINATION OF ALL FORMS OF DISCRIMINATION AGAINST WOMEN </w:t>
      </w:r>
    </w:p>
    <w:p w14:paraId="52F2CEA0" w14:textId="4EE746FE" w:rsidR="00B104F9" w:rsidRPr="00B104F9" w:rsidRDefault="00B104F9" w:rsidP="00B104F9">
      <w:pPr>
        <w:pStyle w:val="NormalWeb"/>
        <w:jc w:val="center"/>
        <w:rPr>
          <w:rFonts w:ascii="Verdana" w:hAnsi="Verdana"/>
          <w:b/>
          <w:bCs/>
          <w:sz w:val="19"/>
          <w:szCs w:val="19"/>
        </w:rPr>
      </w:pPr>
    </w:p>
    <w:p w14:paraId="06F07CDD" w14:textId="77777777" w:rsidR="00B104F9" w:rsidRDefault="00B104F9" w:rsidP="00B104F9">
      <w:pPr>
        <w:pStyle w:val="NormalWeb"/>
        <w:jc w:val="center"/>
        <w:rPr>
          <w:rFonts w:ascii="Verdana" w:hAnsi="Verdana"/>
          <w:b/>
          <w:bCs/>
          <w:sz w:val="19"/>
          <w:szCs w:val="19"/>
        </w:rPr>
      </w:pPr>
    </w:p>
    <w:p w14:paraId="33F7C1FF" w14:textId="77777777" w:rsidR="00B104F9" w:rsidRDefault="00B104F9" w:rsidP="00B104F9">
      <w:pPr>
        <w:jc w:val="both"/>
        <w:rPr>
          <w:rFonts w:ascii="Verdana" w:hAnsi="Verdana"/>
          <w:i/>
          <w:iCs/>
          <w:sz w:val="19"/>
          <w:szCs w:val="19"/>
        </w:rPr>
      </w:pPr>
    </w:p>
    <w:p w14:paraId="4485D038" w14:textId="77777777" w:rsidR="00B104F9" w:rsidRDefault="00B104F9" w:rsidP="00B104F9">
      <w:pPr>
        <w:jc w:val="both"/>
        <w:rPr>
          <w:rFonts w:ascii="Verdana" w:hAnsi="Verdana"/>
          <w:i/>
          <w:iCs/>
          <w:sz w:val="19"/>
          <w:szCs w:val="19"/>
        </w:rPr>
      </w:pPr>
    </w:p>
    <w:p w14:paraId="6226A128" w14:textId="77777777" w:rsidR="00B104F9" w:rsidRDefault="00B104F9" w:rsidP="00B104F9">
      <w:pPr>
        <w:jc w:val="both"/>
        <w:rPr>
          <w:rFonts w:ascii="Verdana" w:hAnsi="Verdana"/>
          <w:i/>
          <w:iCs/>
          <w:sz w:val="19"/>
          <w:szCs w:val="19"/>
        </w:rPr>
      </w:pPr>
    </w:p>
    <w:p w14:paraId="73629617" w14:textId="77777777" w:rsidR="00B104F9" w:rsidRDefault="00B104F9" w:rsidP="00B104F9">
      <w:pPr>
        <w:jc w:val="both"/>
        <w:rPr>
          <w:rFonts w:ascii="Verdana" w:hAnsi="Verdana"/>
          <w:i/>
          <w:iCs/>
          <w:sz w:val="19"/>
          <w:szCs w:val="19"/>
        </w:rPr>
      </w:pPr>
    </w:p>
    <w:p w14:paraId="2D07E5DE" w14:textId="77777777" w:rsidR="00B104F9" w:rsidRDefault="00B104F9" w:rsidP="00B104F9">
      <w:pPr>
        <w:jc w:val="both"/>
        <w:rPr>
          <w:rFonts w:ascii="Verdana" w:hAnsi="Verdana"/>
          <w:i/>
          <w:iCs/>
          <w:sz w:val="19"/>
          <w:szCs w:val="19"/>
        </w:rPr>
      </w:pPr>
    </w:p>
    <w:p w14:paraId="5DA0DFB1" w14:textId="77777777" w:rsidR="00B104F9" w:rsidRDefault="00B104F9" w:rsidP="00B104F9">
      <w:pPr>
        <w:jc w:val="both"/>
        <w:rPr>
          <w:rFonts w:ascii="Verdana" w:hAnsi="Verdana"/>
          <w:i/>
          <w:iCs/>
          <w:sz w:val="19"/>
          <w:szCs w:val="19"/>
        </w:rPr>
      </w:pPr>
    </w:p>
    <w:p w14:paraId="7D6661A5" w14:textId="77777777" w:rsidR="00B104F9" w:rsidRDefault="00B104F9" w:rsidP="00B104F9">
      <w:pPr>
        <w:jc w:val="both"/>
        <w:rPr>
          <w:rFonts w:ascii="Verdana" w:hAnsi="Verdana"/>
          <w:i/>
          <w:iCs/>
          <w:sz w:val="19"/>
          <w:szCs w:val="19"/>
        </w:rPr>
      </w:pPr>
    </w:p>
    <w:p w14:paraId="7D730064" w14:textId="77777777" w:rsidR="00B104F9" w:rsidRDefault="00B104F9" w:rsidP="00B104F9">
      <w:pPr>
        <w:jc w:val="both"/>
        <w:rPr>
          <w:rFonts w:ascii="Verdana" w:hAnsi="Verdana"/>
          <w:i/>
          <w:iCs/>
          <w:sz w:val="19"/>
          <w:szCs w:val="19"/>
        </w:rPr>
      </w:pPr>
    </w:p>
    <w:p w14:paraId="7E9206AB" w14:textId="77777777" w:rsidR="00B104F9" w:rsidRDefault="00B104F9" w:rsidP="00B104F9">
      <w:pPr>
        <w:jc w:val="both"/>
        <w:rPr>
          <w:rFonts w:ascii="Verdana" w:hAnsi="Verdana"/>
          <w:i/>
          <w:iCs/>
          <w:sz w:val="19"/>
          <w:szCs w:val="19"/>
        </w:rPr>
      </w:pPr>
    </w:p>
    <w:p w14:paraId="5D9FB058" w14:textId="77777777" w:rsidR="00B104F9" w:rsidRDefault="00B104F9" w:rsidP="00B104F9">
      <w:pPr>
        <w:jc w:val="both"/>
        <w:rPr>
          <w:rFonts w:ascii="Verdana" w:hAnsi="Verdana"/>
          <w:i/>
          <w:iCs/>
          <w:sz w:val="19"/>
          <w:szCs w:val="19"/>
        </w:rPr>
      </w:pPr>
    </w:p>
    <w:p w14:paraId="085C6AF8" w14:textId="77777777" w:rsidR="00B104F9" w:rsidRDefault="00B104F9" w:rsidP="00B104F9">
      <w:pPr>
        <w:jc w:val="both"/>
        <w:rPr>
          <w:rFonts w:ascii="Verdana" w:hAnsi="Verdana"/>
          <w:i/>
          <w:iCs/>
          <w:sz w:val="19"/>
          <w:szCs w:val="19"/>
        </w:rPr>
      </w:pPr>
    </w:p>
    <w:p w14:paraId="52AA1EB5" w14:textId="523CFA55" w:rsidR="00B104F9" w:rsidRDefault="00B104F9" w:rsidP="00B104F9">
      <w:pPr>
        <w:jc w:val="both"/>
        <w:rPr>
          <w:rFonts w:ascii="Verdana" w:hAnsi="Verdana"/>
          <w:iCs/>
          <w:sz w:val="19"/>
          <w:szCs w:val="19"/>
        </w:rPr>
      </w:pPr>
      <w:r w:rsidRPr="00E559A4">
        <w:rPr>
          <w:rFonts w:ascii="Verdana" w:hAnsi="Verdana"/>
          <w:i/>
          <w:iCs/>
          <w:sz w:val="19"/>
          <w:szCs w:val="19"/>
        </w:rPr>
        <w:t>Composed of 60 eminent judges and lawyers from all regions of the world, the International Commission of Jurists</w:t>
      </w:r>
      <w:r w:rsidRPr="00453876">
        <w:rPr>
          <w:rFonts w:ascii="Verdana" w:hAnsi="Verdana"/>
          <w:i/>
          <w:iCs/>
          <w:sz w:val="19"/>
          <w:szCs w:val="19"/>
        </w:rPr>
        <w:t xml:space="preserve"> </w:t>
      </w:r>
      <w:r>
        <w:rPr>
          <w:rFonts w:ascii="Verdana" w:hAnsi="Verdana"/>
          <w:i/>
          <w:iCs/>
          <w:sz w:val="19"/>
          <w:szCs w:val="19"/>
        </w:rPr>
        <w:t>(ICJ)</w:t>
      </w:r>
      <w:r w:rsidRPr="00453876">
        <w:rPr>
          <w:rFonts w:ascii="Verdana" w:hAnsi="Verdana" w:cs="Angsana New"/>
          <w:i/>
          <w:iCs/>
          <w:sz w:val="19"/>
          <w:szCs w:val="19"/>
          <w:cs/>
          <w:lang w:bidi="th-TH"/>
        </w:rPr>
        <w:t xml:space="preserve"> </w:t>
      </w:r>
      <w:r w:rsidRPr="00E559A4">
        <w:rPr>
          <w:rFonts w:ascii="Verdana" w:hAnsi="Verdana"/>
          <w:i/>
          <w:iCs/>
          <w:sz w:val="19"/>
          <w:szCs w:val="19"/>
        </w:rPr>
        <w:t>promotes and protects human rights through the Rule of Law, by using its unique legal expertise to develop and strengthen national a</w:t>
      </w:r>
      <w:r>
        <w:rPr>
          <w:rFonts w:ascii="Verdana" w:hAnsi="Verdana"/>
          <w:i/>
          <w:iCs/>
          <w:sz w:val="19"/>
          <w:szCs w:val="19"/>
        </w:rPr>
        <w:t>nd international justice systems.</w:t>
      </w:r>
      <w:r w:rsidRPr="00E559A4">
        <w:rPr>
          <w:rFonts w:ascii="Verdana" w:hAnsi="Verdana" w:cs="Angsana New"/>
          <w:i/>
          <w:iCs/>
          <w:sz w:val="19"/>
          <w:szCs w:val="19"/>
          <w:cs/>
          <w:lang w:bidi="th-TH"/>
        </w:rPr>
        <w:t xml:space="preserve"> </w:t>
      </w:r>
      <w:r w:rsidRPr="00E559A4">
        <w:rPr>
          <w:rFonts w:ascii="Verdana" w:hAnsi="Verdana"/>
          <w:i/>
          <w:iCs/>
          <w:sz w:val="19"/>
          <w:szCs w:val="19"/>
        </w:rPr>
        <w:t>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w:t>
      </w:r>
      <w:r>
        <w:rPr>
          <w:rFonts w:ascii="Verdana" w:hAnsi="Verdana"/>
          <w:i/>
          <w:iCs/>
          <w:sz w:val="19"/>
          <w:szCs w:val="19"/>
        </w:rPr>
        <w:t>e judiciary and legal profession.</w:t>
      </w:r>
    </w:p>
    <w:p w14:paraId="16D98B18" w14:textId="77777777" w:rsidR="00B104F9" w:rsidRDefault="00B104F9" w:rsidP="00B104F9">
      <w:pPr>
        <w:jc w:val="center"/>
        <w:rPr>
          <w:rFonts w:ascii="Verdana" w:hAnsi="Verdana"/>
          <w:iCs/>
          <w:sz w:val="19"/>
          <w:szCs w:val="19"/>
        </w:rPr>
      </w:pPr>
    </w:p>
    <w:p w14:paraId="32B9CAF9" w14:textId="77777777" w:rsidR="00B104F9" w:rsidRDefault="00B104F9" w:rsidP="00B104F9">
      <w:pPr>
        <w:jc w:val="center"/>
        <w:rPr>
          <w:rFonts w:ascii="Verdana" w:hAnsi="Verdana"/>
          <w:iCs/>
          <w:sz w:val="19"/>
          <w:szCs w:val="19"/>
        </w:rPr>
      </w:pPr>
    </w:p>
    <w:p w14:paraId="1CAC6F3A" w14:textId="77777777" w:rsidR="00B104F9" w:rsidRDefault="00B104F9" w:rsidP="00B104F9">
      <w:pPr>
        <w:jc w:val="center"/>
        <w:rPr>
          <w:rFonts w:ascii="Verdana" w:hAnsi="Verdana"/>
          <w:iCs/>
          <w:sz w:val="19"/>
          <w:szCs w:val="19"/>
        </w:rPr>
      </w:pPr>
    </w:p>
    <w:p w14:paraId="1E33C376" w14:textId="77777777" w:rsidR="00B104F9" w:rsidRDefault="00B104F9" w:rsidP="00B104F9">
      <w:pPr>
        <w:jc w:val="center"/>
        <w:rPr>
          <w:rFonts w:ascii="Verdana" w:hAnsi="Verdana"/>
          <w:iCs/>
          <w:sz w:val="19"/>
          <w:szCs w:val="19"/>
        </w:rPr>
      </w:pPr>
    </w:p>
    <w:p w14:paraId="42DE52F8" w14:textId="2C370845" w:rsidR="00B104F9" w:rsidRPr="003A097F" w:rsidRDefault="00B104F9" w:rsidP="00B104F9">
      <w:pPr>
        <w:jc w:val="center"/>
        <w:rPr>
          <w:rFonts w:ascii="Verdana" w:hAnsi="Verdana"/>
          <w:iCs/>
          <w:sz w:val="19"/>
          <w:szCs w:val="19"/>
        </w:rPr>
      </w:pPr>
      <w:r w:rsidRPr="00315BBE">
        <w:rPr>
          <w:rFonts w:ascii="Verdana" w:hAnsi="Verdana"/>
          <w:iCs/>
          <w:sz w:val="19"/>
          <w:szCs w:val="19"/>
        </w:rPr>
        <w:t xml:space="preserve">Submitted on </w:t>
      </w:r>
      <w:r w:rsidR="00A8298F">
        <w:rPr>
          <w:rFonts w:ascii="Verdana" w:hAnsi="Verdana"/>
          <w:iCs/>
          <w:sz w:val="19"/>
          <w:szCs w:val="19"/>
        </w:rPr>
        <w:t>6</w:t>
      </w:r>
      <w:r w:rsidR="00FB4131">
        <w:rPr>
          <w:rFonts w:ascii="Verdana" w:hAnsi="Verdana"/>
          <w:iCs/>
          <w:sz w:val="19"/>
          <w:szCs w:val="19"/>
        </w:rPr>
        <w:t xml:space="preserve"> September</w:t>
      </w:r>
      <w:r>
        <w:rPr>
          <w:rFonts w:ascii="Verdana" w:hAnsi="Verdana"/>
          <w:iCs/>
          <w:sz w:val="19"/>
          <w:szCs w:val="19"/>
        </w:rPr>
        <w:t xml:space="preserve"> 202</w:t>
      </w:r>
      <w:r w:rsidR="00F0186B">
        <w:rPr>
          <w:rFonts w:ascii="Verdana" w:hAnsi="Verdana"/>
          <w:iCs/>
          <w:sz w:val="19"/>
          <w:szCs w:val="19"/>
        </w:rPr>
        <w:t>3</w:t>
      </w:r>
    </w:p>
    <w:p w14:paraId="6621CA69" w14:textId="77777777" w:rsidR="00B104F9" w:rsidRDefault="00B104F9" w:rsidP="00B104F9">
      <w:pPr>
        <w:jc w:val="center"/>
        <w:rPr>
          <w:rFonts w:ascii="Verdana" w:hAnsi="Verdana"/>
          <w:b/>
          <w:iCs/>
          <w:sz w:val="19"/>
          <w:szCs w:val="19"/>
        </w:rPr>
      </w:pPr>
    </w:p>
    <w:p w14:paraId="395F0193" w14:textId="77777777" w:rsidR="00B104F9" w:rsidRDefault="00B104F9" w:rsidP="00B104F9">
      <w:pPr>
        <w:rPr>
          <w:rFonts w:ascii="Verdana" w:hAnsi="Verdana"/>
          <w:b/>
          <w:iCs/>
          <w:sz w:val="19"/>
          <w:szCs w:val="19"/>
        </w:rPr>
      </w:pPr>
    </w:p>
    <w:p w14:paraId="0CCC3FAB" w14:textId="77777777" w:rsidR="00B104F9" w:rsidRDefault="00B104F9" w:rsidP="00B104F9">
      <w:pPr>
        <w:rPr>
          <w:rFonts w:ascii="Verdana" w:hAnsi="Verdana"/>
          <w:b/>
          <w:iCs/>
          <w:sz w:val="19"/>
          <w:szCs w:val="19"/>
        </w:rPr>
      </w:pPr>
    </w:p>
    <w:p w14:paraId="12B33FBE" w14:textId="77777777" w:rsidR="00B104F9" w:rsidRDefault="00B104F9" w:rsidP="00B104F9">
      <w:pPr>
        <w:rPr>
          <w:rFonts w:ascii="Verdana" w:hAnsi="Verdana"/>
          <w:b/>
          <w:iCs/>
          <w:sz w:val="19"/>
          <w:szCs w:val="19"/>
        </w:rPr>
      </w:pPr>
    </w:p>
    <w:p w14:paraId="01A10D7B" w14:textId="77777777" w:rsidR="00B104F9" w:rsidRDefault="00B104F9" w:rsidP="00B104F9">
      <w:pPr>
        <w:rPr>
          <w:rFonts w:ascii="Verdana" w:hAnsi="Verdana"/>
          <w:b/>
          <w:iCs/>
          <w:sz w:val="19"/>
          <w:szCs w:val="19"/>
        </w:rPr>
      </w:pPr>
    </w:p>
    <w:p w14:paraId="1A8ED6AB" w14:textId="77777777" w:rsidR="00B104F9" w:rsidRDefault="00B104F9" w:rsidP="00B104F9">
      <w:pPr>
        <w:rPr>
          <w:rFonts w:ascii="Verdana" w:hAnsi="Verdana"/>
          <w:b/>
          <w:iCs/>
          <w:sz w:val="19"/>
          <w:szCs w:val="19"/>
        </w:rPr>
      </w:pPr>
    </w:p>
    <w:p w14:paraId="74CE0D53" w14:textId="77777777" w:rsidR="00B104F9" w:rsidRDefault="00B104F9" w:rsidP="00B104F9">
      <w:pPr>
        <w:rPr>
          <w:rFonts w:ascii="Verdana" w:hAnsi="Verdana"/>
          <w:b/>
          <w:iCs/>
          <w:sz w:val="19"/>
          <w:szCs w:val="19"/>
        </w:rPr>
      </w:pPr>
    </w:p>
    <w:p w14:paraId="1FE21F21" w14:textId="77777777" w:rsidR="00B104F9" w:rsidRDefault="00B104F9" w:rsidP="00B104F9">
      <w:pPr>
        <w:jc w:val="center"/>
        <w:rPr>
          <w:rFonts w:ascii="Verdana" w:hAnsi="Verdana"/>
          <w:b/>
          <w:iCs/>
          <w:sz w:val="19"/>
          <w:szCs w:val="19"/>
        </w:rPr>
      </w:pPr>
    </w:p>
    <w:p w14:paraId="40D0FB7F" w14:textId="6BF8E6C7" w:rsidR="00B104F9" w:rsidRPr="00FE0FE8" w:rsidRDefault="00B104F9" w:rsidP="00B104F9">
      <w:pPr>
        <w:jc w:val="center"/>
        <w:rPr>
          <w:rFonts w:ascii="Verdana" w:hAnsi="Verdana"/>
          <w:iCs/>
          <w:sz w:val="19"/>
          <w:szCs w:val="19"/>
        </w:rPr>
      </w:pPr>
      <w:r w:rsidRPr="00FE0FE8">
        <w:rPr>
          <w:rFonts w:ascii="Verdana" w:hAnsi="Verdana"/>
          <w:iCs/>
          <w:sz w:val="19"/>
          <w:szCs w:val="19"/>
        </w:rPr>
        <w:t>P</w:t>
      </w:r>
      <w:r w:rsidRPr="00FE0FE8">
        <w:rPr>
          <w:rFonts w:ascii="Verdana" w:hAnsi="Verdana" w:cs="Angsana New"/>
          <w:iCs/>
          <w:sz w:val="19"/>
          <w:szCs w:val="19"/>
          <w:cs/>
          <w:lang w:bidi="th-TH"/>
        </w:rPr>
        <w:t>.</w:t>
      </w:r>
      <w:r w:rsidRPr="00FE0FE8">
        <w:rPr>
          <w:rFonts w:ascii="Verdana" w:hAnsi="Verdana"/>
          <w:iCs/>
          <w:sz w:val="19"/>
          <w:szCs w:val="19"/>
        </w:rPr>
        <w:t>O</w:t>
      </w:r>
      <w:r w:rsidRPr="00FE0FE8">
        <w:rPr>
          <w:rFonts w:ascii="Verdana" w:hAnsi="Verdana" w:cs="Angsana New"/>
          <w:iCs/>
          <w:sz w:val="19"/>
          <w:szCs w:val="19"/>
          <w:cs/>
          <w:lang w:bidi="th-TH"/>
        </w:rPr>
        <w:t xml:space="preserve">. </w:t>
      </w:r>
      <w:r w:rsidRPr="00FE0FE8">
        <w:rPr>
          <w:rFonts w:ascii="Verdana" w:hAnsi="Verdana"/>
          <w:iCs/>
          <w:sz w:val="19"/>
          <w:szCs w:val="19"/>
        </w:rPr>
        <w:t xml:space="preserve">Box, </w:t>
      </w:r>
      <w:r w:rsidR="007823FE">
        <w:rPr>
          <w:rFonts w:ascii="Verdana" w:hAnsi="Verdana"/>
          <w:iCs/>
          <w:sz w:val="19"/>
          <w:szCs w:val="19"/>
        </w:rPr>
        <w:t>1740</w:t>
      </w:r>
      <w:r w:rsidRPr="00FE0FE8">
        <w:rPr>
          <w:rFonts w:ascii="Verdana" w:hAnsi="Verdana"/>
          <w:iCs/>
          <w:sz w:val="19"/>
          <w:szCs w:val="19"/>
        </w:rPr>
        <w:t xml:space="preserve">, Rue des </w:t>
      </w:r>
      <w:proofErr w:type="spellStart"/>
      <w:r w:rsidRPr="00FE0FE8">
        <w:rPr>
          <w:rFonts w:ascii="Verdana" w:hAnsi="Verdana"/>
          <w:iCs/>
          <w:sz w:val="19"/>
          <w:szCs w:val="19"/>
        </w:rPr>
        <w:t>B</w:t>
      </w:r>
      <w:r w:rsidR="007823FE">
        <w:rPr>
          <w:rFonts w:ascii="Verdana" w:hAnsi="Verdana"/>
          <w:iCs/>
          <w:sz w:val="19"/>
          <w:szCs w:val="19"/>
        </w:rPr>
        <w:t>uis</w:t>
      </w:r>
      <w:proofErr w:type="spellEnd"/>
      <w:r w:rsidR="007823FE">
        <w:rPr>
          <w:rFonts w:ascii="Verdana" w:hAnsi="Verdana"/>
          <w:iCs/>
          <w:sz w:val="19"/>
          <w:szCs w:val="19"/>
        </w:rPr>
        <w:t xml:space="preserve"> 3</w:t>
      </w:r>
      <w:r w:rsidRPr="00FE0FE8">
        <w:rPr>
          <w:rFonts w:ascii="Verdana" w:hAnsi="Verdana"/>
          <w:iCs/>
          <w:sz w:val="19"/>
          <w:szCs w:val="19"/>
        </w:rPr>
        <w:t xml:space="preserve">, </w:t>
      </w:r>
      <w:r w:rsidR="007823FE">
        <w:rPr>
          <w:rFonts w:ascii="Verdana" w:hAnsi="Verdana"/>
          <w:iCs/>
          <w:sz w:val="19"/>
          <w:szCs w:val="19"/>
        </w:rPr>
        <w:t xml:space="preserve">CH </w:t>
      </w:r>
      <w:r w:rsidRPr="00FE0FE8">
        <w:rPr>
          <w:rFonts w:ascii="Verdana" w:hAnsi="Verdana"/>
          <w:iCs/>
          <w:sz w:val="19"/>
          <w:szCs w:val="19"/>
        </w:rPr>
        <w:t xml:space="preserve">1211 Geneva </w:t>
      </w:r>
      <w:r w:rsidR="007823FE">
        <w:rPr>
          <w:rFonts w:ascii="Verdana" w:hAnsi="Verdana"/>
          <w:iCs/>
          <w:sz w:val="19"/>
          <w:szCs w:val="19"/>
        </w:rPr>
        <w:t>1</w:t>
      </w:r>
      <w:r w:rsidRPr="00FE0FE8">
        <w:rPr>
          <w:rFonts w:ascii="Verdana" w:hAnsi="Verdana"/>
          <w:iCs/>
          <w:sz w:val="19"/>
          <w:szCs w:val="19"/>
        </w:rPr>
        <w:t>, Switzerland</w:t>
      </w:r>
    </w:p>
    <w:p w14:paraId="2C4D0E0E" w14:textId="77777777" w:rsidR="00B104F9" w:rsidRDefault="00B104F9" w:rsidP="00B104F9">
      <w:pPr>
        <w:jc w:val="center"/>
        <w:rPr>
          <w:rFonts w:ascii="Verdana" w:hAnsi="Verdana"/>
          <w:iCs/>
          <w:sz w:val="19"/>
          <w:szCs w:val="19"/>
        </w:rPr>
      </w:pPr>
      <w:r w:rsidRPr="00FE0FE8">
        <w:rPr>
          <w:rFonts w:ascii="Verdana" w:hAnsi="Verdana"/>
          <w:iCs/>
          <w:sz w:val="19"/>
          <w:szCs w:val="19"/>
        </w:rPr>
        <w:t>Tel</w:t>
      </w:r>
      <w:r>
        <w:rPr>
          <w:rFonts w:ascii="Verdana" w:hAnsi="Verdana" w:cs="Angsana New"/>
          <w:iCs/>
          <w:sz w:val="19"/>
          <w:szCs w:val="19"/>
          <w:lang w:bidi="th-TH"/>
        </w:rPr>
        <w:t>: +</w:t>
      </w:r>
      <w:r w:rsidRPr="00FE0FE8">
        <w:rPr>
          <w:rFonts w:ascii="Verdana" w:hAnsi="Verdana"/>
          <w:iCs/>
          <w:sz w:val="19"/>
          <w:szCs w:val="19"/>
        </w:rPr>
        <w:t>41</w:t>
      </w:r>
      <w:r>
        <w:rPr>
          <w:rFonts w:ascii="Verdana" w:hAnsi="Verdana"/>
          <w:iCs/>
          <w:sz w:val="19"/>
          <w:szCs w:val="19"/>
          <w:lang w:bidi="th-TH"/>
        </w:rPr>
        <w:t>(0)</w:t>
      </w:r>
      <w:r w:rsidRPr="00FE0FE8">
        <w:rPr>
          <w:rFonts w:ascii="Verdana" w:hAnsi="Verdana"/>
          <w:iCs/>
          <w:sz w:val="19"/>
          <w:szCs w:val="19"/>
        </w:rPr>
        <w:t xml:space="preserve">22 979 3800 </w:t>
      </w:r>
      <w:r>
        <w:rPr>
          <w:rFonts w:ascii="Verdana" w:hAnsi="Verdana"/>
          <w:iCs/>
          <w:sz w:val="19"/>
          <w:szCs w:val="19"/>
        </w:rPr>
        <w:t>-</w:t>
      </w:r>
      <w:r w:rsidRPr="00FE0FE8">
        <w:rPr>
          <w:rFonts w:ascii="Verdana" w:hAnsi="Verdana" w:cs="Angsana New"/>
          <w:iCs/>
          <w:sz w:val="19"/>
          <w:szCs w:val="19"/>
          <w:cs/>
          <w:lang w:bidi="th-TH"/>
        </w:rPr>
        <w:t xml:space="preserve"> </w:t>
      </w:r>
      <w:r w:rsidRPr="00FE0FE8">
        <w:rPr>
          <w:rFonts w:ascii="Verdana" w:hAnsi="Verdana"/>
          <w:iCs/>
          <w:sz w:val="19"/>
          <w:szCs w:val="19"/>
        </w:rPr>
        <w:t>Fax</w:t>
      </w:r>
      <w:r>
        <w:rPr>
          <w:rFonts w:ascii="Verdana" w:hAnsi="Verdana" w:cs="Angsana New"/>
          <w:iCs/>
          <w:sz w:val="19"/>
          <w:szCs w:val="19"/>
          <w:lang w:bidi="th-TH"/>
        </w:rPr>
        <w:t>: +</w:t>
      </w:r>
      <w:r w:rsidRPr="00FE0FE8">
        <w:rPr>
          <w:rFonts w:ascii="Verdana" w:hAnsi="Verdana"/>
          <w:iCs/>
          <w:sz w:val="19"/>
          <w:szCs w:val="19"/>
        </w:rPr>
        <w:t>40</w:t>
      </w:r>
      <w:r>
        <w:rPr>
          <w:rFonts w:ascii="Verdana" w:hAnsi="Verdana"/>
          <w:iCs/>
          <w:sz w:val="19"/>
          <w:szCs w:val="19"/>
        </w:rPr>
        <w:t>(1)</w:t>
      </w:r>
      <w:r w:rsidRPr="00FE0FE8">
        <w:rPr>
          <w:rFonts w:ascii="Verdana" w:hAnsi="Verdana"/>
          <w:iCs/>
          <w:sz w:val="19"/>
          <w:szCs w:val="19"/>
        </w:rPr>
        <w:t xml:space="preserve">22 979 3801 </w:t>
      </w:r>
      <w:r>
        <w:rPr>
          <w:rFonts w:ascii="Verdana" w:hAnsi="Verdana" w:cs="Angsana New"/>
          <w:iCs/>
          <w:sz w:val="19"/>
          <w:szCs w:val="19"/>
          <w:lang w:bidi="th-TH"/>
        </w:rPr>
        <w:t>–</w:t>
      </w:r>
      <w:r w:rsidRPr="00FE0FE8">
        <w:rPr>
          <w:rFonts w:ascii="Verdana" w:hAnsi="Verdana" w:cs="Angsana New"/>
          <w:iCs/>
          <w:sz w:val="19"/>
          <w:szCs w:val="19"/>
          <w:cs/>
          <w:lang w:bidi="th-TH"/>
        </w:rPr>
        <w:t xml:space="preserve"> </w:t>
      </w:r>
      <w:r w:rsidRPr="00FE0FE8">
        <w:rPr>
          <w:rFonts w:ascii="Verdana" w:hAnsi="Verdana"/>
          <w:iCs/>
          <w:sz w:val="19"/>
          <w:szCs w:val="19"/>
        </w:rPr>
        <w:t>Website</w:t>
      </w:r>
      <w:r>
        <w:rPr>
          <w:rFonts w:ascii="Verdana" w:hAnsi="Verdana" w:cs="Angsana New"/>
          <w:iCs/>
          <w:sz w:val="19"/>
          <w:szCs w:val="19"/>
          <w:lang w:bidi="th-TH"/>
        </w:rPr>
        <w:t xml:space="preserve">: </w:t>
      </w:r>
      <w:r w:rsidRPr="00FE0FE8">
        <w:rPr>
          <w:rFonts w:ascii="Verdana" w:hAnsi="Verdana" w:cs="Angsana New"/>
          <w:iCs/>
          <w:sz w:val="19"/>
          <w:szCs w:val="19"/>
          <w:cs/>
          <w:lang w:bidi="th-TH"/>
        </w:rPr>
        <w:t xml:space="preserve"> </w:t>
      </w:r>
      <w:hyperlink r:id="rId8" w:history="1">
        <w:r w:rsidRPr="00CA08A2">
          <w:rPr>
            <w:rStyle w:val="Hyperlink"/>
            <w:rFonts w:ascii="Verdana" w:hAnsi="Verdana"/>
            <w:iCs/>
            <w:sz w:val="19"/>
            <w:szCs w:val="19"/>
          </w:rPr>
          <w:t>http</w:t>
        </w:r>
        <w:r w:rsidRPr="00CA08A2">
          <w:rPr>
            <w:rStyle w:val="Hyperlink"/>
            <w:rFonts w:ascii="Verdana" w:hAnsi="Verdana" w:cs="Angsana New"/>
            <w:iCs/>
            <w:sz w:val="19"/>
            <w:szCs w:val="19"/>
            <w:lang w:bidi="th-TH"/>
          </w:rPr>
          <w:t>://</w:t>
        </w:r>
        <w:r w:rsidRPr="00CA08A2">
          <w:rPr>
            <w:rStyle w:val="Hyperlink"/>
            <w:rFonts w:ascii="Verdana" w:hAnsi="Verdana"/>
            <w:iCs/>
            <w:sz w:val="19"/>
            <w:szCs w:val="19"/>
          </w:rPr>
          <w:t>www</w:t>
        </w:r>
        <w:r w:rsidRPr="00CA08A2">
          <w:rPr>
            <w:rStyle w:val="Hyperlink"/>
            <w:rFonts w:ascii="Verdana" w:hAnsi="Verdana" w:cs="Angsana New"/>
            <w:iCs/>
            <w:sz w:val="19"/>
            <w:szCs w:val="19"/>
            <w:cs/>
            <w:lang w:bidi="th-TH"/>
          </w:rPr>
          <w:t>.</w:t>
        </w:r>
        <w:proofErr w:type="spellStart"/>
        <w:r w:rsidRPr="00CA08A2">
          <w:rPr>
            <w:rStyle w:val="Hyperlink"/>
            <w:rFonts w:ascii="Verdana" w:hAnsi="Verdana"/>
            <w:iCs/>
            <w:sz w:val="19"/>
            <w:szCs w:val="19"/>
          </w:rPr>
          <w:t>icj</w:t>
        </w:r>
        <w:proofErr w:type="spellEnd"/>
        <w:r w:rsidRPr="00CA08A2">
          <w:rPr>
            <w:rStyle w:val="Hyperlink"/>
            <w:rFonts w:ascii="Verdana" w:hAnsi="Verdana" w:cs="Angsana New"/>
            <w:iCs/>
            <w:sz w:val="19"/>
            <w:szCs w:val="19"/>
            <w:cs/>
            <w:lang w:bidi="th-TH"/>
          </w:rPr>
          <w:t>.</w:t>
        </w:r>
        <w:r w:rsidRPr="00CA08A2">
          <w:rPr>
            <w:rStyle w:val="Hyperlink"/>
            <w:rFonts w:ascii="Verdana" w:hAnsi="Verdana"/>
            <w:iCs/>
            <w:sz w:val="19"/>
            <w:szCs w:val="19"/>
          </w:rPr>
          <w:t>org</w:t>
        </w:r>
      </w:hyperlink>
      <w:r w:rsidRPr="00FE0FE8">
        <w:rPr>
          <w:rFonts w:ascii="Verdana" w:hAnsi="Verdana" w:cs="Angsana New"/>
          <w:iCs/>
          <w:sz w:val="19"/>
          <w:szCs w:val="19"/>
          <w:cs/>
          <w:lang w:bidi="th-TH"/>
        </w:rPr>
        <w:t xml:space="preserve">  </w:t>
      </w:r>
    </w:p>
    <w:p w14:paraId="69BA5FBC" w14:textId="5C89F52A" w:rsidR="004D5CDD" w:rsidRPr="00526C49" w:rsidRDefault="00B104F9" w:rsidP="00526C49">
      <w:pPr>
        <w:jc w:val="center"/>
        <w:rPr>
          <w:rFonts w:ascii="Verdana" w:hAnsi="Verdana"/>
          <w:iCs/>
          <w:sz w:val="19"/>
          <w:szCs w:val="19"/>
        </w:rPr>
      </w:pPr>
      <w:r w:rsidRPr="00FE0FE8">
        <w:rPr>
          <w:rFonts w:ascii="Verdana" w:hAnsi="Verdana"/>
          <w:iCs/>
          <w:sz w:val="19"/>
          <w:szCs w:val="19"/>
        </w:rPr>
        <w:t>E</w:t>
      </w:r>
      <w:r>
        <w:rPr>
          <w:rFonts w:ascii="Verdana" w:hAnsi="Verdana" w:cs="Angsana New"/>
          <w:iCs/>
          <w:sz w:val="19"/>
          <w:szCs w:val="19"/>
          <w:lang w:bidi="th-TH"/>
        </w:rPr>
        <w:t>-</w:t>
      </w:r>
      <w:r w:rsidRPr="00FE0FE8">
        <w:rPr>
          <w:rFonts w:ascii="Verdana" w:hAnsi="Verdana"/>
          <w:iCs/>
          <w:sz w:val="19"/>
          <w:szCs w:val="19"/>
        </w:rPr>
        <w:t>mail</w:t>
      </w:r>
      <w:r>
        <w:rPr>
          <w:rFonts w:ascii="Verdana" w:hAnsi="Verdana" w:cs="Angsana New"/>
          <w:iCs/>
          <w:sz w:val="19"/>
          <w:szCs w:val="19"/>
          <w:lang w:bidi="th-TH"/>
        </w:rPr>
        <w:t>:</w:t>
      </w:r>
      <w:r w:rsidRPr="00FE0FE8">
        <w:rPr>
          <w:rFonts w:ascii="Verdana" w:hAnsi="Verdana" w:cs="Angsana New"/>
          <w:iCs/>
          <w:sz w:val="19"/>
          <w:szCs w:val="19"/>
          <w:cs/>
          <w:lang w:bidi="th-TH"/>
        </w:rPr>
        <w:t xml:space="preserve"> </w:t>
      </w:r>
      <w:hyperlink r:id="rId9" w:history="1">
        <w:proofErr w:type="spellStart"/>
        <w:r w:rsidRPr="00FE0FE8">
          <w:rPr>
            <w:rStyle w:val="Hyperlink"/>
            <w:rFonts w:ascii="Verdana" w:hAnsi="Verdana"/>
            <w:iCs/>
            <w:sz w:val="19"/>
            <w:szCs w:val="19"/>
          </w:rPr>
          <w:t>info@icj</w:t>
        </w:r>
        <w:proofErr w:type="spellEnd"/>
        <w:r w:rsidRPr="00FE0FE8">
          <w:rPr>
            <w:rStyle w:val="Hyperlink"/>
            <w:rFonts w:ascii="Verdana" w:hAnsi="Verdana" w:cs="Angsana New"/>
            <w:iCs/>
            <w:sz w:val="19"/>
            <w:szCs w:val="19"/>
            <w:cs/>
            <w:lang w:bidi="th-TH"/>
          </w:rPr>
          <w:t>.</w:t>
        </w:r>
        <w:r w:rsidRPr="00FE0FE8">
          <w:rPr>
            <w:rStyle w:val="Hyperlink"/>
            <w:rFonts w:ascii="Verdana" w:hAnsi="Verdana"/>
            <w:iCs/>
            <w:sz w:val="19"/>
            <w:szCs w:val="19"/>
          </w:rPr>
          <w:t>org</w:t>
        </w:r>
      </w:hyperlink>
      <w:r w:rsidR="00A069E7">
        <w:rPr>
          <w:rFonts w:ascii="Verdana" w:hAnsi="Verdana"/>
          <w:lang w:val="en-US"/>
        </w:rPr>
        <w:br w:type="page"/>
      </w:r>
    </w:p>
    <w:p w14:paraId="5C49A755" w14:textId="7D584B93" w:rsidR="005A0025" w:rsidRPr="002E0E3B" w:rsidRDefault="004D5CDD"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lastRenderedPageBreak/>
        <w:t>Introduction</w:t>
      </w:r>
    </w:p>
    <w:p w14:paraId="3F5836DF" w14:textId="06FDE9BF" w:rsidR="004D5CDD" w:rsidRPr="002E0E3B" w:rsidRDefault="004D5CDD" w:rsidP="004D5CDD">
      <w:pPr>
        <w:rPr>
          <w:rFonts w:ascii="Verdana" w:hAnsi="Verdana"/>
          <w:sz w:val="20"/>
          <w:szCs w:val="20"/>
          <w:lang w:val="en-US"/>
        </w:rPr>
      </w:pPr>
    </w:p>
    <w:p w14:paraId="5445E533" w14:textId="3C6E1688" w:rsidR="00954B70" w:rsidRPr="002E0E3B" w:rsidRDefault="004D5CDD" w:rsidP="00954B70">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The International Commission of Jurists (ICJ) </w:t>
      </w:r>
      <w:r w:rsidR="00954B70" w:rsidRPr="002E0E3B">
        <w:rPr>
          <w:rFonts w:ascii="Verdana" w:hAnsi="Verdana"/>
          <w:sz w:val="20"/>
          <w:szCs w:val="20"/>
          <w:lang w:val="en-US"/>
        </w:rPr>
        <w:t xml:space="preserve">welcomes the opportunity to contribute to the UN </w:t>
      </w:r>
      <w:r w:rsidR="00FB4131" w:rsidRPr="002E0E3B">
        <w:rPr>
          <w:rFonts w:ascii="Verdana" w:hAnsi="Verdana"/>
          <w:sz w:val="20"/>
          <w:szCs w:val="20"/>
          <w:lang w:val="en-US"/>
        </w:rPr>
        <w:t xml:space="preserve">Committee on the Elimination of Discrimination </w:t>
      </w:r>
      <w:r w:rsidR="00636C8D" w:rsidRPr="002E0E3B">
        <w:rPr>
          <w:rFonts w:ascii="Verdana" w:hAnsi="Verdana"/>
          <w:sz w:val="20"/>
          <w:szCs w:val="20"/>
          <w:lang w:val="en-US"/>
        </w:rPr>
        <w:t xml:space="preserve">against Women’s (CEDAW Committee) </w:t>
      </w:r>
      <w:r w:rsidR="00954B70" w:rsidRPr="002E0E3B">
        <w:rPr>
          <w:rFonts w:ascii="Verdana" w:hAnsi="Verdana"/>
          <w:sz w:val="20"/>
          <w:szCs w:val="20"/>
          <w:lang w:val="en-US"/>
        </w:rPr>
        <w:t xml:space="preserve">review of the implementation of the </w:t>
      </w:r>
      <w:r w:rsidR="00636C8D" w:rsidRPr="002E0E3B">
        <w:rPr>
          <w:rFonts w:ascii="Verdana" w:hAnsi="Verdana"/>
          <w:sz w:val="20"/>
          <w:szCs w:val="20"/>
          <w:lang w:val="en-US"/>
        </w:rPr>
        <w:t xml:space="preserve">Convention on the Elimination of All Forms of Discrimination against Women (CEDAW) by the Philippines. </w:t>
      </w:r>
    </w:p>
    <w:p w14:paraId="7B287268" w14:textId="77777777" w:rsidR="00954B70" w:rsidRPr="002E0E3B" w:rsidRDefault="00954B70" w:rsidP="00954B70">
      <w:pPr>
        <w:pStyle w:val="ListParagraph"/>
        <w:ind w:left="360"/>
        <w:jc w:val="both"/>
        <w:rPr>
          <w:rFonts w:ascii="Verdana" w:hAnsi="Verdana"/>
          <w:sz w:val="20"/>
          <w:szCs w:val="20"/>
          <w:lang w:val="en-US"/>
        </w:rPr>
      </w:pPr>
    </w:p>
    <w:p w14:paraId="3A6D1C80" w14:textId="29357E6E" w:rsidR="00C91581" w:rsidRPr="002E0E3B" w:rsidRDefault="00954B70" w:rsidP="004A78DC">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In the present submission, the ICJ wishes to draw the Committee’s attention to </w:t>
      </w:r>
      <w:r w:rsidR="0021270B" w:rsidRPr="002E0E3B">
        <w:rPr>
          <w:rFonts w:ascii="Verdana" w:hAnsi="Verdana"/>
          <w:sz w:val="20"/>
          <w:szCs w:val="20"/>
          <w:lang w:val="en-US"/>
        </w:rPr>
        <w:t xml:space="preserve">the </w:t>
      </w:r>
      <w:r w:rsidR="00CA03E9" w:rsidRPr="002E0E3B">
        <w:rPr>
          <w:rFonts w:ascii="Verdana" w:hAnsi="Verdana"/>
          <w:sz w:val="20"/>
          <w:szCs w:val="20"/>
          <w:lang w:val="en-US"/>
        </w:rPr>
        <w:t xml:space="preserve">following </w:t>
      </w:r>
      <w:r w:rsidR="00B600D9" w:rsidRPr="002E0E3B">
        <w:rPr>
          <w:rFonts w:ascii="Verdana" w:hAnsi="Verdana"/>
          <w:sz w:val="20"/>
          <w:szCs w:val="20"/>
          <w:lang w:val="en-US"/>
        </w:rPr>
        <w:t xml:space="preserve">concerns affecting </w:t>
      </w:r>
      <w:r w:rsidR="00636C8D" w:rsidRPr="002E0E3B">
        <w:rPr>
          <w:rFonts w:ascii="Verdana" w:hAnsi="Verdana"/>
          <w:sz w:val="20"/>
          <w:szCs w:val="20"/>
          <w:lang w:val="en-US"/>
        </w:rPr>
        <w:t xml:space="preserve">women’s </w:t>
      </w:r>
      <w:r w:rsidR="00B600D9" w:rsidRPr="002E0E3B">
        <w:rPr>
          <w:rFonts w:ascii="Verdana" w:hAnsi="Verdana"/>
          <w:sz w:val="20"/>
          <w:szCs w:val="20"/>
          <w:lang w:val="en-US"/>
        </w:rPr>
        <w:t xml:space="preserve">enjoyment and exercise of their human </w:t>
      </w:r>
      <w:r w:rsidR="00636C8D" w:rsidRPr="002E0E3B">
        <w:rPr>
          <w:rFonts w:ascii="Verdana" w:hAnsi="Verdana"/>
          <w:sz w:val="20"/>
          <w:szCs w:val="20"/>
          <w:lang w:val="en-US"/>
        </w:rPr>
        <w:t>rights</w:t>
      </w:r>
      <w:r w:rsidR="00BD3D90" w:rsidRPr="002E0E3B">
        <w:rPr>
          <w:rFonts w:ascii="Verdana" w:hAnsi="Verdana"/>
          <w:sz w:val="20"/>
          <w:szCs w:val="20"/>
          <w:lang w:val="en-US"/>
        </w:rPr>
        <w:t xml:space="preserve"> guaranteed by CEDAW</w:t>
      </w:r>
      <w:r w:rsidR="00636C8D" w:rsidRPr="002E0E3B">
        <w:rPr>
          <w:rFonts w:ascii="Verdana" w:hAnsi="Verdana"/>
          <w:sz w:val="20"/>
          <w:szCs w:val="20"/>
          <w:lang w:val="en-US"/>
        </w:rPr>
        <w:t xml:space="preserve"> in the Philippines</w:t>
      </w:r>
      <w:r w:rsidR="00CA03E9" w:rsidRPr="002E0E3B">
        <w:rPr>
          <w:rFonts w:ascii="Verdana" w:hAnsi="Verdana"/>
          <w:sz w:val="20"/>
          <w:szCs w:val="20"/>
          <w:lang w:val="en-US"/>
        </w:rPr>
        <w:t>:</w:t>
      </w:r>
      <w:r w:rsidR="00C91581" w:rsidRPr="002E0E3B">
        <w:rPr>
          <w:rFonts w:ascii="Verdana" w:hAnsi="Verdana"/>
          <w:sz w:val="20"/>
          <w:szCs w:val="20"/>
          <w:lang w:val="en-US"/>
        </w:rPr>
        <w:t xml:space="preserve">  </w:t>
      </w:r>
    </w:p>
    <w:p w14:paraId="06EB2954" w14:textId="77777777" w:rsidR="00C91581" w:rsidRPr="002E0E3B" w:rsidRDefault="00C91581" w:rsidP="00C91581">
      <w:pPr>
        <w:pStyle w:val="ListParagraph"/>
        <w:rPr>
          <w:rFonts w:ascii="Verdana" w:hAnsi="Verdana"/>
          <w:sz w:val="20"/>
          <w:szCs w:val="20"/>
          <w:lang w:val="en-US"/>
        </w:rPr>
      </w:pPr>
    </w:p>
    <w:p w14:paraId="62F9A3F8" w14:textId="1058BC92" w:rsidR="00CC1D50" w:rsidRPr="002E0E3B" w:rsidRDefault="00C91581" w:rsidP="00C91581">
      <w:pPr>
        <w:pStyle w:val="ListParagraph"/>
        <w:numPr>
          <w:ilvl w:val="1"/>
          <w:numId w:val="3"/>
        </w:numPr>
        <w:jc w:val="both"/>
        <w:rPr>
          <w:rFonts w:ascii="Verdana" w:hAnsi="Verdana"/>
          <w:sz w:val="20"/>
          <w:szCs w:val="20"/>
          <w:lang w:val="en-US"/>
        </w:rPr>
      </w:pPr>
      <w:r w:rsidRPr="002E0E3B">
        <w:rPr>
          <w:rFonts w:ascii="Verdana" w:hAnsi="Verdana"/>
          <w:sz w:val="20"/>
          <w:szCs w:val="20"/>
          <w:lang w:val="en-US"/>
        </w:rPr>
        <w:t xml:space="preserve">The </w:t>
      </w:r>
      <w:r w:rsidR="00CC1D50" w:rsidRPr="002E0E3B">
        <w:rPr>
          <w:rFonts w:ascii="Verdana" w:hAnsi="Verdana"/>
          <w:sz w:val="20"/>
          <w:szCs w:val="20"/>
          <w:lang w:val="en-US"/>
        </w:rPr>
        <w:t xml:space="preserve">retention of penal provisions that discriminate against women, including </w:t>
      </w:r>
      <w:r w:rsidR="00A17240" w:rsidRPr="002E0E3B">
        <w:rPr>
          <w:rFonts w:ascii="Verdana" w:hAnsi="Verdana"/>
          <w:sz w:val="20"/>
          <w:szCs w:val="20"/>
          <w:lang w:val="en-US"/>
        </w:rPr>
        <w:t xml:space="preserve">criminal </w:t>
      </w:r>
      <w:r w:rsidR="00CC1D50" w:rsidRPr="002E0E3B">
        <w:rPr>
          <w:rFonts w:ascii="Verdana" w:hAnsi="Verdana"/>
          <w:sz w:val="20"/>
          <w:szCs w:val="20"/>
          <w:lang w:val="en-US"/>
        </w:rPr>
        <w:t xml:space="preserve">provisions on </w:t>
      </w:r>
      <w:r w:rsidR="00BD3D90" w:rsidRPr="002E0E3B">
        <w:rPr>
          <w:rFonts w:ascii="Verdana" w:hAnsi="Verdana"/>
          <w:sz w:val="20"/>
          <w:szCs w:val="20"/>
          <w:lang w:val="en-US"/>
        </w:rPr>
        <w:t>“</w:t>
      </w:r>
      <w:r w:rsidR="00CC1D50" w:rsidRPr="002E0E3B">
        <w:rPr>
          <w:rFonts w:ascii="Verdana" w:hAnsi="Verdana"/>
          <w:sz w:val="20"/>
          <w:szCs w:val="20"/>
          <w:lang w:val="en-US"/>
        </w:rPr>
        <w:t>abortion</w:t>
      </w:r>
      <w:r w:rsidR="00BD3D90" w:rsidRPr="002E0E3B">
        <w:rPr>
          <w:rFonts w:ascii="Verdana" w:hAnsi="Verdana"/>
          <w:sz w:val="20"/>
          <w:szCs w:val="20"/>
          <w:lang w:val="en-US"/>
        </w:rPr>
        <w:t>”</w:t>
      </w:r>
      <w:r w:rsidR="00CC1D50" w:rsidRPr="002E0E3B">
        <w:rPr>
          <w:rFonts w:ascii="Verdana" w:hAnsi="Verdana"/>
          <w:sz w:val="20"/>
          <w:szCs w:val="20"/>
          <w:lang w:val="en-US"/>
        </w:rPr>
        <w:t xml:space="preserve"> and </w:t>
      </w:r>
      <w:r w:rsidR="00BD3D90" w:rsidRPr="002E0E3B">
        <w:rPr>
          <w:rFonts w:ascii="Verdana" w:hAnsi="Verdana"/>
          <w:sz w:val="20"/>
          <w:szCs w:val="20"/>
          <w:lang w:val="en-US"/>
        </w:rPr>
        <w:t>“</w:t>
      </w:r>
      <w:r w:rsidR="00CC1D50" w:rsidRPr="002E0E3B">
        <w:rPr>
          <w:rFonts w:ascii="Verdana" w:hAnsi="Verdana"/>
          <w:sz w:val="20"/>
          <w:szCs w:val="20"/>
          <w:lang w:val="en-US"/>
        </w:rPr>
        <w:t>marital infidelity</w:t>
      </w:r>
      <w:r w:rsidR="00BD3D90" w:rsidRPr="002E0E3B">
        <w:rPr>
          <w:rFonts w:ascii="Verdana" w:hAnsi="Verdana"/>
          <w:sz w:val="20"/>
          <w:szCs w:val="20"/>
          <w:lang w:val="en-US"/>
        </w:rPr>
        <w:t>”</w:t>
      </w:r>
      <w:r w:rsidR="00CC1D50" w:rsidRPr="002E0E3B">
        <w:rPr>
          <w:rFonts w:ascii="Verdana" w:hAnsi="Verdana"/>
          <w:sz w:val="20"/>
          <w:szCs w:val="20"/>
          <w:lang w:val="en-US"/>
        </w:rPr>
        <w:t xml:space="preserve"> (</w:t>
      </w:r>
      <w:r w:rsidR="00BD3D90" w:rsidRPr="002E0E3B">
        <w:rPr>
          <w:rFonts w:ascii="Verdana" w:hAnsi="Verdana"/>
          <w:sz w:val="20"/>
          <w:szCs w:val="20"/>
          <w:lang w:val="en-US"/>
        </w:rPr>
        <w:t xml:space="preserve">CEDAW, </w:t>
      </w:r>
      <w:r w:rsidR="00CC1D50" w:rsidRPr="002E0E3B">
        <w:rPr>
          <w:rFonts w:ascii="Verdana" w:hAnsi="Verdana"/>
          <w:sz w:val="20"/>
          <w:szCs w:val="20"/>
          <w:lang w:val="en-US"/>
        </w:rPr>
        <w:t xml:space="preserve">articles 1, 2, 12 and 16); </w:t>
      </w:r>
    </w:p>
    <w:p w14:paraId="271DA4D4" w14:textId="77777777" w:rsidR="00CC1D50" w:rsidRPr="002E0E3B" w:rsidRDefault="00CC1D50" w:rsidP="00CC1D50">
      <w:pPr>
        <w:pStyle w:val="ListParagraph"/>
        <w:ind w:left="1080"/>
        <w:jc w:val="both"/>
        <w:rPr>
          <w:rFonts w:ascii="Verdana" w:hAnsi="Verdana"/>
          <w:sz w:val="20"/>
          <w:szCs w:val="20"/>
          <w:lang w:val="en-US"/>
        </w:rPr>
      </w:pPr>
    </w:p>
    <w:p w14:paraId="05547301" w14:textId="6C8FE38F" w:rsidR="00435F08" w:rsidRPr="002E0E3B" w:rsidRDefault="00435F08" w:rsidP="00435F08">
      <w:pPr>
        <w:pStyle w:val="ListParagraph"/>
        <w:numPr>
          <w:ilvl w:val="1"/>
          <w:numId w:val="3"/>
        </w:numPr>
        <w:jc w:val="both"/>
        <w:rPr>
          <w:rFonts w:ascii="Verdana" w:hAnsi="Verdana"/>
          <w:sz w:val="20"/>
          <w:szCs w:val="20"/>
          <w:lang w:val="en-US"/>
        </w:rPr>
      </w:pPr>
      <w:r w:rsidRPr="002E0E3B">
        <w:rPr>
          <w:rFonts w:ascii="Verdana" w:hAnsi="Verdana"/>
          <w:sz w:val="20"/>
          <w:szCs w:val="20"/>
          <w:lang w:val="en-US"/>
        </w:rPr>
        <w:t>The lack of gender-specificity of operational standards in penal facilities with respect to women deprived of their liberty (</w:t>
      </w:r>
      <w:r w:rsidR="00BD3D90" w:rsidRPr="002E0E3B">
        <w:rPr>
          <w:rFonts w:ascii="Verdana" w:hAnsi="Verdana"/>
          <w:sz w:val="20"/>
          <w:szCs w:val="20"/>
          <w:lang w:val="en-US"/>
        </w:rPr>
        <w:t xml:space="preserve">CEDAW, </w:t>
      </w:r>
      <w:r w:rsidRPr="002E0E3B">
        <w:rPr>
          <w:rFonts w:ascii="Verdana" w:hAnsi="Verdana"/>
          <w:sz w:val="20"/>
          <w:szCs w:val="20"/>
          <w:lang w:val="en-US"/>
        </w:rPr>
        <w:t xml:space="preserve">articles 1, 12 and 12); </w:t>
      </w:r>
    </w:p>
    <w:p w14:paraId="790DCE81" w14:textId="77777777" w:rsidR="00C91581" w:rsidRPr="002E0E3B" w:rsidRDefault="00C91581" w:rsidP="00C91581">
      <w:pPr>
        <w:pStyle w:val="ListParagraph"/>
        <w:ind w:left="1080"/>
        <w:jc w:val="both"/>
        <w:rPr>
          <w:rFonts w:ascii="Verdana" w:hAnsi="Verdana"/>
          <w:sz w:val="20"/>
          <w:szCs w:val="20"/>
          <w:lang w:val="en-US"/>
        </w:rPr>
      </w:pPr>
    </w:p>
    <w:p w14:paraId="0019DC13" w14:textId="32C97156" w:rsidR="00C91581" w:rsidRPr="002E0E3B" w:rsidRDefault="00CB6547" w:rsidP="00C91581">
      <w:pPr>
        <w:pStyle w:val="ListParagraph"/>
        <w:numPr>
          <w:ilvl w:val="1"/>
          <w:numId w:val="3"/>
        </w:numPr>
        <w:jc w:val="both"/>
        <w:rPr>
          <w:rFonts w:ascii="Verdana" w:hAnsi="Verdana"/>
          <w:sz w:val="20"/>
          <w:szCs w:val="20"/>
          <w:lang w:val="en-US"/>
        </w:rPr>
      </w:pPr>
      <w:r w:rsidRPr="002E0E3B">
        <w:rPr>
          <w:rFonts w:ascii="Verdana" w:hAnsi="Verdana"/>
          <w:sz w:val="20"/>
          <w:szCs w:val="20"/>
          <w:lang w:val="en-US"/>
        </w:rPr>
        <w:t>The significant barriers that impede the ability of women to effectively access justice and redress for acts of online gender-based violence (</w:t>
      </w:r>
      <w:r w:rsidR="00665C7C" w:rsidRPr="002E0E3B">
        <w:rPr>
          <w:rFonts w:ascii="Verdana" w:hAnsi="Verdana"/>
          <w:sz w:val="20"/>
          <w:szCs w:val="20"/>
          <w:lang w:val="en-US"/>
        </w:rPr>
        <w:t xml:space="preserve">CEDAW, </w:t>
      </w:r>
      <w:r w:rsidRPr="002E0E3B">
        <w:rPr>
          <w:rFonts w:ascii="Verdana" w:hAnsi="Verdana"/>
          <w:sz w:val="20"/>
          <w:szCs w:val="20"/>
          <w:lang w:val="en-US"/>
        </w:rPr>
        <w:t>articles 1, 2, 5 and 15)</w:t>
      </w:r>
      <w:r w:rsidR="00C91581" w:rsidRPr="002E0E3B">
        <w:rPr>
          <w:rFonts w:ascii="Verdana" w:hAnsi="Verdana"/>
          <w:sz w:val="20"/>
          <w:szCs w:val="20"/>
          <w:lang w:val="en-US"/>
        </w:rPr>
        <w:t>; and</w:t>
      </w:r>
    </w:p>
    <w:p w14:paraId="2B059451" w14:textId="77777777" w:rsidR="00C91581" w:rsidRPr="002E0E3B" w:rsidRDefault="00C91581" w:rsidP="00C91581">
      <w:pPr>
        <w:pStyle w:val="ListParagraph"/>
        <w:ind w:left="1080"/>
        <w:jc w:val="both"/>
        <w:rPr>
          <w:rFonts w:ascii="Verdana" w:hAnsi="Verdana"/>
          <w:sz w:val="20"/>
          <w:szCs w:val="20"/>
          <w:lang w:val="en-US"/>
        </w:rPr>
      </w:pPr>
    </w:p>
    <w:p w14:paraId="6B6E9937" w14:textId="15B13A92" w:rsidR="00C91581" w:rsidRPr="002E0E3B" w:rsidRDefault="00B474EA" w:rsidP="00C91581">
      <w:pPr>
        <w:pStyle w:val="ListParagraph"/>
        <w:numPr>
          <w:ilvl w:val="1"/>
          <w:numId w:val="3"/>
        </w:numPr>
        <w:jc w:val="both"/>
        <w:rPr>
          <w:rFonts w:ascii="Verdana" w:hAnsi="Verdana"/>
          <w:sz w:val="20"/>
          <w:szCs w:val="20"/>
          <w:lang w:val="en-US"/>
        </w:rPr>
      </w:pPr>
      <w:r w:rsidRPr="002E0E3B">
        <w:rPr>
          <w:rFonts w:ascii="Verdana" w:hAnsi="Verdana"/>
          <w:sz w:val="20"/>
          <w:szCs w:val="20"/>
          <w:lang w:val="en-US"/>
        </w:rPr>
        <w:t xml:space="preserve">The discrimination, violence and abuse faced by </w:t>
      </w:r>
      <w:r w:rsidR="00BD3D90" w:rsidRPr="002E0E3B">
        <w:rPr>
          <w:rFonts w:ascii="Verdana" w:hAnsi="Verdana"/>
          <w:sz w:val="20"/>
          <w:szCs w:val="20"/>
          <w:lang w:val="en-US"/>
        </w:rPr>
        <w:t>lesbian, bisexual and transgender (</w:t>
      </w:r>
      <w:r w:rsidRPr="002E0E3B">
        <w:rPr>
          <w:rFonts w:ascii="Verdana" w:hAnsi="Verdana"/>
          <w:sz w:val="20"/>
          <w:szCs w:val="20"/>
          <w:lang w:val="en-US"/>
        </w:rPr>
        <w:t>LBT</w:t>
      </w:r>
      <w:r w:rsidR="00BD3D90" w:rsidRPr="002E0E3B">
        <w:rPr>
          <w:rFonts w:ascii="Verdana" w:hAnsi="Verdana"/>
          <w:sz w:val="20"/>
          <w:szCs w:val="20"/>
          <w:lang w:val="en-US"/>
        </w:rPr>
        <w:t>)</w:t>
      </w:r>
      <w:r w:rsidRPr="002E0E3B">
        <w:rPr>
          <w:rFonts w:ascii="Verdana" w:hAnsi="Verdana"/>
          <w:sz w:val="20"/>
          <w:szCs w:val="20"/>
          <w:lang w:val="en-US"/>
        </w:rPr>
        <w:t xml:space="preserve"> women, including </w:t>
      </w:r>
      <w:r w:rsidR="00BD3D90" w:rsidRPr="002E0E3B">
        <w:rPr>
          <w:rFonts w:ascii="Verdana" w:hAnsi="Verdana"/>
          <w:sz w:val="20"/>
          <w:szCs w:val="20"/>
          <w:lang w:val="en-US"/>
        </w:rPr>
        <w:t xml:space="preserve">members of LBT organizations and </w:t>
      </w:r>
      <w:r w:rsidRPr="002E0E3B">
        <w:rPr>
          <w:rFonts w:ascii="Verdana" w:hAnsi="Verdana"/>
          <w:sz w:val="20"/>
          <w:szCs w:val="20"/>
          <w:lang w:val="en-US"/>
        </w:rPr>
        <w:t>LBT human rights defenders, and the additional barriers they face when trying to access justice and effective remedies (</w:t>
      </w:r>
      <w:r w:rsidR="00170307" w:rsidRPr="002E0E3B">
        <w:rPr>
          <w:rFonts w:ascii="Verdana" w:hAnsi="Verdana"/>
          <w:sz w:val="20"/>
          <w:szCs w:val="20"/>
          <w:lang w:val="en-US"/>
        </w:rPr>
        <w:t xml:space="preserve">CEDAW, </w:t>
      </w:r>
      <w:r w:rsidRPr="002E0E3B">
        <w:rPr>
          <w:rFonts w:ascii="Verdana" w:hAnsi="Verdana"/>
          <w:sz w:val="20"/>
          <w:szCs w:val="20"/>
          <w:lang w:val="en-US"/>
        </w:rPr>
        <w:t xml:space="preserve">articles 1, 2, 7 and 15). </w:t>
      </w:r>
    </w:p>
    <w:p w14:paraId="7C834339" w14:textId="77777777" w:rsidR="004D5CDD" w:rsidRPr="002E0E3B" w:rsidRDefault="004D5CDD" w:rsidP="004D5CDD">
      <w:pPr>
        <w:rPr>
          <w:rFonts w:ascii="Verdana" w:hAnsi="Verdana"/>
          <w:sz w:val="20"/>
          <w:szCs w:val="20"/>
          <w:lang w:val="en-US"/>
        </w:rPr>
      </w:pPr>
    </w:p>
    <w:p w14:paraId="733FD0D7" w14:textId="41AEC473" w:rsidR="002A5A6E" w:rsidRPr="002E0E3B" w:rsidRDefault="002A5A6E"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t>Discriminatory Penal Laws (</w:t>
      </w:r>
      <w:r w:rsidR="00170307" w:rsidRPr="002E0E3B">
        <w:rPr>
          <w:rFonts w:ascii="Verdana" w:hAnsi="Verdana"/>
          <w:b/>
          <w:sz w:val="20"/>
          <w:szCs w:val="20"/>
          <w:lang w:val="en-US"/>
        </w:rPr>
        <w:t>a</w:t>
      </w:r>
      <w:r w:rsidRPr="002E0E3B">
        <w:rPr>
          <w:rFonts w:ascii="Verdana" w:hAnsi="Verdana"/>
          <w:b/>
          <w:sz w:val="20"/>
          <w:szCs w:val="20"/>
          <w:lang w:val="en-US"/>
        </w:rPr>
        <w:t xml:space="preserve">rticles 1, 2, </w:t>
      </w:r>
      <w:r w:rsidR="00D70C0C" w:rsidRPr="002E0E3B">
        <w:rPr>
          <w:rFonts w:ascii="Verdana" w:hAnsi="Verdana"/>
          <w:b/>
          <w:sz w:val="20"/>
          <w:szCs w:val="20"/>
          <w:lang w:val="en-US"/>
        </w:rPr>
        <w:t xml:space="preserve">12 and </w:t>
      </w:r>
      <w:r w:rsidRPr="002E0E3B">
        <w:rPr>
          <w:rFonts w:ascii="Verdana" w:hAnsi="Verdana"/>
          <w:b/>
          <w:sz w:val="20"/>
          <w:szCs w:val="20"/>
          <w:lang w:val="en-US"/>
        </w:rPr>
        <w:t>16</w:t>
      </w:r>
      <w:r w:rsidR="00D70C0C" w:rsidRPr="002E0E3B">
        <w:rPr>
          <w:rFonts w:ascii="Verdana" w:hAnsi="Verdana"/>
          <w:b/>
          <w:sz w:val="20"/>
          <w:szCs w:val="20"/>
          <w:lang w:val="en-US"/>
        </w:rPr>
        <w:t>)</w:t>
      </w:r>
      <w:r w:rsidRPr="002E0E3B">
        <w:rPr>
          <w:rFonts w:ascii="Verdana" w:hAnsi="Verdana"/>
          <w:b/>
          <w:sz w:val="20"/>
          <w:szCs w:val="20"/>
          <w:lang w:val="en-US"/>
        </w:rPr>
        <w:t xml:space="preserve"> </w:t>
      </w:r>
    </w:p>
    <w:p w14:paraId="48D00F7A" w14:textId="258A3543" w:rsidR="002A5A6E" w:rsidRPr="002E0E3B" w:rsidRDefault="002A5A6E" w:rsidP="002A5A6E">
      <w:pPr>
        <w:rPr>
          <w:rFonts w:ascii="Verdana" w:hAnsi="Verdana"/>
          <w:sz w:val="20"/>
          <w:szCs w:val="20"/>
          <w:lang w:val="en-US"/>
        </w:rPr>
      </w:pPr>
    </w:p>
    <w:p w14:paraId="109EAA92" w14:textId="3746D580" w:rsidR="00F624AD" w:rsidRPr="002E0E3B" w:rsidRDefault="0026779B" w:rsidP="00C256C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The Philippines retains </w:t>
      </w:r>
      <w:r w:rsidR="00466EFB" w:rsidRPr="002E0E3B">
        <w:rPr>
          <w:rFonts w:ascii="Verdana" w:hAnsi="Verdana"/>
          <w:sz w:val="20"/>
          <w:szCs w:val="20"/>
          <w:lang w:val="en-US"/>
        </w:rPr>
        <w:t xml:space="preserve">penal provisions </w:t>
      </w:r>
      <w:r w:rsidR="00170307" w:rsidRPr="002E0E3B">
        <w:rPr>
          <w:rFonts w:ascii="Verdana" w:hAnsi="Verdana"/>
          <w:sz w:val="20"/>
          <w:szCs w:val="20"/>
          <w:lang w:val="en-US"/>
        </w:rPr>
        <w:t xml:space="preserve">that </w:t>
      </w:r>
      <w:r w:rsidR="00466EFB" w:rsidRPr="002E0E3B">
        <w:rPr>
          <w:rFonts w:ascii="Verdana" w:hAnsi="Verdana"/>
          <w:sz w:val="20"/>
          <w:szCs w:val="20"/>
          <w:lang w:val="en-US"/>
        </w:rPr>
        <w:t>are discriminatory against women, in contravention of article 2(g) of CEDAW</w:t>
      </w:r>
      <w:r w:rsidR="001E6929" w:rsidRPr="002E0E3B">
        <w:rPr>
          <w:rFonts w:ascii="Verdana" w:hAnsi="Verdana"/>
          <w:sz w:val="20"/>
          <w:szCs w:val="20"/>
          <w:lang w:val="en-US"/>
        </w:rPr>
        <w:t xml:space="preserve">. </w:t>
      </w:r>
      <w:r w:rsidR="00466EFB" w:rsidRPr="002E0E3B">
        <w:rPr>
          <w:rFonts w:ascii="Verdana" w:hAnsi="Verdana"/>
          <w:sz w:val="20"/>
          <w:szCs w:val="20"/>
          <w:lang w:val="en-US"/>
        </w:rPr>
        <w:t xml:space="preserve">These include provisions in the Revised Penal Code (RPC) on </w:t>
      </w:r>
      <w:r w:rsidR="00170307" w:rsidRPr="002E0E3B">
        <w:rPr>
          <w:rFonts w:ascii="Verdana" w:hAnsi="Verdana"/>
          <w:sz w:val="20"/>
          <w:szCs w:val="20"/>
          <w:lang w:val="en-US"/>
        </w:rPr>
        <w:t>“</w:t>
      </w:r>
      <w:r w:rsidR="00466EFB" w:rsidRPr="002E0E3B">
        <w:rPr>
          <w:rFonts w:ascii="Verdana" w:hAnsi="Verdana"/>
          <w:sz w:val="20"/>
          <w:szCs w:val="20"/>
          <w:lang w:val="en-US"/>
        </w:rPr>
        <w:t>abortion</w:t>
      </w:r>
      <w:r w:rsidR="00170307" w:rsidRPr="002E0E3B">
        <w:rPr>
          <w:rFonts w:ascii="Verdana" w:hAnsi="Verdana"/>
          <w:sz w:val="20"/>
          <w:szCs w:val="20"/>
          <w:lang w:val="en-US"/>
        </w:rPr>
        <w:t>”</w:t>
      </w:r>
      <w:r w:rsidR="00466EFB" w:rsidRPr="002E0E3B">
        <w:rPr>
          <w:rFonts w:ascii="Verdana" w:hAnsi="Verdana"/>
          <w:sz w:val="20"/>
          <w:szCs w:val="20"/>
          <w:lang w:val="en-US"/>
        </w:rPr>
        <w:t xml:space="preserve"> (article 256 – 25</w:t>
      </w:r>
      <w:r w:rsidR="0007624D" w:rsidRPr="002E0E3B">
        <w:rPr>
          <w:rFonts w:ascii="Verdana" w:hAnsi="Verdana"/>
          <w:sz w:val="20"/>
          <w:szCs w:val="20"/>
          <w:lang w:val="en-US"/>
        </w:rPr>
        <w:t>9</w:t>
      </w:r>
      <w:r w:rsidR="00466EFB" w:rsidRPr="002E0E3B">
        <w:rPr>
          <w:rFonts w:ascii="Verdana" w:hAnsi="Verdana"/>
          <w:sz w:val="20"/>
          <w:szCs w:val="20"/>
          <w:lang w:val="en-US"/>
        </w:rPr>
        <w:t xml:space="preserve">) and </w:t>
      </w:r>
      <w:r w:rsidR="00061285" w:rsidRPr="002E0E3B">
        <w:rPr>
          <w:rFonts w:ascii="Verdana" w:hAnsi="Verdana"/>
          <w:sz w:val="20"/>
          <w:szCs w:val="20"/>
          <w:lang w:val="en-US"/>
        </w:rPr>
        <w:t>“</w:t>
      </w:r>
      <w:r w:rsidR="00466EFB" w:rsidRPr="002E0E3B">
        <w:rPr>
          <w:rFonts w:ascii="Verdana" w:hAnsi="Verdana"/>
          <w:sz w:val="20"/>
          <w:szCs w:val="20"/>
          <w:lang w:val="en-US"/>
        </w:rPr>
        <w:t>marital infidelity</w:t>
      </w:r>
      <w:r w:rsidR="00061285" w:rsidRPr="002E0E3B">
        <w:rPr>
          <w:rFonts w:ascii="Verdana" w:hAnsi="Verdana"/>
          <w:sz w:val="20"/>
          <w:szCs w:val="20"/>
          <w:lang w:val="en-US"/>
        </w:rPr>
        <w:t>”</w:t>
      </w:r>
      <w:r w:rsidR="00466EFB" w:rsidRPr="002E0E3B">
        <w:rPr>
          <w:rFonts w:ascii="Verdana" w:hAnsi="Verdana"/>
          <w:sz w:val="20"/>
          <w:szCs w:val="20"/>
          <w:lang w:val="en-US"/>
        </w:rPr>
        <w:t xml:space="preserve"> (</w:t>
      </w:r>
      <w:r w:rsidR="00F624AD" w:rsidRPr="002E0E3B">
        <w:rPr>
          <w:rFonts w:ascii="Verdana" w:hAnsi="Verdana"/>
          <w:sz w:val="20"/>
          <w:szCs w:val="20"/>
          <w:lang w:val="en-US"/>
        </w:rPr>
        <w:t>articles 333 and 334).</w:t>
      </w:r>
      <w:r w:rsidR="00C256CA" w:rsidRPr="002E0E3B">
        <w:rPr>
          <w:rFonts w:ascii="Verdana" w:hAnsi="Verdana"/>
          <w:sz w:val="20"/>
          <w:szCs w:val="20"/>
          <w:lang w:val="en-US"/>
        </w:rPr>
        <w:t xml:space="preserve"> The failure to repeal these discriminatory </w:t>
      </w:r>
      <w:r w:rsidR="00B40FBB">
        <w:rPr>
          <w:rFonts w:ascii="Verdana" w:hAnsi="Verdana"/>
          <w:sz w:val="20"/>
          <w:szCs w:val="20"/>
          <w:lang w:val="en-US"/>
        </w:rPr>
        <w:t>provisions</w:t>
      </w:r>
      <w:r w:rsidR="001E6929" w:rsidRPr="002E0E3B">
        <w:rPr>
          <w:rFonts w:ascii="Verdana" w:hAnsi="Verdana"/>
          <w:sz w:val="20"/>
          <w:szCs w:val="20"/>
          <w:lang w:val="en-US"/>
        </w:rPr>
        <w:t xml:space="preserve">, </w:t>
      </w:r>
      <w:r w:rsidR="00061285" w:rsidRPr="002E0E3B">
        <w:rPr>
          <w:rFonts w:ascii="Verdana" w:hAnsi="Verdana"/>
          <w:sz w:val="20"/>
          <w:szCs w:val="20"/>
          <w:lang w:val="en-US"/>
        </w:rPr>
        <w:t xml:space="preserve">criminally proscribing conduct </w:t>
      </w:r>
      <w:r w:rsidR="001E6929" w:rsidRPr="002E0E3B">
        <w:rPr>
          <w:rFonts w:ascii="Verdana" w:hAnsi="Verdana"/>
          <w:sz w:val="20"/>
          <w:szCs w:val="20"/>
          <w:lang w:val="en-US"/>
        </w:rPr>
        <w:t>that should not be criminalized under international human rights law,</w:t>
      </w:r>
      <w:r w:rsidR="001E6929" w:rsidRPr="002E0E3B">
        <w:rPr>
          <w:rStyle w:val="FootnoteReference"/>
          <w:rFonts w:ascii="Verdana" w:hAnsi="Verdana"/>
          <w:sz w:val="20"/>
          <w:szCs w:val="20"/>
          <w:lang w:val="en-US"/>
        </w:rPr>
        <w:footnoteReference w:id="1"/>
      </w:r>
      <w:r w:rsidR="00C256CA" w:rsidRPr="002E0E3B">
        <w:rPr>
          <w:rFonts w:ascii="Verdana" w:hAnsi="Verdana"/>
          <w:sz w:val="20"/>
          <w:szCs w:val="20"/>
          <w:lang w:val="en-US"/>
        </w:rPr>
        <w:t xml:space="preserve"> ha</w:t>
      </w:r>
      <w:r w:rsidR="00061285" w:rsidRPr="002E0E3B">
        <w:rPr>
          <w:rFonts w:ascii="Verdana" w:hAnsi="Verdana"/>
          <w:sz w:val="20"/>
          <w:szCs w:val="20"/>
          <w:lang w:val="en-US"/>
        </w:rPr>
        <w:t>s</w:t>
      </w:r>
      <w:r w:rsidR="00C256CA" w:rsidRPr="002E0E3B">
        <w:rPr>
          <w:rFonts w:ascii="Verdana" w:hAnsi="Verdana"/>
          <w:sz w:val="20"/>
          <w:szCs w:val="20"/>
          <w:lang w:val="en-US"/>
        </w:rPr>
        <w:t xml:space="preserve"> contributed</w:t>
      </w:r>
      <w:r w:rsidR="00061285" w:rsidRPr="002E0E3B">
        <w:rPr>
          <w:rFonts w:ascii="Verdana" w:hAnsi="Verdana"/>
          <w:sz w:val="20"/>
          <w:szCs w:val="20"/>
          <w:lang w:val="en-US"/>
        </w:rPr>
        <w:t>, in particular,</w:t>
      </w:r>
      <w:r w:rsidR="00C256CA" w:rsidRPr="002E0E3B">
        <w:rPr>
          <w:rFonts w:ascii="Verdana" w:hAnsi="Verdana"/>
          <w:sz w:val="20"/>
          <w:szCs w:val="20"/>
          <w:lang w:val="en-US"/>
        </w:rPr>
        <w:t xml:space="preserve"> to the unnecessary prosecution and incarceration of women.</w:t>
      </w:r>
    </w:p>
    <w:p w14:paraId="415DE214" w14:textId="77777777" w:rsidR="00AC2C39" w:rsidRPr="002E0E3B" w:rsidRDefault="00AC2C39" w:rsidP="00AC2C39">
      <w:pPr>
        <w:jc w:val="both"/>
        <w:rPr>
          <w:rFonts w:ascii="Verdana" w:hAnsi="Verdana"/>
          <w:sz w:val="20"/>
          <w:szCs w:val="20"/>
          <w:lang w:val="en-US"/>
        </w:rPr>
      </w:pPr>
    </w:p>
    <w:p w14:paraId="3AB00F6A" w14:textId="141B59E8" w:rsidR="00B322D4" w:rsidRPr="002E0E3B" w:rsidRDefault="00D917CD" w:rsidP="00EA2B9B">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Articles 256 – 25</w:t>
      </w:r>
      <w:r w:rsidR="00F722DB" w:rsidRPr="002E0E3B">
        <w:rPr>
          <w:rFonts w:ascii="Verdana" w:hAnsi="Verdana"/>
          <w:sz w:val="20"/>
          <w:szCs w:val="20"/>
          <w:lang w:val="en-US"/>
        </w:rPr>
        <w:t>9</w:t>
      </w:r>
      <w:r w:rsidRPr="002E0E3B">
        <w:rPr>
          <w:rFonts w:ascii="Verdana" w:hAnsi="Verdana"/>
          <w:sz w:val="20"/>
          <w:szCs w:val="20"/>
          <w:lang w:val="en-US"/>
        </w:rPr>
        <w:t xml:space="preserve"> </w:t>
      </w:r>
      <w:r w:rsidR="00C256CA" w:rsidRPr="002E0E3B">
        <w:rPr>
          <w:rFonts w:ascii="Verdana" w:hAnsi="Verdana"/>
          <w:sz w:val="20"/>
          <w:szCs w:val="20"/>
          <w:lang w:val="en-US"/>
        </w:rPr>
        <w:t xml:space="preserve">of the RPC </w:t>
      </w:r>
      <w:r w:rsidR="003E5A72" w:rsidRPr="002E0E3B">
        <w:rPr>
          <w:rFonts w:ascii="Verdana" w:hAnsi="Verdana"/>
          <w:sz w:val="20"/>
          <w:szCs w:val="20"/>
          <w:lang w:val="en-US"/>
        </w:rPr>
        <w:t xml:space="preserve">criminalize </w:t>
      </w:r>
      <w:r w:rsidRPr="002E0E3B">
        <w:rPr>
          <w:rFonts w:ascii="Verdana" w:hAnsi="Verdana"/>
          <w:sz w:val="20"/>
          <w:szCs w:val="20"/>
          <w:lang w:val="en-US"/>
        </w:rPr>
        <w:t xml:space="preserve">abortion, encompassing various scenarios related to </w:t>
      </w:r>
      <w:r w:rsidR="00B322D4" w:rsidRPr="002E0E3B">
        <w:rPr>
          <w:rFonts w:ascii="Verdana" w:hAnsi="Verdana"/>
          <w:sz w:val="20"/>
          <w:szCs w:val="20"/>
          <w:lang w:val="en-US"/>
        </w:rPr>
        <w:t xml:space="preserve">voluntary termination of </w:t>
      </w:r>
      <w:r w:rsidRPr="002E0E3B">
        <w:rPr>
          <w:rFonts w:ascii="Verdana" w:hAnsi="Verdana"/>
          <w:sz w:val="20"/>
          <w:szCs w:val="20"/>
          <w:lang w:val="en-US"/>
        </w:rPr>
        <w:t>pregnancy</w:t>
      </w:r>
      <w:r w:rsidR="00B322D4" w:rsidRPr="002E0E3B">
        <w:rPr>
          <w:rFonts w:ascii="Verdana" w:hAnsi="Verdana"/>
          <w:sz w:val="20"/>
          <w:szCs w:val="20"/>
          <w:lang w:val="en-US"/>
        </w:rPr>
        <w:t>,</w:t>
      </w:r>
      <w:r w:rsidRPr="002E0E3B">
        <w:rPr>
          <w:rFonts w:ascii="Verdana" w:hAnsi="Verdana"/>
          <w:sz w:val="20"/>
          <w:szCs w:val="20"/>
          <w:lang w:val="en-US"/>
        </w:rPr>
        <w:t xml:space="preserve"> including a woman </w:t>
      </w:r>
      <w:proofErr w:type="spellStart"/>
      <w:r w:rsidRPr="002E0E3B">
        <w:rPr>
          <w:rFonts w:ascii="Verdana" w:hAnsi="Verdana"/>
          <w:sz w:val="20"/>
          <w:szCs w:val="20"/>
          <w:lang w:val="en-US"/>
        </w:rPr>
        <w:t>practi</w:t>
      </w:r>
      <w:r w:rsidR="007925E4" w:rsidRPr="002E0E3B">
        <w:rPr>
          <w:rFonts w:ascii="Verdana" w:hAnsi="Verdana"/>
          <w:sz w:val="20"/>
          <w:szCs w:val="20"/>
          <w:lang w:val="en-US"/>
        </w:rPr>
        <w:t>s</w:t>
      </w:r>
      <w:r w:rsidRPr="002E0E3B">
        <w:rPr>
          <w:rFonts w:ascii="Verdana" w:hAnsi="Verdana"/>
          <w:sz w:val="20"/>
          <w:szCs w:val="20"/>
          <w:lang w:val="en-US"/>
        </w:rPr>
        <w:t>ing</w:t>
      </w:r>
      <w:proofErr w:type="spellEnd"/>
      <w:r w:rsidRPr="002E0E3B">
        <w:rPr>
          <w:rFonts w:ascii="Verdana" w:hAnsi="Verdana"/>
          <w:sz w:val="20"/>
          <w:szCs w:val="20"/>
          <w:lang w:val="en-US"/>
        </w:rPr>
        <w:t xml:space="preserve"> </w:t>
      </w:r>
      <w:r w:rsidR="00B322D4" w:rsidRPr="002E0E3B">
        <w:rPr>
          <w:rFonts w:ascii="Verdana" w:hAnsi="Verdana"/>
          <w:sz w:val="20"/>
          <w:szCs w:val="20"/>
          <w:lang w:val="en-US"/>
        </w:rPr>
        <w:t xml:space="preserve">an </w:t>
      </w:r>
      <w:r w:rsidRPr="002E0E3B">
        <w:rPr>
          <w:rFonts w:ascii="Verdana" w:hAnsi="Verdana"/>
          <w:sz w:val="20"/>
          <w:szCs w:val="20"/>
          <w:lang w:val="en-US"/>
        </w:rPr>
        <w:t>abortion on herself, physicians or midwives using their scientific knowledge or skill</w:t>
      </w:r>
      <w:r w:rsidR="00B322D4" w:rsidRPr="002E0E3B">
        <w:rPr>
          <w:rFonts w:ascii="Verdana" w:hAnsi="Verdana"/>
          <w:sz w:val="20"/>
          <w:szCs w:val="20"/>
          <w:lang w:val="en-US"/>
        </w:rPr>
        <w:t>s</w:t>
      </w:r>
      <w:r w:rsidRPr="002E0E3B">
        <w:rPr>
          <w:rFonts w:ascii="Verdana" w:hAnsi="Verdana"/>
          <w:sz w:val="20"/>
          <w:szCs w:val="20"/>
          <w:lang w:val="en-US"/>
        </w:rPr>
        <w:t xml:space="preserve"> to cause </w:t>
      </w:r>
      <w:r w:rsidR="00B322D4" w:rsidRPr="002E0E3B">
        <w:rPr>
          <w:rFonts w:ascii="Verdana" w:hAnsi="Verdana"/>
          <w:sz w:val="20"/>
          <w:szCs w:val="20"/>
          <w:lang w:val="en-US"/>
        </w:rPr>
        <w:t xml:space="preserve">an </w:t>
      </w:r>
      <w:r w:rsidRPr="002E0E3B">
        <w:rPr>
          <w:rFonts w:ascii="Verdana" w:hAnsi="Verdana"/>
          <w:sz w:val="20"/>
          <w:szCs w:val="20"/>
          <w:lang w:val="en-US"/>
        </w:rPr>
        <w:t xml:space="preserve">abortion, and pharmacists dispensing </w:t>
      </w:r>
      <w:r w:rsidR="00B322D4" w:rsidRPr="002E0E3B">
        <w:rPr>
          <w:rFonts w:ascii="Verdana" w:hAnsi="Verdana"/>
          <w:sz w:val="20"/>
          <w:szCs w:val="20"/>
          <w:lang w:val="en-US"/>
        </w:rPr>
        <w:t>abortifacient drugs</w:t>
      </w:r>
      <w:r w:rsidRPr="002E0E3B">
        <w:rPr>
          <w:rFonts w:ascii="Verdana" w:hAnsi="Verdana"/>
          <w:sz w:val="20"/>
          <w:szCs w:val="20"/>
          <w:lang w:val="en-US"/>
        </w:rPr>
        <w:t xml:space="preserve">. </w:t>
      </w:r>
      <w:r w:rsidR="00963583" w:rsidRPr="002E0E3B">
        <w:rPr>
          <w:rFonts w:ascii="Verdana" w:hAnsi="Verdana"/>
          <w:sz w:val="20"/>
          <w:szCs w:val="20"/>
          <w:lang w:val="en-US"/>
        </w:rPr>
        <w:t xml:space="preserve">Under </w:t>
      </w:r>
      <w:r w:rsidR="00470217" w:rsidRPr="002E0E3B">
        <w:rPr>
          <w:rFonts w:ascii="Verdana" w:hAnsi="Verdana"/>
          <w:sz w:val="20"/>
          <w:szCs w:val="20"/>
          <w:lang w:val="en-US"/>
        </w:rPr>
        <w:t>a</w:t>
      </w:r>
      <w:r w:rsidR="00963583" w:rsidRPr="002E0E3B">
        <w:rPr>
          <w:rFonts w:ascii="Verdana" w:hAnsi="Verdana"/>
          <w:sz w:val="20"/>
          <w:szCs w:val="20"/>
          <w:lang w:val="en-US"/>
        </w:rPr>
        <w:t xml:space="preserve">rticle 258 </w:t>
      </w:r>
      <w:r w:rsidR="00963583" w:rsidRPr="002E0E3B">
        <w:rPr>
          <w:rFonts w:ascii="Verdana" w:hAnsi="Verdana"/>
          <w:sz w:val="20"/>
          <w:szCs w:val="20"/>
          <w:lang w:val="en-US"/>
        </w:rPr>
        <w:lastRenderedPageBreak/>
        <w:t>of the RPC, “a woman who shall practice an abortion upon herself or shall consent that any other person should do so”,</w:t>
      </w:r>
      <w:r w:rsidR="00963583" w:rsidRPr="002E0E3B">
        <w:rPr>
          <w:rFonts w:ascii="Verdana" w:hAnsi="Verdana"/>
          <w:sz w:val="20"/>
          <w:szCs w:val="20"/>
          <w:vertAlign w:val="superscript"/>
          <w:lang w:val="en-US"/>
        </w:rPr>
        <w:footnoteReference w:id="2"/>
      </w:r>
      <w:r w:rsidR="00963583" w:rsidRPr="002E0E3B">
        <w:rPr>
          <w:rFonts w:ascii="Verdana" w:hAnsi="Verdana"/>
          <w:sz w:val="20"/>
          <w:szCs w:val="20"/>
          <w:lang w:val="en-US"/>
        </w:rPr>
        <w:t xml:space="preserve"> risks being imprisoned for up to six years on conviction. Additionally, the Constitution includes a “prenatal protection clause” that mandates equal protection for both the life of the mother and “the life of the unborn from conception”. </w:t>
      </w:r>
      <w:r w:rsidR="00ED74A6" w:rsidRPr="002E0E3B">
        <w:rPr>
          <w:rFonts w:ascii="Verdana" w:hAnsi="Verdana" w:cstheme="minorHAnsi"/>
          <w:sz w:val="20"/>
          <w:szCs w:val="20"/>
          <w:lang w:val="en-US"/>
        </w:rPr>
        <w:t>The Philippines’ continued criminalization of women who have an abortion, and those who assist them, including their parents, doctors or midwives,</w:t>
      </w:r>
      <w:r w:rsidR="00ED74A6" w:rsidRPr="002E0E3B">
        <w:rPr>
          <w:rStyle w:val="FootnoteReference"/>
          <w:rFonts w:ascii="Verdana" w:hAnsi="Verdana" w:cstheme="minorHAnsi"/>
          <w:sz w:val="20"/>
          <w:szCs w:val="20"/>
          <w:lang w:val="en-US"/>
        </w:rPr>
        <w:footnoteReference w:id="3"/>
      </w:r>
      <w:r w:rsidR="00ED74A6" w:rsidRPr="002E0E3B">
        <w:rPr>
          <w:rFonts w:ascii="Verdana" w:hAnsi="Verdana" w:cstheme="minorHAnsi"/>
          <w:sz w:val="20"/>
          <w:szCs w:val="20"/>
          <w:lang w:val="en-US"/>
        </w:rPr>
        <w:t xml:space="preserve"> is a violation of the State’s international human rights obligations</w:t>
      </w:r>
      <w:r w:rsidR="00B01070" w:rsidRPr="002E0E3B">
        <w:rPr>
          <w:rFonts w:ascii="Verdana" w:hAnsi="Verdana" w:cstheme="minorHAnsi"/>
          <w:sz w:val="20"/>
          <w:szCs w:val="20"/>
          <w:lang w:val="en-US"/>
        </w:rPr>
        <w:t>,</w:t>
      </w:r>
      <w:r w:rsidR="00B01070" w:rsidRPr="002E0E3B">
        <w:rPr>
          <w:rStyle w:val="FootnoteReference"/>
          <w:rFonts w:ascii="Verdana" w:hAnsi="Verdana" w:cstheme="minorHAnsi"/>
          <w:sz w:val="20"/>
          <w:szCs w:val="20"/>
          <w:lang w:val="en-US"/>
        </w:rPr>
        <w:footnoteReference w:id="4"/>
      </w:r>
      <w:r w:rsidR="00ED74A6" w:rsidRPr="002E0E3B">
        <w:rPr>
          <w:rFonts w:ascii="Verdana" w:hAnsi="Verdana" w:cstheme="minorHAnsi"/>
          <w:sz w:val="20"/>
          <w:szCs w:val="20"/>
          <w:lang w:val="en-US"/>
        </w:rPr>
        <w:t xml:space="preserve"> including the protection of the right to life</w:t>
      </w:r>
      <w:r w:rsidR="00ED74A6" w:rsidRPr="002E0E3B">
        <w:rPr>
          <w:rStyle w:val="FootnoteReference"/>
          <w:rFonts w:ascii="Verdana" w:hAnsi="Verdana" w:cstheme="minorHAnsi"/>
          <w:sz w:val="20"/>
          <w:szCs w:val="20"/>
          <w:lang w:val="en-US"/>
        </w:rPr>
        <w:footnoteReference w:id="5"/>
      </w:r>
      <w:r w:rsidR="00ED74A6" w:rsidRPr="002E0E3B">
        <w:rPr>
          <w:rFonts w:ascii="Verdana" w:hAnsi="Verdana" w:cstheme="minorHAnsi"/>
          <w:sz w:val="20"/>
          <w:szCs w:val="20"/>
          <w:lang w:val="en-US"/>
        </w:rPr>
        <w:t xml:space="preserve"> and the right to sexual and reproductive health.</w:t>
      </w:r>
      <w:r w:rsidR="00ED74A6" w:rsidRPr="002E0E3B">
        <w:rPr>
          <w:rStyle w:val="FootnoteReference"/>
          <w:rFonts w:ascii="Verdana" w:hAnsi="Verdana" w:cstheme="minorHAnsi"/>
          <w:sz w:val="20"/>
          <w:szCs w:val="20"/>
          <w:lang w:val="en-US"/>
        </w:rPr>
        <w:footnoteReference w:id="6"/>
      </w:r>
    </w:p>
    <w:p w14:paraId="787C3E1B" w14:textId="77777777" w:rsidR="00B322D4" w:rsidRPr="002E0E3B" w:rsidRDefault="00B322D4" w:rsidP="007D0B3D">
      <w:pPr>
        <w:jc w:val="both"/>
        <w:rPr>
          <w:rFonts w:ascii="Verdana" w:hAnsi="Verdana"/>
          <w:sz w:val="20"/>
          <w:szCs w:val="20"/>
          <w:lang w:val="en-US"/>
        </w:rPr>
      </w:pPr>
    </w:p>
    <w:p w14:paraId="18C87758" w14:textId="2517CA4B" w:rsidR="00D917CD" w:rsidRPr="002E0E3B" w:rsidRDefault="00D917CD" w:rsidP="00C256C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These provisions violate</w:t>
      </w:r>
      <w:r w:rsidR="00B322D4" w:rsidRPr="002E0E3B">
        <w:rPr>
          <w:rFonts w:ascii="Verdana" w:hAnsi="Verdana"/>
          <w:sz w:val="20"/>
          <w:szCs w:val="20"/>
          <w:lang w:val="en-US"/>
        </w:rPr>
        <w:t xml:space="preserve"> women’s human rights under </w:t>
      </w:r>
      <w:r w:rsidR="00AC2C39" w:rsidRPr="002E0E3B">
        <w:rPr>
          <w:rFonts w:ascii="Verdana" w:hAnsi="Verdana"/>
          <w:sz w:val="20"/>
          <w:szCs w:val="20"/>
          <w:lang w:val="en-US"/>
        </w:rPr>
        <w:t>CEDAW</w:t>
      </w:r>
      <w:r w:rsidR="00B322D4" w:rsidRPr="002E0E3B">
        <w:rPr>
          <w:rFonts w:ascii="Verdana" w:hAnsi="Verdana"/>
          <w:sz w:val="20"/>
          <w:szCs w:val="20"/>
          <w:lang w:val="en-US"/>
        </w:rPr>
        <w:t xml:space="preserve">. The criminalization of abortion constitutes discrimination against women as defined in article 1 of </w:t>
      </w:r>
      <w:r w:rsidR="00AC2C39" w:rsidRPr="002E0E3B">
        <w:rPr>
          <w:rFonts w:ascii="Verdana" w:hAnsi="Verdana"/>
          <w:sz w:val="20"/>
          <w:szCs w:val="20"/>
          <w:lang w:val="en-US"/>
        </w:rPr>
        <w:t>CEDAW</w:t>
      </w:r>
      <w:r w:rsidR="00B322D4" w:rsidRPr="002E0E3B">
        <w:rPr>
          <w:rFonts w:ascii="Verdana" w:hAnsi="Verdana"/>
          <w:sz w:val="20"/>
          <w:szCs w:val="20"/>
          <w:lang w:val="en-US"/>
        </w:rPr>
        <w:t xml:space="preserve">. The </w:t>
      </w:r>
      <w:r w:rsidR="00177D24" w:rsidRPr="002E0E3B">
        <w:rPr>
          <w:rFonts w:ascii="Verdana" w:hAnsi="Verdana"/>
          <w:sz w:val="20"/>
          <w:szCs w:val="20"/>
          <w:lang w:val="en-US"/>
        </w:rPr>
        <w:t>a</w:t>
      </w:r>
      <w:r w:rsidR="00B322D4" w:rsidRPr="002E0E3B">
        <w:rPr>
          <w:rFonts w:ascii="Verdana" w:hAnsi="Verdana"/>
          <w:sz w:val="20"/>
          <w:szCs w:val="20"/>
          <w:lang w:val="en-US"/>
        </w:rPr>
        <w:t xml:space="preserve">rticles in the Philippines RPC criminalizing abortion, as in the voluntary termination of pregnancy, violate article 2(g) of </w:t>
      </w:r>
      <w:r w:rsidR="00205CD5" w:rsidRPr="002E0E3B">
        <w:rPr>
          <w:rFonts w:ascii="Verdana" w:hAnsi="Verdana"/>
          <w:sz w:val="20"/>
          <w:szCs w:val="20"/>
          <w:lang w:val="en-US"/>
        </w:rPr>
        <w:t>CEDAW</w:t>
      </w:r>
      <w:r w:rsidR="00B322D4" w:rsidRPr="002E0E3B">
        <w:rPr>
          <w:rFonts w:ascii="Verdana" w:hAnsi="Verdana"/>
          <w:sz w:val="20"/>
          <w:szCs w:val="20"/>
          <w:lang w:val="en-US"/>
        </w:rPr>
        <w:t xml:space="preserve">; they also constitute violations of women’s </w:t>
      </w:r>
      <w:r w:rsidRPr="002E0E3B">
        <w:rPr>
          <w:rFonts w:ascii="Verdana" w:hAnsi="Verdana"/>
          <w:sz w:val="20"/>
          <w:szCs w:val="20"/>
          <w:lang w:val="en-US"/>
        </w:rPr>
        <w:t>right to bodily autonomy</w:t>
      </w:r>
      <w:r w:rsidR="00B322D4" w:rsidRPr="002E0E3B">
        <w:rPr>
          <w:rFonts w:ascii="Verdana" w:hAnsi="Verdana"/>
          <w:sz w:val="20"/>
          <w:szCs w:val="20"/>
          <w:lang w:val="en-US"/>
        </w:rPr>
        <w:t xml:space="preserve">, under article 12 of </w:t>
      </w:r>
      <w:r w:rsidR="00205CD5" w:rsidRPr="002E0E3B">
        <w:rPr>
          <w:rFonts w:ascii="Verdana" w:hAnsi="Verdana"/>
          <w:sz w:val="20"/>
          <w:szCs w:val="20"/>
          <w:lang w:val="en-US"/>
        </w:rPr>
        <w:t>CEDAW</w:t>
      </w:r>
      <w:r w:rsidRPr="002E0E3B">
        <w:rPr>
          <w:rFonts w:ascii="Verdana" w:hAnsi="Verdana"/>
          <w:sz w:val="20"/>
          <w:szCs w:val="20"/>
          <w:lang w:val="en-US"/>
        </w:rPr>
        <w:t>, and o</w:t>
      </w:r>
      <w:r w:rsidR="00B322D4" w:rsidRPr="002E0E3B">
        <w:rPr>
          <w:rFonts w:ascii="Verdana" w:hAnsi="Verdana"/>
          <w:sz w:val="20"/>
          <w:szCs w:val="20"/>
          <w:lang w:val="en-US"/>
        </w:rPr>
        <w:t>f</w:t>
      </w:r>
      <w:r w:rsidRPr="002E0E3B">
        <w:rPr>
          <w:rFonts w:ascii="Verdana" w:hAnsi="Verdana"/>
          <w:sz w:val="20"/>
          <w:szCs w:val="20"/>
          <w:lang w:val="en-US"/>
        </w:rPr>
        <w:t xml:space="preserve"> women’s right to decide freely and responsibly on the number and spacing of their children</w:t>
      </w:r>
      <w:r w:rsidR="00B322D4" w:rsidRPr="002E0E3B">
        <w:rPr>
          <w:rFonts w:ascii="Verdana" w:hAnsi="Verdana"/>
          <w:sz w:val="20"/>
          <w:szCs w:val="20"/>
          <w:lang w:val="en-US"/>
        </w:rPr>
        <w:t xml:space="preserve"> under article 16(e) of </w:t>
      </w:r>
      <w:r w:rsidR="00205CD5" w:rsidRPr="002E0E3B">
        <w:rPr>
          <w:rFonts w:ascii="Verdana" w:hAnsi="Verdana"/>
          <w:sz w:val="20"/>
          <w:szCs w:val="20"/>
          <w:lang w:val="en-US"/>
        </w:rPr>
        <w:t>CEDAW</w:t>
      </w:r>
      <w:r w:rsidRPr="002E0E3B">
        <w:rPr>
          <w:rFonts w:ascii="Verdana" w:hAnsi="Verdana"/>
          <w:sz w:val="20"/>
          <w:szCs w:val="20"/>
          <w:lang w:val="en-US"/>
        </w:rPr>
        <w:t xml:space="preserve">. Further, </w:t>
      </w:r>
      <w:r w:rsidR="00B322D4" w:rsidRPr="002E0E3B">
        <w:rPr>
          <w:rFonts w:ascii="Verdana" w:hAnsi="Verdana"/>
          <w:sz w:val="20"/>
          <w:szCs w:val="20"/>
          <w:lang w:val="en-US"/>
        </w:rPr>
        <w:t xml:space="preserve">they are </w:t>
      </w:r>
      <w:r w:rsidRPr="002E0E3B">
        <w:rPr>
          <w:rFonts w:ascii="Verdana" w:hAnsi="Verdana"/>
          <w:sz w:val="20"/>
          <w:szCs w:val="20"/>
          <w:lang w:val="en-US"/>
        </w:rPr>
        <w:t xml:space="preserve">clearly discriminatory as </w:t>
      </w:r>
      <w:r w:rsidR="00B322D4" w:rsidRPr="002E0E3B">
        <w:rPr>
          <w:rFonts w:ascii="Verdana" w:hAnsi="Verdana"/>
          <w:sz w:val="20"/>
          <w:szCs w:val="20"/>
          <w:lang w:val="en-US"/>
        </w:rPr>
        <w:t xml:space="preserve">they </w:t>
      </w:r>
      <w:r w:rsidRPr="002E0E3B">
        <w:rPr>
          <w:rFonts w:ascii="Verdana" w:hAnsi="Verdana"/>
          <w:sz w:val="20"/>
          <w:szCs w:val="20"/>
          <w:lang w:val="en-US"/>
        </w:rPr>
        <w:t xml:space="preserve">criminalize </w:t>
      </w:r>
      <w:r w:rsidR="00F722DB" w:rsidRPr="002E0E3B">
        <w:rPr>
          <w:rFonts w:ascii="Verdana" w:hAnsi="Verdana"/>
          <w:sz w:val="20"/>
          <w:szCs w:val="20"/>
          <w:lang w:val="en-US"/>
        </w:rPr>
        <w:t>“</w:t>
      </w:r>
      <w:r w:rsidRPr="002E0E3B">
        <w:rPr>
          <w:rFonts w:ascii="Verdana" w:hAnsi="Verdana"/>
          <w:sz w:val="20"/>
          <w:szCs w:val="20"/>
          <w:lang w:val="en-US"/>
        </w:rPr>
        <w:t>a medical procedure only needed by women.”</w:t>
      </w:r>
      <w:r w:rsidRPr="002E0E3B">
        <w:rPr>
          <w:rFonts w:ascii="Verdana" w:hAnsi="Verdana"/>
          <w:sz w:val="20"/>
          <w:szCs w:val="20"/>
          <w:vertAlign w:val="superscript"/>
          <w:lang w:val="en-US"/>
        </w:rPr>
        <w:footnoteReference w:id="7"/>
      </w:r>
    </w:p>
    <w:p w14:paraId="30BDB929" w14:textId="77777777" w:rsidR="00C256CA" w:rsidRPr="002E0E3B" w:rsidRDefault="00C256CA" w:rsidP="00C256CA">
      <w:pPr>
        <w:jc w:val="both"/>
        <w:rPr>
          <w:rFonts w:ascii="Verdana" w:hAnsi="Verdana"/>
          <w:sz w:val="20"/>
          <w:szCs w:val="20"/>
          <w:lang w:val="en-US"/>
        </w:rPr>
      </w:pPr>
    </w:p>
    <w:p w14:paraId="2B264673" w14:textId="07F25177" w:rsidR="00D66DDC" w:rsidRPr="002E0E3B" w:rsidRDefault="00C256CA" w:rsidP="00E86A1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Articles 333 and 334 of the RPC </w:t>
      </w:r>
      <w:r w:rsidR="00AD42A3" w:rsidRPr="002E0E3B">
        <w:rPr>
          <w:rFonts w:ascii="Verdana" w:hAnsi="Verdana"/>
          <w:sz w:val="20"/>
          <w:szCs w:val="20"/>
          <w:lang w:val="en-US"/>
        </w:rPr>
        <w:t xml:space="preserve">criminalize </w:t>
      </w:r>
      <w:r w:rsidR="00D66DDC" w:rsidRPr="002E0E3B">
        <w:rPr>
          <w:rFonts w:ascii="Verdana" w:hAnsi="Verdana"/>
          <w:sz w:val="20"/>
          <w:szCs w:val="20"/>
          <w:lang w:val="en-US"/>
        </w:rPr>
        <w:t>“adultery” and “concubinage”, respectively. “Adultery” is committed by “any married woman who shall have sexual intercourse with a man not her husband and by the man who has carnal knowledge of her knowing her to be married.”</w:t>
      </w:r>
      <w:r w:rsidR="00D66DDC" w:rsidRPr="002E0E3B">
        <w:rPr>
          <w:rFonts w:ascii="Verdana" w:hAnsi="Verdana"/>
          <w:sz w:val="20"/>
          <w:szCs w:val="20"/>
          <w:vertAlign w:val="superscript"/>
          <w:lang w:val="en-US"/>
        </w:rPr>
        <w:footnoteReference w:id="8"/>
      </w:r>
      <w:r w:rsidR="00D66DDC" w:rsidRPr="002E0E3B">
        <w:rPr>
          <w:rFonts w:ascii="Verdana" w:hAnsi="Verdana"/>
          <w:sz w:val="20"/>
          <w:szCs w:val="20"/>
          <w:lang w:val="en-US"/>
        </w:rPr>
        <w:t xml:space="preserve"> Meanwhile, “concubinage” is committed by “any husband who shall keep a mistress in the conjugal dwelling, or shall have sexual intercourse, under scandalous circumstances, with a woman who is not his wife, or shall cohabit with her in any other place.”</w:t>
      </w:r>
      <w:r w:rsidR="00205CD5" w:rsidRPr="002E0E3B">
        <w:rPr>
          <w:rFonts w:ascii="Verdana" w:hAnsi="Verdana"/>
          <w:sz w:val="20"/>
          <w:szCs w:val="20"/>
          <w:vertAlign w:val="superscript"/>
          <w:lang w:val="en-US"/>
        </w:rPr>
        <w:footnoteReference w:id="9"/>
      </w:r>
      <w:r w:rsidR="00D66DDC" w:rsidRPr="002E0E3B">
        <w:rPr>
          <w:rFonts w:ascii="Verdana" w:hAnsi="Verdana"/>
          <w:sz w:val="20"/>
          <w:szCs w:val="20"/>
          <w:lang w:val="en-US"/>
        </w:rPr>
        <w:t xml:space="preserve">  The “crimes” require different levels of evidence to secure a conviction. In “adultery”, proof of a wife's extramarital sexual relations is sufficient to convict her of the crime, while proving extra-marital sex alone is insufficient to convict a husband of “concubinage”, as the law requires evidence of any of the three following circumstances: (a) “keeping a mistress in the conjugal dwelling”; (b) “having sexual intercourse under scandalous circumstances with a woman who is not his wife”; or (c) “cohabitation”. Further, in “adultery”, the wife and “her paramour” may face criminal liability for each proven sexual act as the “crime” is based solely on engaging in extramarital sexual intercourse. In contrast, the definition of the “crime” of “concubinage” disregards the number of sexual acts.</w:t>
      </w:r>
      <w:r w:rsidRPr="002E0E3B">
        <w:rPr>
          <w:rFonts w:ascii="Verdana" w:hAnsi="Verdana"/>
          <w:sz w:val="20"/>
          <w:szCs w:val="20"/>
          <w:lang w:val="en-US"/>
        </w:rPr>
        <w:t xml:space="preserve"> </w:t>
      </w:r>
      <w:r w:rsidR="00133C1C" w:rsidRPr="002E0E3B">
        <w:rPr>
          <w:rFonts w:ascii="Verdana" w:hAnsi="Verdana"/>
          <w:sz w:val="20"/>
          <w:szCs w:val="20"/>
          <w:lang w:val="en-US"/>
        </w:rPr>
        <w:t xml:space="preserve">Furthermore, </w:t>
      </w:r>
      <w:r w:rsidR="00D66DDC" w:rsidRPr="002E0E3B">
        <w:rPr>
          <w:rFonts w:ascii="Verdana" w:hAnsi="Verdana"/>
          <w:sz w:val="20"/>
          <w:szCs w:val="20"/>
          <w:lang w:val="en-US"/>
        </w:rPr>
        <w:t xml:space="preserve">there is also a marked difference in severity of penalties. Upon conviction, “adultery” is punishable by imprisonment of up to six years for both the wife and her partner. Meanwhile, a </w:t>
      </w:r>
      <w:r w:rsidR="00D66DDC" w:rsidRPr="002E0E3B">
        <w:rPr>
          <w:rFonts w:ascii="Verdana" w:hAnsi="Verdana"/>
          <w:sz w:val="20"/>
          <w:szCs w:val="20"/>
          <w:lang w:val="en-US"/>
        </w:rPr>
        <w:lastRenderedPageBreak/>
        <w:t xml:space="preserve">husband found guilty of concubinage may be imprisoned only for a maximum of four years and one day, while the concubine will be penalized only with </w:t>
      </w:r>
      <w:proofErr w:type="spellStart"/>
      <w:r w:rsidR="00D66DDC" w:rsidRPr="002E0E3B">
        <w:rPr>
          <w:rFonts w:ascii="Verdana" w:hAnsi="Verdana"/>
          <w:i/>
          <w:iCs/>
          <w:sz w:val="20"/>
          <w:szCs w:val="20"/>
          <w:lang w:val="en-US"/>
        </w:rPr>
        <w:t>destierro</w:t>
      </w:r>
      <w:proofErr w:type="spellEnd"/>
      <w:r w:rsidR="00D66DDC" w:rsidRPr="002E0E3B">
        <w:rPr>
          <w:rFonts w:ascii="Verdana" w:hAnsi="Verdana"/>
          <w:sz w:val="20"/>
          <w:szCs w:val="20"/>
          <w:lang w:val="en-US"/>
        </w:rPr>
        <w:t xml:space="preserve"> or “banishment”. </w:t>
      </w:r>
      <w:r w:rsidRPr="002E0E3B">
        <w:rPr>
          <w:rFonts w:ascii="Verdana" w:hAnsi="Verdana"/>
          <w:sz w:val="20"/>
          <w:szCs w:val="20"/>
          <w:lang w:val="en-US"/>
        </w:rPr>
        <w:t xml:space="preserve"> </w:t>
      </w:r>
      <w:r w:rsidR="00E86A1A" w:rsidRPr="002E0E3B">
        <w:rPr>
          <w:rFonts w:ascii="Verdana" w:hAnsi="Verdana"/>
          <w:sz w:val="20"/>
          <w:szCs w:val="20"/>
          <w:lang w:val="en-US"/>
        </w:rPr>
        <w:t xml:space="preserve">Both </w:t>
      </w:r>
      <w:r w:rsidR="00C61640" w:rsidRPr="002E0E3B">
        <w:rPr>
          <w:rFonts w:ascii="Verdana" w:hAnsi="Verdana"/>
          <w:sz w:val="20"/>
          <w:szCs w:val="20"/>
          <w:lang w:val="en-US"/>
        </w:rPr>
        <w:t>a</w:t>
      </w:r>
      <w:r w:rsidR="00E86A1A" w:rsidRPr="002E0E3B">
        <w:rPr>
          <w:rFonts w:ascii="Verdana" w:hAnsi="Verdana"/>
          <w:sz w:val="20"/>
          <w:szCs w:val="20"/>
          <w:lang w:val="en-US"/>
        </w:rPr>
        <w:t xml:space="preserve">rticles 333 and 334 of the RPC disregard the right to equal protection of the law and the right to be free from gender discrimination as they introduce a sex-based classification that does not justify differentiated treatment of extramarital relations. </w:t>
      </w:r>
    </w:p>
    <w:p w14:paraId="45F9F7F4" w14:textId="77777777" w:rsidR="00D66DDC" w:rsidRPr="002E0E3B" w:rsidRDefault="00D66DDC" w:rsidP="007D0B3D">
      <w:pPr>
        <w:pStyle w:val="ListParagraph"/>
        <w:ind w:left="360"/>
        <w:jc w:val="both"/>
        <w:rPr>
          <w:rFonts w:ascii="Verdana" w:hAnsi="Verdana"/>
          <w:sz w:val="20"/>
          <w:szCs w:val="20"/>
          <w:lang w:val="en-US"/>
        </w:rPr>
      </w:pPr>
    </w:p>
    <w:p w14:paraId="746E5CCA" w14:textId="22D84D6C" w:rsidR="00D66DDC" w:rsidRPr="002E0E3B" w:rsidRDefault="00D66DDC" w:rsidP="007D0B3D">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Consensual sexual conduct, even if extramarital, should never be criminalized,</w:t>
      </w:r>
      <w:r w:rsidRPr="002E0E3B">
        <w:rPr>
          <w:rStyle w:val="FootnoteReference"/>
          <w:rFonts w:ascii="Verdana" w:hAnsi="Verdana"/>
          <w:sz w:val="20"/>
          <w:szCs w:val="20"/>
          <w:lang w:val="en-US"/>
        </w:rPr>
        <w:footnoteReference w:id="10"/>
      </w:r>
      <w:r w:rsidRPr="002E0E3B">
        <w:rPr>
          <w:rFonts w:ascii="Verdana" w:hAnsi="Verdana"/>
          <w:sz w:val="20"/>
          <w:szCs w:val="20"/>
          <w:lang w:val="en-US"/>
        </w:rPr>
        <w:t xml:space="preserve"> and these articles also perpetuate gender biases and use unnecessary sex-based classification in violation of article 5 of CEDAW. Moreover, penalizing “marital infidelity” in effect criminalize consensual sexual activities outside marriage – whether pre-marital or extramarital – and thus violate a broad range of human rights guaranteed under international human rights law, including under the ICCPR, such as the rights to: freedom from discrimination, equality before the law and equal protection of the law without discrimination; liberty and security of person; private and family life; and freedom of expression.</w:t>
      </w:r>
      <w:r w:rsidRPr="002E0E3B">
        <w:rPr>
          <w:rFonts w:ascii="Verdana" w:hAnsi="Verdana"/>
          <w:sz w:val="20"/>
          <w:szCs w:val="20"/>
          <w:vertAlign w:val="superscript"/>
          <w:lang w:val="en-US"/>
        </w:rPr>
        <w:footnoteReference w:id="11"/>
      </w:r>
      <w:r w:rsidRPr="002E0E3B">
        <w:rPr>
          <w:rFonts w:ascii="Verdana" w:hAnsi="Verdana"/>
          <w:sz w:val="20"/>
          <w:szCs w:val="20"/>
          <w:lang w:val="en-US"/>
        </w:rPr>
        <w:t xml:space="preserve"> </w:t>
      </w:r>
    </w:p>
    <w:p w14:paraId="5FA3B774" w14:textId="497150A9" w:rsidR="00D66DDC" w:rsidRPr="002E0E3B" w:rsidRDefault="00D66DDC" w:rsidP="007D0B3D">
      <w:pPr>
        <w:pStyle w:val="ListParagraph"/>
        <w:ind w:left="360"/>
        <w:jc w:val="both"/>
        <w:rPr>
          <w:rFonts w:ascii="Verdana" w:hAnsi="Verdana"/>
          <w:sz w:val="20"/>
          <w:szCs w:val="20"/>
          <w:lang w:val="en-US"/>
        </w:rPr>
      </w:pPr>
    </w:p>
    <w:p w14:paraId="6D6D93CA" w14:textId="64F394B0" w:rsidR="00D66DDC" w:rsidRPr="002E0E3B" w:rsidRDefault="00D66DDC" w:rsidP="00E86A1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At most, “marital infidelity” should be treated as a breach of the marriage contract, which may be subject to civil actions to secure legal separation, declaration of nullity of marriage, and/or support claims in damages.</w:t>
      </w:r>
    </w:p>
    <w:p w14:paraId="2623A799" w14:textId="77777777" w:rsidR="00D66DDC" w:rsidRPr="002E0E3B" w:rsidRDefault="00D66DDC" w:rsidP="007D0B3D">
      <w:pPr>
        <w:jc w:val="both"/>
        <w:rPr>
          <w:rFonts w:ascii="Verdana" w:hAnsi="Verdana"/>
          <w:sz w:val="20"/>
          <w:szCs w:val="20"/>
          <w:lang w:val="en-US"/>
        </w:rPr>
      </w:pPr>
    </w:p>
    <w:p w14:paraId="29724E91" w14:textId="77777777" w:rsidR="002A5A6E" w:rsidRPr="002E0E3B" w:rsidRDefault="002A5A6E" w:rsidP="002A5A6E">
      <w:pPr>
        <w:pStyle w:val="ListParagraph"/>
        <w:rPr>
          <w:rFonts w:ascii="Verdana" w:hAnsi="Verdana"/>
          <w:b/>
          <w:sz w:val="20"/>
          <w:szCs w:val="20"/>
          <w:highlight w:val="yellow"/>
          <w:lang w:val="en-US"/>
        </w:rPr>
      </w:pPr>
    </w:p>
    <w:p w14:paraId="11F4F499" w14:textId="666DCA6D" w:rsidR="004D5CDD" w:rsidRPr="002E0E3B" w:rsidRDefault="002A77CA"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t>Women Deprived of Liberty</w:t>
      </w:r>
      <w:r w:rsidR="00C91581" w:rsidRPr="002E0E3B">
        <w:rPr>
          <w:rFonts w:ascii="Verdana" w:hAnsi="Verdana"/>
          <w:b/>
          <w:sz w:val="20"/>
          <w:szCs w:val="20"/>
          <w:lang w:val="en-US"/>
        </w:rPr>
        <w:t xml:space="preserve"> (</w:t>
      </w:r>
      <w:r w:rsidR="009443FC" w:rsidRPr="002E0E3B">
        <w:rPr>
          <w:rFonts w:ascii="Verdana" w:hAnsi="Verdana"/>
          <w:b/>
          <w:sz w:val="20"/>
          <w:szCs w:val="20"/>
          <w:lang w:val="en-US"/>
        </w:rPr>
        <w:t>a</w:t>
      </w:r>
      <w:r w:rsidR="00C91581" w:rsidRPr="002E0E3B">
        <w:rPr>
          <w:rFonts w:ascii="Verdana" w:hAnsi="Verdana"/>
          <w:b/>
          <w:sz w:val="20"/>
          <w:szCs w:val="20"/>
          <w:lang w:val="en-US"/>
        </w:rPr>
        <w:t>rticles 1,</w:t>
      </w:r>
      <w:r w:rsidR="005416D4" w:rsidRPr="002E0E3B">
        <w:rPr>
          <w:rFonts w:ascii="Verdana" w:hAnsi="Verdana"/>
          <w:b/>
          <w:sz w:val="20"/>
          <w:szCs w:val="20"/>
          <w:lang w:val="en-US"/>
        </w:rPr>
        <w:t xml:space="preserve"> 2</w:t>
      </w:r>
      <w:r w:rsidR="00D70C0C" w:rsidRPr="002E0E3B">
        <w:rPr>
          <w:rFonts w:ascii="Verdana" w:hAnsi="Verdana"/>
          <w:b/>
          <w:sz w:val="20"/>
          <w:szCs w:val="20"/>
          <w:lang w:val="en-US"/>
        </w:rPr>
        <w:t xml:space="preserve"> and</w:t>
      </w:r>
      <w:r w:rsidR="005416D4" w:rsidRPr="002E0E3B">
        <w:rPr>
          <w:rFonts w:ascii="Verdana" w:hAnsi="Verdana"/>
          <w:b/>
          <w:sz w:val="20"/>
          <w:szCs w:val="20"/>
          <w:lang w:val="en-US"/>
        </w:rPr>
        <w:t xml:space="preserve"> </w:t>
      </w:r>
      <w:r w:rsidR="007E2E6A" w:rsidRPr="002E0E3B">
        <w:rPr>
          <w:rFonts w:ascii="Verdana" w:hAnsi="Verdana"/>
          <w:b/>
          <w:sz w:val="20"/>
          <w:szCs w:val="20"/>
          <w:lang w:val="en-US"/>
        </w:rPr>
        <w:t>12</w:t>
      </w:r>
      <w:r w:rsidR="00D70C0C" w:rsidRPr="002E0E3B">
        <w:rPr>
          <w:rFonts w:ascii="Verdana" w:hAnsi="Verdana"/>
          <w:b/>
          <w:sz w:val="20"/>
          <w:szCs w:val="20"/>
          <w:lang w:val="en-US"/>
        </w:rPr>
        <w:t xml:space="preserve">) </w:t>
      </w:r>
      <w:r w:rsidR="007E2E6A" w:rsidRPr="002E0E3B">
        <w:rPr>
          <w:rFonts w:ascii="Verdana" w:hAnsi="Verdana"/>
          <w:b/>
          <w:sz w:val="20"/>
          <w:szCs w:val="20"/>
          <w:lang w:val="en-US"/>
        </w:rPr>
        <w:t xml:space="preserve"> </w:t>
      </w:r>
      <w:r w:rsidR="00C91581" w:rsidRPr="002E0E3B">
        <w:rPr>
          <w:rFonts w:ascii="Verdana" w:hAnsi="Verdana"/>
          <w:b/>
          <w:sz w:val="20"/>
          <w:szCs w:val="20"/>
          <w:lang w:val="en-US"/>
        </w:rPr>
        <w:t xml:space="preserve"> </w:t>
      </w:r>
    </w:p>
    <w:p w14:paraId="5EF622C0" w14:textId="08F08F91" w:rsidR="00C91581" w:rsidRPr="002E0E3B" w:rsidRDefault="00C91581" w:rsidP="00A67BEF">
      <w:pPr>
        <w:rPr>
          <w:rFonts w:ascii="Verdana" w:hAnsi="Verdana"/>
          <w:sz w:val="20"/>
          <w:szCs w:val="20"/>
          <w:highlight w:val="yellow"/>
          <w:lang w:val="en-US"/>
        </w:rPr>
      </w:pPr>
    </w:p>
    <w:p w14:paraId="53DD9751" w14:textId="37C661DE" w:rsidR="00D10BDF" w:rsidRPr="002E0E3B" w:rsidRDefault="00A67BEF" w:rsidP="00D10BDF">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Despite the Philippines’ Magna Carta of Women</w:t>
      </w:r>
      <w:r w:rsidR="008F3E50" w:rsidRPr="002E0E3B">
        <w:rPr>
          <w:rFonts w:ascii="Verdana" w:hAnsi="Verdana"/>
          <w:sz w:val="20"/>
          <w:szCs w:val="20"/>
          <w:lang w:val="en-US"/>
        </w:rPr>
        <w:t xml:space="preserve"> </w:t>
      </w:r>
      <w:r w:rsidR="008F3E50" w:rsidRPr="002E0E3B">
        <w:rPr>
          <w:rFonts w:ascii="Verdana" w:hAnsi="Verdana" w:cstheme="minorHAnsi"/>
          <w:sz w:val="20"/>
          <w:szCs w:val="20"/>
        </w:rPr>
        <w:t>(MCW) enacted in 2009, which identifies women deprived of their liberty (WDLs) as "women in especially difficult circumstances",</w:t>
      </w:r>
      <w:r w:rsidR="008F3E50" w:rsidRPr="002E0E3B">
        <w:rPr>
          <w:rFonts w:ascii="Verdana" w:hAnsi="Verdana"/>
          <w:sz w:val="20"/>
          <w:szCs w:val="20"/>
          <w:lang w:val="en-US"/>
        </w:rPr>
        <w:t xml:space="preserve"> the </w:t>
      </w:r>
      <w:r w:rsidRPr="002E0E3B">
        <w:rPr>
          <w:rFonts w:ascii="Verdana" w:hAnsi="Verdana"/>
          <w:sz w:val="20"/>
          <w:szCs w:val="20"/>
          <w:lang w:val="en-US"/>
        </w:rPr>
        <w:t>recogni</w:t>
      </w:r>
      <w:r w:rsidR="008F3E50" w:rsidRPr="002E0E3B">
        <w:rPr>
          <w:rFonts w:ascii="Verdana" w:hAnsi="Verdana"/>
          <w:sz w:val="20"/>
          <w:szCs w:val="20"/>
          <w:lang w:val="en-US"/>
        </w:rPr>
        <w:t xml:space="preserve">tion of </w:t>
      </w:r>
      <w:r w:rsidRPr="002E0E3B">
        <w:rPr>
          <w:rFonts w:ascii="Verdana" w:hAnsi="Verdana"/>
          <w:sz w:val="20"/>
          <w:szCs w:val="20"/>
          <w:lang w:val="en-US"/>
        </w:rPr>
        <w:t xml:space="preserve">the unique </w:t>
      </w:r>
      <w:r w:rsidR="00D21863" w:rsidRPr="002E0E3B">
        <w:rPr>
          <w:rFonts w:ascii="Verdana" w:hAnsi="Verdana"/>
          <w:sz w:val="20"/>
          <w:szCs w:val="20"/>
          <w:lang w:val="en-US"/>
        </w:rPr>
        <w:t xml:space="preserve">and distinct circumstances and experiences of WDLs </w:t>
      </w:r>
      <w:r w:rsidR="00D21863" w:rsidRPr="002E0E3B">
        <w:rPr>
          <w:rFonts w:ascii="Verdana" w:hAnsi="Verdana" w:cstheme="minorHAnsi"/>
          <w:sz w:val="20"/>
          <w:szCs w:val="20"/>
          <w:lang w:val="en-US"/>
        </w:rPr>
        <w:t>within the criminal justice system</w:t>
      </w:r>
      <w:r w:rsidRPr="002E0E3B">
        <w:rPr>
          <w:rFonts w:ascii="Verdana" w:hAnsi="Verdana"/>
          <w:sz w:val="20"/>
          <w:szCs w:val="20"/>
          <w:lang w:val="en-US"/>
        </w:rPr>
        <w:t xml:space="preserve">, and international obligations requiring </w:t>
      </w:r>
      <w:r w:rsidR="00064658" w:rsidRPr="002E0E3B">
        <w:rPr>
          <w:rFonts w:ascii="Verdana" w:hAnsi="Verdana"/>
          <w:sz w:val="20"/>
          <w:szCs w:val="20"/>
          <w:lang w:val="en-US"/>
        </w:rPr>
        <w:t xml:space="preserve">States </w:t>
      </w:r>
      <w:r w:rsidRPr="002E0E3B">
        <w:rPr>
          <w:rFonts w:ascii="Verdana" w:hAnsi="Verdana"/>
          <w:sz w:val="20"/>
          <w:szCs w:val="20"/>
          <w:lang w:val="en-US"/>
        </w:rPr>
        <w:t xml:space="preserve">to provide gender-responsive services, </w:t>
      </w:r>
      <w:r w:rsidR="00D21863" w:rsidRPr="002E0E3B">
        <w:rPr>
          <w:rFonts w:ascii="Verdana" w:hAnsi="Verdana"/>
          <w:sz w:val="20"/>
          <w:szCs w:val="20"/>
          <w:lang w:val="en-US"/>
        </w:rPr>
        <w:t xml:space="preserve">the Philippines has inadequately integrated international </w:t>
      </w:r>
      <w:r w:rsidR="008F3E50" w:rsidRPr="002E0E3B">
        <w:rPr>
          <w:rFonts w:ascii="Verdana" w:hAnsi="Verdana"/>
          <w:sz w:val="20"/>
          <w:szCs w:val="20"/>
          <w:lang w:val="en-US"/>
        </w:rPr>
        <w:t xml:space="preserve">human rights </w:t>
      </w:r>
      <w:r w:rsidR="00D21863" w:rsidRPr="002E0E3B">
        <w:rPr>
          <w:rFonts w:ascii="Verdana" w:hAnsi="Verdana"/>
          <w:sz w:val="20"/>
          <w:szCs w:val="20"/>
          <w:lang w:val="en-US"/>
        </w:rPr>
        <w:t>standards for the treatment of prisoners, notably the Bangkok Rules,</w:t>
      </w:r>
      <w:r w:rsidR="00D21863" w:rsidRPr="002E0E3B">
        <w:rPr>
          <w:rFonts w:ascii="Verdana" w:hAnsi="Verdana"/>
          <w:sz w:val="20"/>
          <w:szCs w:val="20"/>
          <w:vertAlign w:val="superscript"/>
          <w:lang w:val="en-US"/>
        </w:rPr>
        <w:footnoteReference w:id="12"/>
      </w:r>
      <w:r w:rsidR="00D21863" w:rsidRPr="002E0E3B">
        <w:rPr>
          <w:rFonts w:ascii="Verdana" w:hAnsi="Verdana"/>
          <w:sz w:val="20"/>
          <w:szCs w:val="20"/>
          <w:lang w:val="en-US"/>
        </w:rPr>
        <w:t xml:space="preserve"> and </w:t>
      </w:r>
      <w:r w:rsidRPr="002E0E3B">
        <w:rPr>
          <w:rFonts w:ascii="Verdana" w:hAnsi="Verdana"/>
          <w:sz w:val="20"/>
          <w:szCs w:val="20"/>
          <w:lang w:val="en-US"/>
        </w:rPr>
        <w:t xml:space="preserve">operational standards in penal facilities do not adequately address gender-specific needs. </w:t>
      </w:r>
    </w:p>
    <w:p w14:paraId="7702D351" w14:textId="77777777" w:rsidR="00D10BDF" w:rsidRPr="002E0E3B" w:rsidRDefault="00D10BDF" w:rsidP="00D10BDF">
      <w:pPr>
        <w:pStyle w:val="ListParagraph"/>
        <w:rPr>
          <w:rFonts w:ascii="Verdana" w:hAnsi="Verdana"/>
          <w:sz w:val="20"/>
          <w:szCs w:val="20"/>
          <w:lang w:val="en-US"/>
        </w:rPr>
      </w:pPr>
    </w:p>
    <w:p w14:paraId="52A14331" w14:textId="710D0F17" w:rsidR="00A67BEF" w:rsidRPr="002E0E3B" w:rsidRDefault="003D0245" w:rsidP="001C4BB1">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For instance, the operation manuals of both the Bureau of Corrections and Bureau of Jail Management and Penology (BJMP)</w:t>
      </w:r>
      <w:r w:rsidR="001C4BB1" w:rsidRPr="002E0E3B">
        <w:rPr>
          <w:rStyle w:val="FootnoteReference"/>
          <w:rFonts w:ascii="Verdana" w:hAnsi="Verdana"/>
          <w:sz w:val="20"/>
          <w:szCs w:val="20"/>
          <w:lang w:val="en-US"/>
        </w:rPr>
        <w:footnoteReference w:id="13"/>
      </w:r>
      <w:r w:rsidRPr="002E0E3B">
        <w:rPr>
          <w:rFonts w:ascii="Verdana" w:hAnsi="Verdana"/>
          <w:sz w:val="20"/>
          <w:szCs w:val="20"/>
          <w:lang w:val="en-US"/>
        </w:rPr>
        <w:t xml:space="preserve"> fail to </w:t>
      </w:r>
      <w:r w:rsidR="008F3E50" w:rsidRPr="002E0E3B">
        <w:rPr>
          <w:rFonts w:ascii="Verdana" w:hAnsi="Verdana"/>
          <w:sz w:val="20"/>
          <w:szCs w:val="20"/>
          <w:lang w:val="en-US"/>
        </w:rPr>
        <w:t xml:space="preserve">cater for </w:t>
      </w:r>
      <w:r w:rsidRPr="002E0E3B">
        <w:rPr>
          <w:rFonts w:ascii="Verdana" w:hAnsi="Verdana"/>
          <w:sz w:val="20"/>
          <w:szCs w:val="20"/>
          <w:lang w:val="en-US"/>
        </w:rPr>
        <w:t>the gender-specific needs of WDLs</w:t>
      </w:r>
      <w:r w:rsidR="001C4BB1" w:rsidRPr="002E0E3B">
        <w:rPr>
          <w:rFonts w:ascii="Verdana" w:hAnsi="Verdana"/>
          <w:sz w:val="20"/>
          <w:szCs w:val="20"/>
          <w:lang w:val="en-US"/>
        </w:rPr>
        <w:t>,</w:t>
      </w:r>
      <w:r w:rsidRPr="002E0E3B">
        <w:rPr>
          <w:rFonts w:ascii="Verdana" w:hAnsi="Verdana"/>
          <w:sz w:val="20"/>
          <w:szCs w:val="20"/>
          <w:lang w:val="en-US"/>
        </w:rPr>
        <w:t xml:space="preserve"> including medical services, reproductive healthcare, security protocols, disciplinary measures, and rehabilitation programs. Many WDLs endure poor food quality, overcrowding, inadequate water, sanitation and hygiene (WASH) facilities, and limited access to sanitary products, in violation of article 12 of CEDAW concerning the health and well-being of women.</w:t>
      </w:r>
      <w:r w:rsidR="00A67BEF" w:rsidRPr="002E0E3B">
        <w:rPr>
          <w:rFonts w:ascii="Verdana" w:hAnsi="Verdana"/>
          <w:sz w:val="20"/>
          <w:szCs w:val="20"/>
          <w:vertAlign w:val="superscript"/>
          <w:lang w:val="en-US"/>
        </w:rPr>
        <w:footnoteReference w:id="14"/>
      </w:r>
      <w:r w:rsidR="00A67BEF" w:rsidRPr="002E0E3B">
        <w:rPr>
          <w:rFonts w:ascii="Verdana" w:hAnsi="Verdana"/>
          <w:sz w:val="20"/>
          <w:szCs w:val="20"/>
          <w:lang w:val="en-US"/>
        </w:rPr>
        <w:t xml:space="preserve"> </w:t>
      </w:r>
    </w:p>
    <w:p w14:paraId="0F9B8306" w14:textId="77777777" w:rsidR="00A67BEF" w:rsidRPr="002E0E3B" w:rsidRDefault="00A67BEF" w:rsidP="00A67BEF">
      <w:pPr>
        <w:pStyle w:val="ListParagraph"/>
        <w:ind w:left="360"/>
        <w:rPr>
          <w:rFonts w:ascii="Verdana" w:hAnsi="Verdana"/>
          <w:sz w:val="20"/>
          <w:szCs w:val="20"/>
          <w:lang w:val="en-US"/>
        </w:rPr>
      </w:pPr>
    </w:p>
    <w:p w14:paraId="5BFE36F3" w14:textId="41DB479C" w:rsidR="00A67BEF" w:rsidRPr="002E0E3B" w:rsidRDefault="00A67BEF" w:rsidP="00FF6DDF">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lastRenderedPageBreak/>
        <w:t>Despite the heightened risk of gender-based violence</w:t>
      </w:r>
      <w:r w:rsidR="003379F6" w:rsidRPr="002E0E3B">
        <w:rPr>
          <w:rFonts w:ascii="Verdana" w:hAnsi="Verdana"/>
          <w:sz w:val="20"/>
          <w:szCs w:val="20"/>
          <w:lang w:val="en-US"/>
        </w:rPr>
        <w:t xml:space="preserve"> (GBV)</w:t>
      </w:r>
      <w:r w:rsidRPr="002E0E3B">
        <w:rPr>
          <w:rFonts w:ascii="Verdana" w:hAnsi="Verdana"/>
          <w:sz w:val="20"/>
          <w:szCs w:val="20"/>
          <w:lang w:val="en-US"/>
        </w:rPr>
        <w:t xml:space="preserve">, specific protective measures for WDLs are also sorely lacking. </w:t>
      </w:r>
      <w:r w:rsidR="001C4BB1" w:rsidRPr="002E0E3B">
        <w:rPr>
          <w:rFonts w:ascii="Verdana" w:hAnsi="Verdana"/>
          <w:sz w:val="20"/>
          <w:szCs w:val="20"/>
          <w:lang w:val="en-US"/>
        </w:rPr>
        <w:t>While the BJMP Manual introduces certain safeguards concerning searches, it does not include provisions for non-invasive alternatives to body searches. In fact, it exclusively recommends strip searches in certain circumstances. Alarmingly, some facilities permit male staff to enter female units during emergency situations or under "necessary" circumstances, risking potential abuse.</w:t>
      </w:r>
      <w:r w:rsidRPr="002E0E3B">
        <w:rPr>
          <w:rFonts w:ascii="Verdana" w:hAnsi="Verdana"/>
          <w:sz w:val="20"/>
          <w:szCs w:val="20"/>
          <w:vertAlign w:val="superscript"/>
          <w:lang w:val="en-PH"/>
        </w:rPr>
        <w:footnoteReference w:id="15"/>
      </w:r>
      <w:r w:rsidRPr="002E0E3B">
        <w:rPr>
          <w:rFonts w:ascii="Verdana" w:hAnsi="Verdana"/>
          <w:sz w:val="20"/>
          <w:szCs w:val="20"/>
          <w:lang w:val="en-US"/>
        </w:rPr>
        <w:t xml:space="preserve">  </w:t>
      </w:r>
    </w:p>
    <w:p w14:paraId="428EE3D7" w14:textId="77777777" w:rsidR="00A67BEF" w:rsidRPr="002E0E3B" w:rsidRDefault="00A67BEF" w:rsidP="00A67BEF">
      <w:pPr>
        <w:pStyle w:val="ListParagraph"/>
        <w:ind w:left="360"/>
        <w:rPr>
          <w:rFonts w:ascii="Verdana" w:hAnsi="Verdana"/>
          <w:sz w:val="20"/>
          <w:szCs w:val="20"/>
          <w:highlight w:val="yellow"/>
          <w:lang w:val="en-US"/>
        </w:rPr>
      </w:pPr>
    </w:p>
    <w:p w14:paraId="69B8E224" w14:textId="37D4E143" w:rsidR="00A67BEF" w:rsidRPr="002E0E3B" w:rsidRDefault="00A67BEF" w:rsidP="00B567CE">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The allocation of female national prisoners</w:t>
      </w:r>
      <w:r w:rsidRPr="002E0E3B">
        <w:rPr>
          <w:rFonts w:ascii="Verdana" w:hAnsi="Verdana"/>
          <w:sz w:val="20"/>
          <w:szCs w:val="20"/>
          <w:vertAlign w:val="superscript"/>
          <w:lang w:val="en-PH"/>
        </w:rPr>
        <w:footnoteReference w:id="16"/>
      </w:r>
      <w:r w:rsidRPr="002E0E3B">
        <w:rPr>
          <w:rFonts w:ascii="Verdana" w:hAnsi="Verdana"/>
          <w:sz w:val="20"/>
          <w:szCs w:val="20"/>
          <w:lang w:val="en-US"/>
        </w:rPr>
        <w:t xml:space="preserve"> is also problematic</w:t>
      </w:r>
      <w:r w:rsidR="008F3E50" w:rsidRPr="002E0E3B">
        <w:rPr>
          <w:rFonts w:ascii="Verdana" w:hAnsi="Verdana"/>
          <w:sz w:val="20"/>
          <w:szCs w:val="20"/>
          <w:lang w:val="en-US"/>
        </w:rPr>
        <w:t>,</w:t>
      </w:r>
      <w:r w:rsidRPr="002E0E3B">
        <w:rPr>
          <w:rFonts w:ascii="Verdana" w:hAnsi="Verdana"/>
          <w:sz w:val="20"/>
          <w:szCs w:val="20"/>
          <w:lang w:val="en-US"/>
        </w:rPr>
        <w:t xml:space="preserve"> as there are only two national penitentiaries</w:t>
      </w:r>
      <w:r w:rsidR="00D900CB" w:rsidRPr="002E0E3B">
        <w:rPr>
          <w:rFonts w:ascii="Verdana" w:hAnsi="Verdana"/>
          <w:sz w:val="20"/>
          <w:szCs w:val="20"/>
          <w:lang w:val="en-US"/>
        </w:rPr>
        <w:t xml:space="preserve"> (</w:t>
      </w:r>
      <w:r w:rsidRPr="002E0E3B">
        <w:rPr>
          <w:rFonts w:ascii="Verdana" w:hAnsi="Verdana"/>
          <w:sz w:val="20"/>
          <w:szCs w:val="20"/>
          <w:lang w:val="en-US"/>
        </w:rPr>
        <w:t xml:space="preserve">in Metro Manila </w:t>
      </w:r>
      <w:r w:rsidR="00D900CB" w:rsidRPr="002E0E3B">
        <w:rPr>
          <w:rFonts w:ascii="Verdana" w:hAnsi="Verdana"/>
          <w:sz w:val="20"/>
          <w:szCs w:val="20"/>
          <w:lang w:val="en-US"/>
        </w:rPr>
        <w:t>and</w:t>
      </w:r>
      <w:r w:rsidRPr="002E0E3B">
        <w:rPr>
          <w:rFonts w:ascii="Verdana" w:hAnsi="Verdana"/>
          <w:sz w:val="20"/>
          <w:szCs w:val="20"/>
          <w:lang w:val="en-US"/>
        </w:rPr>
        <w:t xml:space="preserve"> Davao City</w:t>
      </w:r>
      <w:r w:rsidR="00D900CB" w:rsidRPr="002E0E3B">
        <w:rPr>
          <w:rFonts w:ascii="Verdana" w:hAnsi="Verdana"/>
          <w:sz w:val="20"/>
          <w:szCs w:val="20"/>
          <w:lang w:val="en-US"/>
        </w:rPr>
        <w:t>)</w:t>
      </w:r>
      <w:r w:rsidRPr="002E0E3B">
        <w:rPr>
          <w:rFonts w:ascii="Verdana" w:hAnsi="Verdana"/>
          <w:sz w:val="20"/>
          <w:szCs w:val="20"/>
          <w:lang w:val="en-US"/>
        </w:rPr>
        <w:t>, making it nearly impossible for WDLs outside these areas to be placed in facilities near their families as encouraged in the Bangkok Rules. Reintegration programs also lack gender sensitivity, with some facilities offering only a one-day seminar and transportation allowance upon release.</w:t>
      </w:r>
      <w:r w:rsidRPr="002E0E3B">
        <w:rPr>
          <w:rFonts w:ascii="Verdana" w:hAnsi="Verdana"/>
          <w:sz w:val="20"/>
          <w:szCs w:val="20"/>
          <w:vertAlign w:val="superscript"/>
          <w:lang w:val="en-US"/>
        </w:rPr>
        <w:footnoteReference w:id="17"/>
      </w:r>
    </w:p>
    <w:p w14:paraId="4B19EE21" w14:textId="77777777" w:rsidR="00D137A6" w:rsidRPr="002E0E3B" w:rsidRDefault="00D137A6" w:rsidP="007D0B3D">
      <w:pPr>
        <w:jc w:val="both"/>
        <w:rPr>
          <w:rFonts w:ascii="Verdana" w:hAnsi="Verdana"/>
          <w:sz w:val="20"/>
          <w:szCs w:val="20"/>
          <w:lang w:val="en-US"/>
        </w:rPr>
      </w:pPr>
    </w:p>
    <w:p w14:paraId="4720C42F" w14:textId="77777777" w:rsidR="005C5F6A" w:rsidRPr="002E0E3B" w:rsidRDefault="005C5F6A" w:rsidP="005C5F6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Over a period of six years, the female prison population rate in the Philippines has surged by a staggering 63 per cent rising from 9.1 per cent in 2015 to 14.9 per cent in 2021.</w:t>
      </w:r>
      <w:r w:rsidRPr="002E0E3B">
        <w:rPr>
          <w:rFonts w:ascii="Verdana" w:hAnsi="Verdana"/>
          <w:sz w:val="20"/>
          <w:szCs w:val="20"/>
          <w:vertAlign w:val="superscript"/>
          <w:lang w:val="en-US"/>
        </w:rPr>
        <w:footnoteReference w:id="18"/>
      </w:r>
      <w:r w:rsidRPr="002E0E3B">
        <w:rPr>
          <w:rFonts w:ascii="Verdana" w:hAnsi="Verdana"/>
          <w:sz w:val="20"/>
          <w:szCs w:val="20"/>
          <w:lang w:val="en-US"/>
        </w:rPr>
        <w:t xml:space="preserve"> Regrettably, prison and detention facilities are struggling to cope with the increasing number of WDLs.</w:t>
      </w:r>
      <w:r w:rsidRPr="002E0E3B">
        <w:rPr>
          <w:rFonts w:ascii="Verdana" w:hAnsi="Verdana"/>
          <w:sz w:val="20"/>
          <w:szCs w:val="20"/>
          <w:vertAlign w:val="superscript"/>
          <w:lang w:val="en-PH"/>
        </w:rPr>
        <w:footnoteReference w:id="19"/>
      </w:r>
      <w:r w:rsidRPr="002E0E3B">
        <w:rPr>
          <w:rFonts w:ascii="Verdana" w:hAnsi="Verdana"/>
          <w:sz w:val="20"/>
          <w:szCs w:val="20"/>
          <w:lang w:val="en-PH"/>
        </w:rPr>
        <w:t xml:space="preserve"> </w:t>
      </w:r>
      <w:r w:rsidRPr="002E0E3B">
        <w:rPr>
          <w:rFonts w:ascii="Verdana" w:hAnsi="Verdana"/>
          <w:sz w:val="20"/>
          <w:szCs w:val="20"/>
          <w:lang w:val="en-US"/>
        </w:rPr>
        <w:t>As of December 2017, individuals detained or imprisoned on drug-related charges reached a staggering 97,820, with women making up 13 per cent of this figure.</w:t>
      </w:r>
      <w:r w:rsidRPr="002E0E3B">
        <w:rPr>
          <w:rFonts w:ascii="Verdana" w:hAnsi="Verdana"/>
          <w:sz w:val="20"/>
          <w:szCs w:val="20"/>
          <w:vertAlign w:val="superscript"/>
          <w:lang w:val="en-US"/>
        </w:rPr>
        <w:footnoteReference w:id="20"/>
      </w:r>
      <w:r w:rsidRPr="002E0E3B">
        <w:rPr>
          <w:rFonts w:ascii="Verdana" w:hAnsi="Verdana"/>
          <w:sz w:val="20"/>
          <w:szCs w:val="20"/>
          <w:lang w:val="en-US"/>
        </w:rPr>
        <w:t xml:space="preserve"> By now, women in pre-trial detention constitute the majority of WDL in the Philippines.</w:t>
      </w:r>
      <w:r w:rsidRPr="002E0E3B">
        <w:rPr>
          <w:rStyle w:val="FootnoteReference"/>
          <w:rFonts w:ascii="Verdana" w:hAnsi="Verdana"/>
          <w:sz w:val="20"/>
          <w:szCs w:val="20"/>
          <w:lang w:val="en-US"/>
        </w:rPr>
        <w:footnoteReference w:id="21"/>
      </w:r>
    </w:p>
    <w:p w14:paraId="4F131FA8" w14:textId="77777777" w:rsidR="005C5F6A" w:rsidRPr="002E0E3B" w:rsidRDefault="005C5F6A" w:rsidP="005C5F6A">
      <w:pPr>
        <w:jc w:val="both"/>
        <w:rPr>
          <w:rFonts w:ascii="Verdana" w:hAnsi="Verdana"/>
          <w:sz w:val="20"/>
          <w:szCs w:val="20"/>
          <w:lang w:val="en-US"/>
        </w:rPr>
      </w:pPr>
    </w:p>
    <w:p w14:paraId="2BB24F0B" w14:textId="77777777" w:rsidR="005C5F6A" w:rsidRPr="002E0E3B" w:rsidRDefault="005C5F6A" w:rsidP="005C5F6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In its 2022 annual audit reports, the Commission on Audit (COA), a constitutional body responsible for State audits, reported that nationwide congestion rates in both male and female detention facilities supervised by the Bureau of Jail Management and Penology (BJMP) reached 310 per cent.</w:t>
      </w:r>
      <w:r w:rsidRPr="002E0E3B">
        <w:rPr>
          <w:rFonts w:ascii="Verdana" w:hAnsi="Verdana"/>
          <w:sz w:val="20"/>
          <w:szCs w:val="20"/>
          <w:vertAlign w:val="superscript"/>
          <w:lang w:val="en-US"/>
        </w:rPr>
        <w:footnoteReference w:id="22"/>
      </w:r>
      <w:r w:rsidRPr="002E0E3B">
        <w:rPr>
          <w:rFonts w:ascii="Verdana" w:hAnsi="Verdana"/>
          <w:sz w:val="20"/>
          <w:szCs w:val="20"/>
          <w:lang w:val="en-US"/>
        </w:rPr>
        <w:t xml:space="preserve"> Specifically concerning WDL, the COA identified the </w:t>
      </w:r>
      <w:proofErr w:type="spellStart"/>
      <w:r w:rsidRPr="002E0E3B">
        <w:rPr>
          <w:rFonts w:ascii="Verdana" w:hAnsi="Verdana"/>
          <w:sz w:val="20"/>
          <w:szCs w:val="20"/>
          <w:lang w:val="en-US"/>
        </w:rPr>
        <w:t>Dasmariñas</w:t>
      </w:r>
      <w:proofErr w:type="spellEnd"/>
      <w:r w:rsidRPr="002E0E3B">
        <w:rPr>
          <w:rFonts w:ascii="Verdana" w:hAnsi="Verdana"/>
          <w:sz w:val="20"/>
          <w:szCs w:val="20"/>
          <w:lang w:val="en-US"/>
        </w:rPr>
        <w:t xml:space="preserve"> City Jail Female Dormitory as the most overcrowded detention facility in the entire country, with an astonishing maximum congestion rate of 2,639 per cent.</w:t>
      </w:r>
      <w:r w:rsidRPr="002E0E3B">
        <w:rPr>
          <w:rFonts w:ascii="Verdana" w:hAnsi="Verdana"/>
          <w:sz w:val="20"/>
          <w:szCs w:val="20"/>
          <w:vertAlign w:val="superscript"/>
          <w:lang w:val="en-US"/>
        </w:rPr>
        <w:footnoteReference w:id="23"/>
      </w:r>
      <w:r w:rsidRPr="002E0E3B">
        <w:rPr>
          <w:rFonts w:ascii="Verdana" w:hAnsi="Verdana"/>
          <w:sz w:val="20"/>
          <w:szCs w:val="20"/>
          <w:lang w:val="en-US"/>
        </w:rPr>
        <w:t xml:space="preserve"> Meanwhile, women's prisons under a separate government agency, the Bureau of Corrections (</w:t>
      </w:r>
      <w:proofErr w:type="spellStart"/>
      <w:r w:rsidRPr="002E0E3B">
        <w:rPr>
          <w:rFonts w:ascii="Verdana" w:hAnsi="Verdana"/>
          <w:sz w:val="20"/>
          <w:szCs w:val="20"/>
          <w:lang w:val="en-US"/>
        </w:rPr>
        <w:t>BuCor</w:t>
      </w:r>
      <w:proofErr w:type="spellEnd"/>
      <w:r w:rsidRPr="002E0E3B">
        <w:rPr>
          <w:rFonts w:ascii="Verdana" w:hAnsi="Verdana"/>
          <w:sz w:val="20"/>
          <w:szCs w:val="20"/>
          <w:lang w:val="en-US"/>
        </w:rPr>
        <w:t xml:space="preserve">), have comparable congestion rates. The Correctional Institution for Women (CIW) in Mandaluyong City, the country's largest women's jail managed by the </w:t>
      </w:r>
      <w:proofErr w:type="spellStart"/>
      <w:r w:rsidRPr="002E0E3B">
        <w:rPr>
          <w:rFonts w:ascii="Verdana" w:hAnsi="Verdana"/>
          <w:sz w:val="20"/>
          <w:szCs w:val="20"/>
          <w:lang w:val="en-US"/>
        </w:rPr>
        <w:t>BuCor</w:t>
      </w:r>
      <w:proofErr w:type="spellEnd"/>
      <w:r w:rsidRPr="002E0E3B">
        <w:rPr>
          <w:rFonts w:ascii="Verdana" w:hAnsi="Verdana"/>
          <w:sz w:val="20"/>
          <w:szCs w:val="20"/>
          <w:lang w:val="en-US"/>
        </w:rPr>
        <w:t>, contends with a congestion rate of 231 per cent, while the CIW in Mindanao faces a congestion rate of 168 per cent.</w:t>
      </w:r>
      <w:r w:rsidRPr="002E0E3B">
        <w:rPr>
          <w:rFonts w:ascii="Verdana" w:hAnsi="Verdana"/>
          <w:sz w:val="20"/>
          <w:szCs w:val="20"/>
          <w:vertAlign w:val="superscript"/>
          <w:lang w:val="en-US"/>
        </w:rPr>
        <w:footnoteReference w:id="24"/>
      </w:r>
    </w:p>
    <w:p w14:paraId="012DF207" w14:textId="77777777" w:rsidR="00C91581" w:rsidRPr="002E0E3B" w:rsidRDefault="00C91581" w:rsidP="00C91581">
      <w:pPr>
        <w:rPr>
          <w:rFonts w:ascii="Verdana" w:hAnsi="Verdana"/>
          <w:b/>
          <w:sz w:val="20"/>
          <w:szCs w:val="20"/>
          <w:lang w:val="en-US"/>
        </w:rPr>
      </w:pPr>
    </w:p>
    <w:p w14:paraId="545F04C4" w14:textId="299EE8F2" w:rsidR="00C91581" w:rsidRPr="002E0E3B" w:rsidRDefault="002A77CA"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t>Online Gender-Based Violence Against Women</w:t>
      </w:r>
      <w:r w:rsidR="00C91581" w:rsidRPr="002E0E3B">
        <w:rPr>
          <w:rFonts w:ascii="Verdana" w:hAnsi="Verdana"/>
          <w:b/>
          <w:sz w:val="20"/>
          <w:szCs w:val="20"/>
          <w:lang w:val="en-US"/>
        </w:rPr>
        <w:t xml:space="preserve"> </w:t>
      </w:r>
      <w:r w:rsidR="00C853FA" w:rsidRPr="002E0E3B">
        <w:rPr>
          <w:rFonts w:ascii="Verdana" w:hAnsi="Verdana"/>
          <w:b/>
          <w:sz w:val="20"/>
          <w:szCs w:val="20"/>
          <w:lang w:val="en-US"/>
        </w:rPr>
        <w:t>(Articles 1</w:t>
      </w:r>
      <w:r w:rsidR="009A7C36" w:rsidRPr="002E0E3B">
        <w:rPr>
          <w:rFonts w:ascii="Verdana" w:hAnsi="Verdana"/>
          <w:b/>
          <w:sz w:val="20"/>
          <w:szCs w:val="20"/>
          <w:lang w:val="en-US"/>
        </w:rPr>
        <w:t>,</w:t>
      </w:r>
      <w:r w:rsidR="00C853FA" w:rsidRPr="002E0E3B">
        <w:rPr>
          <w:rFonts w:ascii="Verdana" w:hAnsi="Verdana"/>
          <w:b/>
          <w:sz w:val="20"/>
          <w:szCs w:val="20"/>
          <w:lang w:val="en-US"/>
        </w:rPr>
        <w:t xml:space="preserve"> 2</w:t>
      </w:r>
      <w:r w:rsidR="0004348F" w:rsidRPr="002E0E3B">
        <w:rPr>
          <w:rFonts w:ascii="Verdana" w:hAnsi="Verdana"/>
          <w:b/>
          <w:sz w:val="20"/>
          <w:szCs w:val="20"/>
          <w:lang w:val="en-US"/>
        </w:rPr>
        <w:t>, 5</w:t>
      </w:r>
      <w:r w:rsidR="009A7C36" w:rsidRPr="002E0E3B">
        <w:rPr>
          <w:rFonts w:ascii="Verdana" w:hAnsi="Verdana"/>
          <w:b/>
          <w:sz w:val="20"/>
          <w:szCs w:val="20"/>
          <w:lang w:val="en-US"/>
        </w:rPr>
        <w:t xml:space="preserve"> and 15</w:t>
      </w:r>
      <w:r w:rsidR="00C853FA" w:rsidRPr="002E0E3B">
        <w:rPr>
          <w:rFonts w:ascii="Verdana" w:hAnsi="Verdana"/>
          <w:b/>
          <w:sz w:val="20"/>
          <w:szCs w:val="20"/>
          <w:lang w:val="en-US"/>
        </w:rPr>
        <w:t xml:space="preserve">) </w:t>
      </w:r>
    </w:p>
    <w:p w14:paraId="49465AE1" w14:textId="77777777" w:rsidR="004A78DC" w:rsidRPr="002E0E3B" w:rsidRDefault="004A78DC" w:rsidP="004A78DC">
      <w:pPr>
        <w:jc w:val="both"/>
        <w:rPr>
          <w:rFonts w:ascii="Verdana" w:hAnsi="Verdana"/>
          <w:b/>
          <w:sz w:val="20"/>
          <w:szCs w:val="20"/>
          <w:lang w:val="en-US"/>
        </w:rPr>
      </w:pPr>
    </w:p>
    <w:p w14:paraId="28D1B867" w14:textId="742F2471" w:rsidR="0030504C" w:rsidRPr="002E0E3B" w:rsidRDefault="00E02F01" w:rsidP="00E02F01">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T</w:t>
      </w:r>
      <w:r w:rsidR="00AB27AB" w:rsidRPr="002E0E3B">
        <w:rPr>
          <w:rFonts w:ascii="Verdana" w:hAnsi="Verdana"/>
          <w:sz w:val="20"/>
          <w:szCs w:val="20"/>
          <w:lang w:val="en-US"/>
        </w:rPr>
        <w:t>he Philippines has taken positive steps to address the increas</w:t>
      </w:r>
      <w:r w:rsidR="00A06A65" w:rsidRPr="002E0E3B">
        <w:rPr>
          <w:rFonts w:ascii="Verdana" w:hAnsi="Verdana"/>
          <w:sz w:val="20"/>
          <w:szCs w:val="20"/>
          <w:lang w:val="en-US"/>
        </w:rPr>
        <w:t xml:space="preserve">e </w:t>
      </w:r>
      <w:r w:rsidR="00AB27AB" w:rsidRPr="002E0E3B">
        <w:rPr>
          <w:rFonts w:ascii="Verdana" w:hAnsi="Verdana"/>
          <w:sz w:val="20"/>
          <w:szCs w:val="20"/>
          <w:lang w:val="en-US"/>
        </w:rPr>
        <w:t xml:space="preserve">in cases of online gender-based violence </w:t>
      </w:r>
      <w:r w:rsidRPr="002E0E3B">
        <w:rPr>
          <w:rFonts w:ascii="Verdana" w:hAnsi="Verdana"/>
          <w:sz w:val="20"/>
          <w:szCs w:val="20"/>
          <w:lang w:val="en-US"/>
        </w:rPr>
        <w:t xml:space="preserve">(OGBV) </w:t>
      </w:r>
      <w:r w:rsidR="00AB27AB" w:rsidRPr="002E0E3B">
        <w:rPr>
          <w:rFonts w:ascii="Verdana" w:hAnsi="Verdana"/>
          <w:sz w:val="20"/>
          <w:szCs w:val="20"/>
          <w:lang w:val="en-US"/>
        </w:rPr>
        <w:t>against women</w:t>
      </w:r>
      <w:r w:rsidRPr="002E0E3B">
        <w:rPr>
          <w:rFonts w:ascii="Verdana" w:hAnsi="Verdana"/>
          <w:sz w:val="20"/>
          <w:szCs w:val="20"/>
          <w:lang w:val="en-US"/>
        </w:rPr>
        <w:t xml:space="preserve"> by passing and amending laws </w:t>
      </w:r>
      <w:r w:rsidR="00A06A65" w:rsidRPr="002E0E3B">
        <w:rPr>
          <w:rFonts w:ascii="Verdana" w:hAnsi="Verdana"/>
          <w:sz w:val="20"/>
          <w:szCs w:val="20"/>
          <w:lang w:val="en-US"/>
        </w:rPr>
        <w:t xml:space="preserve">to </w:t>
      </w:r>
      <w:r w:rsidR="00AB61F9" w:rsidRPr="002E0E3B">
        <w:rPr>
          <w:rFonts w:ascii="Verdana" w:hAnsi="Verdana"/>
          <w:sz w:val="20"/>
          <w:szCs w:val="20"/>
          <w:lang w:val="en-US"/>
        </w:rPr>
        <w:t xml:space="preserve">ensure </w:t>
      </w:r>
      <w:r w:rsidR="00A06A65" w:rsidRPr="002E0E3B">
        <w:rPr>
          <w:rFonts w:ascii="Verdana" w:hAnsi="Verdana"/>
          <w:sz w:val="20"/>
          <w:szCs w:val="20"/>
          <w:lang w:val="en-US"/>
        </w:rPr>
        <w:t xml:space="preserve">certain manifestations of OGBV </w:t>
      </w:r>
      <w:r w:rsidR="00504BCA" w:rsidRPr="002E0E3B">
        <w:rPr>
          <w:rFonts w:ascii="Verdana" w:hAnsi="Verdana"/>
          <w:sz w:val="20"/>
          <w:szCs w:val="20"/>
          <w:lang w:val="en-US"/>
        </w:rPr>
        <w:t>are</w:t>
      </w:r>
      <w:r w:rsidR="00A06A65" w:rsidRPr="002E0E3B">
        <w:rPr>
          <w:rFonts w:ascii="Verdana" w:hAnsi="Verdana"/>
          <w:sz w:val="20"/>
          <w:szCs w:val="20"/>
          <w:lang w:val="en-US"/>
        </w:rPr>
        <w:t xml:space="preserve"> </w:t>
      </w:r>
      <w:r w:rsidR="00557262" w:rsidRPr="002E0E3B">
        <w:rPr>
          <w:rFonts w:ascii="Verdana" w:hAnsi="Verdana"/>
          <w:sz w:val="20"/>
          <w:szCs w:val="20"/>
          <w:lang w:val="en-US"/>
        </w:rPr>
        <w:t>investigate</w:t>
      </w:r>
      <w:r w:rsidR="00A06A65" w:rsidRPr="002E0E3B">
        <w:rPr>
          <w:rFonts w:ascii="Verdana" w:hAnsi="Verdana"/>
          <w:sz w:val="20"/>
          <w:szCs w:val="20"/>
          <w:lang w:val="en-US"/>
        </w:rPr>
        <w:t>d</w:t>
      </w:r>
      <w:r w:rsidR="00557262" w:rsidRPr="002E0E3B">
        <w:rPr>
          <w:rFonts w:ascii="Verdana" w:hAnsi="Verdana"/>
          <w:sz w:val="20"/>
          <w:szCs w:val="20"/>
          <w:lang w:val="en-US"/>
        </w:rPr>
        <w:t>, prosecute</w:t>
      </w:r>
      <w:r w:rsidR="00A06A65" w:rsidRPr="002E0E3B">
        <w:rPr>
          <w:rFonts w:ascii="Verdana" w:hAnsi="Verdana"/>
          <w:sz w:val="20"/>
          <w:szCs w:val="20"/>
          <w:lang w:val="en-US"/>
        </w:rPr>
        <w:t>d</w:t>
      </w:r>
      <w:r w:rsidR="00557262" w:rsidRPr="002E0E3B">
        <w:rPr>
          <w:rFonts w:ascii="Verdana" w:hAnsi="Verdana"/>
          <w:sz w:val="20"/>
          <w:szCs w:val="20"/>
          <w:lang w:val="en-US"/>
        </w:rPr>
        <w:t xml:space="preserve"> and </w:t>
      </w:r>
      <w:r w:rsidR="00A06A65" w:rsidRPr="002E0E3B">
        <w:rPr>
          <w:rFonts w:ascii="Verdana" w:hAnsi="Verdana"/>
          <w:sz w:val="20"/>
          <w:szCs w:val="20"/>
          <w:lang w:val="en-US"/>
        </w:rPr>
        <w:t>sanctioned</w:t>
      </w:r>
      <w:r w:rsidRPr="002E0E3B">
        <w:rPr>
          <w:rFonts w:ascii="Verdana" w:hAnsi="Verdana"/>
          <w:sz w:val="20"/>
          <w:szCs w:val="20"/>
          <w:lang w:val="en-US"/>
        </w:rPr>
        <w:t xml:space="preserve">. </w:t>
      </w:r>
      <w:r w:rsidRPr="002E0E3B">
        <w:rPr>
          <w:rFonts w:ascii="Verdana" w:hAnsi="Verdana"/>
          <w:sz w:val="20"/>
          <w:szCs w:val="20"/>
          <w:lang w:val="en-US"/>
        </w:rPr>
        <w:lastRenderedPageBreak/>
        <w:t>However, there are still significant barriers prevent</w:t>
      </w:r>
      <w:r w:rsidR="00A06A65" w:rsidRPr="002E0E3B">
        <w:rPr>
          <w:rFonts w:ascii="Verdana" w:hAnsi="Verdana"/>
          <w:sz w:val="20"/>
          <w:szCs w:val="20"/>
          <w:lang w:val="en-US"/>
        </w:rPr>
        <w:t>ing</w:t>
      </w:r>
      <w:r w:rsidRPr="002E0E3B">
        <w:rPr>
          <w:rFonts w:ascii="Verdana" w:hAnsi="Verdana"/>
          <w:sz w:val="20"/>
          <w:szCs w:val="20"/>
          <w:lang w:val="en-US"/>
        </w:rPr>
        <w:t xml:space="preserve"> victims/survivors of OGBV from effectively accessing redress, </w:t>
      </w:r>
      <w:r w:rsidR="00A149A4" w:rsidRPr="002E0E3B">
        <w:rPr>
          <w:rFonts w:ascii="Verdana" w:hAnsi="Verdana"/>
          <w:sz w:val="20"/>
          <w:szCs w:val="20"/>
          <w:lang w:val="en-US"/>
        </w:rPr>
        <w:t xml:space="preserve">including </w:t>
      </w:r>
      <w:r w:rsidR="0030504C" w:rsidRPr="002E0E3B">
        <w:rPr>
          <w:rFonts w:ascii="Verdana" w:hAnsi="Verdana"/>
          <w:sz w:val="20"/>
          <w:szCs w:val="20"/>
          <w:lang w:val="en-US"/>
        </w:rPr>
        <w:t>gaps in existing protective mechanisms to prevent or remove harmful content amounting to OGBV.</w:t>
      </w:r>
    </w:p>
    <w:p w14:paraId="4F3663D9" w14:textId="77777777" w:rsidR="0030504C" w:rsidRPr="002E0E3B" w:rsidRDefault="0030504C" w:rsidP="0030504C">
      <w:pPr>
        <w:pStyle w:val="ListParagraph"/>
        <w:ind w:left="360"/>
        <w:jc w:val="both"/>
        <w:rPr>
          <w:rFonts w:ascii="Verdana" w:hAnsi="Verdana"/>
          <w:sz w:val="20"/>
          <w:szCs w:val="20"/>
          <w:lang w:val="en-US"/>
        </w:rPr>
      </w:pPr>
    </w:p>
    <w:p w14:paraId="6A9AD4F7" w14:textId="59B6CFDE" w:rsidR="000D55B0" w:rsidRPr="002E0E3B" w:rsidRDefault="000210E1" w:rsidP="00AB7155">
      <w:pPr>
        <w:pStyle w:val="ListParagraph"/>
        <w:numPr>
          <w:ilvl w:val="0"/>
          <w:numId w:val="3"/>
        </w:numPr>
        <w:jc w:val="both"/>
        <w:rPr>
          <w:rFonts w:ascii="Verdana" w:hAnsi="Verdana"/>
          <w:sz w:val="20"/>
          <w:szCs w:val="20"/>
          <w:lang w:val="en-ID"/>
        </w:rPr>
      </w:pPr>
      <w:r w:rsidRPr="002E0E3B">
        <w:rPr>
          <w:rFonts w:ascii="Verdana" w:hAnsi="Verdana"/>
          <w:sz w:val="20"/>
          <w:szCs w:val="20"/>
          <w:lang w:val="en-ID"/>
        </w:rPr>
        <w:t>T</w:t>
      </w:r>
      <w:r w:rsidR="00557262" w:rsidRPr="002E0E3B">
        <w:rPr>
          <w:rFonts w:ascii="Verdana" w:hAnsi="Verdana"/>
          <w:sz w:val="20"/>
          <w:szCs w:val="20"/>
          <w:lang w:val="en-ID"/>
        </w:rPr>
        <w:t>he Philippines does not have a stand-alone legislation to address acts of OGBV, choosing</w:t>
      </w:r>
      <w:r w:rsidR="00BD6E97" w:rsidRPr="002E0E3B">
        <w:rPr>
          <w:rFonts w:ascii="Verdana" w:hAnsi="Verdana"/>
          <w:sz w:val="20"/>
          <w:szCs w:val="20"/>
          <w:lang w:val="en-ID"/>
        </w:rPr>
        <w:t>, instead,</w:t>
      </w:r>
      <w:r w:rsidR="00557262" w:rsidRPr="002E0E3B">
        <w:rPr>
          <w:rFonts w:ascii="Verdana" w:hAnsi="Verdana"/>
          <w:sz w:val="20"/>
          <w:szCs w:val="20"/>
          <w:lang w:val="en-ID"/>
        </w:rPr>
        <w:t xml:space="preserve"> to criminalize forms of OGBV through separate laws, mainly the Anti-Photo and Video Voyeurism Act of 2009 (criminalizing non-consensual taking and dissemination of sexual photos/videos) and the Safe Spaces Act (criminalizing online sexual harassment, online threats of violence, digitally facilitated stalking, non-consensual taking or dissemination of sexual photos/videos, and online identity theft).</w:t>
      </w:r>
      <w:r w:rsidR="00557262" w:rsidRPr="002E0E3B">
        <w:rPr>
          <w:rFonts w:ascii="Verdana" w:hAnsi="Verdana"/>
          <w:sz w:val="20"/>
          <w:szCs w:val="20"/>
          <w:vertAlign w:val="superscript"/>
          <w:lang w:val="en-ID"/>
        </w:rPr>
        <w:footnoteReference w:id="25"/>
      </w:r>
      <w:r w:rsidR="000D55B0" w:rsidRPr="002E0E3B">
        <w:rPr>
          <w:rFonts w:ascii="Verdana" w:hAnsi="Verdana"/>
          <w:sz w:val="20"/>
          <w:szCs w:val="20"/>
          <w:lang w:val="en-ID"/>
        </w:rPr>
        <w:t xml:space="preserve"> The Congress is also currently considering a bill to amend the Anti-Violence Against Women and Their Children Act of 2004 (“Anti-VAW Act”),</w:t>
      </w:r>
      <w:r w:rsidR="000D55B0" w:rsidRPr="002E0E3B">
        <w:rPr>
          <w:rFonts w:ascii="Verdana" w:hAnsi="Verdana"/>
          <w:sz w:val="20"/>
          <w:szCs w:val="20"/>
          <w:vertAlign w:val="superscript"/>
          <w:lang w:val="en-ID"/>
        </w:rPr>
        <w:footnoteReference w:id="26"/>
      </w:r>
      <w:r w:rsidR="000D55B0" w:rsidRPr="002E0E3B">
        <w:rPr>
          <w:rFonts w:ascii="Verdana" w:hAnsi="Verdana"/>
          <w:sz w:val="20"/>
          <w:szCs w:val="20"/>
          <w:lang w:val="en-ID"/>
        </w:rPr>
        <w:t xml:space="preserve"> which would expand the</w:t>
      </w:r>
      <w:r w:rsidR="00810349" w:rsidRPr="002E0E3B">
        <w:rPr>
          <w:rFonts w:ascii="Verdana" w:hAnsi="Verdana"/>
          <w:sz w:val="20"/>
          <w:szCs w:val="20"/>
          <w:lang w:val="en-ID"/>
        </w:rPr>
        <w:t xml:space="preserve"> act’s</w:t>
      </w:r>
      <w:r w:rsidR="000D55B0" w:rsidRPr="002E0E3B">
        <w:rPr>
          <w:rFonts w:ascii="Verdana" w:hAnsi="Verdana"/>
          <w:sz w:val="20"/>
          <w:szCs w:val="20"/>
          <w:lang w:val="en-ID"/>
        </w:rPr>
        <w:t xml:space="preserve"> definition of “violence against women and children” to include “electronic or ICT-related violence”, such as “revenge-porn” and digitally facilitated stalking.</w:t>
      </w:r>
      <w:r w:rsidR="000D55B0" w:rsidRPr="002E0E3B">
        <w:rPr>
          <w:rFonts w:ascii="Verdana" w:hAnsi="Verdana"/>
          <w:sz w:val="20"/>
          <w:szCs w:val="20"/>
          <w:vertAlign w:val="superscript"/>
          <w:lang w:val="en-ID"/>
        </w:rPr>
        <w:footnoteReference w:id="27"/>
      </w:r>
      <w:r w:rsidR="000D55B0" w:rsidRPr="002E0E3B">
        <w:rPr>
          <w:rFonts w:ascii="Verdana" w:hAnsi="Verdana"/>
          <w:sz w:val="20"/>
          <w:szCs w:val="20"/>
          <w:lang w:val="en-ID"/>
        </w:rPr>
        <w:t xml:space="preserve">  </w:t>
      </w:r>
    </w:p>
    <w:p w14:paraId="22309591" w14:textId="77777777" w:rsidR="000210E1" w:rsidRPr="002E0E3B" w:rsidRDefault="000210E1" w:rsidP="000210E1">
      <w:pPr>
        <w:jc w:val="both"/>
        <w:rPr>
          <w:rFonts w:ascii="Verdana" w:hAnsi="Verdana"/>
          <w:sz w:val="20"/>
          <w:szCs w:val="20"/>
          <w:lang w:val="en-ID"/>
        </w:rPr>
      </w:pPr>
    </w:p>
    <w:p w14:paraId="4F36A862" w14:textId="1A4FCD17" w:rsidR="00985F72" w:rsidRPr="002E0E3B" w:rsidRDefault="00810349" w:rsidP="000210E1">
      <w:pPr>
        <w:pStyle w:val="ListParagraph"/>
        <w:numPr>
          <w:ilvl w:val="0"/>
          <w:numId w:val="3"/>
        </w:numPr>
        <w:jc w:val="both"/>
        <w:rPr>
          <w:rFonts w:ascii="Verdana" w:hAnsi="Verdana"/>
          <w:sz w:val="20"/>
          <w:szCs w:val="20"/>
          <w:lang w:val="en-ID"/>
        </w:rPr>
      </w:pPr>
      <w:r w:rsidRPr="002E0E3B">
        <w:rPr>
          <w:rFonts w:ascii="Verdana" w:hAnsi="Verdana"/>
          <w:sz w:val="20"/>
          <w:szCs w:val="20"/>
          <w:lang w:val="en-ID"/>
        </w:rPr>
        <w:t xml:space="preserve">However, </w:t>
      </w:r>
      <w:r w:rsidR="000210E1" w:rsidRPr="002E0E3B">
        <w:rPr>
          <w:rFonts w:ascii="Verdana" w:hAnsi="Verdana"/>
          <w:sz w:val="20"/>
          <w:szCs w:val="20"/>
          <w:lang w:val="en-ID"/>
        </w:rPr>
        <w:t>significant barriers prevent</w:t>
      </w:r>
      <w:r w:rsidRPr="002E0E3B">
        <w:rPr>
          <w:rFonts w:ascii="Verdana" w:hAnsi="Verdana"/>
          <w:sz w:val="20"/>
          <w:szCs w:val="20"/>
          <w:lang w:val="en-ID"/>
        </w:rPr>
        <w:t>ing</w:t>
      </w:r>
      <w:r w:rsidR="000210E1" w:rsidRPr="002E0E3B">
        <w:rPr>
          <w:rFonts w:ascii="Verdana" w:hAnsi="Verdana"/>
          <w:sz w:val="20"/>
          <w:szCs w:val="20"/>
          <w:lang w:val="en-ID"/>
        </w:rPr>
        <w:t xml:space="preserve"> victims/survivors of OGBV from effectively accessing redress</w:t>
      </w:r>
      <w:r w:rsidR="0013209C" w:rsidRPr="002E0E3B">
        <w:rPr>
          <w:rFonts w:ascii="Verdana" w:hAnsi="Verdana"/>
          <w:sz w:val="20"/>
          <w:szCs w:val="20"/>
          <w:lang w:val="en-ID"/>
        </w:rPr>
        <w:t>, in contravention of articles 2 and 5, read in conjunction with the CEDAW Committee’s General Recommendations No. 33 and 35</w:t>
      </w:r>
      <w:r w:rsidRPr="002E0E3B">
        <w:rPr>
          <w:rFonts w:ascii="Verdana" w:hAnsi="Verdana"/>
          <w:sz w:val="20"/>
          <w:szCs w:val="20"/>
          <w:lang w:val="en-ID"/>
        </w:rPr>
        <w:t>,</w:t>
      </w:r>
      <w:r w:rsidR="00205B14" w:rsidRPr="002E0E3B">
        <w:rPr>
          <w:rFonts w:ascii="Verdana" w:hAnsi="Verdana"/>
          <w:sz w:val="20"/>
          <w:szCs w:val="20"/>
          <w:vertAlign w:val="superscript"/>
          <w:lang w:val="en-ID"/>
        </w:rPr>
        <w:footnoteReference w:id="28"/>
      </w:r>
      <w:r w:rsidRPr="002E0E3B">
        <w:rPr>
          <w:rFonts w:ascii="Verdana" w:hAnsi="Verdana"/>
          <w:sz w:val="20"/>
          <w:szCs w:val="20"/>
          <w:lang w:val="en-ID"/>
        </w:rPr>
        <w:t xml:space="preserve"> continue.</w:t>
      </w:r>
      <w:r w:rsidR="0013209C" w:rsidRPr="002E0E3B">
        <w:rPr>
          <w:rFonts w:ascii="Verdana" w:hAnsi="Verdana"/>
          <w:sz w:val="20"/>
          <w:szCs w:val="20"/>
          <w:lang w:val="en-ID"/>
        </w:rPr>
        <w:t xml:space="preserve"> These include</w:t>
      </w:r>
      <w:r w:rsidR="000210E1" w:rsidRPr="002E0E3B">
        <w:rPr>
          <w:rFonts w:ascii="Verdana" w:hAnsi="Verdana"/>
          <w:sz w:val="20"/>
          <w:szCs w:val="20"/>
          <w:lang w:val="en-ID"/>
        </w:rPr>
        <w:t xml:space="preserve"> the lack of knowledge of the relevant laws and protection mechanisms; gaps in the provision of crucial support services, such as psychosocial support and services for women with disabilities, when filing cases;</w:t>
      </w:r>
      <w:r w:rsidR="000210E1" w:rsidRPr="002E0E3B">
        <w:rPr>
          <w:rFonts w:ascii="Verdana" w:hAnsi="Verdana"/>
          <w:sz w:val="20"/>
          <w:szCs w:val="20"/>
          <w:vertAlign w:val="superscript"/>
          <w:lang w:val="en-ID"/>
        </w:rPr>
        <w:footnoteReference w:id="29"/>
      </w:r>
      <w:r w:rsidR="000210E1" w:rsidRPr="002E0E3B">
        <w:rPr>
          <w:rFonts w:ascii="Verdana" w:hAnsi="Verdana"/>
          <w:sz w:val="20"/>
          <w:szCs w:val="20"/>
          <w:lang w:val="en-ID"/>
        </w:rPr>
        <w:t xml:space="preserve"> and the lack of resources and poor technical capacity of agencies tasked with managing cases of OGBV.</w:t>
      </w:r>
      <w:r w:rsidR="000210E1" w:rsidRPr="002E0E3B">
        <w:rPr>
          <w:rFonts w:ascii="Verdana" w:hAnsi="Verdana"/>
          <w:sz w:val="20"/>
          <w:szCs w:val="20"/>
          <w:vertAlign w:val="superscript"/>
          <w:lang w:val="en-ID"/>
        </w:rPr>
        <w:footnoteReference w:id="30"/>
      </w:r>
      <w:r w:rsidR="000210E1" w:rsidRPr="002E0E3B">
        <w:rPr>
          <w:rFonts w:ascii="Verdana" w:hAnsi="Verdana"/>
          <w:sz w:val="20"/>
          <w:szCs w:val="20"/>
          <w:lang w:val="en-ID"/>
        </w:rPr>
        <w:t xml:space="preserve"> </w:t>
      </w:r>
    </w:p>
    <w:p w14:paraId="7EE684B3" w14:textId="77777777" w:rsidR="00985F72" w:rsidRPr="002E0E3B" w:rsidRDefault="00985F72" w:rsidP="00985F72">
      <w:pPr>
        <w:pStyle w:val="ListParagraph"/>
        <w:rPr>
          <w:rFonts w:ascii="Verdana" w:hAnsi="Verdana"/>
          <w:sz w:val="20"/>
          <w:szCs w:val="20"/>
          <w:lang w:val="en-ID"/>
        </w:rPr>
      </w:pPr>
    </w:p>
    <w:p w14:paraId="16E123EE" w14:textId="60544CD2" w:rsidR="00902DC6" w:rsidRPr="002E0E3B" w:rsidRDefault="00810349" w:rsidP="00032499">
      <w:pPr>
        <w:pStyle w:val="ListParagraph"/>
        <w:numPr>
          <w:ilvl w:val="0"/>
          <w:numId w:val="3"/>
        </w:numPr>
        <w:jc w:val="both"/>
        <w:rPr>
          <w:rFonts w:ascii="Verdana" w:hAnsi="Verdana"/>
          <w:sz w:val="20"/>
          <w:szCs w:val="20"/>
          <w:lang w:val="en-ID"/>
        </w:rPr>
      </w:pPr>
      <w:r w:rsidRPr="002E0E3B">
        <w:rPr>
          <w:rFonts w:ascii="Verdana" w:hAnsi="Verdana"/>
          <w:sz w:val="20"/>
          <w:szCs w:val="20"/>
          <w:lang w:val="en-ID"/>
        </w:rPr>
        <w:t>Harmful g</w:t>
      </w:r>
      <w:r w:rsidR="000210E1" w:rsidRPr="002E0E3B">
        <w:rPr>
          <w:rFonts w:ascii="Verdana" w:hAnsi="Verdana"/>
          <w:sz w:val="20"/>
          <w:szCs w:val="20"/>
          <w:lang w:val="en-ID"/>
        </w:rPr>
        <w:t>ender stereotyp</w:t>
      </w:r>
      <w:r w:rsidRPr="002E0E3B">
        <w:rPr>
          <w:rFonts w:ascii="Verdana" w:hAnsi="Verdana"/>
          <w:sz w:val="20"/>
          <w:szCs w:val="20"/>
          <w:lang w:val="en-ID"/>
        </w:rPr>
        <w:t xml:space="preserve">es </w:t>
      </w:r>
      <w:r w:rsidR="000210E1" w:rsidRPr="002E0E3B">
        <w:rPr>
          <w:rFonts w:ascii="Verdana" w:hAnsi="Verdana"/>
          <w:sz w:val="20"/>
          <w:szCs w:val="20"/>
          <w:lang w:val="en-ID"/>
        </w:rPr>
        <w:t xml:space="preserve">and stigmatization </w:t>
      </w:r>
      <w:r w:rsidRPr="002E0E3B">
        <w:rPr>
          <w:rFonts w:ascii="Verdana" w:hAnsi="Verdana"/>
          <w:sz w:val="20"/>
          <w:szCs w:val="20"/>
          <w:lang w:val="en-ID"/>
        </w:rPr>
        <w:t xml:space="preserve">of </w:t>
      </w:r>
      <w:r w:rsidR="000210E1" w:rsidRPr="002E0E3B">
        <w:rPr>
          <w:rFonts w:ascii="Verdana" w:hAnsi="Verdana"/>
          <w:sz w:val="20"/>
          <w:szCs w:val="20"/>
          <w:lang w:val="en-ID"/>
        </w:rPr>
        <w:t xml:space="preserve">victims/survivors among justice sector actors, such as law enforcement officials and public prosecutors, </w:t>
      </w:r>
      <w:r w:rsidR="00CA320D" w:rsidRPr="002E0E3B">
        <w:rPr>
          <w:rFonts w:ascii="Verdana" w:hAnsi="Verdana"/>
          <w:sz w:val="20"/>
          <w:szCs w:val="20"/>
          <w:lang w:val="en-ID"/>
        </w:rPr>
        <w:t>are common</w:t>
      </w:r>
      <w:r w:rsidR="00B46DEC" w:rsidRPr="002E0E3B">
        <w:rPr>
          <w:rFonts w:ascii="Verdana" w:hAnsi="Verdana"/>
          <w:sz w:val="20"/>
          <w:szCs w:val="20"/>
          <w:lang w:val="en-ID"/>
        </w:rPr>
        <w:t xml:space="preserve">, with reports that victims/survivors </w:t>
      </w:r>
      <w:r w:rsidR="00CA320D" w:rsidRPr="002E0E3B">
        <w:rPr>
          <w:rFonts w:ascii="Verdana" w:hAnsi="Verdana"/>
          <w:sz w:val="20"/>
          <w:szCs w:val="20"/>
          <w:lang w:val="en-ID"/>
        </w:rPr>
        <w:t>of OGBV</w:t>
      </w:r>
      <w:r w:rsidR="000210E1" w:rsidRPr="002E0E3B">
        <w:rPr>
          <w:rFonts w:ascii="Verdana" w:hAnsi="Verdana"/>
          <w:sz w:val="20"/>
          <w:szCs w:val="20"/>
          <w:lang w:val="en-ID"/>
        </w:rPr>
        <w:t xml:space="preserve"> </w:t>
      </w:r>
      <w:r w:rsidR="00B46DEC" w:rsidRPr="002E0E3B">
        <w:rPr>
          <w:rFonts w:ascii="Verdana" w:hAnsi="Verdana"/>
          <w:sz w:val="20"/>
          <w:szCs w:val="20"/>
          <w:lang w:val="en-ID"/>
        </w:rPr>
        <w:t>have to confront victim</w:t>
      </w:r>
      <w:r w:rsidR="00CA320D" w:rsidRPr="002E0E3B">
        <w:rPr>
          <w:rFonts w:ascii="Verdana" w:hAnsi="Verdana"/>
          <w:sz w:val="20"/>
          <w:szCs w:val="20"/>
          <w:lang w:val="en-ID"/>
        </w:rPr>
        <w:t>-</w:t>
      </w:r>
      <w:r w:rsidR="00B46DEC" w:rsidRPr="002E0E3B">
        <w:rPr>
          <w:rFonts w:ascii="Verdana" w:hAnsi="Verdana"/>
          <w:sz w:val="20"/>
          <w:szCs w:val="20"/>
          <w:lang w:val="en-ID"/>
        </w:rPr>
        <w:t>blaming and revictimization</w:t>
      </w:r>
      <w:r w:rsidR="0013209C" w:rsidRPr="002E0E3B">
        <w:rPr>
          <w:rFonts w:ascii="Verdana" w:hAnsi="Verdana"/>
          <w:sz w:val="20"/>
          <w:szCs w:val="20"/>
          <w:lang w:val="en-ID"/>
        </w:rPr>
        <w:t>.</w:t>
      </w:r>
      <w:r w:rsidR="00B46DEC" w:rsidRPr="002E0E3B">
        <w:rPr>
          <w:rFonts w:ascii="Verdana" w:hAnsi="Verdana"/>
          <w:sz w:val="20"/>
          <w:szCs w:val="20"/>
          <w:vertAlign w:val="superscript"/>
          <w:lang w:val="en-ID"/>
        </w:rPr>
        <w:footnoteReference w:id="31"/>
      </w:r>
      <w:r w:rsidR="00B46DEC" w:rsidRPr="002E0E3B">
        <w:rPr>
          <w:rFonts w:ascii="Verdana" w:hAnsi="Verdana"/>
          <w:sz w:val="20"/>
          <w:szCs w:val="20"/>
          <w:lang w:val="en-ID"/>
        </w:rPr>
        <w:t xml:space="preserve"> </w:t>
      </w:r>
      <w:r w:rsidR="00FD1D57" w:rsidRPr="002E0E3B">
        <w:rPr>
          <w:rFonts w:ascii="Verdana" w:hAnsi="Verdana"/>
          <w:sz w:val="20"/>
          <w:szCs w:val="20"/>
          <w:lang w:val="en-ID"/>
        </w:rPr>
        <w:t>Victims/survivors</w:t>
      </w:r>
      <w:r w:rsidR="00CA320D" w:rsidRPr="002E0E3B">
        <w:rPr>
          <w:rFonts w:ascii="Verdana" w:hAnsi="Verdana"/>
          <w:sz w:val="20"/>
          <w:szCs w:val="20"/>
          <w:lang w:val="en-ID"/>
        </w:rPr>
        <w:t>,</w:t>
      </w:r>
      <w:r w:rsidR="00FD1D57" w:rsidRPr="002E0E3B">
        <w:rPr>
          <w:rFonts w:ascii="Verdana" w:hAnsi="Verdana"/>
          <w:sz w:val="20"/>
          <w:szCs w:val="20"/>
          <w:lang w:val="en-ID"/>
        </w:rPr>
        <w:t xml:space="preserve"> who have filed GBV complaints against law enforcement </w:t>
      </w:r>
      <w:r w:rsidR="000210E1" w:rsidRPr="002E0E3B">
        <w:rPr>
          <w:rFonts w:ascii="Verdana" w:hAnsi="Verdana"/>
          <w:sz w:val="20"/>
          <w:szCs w:val="20"/>
          <w:lang w:val="en-ID"/>
        </w:rPr>
        <w:t>law enforcement officers and government officials</w:t>
      </w:r>
      <w:r w:rsidR="00CA320D" w:rsidRPr="002E0E3B">
        <w:rPr>
          <w:rFonts w:ascii="Verdana" w:hAnsi="Verdana"/>
          <w:sz w:val="20"/>
          <w:szCs w:val="20"/>
          <w:lang w:val="en-ID"/>
        </w:rPr>
        <w:t>,</w:t>
      </w:r>
      <w:r w:rsidR="00FD1D57" w:rsidRPr="002E0E3B">
        <w:rPr>
          <w:rFonts w:ascii="Verdana" w:hAnsi="Verdana"/>
          <w:sz w:val="20"/>
          <w:szCs w:val="20"/>
          <w:lang w:val="en-ID"/>
        </w:rPr>
        <w:t xml:space="preserve"> have reported facing </w:t>
      </w:r>
      <w:r w:rsidR="000210E1" w:rsidRPr="002E0E3B">
        <w:rPr>
          <w:rFonts w:ascii="Verdana" w:hAnsi="Verdana"/>
          <w:sz w:val="20"/>
          <w:szCs w:val="20"/>
          <w:lang w:val="en-ID"/>
        </w:rPr>
        <w:t>retaliation in the form of physical violence, and even murder, when filing their cases.</w:t>
      </w:r>
      <w:r w:rsidR="000210E1" w:rsidRPr="002E0E3B">
        <w:rPr>
          <w:rFonts w:ascii="Verdana" w:hAnsi="Verdana"/>
          <w:sz w:val="20"/>
          <w:szCs w:val="20"/>
          <w:vertAlign w:val="superscript"/>
          <w:lang w:val="en-ID"/>
        </w:rPr>
        <w:footnoteReference w:id="32"/>
      </w:r>
      <w:r w:rsidR="000210E1" w:rsidRPr="002E0E3B">
        <w:rPr>
          <w:rFonts w:ascii="Verdana" w:hAnsi="Verdana"/>
          <w:sz w:val="20"/>
          <w:szCs w:val="20"/>
          <w:lang w:val="en-ID"/>
        </w:rPr>
        <w:t xml:space="preserve"> Acts of GBV perpetrated by Philippines’ State actors and the failure to hold them accountable contravene the </w:t>
      </w:r>
      <w:r w:rsidR="00CA320D" w:rsidRPr="002E0E3B">
        <w:rPr>
          <w:rFonts w:ascii="Verdana" w:hAnsi="Verdana"/>
          <w:sz w:val="20"/>
          <w:szCs w:val="20"/>
          <w:lang w:val="en-ID"/>
        </w:rPr>
        <w:t xml:space="preserve">country’s </w:t>
      </w:r>
      <w:r w:rsidR="00FD1D57" w:rsidRPr="002E0E3B">
        <w:rPr>
          <w:rFonts w:ascii="Verdana" w:hAnsi="Verdana"/>
          <w:sz w:val="20"/>
          <w:szCs w:val="20"/>
          <w:lang w:val="en-ID"/>
        </w:rPr>
        <w:t xml:space="preserve">obligation </w:t>
      </w:r>
      <w:r w:rsidR="000210E1" w:rsidRPr="002E0E3B">
        <w:rPr>
          <w:rFonts w:ascii="Verdana" w:hAnsi="Verdana"/>
          <w:sz w:val="20"/>
          <w:szCs w:val="20"/>
          <w:lang w:val="en-ID"/>
        </w:rPr>
        <w:t xml:space="preserve">to respect women’s </w:t>
      </w:r>
      <w:r w:rsidR="00CA320D" w:rsidRPr="002E0E3B">
        <w:rPr>
          <w:rFonts w:ascii="Verdana" w:hAnsi="Verdana"/>
          <w:sz w:val="20"/>
          <w:szCs w:val="20"/>
          <w:lang w:val="en-ID"/>
        </w:rPr>
        <w:t xml:space="preserve">human </w:t>
      </w:r>
      <w:r w:rsidR="000210E1" w:rsidRPr="002E0E3B">
        <w:rPr>
          <w:rFonts w:ascii="Verdana" w:hAnsi="Verdana"/>
          <w:sz w:val="20"/>
          <w:szCs w:val="20"/>
          <w:lang w:val="en-ID"/>
        </w:rPr>
        <w:t>rights.</w:t>
      </w:r>
      <w:r w:rsidR="000210E1" w:rsidRPr="002E0E3B">
        <w:rPr>
          <w:rFonts w:ascii="Verdana" w:hAnsi="Verdana"/>
          <w:sz w:val="20"/>
          <w:szCs w:val="20"/>
          <w:vertAlign w:val="superscript"/>
          <w:lang w:val="en-ID"/>
        </w:rPr>
        <w:footnoteReference w:id="33"/>
      </w:r>
      <w:r w:rsidR="000210E1" w:rsidRPr="002E0E3B">
        <w:rPr>
          <w:rFonts w:ascii="Verdana" w:hAnsi="Verdana"/>
          <w:sz w:val="20"/>
          <w:szCs w:val="20"/>
          <w:lang w:val="en-ID"/>
        </w:rPr>
        <w:t xml:space="preserve"> </w:t>
      </w:r>
    </w:p>
    <w:p w14:paraId="562C1E01" w14:textId="77777777" w:rsidR="00902DC6" w:rsidRPr="002E0E3B" w:rsidRDefault="00902DC6" w:rsidP="00032499">
      <w:pPr>
        <w:pStyle w:val="ListParagraph"/>
        <w:jc w:val="both"/>
        <w:rPr>
          <w:rFonts w:ascii="Verdana" w:hAnsi="Verdana"/>
          <w:sz w:val="20"/>
          <w:szCs w:val="20"/>
          <w:lang w:val="en-ID"/>
        </w:rPr>
      </w:pPr>
    </w:p>
    <w:p w14:paraId="09019BD0" w14:textId="486B3539" w:rsidR="00A7132D" w:rsidRPr="002E0E3B" w:rsidRDefault="00A7132D" w:rsidP="00A7132D">
      <w:pPr>
        <w:pStyle w:val="ListParagraph"/>
        <w:numPr>
          <w:ilvl w:val="0"/>
          <w:numId w:val="3"/>
        </w:numPr>
        <w:jc w:val="both"/>
        <w:rPr>
          <w:rFonts w:ascii="Verdana" w:hAnsi="Verdana"/>
          <w:sz w:val="20"/>
          <w:szCs w:val="20"/>
          <w:lang w:val="en-ID"/>
        </w:rPr>
      </w:pPr>
      <w:r w:rsidRPr="002E0E3B">
        <w:rPr>
          <w:rFonts w:ascii="Verdana" w:hAnsi="Verdana"/>
          <w:sz w:val="20"/>
          <w:szCs w:val="20"/>
          <w:lang w:val="en-ID"/>
        </w:rPr>
        <w:t>Existing legal procedures</w:t>
      </w:r>
      <w:r w:rsidR="002043BD" w:rsidRPr="002E0E3B">
        <w:rPr>
          <w:rFonts w:ascii="Verdana" w:hAnsi="Verdana"/>
          <w:sz w:val="20"/>
          <w:szCs w:val="20"/>
          <w:lang w:val="en-ID"/>
        </w:rPr>
        <w:t xml:space="preserve"> to prevent or remove the publication of harmful online content amounting to OGBV are</w:t>
      </w:r>
      <w:r w:rsidRPr="002E0E3B">
        <w:rPr>
          <w:rFonts w:ascii="Verdana" w:hAnsi="Verdana"/>
          <w:sz w:val="20"/>
          <w:szCs w:val="20"/>
          <w:lang w:val="en-ID"/>
        </w:rPr>
        <w:t xml:space="preserve"> inadequate.</w:t>
      </w:r>
      <w:r w:rsidRPr="002E0E3B">
        <w:rPr>
          <w:rStyle w:val="FootnoteReference"/>
          <w:rFonts w:ascii="Verdana" w:hAnsi="Verdana"/>
          <w:sz w:val="20"/>
          <w:szCs w:val="20"/>
          <w:lang w:val="en-ID"/>
        </w:rPr>
        <w:footnoteReference w:id="34"/>
      </w:r>
      <w:r w:rsidRPr="002E0E3B">
        <w:rPr>
          <w:rFonts w:ascii="Verdana" w:hAnsi="Verdana"/>
          <w:sz w:val="20"/>
          <w:szCs w:val="20"/>
          <w:lang w:val="en-ID"/>
        </w:rPr>
        <w:t xml:space="preserve"> Section 9(b) of the Anti-Online Sexual Abuse or Exploitation of Children (OSAEC) and Anti-Child Sexual Abuse or Exploitation Materials (CSAEM) Act mandate internet intermediaries to block access to or remove content </w:t>
      </w:r>
      <w:r w:rsidR="000E7059" w:rsidRPr="002E0E3B">
        <w:rPr>
          <w:rFonts w:ascii="Verdana" w:hAnsi="Verdana"/>
          <w:sz w:val="20"/>
          <w:szCs w:val="20"/>
          <w:lang w:val="en-ID"/>
        </w:rPr>
        <w:t xml:space="preserve">featuring </w:t>
      </w:r>
      <w:r w:rsidRPr="002E0E3B">
        <w:rPr>
          <w:rFonts w:ascii="Verdana" w:hAnsi="Verdana"/>
          <w:sz w:val="20"/>
          <w:szCs w:val="20"/>
          <w:lang w:val="en-ID"/>
        </w:rPr>
        <w:t xml:space="preserve">child sexual abuse or exploitation </w:t>
      </w:r>
      <w:r w:rsidR="0006674C" w:rsidRPr="002E0E3B">
        <w:rPr>
          <w:rFonts w:ascii="Verdana" w:hAnsi="Verdana"/>
          <w:sz w:val="20"/>
          <w:szCs w:val="20"/>
          <w:lang w:val="en-ID"/>
        </w:rPr>
        <w:t xml:space="preserve">within 24 hours of receiving notice. </w:t>
      </w:r>
      <w:r w:rsidR="0006674C" w:rsidRPr="002E0E3B">
        <w:rPr>
          <w:rFonts w:ascii="Verdana" w:hAnsi="Verdana"/>
          <w:sz w:val="20"/>
          <w:szCs w:val="20"/>
          <w:lang w:val="en-ID"/>
        </w:rPr>
        <w:lastRenderedPageBreak/>
        <w:t>However,</w:t>
      </w:r>
      <w:r w:rsidRPr="002E0E3B">
        <w:rPr>
          <w:rFonts w:ascii="Verdana" w:hAnsi="Verdana"/>
          <w:sz w:val="20"/>
          <w:szCs w:val="20"/>
          <w:lang w:val="en-ID"/>
        </w:rPr>
        <w:t xml:space="preserve"> </w:t>
      </w:r>
      <w:r w:rsidR="0006674C" w:rsidRPr="002E0E3B">
        <w:rPr>
          <w:rFonts w:ascii="Verdana" w:hAnsi="Verdana"/>
          <w:sz w:val="20"/>
          <w:szCs w:val="20"/>
          <w:lang w:val="en-ID"/>
        </w:rPr>
        <w:t>t</w:t>
      </w:r>
      <w:r w:rsidRPr="002E0E3B">
        <w:rPr>
          <w:rFonts w:ascii="Verdana" w:hAnsi="Verdana"/>
          <w:sz w:val="20"/>
          <w:szCs w:val="20"/>
          <w:lang w:val="en-ID"/>
        </w:rPr>
        <w:t xml:space="preserve">his procedure only applies to victims/survivors below </w:t>
      </w:r>
      <w:r w:rsidR="000E7059" w:rsidRPr="002E0E3B">
        <w:rPr>
          <w:rFonts w:ascii="Verdana" w:hAnsi="Verdana"/>
          <w:sz w:val="20"/>
          <w:szCs w:val="20"/>
          <w:lang w:val="en-ID"/>
        </w:rPr>
        <w:t xml:space="preserve">18 </w:t>
      </w:r>
      <w:r w:rsidRPr="002E0E3B">
        <w:rPr>
          <w:rFonts w:ascii="Verdana" w:hAnsi="Verdana"/>
          <w:sz w:val="20"/>
          <w:szCs w:val="20"/>
          <w:lang w:val="en-ID"/>
        </w:rPr>
        <w:t>years of age, excluding a vast proportion of OGBV victims/survivors.</w:t>
      </w:r>
      <w:r w:rsidR="00032499" w:rsidRPr="002E0E3B">
        <w:rPr>
          <w:rFonts w:ascii="Verdana" w:hAnsi="Verdana"/>
          <w:sz w:val="20"/>
          <w:szCs w:val="20"/>
          <w:lang w:val="en-ID"/>
        </w:rPr>
        <w:t xml:space="preserve"> The upcoming amendment to the anti-VAW Act, if adopted, will expand </w:t>
      </w:r>
      <w:r w:rsidRPr="002E0E3B">
        <w:rPr>
          <w:rFonts w:ascii="Verdana" w:hAnsi="Verdana"/>
          <w:sz w:val="20"/>
          <w:szCs w:val="20"/>
          <w:lang w:val="en-ID"/>
        </w:rPr>
        <w:t>the scope of protection orders to include orders to immediately block or remove “any upload, program, or application that causes or tends to cause violence against a woman and/or her children”.</w:t>
      </w:r>
      <w:r w:rsidRPr="002E0E3B">
        <w:rPr>
          <w:rFonts w:ascii="Verdana" w:hAnsi="Verdana"/>
          <w:sz w:val="20"/>
          <w:szCs w:val="20"/>
          <w:vertAlign w:val="superscript"/>
          <w:lang w:val="en-ID"/>
        </w:rPr>
        <w:footnoteReference w:id="35"/>
      </w:r>
      <w:r w:rsidRPr="002E0E3B">
        <w:rPr>
          <w:rFonts w:ascii="Verdana" w:hAnsi="Verdana"/>
          <w:sz w:val="20"/>
          <w:szCs w:val="20"/>
          <w:lang w:val="en-ID"/>
        </w:rPr>
        <w:t xml:space="preserve"> </w:t>
      </w:r>
      <w:r w:rsidR="00032499" w:rsidRPr="002E0E3B">
        <w:rPr>
          <w:rFonts w:ascii="Verdana" w:hAnsi="Verdana"/>
          <w:sz w:val="20"/>
          <w:szCs w:val="20"/>
          <w:lang w:val="en-ID"/>
        </w:rPr>
        <w:t>V</w:t>
      </w:r>
      <w:r w:rsidRPr="002E0E3B">
        <w:rPr>
          <w:rFonts w:ascii="Verdana" w:hAnsi="Verdana"/>
          <w:sz w:val="20"/>
          <w:szCs w:val="20"/>
          <w:lang w:val="en-ID"/>
        </w:rPr>
        <w:t xml:space="preserve">ictims/survivors, as well as their families or lawyers, may file a request to the courts for a Temporary Protection Order, which may be issued based on an </w:t>
      </w:r>
      <w:r w:rsidRPr="002E0E3B">
        <w:rPr>
          <w:rFonts w:ascii="Verdana" w:hAnsi="Verdana"/>
          <w:i/>
          <w:iCs/>
          <w:sz w:val="20"/>
          <w:szCs w:val="20"/>
          <w:lang w:val="en-ID"/>
        </w:rPr>
        <w:t xml:space="preserve">ex parte </w:t>
      </w:r>
      <w:r w:rsidRPr="002E0E3B">
        <w:rPr>
          <w:rFonts w:ascii="Verdana" w:hAnsi="Verdana"/>
          <w:sz w:val="20"/>
          <w:szCs w:val="20"/>
          <w:lang w:val="en-ID"/>
        </w:rPr>
        <w:t>determination.</w:t>
      </w:r>
      <w:r w:rsidRPr="002E0E3B">
        <w:rPr>
          <w:rFonts w:ascii="Verdana" w:hAnsi="Verdana"/>
          <w:sz w:val="20"/>
          <w:szCs w:val="20"/>
          <w:vertAlign w:val="superscript"/>
          <w:lang w:val="en-ID"/>
        </w:rPr>
        <w:footnoteReference w:id="36"/>
      </w:r>
      <w:r w:rsidRPr="002E0E3B">
        <w:rPr>
          <w:rFonts w:ascii="Verdana" w:hAnsi="Verdana"/>
          <w:sz w:val="20"/>
          <w:szCs w:val="20"/>
          <w:lang w:val="en-ID"/>
        </w:rPr>
        <w:t xml:space="preserve"> </w:t>
      </w:r>
      <w:r w:rsidR="00032499" w:rsidRPr="002E0E3B">
        <w:rPr>
          <w:rFonts w:ascii="Verdana" w:hAnsi="Verdana"/>
          <w:sz w:val="20"/>
          <w:szCs w:val="20"/>
          <w:lang w:val="en-ID"/>
        </w:rPr>
        <w:t xml:space="preserve">However, </w:t>
      </w:r>
      <w:r w:rsidRPr="002E0E3B">
        <w:rPr>
          <w:rFonts w:ascii="Verdana" w:hAnsi="Verdana"/>
          <w:sz w:val="20"/>
          <w:szCs w:val="20"/>
          <w:lang w:val="en-ID"/>
        </w:rPr>
        <w:t xml:space="preserve">the anti-VAW Act is limited to victims/survivors who are or had been in </w:t>
      </w:r>
      <w:r w:rsidR="000E7059" w:rsidRPr="002E0E3B">
        <w:rPr>
          <w:rFonts w:ascii="Verdana" w:hAnsi="Verdana"/>
          <w:sz w:val="20"/>
          <w:szCs w:val="20"/>
          <w:lang w:val="en-ID"/>
        </w:rPr>
        <w:t>“</w:t>
      </w:r>
      <w:r w:rsidRPr="002E0E3B">
        <w:rPr>
          <w:rFonts w:ascii="Verdana" w:hAnsi="Verdana"/>
          <w:sz w:val="20"/>
          <w:szCs w:val="20"/>
          <w:lang w:val="en-ID"/>
        </w:rPr>
        <w:t>a romantic relationship</w:t>
      </w:r>
      <w:r w:rsidR="000E7059" w:rsidRPr="002E0E3B">
        <w:rPr>
          <w:rFonts w:ascii="Verdana" w:hAnsi="Verdana"/>
          <w:sz w:val="20"/>
          <w:szCs w:val="20"/>
          <w:lang w:val="en-ID"/>
        </w:rPr>
        <w:t>”</w:t>
      </w:r>
      <w:r w:rsidRPr="002E0E3B">
        <w:rPr>
          <w:rFonts w:ascii="Verdana" w:hAnsi="Verdana"/>
          <w:sz w:val="20"/>
          <w:szCs w:val="20"/>
          <w:lang w:val="en-ID"/>
        </w:rPr>
        <w:t xml:space="preserve"> with the perpetrator.    </w:t>
      </w:r>
    </w:p>
    <w:p w14:paraId="7319CCAA" w14:textId="77777777" w:rsidR="00A7132D" w:rsidRPr="002E0E3B" w:rsidRDefault="00A7132D" w:rsidP="002A77CA">
      <w:pPr>
        <w:pStyle w:val="ListParagraph"/>
        <w:ind w:left="360"/>
        <w:jc w:val="both"/>
        <w:rPr>
          <w:rFonts w:ascii="Verdana" w:hAnsi="Verdana"/>
          <w:sz w:val="20"/>
          <w:szCs w:val="20"/>
          <w:lang w:val="en-US"/>
        </w:rPr>
      </w:pPr>
    </w:p>
    <w:p w14:paraId="7B3F2D53" w14:textId="0C88C24A" w:rsidR="007805F2" w:rsidRPr="002E0E3B" w:rsidRDefault="004B00FD"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t xml:space="preserve">Discrimination, Violence and Abuse Against </w:t>
      </w:r>
      <w:r w:rsidR="002A77CA" w:rsidRPr="002E0E3B">
        <w:rPr>
          <w:rFonts w:ascii="Verdana" w:hAnsi="Verdana"/>
          <w:b/>
          <w:sz w:val="20"/>
          <w:szCs w:val="20"/>
          <w:lang w:val="en-US"/>
        </w:rPr>
        <w:t>Lesbian, Bisexual</w:t>
      </w:r>
      <w:r w:rsidR="0066095C" w:rsidRPr="002E0E3B">
        <w:rPr>
          <w:rFonts w:ascii="Verdana" w:hAnsi="Verdana"/>
          <w:b/>
          <w:sz w:val="20"/>
          <w:szCs w:val="20"/>
          <w:lang w:val="en-US"/>
        </w:rPr>
        <w:t xml:space="preserve"> and </w:t>
      </w:r>
      <w:r w:rsidR="0057031C" w:rsidRPr="002E0E3B">
        <w:rPr>
          <w:rFonts w:ascii="Verdana" w:hAnsi="Verdana"/>
          <w:b/>
          <w:sz w:val="20"/>
          <w:szCs w:val="20"/>
          <w:lang w:val="en-US"/>
        </w:rPr>
        <w:t xml:space="preserve">Transgender Women </w:t>
      </w:r>
      <w:r w:rsidR="0066095C" w:rsidRPr="002E0E3B">
        <w:rPr>
          <w:rFonts w:ascii="Verdana" w:hAnsi="Verdana"/>
          <w:b/>
          <w:sz w:val="20"/>
          <w:szCs w:val="20"/>
          <w:lang w:val="en-US"/>
        </w:rPr>
        <w:t>(</w:t>
      </w:r>
      <w:r w:rsidR="0067354F" w:rsidRPr="002E0E3B">
        <w:rPr>
          <w:rFonts w:ascii="Verdana" w:hAnsi="Verdana"/>
          <w:b/>
          <w:sz w:val="20"/>
          <w:szCs w:val="20"/>
          <w:lang w:val="en-US"/>
        </w:rPr>
        <w:t>a</w:t>
      </w:r>
      <w:r w:rsidR="0066095C" w:rsidRPr="002E0E3B">
        <w:rPr>
          <w:rFonts w:ascii="Verdana" w:hAnsi="Verdana"/>
          <w:b/>
          <w:sz w:val="20"/>
          <w:szCs w:val="20"/>
          <w:lang w:val="en-US"/>
        </w:rPr>
        <w:t>rticles 1, 2, 7</w:t>
      </w:r>
      <w:r w:rsidR="00544DE7" w:rsidRPr="002E0E3B">
        <w:rPr>
          <w:rFonts w:ascii="Verdana" w:hAnsi="Verdana"/>
          <w:b/>
          <w:sz w:val="20"/>
          <w:szCs w:val="20"/>
          <w:lang w:val="en-US"/>
        </w:rPr>
        <w:t xml:space="preserve"> and</w:t>
      </w:r>
      <w:r w:rsidR="009A7C36" w:rsidRPr="002E0E3B">
        <w:rPr>
          <w:rFonts w:ascii="Verdana" w:hAnsi="Verdana"/>
          <w:b/>
          <w:sz w:val="20"/>
          <w:szCs w:val="20"/>
          <w:lang w:val="en-US"/>
        </w:rPr>
        <w:t xml:space="preserve"> 15</w:t>
      </w:r>
      <w:r w:rsidR="009D5E54" w:rsidRPr="002E0E3B">
        <w:rPr>
          <w:rFonts w:ascii="Verdana" w:hAnsi="Verdana"/>
          <w:b/>
          <w:sz w:val="20"/>
          <w:szCs w:val="20"/>
          <w:lang w:val="en-US"/>
        </w:rPr>
        <w:t>)</w:t>
      </w:r>
      <w:r w:rsidR="009A7C36" w:rsidRPr="002E0E3B">
        <w:rPr>
          <w:rFonts w:ascii="Verdana" w:hAnsi="Verdana"/>
          <w:b/>
          <w:sz w:val="20"/>
          <w:szCs w:val="20"/>
          <w:lang w:val="en-US"/>
        </w:rPr>
        <w:t xml:space="preserve"> </w:t>
      </w:r>
      <w:r w:rsidR="0066095C" w:rsidRPr="002E0E3B">
        <w:rPr>
          <w:rFonts w:ascii="Verdana" w:hAnsi="Verdana"/>
          <w:b/>
          <w:sz w:val="20"/>
          <w:szCs w:val="20"/>
          <w:lang w:val="en-US"/>
        </w:rPr>
        <w:t xml:space="preserve"> </w:t>
      </w:r>
    </w:p>
    <w:p w14:paraId="32F73043" w14:textId="531F05BF" w:rsidR="00B955A1" w:rsidRPr="002E0E3B" w:rsidRDefault="00B955A1" w:rsidP="00B955A1">
      <w:pPr>
        <w:rPr>
          <w:rFonts w:ascii="Verdana" w:hAnsi="Verdana"/>
          <w:b/>
          <w:sz w:val="20"/>
          <w:szCs w:val="20"/>
          <w:lang w:val="en-US"/>
        </w:rPr>
      </w:pPr>
    </w:p>
    <w:p w14:paraId="52471E35" w14:textId="6C229147" w:rsidR="00A838D3" w:rsidRPr="002E0E3B" w:rsidRDefault="000E7059" w:rsidP="00164BA3">
      <w:pPr>
        <w:pStyle w:val="ListParagraph"/>
        <w:numPr>
          <w:ilvl w:val="0"/>
          <w:numId w:val="3"/>
        </w:numPr>
        <w:jc w:val="both"/>
        <w:rPr>
          <w:rFonts w:ascii="Verdana" w:hAnsi="Verdana"/>
          <w:sz w:val="20"/>
          <w:szCs w:val="20"/>
        </w:rPr>
      </w:pPr>
      <w:r w:rsidRPr="002E0E3B">
        <w:rPr>
          <w:rFonts w:ascii="Verdana" w:hAnsi="Verdana"/>
          <w:sz w:val="20"/>
          <w:szCs w:val="20"/>
          <w:lang w:val="en-US"/>
        </w:rPr>
        <w:t>Discrimination against women based on sex and gender is “inextricably linked with other factors that affect women”, such as sexual orientation and gender identity.</w:t>
      </w:r>
      <w:r w:rsidRPr="002E0E3B">
        <w:rPr>
          <w:rStyle w:val="FootnoteReference"/>
          <w:rFonts w:ascii="Verdana" w:hAnsi="Verdana"/>
          <w:sz w:val="20"/>
          <w:szCs w:val="20"/>
          <w:lang w:val="en-US"/>
        </w:rPr>
        <w:footnoteReference w:id="37"/>
      </w:r>
      <w:r w:rsidRPr="002E0E3B">
        <w:rPr>
          <w:rFonts w:ascii="Verdana" w:hAnsi="Verdana"/>
          <w:sz w:val="20"/>
          <w:szCs w:val="20"/>
          <w:lang w:val="en-US"/>
        </w:rPr>
        <w:t xml:space="preserve"> It is therefore not surprising that </w:t>
      </w:r>
      <w:r w:rsidR="0067354F" w:rsidRPr="002E0E3B">
        <w:rPr>
          <w:rFonts w:ascii="Verdana" w:hAnsi="Verdana"/>
          <w:sz w:val="20"/>
          <w:szCs w:val="20"/>
          <w:lang w:val="en-US"/>
        </w:rPr>
        <w:t>LBT</w:t>
      </w:r>
      <w:r w:rsidR="00D47B36" w:rsidRPr="002E0E3B">
        <w:rPr>
          <w:rFonts w:ascii="Verdana" w:hAnsi="Verdana"/>
          <w:sz w:val="20"/>
          <w:szCs w:val="20"/>
          <w:lang w:val="en-US"/>
        </w:rPr>
        <w:t xml:space="preserve"> women in the Philippines </w:t>
      </w:r>
      <w:r w:rsidR="004B00FD" w:rsidRPr="002E0E3B">
        <w:rPr>
          <w:rFonts w:ascii="Verdana" w:hAnsi="Verdana"/>
          <w:sz w:val="20"/>
          <w:szCs w:val="20"/>
          <w:lang w:val="en-US"/>
        </w:rPr>
        <w:t xml:space="preserve">continue to </w:t>
      </w:r>
      <w:r w:rsidR="00AF3DF7" w:rsidRPr="002E0E3B">
        <w:rPr>
          <w:rFonts w:ascii="Verdana" w:hAnsi="Verdana"/>
          <w:sz w:val="20"/>
          <w:szCs w:val="20"/>
          <w:lang w:val="en-US"/>
        </w:rPr>
        <w:t xml:space="preserve">face a heightened risk of discrimination, violence and abuse </w:t>
      </w:r>
      <w:r w:rsidR="00F158B0" w:rsidRPr="002E0E3B">
        <w:rPr>
          <w:rFonts w:ascii="Verdana" w:hAnsi="Verdana"/>
          <w:sz w:val="20"/>
          <w:szCs w:val="20"/>
          <w:lang w:val="en-US"/>
        </w:rPr>
        <w:t>both offline and online</w:t>
      </w:r>
      <w:r w:rsidR="00384F90" w:rsidRPr="002E0E3B">
        <w:rPr>
          <w:rFonts w:ascii="Verdana" w:hAnsi="Verdana"/>
          <w:sz w:val="20"/>
          <w:szCs w:val="20"/>
          <w:lang w:val="en-US"/>
        </w:rPr>
        <w:t xml:space="preserve">. They face </w:t>
      </w:r>
      <w:r w:rsidR="007D7A64" w:rsidRPr="002E0E3B">
        <w:rPr>
          <w:rFonts w:ascii="Verdana" w:hAnsi="Verdana"/>
          <w:sz w:val="20"/>
          <w:szCs w:val="20"/>
          <w:lang w:val="en-US"/>
        </w:rPr>
        <w:t xml:space="preserve">additional discrimination when </w:t>
      </w:r>
      <w:r w:rsidR="00384F90" w:rsidRPr="002E0E3B">
        <w:rPr>
          <w:rFonts w:ascii="Verdana" w:hAnsi="Verdana"/>
          <w:sz w:val="20"/>
          <w:szCs w:val="20"/>
          <w:lang w:val="en-US"/>
        </w:rPr>
        <w:t>trying to access justice</w:t>
      </w:r>
      <w:r w:rsidR="00A93BC6" w:rsidRPr="002E0E3B">
        <w:rPr>
          <w:rFonts w:ascii="Verdana" w:hAnsi="Verdana"/>
          <w:sz w:val="20"/>
          <w:szCs w:val="20"/>
          <w:lang w:val="en-US"/>
        </w:rPr>
        <w:t xml:space="preserve"> and effective remedies</w:t>
      </w:r>
      <w:r w:rsidR="00384F90" w:rsidRPr="002E0E3B">
        <w:rPr>
          <w:rFonts w:ascii="Verdana" w:hAnsi="Verdana"/>
          <w:sz w:val="20"/>
          <w:szCs w:val="20"/>
          <w:lang w:val="en-US"/>
        </w:rPr>
        <w:t xml:space="preserve">, </w:t>
      </w:r>
      <w:r w:rsidR="00AF3DF7" w:rsidRPr="002E0E3B">
        <w:rPr>
          <w:rFonts w:ascii="Verdana" w:hAnsi="Verdana"/>
          <w:sz w:val="20"/>
          <w:szCs w:val="20"/>
          <w:lang w:val="en-US"/>
        </w:rPr>
        <w:t>in part</w:t>
      </w:r>
      <w:r w:rsidRPr="002E0E3B">
        <w:rPr>
          <w:rFonts w:ascii="Verdana" w:hAnsi="Verdana"/>
          <w:sz w:val="20"/>
          <w:szCs w:val="20"/>
          <w:lang w:val="en-US"/>
        </w:rPr>
        <w:t>,</w:t>
      </w:r>
      <w:r w:rsidR="00AF3DF7" w:rsidRPr="002E0E3B">
        <w:rPr>
          <w:rFonts w:ascii="Verdana" w:hAnsi="Verdana"/>
          <w:sz w:val="20"/>
          <w:szCs w:val="20"/>
          <w:lang w:val="en-US"/>
        </w:rPr>
        <w:t xml:space="preserve"> due to the absence of a comprehensive protective legislative framework</w:t>
      </w:r>
      <w:r w:rsidR="000F799A" w:rsidRPr="002E0E3B">
        <w:rPr>
          <w:rFonts w:ascii="Verdana" w:hAnsi="Verdana"/>
          <w:sz w:val="20"/>
          <w:szCs w:val="20"/>
          <w:lang w:val="en-US"/>
        </w:rPr>
        <w:t xml:space="preserve">. </w:t>
      </w:r>
    </w:p>
    <w:p w14:paraId="70C25AE7" w14:textId="37FBBFE7" w:rsidR="00645D8E" w:rsidRPr="002E0E3B" w:rsidRDefault="00A838D3" w:rsidP="00A93BC6">
      <w:pPr>
        <w:pStyle w:val="ListParagraph"/>
        <w:ind w:left="360"/>
        <w:jc w:val="both"/>
        <w:rPr>
          <w:rFonts w:ascii="Verdana" w:hAnsi="Verdana"/>
          <w:sz w:val="20"/>
          <w:szCs w:val="20"/>
        </w:rPr>
      </w:pPr>
      <w:r w:rsidRPr="002E0E3B">
        <w:rPr>
          <w:rFonts w:ascii="Verdana" w:hAnsi="Verdana"/>
          <w:sz w:val="20"/>
          <w:szCs w:val="20"/>
          <w:lang w:val="en-US"/>
        </w:rPr>
        <w:t xml:space="preserve"> </w:t>
      </w:r>
    </w:p>
    <w:p w14:paraId="7D7109CA" w14:textId="504C2B6B" w:rsidR="00E1161F" w:rsidRPr="002E0E3B" w:rsidRDefault="00666522" w:rsidP="00E1161F">
      <w:pPr>
        <w:pStyle w:val="ListParagraph"/>
        <w:numPr>
          <w:ilvl w:val="0"/>
          <w:numId w:val="3"/>
        </w:numPr>
        <w:jc w:val="both"/>
        <w:rPr>
          <w:rFonts w:ascii="Verdana" w:hAnsi="Verdana"/>
          <w:sz w:val="20"/>
          <w:szCs w:val="20"/>
        </w:rPr>
      </w:pPr>
      <w:r w:rsidRPr="002E0E3B">
        <w:rPr>
          <w:rFonts w:ascii="Verdana" w:hAnsi="Verdana" w:cs="Arial"/>
          <w:sz w:val="20"/>
          <w:szCs w:val="20"/>
          <w:lang w:val="en-US"/>
        </w:rPr>
        <w:t>Reports of human rights abuses against LBT women are commonplace in the Philippines. For instance,</w:t>
      </w:r>
      <w:r w:rsidR="00A77720" w:rsidRPr="002E0E3B">
        <w:rPr>
          <w:rFonts w:ascii="Verdana" w:hAnsi="Verdana" w:cs="Arial"/>
          <w:sz w:val="20"/>
          <w:szCs w:val="20"/>
          <w:lang w:val="en-US"/>
        </w:rPr>
        <w:t xml:space="preserve"> </w:t>
      </w:r>
      <w:r w:rsidR="00544DE7" w:rsidRPr="002E0E3B">
        <w:rPr>
          <w:rFonts w:ascii="Verdana" w:hAnsi="Verdana" w:cs="Arial"/>
          <w:sz w:val="20"/>
          <w:szCs w:val="20"/>
          <w:lang w:val="en-US"/>
        </w:rPr>
        <w:t xml:space="preserve">it was reported that </w:t>
      </w:r>
      <w:r w:rsidR="00A77720" w:rsidRPr="002E0E3B">
        <w:rPr>
          <w:rFonts w:ascii="Verdana" w:hAnsi="Verdana" w:cs="Arial"/>
          <w:color w:val="1F2123"/>
          <w:sz w:val="20"/>
          <w:szCs w:val="20"/>
          <w:shd w:val="clear" w:color="auto" w:fill="FFFFFF"/>
          <w:lang w:val="en-US"/>
        </w:rPr>
        <w:t xml:space="preserve">at least 50 transgender or gender nonbinary individuals </w:t>
      </w:r>
      <w:r w:rsidR="00544DE7" w:rsidRPr="002E0E3B">
        <w:rPr>
          <w:rFonts w:ascii="Verdana" w:hAnsi="Verdana" w:cs="Arial"/>
          <w:color w:val="1F2123"/>
          <w:sz w:val="20"/>
          <w:szCs w:val="20"/>
          <w:shd w:val="clear" w:color="auto" w:fill="FFFFFF"/>
          <w:lang w:val="en-US"/>
        </w:rPr>
        <w:t xml:space="preserve">have been killed </w:t>
      </w:r>
      <w:r w:rsidR="00A77720" w:rsidRPr="002E0E3B">
        <w:rPr>
          <w:rFonts w:ascii="Verdana" w:hAnsi="Verdana" w:cs="Arial"/>
          <w:color w:val="1F2123"/>
          <w:sz w:val="20"/>
          <w:szCs w:val="20"/>
          <w:shd w:val="clear" w:color="auto" w:fill="FFFFFF"/>
          <w:lang w:val="en-US"/>
        </w:rPr>
        <w:t>between 2010 and 2021.</w:t>
      </w:r>
      <w:r w:rsidR="00A77720" w:rsidRPr="002E0E3B">
        <w:rPr>
          <w:rStyle w:val="FootnoteReference"/>
          <w:rFonts w:ascii="Verdana" w:hAnsi="Verdana" w:cs="Arial"/>
          <w:color w:val="1F2123"/>
          <w:sz w:val="20"/>
          <w:szCs w:val="20"/>
          <w:shd w:val="clear" w:color="auto" w:fill="FFFFFF"/>
          <w:lang w:val="en-US"/>
        </w:rPr>
        <w:footnoteReference w:id="38"/>
      </w:r>
      <w:r w:rsidRPr="002E0E3B">
        <w:rPr>
          <w:rFonts w:ascii="Verdana" w:hAnsi="Verdana" w:cs="Arial"/>
          <w:color w:val="1F2123"/>
          <w:sz w:val="20"/>
          <w:szCs w:val="20"/>
          <w:shd w:val="clear" w:color="auto" w:fill="FFFFFF"/>
          <w:lang w:val="en-US"/>
        </w:rPr>
        <w:t xml:space="preserve"> </w:t>
      </w:r>
      <w:r w:rsidR="00AB7155" w:rsidRPr="002E0E3B">
        <w:rPr>
          <w:rFonts w:ascii="Verdana" w:hAnsi="Verdana"/>
          <w:sz w:val="20"/>
          <w:szCs w:val="20"/>
          <w:lang w:val="en-US"/>
        </w:rPr>
        <w:t>L</w:t>
      </w:r>
      <w:r w:rsidRPr="002E0E3B">
        <w:rPr>
          <w:rFonts w:ascii="Verdana" w:hAnsi="Verdana"/>
          <w:sz w:val="20"/>
          <w:szCs w:val="20"/>
          <w:lang w:val="en-US"/>
        </w:rPr>
        <w:t xml:space="preserve">BT women have also reported </w:t>
      </w:r>
      <w:r w:rsidR="00AB7155" w:rsidRPr="002E0E3B">
        <w:rPr>
          <w:rFonts w:ascii="Verdana" w:hAnsi="Verdana"/>
          <w:sz w:val="20"/>
          <w:szCs w:val="20"/>
          <w:lang w:val="en-US"/>
        </w:rPr>
        <w:t>experiencing online violence</w:t>
      </w:r>
      <w:r w:rsidRPr="002E0E3B">
        <w:rPr>
          <w:rFonts w:ascii="Verdana" w:hAnsi="Verdana"/>
          <w:sz w:val="20"/>
          <w:szCs w:val="20"/>
          <w:lang w:val="en-US"/>
        </w:rPr>
        <w:t xml:space="preserve"> and </w:t>
      </w:r>
      <w:r w:rsidR="00AB7155" w:rsidRPr="002E0E3B">
        <w:rPr>
          <w:rFonts w:ascii="Verdana" w:hAnsi="Verdana"/>
          <w:sz w:val="20"/>
          <w:szCs w:val="20"/>
          <w:lang w:val="en-US"/>
        </w:rPr>
        <w:t xml:space="preserve">abuse on the basis of their </w:t>
      </w:r>
      <w:r w:rsidR="0037703E" w:rsidRPr="002E0E3B">
        <w:rPr>
          <w:rFonts w:ascii="Verdana" w:hAnsi="Verdana"/>
          <w:sz w:val="20"/>
          <w:szCs w:val="20"/>
          <w:lang w:val="en-US"/>
        </w:rPr>
        <w:t>sexual orientation, gender identity and exp</w:t>
      </w:r>
      <w:r w:rsidR="00564F60" w:rsidRPr="002E0E3B">
        <w:rPr>
          <w:rFonts w:ascii="Verdana" w:hAnsi="Verdana"/>
          <w:sz w:val="20"/>
          <w:szCs w:val="20"/>
          <w:lang w:val="en-US"/>
        </w:rPr>
        <w:t>ression (</w:t>
      </w:r>
      <w:r w:rsidR="00AB7155" w:rsidRPr="002E0E3B">
        <w:rPr>
          <w:rFonts w:ascii="Verdana" w:hAnsi="Verdana"/>
          <w:sz w:val="20"/>
          <w:szCs w:val="20"/>
          <w:lang w:val="en-US"/>
        </w:rPr>
        <w:t>SOGIE</w:t>
      </w:r>
      <w:r w:rsidR="00564F60" w:rsidRPr="002E0E3B">
        <w:rPr>
          <w:rFonts w:ascii="Verdana" w:hAnsi="Verdana"/>
          <w:sz w:val="20"/>
          <w:szCs w:val="20"/>
          <w:lang w:val="en-US"/>
        </w:rPr>
        <w:t>)</w:t>
      </w:r>
      <w:r w:rsidR="00AB7155" w:rsidRPr="002E0E3B">
        <w:rPr>
          <w:rFonts w:ascii="Verdana" w:hAnsi="Verdana"/>
          <w:sz w:val="20"/>
          <w:szCs w:val="20"/>
          <w:lang w:val="en-US"/>
        </w:rPr>
        <w:t>, including through online harassment, outing</w:t>
      </w:r>
      <w:r w:rsidR="000A0889" w:rsidRPr="002E0E3B">
        <w:rPr>
          <w:rFonts w:ascii="Verdana" w:hAnsi="Verdana"/>
          <w:sz w:val="20"/>
          <w:szCs w:val="20"/>
          <w:lang w:val="en-US"/>
        </w:rPr>
        <w:t>,</w:t>
      </w:r>
      <w:r w:rsidR="00AB7155" w:rsidRPr="002E0E3B">
        <w:rPr>
          <w:rFonts w:ascii="Verdana" w:hAnsi="Verdana"/>
          <w:sz w:val="20"/>
          <w:szCs w:val="20"/>
          <w:lang w:val="en-US"/>
        </w:rPr>
        <w:t xml:space="preserve"> incitement to violence</w:t>
      </w:r>
      <w:r w:rsidR="000A0889" w:rsidRPr="002E0E3B">
        <w:rPr>
          <w:rFonts w:ascii="Verdana" w:hAnsi="Verdana"/>
          <w:sz w:val="20"/>
          <w:szCs w:val="20"/>
          <w:lang w:val="en-US"/>
        </w:rPr>
        <w:t>, doxing and rape threats</w:t>
      </w:r>
      <w:r w:rsidR="00AB7155" w:rsidRPr="002E0E3B">
        <w:rPr>
          <w:rFonts w:ascii="Verdana" w:hAnsi="Verdana"/>
          <w:sz w:val="20"/>
          <w:szCs w:val="20"/>
          <w:lang w:val="en-US"/>
        </w:rPr>
        <w:t>.</w:t>
      </w:r>
      <w:r w:rsidR="00AB7155" w:rsidRPr="002E0E3B">
        <w:rPr>
          <w:rStyle w:val="FootnoteReference"/>
          <w:rFonts w:ascii="Verdana" w:hAnsi="Verdana"/>
          <w:sz w:val="20"/>
          <w:szCs w:val="20"/>
          <w:lang w:val="en-US"/>
        </w:rPr>
        <w:footnoteReference w:id="39"/>
      </w:r>
      <w:r w:rsidR="00AB7155" w:rsidRPr="002E0E3B">
        <w:rPr>
          <w:rFonts w:ascii="Verdana" w:hAnsi="Verdana"/>
          <w:sz w:val="20"/>
          <w:szCs w:val="20"/>
          <w:lang w:val="en-US"/>
        </w:rPr>
        <w:t xml:space="preserve"> </w:t>
      </w:r>
    </w:p>
    <w:p w14:paraId="7491735B" w14:textId="77777777" w:rsidR="00E1161F" w:rsidRPr="002E0E3B" w:rsidRDefault="00E1161F" w:rsidP="00E1161F">
      <w:pPr>
        <w:pStyle w:val="ListParagraph"/>
        <w:rPr>
          <w:rFonts w:ascii="Verdana" w:hAnsi="Verdana"/>
          <w:sz w:val="20"/>
          <w:szCs w:val="20"/>
          <w:lang w:val="en-US"/>
        </w:rPr>
      </w:pPr>
    </w:p>
    <w:p w14:paraId="2CAFF13B" w14:textId="38847CFA" w:rsidR="00AB7155" w:rsidRPr="002E0E3B" w:rsidRDefault="00E1161F" w:rsidP="00BF0B5A">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LBT human rights defenders are particularly </w:t>
      </w:r>
      <w:r w:rsidR="000E7059" w:rsidRPr="002E0E3B">
        <w:rPr>
          <w:rFonts w:ascii="Verdana" w:hAnsi="Verdana"/>
          <w:sz w:val="20"/>
          <w:szCs w:val="20"/>
          <w:lang w:val="en-US"/>
        </w:rPr>
        <w:t>at risk of</w:t>
      </w:r>
      <w:r w:rsidR="00523515" w:rsidRPr="002E0E3B">
        <w:rPr>
          <w:rFonts w:ascii="Verdana" w:hAnsi="Verdana"/>
          <w:sz w:val="20"/>
          <w:szCs w:val="20"/>
          <w:lang w:val="en-US"/>
        </w:rPr>
        <w:t xml:space="preserve"> harassment and threats in relation to their work</w:t>
      </w:r>
      <w:r w:rsidR="00427A57" w:rsidRPr="002E0E3B">
        <w:rPr>
          <w:rFonts w:ascii="Verdana" w:hAnsi="Verdana"/>
          <w:sz w:val="20"/>
          <w:szCs w:val="20"/>
          <w:lang w:val="en-US"/>
        </w:rPr>
        <w:t xml:space="preserve">, with such abuse sometimes </w:t>
      </w:r>
      <w:r w:rsidR="00F80987" w:rsidRPr="002E0E3B">
        <w:rPr>
          <w:rFonts w:ascii="Verdana" w:hAnsi="Verdana"/>
          <w:sz w:val="20"/>
          <w:szCs w:val="20"/>
          <w:lang w:val="en-US"/>
        </w:rPr>
        <w:t xml:space="preserve">being perpetrated by </w:t>
      </w:r>
      <w:r w:rsidR="00427A57" w:rsidRPr="002E0E3B">
        <w:rPr>
          <w:rFonts w:ascii="Verdana" w:hAnsi="Verdana"/>
          <w:sz w:val="20"/>
          <w:szCs w:val="20"/>
          <w:lang w:val="en-US"/>
        </w:rPr>
        <w:t>State</w:t>
      </w:r>
      <w:r w:rsidR="00F80987" w:rsidRPr="002E0E3B">
        <w:rPr>
          <w:rFonts w:ascii="Verdana" w:hAnsi="Verdana"/>
          <w:sz w:val="20"/>
          <w:szCs w:val="20"/>
          <w:lang w:val="en-US"/>
        </w:rPr>
        <w:t>-affiliated actors</w:t>
      </w:r>
      <w:r w:rsidR="00427A57" w:rsidRPr="002E0E3B">
        <w:rPr>
          <w:rFonts w:ascii="Verdana" w:hAnsi="Verdana"/>
          <w:sz w:val="20"/>
          <w:szCs w:val="20"/>
          <w:lang w:val="en-US"/>
        </w:rPr>
        <w:t>. For instance, LBT human rights activists may have their work linked, without substantial proof, to “communism” and “terrorism”, in a deadly practice known as “red-tagging”.</w:t>
      </w:r>
      <w:r w:rsidR="00AB7155" w:rsidRPr="002E0E3B">
        <w:rPr>
          <w:rStyle w:val="FootnoteReference"/>
          <w:rFonts w:ascii="Verdana" w:hAnsi="Verdana"/>
          <w:sz w:val="20"/>
          <w:szCs w:val="20"/>
          <w:lang w:val="en-US"/>
        </w:rPr>
        <w:footnoteReference w:id="40"/>
      </w:r>
      <w:r w:rsidR="00AB7155" w:rsidRPr="002E0E3B">
        <w:rPr>
          <w:rFonts w:ascii="Verdana" w:hAnsi="Verdana"/>
          <w:sz w:val="20"/>
          <w:szCs w:val="20"/>
          <w:lang w:val="en-US"/>
        </w:rPr>
        <w:t xml:space="preserve"> </w:t>
      </w:r>
      <w:r w:rsidR="00C711F5" w:rsidRPr="002E0E3B">
        <w:rPr>
          <w:rFonts w:ascii="Verdana" w:hAnsi="Verdana"/>
          <w:sz w:val="20"/>
          <w:szCs w:val="20"/>
          <w:lang w:val="en-US"/>
        </w:rPr>
        <w:t xml:space="preserve">Examples of groups that have been targeted include the </w:t>
      </w:r>
      <w:r w:rsidR="00AB7155" w:rsidRPr="002E0E3B">
        <w:rPr>
          <w:rFonts w:ascii="Verdana" w:hAnsi="Verdana"/>
          <w:sz w:val="20"/>
          <w:szCs w:val="20"/>
          <w:lang w:val="en-US"/>
        </w:rPr>
        <w:t>Iloilo Pride Team,</w:t>
      </w:r>
      <w:r w:rsidR="00C711F5" w:rsidRPr="002E0E3B">
        <w:rPr>
          <w:rFonts w:ascii="Verdana" w:hAnsi="Verdana"/>
          <w:sz w:val="20"/>
          <w:szCs w:val="20"/>
          <w:lang w:val="en-US"/>
        </w:rPr>
        <w:t xml:space="preserve"> </w:t>
      </w:r>
      <w:proofErr w:type="spellStart"/>
      <w:r w:rsidR="00C711F5" w:rsidRPr="002E0E3B">
        <w:rPr>
          <w:rFonts w:ascii="Verdana" w:hAnsi="Verdana"/>
          <w:sz w:val="20"/>
          <w:szCs w:val="20"/>
          <w:lang w:val="en-US"/>
        </w:rPr>
        <w:t>Bahaghari</w:t>
      </w:r>
      <w:proofErr w:type="spellEnd"/>
      <w:r w:rsidR="00F80987" w:rsidRPr="002E0E3B">
        <w:rPr>
          <w:rFonts w:ascii="Verdana" w:hAnsi="Verdana"/>
          <w:sz w:val="20"/>
          <w:szCs w:val="20"/>
          <w:lang w:val="en-US"/>
        </w:rPr>
        <w:t xml:space="preserve"> and </w:t>
      </w:r>
      <w:proofErr w:type="spellStart"/>
      <w:r w:rsidR="00F80987" w:rsidRPr="002E0E3B">
        <w:rPr>
          <w:rFonts w:ascii="Verdana" w:hAnsi="Verdana"/>
          <w:sz w:val="20"/>
          <w:szCs w:val="20"/>
          <w:lang w:val="en-US"/>
        </w:rPr>
        <w:t>Mujer</w:t>
      </w:r>
      <w:proofErr w:type="spellEnd"/>
      <w:r w:rsidR="00F80987" w:rsidRPr="002E0E3B">
        <w:rPr>
          <w:rFonts w:ascii="Verdana" w:hAnsi="Verdana"/>
          <w:sz w:val="20"/>
          <w:szCs w:val="20"/>
          <w:lang w:val="en-US"/>
        </w:rPr>
        <w:t xml:space="preserve"> LGBTQ+</w:t>
      </w:r>
      <w:r w:rsidR="00072A2C" w:rsidRPr="002E0E3B">
        <w:rPr>
          <w:rFonts w:ascii="Verdana" w:hAnsi="Verdana"/>
          <w:sz w:val="20"/>
          <w:szCs w:val="20"/>
          <w:lang w:val="en-US"/>
        </w:rPr>
        <w:t>.</w:t>
      </w:r>
      <w:r w:rsidR="00AB7155" w:rsidRPr="002E0E3B">
        <w:rPr>
          <w:rStyle w:val="FootnoteReference"/>
          <w:rFonts w:ascii="Verdana" w:hAnsi="Verdana"/>
          <w:sz w:val="20"/>
          <w:szCs w:val="20"/>
          <w:lang w:val="en-US"/>
        </w:rPr>
        <w:footnoteReference w:id="41"/>
      </w:r>
      <w:r w:rsidR="00F80987" w:rsidRPr="002E0E3B">
        <w:rPr>
          <w:rFonts w:ascii="Verdana" w:hAnsi="Verdana"/>
          <w:sz w:val="20"/>
          <w:szCs w:val="20"/>
          <w:lang w:val="en-US"/>
        </w:rPr>
        <w:t xml:space="preserve"> </w:t>
      </w:r>
      <w:r w:rsidR="00BF0B5A" w:rsidRPr="002E0E3B">
        <w:rPr>
          <w:rFonts w:ascii="Verdana" w:hAnsi="Verdana"/>
          <w:sz w:val="20"/>
          <w:szCs w:val="20"/>
          <w:lang w:val="en-US"/>
        </w:rPr>
        <w:t xml:space="preserve">Such targeting of LBT human rights defenders and activists by State actors and their proxies </w:t>
      </w:r>
      <w:r w:rsidR="00F80987" w:rsidRPr="002E0E3B">
        <w:rPr>
          <w:rFonts w:ascii="Verdana" w:hAnsi="Verdana"/>
          <w:sz w:val="20"/>
          <w:szCs w:val="20"/>
          <w:lang w:val="en-US"/>
        </w:rPr>
        <w:t>amount to a violation of article 7(c) of CEDAW.</w:t>
      </w:r>
      <w:r w:rsidR="00F80987" w:rsidRPr="002E0E3B">
        <w:rPr>
          <w:rStyle w:val="FootnoteReference"/>
          <w:rFonts w:ascii="Verdana" w:hAnsi="Verdana"/>
          <w:sz w:val="20"/>
          <w:szCs w:val="20"/>
          <w:lang w:val="en-US"/>
        </w:rPr>
        <w:footnoteReference w:id="42"/>
      </w:r>
    </w:p>
    <w:p w14:paraId="742887C1" w14:textId="77777777" w:rsidR="00AB7155" w:rsidRPr="002E0E3B" w:rsidRDefault="00AB7155" w:rsidP="00AB7155">
      <w:pPr>
        <w:pStyle w:val="ListParagraph"/>
        <w:rPr>
          <w:rFonts w:ascii="Verdana" w:hAnsi="Verdana"/>
          <w:sz w:val="20"/>
          <w:szCs w:val="20"/>
        </w:rPr>
      </w:pPr>
    </w:p>
    <w:p w14:paraId="56D13C08" w14:textId="67DA9BE6" w:rsidR="00723C4B" w:rsidRPr="002E0E3B" w:rsidRDefault="00F80987" w:rsidP="008C5D51">
      <w:pPr>
        <w:pStyle w:val="ListParagraph"/>
        <w:numPr>
          <w:ilvl w:val="0"/>
          <w:numId w:val="3"/>
        </w:numPr>
        <w:jc w:val="both"/>
        <w:rPr>
          <w:rFonts w:ascii="Verdana" w:hAnsi="Verdana"/>
          <w:sz w:val="20"/>
          <w:szCs w:val="20"/>
        </w:rPr>
      </w:pPr>
      <w:r w:rsidRPr="002E0E3B">
        <w:rPr>
          <w:rFonts w:ascii="Verdana" w:hAnsi="Verdana" w:cs="Arial"/>
          <w:color w:val="1F2123"/>
          <w:sz w:val="20"/>
          <w:szCs w:val="20"/>
          <w:shd w:val="clear" w:color="auto" w:fill="FFFFFF"/>
          <w:lang w:val="en-US"/>
        </w:rPr>
        <w:t>LBT women face additional substantive and procedural barriers when trying to access justice and effective remedies for violations and abuses of their</w:t>
      </w:r>
      <w:r w:rsidR="00FA1C62" w:rsidRPr="002E0E3B">
        <w:rPr>
          <w:rFonts w:ascii="Verdana" w:hAnsi="Verdana" w:cs="Arial"/>
          <w:color w:val="1F2123"/>
          <w:sz w:val="20"/>
          <w:szCs w:val="20"/>
          <w:shd w:val="clear" w:color="auto" w:fill="FFFFFF"/>
          <w:lang w:val="en-US"/>
        </w:rPr>
        <w:t xml:space="preserve"> human</w:t>
      </w:r>
      <w:r w:rsidRPr="002E0E3B">
        <w:rPr>
          <w:rFonts w:ascii="Verdana" w:hAnsi="Verdana" w:cs="Arial"/>
          <w:color w:val="1F2123"/>
          <w:sz w:val="20"/>
          <w:szCs w:val="20"/>
          <w:shd w:val="clear" w:color="auto" w:fill="FFFFFF"/>
          <w:lang w:val="en-US"/>
        </w:rPr>
        <w:t xml:space="preserve"> rights. </w:t>
      </w:r>
      <w:r w:rsidR="008C5D51" w:rsidRPr="002E0E3B">
        <w:rPr>
          <w:rFonts w:ascii="Verdana" w:hAnsi="Verdana"/>
          <w:sz w:val="20"/>
          <w:szCs w:val="20"/>
          <w:lang w:val="en-US"/>
        </w:rPr>
        <w:t xml:space="preserve">Although there are laws that provide a patchwork of protection to LBT women, such as the Safe </w:t>
      </w:r>
      <w:r w:rsidR="008C5D51" w:rsidRPr="002E0E3B">
        <w:rPr>
          <w:rFonts w:ascii="Verdana" w:hAnsi="Verdana"/>
          <w:sz w:val="20"/>
          <w:szCs w:val="20"/>
          <w:lang w:val="en-US"/>
        </w:rPr>
        <w:lastRenderedPageBreak/>
        <w:t>Spaces Act</w:t>
      </w:r>
      <w:r w:rsidR="005178A0" w:rsidRPr="002E0E3B">
        <w:rPr>
          <w:rStyle w:val="FootnoteReference"/>
          <w:rFonts w:ascii="Verdana" w:hAnsi="Verdana"/>
          <w:sz w:val="20"/>
          <w:szCs w:val="20"/>
          <w:lang w:val="en-US"/>
        </w:rPr>
        <w:footnoteReference w:id="43"/>
      </w:r>
      <w:r w:rsidR="008C5D51" w:rsidRPr="002E0E3B">
        <w:rPr>
          <w:rFonts w:ascii="Verdana" w:hAnsi="Verdana"/>
          <w:sz w:val="20"/>
          <w:szCs w:val="20"/>
          <w:lang w:val="en-US"/>
        </w:rPr>
        <w:t xml:space="preserve"> and sub-national local ordinances prohibiting discrimination on the basis of SOGIE,</w:t>
      </w:r>
      <w:r w:rsidR="008C5D51" w:rsidRPr="002E0E3B">
        <w:rPr>
          <w:rStyle w:val="FootnoteReference"/>
          <w:rFonts w:ascii="Verdana" w:hAnsi="Verdana"/>
          <w:sz w:val="20"/>
          <w:szCs w:val="20"/>
          <w:lang w:val="en-US"/>
        </w:rPr>
        <w:footnoteReference w:id="44"/>
      </w:r>
      <w:r w:rsidR="008C5D51" w:rsidRPr="002E0E3B">
        <w:rPr>
          <w:rFonts w:ascii="Verdana" w:hAnsi="Verdana"/>
          <w:sz w:val="20"/>
          <w:szCs w:val="20"/>
          <w:lang w:val="en-US"/>
        </w:rPr>
        <w:t xml:space="preserve"> the Philippines still lacks a comprehensive legislative protective framework for LBT women. Notably, </w:t>
      </w:r>
      <w:r w:rsidR="008C5D51" w:rsidRPr="002E0E3B">
        <w:rPr>
          <w:rFonts w:ascii="Verdana" w:hAnsi="Verdana" w:cs="Arial"/>
          <w:color w:val="1F2123"/>
          <w:sz w:val="20"/>
          <w:szCs w:val="20"/>
          <w:shd w:val="clear" w:color="auto" w:fill="FFFFFF"/>
          <w:lang w:val="en-US"/>
        </w:rPr>
        <w:t>t</w:t>
      </w:r>
      <w:r w:rsidR="00723C4B" w:rsidRPr="002E0E3B">
        <w:rPr>
          <w:rFonts w:ascii="Verdana" w:hAnsi="Verdana"/>
          <w:sz w:val="20"/>
          <w:szCs w:val="20"/>
          <w:lang w:val="en-US"/>
        </w:rPr>
        <w:t>here is no legal gender recognition for transgender women and gender diverse persons in the Philippines</w:t>
      </w:r>
      <w:r w:rsidR="008C5D51" w:rsidRPr="002E0E3B">
        <w:rPr>
          <w:rFonts w:ascii="Verdana" w:hAnsi="Verdana"/>
          <w:sz w:val="20"/>
          <w:szCs w:val="20"/>
          <w:lang w:val="en-US"/>
        </w:rPr>
        <w:t>,</w:t>
      </w:r>
      <w:r w:rsidR="00723C4B" w:rsidRPr="002E0E3B">
        <w:rPr>
          <w:rStyle w:val="FootnoteReference"/>
          <w:rFonts w:ascii="Verdana" w:hAnsi="Verdana"/>
          <w:sz w:val="20"/>
          <w:szCs w:val="20"/>
          <w:lang w:val="en-US"/>
        </w:rPr>
        <w:footnoteReference w:id="45"/>
      </w:r>
      <w:r w:rsidR="00723C4B" w:rsidRPr="002E0E3B">
        <w:rPr>
          <w:rFonts w:ascii="Verdana" w:hAnsi="Verdana"/>
          <w:sz w:val="20"/>
          <w:szCs w:val="20"/>
          <w:lang w:val="en-US"/>
        </w:rPr>
        <w:t xml:space="preserve"> </w:t>
      </w:r>
      <w:r w:rsidR="008C5D51" w:rsidRPr="002E0E3B">
        <w:rPr>
          <w:rFonts w:ascii="Verdana" w:hAnsi="Verdana"/>
          <w:sz w:val="20"/>
          <w:szCs w:val="20"/>
          <w:lang w:val="en-US"/>
        </w:rPr>
        <w:t>and t</w:t>
      </w:r>
      <w:r w:rsidR="00723C4B" w:rsidRPr="002E0E3B">
        <w:rPr>
          <w:rFonts w:ascii="Verdana" w:hAnsi="Verdana"/>
          <w:sz w:val="20"/>
          <w:szCs w:val="20"/>
          <w:lang w:val="en-US"/>
        </w:rPr>
        <w:t xml:space="preserve">he SOGIE Equality Bill, which </w:t>
      </w:r>
      <w:r w:rsidR="00FA1C62" w:rsidRPr="002E0E3B">
        <w:rPr>
          <w:rFonts w:ascii="Verdana" w:hAnsi="Verdana"/>
          <w:sz w:val="20"/>
          <w:szCs w:val="20"/>
          <w:lang w:val="en-US"/>
        </w:rPr>
        <w:t xml:space="preserve">if enacted would </w:t>
      </w:r>
      <w:r w:rsidR="00723C4B" w:rsidRPr="002E0E3B">
        <w:rPr>
          <w:rFonts w:ascii="Verdana" w:hAnsi="Verdana"/>
          <w:sz w:val="20"/>
          <w:szCs w:val="20"/>
          <w:lang w:val="en-US"/>
        </w:rPr>
        <w:t xml:space="preserve">seek to address discrimination and violence on the basis of SOGIE, has been stalled in Congress since </w:t>
      </w:r>
      <w:r w:rsidR="00FA1C62" w:rsidRPr="002E0E3B">
        <w:rPr>
          <w:rFonts w:ascii="Verdana" w:hAnsi="Verdana"/>
          <w:sz w:val="20"/>
          <w:szCs w:val="20"/>
          <w:lang w:val="en-US"/>
        </w:rPr>
        <w:t>its</w:t>
      </w:r>
      <w:r w:rsidR="00723C4B" w:rsidRPr="002E0E3B">
        <w:rPr>
          <w:rFonts w:ascii="Verdana" w:hAnsi="Verdana"/>
          <w:sz w:val="20"/>
          <w:szCs w:val="20"/>
          <w:lang w:val="en-US"/>
        </w:rPr>
        <w:t xml:space="preserve"> introduc</w:t>
      </w:r>
      <w:r w:rsidR="00FA1C62" w:rsidRPr="002E0E3B">
        <w:rPr>
          <w:rFonts w:ascii="Verdana" w:hAnsi="Verdana"/>
          <w:sz w:val="20"/>
          <w:szCs w:val="20"/>
          <w:lang w:val="en-US"/>
        </w:rPr>
        <w:t xml:space="preserve">tion </w:t>
      </w:r>
      <w:r w:rsidR="00723C4B" w:rsidRPr="002E0E3B">
        <w:rPr>
          <w:rFonts w:ascii="Verdana" w:hAnsi="Verdana"/>
          <w:sz w:val="20"/>
          <w:szCs w:val="20"/>
          <w:lang w:val="en-US"/>
        </w:rPr>
        <w:t>in 2000.</w:t>
      </w:r>
      <w:r w:rsidR="00723C4B" w:rsidRPr="002E0E3B">
        <w:rPr>
          <w:rStyle w:val="FootnoteReference"/>
          <w:rFonts w:ascii="Verdana" w:hAnsi="Verdana"/>
          <w:sz w:val="20"/>
          <w:szCs w:val="20"/>
          <w:lang w:val="en-US"/>
        </w:rPr>
        <w:footnoteReference w:id="46"/>
      </w:r>
      <w:r w:rsidR="00723C4B" w:rsidRPr="002E0E3B">
        <w:rPr>
          <w:rFonts w:ascii="Verdana" w:hAnsi="Verdana"/>
          <w:sz w:val="20"/>
          <w:szCs w:val="20"/>
          <w:lang w:val="en-US"/>
        </w:rPr>
        <w:t xml:space="preserve"> </w:t>
      </w:r>
    </w:p>
    <w:p w14:paraId="33F8EF4D" w14:textId="77777777" w:rsidR="00723C4B" w:rsidRPr="002E0E3B" w:rsidRDefault="00723C4B" w:rsidP="008C5D51">
      <w:pPr>
        <w:rPr>
          <w:rFonts w:ascii="Verdana" w:hAnsi="Verdana" w:cs="Arial"/>
          <w:color w:val="1F2123"/>
          <w:sz w:val="20"/>
          <w:szCs w:val="20"/>
          <w:shd w:val="clear" w:color="auto" w:fill="FFFFFF"/>
        </w:rPr>
      </w:pPr>
    </w:p>
    <w:p w14:paraId="5577E8BD" w14:textId="6DB97421" w:rsidR="00AB7155" w:rsidRPr="002E0E3B" w:rsidRDefault="008C5D51" w:rsidP="00956E6F">
      <w:pPr>
        <w:pStyle w:val="ListParagraph"/>
        <w:numPr>
          <w:ilvl w:val="0"/>
          <w:numId w:val="3"/>
        </w:numPr>
        <w:jc w:val="both"/>
        <w:rPr>
          <w:rFonts w:ascii="Verdana" w:hAnsi="Verdana" w:cs="Arial"/>
          <w:color w:val="1F2123"/>
          <w:sz w:val="20"/>
          <w:szCs w:val="20"/>
          <w:shd w:val="clear" w:color="auto" w:fill="FFFFFF"/>
          <w:lang w:val="en-US"/>
        </w:rPr>
      </w:pPr>
      <w:r w:rsidRPr="002E0E3B">
        <w:rPr>
          <w:rFonts w:ascii="Verdana" w:hAnsi="Verdana" w:cs="Arial"/>
          <w:color w:val="1F2123"/>
          <w:sz w:val="20"/>
          <w:szCs w:val="20"/>
          <w:shd w:val="clear" w:color="auto" w:fill="FFFFFF"/>
          <w:lang w:val="en-US"/>
        </w:rPr>
        <w:t xml:space="preserve">Furthermore, the existing legal protections for LBT women are not effectively implemented by justice sector actors. </w:t>
      </w:r>
      <w:r w:rsidR="000D4869" w:rsidRPr="002E0E3B">
        <w:rPr>
          <w:rFonts w:ascii="Verdana" w:hAnsi="Verdana" w:cs="Arial"/>
          <w:color w:val="1F2123"/>
          <w:sz w:val="20"/>
          <w:szCs w:val="20"/>
          <w:shd w:val="clear" w:color="auto" w:fill="FFFFFF"/>
          <w:lang w:val="en-US"/>
        </w:rPr>
        <w:t xml:space="preserve">The ICJ is not aware of any case of </w:t>
      </w:r>
      <w:r w:rsidRPr="002E0E3B">
        <w:rPr>
          <w:rFonts w:ascii="Verdana" w:hAnsi="Verdana"/>
          <w:sz w:val="20"/>
          <w:szCs w:val="20"/>
          <w:lang w:val="en-US"/>
        </w:rPr>
        <w:t xml:space="preserve">online queerphobic harassment being prosecuted under the Safe Spaces Act, </w:t>
      </w:r>
      <w:r w:rsidR="000D4869" w:rsidRPr="002E0E3B">
        <w:rPr>
          <w:rFonts w:ascii="Verdana" w:hAnsi="Verdana"/>
          <w:sz w:val="20"/>
          <w:szCs w:val="20"/>
          <w:lang w:val="en-US"/>
        </w:rPr>
        <w:t xml:space="preserve">which </w:t>
      </w:r>
      <w:r w:rsidR="00FA1C62" w:rsidRPr="002E0E3B">
        <w:rPr>
          <w:rFonts w:ascii="Verdana" w:hAnsi="Verdana"/>
          <w:sz w:val="20"/>
          <w:szCs w:val="20"/>
          <w:lang w:val="en-US"/>
        </w:rPr>
        <w:t xml:space="preserve">may in part </w:t>
      </w:r>
      <w:r w:rsidR="000D4869" w:rsidRPr="002E0E3B">
        <w:rPr>
          <w:rFonts w:ascii="Verdana" w:hAnsi="Verdana"/>
          <w:sz w:val="20"/>
          <w:szCs w:val="20"/>
          <w:lang w:val="en-US"/>
        </w:rPr>
        <w:t xml:space="preserve">be attributed to </w:t>
      </w:r>
      <w:r w:rsidRPr="002E0E3B">
        <w:rPr>
          <w:rFonts w:ascii="Verdana" w:hAnsi="Verdana"/>
          <w:sz w:val="20"/>
          <w:szCs w:val="20"/>
          <w:lang w:val="en-US"/>
        </w:rPr>
        <w:t xml:space="preserve">a lack of knowledge </w:t>
      </w:r>
      <w:r w:rsidR="00FA1C62" w:rsidRPr="002E0E3B">
        <w:rPr>
          <w:rFonts w:ascii="Verdana" w:hAnsi="Verdana"/>
          <w:sz w:val="20"/>
          <w:szCs w:val="20"/>
          <w:lang w:val="en-US"/>
        </w:rPr>
        <w:t xml:space="preserve">among </w:t>
      </w:r>
      <w:r w:rsidRPr="002E0E3B">
        <w:rPr>
          <w:rFonts w:ascii="Verdana" w:hAnsi="Verdana"/>
          <w:sz w:val="20"/>
          <w:szCs w:val="20"/>
          <w:lang w:val="en-US"/>
        </w:rPr>
        <w:t>victims and law enforcement officers of the law; evidentiary challenges when the abuse is perpetrated by anonymous accounts; and biases by law enforcement agencies against LGBT people.</w:t>
      </w:r>
      <w:r w:rsidRPr="002E0E3B">
        <w:rPr>
          <w:rStyle w:val="FootnoteReference"/>
          <w:rFonts w:ascii="Verdana" w:hAnsi="Verdana"/>
          <w:sz w:val="20"/>
          <w:szCs w:val="20"/>
          <w:lang w:val="en-US"/>
        </w:rPr>
        <w:footnoteReference w:id="47"/>
      </w:r>
      <w:r w:rsidRPr="002E0E3B">
        <w:rPr>
          <w:rFonts w:ascii="Verdana" w:hAnsi="Verdana"/>
          <w:sz w:val="20"/>
          <w:szCs w:val="20"/>
          <w:lang w:val="en-US"/>
        </w:rPr>
        <w:t xml:space="preserve"> This </w:t>
      </w:r>
      <w:r w:rsidR="00956E6F" w:rsidRPr="002E0E3B">
        <w:rPr>
          <w:rFonts w:ascii="Verdana" w:hAnsi="Verdana"/>
          <w:sz w:val="20"/>
          <w:szCs w:val="20"/>
          <w:lang w:val="en-US"/>
        </w:rPr>
        <w:t xml:space="preserve">is likely to be exacerbated by </w:t>
      </w:r>
      <w:r w:rsidR="00AB7155" w:rsidRPr="002E0E3B">
        <w:rPr>
          <w:rFonts w:ascii="Verdana" w:hAnsi="Verdana" w:cs="Arial"/>
          <w:color w:val="1F2123"/>
          <w:sz w:val="20"/>
          <w:szCs w:val="20"/>
          <w:shd w:val="clear" w:color="auto" w:fill="FFFFFF"/>
          <w:lang w:val="en-US"/>
        </w:rPr>
        <w:t xml:space="preserve">reports </w:t>
      </w:r>
      <w:r w:rsidR="00F404D5" w:rsidRPr="002E0E3B">
        <w:rPr>
          <w:rFonts w:ascii="Verdana" w:hAnsi="Verdana" w:cs="Arial"/>
          <w:color w:val="1F2123"/>
          <w:sz w:val="20"/>
          <w:szCs w:val="20"/>
          <w:shd w:val="clear" w:color="auto" w:fill="FFFFFF"/>
          <w:lang w:val="en-US"/>
        </w:rPr>
        <w:t>of</w:t>
      </w:r>
      <w:r w:rsidR="00AB7155" w:rsidRPr="002E0E3B">
        <w:rPr>
          <w:rFonts w:ascii="Verdana" w:hAnsi="Verdana" w:cs="Arial"/>
          <w:color w:val="1F2123"/>
          <w:sz w:val="20"/>
          <w:szCs w:val="20"/>
          <w:shd w:val="clear" w:color="auto" w:fill="FFFFFF"/>
          <w:lang w:val="en-US"/>
        </w:rPr>
        <w:t xml:space="preserve"> the police </w:t>
      </w:r>
      <w:r w:rsidR="00F404D5" w:rsidRPr="002E0E3B">
        <w:rPr>
          <w:rFonts w:ascii="Verdana" w:hAnsi="Verdana" w:cs="Arial"/>
          <w:color w:val="1F2123"/>
          <w:sz w:val="20"/>
          <w:szCs w:val="20"/>
          <w:shd w:val="clear" w:color="auto" w:fill="FFFFFF"/>
          <w:lang w:val="en-US"/>
        </w:rPr>
        <w:t>perpetrating</w:t>
      </w:r>
      <w:r w:rsidR="00AB7155" w:rsidRPr="002E0E3B">
        <w:rPr>
          <w:rFonts w:ascii="Verdana" w:hAnsi="Verdana" w:cs="Arial"/>
          <w:color w:val="1F2123"/>
          <w:sz w:val="20"/>
          <w:szCs w:val="20"/>
          <w:shd w:val="clear" w:color="auto" w:fill="FFFFFF"/>
          <w:lang w:val="en-US"/>
        </w:rPr>
        <w:t xml:space="preserve"> human rights violations against LGBT people, </w:t>
      </w:r>
      <w:r w:rsidR="00544DE7" w:rsidRPr="002E0E3B">
        <w:rPr>
          <w:rFonts w:ascii="Verdana" w:hAnsi="Verdana" w:cs="Arial"/>
          <w:color w:val="1F2123"/>
          <w:sz w:val="20"/>
          <w:szCs w:val="20"/>
          <w:shd w:val="clear" w:color="auto" w:fill="FFFFFF"/>
          <w:lang w:val="en-US"/>
        </w:rPr>
        <w:t xml:space="preserve">contributing to a trust deficit in </w:t>
      </w:r>
      <w:r w:rsidR="00F404D5" w:rsidRPr="002E0E3B">
        <w:rPr>
          <w:rFonts w:ascii="Verdana" w:hAnsi="Verdana" w:cs="Arial"/>
          <w:color w:val="1F2123"/>
          <w:sz w:val="20"/>
          <w:szCs w:val="20"/>
          <w:shd w:val="clear" w:color="auto" w:fill="FFFFFF"/>
          <w:lang w:val="en-US"/>
        </w:rPr>
        <w:t>them</w:t>
      </w:r>
      <w:r w:rsidR="00544DE7" w:rsidRPr="002E0E3B">
        <w:rPr>
          <w:rFonts w:ascii="Verdana" w:hAnsi="Verdana" w:cs="Arial"/>
          <w:color w:val="1F2123"/>
          <w:sz w:val="20"/>
          <w:szCs w:val="20"/>
          <w:shd w:val="clear" w:color="auto" w:fill="FFFFFF"/>
          <w:lang w:val="en-US"/>
        </w:rPr>
        <w:t xml:space="preserve">, </w:t>
      </w:r>
      <w:r w:rsidR="00AB7155" w:rsidRPr="002E0E3B">
        <w:rPr>
          <w:rFonts w:ascii="Verdana" w:hAnsi="Verdana" w:cs="Arial"/>
          <w:color w:val="1F2123"/>
          <w:sz w:val="20"/>
          <w:szCs w:val="20"/>
          <w:shd w:val="clear" w:color="auto" w:fill="FFFFFF"/>
          <w:lang w:val="en-US"/>
        </w:rPr>
        <w:t xml:space="preserve">including through </w:t>
      </w:r>
      <w:r w:rsidR="00B2407A" w:rsidRPr="002E0E3B">
        <w:rPr>
          <w:rFonts w:ascii="Verdana" w:hAnsi="Verdana" w:cs="Arial"/>
          <w:color w:val="1F2123"/>
          <w:sz w:val="20"/>
          <w:szCs w:val="20"/>
          <w:shd w:val="clear" w:color="auto" w:fill="FFFFFF"/>
          <w:lang w:val="en-US"/>
        </w:rPr>
        <w:t xml:space="preserve">subjecting LGBT people to </w:t>
      </w:r>
      <w:r w:rsidR="00AB7155" w:rsidRPr="002E0E3B">
        <w:rPr>
          <w:rFonts w:ascii="Verdana" w:hAnsi="Verdana" w:cs="Arial"/>
          <w:color w:val="1F2123"/>
          <w:sz w:val="20"/>
          <w:szCs w:val="20"/>
          <w:shd w:val="clear" w:color="auto" w:fill="FFFFFF"/>
          <w:lang w:val="en-US"/>
        </w:rPr>
        <w:t>heavy-handed</w:t>
      </w:r>
      <w:r w:rsidR="00B2407A" w:rsidRPr="002E0E3B">
        <w:rPr>
          <w:rFonts w:ascii="Verdana" w:hAnsi="Verdana" w:cs="Arial"/>
          <w:color w:val="1F2123"/>
          <w:sz w:val="20"/>
          <w:szCs w:val="20"/>
          <w:shd w:val="clear" w:color="auto" w:fill="FFFFFF"/>
          <w:lang w:val="en-US"/>
        </w:rPr>
        <w:t>,</w:t>
      </w:r>
      <w:r w:rsidR="00AB7155" w:rsidRPr="002E0E3B">
        <w:rPr>
          <w:rFonts w:ascii="Verdana" w:hAnsi="Verdana" w:cs="Arial"/>
          <w:color w:val="1F2123"/>
          <w:sz w:val="20"/>
          <w:szCs w:val="20"/>
          <w:shd w:val="clear" w:color="auto" w:fill="FFFFFF"/>
          <w:lang w:val="en-US"/>
        </w:rPr>
        <w:t xml:space="preserve"> degrading and humiliating </w:t>
      </w:r>
      <w:r w:rsidR="00B2407A" w:rsidRPr="002E0E3B">
        <w:rPr>
          <w:rFonts w:ascii="Verdana" w:hAnsi="Verdana" w:cs="Arial"/>
          <w:color w:val="1F2123"/>
          <w:sz w:val="20"/>
          <w:szCs w:val="20"/>
          <w:shd w:val="clear" w:color="auto" w:fill="FFFFFF"/>
          <w:lang w:val="en-US"/>
        </w:rPr>
        <w:t>treatment</w:t>
      </w:r>
      <w:r w:rsidR="00AB7155" w:rsidRPr="002E0E3B">
        <w:rPr>
          <w:rFonts w:ascii="Verdana" w:hAnsi="Verdana" w:cs="Arial"/>
          <w:color w:val="1F2123"/>
          <w:sz w:val="20"/>
          <w:szCs w:val="20"/>
          <w:shd w:val="clear" w:color="auto" w:fill="FFFFFF"/>
          <w:lang w:val="en-US"/>
        </w:rPr>
        <w:t>.</w:t>
      </w:r>
      <w:r w:rsidR="00AB7155" w:rsidRPr="002E0E3B">
        <w:rPr>
          <w:rStyle w:val="FootnoteReference"/>
          <w:rFonts w:ascii="Verdana" w:hAnsi="Verdana" w:cs="Arial"/>
          <w:color w:val="1F2123"/>
          <w:sz w:val="20"/>
          <w:szCs w:val="20"/>
          <w:shd w:val="clear" w:color="auto" w:fill="FFFFFF"/>
          <w:lang w:val="en-US"/>
        </w:rPr>
        <w:footnoteReference w:id="48"/>
      </w:r>
    </w:p>
    <w:p w14:paraId="09240B98" w14:textId="7829C108" w:rsidR="002E0E3B" w:rsidRDefault="002E0E3B">
      <w:pPr>
        <w:rPr>
          <w:rFonts w:ascii="Verdana" w:hAnsi="Verdana"/>
          <w:b/>
          <w:sz w:val="20"/>
          <w:szCs w:val="20"/>
          <w:lang w:val="en-US"/>
        </w:rPr>
      </w:pPr>
    </w:p>
    <w:p w14:paraId="0BD871FF" w14:textId="29003CAA" w:rsidR="004D5CDD" w:rsidRPr="002E0E3B" w:rsidRDefault="004117E2" w:rsidP="004D5CDD">
      <w:pPr>
        <w:pStyle w:val="ListParagraph"/>
        <w:numPr>
          <w:ilvl w:val="0"/>
          <w:numId w:val="1"/>
        </w:numPr>
        <w:rPr>
          <w:rFonts w:ascii="Verdana" w:hAnsi="Verdana"/>
          <w:b/>
          <w:sz w:val="20"/>
          <w:szCs w:val="20"/>
          <w:lang w:val="en-US"/>
        </w:rPr>
      </w:pPr>
      <w:r w:rsidRPr="002E0E3B">
        <w:rPr>
          <w:rFonts w:ascii="Verdana" w:hAnsi="Verdana"/>
          <w:b/>
          <w:sz w:val="20"/>
          <w:szCs w:val="20"/>
          <w:lang w:val="en-US"/>
        </w:rPr>
        <w:t>Recommendations</w:t>
      </w:r>
    </w:p>
    <w:p w14:paraId="42624F83" w14:textId="77777777" w:rsidR="006C1585" w:rsidRPr="002E0E3B" w:rsidRDefault="006C1585" w:rsidP="006C1585">
      <w:pPr>
        <w:pStyle w:val="ListParagraph"/>
        <w:rPr>
          <w:rFonts w:ascii="Verdana" w:hAnsi="Verdana"/>
          <w:b/>
          <w:sz w:val="20"/>
          <w:szCs w:val="20"/>
          <w:lang w:val="en-US"/>
        </w:rPr>
      </w:pPr>
    </w:p>
    <w:p w14:paraId="745542F5" w14:textId="5DF11FAA" w:rsidR="006C1585" w:rsidRPr="002E0E3B" w:rsidRDefault="006C1585" w:rsidP="00A831D4">
      <w:pPr>
        <w:pStyle w:val="ListParagraph"/>
        <w:numPr>
          <w:ilvl w:val="0"/>
          <w:numId w:val="3"/>
        </w:numPr>
        <w:jc w:val="both"/>
        <w:rPr>
          <w:rFonts w:ascii="Verdana" w:hAnsi="Verdana"/>
          <w:sz w:val="20"/>
          <w:szCs w:val="20"/>
          <w:lang w:val="en-US"/>
        </w:rPr>
      </w:pPr>
      <w:r w:rsidRPr="002E0E3B">
        <w:rPr>
          <w:rFonts w:ascii="Verdana" w:hAnsi="Verdana"/>
          <w:sz w:val="20"/>
          <w:szCs w:val="20"/>
          <w:lang w:val="en-US"/>
        </w:rPr>
        <w:t xml:space="preserve">In light of the above concerns, the ICJ </w:t>
      </w:r>
      <w:r w:rsidR="00813D44" w:rsidRPr="002E0E3B">
        <w:rPr>
          <w:rFonts w:ascii="Verdana" w:hAnsi="Verdana"/>
          <w:sz w:val="20"/>
          <w:szCs w:val="20"/>
          <w:lang w:val="en-US"/>
        </w:rPr>
        <w:t xml:space="preserve">calls on the CEDAW </w:t>
      </w:r>
      <w:r w:rsidR="00E20D6D" w:rsidRPr="002E0E3B">
        <w:rPr>
          <w:rFonts w:ascii="Verdana" w:hAnsi="Verdana"/>
          <w:sz w:val="20"/>
          <w:szCs w:val="20"/>
          <w:lang w:val="en-US"/>
        </w:rPr>
        <w:t xml:space="preserve">Committee to make the follow recommendations to the </w:t>
      </w:r>
      <w:r w:rsidR="00813D44" w:rsidRPr="002E0E3B">
        <w:rPr>
          <w:rFonts w:ascii="Verdana" w:hAnsi="Verdana"/>
          <w:sz w:val="20"/>
          <w:szCs w:val="20"/>
          <w:lang w:val="en-US"/>
        </w:rPr>
        <w:t xml:space="preserve">authorities of the </w:t>
      </w:r>
      <w:r w:rsidR="002F674D" w:rsidRPr="002E0E3B">
        <w:rPr>
          <w:rFonts w:ascii="Verdana" w:hAnsi="Verdana"/>
          <w:sz w:val="20"/>
          <w:szCs w:val="20"/>
          <w:lang w:val="en-US"/>
        </w:rPr>
        <w:t>Philippines</w:t>
      </w:r>
      <w:r w:rsidRPr="002E0E3B">
        <w:rPr>
          <w:rFonts w:ascii="Verdana" w:hAnsi="Verdana"/>
          <w:sz w:val="20"/>
          <w:szCs w:val="20"/>
          <w:lang w:val="en-US"/>
        </w:rPr>
        <w:t xml:space="preserve">: </w:t>
      </w:r>
    </w:p>
    <w:p w14:paraId="6F64B697" w14:textId="77777777" w:rsidR="006C1585" w:rsidRPr="002E0E3B" w:rsidRDefault="006C1585" w:rsidP="00A831D4">
      <w:pPr>
        <w:pStyle w:val="ListParagraph"/>
        <w:ind w:left="360"/>
        <w:jc w:val="both"/>
        <w:rPr>
          <w:rFonts w:ascii="Verdana" w:hAnsi="Verdana"/>
          <w:b/>
          <w:sz w:val="20"/>
          <w:szCs w:val="20"/>
          <w:highlight w:val="yellow"/>
          <w:lang w:val="en-US"/>
        </w:rPr>
      </w:pPr>
    </w:p>
    <w:p w14:paraId="2BE27DC8" w14:textId="03D1BEAB" w:rsidR="00C91581" w:rsidRPr="002E0E3B" w:rsidRDefault="00C91581" w:rsidP="00A831D4">
      <w:pPr>
        <w:pStyle w:val="ListParagraph"/>
        <w:numPr>
          <w:ilvl w:val="1"/>
          <w:numId w:val="1"/>
        </w:numPr>
        <w:jc w:val="both"/>
        <w:rPr>
          <w:rFonts w:ascii="Verdana" w:hAnsi="Verdana"/>
          <w:sz w:val="20"/>
          <w:szCs w:val="20"/>
          <w:u w:val="single"/>
          <w:lang w:val="en-US"/>
        </w:rPr>
      </w:pPr>
      <w:r w:rsidRPr="002E0E3B">
        <w:rPr>
          <w:rFonts w:ascii="Verdana" w:hAnsi="Verdana"/>
          <w:sz w:val="20"/>
          <w:szCs w:val="20"/>
          <w:u w:val="single"/>
          <w:lang w:val="en-US"/>
        </w:rPr>
        <w:t xml:space="preserve">In relation to </w:t>
      </w:r>
      <w:r w:rsidR="002F674D" w:rsidRPr="002E0E3B">
        <w:rPr>
          <w:rFonts w:ascii="Verdana" w:hAnsi="Verdana"/>
          <w:sz w:val="20"/>
          <w:szCs w:val="20"/>
          <w:u w:val="single"/>
          <w:lang w:val="en-US"/>
        </w:rPr>
        <w:t>discriminatory penal laws</w:t>
      </w:r>
      <w:r w:rsidRPr="002E0E3B">
        <w:rPr>
          <w:rFonts w:ascii="Verdana" w:hAnsi="Verdana"/>
          <w:sz w:val="20"/>
          <w:szCs w:val="20"/>
          <w:u w:val="single"/>
          <w:lang w:val="en-US"/>
        </w:rPr>
        <w:t>:</w:t>
      </w:r>
    </w:p>
    <w:p w14:paraId="46AB0B93" w14:textId="77777777" w:rsidR="007F2127" w:rsidRPr="002E0E3B" w:rsidRDefault="007F2127" w:rsidP="004A03BA">
      <w:pPr>
        <w:jc w:val="both"/>
        <w:rPr>
          <w:rFonts w:ascii="Verdana" w:hAnsi="Verdana"/>
          <w:sz w:val="20"/>
          <w:szCs w:val="20"/>
          <w:lang w:val="en-US"/>
        </w:rPr>
      </w:pPr>
    </w:p>
    <w:p w14:paraId="6D275672" w14:textId="26F3CC46" w:rsidR="00D654A6" w:rsidRPr="002E0E3B" w:rsidRDefault="00D654A6">
      <w:pPr>
        <w:numPr>
          <w:ilvl w:val="0"/>
          <w:numId w:val="11"/>
        </w:numPr>
        <w:jc w:val="both"/>
        <w:rPr>
          <w:rFonts w:ascii="Verdana" w:hAnsi="Verdana"/>
          <w:sz w:val="20"/>
          <w:szCs w:val="20"/>
          <w:lang w:val="en-US"/>
        </w:rPr>
      </w:pPr>
      <w:r w:rsidRPr="002E0E3B">
        <w:rPr>
          <w:rFonts w:ascii="Verdana" w:hAnsi="Verdana"/>
          <w:bCs/>
          <w:sz w:val="20"/>
          <w:szCs w:val="20"/>
          <w:lang w:val="en-US"/>
        </w:rPr>
        <w:t xml:space="preserve">Repeal </w:t>
      </w:r>
      <w:r w:rsidR="007F2127" w:rsidRPr="002E0E3B">
        <w:rPr>
          <w:rFonts w:ascii="Verdana" w:hAnsi="Verdana"/>
          <w:bCs/>
          <w:sz w:val="20"/>
          <w:szCs w:val="20"/>
          <w:lang w:val="en-US"/>
        </w:rPr>
        <w:t>a</w:t>
      </w:r>
      <w:r w:rsidRPr="002E0E3B">
        <w:rPr>
          <w:rFonts w:ascii="Verdana" w:hAnsi="Verdana"/>
          <w:bCs/>
          <w:sz w:val="20"/>
          <w:szCs w:val="20"/>
          <w:lang w:val="en-US"/>
        </w:rPr>
        <w:t>rticles 333 and 334 of the RPC and, instead, treat “marital infidelity” as a breach of the marriage contract that should be addressed through civil remedies rather than criminal liability;</w:t>
      </w:r>
    </w:p>
    <w:p w14:paraId="71F072E4" w14:textId="77777777" w:rsidR="007F2127" w:rsidRPr="002E0E3B" w:rsidRDefault="007F2127" w:rsidP="007F2127">
      <w:pPr>
        <w:ind w:left="720"/>
        <w:jc w:val="both"/>
        <w:rPr>
          <w:rFonts w:ascii="Verdana" w:hAnsi="Verdana"/>
          <w:sz w:val="20"/>
          <w:szCs w:val="20"/>
          <w:lang w:val="en-US"/>
        </w:rPr>
      </w:pPr>
    </w:p>
    <w:p w14:paraId="1C31234C" w14:textId="5AF9FC3C" w:rsidR="00A14180" w:rsidRPr="002E0E3B" w:rsidRDefault="00A14180" w:rsidP="00A14180">
      <w:pPr>
        <w:numPr>
          <w:ilvl w:val="0"/>
          <w:numId w:val="11"/>
        </w:numPr>
        <w:jc w:val="both"/>
        <w:rPr>
          <w:rFonts w:ascii="Verdana" w:hAnsi="Verdana"/>
          <w:bCs/>
          <w:sz w:val="20"/>
          <w:szCs w:val="20"/>
          <w:lang w:val="en-US"/>
        </w:rPr>
      </w:pPr>
      <w:r w:rsidRPr="002E0E3B">
        <w:rPr>
          <w:rFonts w:ascii="Verdana" w:hAnsi="Verdana"/>
          <w:bCs/>
          <w:sz w:val="20"/>
          <w:szCs w:val="20"/>
          <w:lang w:val="en-US"/>
        </w:rPr>
        <w:t>Decriminalize abortion, including aiding, assisting with, or providing an abortion, or abortion-related medication or services; or providing evidence-based abortion-related information;</w:t>
      </w:r>
      <w:r w:rsidR="007F2127" w:rsidRPr="002E0E3B">
        <w:rPr>
          <w:rFonts w:ascii="Verdana" w:hAnsi="Verdana"/>
          <w:bCs/>
          <w:sz w:val="20"/>
          <w:szCs w:val="20"/>
          <w:lang w:val="en-US"/>
        </w:rPr>
        <w:t xml:space="preserve"> and</w:t>
      </w:r>
    </w:p>
    <w:p w14:paraId="64D0708E" w14:textId="77777777" w:rsidR="007F2127" w:rsidRPr="002E0E3B" w:rsidRDefault="007F2127" w:rsidP="007F2127">
      <w:pPr>
        <w:ind w:left="720"/>
        <w:jc w:val="both"/>
        <w:rPr>
          <w:rFonts w:ascii="Verdana" w:hAnsi="Verdana"/>
          <w:bCs/>
          <w:sz w:val="20"/>
          <w:szCs w:val="20"/>
          <w:lang w:val="en-US"/>
        </w:rPr>
      </w:pPr>
    </w:p>
    <w:p w14:paraId="0BDF9C97" w14:textId="77777777" w:rsidR="00A14180" w:rsidRPr="002E0E3B" w:rsidRDefault="00A14180" w:rsidP="00A14180">
      <w:pPr>
        <w:numPr>
          <w:ilvl w:val="0"/>
          <w:numId w:val="11"/>
        </w:numPr>
        <w:jc w:val="both"/>
        <w:rPr>
          <w:rFonts w:ascii="Verdana" w:hAnsi="Verdana"/>
          <w:bCs/>
          <w:sz w:val="20"/>
          <w:szCs w:val="20"/>
          <w:lang w:val="en-US"/>
        </w:rPr>
      </w:pPr>
      <w:r w:rsidRPr="002E0E3B">
        <w:rPr>
          <w:rFonts w:ascii="Verdana" w:hAnsi="Verdana"/>
          <w:bCs/>
          <w:sz w:val="20"/>
          <w:szCs w:val="20"/>
          <w:lang w:val="en-US"/>
        </w:rPr>
        <w:t>Ensure access to safe, legal and effective abortion particularly when the life and well-being of the pregnant woman is endangered; when continuing the pregnancy would lead to significant pain, suffering or distress; in cases of pregnancy resulting from rape or incest; or non-viable pregnancies.</w:t>
      </w:r>
    </w:p>
    <w:p w14:paraId="47A1CB89" w14:textId="77777777" w:rsidR="00C91581" w:rsidRPr="002E0E3B" w:rsidRDefault="00C91581" w:rsidP="00FA1C62">
      <w:pPr>
        <w:pStyle w:val="ListParagraph"/>
        <w:jc w:val="both"/>
        <w:rPr>
          <w:rFonts w:ascii="Verdana" w:hAnsi="Verdana"/>
          <w:sz w:val="20"/>
          <w:szCs w:val="20"/>
          <w:u w:val="single"/>
          <w:lang w:val="en-US"/>
        </w:rPr>
      </w:pPr>
    </w:p>
    <w:p w14:paraId="4D83ACB3" w14:textId="3F73C079" w:rsidR="006C1585" w:rsidRPr="002E0E3B" w:rsidRDefault="00C91581" w:rsidP="00A831D4">
      <w:pPr>
        <w:pStyle w:val="ListParagraph"/>
        <w:numPr>
          <w:ilvl w:val="1"/>
          <w:numId w:val="1"/>
        </w:numPr>
        <w:jc w:val="both"/>
        <w:rPr>
          <w:rFonts w:ascii="Verdana" w:hAnsi="Verdana"/>
          <w:sz w:val="20"/>
          <w:szCs w:val="20"/>
          <w:u w:val="single"/>
          <w:lang w:val="en-US"/>
        </w:rPr>
      </w:pPr>
      <w:r w:rsidRPr="002E0E3B">
        <w:rPr>
          <w:rFonts w:ascii="Verdana" w:hAnsi="Verdana"/>
          <w:sz w:val="20"/>
          <w:szCs w:val="20"/>
          <w:u w:val="single"/>
          <w:lang w:val="en-US"/>
        </w:rPr>
        <w:t xml:space="preserve">In relation to </w:t>
      </w:r>
      <w:r w:rsidR="002F674D" w:rsidRPr="002E0E3B">
        <w:rPr>
          <w:rFonts w:ascii="Verdana" w:hAnsi="Verdana"/>
          <w:sz w:val="20"/>
          <w:szCs w:val="20"/>
          <w:u w:val="single"/>
          <w:lang w:val="en-US"/>
        </w:rPr>
        <w:t>the treatment of WDLs</w:t>
      </w:r>
      <w:r w:rsidR="007D213C" w:rsidRPr="002E0E3B">
        <w:rPr>
          <w:rFonts w:ascii="Verdana" w:hAnsi="Verdana"/>
          <w:sz w:val="20"/>
          <w:szCs w:val="20"/>
          <w:u w:val="single"/>
          <w:lang w:val="en-US"/>
        </w:rPr>
        <w:t>:</w:t>
      </w:r>
    </w:p>
    <w:p w14:paraId="622BDC09" w14:textId="7F4FEEBD" w:rsidR="006C1585" w:rsidRPr="002E0E3B" w:rsidRDefault="006C1585" w:rsidP="00A831D4">
      <w:pPr>
        <w:ind w:left="284"/>
        <w:jc w:val="both"/>
        <w:rPr>
          <w:rFonts w:ascii="Verdana" w:hAnsi="Verdana"/>
          <w:sz w:val="20"/>
          <w:szCs w:val="20"/>
          <w:u w:val="single"/>
          <w:lang w:val="en-US"/>
        </w:rPr>
      </w:pPr>
    </w:p>
    <w:p w14:paraId="2498BD8B" w14:textId="34031321" w:rsidR="00811FEC" w:rsidRPr="002E0E3B" w:rsidRDefault="0030756C" w:rsidP="00FA1C62">
      <w:pPr>
        <w:pStyle w:val="ListParagraph"/>
        <w:numPr>
          <w:ilvl w:val="0"/>
          <w:numId w:val="8"/>
        </w:numPr>
        <w:jc w:val="both"/>
        <w:rPr>
          <w:rFonts w:ascii="Verdana" w:hAnsi="Verdana"/>
          <w:sz w:val="20"/>
          <w:szCs w:val="20"/>
          <w:lang w:val="en-US"/>
        </w:rPr>
      </w:pPr>
      <w:r w:rsidRPr="002E0E3B">
        <w:rPr>
          <w:rFonts w:ascii="Verdana" w:hAnsi="Verdana"/>
          <w:sz w:val="20"/>
          <w:szCs w:val="20"/>
          <w:lang w:val="en-US"/>
        </w:rPr>
        <w:t>Institutionalize a standard of treatment of WDLs that is compliant with</w:t>
      </w:r>
      <w:r w:rsidR="008272CA" w:rsidRPr="002E0E3B">
        <w:rPr>
          <w:rFonts w:ascii="Verdana" w:hAnsi="Verdana"/>
          <w:sz w:val="20"/>
          <w:szCs w:val="20"/>
          <w:lang w:val="en-US"/>
        </w:rPr>
        <w:t xml:space="preserve"> </w:t>
      </w:r>
      <w:r w:rsidRPr="002E0E3B">
        <w:rPr>
          <w:rFonts w:ascii="Verdana" w:hAnsi="Verdana"/>
          <w:sz w:val="20"/>
          <w:szCs w:val="20"/>
          <w:lang w:val="en-US"/>
        </w:rPr>
        <w:t>international standards, including the Bangkok Rules</w:t>
      </w:r>
      <w:r w:rsidR="00774974" w:rsidRPr="002E0E3B">
        <w:rPr>
          <w:rFonts w:ascii="Verdana" w:hAnsi="Verdana"/>
          <w:sz w:val="20"/>
          <w:szCs w:val="20"/>
          <w:lang w:val="en-US"/>
        </w:rPr>
        <w:t xml:space="preserve">, ensuring that </w:t>
      </w:r>
      <w:r w:rsidRPr="002E0E3B">
        <w:rPr>
          <w:rFonts w:ascii="Verdana" w:hAnsi="Verdana"/>
          <w:sz w:val="20"/>
          <w:szCs w:val="20"/>
          <w:lang w:val="en-US"/>
        </w:rPr>
        <w:t xml:space="preserve">amendments </w:t>
      </w:r>
      <w:r w:rsidR="00811FEC" w:rsidRPr="002E0E3B">
        <w:rPr>
          <w:rFonts w:ascii="Verdana" w:hAnsi="Verdana"/>
          <w:sz w:val="20"/>
          <w:szCs w:val="20"/>
          <w:lang w:val="en-US"/>
        </w:rPr>
        <w:t xml:space="preserve">to </w:t>
      </w:r>
      <w:r w:rsidRPr="002E0E3B">
        <w:rPr>
          <w:rFonts w:ascii="Verdana" w:hAnsi="Verdana"/>
          <w:sz w:val="20"/>
          <w:szCs w:val="20"/>
          <w:lang w:val="en-US"/>
        </w:rPr>
        <w:t xml:space="preserve">existing legal and procedural frameworks </w:t>
      </w:r>
      <w:r w:rsidR="00774974" w:rsidRPr="002E0E3B">
        <w:rPr>
          <w:rFonts w:ascii="Verdana" w:hAnsi="Verdana"/>
          <w:sz w:val="20"/>
          <w:szCs w:val="20"/>
          <w:lang w:val="en-US"/>
        </w:rPr>
        <w:t>account for the</w:t>
      </w:r>
      <w:r w:rsidRPr="002E0E3B">
        <w:rPr>
          <w:rFonts w:ascii="Verdana" w:hAnsi="Verdana"/>
          <w:sz w:val="20"/>
          <w:szCs w:val="20"/>
          <w:lang w:val="en-US"/>
        </w:rPr>
        <w:t xml:space="preserve"> gender-based needs of WDL</w:t>
      </w:r>
      <w:r w:rsidR="008272CA" w:rsidRPr="002E0E3B">
        <w:rPr>
          <w:rFonts w:ascii="Verdana" w:hAnsi="Verdana"/>
          <w:sz w:val="20"/>
          <w:szCs w:val="20"/>
          <w:lang w:val="en-US"/>
        </w:rPr>
        <w:t>s</w:t>
      </w:r>
      <w:r w:rsidR="00811FEC" w:rsidRPr="002E0E3B">
        <w:rPr>
          <w:rFonts w:ascii="Verdana" w:hAnsi="Verdana"/>
          <w:sz w:val="20"/>
          <w:szCs w:val="20"/>
          <w:lang w:val="en-US"/>
        </w:rPr>
        <w:t>;</w:t>
      </w:r>
      <w:r w:rsidR="007F2127" w:rsidRPr="002E0E3B">
        <w:rPr>
          <w:rFonts w:ascii="Verdana" w:hAnsi="Verdana"/>
          <w:sz w:val="20"/>
          <w:szCs w:val="20"/>
          <w:lang w:val="en-US"/>
        </w:rPr>
        <w:t xml:space="preserve"> and</w:t>
      </w:r>
    </w:p>
    <w:p w14:paraId="75019B4C" w14:textId="77777777" w:rsidR="007F2127" w:rsidRPr="002E0E3B" w:rsidRDefault="007F2127" w:rsidP="007F2127">
      <w:pPr>
        <w:pStyle w:val="ListParagraph"/>
        <w:jc w:val="both"/>
        <w:rPr>
          <w:rFonts w:ascii="Verdana" w:hAnsi="Verdana"/>
          <w:sz w:val="20"/>
          <w:szCs w:val="20"/>
          <w:lang w:val="en-US"/>
        </w:rPr>
      </w:pPr>
    </w:p>
    <w:p w14:paraId="1168EC1A" w14:textId="5D1B0C8C" w:rsidR="0030756C" w:rsidRPr="002E0E3B" w:rsidRDefault="00811FEC" w:rsidP="00FA1C62">
      <w:pPr>
        <w:pStyle w:val="ListParagraph"/>
        <w:numPr>
          <w:ilvl w:val="0"/>
          <w:numId w:val="8"/>
        </w:numPr>
        <w:jc w:val="both"/>
        <w:rPr>
          <w:rFonts w:ascii="Verdana" w:hAnsi="Verdana"/>
          <w:sz w:val="20"/>
          <w:szCs w:val="20"/>
          <w:lang w:val="en-US"/>
        </w:rPr>
      </w:pPr>
      <w:r w:rsidRPr="002E0E3B">
        <w:rPr>
          <w:rFonts w:ascii="Verdana" w:hAnsi="Verdana"/>
          <w:bCs/>
          <w:sz w:val="20"/>
          <w:szCs w:val="20"/>
          <w:lang w:val="en-US"/>
        </w:rPr>
        <w:t xml:space="preserve">Make much greater use of non-custodial alternatives to pre-trial detention. </w:t>
      </w:r>
      <w:r w:rsidR="008272CA" w:rsidRPr="002E0E3B">
        <w:rPr>
          <w:rFonts w:ascii="Verdana" w:hAnsi="Verdana"/>
          <w:sz w:val="20"/>
          <w:szCs w:val="20"/>
          <w:lang w:val="en-US"/>
        </w:rPr>
        <w:t xml:space="preserve"> </w:t>
      </w:r>
    </w:p>
    <w:p w14:paraId="36EE69E3" w14:textId="7360F883" w:rsidR="008272CA" w:rsidRPr="002E0E3B" w:rsidRDefault="00046E63" w:rsidP="00046E63">
      <w:pPr>
        <w:rPr>
          <w:rFonts w:ascii="Verdana" w:hAnsi="Verdana"/>
          <w:sz w:val="20"/>
          <w:szCs w:val="20"/>
          <w:lang w:val="en-US"/>
        </w:rPr>
      </w:pPr>
      <w:r>
        <w:rPr>
          <w:rFonts w:ascii="Verdana" w:hAnsi="Verdana"/>
          <w:sz w:val="20"/>
          <w:szCs w:val="20"/>
          <w:lang w:val="en-US"/>
        </w:rPr>
        <w:br w:type="page"/>
      </w:r>
      <w:bookmarkStart w:id="0" w:name="_GoBack"/>
      <w:bookmarkEnd w:id="0"/>
    </w:p>
    <w:p w14:paraId="4A2302F9" w14:textId="59AFA94B" w:rsidR="008272CA" w:rsidRPr="002E0E3B" w:rsidRDefault="008272CA" w:rsidP="00D654A6">
      <w:pPr>
        <w:pStyle w:val="ListParagraph"/>
        <w:numPr>
          <w:ilvl w:val="1"/>
          <w:numId w:val="1"/>
        </w:numPr>
        <w:jc w:val="both"/>
        <w:rPr>
          <w:rFonts w:ascii="Verdana" w:hAnsi="Verdana"/>
          <w:sz w:val="20"/>
          <w:szCs w:val="20"/>
          <w:lang w:val="en-US"/>
        </w:rPr>
      </w:pPr>
      <w:r w:rsidRPr="002E0E3B">
        <w:rPr>
          <w:rFonts w:ascii="Verdana" w:hAnsi="Verdana"/>
          <w:sz w:val="20"/>
          <w:szCs w:val="20"/>
          <w:u w:val="single"/>
          <w:lang w:val="en-US"/>
        </w:rPr>
        <w:lastRenderedPageBreak/>
        <w:t xml:space="preserve">In relation to </w:t>
      </w:r>
      <w:r w:rsidR="006624D4" w:rsidRPr="002E0E3B">
        <w:rPr>
          <w:rFonts w:ascii="Verdana" w:hAnsi="Verdana"/>
          <w:sz w:val="20"/>
          <w:szCs w:val="20"/>
          <w:u w:val="single"/>
          <w:lang w:val="en-US"/>
        </w:rPr>
        <w:t>OGBV</w:t>
      </w:r>
      <w:r w:rsidRPr="002E0E3B">
        <w:rPr>
          <w:rFonts w:ascii="Verdana" w:hAnsi="Verdana"/>
          <w:sz w:val="20"/>
          <w:szCs w:val="20"/>
          <w:lang w:val="en-US"/>
        </w:rPr>
        <w:t xml:space="preserve">: </w:t>
      </w:r>
    </w:p>
    <w:p w14:paraId="743E344A" w14:textId="77777777" w:rsidR="0030756C" w:rsidRPr="002E0E3B" w:rsidRDefault="0030756C" w:rsidP="00D654A6">
      <w:pPr>
        <w:jc w:val="both"/>
        <w:rPr>
          <w:rFonts w:ascii="Verdana" w:hAnsi="Verdana"/>
          <w:sz w:val="20"/>
          <w:szCs w:val="20"/>
          <w:lang w:val="en-US"/>
        </w:rPr>
      </w:pPr>
    </w:p>
    <w:p w14:paraId="0E832E45" w14:textId="01EC22A7" w:rsidR="00813D44" w:rsidRPr="002E0E3B" w:rsidRDefault="00B0478D" w:rsidP="00A14180">
      <w:pPr>
        <w:pStyle w:val="ListParagraph"/>
        <w:numPr>
          <w:ilvl w:val="0"/>
          <w:numId w:val="8"/>
        </w:numPr>
        <w:jc w:val="both"/>
        <w:rPr>
          <w:rFonts w:ascii="Verdana" w:hAnsi="Verdana"/>
          <w:sz w:val="20"/>
          <w:szCs w:val="20"/>
        </w:rPr>
      </w:pPr>
      <w:r w:rsidRPr="002E0E3B">
        <w:rPr>
          <w:rFonts w:ascii="Verdana" w:hAnsi="Verdana"/>
          <w:sz w:val="20"/>
          <w:szCs w:val="20"/>
        </w:rPr>
        <w:t xml:space="preserve">Review and amend existing laws relevant to OGBV to ensure </w:t>
      </w:r>
      <w:r w:rsidR="00811FEC" w:rsidRPr="002E0E3B">
        <w:rPr>
          <w:rFonts w:ascii="Verdana" w:hAnsi="Verdana"/>
          <w:sz w:val="20"/>
          <w:szCs w:val="20"/>
        </w:rPr>
        <w:t>effective</w:t>
      </w:r>
      <w:r w:rsidRPr="002E0E3B">
        <w:rPr>
          <w:rFonts w:ascii="Verdana" w:hAnsi="Verdana"/>
          <w:sz w:val="20"/>
          <w:szCs w:val="20"/>
        </w:rPr>
        <w:t xml:space="preserve"> respon</w:t>
      </w:r>
      <w:r w:rsidR="00811FEC" w:rsidRPr="002E0E3B">
        <w:rPr>
          <w:rFonts w:ascii="Verdana" w:hAnsi="Verdana"/>
          <w:sz w:val="20"/>
          <w:szCs w:val="20"/>
        </w:rPr>
        <w:t>siveness to</w:t>
      </w:r>
      <w:r w:rsidRPr="002E0E3B">
        <w:rPr>
          <w:rFonts w:ascii="Verdana" w:hAnsi="Verdana"/>
          <w:sz w:val="20"/>
          <w:szCs w:val="20"/>
        </w:rPr>
        <w:t xml:space="preserve"> all forms of OGBV, </w:t>
      </w:r>
      <w:r w:rsidR="00811FEC" w:rsidRPr="002E0E3B">
        <w:rPr>
          <w:rFonts w:ascii="Verdana" w:hAnsi="Verdana"/>
          <w:sz w:val="20"/>
          <w:szCs w:val="20"/>
        </w:rPr>
        <w:t xml:space="preserve">and </w:t>
      </w:r>
      <w:r w:rsidRPr="002E0E3B">
        <w:rPr>
          <w:rFonts w:ascii="Verdana" w:hAnsi="Verdana"/>
          <w:sz w:val="20"/>
          <w:szCs w:val="20"/>
        </w:rPr>
        <w:t>p</w:t>
      </w:r>
      <w:r w:rsidR="00813D44" w:rsidRPr="002E0E3B">
        <w:rPr>
          <w:rFonts w:ascii="Verdana" w:hAnsi="Verdana"/>
          <w:sz w:val="20"/>
          <w:szCs w:val="20"/>
        </w:rPr>
        <w:t>ass</w:t>
      </w:r>
      <w:r w:rsidRPr="002E0E3B">
        <w:rPr>
          <w:rFonts w:ascii="Verdana" w:hAnsi="Verdana"/>
          <w:sz w:val="20"/>
          <w:szCs w:val="20"/>
        </w:rPr>
        <w:t>ing</w:t>
      </w:r>
      <w:r w:rsidR="00813D44" w:rsidRPr="002E0E3B">
        <w:rPr>
          <w:rFonts w:ascii="Verdana" w:hAnsi="Verdana"/>
          <w:sz w:val="20"/>
          <w:szCs w:val="20"/>
        </w:rPr>
        <w:t xml:space="preserve"> the bill</w:t>
      </w:r>
      <w:r w:rsidR="00811FEC" w:rsidRPr="002E0E3B">
        <w:rPr>
          <w:rFonts w:ascii="Verdana" w:hAnsi="Verdana"/>
          <w:sz w:val="20"/>
          <w:szCs w:val="20"/>
        </w:rPr>
        <w:t xml:space="preserve"> amending </w:t>
      </w:r>
      <w:r w:rsidR="00813D44" w:rsidRPr="002E0E3B">
        <w:rPr>
          <w:rFonts w:ascii="Verdana" w:hAnsi="Verdana"/>
          <w:sz w:val="20"/>
          <w:szCs w:val="20"/>
        </w:rPr>
        <w:t xml:space="preserve">the Anti-VAW Act; </w:t>
      </w:r>
    </w:p>
    <w:p w14:paraId="372B2DA7" w14:textId="77777777" w:rsidR="00813D44" w:rsidRPr="002E0E3B" w:rsidRDefault="00813D44" w:rsidP="00A14180">
      <w:pPr>
        <w:ind w:left="360"/>
        <w:jc w:val="both"/>
        <w:rPr>
          <w:rFonts w:ascii="Verdana" w:hAnsi="Verdana"/>
          <w:sz w:val="20"/>
          <w:szCs w:val="20"/>
          <w:lang w:val="en-US"/>
        </w:rPr>
      </w:pPr>
    </w:p>
    <w:p w14:paraId="4C61B603" w14:textId="5AFA0E73" w:rsidR="00813D44" w:rsidRPr="002E0E3B" w:rsidRDefault="00813D44" w:rsidP="00811FEC">
      <w:pPr>
        <w:pStyle w:val="ListParagraph"/>
        <w:numPr>
          <w:ilvl w:val="0"/>
          <w:numId w:val="8"/>
        </w:numPr>
        <w:jc w:val="both"/>
        <w:rPr>
          <w:rFonts w:ascii="Verdana" w:hAnsi="Verdana"/>
          <w:sz w:val="20"/>
          <w:szCs w:val="20"/>
          <w:lang w:val="en-US"/>
        </w:rPr>
      </w:pPr>
      <w:r w:rsidRPr="002E0E3B">
        <w:rPr>
          <w:rFonts w:ascii="Verdana" w:hAnsi="Verdana"/>
          <w:sz w:val="20"/>
          <w:szCs w:val="20"/>
        </w:rPr>
        <w:t xml:space="preserve">Strengthen the implementation </w:t>
      </w:r>
      <w:r w:rsidR="00164BA3" w:rsidRPr="002E0E3B">
        <w:rPr>
          <w:rFonts w:ascii="Verdana" w:hAnsi="Verdana"/>
          <w:sz w:val="20"/>
          <w:szCs w:val="20"/>
        </w:rPr>
        <w:t xml:space="preserve">of </w:t>
      </w:r>
      <w:r w:rsidRPr="002E0E3B">
        <w:rPr>
          <w:rFonts w:ascii="Verdana" w:hAnsi="Verdana"/>
          <w:sz w:val="20"/>
          <w:szCs w:val="20"/>
        </w:rPr>
        <w:t xml:space="preserve">laws to address OGBV and take appropriate measures to ensure effective access to justice for </w:t>
      </w:r>
      <w:r w:rsidR="006624D4" w:rsidRPr="002E0E3B">
        <w:rPr>
          <w:rFonts w:ascii="Verdana" w:hAnsi="Verdana"/>
          <w:sz w:val="20"/>
          <w:szCs w:val="20"/>
        </w:rPr>
        <w:t xml:space="preserve">OGBV </w:t>
      </w:r>
      <w:r w:rsidRPr="002E0E3B">
        <w:rPr>
          <w:rFonts w:ascii="Verdana" w:hAnsi="Verdana"/>
          <w:sz w:val="20"/>
          <w:szCs w:val="20"/>
        </w:rPr>
        <w:t>survivors/victims;</w:t>
      </w:r>
    </w:p>
    <w:p w14:paraId="2604719E" w14:textId="77777777" w:rsidR="00813D44" w:rsidRPr="002E0E3B" w:rsidRDefault="00813D44" w:rsidP="00A831D4">
      <w:pPr>
        <w:pStyle w:val="ListParagraph"/>
        <w:jc w:val="both"/>
        <w:rPr>
          <w:rFonts w:ascii="Verdana" w:hAnsi="Verdana"/>
          <w:sz w:val="20"/>
          <w:szCs w:val="20"/>
        </w:rPr>
      </w:pPr>
    </w:p>
    <w:p w14:paraId="337F64CF" w14:textId="3FDB0FCD" w:rsidR="00813D44" w:rsidRPr="002E0E3B" w:rsidRDefault="00813D44" w:rsidP="00FA1C62">
      <w:pPr>
        <w:pStyle w:val="ListParagraph"/>
        <w:numPr>
          <w:ilvl w:val="0"/>
          <w:numId w:val="8"/>
        </w:numPr>
        <w:jc w:val="both"/>
        <w:rPr>
          <w:rFonts w:ascii="Verdana" w:hAnsi="Verdana"/>
          <w:sz w:val="20"/>
          <w:szCs w:val="20"/>
          <w:lang w:val="en-US"/>
        </w:rPr>
      </w:pPr>
      <w:r w:rsidRPr="002E0E3B">
        <w:rPr>
          <w:rFonts w:ascii="Verdana" w:hAnsi="Verdana"/>
          <w:sz w:val="20"/>
          <w:szCs w:val="20"/>
        </w:rPr>
        <w:t>Establish a comprehensive legal procedure to address urgent requests to prevent</w:t>
      </w:r>
      <w:r w:rsidR="00164BA3" w:rsidRPr="002E0E3B">
        <w:rPr>
          <w:rFonts w:ascii="Verdana" w:hAnsi="Verdana"/>
          <w:sz w:val="20"/>
          <w:szCs w:val="20"/>
        </w:rPr>
        <w:t xml:space="preserve"> and remove</w:t>
      </w:r>
      <w:r w:rsidRPr="002E0E3B">
        <w:rPr>
          <w:rFonts w:ascii="Verdana" w:hAnsi="Verdana"/>
          <w:sz w:val="20"/>
          <w:szCs w:val="20"/>
        </w:rPr>
        <w:t xml:space="preserve"> the publication of harmful online content amounting to OGBV; and</w:t>
      </w:r>
    </w:p>
    <w:p w14:paraId="7CD80AA6" w14:textId="77777777" w:rsidR="00164BA3" w:rsidRPr="002E0E3B" w:rsidRDefault="00164BA3" w:rsidP="00A831D4">
      <w:pPr>
        <w:pStyle w:val="ListParagraph"/>
        <w:jc w:val="both"/>
        <w:rPr>
          <w:rFonts w:ascii="Verdana" w:hAnsi="Verdana"/>
          <w:sz w:val="20"/>
          <w:szCs w:val="20"/>
          <w:lang w:val="en-US"/>
        </w:rPr>
      </w:pPr>
    </w:p>
    <w:p w14:paraId="3DC6F0F7" w14:textId="3BCD5937" w:rsidR="00813D44" w:rsidRPr="002E0E3B" w:rsidRDefault="00164BA3" w:rsidP="00D654A6">
      <w:pPr>
        <w:pStyle w:val="ListParagraph"/>
        <w:numPr>
          <w:ilvl w:val="0"/>
          <w:numId w:val="8"/>
        </w:numPr>
        <w:jc w:val="both"/>
        <w:rPr>
          <w:rFonts w:ascii="Verdana" w:hAnsi="Verdana"/>
          <w:sz w:val="20"/>
          <w:szCs w:val="20"/>
          <w:lang w:val="en-US"/>
        </w:rPr>
      </w:pPr>
      <w:r w:rsidRPr="002E0E3B">
        <w:rPr>
          <w:rFonts w:ascii="Verdana" w:hAnsi="Verdana"/>
          <w:sz w:val="20"/>
          <w:szCs w:val="20"/>
        </w:rPr>
        <w:t>Provide adequate and continuous capacity-building training to justice sector actors, including law enforcement officials, public prosecutors, judges, lawyers and government service officials, on the application of international human rights law and standards to the investigation, prosecution, adjudication and sentencing of OGBV-related criminal offences</w:t>
      </w:r>
      <w:r w:rsidR="00B474EA" w:rsidRPr="002E0E3B">
        <w:rPr>
          <w:rFonts w:ascii="Verdana" w:hAnsi="Verdana"/>
          <w:sz w:val="20"/>
          <w:szCs w:val="20"/>
        </w:rPr>
        <w:t>.</w:t>
      </w:r>
    </w:p>
    <w:p w14:paraId="7D6FFDE5" w14:textId="28D74CB9" w:rsidR="00036E0B" w:rsidRPr="002E0E3B" w:rsidRDefault="00036E0B" w:rsidP="00D654A6">
      <w:pPr>
        <w:jc w:val="both"/>
        <w:rPr>
          <w:rFonts w:ascii="Verdana" w:hAnsi="Verdana"/>
          <w:sz w:val="20"/>
          <w:szCs w:val="20"/>
          <w:lang w:val="en-US"/>
        </w:rPr>
      </w:pPr>
    </w:p>
    <w:p w14:paraId="66A72F6B" w14:textId="19834A1B" w:rsidR="00164BA3" w:rsidRPr="002E0E3B" w:rsidRDefault="00164BA3" w:rsidP="00A14180">
      <w:pPr>
        <w:pStyle w:val="ListParagraph"/>
        <w:numPr>
          <w:ilvl w:val="1"/>
          <w:numId w:val="1"/>
        </w:numPr>
        <w:jc w:val="both"/>
        <w:rPr>
          <w:rFonts w:ascii="Verdana" w:hAnsi="Verdana"/>
          <w:sz w:val="20"/>
          <w:szCs w:val="20"/>
          <w:lang w:val="en-US"/>
        </w:rPr>
      </w:pPr>
      <w:r w:rsidRPr="002E0E3B">
        <w:rPr>
          <w:rFonts w:ascii="Verdana" w:hAnsi="Verdana"/>
          <w:sz w:val="20"/>
          <w:szCs w:val="20"/>
          <w:u w:val="single"/>
          <w:lang w:val="en-US"/>
        </w:rPr>
        <w:t>In relation to LBT women</w:t>
      </w:r>
      <w:r w:rsidR="00BA4EAE" w:rsidRPr="002E0E3B">
        <w:rPr>
          <w:rFonts w:ascii="Verdana" w:hAnsi="Verdana"/>
          <w:sz w:val="20"/>
          <w:szCs w:val="20"/>
          <w:lang w:val="en-US"/>
        </w:rPr>
        <w:t xml:space="preserve">: </w:t>
      </w:r>
    </w:p>
    <w:p w14:paraId="5F3C56B5" w14:textId="77777777" w:rsidR="00164BA3" w:rsidRPr="002E0E3B" w:rsidRDefault="00164BA3" w:rsidP="00A14180">
      <w:pPr>
        <w:jc w:val="both"/>
        <w:rPr>
          <w:rFonts w:ascii="Verdana" w:hAnsi="Verdana"/>
          <w:sz w:val="20"/>
          <w:szCs w:val="20"/>
          <w:lang w:val="en-US"/>
        </w:rPr>
      </w:pPr>
    </w:p>
    <w:p w14:paraId="7917B26A" w14:textId="4FE46480" w:rsidR="00036E0B" w:rsidRPr="002E0E3B" w:rsidRDefault="00BA4EAE" w:rsidP="00811FEC">
      <w:pPr>
        <w:pStyle w:val="ListParagraph"/>
        <w:numPr>
          <w:ilvl w:val="0"/>
          <w:numId w:val="10"/>
        </w:numPr>
        <w:jc w:val="both"/>
        <w:rPr>
          <w:rFonts w:ascii="Verdana" w:hAnsi="Verdana"/>
          <w:sz w:val="20"/>
          <w:szCs w:val="20"/>
          <w:lang w:val="en-US"/>
        </w:rPr>
      </w:pPr>
      <w:r w:rsidRPr="002E0E3B">
        <w:rPr>
          <w:rFonts w:ascii="Verdana" w:hAnsi="Verdana"/>
          <w:sz w:val="20"/>
          <w:szCs w:val="20"/>
          <w:lang w:val="en-US"/>
        </w:rPr>
        <w:t>Provide access to legal recognition of gender identity in a manner consistent with the right to freedom from discrimination, equal protection of the law, privacy, identity and freedom of expression;</w:t>
      </w:r>
    </w:p>
    <w:p w14:paraId="07F07452" w14:textId="77777777" w:rsidR="00B474EA" w:rsidRPr="002E0E3B" w:rsidRDefault="00B474EA" w:rsidP="006624D4">
      <w:pPr>
        <w:pStyle w:val="ListParagraph"/>
        <w:jc w:val="both"/>
        <w:rPr>
          <w:rFonts w:ascii="Verdana" w:hAnsi="Verdana"/>
          <w:sz w:val="20"/>
          <w:szCs w:val="20"/>
          <w:lang w:val="en-US"/>
        </w:rPr>
      </w:pPr>
    </w:p>
    <w:p w14:paraId="679584F7" w14:textId="68C1563C" w:rsidR="00BA4EAE" w:rsidRPr="002E0E3B" w:rsidRDefault="00BA4EAE" w:rsidP="00AB07BC">
      <w:pPr>
        <w:pStyle w:val="ListParagraph"/>
        <w:numPr>
          <w:ilvl w:val="0"/>
          <w:numId w:val="10"/>
        </w:numPr>
        <w:jc w:val="both"/>
        <w:rPr>
          <w:rFonts w:ascii="Verdana" w:hAnsi="Verdana"/>
          <w:sz w:val="20"/>
          <w:szCs w:val="20"/>
          <w:lang w:val="en-US"/>
        </w:rPr>
      </w:pPr>
      <w:r w:rsidRPr="002E0E3B">
        <w:rPr>
          <w:rFonts w:ascii="Verdana" w:hAnsi="Verdana"/>
          <w:sz w:val="20"/>
          <w:szCs w:val="20"/>
          <w:lang w:val="en-US"/>
        </w:rPr>
        <w:t>Enact comprehensive anti-discrimination</w:t>
      </w:r>
      <w:r w:rsidR="00B474EA" w:rsidRPr="002E0E3B">
        <w:rPr>
          <w:rFonts w:ascii="Verdana" w:hAnsi="Verdana"/>
          <w:sz w:val="20"/>
          <w:szCs w:val="20"/>
          <w:lang w:val="en-US"/>
        </w:rPr>
        <w:t xml:space="preserve"> laws</w:t>
      </w:r>
      <w:r w:rsidRPr="002E0E3B">
        <w:rPr>
          <w:rFonts w:ascii="Verdana" w:hAnsi="Verdana"/>
          <w:sz w:val="20"/>
          <w:szCs w:val="20"/>
          <w:lang w:val="en-US"/>
        </w:rPr>
        <w:t xml:space="preserve"> recogniz</w:t>
      </w:r>
      <w:r w:rsidR="00AB07BC" w:rsidRPr="002E0E3B">
        <w:rPr>
          <w:rFonts w:ascii="Verdana" w:hAnsi="Verdana"/>
          <w:sz w:val="20"/>
          <w:szCs w:val="20"/>
          <w:lang w:val="en-US"/>
        </w:rPr>
        <w:t>ing</w:t>
      </w:r>
      <w:r w:rsidRPr="002E0E3B">
        <w:rPr>
          <w:rFonts w:ascii="Verdana" w:hAnsi="Verdana"/>
          <w:sz w:val="20"/>
          <w:szCs w:val="20"/>
          <w:lang w:val="en-US"/>
        </w:rPr>
        <w:t xml:space="preserve"> SOGIE as protected characteristics and prohibit discrimination on such grounds;</w:t>
      </w:r>
    </w:p>
    <w:p w14:paraId="75A6A531" w14:textId="77777777" w:rsidR="00B474EA" w:rsidRPr="002E0E3B" w:rsidRDefault="00B474EA" w:rsidP="00980823">
      <w:pPr>
        <w:pStyle w:val="ListParagraph"/>
        <w:jc w:val="both"/>
        <w:rPr>
          <w:rFonts w:ascii="Verdana" w:hAnsi="Verdana"/>
          <w:sz w:val="20"/>
          <w:szCs w:val="20"/>
          <w:lang w:val="en-US"/>
        </w:rPr>
      </w:pPr>
    </w:p>
    <w:p w14:paraId="66C86471" w14:textId="49FA189E" w:rsidR="00B474EA" w:rsidRPr="002E0E3B" w:rsidRDefault="00B474EA">
      <w:pPr>
        <w:pStyle w:val="ListParagraph"/>
        <w:numPr>
          <w:ilvl w:val="0"/>
          <w:numId w:val="10"/>
        </w:numPr>
        <w:jc w:val="both"/>
        <w:rPr>
          <w:rFonts w:ascii="Verdana" w:hAnsi="Verdana"/>
          <w:sz w:val="20"/>
          <w:szCs w:val="20"/>
          <w:lang w:val="en-US"/>
        </w:rPr>
      </w:pPr>
      <w:r w:rsidRPr="002E0E3B">
        <w:rPr>
          <w:rFonts w:ascii="Verdana" w:hAnsi="Verdana"/>
          <w:sz w:val="20"/>
          <w:szCs w:val="20"/>
          <w:lang w:val="en-US"/>
        </w:rPr>
        <w:t xml:space="preserve">Adopt specific legislation to prohibit, investigate and prosecute violence against LBT women, in line with international human rights law, </w:t>
      </w:r>
      <w:r w:rsidR="00AB07BC" w:rsidRPr="002E0E3B">
        <w:rPr>
          <w:rFonts w:ascii="Verdana" w:hAnsi="Verdana"/>
          <w:sz w:val="20"/>
          <w:szCs w:val="20"/>
          <w:lang w:val="en-US"/>
        </w:rPr>
        <w:t xml:space="preserve">and ensure that </w:t>
      </w:r>
      <w:r w:rsidRPr="002E0E3B">
        <w:rPr>
          <w:rFonts w:ascii="Verdana" w:hAnsi="Verdana"/>
          <w:sz w:val="20"/>
          <w:szCs w:val="20"/>
          <w:lang w:val="en-US"/>
        </w:rPr>
        <w:t xml:space="preserve">homophobia, misogyny, biphobia and transphobia </w:t>
      </w:r>
      <w:r w:rsidR="00AB07BC" w:rsidRPr="002E0E3B">
        <w:rPr>
          <w:rFonts w:ascii="Verdana" w:hAnsi="Verdana"/>
          <w:sz w:val="20"/>
          <w:szCs w:val="20"/>
          <w:lang w:val="en-US"/>
        </w:rPr>
        <w:t xml:space="preserve">be considered </w:t>
      </w:r>
      <w:r w:rsidRPr="002E0E3B">
        <w:rPr>
          <w:rFonts w:ascii="Verdana" w:hAnsi="Verdana"/>
          <w:sz w:val="20"/>
          <w:szCs w:val="20"/>
          <w:lang w:val="en-US"/>
        </w:rPr>
        <w:t xml:space="preserve">as aggravating </w:t>
      </w:r>
      <w:r w:rsidR="00AB07BC" w:rsidRPr="002E0E3B">
        <w:rPr>
          <w:rFonts w:ascii="Verdana" w:hAnsi="Verdana"/>
          <w:sz w:val="20"/>
          <w:szCs w:val="20"/>
          <w:lang w:val="en-US"/>
        </w:rPr>
        <w:t xml:space="preserve">circumstances </w:t>
      </w:r>
      <w:r w:rsidRPr="002E0E3B">
        <w:rPr>
          <w:rFonts w:ascii="Verdana" w:hAnsi="Verdana"/>
          <w:sz w:val="20"/>
          <w:szCs w:val="20"/>
          <w:lang w:val="en-US"/>
        </w:rPr>
        <w:t>for sentencing</w:t>
      </w:r>
      <w:r w:rsidR="00AB07BC" w:rsidRPr="002E0E3B">
        <w:rPr>
          <w:rFonts w:ascii="Verdana" w:hAnsi="Verdana"/>
          <w:sz w:val="20"/>
          <w:szCs w:val="20"/>
          <w:lang w:val="en-US"/>
        </w:rPr>
        <w:t xml:space="preserve"> purposes</w:t>
      </w:r>
      <w:r w:rsidRPr="002E0E3B">
        <w:rPr>
          <w:rFonts w:ascii="Verdana" w:hAnsi="Verdana"/>
          <w:sz w:val="20"/>
          <w:szCs w:val="20"/>
          <w:lang w:val="en-US"/>
        </w:rPr>
        <w:t>; and</w:t>
      </w:r>
    </w:p>
    <w:p w14:paraId="1C196337" w14:textId="77777777" w:rsidR="00B474EA" w:rsidRPr="002E0E3B" w:rsidRDefault="00B474EA">
      <w:pPr>
        <w:jc w:val="both"/>
        <w:rPr>
          <w:rFonts w:ascii="Verdana" w:hAnsi="Verdana"/>
          <w:sz w:val="20"/>
          <w:szCs w:val="20"/>
          <w:lang w:val="en-US"/>
        </w:rPr>
      </w:pPr>
    </w:p>
    <w:p w14:paraId="49F4E8E0" w14:textId="42AFD85E" w:rsidR="00BA4EAE" w:rsidRPr="002E0E3B" w:rsidRDefault="00980823">
      <w:pPr>
        <w:pStyle w:val="ListParagraph"/>
        <w:numPr>
          <w:ilvl w:val="0"/>
          <w:numId w:val="10"/>
        </w:numPr>
        <w:jc w:val="both"/>
        <w:rPr>
          <w:rFonts w:ascii="Verdana" w:hAnsi="Verdana"/>
          <w:sz w:val="20"/>
          <w:szCs w:val="20"/>
          <w:lang w:val="en-US"/>
        </w:rPr>
      </w:pPr>
      <w:r w:rsidRPr="002E0E3B">
        <w:rPr>
          <w:rFonts w:ascii="Verdana" w:hAnsi="Verdana"/>
          <w:sz w:val="20"/>
          <w:szCs w:val="20"/>
          <w:lang w:val="en-US"/>
        </w:rPr>
        <w:t xml:space="preserve">Guarantee </w:t>
      </w:r>
      <w:r w:rsidR="00B474EA" w:rsidRPr="002E0E3B">
        <w:rPr>
          <w:rFonts w:ascii="Verdana" w:hAnsi="Verdana"/>
          <w:sz w:val="20"/>
          <w:szCs w:val="20"/>
          <w:lang w:val="en-US"/>
        </w:rPr>
        <w:t xml:space="preserve">the right to an effective remedy for LBT women who have suffered harm </w:t>
      </w:r>
      <w:r w:rsidRPr="002E0E3B">
        <w:rPr>
          <w:rFonts w:ascii="Verdana" w:hAnsi="Verdana"/>
          <w:sz w:val="20"/>
          <w:szCs w:val="20"/>
          <w:lang w:val="en-US"/>
        </w:rPr>
        <w:t>resulting from</w:t>
      </w:r>
      <w:r w:rsidR="00B474EA" w:rsidRPr="002E0E3B">
        <w:rPr>
          <w:rFonts w:ascii="Verdana" w:hAnsi="Verdana"/>
          <w:sz w:val="20"/>
          <w:szCs w:val="20"/>
          <w:lang w:val="en-US"/>
        </w:rPr>
        <w:t xml:space="preserve"> human rights violations and abuses, and t</w:t>
      </w:r>
      <w:r w:rsidR="00BA4EAE" w:rsidRPr="002E0E3B">
        <w:rPr>
          <w:rFonts w:ascii="Verdana" w:hAnsi="Verdana"/>
          <w:sz w:val="20"/>
          <w:szCs w:val="20"/>
          <w:lang w:val="en-US"/>
        </w:rPr>
        <w:t>ake steps to eliminate barriers to access to justice for LBT wome</w:t>
      </w:r>
      <w:r w:rsidR="00B474EA" w:rsidRPr="002E0E3B">
        <w:rPr>
          <w:rFonts w:ascii="Verdana" w:hAnsi="Verdana"/>
          <w:sz w:val="20"/>
          <w:szCs w:val="20"/>
          <w:lang w:val="en-US"/>
        </w:rPr>
        <w:t>n</w:t>
      </w:r>
      <w:r w:rsidR="00BA4EAE" w:rsidRPr="002E0E3B">
        <w:rPr>
          <w:rFonts w:ascii="Verdana" w:hAnsi="Verdana"/>
          <w:sz w:val="20"/>
          <w:szCs w:val="20"/>
          <w:lang w:val="en-US"/>
        </w:rPr>
        <w:t>, including through adequate and continuous capacity-building training to justice sector actors to eliminate LGBT stereotyping and incorporating an LGBT perspective into all aspects of the justice system</w:t>
      </w:r>
      <w:r w:rsidR="00B474EA" w:rsidRPr="002E0E3B">
        <w:rPr>
          <w:rFonts w:ascii="Verdana" w:hAnsi="Verdana"/>
          <w:sz w:val="20"/>
          <w:szCs w:val="20"/>
          <w:lang w:val="en-US"/>
        </w:rPr>
        <w:t xml:space="preserve">. </w:t>
      </w:r>
    </w:p>
    <w:sectPr w:rsidR="00BA4EAE" w:rsidRPr="002E0E3B" w:rsidSect="008C410E">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D4EC" w14:textId="77777777" w:rsidR="00984008" w:rsidRDefault="00984008" w:rsidP="003E5631">
      <w:r>
        <w:separator/>
      </w:r>
    </w:p>
  </w:endnote>
  <w:endnote w:type="continuationSeparator" w:id="0">
    <w:p w14:paraId="3871A263" w14:textId="77777777" w:rsidR="00984008" w:rsidRDefault="00984008" w:rsidP="003E5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Nova">
    <w:altName w:val="Arial"/>
    <w:panose1 w:val="020B06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w:altName w:val="Times New Roman"/>
    <w:panose1 w:val="00000500000000020000"/>
    <w:charset w:val="00"/>
    <w:family w:val="auto"/>
    <w:pitch w:val="variable"/>
    <w:sig w:usb0="E00002FF" w:usb1="5000205A"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2581262"/>
      <w:docPartObj>
        <w:docPartGallery w:val="Page Numbers (Bottom of Page)"/>
        <w:docPartUnique/>
      </w:docPartObj>
    </w:sdtPr>
    <w:sdtEndPr>
      <w:rPr>
        <w:rStyle w:val="PageNumber"/>
      </w:rPr>
    </w:sdtEndPr>
    <w:sdtContent>
      <w:p w14:paraId="366DB4A9" w14:textId="2707AF39" w:rsidR="00811FEC" w:rsidRDefault="00811FEC" w:rsidP="00AB71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E9DAD3" w14:textId="77777777" w:rsidR="00811FEC" w:rsidRDefault="00811F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Verdana" w:hAnsi="Verdana"/>
        <w:sz w:val="20"/>
        <w:szCs w:val="20"/>
      </w:rPr>
      <w:id w:val="-986789454"/>
      <w:docPartObj>
        <w:docPartGallery w:val="Page Numbers (Bottom of Page)"/>
        <w:docPartUnique/>
      </w:docPartObj>
    </w:sdtPr>
    <w:sdtEndPr>
      <w:rPr>
        <w:rStyle w:val="PageNumber"/>
        <w:sz w:val="16"/>
        <w:szCs w:val="16"/>
      </w:rPr>
    </w:sdtEndPr>
    <w:sdtContent>
      <w:p w14:paraId="16D80841" w14:textId="60D10A05" w:rsidR="00811FEC" w:rsidRPr="008C410E" w:rsidRDefault="00811FEC" w:rsidP="00AB7155">
        <w:pPr>
          <w:pStyle w:val="Footer"/>
          <w:framePr w:wrap="none" w:vAnchor="text" w:hAnchor="margin" w:xAlign="center" w:y="1"/>
          <w:rPr>
            <w:rStyle w:val="PageNumber"/>
            <w:rFonts w:ascii="Verdana" w:hAnsi="Verdana"/>
            <w:sz w:val="20"/>
            <w:szCs w:val="20"/>
          </w:rPr>
        </w:pPr>
        <w:r w:rsidRPr="008C410E">
          <w:rPr>
            <w:rStyle w:val="PageNumber"/>
            <w:rFonts w:ascii="Verdana" w:hAnsi="Verdana"/>
            <w:sz w:val="20"/>
            <w:szCs w:val="20"/>
          </w:rPr>
          <w:fldChar w:fldCharType="begin"/>
        </w:r>
        <w:r w:rsidRPr="008C410E">
          <w:rPr>
            <w:rStyle w:val="PageNumber"/>
            <w:rFonts w:ascii="Verdana" w:hAnsi="Verdana"/>
            <w:sz w:val="20"/>
            <w:szCs w:val="20"/>
          </w:rPr>
          <w:instrText xml:space="preserve"> PAGE </w:instrText>
        </w:r>
        <w:r w:rsidRPr="008C410E">
          <w:rPr>
            <w:rStyle w:val="PageNumber"/>
            <w:rFonts w:ascii="Verdana" w:hAnsi="Verdana"/>
            <w:sz w:val="20"/>
            <w:szCs w:val="20"/>
          </w:rPr>
          <w:fldChar w:fldCharType="separate"/>
        </w:r>
        <w:r w:rsidR="00980823">
          <w:rPr>
            <w:rStyle w:val="PageNumber"/>
            <w:rFonts w:ascii="Verdana" w:hAnsi="Verdana"/>
            <w:noProof/>
            <w:sz w:val="20"/>
            <w:szCs w:val="20"/>
          </w:rPr>
          <w:t>9</w:t>
        </w:r>
        <w:r w:rsidRPr="008C410E">
          <w:rPr>
            <w:rStyle w:val="PageNumber"/>
            <w:rFonts w:ascii="Verdana" w:hAnsi="Verdana"/>
            <w:sz w:val="20"/>
            <w:szCs w:val="20"/>
          </w:rPr>
          <w:fldChar w:fldCharType="end"/>
        </w:r>
      </w:p>
    </w:sdtContent>
  </w:sdt>
  <w:p w14:paraId="58699AB1" w14:textId="77777777" w:rsidR="00811FEC" w:rsidRDefault="00811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0CF65" w14:textId="77777777" w:rsidR="00984008" w:rsidRDefault="00984008" w:rsidP="003E5631">
      <w:r>
        <w:separator/>
      </w:r>
    </w:p>
  </w:footnote>
  <w:footnote w:type="continuationSeparator" w:id="0">
    <w:p w14:paraId="140091AA" w14:textId="77777777" w:rsidR="00984008" w:rsidRDefault="00984008" w:rsidP="003E5631">
      <w:r>
        <w:continuationSeparator/>
      </w:r>
    </w:p>
  </w:footnote>
  <w:footnote w:id="1">
    <w:p w14:paraId="051A7E67" w14:textId="17FE55AE" w:rsidR="00811FEC" w:rsidRPr="002E0E3B" w:rsidRDefault="00811FEC" w:rsidP="009602A8">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In recent years, the UN Secretary-General, the Office of the High Commissioner for Human Rights, and global and regional human rights mechanisms, bodies and experts, as well as national courts, legislatures and domestic human rights institutions, have expressed concern about the harmful human rights impact of criminal laws proscribing, among other things, conduct associated with:</w:t>
      </w:r>
      <w:r w:rsidRPr="002E0E3B">
        <w:rPr>
          <w:rFonts w:ascii="Verdana" w:hAnsi="Verdana" w:cs="Times"/>
          <w:color w:val="000000"/>
          <w:sz w:val="16"/>
          <w:szCs w:val="16"/>
          <w:lang w:val="en-US"/>
        </w:rPr>
        <w:t xml:space="preserve"> </w:t>
      </w:r>
      <w:r w:rsidRPr="002E0E3B">
        <w:rPr>
          <w:rFonts w:ascii="Verdana" w:hAnsi="Verdana"/>
          <w:sz w:val="16"/>
          <w:szCs w:val="16"/>
          <w:lang w:val="en-US"/>
        </w:rPr>
        <w:t>sexual and reproductive health and rights; consensual sexual activity; gender identity; gender expression; HIV non- disclosure, exposure and transmission; drug use and the possession of drugs for personal use; and homelessness and poverty. They have called for the removal of criminal and other punitive laws, policies and practices pertaining to some or all of the above-mentioned conduct as a critical step to protect the right to health and other human rights. In March 2023, the ICJ published “</w:t>
      </w:r>
      <w:r w:rsidRPr="002E0E3B">
        <w:rPr>
          <w:rFonts w:ascii="Verdana" w:hAnsi="Verdana"/>
          <w:i/>
          <w:iCs/>
          <w:sz w:val="16"/>
          <w:szCs w:val="16"/>
          <w:lang w:val="en-US"/>
        </w:rPr>
        <w:t>The 8 March Principles for a Human Rights-Based Approach to Criminal Law Proscribing Conduct Associated with Sex, Reproduction, Drug Use, HIV, Homelessness and Poverty</w:t>
      </w:r>
      <w:r w:rsidRPr="002E0E3B">
        <w:rPr>
          <w:rFonts w:ascii="Verdana" w:hAnsi="Verdana"/>
          <w:iCs/>
          <w:sz w:val="16"/>
          <w:szCs w:val="16"/>
          <w:lang w:val="en-US"/>
        </w:rPr>
        <w:t xml:space="preserve">”. </w:t>
      </w:r>
      <w:r w:rsidRPr="002E0E3B">
        <w:rPr>
          <w:rFonts w:ascii="Verdana" w:hAnsi="Verdana"/>
          <w:sz w:val="16"/>
          <w:szCs w:val="16"/>
          <w:lang w:val="en-US"/>
        </w:rPr>
        <w:t xml:space="preserve">The Principles are based on general principles of criminal law and international human rights law and standards. They seek to offer a clear, accessible and workable legal framework – as well as practical legal guidance – on applying the criminal law to conduct associated with: sexual and reproductive health and rights, including termination of pregnancy; consensual sexual activities, including in contexts such as sex outside marriage, same-sex sexual relations, adolescent sexual activity and sex work; gender identity and gender expression; HIV non-disclosure, exposure or transmission; drug use and the possession of drugs for personal use; and homelessness and poverty. </w:t>
      </w:r>
      <w:r w:rsidRPr="002E0E3B">
        <w:rPr>
          <w:rFonts w:ascii="Verdana" w:hAnsi="Verdana"/>
          <w:sz w:val="16"/>
          <w:szCs w:val="16"/>
        </w:rPr>
        <w:t xml:space="preserve">ICJ, </w:t>
      </w:r>
      <w:r w:rsidRPr="002E0E3B">
        <w:rPr>
          <w:rFonts w:ascii="Verdana" w:hAnsi="Verdana"/>
          <w:i/>
          <w:sz w:val="16"/>
          <w:szCs w:val="16"/>
        </w:rPr>
        <w:t>The 8 March Principles for a Human Rights-Based Approach to Criminal Law Proscribing Conduct Associated with Sex, Reproduction, Drug Use, HIV, Homelessness and Poverty</w:t>
      </w:r>
      <w:r w:rsidRPr="002E0E3B">
        <w:rPr>
          <w:rFonts w:ascii="Verdana" w:hAnsi="Verdana"/>
          <w:sz w:val="16"/>
          <w:szCs w:val="16"/>
        </w:rPr>
        <w:t xml:space="preserve">, March 2023 (“ICJ, 8 March Principles”), available at: </w:t>
      </w:r>
      <w:hyperlink r:id="rId1" w:history="1">
        <w:r w:rsidRPr="002E0E3B">
          <w:rPr>
            <w:rStyle w:val="Hyperlink"/>
            <w:rFonts w:ascii="Verdana" w:hAnsi="Verdana"/>
            <w:sz w:val="16"/>
            <w:szCs w:val="16"/>
          </w:rPr>
          <w:t>https://icj2.wpenginepowered.com/wp-content/uploads/2023/03/8-March-Principles-Report_final_print-version.pdf</w:t>
        </w:r>
      </w:hyperlink>
      <w:r w:rsidRPr="002E0E3B">
        <w:rPr>
          <w:rFonts w:ascii="Verdana" w:hAnsi="Verdana"/>
          <w:sz w:val="16"/>
          <w:szCs w:val="16"/>
        </w:rPr>
        <w:t xml:space="preserve">. </w:t>
      </w:r>
    </w:p>
  </w:footnote>
  <w:footnote w:id="2">
    <w:p w14:paraId="319DB07A" w14:textId="4BA49D47" w:rsidR="00811FEC" w:rsidRPr="002E0E3B" w:rsidRDefault="00811FEC">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521713">
        <w:rPr>
          <w:rFonts w:ascii="Verdana" w:hAnsi="Verdana"/>
          <w:sz w:val="16"/>
          <w:szCs w:val="16"/>
        </w:rPr>
        <w:t xml:space="preserve">Article 258, </w:t>
      </w:r>
      <w:r w:rsidRPr="002E0E3B">
        <w:rPr>
          <w:rFonts w:ascii="Verdana" w:hAnsi="Verdana"/>
          <w:sz w:val="16"/>
          <w:szCs w:val="16"/>
        </w:rPr>
        <w:t>RPC</w:t>
      </w:r>
      <w:r w:rsidR="00521713">
        <w:rPr>
          <w:rFonts w:ascii="Verdana" w:hAnsi="Verdana"/>
          <w:sz w:val="16"/>
          <w:szCs w:val="16"/>
        </w:rPr>
        <w:t xml:space="preserve">: </w:t>
      </w:r>
      <w:r w:rsidRPr="002E0E3B">
        <w:rPr>
          <w:rFonts w:ascii="Verdana" w:hAnsi="Verdana"/>
          <w:sz w:val="16"/>
          <w:szCs w:val="16"/>
          <w:lang w:val="en-US"/>
        </w:rPr>
        <w:t xml:space="preserve">namely, when the woman concerned </w:t>
      </w:r>
      <w:proofErr w:type="spellStart"/>
      <w:r w:rsidRPr="002E0E3B">
        <w:rPr>
          <w:rFonts w:ascii="Verdana" w:hAnsi="Verdana"/>
          <w:sz w:val="16"/>
          <w:szCs w:val="16"/>
          <w:lang w:val="en-US"/>
        </w:rPr>
        <w:t>practised</w:t>
      </w:r>
      <w:proofErr w:type="spellEnd"/>
      <w:r w:rsidRPr="002E0E3B">
        <w:rPr>
          <w:rFonts w:ascii="Verdana" w:hAnsi="Verdana"/>
          <w:sz w:val="16"/>
          <w:szCs w:val="16"/>
          <w:lang w:val="en-US"/>
        </w:rPr>
        <w:t xml:space="preserve"> the abortion on herself.</w:t>
      </w:r>
    </w:p>
  </w:footnote>
  <w:footnote w:id="3">
    <w:p w14:paraId="195B38AC" w14:textId="28E4AA7C" w:rsidR="00811FEC" w:rsidRPr="002E0E3B" w:rsidRDefault="00811FEC">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521713">
        <w:rPr>
          <w:rFonts w:ascii="Verdana" w:hAnsi="Verdana"/>
          <w:sz w:val="16"/>
          <w:szCs w:val="16"/>
        </w:rPr>
        <w:t xml:space="preserve">Articles 256 – 257, </w:t>
      </w:r>
      <w:r w:rsidRPr="002E0E3B">
        <w:rPr>
          <w:rFonts w:ascii="Verdana" w:hAnsi="Verdana"/>
          <w:sz w:val="16"/>
          <w:szCs w:val="16"/>
          <w:lang w:val="en-US"/>
        </w:rPr>
        <w:t>RPC</w:t>
      </w:r>
      <w:r w:rsidR="00521713">
        <w:rPr>
          <w:rFonts w:ascii="Verdana" w:hAnsi="Verdana"/>
          <w:sz w:val="16"/>
          <w:szCs w:val="16"/>
          <w:lang w:val="en-US"/>
        </w:rPr>
        <w:t xml:space="preserve">. </w:t>
      </w:r>
    </w:p>
  </w:footnote>
  <w:footnote w:id="4">
    <w:p w14:paraId="7AD0BAB1" w14:textId="140C4BA8" w:rsidR="00811FEC" w:rsidRPr="002E0E3B" w:rsidRDefault="00811FEC" w:rsidP="007D0B3D">
      <w:pPr>
        <w:pStyle w:val="FootnoteText"/>
        <w:jc w:val="both"/>
        <w:rPr>
          <w:rFonts w:ascii="Verdana" w:hAnsi="Verdana"/>
          <w:sz w:val="16"/>
          <w:szCs w:val="16"/>
          <w:lang w:val="fr-FR"/>
        </w:rPr>
      </w:pPr>
      <w:r w:rsidRPr="002E0E3B">
        <w:rPr>
          <w:rStyle w:val="FootnoteReference"/>
          <w:rFonts w:ascii="Verdana" w:hAnsi="Verdana"/>
          <w:sz w:val="16"/>
          <w:szCs w:val="16"/>
        </w:rPr>
        <w:footnoteRef/>
      </w:r>
      <w:r w:rsidRPr="002E0E3B">
        <w:rPr>
          <w:rFonts w:ascii="Verdana" w:hAnsi="Verdana"/>
          <w:sz w:val="16"/>
          <w:szCs w:val="16"/>
        </w:rPr>
        <w:t xml:space="preserve"> With respect to the criminalization of abortion, Principle 15 of </w:t>
      </w:r>
      <w:r w:rsidR="00470217" w:rsidRPr="002E0E3B">
        <w:rPr>
          <w:rFonts w:ascii="Verdana" w:hAnsi="Verdana"/>
          <w:sz w:val="16"/>
          <w:szCs w:val="16"/>
        </w:rPr>
        <w:t xml:space="preserve">the 8 March Principles </w:t>
      </w:r>
      <w:r w:rsidRPr="002E0E3B">
        <w:rPr>
          <w:rFonts w:ascii="Verdana" w:hAnsi="Verdana"/>
          <w:sz w:val="16"/>
          <w:szCs w:val="16"/>
          <w:lang w:val="en-PH"/>
        </w:rPr>
        <w:t>affirms that</w:t>
      </w:r>
      <w:r w:rsidR="002C7CA9" w:rsidRPr="002E0E3B">
        <w:rPr>
          <w:rFonts w:ascii="Verdana" w:hAnsi="Verdana"/>
          <w:sz w:val="16"/>
          <w:szCs w:val="16"/>
          <w:lang w:val="en-PH"/>
        </w:rPr>
        <w:t>:</w:t>
      </w:r>
      <w:r w:rsidRPr="002E0E3B">
        <w:rPr>
          <w:rFonts w:ascii="Verdana" w:hAnsi="Verdana"/>
          <w:sz w:val="16"/>
          <w:szCs w:val="16"/>
          <w:lang w:val="en-PH"/>
        </w:rPr>
        <w:t xml:space="preserve"> “No one may be held criminally liable for their pregnancy loss, including a pregnancy loss resulting from an obstetric emergency, such as a miscarriage or stillbirth, or for attempting or undergoing an abortion or for other decisions they make around their pregnancy or childbirth. Criminal law may not proscribe abortion. Abortion must be taken entirely out of the purview of the criminal law, including for having, aiding, assisting with, or providing an abortion, or abortion-related medication or services, or providing evidence- based abortion-related information. No other criminal offence, such as murder, manslaughter or any other form of unlawful homicide, may proscribe or be applied to having, aiding, assisting with, or providing an abortion, or abortion-related medication or services, or providing evidence-based abortion-related information.”</w:t>
      </w:r>
    </w:p>
  </w:footnote>
  <w:footnote w:id="5">
    <w:p w14:paraId="5B99DF25" w14:textId="76B02C18"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lang w:val="en-US"/>
        </w:rPr>
        <w:t xml:space="preserve"> For example, the UN Human Rights Committee, in its Concluding Observations on the Philippines raised concern that “abortion remains criminalized in the [Philippines], which leads women to seek clandestine abortion services that endanger their lives and health. [The Committee] is concerned by reports of harassment of women and girls who have or seek abortions and of routine interrogation and recording by hospital staff of those who seek post-abortion health care”, </w:t>
      </w:r>
      <w:r w:rsidRPr="002E0E3B">
        <w:rPr>
          <w:rFonts w:ascii="Verdana" w:hAnsi="Verdana"/>
          <w:sz w:val="16"/>
          <w:szCs w:val="16"/>
          <w:lang w:val="en-PH"/>
        </w:rPr>
        <w:t xml:space="preserve">UN Human Rights Committee, </w:t>
      </w:r>
      <w:r w:rsidR="00634E7A" w:rsidRPr="002E0E3B">
        <w:rPr>
          <w:rFonts w:ascii="Verdana" w:hAnsi="Verdana"/>
          <w:i/>
          <w:sz w:val="16"/>
          <w:szCs w:val="16"/>
          <w:lang w:val="en-PH"/>
        </w:rPr>
        <w:t xml:space="preserve">Concluding observations on the fifth periodic report of the </w:t>
      </w:r>
      <w:r w:rsidR="00634E7A" w:rsidRPr="002E0E3B">
        <w:rPr>
          <w:rFonts w:ascii="Verdana" w:hAnsi="Verdana"/>
          <w:sz w:val="16"/>
          <w:szCs w:val="16"/>
          <w:lang w:val="en-PH"/>
        </w:rPr>
        <w:t>Philippines, UN Doc. CCPR/C/PHL/CO/5, 30 November 2022, para</w:t>
      </w:r>
      <w:r w:rsidR="002C7CA9" w:rsidRPr="002E0E3B">
        <w:rPr>
          <w:rFonts w:ascii="Verdana" w:hAnsi="Verdana"/>
          <w:sz w:val="16"/>
          <w:szCs w:val="16"/>
          <w:lang w:val="en-PH"/>
        </w:rPr>
        <w:t xml:space="preserve">s. 21 – 22; </w:t>
      </w:r>
      <w:r w:rsidRPr="002E0E3B">
        <w:rPr>
          <w:rFonts w:ascii="Verdana" w:hAnsi="Verdana"/>
          <w:sz w:val="16"/>
          <w:szCs w:val="16"/>
          <w:lang w:val="en-PH"/>
        </w:rPr>
        <w:t>s</w:t>
      </w:r>
      <w:proofErr w:type="spellStart"/>
      <w:r w:rsidRPr="002E0E3B">
        <w:rPr>
          <w:rFonts w:ascii="Verdana" w:hAnsi="Verdana"/>
          <w:sz w:val="16"/>
          <w:szCs w:val="16"/>
        </w:rPr>
        <w:t>ee</w:t>
      </w:r>
      <w:proofErr w:type="spellEnd"/>
      <w:r w:rsidRPr="002E0E3B">
        <w:rPr>
          <w:rFonts w:ascii="Verdana" w:hAnsi="Verdana"/>
          <w:sz w:val="16"/>
          <w:szCs w:val="16"/>
        </w:rPr>
        <w:t xml:space="preserve"> also, </w:t>
      </w:r>
      <w:r w:rsidRPr="002E0E3B">
        <w:rPr>
          <w:rFonts w:ascii="Verdana" w:hAnsi="Verdana"/>
          <w:sz w:val="16"/>
          <w:szCs w:val="16"/>
          <w:lang w:val="en-US"/>
        </w:rPr>
        <w:t xml:space="preserve">Human Rights Committee, </w:t>
      </w:r>
      <w:r w:rsidRPr="002E0E3B">
        <w:rPr>
          <w:rFonts w:ascii="Verdana" w:hAnsi="Verdana"/>
          <w:i/>
          <w:sz w:val="16"/>
          <w:szCs w:val="16"/>
          <w:lang w:val="en-US"/>
        </w:rPr>
        <w:t>General Comment No. 36</w:t>
      </w:r>
      <w:r w:rsidR="002C7CA9" w:rsidRPr="002E0E3B">
        <w:rPr>
          <w:rFonts w:ascii="Verdana" w:hAnsi="Verdana"/>
          <w:i/>
          <w:sz w:val="16"/>
          <w:szCs w:val="16"/>
          <w:lang w:val="en-US"/>
        </w:rPr>
        <w:t>, Article 6: right to life</w:t>
      </w:r>
      <w:r w:rsidR="002C7CA9" w:rsidRPr="002E0E3B">
        <w:rPr>
          <w:rFonts w:ascii="Verdana" w:hAnsi="Verdana"/>
          <w:sz w:val="16"/>
          <w:szCs w:val="16"/>
          <w:lang w:val="en-US"/>
        </w:rPr>
        <w:t xml:space="preserve">, UN Doc. CCPR/C/GC/36, 3 September 2019, para. 8. </w:t>
      </w:r>
    </w:p>
  </w:footnote>
  <w:footnote w:id="6">
    <w:p w14:paraId="39128547" w14:textId="35BCD044"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cstheme="minorHAnsi"/>
          <w:sz w:val="16"/>
          <w:szCs w:val="16"/>
          <w:lang w:val="en-US"/>
        </w:rPr>
        <w:t xml:space="preserve">Committee on Economic, Social and Cultural Rights, </w:t>
      </w:r>
      <w:r w:rsidRPr="002E0E3B">
        <w:rPr>
          <w:rFonts w:ascii="Verdana" w:hAnsi="Verdana" w:cstheme="minorHAnsi"/>
          <w:i/>
          <w:sz w:val="16"/>
          <w:szCs w:val="16"/>
          <w:lang w:val="en-US"/>
        </w:rPr>
        <w:t xml:space="preserve">General </w:t>
      </w:r>
      <w:r w:rsidR="00177D24" w:rsidRPr="002E0E3B">
        <w:rPr>
          <w:rFonts w:ascii="Verdana" w:hAnsi="Verdana" w:cstheme="minorHAnsi"/>
          <w:i/>
          <w:sz w:val="16"/>
          <w:szCs w:val="16"/>
          <w:lang w:val="en-US"/>
        </w:rPr>
        <w:t>c</w:t>
      </w:r>
      <w:r w:rsidRPr="002E0E3B">
        <w:rPr>
          <w:rFonts w:ascii="Verdana" w:hAnsi="Verdana" w:cstheme="minorHAnsi"/>
          <w:i/>
          <w:sz w:val="16"/>
          <w:szCs w:val="16"/>
          <w:lang w:val="en-US"/>
        </w:rPr>
        <w:t xml:space="preserve">omment </w:t>
      </w:r>
      <w:r w:rsidR="00177D24" w:rsidRPr="002E0E3B">
        <w:rPr>
          <w:rFonts w:ascii="Verdana" w:hAnsi="Verdana" w:cstheme="minorHAnsi"/>
          <w:i/>
          <w:sz w:val="16"/>
          <w:szCs w:val="16"/>
          <w:lang w:val="en-US"/>
        </w:rPr>
        <w:t>No. 22 (2016) on the right to sexual and reproductive health (article 12 of the International Covenant on Economic, Social and Cultural Rights)</w:t>
      </w:r>
      <w:r w:rsidR="00177D24" w:rsidRPr="002E0E3B">
        <w:rPr>
          <w:rFonts w:ascii="Verdana" w:hAnsi="Verdana" w:cstheme="minorHAnsi"/>
          <w:sz w:val="16"/>
          <w:szCs w:val="16"/>
          <w:lang w:val="en-US"/>
        </w:rPr>
        <w:t xml:space="preserve">, UN Doc. E/C.12/GC/22, 2 May 2016, paras. 34, 40. </w:t>
      </w:r>
    </w:p>
  </w:footnote>
  <w:footnote w:id="7">
    <w:p w14:paraId="5D9735AC" w14:textId="6E35E2F6"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Committee on the Elimination of Discrimination against Women, </w:t>
      </w:r>
      <w:r w:rsidRPr="002E0E3B">
        <w:rPr>
          <w:rFonts w:ascii="Verdana" w:hAnsi="Verdana"/>
          <w:i/>
          <w:sz w:val="16"/>
          <w:szCs w:val="16"/>
        </w:rPr>
        <w:t>General Recommendation No. 24: Article 12 of the Convention (Women and Health)</w:t>
      </w:r>
      <w:r w:rsidRPr="002E0E3B">
        <w:rPr>
          <w:rFonts w:ascii="Verdana" w:hAnsi="Verdana"/>
          <w:sz w:val="16"/>
          <w:szCs w:val="16"/>
        </w:rPr>
        <w:t>, UN Doc. A/54/38/Rev.1, chap. I, 1999, para. 14.</w:t>
      </w:r>
    </w:p>
  </w:footnote>
  <w:footnote w:id="8">
    <w:p w14:paraId="3981F8E2" w14:textId="560F30BF"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Article 333</w:t>
      </w:r>
      <w:r w:rsidR="00521713">
        <w:rPr>
          <w:rFonts w:ascii="Verdana" w:hAnsi="Verdana"/>
          <w:sz w:val="16"/>
          <w:szCs w:val="16"/>
          <w:lang w:val="en-US"/>
        </w:rPr>
        <w:t>, RPC</w:t>
      </w:r>
      <w:r w:rsidRPr="002E0E3B">
        <w:rPr>
          <w:rFonts w:ascii="Verdana" w:hAnsi="Verdana"/>
          <w:sz w:val="16"/>
          <w:szCs w:val="16"/>
          <w:lang w:val="en-US"/>
        </w:rPr>
        <w:t>.</w:t>
      </w:r>
    </w:p>
  </w:footnote>
  <w:footnote w:id="9">
    <w:p w14:paraId="7ABD538A" w14:textId="1FCDEA94" w:rsidR="00205CD5" w:rsidRPr="002E0E3B" w:rsidRDefault="00205CD5" w:rsidP="00205CD5">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Article 334</w:t>
      </w:r>
      <w:r w:rsidR="00521713">
        <w:rPr>
          <w:rFonts w:ascii="Verdana" w:hAnsi="Verdana"/>
          <w:sz w:val="16"/>
          <w:szCs w:val="16"/>
          <w:lang w:val="en-US"/>
        </w:rPr>
        <w:t>, RPC</w:t>
      </w:r>
      <w:r w:rsidRPr="002E0E3B">
        <w:rPr>
          <w:rFonts w:ascii="Verdana" w:hAnsi="Verdana"/>
          <w:sz w:val="16"/>
          <w:szCs w:val="16"/>
          <w:lang w:val="en-US"/>
        </w:rPr>
        <w:t>.</w:t>
      </w:r>
    </w:p>
  </w:footnote>
  <w:footnote w:id="10">
    <w:p w14:paraId="2FDDD5A3" w14:textId="77777777" w:rsidR="00811FEC" w:rsidRPr="002E0E3B" w:rsidRDefault="00811FEC" w:rsidP="009602A8">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ICJ, 8 March Principles, Principle 16.</w:t>
      </w:r>
    </w:p>
  </w:footnote>
  <w:footnote w:id="11">
    <w:p w14:paraId="6B2AC196" w14:textId="72636F7E"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C61640" w:rsidRPr="002E0E3B">
        <w:rPr>
          <w:rFonts w:ascii="Verdana" w:hAnsi="Verdana"/>
          <w:sz w:val="16"/>
          <w:szCs w:val="16"/>
        </w:rPr>
        <w:t xml:space="preserve">The 8 March Principles, </w:t>
      </w:r>
      <w:r w:rsidRPr="002E0E3B">
        <w:rPr>
          <w:rFonts w:ascii="Verdana" w:hAnsi="Verdana"/>
          <w:iCs/>
          <w:sz w:val="16"/>
          <w:szCs w:val="16"/>
          <w:lang w:val="en-US"/>
        </w:rPr>
        <w:t xml:space="preserve">among other things, </w:t>
      </w:r>
      <w:r w:rsidRPr="002E0E3B">
        <w:rPr>
          <w:rFonts w:ascii="Verdana" w:hAnsi="Verdana"/>
          <w:sz w:val="16"/>
          <w:szCs w:val="16"/>
          <w:lang w:val="en-US"/>
        </w:rPr>
        <w:t>emphasize that consensual sexual conduct, irrespective of the marital status of the people involved, may not be criminalized in any circumstances. See, Principle 16, which, among other things states “[c]</w:t>
      </w:r>
      <w:proofErr w:type="spellStart"/>
      <w:r w:rsidRPr="002E0E3B">
        <w:rPr>
          <w:rFonts w:ascii="Verdana" w:hAnsi="Verdana"/>
          <w:sz w:val="16"/>
          <w:szCs w:val="16"/>
          <w:lang w:val="en-US"/>
        </w:rPr>
        <w:t>onsensual</w:t>
      </w:r>
      <w:proofErr w:type="spellEnd"/>
      <w:r w:rsidRPr="002E0E3B">
        <w:rPr>
          <w:rFonts w:ascii="Verdana" w:hAnsi="Verdana"/>
          <w:sz w:val="16"/>
          <w:szCs w:val="16"/>
          <w:lang w:val="en-US"/>
        </w:rPr>
        <w:t xml:space="preserve"> sexual conduct, irrespective of the type of sexual activity, the sex/ gender, sexual orientation, gender identity or gender expression of the people involved or their marital status, may not be criminalized in any circumstances. Consensual same-sex, as well as consensual different-sex sexual relations, or consensual sexual relations with or between trans, non-binary and other gender-diverse people, or outside marriage – whether pre-marital or extramarital – may, therefore, never be criminalized.”</w:t>
      </w:r>
    </w:p>
  </w:footnote>
  <w:footnote w:id="12">
    <w:p w14:paraId="4AA507F9" w14:textId="77777777"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UN General Assembly, </w:t>
      </w:r>
      <w:r w:rsidRPr="002E0E3B">
        <w:rPr>
          <w:rFonts w:ascii="Verdana" w:hAnsi="Verdana"/>
          <w:i/>
          <w:sz w:val="16"/>
          <w:szCs w:val="16"/>
        </w:rPr>
        <w:t>Resolution adopted by the General Assembly, 65/229. United Nations Rules for the Treatment of Women Prisoners and Non-custodial Measures for Women Offenders (the Bangkok Rules)</w:t>
      </w:r>
      <w:r w:rsidRPr="002E0E3B">
        <w:rPr>
          <w:rFonts w:ascii="Verdana" w:hAnsi="Verdana"/>
          <w:sz w:val="16"/>
          <w:szCs w:val="16"/>
        </w:rPr>
        <w:t xml:space="preserve">, UN Doc. A/RES/65/229, 16 March 2011. </w:t>
      </w:r>
    </w:p>
  </w:footnote>
  <w:footnote w:id="13">
    <w:p w14:paraId="1FFC53B6" w14:textId="77777777" w:rsidR="00811FEC" w:rsidRPr="002E0E3B" w:rsidRDefault="00811FEC" w:rsidP="009602A8">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See, for instance, the operation manuals available at: </w:t>
      </w:r>
      <w:hyperlink r:id="rId2" w:history="1">
        <w:r w:rsidRPr="002E0E3B">
          <w:rPr>
            <w:rStyle w:val="Hyperlink"/>
            <w:rFonts w:ascii="Verdana" w:hAnsi="Verdana"/>
            <w:sz w:val="16"/>
            <w:szCs w:val="16"/>
          </w:rPr>
          <w:t>https://bucor.gov.ph/wp-content/uploads/2021/12/BUCOR-OPERATING-MANUAL-Part-2.pdf</w:t>
        </w:r>
      </w:hyperlink>
      <w:r w:rsidRPr="002E0E3B">
        <w:rPr>
          <w:rFonts w:ascii="Verdana" w:hAnsi="Verdana"/>
          <w:sz w:val="16"/>
          <w:szCs w:val="16"/>
        </w:rPr>
        <w:t xml:space="preserve">; and </w:t>
      </w:r>
      <w:hyperlink r:id="rId3" w:history="1">
        <w:r w:rsidRPr="002E0E3B">
          <w:rPr>
            <w:rStyle w:val="Hyperlink"/>
            <w:rFonts w:ascii="Verdana" w:hAnsi="Verdana"/>
            <w:sz w:val="16"/>
            <w:szCs w:val="16"/>
          </w:rPr>
          <w:t>https://bjmp.gov.ph/index.php/manuals</w:t>
        </w:r>
      </w:hyperlink>
      <w:r w:rsidRPr="002E0E3B">
        <w:rPr>
          <w:rFonts w:ascii="Verdana" w:hAnsi="Verdana"/>
          <w:sz w:val="16"/>
          <w:szCs w:val="16"/>
        </w:rPr>
        <w:t xml:space="preserve">. </w:t>
      </w:r>
    </w:p>
  </w:footnote>
  <w:footnote w:id="14">
    <w:p w14:paraId="56344AD9" w14:textId="64216552" w:rsidR="00811FEC" w:rsidRPr="002E0E3B" w:rsidRDefault="00811FEC" w:rsidP="009602A8">
      <w:pPr>
        <w:pStyle w:val="FootnoteText"/>
        <w:jc w:val="both"/>
        <w:rPr>
          <w:rFonts w:ascii="Verdana" w:hAnsi="Verdana"/>
          <w:iCs/>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Commission on Human Rights Center for Gender Equality and Women’s Human Rights, </w:t>
      </w:r>
      <w:r w:rsidRPr="002E0E3B">
        <w:rPr>
          <w:rFonts w:ascii="Verdana" w:hAnsi="Verdana"/>
          <w:i/>
          <w:iCs/>
          <w:sz w:val="16"/>
          <w:szCs w:val="16"/>
          <w:lang w:val="en-US"/>
        </w:rPr>
        <w:t>Inside Stories: A Report on the Situation of Women Deprived of Liberty from Select Detention Facilities</w:t>
      </w:r>
      <w:r w:rsidRPr="002E0E3B">
        <w:rPr>
          <w:rFonts w:ascii="Verdana" w:hAnsi="Verdana"/>
          <w:iCs/>
          <w:sz w:val="16"/>
          <w:szCs w:val="16"/>
          <w:lang w:val="en-US"/>
        </w:rPr>
        <w:t xml:space="preserve">, 2019, available at: </w:t>
      </w:r>
      <w:hyperlink r:id="rId4" w:history="1">
        <w:r w:rsidRPr="002E0E3B">
          <w:rPr>
            <w:rStyle w:val="Hyperlink"/>
            <w:rFonts w:ascii="Verdana" w:hAnsi="Verdana"/>
            <w:iCs/>
            <w:sz w:val="16"/>
            <w:szCs w:val="16"/>
            <w:lang w:val="en-US"/>
          </w:rPr>
          <w:t>https://chr.gov.ph/wp-content/uploads/2022/01/Inside-Stories-A-Report-on-the-Situation-of-Women-Deprived-of-Liberty-from-Select-Detention-Facilities.pdf</w:t>
        </w:r>
      </w:hyperlink>
      <w:r w:rsidRPr="002E0E3B">
        <w:rPr>
          <w:rFonts w:ascii="Verdana" w:hAnsi="Verdana"/>
          <w:iCs/>
          <w:sz w:val="16"/>
          <w:szCs w:val="16"/>
          <w:lang w:val="en-US"/>
        </w:rPr>
        <w:t xml:space="preserve">. </w:t>
      </w:r>
    </w:p>
  </w:footnote>
  <w:footnote w:id="15">
    <w:p w14:paraId="2F2854AE" w14:textId="68F51479"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Section 34(f), Bureau of Jail Management and Penology Comprehensive Operations Manual.</w:t>
      </w:r>
    </w:p>
  </w:footnote>
  <w:footnote w:id="16">
    <w:p w14:paraId="394555A0" w14:textId="41A31AF1"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These apply to </w:t>
      </w:r>
      <w:r w:rsidRPr="002E0E3B">
        <w:rPr>
          <w:rFonts w:ascii="Verdana" w:hAnsi="Verdana"/>
          <w:sz w:val="16"/>
          <w:szCs w:val="16"/>
          <w:lang w:val="en-US"/>
        </w:rPr>
        <w:t xml:space="preserve">individuals convicted to imprisonment of three years or more. </w:t>
      </w:r>
    </w:p>
  </w:footnote>
  <w:footnote w:id="17">
    <w:p w14:paraId="33F2C0BB" w14:textId="39ACE56A"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Bureau of Corrections Manual (Book 1, Part VI, Section 10 – 12)</w:t>
      </w:r>
      <w:r w:rsidR="00521713">
        <w:rPr>
          <w:rFonts w:ascii="Verdana" w:hAnsi="Verdana"/>
          <w:sz w:val="16"/>
          <w:szCs w:val="16"/>
        </w:rPr>
        <w:t>.</w:t>
      </w:r>
    </w:p>
  </w:footnote>
  <w:footnote w:id="18">
    <w:p w14:paraId="34BD8319" w14:textId="77777777" w:rsidR="005C5F6A" w:rsidRPr="002E0E3B" w:rsidRDefault="005C5F6A" w:rsidP="005C5F6A">
      <w:pPr>
        <w:pStyle w:val="FootnoteText"/>
        <w:jc w:val="both"/>
        <w:rPr>
          <w:rFonts w:ascii="Verdana" w:hAnsi="Verdana" w:cstheme="minorHAnsi"/>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World Prison Brief, </w:t>
      </w:r>
      <w:r w:rsidRPr="002E0E3B">
        <w:rPr>
          <w:rFonts w:ascii="Verdana" w:hAnsi="Verdana" w:cstheme="minorHAnsi"/>
          <w:sz w:val="16"/>
          <w:szCs w:val="16"/>
        </w:rPr>
        <w:t xml:space="preserve">"Philippines”, available at: </w:t>
      </w:r>
      <w:hyperlink r:id="rId5" w:history="1">
        <w:r w:rsidRPr="002E0E3B">
          <w:rPr>
            <w:rStyle w:val="Hyperlink"/>
            <w:rFonts w:ascii="Verdana" w:hAnsi="Verdana" w:cstheme="minorHAnsi"/>
            <w:sz w:val="16"/>
            <w:szCs w:val="16"/>
          </w:rPr>
          <w:t>https://www.prisonstudies.org/country/philippines</w:t>
        </w:r>
      </w:hyperlink>
      <w:r w:rsidRPr="002E0E3B">
        <w:rPr>
          <w:rFonts w:ascii="Verdana" w:hAnsi="Verdana" w:cstheme="minorHAnsi"/>
          <w:sz w:val="16"/>
          <w:szCs w:val="16"/>
        </w:rPr>
        <w:t xml:space="preserve">. </w:t>
      </w:r>
    </w:p>
  </w:footnote>
  <w:footnote w:id="19">
    <w:p w14:paraId="655B2308" w14:textId="11925A27" w:rsidR="005C5F6A" w:rsidRPr="002E0E3B" w:rsidRDefault="005C5F6A" w:rsidP="005C5F6A">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The drastic increase in the number of WDLs began in 2016, when the Philippines’ former President, Rodrigo Duterte, intensified his campaign against “illegal drugs”. Under this campaign, drug-related offences were treated with extreme severity, with emphasis on arrests and prosecutions. The approach has been widely criticized, including because it became synonymous with many reported extra-judicial killings by law enforcement agencies. According to the Commission on Human Rights of the Philippines (CHRP), the fear of extrajudicial killings led many individuals to surrender to authorities, contributing to a surge in the number of women in detention and exacerbating the issue of prison overcrowding. S</w:t>
      </w:r>
      <w:r w:rsidR="00D81CB3" w:rsidRPr="002E0E3B">
        <w:rPr>
          <w:rFonts w:ascii="Verdana" w:hAnsi="Verdana"/>
          <w:sz w:val="16"/>
          <w:szCs w:val="16"/>
          <w:lang w:val="en-US"/>
        </w:rPr>
        <w:t>ee,</w:t>
      </w:r>
      <w:r w:rsidRPr="002E0E3B">
        <w:rPr>
          <w:rFonts w:ascii="Verdana" w:hAnsi="Verdana"/>
          <w:sz w:val="16"/>
          <w:szCs w:val="16"/>
          <w:lang w:val="en-US"/>
        </w:rPr>
        <w:t xml:space="preserve"> </w:t>
      </w:r>
      <w:r w:rsidR="0024665F" w:rsidRPr="002E0E3B">
        <w:rPr>
          <w:rFonts w:ascii="Verdana" w:hAnsi="Verdana"/>
          <w:sz w:val="16"/>
          <w:szCs w:val="16"/>
        </w:rPr>
        <w:t xml:space="preserve">CHRP, </w:t>
      </w:r>
      <w:r w:rsidR="0024665F" w:rsidRPr="002E0E3B">
        <w:rPr>
          <w:rFonts w:ascii="Verdana" w:hAnsi="Verdana"/>
          <w:i/>
          <w:sz w:val="16"/>
          <w:szCs w:val="16"/>
        </w:rPr>
        <w:t>Submission on Deprivation of Liberty of Women and Girls</w:t>
      </w:r>
      <w:r w:rsidR="0024665F" w:rsidRPr="002E0E3B">
        <w:rPr>
          <w:rFonts w:ascii="Verdana" w:hAnsi="Verdana"/>
          <w:sz w:val="16"/>
          <w:szCs w:val="16"/>
        </w:rPr>
        <w:t xml:space="preserve">, 26 October 2018. </w:t>
      </w:r>
    </w:p>
  </w:footnote>
  <w:footnote w:id="20">
    <w:p w14:paraId="745BD8A6" w14:textId="3149A8EC" w:rsidR="005C5F6A" w:rsidRPr="002E0E3B" w:rsidRDefault="005C5F6A" w:rsidP="005C5F6A">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24665F" w:rsidRPr="002E0E3B">
        <w:rPr>
          <w:rFonts w:ascii="Verdana" w:hAnsi="Verdana"/>
          <w:i/>
          <w:sz w:val="16"/>
          <w:szCs w:val="16"/>
        </w:rPr>
        <w:t>Ibid</w:t>
      </w:r>
      <w:r w:rsidR="0024665F" w:rsidRPr="002E0E3B">
        <w:rPr>
          <w:rFonts w:ascii="Verdana" w:hAnsi="Verdana"/>
          <w:sz w:val="16"/>
          <w:szCs w:val="16"/>
        </w:rPr>
        <w:t>.</w:t>
      </w:r>
    </w:p>
  </w:footnote>
  <w:footnote w:id="21">
    <w:p w14:paraId="029343FB" w14:textId="505EAAED" w:rsidR="005C5F6A" w:rsidRPr="002E0E3B" w:rsidRDefault="005C5F6A" w:rsidP="005C5F6A">
      <w:pPr>
        <w:pStyle w:val="FootnoteText"/>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PH"/>
        </w:rPr>
        <w:t xml:space="preserve">Bureau of Jail Management and Penology, </w:t>
      </w:r>
      <w:r w:rsidR="00A16221" w:rsidRPr="002E0E3B">
        <w:rPr>
          <w:rFonts w:ascii="Verdana" w:hAnsi="Verdana"/>
          <w:sz w:val="16"/>
          <w:szCs w:val="16"/>
          <w:lang w:val="en-PH"/>
        </w:rPr>
        <w:t xml:space="preserve">BJMP Actual Jail Population Data, 30 September 2022, </w:t>
      </w:r>
      <w:r w:rsidRPr="002E0E3B">
        <w:rPr>
          <w:rFonts w:ascii="Verdana" w:hAnsi="Verdana"/>
          <w:sz w:val="16"/>
          <w:szCs w:val="16"/>
          <w:lang w:val="en-PH"/>
        </w:rPr>
        <w:t xml:space="preserve">available at </w:t>
      </w:r>
      <w:hyperlink r:id="rId6" w:history="1">
        <w:r w:rsidR="00A16221" w:rsidRPr="002E0E3B">
          <w:rPr>
            <w:rStyle w:val="Hyperlink"/>
            <w:rFonts w:ascii="Verdana" w:hAnsi="Verdana"/>
            <w:sz w:val="16"/>
            <w:szCs w:val="16"/>
            <w:lang w:val="en-PH"/>
          </w:rPr>
          <w:t>https://www.bjmp.gov.ph/images/data_and_stats/09-30-22/BJMP_Actual_PDL_Population_-_sep_2022.png</w:t>
        </w:r>
      </w:hyperlink>
      <w:r w:rsidR="00A16221" w:rsidRPr="002E0E3B">
        <w:rPr>
          <w:rFonts w:ascii="Verdana" w:hAnsi="Verdana"/>
          <w:sz w:val="16"/>
          <w:szCs w:val="16"/>
          <w:lang w:val="en-PH"/>
        </w:rPr>
        <w:t xml:space="preserve">. </w:t>
      </w:r>
    </w:p>
  </w:footnote>
  <w:footnote w:id="22">
    <w:p w14:paraId="66A3A868" w14:textId="23F7B02A" w:rsidR="005C5F6A" w:rsidRPr="002E0E3B" w:rsidRDefault="005C5F6A" w:rsidP="005C5F6A">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A16221" w:rsidRPr="002E0E3B">
        <w:rPr>
          <w:rFonts w:ascii="Verdana" w:hAnsi="Verdana"/>
          <w:sz w:val="16"/>
          <w:szCs w:val="16"/>
        </w:rPr>
        <w:t xml:space="preserve">Adrian </w:t>
      </w:r>
      <w:proofErr w:type="spellStart"/>
      <w:r w:rsidRPr="002E0E3B">
        <w:rPr>
          <w:rFonts w:ascii="Verdana" w:hAnsi="Verdana"/>
          <w:sz w:val="16"/>
          <w:szCs w:val="16"/>
        </w:rPr>
        <w:t>Ayalin</w:t>
      </w:r>
      <w:proofErr w:type="spellEnd"/>
      <w:r w:rsidRPr="002E0E3B">
        <w:rPr>
          <w:rFonts w:ascii="Verdana" w:hAnsi="Verdana"/>
          <w:sz w:val="16"/>
          <w:szCs w:val="16"/>
        </w:rPr>
        <w:t>,</w:t>
      </w:r>
      <w:r w:rsidR="00A16221" w:rsidRPr="002E0E3B">
        <w:rPr>
          <w:rFonts w:ascii="Verdana" w:hAnsi="Verdana"/>
          <w:sz w:val="16"/>
          <w:szCs w:val="16"/>
        </w:rPr>
        <w:t xml:space="preserve"> “Two-thirds of Philippine jails congested, says COA”, </w:t>
      </w:r>
      <w:r w:rsidR="00BF2558" w:rsidRPr="002E0E3B">
        <w:rPr>
          <w:rFonts w:ascii="Verdana" w:hAnsi="Verdana"/>
          <w:sz w:val="16"/>
          <w:szCs w:val="16"/>
        </w:rPr>
        <w:t xml:space="preserve">ABS-CBN News, 22 June 2023, available at: </w:t>
      </w:r>
      <w:hyperlink r:id="rId7" w:history="1">
        <w:r w:rsidR="00BF2558" w:rsidRPr="002E0E3B">
          <w:rPr>
            <w:rStyle w:val="Hyperlink"/>
            <w:rFonts w:ascii="Verdana" w:hAnsi="Verdana"/>
            <w:sz w:val="16"/>
            <w:szCs w:val="16"/>
          </w:rPr>
          <w:t>https://news.abs-cbn.com/news/06/22/23/two-thirds-of-philippine-jails-congested-coa</w:t>
        </w:r>
      </w:hyperlink>
      <w:r w:rsidR="00BF2558" w:rsidRPr="002E0E3B">
        <w:rPr>
          <w:rFonts w:ascii="Verdana" w:hAnsi="Verdana"/>
          <w:sz w:val="16"/>
          <w:szCs w:val="16"/>
        </w:rPr>
        <w:t xml:space="preserve">. </w:t>
      </w:r>
    </w:p>
  </w:footnote>
  <w:footnote w:id="23">
    <w:p w14:paraId="2F808EC7" w14:textId="2A63A1AC" w:rsidR="005C5F6A" w:rsidRPr="002E0E3B" w:rsidRDefault="005C5F6A" w:rsidP="005C5F6A">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i/>
          <w:iCs/>
          <w:sz w:val="16"/>
          <w:szCs w:val="16"/>
        </w:rPr>
        <w:t>I</w:t>
      </w:r>
      <w:r w:rsidR="00BF2558" w:rsidRPr="002E0E3B">
        <w:rPr>
          <w:rFonts w:ascii="Verdana" w:hAnsi="Verdana"/>
          <w:i/>
          <w:iCs/>
          <w:sz w:val="16"/>
          <w:szCs w:val="16"/>
        </w:rPr>
        <w:t>bi</w:t>
      </w:r>
      <w:r w:rsidRPr="002E0E3B">
        <w:rPr>
          <w:rFonts w:ascii="Verdana" w:hAnsi="Verdana"/>
          <w:i/>
          <w:iCs/>
          <w:sz w:val="16"/>
          <w:szCs w:val="16"/>
        </w:rPr>
        <w:t>d</w:t>
      </w:r>
      <w:r w:rsidRPr="002E0E3B">
        <w:rPr>
          <w:rFonts w:ascii="Verdana" w:hAnsi="Verdana"/>
          <w:sz w:val="16"/>
          <w:szCs w:val="16"/>
        </w:rPr>
        <w:t>.</w:t>
      </w:r>
    </w:p>
  </w:footnote>
  <w:footnote w:id="24">
    <w:p w14:paraId="71F22F79" w14:textId="5F6FD036" w:rsidR="005C5F6A" w:rsidRPr="002E0E3B" w:rsidRDefault="005C5F6A" w:rsidP="005C5F6A">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BJMP Data and Statistics, Data at the </w:t>
      </w:r>
      <w:proofErr w:type="spellStart"/>
      <w:r w:rsidRPr="002E0E3B">
        <w:rPr>
          <w:rFonts w:ascii="Verdana" w:hAnsi="Verdana"/>
          <w:sz w:val="16"/>
          <w:szCs w:val="16"/>
        </w:rPr>
        <w:t>Dasmariñas</w:t>
      </w:r>
      <w:proofErr w:type="spellEnd"/>
      <w:r w:rsidRPr="002E0E3B">
        <w:rPr>
          <w:rFonts w:ascii="Verdana" w:hAnsi="Verdana"/>
          <w:sz w:val="16"/>
          <w:szCs w:val="16"/>
        </w:rPr>
        <w:t xml:space="preserve"> Female Dormitory where 28 WDL occupy a 4.7 square meter cell area, or a congestion rate of 2,720%</w:t>
      </w:r>
      <w:r w:rsidR="00BF2558" w:rsidRPr="002E0E3B">
        <w:rPr>
          <w:rFonts w:ascii="Verdana" w:hAnsi="Verdana"/>
          <w:sz w:val="16"/>
          <w:szCs w:val="16"/>
        </w:rPr>
        <w:t xml:space="preserve">, 30 September 2022, available at: </w:t>
      </w:r>
      <w:hyperlink r:id="rId8" w:history="1">
        <w:r w:rsidRPr="002E0E3B">
          <w:rPr>
            <w:rStyle w:val="Hyperlink"/>
            <w:rFonts w:ascii="Verdana" w:hAnsi="Verdana"/>
            <w:sz w:val="16"/>
            <w:szCs w:val="16"/>
          </w:rPr>
          <w:t>https://www.bjmp.gov.ph/images/data_and_stats/09-30-22/Congestion_Rate_-_sep_2022.png</w:t>
        </w:r>
      </w:hyperlink>
      <w:r w:rsidRPr="002E0E3B">
        <w:rPr>
          <w:rFonts w:ascii="Verdana" w:hAnsi="Verdana"/>
          <w:sz w:val="16"/>
          <w:szCs w:val="16"/>
        </w:rPr>
        <w:t>.</w:t>
      </w:r>
    </w:p>
  </w:footnote>
  <w:footnote w:id="25">
    <w:p w14:paraId="3DB348B0" w14:textId="77777777"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This submission does not purport to provide a full list of the existing criminal provisions that may be used to address forms of OGBV.</w:t>
      </w:r>
    </w:p>
  </w:footnote>
  <w:footnote w:id="26">
    <w:p w14:paraId="50E8F74C" w14:textId="77777777" w:rsidR="00811FEC" w:rsidRPr="002E0E3B" w:rsidRDefault="00811FEC" w:rsidP="009602A8">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At the time of concluding this submission, the Bill has been approved by the House of Representatives. See: Philippine News Agency, “Bill protecting women, kids from online violence hurdles House”, 22 May 2023, available at: </w:t>
      </w:r>
      <w:hyperlink r:id="rId9" w:history="1">
        <w:r w:rsidRPr="002E0E3B">
          <w:rPr>
            <w:rStyle w:val="Hyperlink"/>
            <w:rFonts w:ascii="Verdana" w:hAnsi="Verdana"/>
            <w:sz w:val="16"/>
            <w:szCs w:val="16"/>
          </w:rPr>
          <w:t>https://www.pna.gov.ph/articles/1202008</w:t>
        </w:r>
      </w:hyperlink>
      <w:r w:rsidRPr="002E0E3B">
        <w:rPr>
          <w:rFonts w:ascii="Verdana" w:hAnsi="Verdana"/>
          <w:sz w:val="16"/>
          <w:szCs w:val="16"/>
        </w:rPr>
        <w:t xml:space="preserve">. </w:t>
      </w:r>
    </w:p>
  </w:footnote>
  <w:footnote w:id="27">
    <w:p w14:paraId="14640A36" w14:textId="77777777"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House Bill No. 8009, s. 2, available at: </w:t>
      </w:r>
      <w:hyperlink r:id="rId10" w:history="1">
        <w:r w:rsidRPr="002E0E3B">
          <w:rPr>
            <w:rStyle w:val="Hyperlink"/>
            <w:rFonts w:ascii="Verdana" w:hAnsi="Verdana"/>
            <w:sz w:val="16"/>
            <w:szCs w:val="16"/>
          </w:rPr>
          <w:t>https://hrep-website.s3.ap-southeast-1.amazonaws.com/legisdocs/third_19/HBT08009.pdf</w:t>
        </w:r>
      </w:hyperlink>
      <w:r w:rsidRPr="002E0E3B">
        <w:rPr>
          <w:rFonts w:ascii="Verdana" w:hAnsi="Verdana"/>
          <w:sz w:val="16"/>
          <w:szCs w:val="16"/>
        </w:rPr>
        <w:t xml:space="preserve">. </w:t>
      </w:r>
    </w:p>
  </w:footnote>
  <w:footnote w:id="28">
    <w:p w14:paraId="2F3F45F5" w14:textId="1DD13E7F"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CEDAW Committee</w:t>
      </w:r>
      <w:r w:rsidRPr="002E0E3B">
        <w:rPr>
          <w:rFonts w:ascii="Verdana" w:hAnsi="Verdana"/>
          <w:i/>
          <w:iCs/>
          <w:sz w:val="16"/>
          <w:szCs w:val="16"/>
        </w:rPr>
        <w:t>, General recommendation No. 33 on women’s access to justice</w:t>
      </w:r>
      <w:r w:rsidRPr="002E0E3B">
        <w:rPr>
          <w:rFonts w:ascii="Verdana" w:hAnsi="Verdana"/>
          <w:sz w:val="16"/>
          <w:szCs w:val="16"/>
        </w:rPr>
        <w:t xml:space="preserve">, UN Doc. CEDAW/C/GC/33, 3 August 2015, para. 29; CEDAW Committee, </w:t>
      </w:r>
      <w:r w:rsidRPr="002E0E3B">
        <w:rPr>
          <w:rFonts w:ascii="Verdana" w:hAnsi="Verdana"/>
          <w:i/>
          <w:iCs/>
          <w:sz w:val="16"/>
          <w:szCs w:val="16"/>
        </w:rPr>
        <w:t>General recommendation No. 35 on gender-based violence against women, updating general recommendation No. 19</w:t>
      </w:r>
      <w:r w:rsidRPr="002E0E3B">
        <w:rPr>
          <w:rFonts w:ascii="Verdana" w:hAnsi="Verdana"/>
          <w:sz w:val="16"/>
          <w:szCs w:val="16"/>
        </w:rPr>
        <w:t xml:space="preserve">, UN Doc. CEDAW/C/GC/35, 26 July 2017 (“CEDAW/C/GC/35”), para. 32(b). See also, CEDAW/C/PHL/CO/7-8, para. 16. </w:t>
      </w:r>
    </w:p>
  </w:footnote>
  <w:footnote w:id="29">
    <w:p w14:paraId="7DF3B9C2" w14:textId="68E2364F" w:rsidR="00811FEC" w:rsidRPr="002E0E3B" w:rsidRDefault="00811FEC" w:rsidP="009602A8">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D81CB3" w:rsidRPr="002E0E3B">
        <w:rPr>
          <w:rFonts w:ascii="Verdana" w:hAnsi="Verdana"/>
          <w:sz w:val="16"/>
          <w:szCs w:val="16"/>
          <w:lang w:val="en-US"/>
        </w:rPr>
        <w:t>CHRP</w:t>
      </w:r>
      <w:r w:rsidRPr="002E0E3B">
        <w:rPr>
          <w:rFonts w:ascii="Verdana" w:hAnsi="Verdana"/>
          <w:sz w:val="16"/>
          <w:szCs w:val="16"/>
          <w:lang w:val="en-US"/>
        </w:rPr>
        <w:t>, “</w:t>
      </w:r>
      <w:r w:rsidRPr="002E0E3B">
        <w:rPr>
          <w:rFonts w:ascii="Verdana" w:hAnsi="Verdana"/>
          <w:sz w:val="16"/>
          <w:szCs w:val="16"/>
        </w:rPr>
        <w:t>Making Data Work for Women: Report of the 2019 CHR Regional Mapping of Legal Referral Mechanisms on Gender Based Violence”, 6 June 2022 (“CHR</w:t>
      </w:r>
      <w:r w:rsidR="00D81CB3" w:rsidRPr="002E0E3B">
        <w:rPr>
          <w:rFonts w:ascii="Verdana" w:hAnsi="Verdana"/>
          <w:sz w:val="16"/>
          <w:szCs w:val="16"/>
        </w:rPr>
        <w:t>P</w:t>
      </w:r>
      <w:r w:rsidRPr="002E0E3B">
        <w:rPr>
          <w:rFonts w:ascii="Verdana" w:hAnsi="Verdana"/>
          <w:sz w:val="16"/>
          <w:szCs w:val="16"/>
        </w:rPr>
        <w:t xml:space="preserve"> Report”), pp. 18 – 19, available at: </w:t>
      </w:r>
      <w:hyperlink r:id="rId11" w:history="1">
        <w:r w:rsidRPr="002E0E3B">
          <w:rPr>
            <w:rStyle w:val="Hyperlink"/>
            <w:rFonts w:ascii="Verdana" w:hAnsi="Verdana"/>
            <w:sz w:val="16"/>
            <w:szCs w:val="16"/>
          </w:rPr>
          <w:t>https://chr-observatories.uwazi.io/api/files/16544875143568e6p7pdbv2u.pdf</w:t>
        </w:r>
      </w:hyperlink>
      <w:r w:rsidRPr="002E0E3B">
        <w:rPr>
          <w:rFonts w:ascii="Verdana" w:hAnsi="Verdana"/>
          <w:sz w:val="16"/>
          <w:szCs w:val="16"/>
        </w:rPr>
        <w:t xml:space="preserve">. </w:t>
      </w:r>
    </w:p>
  </w:footnote>
  <w:footnote w:id="30">
    <w:p w14:paraId="0A2A50C0" w14:textId="494A5369" w:rsidR="00811FEC" w:rsidRPr="002E0E3B" w:rsidRDefault="00811FEC" w:rsidP="00EC221D">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CHR</w:t>
      </w:r>
      <w:r w:rsidR="00D81CB3" w:rsidRPr="002E0E3B">
        <w:rPr>
          <w:rFonts w:ascii="Verdana" w:hAnsi="Verdana"/>
          <w:sz w:val="16"/>
          <w:szCs w:val="16"/>
          <w:lang w:val="en-US"/>
        </w:rPr>
        <w:t>P</w:t>
      </w:r>
      <w:r w:rsidRPr="002E0E3B">
        <w:rPr>
          <w:rFonts w:ascii="Verdana" w:hAnsi="Verdana"/>
          <w:sz w:val="16"/>
          <w:szCs w:val="16"/>
          <w:lang w:val="en-US"/>
        </w:rPr>
        <w:t xml:space="preserve"> Report</w:t>
      </w:r>
      <w:r w:rsidRPr="002E0E3B">
        <w:rPr>
          <w:rFonts w:ascii="Verdana" w:hAnsi="Verdana"/>
          <w:sz w:val="16"/>
          <w:szCs w:val="16"/>
        </w:rPr>
        <w:t>, p. 23.</w:t>
      </w:r>
    </w:p>
  </w:footnote>
  <w:footnote w:id="31">
    <w:p w14:paraId="6A25BC30" w14:textId="436EAD66" w:rsidR="00811FEC" w:rsidRPr="002E0E3B" w:rsidRDefault="00811FEC" w:rsidP="00AB61F9">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CHR</w:t>
      </w:r>
      <w:r w:rsidR="00D81CB3" w:rsidRPr="002E0E3B">
        <w:rPr>
          <w:rFonts w:ascii="Verdana" w:hAnsi="Verdana"/>
          <w:sz w:val="16"/>
          <w:szCs w:val="16"/>
          <w:lang w:val="en-US"/>
        </w:rPr>
        <w:t>P</w:t>
      </w:r>
      <w:r w:rsidRPr="002E0E3B">
        <w:rPr>
          <w:rFonts w:ascii="Verdana" w:hAnsi="Verdana"/>
          <w:sz w:val="16"/>
          <w:szCs w:val="16"/>
          <w:lang w:val="en-US"/>
        </w:rPr>
        <w:t xml:space="preserve"> Report</w:t>
      </w:r>
      <w:r w:rsidRPr="002E0E3B">
        <w:rPr>
          <w:rFonts w:ascii="Verdana" w:hAnsi="Verdana"/>
          <w:sz w:val="16"/>
          <w:szCs w:val="16"/>
        </w:rPr>
        <w:t xml:space="preserve">, p. 19. </w:t>
      </w:r>
    </w:p>
  </w:footnote>
  <w:footnote w:id="32">
    <w:p w14:paraId="57BEA368" w14:textId="39DB9DC3" w:rsidR="00811FEC" w:rsidRPr="002E0E3B" w:rsidRDefault="00811FEC" w:rsidP="00A06A65">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00D81CB3" w:rsidRPr="002E0E3B">
        <w:rPr>
          <w:rFonts w:ascii="Verdana" w:hAnsi="Verdana"/>
          <w:sz w:val="16"/>
          <w:szCs w:val="16"/>
        </w:rPr>
        <w:t>CHRP</w:t>
      </w:r>
      <w:r w:rsidRPr="002E0E3B">
        <w:rPr>
          <w:rFonts w:ascii="Verdana" w:hAnsi="Verdana"/>
          <w:sz w:val="16"/>
          <w:szCs w:val="16"/>
        </w:rPr>
        <w:t xml:space="preserve">, “1st Semester 2021 Gender Ombud Report: January to June 2021”, pp. 10 – 11, available at: </w:t>
      </w:r>
      <w:hyperlink r:id="rId12" w:history="1">
        <w:r w:rsidRPr="002E0E3B">
          <w:rPr>
            <w:rStyle w:val="Hyperlink"/>
            <w:rFonts w:ascii="Verdana" w:hAnsi="Verdana"/>
            <w:sz w:val="16"/>
            <w:szCs w:val="16"/>
          </w:rPr>
          <w:t>https://chr.gov.ph/wp-content/uploads/2022/06/2021.Gender-Ombud-1stQ-Sit-2021.pdf</w:t>
        </w:r>
      </w:hyperlink>
      <w:r w:rsidRPr="002E0E3B">
        <w:rPr>
          <w:rFonts w:ascii="Verdana" w:hAnsi="Verdana"/>
          <w:sz w:val="16"/>
          <w:szCs w:val="16"/>
        </w:rPr>
        <w:t xml:space="preserve">. </w:t>
      </w:r>
    </w:p>
  </w:footnote>
  <w:footnote w:id="33">
    <w:p w14:paraId="478FA7AB" w14:textId="77777777" w:rsidR="00811FEC" w:rsidRPr="002E0E3B" w:rsidRDefault="00811FEC" w:rsidP="007453BB">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CEDAW/C/GC/35, paras. 22 – 23. </w:t>
      </w:r>
    </w:p>
  </w:footnote>
  <w:footnote w:id="34">
    <w:p w14:paraId="64284A87" w14:textId="3CFAB7E5" w:rsidR="00811FEC" w:rsidRPr="002E0E3B" w:rsidRDefault="00811FEC" w:rsidP="007D0B3D">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These do not align with international standards on protection mechanisms for victims/survivors of OGBV; see, ICJ, </w:t>
      </w:r>
      <w:r w:rsidRPr="002E0E3B">
        <w:rPr>
          <w:rFonts w:ascii="Verdana" w:hAnsi="Verdana"/>
          <w:i/>
          <w:sz w:val="16"/>
          <w:szCs w:val="16"/>
          <w:lang w:val="en-US"/>
        </w:rPr>
        <w:t>OGBV Law Checklist,</w:t>
      </w:r>
      <w:r w:rsidRPr="002E0E3B">
        <w:rPr>
          <w:rFonts w:ascii="Verdana" w:hAnsi="Verdana"/>
          <w:sz w:val="16"/>
          <w:szCs w:val="16"/>
          <w:lang w:val="en-US"/>
        </w:rPr>
        <w:t xml:space="preserve"> May 2023, available at: </w:t>
      </w:r>
      <w:hyperlink r:id="rId13" w:history="1">
        <w:r w:rsidRPr="002E0E3B">
          <w:rPr>
            <w:rStyle w:val="Hyperlink"/>
            <w:rFonts w:ascii="Verdana" w:hAnsi="Verdana"/>
            <w:sz w:val="16"/>
            <w:szCs w:val="16"/>
            <w:lang w:val="en-US"/>
          </w:rPr>
          <w:t>https://icj2.wpenginepowered.com/wp-content/uploads/2023/05/ICJ-OGBV-Law-Checklist.pdf</w:t>
        </w:r>
      </w:hyperlink>
      <w:r w:rsidRPr="002E0E3B">
        <w:rPr>
          <w:rFonts w:ascii="Verdana" w:hAnsi="Verdana"/>
          <w:sz w:val="16"/>
          <w:szCs w:val="16"/>
          <w:lang w:val="en-US"/>
        </w:rPr>
        <w:t xml:space="preserve">. </w:t>
      </w:r>
    </w:p>
  </w:footnote>
  <w:footnote w:id="35">
    <w:p w14:paraId="7F8A8D4B" w14:textId="1E5E861E" w:rsidR="00811FEC" w:rsidRPr="002E0E3B" w:rsidRDefault="00811FEC" w:rsidP="007453BB">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Section 6, House Bill No. 8009. </w:t>
      </w:r>
    </w:p>
  </w:footnote>
  <w:footnote w:id="36">
    <w:p w14:paraId="015B7C72" w14:textId="2EE56AD8" w:rsidR="00811FEC" w:rsidRPr="002E0E3B" w:rsidRDefault="00811FEC" w:rsidP="000E7059">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Section 15, </w:t>
      </w:r>
      <w:r w:rsidRPr="002E0E3B">
        <w:rPr>
          <w:rFonts w:ascii="Verdana" w:hAnsi="Verdana"/>
          <w:sz w:val="16"/>
          <w:szCs w:val="16"/>
          <w:lang w:val="en-US"/>
        </w:rPr>
        <w:t>Anti-VAW Act.</w:t>
      </w:r>
    </w:p>
  </w:footnote>
  <w:footnote w:id="37">
    <w:p w14:paraId="11FD2113" w14:textId="77777777" w:rsidR="00811FEC" w:rsidRPr="002E0E3B" w:rsidRDefault="00811FEC" w:rsidP="000E7059">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CEDAW Committee, </w:t>
      </w:r>
      <w:r w:rsidRPr="002E0E3B">
        <w:rPr>
          <w:rFonts w:ascii="Verdana" w:hAnsi="Verdana"/>
          <w:i/>
          <w:sz w:val="16"/>
          <w:szCs w:val="16"/>
          <w:lang w:val="en-US"/>
        </w:rPr>
        <w:t>General recommendation No. 28 on the core obligations of State parties under article 2 of the Convention on the Elimination of All Forms of Discrimination against Women”</w:t>
      </w:r>
      <w:r w:rsidRPr="002E0E3B">
        <w:rPr>
          <w:rFonts w:ascii="Verdana" w:hAnsi="Verdana"/>
          <w:sz w:val="16"/>
          <w:szCs w:val="16"/>
          <w:lang w:val="en-US"/>
        </w:rPr>
        <w:t xml:space="preserve">, UN Doc. CEDAW/C/GC/28, 16 December 2010, para. 18. </w:t>
      </w:r>
    </w:p>
  </w:footnote>
  <w:footnote w:id="38">
    <w:p w14:paraId="7B57B044" w14:textId="7FAC08B5" w:rsidR="00811FEC" w:rsidRPr="002E0E3B" w:rsidRDefault="00811FEC" w:rsidP="007453BB">
      <w:pPr>
        <w:pStyle w:val="FootnoteText"/>
        <w:jc w:val="both"/>
        <w:rPr>
          <w:rFonts w:ascii="Verdana" w:hAnsi="Verdana"/>
          <w:bCs/>
          <w:sz w:val="16"/>
          <w:szCs w:val="16"/>
          <w:lang w:val="en-SG"/>
        </w:rPr>
      </w:pPr>
      <w:r w:rsidRPr="002E0E3B">
        <w:rPr>
          <w:rStyle w:val="FootnoteReference"/>
          <w:rFonts w:ascii="Verdana" w:hAnsi="Verdana"/>
          <w:sz w:val="16"/>
          <w:szCs w:val="16"/>
        </w:rPr>
        <w:footnoteRef/>
      </w:r>
      <w:r w:rsidRPr="002E0E3B">
        <w:rPr>
          <w:rFonts w:ascii="Verdana" w:hAnsi="Verdana"/>
          <w:sz w:val="16"/>
          <w:szCs w:val="16"/>
        </w:rPr>
        <w:t xml:space="preserve"> ICJ, </w:t>
      </w:r>
      <w:r w:rsidRPr="002E0E3B">
        <w:rPr>
          <w:rFonts w:ascii="Verdana" w:hAnsi="Verdana"/>
          <w:i/>
          <w:sz w:val="16"/>
          <w:szCs w:val="16"/>
        </w:rPr>
        <w:t xml:space="preserve">Silenced But Not Silent: Lesbian, Gay, Bisexual and Transgender Persons’ Freedom of Expression and Information Online in Southeast </w:t>
      </w:r>
      <w:r w:rsidRPr="002E0E3B">
        <w:rPr>
          <w:rFonts w:ascii="Verdana" w:hAnsi="Verdana"/>
          <w:sz w:val="16"/>
          <w:szCs w:val="16"/>
        </w:rPr>
        <w:t xml:space="preserve">Asia, July 2023, p. 24, (“ICJ, Silenced But Not Silent Report”) available at: </w:t>
      </w:r>
      <w:hyperlink r:id="rId14" w:history="1">
        <w:r w:rsidRPr="002E0E3B">
          <w:rPr>
            <w:rStyle w:val="Hyperlink"/>
            <w:rFonts w:ascii="Verdana" w:hAnsi="Verdana"/>
            <w:sz w:val="16"/>
            <w:szCs w:val="16"/>
          </w:rPr>
          <w:t>https://icj2.wpenginepowered.com/wp-content/uploads/2023/07/ICJ-Silenced-But-Not-Silent-Report.pdf</w:t>
        </w:r>
      </w:hyperlink>
      <w:r w:rsidRPr="002E0E3B">
        <w:rPr>
          <w:rFonts w:ascii="Verdana" w:hAnsi="Verdana"/>
          <w:sz w:val="16"/>
          <w:szCs w:val="16"/>
        </w:rPr>
        <w:t xml:space="preserve">. </w:t>
      </w:r>
    </w:p>
  </w:footnote>
  <w:footnote w:id="39">
    <w:p w14:paraId="12842E3F" w14:textId="1DA4B976" w:rsidR="00811FEC" w:rsidRPr="002E0E3B" w:rsidRDefault="00811FEC" w:rsidP="000E7059">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ICJ, Silenced </w:t>
      </w:r>
      <w:proofErr w:type="gramStart"/>
      <w:r w:rsidRPr="002E0E3B">
        <w:rPr>
          <w:rFonts w:ascii="Verdana" w:hAnsi="Verdana"/>
          <w:sz w:val="16"/>
          <w:szCs w:val="16"/>
          <w:lang w:val="en-US"/>
        </w:rPr>
        <w:t>But</w:t>
      </w:r>
      <w:proofErr w:type="gramEnd"/>
      <w:r w:rsidRPr="002E0E3B">
        <w:rPr>
          <w:rFonts w:ascii="Verdana" w:hAnsi="Verdana"/>
          <w:sz w:val="16"/>
          <w:szCs w:val="16"/>
          <w:lang w:val="en-US"/>
        </w:rPr>
        <w:t xml:space="preserve"> Not Silent Report, p. 38, 45</w:t>
      </w:r>
      <w:r w:rsidRPr="002E0E3B">
        <w:rPr>
          <w:rFonts w:ascii="Verdana" w:hAnsi="Verdana"/>
          <w:sz w:val="16"/>
          <w:szCs w:val="16"/>
        </w:rPr>
        <w:t xml:space="preserve">. </w:t>
      </w:r>
      <w:r w:rsidRPr="002E0E3B">
        <w:rPr>
          <w:rFonts w:ascii="Verdana" w:hAnsi="Verdana"/>
          <w:sz w:val="16"/>
          <w:szCs w:val="16"/>
          <w:lang w:val="en-US"/>
        </w:rPr>
        <w:t xml:space="preserve"> </w:t>
      </w:r>
    </w:p>
  </w:footnote>
  <w:footnote w:id="40">
    <w:p w14:paraId="61AE83BD" w14:textId="78BD7203" w:rsidR="00811FEC" w:rsidRPr="002E0E3B" w:rsidRDefault="00811FEC" w:rsidP="007453BB">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ICJ, Silenced But Not Silent Report, p. 38; see also, ICJ, “Philippines: Cease dangerous practice of red-tagging human rights defenders”, 31 January 2022, available at: </w:t>
      </w:r>
      <w:hyperlink r:id="rId15" w:history="1">
        <w:r w:rsidRPr="002E0E3B">
          <w:rPr>
            <w:rStyle w:val="Hyperlink"/>
            <w:rFonts w:ascii="Verdana" w:hAnsi="Verdana"/>
            <w:sz w:val="16"/>
            <w:szCs w:val="16"/>
          </w:rPr>
          <w:t>https://www.icj.org/philippines-cease-dangerous-practice-of-red-tagging-human-rights-defenders/</w:t>
        </w:r>
      </w:hyperlink>
      <w:r w:rsidRPr="002E0E3B">
        <w:rPr>
          <w:rFonts w:ascii="Verdana" w:hAnsi="Verdana"/>
          <w:sz w:val="16"/>
          <w:szCs w:val="16"/>
        </w:rPr>
        <w:t xml:space="preserve">. </w:t>
      </w:r>
    </w:p>
  </w:footnote>
  <w:footnote w:id="41">
    <w:p w14:paraId="7F00DD7F" w14:textId="53C8BD2E" w:rsidR="00811FEC" w:rsidRPr="002E0E3B" w:rsidRDefault="00811FEC" w:rsidP="007453BB">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ICJ, Silenced But Not Silent Report, p. 38; Anne </w:t>
      </w:r>
      <w:proofErr w:type="spellStart"/>
      <w:r w:rsidRPr="002E0E3B">
        <w:rPr>
          <w:rFonts w:ascii="Verdana" w:hAnsi="Verdana"/>
          <w:sz w:val="16"/>
          <w:szCs w:val="16"/>
        </w:rPr>
        <w:t>Marxze</w:t>
      </w:r>
      <w:proofErr w:type="spellEnd"/>
      <w:r w:rsidRPr="002E0E3B">
        <w:rPr>
          <w:rFonts w:ascii="Verdana" w:hAnsi="Verdana"/>
          <w:sz w:val="16"/>
          <w:szCs w:val="16"/>
        </w:rPr>
        <w:t xml:space="preserve"> </w:t>
      </w:r>
      <w:proofErr w:type="spellStart"/>
      <w:r w:rsidRPr="002E0E3B">
        <w:rPr>
          <w:rFonts w:ascii="Verdana" w:hAnsi="Verdana"/>
          <w:sz w:val="16"/>
          <w:szCs w:val="16"/>
        </w:rPr>
        <w:t>Umil</w:t>
      </w:r>
      <w:proofErr w:type="spellEnd"/>
      <w:r w:rsidRPr="002E0E3B">
        <w:rPr>
          <w:rFonts w:ascii="Verdana" w:hAnsi="Verdana"/>
          <w:sz w:val="16"/>
          <w:szCs w:val="16"/>
        </w:rPr>
        <w:t xml:space="preserve">, “UN Human Rights Committee urges Philippine government to stop red-tagging”, </w:t>
      </w:r>
      <w:proofErr w:type="spellStart"/>
      <w:r w:rsidRPr="002E0E3B">
        <w:rPr>
          <w:rFonts w:ascii="Verdana" w:hAnsi="Verdana"/>
          <w:sz w:val="16"/>
          <w:szCs w:val="16"/>
        </w:rPr>
        <w:t>Bulatlat</w:t>
      </w:r>
      <w:proofErr w:type="spellEnd"/>
      <w:r w:rsidRPr="002E0E3B">
        <w:rPr>
          <w:rFonts w:ascii="Verdana" w:hAnsi="Verdana"/>
          <w:sz w:val="16"/>
          <w:szCs w:val="16"/>
        </w:rPr>
        <w:t xml:space="preserve">, 9 November 2022, available at: </w:t>
      </w:r>
      <w:hyperlink r:id="rId16" w:history="1">
        <w:r w:rsidR="007F2127" w:rsidRPr="002E0E3B">
          <w:rPr>
            <w:rStyle w:val="Hyperlink"/>
            <w:rFonts w:ascii="Verdana" w:hAnsi="Verdana"/>
            <w:sz w:val="16"/>
            <w:szCs w:val="16"/>
          </w:rPr>
          <w:t>https://www.bulatlat.com/2022/11/09/unhrc-stop-red-tagging/</w:t>
        </w:r>
      </w:hyperlink>
      <w:r w:rsidRPr="002E0E3B">
        <w:rPr>
          <w:rFonts w:ascii="Verdana" w:hAnsi="Verdana"/>
          <w:sz w:val="16"/>
          <w:szCs w:val="16"/>
        </w:rPr>
        <w:t xml:space="preserve">; Roel </w:t>
      </w:r>
      <w:proofErr w:type="spellStart"/>
      <w:r w:rsidRPr="002E0E3B">
        <w:rPr>
          <w:rFonts w:ascii="Verdana" w:hAnsi="Verdana"/>
          <w:sz w:val="16"/>
          <w:szCs w:val="16"/>
        </w:rPr>
        <w:t>Pareño</w:t>
      </w:r>
      <w:proofErr w:type="spellEnd"/>
      <w:r w:rsidRPr="002E0E3B">
        <w:rPr>
          <w:rFonts w:ascii="Verdana" w:hAnsi="Verdana"/>
          <w:sz w:val="16"/>
          <w:szCs w:val="16"/>
        </w:rPr>
        <w:t xml:space="preserve">, “Philippine intelligence agency links gay-rights, youth groups in anti-communist campaigns”, </w:t>
      </w:r>
      <w:proofErr w:type="spellStart"/>
      <w:r w:rsidRPr="002E0E3B">
        <w:rPr>
          <w:rFonts w:ascii="Verdana" w:hAnsi="Verdana"/>
          <w:sz w:val="16"/>
          <w:szCs w:val="16"/>
        </w:rPr>
        <w:t>Benar</w:t>
      </w:r>
      <w:proofErr w:type="spellEnd"/>
      <w:r w:rsidRPr="002E0E3B">
        <w:rPr>
          <w:rFonts w:ascii="Verdana" w:hAnsi="Verdana"/>
          <w:sz w:val="16"/>
          <w:szCs w:val="16"/>
        </w:rPr>
        <w:t xml:space="preserve"> News, 24 August 2023, available at: </w:t>
      </w:r>
      <w:hyperlink r:id="rId17" w:history="1">
        <w:r w:rsidRPr="002E0E3B">
          <w:rPr>
            <w:rStyle w:val="Hyperlink"/>
            <w:rFonts w:ascii="Verdana" w:hAnsi="Verdana"/>
            <w:sz w:val="16"/>
            <w:szCs w:val="16"/>
          </w:rPr>
          <w:t>https://www.benarnews.org/english/news/philippine/communist-allegation-08242023130413.html</w:t>
        </w:r>
      </w:hyperlink>
      <w:r w:rsidRPr="002E0E3B">
        <w:rPr>
          <w:rFonts w:ascii="Verdana" w:hAnsi="Verdana"/>
          <w:sz w:val="16"/>
          <w:szCs w:val="16"/>
        </w:rPr>
        <w:t xml:space="preserve">. </w:t>
      </w:r>
    </w:p>
  </w:footnote>
  <w:footnote w:id="42">
    <w:p w14:paraId="794DBE90" w14:textId="570E6AD9" w:rsidR="00811FEC" w:rsidRPr="002E0E3B" w:rsidRDefault="00811FEC" w:rsidP="000E7059">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CEDAW Committee, </w:t>
      </w:r>
      <w:r w:rsidRPr="002E0E3B">
        <w:rPr>
          <w:rFonts w:ascii="Verdana" w:hAnsi="Verdana"/>
          <w:i/>
          <w:sz w:val="16"/>
          <w:szCs w:val="16"/>
        </w:rPr>
        <w:t xml:space="preserve">Views adopted by the Committee under article 7 (3) of the Optional Protocol, concerning communication No. 134/2018, </w:t>
      </w:r>
      <w:r w:rsidRPr="002E0E3B">
        <w:rPr>
          <w:rFonts w:ascii="Verdana" w:hAnsi="Verdana"/>
          <w:sz w:val="16"/>
          <w:szCs w:val="16"/>
        </w:rPr>
        <w:t xml:space="preserve">UN Doc. CEDAW/C/81/D/134/2018, 23 March 2022, para. 9.5. </w:t>
      </w:r>
    </w:p>
  </w:footnote>
  <w:footnote w:id="43">
    <w:p w14:paraId="1A23A889" w14:textId="74A08CF4" w:rsidR="00811FEC" w:rsidRPr="002E0E3B" w:rsidRDefault="00811FEC" w:rsidP="000E7059">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The Safe Spaces Act contains provisions protecting LBT women, including, for instance, against “acts that use information and communications technology in terrorizing victims” through “unwanted sexual misogynistic, transphobic, homophobic and sexist remarks and comments online”, under section 13 of the Implementing Rules and Regulations of Republic Act No. 11313; see, ICJ, Silenced </w:t>
      </w:r>
      <w:proofErr w:type="gramStart"/>
      <w:r w:rsidRPr="002E0E3B">
        <w:rPr>
          <w:rFonts w:ascii="Verdana" w:hAnsi="Verdana"/>
          <w:sz w:val="16"/>
          <w:szCs w:val="16"/>
        </w:rPr>
        <w:t>But</w:t>
      </w:r>
      <w:proofErr w:type="gramEnd"/>
      <w:r w:rsidRPr="002E0E3B">
        <w:rPr>
          <w:rFonts w:ascii="Verdana" w:hAnsi="Verdana"/>
          <w:sz w:val="16"/>
          <w:szCs w:val="16"/>
        </w:rPr>
        <w:t xml:space="preserve"> Not Silent Report, p. 23. </w:t>
      </w:r>
    </w:p>
  </w:footnote>
  <w:footnote w:id="44">
    <w:p w14:paraId="2201B515" w14:textId="067BCBE2" w:rsidR="00811FEC" w:rsidRPr="002E0E3B" w:rsidRDefault="00811FEC" w:rsidP="00BF0B5A">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lang w:val="en-US"/>
        </w:rPr>
        <w:t xml:space="preserve"> ICJ, Silenced </w:t>
      </w:r>
      <w:proofErr w:type="gramStart"/>
      <w:r w:rsidRPr="002E0E3B">
        <w:rPr>
          <w:rFonts w:ascii="Verdana" w:hAnsi="Verdana"/>
          <w:sz w:val="16"/>
          <w:szCs w:val="16"/>
          <w:lang w:val="en-US"/>
        </w:rPr>
        <w:t>But</w:t>
      </w:r>
      <w:proofErr w:type="gramEnd"/>
      <w:r w:rsidRPr="002E0E3B">
        <w:rPr>
          <w:rFonts w:ascii="Verdana" w:hAnsi="Verdana"/>
          <w:sz w:val="16"/>
          <w:szCs w:val="16"/>
          <w:lang w:val="en-US"/>
        </w:rPr>
        <w:t xml:space="preserve"> Not Silent Report, p. 23 – 24. </w:t>
      </w:r>
    </w:p>
  </w:footnote>
  <w:footnote w:id="45">
    <w:p w14:paraId="1169FFEF" w14:textId="1155DA47" w:rsidR="00811FEC" w:rsidRPr="002E0E3B" w:rsidRDefault="00811FEC" w:rsidP="00D654A6">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ICJ, Silenced </w:t>
      </w:r>
      <w:proofErr w:type="gramStart"/>
      <w:r w:rsidRPr="002E0E3B">
        <w:rPr>
          <w:rFonts w:ascii="Verdana" w:hAnsi="Verdana"/>
          <w:sz w:val="16"/>
          <w:szCs w:val="16"/>
          <w:lang w:val="en-US"/>
        </w:rPr>
        <w:t>But</w:t>
      </w:r>
      <w:proofErr w:type="gramEnd"/>
      <w:r w:rsidRPr="002E0E3B">
        <w:rPr>
          <w:rFonts w:ascii="Verdana" w:hAnsi="Verdana"/>
          <w:sz w:val="16"/>
          <w:szCs w:val="16"/>
          <w:lang w:val="en-US"/>
        </w:rPr>
        <w:t xml:space="preserve"> Not Silent Report, p. 23.</w:t>
      </w:r>
    </w:p>
  </w:footnote>
  <w:footnote w:id="46">
    <w:p w14:paraId="2A8C3430" w14:textId="428239C4" w:rsidR="00811FEC" w:rsidRPr="002E0E3B" w:rsidRDefault="00811FEC" w:rsidP="00A14180">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ICJ, Silenced </w:t>
      </w:r>
      <w:proofErr w:type="gramStart"/>
      <w:r w:rsidRPr="002E0E3B">
        <w:rPr>
          <w:rFonts w:ascii="Verdana" w:hAnsi="Verdana"/>
          <w:sz w:val="16"/>
          <w:szCs w:val="16"/>
        </w:rPr>
        <w:t>But</w:t>
      </w:r>
      <w:proofErr w:type="gramEnd"/>
      <w:r w:rsidRPr="002E0E3B">
        <w:rPr>
          <w:rFonts w:ascii="Verdana" w:hAnsi="Verdana"/>
          <w:sz w:val="16"/>
          <w:szCs w:val="16"/>
        </w:rPr>
        <w:t xml:space="preserve"> Not Silent Report, p. 23 – 24. </w:t>
      </w:r>
    </w:p>
  </w:footnote>
  <w:footnote w:id="47">
    <w:p w14:paraId="1997770B" w14:textId="748050AF" w:rsidR="00811FEC" w:rsidRPr="002E0E3B" w:rsidRDefault="00811FEC" w:rsidP="006624D4">
      <w:pPr>
        <w:pStyle w:val="FootnoteText"/>
        <w:jc w:val="both"/>
        <w:rPr>
          <w:rFonts w:ascii="Verdana" w:hAnsi="Verdana"/>
          <w:sz w:val="16"/>
          <w:szCs w:val="16"/>
          <w:lang w:val="en-US"/>
        </w:rPr>
      </w:pPr>
      <w:r w:rsidRPr="002E0E3B">
        <w:rPr>
          <w:rStyle w:val="FootnoteReference"/>
          <w:rFonts w:ascii="Verdana" w:hAnsi="Verdana"/>
          <w:sz w:val="16"/>
          <w:szCs w:val="16"/>
        </w:rPr>
        <w:footnoteRef/>
      </w:r>
      <w:r w:rsidRPr="002E0E3B">
        <w:rPr>
          <w:rFonts w:ascii="Verdana" w:hAnsi="Verdana"/>
          <w:sz w:val="16"/>
          <w:szCs w:val="16"/>
        </w:rPr>
        <w:t xml:space="preserve"> ICJ, Silenced </w:t>
      </w:r>
      <w:proofErr w:type="gramStart"/>
      <w:r w:rsidRPr="002E0E3B">
        <w:rPr>
          <w:rFonts w:ascii="Verdana" w:hAnsi="Verdana"/>
          <w:sz w:val="16"/>
          <w:szCs w:val="16"/>
        </w:rPr>
        <w:t>But</w:t>
      </w:r>
      <w:proofErr w:type="gramEnd"/>
      <w:r w:rsidRPr="002E0E3B">
        <w:rPr>
          <w:rFonts w:ascii="Verdana" w:hAnsi="Verdana"/>
          <w:sz w:val="16"/>
          <w:szCs w:val="16"/>
        </w:rPr>
        <w:t xml:space="preserve"> Not Silent Report, p. 39. </w:t>
      </w:r>
    </w:p>
  </w:footnote>
  <w:footnote w:id="48">
    <w:p w14:paraId="40581820" w14:textId="4B8B2F33" w:rsidR="00811FEC" w:rsidRPr="002E0E3B" w:rsidRDefault="00811FEC">
      <w:pPr>
        <w:pStyle w:val="FootnoteText"/>
        <w:jc w:val="both"/>
        <w:rPr>
          <w:rFonts w:ascii="Verdana" w:hAnsi="Verdana"/>
          <w:sz w:val="16"/>
          <w:szCs w:val="16"/>
        </w:rPr>
      </w:pPr>
      <w:r w:rsidRPr="002E0E3B">
        <w:rPr>
          <w:rStyle w:val="FootnoteReference"/>
          <w:rFonts w:ascii="Verdana" w:hAnsi="Verdana"/>
          <w:sz w:val="16"/>
          <w:szCs w:val="16"/>
        </w:rPr>
        <w:footnoteRef/>
      </w:r>
      <w:r w:rsidRPr="002E0E3B">
        <w:rPr>
          <w:rFonts w:ascii="Verdana" w:hAnsi="Verdana"/>
          <w:sz w:val="16"/>
          <w:szCs w:val="16"/>
        </w:rPr>
        <w:t xml:space="preserve"> </w:t>
      </w:r>
      <w:r w:rsidRPr="002E0E3B">
        <w:rPr>
          <w:rFonts w:ascii="Verdana" w:hAnsi="Verdana"/>
          <w:sz w:val="16"/>
          <w:szCs w:val="16"/>
          <w:lang w:val="en-US"/>
        </w:rPr>
        <w:t xml:space="preserve">ICJ, Silenced </w:t>
      </w:r>
      <w:proofErr w:type="gramStart"/>
      <w:r w:rsidRPr="002E0E3B">
        <w:rPr>
          <w:rFonts w:ascii="Verdana" w:hAnsi="Verdana"/>
          <w:sz w:val="16"/>
          <w:szCs w:val="16"/>
          <w:lang w:val="en-US"/>
        </w:rPr>
        <w:t>But</w:t>
      </w:r>
      <w:proofErr w:type="gramEnd"/>
      <w:r w:rsidRPr="002E0E3B">
        <w:rPr>
          <w:rFonts w:ascii="Verdana" w:hAnsi="Verdana"/>
          <w:sz w:val="16"/>
          <w:szCs w:val="16"/>
          <w:lang w:val="en-US"/>
        </w:rPr>
        <w:t xml:space="preserve"> Not Silent Report, p. 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EDF"/>
    <w:multiLevelType w:val="hybridMultilevel"/>
    <w:tmpl w:val="5CD84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553E0"/>
    <w:multiLevelType w:val="hybridMultilevel"/>
    <w:tmpl w:val="63B230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41FE0"/>
    <w:multiLevelType w:val="hybridMultilevel"/>
    <w:tmpl w:val="FF4A4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A02CE"/>
    <w:multiLevelType w:val="hybridMultilevel"/>
    <w:tmpl w:val="7F8EFEC4"/>
    <w:lvl w:ilvl="0" w:tplc="E82444CA">
      <w:start w:val="2"/>
      <w:numFmt w:val="bullet"/>
      <w:lvlText w:val="-"/>
      <w:lvlJc w:val="left"/>
      <w:pPr>
        <w:ind w:left="720" w:hanging="360"/>
      </w:pPr>
      <w:rPr>
        <w:rFonts w:ascii="Verdana" w:eastAsia="Arial Nova" w:hAnsi="Verdan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C63F92"/>
    <w:multiLevelType w:val="hybridMultilevel"/>
    <w:tmpl w:val="3E024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B213D1"/>
    <w:multiLevelType w:val="hybridMultilevel"/>
    <w:tmpl w:val="AE043F36"/>
    <w:lvl w:ilvl="0" w:tplc="3809000F">
      <w:start w:val="1"/>
      <w:numFmt w:val="decimal"/>
      <w:lvlText w:val="%1."/>
      <w:lvlJc w:val="left"/>
      <w:pPr>
        <w:ind w:left="360" w:hanging="360"/>
      </w:pPr>
      <w:rPr>
        <w:rFonts w:hint="default"/>
      </w:rPr>
    </w:lvl>
    <w:lvl w:ilvl="1" w:tplc="38090019">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6" w15:restartNumberingAfterBreak="0">
    <w:nsid w:val="46D63AAD"/>
    <w:multiLevelType w:val="hybridMultilevel"/>
    <w:tmpl w:val="205E3FC2"/>
    <w:lvl w:ilvl="0" w:tplc="48C04020">
      <w:start w:val="1"/>
      <w:numFmt w:val="upperRoman"/>
      <w:lvlText w:val="%1."/>
      <w:lvlJc w:val="left"/>
      <w:pPr>
        <w:ind w:left="720" w:hanging="720"/>
      </w:pPr>
      <w:rPr>
        <w:rFonts w:hint="default"/>
      </w:rPr>
    </w:lvl>
    <w:lvl w:ilvl="1" w:tplc="04090019">
      <w:start w:val="1"/>
      <w:numFmt w:val="lowerLetter"/>
      <w:lvlText w:val="%2."/>
      <w:lvlJc w:val="left"/>
      <w:pPr>
        <w:ind w:left="644" w:hanging="360"/>
      </w:pPr>
    </w:lvl>
    <w:lvl w:ilvl="2" w:tplc="0409001B">
      <w:start w:val="1"/>
      <w:numFmt w:val="lowerRoman"/>
      <w:lvlText w:val="%3."/>
      <w:lvlJc w:val="right"/>
      <w:pPr>
        <w:ind w:left="748" w:hanging="180"/>
      </w:pPr>
    </w:lvl>
    <w:lvl w:ilvl="3" w:tplc="04090015">
      <w:start w:val="1"/>
      <w:numFmt w:val="upperLetter"/>
      <w:lvlText w:val="%4."/>
      <w:lvlJc w:val="left"/>
      <w:pPr>
        <w:ind w:left="107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A6718B7"/>
    <w:multiLevelType w:val="hybridMultilevel"/>
    <w:tmpl w:val="34FE68E4"/>
    <w:lvl w:ilvl="0" w:tplc="8698162E">
      <w:start w:val="1"/>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CC6F74"/>
    <w:multiLevelType w:val="hybridMultilevel"/>
    <w:tmpl w:val="26AC1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45794C"/>
    <w:multiLevelType w:val="hybridMultilevel"/>
    <w:tmpl w:val="44A60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9659B3"/>
    <w:multiLevelType w:val="hybridMultilevel"/>
    <w:tmpl w:val="85F0DEB2"/>
    <w:lvl w:ilvl="0" w:tplc="036EF4E0">
      <w:start w:val="1"/>
      <w:numFmt w:val="decimal"/>
      <w:lvlText w:val="%1."/>
      <w:lvlJc w:val="left"/>
      <w:pPr>
        <w:ind w:left="360" w:hanging="360"/>
      </w:pPr>
      <w:rPr>
        <w:rFonts w:hint="default"/>
        <w:b w:val="0"/>
        <w:sz w:val="20"/>
        <w:szCs w:val="2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DF97628"/>
    <w:multiLevelType w:val="hybridMultilevel"/>
    <w:tmpl w:val="6316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7597E"/>
    <w:multiLevelType w:val="multilevel"/>
    <w:tmpl w:val="91AAB7F4"/>
    <w:lvl w:ilvl="0">
      <w:start w:val="1"/>
      <w:numFmt w:val="upperRoman"/>
      <w:lvlText w:val="%1."/>
      <w:lvlJc w:val="left"/>
      <w:pPr>
        <w:ind w:left="720" w:hanging="720"/>
      </w:pPr>
      <w:rPr>
        <w:rFonts w:hint="default"/>
      </w:rPr>
    </w:lvl>
    <w:lvl w:ilvl="1">
      <w:start w:val="1"/>
      <w:numFmt w:val="lowerLetter"/>
      <w:lvlText w:val="%2."/>
      <w:lvlJc w:val="left"/>
      <w:pPr>
        <w:ind w:left="644" w:hanging="360"/>
      </w:pPr>
    </w:lvl>
    <w:lvl w:ilvl="2">
      <w:start w:val="1"/>
      <w:numFmt w:val="lowerRoman"/>
      <w:lvlText w:val="%3."/>
      <w:lvlJc w:val="right"/>
      <w:pPr>
        <w:ind w:left="748"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69522E68"/>
    <w:multiLevelType w:val="hybridMultilevel"/>
    <w:tmpl w:val="0138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8D683A"/>
    <w:multiLevelType w:val="hybridMultilevel"/>
    <w:tmpl w:val="BB7C115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2F341D"/>
    <w:multiLevelType w:val="hybridMultilevel"/>
    <w:tmpl w:val="0A7C998E"/>
    <w:lvl w:ilvl="0" w:tplc="41B08932">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12"/>
  </w:num>
  <w:num w:numId="5">
    <w:abstractNumId w:val="0"/>
  </w:num>
  <w:num w:numId="6">
    <w:abstractNumId w:val="7"/>
  </w:num>
  <w:num w:numId="7">
    <w:abstractNumId w:val="15"/>
  </w:num>
  <w:num w:numId="8">
    <w:abstractNumId w:val="13"/>
  </w:num>
  <w:num w:numId="9">
    <w:abstractNumId w:val="8"/>
  </w:num>
  <w:num w:numId="10">
    <w:abstractNumId w:val="2"/>
  </w:num>
  <w:num w:numId="11">
    <w:abstractNumId w:val="11"/>
  </w:num>
  <w:num w:numId="12">
    <w:abstractNumId w:val="1"/>
  </w:num>
  <w:num w:numId="13">
    <w:abstractNumId w:val="5"/>
  </w:num>
  <w:num w:numId="14">
    <w:abstractNumId w:val="3"/>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9E7"/>
    <w:rsid w:val="00015F64"/>
    <w:rsid w:val="000210E1"/>
    <w:rsid w:val="00030897"/>
    <w:rsid w:val="00032499"/>
    <w:rsid w:val="00036286"/>
    <w:rsid w:val="00036914"/>
    <w:rsid w:val="00036E0B"/>
    <w:rsid w:val="0004348F"/>
    <w:rsid w:val="00046E63"/>
    <w:rsid w:val="00047E22"/>
    <w:rsid w:val="00053421"/>
    <w:rsid w:val="00057FC3"/>
    <w:rsid w:val="00061285"/>
    <w:rsid w:val="0006403E"/>
    <w:rsid w:val="00064658"/>
    <w:rsid w:val="0006674C"/>
    <w:rsid w:val="00072A2C"/>
    <w:rsid w:val="0007624D"/>
    <w:rsid w:val="000829E3"/>
    <w:rsid w:val="000A0889"/>
    <w:rsid w:val="000A236C"/>
    <w:rsid w:val="000A5A29"/>
    <w:rsid w:val="000B4CF8"/>
    <w:rsid w:val="000D4869"/>
    <w:rsid w:val="000D5265"/>
    <w:rsid w:val="000D55B0"/>
    <w:rsid w:val="000E7059"/>
    <w:rsid w:val="000F1D76"/>
    <w:rsid w:val="000F799A"/>
    <w:rsid w:val="0011093B"/>
    <w:rsid w:val="00111E2C"/>
    <w:rsid w:val="0013209C"/>
    <w:rsid w:val="00133C1C"/>
    <w:rsid w:val="00136229"/>
    <w:rsid w:val="00143115"/>
    <w:rsid w:val="0015317B"/>
    <w:rsid w:val="00161D43"/>
    <w:rsid w:val="00162E87"/>
    <w:rsid w:val="001631DA"/>
    <w:rsid w:val="0016369A"/>
    <w:rsid w:val="00164BA3"/>
    <w:rsid w:val="00170307"/>
    <w:rsid w:val="0017584F"/>
    <w:rsid w:val="00175B4C"/>
    <w:rsid w:val="00177D24"/>
    <w:rsid w:val="001A112F"/>
    <w:rsid w:val="001B2DB8"/>
    <w:rsid w:val="001B3937"/>
    <w:rsid w:val="001C4BB1"/>
    <w:rsid w:val="001E6929"/>
    <w:rsid w:val="001F1238"/>
    <w:rsid w:val="001F66C4"/>
    <w:rsid w:val="00204299"/>
    <w:rsid w:val="002043BD"/>
    <w:rsid w:val="00204A0E"/>
    <w:rsid w:val="00205B14"/>
    <w:rsid w:val="00205CD5"/>
    <w:rsid w:val="0021270B"/>
    <w:rsid w:val="0023513F"/>
    <w:rsid w:val="00236713"/>
    <w:rsid w:val="00237603"/>
    <w:rsid w:val="0024665F"/>
    <w:rsid w:val="00253318"/>
    <w:rsid w:val="00254729"/>
    <w:rsid w:val="00266DCC"/>
    <w:rsid w:val="0026779B"/>
    <w:rsid w:val="002754AE"/>
    <w:rsid w:val="00276CE0"/>
    <w:rsid w:val="0028250A"/>
    <w:rsid w:val="00287960"/>
    <w:rsid w:val="00297A79"/>
    <w:rsid w:val="002A5A6E"/>
    <w:rsid w:val="002A77CA"/>
    <w:rsid w:val="002B4DE0"/>
    <w:rsid w:val="002C0750"/>
    <w:rsid w:val="002C61E2"/>
    <w:rsid w:val="002C7CA9"/>
    <w:rsid w:val="002D12DE"/>
    <w:rsid w:val="002D1A0B"/>
    <w:rsid w:val="002E0E3B"/>
    <w:rsid w:val="002E3000"/>
    <w:rsid w:val="002F0A36"/>
    <w:rsid w:val="002F674D"/>
    <w:rsid w:val="0030504C"/>
    <w:rsid w:val="0030756C"/>
    <w:rsid w:val="00313F96"/>
    <w:rsid w:val="00316015"/>
    <w:rsid w:val="00316DA3"/>
    <w:rsid w:val="00324A88"/>
    <w:rsid w:val="0033663D"/>
    <w:rsid w:val="003379F6"/>
    <w:rsid w:val="00344991"/>
    <w:rsid w:val="00345327"/>
    <w:rsid w:val="0036515A"/>
    <w:rsid w:val="00377020"/>
    <w:rsid w:val="0037703E"/>
    <w:rsid w:val="00384F90"/>
    <w:rsid w:val="00385D84"/>
    <w:rsid w:val="003A2C0D"/>
    <w:rsid w:val="003B254D"/>
    <w:rsid w:val="003D0245"/>
    <w:rsid w:val="003D3ED4"/>
    <w:rsid w:val="003E5631"/>
    <w:rsid w:val="003E5A72"/>
    <w:rsid w:val="003E5C82"/>
    <w:rsid w:val="003F43C6"/>
    <w:rsid w:val="003F45D1"/>
    <w:rsid w:val="00403DEA"/>
    <w:rsid w:val="0041030D"/>
    <w:rsid w:val="004117E2"/>
    <w:rsid w:val="00411EE0"/>
    <w:rsid w:val="0042323A"/>
    <w:rsid w:val="00427A57"/>
    <w:rsid w:val="00435F08"/>
    <w:rsid w:val="0045410C"/>
    <w:rsid w:val="0045467F"/>
    <w:rsid w:val="00466EFB"/>
    <w:rsid w:val="00470217"/>
    <w:rsid w:val="00470FCE"/>
    <w:rsid w:val="0047143D"/>
    <w:rsid w:val="0047646E"/>
    <w:rsid w:val="00493753"/>
    <w:rsid w:val="004A03BA"/>
    <w:rsid w:val="004A6333"/>
    <w:rsid w:val="004A78DC"/>
    <w:rsid w:val="004A7CC3"/>
    <w:rsid w:val="004B00FD"/>
    <w:rsid w:val="004C1BB1"/>
    <w:rsid w:val="004C7500"/>
    <w:rsid w:val="004D137E"/>
    <w:rsid w:val="004D21EB"/>
    <w:rsid w:val="004D5CDD"/>
    <w:rsid w:val="004D7E46"/>
    <w:rsid w:val="004E0B2F"/>
    <w:rsid w:val="004E7129"/>
    <w:rsid w:val="00504BCA"/>
    <w:rsid w:val="00505DA8"/>
    <w:rsid w:val="005178A0"/>
    <w:rsid w:val="00521713"/>
    <w:rsid w:val="00523515"/>
    <w:rsid w:val="0052487A"/>
    <w:rsid w:val="00526C49"/>
    <w:rsid w:val="005279D7"/>
    <w:rsid w:val="00530A93"/>
    <w:rsid w:val="005350ED"/>
    <w:rsid w:val="005416D4"/>
    <w:rsid w:val="00544DE7"/>
    <w:rsid w:val="00551F94"/>
    <w:rsid w:val="00557262"/>
    <w:rsid w:val="005623E2"/>
    <w:rsid w:val="00564F60"/>
    <w:rsid w:val="0057031C"/>
    <w:rsid w:val="00570DD2"/>
    <w:rsid w:val="00573C8D"/>
    <w:rsid w:val="00576304"/>
    <w:rsid w:val="00583EF2"/>
    <w:rsid w:val="005961B1"/>
    <w:rsid w:val="005A0025"/>
    <w:rsid w:val="005A1D62"/>
    <w:rsid w:val="005C1322"/>
    <w:rsid w:val="005C2AFA"/>
    <w:rsid w:val="005C5F6A"/>
    <w:rsid w:val="005D3C1D"/>
    <w:rsid w:val="005D67AA"/>
    <w:rsid w:val="005F47D6"/>
    <w:rsid w:val="006023ED"/>
    <w:rsid w:val="00625108"/>
    <w:rsid w:val="00627F4A"/>
    <w:rsid w:val="0063033A"/>
    <w:rsid w:val="00634E7A"/>
    <w:rsid w:val="00636C8D"/>
    <w:rsid w:val="00637618"/>
    <w:rsid w:val="00640D34"/>
    <w:rsid w:val="006415E8"/>
    <w:rsid w:val="006421C4"/>
    <w:rsid w:val="00645D8E"/>
    <w:rsid w:val="00647647"/>
    <w:rsid w:val="0066095C"/>
    <w:rsid w:val="00661DF9"/>
    <w:rsid w:val="006624D4"/>
    <w:rsid w:val="00665C7C"/>
    <w:rsid w:val="00666522"/>
    <w:rsid w:val="0067348C"/>
    <w:rsid w:val="0067354F"/>
    <w:rsid w:val="006823DC"/>
    <w:rsid w:val="00685355"/>
    <w:rsid w:val="006B3864"/>
    <w:rsid w:val="006B6814"/>
    <w:rsid w:val="006C1055"/>
    <w:rsid w:val="006C1585"/>
    <w:rsid w:val="006D5B1F"/>
    <w:rsid w:val="006E0505"/>
    <w:rsid w:val="006E450A"/>
    <w:rsid w:val="00723C4B"/>
    <w:rsid w:val="00730115"/>
    <w:rsid w:val="0073334C"/>
    <w:rsid w:val="00737456"/>
    <w:rsid w:val="007453BB"/>
    <w:rsid w:val="00746DB5"/>
    <w:rsid w:val="00766002"/>
    <w:rsid w:val="00774974"/>
    <w:rsid w:val="0077577F"/>
    <w:rsid w:val="0078020E"/>
    <w:rsid w:val="007805F2"/>
    <w:rsid w:val="007823FE"/>
    <w:rsid w:val="007925E4"/>
    <w:rsid w:val="007965D7"/>
    <w:rsid w:val="007B7335"/>
    <w:rsid w:val="007C0F93"/>
    <w:rsid w:val="007C2674"/>
    <w:rsid w:val="007C2B1C"/>
    <w:rsid w:val="007D0B3D"/>
    <w:rsid w:val="007D11BE"/>
    <w:rsid w:val="007D213C"/>
    <w:rsid w:val="007D597C"/>
    <w:rsid w:val="007D7A64"/>
    <w:rsid w:val="007E2E6A"/>
    <w:rsid w:val="007E455C"/>
    <w:rsid w:val="007E74F0"/>
    <w:rsid w:val="007F2127"/>
    <w:rsid w:val="00803A0E"/>
    <w:rsid w:val="00804FB6"/>
    <w:rsid w:val="00806294"/>
    <w:rsid w:val="00810349"/>
    <w:rsid w:val="00811FEC"/>
    <w:rsid w:val="00813D44"/>
    <w:rsid w:val="008153D3"/>
    <w:rsid w:val="00824F73"/>
    <w:rsid w:val="00825E85"/>
    <w:rsid w:val="008272CA"/>
    <w:rsid w:val="00835744"/>
    <w:rsid w:val="008456BC"/>
    <w:rsid w:val="00850466"/>
    <w:rsid w:val="00850F67"/>
    <w:rsid w:val="00852DFD"/>
    <w:rsid w:val="0086275D"/>
    <w:rsid w:val="008715B5"/>
    <w:rsid w:val="008A25A3"/>
    <w:rsid w:val="008A686A"/>
    <w:rsid w:val="008B29C8"/>
    <w:rsid w:val="008C410E"/>
    <w:rsid w:val="008C5D51"/>
    <w:rsid w:val="008C6EEC"/>
    <w:rsid w:val="008D1449"/>
    <w:rsid w:val="008D22D0"/>
    <w:rsid w:val="008F3E50"/>
    <w:rsid w:val="008F44FA"/>
    <w:rsid w:val="00901FC1"/>
    <w:rsid w:val="00902DC6"/>
    <w:rsid w:val="00904BFE"/>
    <w:rsid w:val="0090797D"/>
    <w:rsid w:val="00927F97"/>
    <w:rsid w:val="009317F5"/>
    <w:rsid w:val="0093419E"/>
    <w:rsid w:val="00936BFE"/>
    <w:rsid w:val="00937F47"/>
    <w:rsid w:val="009443FC"/>
    <w:rsid w:val="00954B70"/>
    <w:rsid w:val="009561D0"/>
    <w:rsid w:val="00956E6F"/>
    <w:rsid w:val="009602A8"/>
    <w:rsid w:val="00963583"/>
    <w:rsid w:val="0096443F"/>
    <w:rsid w:val="009645DB"/>
    <w:rsid w:val="009660E3"/>
    <w:rsid w:val="00966207"/>
    <w:rsid w:val="00973144"/>
    <w:rsid w:val="00975923"/>
    <w:rsid w:val="009800B3"/>
    <w:rsid w:val="00980823"/>
    <w:rsid w:val="00984008"/>
    <w:rsid w:val="00985F72"/>
    <w:rsid w:val="009A090A"/>
    <w:rsid w:val="009A447C"/>
    <w:rsid w:val="009A7C36"/>
    <w:rsid w:val="009C21DB"/>
    <w:rsid w:val="009D5E54"/>
    <w:rsid w:val="00A04B9E"/>
    <w:rsid w:val="00A069E7"/>
    <w:rsid w:val="00A06A65"/>
    <w:rsid w:val="00A14180"/>
    <w:rsid w:val="00A149A4"/>
    <w:rsid w:val="00A16221"/>
    <w:rsid w:val="00A17240"/>
    <w:rsid w:val="00A360CD"/>
    <w:rsid w:val="00A37DC7"/>
    <w:rsid w:val="00A51244"/>
    <w:rsid w:val="00A52092"/>
    <w:rsid w:val="00A63ACC"/>
    <w:rsid w:val="00A67BEF"/>
    <w:rsid w:val="00A67FD5"/>
    <w:rsid w:val="00A7132D"/>
    <w:rsid w:val="00A77720"/>
    <w:rsid w:val="00A8298F"/>
    <w:rsid w:val="00A831D4"/>
    <w:rsid w:val="00A838D3"/>
    <w:rsid w:val="00A84846"/>
    <w:rsid w:val="00A932FB"/>
    <w:rsid w:val="00A93BC6"/>
    <w:rsid w:val="00A97A4F"/>
    <w:rsid w:val="00AA3F22"/>
    <w:rsid w:val="00AB07BC"/>
    <w:rsid w:val="00AB0946"/>
    <w:rsid w:val="00AB27AB"/>
    <w:rsid w:val="00AB61F9"/>
    <w:rsid w:val="00AB65D0"/>
    <w:rsid w:val="00AB7155"/>
    <w:rsid w:val="00AC141F"/>
    <w:rsid w:val="00AC2C39"/>
    <w:rsid w:val="00AC6DDD"/>
    <w:rsid w:val="00AD0E98"/>
    <w:rsid w:val="00AD42A3"/>
    <w:rsid w:val="00AF3DF7"/>
    <w:rsid w:val="00AF5E02"/>
    <w:rsid w:val="00B01070"/>
    <w:rsid w:val="00B0478D"/>
    <w:rsid w:val="00B104F9"/>
    <w:rsid w:val="00B1596C"/>
    <w:rsid w:val="00B221E4"/>
    <w:rsid w:val="00B2407A"/>
    <w:rsid w:val="00B24BA0"/>
    <w:rsid w:val="00B25928"/>
    <w:rsid w:val="00B322D4"/>
    <w:rsid w:val="00B37ED4"/>
    <w:rsid w:val="00B40FBB"/>
    <w:rsid w:val="00B4504A"/>
    <w:rsid w:val="00B46DEC"/>
    <w:rsid w:val="00B474EA"/>
    <w:rsid w:val="00B567CE"/>
    <w:rsid w:val="00B600D9"/>
    <w:rsid w:val="00B61275"/>
    <w:rsid w:val="00B66E5C"/>
    <w:rsid w:val="00B75BDB"/>
    <w:rsid w:val="00B8486B"/>
    <w:rsid w:val="00B955A1"/>
    <w:rsid w:val="00BA4EAE"/>
    <w:rsid w:val="00BA6D38"/>
    <w:rsid w:val="00BC637D"/>
    <w:rsid w:val="00BC6C43"/>
    <w:rsid w:val="00BD0FBF"/>
    <w:rsid w:val="00BD3D90"/>
    <w:rsid w:val="00BD6E97"/>
    <w:rsid w:val="00BF0B5A"/>
    <w:rsid w:val="00BF2558"/>
    <w:rsid w:val="00BF3E46"/>
    <w:rsid w:val="00C058B1"/>
    <w:rsid w:val="00C1691F"/>
    <w:rsid w:val="00C256CA"/>
    <w:rsid w:val="00C26395"/>
    <w:rsid w:val="00C322A1"/>
    <w:rsid w:val="00C4375E"/>
    <w:rsid w:val="00C45852"/>
    <w:rsid w:val="00C526B1"/>
    <w:rsid w:val="00C53338"/>
    <w:rsid w:val="00C57784"/>
    <w:rsid w:val="00C6038F"/>
    <w:rsid w:val="00C61640"/>
    <w:rsid w:val="00C65ADE"/>
    <w:rsid w:val="00C711F5"/>
    <w:rsid w:val="00C853FA"/>
    <w:rsid w:val="00C86601"/>
    <w:rsid w:val="00C91581"/>
    <w:rsid w:val="00C92C98"/>
    <w:rsid w:val="00CA03E9"/>
    <w:rsid w:val="00CA320D"/>
    <w:rsid w:val="00CB5D00"/>
    <w:rsid w:val="00CB6547"/>
    <w:rsid w:val="00CC1D50"/>
    <w:rsid w:val="00CD1AA7"/>
    <w:rsid w:val="00CD1C80"/>
    <w:rsid w:val="00CD1D42"/>
    <w:rsid w:val="00CD3C9C"/>
    <w:rsid w:val="00D10BDF"/>
    <w:rsid w:val="00D11EE0"/>
    <w:rsid w:val="00D137A6"/>
    <w:rsid w:val="00D157B9"/>
    <w:rsid w:val="00D211C7"/>
    <w:rsid w:val="00D21863"/>
    <w:rsid w:val="00D258E3"/>
    <w:rsid w:val="00D344E1"/>
    <w:rsid w:val="00D35703"/>
    <w:rsid w:val="00D42E98"/>
    <w:rsid w:val="00D47B36"/>
    <w:rsid w:val="00D654A6"/>
    <w:rsid w:val="00D66DDC"/>
    <w:rsid w:val="00D70051"/>
    <w:rsid w:val="00D70C0C"/>
    <w:rsid w:val="00D71C49"/>
    <w:rsid w:val="00D81CB3"/>
    <w:rsid w:val="00D8292F"/>
    <w:rsid w:val="00D82C2A"/>
    <w:rsid w:val="00D900CB"/>
    <w:rsid w:val="00D917CD"/>
    <w:rsid w:val="00D94C14"/>
    <w:rsid w:val="00DD042D"/>
    <w:rsid w:val="00DD51F7"/>
    <w:rsid w:val="00DE1617"/>
    <w:rsid w:val="00E004F7"/>
    <w:rsid w:val="00E02F01"/>
    <w:rsid w:val="00E1161F"/>
    <w:rsid w:val="00E20D6D"/>
    <w:rsid w:val="00E26FA4"/>
    <w:rsid w:val="00E277B1"/>
    <w:rsid w:val="00E31605"/>
    <w:rsid w:val="00E32FA2"/>
    <w:rsid w:val="00E41885"/>
    <w:rsid w:val="00E56C2A"/>
    <w:rsid w:val="00E60C40"/>
    <w:rsid w:val="00E851EC"/>
    <w:rsid w:val="00E854C1"/>
    <w:rsid w:val="00E856EB"/>
    <w:rsid w:val="00E86A1A"/>
    <w:rsid w:val="00EA2B9B"/>
    <w:rsid w:val="00EB08D3"/>
    <w:rsid w:val="00EB370E"/>
    <w:rsid w:val="00EB3C19"/>
    <w:rsid w:val="00EB6787"/>
    <w:rsid w:val="00EC221D"/>
    <w:rsid w:val="00EC2391"/>
    <w:rsid w:val="00ED74A6"/>
    <w:rsid w:val="00ED7AB2"/>
    <w:rsid w:val="00EE1B34"/>
    <w:rsid w:val="00EF7EC2"/>
    <w:rsid w:val="00F0186B"/>
    <w:rsid w:val="00F05DBC"/>
    <w:rsid w:val="00F15680"/>
    <w:rsid w:val="00F158B0"/>
    <w:rsid w:val="00F233A9"/>
    <w:rsid w:val="00F404D5"/>
    <w:rsid w:val="00F624AD"/>
    <w:rsid w:val="00F67014"/>
    <w:rsid w:val="00F679C8"/>
    <w:rsid w:val="00F722DB"/>
    <w:rsid w:val="00F7387C"/>
    <w:rsid w:val="00F80987"/>
    <w:rsid w:val="00F87117"/>
    <w:rsid w:val="00FA1C62"/>
    <w:rsid w:val="00FA401C"/>
    <w:rsid w:val="00FB4131"/>
    <w:rsid w:val="00FC545E"/>
    <w:rsid w:val="00FD1D57"/>
    <w:rsid w:val="00FD30F8"/>
    <w:rsid w:val="00FD438E"/>
    <w:rsid w:val="00FF08E2"/>
    <w:rsid w:val="00FF4FEF"/>
    <w:rsid w:val="00FF6D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3D2551F"/>
  <w14:defaultImageDpi w14:val="32767"/>
  <w15:docId w15:val="{31442BF1-952C-E04E-9846-53A8BE25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E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4CF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D5CDD"/>
    <w:pPr>
      <w:ind w:left="720"/>
      <w:contextualSpacing/>
    </w:pPr>
  </w:style>
  <w:style w:type="paragraph" w:styleId="FootnoteText">
    <w:name w:val="footnote text"/>
    <w:aliases w:val="5_G,Footnote Text Char1,Footnote Text Char Char,Footnote Text Char1 Char Char,Footnote Text Char Char Char Char,Footnote Text Char Char1,Footnote Text Char3,Footnote Text Char Char Char Char Char1,Text pozn. pod čarou Char,Footnotes,FA Fu"/>
    <w:basedOn w:val="Normal"/>
    <w:link w:val="FootnoteTextChar"/>
    <w:uiPriority w:val="99"/>
    <w:unhideWhenUsed/>
    <w:qFormat/>
    <w:rsid w:val="003E5631"/>
    <w:rPr>
      <w:sz w:val="20"/>
      <w:szCs w:val="20"/>
    </w:rPr>
  </w:style>
  <w:style w:type="character" w:customStyle="1" w:styleId="FootnoteTextChar">
    <w:name w:val="Footnote Text Char"/>
    <w:aliases w:val="5_G Char,Footnote Text Char1 Char,Footnote Text Char Char Char,Footnote Text Char1 Char Char Char,Footnote Text Char Char Char Char Char,Footnote Text Char Char1 Char,Footnote Text Char3 Char,Text pozn. pod čarou Char Char,FA Fu Char"/>
    <w:basedOn w:val="DefaultParagraphFont"/>
    <w:link w:val="FootnoteText"/>
    <w:uiPriority w:val="99"/>
    <w:qFormat/>
    <w:rsid w:val="003E5631"/>
    <w:rPr>
      <w:sz w:val="20"/>
      <w:szCs w:val="20"/>
    </w:rPr>
  </w:style>
  <w:style w:type="character" w:styleId="FootnoteReference">
    <w:name w:val="footnote reference"/>
    <w:aliases w:val="4_G,a Footnote Reference,FZ,Appel note de bas de page,Footnotes refss,Footnote Ref,16 Point,Superscript 6 Point,Appel note de bas de p.,Footnote Refernece,Footnote number,ftref,Footnote text,callout,Ref,de nota al pie,Style 10,BVI fnr"/>
    <w:basedOn w:val="DefaultParagraphFont"/>
    <w:link w:val="BVIfnr"/>
    <w:uiPriority w:val="99"/>
    <w:unhideWhenUsed/>
    <w:qFormat/>
    <w:rsid w:val="003E5631"/>
    <w:rPr>
      <w:vertAlign w:val="superscript"/>
    </w:rPr>
  </w:style>
  <w:style w:type="character" w:styleId="Hyperlink">
    <w:name w:val="Hyperlink"/>
    <w:basedOn w:val="DefaultParagraphFont"/>
    <w:uiPriority w:val="99"/>
    <w:unhideWhenUsed/>
    <w:rsid w:val="003E5631"/>
    <w:rPr>
      <w:color w:val="0563C1" w:themeColor="hyperlink"/>
      <w:u w:val="single"/>
    </w:rPr>
  </w:style>
  <w:style w:type="character" w:customStyle="1" w:styleId="UnresolvedMention1">
    <w:name w:val="Unresolved Mention1"/>
    <w:basedOn w:val="DefaultParagraphFont"/>
    <w:uiPriority w:val="99"/>
    <w:rsid w:val="003E5631"/>
    <w:rPr>
      <w:color w:val="605E5C"/>
      <w:shd w:val="clear" w:color="auto" w:fill="E1DFDD"/>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E41885"/>
    <w:pPr>
      <w:spacing w:after="160" w:line="240" w:lineRule="exact"/>
      <w:jc w:val="both"/>
    </w:pPr>
    <w:rPr>
      <w:vertAlign w:val="superscript"/>
    </w:rPr>
  </w:style>
  <w:style w:type="paragraph" w:styleId="NormalWeb">
    <w:name w:val="Normal (Web)"/>
    <w:basedOn w:val="Normal"/>
    <w:uiPriority w:val="99"/>
    <w:unhideWhenUsed/>
    <w:rsid w:val="00B104F9"/>
    <w:pPr>
      <w:spacing w:before="100" w:beforeAutospacing="1" w:after="100" w:afterAutospacing="1"/>
    </w:pPr>
    <w:rPr>
      <w:rFonts w:ascii="Times" w:hAnsi="Times" w:cs="Times New Roman"/>
      <w:sz w:val="20"/>
      <w:szCs w:val="20"/>
      <w:lang w:val="en-US" w:eastAsia="en-US"/>
    </w:rPr>
  </w:style>
  <w:style w:type="character" w:styleId="FollowedHyperlink">
    <w:name w:val="FollowedHyperlink"/>
    <w:basedOn w:val="DefaultParagraphFont"/>
    <w:uiPriority w:val="99"/>
    <w:semiHidden/>
    <w:unhideWhenUsed/>
    <w:rsid w:val="00AB65D0"/>
    <w:rPr>
      <w:color w:val="954F72" w:themeColor="followedHyperlink"/>
      <w:u w:val="single"/>
    </w:rPr>
  </w:style>
  <w:style w:type="character" w:customStyle="1" w:styleId="Heading1Char">
    <w:name w:val="Heading 1 Char"/>
    <w:basedOn w:val="DefaultParagraphFont"/>
    <w:link w:val="Heading1"/>
    <w:uiPriority w:val="9"/>
    <w:rsid w:val="00111E2C"/>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link w:val="ListParagraph"/>
    <w:uiPriority w:val="34"/>
    <w:qFormat/>
    <w:rsid w:val="00B25928"/>
  </w:style>
  <w:style w:type="character" w:customStyle="1" w:styleId="Heading2Char">
    <w:name w:val="Heading 2 Char"/>
    <w:basedOn w:val="DefaultParagraphFont"/>
    <w:link w:val="Heading2"/>
    <w:uiPriority w:val="9"/>
    <w:rsid w:val="000B4CF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C410E"/>
    <w:pPr>
      <w:tabs>
        <w:tab w:val="center" w:pos="4680"/>
        <w:tab w:val="right" w:pos="9360"/>
      </w:tabs>
    </w:pPr>
  </w:style>
  <w:style w:type="character" w:customStyle="1" w:styleId="HeaderChar">
    <w:name w:val="Header Char"/>
    <w:basedOn w:val="DefaultParagraphFont"/>
    <w:link w:val="Header"/>
    <w:uiPriority w:val="99"/>
    <w:rsid w:val="008C410E"/>
  </w:style>
  <w:style w:type="paragraph" w:styleId="Footer">
    <w:name w:val="footer"/>
    <w:basedOn w:val="Normal"/>
    <w:link w:val="FooterChar"/>
    <w:uiPriority w:val="99"/>
    <w:unhideWhenUsed/>
    <w:rsid w:val="008C410E"/>
    <w:pPr>
      <w:tabs>
        <w:tab w:val="center" w:pos="4680"/>
        <w:tab w:val="right" w:pos="9360"/>
      </w:tabs>
    </w:pPr>
  </w:style>
  <w:style w:type="character" w:customStyle="1" w:styleId="FooterChar">
    <w:name w:val="Footer Char"/>
    <w:basedOn w:val="DefaultParagraphFont"/>
    <w:link w:val="Footer"/>
    <w:uiPriority w:val="99"/>
    <w:rsid w:val="008C410E"/>
  </w:style>
  <w:style w:type="character" w:styleId="PageNumber">
    <w:name w:val="page number"/>
    <w:basedOn w:val="DefaultParagraphFont"/>
    <w:uiPriority w:val="99"/>
    <w:semiHidden/>
    <w:unhideWhenUsed/>
    <w:rsid w:val="008C410E"/>
  </w:style>
  <w:style w:type="paragraph" w:styleId="Revision">
    <w:name w:val="Revision"/>
    <w:hidden/>
    <w:uiPriority w:val="99"/>
    <w:semiHidden/>
    <w:rsid w:val="00A51244"/>
  </w:style>
  <w:style w:type="character" w:styleId="CommentReference">
    <w:name w:val="annotation reference"/>
    <w:basedOn w:val="DefaultParagraphFont"/>
    <w:uiPriority w:val="99"/>
    <w:semiHidden/>
    <w:unhideWhenUsed/>
    <w:rsid w:val="00D8292F"/>
    <w:rPr>
      <w:sz w:val="16"/>
      <w:szCs w:val="16"/>
    </w:rPr>
  </w:style>
  <w:style w:type="paragraph" w:styleId="CommentText">
    <w:name w:val="annotation text"/>
    <w:basedOn w:val="Normal"/>
    <w:link w:val="CommentTextChar"/>
    <w:uiPriority w:val="99"/>
    <w:unhideWhenUsed/>
    <w:rsid w:val="00D8292F"/>
    <w:rPr>
      <w:sz w:val="20"/>
      <w:szCs w:val="20"/>
    </w:rPr>
  </w:style>
  <w:style w:type="character" w:customStyle="1" w:styleId="CommentTextChar">
    <w:name w:val="Comment Text Char"/>
    <w:basedOn w:val="DefaultParagraphFont"/>
    <w:link w:val="CommentText"/>
    <w:uiPriority w:val="99"/>
    <w:rsid w:val="00D8292F"/>
    <w:rPr>
      <w:sz w:val="20"/>
      <w:szCs w:val="20"/>
    </w:rPr>
  </w:style>
  <w:style w:type="paragraph" w:styleId="CommentSubject">
    <w:name w:val="annotation subject"/>
    <w:basedOn w:val="CommentText"/>
    <w:next w:val="CommentText"/>
    <w:link w:val="CommentSubjectChar"/>
    <w:uiPriority w:val="99"/>
    <w:semiHidden/>
    <w:unhideWhenUsed/>
    <w:rsid w:val="00D8292F"/>
    <w:rPr>
      <w:b/>
      <w:bCs/>
    </w:rPr>
  </w:style>
  <w:style w:type="character" w:customStyle="1" w:styleId="CommentSubjectChar">
    <w:name w:val="Comment Subject Char"/>
    <w:basedOn w:val="CommentTextChar"/>
    <w:link w:val="CommentSubject"/>
    <w:uiPriority w:val="99"/>
    <w:semiHidden/>
    <w:rsid w:val="00D8292F"/>
    <w:rPr>
      <w:b/>
      <w:bCs/>
      <w:sz w:val="20"/>
      <w:szCs w:val="20"/>
    </w:rPr>
  </w:style>
  <w:style w:type="paragraph" w:styleId="BalloonText">
    <w:name w:val="Balloon Text"/>
    <w:basedOn w:val="Normal"/>
    <w:link w:val="BalloonTextChar"/>
    <w:uiPriority w:val="99"/>
    <w:semiHidden/>
    <w:unhideWhenUsed/>
    <w:rsid w:val="00015F6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5F64"/>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7F2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92415">
      <w:bodyDiv w:val="1"/>
      <w:marLeft w:val="0"/>
      <w:marRight w:val="0"/>
      <w:marTop w:val="0"/>
      <w:marBottom w:val="0"/>
      <w:divBdr>
        <w:top w:val="none" w:sz="0" w:space="0" w:color="auto"/>
        <w:left w:val="none" w:sz="0" w:space="0" w:color="auto"/>
        <w:bottom w:val="none" w:sz="0" w:space="0" w:color="auto"/>
        <w:right w:val="none" w:sz="0" w:space="0" w:color="auto"/>
      </w:divBdr>
    </w:div>
    <w:div w:id="1052778404">
      <w:bodyDiv w:val="1"/>
      <w:marLeft w:val="0"/>
      <w:marRight w:val="0"/>
      <w:marTop w:val="0"/>
      <w:marBottom w:val="0"/>
      <w:divBdr>
        <w:top w:val="none" w:sz="0" w:space="0" w:color="auto"/>
        <w:left w:val="none" w:sz="0" w:space="0" w:color="auto"/>
        <w:bottom w:val="none" w:sz="0" w:space="0" w:color="auto"/>
        <w:right w:val="none" w:sz="0" w:space="0" w:color="auto"/>
      </w:divBdr>
    </w:div>
    <w:div w:id="1291860003">
      <w:bodyDiv w:val="1"/>
      <w:marLeft w:val="0"/>
      <w:marRight w:val="0"/>
      <w:marTop w:val="0"/>
      <w:marBottom w:val="0"/>
      <w:divBdr>
        <w:top w:val="none" w:sz="0" w:space="0" w:color="auto"/>
        <w:left w:val="none" w:sz="0" w:space="0" w:color="auto"/>
        <w:bottom w:val="none" w:sz="0" w:space="0" w:color="auto"/>
        <w:right w:val="none" w:sz="0" w:space="0" w:color="auto"/>
      </w:divBdr>
    </w:div>
    <w:div w:id="1393384773">
      <w:bodyDiv w:val="1"/>
      <w:marLeft w:val="0"/>
      <w:marRight w:val="0"/>
      <w:marTop w:val="0"/>
      <w:marBottom w:val="0"/>
      <w:divBdr>
        <w:top w:val="none" w:sz="0" w:space="0" w:color="auto"/>
        <w:left w:val="none" w:sz="0" w:space="0" w:color="auto"/>
        <w:bottom w:val="none" w:sz="0" w:space="0" w:color="auto"/>
        <w:right w:val="none" w:sz="0" w:space="0" w:color="auto"/>
      </w:divBdr>
    </w:div>
    <w:div w:id="1558012385">
      <w:bodyDiv w:val="1"/>
      <w:marLeft w:val="0"/>
      <w:marRight w:val="0"/>
      <w:marTop w:val="0"/>
      <w:marBottom w:val="0"/>
      <w:divBdr>
        <w:top w:val="none" w:sz="0" w:space="0" w:color="auto"/>
        <w:left w:val="none" w:sz="0" w:space="0" w:color="auto"/>
        <w:bottom w:val="none" w:sz="0" w:space="0" w:color="auto"/>
        <w:right w:val="none" w:sz="0" w:space="0" w:color="auto"/>
      </w:divBdr>
    </w:div>
    <w:div w:id="212002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j.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icj.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jmp.gov.ph/images/data_and_stats/09-30-22/Congestion_Rate_-_sep_2022.pngf" TargetMode="External"/><Relationship Id="rId13" Type="http://schemas.openxmlformats.org/officeDocument/2006/relationships/hyperlink" Target="https://icj2.wpenginepowered.com/wp-content/uploads/2023/05/ICJ-OGBV-Law-Checklist.pdf" TargetMode="External"/><Relationship Id="rId3" Type="http://schemas.openxmlformats.org/officeDocument/2006/relationships/hyperlink" Target="https://bjmp.gov.ph/index.php/manuals" TargetMode="External"/><Relationship Id="rId7" Type="http://schemas.openxmlformats.org/officeDocument/2006/relationships/hyperlink" Target="https://news.abs-cbn.com/news/06/22/23/two-thirds-of-philippine-jails-congested-coa" TargetMode="External"/><Relationship Id="rId12" Type="http://schemas.openxmlformats.org/officeDocument/2006/relationships/hyperlink" Target="https://chr.gov.ph/wp-content/uploads/2022/06/2021.Gender-Ombud-1stQ-Sit-2021.pdf" TargetMode="External"/><Relationship Id="rId17" Type="http://schemas.openxmlformats.org/officeDocument/2006/relationships/hyperlink" Target="https://www.benarnews.org/english/news/philippine/communist-allegation-08242023130413.html" TargetMode="External"/><Relationship Id="rId2" Type="http://schemas.openxmlformats.org/officeDocument/2006/relationships/hyperlink" Target="https://bucor.gov.ph/wp-content/uploads/2021/12/BUCOR-OPERATING-MANUAL-Part-2.pdf" TargetMode="External"/><Relationship Id="rId16" Type="http://schemas.openxmlformats.org/officeDocument/2006/relationships/hyperlink" Target="https://www.bulatlat.com/2022/11/09/unhrc-stop-red-tagging/" TargetMode="External"/><Relationship Id="rId1" Type="http://schemas.openxmlformats.org/officeDocument/2006/relationships/hyperlink" Target="https://icj2.wpenginepowered.com/wp-content/uploads/2023/03/8-March-Principles-Report_final_print-version.pdf" TargetMode="External"/><Relationship Id="rId6" Type="http://schemas.openxmlformats.org/officeDocument/2006/relationships/hyperlink" Target="https://www.bjmp.gov.ph/images/data_and_stats/09-30-22/BJMP_Actual_PDL_Population_-_sep_2022.png" TargetMode="External"/><Relationship Id="rId11" Type="http://schemas.openxmlformats.org/officeDocument/2006/relationships/hyperlink" Target="https://chr-observatories.uwazi.io/api/files/16544875143568e6p7pdbv2u.pdf" TargetMode="External"/><Relationship Id="rId5" Type="http://schemas.openxmlformats.org/officeDocument/2006/relationships/hyperlink" Target="https://www.prisonstudies.org/country/philippines" TargetMode="External"/><Relationship Id="rId15" Type="http://schemas.openxmlformats.org/officeDocument/2006/relationships/hyperlink" Target="https://www.icj.org/philippines-cease-dangerous-practice-of-red-tagging-human-rights-defenders/" TargetMode="External"/><Relationship Id="rId10" Type="http://schemas.openxmlformats.org/officeDocument/2006/relationships/hyperlink" Target="https://hrep-website.s3.ap-southeast-1.amazonaws.com/legisdocs/third_19/HBT08009.pdf" TargetMode="External"/><Relationship Id="rId4" Type="http://schemas.openxmlformats.org/officeDocument/2006/relationships/hyperlink" Target="https://chr.gov.ph/wp-content/uploads/2022/01/Inside-Stories-A-Report-on-the-Situation-of-Women-Deprived-of-Liberty-from-Select-Detention-Facilities.pdf" TargetMode="External"/><Relationship Id="rId9" Type="http://schemas.openxmlformats.org/officeDocument/2006/relationships/hyperlink" Target="https://www.pna.gov.ph/articles/1202008" TargetMode="External"/><Relationship Id="rId14" Type="http://schemas.openxmlformats.org/officeDocument/2006/relationships/hyperlink" Target="https://icj2.wpenginepowered.com/wp-content/uploads/2023/07/ICJ-Silenced-But-Not-Silent-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3214</Words>
  <Characters>18193</Characters>
  <Application>Microsoft Office Word</Application>
  <DocSecurity>0</DocSecurity>
  <Lines>371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Daron Tan</dc:creator>
  <cp:keywords/>
  <dc:description/>
  <cp:lastModifiedBy>Daron Tan</cp:lastModifiedBy>
  <cp:revision>2</cp:revision>
  <dcterms:created xsi:type="dcterms:W3CDTF">2023-10-06T08:51:00Z</dcterms:created>
  <dcterms:modified xsi:type="dcterms:W3CDTF">2023-10-06T08:51:00Z</dcterms:modified>
</cp:coreProperties>
</file>