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DC5BCB" w14:textId="0593CEBB" w:rsidR="00293B17" w:rsidRDefault="00293B17" w:rsidP="00293B17">
      <w:pPr>
        <w:pBdr>
          <w:bottom w:val="single" w:sz="18" w:space="1" w:color="auto"/>
        </w:pBdr>
        <w:jc w:val="center"/>
        <w:rPr>
          <w:rFonts w:ascii="Times New Roman" w:hAnsi="Times New Roman" w:cs="Times New Roman"/>
          <w:b/>
          <w:bCs/>
          <w:color w:val="FF0000"/>
          <w:sz w:val="28"/>
          <w:szCs w:val="28"/>
        </w:rPr>
      </w:pPr>
      <w:bookmarkStart w:id="0" w:name="OLE_LINK1"/>
      <w:r w:rsidRPr="00293B17">
        <w:rPr>
          <w:rFonts w:ascii="Times New Roman" w:hAnsi="Times New Roman" w:cs="Times New Roman"/>
          <w:b/>
          <w:bCs/>
          <w:color w:val="2F5496" w:themeColor="accent5" w:themeShade="BF"/>
          <w:sz w:val="28"/>
          <w:szCs w:val="28"/>
        </w:rPr>
        <w:t xml:space="preserve">Maat </w:t>
      </w:r>
      <w:bookmarkEnd w:id="0"/>
      <w:r w:rsidRPr="00293B17">
        <w:rPr>
          <w:rFonts w:ascii="Times New Roman" w:hAnsi="Times New Roman" w:cs="Times New Roman"/>
          <w:b/>
          <w:bCs/>
          <w:color w:val="2F5496" w:themeColor="accent5" w:themeShade="BF"/>
          <w:sz w:val="28"/>
          <w:szCs w:val="28"/>
        </w:rPr>
        <w:t>for Peace’ report</w:t>
      </w:r>
      <w:r w:rsidRPr="00293B17">
        <w:rPr>
          <w:rFonts w:ascii="Times New Roman" w:hAnsi="Times New Roman" w:cs="Times New Roman"/>
          <w:b/>
          <w:bCs/>
          <w:color w:val="2F5496" w:themeColor="accent5" w:themeShade="BF"/>
          <w:sz w:val="28"/>
          <w:szCs w:val="28"/>
        </w:rPr>
        <w:t xml:space="preserve"> </w:t>
      </w:r>
      <w:r w:rsidRPr="00293B17">
        <w:rPr>
          <w:rFonts w:ascii="Times New Roman" w:hAnsi="Times New Roman" w:cs="Times New Roman"/>
          <w:b/>
          <w:bCs/>
          <w:color w:val="2F5496" w:themeColor="accent5" w:themeShade="BF"/>
          <w:sz w:val="28"/>
          <w:szCs w:val="28"/>
        </w:rPr>
        <w:t xml:space="preserve">submitted </w:t>
      </w:r>
      <w:r w:rsidRPr="00293B17">
        <w:rPr>
          <w:rFonts w:ascii="Times New Roman" w:hAnsi="Times New Roman" w:cs="Times New Roman"/>
          <w:b/>
          <w:bCs/>
          <w:color w:val="2F5496" w:themeColor="accent5" w:themeShade="BF"/>
          <w:sz w:val="28"/>
          <w:szCs w:val="28"/>
        </w:rPr>
        <w:t xml:space="preserve">to </w:t>
      </w:r>
      <w:r w:rsidRPr="00293B17">
        <w:rPr>
          <w:rFonts w:ascii="Times New Roman" w:hAnsi="Times New Roman" w:cs="Times New Roman"/>
          <w:b/>
          <w:bCs/>
          <w:color w:val="2F5496" w:themeColor="accent5" w:themeShade="BF"/>
          <w:sz w:val="28"/>
          <w:szCs w:val="28"/>
        </w:rPr>
        <w:t xml:space="preserve">The </w:t>
      </w:r>
      <w:r w:rsidRPr="00293B17">
        <w:rPr>
          <w:rFonts w:ascii="Times New Roman" w:hAnsi="Times New Roman" w:cs="Times New Roman"/>
          <w:b/>
          <w:bCs/>
          <w:color w:val="2F5496" w:themeColor="accent5" w:themeShade="BF"/>
          <w:sz w:val="28"/>
          <w:szCs w:val="28"/>
        </w:rPr>
        <w:t xml:space="preserve">Committee on Enforced Disappearances </w:t>
      </w:r>
      <w:r w:rsidRPr="00293B17">
        <w:rPr>
          <w:rFonts w:ascii="Times New Roman" w:hAnsi="Times New Roman" w:cs="Times New Roman"/>
          <w:b/>
          <w:bCs/>
          <w:color w:val="2F5496" w:themeColor="accent5" w:themeShade="BF"/>
          <w:sz w:val="28"/>
          <w:szCs w:val="28"/>
        </w:rPr>
        <w:t>regarding</w:t>
      </w:r>
      <w:r w:rsidRPr="00293B17">
        <w:rPr>
          <w:rFonts w:ascii="Times New Roman" w:hAnsi="Times New Roman" w:cs="Times New Roman"/>
          <w:b/>
          <w:bCs/>
          <w:color w:val="2F5496" w:themeColor="accent5" w:themeShade="BF"/>
          <w:sz w:val="28"/>
          <w:szCs w:val="28"/>
        </w:rPr>
        <w:t xml:space="preserve"> </w:t>
      </w:r>
      <w:r w:rsidRPr="00293B17">
        <w:rPr>
          <w:rFonts w:ascii="Times New Roman" w:hAnsi="Times New Roman" w:cs="Times New Roman"/>
          <w:b/>
          <w:bCs/>
          <w:color w:val="FF0000"/>
          <w:sz w:val="28"/>
          <w:szCs w:val="28"/>
        </w:rPr>
        <w:t>Belgium</w:t>
      </w:r>
    </w:p>
    <w:p w14:paraId="5F700CAB" w14:textId="06FBD0D3" w:rsidR="00C43CDC" w:rsidRPr="00FE2391" w:rsidRDefault="00FE2391" w:rsidP="00293B17">
      <w:pPr>
        <w:pBdr>
          <w:bottom w:val="single" w:sz="18" w:space="1" w:color="auto"/>
        </w:pBdr>
        <w:jc w:val="center"/>
        <w:rPr>
          <w:rFonts w:ascii="Times New Roman" w:hAnsi="Times New Roman" w:cs="Times New Roman"/>
          <w:b/>
          <w:bCs/>
          <w:color w:val="FF0000"/>
        </w:rPr>
      </w:pPr>
      <w:r w:rsidRPr="00FE2391">
        <w:rPr>
          <w:rFonts w:ascii="Times New Roman" w:hAnsi="Times New Roman" w:cs="Times New Roman"/>
          <w:b/>
          <w:bCs/>
          <w:color w:val="FF0000"/>
        </w:rPr>
        <w:t xml:space="preserve">In The Context of </w:t>
      </w:r>
      <w:r w:rsidR="00C43CDC" w:rsidRPr="00FE2391">
        <w:rPr>
          <w:rFonts w:ascii="Times New Roman" w:hAnsi="Times New Roman" w:cs="Times New Roman"/>
          <w:b/>
          <w:bCs/>
          <w:color w:val="FF0000"/>
        </w:rPr>
        <w:t xml:space="preserve">Concluding Observations </w:t>
      </w:r>
    </w:p>
    <w:p w14:paraId="48BEE596" w14:textId="00D18E07" w:rsidR="00293B17" w:rsidRPr="00293B17" w:rsidRDefault="00293B17" w:rsidP="00293B17">
      <w:pPr>
        <w:pBdr>
          <w:bottom w:val="single" w:sz="18" w:space="1" w:color="auto"/>
        </w:pBdr>
        <w:jc w:val="center"/>
        <w:rPr>
          <w:rFonts w:ascii="Times New Roman" w:hAnsi="Times New Roman" w:cs="Times New Roman"/>
          <w:b/>
          <w:bCs/>
          <w:sz w:val="24"/>
          <w:szCs w:val="24"/>
        </w:rPr>
      </w:pPr>
      <w:r w:rsidRPr="00293B17">
        <w:rPr>
          <w:rFonts w:ascii="Times New Roman" w:hAnsi="Times New Roman" w:cs="Times New Roman"/>
          <w:b/>
          <w:bCs/>
          <w:sz w:val="24"/>
          <w:szCs w:val="24"/>
        </w:rPr>
        <w:t>February 2025</w:t>
      </w:r>
    </w:p>
    <w:p w14:paraId="095FC3C1" w14:textId="77777777" w:rsidR="00293B17" w:rsidRPr="00293B17" w:rsidRDefault="00293B17" w:rsidP="00293B17">
      <w:pPr>
        <w:jc w:val="both"/>
        <w:rPr>
          <w:rFonts w:ascii="Times New Roman" w:hAnsi="Times New Roman" w:cs="Times New Roman"/>
          <w:sz w:val="24"/>
          <w:szCs w:val="24"/>
        </w:rPr>
      </w:pPr>
      <w:r w:rsidRPr="00293B17">
        <w:rPr>
          <w:rFonts w:ascii="Times New Roman" w:hAnsi="Times New Roman" w:cs="Times New Roman"/>
          <w:sz w:val="24"/>
          <w:szCs w:val="24"/>
        </w:rPr>
        <w:t>Belgium signed the International Convention for the Protection of All Persons from Enforced Disappearance (hereinafter referred to as the "Convention") on 6 February 2007 and ratified it on 2 June 2011. By virtue of this ratification, Belgium is obliged to implement the provisions of the Convention with respect to all individuals residing on its territory, whether nationals or foreigners, without any discrimination.</w:t>
      </w:r>
    </w:p>
    <w:p w14:paraId="39E56A4D" w14:textId="77777777" w:rsidR="00293B17" w:rsidRPr="00293B17" w:rsidRDefault="00293B17" w:rsidP="00293B17">
      <w:pPr>
        <w:jc w:val="both"/>
        <w:rPr>
          <w:rFonts w:ascii="Times New Roman" w:hAnsi="Times New Roman" w:cs="Times New Roman"/>
          <w:sz w:val="24"/>
          <w:szCs w:val="24"/>
        </w:rPr>
      </w:pPr>
      <w:r w:rsidRPr="00293B17">
        <w:rPr>
          <w:rFonts w:ascii="Times New Roman" w:hAnsi="Times New Roman" w:cs="Times New Roman"/>
          <w:sz w:val="24"/>
          <w:szCs w:val="24"/>
        </w:rPr>
        <w:t>Belgium submitted its first periodic report to the United Nations Committee on Enforced Disappearances (hereinafter referred to as the "Committee") in July 2013.</w:t>
      </w:r>
      <w:r w:rsidRPr="00293B17">
        <w:rPr>
          <w:rStyle w:val="FootnoteReference"/>
          <w:rFonts w:ascii="Times New Roman" w:hAnsi="Times New Roman" w:cs="Times New Roman"/>
          <w:sz w:val="24"/>
          <w:szCs w:val="24"/>
        </w:rPr>
        <w:footnoteReference w:id="1"/>
      </w:r>
      <w:r w:rsidRPr="00293B17">
        <w:rPr>
          <w:rFonts w:ascii="Times New Roman" w:hAnsi="Times New Roman" w:cs="Times New Roman"/>
          <w:sz w:val="24"/>
          <w:szCs w:val="24"/>
        </w:rPr>
        <w:t xml:space="preserve"> After reviewing the report, the Committee adopted its concluding observations in September 2014. In January 2016, Belgium responded to the Committee’s request for additional information on the implementation of the recommendations contained in paragraphs 8, 12, and 30 of its concluding observations.</w:t>
      </w:r>
    </w:p>
    <w:p w14:paraId="312BE5BD" w14:textId="77777777" w:rsidR="00293B17" w:rsidRPr="00293B17" w:rsidRDefault="00293B17" w:rsidP="00293B17">
      <w:pPr>
        <w:jc w:val="both"/>
        <w:rPr>
          <w:rFonts w:ascii="Times New Roman" w:hAnsi="Times New Roman" w:cs="Times New Roman"/>
          <w:sz w:val="24"/>
          <w:szCs w:val="24"/>
        </w:rPr>
      </w:pPr>
      <w:r w:rsidRPr="00293B17">
        <w:rPr>
          <w:rFonts w:ascii="Times New Roman" w:hAnsi="Times New Roman" w:cs="Times New Roman"/>
          <w:sz w:val="24"/>
          <w:szCs w:val="24"/>
        </w:rPr>
        <w:t>Subsequently, in 2016, the Committee assessed the implementation of these three recommendations. In its concluding observations, the Committee requested the Belgian Government to provide updated and accurate information on the implementation of all recommendations by 15 March 2021, along with any new information regarding compliance with its obligations under the Convention. Belgium responded to this request and submitted a report containing the requested additional information on 26 April 2021.</w:t>
      </w:r>
      <w:r w:rsidRPr="00293B17">
        <w:rPr>
          <w:rStyle w:val="FootnoteReference"/>
          <w:rFonts w:ascii="Times New Roman" w:hAnsi="Times New Roman" w:cs="Times New Roman"/>
          <w:sz w:val="24"/>
          <w:szCs w:val="24"/>
        </w:rPr>
        <w:footnoteReference w:id="2"/>
      </w:r>
    </w:p>
    <w:p w14:paraId="7C194E5C" w14:textId="77777777" w:rsidR="00293B17" w:rsidRPr="00293B17" w:rsidRDefault="00293B17" w:rsidP="00293B17">
      <w:pPr>
        <w:jc w:val="both"/>
        <w:rPr>
          <w:rFonts w:ascii="Times New Roman" w:hAnsi="Times New Roman" w:cs="Times New Roman"/>
          <w:sz w:val="24"/>
          <w:szCs w:val="24"/>
        </w:rPr>
      </w:pPr>
      <w:r w:rsidRPr="00293B17">
        <w:rPr>
          <w:rFonts w:ascii="Times New Roman" w:hAnsi="Times New Roman" w:cs="Times New Roman"/>
          <w:sz w:val="24"/>
          <w:szCs w:val="24"/>
        </w:rPr>
        <w:t>In the context of Belgium being included among the States under review during the Committee’s twenty-eighth session, scheduled to be held from 17 March to 4 April 2025, Maat for Peace, Development, and Human Rights is submitting this report. The aim is to assist the Committee in assessing Belgium’s compliance with the provisions of the Convention in recent years by providing an objective overview of the current situation and proposing recommendations to address any shortcomings in the implementation of certain provisions.</w:t>
      </w:r>
      <w:r w:rsidRPr="00293B17">
        <w:rPr>
          <w:rStyle w:val="FootnoteReference"/>
          <w:rFonts w:ascii="Times New Roman" w:hAnsi="Times New Roman" w:cs="Times New Roman"/>
          <w:sz w:val="24"/>
          <w:szCs w:val="24"/>
        </w:rPr>
        <w:footnoteReference w:id="3"/>
      </w:r>
    </w:p>
    <w:p w14:paraId="71E0234B" w14:textId="77777777" w:rsidR="00293B17" w:rsidRPr="00293B17" w:rsidRDefault="00293B17" w:rsidP="00293B17">
      <w:pPr>
        <w:jc w:val="both"/>
        <w:rPr>
          <w:rFonts w:ascii="Times New Roman" w:hAnsi="Times New Roman" w:cs="Times New Roman"/>
          <w:b/>
          <w:bCs/>
          <w:color w:val="FF0000"/>
          <w:sz w:val="28"/>
          <w:szCs w:val="28"/>
        </w:rPr>
      </w:pPr>
      <w:r w:rsidRPr="00293B17">
        <w:rPr>
          <w:rFonts w:ascii="Times New Roman" w:hAnsi="Times New Roman" w:cs="Times New Roman"/>
          <w:b/>
          <w:bCs/>
          <w:color w:val="FF0000"/>
          <w:sz w:val="28"/>
          <w:szCs w:val="28"/>
        </w:rPr>
        <w:t>Definition of Enforced Disappearance (Article 2)</w:t>
      </w:r>
    </w:p>
    <w:p w14:paraId="3EB6E876" w14:textId="77777777" w:rsidR="00293B17" w:rsidRPr="00293B17" w:rsidRDefault="00293B17" w:rsidP="00293B17">
      <w:pPr>
        <w:jc w:val="both"/>
        <w:rPr>
          <w:rFonts w:ascii="Times New Roman" w:hAnsi="Times New Roman" w:cs="Times New Roman"/>
          <w:sz w:val="24"/>
          <w:szCs w:val="24"/>
        </w:rPr>
      </w:pPr>
      <w:r w:rsidRPr="00293B17">
        <w:rPr>
          <w:rFonts w:ascii="Times New Roman" w:hAnsi="Times New Roman" w:cs="Times New Roman"/>
          <w:sz w:val="24"/>
          <w:szCs w:val="24"/>
        </w:rPr>
        <w:lastRenderedPageBreak/>
        <w:t>Belgian legislation has addressed the definition of the crime of enforced disappearance in multiple contexts. Article 136 of the Belgian Penal Code of 8 June 1867, amended on 1 January 2012, stipulates that enforced disappearance is considered a crime under international law and is punishable by Belgian law as a crime against humanity, whether committed in times of peace or war, provided that the conditions set out in the Statute of the International Criminal Court are met. This statute defines a crime against humanity as any act committed as part of a widespread or systematic attack targeting a civilian population, with knowledge of the nature of this attack, including crimes of enforced disappearance.</w:t>
      </w:r>
      <w:r w:rsidRPr="00293B17">
        <w:rPr>
          <w:rStyle w:val="FootnoteReference"/>
          <w:rFonts w:ascii="Times New Roman" w:hAnsi="Times New Roman" w:cs="Times New Roman"/>
          <w:sz w:val="24"/>
          <w:szCs w:val="24"/>
        </w:rPr>
        <w:footnoteReference w:id="4"/>
      </w:r>
    </w:p>
    <w:p w14:paraId="0A00C638" w14:textId="77777777" w:rsidR="00293B17" w:rsidRPr="00293B17" w:rsidRDefault="00293B17" w:rsidP="00293B17">
      <w:pPr>
        <w:jc w:val="both"/>
        <w:rPr>
          <w:rFonts w:ascii="Times New Roman" w:hAnsi="Times New Roman" w:cs="Times New Roman"/>
          <w:sz w:val="24"/>
          <w:szCs w:val="24"/>
        </w:rPr>
      </w:pPr>
      <w:r w:rsidRPr="00293B17">
        <w:rPr>
          <w:rFonts w:ascii="Times New Roman" w:hAnsi="Times New Roman" w:cs="Times New Roman"/>
          <w:sz w:val="24"/>
          <w:szCs w:val="24"/>
        </w:rPr>
        <w:t>In this context, Maat points out that the latest amendment to the Belgian Penal Code, introduced in February 2024, distinguishes between two types of violations related to enforced disappearance: "enforced disappearances" that constitute a crime against humanity and those that do not rise to this level. According to Article 89 of the amended Belgian Criminal Code, enforced disappearance not classified as a crime against humanity includes the willful arrest, detention, abduction, or any other form of deprivation of liberty carried out by representatives of the State or by individuals or groups acting with the authorization, support, or acquiescence of the State. This is followed by a refusal to acknowledge this deprivation of liberty or by concealing the fate or whereabouts of the person, thereby placing the individual outside the protection of the law. The law also stipulates penalties for preparatory acts related to enforced disappearance that do not constitute a crime against humanity, such as attempts to commit or participation in enforced disappearance.</w:t>
      </w:r>
      <w:r w:rsidRPr="00293B17">
        <w:rPr>
          <w:rStyle w:val="FootnoteReference"/>
          <w:rFonts w:ascii="Times New Roman" w:hAnsi="Times New Roman" w:cs="Times New Roman"/>
          <w:sz w:val="24"/>
          <w:szCs w:val="24"/>
        </w:rPr>
        <w:footnoteReference w:id="5"/>
      </w:r>
      <w:r w:rsidRPr="00293B17">
        <w:rPr>
          <w:rFonts w:ascii="Times New Roman" w:hAnsi="Times New Roman" w:cs="Times New Roman"/>
          <w:sz w:val="24"/>
          <w:szCs w:val="24"/>
        </w:rPr>
        <w:t xml:space="preserve"> Maat considers this definition to align with Article 2 of the International Convention for the Protection of All Persons from Enforced Disappearance.</w:t>
      </w:r>
    </w:p>
    <w:p w14:paraId="5AC11388" w14:textId="77777777" w:rsidR="00293B17" w:rsidRPr="00293B17" w:rsidRDefault="00293B17" w:rsidP="00293B17">
      <w:pPr>
        <w:jc w:val="both"/>
        <w:rPr>
          <w:rFonts w:ascii="Times New Roman" w:hAnsi="Times New Roman" w:cs="Times New Roman"/>
          <w:b/>
          <w:bCs/>
          <w:color w:val="FF0000"/>
          <w:sz w:val="28"/>
          <w:szCs w:val="28"/>
        </w:rPr>
      </w:pPr>
      <w:r w:rsidRPr="00293B17">
        <w:rPr>
          <w:rFonts w:ascii="Times New Roman" w:hAnsi="Times New Roman" w:cs="Times New Roman"/>
          <w:b/>
          <w:bCs/>
          <w:color w:val="FF0000"/>
          <w:sz w:val="28"/>
          <w:szCs w:val="28"/>
        </w:rPr>
        <w:t>Penalties for the Crime of Enforced Disappearance (Article 7)</w:t>
      </w:r>
    </w:p>
    <w:p w14:paraId="3C17234B" w14:textId="77777777" w:rsidR="00293B17" w:rsidRPr="00293B17" w:rsidRDefault="00293B17" w:rsidP="00293B17">
      <w:pPr>
        <w:jc w:val="both"/>
        <w:rPr>
          <w:rFonts w:ascii="Times New Roman" w:hAnsi="Times New Roman" w:cs="Times New Roman"/>
          <w:sz w:val="24"/>
          <w:szCs w:val="24"/>
        </w:rPr>
      </w:pPr>
      <w:r w:rsidRPr="00293B17">
        <w:rPr>
          <w:rFonts w:ascii="Times New Roman" w:hAnsi="Times New Roman" w:cs="Times New Roman"/>
          <w:sz w:val="24"/>
          <w:szCs w:val="24"/>
        </w:rPr>
        <w:t>Following the recent amendments to the Belgian Penal Code adopted in February 2024, Maat notes that the Belgian legislator imposes a fourth-level penalty for the crime of enforced disappearance that does not rise to the level of a crime against humanity, provided the perpetrator voluntarily releases the victim within five days of the deprivation of liberty. If the enforced disappearance does not qualify as a crime against humanity, it is punishable by a seventh-level penalty in specific circumstances: if the crime results in the death of the victim, if the person deprived of liberty is subjected to torture, or if the crime is committed against a minor or an individual in a vulnerable situation.</w:t>
      </w:r>
      <w:r w:rsidRPr="00293B17">
        <w:rPr>
          <w:rStyle w:val="FootnoteReference"/>
          <w:rFonts w:ascii="Times New Roman" w:hAnsi="Times New Roman" w:cs="Times New Roman"/>
          <w:sz w:val="24"/>
          <w:szCs w:val="24"/>
        </w:rPr>
        <w:footnoteReference w:id="6"/>
      </w:r>
    </w:p>
    <w:p w14:paraId="5EB1DABF" w14:textId="77777777" w:rsidR="00293B17" w:rsidRPr="00293B17" w:rsidRDefault="00293B17" w:rsidP="00293B17">
      <w:pPr>
        <w:jc w:val="both"/>
        <w:rPr>
          <w:rFonts w:ascii="Times New Roman" w:hAnsi="Times New Roman" w:cs="Times New Roman"/>
          <w:sz w:val="24"/>
          <w:szCs w:val="24"/>
        </w:rPr>
      </w:pPr>
      <w:r w:rsidRPr="00293B17">
        <w:rPr>
          <w:rFonts w:ascii="Times New Roman" w:hAnsi="Times New Roman" w:cs="Times New Roman"/>
          <w:sz w:val="24"/>
          <w:szCs w:val="24"/>
        </w:rPr>
        <w:lastRenderedPageBreak/>
        <w:t>Maat confirms that the Belgian legislator has adhered to the provisions of the relevant Convention, as these legal texts are largely consistent with Article 7 of the Convention, particularly regarding the aggravation of penalties.</w:t>
      </w:r>
    </w:p>
    <w:p w14:paraId="6821BDCE" w14:textId="77777777" w:rsidR="00293B17" w:rsidRPr="00293B17" w:rsidRDefault="00293B17" w:rsidP="00293B17">
      <w:pPr>
        <w:jc w:val="both"/>
        <w:rPr>
          <w:rFonts w:ascii="Times New Roman" w:hAnsi="Times New Roman" w:cs="Times New Roman"/>
          <w:b/>
          <w:bCs/>
          <w:color w:val="FF0000"/>
          <w:sz w:val="28"/>
          <w:szCs w:val="28"/>
        </w:rPr>
      </w:pPr>
      <w:r w:rsidRPr="00293B17">
        <w:rPr>
          <w:rFonts w:ascii="Times New Roman" w:hAnsi="Times New Roman" w:cs="Times New Roman"/>
          <w:b/>
          <w:bCs/>
          <w:color w:val="FF0000"/>
          <w:sz w:val="28"/>
          <w:szCs w:val="28"/>
        </w:rPr>
        <w:t>Jurisdiction over Crime of Enforced Disappearance (Article 9)</w:t>
      </w:r>
    </w:p>
    <w:p w14:paraId="717B81AB" w14:textId="77777777" w:rsidR="00293B17" w:rsidRPr="00293B17" w:rsidRDefault="00293B17" w:rsidP="00293B17">
      <w:pPr>
        <w:jc w:val="both"/>
        <w:rPr>
          <w:rFonts w:ascii="Times New Roman" w:hAnsi="Times New Roman" w:cs="Times New Roman"/>
          <w:sz w:val="24"/>
          <w:szCs w:val="24"/>
        </w:rPr>
      </w:pPr>
      <w:r w:rsidRPr="00293B17">
        <w:rPr>
          <w:rFonts w:ascii="Times New Roman" w:hAnsi="Times New Roman" w:cs="Times New Roman"/>
          <w:sz w:val="24"/>
          <w:szCs w:val="24"/>
        </w:rPr>
        <w:t>The Belgian judicial system has jurisdiction to address the crime of enforced disappearance under the Criminal Code. According to Article 136, enforced disappearance constitutes a crime against humanity if it is committed as part of a widespread or systematic attack against a civilian population. Maat highlights that Belgium has established stringent legislative and judicial measures to ensure accountability for this crime. These measures include the establishment of jurisdiction over enforced disappearance cases, whether directly or indirectly. Article 14/1 of the Belgian Code of Criminal Procedure states that any person may be prosecuted in Belgium for crimes listed in Book II, Title I of the Criminal Code if they committed the crime against a Belgian person or institution outside the Kingdom at the time of the offense. Article 14/2 further states that any person may be prosecuted in Belgium for crimes such as premeditated murder, causing bodily harm, rape, violation of sexual integrity, or collaboration with the enemy against a Belgian or foreign resident during wartime, even if the suspect is not present in Belgium. Additionally, Article 14/10 provides that Belgian courts have jurisdiction over crimes committed outside the Kingdom's territory if covered by international treaties, customary law, or secondary laws of the European Union to which Belgium is bound. This mandates that cases be referred to the competent authorities for prosecution.</w:t>
      </w:r>
      <w:r w:rsidRPr="00293B17">
        <w:rPr>
          <w:rStyle w:val="FootnoteReference"/>
          <w:rFonts w:ascii="Times New Roman" w:hAnsi="Times New Roman" w:cs="Times New Roman"/>
          <w:sz w:val="24"/>
          <w:szCs w:val="24"/>
        </w:rPr>
        <w:footnoteReference w:id="7"/>
      </w:r>
    </w:p>
    <w:p w14:paraId="2A2A644D" w14:textId="77777777" w:rsidR="00293B17" w:rsidRPr="00293B17" w:rsidRDefault="00293B17" w:rsidP="00293B17">
      <w:pPr>
        <w:jc w:val="both"/>
        <w:rPr>
          <w:rFonts w:ascii="Times New Roman" w:hAnsi="Times New Roman" w:cs="Times New Roman"/>
          <w:sz w:val="24"/>
          <w:szCs w:val="24"/>
        </w:rPr>
      </w:pPr>
      <w:r w:rsidRPr="00293B17">
        <w:rPr>
          <w:rFonts w:ascii="Times New Roman" w:hAnsi="Times New Roman" w:cs="Times New Roman"/>
          <w:sz w:val="24"/>
          <w:szCs w:val="24"/>
        </w:rPr>
        <w:t>In this context, Belgium witnessed a historic trial in December 2023 before a court in Leuven, where five high-ranking officials from the Guatemalan military and political apparatus faced charges of murder, enforced disappearance, and torture of four Belgian missionaries during the internal armed conflict in Guatemala in the 1980s.</w:t>
      </w:r>
      <w:r w:rsidRPr="00293B17">
        <w:rPr>
          <w:rStyle w:val="FootnoteReference"/>
          <w:rFonts w:ascii="Times New Roman" w:hAnsi="Times New Roman" w:cs="Times New Roman"/>
          <w:sz w:val="24"/>
          <w:szCs w:val="24"/>
        </w:rPr>
        <w:footnoteReference w:id="8"/>
      </w:r>
      <w:r w:rsidRPr="00293B17">
        <w:rPr>
          <w:rFonts w:ascii="Times New Roman" w:hAnsi="Times New Roman" w:cs="Times New Roman"/>
          <w:sz w:val="24"/>
          <w:szCs w:val="24"/>
        </w:rPr>
        <w:t xml:space="preserve"> Maat believes that these practices substantially align with the provisions of Article 9 of the Convention.</w:t>
      </w:r>
    </w:p>
    <w:p w14:paraId="37569618" w14:textId="77777777" w:rsidR="00293B17" w:rsidRPr="00293B17" w:rsidRDefault="00293B17" w:rsidP="00293B17">
      <w:pPr>
        <w:jc w:val="both"/>
        <w:rPr>
          <w:rFonts w:ascii="Times New Roman" w:hAnsi="Times New Roman" w:cs="Times New Roman"/>
          <w:b/>
          <w:bCs/>
          <w:color w:val="FF0000"/>
          <w:sz w:val="28"/>
          <w:szCs w:val="28"/>
        </w:rPr>
      </w:pPr>
      <w:r w:rsidRPr="00293B17">
        <w:rPr>
          <w:rFonts w:ascii="Times New Roman" w:hAnsi="Times New Roman" w:cs="Times New Roman"/>
          <w:b/>
          <w:bCs/>
          <w:color w:val="FF0000"/>
          <w:sz w:val="28"/>
          <w:szCs w:val="28"/>
        </w:rPr>
        <w:t>Protection of Victims (Article 24)</w:t>
      </w:r>
    </w:p>
    <w:p w14:paraId="0FC8F26F" w14:textId="77777777" w:rsidR="00293B17" w:rsidRPr="00293B17" w:rsidRDefault="00293B17" w:rsidP="00293B17">
      <w:pPr>
        <w:jc w:val="both"/>
        <w:rPr>
          <w:rFonts w:ascii="Times New Roman" w:hAnsi="Times New Roman" w:cs="Times New Roman"/>
          <w:sz w:val="24"/>
          <w:szCs w:val="24"/>
        </w:rPr>
      </w:pPr>
      <w:r w:rsidRPr="00293B17">
        <w:rPr>
          <w:rFonts w:ascii="Times New Roman" w:hAnsi="Times New Roman" w:cs="Times New Roman"/>
          <w:sz w:val="24"/>
          <w:szCs w:val="24"/>
        </w:rPr>
        <w:t xml:space="preserve">Regarding the protection of victims of enforced disappearance, Maat has noted numerous reports indicating that certain groups connected to cases of enforced disappearance do not receive specific legal protection from reprisals. This includes relatives of the disappeared, their lawyers, and other individuals involved in investigations. In response, the Belgian authorities clarified that the law of 5 May 2019 includes protective measures for various at-risk groups due to their public positions, </w:t>
      </w:r>
      <w:r w:rsidRPr="00293B17">
        <w:rPr>
          <w:rFonts w:ascii="Times New Roman" w:hAnsi="Times New Roman" w:cs="Times New Roman"/>
          <w:sz w:val="24"/>
          <w:szCs w:val="24"/>
        </w:rPr>
        <w:lastRenderedPageBreak/>
        <w:t>such as police officers, intelligence agents, and judges. This protection extends to their family members and relatives up to the third degree. These measures align with the protection previously established for "vulnerable witnesses," meaning individuals at risk of harm due to their testimony in criminal cases. Protection also extends to family members of witnesses and may include others not directly related to the witness, provided they apply for it.</w:t>
      </w:r>
      <w:r w:rsidRPr="00293B17">
        <w:rPr>
          <w:rStyle w:val="FootnoteReference"/>
          <w:rFonts w:ascii="Times New Roman" w:hAnsi="Times New Roman" w:cs="Times New Roman"/>
          <w:sz w:val="24"/>
          <w:szCs w:val="24"/>
        </w:rPr>
        <w:footnoteReference w:id="9"/>
      </w:r>
      <w:r w:rsidRPr="00293B17">
        <w:rPr>
          <w:rFonts w:ascii="Times New Roman" w:hAnsi="Times New Roman" w:cs="Times New Roman"/>
          <w:sz w:val="24"/>
          <w:szCs w:val="24"/>
        </w:rPr>
        <w:t xml:space="preserve"> </w:t>
      </w:r>
    </w:p>
    <w:p w14:paraId="2B094C64" w14:textId="77777777" w:rsidR="00293B17" w:rsidRPr="00293B17" w:rsidRDefault="00293B17" w:rsidP="00293B17">
      <w:pPr>
        <w:jc w:val="both"/>
        <w:rPr>
          <w:rFonts w:ascii="Times New Roman" w:hAnsi="Times New Roman" w:cs="Times New Roman"/>
          <w:sz w:val="24"/>
          <w:szCs w:val="24"/>
        </w:rPr>
      </w:pPr>
      <w:r w:rsidRPr="00293B17">
        <w:rPr>
          <w:rFonts w:ascii="Times New Roman" w:hAnsi="Times New Roman" w:cs="Times New Roman"/>
          <w:sz w:val="24"/>
          <w:szCs w:val="24"/>
        </w:rPr>
        <w:t>However, Maat believes that the law of 5 May 2019 does not offer comprehensive protection for all parties involved in cases of enforced disappearance, as some groups, particularly relatives of the victims, lack legal protection. Since these relatives are not always considered witnesses, they do not benefit from witness protection measures. The same applies to defense lawyers or any individuals participating in investigations without holding public office. Maat emphasizes that these gaps hinder the optimal implementation of Article 24 of the Convention, given the limited scope of protection and the exclusion of all those affected by crimes of enforced disappearance.</w:t>
      </w:r>
    </w:p>
    <w:p w14:paraId="1EC4576C" w14:textId="77777777" w:rsidR="00293B17" w:rsidRPr="00293B17" w:rsidRDefault="00293B17" w:rsidP="00293B17">
      <w:pPr>
        <w:jc w:val="both"/>
        <w:rPr>
          <w:rFonts w:ascii="Times New Roman" w:hAnsi="Times New Roman" w:cs="Times New Roman"/>
          <w:b/>
          <w:bCs/>
          <w:color w:val="FF0000"/>
          <w:sz w:val="28"/>
          <w:szCs w:val="28"/>
        </w:rPr>
      </w:pPr>
      <w:r w:rsidRPr="00293B17">
        <w:rPr>
          <w:rFonts w:ascii="Times New Roman" w:hAnsi="Times New Roman" w:cs="Times New Roman"/>
          <w:b/>
          <w:bCs/>
          <w:color w:val="FF0000"/>
          <w:sz w:val="28"/>
          <w:szCs w:val="28"/>
        </w:rPr>
        <w:t>Protection of Children (Article 25)</w:t>
      </w:r>
    </w:p>
    <w:p w14:paraId="6D5A7B76" w14:textId="77777777" w:rsidR="00293B17" w:rsidRPr="00293B17" w:rsidRDefault="00293B17" w:rsidP="00293B17">
      <w:pPr>
        <w:jc w:val="both"/>
        <w:rPr>
          <w:rFonts w:ascii="Times New Roman" w:hAnsi="Times New Roman" w:cs="Times New Roman"/>
          <w:sz w:val="24"/>
          <w:szCs w:val="24"/>
        </w:rPr>
      </w:pPr>
      <w:r w:rsidRPr="00293B17">
        <w:rPr>
          <w:rFonts w:ascii="Times New Roman" w:hAnsi="Times New Roman" w:cs="Times New Roman"/>
          <w:sz w:val="24"/>
          <w:szCs w:val="24"/>
        </w:rPr>
        <w:t>In recent years, Belgium has experienced a significant increase in the number of unaccompanied minors arriving in the country, whether as refugees or migrants. These children and young people face substantial challenges, notably the risk of disappearance. Human rights reports indicate a rise in cases of unaccompanied minors disappearing after their arrival in Belgium, raising serious concerns about their safety. This phenomenon is attributed to inadequate support and care, as well as the absence of legal guardians responsible for monitoring and guiding these minors. For instance, in 2022, approximately 600 unaccompanied Ukrainian minors arrived in Belgium, highlighting gaps in the migrant reception system. Reports also indicate that around 900 unaccompanied minors were awaiting the appointment of a legal representative, which increases their risk of disappearance, as they may wait for up to four months.</w:t>
      </w:r>
      <w:r w:rsidRPr="00293B17">
        <w:rPr>
          <w:rStyle w:val="FootnoteReference"/>
          <w:rFonts w:ascii="Times New Roman" w:hAnsi="Times New Roman" w:cs="Times New Roman"/>
          <w:sz w:val="24"/>
          <w:szCs w:val="24"/>
        </w:rPr>
        <w:footnoteReference w:id="10"/>
      </w:r>
    </w:p>
    <w:p w14:paraId="433F44AB" w14:textId="77777777" w:rsidR="00293B17" w:rsidRPr="00293B17" w:rsidRDefault="00293B17" w:rsidP="00293B17">
      <w:pPr>
        <w:jc w:val="both"/>
        <w:rPr>
          <w:rFonts w:ascii="Times New Roman" w:hAnsi="Times New Roman" w:cs="Times New Roman"/>
          <w:sz w:val="24"/>
          <w:szCs w:val="24"/>
        </w:rPr>
      </w:pPr>
      <w:r w:rsidRPr="00293B17">
        <w:rPr>
          <w:rFonts w:ascii="Times New Roman" w:hAnsi="Times New Roman" w:cs="Times New Roman"/>
          <w:sz w:val="24"/>
          <w:szCs w:val="24"/>
        </w:rPr>
        <w:t xml:space="preserve">In the first nine months of 2023, 244 cases of disappearance involving unaccompanied minors were recorded in Belgium, with a notable increase in cases, particularly among children under the age of 13, those struggling to support themselves, or those whose lives are at risk. Reports suggest that the actual number of disappearances may be higher; in 2022, 297 cases of disappearance were reported from monitoring and orientation centers, which represent the initial stage of reception. Data also indicate that disappearances are increasing during the second phase of reception, </w:t>
      </w:r>
      <w:r w:rsidRPr="00293B17">
        <w:rPr>
          <w:rFonts w:ascii="Times New Roman" w:hAnsi="Times New Roman" w:cs="Times New Roman"/>
          <w:sz w:val="24"/>
          <w:szCs w:val="24"/>
        </w:rPr>
        <w:lastRenderedPageBreak/>
        <w:t>particularly from collective asylum centers, thereby exposing these minors to heightened risks of abuse and exploitation.</w:t>
      </w:r>
      <w:r w:rsidRPr="00293B17">
        <w:rPr>
          <w:rStyle w:val="FootnoteReference"/>
          <w:rFonts w:ascii="Times New Roman" w:hAnsi="Times New Roman" w:cs="Times New Roman"/>
          <w:sz w:val="24"/>
          <w:szCs w:val="24"/>
        </w:rPr>
        <w:footnoteReference w:id="11"/>
      </w:r>
    </w:p>
    <w:p w14:paraId="6D3A360D" w14:textId="77777777" w:rsidR="00293B17" w:rsidRPr="00293B17" w:rsidRDefault="00293B17" w:rsidP="00293B17">
      <w:pPr>
        <w:jc w:val="both"/>
        <w:rPr>
          <w:rFonts w:ascii="Times New Roman" w:hAnsi="Times New Roman" w:cs="Times New Roman"/>
          <w:sz w:val="24"/>
          <w:szCs w:val="24"/>
        </w:rPr>
      </w:pPr>
      <w:r w:rsidRPr="00293B17">
        <w:rPr>
          <w:rFonts w:ascii="Times New Roman" w:hAnsi="Times New Roman" w:cs="Times New Roman"/>
          <w:sz w:val="24"/>
          <w:szCs w:val="24"/>
        </w:rPr>
        <w:t>Estimates suggest that there are approximately 322 cases of disappearance of unaccompanied minors in Brussels each year. These children, particularly those from North Africa and Afghanistan, become vulnerable targets for criminal organizations that lure them with promises of a better life. Official reports indicate that Nigerian girls are often coerced into prostitution networks or beauty salons, while boys from India are exploited as illegal seasonal workers. Many children are forced to live in unsafe conditions and engage in criminal activities, such as drug trafficking, under threats of violence or blackmail involving compromising videos. Reports also highlight cases of minors aged 14 to 17 who do not apply for asylum, rendering them invisible to Belgian authorities. Additionally, unaccompanied Afghan minors who seek asylum often find themselves compelled to repay debts to smugglers.</w:t>
      </w:r>
      <w:r w:rsidRPr="00293B17">
        <w:rPr>
          <w:rStyle w:val="FootnoteReference"/>
          <w:rFonts w:ascii="Times New Roman" w:hAnsi="Times New Roman" w:cs="Times New Roman"/>
          <w:sz w:val="24"/>
          <w:szCs w:val="24"/>
        </w:rPr>
        <w:footnoteReference w:id="12"/>
      </w:r>
    </w:p>
    <w:p w14:paraId="6D387A12" w14:textId="77777777" w:rsidR="00293B17" w:rsidRPr="00293B17" w:rsidRDefault="00293B17" w:rsidP="00293B17">
      <w:pPr>
        <w:jc w:val="both"/>
        <w:rPr>
          <w:rFonts w:ascii="Times New Roman" w:hAnsi="Times New Roman" w:cs="Times New Roman"/>
          <w:sz w:val="24"/>
          <w:szCs w:val="24"/>
        </w:rPr>
      </w:pPr>
      <w:r w:rsidRPr="00293B17">
        <w:rPr>
          <w:rFonts w:ascii="Times New Roman" w:hAnsi="Times New Roman" w:cs="Times New Roman"/>
          <w:sz w:val="24"/>
          <w:szCs w:val="24"/>
        </w:rPr>
        <w:t>Maat emphasizes that these conditions starkly contradict the provisions of Article 25 of the Convention, as Belgian authorities have yet to provide adequate protection for these children and ensure their safety.</w:t>
      </w:r>
    </w:p>
    <w:p w14:paraId="2AAFED5E" w14:textId="77777777" w:rsidR="00293B17" w:rsidRPr="00293B17" w:rsidRDefault="00293B17" w:rsidP="00293B17">
      <w:pPr>
        <w:jc w:val="both"/>
        <w:rPr>
          <w:rFonts w:ascii="Times New Roman" w:hAnsi="Times New Roman" w:cs="Times New Roman"/>
          <w:b/>
          <w:bCs/>
          <w:color w:val="FF0000"/>
          <w:sz w:val="28"/>
          <w:szCs w:val="28"/>
        </w:rPr>
      </w:pPr>
      <w:r w:rsidRPr="00293B17">
        <w:rPr>
          <w:rFonts w:ascii="Times New Roman" w:hAnsi="Times New Roman" w:cs="Times New Roman"/>
          <w:b/>
          <w:bCs/>
          <w:color w:val="FF0000"/>
          <w:sz w:val="28"/>
          <w:szCs w:val="28"/>
        </w:rPr>
        <w:t>Recommendations</w:t>
      </w:r>
    </w:p>
    <w:p w14:paraId="3A31E71F" w14:textId="77777777" w:rsidR="00293B17" w:rsidRPr="00293B17" w:rsidRDefault="00293B17" w:rsidP="00293B17">
      <w:pPr>
        <w:jc w:val="both"/>
        <w:rPr>
          <w:rFonts w:ascii="Times New Roman" w:hAnsi="Times New Roman" w:cs="Times New Roman"/>
          <w:sz w:val="24"/>
          <w:szCs w:val="24"/>
        </w:rPr>
      </w:pPr>
      <w:r w:rsidRPr="00293B17">
        <w:rPr>
          <w:rFonts w:ascii="Times New Roman" w:hAnsi="Times New Roman" w:cs="Times New Roman"/>
          <w:sz w:val="24"/>
          <w:szCs w:val="24"/>
        </w:rPr>
        <w:t>Based on the findings outlined in this report, Maat recommends that the Belgian authorities implement the following measures to enhance compliance with the provisions of the Convention:</w:t>
      </w:r>
    </w:p>
    <w:p w14:paraId="277C5E0A" w14:textId="77777777" w:rsidR="00293B17" w:rsidRPr="00293B17" w:rsidRDefault="00293B17" w:rsidP="00293B17">
      <w:pPr>
        <w:numPr>
          <w:ilvl w:val="0"/>
          <w:numId w:val="41"/>
        </w:numPr>
        <w:spacing w:line="278" w:lineRule="auto"/>
        <w:jc w:val="both"/>
        <w:rPr>
          <w:rFonts w:ascii="Times New Roman" w:hAnsi="Times New Roman" w:cs="Times New Roman"/>
          <w:sz w:val="24"/>
          <w:szCs w:val="24"/>
        </w:rPr>
      </w:pPr>
      <w:r w:rsidRPr="00293B17">
        <w:rPr>
          <w:rFonts w:ascii="Times New Roman" w:hAnsi="Times New Roman" w:cs="Times New Roman"/>
          <w:b/>
          <w:bCs/>
          <w:sz w:val="24"/>
          <w:szCs w:val="24"/>
        </w:rPr>
        <w:t>Strengthening the Legal Framework</w:t>
      </w:r>
      <w:r w:rsidRPr="00293B17">
        <w:rPr>
          <w:rFonts w:ascii="Times New Roman" w:hAnsi="Times New Roman" w:cs="Times New Roman"/>
          <w:sz w:val="24"/>
          <w:szCs w:val="24"/>
        </w:rPr>
        <w:t>: Amend the law of 5 May 2019 to include explicit legal protections for relatives of victims of enforced disappearance, their legal representatives, and all individuals involved in investigations, ensuring they are safeguarded against reprisals. Additionally, increase penalties for all forms of enforced disappearance, regardless of whether they are classified as crimes against humanity, to ensure effective deterrence.</w:t>
      </w:r>
    </w:p>
    <w:p w14:paraId="69306DF0" w14:textId="77777777" w:rsidR="00293B17" w:rsidRPr="00293B17" w:rsidRDefault="00293B17" w:rsidP="00293B17">
      <w:pPr>
        <w:numPr>
          <w:ilvl w:val="0"/>
          <w:numId w:val="41"/>
        </w:numPr>
        <w:spacing w:line="278" w:lineRule="auto"/>
        <w:jc w:val="both"/>
        <w:rPr>
          <w:rFonts w:ascii="Times New Roman" w:hAnsi="Times New Roman" w:cs="Times New Roman"/>
          <w:sz w:val="24"/>
          <w:szCs w:val="24"/>
        </w:rPr>
      </w:pPr>
      <w:r w:rsidRPr="00293B17">
        <w:rPr>
          <w:rFonts w:ascii="Times New Roman" w:hAnsi="Times New Roman" w:cs="Times New Roman"/>
          <w:b/>
          <w:bCs/>
          <w:sz w:val="24"/>
          <w:szCs w:val="24"/>
        </w:rPr>
        <w:t>Expanding the Scope of Jurisdiction</w:t>
      </w:r>
      <w:r w:rsidRPr="00293B17">
        <w:rPr>
          <w:rFonts w:ascii="Times New Roman" w:hAnsi="Times New Roman" w:cs="Times New Roman"/>
          <w:sz w:val="24"/>
          <w:szCs w:val="24"/>
        </w:rPr>
        <w:t>: Broaden the scope of Belgian jurisdiction to encompass all cases of enforced disappearance, irrespective of the nationality of the perpetrator or victim, or the crime's location, in accordance with the principle of universal jurisdiction.</w:t>
      </w:r>
    </w:p>
    <w:p w14:paraId="01F674E5" w14:textId="77777777" w:rsidR="00293B17" w:rsidRPr="00293B17" w:rsidRDefault="00293B17" w:rsidP="00293B17">
      <w:pPr>
        <w:numPr>
          <w:ilvl w:val="0"/>
          <w:numId w:val="41"/>
        </w:numPr>
        <w:spacing w:line="278" w:lineRule="auto"/>
        <w:jc w:val="both"/>
        <w:rPr>
          <w:rFonts w:ascii="Times New Roman" w:hAnsi="Times New Roman" w:cs="Times New Roman"/>
          <w:sz w:val="24"/>
          <w:szCs w:val="24"/>
        </w:rPr>
      </w:pPr>
      <w:r w:rsidRPr="00293B17">
        <w:rPr>
          <w:rFonts w:ascii="Times New Roman" w:hAnsi="Times New Roman" w:cs="Times New Roman"/>
          <w:b/>
          <w:bCs/>
          <w:sz w:val="24"/>
          <w:szCs w:val="24"/>
        </w:rPr>
        <w:lastRenderedPageBreak/>
        <w:t>Strengthening Institutional Coordination</w:t>
      </w:r>
      <w:r w:rsidRPr="00293B17">
        <w:rPr>
          <w:rFonts w:ascii="Times New Roman" w:hAnsi="Times New Roman" w:cs="Times New Roman"/>
          <w:sz w:val="24"/>
          <w:szCs w:val="24"/>
        </w:rPr>
        <w:t>: Allocate specialized units within the Public Prosecution Office to investigate enforced disappearance cases, ensuring swift and effective judicial proceedings. Enhance coordination among relevant state agencies, such as police, immigration services, and social welfare, to effectively address cases of missing minors.</w:t>
      </w:r>
    </w:p>
    <w:p w14:paraId="66EF2D76" w14:textId="77777777" w:rsidR="00293B17" w:rsidRPr="00293B17" w:rsidRDefault="00293B17" w:rsidP="00293B17">
      <w:pPr>
        <w:numPr>
          <w:ilvl w:val="0"/>
          <w:numId w:val="41"/>
        </w:numPr>
        <w:spacing w:line="278" w:lineRule="auto"/>
        <w:jc w:val="both"/>
        <w:rPr>
          <w:rFonts w:ascii="Times New Roman" w:hAnsi="Times New Roman" w:cs="Times New Roman"/>
          <w:sz w:val="24"/>
          <w:szCs w:val="24"/>
        </w:rPr>
      </w:pPr>
      <w:r w:rsidRPr="00293B17">
        <w:rPr>
          <w:rFonts w:ascii="Times New Roman" w:hAnsi="Times New Roman" w:cs="Times New Roman"/>
          <w:b/>
          <w:bCs/>
          <w:sz w:val="24"/>
          <w:szCs w:val="24"/>
        </w:rPr>
        <w:t>Establishing Support Mechanisms for Victims’ Families</w:t>
      </w:r>
      <w:r w:rsidRPr="00293B17">
        <w:rPr>
          <w:rFonts w:ascii="Times New Roman" w:hAnsi="Times New Roman" w:cs="Times New Roman"/>
          <w:sz w:val="24"/>
          <w:szCs w:val="24"/>
        </w:rPr>
        <w:t>: Create an independent national mechanism to provide psychological, legal, and social support to families of victims of enforced disappearance, ensuring they receive accurate information about the fate of their relatives.</w:t>
      </w:r>
    </w:p>
    <w:p w14:paraId="00AFF186" w14:textId="77777777" w:rsidR="00293B17" w:rsidRPr="00293B17" w:rsidRDefault="00293B17" w:rsidP="00293B17">
      <w:pPr>
        <w:numPr>
          <w:ilvl w:val="0"/>
          <w:numId w:val="41"/>
        </w:numPr>
        <w:spacing w:line="278" w:lineRule="auto"/>
        <w:jc w:val="both"/>
        <w:rPr>
          <w:rFonts w:ascii="Times New Roman" w:hAnsi="Times New Roman" w:cs="Times New Roman"/>
          <w:sz w:val="24"/>
          <w:szCs w:val="24"/>
        </w:rPr>
      </w:pPr>
      <w:r w:rsidRPr="00293B17">
        <w:rPr>
          <w:rFonts w:ascii="Times New Roman" w:hAnsi="Times New Roman" w:cs="Times New Roman"/>
          <w:b/>
          <w:bCs/>
          <w:sz w:val="24"/>
          <w:szCs w:val="24"/>
        </w:rPr>
        <w:t>Protecting Unaccompanied Minors</w:t>
      </w:r>
      <w:r w:rsidRPr="00293B17">
        <w:rPr>
          <w:rFonts w:ascii="Times New Roman" w:hAnsi="Times New Roman" w:cs="Times New Roman"/>
          <w:sz w:val="24"/>
          <w:szCs w:val="24"/>
        </w:rPr>
        <w:t>: Increase the number of legal guardians to ensure effective oversight of all unaccompanied minors and reduce long waiting periods that expose them to risks. Strengthen monitoring systems to prevent the disappearance of minors from reception centers and ensure they receive adequate protection from exploitation networks and organized crime.</w:t>
      </w:r>
    </w:p>
    <w:p w14:paraId="78D14A23" w14:textId="77777777" w:rsidR="00293B17" w:rsidRPr="00293B17" w:rsidRDefault="00293B17" w:rsidP="00293B17">
      <w:pPr>
        <w:numPr>
          <w:ilvl w:val="0"/>
          <w:numId w:val="41"/>
        </w:numPr>
        <w:spacing w:line="278" w:lineRule="auto"/>
        <w:jc w:val="both"/>
        <w:rPr>
          <w:rFonts w:ascii="Times New Roman" w:hAnsi="Times New Roman" w:cs="Times New Roman"/>
          <w:sz w:val="24"/>
          <w:szCs w:val="24"/>
        </w:rPr>
      </w:pPr>
      <w:r w:rsidRPr="00293B17">
        <w:rPr>
          <w:rFonts w:ascii="Times New Roman" w:hAnsi="Times New Roman" w:cs="Times New Roman"/>
          <w:b/>
          <w:bCs/>
          <w:sz w:val="24"/>
          <w:szCs w:val="24"/>
        </w:rPr>
        <w:t>Enhancing International Cooperation</w:t>
      </w:r>
      <w:r w:rsidRPr="00293B17">
        <w:rPr>
          <w:rFonts w:ascii="Times New Roman" w:hAnsi="Times New Roman" w:cs="Times New Roman"/>
          <w:sz w:val="24"/>
          <w:szCs w:val="24"/>
        </w:rPr>
        <w:t>: Strengthen collaboration with United Nations mechanisms and regional organizations to facilitate information exchange and best practices in combating enforced disappearance.</w:t>
      </w:r>
    </w:p>
    <w:p w14:paraId="10162438" w14:textId="77777777" w:rsidR="00293B17" w:rsidRPr="00293B17" w:rsidRDefault="00293B17" w:rsidP="00293B17">
      <w:pPr>
        <w:numPr>
          <w:ilvl w:val="0"/>
          <w:numId w:val="41"/>
        </w:numPr>
        <w:spacing w:line="278" w:lineRule="auto"/>
        <w:jc w:val="both"/>
        <w:rPr>
          <w:rFonts w:ascii="Times New Roman" w:hAnsi="Times New Roman" w:cs="Times New Roman"/>
          <w:sz w:val="24"/>
          <w:szCs w:val="24"/>
        </w:rPr>
      </w:pPr>
      <w:r w:rsidRPr="00293B17">
        <w:rPr>
          <w:rFonts w:ascii="Times New Roman" w:hAnsi="Times New Roman" w:cs="Times New Roman"/>
          <w:b/>
          <w:bCs/>
          <w:sz w:val="24"/>
          <w:szCs w:val="24"/>
        </w:rPr>
        <w:t>Improving Periodic Reporting</w:t>
      </w:r>
      <w:r w:rsidRPr="00293B17">
        <w:rPr>
          <w:rFonts w:ascii="Times New Roman" w:hAnsi="Times New Roman" w:cs="Times New Roman"/>
          <w:sz w:val="24"/>
          <w:szCs w:val="24"/>
        </w:rPr>
        <w:t>: Submit more detailed periodic reports to the Committee on Enforced Disappearances regarding actions taken to implement its recommendations, while articulating the challenges Belgium faces in this area.</w:t>
      </w:r>
    </w:p>
    <w:p w14:paraId="3C782EF8" w14:textId="77777777" w:rsidR="00293B17" w:rsidRPr="00293B17" w:rsidRDefault="00293B17" w:rsidP="00293B17">
      <w:pPr>
        <w:numPr>
          <w:ilvl w:val="0"/>
          <w:numId w:val="41"/>
        </w:numPr>
        <w:spacing w:line="278" w:lineRule="auto"/>
        <w:jc w:val="both"/>
        <w:rPr>
          <w:rFonts w:ascii="Times New Roman" w:hAnsi="Times New Roman" w:cs="Times New Roman"/>
          <w:sz w:val="24"/>
          <w:szCs w:val="24"/>
        </w:rPr>
      </w:pPr>
      <w:r w:rsidRPr="00293B17">
        <w:rPr>
          <w:rFonts w:ascii="Times New Roman" w:hAnsi="Times New Roman" w:cs="Times New Roman"/>
          <w:b/>
          <w:bCs/>
          <w:sz w:val="24"/>
          <w:szCs w:val="24"/>
        </w:rPr>
        <w:t>Effective Implementation of Article 25</w:t>
      </w:r>
      <w:r w:rsidRPr="00293B17">
        <w:rPr>
          <w:rFonts w:ascii="Times New Roman" w:hAnsi="Times New Roman" w:cs="Times New Roman"/>
          <w:sz w:val="24"/>
          <w:szCs w:val="24"/>
        </w:rPr>
        <w:t>: Work towards more effective implementation of Article 25 of the Convention by adopting stricter policies to protect children from disappearance and exploitation.</w:t>
      </w:r>
    </w:p>
    <w:p w14:paraId="69AEA387" w14:textId="77777777" w:rsidR="00293B17" w:rsidRPr="00293B17" w:rsidRDefault="00293B17" w:rsidP="00293B17">
      <w:pPr>
        <w:jc w:val="both"/>
        <w:rPr>
          <w:rFonts w:ascii="Times New Roman" w:hAnsi="Times New Roman" w:cs="Times New Roman"/>
          <w:sz w:val="24"/>
          <w:szCs w:val="24"/>
        </w:rPr>
      </w:pPr>
    </w:p>
    <w:p w14:paraId="6FC6308C" w14:textId="074C1D40" w:rsidR="006B1AFB" w:rsidRPr="00293B17" w:rsidRDefault="006B1AFB" w:rsidP="00F27F37">
      <w:pPr>
        <w:rPr>
          <w:sz w:val="24"/>
          <w:szCs w:val="24"/>
          <w:rtl/>
        </w:rPr>
      </w:pPr>
    </w:p>
    <w:sectPr w:rsidR="006B1AFB" w:rsidRPr="00293B17" w:rsidSect="00786D2C">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AD91C35" w14:textId="77777777" w:rsidR="001D1DBC" w:rsidRDefault="001D1DBC" w:rsidP="004F6D5A">
      <w:pPr>
        <w:spacing w:after="0" w:line="240" w:lineRule="auto"/>
      </w:pPr>
      <w:r>
        <w:separator/>
      </w:r>
    </w:p>
  </w:endnote>
  <w:endnote w:type="continuationSeparator" w:id="0">
    <w:p w14:paraId="2E021614" w14:textId="77777777" w:rsidR="001D1DBC" w:rsidRDefault="001D1DBC" w:rsidP="004F6D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5444"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16"/>
      <w:gridCol w:w="567"/>
      <w:gridCol w:w="1276"/>
      <w:gridCol w:w="536"/>
      <w:gridCol w:w="1812"/>
      <w:gridCol w:w="412"/>
      <w:gridCol w:w="4272"/>
    </w:tblGrid>
    <w:tr w:rsidR="00646A53" w14:paraId="228E00F9" w14:textId="77777777" w:rsidTr="007A601B">
      <w:trPr>
        <w:jc w:val="center"/>
      </w:trPr>
      <w:tc>
        <w:tcPr>
          <w:tcW w:w="646" w:type="pct"/>
          <w:vMerge w:val="restart"/>
          <w:vAlign w:val="center"/>
        </w:tcPr>
        <w:p w14:paraId="289FA700" w14:textId="77777777" w:rsidR="00646A53" w:rsidRDefault="00646A53" w:rsidP="00646A53">
          <w:pPr>
            <w:spacing w:after="60"/>
            <w:jc w:val="center"/>
            <w:rPr>
              <w:noProof/>
              <w:rtl/>
            </w:rPr>
          </w:pPr>
          <w:r>
            <w:rPr>
              <w:rFonts w:hint="cs"/>
              <w:noProof/>
              <w:lang w:val="en-GB" w:eastAsia="en-GB"/>
            </w:rPr>
            <w:drawing>
              <wp:inline distT="0" distB="0" distL="0" distR="0" wp14:anchorId="6E1055C6" wp14:editId="03B771DD">
                <wp:extent cx="721378" cy="560173"/>
                <wp:effectExtent l="0" t="0" r="2540" b="0"/>
                <wp:docPr id="2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729535" cy="56650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354" w:type="pct"/>
          <w:gridSpan w:val="6"/>
        </w:tcPr>
        <w:p w14:paraId="0FD67016" w14:textId="77777777" w:rsidR="00646A53" w:rsidRDefault="00646A53" w:rsidP="00646A53">
          <w:pPr>
            <w:spacing w:after="60"/>
            <w:rPr>
              <w:rFonts w:ascii="Times New Roman" w:hAnsi="Times New Roman" w:cs="Times New Roman"/>
              <w:b/>
              <w:bCs/>
              <w:color w:val="000066"/>
              <w:sz w:val="20"/>
              <w:szCs w:val="20"/>
            </w:rPr>
          </w:pPr>
        </w:p>
        <w:p w14:paraId="3096C19A" w14:textId="77777777" w:rsidR="00646A53" w:rsidRPr="00EB74DC" w:rsidRDefault="00646A53" w:rsidP="00646A53">
          <w:pPr>
            <w:spacing w:after="60"/>
            <w:jc w:val="center"/>
            <w:rPr>
              <w:rFonts w:ascii="Times New Roman" w:hAnsi="Times New Roman" w:cs="Times New Roman"/>
              <w:b/>
              <w:bCs/>
              <w:color w:val="3333FF"/>
              <w:sz w:val="20"/>
              <w:szCs w:val="20"/>
            </w:rPr>
          </w:pPr>
          <w:r w:rsidRPr="00EB74DC">
            <w:rPr>
              <w:rFonts w:ascii="Times New Roman" w:hAnsi="Times New Roman" w:cs="Times New Roman"/>
              <w:b/>
              <w:bCs/>
              <w:color w:val="3333FF"/>
              <w:sz w:val="20"/>
              <w:szCs w:val="20"/>
            </w:rPr>
            <w:t>Organization in special consultative status with the Economic and Social Council since 2016</w:t>
          </w:r>
        </w:p>
      </w:tc>
    </w:tr>
    <w:tr w:rsidR="00646A53" w14:paraId="2DF3C675" w14:textId="77777777" w:rsidTr="007A601B">
      <w:trPr>
        <w:jc w:val="center"/>
      </w:trPr>
      <w:tc>
        <w:tcPr>
          <w:tcW w:w="646" w:type="pct"/>
          <w:vMerge/>
        </w:tcPr>
        <w:p w14:paraId="3CC803A2" w14:textId="77777777" w:rsidR="00646A53" w:rsidRDefault="00646A53" w:rsidP="00646A53">
          <w:pPr>
            <w:jc w:val="center"/>
            <w:rPr>
              <w:b/>
              <w:bCs/>
              <w:noProof/>
              <w:lang w:bidi="ar-EG"/>
            </w:rPr>
          </w:pPr>
        </w:p>
      </w:tc>
      <w:tc>
        <w:tcPr>
          <w:tcW w:w="278" w:type="pct"/>
          <w:vMerge w:val="restart"/>
          <w:vAlign w:val="center"/>
        </w:tcPr>
        <w:p w14:paraId="60403A03" w14:textId="77777777" w:rsidR="00646A53" w:rsidRPr="000F15D5" w:rsidRDefault="00646A53" w:rsidP="00646A53">
          <w:pPr>
            <w:jc w:val="center"/>
            <w:rPr>
              <w:b/>
              <w:bCs/>
              <w:lang w:bidi="ar-EG"/>
            </w:rPr>
          </w:pPr>
          <w:r>
            <w:rPr>
              <w:b/>
              <w:bCs/>
              <w:noProof/>
              <w:lang w:val="en-GB" w:eastAsia="en-GB"/>
            </w:rPr>
            <w:drawing>
              <wp:inline distT="0" distB="0" distL="0" distR="0" wp14:anchorId="2F97D22D" wp14:editId="6E66C63C">
                <wp:extent cx="113208" cy="180000"/>
                <wp:effectExtent l="0" t="0" r="1270" b="0"/>
                <wp:docPr id="18"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صورة 7"/>
                        <pic:cNvPicPr/>
                      </pic:nvPicPr>
                      <pic:blipFill>
                        <a:blip r:embed="rId2" cstate="print">
                          <a:extLst>
                            <a:ext uri="{28A0092B-C50C-407E-A947-70E740481C1C}">
                              <a14:useLocalDpi xmlns:a14="http://schemas.microsoft.com/office/drawing/2010/main" val="0"/>
                            </a:ext>
                          </a:extLst>
                        </a:blip>
                        <a:stretch>
                          <a:fillRect/>
                        </a:stretch>
                      </pic:blipFill>
                      <pic:spPr>
                        <a:xfrm>
                          <a:off x="0" y="0"/>
                          <a:ext cx="113208" cy="180000"/>
                        </a:xfrm>
                        <a:prstGeom prst="rect">
                          <a:avLst/>
                        </a:prstGeom>
                      </pic:spPr>
                    </pic:pic>
                  </a:graphicData>
                </a:graphic>
              </wp:inline>
            </w:drawing>
          </w:r>
        </w:p>
      </w:tc>
      <w:tc>
        <w:tcPr>
          <w:tcW w:w="4076" w:type="pct"/>
          <w:gridSpan w:val="5"/>
          <w:vAlign w:val="center"/>
        </w:tcPr>
        <w:p w14:paraId="1AFE6EF7" w14:textId="77777777" w:rsidR="00646A53" w:rsidRPr="000F15D5" w:rsidRDefault="00646A53" w:rsidP="00646A53">
          <w:pPr>
            <w:ind w:left="-57"/>
            <w:rPr>
              <w:rFonts w:asciiTheme="majorBidi" w:hAnsiTheme="majorBidi" w:cstheme="majorBidi"/>
              <w:color w:val="000000"/>
              <w:sz w:val="18"/>
              <w:szCs w:val="18"/>
              <w:shd w:val="clear" w:color="auto" w:fill="FFFFFF"/>
            </w:rPr>
          </w:pPr>
          <w:r w:rsidRPr="0086433E">
            <w:rPr>
              <w:rFonts w:asciiTheme="majorBidi" w:eastAsia="Times New Roman" w:hAnsiTheme="majorBidi" w:cstheme="majorBidi"/>
              <w:b/>
              <w:bCs/>
              <w:color w:val="000000"/>
              <w:sz w:val="18"/>
              <w:szCs w:val="18"/>
            </w:rPr>
            <w:t>Headquarters</w:t>
          </w:r>
          <w:r>
            <w:rPr>
              <w:rFonts w:asciiTheme="majorBidi" w:eastAsia="Times New Roman" w:hAnsiTheme="majorBidi" w:cstheme="majorBidi"/>
              <w:color w:val="000000"/>
              <w:sz w:val="18"/>
              <w:szCs w:val="18"/>
            </w:rPr>
            <w:t>:</w:t>
          </w:r>
          <w:r w:rsidRPr="000F15D5">
            <w:rPr>
              <w:rFonts w:asciiTheme="majorBidi" w:eastAsia="Times New Roman" w:hAnsiTheme="majorBidi" w:cstheme="majorBidi"/>
              <w:color w:val="000000"/>
              <w:sz w:val="18"/>
              <w:szCs w:val="18"/>
            </w:rPr>
            <w:t>148 Misr Helwan El-</w:t>
          </w:r>
          <w:proofErr w:type="spellStart"/>
          <w:r w:rsidRPr="000F15D5">
            <w:rPr>
              <w:rFonts w:asciiTheme="majorBidi" w:eastAsia="Times New Roman" w:hAnsiTheme="majorBidi" w:cstheme="majorBidi"/>
              <w:color w:val="000000"/>
              <w:sz w:val="18"/>
              <w:szCs w:val="18"/>
            </w:rPr>
            <w:t>Zyrae</w:t>
          </w:r>
          <w:proofErr w:type="spellEnd"/>
          <w:r w:rsidRPr="000F15D5">
            <w:rPr>
              <w:rFonts w:asciiTheme="majorBidi" w:eastAsia="Times New Roman" w:hAnsiTheme="majorBidi" w:cstheme="majorBidi"/>
              <w:color w:val="000000"/>
              <w:sz w:val="18"/>
              <w:szCs w:val="18"/>
            </w:rPr>
            <w:t xml:space="preserve"> Road, El </w:t>
          </w:r>
          <w:proofErr w:type="spellStart"/>
          <w:r w:rsidRPr="000F15D5">
            <w:rPr>
              <w:rFonts w:asciiTheme="majorBidi" w:eastAsia="Times New Roman" w:hAnsiTheme="majorBidi" w:cstheme="majorBidi"/>
              <w:color w:val="000000"/>
              <w:sz w:val="18"/>
              <w:szCs w:val="18"/>
            </w:rPr>
            <w:t>Matbaa</w:t>
          </w:r>
          <w:proofErr w:type="spellEnd"/>
          <w:r w:rsidRPr="000F15D5">
            <w:rPr>
              <w:rFonts w:asciiTheme="majorBidi" w:eastAsia="Times New Roman" w:hAnsiTheme="majorBidi" w:cstheme="majorBidi"/>
              <w:color w:val="000000"/>
              <w:sz w:val="18"/>
              <w:szCs w:val="18"/>
              <w:rtl/>
            </w:rPr>
            <w:t xml:space="preserve"> </w:t>
          </w:r>
          <w:r w:rsidRPr="000F15D5">
            <w:rPr>
              <w:rFonts w:asciiTheme="majorBidi" w:eastAsia="Times New Roman" w:hAnsiTheme="majorBidi" w:cstheme="majorBidi"/>
              <w:color w:val="000000"/>
              <w:sz w:val="18"/>
              <w:szCs w:val="18"/>
            </w:rPr>
            <w:t xml:space="preserve">Sq, </w:t>
          </w:r>
          <w:proofErr w:type="spellStart"/>
          <w:r w:rsidRPr="000F15D5">
            <w:rPr>
              <w:rFonts w:asciiTheme="majorBidi" w:eastAsia="Times New Roman" w:hAnsiTheme="majorBidi" w:cstheme="majorBidi"/>
              <w:color w:val="000000"/>
              <w:sz w:val="18"/>
              <w:szCs w:val="18"/>
            </w:rPr>
            <w:t>Hadayek</w:t>
          </w:r>
          <w:proofErr w:type="spellEnd"/>
          <w:r w:rsidRPr="000F15D5">
            <w:rPr>
              <w:rFonts w:asciiTheme="majorBidi" w:eastAsia="Times New Roman" w:hAnsiTheme="majorBidi" w:cstheme="majorBidi"/>
              <w:color w:val="000000"/>
              <w:sz w:val="18"/>
              <w:szCs w:val="18"/>
            </w:rPr>
            <w:t xml:space="preserve"> El Maadi, 4</w:t>
          </w:r>
          <w:r w:rsidRPr="000F15D5">
            <w:rPr>
              <w:rFonts w:asciiTheme="majorBidi" w:eastAsia="Times New Roman" w:hAnsiTheme="majorBidi" w:cstheme="majorBidi"/>
              <w:color w:val="000000"/>
              <w:sz w:val="18"/>
              <w:szCs w:val="18"/>
              <w:vertAlign w:val="superscript"/>
            </w:rPr>
            <w:t>th</w:t>
          </w:r>
          <w:r w:rsidRPr="000F15D5">
            <w:rPr>
              <w:rFonts w:asciiTheme="majorBidi" w:eastAsia="Times New Roman" w:hAnsiTheme="majorBidi" w:cstheme="majorBidi"/>
              <w:color w:val="000000"/>
              <w:sz w:val="18"/>
              <w:szCs w:val="18"/>
            </w:rPr>
            <w:t xml:space="preserve"> Floor, No 41, Cairo, Egypt</w:t>
          </w:r>
          <w:r w:rsidRPr="000F15D5">
            <w:rPr>
              <w:rFonts w:asciiTheme="majorBidi" w:eastAsia="Times New Roman" w:hAnsiTheme="majorBidi" w:cstheme="majorBidi"/>
              <w:color w:val="FF0000"/>
              <w:sz w:val="18"/>
              <w:szCs w:val="18"/>
            </w:rPr>
            <w:t xml:space="preserve"> </w:t>
          </w:r>
        </w:p>
      </w:tc>
    </w:tr>
    <w:tr w:rsidR="00646A53" w14:paraId="21D64D10" w14:textId="77777777" w:rsidTr="007A601B">
      <w:trPr>
        <w:jc w:val="center"/>
      </w:trPr>
      <w:tc>
        <w:tcPr>
          <w:tcW w:w="646" w:type="pct"/>
          <w:vMerge/>
        </w:tcPr>
        <w:p w14:paraId="7C115057" w14:textId="77777777" w:rsidR="00646A53" w:rsidRDefault="00646A53" w:rsidP="00646A53">
          <w:pPr>
            <w:jc w:val="center"/>
            <w:rPr>
              <w:lang w:bidi="ar-EG"/>
            </w:rPr>
          </w:pPr>
        </w:p>
      </w:tc>
      <w:tc>
        <w:tcPr>
          <w:tcW w:w="278" w:type="pct"/>
          <w:vMerge/>
          <w:vAlign w:val="center"/>
        </w:tcPr>
        <w:p w14:paraId="3F4411A4" w14:textId="77777777" w:rsidR="00646A53" w:rsidRDefault="00646A53" w:rsidP="00646A53">
          <w:pPr>
            <w:jc w:val="center"/>
            <w:rPr>
              <w:lang w:bidi="ar-EG"/>
            </w:rPr>
          </w:pPr>
        </w:p>
      </w:tc>
      <w:tc>
        <w:tcPr>
          <w:tcW w:w="4076" w:type="pct"/>
          <w:gridSpan w:val="5"/>
          <w:vAlign w:val="center"/>
        </w:tcPr>
        <w:p w14:paraId="31659A1E" w14:textId="77777777" w:rsidR="00646A53" w:rsidRPr="000F15D5" w:rsidRDefault="00646A53" w:rsidP="00646A53">
          <w:pPr>
            <w:rPr>
              <w:rFonts w:asciiTheme="majorBidi" w:hAnsiTheme="majorBidi" w:cstheme="majorBidi"/>
              <w:color w:val="000000"/>
              <w:sz w:val="18"/>
              <w:szCs w:val="18"/>
              <w:shd w:val="clear" w:color="auto" w:fill="FFFFFF"/>
            </w:rPr>
          </w:pPr>
          <w:r w:rsidRPr="005C2948">
            <w:rPr>
              <w:rFonts w:asciiTheme="majorBidi" w:hAnsiTheme="majorBidi" w:cstheme="majorBidi"/>
              <w:b/>
              <w:bCs/>
              <w:color w:val="000000" w:themeColor="text1"/>
              <w:sz w:val="18"/>
              <w:szCs w:val="18"/>
              <w:shd w:val="clear" w:color="auto" w:fill="FFFFFF"/>
            </w:rPr>
            <w:t>Maat Training Center</w:t>
          </w:r>
          <w:r>
            <w:rPr>
              <w:rFonts w:asciiTheme="majorBidi" w:hAnsiTheme="majorBidi" w:cstheme="majorBidi"/>
              <w:color w:val="000000"/>
              <w:sz w:val="18"/>
              <w:szCs w:val="18"/>
              <w:shd w:val="clear" w:color="auto" w:fill="FFFFFF"/>
            </w:rPr>
            <w:t xml:space="preserve">: </w:t>
          </w:r>
          <w:r w:rsidRPr="000F15D5">
            <w:rPr>
              <w:rFonts w:asciiTheme="majorBidi" w:hAnsiTheme="majorBidi" w:cstheme="majorBidi"/>
              <w:color w:val="000000"/>
              <w:sz w:val="18"/>
              <w:szCs w:val="18"/>
              <w:shd w:val="clear" w:color="auto" w:fill="FFFFFF"/>
            </w:rPr>
            <w:t xml:space="preserve">380 Corniche El Nil St., </w:t>
          </w:r>
          <w:proofErr w:type="spellStart"/>
          <w:r w:rsidRPr="000F15D5">
            <w:rPr>
              <w:rFonts w:asciiTheme="majorBidi" w:hAnsiTheme="majorBidi" w:cstheme="majorBidi"/>
              <w:color w:val="000000"/>
              <w:sz w:val="18"/>
              <w:szCs w:val="18"/>
              <w:shd w:val="clear" w:color="auto" w:fill="FFFFFF"/>
            </w:rPr>
            <w:t>Gawharet</w:t>
          </w:r>
          <w:proofErr w:type="spellEnd"/>
          <w:r w:rsidRPr="000F15D5">
            <w:rPr>
              <w:rFonts w:asciiTheme="majorBidi" w:hAnsiTheme="majorBidi" w:cstheme="majorBidi"/>
              <w:color w:val="000000"/>
              <w:sz w:val="18"/>
              <w:szCs w:val="18"/>
              <w:shd w:val="clear" w:color="auto" w:fill="FFFFFF"/>
            </w:rPr>
            <w:t xml:space="preserve"> El Maadi Tower,38th Floor, Tower B, Cairo, Egypt</w:t>
          </w:r>
        </w:p>
      </w:tc>
    </w:tr>
    <w:tr w:rsidR="00646A53" w14:paraId="7F46E2BA" w14:textId="77777777" w:rsidTr="007A601B">
      <w:trPr>
        <w:jc w:val="center"/>
      </w:trPr>
      <w:tc>
        <w:tcPr>
          <w:tcW w:w="646" w:type="pct"/>
          <w:vMerge/>
        </w:tcPr>
        <w:p w14:paraId="35572253" w14:textId="77777777" w:rsidR="00646A53" w:rsidRDefault="00646A53" w:rsidP="00646A53">
          <w:pPr>
            <w:jc w:val="center"/>
            <w:rPr>
              <w:noProof/>
              <w:lang w:bidi="ar-EG"/>
            </w:rPr>
          </w:pPr>
        </w:p>
      </w:tc>
      <w:tc>
        <w:tcPr>
          <w:tcW w:w="278" w:type="pct"/>
          <w:vAlign w:val="center"/>
        </w:tcPr>
        <w:p w14:paraId="6ACC96E0" w14:textId="77777777" w:rsidR="00646A53" w:rsidRDefault="00646A53" w:rsidP="00646A53">
          <w:pPr>
            <w:jc w:val="center"/>
            <w:rPr>
              <w:lang w:bidi="ar-EG"/>
            </w:rPr>
          </w:pPr>
          <w:r>
            <w:rPr>
              <w:noProof/>
              <w:lang w:val="en-GB" w:eastAsia="en-GB"/>
            </w:rPr>
            <w:drawing>
              <wp:inline distT="0" distB="0" distL="0" distR="0" wp14:anchorId="77CFED58" wp14:editId="7ED14B6A">
                <wp:extent cx="178378" cy="180000"/>
                <wp:effectExtent l="0" t="0" r="0" b="0"/>
                <wp:docPr id="19"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صورة 8"/>
                        <pic:cNvPicPr/>
                      </pic:nvPicPr>
                      <pic:blipFill>
                        <a:blip r:embed="rId3"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626" w:type="pct"/>
          <w:vAlign w:val="center"/>
        </w:tcPr>
        <w:p w14:paraId="45C50F94" w14:textId="77777777" w:rsidR="00646A53" w:rsidRPr="000F15D5" w:rsidRDefault="00646A53" w:rsidP="00646A53">
          <w:pPr>
            <w:rPr>
              <w:sz w:val="18"/>
              <w:szCs w:val="18"/>
              <w:lang w:bidi="ar-EG"/>
            </w:rPr>
          </w:pPr>
          <w:r w:rsidRPr="000F15D5">
            <w:rPr>
              <w:rFonts w:ascii="Tahoma" w:hAnsi="Tahoma" w:cs="Tahoma"/>
              <w:color w:val="000000"/>
              <w:sz w:val="18"/>
              <w:szCs w:val="18"/>
              <w:shd w:val="clear" w:color="auto" w:fill="FFFFFF"/>
            </w:rPr>
            <w:t>490 El Maadi</w:t>
          </w:r>
          <w:r w:rsidRPr="000F15D5">
            <w:rPr>
              <w:sz w:val="18"/>
              <w:szCs w:val="18"/>
              <w:lang w:bidi="ar-EG"/>
            </w:rPr>
            <w:t xml:space="preserve"> </w:t>
          </w:r>
        </w:p>
      </w:tc>
      <w:tc>
        <w:tcPr>
          <w:tcW w:w="1152" w:type="pct"/>
          <w:gridSpan w:val="2"/>
          <w:vAlign w:val="center"/>
        </w:tcPr>
        <w:p w14:paraId="33F37283" w14:textId="77777777" w:rsidR="00646A53" w:rsidRPr="000F15D5" w:rsidRDefault="00646A53" w:rsidP="00646A53">
          <w:pPr>
            <w:rPr>
              <w:sz w:val="18"/>
              <w:szCs w:val="18"/>
              <w:lang w:bidi="ar-EG"/>
            </w:rPr>
          </w:pPr>
          <w:r w:rsidRPr="00A20672">
            <w:rPr>
              <w:b/>
              <w:bCs/>
              <w:noProof/>
              <w:sz w:val="18"/>
              <w:szCs w:val="18"/>
              <w:lang w:bidi="ar-EG"/>
            </w:rPr>
            <w:t>WWW</w:t>
          </w:r>
          <w:r>
            <w:rPr>
              <w:b/>
              <w:bCs/>
              <w:noProof/>
              <w:sz w:val="18"/>
              <w:szCs w:val="18"/>
              <w:lang w:bidi="ar-EG"/>
            </w:rPr>
            <w:t>.</w:t>
          </w:r>
          <w:r w:rsidRPr="0086433E">
            <w:rPr>
              <w:rFonts w:ascii="Times New Roman" w:eastAsia="Times New Roman" w:hAnsi="Times New Roman" w:cs="Times New Roman"/>
              <w:color w:val="000000"/>
              <w:sz w:val="20"/>
              <w:szCs w:val="20"/>
            </w:rPr>
            <w:t>maatpeace.org </w:t>
          </w:r>
        </w:p>
      </w:tc>
      <w:tc>
        <w:tcPr>
          <w:tcW w:w="202" w:type="pct"/>
          <w:vAlign w:val="center"/>
        </w:tcPr>
        <w:p w14:paraId="1D7CEBF3" w14:textId="77777777" w:rsidR="00646A53" w:rsidRPr="00A20672" w:rsidRDefault="00646A53" w:rsidP="00646A53">
          <w:pPr>
            <w:rPr>
              <w:b/>
              <w:bCs/>
              <w:sz w:val="18"/>
              <w:szCs w:val="18"/>
              <w:lang w:bidi="ar-EG"/>
            </w:rPr>
          </w:pPr>
          <w:r>
            <w:rPr>
              <w:b/>
              <w:bCs/>
              <w:noProof/>
              <w:sz w:val="18"/>
              <w:szCs w:val="18"/>
              <w:lang w:val="en-GB" w:eastAsia="en-GB"/>
            </w:rPr>
            <w:drawing>
              <wp:inline distT="0" distB="0" distL="0" distR="0" wp14:anchorId="3E472ADA" wp14:editId="4B43C516">
                <wp:extent cx="185455" cy="180000"/>
                <wp:effectExtent l="0" t="0" r="5080" b="0"/>
                <wp:docPr id="20"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صورة 15"/>
                        <pic:cNvPicPr/>
                      </pic:nvPicPr>
                      <pic:blipFill>
                        <a:blip r:embed="rId4" cstate="print">
                          <a:extLst>
                            <a:ext uri="{28A0092B-C50C-407E-A947-70E740481C1C}">
                              <a14:useLocalDpi xmlns:a14="http://schemas.microsoft.com/office/drawing/2010/main" val="0"/>
                            </a:ext>
                          </a:extLst>
                        </a:blip>
                        <a:stretch>
                          <a:fillRect/>
                        </a:stretch>
                      </pic:blipFill>
                      <pic:spPr>
                        <a:xfrm>
                          <a:off x="0" y="0"/>
                          <a:ext cx="185455" cy="180000"/>
                        </a:xfrm>
                        <a:prstGeom prst="rect">
                          <a:avLst/>
                        </a:prstGeom>
                      </pic:spPr>
                    </pic:pic>
                  </a:graphicData>
                </a:graphic>
              </wp:inline>
            </w:drawing>
          </w:r>
        </w:p>
      </w:tc>
      <w:tc>
        <w:tcPr>
          <w:tcW w:w="2096" w:type="pct"/>
          <w:vAlign w:val="center"/>
        </w:tcPr>
        <w:p w14:paraId="5C749361" w14:textId="77777777" w:rsidR="00646A53" w:rsidRPr="000F15D5" w:rsidRDefault="00646A53" w:rsidP="00646A53">
          <w:pPr>
            <w:rPr>
              <w:sz w:val="18"/>
              <w:szCs w:val="18"/>
              <w:lang w:bidi="ar-EG"/>
            </w:rPr>
          </w:pPr>
          <w:r w:rsidRPr="0086433E">
            <w:rPr>
              <w:rStyle w:val="apple-style-span"/>
              <w:color w:val="000000"/>
              <w:sz w:val="20"/>
              <w:szCs w:val="20"/>
            </w:rPr>
            <w:t>maat@maatpeace.org</w:t>
          </w:r>
        </w:p>
      </w:tc>
    </w:tr>
    <w:tr w:rsidR="00646A53" w14:paraId="20A66BA8" w14:textId="77777777" w:rsidTr="007A601B">
      <w:trPr>
        <w:jc w:val="center"/>
      </w:trPr>
      <w:tc>
        <w:tcPr>
          <w:tcW w:w="646" w:type="pct"/>
          <w:vMerge/>
        </w:tcPr>
        <w:p w14:paraId="5D74E863" w14:textId="77777777" w:rsidR="00646A53" w:rsidRDefault="00646A53" w:rsidP="00646A53">
          <w:pPr>
            <w:jc w:val="center"/>
            <w:rPr>
              <w:noProof/>
              <w:lang w:bidi="ar-EG"/>
            </w:rPr>
          </w:pPr>
        </w:p>
      </w:tc>
      <w:tc>
        <w:tcPr>
          <w:tcW w:w="278" w:type="pct"/>
          <w:vAlign w:val="center"/>
        </w:tcPr>
        <w:p w14:paraId="690410AE" w14:textId="77777777" w:rsidR="00646A53" w:rsidRDefault="00646A53" w:rsidP="00646A53">
          <w:pPr>
            <w:jc w:val="center"/>
            <w:rPr>
              <w:noProof/>
              <w:lang w:bidi="ar-EG"/>
            </w:rPr>
          </w:pPr>
          <w:r>
            <w:rPr>
              <w:noProof/>
              <w:lang w:val="en-GB" w:eastAsia="en-GB"/>
            </w:rPr>
            <w:drawing>
              <wp:inline distT="0" distB="0" distL="0" distR="0" wp14:anchorId="01ECB94F" wp14:editId="718DB6C8">
                <wp:extent cx="178378" cy="180000"/>
                <wp:effectExtent l="0" t="0" r="0" b="0"/>
                <wp:docPr id="21" name="صورة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صورة 9"/>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889" w:type="pct"/>
          <w:gridSpan w:val="2"/>
          <w:vAlign w:val="center"/>
        </w:tcPr>
        <w:p w14:paraId="5C00C092" w14:textId="77777777" w:rsidR="00646A53" w:rsidRPr="00DE0507" w:rsidRDefault="00646A53" w:rsidP="00646A53">
          <w:pPr>
            <w:rPr>
              <w:rFonts w:ascii="Tahoma" w:hAnsi="Tahoma" w:cs="Tahoma"/>
              <w:color w:val="000000"/>
              <w:sz w:val="18"/>
              <w:szCs w:val="18"/>
              <w:shd w:val="clear" w:color="auto" w:fill="FFFFFF"/>
            </w:rPr>
          </w:pPr>
          <w:r w:rsidRPr="00DE0507">
            <w:rPr>
              <w:rStyle w:val="apple-style-span"/>
              <w:color w:val="000000"/>
              <w:sz w:val="18"/>
              <w:szCs w:val="18"/>
            </w:rPr>
            <w:t xml:space="preserve">00(20) (2) </w:t>
          </w:r>
          <w:r w:rsidRPr="00DE0507">
            <w:rPr>
              <w:rStyle w:val="apple-style-span"/>
              <w:b/>
              <w:bCs/>
              <w:color w:val="000000"/>
              <w:sz w:val="18"/>
              <w:szCs w:val="18"/>
            </w:rPr>
            <w:t>25266026</w:t>
          </w:r>
        </w:p>
      </w:tc>
      <w:tc>
        <w:tcPr>
          <w:tcW w:w="889" w:type="pct"/>
          <w:vAlign w:val="center"/>
        </w:tcPr>
        <w:p w14:paraId="23E88751" w14:textId="77777777" w:rsidR="00646A53" w:rsidRPr="00DE0507" w:rsidRDefault="00646A53" w:rsidP="00646A53">
          <w:pPr>
            <w:rPr>
              <w:noProof/>
              <w:sz w:val="18"/>
              <w:szCs w:val="18"/>
              <w:lang w:bidi="ar-EG"/>
            </w:rPr>
          </w:pPr>
          <w:r w:rsidRPr="00DE0507">
            <w:rPr>
              <w:rStyle w:val="apple-style-span"/>
              <w:color w:val="000000"/>
              <w:sz w:val="18"/>
              <w:szCs w:val="18"/>
            </w:rPr>
            <w:t xml:space="preserve">00(20) (2) </w:t>
          </w:r>
          <w:r w:rsidRPr="00DE0507">
            <w:rPr>
              <w:rStyle w:val="apple-style-span"/>
              <w:b/>
              <w:bCs/>
              <w:color w:val="000000"/>
              <w:sz w:val="18"/>
              <w:szCs w:val="18"/>
            </w:rPr>
            <w:t>25266019</w:t>
          </w:r>
        </w:p>
      </w:tc>
      <w:tc>
        <w:tcPr>
          <w:tcW w:w="202" w:type="pct"/>
          <w:vAlign w:val="center"/>
        </w:tcPr>
        <w:p w14:paraId="2A9C05F2" w14:textId="77777777" w:rsidR="00646A53" w:rsidRDefault="00646A53" w:rsidP="00646A53">
          <w:pPr>
            <w:rPr>
              <w:b/>
              <w:bCs/>
              <w:noProof/>
              <w:sz w:val="18"/>
              <w:szCs w:val="18"/>
              <w:lang w:bidi="ar-EG"/>
            </w:rPr>
          </w:pPr>
          <w:r w:rsidRPr="005C2948">
            <w:rPr>
              <w:rFonts w:asciiTheme="majorBidi" w:hAnsiTheme="majorBidi" w:cstheme="majorBidi"/>
              <w:b/>
              <w:bCs/>
              <w:noProof/>
              <w:color w:val="000000"/>
              <w:sz w:val="18"/>
              <w:szCs w:val="18"/>
              <w:shd w:val="clear" w:color="auto" w:fill="FFFFFF"/>
              <w:lang w:val="en-GB" w:eastAsia="en-GB"/>
            </w:rPr>
            <w:drawing>
              <wp:inline distT="0" distB="0" distL="0" distR="0" wp14:anchorId="64AA0181" wp14:editId="6908A387">
                <wp:extent cx="100547" cy="180000"/>
                <wp:effectExtent l="0" t="0" r="0" b="0"/>
                <wp:docPr id="22" name="صورة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صورة 16"/>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0547" cy="180000"/>
                        </a:xfrm>
                        <a:prstGeom prst="rect">
                          <a:avLst/>
                        </a:prstGeom>
                      </pic:spPr>
                    </pic:pic>
                  </a:graphicData>
                </a:graphic>
              </wp:inline>
            </w:drawing>
          </w:r>
        </w:p>
      </w:tc>
      <w:tc>
        <w:tcPr>
          <w:tcW w:w="2096" w:type="pct"/>
          <w:vAlign w:val="center"/>
        </w:tcPr>
        <w:p w14:paraId="3E9CCE62" w14:textId="77777777" w:rsidR="00646A53" w:rsidRPr="0086433E" w:rsidRDefault="00646A53" w:rsidP="00646A53">
          <w:pPr>
            <w:rPr>
              <w:rStyle w:val="apple-style-span"/>
              <w:color w:val="000000"/>
              <w:sz w:val="20"/>
              <w:szCs w:val="20"/>
            </w:rPr>
          </w:pPr>
          <w:r w:rsidRPr="0086433E">
            <w:rPr>
              <w:rStyle w:val="apple-style-span"/>
              <w:b/>
              <w:bCs/>
              <w:color w:val="000000" w:themeColor="text1"/>
              <w:sz w:val="18"/>
              <w:szCs w:val="18"/>
            </w:rPr>
            <w:t>+201226521170</w:t>
          </w:r>
        </w:p>
      </w:tc>
    </w:tr>
  </w:tbl>
  <w:p w14:paraId="48FDA0F5" w14:textId="3EA43699" w:rsidR="00646A53" w:rsidRPr="00646A53" w:rsidRDefault="00646A53" w:rsidP="00646A53">
    <w:pPr>
      <w:pStyle w:val="Footer"/>
      <w:rPr>
        <w:sz w:val="2"/>
        <w:szCs w:val="2"/>
      </w:rPr>
    </w:pPr>
    <w:r>
      <w:rPr>
        <w:noProof/>
        <w:lang w:val="en-GB" w:eastAsia="en-GB"/>
      </w:rPr>
      <w:drawing>
        <wp:anchor distT="0" distB="0" distL="114300" distR="114300" simplePos="0" relativeHeight="251659264" behindDoc="0" locked="0" layoutInCell="1" allowOverlap="1" wp14:anchorId="0B7660F1" wp14:editId="5771AA6F">
          <wp:simplePos x="0" y="0"/>
          <wp:positionH relativeFrom="page">
            <wp:posOffset>60896</wp:posOffset>
          </wp:positionH>
          <wp:positionV relativeFrom="paragraph">
            <wp:posOffset>-1053465</wp:posOffset>
          </wp:positionV>
          <wp:extent cx="7726693" cy="185531"/>
          <wp:effectExtent l="0" t="0" r="0" b="5080"/>
          <wp:wrapNone/>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aer blank wz water mark final.jpg"/>
                  <pic:cNvPicPr/>
                </pic:nvPicPr>
                <pic:blipFill rotWithShape="1">
                  <a:blip r:embed="rId7" cstate="print">
                    <a:extLst>
                      <a:ext uri="{28A0092B-C50C-407E-A947-70E740481C1C}">
                        <a14:useLocalDpi xmlns:a14="http://schemas.microsoft.com/office/drawing/2010/main" val="0"/>
                      </a:ext>
                    </a:extLst>
                  </a:blip>
                  <a:srcRect l="3247" t="96152" r="-3247" b="2006"/>
                  <a:stretch/>
                </pic:blipFill>
                <pic:spPr bwMode="auto">
                  <a:xfrm>
                    <a:off x="0" y="0"/>
                    <a:ext cx="7726693" cy="18553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E936C22" w14:textId="77777777" w:rsidR="001D1DBC" w:rsidRDefault="001D1DBC" w:rsidP="004F6D5A">
      <w:pPr>
        <w:spacing w:after="0" w:line="240" w:lineRule="auto"/>
      </w:pPr>
      <w:r>
        <w:separator/>
      </w:r>
    </w:p>
  </w:footnote>
  <w:footnote w:type="continuationSeparator" w:id="0">
    <w:p w14:paraId="6CC09D55" w14:textId="77777777" w:rsidR="001D1DBC" w:rsidRDefault="001D1DBC" w:rsidP="004F6D5A">
      <w:pPr>
        <w:spacing w:after="0" w:line="240" w:lineRule="auto"/>
      </w:pPr>
      <w:r>
        <w:continuationSeparator/>
      </w:r>
    </w:p>
  </w:footnote>
  <w:footnote w:id="1">
    <w:p w14:paraId="6BC45E2A" w14:textId="22AF414B" w:rsidR="00293B17" w:rsidRPr="007F2D70" w:rsidRDefault="00293B17" w:rsidP="00293B17">
      <w:pPr>
        <w:pStyle w:val="FootnoteText"/>
        <w:rPr>
          <w:rFonts w:ascii="Times New Roman" w:hAnsi="Times New Roman" w:cs="Times New Roman"/>
          <w:sz w:val="16"/>
          <w:szCs w:val="16"/>
        </w:rPr>
      </w:pPr>
      <w:r w:rsidRPr="007F2D70">
        <w:rPr>
          <w:rStyle w:val="FootnoteReference"/>
          <w:rFonts w:ascii="Times New Roman" w:hAnsi="Times New Roman" w:cs="Times New Roman"/>
          <w:sz w:val="16"/>
          <w:szCs w:val="16"/>
        </w:rPr>
        <w:footnoteRef/>
      </w:r>
      <w:r w:rsidRPr="007F2D70">
        <w:rPr>
          <w:rFonts w:ascii="Times New Roman" w:hAnsi="Times New Roman" w:cs="Times New Roman"/>
          <w:sz w:val="16"/>
          <w:szCs w:val="16"/>
        </w:rPr>
        <w:t xml:space="preserve"> Ratification, Reporting &amp; Documentation for Belgium, </w:t>
      </w:r>
      <w:r>
        <w:rPr>
          <w:rFonts w:ascii="Times New Roman" w:hAnsi="Times New Roman" w:cs="Times New Roman"/>
          <w:sz w:val="16"/>
          <w:szCs w:val="16"/>
        </w:rPr>
        <w:t>OHCHR</w:t>
      </w:r>
      <w:r w:rsidRPr="007F2D70">
        <w:rPr>
          <w:rFonts w:ascii="Times New Roman" w:hAnsi="Times New Roman" w:cs="Times New Roman"/>
          <w:sz w:val="16"/>
          <w:szCs w:val="16"/>
        </w:rPr>
        <w:t xml:space="preserve">, </w:t>
      </w:r>
      <w:hyperlink r:id="rId1">
        <w:r w:rsidRPr="007F2D70">
          <w:rPr>
            <w:rFonts w:ascii="Times New Roman" w:hAnsi="Times New Roman" w:cs="Times New Roman"/>
            <w:color w:val="1155CC"/>
            <w:sz w:val="16"/>
            <w:szCs w:val="16"/>
            <w:u w:val="single"/>
          </w:rPr>
          <w:t>https://2h.ae/wfUt</w:t>
        </w:r>
      </w:hyperlink>
    </w:p>
  </w:footnote>
  <w:footnote w:id="2">
    <w:p w14:paraId="675D4F37" w14:textId="77777777" w:rsidR="00293B17" w:rsidRPr="007F2D70" w:rsidRDefault="00293B17" w:rsidP="00293B17">
      <w:pPr>
        <w:pStyle w:val="FootnoteText"/>
        <w:rPr>
          <w:rFonts w:ascii="Times New Roman" w:hAnsi="Times New Roman" w:cs="Times New Roman"/>
          <w:sz w:val="16"/>
          <w:szCs w:val="16"/>
        </w:rPr>
      </w:pPr>
      <w:r w:rsidRPr="007F2D70">
        <w:rPr>
          <w:rStyle w:val="FootnoteReference"/>
          <w:rFonts w:ascii="Times New Roman" w:hAnsi="Times New Roman" w:cs="Times New Roman"/>
          <w:sz w:val="16"/>
          <w:szCs w:val="16"/>
        </w:rPr>
        <w:footnoteRef/>
      </w:r>
      <w:r w:rsidRPr="007F2D70">
        <w:rPr>
          <w:rFonts w:ascii="Times New Roman" w:hAnsi="Times New Roman" w:cs="Times New Roman"/>
          <w:sz w:val="16"/>
          <w:szCs w:val="16"/>
        </w:rPr>
        <w:t xml:space="preserve"> </w:t>
      </w:r>
      <w:r w:rsidRPr="007F2D70">
        <w:rPr>
          <w:rFonts w:ascii="Times New Roman" w:hAnsi="Times New Roman" w:cs="Times New Roman"/>
          <w:sz w:val="16"/>
          <w:szCs w:val="16"/>
        </w:rPr>
        <w:t xml:space="preserve">Additional information submitted by Belgium under article 29 (4) of the Convention*, </w:t>
      </w:r>
      <w:hyperlink r:id="rId2">
        <w:r w:rsidRPr="007F2D70">
          <w:rPr>
            <w:rFonts w:ascii="Times New Roman" w:hAnsi="Times New Roman" w:cs="Times New Roman"/>
            <w:color w:val="1155CC"/>
            <w:sz w:val="16"/>
            <w:szCs w:val="16"/>
            <w:u w:val="single"/>
          </w:rPr>
          <w:t>https://2h.ae/HOfn</w:t>
        </w:r>
      </w:hyperlink>
    </w:p>
  </w:footnote>
  <w:footnote w:id="3">
    <w:p w14:paraId="01B4E8CC" w14:textId="10800ABE" w:rsidR="00293B17" w:rsidRPr="007F2D70" w:rsidRDefault="00293B17" w:rsidP="00293B17">
      <w:pPr>
        <w:pStyle w:val="FootnoteText"/>
        <w:rPr>
          <w:rFonts w:ascii="Times New Roman" w:hAnsi="Times New Roman" w:cs="Times New Roman"/>
          <w:sz w:val="16"/>
          <w:szCs w:val="16"/>
        </w:rPr>
      </w:pPr>
      <w:r w:rsidRPr="007F2D70">
        <w:rPr>
          <w:rStyle w:val="FootnoteReference"/>
          <w:rFonts w:ascii="Times New Roman" w:hAnsi="Times New Roman" w:cs="Times New Roman"/>
          <w:sz w:val="16"/>
          <w:szCs w:val="16"/>
        </w:rPr>
        <w:footnoteRef/>
      </w:r>
      <w:r w:rsidRPr="007F2D70">
        <w:rPr>
          <w:rFonts w:ascii="Times New Roman" w:hAnsi="Times New Roman" w:cs="Times New Roman"/>
          <w:sz w:val="16"/>
          <w:szCs w:val="16"/>
        </w:rPr>
        <w:t xml:space="preserve"> </w:t>
      </w:r>
      <w:r w:rsidRPr="007F2D70">
        <w:rPr>
          <w:rFonts w:ascii="Times New Roman" w:hAnsi="Times New Roman" w:cs="Times New Roman"/>
          <w:sz w:val="16"/>
          <w:szCs w:val="16"/>
        </w:rPr>
        <w:t xml:space="preserve">CED - Convention for the Protection of All Persons from Enforced Disappearance 28 Session (17 Mar 2025 - 04 Apr 2025), </w:t>
      </w:r>
      <w:r>
        <w:rPr>
          <w:rFonts w:ascii="Times New Roman" w:hAnsi="Times New Roman" w:cs="Times New Roman"/>
          <w:sz w:val="16"/>
          <w:szCs w:val="16"/>
        </w:rPr>
        <w:t>OHCHR</w:t>
      </w:r>
      <w:r w:rsidRPr="007F2D70">
        <w:rPr>
          <w:rFonts w:ascii="Times New Roman" w:hAnsi="Times New Roman" w:cs="Times New Roman"/>
          <w:sz w:val="16"/>
          <w:szCs w:val="16"/>
        </w:rPr>
        <w:t xml:space="preserve">, </w:t>
      </w:r>
      <w:hyperlink r:id="rId3">
        <w:r w:rsidRPr="007F2D70">
          <w:rPr>
            <w:rFonts w:ascii="Times New Roman" w:hAnsi="Times New Roman" w:cs="Times New Roman"/>
            <w:color w:val="1155CC"/>
            <w:sz w:val="16"/>
            <w:szCs w:val="16"/>
            <w:u w:val="single"/>
          </w:rPr>
          <w:t>https://2h.ae/vTEW</w:t>
        </w:r>
      </w:hyperlink>
    </w:p>
  </w:footnote>
  <w:footnote w:id="4">
    <w:p w14:paraId="1453783C" w14:textId="77777777" w:rsidR="00293B17" w:rsidRPr="007F2D70" w:rsidRDefault="00293B17" w:rsidP="00293B17">
      <w:pPr>
        <w:pStyle w:val="FootnoteText"/>
        <w:rPr>
          <w:rFonts w:ascii="Times New Roman" w:hAnsi="Times New Roman" w:cs="Times New Roman"/>
          <w:sz w:val="16"/>
          <w:szCs w:val="16"/>
        </w:rPr>
      </w:pPr>
      <w:r w:rsidRPr="007F2D70">
        <w:rPr>
          <w:rStyle w:val="FootnoteReference"/>
          <w:rFonts w:ascii="Times New Roman" w:hAnsi="Times New Roman" w:cs="Times New Roman"/>
          <w:sz w:val="16"/>
          <w:szCs w:val="16"/>
        </w:rPr>
        <w:footnoteRef/>
      </w:r>
      <w:r w:rsidRPr="007F2D70">
        <w:rPr>
          <w:rFonts w:ascii="Times New Roman" w:hAnsi="Times New Roman" w:cs="Times New Roman"/>
          <w:sz w:val="16"/>
          <w:szCs w:val="16"/>
        </w:rPr>
        <w:t xml:space="preserve"> </w:t>
      </w:r>
      <w:r w:rsidRPr="007F2D70">
        <w:rPr>
          <w:rFonts w:ascii="Times New Roman" w:hAnsi="Times New Roman" w:cs="Times New Roman"/>
          <w:sz w:val="16"/>
          <w:szCs w:val="16"/>
        </w:rPr>
        <w:t xml:space="preserve">Penal Code issued on June 8, 1867 (updated on January 1, 2012), Belgium, </w:t>
      </w:r>
      <w:hyperlink r:id="rId4" w:history="1">
        <w:r w:rsidRPr="007F2D70">
          <w:rPr>
            <w:rStyle w:val="Hyperlink"/>
            <w:rFonts w:ascii="Times New Roman" w:hAnsi="Times New Roman" w:cs="Times New Roman"/>
            <w:sz w:val="16"/>
            <w:szCs w:val="16"/>
          </w:rPr>
          <w:t>https://2h.ae/esab</w:t>
        </w:r>
      </w:hyperlink>
      <w:r w:rsidRPr="007F2D70">
        <w:rPr>
          <w:rFonts w:ascii="Times New Roman" w:hAnsi="Times New Roman" w:cs="Times New Roman"/>
          <w:sz w:val="16"/>
          <w:szCs w:val="16"/>
        </w:rPr>
        <w:t xml:space="preserve"> </w:t>
      </w:r>
    </w:p>
  </w:footnote>
  <w:footnote w:id="5">
    <w:p w14:paraId="61384A06" w14:textId="77777777" w:rsidR="00293B17" w:rsidRPr="007F2D70" w:rsidRDefault="00293B17" w:rsidP="00293B17">
      <w:pPr>
        <w:pStyle w:val="FootnoteText"/>
        <w:rPr>
          <w:rFonts w:ascii="Times New Roman" w:hAnsi="Times New Roman" w:cs="Times New Roman"/>
          <w:sz w:val="16"/>
          <w:szCs w:val="16"/>
        </w:rPr>
      </w:pPr>
      <w:r w:rsidRPr="007F2D70">
        <w:rPr>
          <w:rStyle w:val="FootnoteReference"/>
          <w:rFonts w:ascii="Times New Roman" w:hAnsi="Times New Roman" w:cs="Times New Roman"/>
          <w:sz w:val="16"/>
          <w:szCs w:val="16"/>
        </w:rPr>
        <w:footnoteRef/>
      </w:r>
      <w:r w:rsidRPr="007F2D70">
        <w:rPr>
          <w:rFonts w:ascii="Times New Roman" w:hAnsi="Times New Roman" w:cs="Times New Roman"/>
          <w:sz w:val="16"/>
          <w:szCs w:val="16"/>
        </w:rPr>
        <w:t xml:space="preserve"> </w:t>
      </w:r>
      <w:r w:rsidRPr="007F2D70">
        <w:rPr>
          <w:rFonts w:ascii="Times New Roman" w:hAnsi="Times New Roman" w:cs="Times New Roman"/>
          <w:sz w:val="16"/>
          <w:szCs w:val="16"/>
        </w:rPr>
        <w:t xml:space="preserve">Wet tot </w:t>
      </w:r>
      <w:proofErr w:type="spellStart"/>
      <w:r w:rsidRPr="007F2D70">
        <w:rPr>
          <w:rFonts w:ascii="Times New Roman" w:hAnsi="Times New Roman" w:cs="Times New Roman"/>
          <w:sz w:val="16"/>
          <w:szCs w:val="16"/>
        </w:rPr>
        <w:t>invoering</w:t>
      </w:r>
      <w:proofErr w:type="spellEnd"/>
      <w:r w:rsidRPr="007F2D70">
        <w:rPr>
          <w:rFonts w:ascii="Times New Roman" w:hAnsi="Times New Roman" w:cs="Times New Roman"/>
          <w:sz w:val="16"/>
          <w:szCs w:val="16"/>
        </w:rPr>
        <w:t xml:space="preserve"> van </w:t>
      </w:r>
      <w:proofErr w:type="spellStart"/>
      <w:r w:rsidRPr="007F2D70">
        <w:rPr>
          <w:rFonts w:ascii="Times New Roman" w:hAnsi="Times New Roman" w:cs="Times New Roman"/>
          <w:sz w:val="16"/>
          <w:szCs w:val="16"/>
        </w:rPr>
        <w:t>boek</w:t>
      </w:r>
      <w:proofErr w:type="spellEnd"/>
      <w:r w:rsidRPr="007F2D70">
        <w:rPr>
          <w:rFonts w:ascii="Times New Roman" w:hAnsi="Times New Roman" w:cs="Times New Roman"/>
          <w:sz w:val="16"/>
          <w:szCs w:val="16"/>
        </w:rPr>
        <w:t xml:space="preserve"> II van het </w:t>
      </w:r>
      <w:proofErr w:type="spellStart"/>
      <w:r w:rsidRPr="007F2D70">
        <w:rPr>
          <w:rFonts w:ascii="Times New Roman" w:hAnsi="Times New Roman" w:cs="Times New Roman"/>
          <w:sz w:val="16"/>
          <w:szCs w:val="16"/>
        </w:rPr>
        <w:t>Strafwetboek</w:t>
      </w:r>
      <w:proofErr w:type="spellEnd"/>
      <w:r w:rsidRPr="007F2D70">
        <w:rPr>
          <w:rFonts w:ascii="Times New Roman" w:hAnsi="Times New Roman" w:cs="Times New Roman"/>
          <w:sz w:val="16"/>
          <w:szCs w:val="16"/>
        </w:rPr>
        <w:t xml:space="preserve">, </w:t>
      </w:r>
      <w:proofErr w:type="spellStart"/>
      <w:r w:rsidRPr="007F2D70">
        <w:rPr>
          <w:rFonts w:ascii="Times New Roman" w:hAnsi="Times New Roman" w:cs="Times New Roman"/>
          <w:sz w:val="16"/>
          <w:szCs w:val="16"/>
        </w:rPr>
        <w:t>etaamb.openjustice</w:t>
      </w:r>
      <w:proofErr w:type="spellEnd"/>
      <w:r w:rsidRPr="007F2D70">
        <w:rPr>
          <w:rFonts w:ascii="Times New Roman" w:hAnsi="Times New Roman" w:cs="Times New Roman"/>
          <w:sz w:val="16"/>
          <w:szCs w:val="16"/>
        </w:rPr>
        <w:t xml:space="preserve">, </w:t>
      </w:r>
      <w:hyperlink r:id="rId5">
        <w:r w:rsidRPr="007F2D70">
          <w:rPr>
            <w:rFonts w:ascii="Times New Roman" w:hAnsi="Times New Roman" w:cs="Times New Roman"/>
            <w:color w:val="1155CC"/>
            <w:sz w:val="16"/>
            <w:szCs w:val="16"/>
            <w:u w:val="single"/>
          </w:rPr>
          <w:t>https://2h.ae/skIa</w:t>
        </w:r>
      </w:hyperlink>
    </w:p>
  </w:footnote>
  <w:footnote w:id="6">
    <w:p w14:paraId="477CA9D0" w14:textId="77777777" w:rsidR="00293B17" w:rsidRPr="007F2D70" w:rsidRDefault="00293B17" w:rsidP="00293B17">
      <w:pPr>
        <w:pStyle w:val="FootnoteText"/>
        <w:rPr>
          <w:rFonts w:ascii="Times New Roman" w:hAnsi="Times New Roman" w:cs="Times New Roman"/>
          <w:sz w:val="16"/>
          <w:szCs w:val="16"/>
        </w:rPr>
      </w:pPr>
      <w:r w:rsidRPr="007F2D70">
        <w:rPr>
          <w:rStyle w:val="FootnoteReference"/>
          <w:rFonts w:ascii="Times New Roman" w:hAnsi="Times New Roman" w:cs="Times New Roman"/>
          <w:sz w:val="16"/>
          <w:szCs w:val="16"/>
        </w:rPr>
        <w:footnoteRef/>
      </w:r>
      <w:r w:rsidRPr="007F2D70">
        <w:rPr>
          <w:rFonts w:ascii="Times New Roman" w:hAnsi="Times New Roman" w:cs="Times New Roman"/>
          <w:sz w:val="16"/>
          <w:szCs w:val="16"/>
        </w:rPr>
        <w:t xml:space="preserve"> </w:t>
      </w:r>
      <w:r w:rsidRPr="007F2D70">
        <w:rPr>
          <w:rFonts w:ascii="Times New Roman" w:hAnsi="Times New Roman" w:cs="Times New Roman"/>
          <w:sz w:val="16"/>
          <w:szCs w:val="16"/>
        </w:rPr>
        <w:t xml:space="preserve">Wet tot </w:t>
      </w:r>
      <w:proofErr w:type="spellStart"/>
      <w:r w:rsidRPr="007F2D70">
        <w:rPr>
          <w:rFonts w:ascii="Times New Roman" w:hAnsi="Times New Roman" w:cs="Times New Roman"/>
          <w:sz w:val="16"/>
          <w:szCs w:val="16"/>
        </w:rPr>
        <w:t>invoering</w:t>
      </w:r>
      <w:proofErr w:type="spellEnd"/>
      <w:r w:rsidRPr="007F2D70">
        <w:rPr>
          <w:rFonts w:ascii="Times New Roman" w:hAnsi="Times New Roman" w:cs="Times New Roman"/>
          <w:sz w:val="16"/>
          <w:szCs w:val="16"/>
        </w:rPr>
        <w:t xml:space="preserve"> van </w:t>
      </w:r>
      <w:proofErr w:type="spellStart"/>
      <w:r w:rsidRPr="007F2D70">
        <w:rPr>
          <w:rFonts w:ascii="Times New Roman" w:hAnsi="Times New Roman" w:cs="Times New Roman"/>
          <w:sz w:val="16"/>
          <w:szCs w:val="16"/>
        </w:rPr>
        <w:t>boek</w:t>
      </w:r>
      <w:proofErr w:type="spellEnd"/>
      <w:r w:rsidRPr="007F2D70">
        <w:rPr>
          <w:rFonts w:ascii="Times New Roman" w:hAnsi="Times New Roman" w:cs="Times New Roman"/>
          <w:sz w:val="16"/>
          <w:szCs w:val="16"/>
        </w:rPr>
        <w:t xml:space="preserve"> II van het </w:t>
      </w:r>
      <w:proofErr w:type="spellStart"/>
      <w:r w:rsidRPr="007F2D70">
        <w:rPr>
          <w:rFonts w:ascii="Times New Roman" w:hAnsi="Times New Roman" w:cs="Times New Roman"/>
          <w:sz w:val="16"/>
          <w:szCs w:val="16"/>
        </w:rPr>
        <w:t>Strafwetboek</w:t>
      </w:r>
      <w:proofErr w:type="spellEnd"/>
      <w:r w:rsidRPr="007F2D70">
        <w:rPr>
          <w:rFonts w:ascii="Times New Roman" w:hAnsi="Times New Roman" w:cs="Times New Roman"/>
          <w:sz w:val="16"/>
          <w:szCs w:val="16"/>
        </w:rPr>
        <w:t xml:space="preserve">, </w:t>
      </w:r>
      <w:proofErr w:type="spellStart"/>
      <w:r w:rsidRPr="007F2D70">
        <w:rPr>
          <w:rFonts w:ascii="Times New Roman" w:hAnsi="Times New Roman" w:cs="Times New Roman"/>
          <w:sz w:val="16"/>
          <w:szCs w:val="16"/>
        </w:rPr>
        <w:t>etaamb.openjustice</w:t>
      </w:r>
      <w:proofErr w:type="spellEnd"/>
      <w:r w:rsidRPr="007F2D70">
        <w:rPr>
          <w:rFonts w:ascii="Times New Roman" w:hAnsi="Times New Roman" w:cs="Times New Roman"/>
          <w:sz w:val="16"/>
          <w:szCs w:val="16"/>
        </w:rPr>
        <w:t xml:space="preserve">, </w:t>
      </w:r>
      <w:hyperlink r:id="rId6">
        <w:r w:rsidRPr="007F2D70">
          <w:rPr>
            <w:rFonts w:ascii="Times New Roman" w:hAnsi="Times New Roman" w:cs="Times New Roman"/>
            <w:color w:val="1155CC"/>
            <w:sz w:val="16"/>
            <w:szCs w:val="16"/>
            <w:u w:val="single"/>
          </w:rPr>
          <w:t>https://2h.ae/skIa</w:t>
        </w:r>
      </w:hyperlink>
    </w:p>
  </w:footnote>
  <w:footnote w:id="7">
    <w:p w14:paraId="148B5E0B" w14:textId="77777777" w:rsidR="00293B17" w:rsidRPr="007F2D70" w:rsidRDefault="00293B17" w:rsidP="00293B17">
      <w:pPr>
        <w:pStyle w:val="FootnoteText"/>
        <w:rPr>
          <w:rFonts w:ascii="Times New Roman" w:hAnsi="Times New Roman" w:cs="Times New Roman"/>
          <w:sz w:val="16"/>
          <w:szCs w:val="16"/>
        </w:rPr>
      </w:pPr>
      <w:r w:rsidRPr="007F2D70">
        <w:rPr>
          <w:rStyle w:val="FootnoteReference"/>
          <w:rFonts w:ascii="Times New Roman" w:hAnsi="Times New Roman" w:cs="Times New Roman"/>
          <w:sz w:val="16"/>
          <w:szCs w:val="16"/>
        </w:rPr>
        <w:footnoteRef/>
      </w:r>
      <w:r w:rsidRPr="007F2D70">
        <w:rPr>
          <w:rFonts w:ascii="Times New Roman" w:hAnsi="Times New Roman" w:cs="Times New Roman"/>
          <w:sz w:val="16"/>
          <w:szCs w:val="16"/>
        </w:rPr>
        <w:t xml:space="preserve"> </w:t>
      </w:r>
      <w:r w:rsidRPr="007F2D70">
        <w:rPr>
          <w:rFonts w:ascii="Times New Roman" w:hAnsi="Times New Roman" w:cs="Times New Roman"/>
          <w:sz w:val="16"/>
          <w:szCs w:val="16"/>
        </w:rPr>
        <w:t xml:space="preserve">Wet </w:t>
      </w:r>
      <w:proofErr w:type="spellStart"/>
      <w:r w:rsidRPr="007F2D70">
        <w:rPr>
          <w:rFonts w:ascii="Times New Roman" w:hAnsi="Times New Roman" w:cs="Times New Roman"/>
          <w:sz w:val="16"/>
          <w:szCs w:val="16"/>
        </w:rPr>
        <w:t>strafprocesrecht</w:t>
      </w:r>
      <w:proofErr w:type="spellEnd"/>
      <w:r w:rsidRPr="007F2D70">
        <w:rPr>
          <w:rFonts w:ascii="Times New Roman" w:hAnsi="Times New Roman" w:cs="Times New Roman"/>
          <w:sz w:val="16"/>
          <w:szCs w:val="16"/>
        </w:rPr>
        <w:t xml:space="preserve"> I, </w:t>
      </w:r>
      <w:proofErr w:type="spellStart"/>
      <w:r w:rsidRPr="007F2D70">
        <w:rPr>
          <w:rFonts w:ascii="Times New Roman" w:hAnsi="Times New Roman" w:cs="Times New Roman"/>
          <w:sz w:val="16"/>
          <w:szCs w:val="16"/>
        </w:rPr>
        <w:t>etaamb.openjustice</w:t>
      </w:r>
      <w:proofErr w:type="spellEnd"/>
      <w:r w:rsidRPr="007F2D70">
        <w:rPr>
          <w:rFonts w:ascii="Times New Roman" w:hAnsi="Times New Roman" w:cs="Times New Roman"/>
          <w:sz w:val="16"/>
          <w:szCs w:val="16"/>
        </w:rPr>
        <w:t xml:space="preserve">, </w:t>
      </w:r>
      <w:hyperlink r:id="rId7" w:history="1">
        <w:r w:rsidRPr="007F2D70">
          <w:rPr>
            <w:rStyle w:val="Hyperlink"/>
            <w:rFonts w:ascii="Times New Roman" w:hAnsi="Times New Roman" w:cs="Times New Roman"/>
            <w:sz w:val="16"/>
            <w:szCs w:val="16"/>
          </w:rPr>
          <w:t>https://2h.ae/Xtul</w:t>
        </w:r>
      </w:hyperlink>
    </w:p>
  </w:footnote>
  <w:footnote w:id="8">
    <w:p w14:paraId="41A3786E" w14:textId="77777777" w:rsidR="00293B17" w:rsidRPr="007F2D70" w:rsidRDefault="00293B17" w:rsidP="00293B17">
      <w:pPr>
        <w:pStyle w:val="FootnoteText"/>
        <w:rPr>
          <w:rFonts w:ascii="Times New Roman" w:hAnsi="Times New Roman" w:cs="Times New Roman"/>
          <w:sz w:val="16"/>
          <w:szCs w:val="16"/>
        </w:rPr>
      </w:pPr>
      <w:r w:rsidRPr="007F2D70">
        <w:rPr>
          <w:rStyle w:val="FootnoteReference"/>
          <w:rFonts w:ascii="Times New Roman" w:hAnsi="Times New Roman" w:cs="Times New Roman"/>
          <w:sz w:val="16"/>
          <w:szCs w:val="16"/>
        </w:rPr>
        <w:footnoteRef/>
      </w:r>
      <w:r w:rsidRPr="007F2D70">
        <w:rPr>
          <w:rFonts w:ascii="Times New Roman" w:hAnsi="Times New Roman" w:cs="Times New Roman"/>
          <w:sz w:val="16"/>
          <w:szCs w:val="16"/>
        </w:rPr>
        <w:t xml:space="preserve"> </w:t>
      </w:r>
      <w:r w:rsidRPr="007F2D70">
        <w:rPr>
          <w:rFonts w:ascii="Times New Roman" w:hAnsi="Times New Roman" w:cs="Times New Roman"/>
          <w:sz w:val="16"/>
          <w:szCs w:val="16"/>
        </w:rPr>
        <w:t xml:space="preserve">Belgian court provides hope for justice in Guatemala, justiceinfo.net, </w:t>
      </w:r>
      <w:hyperlink r:id="rId8">
        <w:r w:rsidRPr="007F2D70">
          <w:rPr>
            <w:rFonts w:ascii="Times New Roman" w:hAnsi="Times New Roman" w:cs="Times New Roman"/>
            <w:color w:val="1155CC"/>
            <w:sz w:val="16"/>
            <w:szCs w:val="16"/>
            <w:u w:val="single"/>
          </w:rPr>
          <w:t>https://2h.ae/Jwtk</w:t>
        </w:r>
      </w:hyperlink>
    </w:p>
  </w:footnote>
  <w:footnote w:id="9">
    <w:p w14:paraId="374FE2C9" w14:textId="77777777" w:rsidR="00293B17" w:rsidRPr="007F2D70" w:rsidRDefault="00293B17" w:rsidP="00293B17">
      <w:pPr>
        <w:pStyle w:val="FootnoteText"/>
        <w:rPr>
          <w:rFonts w:ascii="Times New Roman" w:hAnsi="Times New Roman" w:cs="Times New Roman"/>
          <w:sz w:val="16"/>
          <w:szCs w:val="16"/>
        </w:rPr>
      </w:pPr>
      <w:r w:rsidRPr="007F2D70">
        <w:rPr>
          <w:rStyle w:val="FootnoteReference"/>
          <w:rFonts w:ascii="Times New Roman" w:hAnsi="Times New Roman" w:cs="Times New Roman"/>
          <w:sz w:val="16"/>
          <w:szCs w:val="16"/>
        </w:rPr>
        <w:footnoteRef/>
      </w:r>
      <w:r w:rsidRPr="007F2D70">
        <w:rPr>
          <w:rFonts w:ascii="Times New Roman" w:hAnsi="Times New Roman" w:cs="Times New Roman"/>
          <w:sz w:val="16"/>
          <w:szCs w:val="16"/>
        </w:rPr>
        <w:t xml:space="preserve"> </w:t>
      </w:r>
      <w:r w:rsidRPr="007F2D70">
        <w:rPr>
          <w:rFonts w:ascii="Times New Roman" w:hAnsi="Times New Roman" w:cs="Times New Roman"/>
          <w:sz w:val="16"/>
          <w:szCs w:val="16"/>
        </w:rPr>
        <w:t xml:space="preserve">Parallel report to the Committee on Enforced Disappearances, The Federal Institute for the Protection and Promotion of Human Rights, </w:t>
      </w:r>
      <w:hyperlink r:id="rId9">
        <w:r w:rsidRPr="007F2D70">
          <w:rPr>
            <w:rFonts w:ascii="Times New Roman" w:hAnsi="Times New Roman" w:cs="Times New Roman"/>
            <w:color w:val="1155CC"/>
            <w:sz w:val="16"/>
            <w:szCs w:val="16"/>
            <w:u w:val="single"/>
          </w:rPr>
          <w:t>https://2h.ae/ACdj</w:t>
        </w:r>
      </w:hyperlink>
    </w:p>
  </w:footnote>
  <w:footnote w:id="10">
    <w:p w14:paraId="0EBC1629" w14:textId="05F46848" w:rsidR="00293B17" w:rsidRPr="007F2D70" w:rsidRDefault="00293B17" w:rsidP="00293B17">
      <w:pPr>
        <w:pStyle w:val="FootnoteText"/>
        <w:rPr>
          <w:rFonts w:ascii="Times New Roman" w:hAnsi="Times New Roman" w:cs="Times New Roman"/>
          <w:sz w:val="16"/>
          <w:szCs w:val="16"/>
        </w:rPr>
      </w:pPr>
      <w:r w:rsidRPr="007F2D70">
        <w:rPr>
          <w:rStyle w:val="FootnoteReference"/>
          <w:rFonts w:ascii="Times New Roman" w:hAnsi="Times New Roman" w:cs="Times New Roman"/>
          <w:sz w:val="16"/>
          <w:szCs w:val="16"/>
        </w:rPr>
        <w:footnoteRef/>
      </w:r>
      <w:r w:rsidRPr="007F2D70">
        <w:rPr>
          <w:rFonts w:ascii="Times New Roman" w:hAnsi="Times New Roman" w:cs="Times New Roman"/>
          <w:sz w:val="16"/>
          <w:szCs w:val="16"/>
        </w:rPr>
        <w:t xml:space="preserve"> </w:t>
      </w:r>
      <w:r w:rsidRPr="007F2D70">
        <w:rPr>
          <w:rFonts w:ascii="Times New Roman" w:hAnsi="Times New Roman" w:cs="Times New Roman"/>
          <w:sz w:val="16"/>
          <w:szCs w:val="16"/>
        </w:rPr>
        <w:t xml:space="preserve">Belgium: The unaccompanied Ukrainian minors flocked to unveil the migration administration deficit, </w:t>
      </w:r>
      <w:r>
        <w:rPr>
          <w:rFonts w:ascii="Times New Roman" w:hAnsi="Times New Roman" w:cs="Times New Roman"/>
          <w:sz w:val="16"/>
          <w:szCs w:val="16"/>
        </w:rPr>
        <w:t>I</w:t>
      </w:r>
      <w:r w:rsidRPr="007F2D70">
        <w:rPr>
          <w:rFonts w:ascii="Times New Roman" w:hAnsi="Times New Roman" w:cs="Times New Roman"/>
          <w:sz w:val="16"/>
          <w:szCs w:val="16"/>
        </w:rPr>
        <w:t xml:space="preserve">mmigrant News, </w:t>
      </w:r>
      <w:hyperlink r:id="rId10" w:history="1">
        <w:r w:rsidRPr="007F2D70">
          <w:rPr>
            <w:rStyle w:val="Hyperlink"/>
            <w:rFonts w:ascii="Times New Roman" w:hAnsi="Times New Roman" w:cs="Times New Roman"/>
            <w:sz w:val="16"/>
            <w:szCs w:val="16"/>
          </w:rPr>
          <w:t>https://2h.ae/jdii</w:t>
        </w:r>
      </w:hyperlink>
      <w:r w:rsidRPr="007F2D70">
        <w:rPr>
          <w:rFonts w:ascii="Times New Roman" w:hAnsi="Times New Roman" w:cs="Times New Roman"/>
          <w:sz w:val="16"/>
          <w:szCs w:val="16"/>
        </w:rPr>
        <w:t xml:space="preserve"> </w:t>
      </w:r>
    </w:p>
  </w:footnote>
  <w:footnote w:id="11">
    <w:p w14:paraId="60AACDE7" w14:textId="77777777" w:rsidR="00293B17" w:rsidRPr="007F2D70" w:rsidRDefault="00293B17" w:rsidP="00293B17">
      <w:pPr>
        <w:pStyle w:val="FootnoteText"/>
        <w:rPr>
          <w:rFonts w:ascii="Times New Roman" w:hAnsi="Times New Roman" w:cs="Times New Roman"/>
          <w:sz w:val="16"/>
          <w:szCs w:val="16"/>
        </w:rPr>
      </w:pPr>
      <w:r w:rsidRPr="007F2D70">
        <w:rPr>
          <w:rStyle w:val="FootnoteReference"/>
          <w:rFonts w:ascii="Times New Roman" w:hAnsi="Times New Roman" w:cs="Times New Roman"/>
          <w:sz w:val="16"/>
          <w:szCs w:val="16"/>
        </w:rPr>
        <w:footnoteRef/>
      </w:r>
      <w:r w:rsidRPr="007F2D70">
        <w:rPr>
          <w:rFonts w:ascii="Times New Roman" w:hAnsi="Times New Roman" w:cs="Times New Roman"/>
          <w:sz w:val="16"/>
          <w:szCs w:val="16"/>
        </w:rPr>
        <w:t xml:space="preserve"> </w:t>
      </w:r>
      <w:r w:rsidRPr="007F2D70">
        <w:rPr>
          <w:rFonts w:ascii="Times New Roman" w:hAnsi="Times New Roman" w:cs="Times New Roman"/>
          <w:sz w:val="16"/>
          <w:szCs w:val="16"/>
        </w:rPr>
        <w:t xml:space="preserve">Een </w:t>
      </w:r>
      <w:proofErr w:type="spellStart"/>
      <w:r w:rsidRPr="007F2D70">
        <w:rPr>
          <w:rFonts w:ascii="Times New Roman" w:hAnsi="Times New Roman" w:cs="Times New Roman"/>
          <w:sz w:val="16"/>
          <w:szCs w:val="16"/>
        </w:rPr>
        <w:t>gigantische</w:t>
      </w:r>
      <w:proofErr w:type="spellEnd"/>
      <w:r w:rsidRPr="007F2D70">
        <w:rPr>
          <w:rFonts w:ascii="Times New Roman" w:hAnsi="Times New Roman" w:cs="Times New Roman"/>
          <w:sz w:val="16"/>
          <w:szCs w:val="16"/>
        </w:rPr>
        <w:t xml:space="preserve"> </w:t>
      </w:r>
      <w:proofErr w:type="spellStart"/>
      <w:r w:rsidRPr="007F2D70">
        <w:rPr>
          <w:rFonts w:ascii="Times New Roman" w:hAnsi="Times New Roman" w:cs="Times New Roman"/>
          <w:sz w:val="16"/>
          <w:szCs w:val="16"/>
        </w:rPr>
        <w:t>toename</w:t>
      </w:r>
      <w:proofErr w:type="spellEnd"/>
      <w:r w:rsidRPr="007F2D70">
        <w:rPr>
          <w:rFonts w:ascii="Times New Roman" w:hAnsi="Times New Roman" w:cs="Times New Roman"/>
          <w:sz w:val="16"/>
          <w:szCs w:val="16"/>
        </w:rPr>
        <w:t xml:space="preserve">’: </w:t>
      </w:r>
      <w:proofErr w:type="spellStart"/>
      <w:r w:rsidRPr="007F2D70">
        <w:rPr>
          <w:rFonts w:ascii="Times New Roman" w:hAnsi="Times New Roman" w:cs="Times New Roman"/>
          <w:sz w:val="16"/>
          <w:szCs w:val="16"/>
        </w:rPr>
        <w:t>dit</w:t>
      </w:r>
      <w:proofErr w:type="spellEnd"/>
      <w:r w:rsidRPr="007F2D70">
        <w:rPr>
          <w:rFonts w:ascii="Times New Roman" w:hAnsi="Times New Roman" w:cs="Times New Roman"/>
          <w:sz w:val="16"/>
          <w:szCs w:val="16"/>
        </w:rPr>
        <w:t xml:space="preserve"> </w:t>
      </w:r>
      <w:proofErr w:type="spellStart"/>
      <w:r w:rsidRPr="007F2D70">
        <w:rPr>
          <w:rFonts w:ascii="Times New Roman" w:hAnsi="Times New Roman" w:cs="Times New Roman"/>
          <w:sz w:val="16"/>
          <w:szCs w:val="16"/>
        </w:rPr>
        <w:t>jaar</w:t>
      </w:r>
      <w:proofErr w:type="spellEnd"/>
      <w:r w:rsidRPr="007F2D70">
        <w:rPr>
          <w:rFonts w:ascii="Times New Roman" w:hAnsi="Times New Roman" w:cs="Times New Roman"/>
          <w:sz w:val="16"/>
          <w:szCs w:val="16"/>
        </w:rPr>
        <w:t xml:space="preserve"> </w:t>
      </w:r>
      <w:proofErr w:type="spellStart"/>
      <w:r w:rsidRPr="007F2D70">
        <w:rPr>
          <w:rFonts w:ascii="Times New Roman" w:hAnsi="Times New Roman" w:cs="Times New Roman"/>
          <w:sz w:val="16"/>
          <w:szCs w:val="16"/>
        </w:rPr>
        <w:t>verdwenen</w:t>
      </w:r>
      <w:proofErr w:type="spellEnd"/>
      <w:r w:rsidRPr="007F2D70">
        <w:rPr>
          <w:rFonts w:ascii="Times New Roman" w:hAnsi="Times New Roman" w:cs="Times New Roman"/>
          <w:sz w:val="16"/>
          <w:szCs w:val="16"/>
        </w:rPr>
        <w:t xml:space="preserve"> in </w:t>
      </w:r>
      <w:proofErr w:type="spellStart"/>
      <w:r w:rsidRPr="007F2D70">
        <w:rPr>
          <w:rFonts w:ascii="Times New Roman" w:hAnsi="Times New Roman" w:cs="Times New Roman"/>
          <w:sz w:val="16"/>
          <w:szCs w:val="16"/>
        </w:rPr>
        <w:t>ons</w:t>
      </w:r>
      <w:proofErr w:type="spellEnd"/>
      <w:r w:rsidRPr="007F2D70">
        <w:rPr>
          <w:rFonts w:ascii="Times New Roman" w:hAnsi="Times New Roman" w:cs="Times New Roman"/>
          <w:sz w:val="16"/>
          <w:szCs w:val="16"/>
        </w:rPr>
        <w:t xml:space="preserve"> land al </w:t>
      </w:r>
      <w:proofErr w:type="spellStart"/>
      <w:r w:rsidRPr="007F2D70">
        <w:rPr>
          <w:rFonts w:ascii="Times New Roman" w:hAnsi="Times New Roman" w:cs="Times New Roman"/>
          <w:sz w:val="16"/>
          <w:szCs w:val="16"/>
        </w:rPr>
        <w:t>dubbel</w:t>
      </w:r>
      <w:proofErr w:type="spellEnd"/>
      <w:r w:rsidRPr="007F2D70">
        <w:rPr>
          <w:rFonts w:ascii="Times New Roman" w:hAnsi="Times New Roman" w:cs="Times New Roman"/>
          <w:sz w:val="16"/>
          <w:szCs w:val="16"/>
        </w:rPr>
        <w:t xml:space="preserve"> </w:t>
      </w:r>
      <w:proofErr w:type="spellStart"/>
      <w:r w:rsidRPr="007F2D70">
        <w:rPr>
          <w:rFonts w:ascii="Times New Roman" w:hAnsi="Times New Roman" w:cs="Times New Roman"/>
          <w:sz w:val="16"/>
          <w:szCs w:val="16"/>
        </w:rPr>
        <w:t>zoveel</w:t>
      </w:r>
      <w:proofErr w:type="spellEnd"/>
      <w:r w:rsidRPr="007F2D70">
        <w:rPr>
          <w:rFonts w:ascii="Times New Roman" w:hAnsi="Times New Roman" w:cs="Times New Roman"/>
          <w:sz w:val="16"/>
          <w:szCs w:val="16"/>
        </w:rPr>
        <w:t xml:space="preserve"> </w:t>
      </w:r>
      <w:proofErr w:type="spellStart"/>
      <w:r w:rsidRPr="007F2D70">
        <w:rPr>
          <w:rFonts w:ascii="Times New Roman" w:hAnsi="Times New Roman" w:cs="Times New Roman"/>
          <w:sz w:val="16"/>
          <w:szCs w:val="16"/>
        </w:rPr>
        <w:t>kwetsbare</w:t>
      </w:r>
      <w:proofErr w:type="spellEnd"/>
      <w:r w:rsidRPr="007F2D70">
        <w:rPr>
          <w:rFonts w:ascii="Times New Roman" w:hAnsi="Times New Roman" w:cs="Times New Roman"/>
          <w:sz w:val="16"/>
          <w:szCs w:val="16"/>
        </w:rPr>
        <w:t xml:space="preserve"> </w:t>
      </w:r>
      <w:proofErr w:type="spellStart"/>
      <w:r w:rsidRPr="007F2D70">
        <w:rPr>
          <w:rFonts w:ascii="Times New Roman" w:hAnsi="Times New Roman" w:cs="Times New Roman"/>
          <w:sz w:val="16"/>
          <w:szCs w:val="16"/>
        </w:rPr>
        <w:t>minderjarige</w:t>
      </w:r>
      <w:proofErr w:type="spellEnd"/>
      <w:r w:rsidRPr="007F2D70">
        <w:rPr>
          <w:rFonts w:ascii="Times New Roman" w:hAnsi="Times New Roman" w:cs="Times New Roman"/>
          <w:sz w:val="16"/>
          <w:szCs w:val="16"/>
        </w:rPr>
        <w:t xml:space="preserve"> </w:t>
      </w:r>
      <w:proofErr w:type="spellStart"/>
      <w:r w:rsidRPr="007F2D70">
        <w:rPr>
          <w:rFonts w:ascii="Times New Roman" w:hAnsi="Times New Roman" w:cs="Times New Roman"/>
          <w:sz w:val="16"/>
          <w:szCs w:val="16"/>
        </w:rPr>
        <w:t>asielzoekers</w:t>
      </w:r>
      <w:proofErr w:type="spellEnd"/>
      <w:r w:rsidRPr="007F2D70">
        <w:rPr>
          <w:rFonts w:ascii="Times New Roman" w:hAnsi="Times New Roman" w:cs="Times New Roman"/>
          <w:sz w:val="16"/>
          <w:szCs w:val="16"/>
        </w:rPr>
        <w:t xml:space="preserve">, </w:t>
      </w:r>
      <w:proofErr w:type="spellStart"/>
      <w:r w:rsidRPr="007F2D70">
        <w:rPr>
          <w:rFonts w:ascii="Times New Roman" w:hAnsi="Times New Roman" w:cs="Times New Roman"/>
          <w:sz w:val="16"/>
          <w:szCs w:val="16"/>
        </w:rPr>
        <w:t>demorgen</w:t>
      </w:r>
      <w:proofErr w:type="spellEnd"/>
      <w:r w:rsidRPr="007F2D70">
        <w:rPr>
          <w:rFonts w:ascii="Times New Roman" w:hAnsi="Times New Roman" w:cs="Times New Roman"/>
          <w:sz w:val="16"/>
          <w:szCs w:val="16"/>
        </w:rPr>
        <w:t xml:space="preserve">, </w:t>
      </w:r>
      <w:hyperlink r:id="rId11">
        <w:r w:rsidRPr="007F2D70">
          <w:rPr>
            <w:rFonts w:ascii="Times New Roman" w:hAnsi="Times New Roman" w:cs="Times New Roman"/>
            <w:color w:val="1155CC"/>
            <w:sz w:val="16"/>
            <w:szCs w:val="16"/>
            <w:u w:val="single"/>
          </w:rPr>
          <w:t>https://2h.ae/FVKP</w:t>
        </w:r>
      </w:hyperlink>
    </w:p>
  </w:footnote>
  <w:footnote w:id="12">
    <w:p w14:paraId="13A9FACD" w14:textId="77777777" w:rsidR="00293B17" w:rsidRPr="007F2D70" w:rsidRDefault="00293B17" w:rsidP="00293B17">
      <w:pPr>
        <w:pStyle w:val="FootnoteText"/>
        <w:rPr>
          <w:rFonts w:ascii="Times New Roman" w:hAnsi="Times New Roman" w:cs="Times New Roman"/>
          <w:sz w:val="16"/>
          <w:szCs w:val="16"/>
        </w:rPr>
      </w:pPr>
      <w:r w:rsidRPr="007F2D70">
        <w:rPr>
          <w:rStyle w:val="FootnoteReference"/>
          <w:rFonts w:ascii="Times New Roman" w:hAnsi="Times New Roman" w:cs="Times New Roman"/>
          <w:sz w:val="16"/>
          <w:szCs w:val="16"/>
        </w:rPr>
        <w:footnoteRef/>
      </w:r>
      <w:r w:rsidRPr="007F2D70">
        <w:rPr>
          <w:rFonts w:ascii="Times New Roman" w:hAnsi="Times New Roman" w:cs="Times New Roman"/>
          <w:sz w:val="16"/>
          <w:szCs w:val="16"/>
        </w:rPr>
        <w:t xml:space="preserve"> </w:t>
      </w:r>
      <w:r w:rsidRPr="007F2D70">
        <w:rPr>
          <w:rFonts w:ascii="Times New Roman" w:hAnsi="Times New Roman" w:cs="Times New Roman"/>
          <w:sz w:val="16"/>
          <w:szCs w:val="16"/>
        </w:rPr>
        <w:t xml:space="preserve">North African and Afghan underage boys are forced into crime in Belgium and throughout Europe, EMN, </w:t>
      </w:r>
      <w:hyperlink r:id="rId12">
        <w:r w:rsidRPr="007F2D70">
          <w:rPr>
            <w:rFonts w:ascii="Times New Roman" w:hAnsi="Times New Roman" w:cs="Times New Roman"/>
            <w:color w:val="1155CC"/>
            <w:sz w:val="16"/>
            <w:szCs w:val="16"/>
            <w:u w:val="single"/>
          </w:rPr>
          <w:t>https://2h.ae/hydm</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CCF735" w14:textId="18E60A97" w:rsidR="0058685C" w:rsidRPr="0058685C" w:rsidRDefault="0058685C" w:rsidP="0058685C">
    <w:pPr>
      <w:pStyle w:val="Header"/>
    </w:pPr>
    <w:r>
      <w:rPr>
        <w:noProof/>
        <w:lang w:val="en-GB" w:eastAsia="en-GB"/>
      </w:rPr>
      <w:drawing>
        <wp:inline distT="0" distB="0" distL="0" distR="0" wp14:anchorId="4C31023F" wp14:editId="0F2FF7FE">
          <wp:extent cx="1471930" cy="1143000"/>
          <wp:effectExtent l="0" t="0" r="0" b="0"/>
          <wp:docPr id="5" name="صورة 1"/>
          <wp:cNvGraphicFramePr/>
          <a:graphic xmlns:a="http://schemas.openxmlformats.org/drawingml/2006/main">
            <a:graphicData uri="http://schemas.openxmlformats.org/drawingml/2006/picture">
              <pic:pic xmlns:pic="http://schemas.openxmlformats.org/drawingml/2006/picture">
                <pic:nvPicPr>
                  <pic:cNvPr id="5" name="صورة 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1471930" cy="1143000"/>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9E25F2"/>
    <w:multiLevelType w:val="hybridMultilevel"/>
    <w:tmpl w:val="D8A4C192"/>
    <w:lvl w:ilvl="0" w:tplc="F0FED06C">
      <w:numFmt w:val="bullet"/>
      <w:lvlText w:val="•"/>
      <w:lvlJc w:val="left"/>
      <w:pPr>
        <w:ind w:left="720" w:hanging="360"/>
      </w:pPr>
      <w:rPr>
        <w:rFonts w:ascii="Times New Roman" w:eastAsiaTheme="minorHAnsi" w:hAnsi="Times New Roman" w:cs="Times New Roman" w:hint="default"/>
        <w:b w:val="0"/>
        <w:color w:val="auto"/>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624699"/>
    <w:multiLevelType w:val="hybridMultilevel"/>
    <w:tmpl w:val="5AC6C20C"/>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FC1C07"/>
    <w:multiLevelType w:val="hybridMultilevel"/>
    <w:tmpl w:val="A76E9C24"/>
    <w:lvl w:ilvl="0" w:tplc="B5505BD0">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F073E80"/>
    <w:multiLevelType w:val="hybridMultilevel"/>
    <w:tmpl w:val="EA429E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813640"/>
    <w:multiLevelType w:val="hybridMultilevel"/>
    <w:tmpl w:val="845C2A7E"/>
    <w:lvl w:ilvl="0" w:tplc="FDC2A492">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E84018"/>
    <w:multiLevelType w:val="hybridMultilevel"/>
    <w:tmpl w:val="19BA3DF2"/>
    <w:lvl w:ilvl="0" w:tplc="E8C43CDC">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9468EC"/>
    <w:multiLevelType w:val="multilevel"/>
    <w:tmpl w:val="EF9E2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9938A0"/>
    <w:multiLevelType w:val="hybridMultilevel"/>
    <w:tmpl w:val="318E694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1CA52769"/>
    <w:multiLevelType w:val="hybridMultilevel"/>
    <w:tmpl w:val="77D25404"/>
    <w:lvl w:ilvl="0" w:tplc="04090001">
      <w:start w:val="1"/>
      <w:numFmt w:val="bullet"/>
      <w:lvlText w:val=""/>
      <w:lvlJc w:val="left"/>
      <w:pPr>
        <w:ind w:left="1080" w:hanging="720"/>
      </w:pPr>
      <w:rPr>
        <w:rFonts w:ascii="Symbol" w:hAnsi="Symbol" w:hint="default"/>
      </w:rPr>
    </w:lvl>
    <w:lvl w:ilvl="1" w:tplc="A8322572">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03557E8"/>
    <w:multiLevelType w:val="hybridMultilevel"/>
    <w:tmpl w:val="60AAE6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24173DFC"/>
    <w:multiLevelType w:val="hybridMultilevel"/>
    <w:tmpl w:val="3F4EFB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8F62A5B"/>
    <w:multiLevelType w:val="hybridMultilevel"/>
    <w:tmpl w:val="632893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99733F2"/>
    <w:multiLevelType w:val="hybridMultilevel"/>
    <w:tmpl w:val="6298D4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C47589E"/>
    <w:multiLevelType w:val="hybridMultilevel"/>
    <w:tmpl w:val="D90C5B4C"/>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CE469F9"/>
    <w:multiLevelType w:val="hybridMultilevel"/>
    <w:tmpl w:val="6E402D9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DF425DC"/>
    <w:multiLevelType w:val="hybridMultilevel"/>
    <w:tmpl w:val="54E68E2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34B96ABB"/>
    <w:multiLevelType w:val="hybridMultilevel"/>
    <w:tmpl w:val="5D18C316"/>
    <w:lvl w:ilvl="0" w:tplc="1152C8B4">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7092316"/>
    <w:multiLevelType w:val="hybridMultilevel"/>
    <w:tmpl w:val="8CCE5CE0"/>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F026491"/>
    <w:multiLevelType w:val="hybridMultilevel"/>
    <w:tmpl w:val="9A7029F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43FA11BD"/>
    <w:multiLevelType w:val="hybridMultilevel"/>
    <w:tmpl w:val="892CFB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67B27A1"/>
    <w:multiLevelType w:val="hybridMultilevel"/>
    <w:tmpl w:val="0E7C2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6D63ED5"/>
    <w:multiLevelType w:val="hybridMultilevel"/>
    <w:tmpl w:val="48C64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75133F0"/>
    <w:multiLevelType w:val="hybridMultilevel"/>
    <w:tmpl w:val="CD1EAA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90B6001"/>
    <w:multiLevelType w:val="hybridMultilevel"/>
    <w:tmpl w:val="BEAE8F96"/>
    <w:lvl w:ilvl="0" w:tplc="04090001">
      <w:start w:val="1"/>
      <w:numFmt w:val="bullet"/>
      <w:lvlText w:val=""/>
      <w:lvlJc w:val="left"/>
      <w:pPr>
        <w:ind w:left="720" w:hanging="360"/>
      </w:pPr>
      <w:rPr>
        <w:rFonts w:ascii="Symbol" w:hAnsi="Symbol" w:hint="default"/>
      </w:rPr>
    </w:lvl>
    <w:lvl w:ilvl="1" w:tplc="5908E1FC">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A735A69"/>
    <w:multiLevelType w:val="hybridMultilevel"/>
    <w:tmpl w:val="4F66703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4B9272BF"/>
    <w:multiLevelType w:val="hybridMultilevel"/>
    <w:tmpl w:val="91BA2FB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4C3C531E"/>
    <w:multiLevelType w:val="hybridMultilevel"/>
    <w:tmpl w:val="C290C4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C7557F5"/>
    <w:multiLevelType w:val="hybridMultilevel"/>
    <w:tmpl w:val="4364AC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17C0FCF"/>
    <w:multiLevelType w:val="hybridMultilevel"/>
    <w:tmpl w:val="3496C198"/>
    <w:lvl w:ilvl="0" w:tplc="0409000F">
      <w:start w:val="1"/>
      <w:numFmt w:val="decimal"/>
      <w:lvlText w:val="%1."/>
      <w:lvlJc w:val="left"/>
      <w:pPr>
        <w:ind w:left="720" w:hanging="360"/>
      </w:pPr>
      <w:rPr>
        <w:rFonts w:hint="default"/>
      </w:rPr>
    </w:lvl>
    <w:lvl w:ilvl="1" w:tplc="5908E1FC">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3784443"/>
    <w:multiLevelType w:val="hybridMultilevel"/>
    <w:tmpl w:val="F370B2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5F65EF3"/>
    <w:multiLevelType w:val="hybridMultilevel"/>
    <w:tmpl w:val="5F7220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7655D76"/>
    <w:multiLevelType w:val="hybridMultilevel"/>
    <w:tmpl w:val="721AB8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AFB628E"/>
    <w:multiLevelType w:val="hybridMultilevel"/>
    <w:tmpl w:val="75501B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B5435CD"/>
    <w:multiLevelType w:val="hybridMultilevel"/>
    <w:tmpl w:val="6E08A2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6D397D5D"/>
    <w:multiLevelType w:val="hybridMultilevel"/>
    <w:tmpl w:val="302E9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5120721"/>
    <w:multiLevelType w:val="hybridMultilevel"/>
    <w:tmpl w:val="7D244A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7DB6F36"/>
    <w:multiLevelType w:val="hybridMultilevel"/>
    <w:tmpl w:val="549E81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BAF2F59"/>
    <w:multiLevelType w:val="hybridMultilevel"/>
    <w:tmpl w:val="547A621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8" w15:restartNumberingAfterBreak="0">
    <w:nsid w:val="7C325036"/>
    <w:multiLevelType w:val="hybridMultilevel"/>
    <w:tmpl w:val="DD94F04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D142B4F"/>
    <w:multiLevelType w:val="hybridMultilevel"/>
    <w:tmpl w:val="7A56D4C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7F3F59E1"/>
    <w:multiLevelType w:val="hybridMultilevel"/>
    <w:tmpl w:val="C556F4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18969025">
    <w:abstractNumId w:val="17"/>
  </w:num>
  <w:num w:numId="2" w16cid:durableId="319427900">
    <w:abstractNumId w:val="4"/>
  </w:num>
  <w:num w:numId="3" w16cid:durableId="483819352">
    <w:abstractNumId w:val="1"/>
  </w:num>
  <w:num w:numId="4" w16cid:durableId="1550531087">
    <w:abstractNumId w:val="13"/>
  </w:num>
  <w:num w:numId="5" w16cid:durableId="365302262">
    <w:abstractNumId w:val="3"/>
  </w:num>
  <w:num w:numId="6" w16cid:durableId="1490904455">
    <w:abstractNumId w:val="30"/>
  </w:num>
  <w:num w:numId="7" w16cid:durableId="1975796718">
    <w:abstractNumId w:val="35"/>
  </w:num>
  <w:num w:numId="8" w16cid:durableId="168910388">
    <w:abstractNumId w:val="38"/>
  </w:num>
  <w:num w:numId="9" w16cid:durableId="864364265">
    <w:abstractNumId w:val="28"/>
  </w:num>
  <w:num w:numId="10" w16cid:durableId="1110662610">
    <w:abstractNumId w:val="31"/>
  </w:num>
  <w:num w:numId="11" w16cid:durableId="48504678">
    <w:abstractNumId w:val="23"/>
  </w:num>
  <w:num w:numId="12" w16cid:durableId="1057243330">
    <w:abstractNumId w:val="37"/>
  </w:num>
  <w:num w:numId="13" w16cid:durableId="113838224">
    <w:abstractNumId w:val="21"/>
  </w:num>
  <w:num w:numId="14" w16cid:durableId="1819300015">
    <w:abstractNumId w:val="8"/>
  </w:num>
  <w:num w:numId="15" w16cid:durableId="1354769003">
    <w:abstractNumId w:val="27"/>
  </w:num>
  <w:num w:numId="16" w16cid:durableId="765884069">
    <w:abstractNumId w:val="14"/>
  </w:num>
  <w:num w:numId="17" w16cid:durableId="1830708544">
    <w:abstractNumId w:val="0"/>
  </w:num>
  <w:num w:numId="18" w16cid:durableId="1195772453">
    <w:abstractNumId w:val="18"/>
  </w:num>
  <w:num w:numId="19" w16cid:durableId="116266373">
    <w:abstractNumId w:val="2"/>
  </w:num>
  <w:num w:numId="20" w16cid:durableId="1165899663">
    <w:abstractNumId w:val="10"/>
  </w:num>
  <w:num w:numId="21" w16cid:durableId="1921870603">
    <w:abstractNumId w:val="40"/>
  </w:num>
  <w:num w:numId="22" w16cid:durableId="1106846340">
    <w:abstractNumId w:val="12"/>
  </w:num>
  <w:num w:numId="23" w16cid:durableId="1120413215">
    <w:abstractNumId w:val="16"/>
  </w:num>
  <w:num w:numId="24" w16cid:durableId="884490536">
    <w:abstractNumId w:val="29"/>
  </w:num>
  <w:num w:numId="25" w16cid:durableId="1098991049">
    <w:abstractNumId w:val="33"/>
  </w:num>
  <w:num w:numId="26" w16cid:durableId="631596808">
    <w:abstractNumId w:val="9"/>
  </w:num>
  <w:num w:numId="27" w16cid:durableId="1306087360">
    <w:abstractNumId w:val="7"/>
  </w:num>
  <w:num w:numId="28" w16cid:durableId="909191109">
    <w:abstractNumId w:val="24"/>
  </w:num>
  <w:num w:numId="29" w16cid:durableId="556204899">
    <w:abstractNumId w:val="25"/>
  </w:num>
  <w:num w:numId="30" w16cid:durableId="1668284805">
    <w:abstractNumId w:val="15"/>
  </w:num>
  <w:num w:numId="31" w16cid:durableId="1777868951">
    <w:abstractNumId w:val="22"/>
  </w:num>
  <w:num w:numId="32" w16cid:durableId="1614898655">
    <w:abstractNumId w:val="5"/>
  </w:num>
  <w:num w:numId="33" w16cid:durableId="364449577">
    <w:abstractNumId w:val="11"/>
  </w:num>
  <w:num w:numId="34" w16cid:durableId="248081818">
    <w:abstractNumId w:val="36"/>
  </w:num>
  <w:num w:numId="35" w16cid:durableId="1742749116">
    <w:abstractNumId w:val="34"/>
  </w:num>
  <w:num w:numId="36" w16cid:durableId="1632056943">
    <w:abstractNumId w:val="26"/>
  </w:num>
  <w:num w:numId="37" w16cid:durableId="16198188">
    <w:abstractNumId w:val="32"/>
  </w:num>
  <w:num w:numId="38" w16cid:durableId="995642619">
    <w:abstractNumId w:val="19"/>
  </w:num>
  <w:num w:numId="39" w16cid:durableId="1951429902">
    <w:abstractNumId w:val="39"/>
  </w:num>
  <w:num w:numId="40" w16cid:durableId="1660618793">
    <w:abstractNumId w:val="20"/>
  </w:num>
  <w:num w:numId="41" w16cid:durableId="38155803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1650"/>
    <w:rsid w:val="00015BCC"/>
    <w:rsid w:val="00042C6F"/>
    <w:rsid w:val="0004495D"/>
    <w:rsid w:val="0004619A"/>
    <w:rsid w:val="00046C49"/>
    <w:rsid w:val="00050B79"/>
    <w:rsid w:val="00086352"/>
    <w:rsid w:val="00093D9F"/>
    <w:rsid w:val="000A0E24"/>
    <w:rsid w:val="000B5D57"/>
    <w:rsid w:val="000B6F75"/>
    <w:rsid w:val="000C7C14"/>
    <w:rsid w:val="00101544"/>
    <w:rsid w:val="00114CCA"/>
    <w:rsid w:val="00156C09"/>
    <w:rsid w:val="001668A8"/>
    <w:rsid w:val="00196443"/>
    <w:rsid w:val="001A6E66"/>
    <w:rsid w:val="001B13EB"/>
    <w:rsid w:val="001B450B"/>
    <w:rsid w:val="001D1DBC"/>
    <w:rsid w:val="001D532C"/>
    <w:rsid w:val="001D6213"/>
    <w:rsid w:val="001F47FD"/>
    <w:rsid w:val="002257CD"/>
    <w:rsid w:val="002305C5"/>
    <w:rsid w:val="00284AAE"/>
    <w:rsid w:val="0028723E"/>
    <w:rsid w:val="002876FE"/>
    <w:rsid w:val="00293B17"/>
    <w:rsid w:val="0029400A"/>
    <w:rsid w:val="002D0B34"/>
    <w:rsid w:val="002D5B01"/>
    <w:rsid w:val="002D65A3"/>
    <w:rsid w:val="002D7273"/>
    <w:rsid w:val="003216C7"/>
    <w:rsid w:val="00326F85"/>
    <w:rsid w:val="003319F3"/>
    <w:rsid w:val="003439F7"/>
    <w:rsid w:val="00360DAB"/>
    <w:rsid w:val="00372B51"/>
    <w:rsid w:val="0038184B"/>
    <w:rsid w:val="00383811"/>
    <w:rsid w:val="003A0EBE"/>
    <w:rsid w:val="003A1F96"/>
    <w:rsid w:val="003A60A9"/>
    <w:rsid w:val="003A745E"/>
    <w:rsid w:val="003B7C83"/>
    <w:rsid w:val="00401F8D"/>
    <w:rsid w:val="004055DB"/>
    <w:rsid w:val="004134D4"/>
    <w:rsid w:val="00414D42"/>
    <w:rsid w:val="00434DDB"/>
    <w:rsid w:val="00436AE3"/>
    <w:rsid w:val="004650D2"/>
    <w:rsid w:val="00477C56"/>
    <w:rsid w:val="00484A19"/>
    <w:rsid w:val="00490571"/>
    <w:rsid w:val="004F28E4"/>
    <w:rsid w:val="004F6D5A"/>
    <w:rsid w:val="004F6EC6"/>
    <w:rsid w:val="004F7950"/>
    <w:rsid w:val="005025C7"/>
    <w:rsid w:val="00505CB3"/>
    <w:rsid w:val="005132DF"/>
    <w:rsid w:val="0051677C"/>
    <w:rsid w:val="00531689"/>
    <w:rsid w:val="00531CED"/>
    <w:rsid w:val="005612DD"/>
    <w:rsid w:val="00566EF4"/>
    <w:rsid w:val="0058685C"/>
    <w:rsid w:val="005A38AA"/>
    <w:rsid w:val="005B3A8D"/>
    <w:rsid w:val="005C3446"/>
    <w:rsid w:val="005E2E96"/>
    <w:rsid w:val="006105E2"/>
    <w:rsid w:val="00640577"/>
    <w:rsid w:val="006412F6"/>
    <w:rsid w:val="00644334"/>
    <w:rsid w:val="00644785"/>
    <w:rsid w:val="00646A53"/>
    <w:rsid w:val="006807A3"/>
    <w:rsid w:val="00690C3F"/>
    <w:rsid w:val="00693967"/>
    <w:rsid w:val="006B1AFB"/>
    <w:rsid w:val="006F5D15"/>
    <w:rsid w:val="00713444"/>
    <w:rsid w:val="00720C57"/>
    <w:rsid w:val="00741D51"/>
    <w:rsid w:val="0074772B"/>
    <w:rsid w:val="0075015E"/>
    <w:rsid w:val="00755B2C"/>
    <w:rsid w:val="00771104"/>
    <w:rsid w:val="00786D2C"/>
    <w:rsid w:val="007A3C77"/>
    <w:rsid w:val="007B5697"/>
    <w:rsid w:val="007C2144"/>
    <w:rsid w:val="007C3E73"/>
    <w:rsid w:val="007E38ED"/>
    <w:rsid w:val="007E56C8"/>
    <w:rsid w:val="007F62CB"/>
    <w:rsid w:val="00823531"/>
    <w:rsid w:val="00823F46"/>
    <w:rsid w:val="00826C6D"/>
    <w:rsid w:val="00843A10"/>
    <w:rsid w:val="008566A8"/>
    <w:rsid w:val="00860C1C"/>
    <w:rsid w:val="00871BB0"/>
    <w:rsid w:val="00875304"/>
    <w:rsid w:val="008823E1"/>
    <w:rsid w:val="00884133"/>
    <w:rsid w:val="008A0867"/>
    <w:rsid w:val="008F0744"/>
    <w:rsid w:val="008F2641"/>
    <w:rsid w:val="0091285A"/>
    <w:rsid w:val="009337BF"/>
    <w:rsid w:val="009412A9"/>
    <w:rsid w:val="009850AD"/>
    <w:rsid w:val="00990858"/>
    <w:rsid w:val="009B028E"/>
    <w:rsid w:val="009C623E"/>
    <w:rsid w:val="009D1F8F"/>
    <w:rsid w:val="009E290C"/>
    <w:rsid w:val="00A162C1"/>
    <w:rsid w:val="00A3448D"/>
    <w:rsid w:val="00A37636"/>
    <w:rsid w:val="00A537CE"/>
    <w:rsid w:val="00A63977"/>
    <w:rsid w:val="00A64F85"/>
    <w:rsid w:val="00A81650"/>
    <w:rsid w:val="00A81860"/>
    <w:rsid w:val="00A83C1E"/>
    <w:rsid w:val="00AB2EAB"/>
    <w:rsid w:val="00AE7B0F"/>
    <w:rsid w:val="00AF7FD1"/>
    <w:rsid w:val="00B01D47"/>
    <w:rsid w:val="00B23185"/>
    <w:rsid w:val="00B35D5B"/>
    <w:rsid w:val="00B36D64"/>
    <w:rsid w:val="00B50DC2"/>
    <w:rsid w:val="00B53978"/>
    <w:rsid w:val="00B66916"/>
    <w:rsid w:val="00B76BA7"/>
    <w:rsid w:val="00BA7411"/>
    <w:rsid w:val="00BB10FB"/>
    <w:rsid w:val="00BB2414"/>
    <w:rsid w:val="00BB2E0C"/>
    <w:rsid w:val="00BC2D2E"/>
    <w:rsid w:val="00BC41A1"/>
    <w:rsid w:val="00BE6F35"/>
    <w:rsid w:val="00BF1B11"/>
    <w:rsid w:val="00C0706B"/>
    <w:rsid w:val="00C26FE4"/>
    <w:rsid w:val="00C34E13"/>
    <w:rsid w:val="00C351FE"/>
    <w:rsid w:val="00C43CDC"/>
    <w:rsid w:val="00C47923"/>
    <w:rsid w:val="00C86D0C"/>
    <w:rsid w:val="00CC193E"/>
    <w:rsid w:val="00CC2F15"/>
    <w:rsid w:val="00CC606D"/>
    <w:rsid w:val="00CD3720"/>
    <w:rsid w:val="00CD5381"/>
    <w:rsid w:val="00D01C6A"/>
    <w:rsid w:val="00D11899"/>
    <w:rsid w:val="00D500E7"/>
    <w:rsid w:val="00D56CB6"/>
    <w:rsid w:val="00D57B63"/>
    <w:rsid w:val="00D65CAF"/>
    <w:rsid w:val="00D674C8"/>
    <w:rsid w:val="00DB04A9"/>
    <w:rsid w:val="00DB5AB9"/>
    <w:rsid w:val="00DC35AC"/>
    <w:rsid w:val="00DD77D6"/>
    <w:rsid w:val="00DE35AB"/>
    <w:rsid w:val="00DF3596"/>
    <w:rsid w:val="00E12DC0"/>
    <w:rsid w:val="00E3117B"/>
    <w:rsid w:val="00E4520A"/>
    <w:rsid w:val="00E45A93"/>
    <w:rsid w:val="00E47C87"/>
    <w:rsid w:val="00E55456"/>
    <w:rsid w:val="00E820AA"/>
    <w:rsid w:val="00E94DD0"/>
    <w:rsid w:val="00E9641B"/>
    <w:rsid w:val="00EA2C34"/>
    <w:rsid w:val="00EA4670"/>
    <w:rsid w:val="00EB7424"/>
    <w:rsid w:val="00ED3ED2"/>
    <w:rsid w:val="00ED7702"/>
    <w:rsid w:val="00EF597D"/>
    <w:rsid w:val="00F27F37"/>
    <w:rsid w:val="00F533B4"/>
    <w:rsid w:val="00F56B3D"/>
    <w:rsid w:val="00F60E10"/>
    <w:rsid w:val="00F715CB"/>
    <w:rsid w:val="00F72F2C"/>
    <w:rsid w:val="00F8429A"/>
    <w:rsid w:val="00F871C7"/>
    <w:rsid w:val="00F94355"/>
    <w:rsid w:val="00FA13E3"/>
    <w:rsid w:val="00FA5CD7"/>
    <w:rsid w:val="00FE2391"/>
    <w:rsid w:val="00FE660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58E1D3"/>
  <w15:chartTrackingRefBased/>
  <w15:docId w15:val="{E4AEE0B2-DA05-4C24-9857-515E84AA29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606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iPriority w:val="99"/>
    <w:unhideWhenUsed/>
    <w:qFormat/>
    <w:rsid w:val="004F6D5A"/>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4F6D5A"/>
    <w:rPr>
      <w:sz w:val="20"/>
      <w:szCs w:val="20"/>
    </w:rPr>
  </w:style>
  <w:style w:type="character" w:styleId="FootnoteReference">
    <w:name w:val="footnote reference"/>
    <w:aliases w:val="4_G,4_GA"/>
    <w:basedOn w:val="DefaultParagraphFont"/>
    <w:uiPriority w:val="99"/>
    <w:unhideWhenUsed/>
    <w:qFormat/>
    <w:rsid w:val="004F6D5A"/>
    <w:rPr>
      <w:vertAlign w:val="superscript"/>
    </w:rPr>
  </w:style>
  <w:style w:type="character" w:styleId="Hyperlink">
    <w:name w:val="Hyperlink"/>
    <w:basedOn w:val="DefaultParagraphFont"/>
    <w:uiPriority w:val="99"/>
    <w:unhideWhenUsed/>
    <w:rsid w:val="004F6D5A"/>
    <w:rPr>
      <w:color w:val="0563C1" w:themeColor="hyperlink"/>
      <w:u w:val="single"/>
    </w:rPr>
  </w:style>
  <w:style w:type="character" w:styleId="FollowedHyperlink">
    <w:name w:val="FollowedHyperlink"/>
    <w:basedOn w:val="DefaultParagraphFont"/>
    <w:uiPriority w:val="99"/>
    <w:semiHidden/>
    <w:unhideWhenUsed/>
    <w:rsid w:val="009D1F8F"/>
    <w:rPr>
      <w:color w:val="954F72" w:themeColor="followedHyperlink"/>
      <w:u w:val="single"/>
    </w:rPr>
  </w:style>
  <w:style w:type="paragraph" w:styleId="ListParagraph">
    <w:name w:val="List Paragraph"/>
    <w:basedOn w:val="Normal"/>
    <w:link w:val="ListParagraphChar"/>
    <w:uiPriority w:val="34"/>
    <w:qFormat/>
    <w:rsid w:val="00AF7FD1"/>
    <w:pPr>
      <w:ind w:left="720"/>
      <w:contextualSpacing/>
    </w:pPr>
  </w:style>
  <w:style w:type="paragraph" w:styleId="Header">
    <w:name w:val="header"/>
    <w:basedOn w:val="Normal"/>
    <w:link w:val="HeaderChar"/>
    <w:uiPriority w:val="99"/>
    <w:unhideWhenUsed/>
    <w:rsid w:val="005868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685C"/>
  </w:style>
  <w:style w:type="paragraph" w:styleId="Footer">
    <w:name w:val="footer"/>
    <w:basedOn w:val="Normal"/>
    <w:link w:val="FooterChar"/>
    <w:uiPriority w:val="99"/>
    <w:unhideWhenUsed/>
    <w:rsid w:val="005868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685C"/>
  </w:style>
  <w:style w:type="table" w:styleId="TableGrid">
    <w:name w:val="Table Grid"/>
    <w:basedOn w:val="TableNormal"/>
    <w:uiPriority w:val="39"/>
    <w:rsid w:val="00646A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DefaultParagraphFont"/>
    <w:rsid w:val="00646A53"/>
  </w:style>
  <w:style w:type="character" w:customStyle="1" w:styleId="UnresolvedMention1">
    <w:name w:val="Unresolved Mention1"/>
    <w:basedOn w:val="DefaultParagraphFont"/>
    <w:uiPriority w:val="99"/>
    <w:semiHidden/>
    <w:unhideWhenUsed/>
    <w:rsid w:val="007E56C8"/>
    <w:rPr>
      <w:color w:val="605E5C"/>
      <w:shd w:val="clear" w:color="auto" w:fill="E1DFDD"/>
    </w:rPr>
  </w:style>
  <w:style w:type="character" w:customStyle="1" w:styleId="ListParagraphChar">
    <w:name w:val="List Paragraph Char"/>
    <w:link w:val="ListParagraph"/>
    <w:uiPriority w:val="34"/>
    <w:rsid w:val="00E55456"/>
  </w:style>
  <w:style w:type="paragraph" w:styleId="HTMLPreformatted">
    <w:name w:val="HTML Preformatted"/>
    <w:basedOn w:val="Normal"/>
    <w:link w:val="HTMLPreformattedChar"/>
    <w:uiPriority w:val="99"/>
    <w:unhideWhenUsed/>
    <w:rsid w:val="009850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9850AD"/>
    <w:rPr>
      <w:rFonts w:ascii="Courier New" w:eastAsia="Times New Roman" w:hAnsi="Courier New" w:cs="Courier New"/>
      <w:sz w:val="20"/>
      <w:szCs w:val="20"/>
    </w:rPr>
  </w:style>
  <w:style w:type="character" w:customStyle="1" w:styleId="y2iqfc">
    <w:name w:val="y2iqfc"/>
    <w:basedOn w:val="DefaultParagraphFont"/>
    <w:rsid w:val="009850AD"/>
  </w:style>
  <w:style w:type="character" w:styleId="CommentReference">
    <w:name w:val="annotation reference"/>
    <w:basedOn w:val="DefaultParagraphFont"/>
    <w:uiPriority w:val="99"/>
    <w:semiHidden/>
    <w:unhideWhenUsed/>
    <w:rsid w:val="009850AD"/>
    <w:rPr>
      <w:sz w:val="16"/>
      <w:szCs w:val="16"/>
    </w:rPr>
  </w:style>
  <w:style w:type="paragraph" w:styleId="CommentText">
    <w:name w:val="annotation text"/>
    <w:basedOn w:val="Normal"/>
    <w:link w:val="CommentTextChar"/>
    <w:uiPriority w:val="99"/>
    <w:semiHidden/>
    <w:unhideWhenUsed/>
    <w:rsid w:val="009850AD"/>
    <w:pPr>
      <w:bidi/>
      <w:spacing w:after="200" w:line="240" w:lineRule="auto"/>
      <w:ind w:left="300" w:hanging="357"/>
    </w:pPr>
    <w:rPr>
      <w:rFonts w:eastAsiaTheme="minorEastAsia"/>
      <w:sz w:val="20"/>
      <w:szCs w:val="20"/>
    </w:rPr>
  </w:style>
  <w:style w:type="character" w:customStyle="1" w:styleId="CommentTextChar">
    <w:name w:val="Comment Text Char"/>
    <w:basedOn w:val="DefaultParagraphFont"/>
    <w:link w:val="CommentText"/>
    <w:uiPriority w:val="99"/>
    <w:semiHidden/>
    <w:rsid w:val="009850AD"/>
    <w:rPr>
      <w:rFonts w:eastAsiaTheme="minorEastAsia"/>
      <w:sz w:val="20"/>
      <w:szCs w:val="20"/>
    </w:rPr>
  </w:style>
  <w:style w:type="character" w:styleId="UnresolvedMention">
    <w:name w:val="Unresolved Mention"/>
    <w:basedOn w:val="DefaultParagraphFont"/>
    <w:uiPriority w:val="99"/>
    <w:semiHidden/>
    <w:unhideWhenUsed/>
    <w:rsid w:val="006105E2"/>
    <w:rPr>
      <w:color w:val="605E5C"/>
      <w:shd w:val="clear" w:color="auto" w:fill="E1DFDD"/>
    </w:rPr>
  </w:style>
  <w:style w:type="table" w:styleId="GridTable5Dark-Accent1">
    <w:name w:val="Grid Table 5 Dark Accent 1"/>
    <w:basedOn w:val="TableNormal"/>
    <w:uiPriority w:val="50"/>
    <w:rsid w:val="00D500E7"/>
    <w:pPr>
      <w:spacing w:before="100" w:beforeAutospacing="1" w:after="0" w:afterAutospacing="1"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7841083">
      <w:bodyDiv w:val="1"/>
      <w:marLeft w:val="0"/>
      <w:marRight w:val="0"/>
      <w:marTop w:val="0"/>
      <w:marBottom w:val="0"/>
      <w:divBdr>
        <w:top w:val="none" w:sz="0" w:space="0" w:color="auto"/>
        <w:left w:val="none" w:sz="0" w:space="0" w:color="auto"/>
        <w:bottom w:val="none" w:sz="0" w:space="0" w:color="auto"/>
        <w:right w:val="none" w:sz="0" w:space="0" w:color="auto"/>
      </w:divBdr>
    </w:div>
    <w:div w:id="664556909">
      <w:bodyDiv w:val="1"/>
      <w:marLeft w:val="0"/>
      <w:marRight w:val="0"/>
      <w:marTop w:val="0"/>
      <w:marBottom w:val="0"/>
      <w:divBdr>
        <w:top w:val="none" w:sz="0" w:space="0" w:color="auto"/>
        <w:left w:val="none" w:sz="0" w:space="0" w:color="auto"/>
        <w:bottom w:val="none" w:sz="0" w:space="0" w:color="auto"/>
        <w:right w:val="none" w:sz="0" w:space="0" w:color="auto"/>
      </w:divBdr>
    </w:div>
    <w:div w:id="1346781868">
      <w:bodyDiv w:val="1"/>
      <w:marLeft w:val="0"/>
      <w:marRight w:val="0"/>
      <w:marTop w:val="0"/>
      <w:marBottom w:val="0"/>
      <w:divBdr>
        <w:top w:val="none" w:sz="0" w:space="0" w:color="auto"/>
        <w:left w:val="none" w:sz="0" w:space="0" w:color="auto"/>
        <w:bottom w:val="none" w:sz="0" w:space="0" w:color="auto"/>
        <w:right w:val="none" w:sz="0" w:space="0" w:color="auto"/>
      </w:divBdr>
    </w:div>
    <w:div w:id="1655446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7.jpe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_rels/footnotes.xml.rels><?xml version="1.0" encoding="UTF-8" standalone="yes"?>
<Relationships xmlns="http://schemas.openxmlformats.org/package/2006/relationships"><Relationship Id="rId8" Type="http://schemas.openxmlformats.org/officeDocument/2006/relationships/hyperlink" Target="https://2h.ae/Jwtk" TargetMode="External"/><Relationship Id="rId3" Type="http://schemas.openxmlformats.org/officeDocument/2006/relationships/hyperlink" Target="https://2h.ae/vTEW" TargetMode="External"/><Relationship Id="rId7" Type="http://schemas.openxmlformats.org/officeDocument/2006/relationships/hyperlink" Target="https://2h.ae/Xtul" TargetMode="External"/><Relationship Id="rId12" Type="http://schemas.openxmlformats.org/officeDocument/2006/relationships/hyperlink" Target="https://2h.ae/hydm" TargetMode="External"/><Relationship Id="rId2" Type="http://schemas.openxmlformats.org/officeDocument/2006/relationships/hyperlink" Target="https://2h.ae/HOfn" TargetMode="External"/><Relationship Id="rId1" Type="http://schemas.openxmlformats.org/officeDocument/2006/relationships/hyperlink" Target="https://2h.ae/wfUt" TargetMode="External"/><Relationship Id="rId6" Type="http://schemas.openxmlformats.org/officeDocument/2006/relationships/hyperlink" Target="https://2h.ae/skIa" TargetMode="External"/><Relationship Id="rId11" Type="http://schemas.openxmlformats.org/officeDocument/2006/relationships/hyperlink" Target="https://2h.ae/FVKP" TargetMode="External"/><Relationship Id="rId5" Type="http://schemas.openxmlformats.org/officeDocument/2006/relationships/hyperlink" Target="https://2h.ae/skIa" TargetMode="External"/><Relationship Id="rId10" Type="http://schemas.openxmlformats.org/officeDocument/2006/relationships/hyperlink" Target="https://2h.ae/jdii" TargetMode="External"/><Relationship Id="rId4" Type="http://schemas.openxmlformats.org/officeDocument/2006/relationships/hyperlink" Target="https://2h.ae/esab" TargetMode="External"/><Relationship Id="rId9" Type="http://schemas.openxmlformats.org/officeDocument/2006/relationships/hyperlink" Target="https://2h.ae/ACdj"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798CFA-3D8E-489F-8992-A7625FD7A2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6</Pages>
  <Words>2040</Words>
  <Characters>12011</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Mira Farash</cp:lastModifiedBy>
  <cp:revision>4</cp:revision>
  <dcterms:created xsi:type="dcterms:W3CDTF">2025-02-16T08:39:00Z</dcterms:created>
  <dcterms:modified xsi:type="dcterms:W3CDTF">2025-02-16T08:41:00Z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a082c0eeaec495607543bb366324cad789a8f1398e9c10fe1a33a8fa08a1c73f</vt:lpwstr>
  </property>
</Properties>
</file>