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12D2F" w14:textId="4B267963" w:rsidR="008F3965" w:rsidRDefault="00EF0295" w:rsidP="00D83442">
      <w:pPr>
        <w:jc w:val="right"/>
      </w:pPr>
      <w:r>
        <w:rPr>
          <w:noProof/>
        </w:rPr>
        <w:drawing>
          <wp:inline distT="0" distB="0" distL="0" distR="0" wp14:anchorId="1E0BAC00" wp14:editId="55145252">
            <wp:extent cx="2575208" cy="102997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7379" cy="1038838"/>
                    </a:xfrm>
                    <a:prstGeom prst="rect">
                      <a:avLst/>
                    </a:prstGeom>
                  </pic:spPr>
                </pic:pic>
              </a:graphicData>
            </a:graphic>
          </wp:inline>
        </w:drawing>
      </w:r>
    </w:p>
    <w:p w14:paraId="6A857DFD" w14:textId="637BE099" w:rsidR="008F3965" w:rsidRPr="006D5DC3" w:rsidRDefault="002467E9" w:rsidP="006D5DC3">
      <w:pPr>
        <w:ind w:left="1"/>
        <w:jc w:val="right"/>
        <w:rPr>
          <w:highlight w:val="yellow"/>
        </w:rPr>
      </w:pPr>
      <w:r>
        <w:t>17</w:t>
      </w:r>
      <w:r w:rsidR="008F3965">
        <w:t xml:space="preserve"> August 2023</w:t>
      </w:r>
    </w:p>
    <w:p w14:paraId="12FBBBEB" w14:textId="77777777" w:rsidR="00D83442" w:rsidRDefault="00D83442" w:rsidP="00DA6FD5">
      <w:pPr>
        <w:pStyle w:val="Normal1"/>
        <w:shd w:val="clear" w:color="auto" w:fill="F2F2F2" w:themeFill="background1" w:themeFillShade="F2"/>
        <w:contextualSpacing w:val="0"/>
        <w:rPr>
          <w:rFonts w:ascii="Franklin Gothic Demi" w:hAnsi="Franklin Gothic Demi" w:cs="Cordia New"/>
          <w:b/>
          <w:color w:val="17365D" w:themeColor="text2" w:themeShade="BF"/>
          <w:sz w:val="32"/>
          <w:szCs w:val="32"/>
          <w:lang w:val="en-GB"/>
        </w:rPr>
      </w:pPr>
    </w:p>
    <w:p w14:paraId="2E952540" w14:textId="77777777" w:rsidR="00D83442" w:rsidRDefault="00D83442" w:rsidP="00D83442">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28"/>
          <w:szCs w:val="28"/>
        </w:rPr>
      </w:pPr>
      <w:r w:rsidRPr="00D83442">
        <w:rPr>
          <w:rFonts w:ascii="Franklin Gothic Demi" w:hAnsi="Franklin Gothic Demi" w:cs="Cordia New"/>
          <w:b/>
          <w:bCs/>
          <w:color w:val="17365D" w:themeColor="text2" w:themeShade="BF"/>
          <w:sz w:val="28"/>
          <w:szCs w:val="28"/>
        </w:rPr>
        <w:t>Submission to the UN Committee on Economic, Social and Cultural Rights</w:t>
      </w:r>
    </w:p>
    <w:p w14:paraId="1967DB6D" w14:textId="5017B6BE" w:rsidR="00D83442" w:rsidRPr="00D83442" w:rsidRDefault="00D83442" w:rsidP="00C429AA">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28"/>
          <w:szCs w:val="28"/>
        </w:rPr>
      </w:pPr>
      <w:r w:rsidRPr="00D83442">
        <w:rPr>
          <w:rFonts w:ascii="Franklin Gothic Demi" w:hAnsi="Franklin Gothic Demi" w:cs="Cordia New"/>
          <w:b/>
          <w:bCs/>
          <w:color w:val="17365D" w:themeColor="text2" w:themeShade="BF"/>
          <w:sz w:val="28"/>
          <w:szCs w:val="28"/>
        </w:rPr>
        <w:t>74th Session (25 September 2023 - 13 October 2023)</w:t>
      </w:r>
    </w:p>
    <w:p w14:paraId="75E8634B" w14:textId="475DF609" w:rsidR="00DA6FD5" w:rsidRDefault="00D83442" w:rsidP="00DA6FD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A864F8">
        <w:rPr>
          <w:rFonts w:ascii="Franklin Gothic Demi" w:hAnsi="Franklin Gothic Demi" w:cs="Cordia New"/>
          <w:b/>
          <w:color w:val="17365D" w:themeColor="text2" w:themeShade="BF"/>
          <w:sz w:val="32"/>
          <w:szCs w:val="32"/>
          <w:lang w:val="en-GB"/>
        </w:rPr>
        <w:t xml:space="preserve">Review of </w:t>
      </w:r>
      <w:r>
        <w:rPr>
          <w:rFonts w:ascii="Franklin Gothic Demi" w:hAnsi="Franklin Gothic Demi" w:cs="Cordia New"/>
          <w:b/>
          <w:color w:val="17365D" w:themeColor="text2" w:themeShade="BF"/>
          <w:sz w:val="32"/>
          <w:szCs w:val="32"/>
          <w:lang w:val="en-GB"/>
        </w:rPr>
        <w:t>France</w:t>
      </w:r>
    </w:p>
    <w:p w14:paraId="7AB49DD8" w14:textId="77777777" w:rsidR="00DA6FD5" w:rsidRPr="00A864F8" w:rsidRDefault="00DA6FD5" w:rsidP="00DA6FD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p>
    <w:p w14:paraId="0C98D226" w14:textId="77777777" w:rsidR="00D83442" w:rsidRPr="002467E9" w:rsidRDefault="00D83442" w:rsidP="00D83442"/>
    <w:p w14:paraId="6C94BDA8" w14:textId="73C5D4CA" w:rsidR="00D83442" w:rsidRDefault="00D83442" w:rsidP="00D83442">
      <w:pPr>
        <w:pStyle w:val="Heading1"/>
        <w:numPr>
          <w:ilvl w:val="0"/>
          <w:numId w:val="20"/>
        </w:numPr>
      </w:pPr>
      <w:r>
        <w:t>Introduction</w:t>
      </w:r>
    </w:p>
    <w:p w14:paraId="3635AED2" w14:textId="5967F235" w:rsidR="00D83442" w:rsidRDefault="008F3965" w:rsidP="00D83442">
      <w:r w:rsidRPr="002467E9">
        <w:t>The Women’s International League for Peace (WILPF) brings to the attention of the UN Committee on Economic, Social and Cultural Rights (CESCR) information it provided to the fourth Universal Periodic Review of France in October 2022</w:t>
      </w:r>
      <w:r w:rsidR="00BA44CD">
        <w:t>,</w:t>
      </w:r>
      <w:r w:rsidR="00BA44CD">
        <w:rPr>
          <w:rStyle w:val="FootnoteReference"/>
        </w:rPr>
        <w:footnoteReference w:id="1"/>
      </w:r>
      <w:r w:rsidR="00BA44CD" w:rsidRPr="002467E9">
        <w:t xml:space="preserve"> </w:t>
      </w:r>
      <w:r w:rsidRPr="002467E9">
        <w:t xml:space="preserve">which is relevant to the upcoming review of France’s periodic report. </w:t>
      </w:r>
    </w:p>
    <w:p w14:paraId="1043FF10" w14:textId="77777777" w:rsidR="00D83442" w:rsidRDefault="00D83442" w:rsidP="00D83442"/>
    <w:p w14:paraId="3B420825" w14:textId="541D1C09" w:rsidR="00C429AA" w:rsidRDefault="008F3965" w:rsidP="00037681">
      <w:r w:rsidRPr="002467E9">
        <w:t xml:space="preserve">The WILPF submission to the UPR, a shortened version of which is provided thereafter, outlines the </w:t>
      </w:r>
      <w:r w:rsidRPr="00A03505">
        <w:rPr>
          <w:b/>
          <w:bCs/>
        </w:rPr>
        <w:t>long-lasting human rights impacts of France’s past nuclear testing in Algeria and French Polynesia</w:t>
      </w:r>
      <w:r w:rsidRPr="002467E9">
        <w:t xml:space="preserve">, including on the right to the highest attainable standard of health, and illustrates the serious obstacles to access to compensation for survivors. The nuclear tests caused grave harm to local populations and environments, which have gone largely unacknowledged and uncompensated for by the French government despite recommendations from UN human rights mechanisms. The submission also highlights that France’s possession and </w:t>
      </w:r>
      <w:proofErr w:type="spellStart"/>
      <w:r w:rsidRPr="002467E9">
        <w:t>modernisation</w:t>
      </w:r>
      <w:proofErr w:type="spellEnd"/>
      <w:r w:rsidRPr="002467E9">
        <w:t xml:space="preserve"> of nuclear weapons violate various obligations under international law, including human rights law. In its latest UPR</w:t>
      </w:r>
      <w:r w:rsidR="00A03505">
        <w:t xml:space="preserve"> (2023)</w:t>
      </w:r>
      <w:r w:rsidRPr="002467E9">
        <w:t>, France received six recommendations related to nuclear testing and nuclear weapons, including the recommendation to “Guarantee access to justice and adequate legal remedies for all victims of nuclear tests carried out by France and conduct rigorous and transparent assessments of the effects of such tests on human health and the environment, including the gendered and transgenerational impacts.”</w:t>
      </w:r>
      <w:r w:rsidR="00BA44CD">
        <w:rPr>
          <w:rStyle w:val="FootnoteReference"/>
        </w:rPr>
        <w:footnoteReference w:id="2"/>
      </w:r>
      <w:r w:rsidRPr="002467E9">
        <w:t xml:space="preserve"> These recommendations follow up on a previous UPR recommendation supported by France to “Ensure compensation to all victims of nuclear tests in French Polynesia, in line with the observations of CEDAW and the Human Rights Committee.”</w:t>
      </w:r>
      <w:r w:rsidR="00D83442">
        <w:rPr>
          <w:rStyle w:val="FootnoteReference"/>
        </w:rPr>
        <w:footnoteReference w:id="3"/>
      </w:r>
    </w:p>
    <w:p w14:paraId="7BC95810" w14:textId="77777777" w:rsidR="00037681" w:rsidRPr="002467E9" w:rsidRDefault="00037681" w:rsidP="00037681"/>
    <w:p w14:paraId="3FD0CBB0" w14:textId="14FA4439" w:rsidR="008F3965" w:rsidRPr="002467E9" w:rsidRDefault="008F3965" w:rsidP="00D83442">
      <w:r w:rsidRPr="002467E9">
        <w:t xml:space="preserve">Secondly, the WILPF submission to the UPR raises </w:t>
      </w:r>
      <w:r w:rsidRPr="00A03505">
        <w:rPr>
          <w:b/>
          <w:bCs/>
        </w:rPr>
        <w:t>serious concerns about the disproportionate use of force by French police</w:t>
      </w:r>
      <w:r w:rsidRPr="002467E9">
        <w:t xml:space="preserve"> </w:t>
      </w:r>
      <w:r w:rsidRPr="003B5CB8">
        <w:rPr>
          <w:b/>
          <w:bCs/>
        </w:rPr>
        <w:t>including through the use of so-called “less lethal weapons” during public protests,</w:t>
      </w:r>
      <w:r w:rsidRPr="002467E9">
        <w:t xml:space="preserve"> and </w:t>
      </w:r>
      <w:r w:rsidR="003B5CB8">
        <w:t xml:space="preserve">about </w:t>
      </w:r>
      <w:r w:rsidRPr="003B5CB8">
        <w:rPr>
          <w:b/>
          <w:bCs/>
        </w:rPr>
        <w:t>the increased use of drones by the police</w:t>
      </w:r>
      <w:r w:rsidRPr="002467E9">
        <w:t xml:space="preserve"> </w:t>
      </w:r>
      <w:r w:rsidRPr="003B5CB8">
        <w:rPr>
          <w:b/>
          <w:bCs/>
        </w:rPr>
        <w:t>and the creation of a new operational police reserve,</w:t>
      </w:r>
      <w:r w:rsidRPr="002467E9">
        <w:t xml:space="preserve"> which widely extends the possibility of carrying a weapon to all police reservists. In its latest</w:t>
      </w:r>
      <w:r w:rsidR="00A03505">
        <w:t xml:space="preserve"> </w:t>
      </w:r>
      <w:r w:rsidRPr="002467E9">
        <w:t xml:space="preserve">UPR, France received 43 UPR recommendations regarding police </w:t>
      </w:r>
      <w:r w:rsidRPr="002467E9">
        <w:lastRenderedPageBreak/>
        <w:t>and law enforcement</w:t>
      </w:r>
      <w:r w:rsidR="00A03505">
        <w:t>,</w:t>
      </w:r>
      <w:r w:rsidRPr="002467E9">
        <w:t xml:space="preserve"> including 22 recommendations linked to protests and demonstrations</w:t>
      </w:r>
      <w:r w:rsidR="00A03505">
        <w:t>,</w:t>
      </w:r>
      <w:r w:rsidRPr="002467E9">
        <w:t xml:space="preserve"> 19 explicitly regarding excessive or disproportionate use of force by law enforcement officers</w:t>
      </w:r>
      <w:r w:rsidR="00A03505">
        <w:t>,</w:t>
      </w:r>
      <w:r w:rsidRPr="002467E9">
        <w:t xml:space="preserve"> and 13 recommendations about racial discrimination by the police.</w:t>
      </w:r>
      <w:r w:rsidRPr="002467E9">
        <w:rPr>
          <w:vertAlign w:val="superscript"/>
        </w:rPr>
        <w:footnoteReference w:id="4"/>
      </w:r>
      <w:r w:rsidRPr="002467E9">
        <w:t xml:space="preserve"> </w:t>
      </w:r>
      <w:r w:rsidR="00A03505">
        <w:t>In 2021, t</w:t>
      </w:r>
      <w:r w:rsidRPr="002467E9">
        <w:t xml:space="preserve">he UN Human Rights Committee also asked France several questions related to excessive use of force by the police including with “less lethal weapons” in </w:t>
      </w:r>
      <w:r w:rsidR="00A03505">
        <w:t>its</w:t>
      </w:r>
      <w:r w:rsidRPr="002467E9">
        <w:t xml:space="preserve"> LOIPR.</w:t>
      </w:r>
      <w:r w:rsidRPr="002467E9">
        <w:rPr>
          <w:vertAlign w:val="superscript"/>
        </w:rPr>
        <w:footnoteReference w:id="5"/>
      </w:r>
    </w:p>
    <w:p w14:paraId="4822E332" w14:textId="77777777" w:rsidR="008F3965" w:rsidRPr="002467E9" w:rsidRDefault="008F3965" w:rsidP="00D83442"/>
    <w:p w14:paraId="7D72E135" w14:textId="4C80A22F" w:rsidR="008F3965" w:rsidRPr="002467E9" w:rsidRDefault="008F3965" w:rsidP="00D83442">
      <w:r w:rsidRPr="002467E9">
        <w:t xml:space="preserve">Most recently and linked to the recent protests following the unlawful killing of 17-year-old Nahel M., the UN Committee on the Elimination of Racial Discrimination (CERD), in a statement under its Urgent Procedure and endorsed by  several other UN human rights mechanisms, made a number of recommendations to France regarding </w:t>
      </w:r>
      <w:r w:rsidRPr="003B5CB8">
        <w:rPr>
          <w:b/>
          <w:bCs/>
        </w:rPr>
        <w:t>racial profiling and excessive use of force by law enforcement officials.</w:t>
      </w:r>
      <w:r w:rsidRPr="002467E9">
        <w:rPr>
          <w:vertAlign w:val="superscript"/>
        </w:rPr>
        <w:footnoteReference w:id="6"/>
      </w:r>
      <w:r w:rsidRPr="002467E9">
        <w:t xml:space="preserve"> It is worth noting that, as stated by Amnesty International, this: “unlawful killing did not happen in a vacuum but was a direct consequence of a combination of the prevalence in France of racial profiling by police and a dangerously permissive legal framework governing the use of force by law enforcement.”</w:t>
      </w:r>
      <w:r w:rsidRPr="002467E9">
        <w:rPr>
          <w:vertAlign w:val="superscript"/>
        </w:rPr>
        <w:footnoteReference w:id="7"/>
      </w:r>
      <w:r w:rsidRPr="002467E9">
        <w:t xml:space="preserve"> </w:t>
      </w:r>
    </w:p>
    <w:p w14:paraId="3B36AB9C" w14:textId="77777777" w:rsidR="008F3965" w:rsidRPr="002467E9" w:rsidRDefault="008F3965" w:rsidP="00D83442"/>
    <w:p w14:paraId="466A0FC3" w14:textId="62E4A9D2" w:rsidR="008F3965" w:rsidRDefault="008F3965" w:rsidP="00C429AA">
      <w:r w:rsidRPr="002467E9">
        <w:t>The legal grounds for the use of firearms by the National Police and Gendarmerie were expanded in 2017 with the addition of Article L.435-1 to the Internal Security Code, which includes the principles of absolute necessity and strict proportionality.</w:t>
      </w:r>
      <w:r w:rsidR="00BA44CD">
        <w:rPr>
          <w:rStyle w:val="FootnoteReference"/>
        </w:rPr>
        <w:footnoteReference w:id="8"/>
      </w:r>
      <w:r w:rsidR="00BA44CD" w:rsidRPr="002467E9">
        <w:t xml:space="preserve"> </w:t>
      </w:r>
      <w:r w:rsidRPr="002467E9">
        <w:t>However, it also expanded the possibility of using weapons if there is a “presumed” or “anticipated” risk of injury to others without reference to the imminence of such a threat.</w:t>
      </w:r>
      <w:r w:rsidRPr="002467E9">
        <w:rPr>
          <w:vertAlign w:val="superscript"/>
        </w:rPr>
        <w:footnoteReference w:id="9"/>
      </w:r>
      <w:r w:rsidRPr="002467E9">
        <w:t xml:space="preserve"> Civil society </w:t>
      </w:r>
      <w:proofErr w:type="spellStart"/>
      <w:r w:rsidRPr="002467E9">
        <w:t>organisations</w:t>
      </w:r>
      <w:proofErr w:type="spellEnd"/>
      <w:r w:rsidRPr="002467E9">
        <w:t xml:space="preserve">, researchers and journalists have documented an increase in the use of firearms by law enforcement since 2017 particularly towards moving vehicles, </w:t>
      </w:r>
      <w:r w:rsidR="00A03505">
        <w:t>and</w:t>
      </w:r>
      <w:r w:rsidRPr="002467E9">
        <w:t xml:space="preserve"> a notable increase in people killed in vehicles by police, with 26 people killed since article L.435-1 was passed in 2017.</w:t>
      </w:r>
      <w:r w:rsidRPr="002467E9">
        <w:rPr>
          <w:vertAlign w:val="superscript"/>
        </w:rPr>
        <w:footnoteReference w:id="10"/>
      </w:r>
      <w:r w:rsidRPr="002467E9">
        <w:t xml:space="preserve"> This provision must urgently be amended to comply with international human rights law and standards to ensure that law enforcement officers are not </w:t>
      </w:r>
      <w:proofErr w:type="spellStart"/>
      <w:r w:rsidRPr="002467E9">
        <w:t>authorised</w:t>
      </w:r>
      <w:proofErr w:type="spellEnd"/>
      <w:r w:rsidRPr="002467E9">
        <w:t xml:space="preserve"> to use firearms except as a last resort in </w:t>
      </w:r>
      <w:proofErr w:type="spellStart"/>
      <w:r w:rsidRPr="002467E9">
        <w:t>self-defence</w:t>
      </w:r>
      <w:proofErr w:type="spellEnd"/>
      <w:r w:rsidRPr="002467E9">
        <w:t xml:space="preserve"> or to defend third parties against an imminent threat of death or serious injury. </w:t>
      </w:r>
    </w:p>
    <w:p w14:paraId="5C0655B5" w14:textId="77777777" w:rsidR="00C429AA" w:rsidRPr="002467E9" w:rsidRDefault="00C429AA" w:rsidP="00C429AA"/>
    <w:p w14:paraId="67124C3E" w14:textId="70FD402C" w:rsidR="008F3965" w:rsidRPr="002467E9" w:rsidRDefault="008F3965" w:rsidP="00D83442">
      <w:r w:rsidRPr="002467E9">
        <w:t>Secondly, the government must ensure analysis and investigation of the excessive use of force by law enforcement against young men and boys, particularly of Arab and African descent, against the backdrop of long-standing issues with discriminatory practices in policing in France, including racial profiling. France’s new National Plan on Combatting Racism, Antisemitism and Discrimination Linked to Origin for 2023-2026</w:t>
      </w:r>
      <w:r w:rsidRPr="002467E9">
        <w:rPr>
          <w:vertAlign w:val="superscript"/>
        </w:rPr>
        <w:footnoteReference w:id="11"/>
      </w:r>
      <w:r w:rsidR="003B5CB8">
        <w:t xml:space="preserve"> </w:t>
      </w:r>
      <w:r w:rsidRPr="002467E9">
        <w:t xml:space="preserve">makes no specific mention of policing practices despite a general commitment to train civil servants, including security forces, on antiracism. Nor does it include a </w:t>
      </w:r>
      <w:r w:rsidRPr="002467E9">
        <w:lastRenderedPageBreak/>
        <w:t xml:space="preserve">commitment to collecting disaggregated data on visible ethnic minorities to </w:t>
      </w:r>
      <w:proofErr w:type="spellStart"/>
      <w:r w:rsidRPr="002467E9">
        <w:t>analyse</w:t>
      </w:r>
      <w:proofErr w:type="spellEnd"/>
      <w:r w:rsidRPr="002467E9">
        <w:t xml:space="preserve"> these issues further despite recommendations  to this effect from the CESCR in 2016</w:t>
      </w:r>
      <w:r w:rsidRPr="002467E9">
        <w:rPr>
          <w:vertAlign w:val="superscript"/>
        </w:rPr>
        <w:footnoteReference w:id="12"/>
      </w:r>
      <w:r w:rsidRPr="002467E9">
        <w:t xml:space="preserve"> and by CERD in 2022.</w:t>
      </w:r>
      <w:r w:rsidRPr="002467E9">
        <w:rPr>
          <w:vertAlign w:val="superscript"/>
        </w:rPr>
        <w:footnoteReference w:id="13"/>
      </w:r>
      <w:r w:rsidRPr="002467E9">
        <w:t xml:space="preserve"> France must tackle the root causes of discriminatory practices in law enforcement, excessive use of force, racial profiling and other human rights violations against young men and boys of African and Arab descent who are disproportionately affected, and ensure access to justice and guarantees of non-repetition to victims of human rights violations committed by law enforcement, as well as to their families and communities. France must tackle this by, </w:t>
      </w:r>
      <w:r w:rsidRPr="002467E9">
        <w:rPr>
          <w:i/>
        </w:rPr>
        <w:t xml:space="preserve">inter alia, </w:t>
      </w:r>
      <w:r w:rsidRPr="002467E9">
        <w:t>implementing the recommendations made by CERD, especially the ones in its July 2023 Urgent Action statement on France.</w:t>
      </w:r>
      <w:r w:rsidRPr="002467E9">
        <w:rPr>
          <w:vertAlign w:val="superscript"/>
        </w:rPr>
        <w:footnoteReference w:id="14"/>
      </w:r>
      <w:r w:rsidR="005C0F7B" w:rsidRPr="002467E9">
        <w:t xml:space="preserve"> </w:t>
      </w:r>
      <w:r w:rsidRPr="002467E9">
        <w:t>The French authorities’ response to these serious concerns is often a mere rebuttal of any racism in police practices,</w:t>
      </w:r>
      <w:r w:rsidRPr="002467E9">
        <w:rPr>
          <w:vertAlign w:val="superscript"/>
        </w:rPr>
        <w:footnoteReference w:id="15"/>
      </w:r>
      <w:r w:rsidRPr="002467E9">
        <w:t xml:space="preserve"> sometimes using  a condescending  tone, placing the blame on  families, in particular mothers,</w:t>
      </w:r>
      <w:r w:rsidRPr="002467E9">
        <w:rPr>
          <w:vertAlign w:val="superscript"/>
        </w:rPr>
        <w:footnoteReference w:id="16"/>
      </w:r>
      <w:r w:rsidRPr="002467E9">
        <w:t xml:space="preserve"> and </w:t>
      </w:r>
      <w:proofErr w:type="spellStart"/>
      <w:r w:rsidRPr="002467E9">
        <w:t>focussing</w:t>
      </w:r>
      <w:proofErr w:type="spellEnd"/>
      <w:r w:rsidRPr="002467E9">
        <w:t xml:space="preserve"> on </w:t>
      </w:r>
      <w:proofErr w:type="spellStart"/>
      <w:r w:rsidRPr="002467E9">
        <w:t>securitised</w:t>
      </w:r>
      <w:proofErr w:type="spellEnd"/>
      <w:r w:rsidRPr="002467E9">
        <w:t xml:space="preserve"> responses rather than an understanding that violent protests in reaction to police violence are triggered by long-standing grievances resulting from broader social injustices, including systemic racism, direct experiences of racism and violence from the police, and feelings of being second class citizens.</w:t>
      </w:r>
      <w:r w:rsidRPr="002467E9">
        <w:rPr>
          <w:vertAlign w:val="superscript"/>
        </w:rPr>
        <w:footnoteReference w:id="17"/>
      </w:r>
      <w:r w:rsidRPr="002467E9">
        <w:t xml:space="preserve"> In the above-mentioned statement following the unlawful killing of 17-year-old Nahel M., Amnesty International describes how the “Government doubles down on denialism of systemic racism and excessive force in law enforcement</w:t>
      </w:r>
      <w:r w:rsidR="003B5CB8">
        <w:t>.</w:t>
      </w:r>
      <w:r w:rsidRPr="002467E9">
        <w:t>”</w:t>
      </w:r>
      <w:r w:rsidRPr="002467E9">
        <w:rPr>
          <w:vertAlign w:val="superscript"/>
        </w:rPr>
        <w:footnoteReference w:id="18"/>
      </w:r>
    </w:p>
    <w:p w14:paraId="4403DEB6" w14:textId="77777777" w:rsidR="008F3965" w:rsidRPr="002467E9" w:rsidRDefault="008F3965" w:rsidP="00D83442"/>
    <w:p w14:paraId="093B24B3" w14:textId="7B7B626B" w:rsidR="00DA6FD5" w:rsidRDefault="008F3965" w:rsidP="00DA6FD5">
      <w:r w:rsidRPr="002467E9">
        <w:t xml:space="preserve">Just like addressing gender inequality, effectively tackling racial discrimination requires understanding its full extent through proper data collection. Policy solutions must be centered on the experiences of those affected, and measures should be taken to combat both direct and indirect forms of discrimination, the latter often being more insidious and rooted in historical </w:t>
      </w:r>
      <w:r w:rsidR="003B5CB8">
        <w:t xml:space="preserve">and </w:t>
      </w:r>
      <w:r w:rsidR="003B5CB8" w:rsidRPr="002467E9">
        <w:t xml:space="preserve">structural </w:t>
      </w:r>
      <w:r w:rsidRPr="002467E9">
        <w:t xml:space="preserve">factors. Furthermore, France must urgently take measures to ensure the enjoyment of economic, </w:t>
      </w:r>
      <w:proofErr w:type="gramStart"/>
      <w:r w:rsidRPr="002467E9">
        <w:t>social</w:t>
      </w:r>
      <w:proofErr w:type="gramEnd"/>
      <w:r w:rsidRPr="002467E9">
        <w:t xml:space="preserve"> and cultural rights by individuals belonging to </w:t>
      </w:r>
      <w:proofErr w:type="spellStart"/>
      <w:r w:rsidRPr="002467E9">
        <w:t>racialised</w:t>
      </w:r>
      <w:proofErr w:type="spellEnd"/>
      <w:r w:rsidRPr="002467E9">
        <w:t xml:space="preserve"> groups, in particular of Arab and African descent, and with a gender perspective.</w:t>
      </w:r>
      <w:r w:rsidRPr="002467E9">
        <w:rPr>
          <w:vertAlign w:val="superscript"/>
        </w:rPr>
        <w:footnoteReference w:id="19"/>
      </w:r>
      <w:r w:rsidRPr="002467E9">
        <w:t xml:space="preserve"> </w:t>
      </w:r>
    </w:p>
    <w:p w14:paraId="4990B633" w14:textId="77777777" w:rsidR="006D5DC3" w:rsidRDefault="006D5DC3" w:rsidP="006D5DC3"/>
    <w:p w14:paraId="3A6208C3" w14:textId="303E59CA" w:rsidR="00C429AA" w:rsidRDefault="007D38AC" w:rsidP="0025136B">
      <w:r w:rsidRPr="006D5DC3">
        <w:rPr>
          <w:b/>
          <w:bCs/>
          <w:lang w:val="en-US"/>
        </w:rPr>
        <w:t xml:space="preserve">The following is a shortened version of WILPF’s submission to the UPR </w:t>
      </w:r>
      <w:r w:rsidRPr="002467E9">
        <w:rPr>
          <w:lang w:val="en-US"/>
        </w:rPr>
        <w:t>of France</w:t>
      </w:r>
      <w:r w:rsidR="00DA6FD5">
        <w:rPr>
          <w:lang w:val="en-US"/>
        </w:rPr>
        <w:t xml:space="preserve"> (</w:t>
      </w:r>
      <w:r w:rsidRPr="002467E9">
        <w:rPr>
          <w:lang w:val="en-US"/>
        </w:rPr>
        <w:t>October 2022</w:t>
      </w:r>
      <w:r w:rsidR="00DA6FD5">
        <w:rPr>
          <w:lang w:val="en-US"/>
        </w:rPr>
        <w:t>)</w:t>
      </w:r>
      <w:r w:rsidRPr="002467E9">
        <w:rPr>
          <w:lang w:val="en-US"/>
        </w:rPr>
        <w:t>; additional information is available in the full submission.</w:t>
      </w:r>
      <w:r w:rsidR="00C429AA" w:rsidRPr="00C429AA">
        <w:rPr>
          <w:rStyle w:val="FootnoteReference"/>
        </w:rPr>
        <w:t xml:space="preserve"> </w:t>
      </w:r>
      <w:r w:rsidR="00C429AA">
        <w:rPr>
          <w:rStyle w:val="FootnoteReference"/>
        </w:rPr>
        <w:footnoteReference w:id="20"/>
      </w:r>
      <w:r w:rsidR="0025136B">
        <w:t xml:space="preserve"> </w:t>
      </w:r>
      <w:r w:rsidR="0025136B" w:rsidRPr="002467E9">
        <w:t>WILPF hopes that th</w:t>
      </w:r>
      <w:r w:rsidR="00DA6FD5">
        <w:t>is</w:t>
      </w:r>
      <w:r w:rsidR="0025136B" w:rsidRPr="002467E9">
        <w:t xml:space="preserve"> information can inform the upcoming review of France’s periodic report. </w:t>
      </w:r>
      <w:r w:rsidR="00DA6FD5">
        <w:t>We</w:t>
      </w:r>
      <w:r w:rsidR="0025136B" w:rsidRPr="002467E9">
        <w:t xml:space="preserve"> would have liked to update our UPR submission to provide </w:t>
      </w:r>
      <w:r w:rsidR="0025136B">
        <w:t xml:space="preserve">any relevant </w:t>
      </w:r>
      <w:r w:rsidR="0025136B" w:rsidRPr="002467E9">
        <w:t xml:space="preserve">recent developments on those </w:t>
      </w:r>
      <w:proofErr w:type="gramStart"/>
      <w:r w:rsidR="0025136B" w:rsidRPr="002467E9">
        <w:lastRenderedPageBreak/>
        <w:t>concerns, but</w:t>
      </w:r>
      <w:proofErr w:type="gramEnd"/>
      <w:r w:rsidR="0025136B" w:rsidRPr="002467E9">
        <w:t xml:space="preserve"> </w:t>
      </w:r>
      <w:r w:rsidR="00DA6FD5">
        <w:t xml:space="preserve">were </w:t>
      </w:r>
      <w:r w:rsidR="0025136B" w:rsidRPr="002467E9">
        <w:t xml:space="preserve">unable to do so by the deadline. Nonetheless, we will be pleased to respond to the Committee’s questions and requests for additional information. </w:t>
      </w:r>
    </w:p>
    <w:p w14:paraId="78B4D971" w14:textId="77777777" w:rsidR="002956FA" w:rsidRPr="002467E9" w:rsidRDefault="002956FA" w:rsidP="002956FA"/>
    <w:p w14:paraId="003F5141" w14:textId="721FCBB4" w:rsidR="00FD5B8F" w:rsidRPr="002467E9" w:rsidRDefault="00D83442" w:rsidP="00D83442">
      <w:pPr>
        <w:pStyle w:val="Heading1"/>
      </w:pPr>
      <w:bookmarkStart w:id="0" w:name="_heading=h.gjdgxs" w:colFirst="0" w:colLast="0"/>
      <w:bookmarkStart w:id="1" w:name="_heading=h.30j0zll" w:colFirst="0" w:colLast="0"/>
      <w:bookmarkStart w:id="2" w:name="_Toc116391050"/>
      <w:bookmarkEnd w:id="0"/>
      <w:bookmarkEnd w:id="1"/>
      <w:r>
        <w:t>I</w:t>
      </w:r>
      <w:r w:rsidR="00FD5B8F" w:rsidRPr="002467E9">
        <w:t xml:space="preserve">I. </w:t>
      </w:r>
      <w:r w:rsidR="009D40A8" w:rsidRPr="002467E9">
        <w:t>Nuclear testing</w:t>
      </w:r>
      <w:bookmarkEnd w:id="2"/>
      <w:r w:rsidR="009D40A8" w:rsidRPr="002467E9">
        <w:t xml:space="preserve"> </w:t>
      </w:r>
    </w:p>
    <w:p w14:paraId="72D88744" w14:textId="6EA12104" w:rsidR="009D40A8" w:rsidRPr="002467E9" w:rsidRDefault="009D40A8" w:rsidP="00D83442">
      <w:pPr>
        <w:rPr>
          <w:lang w:val="en-US"/>
        </w:rPr>
      </w:pPr>
      <w:r w:rsidRPr="002467E9">
        <w:rPr>
          <w:lang w:val="en-US"/>
        </w:rPr>
        <w:t>Between 1960 and 1996, France carried out 17 nuclear tests in Algeria and 193 in French Polynesia. These tests caused grave harm to local populations and environments, which have gone largely unacknowledged and uncompensated for by the French government despite recommendations from UN human rights mechanisms.</w:t>
      </w:r>
      <w:r w:rsidRPr="002467E9">
        <w:rPr>
          <w:vertAlign w:val="superscript"/>
          <w:lang w:val="en-US"/>
        </w:rPr>
        <w:footnoteReference w:id="21"/>
      </w:r>
      <w:r w:rsidR="007D38AC" w:rsidRPr="002467E9">
        <w:rPr>
          <w:lang w:val="en-US"/>
        </w:rPr>
        <w:t xml:space="preserve"> In 2018, </w:t>
      </w:r>
      <w:r w:rsidRPr="002467E9">
        <w:rPr>
          <w:lang w:val="en-US"/>
        </w:rPr>
        <w:t xml:space="preserve">France accepted a UPR recommendation </w:t>
      </w:r>
      <w:proofErr w:type="gramStart"/>
      <w:r w:rsidRPr="002467E9">
        <w:rPr>
          <w:lang w:val="en-US"/>
        </w:rPr>
        <w:t>to  ensure</w:t>
      </w:r>
      <w:proofErr w:type="gramEnd"/>
      <w:r w:rsidRPr="002467E9">
        <w:rPr>
          <w:lang w:val="en-US"/>
        </w:rPr>
        <w:t xml:space="preserve"> compensation is paid to all victims of nuclear tests in French Polynesia.</w:t>
      </w:r>
      <w:r w:rsidRPr="002467E9">
        <w:rPr>
          <w:vertAlign w:val="superscript"/>
          <w:lang w:val="en-US"/>
        </w:rPr>
        <w:footnoteReference w:id="22"/>
      </w:r>
    </w:p>
    <w:p w14:paraId="77CA3BD4" w14:textId="77777777" w:rsidR="009D40A8" w:rsidRPr="002467E9" w:rsidRDefault="009D40A8" w:rsidP="00D83442">
      <w:pPr>
        <w:rPr>
          <w:lang w:val="en-US"/>
        </w:rPr>
      </w:pPr>
      <w:r w:rsidRPr="002467E9">
        <w:rPr>
          <w:lang w:val="en-US"/>
        </w:rPr>
        <w:t xml:space="preserve"> </w:t>
      </w:r>
    </w:p>
    <w:p w14:paraId="00C412A0" w14:textId="5A57BE92" w:rsidR="006D5DC3" w:rsidRPr="002467E9" w:rsidRDefault="009D40A8" w:rsidP="002956FA">
      <w:pPr>
        <w:rPr>
          <w:lang w:val="en-US"/>
        </w:rPr>
      </w:pPr>
      <w:proofErr w:type="gramStart"/>
      <w:r w:rsidRPr="002467E9">
        <w:rPr>
          <w:lang w:val="en-US"/>
        </w:rPr>
        <w:t>In  2010</w:t>
      </w:r>
      <w:proofErr w:type="gramEnd"/>
      <w:r w:rsidRPr="002467E9">
        <w:rPr>
          <w:lang w:val="en-US"/>
        </w:rPr>
        <w:t>, the government adopted the Morin Law, granting compensation to “any person suffering from an illness caused by radioactivity […]”.</w:t>
      </w:r>
      <w:r w:rsidRPr="002467E9">
        <w:rPr>
          <w:vertAlign w:val="superscript"/>
          <w:lang w:val="en-US"/>
        </w:rPr>
        <w:footnoteReference w:id="23"/>
      </w:r>
      <w:r w:rsidRPr="002467E9">
        <w:rPr>
          <w:lang w:val="en-US"/>
        </w:rPr>
        <w:t xml:space="preserve"> In the last 10 years, only 1747 claims have been registered;</w:t>
      </w:r>
      <w:r w:rsidRPr="002467E9">
        <w:rPr>
          <w:vertAlign w:val="superscript"/>
          <w:lang w:val="en-US"/>
        </w:rPr>
        <w:footnoteReference w:id="24"/>
      </w:r>
      <w:r w:rsidRPr="002467E9">
        <w:rPr>
          <w:lang w:val="en-US"/>
        </w:rPr>
        <w:t xml:space="preserve"> in total 506 individuals—veterans, former civilian contractors, and members of the public—impacted by the tests have been granted compensation. More than 80% of the claims submitted have been rejected.</w:t>
      </w:r>
      <w:r w:rsidRPr="002467E9">
        <w:rPr>
          <w:vertAlign w:val="superscript"/>
          <w:lang w:val="en-US"/>
        </w:rPr>
        <w:footnoteReference w:id="25"/>
      </w:r>
      <w:r w:rsidRPr="002467E9">
        <w:rPr>
          <w:lang w:val="en-US"/>
        </w:rPr>
        <w:t xml:space="preserve"> The process to seek compensation “has become equivalent to an unscalable wall,” argue the investigators behind the </w:t>
      </w:r>
      <w:proofErr w:type="spellStart"/>
      <w:r w:rsidRPr="002467E9">
        <w:rPr>
          <w:lang w:val="en-US"/>
        </w:rPr>
        <w:t>Moruroa</w:t>
      </w:r>
      <w:proofErr w:type="spellEnd"/>
      <w:r w:rsidRPr="002467E9">
        <w:rPr>
          <w:lang w:val="en-US"/>
        </w:rPr>
        <w:t xml:space="preserve"> Files.”</w:t>
      </w:r>
      <w:r w:rsidR="007D38AC" w:rsidRPr="002467E9">
        <w:rPr>
          <w:vertAlign w:val="superscript"/>
          <w:lang w:val="en-US"/>
        </w:rPr>
        <w:t xml:space="preserve"> </w:t>
      </w:r>
      <w:r w:rsidR="007D38AC" w:rsidRPr="002467E9">
        <w:rPr>
          <w:vertAlign w:val="superscript"/>
          <w:lang w:val="en-US"/>
        </w:rPr>
        <w:footnoteReference w:id="26"/>
      </w:r>
      <w:r w:rsidR="007D38AC" w:rsidRPr="002467E9">
        <w:rPr>
          <w:lang w:val="en-US"/>
        </w:rPr>
        <w:t xml:space="preserve"> </w:t>
      </w:r>
      <w:r w:rsidRPr="002467E9">
        <w:rPr>
          <w:lang w:val="en-US"/>
        </w:rPr>
        <w:t>The rejected applicants have no means of knowing why they were turned down, because the compensation committee provides no justification for its decisions, which are not made public.”</w:t>
      </w:r>
      <w:r w:rsidRPr="002467E9">
        <w:rPr>
          <w:vertAlign w:val="superscript"/>
          <w:lang w:val="en-US"/>
        </w:rPr>
        <w:footnoteReference w:id="27"/>
      </w:r>
    </w:p>
    <w:p w14:paraId="1C1DAB5C" w14:textId="77777777" w:rsidR="00887008" w:rsidRDefault="00887008" w:rsidP="00037681">
      <w:pPr>
        <w:rPr>
          <w:lang w:val="en-US"/>
        </w:rPr>
      </w:pPr>
    </w:p>
    <w:p w14:paraId="0F6D1FAF" w14:textId="722533B3" w:rsidR="00037681" w:rsidRDefault="009D40A8" w:rsidP="00887008">
      <w:pPr>
        <w:rPr>
          <w:lang w:val="en-US"/>
        </w:rPr>
      </w:pPr>
      <w:r w:rsidRPr="002467E9">
        <w:rPr>
          <w:lang w:val="en-US"/>
        </w:rPr>
        <w:t xml:space="preserve">In March 2021, the government drafted a revised version of the Morin law that includes compensation for relatives of deceased from exposure to </w:t>
      </w:r>
      <w:proofErr w:type="spellStart"/>
      <w:r w:rsidRPr="002467E9">
        <w:rPr>
          <w:lang w:val="en-US"/>
        </w:rPr>
        <w:t>ionising</w:t>
      </w:r>
      <w:proofErr w:type="spellEnd"/>
      <w:r w:rsidRPr="002467E9">
        <w:rPr>
          <w:lang w:val="en-US"/>
        </w:rPr>
        <w:t xml:space="preserve"> radiation due to French nuclear testing.</w:t>
      </w:r>
      <w:r w:rsidRPr="002467E9">
        <w:rPr>
          <w:vertAlign w:val="superscript"/>
          <w:lang w:val="en-US"/>
        </w:rPr>
        <w:footnoteReference w:id="28"/>
      </w:r>
      <w:r w:rsidRPr="002467E9">
        <w:rPr>
          <w:lang w:val="en-US"/>
        </w:rPr>
        <w:t xml:space="preserve"> The draft also addresses “transgenerational” consequences of nuclear testing on descendants suffering from radiation-induced diseases when ascendants were exposed to </w:t>
      </w:r>
      <w:proofErr w:type="spellStart"/>
      <w:r w:rsidRPr="002467E9">
        <w:rPr>
          <w:lang w:val="en-US"/>
        </w:rPr>
        <w:t>ionising</w:t>
      </w:r>
      <w:proofErr w:type="spellEnd"/>
      <w:r w:rsidRPr="002467E9">
        <w:rPr>
          <w:lang w:val="en-US"/>
        </w:rPr>
        <w:t xml:space="preserve"> radiation in an area affected by nuclear testing and during a period of actual contamination.</w:t>
      </w:r>
      <w:r w:rsidRPr="002467E9">
        <w:rPr>
          <w:vertAlign w:val="superscript"/>
          <w:lang w:val="en-US"/>
        </w:rPr>
        <w:footnoteReference w:id="29"/>
      </w:r>
      <w:r w:rsidRPr="002467E9">
        <w:rPr>
          <w:lang w:val="en-US"/>
        </w:rPr>
        <w:t xml:space="preserve"> In July 2021, during a visit to Papeete, the French President announced the opening of archives concerning nuclear tests, and additional financial and human resources to the </w:t>
      </w:r>
      <w:r w:rsidRPr="002467E9">
        <w:rPr>
          <w:i/>
          <w:lang w:val="en-US"/>
        </w:rPr>
        <w:t xml:space="preserve"> </w:t>
      </w:r>
      <w:proofErr w:type="spellStart"/>
      <w:r w:rsidRPr="002467E9">
        <w:rPr>
          <w:i/>
          <w:lang w:val="en-US"/>
        </w:rPr>
        <w:t>Comité</w:t>
      </w:r>
      <w:proofErr w:type="spellEnd"/>
      <w:r w:rsidRPr="002467E9">
        <w:rPr>
          <w:i/>
          <w:lang w:val="en-US"/>
        </w:rPr>
        <w:t xml:space="preserve"> </w:t>
      </w:r>
      <w:proofErr w:type="spellStart"/>
      <w:r w:rsidRPr="002467E9">
        <w:rPr>
          <w:i/>
          <w:lang w:val="en-US"/>
        </w:rPr>
        <w:t>d'indemnisation</w:t>
      </w:r>
      <w:proofErr w:type="spellEnd"/>
      <w:r w:rsidRPr="002467E9">
        <w:rPr>
          <w:i/>
          <w:lang w:val="en-US"/>
        </w:rPr>
        <w:t xml:space="preserve"> des </w:t>
      </w:r>
      <w:proofErr w:type="spellStart"/>
      <w:r w:rsidRPr="002467E9">
        <w:rPr>
          <w:i/>
          <w:lang w:val="en-US"/>
        </w:rPr>
        <w:t>victimes</w:t>
      </w:r>
      <w:proofErr w:type="spellEnd"/>
      <w:r w:rsidRPr="002467E9">
        <w:rPr>
          <w:i/>
          <w:lang w:val="en-US"/>
        </w:rPr>
        <w:t xml:space="preserve"> des </w:t>
      </w:r>
      <w:proofErr w:type="spellStart"/>
      <w:r w:rsidRPr="002467E9">
        <w:rPr>
          <w:i/>
          <w:lang w:val="en-US"/>
        </w:rPr>
        <w:lastRenderedPageBreak/>
        <w:t>essais</w:t>
      </w:r>
      <w:proofErr w:type="spellEnd"/>
      <w:r w:rsidRPr="002467E9">
        <w:rPr>
          <w:i/>
          <w:lang w:val="en-US"/>
        </w:rPr>
        <w:t xml:space="preserve"> </w:t>
      </w:r>
      <w:proofErr w:type="spellStart"/>
      <w:r w:rsidRPr="002467E9">
        <w:rPr>
          <w:i/>
          <w:lang w:val="en-US"/>
        </w:rPr>
        <w:t>nucléaires</w:t>
      </w:r>
      <w:proofErr w:type="spellEnd"/>
      <w:r w:rsidRPr="002467E9">
        <w:rPr>
          <w:i/>
          <w:lang w:val="en-US"/>
        </w:rPr>
        <w:t>,</w:t>
      </w:r>
      <w:r w:rsidRPr="002467E9">
        <w:rPr>
          <w:lang w:val="en-US"/>
        </w:rPr>
        <w:t xml:space="preserve"> </w:t>
      </w:r>
      <w:r w:rsidRPr="002467E9">
        <w:rPr>
          <w:i/>
          <w:lang w:val="en-US"/>
        </w:rPr>
        <w:t>CIVEN</w:t>
      </w:r>
      <w:r w:rsidRPr="002467E9">
        <w:rPr>
          <w:lang w:val="en-US"/>
        </w:rPr>
        <w:t>).</w:t>
      </w:r>
      <w:r w:rsidRPr="002467E9">
        <w:rPr>
          <w:vertAlign w:val="superscript"/>
          <w:lang w:val="en-US"/>
        </w:rPr>
        <w:footnoteReference w:id="30"/>
      </w:r>
      <w:r w:rsidRPr="002467E9">
        <w:rPr>
          <w:lang w:val="en-US"/>
        </w:rPr>
        <w:t xml:space="preserve"> It is imperative that this commitment be  implemented</w:t>
      </w:r>
      <w:r w:rsidR="007D38AC" w:rsidRPr="002467E9">
        <w:rPr>
          <w:lang w:val="en-US"/>
        </w:rPr>
        <w:t xml:space="preserve"> without delay. </w:t>
      </w:r>
      <w:r w:rsidRPr="002467E9">
        <w:rPr>
          <w:lang w:val="en-US"/>
        </w:rPr>
        <w:t>In March 2022, the CEDAW Committee asked France to provide information on the processing of claims for compensation of women and girls in French Polynesia by the CIVEN.</w:t>
      </w:r>
      <w:r w:rsidRPr="002467E9">
        <w:rPr>
          <w:vertAlign w:val="superscript"/>
          <w:lang w:val="en-US"/>
        </w:rPr>
        <w:footnoteReference w:id="31"/>
      </w:r>
      <w:r w:rsidRPr="002467E9">
        <w:rPr>
          <w:lang w:val="en-US"/>
        </w:rPr>
        <w:t xml:space="preserve"> </w:t>
      </w:r>
    </w:p>
    <w:p w14:paraId="183D3CA3" w14:textId="77777777" w:rsidR="00887008" w:rsidRPr="002467E9" w:rsidRDefault="00887008" w:rsidP="00887008">
      <w:pPr>
        <w:rPr>
          <w:lang w:val="en-US"/>
        </w:rPr>
      </w:pPr>
    </w:p>
    <w:p w14:paraId="58871445" w14:textId="2C1EEE3A" w:rsidR="009D40A8" w:rsidRPr="002467E9" w:rsidRDefault="009D40A8" w:rsidP="00D83442">
      <w:pPr>
        <w:pStyle w:val="Heading2"/>
      </w:pPr>
      <w:bookmarkStart w:id="3" w:name="_Toc116391051"/>
      <w:r w:rsidRPr="002467E9">
        <w:t>Recommendations</w:t>
      </w:r>
      <w:bookmarkEnd w:id="3"/>
    </w:p>
    <w:p w14:paraId="512186D0" w14:textId="77777777" w:rsidR="009D40A8" w:rsidRPr="00D83442" w:rsidRDefault="009D40A8" w:rsidP="00D83442">
      <w:pPr>
        <w:pStyle w:val="ListParagraph"/>
        <w:numPr>
          <w:ilvl w:val="0"/>
          <w:numId w:val="16"/>
        </w:numPr>
        <w:rPr>
          <w:lang w:val="en-US"/>
        </w:rPr>
      </w:pPr>
      <w:r w:rsidRPr="00D83442">
        <w:rPr>
          <w:lang w:val="en-US"/>
        </w:rPr>
        <w:t>Ensure a transparent, easily accessible, and public process for claiming compensation and for understanding decision-making in relation to compensation of all victims of French nuclear testing (including in Arabic for residents of Algeria).</w:t>
      </w:r>
    </w:p>
    <w:p w14:paraId="0E3DBB0C" w14:textId="77777777" w:rsidR="009D40A8" w:rsidRPr="00D83442" w:rsidRDefault="009D40A8" w:rsidP="00D83442">
      <w:pPr>
        <w:pStyle w:val="ListParagraph"/>
        <w:numPr>
          <w:ilvl w:val="0"/>
          <w:numId w:val="16"/>
        </w:numPr>
        <w:rPr>
          <w:lang w:val="en-US"/>
        </w:rPr>
      </w:pPr>
      <w:r w:rsidRPr="00D83442">
        <w:rPr>
          <w:lang w:val="en-US"/>
        </w:rPr>
        <w:t>Ensure access for all victims of nuclear tests to relevant medical archives and other documentation necessary for making compensation claims including all reports containing measures of radioactivity in all media (air, ground, water) and in foodstuffs.</w:t>
      </w:r>
    </w:p>
    <w:p w14:paraId="713D7AE5" w14:textId="77777777" w:rsidR="009D40A8" w:rsidRPr="00D83442" w:rsidRDefault="009D40A8" w:rsidP="00D83442">
      <w:pPr>
        <w:pStyle w:val="ListParagraph"/>
        <w:numPr>
          <w:ilvl w:val="0"/>
          <w:numId w:val="16"/>
        </w:numPr>
        <w:rPr>
          <w:lang w:val="en-US"/>
        </w:rPr>
      </w:pPr>
      <w:r w:rsidRPr="00D83442">
        <w:rPr>
          <w:lang w:val="en-US"/>
        </w:rPr>
        <w:t>Conduct rigorous and transparent impact assessments of past nuclear testing on human health and the environment, including non-carcinogenic impact, mental health impact, gendered impact, and possible transgenerational impact.</w:t>
      </w:r>
    </w:p>
    <w:p w14:paraId="2EEE2E4B" w14:textId="50A9DD87" w:rsidR="00B2424C" w:rsidRDefault="009D40A8" w:rsidP="00887008">
      <w:pPr>
        <w:pStyle w:val="ListParagraph"/>
        <w:numPr>
          <w:ilvl w:val="0"/>
          <w:numId w:val="16"/>
        </w:numPr>
        <w:rPr>
          <w:lang w:val="en-US"/>
        </w:rPr>
      </w:pPr>
      <w:r w:rsidRPr="00D83442">
        <w:rPr>
          <w:lang w:val="en-US"/>
        </w:rPr>
        <w:t xml:space="preserve">Adopt the draft revised Morin Law (Proposition de </w:t>
      </w:r>
      <w:proofErr w:type="spellStart"/>
      <w:r w:rsidRPr="00D83442">
        <w:rPr>
          <w:lang w:val="en-US"/>
        </w:rPr>
        <w:t>loi</w:t>
      </w:r>
      <w:proofErr w:type="spellEnd"/>
      <w:r w:rsidRPr="00D83442">
        <w:rPr>
          <w:lang w:val="en-US"/>
        </w:rPr>
        <w:t xml:space="preserve"> n°3966) with the principle of compensation to indirect and transgenerational victims of nuclear testing.</w:t>
      </w:r>
    </w:p>
    <w:p w14:paraId="1FA46574" w14:textId="77777777" w:rsidR="00887008" w:rsidRPr="00887008" w:rsidRDefault="00887008" w:rsidP="00887008">
      <w:pPr>
        <w:pStyle w:val="ListParagraph"/>
        <w:ind w:left="719"/>
        <w:rPr>
          <w:lang w:val="en-US"/>
        </w:rPr>
      </w:pPr>
    </w:p>
    <w:p w14:paraId="53D7295E" w14:textId="40ECA6F3" w:rsidR="009D40A8" w:rsidRPr="00D83442" w:rsidRDefault="009D40A8" w:rsidP="00D83442">
      <w:pPr>
        <w:pStyle w:val="Heading1"/>
      </w:pPr>
      <w:bookmarkStart w:id="4" w:name="_Toc116391052"/>
      <w:r w:rsidRPr="00D83442">
        <w:t>II. Disproportionate use of force</w:t>
      </w:r>
      <w:bookmarkEnd w:id="4"/>
      <w:r w:rsidRPr="00D83442">
        <w:t xml:space="preserve"> </w:t>
      </w:r>
      <w:r w:rsidR="00D83442">
        <w:t>by the police</w:t>
      </w:r>
    </w:p>
    <w:p w14:paraId="07B11D44" w14:textId="1FF261D4" w:rsidR="009D40A8" w:rsidRPr="002467E9" w:rsidRDefault="007D38AC" w:rsidP="00D83442">
      <w:pPr>
        <w:rPr>
          <w:lang w:val="en-US"/>
        </w:rPr>
      </w:pPr>
      <w:r w:rsidRPr="002467E9">
        <w:rPr>
          <w:lang w:val="en-US"/>
        </w:rPr>
        <w:t xml:space="preserve">In 2018, </w:t>
      </w:r>
      <w:r w:rsidR="009D40A8" w:rsidRPr="002467E9">
        <w:rPr>
          <w:lang w:val="en-US"/>
        </w:rPr>
        <w:t>France accepted six UPR recommendations pertaining to investigating effectively and impartially all cases of excessive use of force by law enforcement officers during protests and demonstrations.</w:t>
      </w:r>
      <w:r w:rsidR="009D40A8" w:rsidRPr="002467E9">
        <w:rPr>
          <w:vertAlign w:val="superscript"/>
          <w:lang w:val="en-US"/>
        </w:rPr>
        <w:footnoteReference w:id="32"/>
      </w:r>
      <w:r w:rsidR="009D40A8" w:rsidRPr="002467E9">
        <w:rPr>
          <w:lang w:val="en-US"/>
        </w:rPr>
        <w:t xml:space="preserve"> Concerns over the use in France of so-called “less-lethal weapons,”</w:t>
      </w:r>
      <w:r w:rsidR="009D40A8" w:rsidRPr="002467E9">
        <w:rPr>
          <w:vertAlign w:val="superscript"/>
          <w:lang w:val="en-US"/>
        </w:rPr>
        <w:footnoteReference w:id="33"/>
      </w:r>
      <w:r w:rsidR="009D40A8" w:rsidRPr="002467E9">
        <w:rPr>
          <w:lang w:val="en-US"/>
        </w:rPr>
        <w:t xml:space="preserve"> and particularly weapons that fire rubber balls (so-called “defensive ball launchers”), have been raised by national and international bodies and civil society </w:t>
      </w:r>
      <w:proofErr w:type="spellStart"/>
      <w:r w:rsidR="009D40A8" w:rsidRPr="002467E9">
        <w:rPr>
          <w:lang w:val="en-US"/>
        </w:rPr>
        <w:t>organisations</w:t>
      </w:r>
      <w:proofErr w:type="spellEnd"/>
      <w:r w:rsidR="009D40A8" w:rsidRPr="002467E9">
        <w:rPr>
          <w:lang w:val="en-US"/>
        </w:rPr>
        <w:t xml:space="preserve"> for over a decade.</w:t>
      </w:r>
      <w:r w:rsidR="009D40A8" w:rsidRPr="002467E9">
        <w:rPr>
          <w:vertAlign w:val="superscript"/>
          <w:lang w:val="en-US"/>
        </w:rPr>
        <w:footnoteReference w:id="34"/>
      </w:r>
      <w:r w:rsidR="009D40A8" w:rsidRPr="002467E9">
        <w:rPr>
          <w:lang w:val="en-US"/>
        </w:rPr>
        <w:t xml:space="preserve"> The French </w:t>
      </w:r>
      <w:r w:rsidR="009D40A8" w:rsidRPr="002467E9">
        <w:rPr>
          <w:lang w:val="en-US"/>
        </w:rPr>
        <w:lastRenderedPageBreak/>
        <w:t xml:space="preserve">independent authority </w:t>
      </w:r>
      <w:proofErr w:type="spellStart"/>
      <w:r w:rsidR="009D40A8" w:rsidRPr="002467E9">
        <w:rPr>
          <w:i/>
          <w:lang w:val="en-US"/>
        </w:rPr>
        <w:t>Défenseur</w:t>
      </w:r>
      <w:proofErr w:type="spellEnd"/>
      <w:r w:rsidR="009D40A8" w:rsidRPr="002467E9">
        <w:rPr>
          <w:i/>
          <w:lang w:val="en-US"/>
        </w:rPr>
        <w:t xml:space="preserve"> des droits</w:t>
      </w:r>
      <w:r w:rsidR="009D40A8" w:rsidRPr="002467E9">
        <w:rPr>
          <w:lang w:val="en-US"/>
        </w:rPr>
        <w:t xml:space="preserve"> has noted that the “non-lethal” nature of such weapons means that in practice agents actually use them with less care than traditional weapons.</w:t>
      </w:r>
      <w:r w:rsidR="009D40A8" w:rsidRPr="002467E9">
        <w:rPr>
          <w:vertAlign w:val="superscript"/>
          <w:lang w:val="en-US"/>
        </w:rPr>
        <w:footnoteReference w:id="35"/>
      </w:r>
      <w:r w:rsidR="009D40A8" w:rsidRPr="002467E9">
        <w:rPr>
          <w:lang w:val="en-US"/>
        </w:rPr>
        <w:t xml:space="preserve"> It is worth noting that French police are the only ones in the EU to have “defensive ball launchers” and explosive grenades to disperse crowds.</w:t>
      </w:r>
      <w:r w:rsidR="009D40A8" w:rsidRPr="002467E9">
        <w:rPr>
          <w:vertAlign w:val="superscript"/>
          <w:lang w:val="en-US"/>
        </w:rPr>
        <w:footnoteReference w:id="36"/>
      </w:r>
      <w:r w:rsidR="009D40A8" w:rsidRPr="002467E9">
        <w:rPr>
          <w:lang w:val="en-US"/>
        </w:rPr>
        <w:t xml:space="preserve"> </w:t>
      </w:r>
      <w:sdt>
        <w:sdtPr>
          <w:rPr>
            <w:lang w:val="en-US"/>
          </w:rPr>
          <w:tag w:val="goog_rdk_0"/>
          <w:id w:val="1522438864"/>
        </w:sdtPr>
        <w:sdtContent/>
      </w:sdt>
      <w:sdt>
        <w:sdtPr>
          <w:rPr>
            <w:lang w:val="en-US"/>
          </w:rPr>
          <w:tag w:val="goog_rdk_1"/>
          <w:id w:val="-1867980985"/>
        </w:sdtPr>
        <w:sdtContent/>
      </w:sdt>
    </w:p>
    <w:p w14:paraId="30BC79C5" w14:textId="77777777" w:rsidR="009D40A8" w:rsidRPr="002467E9" w:rsidRDefault="009D40A8" w:rsidP="00D83442">
      <w:pPr>
        <w:rPr>
          <w:lang w:val="en-US"/>
        </w:rPr>
      </w:pPr>
    </w:p>
    <w:p w14:paraId="499839A8" w14:textId="77777777" w:rsidR="009D40A8" w:rsidRPr="002467E9" w:rsidRDefault="009D40A8" w:rsidP="00D83442">
      <w:pPr>
        <w:rPr>
          <w:lang w:val="en-US"/>
        </w:rPr>
      </w:pPr>
      <w:r w:rsidRPr="002467E9">
        <w:rPr>
          <w:lang w:val="en-US"/>
        </w:rPr>
        <w:t>“Defensive ball launchers” are a targeting weapon as members of the police forces point a weapon in the direction of demonstrators and open fire.</w:t>
      </w:r>
      <w:r w:rsidRPr="002467E9">
        <w:rPr>
          <w:vertAlign w:val="superscript"/>
          <w:lang w:val="en-US"/>
        </w:rPr>
        <w:footnoteReference w:id="37"/>
      </w:r>
      <w:r w:rsidRPr="002467E9">
        <w:rPr>
          <w:lang w:val="en-US"/>
        </w:rPr>
        <w:t xml:space="preserve"> Several victims of “defensive ball launchers” have reported psychological trauma in addition to physical injuries.</w:t>
      </w:r>
      <w:r w:rsidRPr="002467E9">
        <w:rPr>
          <w:vertAlign w:val="superscript"/>
          <w:lang w:val="en-US"/>
        </w:rPr>
        <w:footnoteReference w:id="38"/>
      </w:r>
      <w:r w:rsidRPr="002467E9">
        <w:rPr>
          <w:lang w:val="en-US"/>
        </w:rPr>
        <w:t xml:space="preserve"> In crowd situations, aiming is made difficult by the distance and the movement of targeted persons, which increases the risk of serious injury.</w:t>
      </w:r>
      <w:r w:rsidRPr="002467E9">
        <w:rPr>
          <w:vertAlign w:val="superscript"/>
          <w:lang w:val="en-US"/>
        </w:rPr>
        <w:footnoteReference w:id="39"/>
      </w:r>
      <w:r w:rsidRPr="002467E9">
        <w:rPr>
          <w:vertAlign w:val="superscript"/>
          <w:lang w:val="en-US"/>
        </w:rPr>
        <w:t xml:space="preserve"> </w:t>
      </w:r>
      <w:r w:rsidRPr="002467E9">
        <w:rPr>
          <w:lang w:val="en-US"/>
        </w:rPr>
        <w:t xml:space="preserve">In addition to the risks of injury, the gesture of pointing a weapon in the direction of demonstrators has a very strong symbolic value since it places police in opposition to the protesters, representing clear hostility and domination. </w:t>
      </w:r>
    </w:p>
    <w:p w14:paraId="6FE8B99F" w14:textId="77777777" w:rsidR="009D40A8" w:rsidRPr="002467E9" w:rsidRDefault="009D40A8" w:rsidP="00D83442">
      <w:pPr>
        <w:rPr>
          <w:lang w:val="en-US"/>
        </w:rPr>
      </w:pPr>
    </w:p>
    <w:p w14:paraId="425AB8DF" w14:textId="298174CC" w:rsidR="009D40A8" w:rsidRPr="002467E9" w:rsidRDefault="009D40A8" w:rsidP="00D83442">
      <w:pPr>
        <w:rPr>
          <w:lang w:val="en-US"/>
        </w:rPr>
      </w:pPr>
      <w:r w:rsidRPr="002467E9">
        <w:rPr>
          <w:lang w:val="en-US"/>
        </w:rPr>
        <w:t>The severe impacts of the increased use of “defensive ball launchers” have been documented, including head injuries (e.g. facial fractures) and an increase in eye injuries, with a notable rise between 2016 and 2019: the number of open eyeballs was zero in 2016, and a total of 22 for 2018-2019.</w:t>
      </w:r>
      <w:r w:rsidRPr="002467E9">
        <w:rPr>
          <w:vertAlign w:val="superscript"/>
          <w:lang w:val="en-US"/>
        </w:rPr>
        <w:footnoteReference w:id="40"/>
      </w:r>
      <w:r w:rsidRPr="002467E9">
        <w:rPr>
          <w:vertAlign w:val="superscript"/>
          <w:lang w:val="en-US"/>
        </w:rPr>
        <w:t xml:space="preserve"> </w:t>
      </w:r>
      <w:r w:rsidRPr="002467E9">
        <w:rPr>
          <w:lang w:val="en-US"/>
        </w:rPr>
        <w:t xml:space="preserve">According to </w:t>
      </w:r>
      <w:r w:rsidRPr="002467E9">
        <w:rPr>
          <w:i/>
          <w:lang w:val="en-US"/>
        </w:rPr>
        <w:t xml:space="preserve">Action des </w:t>
      </w:r>
      <w:proofErr w:type="spellStart"/>
      <w:r w:rsidRPr="002467E9">
        <w:rPr>
          <w:i/>
          <w:lang w:val="en-US"/>
        </w:rPr>
        <w:t>Chrétiens</w:t>
      </w:r>
      <w:proofErr w:type="spellEnd"/>
      <w:r w:rsidRPr="002467E9">
        <w:rPr>
          <w:i/>
          <w:lang w:val="en-US"/>
        </w:rPr>
        <w:t xml:space="preserve"> pour </w:t>
      </w:r>
      <w:proofErr w:type="spellStart"/>
      <w:r w:rsidRPr="002467E9">
        <w:rPr>
          <w:i/>
          <w:lang w:val="en-US"/>
        </w:rPr>
        <w:t>l'Abolition</w:t>
      </w:r>
      <w:proofErr w:type="spellEnd"/>
      <w:r w:rsidRPr="002467E9">
        <w:rPr>
          <w:i/>
          <w:lang w:val="en-US"/>
        </w:rPr>
        <w:t xml:space="preserve"> de la Torture France (</w:t>
      </w:r>
      <w:r w:rsidRPr="002467E9">
        <w:rPr>
          <w:lang w:val="en-US"/>
        </w:rPr>
        <w:t xml:space="preserve">ACAT France), between 2010 and 2019, 71 persons </w:t>
      </w:r>
      <w:r w:rsidR="00037681">
        <w:rPr>
          <w:lang w:val="en-US"/>
        </w:rPr>
        <w:t>were</w:t>
      </w:r>
      <w:r w:rsidRPr="002467E9">
        <w:rPr>
          <w:lang w:val="en-US"/>
        </w:rPr>
        <w:t xml:space="preserve"> seriously injured by </w:t>
      </w:r>
      <w:proofErr w:type="spellStart"/>
      <w:r w:rsidRPr="002467E9">
        <w:rPr>
          <w:lang w:val="en-US"/>
        </w:rPr>
        <w:t>flashballs</w:t>
      </w:r>
      <w:proofErr w:type="spellEnd"/>
      <w:r w:rsidRPr="002467E9">
        <w:rPr>
          <w:lang w:val="en-US"/>
        </w:rPr>
        <w:t xml:space="preserve"> and LBD 40, among which 48 lost part of or their entire sight from one eye, and two were killed.</w:t>
      </w:r>
      <w:r w:rsidRPr="002467E9">
        <w:rPr>
          <w:vertAlign w:val="superscript"/>
          <w:lang w:val="en-US"/>
        </w:rPr>
        <w:footnoteReference w:id="41"/>
      </w:r>
      <w:r w:rsidRPr="002467E9">
        <w:rPr>
          <w:lang w:val="en-US"/>
        </w:rPr>
        <w:t xml:space="preserve"> ACAT France also documented serious injuries due to dispersion grenades in the same period.</w:t>
      </w:r>
      <w:r w:rsidRPr="002467E9">
        <w:rPr>
          <w:vertAlign w:val="superscript"/>
          <w:lang w:val="en-US"/>
        </w:rPr>
        <w:footnoteReference w:id="42"/>
      </w:r>
      <w:r w:rsidR="006B3B60" w:rsidRPr="002467E9">
        <w:rPr>
          <w:lang w:val="en-US"/>
        </w:rPr>
        <w:t xml:space="preserve"> </w:t>
      </w:r>
      <w:r w:rsidRPr="002467E9">
        <w:rPr>
          <w:lang w:val="en-US"/>
        </w:rPr>
        <w:t xml:space="preserve">The </w:t>
      </w:r>
      <w:r w:rsidRPr="002467E9">
        <w:rPr>
          <w:i/>
          <w:lang w:val="en-US"/>
        </w:rPr>
        <w:t xml:space="preserve">Inspection Générale de la Police </w:t>
      </w:r>
      <w:proofErr w:type="spellStart"/>
      <w:r w:rsidRPr="002467E9">
        <w:rPr>
          <w:i/>
          <w:lang w:val="en-US"/>
        </w:rPr>
        <w:t>Nationale</w:t>
      </w:r>
      <w:proofErr w:type="spellEnd"/>
      <w:r w:rsidRPr="002467E9">
        <w:rPr>
          <w:lang w:val="en-US"/>
        </w:rPr>
        <w:t xml:space="preserve"> (</w:t>
      </w:r>
      <w:r w:rsidRPr="002467E9">
        <w:rPr>
          <w:i/>
          <w:lang w:val="en-US"/>
        </w:rPr>
        <w:t>IGPN</w:t>
      </w:r>
      <w:r w:rsidRPr="002467E9">
        <w:rPr>
          <w:lang w:val="en-US"/>
        </w:rPr>
        <w:t xml:space="preserve">), has started providing some information about such weapons in its annual report since 2019. Police officers are required to fill in a </w:t>
      </w:r>
      <w:r w:rsidRPr="002467E9">
        <w:rPr>
          <w:i/>
          <w:lang w:val="en-US"/>
        </w:rPr>
        <w:t>TSUA</w:t>
      </w:r>
      <w:r w:rsidRPr="002467E9">
        <w:rPr>
          <w:i/>
          <w:vertAlign w:val="superscript"/>
          <w:lang w:val="en-US"/>
        </w:rPr>
        <w:footnoteReference w:id="43"/>
      </w:r>
      <w:r w:rsidRPr="002467E9">
        <w:rPr>
          <w:i/>
          <w:lang w:val="en-US"/>
        </w:rPr>
        <w:t xml:space="preserve"> (</w:t>
      </w:r>
      <w:r w:rsidRPr="002467E9">
        <w:rPr>
          <w:lang w:val="en-US"/>
        </w:rPr>
        <w:t xml:space="preserve">weapons usage tracking file) after each use. However, this administrative process is not appropriate and adapted to the large-scale use of “less-lethal weapons” during protests or riots. Indeed, as the </w:t>
      </w:r>
      <w:proofErr w:type="spellStart"/>
      <w:r w:rsidRPr="002467E9">
        <w:rPr>
          <w:i/>
          <w:lang w:val="en-US"/>
        </w:rPr>
        <w:t>Défenseur</w:t>
      </w:r>
      <w:proofErr w:type="spellEnd"/>
      <w:r w:rsidRPr="002467E9">
        <w:rPr>
          <w:i/>
          <w:lang w:val="en-US"/>
        </w:rPr>
        <w:t xml:space="preserve"> des droits</w:t>
      </w:r>
      <w:r w:rsidRPr="002467E9">
        <w:rPr>
          <w:lang w:val="en-US"/>
        </w:rPr>
        <w:t xml:space="preserve"> reported in his 2019 decision, such files are often not correctly filled in because they take too long and are not adapted </w:t>
      </w:r>
      <w:r w:rsidRPr="002467E9">
        <w:rPr>
          <w:lang w:val="en-US"/>
        </w:rPr>
        <w:lastRenderedPageBreak/>
        <w:t>to the situation.</w:t>
      </w:r>
      <w:r w:rsidRPr="002467E9">
        <w:rPr>
          <w:vertAlign w:val="superscript"/>
          <w:lang w:val="en-US"/>
        </w:rPr>
        <w:footnoteReference w:id="44"/>
      </w:r>
      <w:r w:rsidRPr="002467E9">
        <w:rPr>
          <w:lang w:val="en-US"/>
        </w:rPr>
        <w:t xml:space="preserve"> Data provided in IGPN’s reports about the use of less-lethal weapons such as “defense-ball launchers” can, thus, be under-estimated.</w:t>
      </w:r>
      <w:r w:rsidRPr="002467E9">
        <w:rPr>
          <w:vertAlign w:val="superscript"/>
          <w:lang w:val="en-US"/>
        </w:rPr>
        <w:footnoteReference w:id="45"/>
      </w:r>
    </w:p>
    <w:p w14:paraId="2D732BB0" w14:textId="77777777" w:rsidR="009D40A8" w:rsidRPr="002467E9" w:rsidRDefault="009D40A8" w:rsidP="00D83442">
      <w:pPr>
        <w:rPr>
          <w:lang w:val="en-US"/>
        </w:rPr>
      </w:pPr>
    </w:p>
    <w:p w14:paraId="365FCF43" w14:textId="77777777" w:rsidR="009D40A8" w:rsidRPr="002467E9" w:rsidRDefault="009D40A8" w:rsidP="00D83442">
      <w:pPr>
        <w:rPr>
          <w:lang w:val="en-US"/>
        </w:rPr>
      </w:pPr>
      <w:r w:rsidRPr="002467E9">
        <w:rPr>
          <w:lang w:val="en-US"/>
        </w:rPr>
        <w:t>In the absence of systematic official statistics, CSOs and journalists gather data to identify the types of weapons used by law enforcement, as well as to monitor incidents.</w:t>
      </w:r>
      <w:r w:rsidRPr="002467E9">
        <w:rPr>
          <w:vertAlign w:val="superscript"/>
          <w:lang w:val="en-US"/>
        </w:rPr>
        <w:footnoteReference w:id="46"/>
      </w:r>
      <w:r w:rsidRPr="002467E9">
        <w:rPr>
          <w:lang w:val="en-US"/>
        </w:rPr>
        <w:t xml:space="preserve"> Between 2010 and 2014, shots from the police and </w:t>
      </w:r>
      <w:r w:rsidRPr="002467E9">
        <w:rPr>
          <w:i/>
          <w:lang w:val="en-US"/>
        </w:rPr>
        <w:t>gendarmerie</w:t>
      </w:r>
      <w:r w:rsidRPr="002467E9">
        <w:rPr>
          <w:lang w:val="en-US"/>
        </w:rPr>
        <w:t xml:space="preserve"> with “ less-lethal weapons” in law enforcement has increased considerably from 40 shots to 463 shots.</w:t>
      </w:r>
      <w:r w:rsidRPr="002467E9">
        <w:rPr>
          <w:vertAlign w:val="superscript"/>
          <w:lang w:val="en-US"/>
        </w:rPr>
        <w:footnoteReference w:id="47"/>
      </w:r>
      <w:r w:rsidRPr="002467E9">
        <w:rPr>
          <w:lang w:val="en-US"/>
        </w:rPr>
        <w:t xml:space="preserve"> Between 2017 and 2018 and in the midst of the </w:t>
      </w:r>
      <w:r w:rsidRPr="002467E9">
        <w:rPr>
          <w:i/>
          <w:lang w:val="en-US"/>
        </w:rPr>
        <w:t>gilets jaunes (</w:t>
      </w:r>
      <w:r w:rsidRPr="002467E9">
        <w:rPr>
          <w:lang w:val="en-US"/>
        </w:rPr>
        <w:t>Yellow vests) movement,</w:t>
      </w:r>
      <w:r w:rsidRPr="002467E9">
        <w:rPr>
          <w:vertAlign w:val="superscript"/>
          <w:lang w:val="en-US"/>
        </w:rPr>
        <w:footnoteReference w:id="48"/>
      </w:r>
      <w:r w:rsidRPr="002467E9">
        <w:rPr>
          <w:lang w:val="en-US"/>
        </w:rPr>
        <w:t xml:space="preserve"> the IGPN reported an exponential increase in the use of “defensive ball launchers,” with 4,005 reports (a 61 % increase compared to 2017) for 19,071 rounds of ammunition fired (a 200 % increase compared to 2017).</w:t>
      </w:r>
      <w:r w:rsidRPr="002467E9">
        <w:rPr>
          <w:vertAlign w:val="superscript"/>
          <w:lang w:val="en-US"/>
        </w:rPr>
        <w:footnoteReference w:id="49"/>
      </w:r>
      <w:r w:rsidRPr="002467E9">
        <w:rPr>
          <w:lang w:val="en-US"/>
        </w:rPr>
        <w:t xml:space="preserve"> Over a third (36%) of complaints made against the police related to the Yellow vests protests pertained to the use of defensive ball launchers and grenades and 38% regarding beatings and the use of batons.</w:t>
      </w:r>
      <w:r w:rsidRPr="002467E9">
        <w:rPr>
          <w:vertAlign w:val="superscript"/>
          <w:lang w:val="en-US"/>
        </w:rPr>
        <w:footnoteReference w:id="50"/>
      </w:r>
    </w:p>
    <w:p w14:paraId="149F0C64" w14:textId="77777777" w:rsidR="009D40A8" w:rsidRPr="002467E9" w:rsidRDefault="009D40A8" w:rsidP="00D83442">
      <w:pPr>
        <w:rPr>
          <w:lang w:val="en-US"/>
        </w:rPr>
      </w:pPr>
    </w:p>
    <w:p w14:paraId="6F61824C" w14:textId="4C6588C4" w:rsidR="009D40A8" w:rsidRPr="002467E9" w:rsidRDefault="009D40A8" w:rsidP="00D83442">
      <w:pPr>
        <w:rPr>
          <w:lang w:val="en-US"/>
        </w:rPr>
      </w:pPr>
      <w:r w:rsidRPr="002467E9">
        <w:rPr>
          <w:lang w:val="en-US"/>
        </w:rPr>
        <w:t xml:space="preserve">Public outcry over the use of “defensive ball launchers” peaked during the Yellow Vests protests considering the seriousness and number of casualties. In February 2019, UN Special Procedures </w:t>
      </w:r>
      <w:proofErr w:type="spellStart"/>
      <w:r w:rsidRPr="002467E9">
        <w:rPr>
          <w:lang w:val="en-US"/>
        </w:rPr>
        <w:t>criticised</w:t>
      </w:r>
      <w:proofErr w:type="spellEnd"/>
      <w:r w:rsidRPr="002467E9">
        <w:rPr>
          <w:lang w:val="en-US"/>
        </w:rPr>
        <w:t xml:space="preserve"> the disproportionate use of force by the police, including the serious injuries caused by a disproportionate use of “less-lethal weapons” like grenades and “defensive bullets.”</w:t>
      </w:r>
      <w:r w:rsidRPr="002467E9">
        <w:rPr>
          <w:vertAlign w:val="superscript"/>
          <w:lang w:val="en-US"/>
        </w:rPr>
        <w:footnoteReference w:id="51"/>
      </w:r>
      <w:r w:rsidRPr="002467E9">
        <w:rPr>
          <w:lang w:val="en-US"/>
        </w:rPr>
        <w:t xml:space="preserve"> In January 2019, the </w:t>
      </w:r>
      <w:proofErr w:type="spellStart"/>
      <w:r w:rsidRPr="002467E9">
        <w:rPr>
          <w:i/>
          <w:lang w:val="en-US"/>
        </w:rPr>
        <w:t>Défenseur</w:t>
      </w:r>
      <w:proofErr w:type="spellEnd"/>
      <w:r w:rsidRPr="002467E9">
        <w:rPr>
          <w:i/>
          <w:lang w:val="en-US"/>
        </w:rPr>
        <w:t xml:space="preserve"> des Droits</w:t>
      </w:r>
      <w:r w:rsidRPr="002467E9">
        <w:rPr>
          <w:lang w:val="en-US"/>
        </w:rPr>
        <w:t xml:space="preserve"> reiterated his recommendations to forbid the use of “defensive ball launchers” in the context of public protests.</w:t>
      </w:r>
      <w:r w:rsidRPr="002467E9">
        <w:rPr>
          <w:vertAlign w:val="superscript"/>
          <w:lang w:val="en-US"/>
        </w:rPr>
        <w:footnoteReference w:id="52"/>
      </w:r>
      <w:r w:rsidR="004B4446" w:rsidRPr="002467E9">
        <w:rPr>
          <w:lang w:val="en-US"/>
        </w:rPr>
        <w:t xml:space="preserve"> </w:t>
      </w:r>
      <w:r w:rsidRPr="002467E9">
        <w:rPr>
          <w:lang w:val="en-US"/>
        </w:rPr>
        <w:t>The national human rights institution (</w:t>
      </w:r>
      <w:r w:rsidRPr="002467E9">
        <w:rPr>
          <w:i/>
          <w:lang w:val="en-US"/>
        </w:rPr>
        <w:t xml:space="preserve">Commission </w:t>
      </w:r>
      <w:proofErr w:type="spellStart"/>
      <w:r w:rsidRPr="002467E9">
        <w:rPr>
          <w:i/>
          <w:lang w:val="en-US"/>
        </w:rPr>
        <w:t>nationale</w:t>
      </w:r>
      <w:proofErr w:type="spellEnd"/>
      <w:r w:rsidRPr="002467E9">
        <w:rPr>
          <w:i/>
          <w:lang w:val="en-US"/>
        </w:rPr>
        <w:t xml:space="preserve"> consultative des droits de </w:t>
      </w:r>
      <w:proofErr w:type="spellStart"/>
      <w:r w:rsidRPr="002467E9">
        <w:rPr>
          <w:i/>
          <w:lang w:val="en-US"/>
        </w:rPr>
        <w:t>l</w:t>
      </w:r>
      <w:r w:rsidR="007D38AC" w:rsidRPr="002467E9">
        <w:rPr>
          <w:i/>
          <w:lang w:val="en-US"/>
        </w:rPr>
        <w:t>’</w:t>
      </w:r>
      <w:r w:rsidRPr="002467E9">
        <w:rPr>
          <w:i/>
          <w:lang w:val="en-US"/>
        </w:rPr>
        <w:t>Homme</w:t>
      </w:r>
      <w:proofErr w:type="spellEnd"/>
      <w:r w:rsidRPr="002467E9">
        <w:rPr>
          <w:i/>
          <w:lang w:val="en-US"/>
        </w:rPr>
        <w:t>,</w:t>
      </w:r>
      <w:r w:rsidRPr="002467E9">
        <w:rPr>
          <w:lang w:val="en-US"/>
        </w:rPr>
        <w:t xml:space="preserve"> </w:t>
      </w:r>
      <w:r w:rsidRPr="002467E9">
        <w:rPr>
          <w:i/>
          <w:lang w:val="en-US"/>
        </w:rPr>
        <w:t>CNCDH</w:t>
      </w:r>
      <w:r w:rsidRPr="002467E9">
        <w:rPr>
          <w:lang w:val="en-US"/>
        </w:rPr>
        <w:t>), in an opinion dated February 2021, noted that “the supervision of demonstrators during collective mobilizations, or occupations of public or private property, has given rise in recent years to unprecedented recourse to the use of force, resulting in numerous illegitimate acts of violence.” The CNCDH , “noting the increase in the number of injuries caused by the use of mutilating weapons, which cause irreversible injuries to demonstrators, recommends abandoning the use of defensive ball launchers and dispersion grenades.”</w:t>
      </w:r>
      <w:r w:rsidRPr="002467E9">
        <w:rPr>
          <w:vertAlign w:val="superscript"/>
          <w:lang w:val="en-US"/>
        </w:rPr>
        <w:footnoteReference w:id="53"/>
      </w:r>
      <w:r w:rsidRPr="002467E9">
        <w:rPr>
          <w:lang w:val="en-US"/>
        </w:rPr>
        <w:t xml:space="preserve"> In January 2020, it stated that it was also “very concerned about the chilling effect of police violence on the exercise of the freedom to demonstrate and about the impediments to the freedom to inform and the right to testify.”</w:t>
      </w:r>
      <w:r w:rsidRPr="002467E9">
        <w:rPr>
          <w:vertAlign w:val="superscript"/>
          <w:lang w:val="en-US"/>
        </w:rPr>
        <w:footnoteReference w:id="54"/>
      </w:r>
      <w:r w:rsidRPr="002467E9">
        <w:rPr>
          <w:vertAlign w:val="superscript"/>
          <w:lang w:val="en-US"/>
        </w:rPr>
        <w:t xml:space="preserve"> </w:t>
      </w:r>
    </w:p>
    <w:p w14:paraId="7F689022" w14:textId="77777777" w:rsidR="009D40A8" w:rsidRPr="002467E9" w:rsidRDefault="009D40A8" w:rsidP="00D83442">
      <w:pPr>
        <w:rPr>
          <w:lang w:val="en-US"/>
        </w:rPr>
      </w:pPr>
    </w:p>
    <w:p w14:paraId="696E755D" w14:textId="77777777" w:rsidR="009D40A8" w:rsidRPr="002467E9" w:rsidRDefault="009D40A8" w:rsidP="00D83442">
      <w:pPr>
        <w:rPr>
          <w:lang w:val="en-US"/>
        </w:rPr>
      </w:pPr>
      <w:r w:rsidRPr="002467E9">
        <w:rPr>
          <w:lang w:val="en-US"/>
        </w:rPr>
        <w:t xml:space="preserve">To respond to such concerns, in September 2020, the government launched a new </w:t>
      </w:r>
      <w:proofErr w:type="spellStart"/>
      <w:r w:rsidRPr="002467E9">
        <w:rPr>
          <w:i/>
          <w:lang w:val="en-US"/>
        </w:rPr>
        <w:t>Schéma</w:t>
      </w:r>
      <w:proofErr w:type="spellEnd"/>
      <w:r w:rsidRPr="002467E9">
        <w:rPr>
          <w:i/>
          <w:lang w:val="en-US"/>
        </w:rPr>
        <w:t xml:space="preserve"> National du </w:t>
      </w:r>
      <w:proofErr w:type="spellStart"/>
      <w:r w:rsidRPr="002467E9">
        <w:rPr>
          <w:i/>
          <w:lang w:val="en-US"/>
        </w:rPr>
        <w:t>Maintien</w:t>
      </w:r>
      <w:proofErr w:type="spellEnd"/>
      <w:r w:rsidRPr="002467E9">
        <w:rPr>
          <w:i/>
          <w:lang w:val="en-US"/>
        </w:rPr>
        <w:t xml:space="preserve"> de </w:t>
      </w:r>
      <w:proofErr w:type="spellStart"/>
      <w:r w:rsidRPr="002467E9">
        <w:rPr>
          <w:i/>
          <w:lang w:val="en-US"/>
        </w:rPr>
        <w:t>l’Ordre</w:t>
      </w:r>
      <w:proofErr w:type="spellEnd"/>
      <w:r w:rsidRPr="002467E9">
        <w:rPr>
          <w:i/>
          <w:lang w:val="en-US"/>
        </w:rPr>
        <w:t xml:space="preserve"> </w:t>
      </w:r>
      <w:r w:rsidRPr="002467E9">
        <w:rPr>
          <w:lang w:val="en-US"/>
        </w:rPr>
        <w:t>(</w:t>
      </w:r>
      <w:r w:rsidRPr="002467E9">
        <w:rPr>
          <w:i/>
          <w:lang w:val="en-US"/>
        </w:rPr>
        <w:t xml:space="preserve">SNMO, </w:t>
      </w:r>
      <w:r w:rsidRPr="002467E9">
        <w:rPr>
          <w:lang w:val="en-US"/>
        </w:rPr>
        <w:t>National Framework for Maintaining Public Order.)</w:t>
      </w:r>
      <w:r w:rsidRPr="002467E9">
        <w:rPr>
          <w:vertAlign w:val="superscript"/>
          <w:lang w:val="en-US"/>
        </w:rPr>
        <w:footnoteReference w:id="55"/>
      </w:r>
      <w:r w:rsidRPr="002467E9">
        <w:rPr>
          <w:lang w:val="en-US"/>
        </w:rPr>
        <w:t xml:space="preserve"> Regrettably, it only confirmed the continued use of these weapons with slight changes.</w:t>
      </w:r>
      <w:r w:rsidRPr="002467E9">
        <w:rPr>
          <w:vertAlign w:val="superscript"/>
          <w:lang w:val="en-US"/>
        </w:rPr>
        <w:footnoteReference w:id="56"/>
      </w:r>
      <w:r w:rsidRPr="002467E9">
        <w:rPr>
          <w:lang w:val="en-US"/>
        </w:rPr>
        <w:t xml:space="preserve"> Moreover, while the SNMO recalls the principles of necessity and proportionality in the use of force, it does not provide any details on their implementation, particularly when considering the use of “less-lethal weapons” for “crowd control”.</w:t>
      </w:r>
      <w:r w:rsidRPr="002467E9">
        <w:rPr>
          <w:vertAlign w:val="superscript"/>
          <w:lang w:val="en-US"/>
        </w:rPr>
        <w:footnoteReference w:id="57"/>
      </w:r>
      <w:r w:rsidRPr="002467E9">
        <w:rPr>
          <w:vertAlign w:val="superscript"/>
          <w:lang w:val="en-US"/>
        </w:rPr>
        <w:t xml:space="preserve"> </w:t>
      </w:r>
      <w:r w:rsidRPr="002467E9">
        <w:rPr>
          <w:lang w:val="en-US"/>
        </w:rPr>
        <w:t xml:space="preserve"> With regard to its analysis of the SNMO, the CNCDH deplores that the plan</w:t>
      </w:r>
      <w:r w:rsidRPr="002467E9">
        <w:rPr>
          <w:i/>
          <w:lang w:val="en-US"/>
        </w:rPr>
        <w:t xml:space="preserve"> </w:t>
      </w:r>
      <w:r w:rsidRPr="002467E9">
        <w:rPr>
          <w:lang w:val="en-US"/>
        </w:rPr>
        <w:t xml:space="preserve">“never refers to the notion of “de-escalation,” which was expressly rejected by the leaders of the national police during the CNCDH hearings, thus perpetuating France's isolation from its European </w:t>
      </w:r>
      <w:proofErr w:type="spellStart"/>
      <w:r w:rsidRPr="002467E9">
        <w:rPr>
          <w:lang w:val="en-US"/>
        </w:rPr>
        <w:t>neighbours</w:t>
      </w:r>
      <w:proofErr w:type="spellEnd"/>
      <w:r w:rsidRPr="002467E9">
        <w:rPr>
          <w:lang w:val="en-US"/>
        </w:rPr>
        <w:t xml:space="preserve"> (...)”</w:t>
      </w:r>
      <w:r w:rsidRPr="002467E9">
        <w:rPr>
          <w:vertAlign w:val="superscript"/>
          <w:lang w:val="en-US"/>
        </w:rPr>
        <w:footnoteReference w:id="58"/>
      </w:r>
      <w:r w:rsidRPr="002467E9">
        <w:rPr>
          <w:lang w:val="en-US"/>
        </w:rPr>
        <w:t xml:space="preserve"> </w:t>
      </w:r>
    </w:p>
    <w:p w14:paraId="4D996B4B" w14:textId="77777777" w:rsidR="009D40A8" w:rsidRPr="002467E9" w:rsidRDefault="009D40A8" w:rsidP="00D83442">
      <w:pPr>
        <w:rPr>
          <w:lang w:val="en-US"/>
        </w:rPr>
      </w:pPr>
    </w:p>
    <w:p w14:paraId="683ACF44" w14:textId="77777777" w:rsidR="00B2424C" w:rsidRPr="002467E9" w:rsidRDefault="009D40A8" w:rsidP="00D83442">
      <w:pPr>
        <w:rPr>
          <w:lang w:val="en-US"/>
        </w:rPr>
      </w:pPr>
      <w:r w:rsidRPr="002467E9">
        <w:rPr>
          <w:lang w:val="en-US"/>
        </w:rPr>
        <w:t xml:space="preserve">To renew public confidence in the police, the government launched a public consultation called </w:t>
      </w:r>
      <w:r w:rsidRPr="002467E9">
        <w:rPr>
          <w:i/>
          <w:lang w:val="en-US"/>
        </w:rPr>
        <w:t xml:space="preserve">Le </w:t>
      </w:r>
      <w:proofErr w:type="spellStart"/>
      <w:r w:rsidRPr="002467E9">
        <w:rPr>
          <w:i/>
          <w:lang w:val="en-US"/>
        </w:rPr>
        <w:t>Beauvau</w:t>
      </w:r>
      <w:proofErr w:type="spellEnd"/>
      <w:r w:rsidRPr="002467E9">
        <w:rPr>
          <w:i/>
          <w:lang w:val="en-US"/>
        </w:rPr>
        <w:t xml:space="preserve"> de la </w:t>
      </w:r>
      <w:proofErr w:type="spellStart"/>
      <w:r w:rsidRPr="002467E9">
        <w:rPr>
          <w:i/>
          <w:lang w:val="en-US"/>
        </w:rPr>
        <w:t>sécurité</w:t>
      </w:r>
      <w:proofErr w:type="spellEnd"/>
      <w:r w:rsidRPr="002467E9">
        <w:rPr>
          <w:lang w:val="en-US"/>
        </w:rPr>
        <w:t>, from 1 February 2021 to 14 September 2021. Following this consultation, the government published a draft law on the orientation and programming of the Ministry of Interior.</w:t>
      </w:r>
      <w:r w:rsidRPr="002467E9">
        <w:rPr>
          <w:vertAlign w:val="superscript"/>
          <w:lang w:val="en-US"/>
        </w:rPr>
        <w:footnoteReference w:id="59"/>
      </w:r>
      <w:r w:rsidRPr="002467E9">
        <w:rPr>
          <w:lang w:val="en-US"/>
        </w:rPr>
        <w:t xml:space="preserve"> However, the draft does not address issues caused by the use of “less-lethal” weapons or more broadly of police violence, largely focusing </w:t>
      </w:r>
      <w:proofErr w:type="gramStart"/>
      <w:r w:rsidRPr="002467E9">
        <w:rPr>
          <w:lang w:val="en-US"/>
        </w:rPr>
        <w:t>instead  on</w:t>
      </w:r>
      <w:proofErr w:type="gramEnd"/>
      <w:r w:rsidRPr="002467E9">
        <w:rPr>
          <w:lang w:val="en-US"/>
        </w:rPr>
        <w:t xml:space="preserve"> increasing the number of police officers and the Ministry of Interior’s budget for the police.</w:t>
      </w:r>
      <w:r w:rsidRPr="002467E9">
        <w:rPr>
          <w:vertAlign w:val="superscript"/>
          <w:lang w:val="en-US"/>
        </w:rPr>
        <w:footnoteReference w:id="60"/>
      </w:r>
      <w:r w:rsidRPr="002467E9">
        <w:rPr>
          <w:lang w:val="en-US"/>
        </w:rPr>
        <w:t xml:space="preserve">  </w:t>
      </w:r>
      <w:bookmarkStart w:id="5" w:name="_Toc116391053"/>
    </w:p>
    <w:p w14:paraId="56EFF2CE" w14:textId="77777777" w:rsidR="00FD5B8F" w:rsidRPr="002467E9" w:rsidRDefault="00FD5B8F" w:rsidP="00D83442">
      <w:pPr>
        <w:rPr>
          <w:lang w:val="en-US"/>
        </w:rPr>
      </w:pPr>
    </w:p>
    <w:p w14:paraId="156F6835" w14:textId="649DEF03" w:rsidR="009D40A8" w:rsidRPr="002467E9" w:rsidRDefault="009D40A8" w:rsidP="00D83442">
      <w:pPr>
        <w:pStyle w:val="Heading2"/>
      </w:pPr>
      <w:r w:rsidRPr="002467E9">
        <w:t>Recommendations</w:t>
      </w:r>
      <w:bookmarkEnd w:id="5"/>
      <w:r w:rsidRPr="002467E9">
        <w:t xml:space="preserve">  </w:t>
      </w:r>
    </w:p>
    <w:p w14:paraId="30E49537" w14:textId="5147C82E" w:rsidR="009D40A8" w:rsidRPr="00D83442" w:rsidRDefault="009D40A8" w:rsidP="00037681">
      <w:pPr>
        <w:pStyle w:val="ListParagraph"/>
        <w:numPr>
          <w:ilvl w:val="0"/>
          <w:numId w:val="23"/>
        </w:numPr>
        <w:rPr>
          <w:lang w:val="en-US"/>
        </w:rPr>
      </w:pPr>
      <w:r w:rsidRPr="00D83442">
        <w:rPr>
          <w:lang w:val="en-US"/>
        </w:rPr>
        <w:t>Make it compulsory for law enforcement officers to record and report promptly and transparently on the use of weapons and to include sufficient information to establish whether the use of force was necessary and proportionate by setting out the details of the incident, including the reasons for the use of force, its effectiveness and its consequences.</w:t>
      </w:r>
    </w:p>
    <w:p w14:paraId="6243F2C6" w14:textId="58630924" w:rsidR="009D40A8" w:rsidRPr="00D83442" w:rsidRDefault="009D40A8" w:rsidP="00037681">
      <w:pPr>
        <w:pStyle w:val="ListParagraph"/>
        <w:numPr>
          <w:ilvl w:val="0"/>
          <w:numId w:val="23"/>
        </w:numPr>
        <w:rPr>
          <w:lang w:val="en-US"/>
        </w:rPr>
      </w:pPr>
      <w:r w:rsidRPr="00D83442">
        <w:rPr>
          <w:lang w:val="en-US"/>
        </w:rPr>
        <w:t>Immediately ban the use of “defensive ball launchers” and dispersion grenades in law enforcement operations.</w:t>
      </w:r>
    </w:p>
    <w:p w14:paraId="2818AD58" w14:textId="3287E977" w:rsidR="009D40A8" w:rsidRPr="00D83442" w:rsidRDefault="009D40A8" w:rsidP="00037681">
      <w:pPr>
        <w:pStyle w:val="ListParagraph"/>
        <w:numPr>
          <w:ilvl w:val="0"/>
          <w:numId w:val="23"/>
        </w:numPr>
        <w:rPr>
          <w:lang w:val="en-US"/>
        </w:rPr>
      </w:pPr>
      <w:r w:rsidRPr="00D83442">
        <w:rPr>
          <w:lang w:val="en-US"/>
        </w:rPr>
        <w:t xml:space="preserve">Review law enforcement intervention tactics to ensure that they are based on dialogue and de-escalation strategies, to reduce the use of force and prevent human rights violations. </w:t>
      </w:r>
    </w:p>
    <w:p w14:paraId="08DAFEFA" w14:textId="487438AC" w:rsidR="009D40A8" w:rsidRPr="00D83442" w:rsidRDefault="009D40A8" w:rsidP="00037681">
      <w:pPr>
        <w:pStyle w:val="ListParagraph"/>
        <w:numPr>
          <w:ilvl w:val="0"/>
          <w:numId w:val="23"/>
        </w:numPr>
        <w:rPr>
          <w:lang w:val="en-US"/>
        </w:rPr>
      </w:pPr>
      <w:r w:rsidRPr="00D83442">
        <w:rPr>
          <w:lang w:val="en-US"/>
        </w:rPr>
        <w:t>Ensure diligent investigation by an independent authority and accountability for all complaints of violence during public protests and investigate whether police tactics were necessary and proportional.</w:t>
      </w:r>
    </w:p>
    <w:p w14:paraId="6C88D4A0" w14:textId="3F69D31D" w:rsidR="009D40A8" w:rsidRDefault="009D40A8" w:rsidP="007E1909">
      <w:pPr>
        <w:pStyle w:val="ListParagraph"/>
        <w:numPr>
          <w:ilvl w:val="0"/>
          <w:numId w:val="23"/>
        </w:numPr>
        <w:rPr>
          <w:lang w:val="en-US"/>
        </w:rPr>
      </w:pPr>
      <w:r w:rsidRPr="00D83442">
        <w:rPr>
          <w:lang w:val="en-US"/>
        </w:rPr>
        <w:lastRenderedPageBreak/>
        <w:t xml:space="preserve">Divest from and </w:t>
      </w:r>
      <w:proofErr w:type="spellStart"/>
      <w:r w:rsidRPr="00D83442">
        <w:rPr>
          <w:lang w:val="en-US"/>
        </w:rPr>
        <w:t>demilitarise</w:t>
      </w:r>
      <w:proofErr w:type="spellEnd"/>
      <w:r w:rsidRPr="00D83442">
        <w:rPr>
          <w:lang w:val="en-US"/>
        </w:rPr>
        <w:t xml:space="preserve"> the police and invest instead in social services and community-driven initiatives to restore public trust in State institutions and to provide care for people and prevent harm. </w:t>
      </w:r>
    </w:p>
    <w:p w14:paraId="59D4CE22" w14:textId="77777777" w:rsidR="007E1909" w:rsidRPr="007E1909" w:rsidRDefault="007E1909" w:rsidP="007E1909">
      <w:pPr>
        <w:pStyle w:val="ListParagraph"/>
        <w:rPr>
          <w:lang w:val="en-US"/>
        </w:rPr>
      </w:pPr>
    </w:p>
    <w:p w14:paraId="5851FEC7" w14:textId="5D608A12" w:rsidR="009D40A8" w:rsidRPr="00D83442" w:rsidRDefault="009D40A8" w:rsidP="00D83442">
      <w:pPr>
        <w:pStyle w:val="Heading1"/>
      </w:pPr>
      <w:bookmarkStart w:id="6" w:name="_Toc116391054"/>
      <w:r w:rsidRPr="002467E9">
        <w:rPr>
          <w:lang w:val="en-US"/>
        </w:rPr>
        <w:t xml:space="preserve">III. </w:t>
      </w:r>
      <w:r w:rsidR="00D83442">
        <w:rPr>
          <w:lang w:val="en-US"/>
        </w:rPr>
        <w:t>U</w:t>
      </w:r>
      <w:r w:rsidRPr="002467E9">
        <w:rPr>
          <w:lang w:val="en-US"/>
        </w:rPr>
        <w:t>se of drones</w:t>
      </w:r>
      <w:bookmarkEnd w:id="6"/>
      <w:r w:rsidR="00D83442">
        <w:rPr>
          <w:lang w:val="en-US"/>
        </w:rPr>
        <w:t xml:space="preserve"> by the police</w:t>
      </w:r>
    </w:p>
    <w:p w14:paraId="314E9C0B" w14:textId="2AD5ACB5" w:rsidR="009D40A8" w:rsidRPr="002467E9" w:rsidRDefault="009D40A8" w:rsidP="00D83442">
      <w:pPr>
        <w:rPr>
          <w:lang w:val="en-US"/>
        </w:rPr>
      </w:pPr>
      <w:r w:rsidRPr="002467E9">
        <w:rPr>
          <w:lang w:val="en-US"/>
        </w:rPr>
        <w:t>A law focusing on surveillance tools and law enforcement protection (</w:t>
      </w:r>
      <w:proofErr w:type="spellStart"/>
      <w:r w:rsidRPr="002467E9">
        <w:rPr>
          <w:i/>
          <w:lang w:val="en-US"/>
        </w:rPr>
        <w:t>Loi</w:t>
      </w:r>
      <w:proofErr w:type="spellEnd"/>
      <w:r w:rsidRPr="002467E9">
        <w:rPr>
          <w:i/>
          <w:lang w:val="en-US"/>
        </w:rPr>
        <w:t xml:space="preserve"> de </w:t>
      </w:r>
      <w:proofErr w:type="spellStart"/>
      <w:r w:rsidRPr="002467E9">
        <w:rPr>
          <w:i/>
          <w:lang w:val="en-US"/>
        </w:rPr>
        <w:t>sécurité</w:t>
      </w:r>
      <w:proofErr w:type="spellEnd"/>
      <w:r w:rsidRPr="002467E9">
        <w:rPr>
          <w:i/>
          <w:lang w:val="en-US"/>
        </w:rPr>
        <w:t xml:space="preserve"> </w:t>
      </w:r>
      <w:proofErr w:type="spellStart"/>
      <w:r w:rsidRPr="002467E9">
        <w:rPr>
          <w:i/>
          <w:lang w:val="en-US"/>
        </w:rPr>
        <w:t>globale</w:t>
      </w:r>
      <w:proofErr w:type="spellEnd"/>
      <w:r w:rsidRPr="002467E9">
        <w:rPr>
          <w:lang w:val="en-US"/>
        </w:rPr>
        <w:t xml:space="preserve"> </w:t>
      </w:r>
      <w:proofErr w:type="spellStart"/>
      <w:r w:rsidRPr="002467E9">
        <w:rPr>
          <w:i/>
          <w:lang w:val="en-US"/>
        </w:rPr>
        <w:t>préservant</w:t>
      </w:r>
      <w:proofErr w:type="spellEnd"/>
      <w:r w:rsidRPr="002467E9">
        <w:rPr>
          <w:i/>
          <w:lang w:val="en-US"/>
        </w:rPr>
        <w:t xml:space="preserve"> les </w:t>
      </w:r>
      <w:proofErr w:type="spellStart"/>
      <w:r w:rsidRPr="002467E9">
        <w:rPr>
          <w:i/>
          <w:lang w:val="en-US"/>
        </w:rPr>
        <w:t>libertés</w:t>
      </w:r>
      <w:proofErr w:type="spellEnd"/>
      <w:r w:rsidRPr="002467E9">
        <w:rPr>
          <w:lang w:val="en-US"/>
        </w:rPr>
        <w:t>, known as Global Security Law), was adopted in  May 2021,</w:t>
      </w:r>
      <w:r w:rsidR="00AA58E7" w:rsidRPr="002467E9">
        <w:rPr>
          <w:rStyle w:val="FootnoteReference"/>
          <w:rFonts w:ascii="Verdana" w:hAnsi="Verdana" w:cstheme="majorHAnsi"/>
          <w:lang w:val="en-US"/>
        </w:rPr>
        <w:footnoteReference w:id="61"/>
      </w:r>
      <w:r w:rsidRPr="002467E9">
        <w:rPr>
          <w:lang w:val="en-US"/>
        </w:rPr>
        <w:t xml:space="preserve"> and originally foresaw the use of drones by the police, including to monitor public protests.</w:t>
      </w:r>
      <w:r w:rsidRPr="002467E9">
        <w:rPr>
          <w:vertAlign w:val="superscript"/>
          <w:lang w:val="en-US"/>
        </w:rPr>
        <w:footnoteReference w:id="62"/>
      </w:r>
      <w:r w:rsidR="004B4446" w:rsidRPr="002467E9">
        <w:rPr>
          <w:lang w:val="en-US"/>
        </w:rPr>
        <w:t xml:space="preserve"> </w:t>
      </w:r>
      <w:r w:rsidRPr="002467E9">
        <w:rPr>
          <w:lang w:val="en-US"/>
        </w:rPr>
        <w:t xml:space="preserve">In September 2020, the </w:t>
      </w:r>
      <w:proofErr w:type="spellStart"/>
      <w:r w:rsidRPr="002467E9">
        <w:rPr>
          <w:i/>
          <w:lang w:val="en-US"/>
        </w:rPr>
        <w:t>Défenseur</w:t>
      </w:r>
      <w:proofErr w:type="spellEnd"/>
      <w:r w:rsidRPr="002467E9">
        <w:rPr>
          <w:i/>
          <w:lang w:val="en-US"/>
        </w:rPr>
        <w:t xml:space="preserve"> des droits</w:t>
      </w:r>
      <w:r w:rsidRPr="002467E9">
        <w:rPr>
          <w:lang w:val="en-US"/>
        </w:rPr>
        <w:t xml:space="preserve"> underlined that when used during protests, drones can have a deterrent effect and prevent people from protesting.</w:t>
      </w:r>
      <w:r w:rsidRPr="002467E9">
        <w:rPr>
          <w:vertAlign w:val="superscript"/>
          <w:lang w:val="en-US"/>
        </w:rPr>
        <w:footnoteReference w:id="63"/>
      </w:r>
      <w:r w:rsidRPr="002467E9">
        <w:rPr>
          <w:lang w:val="en-US"/>
        </w:rPr>
        <w:t xml:space="preserve"> In January 2021, the </w:t>
      </w:r>
      <w:r w:rsidRPr="002467E9">
        <w:rPr>
          <w:i/>
          <w:lang w:val="en-US"/>
        </w:rPr>
        <w:t xml:space="preserve">Commission </w:t>
      </w:r>
      <w:proofErr w:type="spellStart"/>
      <w:r w:rsidRPr="002467E9">
        <w:rPr>
          <w:i/>
          <w:lang w:val="en-US"/>
        </w:rPr>
        <w:t>Nationale</w:t>
      </w:r>
      <w:proofErr w:type="spellEnd"/>
      <w:r w:rsidRPr="002467E9">
        <w:rPr>
          <w:i/>
          <w:lang w:val="en-US"/>
        </w:rPr>
        <w:t xml:space="preserve"> de </w:t>
      </w:r>
      <w:proofErr w:type="spellStart"/>
      <w:r w:rsidRPr="002467E9">
        <w:rPr>
          <w:i/>
          <w:lang w:val="en-US"/>
        </w:rPr>
        <w:t>l'Informatique</w:t>
      </w:r>
      <w:proofErr w:type="spellEnd"/>
      <w:r w:rsidRPr="002467E9">
        <w:rPr>
          <w:i/>
          <w:lang w:val="en-US"/>
        </w:rPr>
        <w:t xml:space="preserve"> et des </w:t>
      </w:r>
      <w:proofErr w:type="spellStart"/>
      <w:r w:rsidRPr="002467E9">
        <w:rPr>
          <w:i/>
          <w:lang w:val="en-US"/>
        </w:rPr>
        <w:t>Libertés</w:t>
      </w:r>
      <w:proofErr w:type="spellEnd"/>
      <w:r w:rsidRPr="002467E9">
        <w:rPr>
          <w:lang w:val="en-US"/>
        </w:rPr>
        <w:t xml:space="preserve"> (</w:t>
      </w:r>
      <w:r w:rsidRPr="002467E9">
        <w:rPr>
          <w:i/>
          <w:lang w:val="en-US"/>
        </w:rPr>
        <w:t>CNIL</w:t>
      </w:r>
      <w:r w:rsidRPr="002467E9">
        <w:rPr>
          <w:lang w:val="en-US"/>
        </w:rPr>
        <w:t>) alerted the gover</w:t>
      </w:r>
      <w:sdt>
        <w:sdtPr>
          <w:rPr>
            <w:lang w:val="en-US"/>
          </w:rPr>
          <w:tag w:val="goog_rdk_2"/>
          <w:id w:val="908740553"/>
        </w:sdtPr>
        <w:sdtContent/>
      </w:sdt>
      <w:sdt>
        <w:sdtPr>
          <w:rPr>
            <w:lang w:val="en-US"/>
          </w:rPr>
          <w:tag w:val="goog_rdk_3"/>
          <w:id w:val="1192647763"/>
        </w:sdtPr>
        <w:sdtContent/>
      </w:sdt>
      <w:r w:rsidRPr="002467E9">
        <w:rPr>
          <w:lang w:val="en-US"/>
        </w:rPr>
        <w:t>nment to concerns on the use of drones by the police.</w:t>
      </w:r>
      <w:r w:rsidRPr="002467E9">
        <w:rPr>
          <w:vertAlign w:val="superscript"/>
          <w:lang w:val="en-US"/>
        </w:rPr>
        <w:footnoteReference w:id="64"/>
      </w:r>
    </w:p>
    <w:p w14:paraId="5F18E430" w14:textId="77777777" w:rsidR="009D40A8" w:rsidRPr="002467E9" w:rsidRDefault="009D40A8" w:rsidP="00D83442">
      <w:pPr>
        <w:rPr>
          <w:lang w:val="en-US"/>
        </w:rPr>
      </w:pPr>
    </w:p>
    <w:p w14:paraId="382A19B2" w14:textId="6C8AEB32" w:rsidR="009D40A8" w:rsidRPr="002467E9" w:rsidRDefault="009D40A8" w:rsidP="00D83442">
      <w:pPr>
        <w:rPr>
          <w:lang w:val="en-US"/>
        </w:rPr>
      </w:pPr>
      <w:r w:rsidRPr="002467E9">
        <w:rPr>
          <w:lang w:val="en-US"/>
        </w:rPr>
        <w:t xml:space="preserve">In May 2021, the Constitutional Court struck down the provisions of the Global Security Law that allowed police officers to use drones and deploy onboard cameras in their vehicles stating, </w:t>
      </w:r>
      <w:r w:rsidRPr="002467E9">
        <w:rPr>
          <w:i/>
          <w:iCs/>
          <w:lang w:val="en-US"/>
        </w:rPr>
        <w:t xml:space="preserve">inter alia, </w:t>
      </w:r>
      <w:r w:rsidRPr="002467E9">
        <w:rPr>
          <w:lang w:val="en-US"/>
        </w:rPr>
        <w:t xml:space="preserve"> that “the implementation of such surveillance systems must be accompanied by special guarantees to safeguard the right to respect for private life.”</w:t>
      </w:r>
      <w:r w:rsidRPr="002467E9">
        <w:rPr>
          <w:vertAlign w:val="superscript"/>
          <w:lang w:val="en-US"/>
        </w:rPr>
        <w:footnoteReference w:id="65"/>
      </w:r>
      <w:r w:rsidRPr="002467E9">
        <w:rPr>
          <w:lang w:val="en-US"/>
        </w:rPr>
        <w:t xml:space="preserve"> Despite these concerns, in July 2021 a new draft law</w:t>
      </w:r>
      <w:r w:rsidRPr="002467E9">
        <w:rPr>
          <w:i/>
          <w:lang w:val="en-US"/>
        </w:rPr>
        <w:t xml:space="preserve">, </w:t>
      </w:r>
      <w:proofErr w:type="spellStart"/>
      <w:r w:rsidRPr="002467E9">
        <w:rPr>
          <w:i/>
          <w:lang w:val="en-US"/>
        </w:rPr>
        <w:t>Loi</w:t>
      </w:r>
      <w:proofErr w:type="spellEnd"/>
      <w:r w:rsidRPr="002467E9">
        <w:rPr>
          <w:i/>
          <w:lang w:val="en-US"/>
        </w:rPr>
        <w:t xml:space="preserve"> relative à la </w:t>
      </w:r>
      <w:proofErr w:type="spellStart"/>
      <w:r w:rsidRPr="002467E9">
        <w:rPr>
          <w:i/>
          <w:lang w:val="en-US"/>
        </w:rPr>
        <w:t>responsabilité</w:t>
      </w:r>
      <w:proofErr w:type="spellEnd"/>
      <w:r w:rsidRPr="002467E9">
        <w:rPr>
          <w:i/>
          <w:lang w:val="en-US"/>
        </w:rPr>
        <w:t xml:space="preserve"> </w:t>
      </w:r>
      <w:proofErr w:type="spellStart"/>
      <w:r w:rsidRPr="002467E9">
        <w:rPr>
          <w:i/>
          <w:lang w:val="en-US"/>
        </w:rPr>
        <w:t>pénale</w:t>
      </w:r>
      <w:proofErr w:type="spellEnd"/>
      <w:r w:rsidRPr="002467E9">
        <w:rPr>
          <w:i/>
          <w:lang w:val="en-US"/>
        </w:rPr>
        <w:t xml:space="preserve"> et à la </w:t>
      </w:r>
      <w:proofErr w:type="spellStart"/>
      <w:r w:rsidRPr="002467E9">
        <w:rPr>
          <w:i/>
          <w:lang w:val="en-US"/>
        </w:rPr>
        <w:t>sécurité</w:t>
      </w:r>
      <w:proofErr w:type="spellEnd"/>
      <w:r w:rsidRPr="002467E9">
        <w:rPr>
          <w:i/>
          <w:lang w:val="en-US"/>
        </w:rPr>
        <w:t xml:space="preserve"> </w:t>
      </w:r>
      <w:proofErr w:type="spellStart"/>
      <w:r w:rsidRPr="002467E9">
        <w:rPr>
          <w:i/>
          <w:lang w:val="en-US"/>
        </w:rPr>
        <w:t>intérieure</w:t>
      </w:r>
      <w:proofErr w:type="spellEnd"/>
      <w:r w:rsidRPr="002467E9">
        <w:rPr>
          <w:i/>
          <w:lang w:val="en-US"/>
        </w:rPr>
        <w:t xml:space="preserve"> </w:t>
      </w:r>
      <w:r w:rsidRPr="002467E9">
        <w:rPr>
          <w:lang w:val="en-US"/>
        </w:rPr>
        <w:t xml:space="preserve">(law on criminal liability and internal security) re-integrated several articles of the Global Security Law regarding the use of drones by police. An analysis of the draft law done by the French judges’ and lawyers’ unions and the Ligue des Droits de </w:t>
      </w:r>
      <w:proofErr w:type="spellStart"/>
      <w:r w:rsidRPr="002467E9">
        <w:rPr>
          <w:lang w:val="en-US"/>
        </w:rPr>
        <w:t>l’Homme</w:t>
      </w:r>
      <w:proofErr w:type="spellEnd"/>
      <w:r w:rsidRPr="002467E9">
        <w:rPr>
          <w:lang w:val="en-US"/>
        </w:rPr>
        <w:t xml:space="preserve"> underlined that most of the guarantees of the right to privacy that were lacking in the Global Security Law and that had justified its invalidation by the Constitutional Court, were also missing in the draft law on criminal liability and internal security, and that in some </w:t>
      </w:r>
      <w:proofErr w:type="gramStart"/>
      <w:r w:rsidRPr="002467E9">
        <w:rPr>
          <w:lang w:val="en-US"/>
        </w:rPr>
        <w:t>aspects</w:t>
      </w:r>
      <w:proofErr w:type="gramEnd"/>
      <w:r w:rsidRPr="002467E9">
        <w:rPr>
          <w:lang w:val="en-US"/>
        </w:rPr>
        <w:t xml:space="preserve"> this draft provided even less protection.</w:t>
      </w:r>
      <w:r w:rsidRPr="002467E9">
        <w:rPr>
          <w:vertAlign w:val="superscript"/>
          <w:lang w:val="en-US"/>
        </w:rPr>
        <w:footnoteReference w:id="66"/>
      </w:r>
      <w:r w:rsidRPr="002467E9">
        <w:rPr>
          <w:lang w:val="en-US"/>
        </w:rPr>
        <w:t xml:space="preserve">  </w:t>
      </w:r>
    </w:p>
    <w:p w14:paraId="42288194" w14:textId="77777777" w:rsidR="009D40A8" w:rsidRPr="002467E9" w:rsidRDefault="009D40A8" w:rsidP="00D83442">
      <w:pPr>
        <w:rPr>
          <w:lang w:val="en-US"/>
        </w:rPr>
      </w:pPr>
    </w:p>
    <w:p w14:paraId="11A9CB82" w14:textId="2BDB06A5" w:rsidR="00037681" w:rsidRDefault="009D40A8" w:rsidP="006D5DC3">
      <w:pPr>
        <w:rPr>
          <w:lang w:val="en-US"/>
        </w:rPr>
      </w:pPr>
      <w:r w:rsidRPr="002467E9">
        <w:rPr>
          <w:lang w:val="en-US"/>
        </w:rPr>
        <w:t>The draft law was adopted on 24</w:t>
      </w:r>
      <w:r w:rsidRPr="002467E9">
        <w:rPr>
          <w:vertAlign w:val="superscript"/>
          <w:lang w:val="en-US"/>
        </w:rPr>
        <w:t xml:space="preserve"> </w:t>
      </w:r>
      <w:r w:rsidRPr="002467E9">
        <w:rPr>
          <w:lang w:val="en-US"/>
        </w:rPr>
        <w:t>January 2022.</w:t>
      </w:r>
      <w:r w:rsidRPr="002467E9">
        <w:rPr>
          <w:vertAlign w:val="superscript"/>
          <w:lang w:val="en-US"/>
        </w:rPr>
        <w:footnoteReference w:id="67"/>
      </w:r>
      <w:r w:rsidRPr="002467E9">
        <w:rPr>
          <w:vertAlign w:val="superscript"/>
          <w:lang w:val="en-US"/>
        </w:rPr>
        <w:t xml:space="preserve"> </w:t>
      </w:r>
      <w:r w:rsidRPr="002467E9">
        <w:rPr>
          <w:lang w:val="en-US"/>
        </w:rPr>
        <w:t>The use of drones as permitted under Articles 15 and 16 of this law raises, among others, the following concerns:</w:t>
      </w:r>
      <w:r w:rsidRPr="002467E9">
        <w:rPr>
          <w:vertAlign w:val="superscript"/>
          <w:lang w:val="en-US"/>
        </w:rPr>
        <w:footnoteReference w:id="68"/>
      </w:r>
    </w:p>
    <w:p w14:paraId="0C9AA5C3" w14:textId="77777777" w:rsidR="006D5DC3" w:rsidRPr="002467E9" w:rsidRDefault="006D5DC3" w:rsidP="006D5DC3">
      <w:pPr>
        <w:rPr>
          <w:lang w:val="en-US"/>
        </w:rPr>
      </w:pPr>
    </w:p>
    <w:p w14:paraId="087BFCA9" w14:textId="77777777" w:rsidR="00037681" w:rsidRDefault="009D40A8" w:rsidP="00037681">
      <w:pPr>
        <w:pStyle w:val="ListParagraph"/>
        <w:numPr>
          <w:ilvl w:val="0"/>
          <w:numId w:val="22"/>
        </w:numPr>
        <w:ind w:hanging="294"/>
        <w:rPr>
          <w:lang w:val="en-US"/>
        </w:rPr>
      </w:pPr>
      <w:r w:rsidRPr="00037681">
        <w:rPr>
          <w:lang w:val="en-US"/>
        </w:rPr>
        <w:lastRenderedPageBreak/>
        <w:t>The broad list of purposes for which drones may be used including for “the prevention of attacks on people or property”; “security of assemblies in public spaces”; “regulation of transport flows”, “border surveillance and illegal crossing”; “rescuing people” and “the prevention of terrorist acts.”</w:t>
      </w:r>
      <w:r w:rsidRPr="002467E9">
        <w:rPr>
          <w:vertAlign w:val="superscript"/>
          <w:lang w:val="en-US"/>
        </w:rPr>
        <w:footnoteReference w:id="69"/>
      </w:r>
      <w:r w:rsidRPr="00037681">
        <w:rPr>
          <w:lang w:val="en-US"/>
        </w:rPr>
        <w:t xml:space="preserve"> This formally endorses the use of mass surveillance technologies and the increasing </w:t>
      </w:r>
      <w:proofErr w:type="spellStart"/>
      <w:r w:rsidRPr="00037681">
        <w:rPr>
          <w:lang w:val="en-US"/>
        </w:rPr>
        <w:t>militarised</w:t>
      </w:r>
      <w:proofErr w:type="spellEnd"/>
      <w:r w:rsidRPr="00037681">
        <w:rPr>
          <w:lang w:val="en-US"/>
        </w:rPr>
        <w:t xml:space="preserve"> response to the exercise of the right to freedom of peaceful assembly as well as </w:t>
      </w:r>
      <w:proofErr w:type="spellStart"/>
      <w:r w:rsidRPr="00037681">
        <w:rPr>
          <w:lang w:val="en-US"/>
        </w:rPr>
        <w:t>militarisation</w:t>
      </w:r>
      <w:proofErr w:type="spellEnd"/>
      <w:r w:rsidRPr="00037681">
        <w:rPr>
          <w:lang w:val="en-US"/>
        </w:rPr>
        <w:t xml:space="preserve"> of France's migration policy.</w:t>
      </w:r>
    </w:p>
    <w:p w14:paraId="6D0BF5BF" w14:textId="1DB3E3FD" w:rsidR="00037681" w:rsidRPr="00037681" w:rsidRDefault="009D40A8" w:rsidP="00037681">
      <w:pPr>
        <w:pStyle w:val="ListParagraph"/>
        <w:numPr>
          <w:ilvl w:val="0"/>
          <w:numId w:val="22"/>
        </w:numPr>
        <w:rPr>
          <w:lang w:val="en-US"/>
        </w:rPr>
      </w:pPr>
      <w:r w:rsidRPr="00037681">
        <w:rPr>
          <w:lang w:val="en-US"/>
        </w:rPr>
        <w:t xml:space="preserve">The Constitutional Court had invalidated the use of drones in the Global Security Law considering that “the legislator itself has not set any maximum limit to the duration of such an </w:t>
      </w:r>
      <w:proofErr w:type="spellStart"/>
      <w:r w:rsidRPr="00037681">
        <w:rPr>
          <w:lang w:val="en-US"/>
        </w:rPr>
        <w:t>authorisation</w:t>
      </w:r>
      <w:proofErr w:type="spellEnd"/>
      <w:r w:rsidRPr="00037681">
        <w:rPr>
          <w:lang w:val="en-US"/>
        </w:rPr>
        <w:t xml:space="preserve"> […] nor any limit to the perimeter within which surveillance can be implemented.” </w:t>
      </w:r>
      <w:r w:rsidRPr="002467E9">
        <w:rPr>
          <w:vertAlign w:val="superscript"/>
          <w:lang w:val="en-US"/>
        </w:rPr>
        <w:footnoteReference w:id="70"/>
      </w:r>
      <w:r w:rsidRPr="00037681">
        <w:rPr>
          <w:lang w:val="en-US"/>
        </w:rPr>
        <w:t xml:space="preserve"> Despite this,</w:t>
      </w:r>
      <w:r w:rsidR="00037681" w:rsidRPr="00037681">
        <w:rPr>
          <w:lang w:val="en-US"/>
        </w:rPr>
        <w:t xml:space="preserve"> </w:t>
      </w:r>
    </w:p>
    <w:p w14:paraId="5E095A3D" w14:textId="77777777" w:rsidR="00037681" w:rsidRDefault="00037681" w:rsidP="00037681">
      <w:pPr>
        <w:pStyle w:val="ListParagraph"/>
        <w:numPr>
          <w:ilvl w:val="1"/>
          <w:numId w:val="10"/>
        </w:numPr>
        <w:rPr>
          <w:lang w:val="en-US"/>
        </w:rPr>
      </w:pPr>
      <w:r w:rsidRPr="00037681">
        <w:rPr>
          <w:lang w:val="en-US"/>
        </w:rPr>
        <w:t xml:space="preserve">The new law fails to set a maximum limit on the number of </w:t>
      </w:r>
      <w:proofErr w:type="spellStart"/>
      <w:r w:rsidRPr="00037681">
        <w:rPr>
          <w:lang w:val="en-US"/>
        </w:rPr>
        <w:t>authorisations</w:t>
      </w:r>
      <w:proofErr w:type="spellEnd"/>
      <w:r w:rsidRPr="00037681">
        <w:rPr>
          <w:lang w:val="en-US"/>
        </w:rPr>
        <w:t xml:space="preserve"> that can be issued by the State representative in the department or, in Paris, by the police prefect,</w:t>
      </w:r>
      <w:r w:rsidRPr="002467E9">
        <w:rPr>
          <w:vertAlign w:val="superscript"/>
          <w:lang w:val="en-US"/>
        </w:rPr>
        <w:footnoteReference w:id="71"/>
      </w:r>
      <w:r w:rsidRPr="00037681">
        <w:rPr>
          <w:lang w:val="en-US"/>
        </w:rPr>
        <w:t xml:space="preserve"> for the use of drones (except for searches for causes of death or disappearance, limited to a total of two years);</w:t>
      </w:r>
      <w:r w:rsidRPr="002467E9">
        <w:rPr>
          <w:vertAlign w:val="superscript"/>
          <w:lang w:val="en-US"/>
        </w:rPr>
        <w:footnoteReference w:id="72"/>
      </w:r>
      <w:r w:rsidRPr="00037681">
        <w:rPr>
          <w:lang w:val="en-US"/>
        </w:rPr>
        <w:t xml:space="preserve"> </w:t>
      </w:r>
    </w:p>
    <w:p w14:paraId="4B83DBA2" w14:textId="23D5D7B3" w:rsidR="00B2424C" w:rsidRDefault="00037681" w:rsidP="00037681">
      <w:pPr>
        <w:pStyle w:val="ListParagraph"/>
        <w:numPr>
          <w:ilvl w:val="1"/>
          <w:numId w:val="10"/>
        </w:numPr>
        <w:rPr>
          <w:lang w:val="en-US"/>
        </w:rPr>
      </w:pPr>
      <w:r w:rsidRPr="00D83442">
        <w:rPr>
          <w:lang w:val="en-US"/>
        </w:rPr>
        <w:t xml:space="preserve">There is no </w:t>
      </w:r>
      <w:proofErr w:type="gramStart"/>
      <w:r w:rsidRPr="00D83442">
        <w:rPr>
          <w:i/>
          <w:iCs/>
          <w:lang w:val="en-US"/>
        </w:rPr>
        <w:t>ex</w:t>
      </w:r>
      <w:r w:rsidRPr="00D83442">
        <w:rPr>
          <w:i/>
          <w:lang w:val="en-US"/>
        </w:rPr>
        <w:t xml:space="preserve"> ante</w:t>
      </w:r>
      <w:proofErr w:type="gramEnd"/>
      <w:r w:rsidRPr="00D83442">
        <w:rPr>
          <w:lang w:val="en-US"/>
        </w:rPr>
        <w:t xml:space="preserve"> control by an independent authority of the geographical perimeter where drones can be used.</w:t>
      </w:r>
      <w:r w:rsidRPr="00D83442">
        <w:rPr>
          <w:vertAlign w:val="superscript"/>
          <w:lang w:val="en-US"/>
        </w:rPr>
        <w:t xml:space="preserve"> </w:t>
      </w:r>
      <w:r w:rsidRPr="002467E9">
        <w:rPr>
          <w:vertAlign w:val="superscript"/>
          <w:lang w:val="en-US"/>
        </w:rPr>
        <w:footnoteReference w:id="73"/>
      </w:r>
      <w:r w:rsidRPr="00D83442">
        <w:rPr>
          <w:lang w:val="en-US"/>
        </w:rPr>
        <w:t xml:space="preserve"> This perimeter is left to the discretion of the State representative in the department or, in Paris, to the </w:t>
      </w:r>
      <w:r w:rsidRPr="002467E9">
        <w:t>police</w:t>
      </w:r>
      <w:r w:rsidRPr="00D83442">
        <w:rPr>
          <w:lang w:val="en-US"/>
        </w:rPr>
        <w:t xml:space="preserve"> prefect when delivering the </w:t>
      </w:r>
      <w:proofErr w:type="spellStart"/>
      <w:r w:rsidRPr="00D83442">
        <w:rPr>
          <w:lang w:val="en-US"/>
        </w:rPr>
        <w:t>authorisation</w:t>
      </w:r>
      <w:proofErr w:type="spellEnd"/>
      <w:r w:rsidRPr="00D83442">
        <w:rPr>
          <w:lang w:val="en-US"/>
        </w:rPr>
        <w:t>.</w:t>
      </w:r>
    </w:p>
    <w:p w14:paraId="5DC0A7CC" w14:textId="77777777" w:rsidR="006D5DC3" w:rsidRPr="00037681" w:rsidRDefault="006D5DC3" w:rsidP="006D5DC3">
      <w:pPr>
        <w:pStyle w:val="ListParagraph"/>
        <w:ind w:left="1440"/>
        <w:rPr>
          <w:lang w:val="en-US"/>
        </w:rPr>
      </w:pPr>
    </w:p>
    <w:p w14:paraId="570501FA" w14:textId="42F218AC" w:rsidR="00037681" w:rsidRDefault="009D40A8" w:rsidP="00037681">
      <w:pPr>
        <w:pStyle w:val="ListParagraph"/>
        <w:numPr>
          <w:ilvl w:val="0"/>
          <w:numId w:val="24"/>
        </w:numPr>
        <w:rPr>
          <w:lang w:val="en-US"/>
        </w:rPr>
      </w:pPr>
      <w:r w:rsidRPr="00037681">
        <w:rPr>
          <w:lang w:val="en-US"/>
        </w:rPr>
        <w:t xml:space="preserve">The new law provides that “the use of the devices provided for in this Article may only be </w:t>
      </w:r>
      <w:proofErr w:type="spellStart"/>
      <w:r w:rsidRPr="00037681">
        <w:rPr>
          <w:lang w:val="en-US"/>
        </w:rPr>
        <w:t>authorised</w:t>
      </w:r>
      <w:proofErr w:type="spellEnd"/>
      <w:r w:rsidRPr="00037681">
        <w:rPr>
          <w:lang w:val="en-US"/>
        </w:rPr>
        <w:t xml:space="preserve"> where it is proportionate to the purpose pursued.”</w:t>
      </w:r>
      <w:r w:rsidRPr="002467E9">
        <w:rPr>
          <w:vertAlign w:val="superscript"/>
          <w:lang w:val="en-US"/>
        </w:rPr>
        <w:footnoteReference w:id="74"/>
      </w:r>
      <w:r w:rsidRPr="00037681">
        <w:rPr>
          <w:lang w:val="en-US"/>
        </w:rPr>
        <w:t xml:space="preserve"> However, this is assessed by the State representative in the department or, in Paris, by the police prefect, and not independently by a judge. </w:t>
      </w:r>
      <w:r w:rsidRPr="002467E9">
        <w:rPr>
          <w:vertAlign w:val="superscript"/>
          <w:lang w:val="en-US"/>
        </w:rPr>
        <w:footnoteReference w:id="75"/>
      </w:r>
    </w:p>
    <w:p w14:paraId="5CA956F9" w14:textId="77777777" w:rsidR="006D5DC3" w:rsidRDefault="006D5DC3" w:rsidP="006D5DC3">
      <w:pPr>
        <w:pStyle w:val="ListParagraph"/>
        <w:ind w:left="1080"/>
        <w:rPr>
          <w:lang w:val="en-US"/>
        </w:rPr>
      </w:pPr>
    </w:p>
    <w:p w14:paraId="1B1839A0" w14:textId="28080719" w:rsidR="009D40A8" w:rsidRPr="00037681" w:rsidRDefault="009D40A8" w:rsidP="00037681">
      <w:pPr>
        <w:pStyle w:val="ListParagraph"/>
        <w:numPr>
          <w:ilvl w:val="0"/>
          <w:numId w:val="24"/>
        </w:numPr>
        <w:rPr>
          <w:lang w:val="en-US"/>
        </w:rPr>
      </w:pPr>
      <w:r w:rsidRPr="00037681">
        <w:rPr>
          <w:lang w:val="en-US"/>
        </w:rPr>
        <w:t xml:space="preserve">The law </w:t>
      </w:r>
      <w:proofErr w:type="spellStart"/>
      <w:r w:rsidRPr="00037681">
        <w:rPr>
          <w:lang w:val="en-US"/>
        </w:rPr>
        <w:t>authorises</w:t>
      </w:r>
      <w:proofErr w:type="spellEnd"/>
      <w:r w:rsidRPr="00037681">
        <w:rPr>
          <w:lang w:val="en-US"/>
        </w:rPr>
        <w:t xml:space="preserve"> filming inside a home at any time and to use it to record an offence if the recording was not intentionally done inside a home.</w:t>
      </w:r>
    </w:p>
    <w:p w14:paraId="0B676839" w14:textId="77777777" w:rsidR="009D40A8" w:rsidRPr="002467E9" w:rsidRDefault="009D40A8" w:rsidP="00D83442">
      <w:pPr>
        <w:rPr>
          <w:lang w:val="en-US"/>
        </w:rPr>
      </w:pPr>
    </w:p>
    <w:p w14:paraId="4883F7D1" w14:textId="17DC247A" w:rsidR="009D40A8" w:rsidRPr="002467E9" w:rsidRDefault="009D40A8" w:rsidP="00D83442">
      <w:pPr>
        <w:rPr>
          <w:lang w:val="en-US"/>
        </w:rPr>
      </w:pPr>
      <w:r w:rsidRPr="002467E9">
        <w:rPr>
          <w:lang w:val="en-US"/>
        </w:rPr>
        <w:t xml:space="preserve">In addition to police use of drones to monitor within France, this law  </w:t>
      </w:r>
      <w:proofErr w:type="spellStart"/>
      <w:r w:rsidRPr="002467E9">
        <w:rPr>
          <w:lang w:val="en-US"/>
        </w:rPr>
        <w:t>authorises</w:t>
      </w:r>
      <w:proofErr w:type="spellEnd"/>
      <w:r w:rsidRPr="002467E9">
        <w:rPr>
          <w:lang w:val="en-US"/>
        </w:rPr>
        <w:t xml:space="preserve"> the use of drones for  “border surveillance and illegal crossings.”</w:t>
      </w:r>
      <w:r w:rsidRPr="002467E9">
        <w:rPr>
          <w:vertAlign w:val="superscript"/>
          <w:lang w:val="en-US"/>
        </w:rPr>
        <w:footnoteReference w:id="76"/>
      </w:r>
      <w:r w:rsidRPr="002467E9">
        <w:rPr>
          <w:lang w:val="en-US"/>
        </w:rPr>
        <w:t xml:space="preserve"> France has already received recommendations from human rights mechanisms regarding acts of violence and discrimination by the police against migrants, asylum-seekers and refugees.</w:t>
      </w:r>
      <w:r w:rsidRPr="002467E9">
        <w:rPr>
          <w:vertAlign w:val="superscript"/>
          <w:lang w:val="en-US"/>
        </w:rPr>
        <w:footnoteReference w:id="77"/>
      </w:r>
      <w:r w:rsidRPr="002467E9">
        <w:rPr>
          <w:lang w:val="en-US"/>
        </w:rPr>
        <w:t xml:space="preserve"> The Special Rapporteur on racism has recommended that States ensure that border and immigration enforcement be  subject to binding legal obligations to prevent, combat and remedy racial and xenophobic discrimination in the design and use of digital border </w:t>
      </w:r>
      <w:r w:rsidRPr="002467E9">
        <w:rPr>
          <w:lang w:val="en-US"/>
        </w:rPr>
        <w:lastRenderedPageBreak/>
        <w:t>technologies.</w:t>
      </w:r>
      <w:r w:rsidRPr="002467E9">
        <w:rPr>
          <w:vertAlign w:val="superscript"/>
          <w:lang w:val="en-US"/>
        </w:rPr>
        <w:footnoteReference w:id="78"/>
      </w:r>
      <w:r w:rsidRPr="002467E9">
        <w:rPr>
          <w:vertAlign w:val="superscript"/>
          <w:lang w:val="en-US"/>
        </w:rPr>
        <w:t xml:space="preserve"> </w:t>
      </w:r>
      <w:r w:rsidRPr="002467E9">
        <w:rPr>
          <w:lang w:val="en-US"/>
        </w:rPr>
        <w:t xml:space="preserve">More generally, the use of drones by law enforcement also raises concerns regarding the risk of over-policing of minorities given the many allegations of abusive and/or discriminatory identity checks by the French police against Black and Arab youth and recent court rulings </w:t>
      </w:r>
      <w:proofErr w:type="spellStart"/>
      <w:r w:rsidRPr="002467E9">
        <w:rPr>
          <w:lang w:val="en-US"/>
        </w:rPr>
        <w:t>recognising</w:t>
      </w:r>
      <w:proofErr w:type="spellEnd"/>
      <w:r w:rsidRPr="002467E9">
        <w:rPr>
          <w:lang w:val="en-US"/>
        </w:rPr>
        <w:t xml:space="preserve"> “gross misconduct” of the State for unjustified identity checks and irregular arrests of minors by the police.</w:t>
      </w:r>
      <w:r w:rsidRPr="002467E9">
        <w:rPr>
          <w:vertAlign w:val="superscript"/>
          <w:lang w:val="en-US"/>
        </w:rPr>
        <w:footnoteReference w:id="79"/>
      </w:r>
    </w:p>
    <w:p w14:paraId="09C6DD2D" w14:textId="77777777" w:rsidR="009D40A8" w:rsidRPr="006D5DC3" w:rsidRDefault="009D40A8" w:rsidP="006D5DC3">
      <w:pPr>
        <w:pStyle w:val="ListParagraph"/>
        <w:rPr>
          <w:lang w:val="en-US"/>
        </w:rPr>
      </w:pPr>
    </w:p>
    <w:p w14:paraId="18730BEB" w14:textId="625AC73E" w:rsidR="009D40A8" w:rsidRPr="002467E9" w:rsidRDefault="009D40A8" w:rsidP="00D83442">
      <w:pPr>
        <w:pStyle w:val="Heading2"/>
      </w:pPr>
      <w:bookmarkStart w:id="7" w:name="_Toc116391055"/>
      <w:r w:rsidRPr="002467E9">
        <w:t>Recommendations</w:t>
      </w:r>
      <w:bookmarkEnd w:id="7"/>
    </w:p>
    <w:p w14:paraId="288E33B0" w14:textId="2F720484" w:rsidR="006D5DC3" w:rsidRDefault="009D40A8" w:rsidP="006D5DC3">
      <w:pPr>
        <w:pStyle w:val="ListParagraph"/>
        <w:numPr>
          <w:ilvl w:val="0"/>
          <w:numId w:val="30"/>
        </w:numPr>
        <w:rPr>
          <w:lang w:val="en-US"/>
        </w:rPr>
      </w:pPr>
      <w:r w:rsidRPr="006D5DC3">
        <w:rPr>
          <w:lang w:val="en-US"/>
        </w:rPr>
        <w:t xml:space="preserve">Repeal legal provisions </w:t>
      </w:r>
      <w:proofErr w:type="spellStart"/>
      <w:r w:rsidRPr="006D5DC3">
        <w:rPr>
          <w:lang w:val="en-US"/>
        </w:rPr>
        <w:t>authorising</w:t>
      </w:r>
      <w:proofErr w:type="spellEnd"/>
      <w:r w:rsidRPr="006D5DC3">
        <w:rPr>
          <w:lang w:val="en-US"/>
        </w:rPr>
        <w:t xml:space="preserve"> the use of drones by police and border enforcement and ban such use. In the interim:</w:t>
      </w:r>
      <w:r w:rsidR="006D5DC3" w:rsidRPr="006D5DC3">
        <w:rPr>
          <w:lang w:val="en-US"/>
        </w:rPr>
        <w:t xml:space="preserve"> </w:t>
      </w:r>
      <w:r w:rsidR="006D5DC3">
        <w:rPr>
          <w:lang w:val="en-US"/>
        </w:rPr>
        <w:t xml:space="preserve"> </w:t>
      </w:r>
    </w:p>
    <w:p w14:paraId="4A78443F" w14:textId="77777777" w:rsidR="006D5DC3" w:rsidRPr="006D5DC3" w:rsidRDefault="006D5DC3" w:rsidP="006D5DC3">
      <w:pPr>
        <w:pStyle w:val="ListParagraph"/>
        <w:numPr>
          <w:ilvl w:val="1"/>
          <w:numId w:val="30"/>
        </w:numPr>
        <w:rPr>
          <w:lang w:val="en-US"/>
        </w:rPr>
      </w:pPr>
      <w:r w:rsidRPr="006D5DC3">
        <w:rPr>
          <w:lang w:val="en-US"/>
        </w:rPr>
        <w:t>Ensure that the images filmed by drones will not be extracted and processed by facial recognition or personal data processing software.</w:t>
      </w:r>
    </w:p>
    <w:p w14:paraId="02DEFA4F" w14:textId="77777777" w:rsidR="006D5DC3" w:rsidRPr="006D5DC3" w:rsidRDefault="006D5DC3" w:rsidP="006D5DC3">
      <w:pPr>
        <w:pStyle w:val="ListParagraph"/>
        <w:numPr>
          <w:ilvl w:val="1"/>
          <w:numId w:val="30"/>
        </w:numPr>
        <w:rPr>
          <w:lang w:val="en-US"/>
        </w:rPr>
      </w:pPr>
      <w:proofErr w:type="spellStart"/>
      <w:r w:rsidRPr="006D5DC3">
        <w:rPr>
          <w:lang w:val="en-US"/>
        </w:rPr>
        <w:t>Analyse</w:t>
      </w:r>
      <w:proofErr w:type="spellEnd"/>
      <w:r w:rsidRPr="006D5DC3">
        <w:rPr>
          <w:lang w:val="en-US"/>
        </w:rPr>
        <w:t xml:space="preserve"> the human rights impacts of the use of drones on the right to equality and non-discrimination, particularly on minorities, migrants and asylum-seekers and take all measures to prevent and remedy any such impacts.</w:t>
      </w:r>
    </w:p>
    <w:p w14:paraId="44241797" w14:textId="24B156DD" w:rsidR="006D5DC3" w:rsidRDefault="006D5DC3" w:rsidP="006D5DC3">
      <w:pPr>
        <w:pStyle w:val="ListParagraph"/>
        <w:numPr>
          <w:ilvl w:val="1"/>
          <w:numId w:val="30"/>
        </w:numPr>
        <w:rPr>
          <w:lang w:val="en-US"/>
        </w:rPr>
      </w:pPr>
      <w:r w:rsidRPr="006D5DC3">
        <w:rPr>
          <w:lang w:val="en-US"/>
        </w:rPr>
        <w:t xml:space="preserve">Monitor and </w:t>
      </w:r>
      <w:proofErr w:type="spellStart"/>
      <w:r w:rsidRPr="006D5DC3">
        <w:rPr>
          <w:lang w:val="en-US"/>
        </w:rPr>
        <w:t>analyse</w:t>
      </w:r>
      <w:proofErr w:type="spellEnd"/>
      <w:r w:rsidRPr="006D5DC3">
        <w:rPr>
          <w:lang w:val="en-US"/>
        </w:rPr>
        <w:t xml:space="preserve"> the human rights impacts of drones on the right to peaceful assembly and the right to privacy and take all measures to prevent and remedy any such impacts.</w:t>
      </w:r>
    </w:p>
    <w:p w14:paraId="425E1562" w14:textId="77777777" w:rsidR="006D5DC3" w:rsidRPr="006D5DC3" w:rsidRDefault="006D5DC3" w:rsidP="006D5DC3">
      <w:pPr>
        <w:pStyle w:val="ListParagraph"/>
        <w:ind w:left="1443"/>
        <w:rPr>
          <w:lang w:val="en-US"/>
        </w:rPr>
      </w:pPr>
    </w:p>
    <w:p w14:paraId="0B15335A" w14:textId="77777777" w:rsidR="009D40A8" w:rsidRPr="00D83442" w:rsidRDefault="009D40A8" w:rsidP="00D83442">
      <w:pPr>
        <w:pStyle w:val="Heading1"/>
      </w:pPr>
      <w:bookmarkStart w:id="8" w:name="_Toc116391056"/>
      <w:r w:rsidRPr="00D83442">
        <w:t>IV. National police operational reserve and firearms</w:t>
      </w:r>
      <w:bookmarkEnd w:id="8"/>
    </w:p>
    <w:p w14:paraId="475FC5EF" w14:textId="77777777" w:rsidR="009D40A8" w:rsidRPr="002467E9" w:rsidRDefault="009D40A8" w:rsidP="00D83442">
      <w:pPr>
        <w:rPr>
          <w:lang w:val="en-US"/>
        </w:rPr>
      </w:pPr>
      <w:r w:rsidRPr="002467E9">
        <w:rPr>
          <w:lang w:val="en-US"/>
        </w:rPr>
        <w:t>Article 12 of the above-mentioned law on criminal responsibility and internal security transforms the civilian reserve of the national police into an operational reserve.</w:t>
      </w:r>
      <w:r w:rsidRPr="002467E9">
        <w:rPr>
          <w:vertAlign w:val="superscript"/>
          <w:lang w:val="en-US"/>
        </w:rPr>
        <w:footnoteReference w:id="80"/>
      </w:r>
      <w:r w:rsidRPr="002467E9">
        <w:rPr>
          <w:lang w:val="en-US"/>
        </w:rPr>
        <w:t xml:space="preserve">  The aim is to recruit 30,000 volunteer police officers, 70% of whom are civilians, by 2030.</w:t>
      </w:r>
      <w:r w:rsidRPr="002467E9">
        <w:rPr>
          <w:vertAlign w:val="superscript"/>
          <w:lang w:val="en-US"/>
        </w:rPr>
        <w:footnoteReference w:id="81"/>
      </w:r>
      <w:r w:rsidRPr="002467E9">
        <w:rPr>
          <w:lang w:val="en-US"/>
        </w:rPr>
        <w:t xml:space="preserve">  Article 12 extends the possibility of carrying a weapon to all police reservists, including volunteers who are of legal age, pass background checks, are in good physical condition and who have fulfilled their national service obligations.</w:t>
      </w:r>
      <w:r w:rsidRPr="002467E9">
        <w:rPr>
          <w:vertAlign w:val="superscript"/>
          <w:lang w:val="en-US"/>
        </w:rPr>
        <w:footnoteReference w:id="82"/>
      </w:r>
      <w:r w:rsidRPr="002467E9">
        <w:rPr>
          <w:lang w:val="en-US"/>
        </w:rPr>
        <w:t xml:space="preserve">  Volunteers undergo an initial 10-day training course, 50% of which is largely dedicated to handling a weapon.</w:t>
      </w:r>
      <w:r w:rsidRPr="002467E9">
        <w:rPr>
          <w:vertAlign w:val="superscript"/>
          <w:lang w:val="en-US"/>
        </w:rPr>
        <w:footnoteReference w:id="83"/>
      </w:r>
      <w:r w:rsidRPr="002467E9">
        <w:rPr>
          <w:lang w:val="en-US"/>
        </w:rPr>
        <w:t xml:space="preserve"> </w:t>
      </w:r>
    </w:p>
    <w:p w14:paraId="40392B2E" w14:textId="77777777" w:rsidR="009D40A8" w:rsidRPr="002467E9" w:rsidRDefault="009D40A8" w:rsidP="00D83442">
      <w:pPr>
        <w:rPr>
          <w:lang w:val="en-US"/>
        </w:rPr>
      </w:pPr>
    </w:p>
    <w:p w14:paraId="6DAFAAD1" w14:textId="3B15601F" w:rsidR="006D5DC3" w:rsidRDefault="009D40A8" w:rsidP="00DA6FD5">
      <w:pPr>
        <w:rPr>
          <w:lang w:val="en-US"/>
        </w:rPr>
      </w:pPr>
      <w:r w:rsidRPr="002467E9">
        <w:rPr>
          <w:lang w:val="en-US"/>
        </w:rPr>
        <w:lastRenderedPageBreak/>
        <w:t>Furthermore, although the recruitment criteria include “not having been sentenced to loss of civic rights or prohibition from holding public office, or to a criminal or correctional sentence entered in bulletin no. 2 of the criminal record,"</w:t>
      </w:r>
      <w:r w:rsidRPr="002467E9">
        <w:rPr>
          <w:vertAlign w:val="superscript"/>
          <w:lang w:val="en-US"/>
        </w:rPr>
        <w:footnoteReference w:id="84"/>
      </w:r>
      <w:r w:rsidRPr="002467E9">
        <w:rPr>
          <w:lang w:val="en-US"/>
        </w:rPr>
        <w:t xml:space="preserve"> no background checks are expressly envisaged for complaints and/or investigations of domestic violence. This is very concerning because out of 122 femicides committed in France in 2021 - which is an increase of 20% compared to 2020 - 44 of them were committed with firearms.</w:t>
      </w:r>
      <w:r w:rsidRPr="002467E9">
        <w:rPr>
          <w:vertAlign w:val="superscript"/>
          <w:lang w:val="en-US"/>
        </w:rPr>
        <w:footnoteReference w:id="85"/>
      </w:r>
      <w:r w:rsidRPr="002467E9">
        <w:rPr>
          <w:lang w:val="en-US"/>
        </w:rPr>
        <w:t xml:space="preserve"> In 2021, 36% of femicides (1 in 3), were committed with a firearm. These include shotguns, service weapons and illegally obtained firearms. According to data gathered by </w:t>
      </w:r>
      <w:proofErr w:type="spellStart"/>
      <w:r w:rsidRPr="002467E9">
        <w:rPr>
          <w:lang w:val="en-US"/>
        </w:rPr>
        <w:t>Reporterre</w:t>
      </w:r>
      <w:proofErr w:type="spellEnd"/>
      <w:r w:rsidRPr="002467E9">
        <w:rPr>
          <w:lang w:val="en-US"/>
        </w:rPr>
        <w:t>, “a shotgun was used in at least 27.54% of the 102 femicides in 2020, and 25.44% of the 106 murders in 2021. That is 1 in 4 femicides caused by a hunting weapon.”</w:t>
      </w:r>
      <w:r w:rsidRPr="002467E9">
        <w:rPr>
          <w:vertAlign w:val="superscript"/>
          <w:lang w:val="en-US"/>
        </w:rPr>
        <w:footnoteReference w:id="86"/>
      </w:r>
      <w:r w:rsidRPr="002467E9">
        <w:rPr>
          <w:lang w:val="en-US"/>
        </w:rPr>
        <w:t xml:space="preserve"> It is important to note that in 2021, “of the perpetrators who used a firearm, the weapon was declared and legally held on 22 occasions (a proportion of 48%)”.</w:t>
      </w:r>
      <w:r w:rsidRPr="002467E9">
        <w:rPr>
          <w:vertAlign w:val="superscript"/>
          <w:lang w:val="en-US"/>
        </w:rPr>
        <w:footnoteReference w:id="87"/>
      </w:r>
    </w:p>
    <w:p w14:paraId="3E155E21" w14:textId="77777777" w:rsidR="00DA6FD5" w:rsidRPr="002467E9" w:rsidRDefault="00DA6FD5" w:rsidP="00DA6FD5">
      <w:pPr>
        <w:rPr>
          <w:lang w:val="en-US"/>
        </w:rPr>
      </w:pPr>
    </w:p>
    <w:p w14:paraId="1523E768" w14:textId="77777777" w:rsidR="009D40A8" w:rsidRPr="00D83442" w:rsidRDefault="009D40A8" w:rsidP="00D83442">
      <w:pPr>
        <w:pStyle w:val="Heading2"/>
      </w:pPr>
      <w:bookmarkStart w:id="9" w:name="_Toc116391057"/>
      <w:r w:rsidRPr="00D83442">
        <w:t>Recommendations</w:t>
      </w:r>
      <w:bookmarkEnd w:id="9"/>
    </w:p>
    <w:p w14:paraId="1D714964" w14:textId="77777777" w:rsidR="009D40A8" w:rsidRPr="00D83442" w:rsidRDefault="009D40A8" w:rsidP="00A01A72">
      <w:pPr>
        <w:pStyle w:val="ListParagraph"/>
        <w:numPr>
          <w:ilvl w:val="0"/>
          <w:numId w:val="27"/>
        </w:numPr>
      </w:pPr>
      <w:r w:rsidRPr="00D83442">
        <w:t>Ensure that background checks of candidates to the police reserve also include checking for complaints and/or investigations of domestic violence.</w:t>
      </w:r>
    </w:p>
    <w:p w14:paraId="1E19352E" w14:textId="77777777" w:rsidR="009D40A8" w:rsidRPr="00D83442" w:rsidRDefault="009D40A8" w:rsidP="00A01A72">
      <w:pPr>
        <w:pStyle w:val="ListParagraph"/>
        <w:numPr>
          <w:ilvl w:val="0"/>
          <w:numId w:val="27"/>
        </w:numPr>
        <w:rPr>
          <w:lang w:val="en-US"/>
        </w:rPr>
      </w:pPr>
      <w:r w:rsidRPr="00D83442">
        <w:rPr>
          <w:lang w:val="en-US"/>
        </w:rPr>
        <w:t>Prohibit the use of firearms by the newly created volunteer-based police reserve.</w:t>
      </w:r>
    </w:p>
    <w:p w14:paraId="2EE99F93" w14:textId="5B18DA4D" w:rsidR="00B633C2" w:rsidRPr="00D83442" w:rsidRDefault="009D40A8" w:rsidP="00A01A72">
      <w:pPr>
        <w:pStyle w:val="ListParagraph"/>
        <w:numPr>
          <w:ilvl w:val="0"/>
          <w:numId w:val="27"/>
        </w:numPr>
        <w:rPr>
          <w:lang w:val="en-US"/>
        </w:rPr>
      </w:pPr>
      <w:r w:rsidRPr="00D83442">
        <w:rPr>
          <w:lang w:val="en-US"/>
        </w:rPr>
        <w:t xml:space="preserve">Instead of increasing police forces, use financial resources towards building safe communities based on human security through funding in, among others, education, housing, social security, and the fight against inequalities and discrimination. </w:t>
      </w:r>
    </w:p>
    <w:sectPr w:rsidR="00B633C2" w:rsidRPr="00D83442" w:rsidSect="00DA6FD5">
      <w:headerReference w:type="default" r:id="rId9"/>
      <w:footerReference w:type="even" r:id="rId10"/>
      <w:footerReference w:type="default" r:id="rId11"/>
      <w:pgSz w:w="12240" w:h="15840"/>
      <w:pgMar w:top="851" w:right="1077" w:bottom="851" w:left="1077" w:header="0" w:footer="720" w:gutter="0"/>
      <w:pgNumType w:start="1"/>
      <w:cols w:space="720"/>
      <w:titlePg/>
      <w:docGrid w:linePitch="299"/>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38AED" w14:textId="77777777" w:rsidR="00827A97" w:rsidRDefault="00827A97" w:rsidP="00D83442">
      <w:r>
        <w:separator/>
      </w:r>
    </w:p>
    <w:p w14:paraId="3DA5B25D" w14:textId="77777777" w:rsidR="00827A97" w:rsidRDefault="00827A97" w:rsidP="00D83442"/>
  </w:endnote>
  <w:endnote w:type="continuationSeparator" w:id="0">
    <w:p w14:paraId="776690B9" w14:textId="77777777" w:rsidR="00827A97" w:rsidRDefault="00827A97" w:rsidP="00D83442">
      <w:r>
        <w:continuationSeparator/>
      </w:r>
    </w:p>
    <w:p w14:paraId="34CB13C0" w14:textId="77777777" w:rsidR="00827A97" w:rsidRDefault="00827A97" w:rsidP="00D83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DE"/>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Roboto">
    <w:panose1 w:val="020B0604020202020204"/>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542238"/>
      <w:docPartObj>
        <w:docPartGallery w:val="Page Numbers (Bottom of Page)"/>
        <w:docPartUnique/>
      </w:docPartObj>
    </w:sdtPr>
    <w:sdtContent>
      <w:p w14:paraId="3AF436C7" w14:textId="2F21273D" w:rsidR="001D5BB8" w:rsidRDefault="001D5BB8" w:rsidP="00D83442">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1D5BB8" w:rsidRDefault="001D5BB8" w:rsidP="00D834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szCs w:val="20"/>
      </w:rPr>
      <w:id w:val="-662007545"/>
      <w:docPartObj>
        <w:docPartGallery w:val="Page Numbers (Bottom of Page)"/>
        <w:docPartUnique/>
      </w:docPartObj>
    </w:sdtPr>
    <w:sdtEndPr>
      <w:rPr>
        <w:rStyle w:val="PageNumber"/>
        <w:rFonts w:ascii="Franklin Gothic Book" w:hAnsi="Franklin Gothic Book"/>
      </w:rPr>
    </w:sdtEndPr>
    <w:sdtContent>
      <w:p w14:paraId="5C0A1951" w14:textId="77777777" w:rsidR="00D83442" w:rsidRDefault="00D83442" w:rsidP="00D83442">
        <w:pPr>
          <w:pStyle w:val="Footer"/>
          <w:jc w:val="center"/>
          <w:rPr>
            <w:rStyle w:val="PageNumber"/>
            <w:rFonts w:ascii="Times New Roman" w:hAnsi="Times New Roman" w:cs="Times New Roman"/>
            <w:szCs w:val="20"/>
          </w:rPr>
        </w:pPr>
      </w:p>
      <w:p w14:paraId="591626EA" w14:textId="19F58075" w:rsidR="001D5BB8" w:rsidRPr="00C429AA" w:rsidRDefault="001D5BB8" w:rsidP="00D83442">
        <w:pPr>
          <w:pStyle w:val="Footer"/>
          <w:jc w:val="center"/>
          <w:rPr>
            <w:rFonts w:cs="Times New Roman"/>
            <w:szCs w:val="20"/>
          </w:rPr>
        </w:pPr>
        <w:r w:rsidRPr="00C429AA">
          <w:rPr>
            <w:rStyle w:val="PageNumber"/>
            <w:rFonts w:cs="Times New Roman"/>
            <w:szCs w:val="20"/>
          </w:rPr>
          <w:fldChar w:fldCharType="begin"/>
        </w:r>
        <w:r w:rsidRPr="00C429AA">
          <w:rPr>
            <w:rStyle w:val="PageNumber"/>
            <w:rFonts w:cs="Times New Roman"/>
            <w:szCs w:val="20"/>
          </w:rPr>
          <w:instrText xml:space="preserve"> PAGE </w:instrText>
        </w:r>
        <w:r w:rsidRPr="00C429AA">
          <w:rPr>
            <w:rStyle w:val="PageNumber"/>
            <w:rFonts w:cs="Times New Roman"/>
            <w:szCs w:val="20"/>
          </w:rPr>
          <w:fldChar w:fldCharType="separate"/>
        </w:r>
        <w:r w:rsidR="0048455F" w:rsidRPr="00C429AA">
          <w:rPr>
            <w:rStyle w:val="PageNumber"/>
            <w:rFonts w:cs="Times New Roman"/>
            <w:noProof/>
            <w:szCs w:val="20"/>
          </w:rPr>
          <w:t>8</w:t>
        </w:r>
        <w:r w:rsidRPr="00C429AA">
          <w:rPr>
            <w:rStyle w:val="PageNumber"/>
            <w:rFonts w:cs="Times New Roman"/>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33C9F" w14:textId="77777777" w:rsidR="00827A97" w:rsidRDefault="00827A97" w:rsidP="00D83442">
      <w:r>
        <w:separator/>
      </w:r>
    </w:p>
  </w:footnote>
  <w:footnote w:type="continuationSeparator" w:id="0">
    <w:p w14:paraId="6300AAE9" w14:textId="77777777" w:rsidR="00827A97" w:rsidRDefault="00827A97" w:rsidP="00D83442">
      <w:r>
        <w:continuationSeparator/>
      </w:r>
    </w:p>
    <w:p w14:paraId="2BA99A91" w14:textId="77777777" w:rsidR="00827A97" w:rsidRDefault="00827A97" w:rsidP="00D83442"/>
  </w:footnote>
  <w:footnote w:id="1">
    <w:p w14:paraId="03C3B71F" w14:textId="0A4EFA8C" w:rsidR="00BA44CD" w:rsidRPr="00A01A72" w:rsidRDefault="00BA44CD" w:rsidP="00A01A72">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WILPF, submission for the Universal Periodic Review (UPR) of France, 43</w:t>
      </w:r>
      <w:r w:rsidRPr="00A01A72">
        <w:rPr>
          <w:szCs w:val="18"/>
          <w:vertAlign w:val="superscript"/>
          <w:lang w:val="en-US"/>
        </w:rPr>
        <w:t>rd</w:t>
      </w:r>
      <w:r w:rsidRPr="00A01A72">
        <w:rPr>
          <w:szCs w:val="18"/>
          <w:lang w:val="en-US"/>
        </w:rPr>
        <w:t xml:space="preserve"> session of the UPR Working Group, available at: &lt;https://www.wilpf.org/advocacy_documents/submission-for-the-upr-of-france/&gt;.</w:t>
      </w:r>
    </w:p>
  </w:footnote>
  <w:footnote w:id="2">
    <w:p w14:paraId="064E56AB" w14:textId="712F3323" w:rsidR="00BA44CD" w:rsidRPr="00A01A72" w:rsidRDefault="00BA44CD" w:rsidP="00A01A72">
      <w:pPr>
        <w:pStyle w:val="FootnoteText"/>
        <w:rPr>
          <w:szCs w:val="18"/>
        </w:rPr>
      </w:pPr>
      <w:r w:rsidRPr="00A01A72">
        <w:rPr>
          <w:rStyle w:val="FootnoteReference"/>
          <w:szCs w:val="18"/>
        </w:rPr>
        <w:footnoteRef/>
      </w:r>
      <w:r w:rsidRPr="00A01A72">
        <w:rPr>
          <w:szCs w:val="18"/>
        </w:rPr>
        <w:t xml:space="preserve"> </w:t>
      </w:r>
      <w:r w:rsidRPr="00A01A72">
        <w:rPr>
          <w:szCs w:val="18"/>
          <w:lang w:val="en-US"/>
        </w:rPr>
        <w:t>A/HRC/54/5.</w:t>
      </w:r>
      <w:r w:rsidR="00C429AA" w:rsidRPr="00A01A72">
        <w:rPr>
          <w:szCs w:val="18"/>
          <w:lang w:val="en-US"/>
        </w:rPr>
        <w:t xml:space="preserve"> </w:t>
      </w:r>
      <w:r w:rsidR="00C429AA" w:rsidRPr="00A01A72">
        <w:rPr>
          <w:szCs w:val="18"/>
        </w:rPr>
        <w:t>France is due to provide its responses to all UPR recommendations by no later than the upcoming fifty-fourth session of the Human Righ</w:t>
      </w:r>
      <w:r w:rsidR="00C429AA" w:rsidRPr="00A01A72">
        <w:rPr>
          <w:szCs w:val="18"/>
        </w:rPr>
        <w:t>t</w:t>
      </w:r>
      <w:r w:rsidR="00C429AA" w:rsidRPr="00A01A72">
        <w:rPr>
          <w:szCs w:val="18"/>
        </w:rPr>
        <w:t>s Council</w:t>
      </w:r>
      <w:r w:rsidR="00C429AA" w:rsidRPr="00A01A72">
        <w:rPr>
          <w:szCs w:val="18"/>
        </w:rPr>
        <w:t xml:space="preserve">. </w:t>
      </w:r>
    </w:p>
  </w:footnote>
  <w:footnote w:id="3">
    <w:p w14:paraId="76CC082E" w14:textId="36D5362B" w:rsidR="00D83442" w:rsidRPr="00A01A72" w:rsidRDefault="00D83442" w:rsidP="00A01A72">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See WILPF statement on the UPR of France, 28 June 2018, &lt;https://www.wilpf.org/advocacy_documents/hrc38-statement-on-the-upr-of-france/&gt;.</w:t>
      </w:r>
    </w:p>
  </w:footnote>
  <w:footnote w:id="4">
    <w:p w14:paraId="156FB797" w14:textId="462E57DE" w:rsidR="008F3965" w:rsidRPr="00A01A72" w:rsidRDefault="008F3965" w:rsidP="00A01A72">
      <w:pPr>
        <w:pStyle w:val="FootnoteText"/>
        <w:rPr>
          <w:szCs w:val="18"/>
          <w:lang w:val="it-CH"/>
        </w:rPr>
      </w:pPr>
      <w:r w:rsidRPr="00A01A72">
        <w:rPr>
          <w:rStyle w:val="FootnoteReference"/>
          <w:szCs w:val="18"/>
        </w:rPr>
        <w:footnoteRef/>
      </w:r>
      <w:r w:rsidRPr="00A01A72">
        <w:rPr>
          <w:rStyle w:val="FootnoteReference"/>
          <w:szCs w:val="18"/>
          <w:lang w:val="it-CH"/>
        </w:rPr>
        <w:t xml:space="preserve"> </w:t>
      </w:r>
      <w:r w:rsidRPr="00A01A72">
        <w:rPr>
          <w:szCs w:val="18"/>
          <w:lang w:val="it-CH"/>
        </w:rPr>
        <w:t>A/HRC/54/5</w:t>
      </w:r>
      <w:r w:rsidR="006928EE" w:rsidRPr="00A01A72">
        <w:rPr>
          <w:szCs w:val="18"/>
          <w:lang w:val="it-CH"/>
        </w:rPr>
        <w:t>.</w:t>
      </w:r>
    </w:p>
  </w:footnote>
  <w:footnote w:id="5">
    <w:p w14:paraId="79E2CC68" w14:textId="7AEDB6C9" w:rsidR="008F3965" w:rsidRPr="00A01A72" w:rsidRDefault="008F3965" w:rsidP="00A01A72">
      <w:pPr>
        <w:pStyle w:val="FootnoteText"/>
        <w:rPr>
          <w:szCs w:val="18"/>
          <w:lang w:val="en-US"/>
        </w:rPr>
      </w:pPr>
      <w:r w:rsidRPr="00A01A72">
        <w:rPr>
          <w:rStyle w:val="FootnoteReference"/>
          <w:szCs w:val="18"/>
        </w:rPr>
        <w:footnoteRef/>
      </w:r>
      <w:r w:rsidRPr="00A01A72">
        <w:rPr>
          <w:rStyle w:val="FootnoteReference"/>
          <w:szCs w:val="18"/>
          <w:lang w:val="it-CH"/>
        </w:rPr>
        <w:t xml:space="preserve"> </w:t>
      </w:r>
      <w:r w:rsidRPr="00A01A72">
        <w:rPr>
          <w:szCs w:val="18"/>
          <w:lang w:val="it-CH"/>
        </w:rPr>
        <w:t xml:space="preserve">CCPR/C/FRA/QPR/6, paras. </w:t>
      </w:r>
      <w:r w:rsidRPr="00A01A72">
        <w:rPr>
          <w:szCs w:val="18"/>
          <w:lang w:val="en-US"/>
        </w:rPr>
        <w:t>24 and 25</w:t>
      </w:r>
      <w:r w:rsidR="006928EE" w:rsidRPr="00A01A72">
        <w:rPr>
          <w:szCs w:val="18"/>
          <w:lang w:val="en-US"/>
        </w:rPr>
        <w:t>.</w:t>
      </w:r>
    </w:p>
  </w:footnote>
  <w:footnote w:id="6">
    <w:p w14:paraId="08ABF5F4" w14:textId="1CA8114F" w:rsidR="008F3965" w:rsidRPr="00A01A72" w:rsidRDefault="008F3965" w:rsidP="00A01A72">
      <w:pPr>
        <w:pStyle w:val="FootnoteText"/>
        <w:rPr>
          <w:szCs w:val="18"/>
          <w:lang w:val="en-US"/>
        </w:rPr>
      </w:pPr>
      <w:r w:rsidRPr="00A01A72">
        <w:rPr>
          <w:rStyle w:val="FootnoteReference"/>
          <w:szCs w:val="18"/>
        </w:rPr>
        <w:footnoteRef/>
      </w:r>
      <w:r w:rsidRPr="00A01A72">
        <w:rPr>
          <w:rStyle w:val="FootnoteReference"/>
          <w:szCs w:val="18"/>
        </w:rPr>
        <w:t xml:space="preserve">  </w:t>
      </w:r>
      <w:r w:rsidRPr="00A01A72">
        <w:rPr>
          <w:szCs w:val="18"/>
          <w:lang w:val="en-US"/>
        </w:rPr>
        <w:t xml:space="preserve">Statement 3 (2023), Prevention of Racial Discrimination, including Early Warning and Urgent Action Procedures, by the UN Committee on the Elimination of Racial Discrimination, 7 July 2023, available at: </w:t>
      </w:r>
      <w:r w:rsidR="000C7C01" w:rsidRPr="00A01A72">
        <w:rPr>
          <w:szCs w:val="18"/>
          <w:lang w:val="en-US"/>
        </w:rPr>
        <w:t>&lt;https://www.ohchr.org/en/press-releases/2023/07/statement-france-un-committee-elimination-racial-discrimination&gt;</w:t>
      </w:r>
      <w:r w:rsidR="006928EE" w:rsidRPr="00A01A72">
        <w:rPr>
          <w:szCs w:val="18"/>
          <w:lang w:val="en-US"/>
        </w:rPr>
        <w:t>.</w:t>
      </w:r>
    </w:p>
  </w:footnote>
  <w:footnote w:id="7">
    <w:p w14:paraId="5CD06097" w14:textId="2B48CF31"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 xml:space="preserve"> Amnesty International, Public statement, 13 July 2023, EUR 21/6999/</w:t>
      </w:r>
      <w:proofErr w:type="gramStart"/>
      <w:r w:rsidRPr="00A01A72">
        <w:rPr>
          <w:szCs w:val="18"/>
          <w:lang w:val="en-US"/>
        </w:rPr>
        <w:t xml:space="preserve">2023, </w:t>
      </w:r>
      <w:r w:rsidR="00091363" w:rsidRPr="00A01A72">
        <w:rPr>
          <w:szCs w:val="18"/>
          <w:lang w:val="en-US"/>
        </w:rPr>
        <w:t xml:space="preserve"> </w:t>
      </w:r>
      <w:r w:rsidRPr="00A01A72">
        <w:rPr>
          <w:szCs w:val="18"/>
          <w:lang w:val="en-US"/>
        </w:rPr>
        <w:t>‘</w:t>
      </w:r>
      <w:proofErr w:type="gramEnd"/>
      <w:r w:rsidRPr="00A01A72">
        <w:rPr>
          <w:szCs w:val="18"/>
          <w:lang w:val="en-US"/>
        </w:rPr>
        <w:t xml:space="preserve">France: Authorities must deliver justice for unlawful killing of 17-year-old Nahel. M’, available at: </w:t>
      </w:r>
      <w:r w:rsidR="000C7C01" w:rsidRPr="00A01A72">
        <w:rPr>
          <w:szCs w:val="18"/>
          <w:lang w:val="en-US"/>
        </w:rPr>
        <w:t>&lt;https://www.amnesty.org/en/documents/eur21/6999/2023/en/&gt;</w:t>
      </w:r>
      <w:r w:rsidR="0010546A" w:rsidRPr="00A01A72">
        <w:rPr>
          <w:szCs w:val="18"/>
          <w:lang w:val="en-US"/>
        </w:rPr>
        <w:t>.</w:t>
      </w:r>
    </w:p>
  </w:footnote>
  <w:footnote w:id="8">
    <w:p w14:paraId="7D578403" w14:textId="2E1344C1" w:rsidR="00BA44CD" w:rsidRPr="00A01A72" w:rsidRDefault="00BA44CD" w:rsidP="00A01A72">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France, Internal Security Code, available at: &lt;https://www.legifrance.gouv.fr/codes/article_lc/LEGIARTI000034107970&gt;, Article L. 435-1.</w:t>
      </w:r>
      <w:r w:rsidRPr="00A01A72">
        <w:rPr>
          <w:szCs w:val="18"/>
          <w:lang w:val="en-US"/>
        </w:rPr>
        <w:t>&gt;</w:t>
      </w:r>
    </w:p>
  </w:footnote>
  <w:footnote w:id="9">
    <w:p w14:paraId="78095548" w14:textId="5041E2F7"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 xml:space="preserve">Amnesty International, Public statement, 13 July 2023, EUR 21/6999/2023, ‘France: Authorities must deliver justice for unlawful killing of 17-year-old Nahel. M’, available at: </w:t>
      </w:r>
      <w:r w:rsidR="000C7C01" w:rsidRPr="00A01A72">
        <w:rPr>
          <w:szCs w:val="18"/>
          <w:lang w:val="en-US"/>
        </w:rPr>
        <w:t>&lt;https://www.amnesty.org/en/documents/eur21/6999/2023/en/&gt;</w:t>
      </w:r>
      <w:r w:rsidR="0010546A" w:rsidRPr="00A01A72">
        <w:rPr>
          <w:szCs w:val="18"/>
          <w:lang w:val="en-US"/>
        </w:rPr>
        <w:t>.</w:t>
      </w:r>
    </w:p>
  </w:footnote>
  <w:footnote w:id="10">
    <w:p w14:paraId="06F28FA4" w14:textId="260B71C5"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proofErr w:type="gramStart"/>
      <w:r w:rsidRPr="00A01A72">
        <w:rPr>
          <w:szCs w:val="18"/>
          <w:lang w:val="en-US"/>
        </w:rPr>
        <w:t>basta !</w:t>
      </w:r>
      <w:proofErr w:type="gramEnd"/>
      <w:r w:rsidRPr="00A01A72">
        <w:rPr>
          <w:szCs w:val="18"/>
          <w:lang w:val="en-US"/>
        </w:rPr>
        <w:t xml:space="preserve">  ‘</w:t>
      </w:r>
      <w:proofErr w:type="spellStart"/>
      <w:r w:rsidRPr="00A01A72">
        <w:rPr>
          <w:szCs w:val="18"/>
          <w:lang w:val="en-US"/>
        </w:rPr>
        <w:t>Tués</w:t>
      </w:r>
      <w:proofErr w:type="spellEnd"/>
      <w:r w:rsidRPr="00A01A72">
        <w:rPr>
          <w:szCs w:val="18"/>
          <w:lang w:val="en-US"/>
        </w:rPr>
        <w:t xml:space="preserve"> par la </w:t>
      </w:r>
      <w:proofErr w:type="gramStart"/>
      <w:r w:rsidRPr="00A01A72">
        <w:rPr>
          <w:szCs w:val="18"/>
          <w:lang w:val="en-US"/>
        </w:rPr>
        <w:t>police :</w:t>
      </w:r>
      <w:proofErr w:type="gramEnd"/>
      <w:r w:rsidRPr="00A01A72">
        <w:rPr>
          <w:szCs w:val="18"/>
          <w:lang w:val="en-US"/>
        </w:rPr>
        <w:t xml:space="preserve"> </w:t>
      </w:r>
      <w:proofErr w:type="spellStart"/>
      <w:r w:rsidRPr="00A01A72">
        <w:rPr>
          <w:szCs w:val="18"/>
          <w:lang w:val="en-US"/>
        </w:rPr>
        <w:t>pourquoi</w:t>
      </w:r>
      <w:proofErr w:type="spellEnd"/>
      <w:r w:rsidRPr="00A01A72">
        <w:rPr>
          <w:szCs w:val="18"/>
          <w:lang w:val="en-US"/>
        </w:rPr>
        <w:t xml:space="preserve"> le </w:t>
      </w:r>
      <w:proofErr w:type="spellStart"/>
      <w:r w:rsidRPr="00A01A72">
        <w:rPr>
          <w:szCs w:val="18"/>
          <w:lang w:val="en-US"/>
        </w:rPr>
        <w:t>recensement</w:t>
      </w:r>
      <w:proofErr w:type="spellEnd"/>
      <w:r w:rsidRPr="00A01A72">
        <w:rPr>
          <w:szCs w:val="18"/>
          <w:lang w:val="en-US"/>
        </w:rPr>
        <w:t xml:space="preserve"> de </w:t>
      </w:r>
      <w:proofErr w:type="spellStart"/>
      <w:r w:rsidRPr="00A01A72">
        <w:rPr>
          <w:szCs w:val="18"/>
          <w:lang w:val="en-US"/>
        </w:rPr>
        <w:t>batsa</w:t>
      </w:r>
      <w:proofErr w:type="spellEnd"/>
      <w:r w:rsidRPr="00A01A72">
        <w:rPr>
          <w:szCs w:val="18"/>
          <w:lang w:val="en-US"/>
        </w:rPr>
        <w:t xml:space="preserve"> ! </w:t>
      </w:r>
      <w:proofErr w:type="spellStart"/>
      <w:r w:rsidRPr="00A01A72">
        <w:rPr>
          <w:szCs w:val="18"/>
          <w:lang w:val="en-US"/>
        </w:rPr>
        <w:t>est</w:t>
      </w:r>
      <w:proofErr w:type="spellEnd"/>
      <w:r w:rsidRPr="00A01A72">
        <w:rPr>
          <w:szCs w:val="18"/>
          <w:lang w:val="en-US"/>
        </w:rPr>
        <w:t xml:space="preserve"> </w:t>
      </w:r>
      <w:proofErr w:type="spellStart"/>
      <w:r w:rsidRPr="00A01A72">
        <w:rPr>
          <w:szCs w:val="18"/>
          <w:lang w:val="en-US"/>
        </w:rPr>
        <w:t>différent</w:t>
      </w:r>
      <w:proofErr w:type="spellEnd"/>
      <w:r w:rsidRPr="00A01A72">
        <w:rPr>
          <w:szCs w:val="18"/>
          <w:lang w:val="en-US"/>
        </w:rPr>
        <w:t xml:space="preserve"> de </w:t>
      </w:r>
      <w:proofErr w:type="spellStart"/>
      <w:r w:rsidRPr="00A01A72">
        <w:rPr>
          <w:szCs w:val="18"/>
          <w:lang w:val="en-US"/>
        </w:rPr>
        <w:t>celui</w:t>
      </w:r>
      <w:proofErr w:type="spellEnd"/>
      <w:r w:rsidRPr="00A01A72">
        <w:rPr>
          <w:szCs w:val="18"/>
          <w:lang w:val="en-US"/>
        </w:rPr>
        <w:t xml:space="preserve"> de </w:t>
      </w:r>
      <w:proofErr w:type="spellStart"/>
      <w:r w:rsidRPr="00A01A72">
        <w:rPr>
          <w:szCs w:val="18"/>
          <w:lang w:val="en-US"/>
        </w:rPr>
        <w:t>l’IGPN</w:t>
      </w:r>
      <w:proofErr w:type="spellEnd"/>
      <w:r w:rsidRPr="00A01A72">
        <w:rPr>
          <w:szCs w:val="18"/>
          <w:lang w:val="en-US"/>
        </w:rPr>
        <w:t xml:space="preserve">’, </w:t>
      </w:r>
      <w:r w:rsidR="00091363" w:rsidRPr="00A01A72">
        <w:rPr>
          <w:szCs w:val="18"/>
          <w:lang w:val="en-US"/>
        </w:rPr>
        <w:t>available at</w:t>
      </w:r>
      <w:r w:rsidR="000C7C01" w:rsidRPr="00A01A72">
        <w:rPr>
          <w:szCs w:val="18"/>
          <w:lang w:val="en-US"/>
        </w:rPr>
        <w:t> : &lt;</w:t>
      </w:r>
      <w:r w:rsidRPr="00A01A72">
        <w:rPr>
          <w:szCs w:val="18"/>
          <w:lang w:val="en-US"/>
        </w:rPr>
        <w:t>https://basta.media/Tues-par-la-police-pourquoi-le-recensement-de-basta-est-different-de-celui-de-l-IGPN</w:t>
      </w:r>
      <w:r w:rsidR="000C7C01" w:rsidRPr="00A01A72">
        <w:rPr>
          <w:szCs w:val="18"/>
          <w:lang w:val="en-US"/>
        </w:rPr>
        <w:t>&gt;</w:t>
      </w:r>
      <w:r w:rsidRPr="00A01A72">
        <w:rPr>
          <w:szCs w:val="18"/>
          <w:lang w:val="en-US"/>
        </w:rPr>
        <w:t xml:space="preserve">, 19 July 2023 ; Amnesty International, Public statement, 13 July 2023, EUR 21/6999/2023, ‘France: Authorities must deliver justice for unlawful killing of 17-year-old Nahel. M’, pages 8 and 9, available at: </w:t>
      </w:r>
      <w:r w:rsidR="000C7C01" w:rsidRPr="00A01A72">
        <w:rPr>
          <w:szCs w:val="18"/>
          <w:lang w:val="en-US"/>
        </w:rPr>
        <w:t>&lt;https://www.amnesty.org/en/documents/eur21/6999/2023/en/&gt;</w:t>
      </w:r>
      <w:r w:rsidR="0010546A" w:rsidRPr="00A01A72">
        <w:rPr>
          <w:szCs w:val="18"/>
          <w:lang w:val="en-US"/>
        </w:rPr>
        <w:t>.</w:t>
      </w:r>
      <w:r w:rsidRPr="00A01A72">
        <w:rPr>
          <w:szCs w:val="18"/>
          <w:lang w:val="en-US"/>
        </w:rPr>
        <w:t xml:space="preserve">  </w:t>
      </w:r>
    </w:p>
  </w:footnote>
  <w:footnote w:id="11">
    <w:p w14:paraId="392BDCA1" w14:textId="48841F47" w:rsidR="008F3965" w:rsidRPr="00A01A72" w:rsidRDefault="008F3965" w:rsidP="00A01A72">
      <w:pPr>
        <w:pStyle w:val="FootnoteText"/>
        <w:rPr>
          <w:szCs w:val="18"/>
          <w:lang w:val="fr-FR"/>
        </w:rPr>
      </w:pPr>
      <w:r w:rsidRPr="00A01A72">
        <w:rPr>
          <w:rStyle w:val="FootnoteReference"/>
          <w:rFonts w:cs="Times New Roman"/>
          <w:szCs w:val="18"/>
        </w:rPr>
        <w:footnoteRef/>
      </w:r>
      <w:r w:rsidR="000C7C01" w:rsidRPr="00A01A72">
        <w:rPr>
          <w:rStyle w:val="FootnoteReference"/>
          <w:rFonts w:cs="Times New Roman"/>
          <w:szCs w:val="18"/>
          <w:lang w:val="fr-FR"/>
        </w:rPr>
        <w:t xml:space="preserve"> </w:t>
      </w:r>
      <w:r w:rsidRPr="00A01A72">
        <w:rPr>
          <w:szCs w:val="18"/>
          <w:lang w:val="fr-FR"/>
        </w:rPr>
        <w:t xml:space="preserve">Plan national contre le racisme, l'antisémitisme et les discriminations liées à l'origine, </w:t>
      </w:r>
      <w:proofErr w:type="spellStart"/>
      <w:r w:rsidRPr="00A01A72">
        <w:rPr>
          <w:szCs w:val="18"/>
          <w:lang w:val="fr-FR"/>
        </w:rPr>
        <w:t>available</w:t>
      </w:r>
      <w:proofErr w:type="spellEnd"/>
      <w:r w:rsidRPr="00A01A72">
        <w:rPr>
          <w:szCs w:val="18"/>
          <w:lang w:val="fr-FR"/>
        </w:rPr>
        <w:t xml:space="preserve"> </w:t>
      </w:r>
      <w:proofErr w:type="gramStart"/>
      <w:r w:rsidRPr="00A01A72">
        <w:rPr>
          <w:szCs w:val="18"/>
          <w:lang w:val="fr-FR"/>
        </w:rPr>
        <w:t>at:</w:t>
      </w:r>
      <w:proofErr w:type="gramEnd"/>
      <w:r w:rsidRPr="00A01A72">
        <w:rPr>
          <w:szCs w:val="18"/>
          <w:lang w:val="fr-FR"/>
        </w:rPr>
        <w:t xml:space="preserve"> </w:t>
      </w:r>
      <w:r w:rsidR="00F71D5A" w:rsidRPr="00A01A72">
        <w:rPr>
          <w:szCs w:val="18"/>
          <w:lang w:val="fr-FR"/>
        </w:rPr>
        <w:t>&lt;https://www.gouvernement.fr/dossier-de-presse/plan-national-contre-le-racisme-lantisemitisme-et-les-discriminations-liees-a-lorigine&gt;</w:t>
      </w:r>
      <w:r w:rsidR="0010546A" w:rsidRPr="00A01A72">
        <w:rPr>
          <w:szCs w:val="18"/>
          <w:lang w:val="fr-FR"/>
        </w:rPr>
        <w:t>.</w:t>
      </w:r>
    </w:p>
  </w:footnote>
  <w:footnote w:id="12">
    <w:p w14:paraId="62BBE1C1" w14:textId="298D4F2E"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szCs w:val="18"/>
          <w:lang w:val="it-CH"/>
        </w:rPr>
        <w:t xml:space="preserve"> </w:t>
      </w:r>
      <w:r w:rsidRPr="00A01A72">
        <w:rPr>
          <w:szCs w:val="18"/>
          <w:lang w:val="it-CH"/>
        </w:rPr>
        <w:t xml:space="preserve">E/C.12/FRA/CO/4, paras. </w:t>
      </w:r>
      <w:r w:rsidRPr="00A01A72">
        <w:rPr>
          <w:szCs w:val="18"/>
          <w:lang w:val="en-US"/>
        </w:rPr>
        <w:t>16 and 17</w:t>
      </w:r>
      <w:r w:rsidR="0010546A" w:rsidRPr="00A01A72">
        <w:rPr>
          <w:szCs w:val="18"/>
          <w:lang w:val="en-US"/>
        </w:rPr>
        <w:t>.</w:t>
      </w:r>
    </w:p>
  </w:footnote>
  <w:footnote w:id="13">
    <w:p w14:paraId="5CD09E13" w14:textId="2D2364AA" w:rsidR="008F3965" w:rsidRPr="00A01A72" w:rsidRDefault="008F3965" w:rsidP="00A01A72">
      <w:pPr>
        <w:pStyle w:val="FootnoteText"/>
        <w:rPr>
          <w:szCs w:val="18"/>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CERD/C/FRA/CO/22-23, paras. 6 and 26 d)</w:t>
      </w:r>
      <w:r w:rsidR="0010546A" w:rsidRPr="00A01A72">
        <w:rPr>
          <w:szCs w:val="18"/>
          <w:lang w:val="en-US"/>
        </w:rPr>
        <w:t>.</w:t>
      </w:r>
    </w:p>
  </w:footnote>
  <w:footnote w:id="14">
    <w:p w14:paraId="4A4D2D7F" w14:textId="174CE40D"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szCs w:val="18"/>
        </w:rPr>
        <w:t xml:space="preserve"> </w:t>
      </w:r>
      <w:r w:rsidRPr="00A01A72">
        <w:rPr>
          <w:szCs w:val="18"/>
          <w:lang w:val="en-US"/>
        </w:rPr>
        <w:t xml:space="preserve">Statement 3 (2023), Prevention of Racial Discrimination, including Early Warning and Urgent Action Procedures, by the UN Committee on the Elimination of Racial Discrimination, 7 July 2023, available at: </w:t>
      </w:r>
      <w:r w:rsidR="00F71D5A" w:rsidRPr="00A01A72">
        <w:rPr>
          <w:szCs w:val="18"/>
          <w:lang w:val="en-US"/>
        </w:rPr>
        <w:t>&lt;https://www.ohchr.org/en/press-releases/2023/07/statement-france-un-committee-elimination-racial-discrimination&gt;</w:t>
      </w:r>
      <w:r w:rsidR="0010546A" w:rsidRPr="00A01A72">
        <w:rPr>
          <w:szCs w:val="18"/>
          <w:lang w:val="en-US"/>
        </w:rPr>
        <w:t>.</w:t>
      </w:r>
    </w:p>
  </w:footnote>
  <w:footnote w:id="15">
    <w:p w14:paraId="0DD73EE0" w14:textId="77777777" w:rsidR="008F3965" w:rsidRPr="00A01A72" w:rsidRDefault="008F3965" w:rsidP="00A01A72">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proofErr w:type="spellStart"/>
      <w:r w:rsidRPr="00A01A72">
        <w:rPr>
          <w:szCs w:val="18"/>
          <w:lang w:val="fr-FR"/>
        </w:rPr>
        <w:t>See</w:t>
      </w:r>
      <w:proofErr w:type="spellEnd"/>
      <w:r w:rsidRPr="00A01A72">
        <w:rPr>
          <w:szCs w:val="18"/>
          <w:lang w:val="fr-FR"/>
        </w:rPr>
        <w:t xml:space="preserve"> </w:t>
      </w:r>
      <w:proofErr w:type="spellStart"/>
      <w:r w:rsidRPr="00A01A72">
        <w:rPr>
          <w:szCs w:val="18"/>
          <w:lang w:val="fr-FR"/>
        </w:rPr>
        <w:t>France’s</w:t>
      </w:r>
      <w:proofErr w:type="spellEnd"/>
      <w:r w:rsidRPr="00A01A72">
        <w:rPr>
          <w:szCs w:val="18"/>
          <w:lang w:val="fr-FR"/>
        </w:rPr>
        <w:t xml:space="preserve"> </w:t>
      </w:r>
      <w:proofErr w:type="spellStart"/>
      <w:r w:rsidRPr="00A01A72">
        <w:rPr>
          <w:szCs w:val="18"/>
          <w:lang w:val="fr-FR"/>
        </w:rPr>
        <w:t>response</w:t>
      </w:r>
      <w:proofErr w:type="spellEnd"/>
      <w:r w:rsidRPr="00A01A72">
        <w:rPr>
          <w:szCs w:val="18"/>
          <w:lang w:val="fr-FR"/>
        </w:rPr>
        <w:t xml:space="preserve"> to the CERD </w:t>
      </w:r>
      <w:proofErr w:type="spellStart"/>
      <w:proofErr w:type="gramStart"/>
      <w:r w:rsidRPr="00A01A72">
        <w:rPr>
          <w:szCs w:val="18"/>
          <w:lang w:val="fr-FR"/>
        </w:rPr>
        <w:t>statement</w:t>
      </w:r>
      <w:proofErr w:type="spellEnd"/>
      <w:r w:rsidRPr="00A01A72">
        <w:rPr>
          <w:szCs w:val="18"/>
          <w:lang w:val="fr-FR"/>
        </w:rPr>
        <w:t>:</w:t>
      </w:r>
      <w:proofErr w:type="gramEnd"/>
      <w:r w:rsidRPr="00A01A72">
        <w:rPr>
          <w:szCs w:val="18"/>
          <w:lang w:val="fr-FR"/>
        </w:rPr>
        <w:t xml:space="preserve"> France Diplomatie, Déclaration du Comité pour l’élimination de la discrimination raciale (8 juillet 2023), </w:t>
      </w:r>
      <w:proofErr w:type="spellStart"/>
      <w:r w:rsidRPr="00A01A72">
        <w:rPr>
          <w:szCs w:val="18"/>
          <w:lang w:val="fr-FR"/>
        </w:rPr>
        <w:t>available</w:t>
      </w:r>
      <w:proofErr w:type="spellEnd"/>
      <w:r w:rsidRPr="00A01A72">
        <w:rPr>
          <w:szCs w:val="18"/>
          <w:lang w:val="fr-FR"/>
        </w:rPr>
        <w:t xml:space="preserve"> at:</w:t>
      </w:r>
    </w:p>
    <w:p w14:paraId="1593D3C5" w14:textId="47D18B41" w:rsidR="008F3965" w:rsidRPr="00A01A72" w:rsidRDefault="00F71D5A" w:rsidP="00A01A72">
      <w:pPr>
        <w:pStyle w:val="FootnoteText"/>
        <w:rPr>
          <w:szCs w:val="18"/>
          <w:lang w:val="fr-FR"/>
        </w:rPr>
      </w:pPr>
      <w:r w:rsidRPr="00A01A72">
        <w:rPr>
          <w:szCs w:val="18"/>
          <w:lang w:val="fr-FR"/>
        </w:rPr>
        <w:t>&lt;</w:t>
      </w:r>
      <w:proofErr w:type="gramStart"/>
      <w:r w:rsidRPr="00A01A72">
        <w:rPr>
          <w:szCs w:val="18"/>
          <w:lang w:val="fr-FR"/>
        </w:rPr>
        <w:t>https://www.diplomatie.gouv.fr/fr/politique-etrangere-de-la-france/la-france-et-les-nations-unies/evenements-et-actualites-lies-aux-nations-unies/article/declaration-du-comite-pour-l-elimination-de-la-discrimination-raciale-08-07-23</w:t>
      </w:r>
      <w:proofErr w:type="gramEnd"/>
      <w:r w:rsidRPr="00A01A72">
        <w:rPr>
          <w:szCs w:val="18"/>
          <w:lang w:val="fr-FR"/>
        </w:rPr>
        <w:t>&gt;</w:t>
      </w:r>
      <w:r w:rsidR="0010546A" w:rsidRPr="00A01A72">
        <w:rPr>
          <w:szCs w:val="18"/>
          <w:lang w:val="fr-FR"/>
        </w:rPr>
        <w:t>.</w:t>
      </w:r>
    </w:p>
  </w:footnote>
  <w:footnote w:id="16">
    <w:p w14:paraId="632FEF7A" w14:textId="77777777" w:rsidR="008F3965" w:rsidRPr="00A01A72" w:rsidRDefault="008F3965" w:rsidP="00A01A72">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r w:rsidRPr="00A01A72">
        <w:rPr>
          <w:szCs w:val="18"/>
          <w:lang w:val="fr-FR"/>
        </w:rPr>
        <w:t xml:space="preserve">Bondy Blog, ‘Sanctionner les mères isolées : « Nous ne sommes pas coupables de la colère de nos enfants »’, 17 July 2023, </w:t>
      </w:r>
      <w:proofErr w:type="spellStart"/>
      <w:r w:rsidRPr="00A01A72">
        <w:rPr>
          <w:szCs w:val="18"/>
          <w:lang w:val="fr-FR"/>
        </w:rPr>
        <w:t>available</w:t>
      </w:r>
      <w:proofErr w:type="spellEnd"/>
      <w:r w:rsidRPr="00A01A72">
        <w:rPr>
          <w:szCs w:val="18"/>
          <w:lang w:val="fr-FR"/>
        </w:rPr>
        <w:t xml:space="preserve"> </w:t>
      </w:r>
      <w:proofErr w:type="gramStart"/>
      <w:r w:rsidRPr="00A01A72">
        <w:rPr>
          <w:szCs w:val="18"/>
          <w:lang w:val="fr-FR"/>
        </w:rPr>
        <w:t>at:</w:t>
      </w:r>
      <w:proofErr w:type="gramEnd"/>
    </w:p>
    <w:p w14:paraId="4102FD07" w14:textId="2D616450" w:rsidR="008F3965" w:rsidRPr="00A01A72" w:rsidRDefault="00461535" w:rsidP="00A01A72">
      <w:pPr>
        <w:pStyle w:val="FootnoteText"/>
        <w:rPr>
          <w:szCs w:val="18"/>
          <w:lang w:val="fr-FR"/>
        </w:rPr>
      </w:pPr>
      <w:r w:rsidRPr="00A01A72">
        <w:rPr>
          <w:szCs w:val="18"/>
          <w:lang w:val="fr-FR"/>
        </w:rPr>
        <w:t>&lt;</w:t>
      </w:r>
      <w:proofErr w:type="gramStart"/>
      <w:r w:rsidRPr="00A01A72">
        <w:rPr>
          <w:szCs w:val="18"/>
          <w:lang w:val="fr-FR"/>
        </w:rPr>
        <w:t>https://www.bondyblog.fr/societe/sanctionner-les-meres-isolees-cest-plus-confortable-de-rejeter-la-faute-sur-les-autres/</w:t>
      </w:r>
      <w:proofErr w:type="gramEnd"/>
      <w:r w:rsidRPr="00A01A72">
        <w:rPr>
          <w:szCs w:val="18"/>
          <w:lang w:val="fr-FR"/>
        </w:rPr>
        <w:t>&gt;</w:t>
      </w:r>
      <w:r w:rsidR="0010546A" w:rsidRPr="00A01A72">
        <w:rPr>
          <w:szCs w:val="18"/>
          <w:lang w:val="fr-FR"/>
        </w:rPr>
        <w:t>.</w:t>
      </w:r>
    </w:p>
  </w:footnote>
  <w:footnote w:id="17">
    <w:p w14:paraId="2AB1C9FD" w14:textId="30B73346"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 xml:space="preserve">Open Society Justice Initiative, ‘Equality Betrayed: The Impact of Ethnic Profiling in France’, September 2013, available at: </w:t>
      </w:r>
      <w:r w:rsidR="00461535" w:rsidRPr="00A01A72">
        <w:rPr>
          <w:szCs w:val="18"/>
          <w:lang w:val="en-US"/>
        </w:rPr>
        <w:t>&lt;https://www.justiceinitiative.org/publications/equality-betrayed-impact-ethnic-profiling-france&gt;</w:t>
      </w:r>
      <w:r w:rsidR="0010546A" w:rsidRPr="00A01A72">
        <w:rPr>
          <w:szCs w:val="18"/>
          <w:lang w:val="en-US"/>
        </w:rPr>
        <w:t>.</w:t>
      </w:r>
    </w:p>
  </w:footnote>
  <w:footnote w:id="18">
    <w:p w14:paraId="41DBF2B1" w14:textId="75B7DD38" w:rsidR="008F3965" w:rsidRPr="00A01A72" w:rsidRDefault="008F3965" w:rsidP="00A01A72">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 xml:space="preserve">Amnesty International, Public statement, 13 July 2023, EUR 21/6999/2023, ‘France: Authorities must deliver justice for unlawful killing of 17-year-old Nahel. M’, pages 8 and 9, available at: </w:t>
      </w:r>
      <w:r w:rsidR="00461535" w:rsidRPr="00A01A72">
        <w:rPr>
          <w:szCs w:val="18"/>
          <w:lang w:val="en-US"/>
        </w:rPr>
        <w:t>&lt;https://www.amnesty.org/en/documents/eur21/6999/2023/en/&gt;</w:t>
      </w:r>
      <w:r w:rsidR="0010546A" w:rsidRPr="00A01A72">
        <w:rPr>
          <w:szCs w:val="18"/>
          <w:lang w:val="en-US"/>
        </w:rPr>
        <w:t>.</w:t>
      </w:r>
    </w:p>
  </w:footnote>
  <w:footnote w:id="19">
    <w:p w14:paraId="73D5E5AE" w14:textId="32C6F525" w:rsidR="008F3965" w:rsidRPr="00A01A72" w:rsidRDefault="008F3965" w:rsidP="00A01A72">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r w:rsidRPr="00A01A72">
        <w:rPr>
          <w:szCs w:val="18"/>
          <w:lang w:val="fr-FR"/>
        </w:rPr>
        <w:t xml:space="preserve">Observatoire des Inégalités, ‘Les immigrés et leurs descendants, surexposés au chômage’, 25 April 2023, </w:t>
      </w:r>
      <w:proofErr w:type="spellStart"/>
      <w:r w:rsidRPr="00A01A72">
        <w:rPr>
          <w:szCs w:val="18"/>
          <w:lang w:val="fr-FR"/>
        </w:rPr>
        <w:t>available</w:t>
      </w:r>
      <w:proofErr w:type="spellEnd"/>
      <w:r w:rsidRPr="00A01A72">
        <w:rPr>
          <w:szCs w:val="18"/>
          <w:lang w:val="fr-FR"/>
        </w:rPr>
        <w:t xml:space="preserve"> at:</w:t>
      </w:r>
      <w:r w:rsidR="00D83442" w:rsidRPr="00A01A72">
        <w:rPr>
          <w:szCs w:val="18"/>
          <w:lang w:val="fr-FR"/>
        </w:rPr>
        <w:t xml:space="preserve"> </w:t>
      </w:r>
      <w:r w:rsidR="00461535" w:rsidRPr="00A01A72">
        <w:rPr>
          <w:szCs w:val="18"/>
          <w:lang w:val="fr-FR"/>
        </w:rPr>
        <w:t>&lt;</w:t>
      </w:r>
      <w:r w:rsidRPr="00A01A72">
        <w:rPr>
          <w:szCs w:val="18"/>
          <w:lang w:val="fr-FR"/>
        </w:rPr>
        <w:t>https://www.inegalites.fr/Les-immigres-et-leurs-descendants-surexposes-au-chomage</w:t>
      </w:r>
      <w:r w:rsidR="00461535" w:rsidRPr="00A01A72">
        <w:rPr>
          <w:szCs w:val="18"/>
          <w:lang w:val="fr-FR"/>
        </w:rPr>
        <w:t>&gt;</w:t>
      </w:r>
      <w:r w:rsidRPr="00A01A72">
        <w:rPr>
          <w:szCs w:val="18"/>
          <w:lang w:val="fr-FR"/>
        </w:rPr>
        <w:t xml:space="preserve">; Observatoire des Inégalités, ‘Classe, âge, origine : quand les inégalités se cumulent’, 14 April 2023, </w:t>
      </w:r>
      <w:proofErr w:type="spellStart"/>
      <w:r w:rsidRPr="00A01A72">
        <w:rPr>
          <w:szCs w:val="18"/>
          <w:lang w:val="fr-FR"/>
        </w:rPr>
        <w:t>available</w:t>
      </w:r>
      <w:proofErr w:type="spellEnd"/>
      <w:r w:rsidRPr="00A01A72">
        <w:rPr>
          <w:szCs w:val="18"/>
          <w:lang w:val="fr-FR"/>
        </w:rPr>
        <w:t xml:space="preserve"> at: </w:t>
      </w:r>
      <w:r w:rsidR="00461535" w:rsidRPr="00A01A72">
        <w:rPr>
          <w:szCs w:val="18"/>
          <w:lang w:val="fr-FR"/>
        </w:rPr>
        <w:t>&lt;</w:t>
      </w:r>
      <w:r w:rsidRPr="00A01A72">
        <w:rPr>
          <w:szCs w:val="18"/>
          <w:lang w:val="fr-FR"/>
        </w:rPr>
        <w:t>https://www.inegalites.fr/Classe-age-origine-quand-les-inegalites-se-cumulent</w:t>
      </w:r>
      <w:r w:rsidR="00461535" w:rsidRPr="00A01A72">
        <w:rPr>
          <w:szCs w:val="18"/>
          <w:lang w:val="fr-FR"/>
        </w:rPr>
        <w:t>&gt;</w:t>
      </w:r>
      <w:r w:rsidRPr="00A01A72">
        <w:rPr>
          <w:szCs w:val="18"/>
          <w:lang w:val="fr-FR"/>
        </w:rPr>
        <w:t xml:space="preserve">; Observatoire des Inégalités, ‘Les immigrés frappés par la pauvreté et les bas revenus’, 31 </w:t>
      </w:r>
      <w:proofErr w:type="spellStart"/>
      <w:r w:rsidRPr="00A01A72">
        <w:rPr>
          <w:szCs w:val="18"/>
          <w:lang w:val="fr-FR"/>
        </w:rPr>
        <w:t>December</w:t>
      </w:r>
      <w:proofErr w:type="spellEnd"/>
      <w:r w:rsidRPr="00A01A72">
        <w:rPr>
          <w:szCs w:val="18"/>
          <w:lang w:val="fr-FR"/>
        </w:rPr>
        <w:t xml:space="preserve"> 2022, </w:t>
      </w:r>
      <w:proofErr w:type="spellStart"/>
      <w:r w:rsidRPr="00A01A72">
        <w:rPr>
          <w:szCs w:val="18"/>
          <w:lang w:val="fr-FR"/>
        </w:rPr>
        <w:t>available</w:t>
      </w:r>
      <w:proofErr w:type="spellEnd"/>
      <w:r w:rsidRPr="00A01A72">
        <w:rPr>
          <w:szCs w:val="18"/>
          <w:lang w:val="fr-FR"/>
        </w:rPr>
        <w:t xml:space="preserve"> at: </w:t>
      </w:r>
      <w:r w:rsidR="0010546A" w:rsidRPr="00A01A72">
        <w:rPr>
          <w:szCs w:val="18"/>
          <w:lang w:val="fr-FR"/>
        </w:rPr>
        <w:t>https://www.inegalites.fr/Les-immigres-frappes-par-la-pauvrete-et-les-bas-revenus.</w:t>
      </w:r>
    </w:p>
  </w:footnote>
  <w:footnote w:id="20">
    <w:p w14:paraId="76640729" w14:textId="77777777" w:rsidR="00C429AA" w:rsidRPr="00A01A72" w:rsidRDefault="00C429AA" w:rsidP="00A01A72">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WILPF, submission for the Universal Periodic Review (UPR) of France, 43</w:t>
      </w:r>
      <w:r w:rsidRPr="00A01A72">
        <w:rPr>
          <w:szCs w:val="18"/>
          <w:vertAlign w:val="superscript"/>
          <w:lang w:val="en-US"/>
        </w:rPr>
        <w:t>rd</w:t>
      </w:r>
      <w:r w:rsidRPr="00A01A72">
        <w:rPr>
          <w:szCs w:val="18"/>
          <w:lang w:val="en-US"/>
        </w:rPr>
        <w:t xml:space="preserve"> session of the UPR Working Group, available at: &lt;https://www.wilpf.org/advocacy_documents/submission-for-the-upr-of-france/&gt;.</w:t>
      </w:r>
    </w:p>
  </w:footnote>
  <w:footnote w:id="21">
    <w:p w14:paraId="597C6E3F" w14:textId="6C5624F8"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000C7C01" w:rsidRPr="00A01A72">
        <w:rPr>
          <w:szCs w:val="18"/>
        </w:rPr>
        <w:t xml:space="preserve"> </w:t>
      </w:r>
      <w:r w:rsidRPr="00A01A72">
        <w:rPr>
          <w:szCs w:val="18"/>
        </w:rPr>
        <w:t>UN Human Rights Committee ‘Concluding observations on the fifth periodic report of France’ (17 August 2015) UN Doc CCPR/C/FRA/CO/5, para. 21; Committee on the Elimination of Discrimination against Women ‘Concluding observations on the combined seventh and eighth periodic reports of France’ (25 July 2016) UN Doc CEDAW/C/FRA/CO/7-8, para. 36 (f); Committee on the Elimination of Discrimination against Women ‘Concluding observations on the combined seventh and eighth periodic reports of France’ (25 July 2016) UN Doc CEDAW/C/FRA/CO/7-8, para. 37 (g).</w:t>
      </w:r>
    </w:p>
  </w:footnote>
  <w:footnote w:id="22">
    <w:p w14:paraId="159E5123"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“Ensure compensation is paid to all victims of nuclear tests in French Polynesia, in line with the observations of the Committee on the Elimination of Discrimination against Women and of the Human Rights Committee”. UN Human Rights Council ‘Report of the Working Group on the Universal Periodic Review of France’ (11 April 2018) UN Doc A/HRC/38/4, recommendation 145.97. Available at: &lt;https://www.ohchr.org/en/hr-bodies/upr/fr-index&gt;.</w:t>
      </w:r>
    </w:p>
  </w:footnote>
  <w:footnote w:id="23">
    <w:p w14:paraId="759B74EB" w14:textId="77777777" w:rsidR="009D40A8" w:rsidRPr="00A01A72" w:rsidRDefault="009D40A8" w:rsidP="00A01A72">
      <w:pPr>
        <w:pStyle w:val="FootnoteText"/>
        <w:rPr>
          <w:szCs w:val="18"/>
          <w:lang w:val="fr-CH"/>
        </w:rPr>
      </w:pPr>
      <w:r w:rsidRPr="00A01A72">
        <w:rPr>
          <w:rStyle w:val="FootnoteReference"/>
          <w:rFonts w:cs="Times New Roman"/>
          <w:color w:val="000000" w:themeColor="text1"/>
          <w:szCs w:val="18"/>
        </w:rPr>
        <w:footnoteRef/>
      </w:r>
      <w:r w:rsidRPr="00A01A72">
        <w:rPr>
          <w:szCs w:val="18"/>
          <w:lang w:val="fr-CH"/>
        </w:rPr>
        <w:t xml:space="preserve"> Loi n° 2010-2 du 5 janvier 2010 relative à la reconnaissance et à l'indemnisation des victimes des essais nucléaires français (LAW No. 2010-2 of 5 </w:t>
      </w:r>
      <w:proofErr w:type="spellStart"/>
      <w:r w:rsidRPr="00A01A72">
        <w:rPr>
          <w:szCs w:val="18"/>
          <w:lang w:val="fr-CH"/>
        </w:rPr>
        <w:t>January</w:t>
      </w:r>
      <w:proofErr w:type="spellEnd"/>
      <w:r w:rsidRPr="00A01A72">
        <w:rPr>
          <w:szCs w:val="18"/>
          <w:lang w:val="fr-CH"/>
        </w:rPr>
        <w:t xml:space="preserve"> 2010 on the recognition and compensation of </w:t>
      </w:r>
      <w:proofErr w:type="spellStart"/>
      <w:r w:rsidRPr="00A01A72">
        <w:rPr>
          <w:szCs w:val="18"/>
          <w:lang w:val="fr-CH"/>
        </w:rPr>
        <w:t>victims</w:t>
      </w:r>
      <w:proofErr w:type="spellEnd"/>
      <w:r w:rsidRPr="00A01A72">
        <w:rPr>
          <w:szCs w:val="18"/>
          <w:lang w:val="fr-CH"/>
        </w:rPr>
        <w:t xml:space="preserve"> of French </w:t>
      </w:r>
      <w:proofErr w:type="spellStart"/>
      <w:r w:rsidRPr="00A01A72">
        <w:rPr>
          <w:szCs w:val="18"/>
          <w:lang w:val="fr-CH"/>
        </w:rPr>
        <w:t>nuclear</w:t>
      </w:r>
      <w:proofErr w:type="spellEnd"/>
      <w:r w:rsidRPr="00A01A72">
        <w:rPr>
          <w:szCs w:val="18"/>
          <w:lang w:val="fr-CH"/>
        </w:rPr>
        <w:t xml:space="preserve"> tests) Art. 1, </w:t>
      </w:r>
      <w:proofErr w:type="spellStart"/>
      <w:r w:rsidRPr="00A01A72">
        <w:rPr>
          <w:szCs w:val="18"/>
          <w:lang w:val="fr-CH"/>
        </w:rPr>
        <w:t>paragraph</w:t>
      </w:r>
      <w:proofErr w:type="spellEnd"/>
      <w:r w:rsidRPr="00A01A72">
        <w:rPr>
          <w:szCs w:val="18"/>
          <w:lang w:val="fr-CH"/>
        </w:rPr>
        <w:t xml:space="preserve"> I. </w:t>
      </w:r>
      <w:proofErr w:type="spellStart"/>
      <w:r w:rsidRPr="00A01A72">
        <w:rPr>
          <w:szCs w:val="18"/>
          <w:lang w:val="fr-CH"/>
        </w:rPr>
        <w:t>Available</w:t>
      </w:r>
      <w:proofErr w:type="spellEnd"/>
      <w:r w:rsidRPr="00A01A72">
        <w:rPr>
          <w:szCs w:val="18"/>
          <w:lang w:val="fr-CH"/>
        </w:rPr>
        <w:t xml:space="preserve"> </w:t>
      </w:r>
      <w:proofErr w:type="gramStart"/>
      <w:r w:rsidRPr="00A01A72">
        <w:rPr>
          <w:szCs w:val="18"/>
          <w:lang w:val="fr-CH"/>
        </w:rPr>
        <w:t>at:</w:t>
      </w:r>
      <w:proofErr w:type="gramEnd"/>
      <w:r w:rsidRPr="00A01A72">
        <w:rPr>
          <w:szCs w:val="18"/>
          <w:lang w:val="fr-CH"/>
        </w:rPr>
        <w:t xml:space="preserve"> &lt;https://www.legifrance.gouv.fr/loda/id/JORFTEXT000021625586/&gt;.</w:t>
      </w:r>
    </w:p>
  </w:footnote>
  <w:footnote w:id="24">
    <w:p w14:paraId="67E146F7"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Compensation Committee for Nuclear Test Victims (CIVEN), ‘Activity report 2020: review of 10 years of the law of the </w:t>
      </w:r>
      <w:proofErr w:type="gramStart"/>
      <w:r w:rsidRPr="00A01A72">
        <w:rPr>
          <w:szCs w:val="18"/>
        </w:rPr>
        <w:t>5th</w:t>
      </w:r>
      <w:proofErr w:type="gramEnd"/>
      <w:r w:rsidRPr="00A01A72">
        <w:rPr>
          <w:szCs w:val="18"/>
        </w:rPr>
        <w:t xml:space="preserve"> January 2010’ (9 March 2021). Available at: &lt;https://www.gouvernement.fr/rapport-d-activite-2020&gt;.</w:t>
      </w:r>
    </w:p>
  </w:footnote>
  <w:footnote w:id="25">
    <w:p w14:paraId="486C6BA3"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w:t>
      </w:r>
      <w:proofErr w:type="spellStart"/>
      <w:r w:rsidRPr="00A01A72">
        <w:rPr>
          <w:szCs w:val="18"/>
        </w:rPr>
        <w:t>Moruroa</w:t>
      </w:r>
      <w:proofErr w:type="spellEnd"/>
      <w:r w:rsidRPr="00A01A72">
        <w:rPr>
          <w:szCs w:val="18"/>
        </w:rPr>
        <w:t xml:space="preserve"> Files, The compensation trap. Available at: &lt;https://moruroa-files.org/en/investigation/battle-for-compensation&gt;; Jean-Marie Collin and Patrice </w:t>
      </w:r>
      <w:proofErr w:type="spellStart"/>
      <w:r w:rsidRPr="00A01A72">
        <w:rPr>
          <w:szCs w:val="18"/>
        </w:rPr>
        <w:t>Bouveret</w:t>
      </w:r>
      <w:proofErr w:type="spellEnd"/>
      <w:r w:rsidRPr="00A01A72">
        <w:rPr>
          <w:szCs w:val="18"/>
        </w:rPr>
        <w:t xml:space="preserve">, Radioactivity Under the Sand: The Waste from French Nuclear Tests in Algeria (Heinrich </w:t>
      </w:r>
      <w:proofErr w:type="spellStart"/>
      <w:r w:rsidRPr="00A01A72">
        <w:rPr>
          <w:szCs w:val="18"/>
        </w:rPr>
        <w:t>Böll</w:t>
      </w:r>
      <w:proofErr w:type="spellEnd"/>
      <w:r w:rsidRPr="00A01A72">
        <w:rPr>
          <w:szCs w:val="18"/>
        </w:rPr>
        <w:t xml:space="preserve"> Foundation, July 2020),13.</w:t>
      </w:r>
    </w:p>
  </w:footnote>
  <w:footnote w:id="26">
    <w:p w14:paraId="4325765C" w14:textId="77777777" w:rsidR="007D38AC" w:rsidRPr="00A01A72" w:rsidRDefault="007D38AC"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See the </w:t>
      </w:r>
      <w:proofErr w:type="spellStart"/>
      <w:r w:rsidRPr="00A01A72">
        <w:rPr>
          <w:szCs w:val="18"/>
        </w:rPr>
        <w:t>Moruroa</w:t>
      </w:r>
      <w:proofErr w:type="spellEnd"/>
      <w:r w:rsidRPr="00A01A72">
        <w:rPr>
          <w:szCs w:val="18"/>
        </w:rPr>
        <w:t xml:space="preserve"> Files available at moruroa-files.org; See also Sébastien Philippe and Tomas Statius, Toxic: Investigation into French nuclear tests in Polynesia (Paris: </w:t>
      </w:r>
      <w:proofErr w:type="spellStart"/>
      <w:r w:rsidRPr="00A01A72">
        <w:rPr>
          <w:szCs w:val="18"/>
        </w:rPr>
        <w:t>Puf</w:t>
      </w:r>
      <w:proofErr w:type="spellEnd"/>
      <w:r w:rsidRPr="00A01A72">
        <w:rPr>
          <w:szCs w:val="18"/>
        </w:rPr>
        <w:t>, 2021).</w:t>
      </w:r>
    </w:p>
  </w:footnote>
  <w:footnote w:id="27">
    <w:p w14:paraId="404DB5B6"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w:t>
      </w:r>
      <w:proofErr w:type="spellStart"/>
      <w:r w:rsidRPr="00A01A72">
        <w:rPr>
          <w:szCs w:val="18"/>
        </w:rPr>
        <w:t>Moruroa</w:t>
      </w:r>
      <w:proofErr w:type="spellEnd"/>
      <w:r w:rsidRPr="00A01A72">
        <w:rPr>
          <w:szCs w:val="18"/>
        </w:rPr>
        <w:t xml:space="preserve"> Files, The compensation trap, available at: &lt;https://moruroa-files.org/en/investigation/battle-for-compensation&gt;.</w:t>
      </w:r>
    </w:p>
  </w:footnote>
  <w:footnote w:id="28">
    <w:p w14:paraId="0040DC3E"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Proposition de </w:t>
      </w:r>
      <w:proofErr w:type="spellStart"/>
      <w:r w:rsidRPr="00A01A72">
        <w:rPr>
          <w:szCs w:val="18"/>
        </w:rPr>
        <w:t>loi</w:t>
      </w:r>
      <w:proofErr w:type="spellEnd"/>
      <w:r w:rsidRPr="00A01A72">
        <w:rPr>
          <w:szCs w:val="18"/>
        </w:rPr>
        <w:t xml:space="preserve"> nº 3966 </w:t>
      </w:r>
      <w:proofErr w:type="spellStart"/>
      <w:r w:rsidRPr="00A01A72">
        <w:rPr>
          <w:szCs w:val="18"/>
        </w:rPr>
        <w:t>visant</w:t>
      </w:r>
      <w:proofErr w:type="spellEnd"/>
      <w:r w:rsidRPr="00A01A72">
        <w:rPr>
          <w:szCs w:val="18"/>
        </w:rPr>
        <w:t xml:space="preserve"> à la </w:t>
      </w:r>
      <w:proofErr w:type="spellStart"/>
      <w:r w:rsidRPr="00A01A72">
        <w:rPr>
          <w:szCs w:val="18"/>
        </w:rPr>
        <w:t>prise</w:t>
      </w:r>
      <w:proofErr w:type="spellEnd"/>
      <w:r w:rsidRPr="00A01A72">
        <w:rPr>
          <w:szCs w:val="18"/>
        </w:rPr>
        <w:t xml:space="preserve"> </w:t>
      </w:r>
      <w:proofErr w:type="spellStart"/>
      <w:r w:rsidRPr="00A01A72">
        <w:rPr>
          <w:szCs w:val="18"/>
        </w:rPr>
        <w:t>en</w:t>
      </w:r>
      <w:proofErr w:type="spellEnd"/>
      <w:r w:rsidRPr="00A01A72">
        <w:rPr>
          <w:szCs w:val="18"/>
        </w:rPr>
        <w:t xml:space="preserve"> charge et à la </w:t>
      </w:r>
      <w:proofErr w:type="spellStart"/>
      <w:r w:rsidRPr="00A01A72">
        <w:rPr>
          <w:szCs w:val="18"/>
        </w:rPr>
        <w:t>réparation</w:t>
      </w:r>
      <w:proofErr w:type="spellEnd"/>
      <w:r w:rsidRPr="00A01A72">
        <w:rPr>
          <w:szCs w:val="18"/>
        </w:rPr>
        <w:t xml:space="preserve"> des </w:t>
      </w:r>
      <w:proofErr w:type="spellStart"/>
      <w:r w:rsidRPr="00A01A72">
        <w:rPr>
          <w:szCs w:val="18"/>
        </w:rPr>
        <w:t>conséquences</w:t>
      </w:r>
      <w:proofErr w:type="spellEnd"/>
      <w:r w:rsidRPr="00A01A72">
        <w:rPr>
          <w:szCs w:val="18"/>
        </w:rPr>
        <w:t xml:space="preserve"> des </w:t>
      </w:r>
      <w:proofErr w:type="spellStart"/>
      <w:r w:rsidRPr="00A01A72">
        <w:rPr>
          <w:szCs w:val="18"/>
        </w:rPr>
        <w:t>essais</w:t>
      </w:r>
      <w:proofErr w:type="spellEnd"/>
      <w:r w:rsidRPr="00A01A72">
        <w:rPr>
          <w:szCs w:val="18"/>
        </w:rPr>
        <w:t xml:space="preserve"> </w:t>
      </w:r>
      <w:proofErr w:type="spellStart"/>
      <w:r w:rsidRPr="00A01A72">
        <w:rPr>
          <w:szCs w:val="18"/>
        </w:rPr>
        <w:t>nucléaires</w:t>
      </w:r>
      <w:proofErr w:type="spellEnd"/>
      <w:r w:rsidRPr="00A01A72">
        <w:rPr>
          <w:szCs w:val="18"/>
        </w:rPr>
        <w:t xml:space="preserve"> </w:t>
      </w:r>
      <w:proofErr w:type="spellStart"/>
      <w:r w:rsidRPr="00A01A72">
        <w:rPr>
          <w:szCs w:val="18"/>
        </w:rPr>
        <w:t>français</w:t>
      </w:r>
      <w:proofErr w:type="spellEnd"/>
      <w:r w:rsidRPr="00A01A72">
        <w:rPr>
          <w:szCs w:val="18"/>
        </w:rPr>
        <w:t xml:space="preserve"> (proposal for a law n°3966 on the assumption of responsibility and reparation for the consequences of French nuclear tests), Art. 1, paragraph I and III. Available at: &lt;https://www.assemblee-nationale.fr/dyn/15/textes/l15b3966_proposition-loi#D_Article_1er&gt;.</w:t>
      </w:r>
    </w:p>
  </w:footnote>
  <w:footnote w:id="29">
    <w:p w14:paraId="534DE7D3"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 Proposition de loi nº 3966 visant à la prise en charge et à la réparation des conséquences des essais nucléaires français (</w:t>
      </w:r>
      <w:proofErr w:type="spellStart"/>
      <w:r w:rsidRPr="00A01A72">
        <w:rPr>
          <w:szCs w:val="18"/>
          <w:lang w:val="fr-FR"/>
        </w:rPr>
        <w:t>proposal</w:t>
      </w:r>
      <w:proofErr w:type="spellEnd"/>
      <w:r w:rsidRPr="00A01A72">
        <w:rPr>
          <w:szCs w:val="18"/>
          <w:lang w:val="fr-FR"/>
        </w:rPr>
        <w:t xml:space="preserve"> for a </w:t>
      </w:r>
      <w:proofErr w:type="spellStart"/>
      <w:r w:rsidRPr="00A01A72">
        <w:rPr>
          <w:szCs w:val="18"/>
          <w:lang w:val="fr-FR"/>
        </w:rPr>
        <w:t>law</w:t>
      </w:r>
      <w:proofErr w:type="spellEnd"/>
      <w:r w:rsidRPr="00A01A72">
        <w:rPr>
          <w:szCs w:val="18"/>
          <w:lang w:val="fr-FR"/>
        </w:rPr>
        <w:t xml:space="preserve"> n°3966 on the </w:t>
      </w:r>
      <w:proofErr w:type="spellStart"/>
      <w:r w:rsidRPr="00A01A72">
        <w:rPr>
          <w:szCs w:val="18"/>
          <w:lang w:val="fr-FR"/>
        </w:rPr>
        <w:t>assumption</w:t>
      </w:r>
      <w:proofErr w:type="spellEnd"/>
      <w:r w:rsidRPr="00A01A72">
        <w:rPr>
          <w:szCs w:val="18"/>
          <w:lang w:val="fr-FR"/>
        </w:rPr>
        <w:t xml:space="preserve"> of </w:t>
      </w:r>
      <w:proofErr w:type="spellStart"/>
      <w:r w:rsidRPr="00A01A72">
        <w:rPr>
          <w:szCs w:val="18"/>
          <w:lang w:val="fr-FR"/>
        </w:rPr>
        <w:t>responsibility</w:t>
      </w:r>
      <w:proofErr w:type="spellEnd"/>
      <w:r w:rsidRPr="00A01A72">
        <w:rPr>
          <w:szCs w:val="18"/>
          <w:lang w:val="fr-FR"/>
        </w:rPr>
        <w:t xml:space="preserve"> and </w:t>
      </w:r>
      <w:proofErr w:type="spellStart"/>
      <w:r w:rsidRPr="00A01A72">
        <w:rPr>
          <w:szCs w:val="18"/>
          <w:lang w:val="fr-FR"/>
        </w:rPr>
        <w:t>reparation</w:t>
      </w:r>
      <w:proofErr w:type="spellEnd"/>
      <w:r w:rsidRPr="00A01A72">
        <w:rPr>
          <w:szCs w:val="18"/>
          <w:lang w:val="fr-FR"/>
        </w:rPr>
        <w:t xml:space="preserve"> for the </w:t>
      </w:r>
      <w:proofErr w:type="spellStart"/>
      <w:r w:rsidRPr="00A01A72">
        <w:rPr>
          <w:szCs w:val="18"/>
          <w:lang w:val="fr-FR"/>
        </w:rPr>
        <w:t>consequences</w:t>
      </w:r>
      <w:proofErr w:type="spellEnd"/>
      <w:r w:rsidRPr="00A01A72">
        <w:rPr>
          <w:szCs w:val="18"/>
          <w:lang w:val="fr-FR"/>
        </w:rPr>
        <w:t xml:space="preserve"> of French </w:t>
      </w:r>
      <w:proofErr w:type="spellStart"/>
      <w:r w:rsidRPr="00A01A72">
        <w:rPr>
          <w:szCs w:val="18"/>
          <w:lang w:val="fr-FR"/>
        </w:rPr>
        <w:t>nuclear</w:t>
      </w:r>
      <w:proofErr w:type="spellEnd"/>
      <w:r w:rsidRPr="00A01A72">
        <w:rPr>
          <w:szCs w:val="18"/>
          <w:lang w:val="fr-FR"/>
        </w:rPr>
        <w:t xml:space="preserve"> tests) Art. 1, </w:t>
      </w:r>
      <w:proofErr w:type="spellStart"/>
      <w:r w:rsidRPr="00A01A72">
        <w:rPr>
          <w:szCs w:val="18"/>
          <w:lang w:val="fr-FR"/>
        </w:rPr>
        <w:t>paragraph</w:t>
      </w:r>
      <w:proofErr w:type="spellEnd"/>
      <w:r w:rsidRPr="00A01A72">
        <w:rPr>
          <w:szCs w:val="18"/>
          <w:lang w:val="fr-FR"/>
        </w:rPr>
        <w:t xml:space="preserve"> IV. </w:t>
      </w:r>
      <w:r w:rsidRPr="00A01A72">
        <w:rPr>
          <w:szCs w:val="18"/>
        </w:rPr>
        <w:t>Available at: &lt;https://www.assemblee-nationale.fr/dyn/15/textes/l15b3966_proposition-loi#D_Article_1er&gt;.</w:t>
      </w:r>
    </w:p>
  </w:footnote>
  <w:footnote w:id="30">
    <w:p w14:paraId="6EC3776C"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  </w:t>
      </w:r>
      <w:proofErr w:type="spellStart"/>
      <w:r w:rsidRPr="00A01A72">
        <w:rPr>
          <w:szCs w:val="18"/>
          <w:lang w:val="fr-FR"/>
        </w:rPr>
        <w:t>Boulman</w:t>
      </w:r>
      <w:proofErr w:type="spellEnd"/>
      <w:r w:rsidRPr="00A01A72">
        <w:rPr>
          <w:szCs w:val="18"/>
          <w:lang w:val="fr-FR"/>
        </w:rPr>
        <w:t xml:space="preserve">, C. Essais nucléaires en Polynésie française : Macron reconnaît la « dette » de la France (Les </w:t>
      </w:r>
      <w:proofErr w:type="spellStart"/>
      <w:r w:rsidRPr="00A01A72">
        <w:rPr>
          <w:szCs w:val="18"/>
          <w:lang w:val="fr-FR"/>
        </w:rPr>
        <w:t>Echos</w:t>
      </w:r>
      <w:proofErr w:type="spellEnd"/>
      <w:r w:rsidRPr="00A01A72">
        <w:rPr>
          <w:szCs w:val="18"/>
          <w:lang w:val="fr-FR"/>
        </w:rPr>
        <w:t xml:space="preserve">, 28 July 2021). </w:t>
      </w:r>
      <w:r w:rsidRPr="00A01A72">
        <w:rPr>
          <w:szCs w:val="18"/>
        </w:rPr>
        <w:t>Available at: &lt;</w:t>
      </w:r>
      <w:r w:rsidRPr="00A01A72">
        <w:rPr>
          <w:szCs w:val="18"/>
          <w:u w:val="single"/>
        </w:rPr>
        <w:t>https://www.lesechos.fr/politique-societe/emmanuel-macron-president/essais-nucleaires-en-polynesie-francaise-macron-reconnait-la-dette-de-la-france-1335300</w:t>
      </w:r>
      <w:r w:rsidRPr="00A01A72">
        <w:rPr>
          <w:szCs w:val="18"/>
        </w:rPr>
        <w:t>&gt;; The CIVEN is the independent administrative authority that has the power to award or not award compensation under the Morin law.</w:t>
      </w:r>
    </w:p>
  </w:footnote>
  <w:footnote w:id="31">
    <w:p w14:paraId="5BC9566E" w14:textId="77777777" w:rsidR="009D40A8" w:rsidRPr="00A01A72" w:rsidRDefault="009D40A8" w:rsidP="00A01A72">
      <w:pPr>
        <w:pStyle w:val="FootnoteText"/>
        <w:rPr>
          <w:rFonts w:eastAsia="Calibri"/>
          <w:szCs w:val="18"/>
          <w:vertAlign w:val="superscript"/>
        </w:rPr>
      </w:pPr>
      <w:r w:rsidRPr="00A01A72">
        <w:rPr>
          <w:rStyle w:val="FootnoteReference"/>
          <w:rFonts w:cs="Times New Roman"/>
          <w:color w:val="000000" w:themeColor="text1"/>
          <w:szCs w:val="18"/>
        </w:rPr>
        <w:footnoteRef/>
      </w:r>
      <w:r w:rsidRPr="00A01A72">
        <w:rPr>
          <w:szCs w:val="18"/>
          <w:vertAlign w:val="superscript"/>
        </w:rPr>
        <w:t xml:space="preserve"> </w:t>
      </w:r>
      <w:r w:rsidRPr="00A01A72">
        <w:rPr>
          <w:szCs w:val="18"/>
        </w:rPr>
        <w:t>“Health (…)  The Commission on Improving Compensation for Victims of Nuclear Tests, established by law No. 2017-256 of 28 February 2017 on programming relating to substantive equality in the overseas territories, presented its conclusions which were intended to improve the situation of victims of nuclear tests. Please provide information on the processing of claims for compensation of women and girls in French Polynesia.” Committee on the Elimination of</w:t>
      </w:r>
      <w:r w:rsidRPr="00A01A72">
        <w:rPr>
          <w:rFonts w:eastAsia="Calibri"/>
          <w:szCs w:val="18"/>
          <w:vertAlign w:val="superscript"/>
        </w:rPr>
        <w:t xml:space="preserve"> </w:t>
      </w:r>
      <w:r w:rsidRPr="00A01A72">
        <w:rPr>
          <w:szCs w:val="18"/>
        </w:rPr>
        <w:t>Discrimination against Women, List of issues and questions in relation to the ninth periodic report of France, (7 March 2022), UN Doc CEDAW/C/FRA/Q/9, para. 19.</w:t>
      </w:r>
      <w:r w:rsidRPr="00A01A72">
        <w:rPr>
          <w:rFonts w:eastAsia="Calibri"/>
          <w:szCs w:val="18"/>
          <w:vertAlign w:val="superscript"/>
        </w:rPr>
        <w:t xml:space="preserve"> </w:t>
      </w:r>
    </w:p>
  </w:footnote>
  <w:footnote w:id="32">
    <w:p w14:paraId="56059EE3"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UN Human Rights Council ‘Report of the Working Group on the Universal Periodic Review of France’ (11 April 2018) UN Doc A/HRC/38/4, Recommendations 145.138, 145.139, 145.170, 145.171, 145.172, 145.173. Available at: &lt;https://documents-dds-ny.un.org/doc/UNDOC/GEN/G18/102/49/PDF/G1810249.pdf?OpenElement&gt;; In 2015, the Human Rights Committee recommended that France: “should adopt effective measures, particularly in terms of training, to prevent law enforcement and security forces from using excessive force or non-lethal weapons in situations that do not warrant recourse to greater or lethal force. In that connection, the Committee draws the State party’s attention to the United Nations Basic Principles on the Use of Force and Firearms by Law Enforcement Officials”, Human Rights Committee ‘Concluding observations on the fifth periodic report of France’ (17 August 2015) UN Doc CCPR/C/FRA/CO/5, paragraph 15.</w:t>
      </w:r>
    </w:p>
  </w:footnote>
  <w:footnote w:id="33">
    <w:p w14:paraId="30AD5E01"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Note: For this submission, these weapons will be referred to as “less-lethal weapons” in line with the definition used by the Office of the High Commissioner for Human Rights; however, WILPF rejects any distinction between the purported lethality of any weapon system, given that the use of any weapon can have fatal consequences. </w:t>
      </w:r>
    </w:p>
  </w:footnote>
  <w:footnote w:id="34">
    <w:p w14:paraId="05FC29A7"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Olivier </w:t>
      </w:r>
      <w:proofErr w:type="spellStart"/>
      <w:r w:rsidRPr="00A01A72">
        <w:rPr>
          <w:szCs w:val="18"/>
        </w:rPr>
        <w:t>Bénis</w:t>
      </w:r>
      <w:proofErr w:type="spellEnd"/>
      <w:r w:rsidRPr="00A01A72">
        <w:rPr>
          <w:szCs w:val="18"/>
        </w:rPr>
        <w:t>, Flash-ball, LBD 40: these non-lethal weapons denounced for ten years by (almost) everyone (</w:t>
      </w:r>
      <w:proofErr w:type="spellStart"/>
      <w:r w:rsidRPr="00A01A72">
        <w:rPr>
          <w:szCs w:val="18"/>
        </w:rPr>
        <w:t>Franceinter</w:t>
      </w:r>
      <w:proofErr w:type="spellEnd"/>
      <w:r w:rsidRPr="00A01A72">
        <w:rPr>
          <w:szCs w:val="18"/>
        </w:rPr>
        <w:t xml:space="preserve">, 16 January 2019). Available at: &lt;https://www.franceinter.fr/justice/flash-ball-lbd-40-ces-armes-non-letales-denoncees-depuis-dix-ans-par-presque-tout-le-monde&gt;; Action des </w:t>
      </w:r>
      <w:proofErr w:type="spellStart"/>
      <w:r w:rsidRPr="00A01A72">
        <w:rPr>
          <w:szCs w:val="18"/>
        </w:rPr>
        <w:t>Chrétiens</w:t>
      </w:r>
      <w:proofErr w:type="spellEnd"/>
      <w:r w:rsidRPr="00A01A72">
        <w:rPr>
          <w:szCs w:val="18"/>
        </w:rPr>
        <w:t xml:space="preserve"> pour </w:t>
      </w:r>
      <w:proofErr w:type="spellStart"/>
      <w:r w:rsidRPr="00A01A72">
        <w:rPr>
          <w:szCs w:val="18"/>
        </w:rPr>
        <w:t>l’Abolition</w:t>
      </w:r>
      <w:proofErr w:type="spellEnd"/>
      <w:r w:rsidRPr="00A01A72">
        <w:rPr>
          <w:szCs w:val="18"/>
        </w:rPr>
        <w:t xml:space="preserve"> de la Torture, </w:t>
      </w:r>
      <w:proofErr w:type="gramStart"/>
      <w:r w:rsidRPr="00A01A72">
        <w:rPr>
          <w:szCs w:val="18"/>
        </w:rPr>
        <w:t>Practices</w:t>
      </w:r>
      <w:proofErr w:type="gramEnd"/>
      <w:r w:rsidRPr="00A01A72">
        <w:rPr>
          <w:szCs w:val="18"/>
        </w:rPr>
        <w:t xml:space="preserve"> and consequences of policing in France - Analysis note addressed to the Defender of Rights in the context of his fact-finding mission on policing (July 2017). Available at: &lt;https://www.acatfrance.fr/public/acat--pratiques-et-consequences-du-</w:t>
      </w:r>
      <w:proofErr w:type="spellStart"/>
      <w:r w:rsidRPr="00A01A72">
        <w:rPr>
          <w:szCs w:val="18"/>
        </w:rPr>
        <w:t>maintien</w:t>
      </w:r>
      <w:proofErr w:type="spellEnd"/>
      <w:r w:rsidRPr="00A01A72">
        <w:rPr>
          <w:szCs w:val="18"/>
        </w:rPr>
        <w:t>-de-l-</w:t>
      </w:r>
      <w:proofErr w:type="spellStart"/>
      <w:r w:rsidRPr="00A01A72">
        <w:rPr>
          <w:szCs w:val="18"/>
        </w:rPr>
        <w:t>ordre</w:t>
      </w:r>
      <w:proofErr w:type="spellEnd"/>
      <w:r w:rsidRPr="00A01A72">
        <w:rPr>
          <w:szCs w:val="18"/>
        </w:rPr>
        <w:t>-</w:t>
      </w:r>
      <w:proofErr w:type="spellStart"/>
      <w:r w:rsidRPr="00A01A72">
        <w:rPr>
          <w:szCs w:val="18"/>
        </w:rPr>
        <w:t>en-france</w:t>
      </w:r>
      <w:proofErr w:type="spellEnd"/>
      <w:r w:rsidRPr="00A01A72">
        <w:rPr>
          <w:szCs w:val="18"/>
        </w:rPr>
        <w:t>---juillet-2017.pdf&gt;; Amnesty International, Recommendations on the "defensive bullet launcher” (5 March 2012). Available at: &lt;https://web.archive.org/web/20120903074627/https://www.amnesty.fr/sites/default/files/SF12REG56_05mars2012.pdf&gt;.</w:t>
      </w:r>
    </w:p>
  </w:footnote>
  <w:footnote w:id="35">
    <w:p w14:paraId="35D6A49D" w14:textId="1EB6122E"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rPr>
        <w:t xml:space="preserve">This independent constitutional authority reunites the missions previously assigned to four different authorities: the High authority for the fight against discrimination and for equality (HALDE), The Defender of Children, the Republic </w:t>
      </w:r>
      <w:proofErr w:type="gramStart"/>
      <w:r w:rsidRPr="00A01A72">
        <w:rPr>
          <w:szCs w:val="18"/>
        </w:rPr>
        <w:t>Mediator</w:t>
      </w:r>
      <w:proofErr w:type="gramEnd"/>
      <w:r w:rsidRPr="00A01A72">
        <w:rPr>
          <w:szCs w:val="18"/>
        </w:rPr>
        <w:t xml:space="preserve"> and the National Commission for police ethics (CNDS). The organic law n°2011-333 and ordinary law n°2011-334 from 29 March 2011 specified the status, missions, </w:t>
      </w:r>
      <w:proofErr w:type="gramStart"/>
      <w:r w:rsidRPr="00A01A72">
        <w:rPr>
          <w:szCs w:val="18"/>
        </w:rPr>
        <w:t>powers</w:t>
      </w:r>
      <w:proofErr w:type="gramEnd"/>
      <w:r w:rsidRPr="00A01A72">
        <w:rPr>
          <w:szCs w:val="18"/>
        </w:rPr>
        <w:t xml:space="preserve"> and resources of this new institution. More information available at: &lt;https://defenseurdesdroits.fr/en&gt;; Defender of Rights, Report of the Defender of Rights on </w:t>
      </w:r>
      <w:r w:rsidR="007D38AC" w:rsidRPr="00A01A72">
        <w:rPr>
          <w:szCs w:val="18"/>
        </w:rPr>
        <w:t>“</w:t>
      </w:r>
      <w:r w:rsidRPr="00A01A72">
        <w:rPr>
          <w:szCs w:val="18"/>
        </w:rPr>
        <w:t xml:space="preserve">The maintenance of order with regard to the rules of deontology” (December 2017) page 26. </w:t>
      </w:r>
    </w:p>
  </w:footnote>
  <w:footnote w:id="36">
    <w:p w14:paraId="0675F6AD"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Sebastian </w:t>
      </w:r>
      <w:proofErr w:type="spellStart"/>
      <w:r w:rsidRPr="00A01A72">
        <w:rPr>
          <w:szCs w:val="18"/>
        </w:rPr>
        <w:t>Roché</w:t>
      </w:r>
      <w:proofErr w:type="spellEnd"/>
      <w:r w:rsidRPr="00A01A72">
        <w:rPr>
          <w:szCs w:val="18"/>
        </w:rPr>
        <w:t>, Police violence in France (Esprit, January 2020). Available at: &lt;https://esprit.presse.fr/actualites/sebastian-roche/les-violences-policieres-en-france-42562#_ftn10&gt;.</w:t>
      </w:r>
    </w:p>
  </w:footnote>
  <w:footnote w:id="37">
    <w:p w14:paraId="768503F1"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Action des Chrétiens pour l’Abolition de la Torture, </w:t>
      </w:r>
      <w:proofErr w:type="spellStart"/>
      <w:r w:rsidRPr="00A01A72">
        <w:rPr>
          <w:szCs w:val="18"/>
          <w:lang w:val="fr-FR"/>
        </w:rPr>
        <w:t>Policing</w:t>
      </w:r>
      <w:proofErr w:type="spellEnd"/>
      <w:r w:rsidRPr="00A01A72">
        <w:rPr>
          <w:szCs w:val="18"/>
          <w:lang w:val="fr-FR"/>
        </w:rPr>
        <w:t xml:space="preserve"> at </w:t>
      </w:r>
      <w:proofErr w:type="spellStart"/>
      <w:r w:rsidRPr="00A01A72">
        <w:rPr>
          <w:szCs w:val="18"/>
          <w:lang w:val="fr-FR"/>
        </w:rPr>
        <w:t>What</w:t>
      </w:r>
      <w:proofErr w:type="spellEnd"/>
      <w:r w:rsidRPr="00A01A72">
        <w:rPr>
          <w:szCs w:val="18"/>
          <w:lang w:val="fr-FR"/>
        </w:rPr>
        <w:t xml:space="preserve"> </w:t>
      </w:r>
      <w:proofErr w:type="spellStart"/>
      <w:proofErr w:type="gramStart"/>
      <w:r w:rsidRPr="00A01A72">
        <w:rPr>
          <w:szCs w:val="18"/>
          <w:lang w:val="fr-FR"/>
        </w:rPr>
        <w:t>Cost</w:t>
      </w:r>
      <w:proofErr w:type="spellEnd"/>
      <w:r w:rsidRPr="00A01A72">
        <w:rPr>
          <w:szCs w:val="18"/>
          <w:lang w:val="fr-FR"/>
        </w:rPr>
        <w:t>?</w:t>
      </w:r>
      <w:proofErr w:type="gramEnd"/>
      <w:r w:rsidRPr="00A01A72">
        <w:rPr>
          <w:szCs w:val="18"/>
          <w:lang w:val="fr-FR"/>
        </w:rPr>
        <w:t xml:space="preserve"> </w:t>
      </w:r>
      <w:r w:rsidRPr="00A01A72">
        <w:rPr>
          <w:szCs w:val="18"/>
        </w:rPr>
        <w:t>An investigation into the evolution of policing practices in France and their impacts on freedom (March 2020) page 97. Available at: &lt; https://www.acatfrance.fr/rapport/lordre-a-quel-prix&gt;.</w:t>
      </w:r>
    </w:p>
  </w:footnote>
  <w:footnote w:id="38">
    <w:p w14:paraId="67F51E1F"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Action des Chrétiens pour l’Abolition de la Torture, </w:t>
      </w:r>
      <w:proofErr w:type="spellStart"/>
      <w:r w:rsidRPr="00A01A72">
        <w:rPr>
          <w:szCs w:val="18"/>
          <w:lang w:val="fr-FR"/>
        </w:rPr>
        <w:t>Policing</w:t>
      </w:r>
      <w:proofErr w:type="spellEnd"/>
      <w:r w:rsidRPr="00A01A72">
        <w:rPr>
          <w:szCs w:val="18"/>
          <w:lang w:val="fr-FR"/>
        </w:rPr>
        <w:t xml:space="preserve"> at </w:t>
      </w:r>
      <w:proofErr w:type="spellStart"/>
      <w:r w:rsidRPr="00A01A72">
        <w:rPr>
          <w:szCs w:val="18"/>
          <w:lang w:val="fr-FR"/>
        </w:rPr>
        <w:t>What</w:t>
      </w:r>
      <w:proofErr w:type="spellEnd"/>
      <w:r w:rsidRPr="00A01A72">
        <w:rPr>
          <w:szCs w:val="18"/>
          <w:lang w:val="fr-FR"/>
        </w:rPr>
        <w:t xml:space="preserve"> </w:t>
      </w:r>
      <w:proofErr w:type="spellStart"/>
      <w:proofErr w:type="gramStart"/>
      <w:r w:rsidRPr="00A01A72">
        <w:rPr>
          <w:szCs w:val="18"/>
          <w:lang w:val="fr-FR"/>
        </w:rPr>
        <w:t>Cost</w:t>
      </w:r>
      <w:proofErr w:type="spellEnd"/>
      <w:r w:rsidRPr="00A01A72">
        <w:rPr>
          <w:szCs w:val="18"/>
          <w:lang w:val="fr-FR"/>
        </w:rPr>
        <w:t>?</w:t>
      </w:r>
      <w:proofErr w:type="gramEnd"/>
      <w:r w:rsidRPr="00A01A72">
        <w:rPr>
          <w:szCs w:val="18"/>
          <w:lang w:val="fr-FR"/>
        </w:rPr>
        <w:t xml:space="preserve"> </w:t>
      </w:r>
      <w:r w:rsidRPr="00A01A72">
        <w:rPr>
          <w:szCs w:val="18"/>
        </w:rPr>
        <w:t xml:space="preserve">An investigation into the evolution of policing practices in France and their impacts on freedom (March 2020) 97. Available at: &lt; https://www.acatfrance.fr/rapport/lordre-a-quel-prix&gt;.; </w:t>
      </w:r>
      <w:proofErr w:type="spellStart"/>
      <w:r w:rsidRPr="00A01A72">
        <w:rPr>
          <w:szCs w:val="18"/>
        </w:rPr>
        <w:t>Franceinfo</w:t>
      </w:r>
      <w:proofErr w:type="spellEnd"/>
      <w:r w:rsidRPr="00A01A72">
        <w:rPr>
          <w:szCs w:val="18"/>
        </w:rPr>
        <w:t xml:space="preserve">, </w:t>
      </w:r>
      <w:proofErr w:type="gramStart"/>
      <w:r w:rsidRPr="00A01A72">
        <w:rPr>
          <w:szCs w:val="18"/>
        </w:rPr>
        <w:t>One</w:t>
      </w:r>
      <w:proofErr w:type="gramEnd"/>
      <w:r w:rsidRPr="00A01A72">
        <w:rPr>
          <w:szCs w:val="18"/>
        </w:rPr>
        <w:t xml:space="preserve"> year later, this young victim of an LBD shooting in Lyon is anxiously awaiting the results of the police investigation (27 April 2021). Available at: &lt;https://france3-regions.francetvinfo.fr/auvergne-rhone-alpes/rhone/lyon/un-an-apres-cette-jeune-victime-d-un-tir-de-lbd-a-lyon-attend-avec-inquietude-les-resultats-de-l-enquete-policiere-2063290.html&gt;.</w:t>
      </w:r>
    </w:p>
  </w:footnote>
  <w:footnote w:id="39">
    <w:p w14:paraId="419188EB"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Defender of Rights, Report of the Defender of Rights on "The maintenance of order with regard to the rules of deontology” (December 2017) page 26. Available at: &lt;https://www.defenseurdesdroits.fr/sites/default/files/atoms/files/ddd_rt_201712_maintien_ordre.pdf&gt;.</w:t>
      </w:r>
    </w:p>
  </w:footnote>
  <w:footnote w:id="40">
    <w:p w14:paraId="073E6A4E"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proofErr w:type="spellStart"/>
      <w:r w:rsidRPr="00A01A72">
        <w:rPr>
          <w:szCs w:val="18"/>
        </w:rPr>
        <w:t>Laurène</w:t>
      </w:r>
      <w:proofErr w:type="spellEnd"/>
      <w:r w:rsidRPr="00A01A72">
        <w:rPr>
          <w:szCs w:val="18"/>
        </w:rPr>
        <w:t xml:space="preserve"> </w:t>
      </w:r>
      <w:proofErr w:type="spellStart"/>
      <w:r w:rsidRPr="00A01A72">
        <w:rPr>
          <w:szCs w:val="18"/>
        </w:rPr>
        <w:t>Dufayet</w:t>
      </w:r>
      <w:proofErr w:type="spellEnd"/>
      <w:r w:rsidRPr="00A01A72">
        <w:rPr>
          <w:szCs w:val="18"/>
        </w:rPr>
        <w:t xml:space="preserve">, Nicolas </w:t>
      </w:r>
      <w:proofErr w:type="spellStart"/>
      <w:r w:rsidRPr="00A01A72">
        <w:rPr>
          <w:szCs w:val="18"/>
        </w:rPr>
        <w:t>Soussy</w:t>
      </w:r>
      <w:proofErr w:type="spellEnd"/>
      <w:r w:rsidRPr="00A01A72">
        <w:rPr>
          <w:szCs w:val="18"/>
        </w:rPr>
        <w:t xml:space="preserve"> and Charlotte </w:t>
      </w:r>
      <w:proofErr w:type="spellStart"/>
      <w:r w:rsidRPr="00A01A72">
        <w:rPr>
          <w:szCs w:val="18"/>
        </w:rPr>
        <w:t>Giorgard</w:t>
      </w:r>
      <w:proofErr w:type="spellEnd"/>
      <w:r w:rsidRPr="00A01A72">
        <w:rPr>
          <w:szCs w:val="18"/>
        </w:rPr>
        <w:t xml:space="preserve">, French protests: why defensive bullet launchers should be banned (The Lancet, </w:t>
      </w:r>
      <w:hyperlink r:id="rId1">
        <w:r w:rsidRPr="00A01A72">
          <w:rPr>
            <w:szCs w:val="18"/>
          </w:rPr>
          <w:t>VOLUME 396, ISSUE 10253</w:t>
        </w:r>
      </w:hyperlink>
      <w:r w:rsidRPr="00A01A72">
        <w:rPr>
          <w:szCs w:val="18"/>
        </w:rPr>
        <w:t>, P757-758, September 12, 2020).  Available at: &lt;https://www.thelancet.com/journals/lancet/article/PIIS0140-6736(20)31869-9/fulltext&gt;; Aurore Chauvin et al., Ocular injuries occurred by less-lethal weapons in France, (The Lancet, vol. 394, n° 10209, 2 November 2019) 1616-7. Available at: &lt;https://www.researchgate.net/publication/336987252_Ocular_injuries_caused_by_less-lethal_weapons_in_France&gt;.</w:t>
      </w:r>
    </w:p>
  </w:footnote>
  <w:footnote w:id="41">
    <w:p w14:paraId="0080D807"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Action des Chrétiens pour l’Abolition de la Torture, </w:t>
      </w:r>
      <w:proofErr w:type="spellStart"/>
      <w:r w:rsidRPr="00A01A72">
        <w:rPr>
          <w:szCs w:val="18"/>
          <w:lang w:val="fr-FR"/>
        </w:rPr>
        <w:t>Policing</w:t>
      </w:r>
      <w:proofErr w:type="spellEnd"/>
      <w:r w:rsidRPr="00A01A72">
        <w:rPr>
          <w:szCs w:val="18"/>
          <w:lang w:val="fr-FR"/>
        </w:rPr>
        <w:t xml:space="preserve"> at </w:t>
      </w:r>
      <w:proofErr w:type="spellStart"/>
      <w:r w:rsidRPr="00A01A72">
        <w:rPr>
          <w:szCs w:val="18"/>
          <w:lang w:val="fr-FR"/>
        </w:rPr>
        <w:t>What</w:t>
      </w:r>
      <w:proofErr w:type="spellEnd"/>
      <w:r w:rsidRPr="00A01A72">
        <w:rPr>
          <w:szCs w:val="18"/>
          <w:lang w:val="fr-FR"/>
        </w:rPr>
        <w:t xml:space="preserve"> </w:t>
      </w:r>
      <w:proofErr w:type="spellStart"/>
      <w:proofErr w:type="gramStart"/>
      <w:r w:rsidRPr="00A01A72">
        <w:rPr>
          <w:szCs w:val="18"/>
          <w:lang w:val="fr-FR"/>
        </w:rPr>
        <w:t>Cost</w:t>
      </w:r>
      <w:proofErr w:type="spellEnd"/>
      <w:r w:rsidRPr="00A01A72">
        <w:rPr>
          <w:szCs w:val="18"/>
          <w:lang w:val="fr-FR"/>
        </w:rPr>
        <w:t>?</w:t>
      </w:r>
      <w:proofErr w:type="gramEnd"/>
      <w:r w:rsidRPr="00A01A72">
        <w:rPr>
          <w:szCs w:val="18"/>
          <w:lang w:val="fr-FR"/>
        </w:rPr>
        <w:t xml:space="preserve"> </w:t>
      </w:r>
      <w:r w:rsidRPr="00A01A72">
        <w:rPr>
          <w:szCs w:val="18"/>
        </w:rPr>
        <w:t>An investigation into the evolution of policing practices in France and their impacts on freedom (March 2020) page 93. Available at:&lt; https://www.acatfrance.fr/rapport/lordre-a-quel-prix&gt;.</w:t>
      </w:r>
    </w:p>
  </w:footnote>
  <w:footnote w:id="42">
    <w:p w14:paraId="69EC4607"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Action des Chrétiens pour l’Abolition de la Torture, </w:t>
      </w:r>
      <w:proofErr w:type="spellStart"/>
      <w:r w:rsidRPr="00A01A72">
        <w:rPr>
          <w:szCs w:val="18"/>
          <w:lang w:val="fr-FR"/>
        </w:rPr>
        <w:t>Policing</w:t>
      </w:r>
      <w:proofErr w:type="spellEnd"/>
      <w:r w:rsidRPr="00A01A72">
        <w:rPr>
          <w:szCs w:val="18"/>
          <w:lang w:val="fr-FR"/>
        </w:rPr>
        <w:t xml:space="preserve"> at </w:t>
      </w:r>
      <w:proofErr w:type="spellStart"/>
      <w:r w:rsidRPr="00A01A72">
        <w:rPr>
          <w:szCs w:val="18"/>
          <w:lang w:val="fr-FR"/>
        </w:rPr>
        <w:t>What</w:t>
      </w:r>
      <w:proofErr w:type="spellEnd"/>
      <w:r w:rsidRPr="00A01A72">
        <w:rPr>
          <w:szCs w:val="18"/>
          <w:lang w:val="fr-FR"/>
        </w:rPr>
        <w:t xml:space="preserve"> </w:t>
      </w:r>
      <w:proofErr w:type="spellStart"/>
      <w:proofErr w:type="gramStart"/>
      <w:r w:rsidRPr="00A01A72">
        <w:rPr>
          <w:szCs w:val="18"/>
          <w:lang w:val="fr-FR"/>
        </w:rPr>
        <w:t>Cost</w:t>
      </w:r>
      <w:proofErr w:type="spellEnd"/>
      <w:r w:rsidRPr="00A01A72">
        <w:rPr>
          <w:szCs w:val="18"/>
          <w:lang w:val="fr-FR"/>
        </w:rPr>
        <w:t>?</w:t>
      </w:r>
      <w:proofErr w:type="gramEnd"/>
      <w:r w:rsidRPr="00A01A72">
        <w:rPr>
          <w:szCs w:val="18"/>
          <w:lang w:val="fr-FR"/>
        </w:rPr>
        <w:t xml:space="preserve"> </w:t>
      </w:r>
      <w:r w:rsidRPr="00A01A72">
        <w:rPr>
          <w:szCs w:val="18"/>
        </w:rPr>
        <w:t>An investigation into the evolution of policing practices in France and their impacts on freedom (March 2020) page 93. Available at:&lt; https://www.acatfrance.fr/rapport/lordre-a-quel-prix&gt;.</w:t>
      </w:r>
    </w:p>
  </w:footnote>
  <w:footnote w:id="43">
    <w:p w14:paraId="2847714F" w14:textId="77777777" w:rsidR="009D40A8" w:rsidRPr="00A01A72" w:rsidRDefault="009D40A8" w:rsidP="00A01A72">
      <w:pPr>
        <w:pStyle w:val="FootnoteText"/>
        <w:rPr>
          <w:szCs w:val="18"/>
          <w:lang w:val="fr-CH"/>
        </w:rPr>
      </w:pPr>
      <w:r w:rsidRPr="00A01A72">
        <w:rPr>
          <w:rStyle w:val="FootnoteReference"/>
          <w:rFonts w:cs="Times New Roman"/>
          <w:color w:val="000000" w:themeColor="text1"/>
          <w:szCs w:val="18"/>
        </w:rPr>
        <w:footnoteRef/>
      </w:r>
      <w:r w:rsidRPr="00A01A72">
        <w:rPr>
          <w:szCs w:val="18"/>
          <w:lang w:val="fr-CH"/>
        </w:rPr>
        <w:t xml:space="preserve"> Fichier de traitement de suivi de l’usage des armes </w:t>
      </w:r>
    </w:p>
  </w:footnote>
  <w:footnote w:id="44">
    <w:p w14:paraId="57D29ED1"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rPr>
        <w:t>Defender of Rights, decision n°2019-263 (10 December 2019). Available at: &lt; https://juridique.defenseurdesdroits.fr/index.php?lvl=notice_display&amp;id=31076&amp;opac_view=-1&gt;.</w:t>
      </w:r>
    </w:p>
  </w:footnote>
  <w:footnote w:id="45">
    <w:p w14:paraId="46239DD4"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 Rapport annuel de l’IGPN 2021, page 59. </w:t>
      </w:r>
      <w:r w:rsidRPr="00A01A72">
        <w:rPr>
          <w:szCs w:val="18"/>
        </w:rPr>
        <w:t>Available at: &lt;https://www.interieur.gouv.fr/Publications/Rapports-de-l-IGPN/Rapport-annuel-d-activite-de-l-IGPN-2021&gt;.</w:t>
      </w:r>
    </w:p>
  </w:footnote>
  <w:footnote w:id="46">
    <w:p w14:paraId="5F6AA90D"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rPr>
        <w:t xml:space="preserve">Omega Research Foundation, Visual guide to military, </w:t>
      </w:r>
      <w:proofErr w:type="gramStart"/>
      <w:r w:rsidRPr="00A01A72">
        <w:rPr>
          <w:szCs w:val="18"/>
        </w:rPr>
        <w:t>security</w:t>
      </w:r>
      <w:proofErr w:type="gramEnd"/>
      <w:r w:rsidRPr="00A01A72">
        <w:rPr>
          <w:szCs w:val="18"/>
        </w:rPr>
        <w:t xml:space="preserve"> and police equipment (2015). See also Mispo.org </w:t>
      </w:r>
      <w:r w:rsidRPr="00A01A72">
        <w:rPr>
          <w:szCs w:val="18"/>
          <w:highlight w:val="white"/>
        </w:rPr>
        <w:t xml:space="preserve">a fully searchable online databank containing thousands of images of military, </w:t>
      </w:r>
      <w:proofErr w:type="gramStart"/>
      <w:r w:rsidRPr="00A01A72">
        <w:rPr>
          <w:szCs w:val="18"/>
          <w:highlight w:val="white"/>
        </w:rPr>
        <w:t>security</w:t>
      </w:r>
      <w:proofErr w:type="gramEnd"/>
      <w:r w:rsidRPr="00A01A72">
        <w:rPr>
          <w:szCs w:val="18"/>
          <w:highlight w:val="white"/>
        </w:rPr>
        <w:t xml:space="preserve"> and police (MSP) equipmen</w:t>
      </w:r>
      <w:r w:rsidRPr="00A01A72">
        <w:rPr>
          <w:szCs w:val="18"/>
        </w:rPr>
        <w:t>t, available at &lt;http://www.mispo.org&gt;.</w:t>
      </w:r>
    </w:p>
  </w:footnote>
  <w:footnote w:id="47">
    <w:p w14:paraId="19E44C2A"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Sebastian </w:t>
      </w:r>
      <w:proofErr w:type="spellStart"/>
      <w:r w:rsidRPr="00A01A72">
        <w:rPr>
          <w:szCs w:val="18"/>
        </w:rPr>
        <w:t>Roché</w:t>
      </w:r>
      <w:proofErr w:type="spellEnd"/>
      <w:r w:rsidRPr="00A01A72">
        <w:rPr>
          <w:szCs w:val="18"/>
        </w:rPr>
        <w:t>, Police violence in France (Esprit, January 2020). Available at: &lt;https://esprit.presse.fr/actualites/sebastian-roche/les-violences-policieres-en-france-42562#_ftn10&gt;.</w:t>
      </w:r>
    </w:p>
  </w:footnote>
  <w:footnote w:id="48">
    <w:p w14:paraId="664AA512"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rPr>
        <w:t xml:space="preserve"> This was a grassroots citizens’ protest movement, which began in early November 2018 against a planned rise in the tax on diesel and petrol. The movement was named “gilets jaunes” (yellow vests) because protesters wore fluorescent </w:t>
      </w:r>
      <w:proofErr w:type="gramStart"/>
      <w:r w:rsidRPr="00A01A72">
        <w:rPr>
          <w:szCs w:val="18"/>
        </w:rPr>
        <w:t>yellow  jackets</w:t>
      </w:r>
      <w:proofErr w:type="gramEnd"/>
      <w:r w:rsidRPr="00A01A72">
        <w:rPr>
          <w:szCs w:val="18"/>
        </w:rPr>
        <w:t xml:space="preserve"> that all motorists must by law carry in their cars.</w:t>
      </w:r>
      <w:r w:rsidRPr="00A01A72">
        <w:rPr>
          <w:rFonts w:eastAsia="Georgia"/>
          <w:szCs w:val="18"/>
          <w:highlight w:val="white"/>
        </w:rPr>
        <w:t xml:space="preserve"> </w:t>
      </w:r>
    </w:p>
  </w:footnote>
  <w:footnote w:id="49">
    <w:p w14:paraId="58AB9E1F"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General Inspectorate of the National Police (IGPN) Police </w:t>
      </w:r>
      <w:proofErr w:type="spellStart"/>
      <w:r w:rsidRPr="00A01A72">
        <w:rPr>
          <w:szCs w:val="18"/>
        </w:rPr>
        <w:t>nationale</w:t>
      </w:r>
      <w:proofErr w:type="spellEnd"/>
      <w:r w:rsidRPr="00A01A72">
        <w:rPr>
          <w:szCs w:val="18"/>
        </w:rPr>
        <w:t>, ‘IGPN Annual Report 2018’ (17 June 2019) page 29. Available at: &lt;https://www.interieur.gouv.fr/Publications/Rapports-de-l-IGPN/Rapport-annuel-d-activite-de-l-IGPN-2018&gt;.</w:t>
      </w:r>
    </w:p>
  </w:footnote>
  <w:footnote w:id="50">
    <w:p w14:paraId="4ADDEB65"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6th Periodic report of France on the implementation of the International Covenant on Civil and Political Rights, UN Doc CCPR/C/FRA/6 para. 228. Available at: &lt;https://tbinternet.ohchr.org/_layouts/15/treatybodyexternal/Download.aspx?symbolno=CCPR%2fC%2fFRA%2f6&amp;Lang=en &gt;.</w:t>
      </w:r>
    </w:p>
  </w:footnote>
  <w:footnote w:id="51">
    <w:p w14:paraId="3E9C5D41"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OHCHR, France: UN experts denounce severe rights restrictions on “gilets jaunes” protesters (Geneva, 14 February 2019). Available at: &lt;https://www.ohchr.org/EN/NewsEvents/Pages/DisplayNews.aspx?NewsID=24166&amp;LangID=E&gt;.</w:t>
      </w:r>
    </w:p>
  </w:footnote>
  <w:footnote w:id="52">
    <w:p w14:paraId="0FB25F1B"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Defender of Rights, decision n°2019-029 (13 January 2019). Available at: &lt;https://juridique.defenseurdesdroits.fr/doc_num.php?explnum_id=18403&gt;.</w:t>
      </w:r>
    </w:p>
  </w:footnote>
  <w:footnote w:id="53">
    <w:p w14:paraId="48F75624"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French National Consultative Commission on Human Rights (CNCDH), Opinion on police-public relations: rebuilding trust between the police and the public (A-2021-2, 11 February 2021) paragraph 44. Available at: &lt; https://www.cncdh.fr/publications/avis-sur-les-rapports-entre-police-et-population-2021-2&gt;.</w:t>
      </w:r>
    </w:p>
  </w:footnote>
  <w:footnote w:id="54">
    <w:p w14:paraId="53B079EB"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French National Consultative Commission on Human Rights (CNCDH), Statement on illegitimate police violence (D-2020-2, 28 January 2020). Available at: &lt;https://www.cncdh.fr/publications/declaration-sur-les-violences-policieres-illegitimes-d-2020-2&gt;. </w:t>
      </w:r>
    </w:p>
  </w:footnote>
  <w:footnote w:id="55">
    <w:p w14:paraId="34421A38"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French Ministry of the Interior, ‘National framework for maintaining public order’ (16 September 2020).  Available at: &lt; https://www.interieur.gouv.fr/sites/minint/files/medias/documents/2021-12/schema-national-du-maintien-de-l-ordre-decembre-2021.pdf&gt;.</w:t>
      </w:r>
    </w:p>
  </w:footnote>
  <w:footnote w:id="56">
    <w:p w14:paraId="66F494C2"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According to the SNMO, “Defensive ball launchers” will now, except in the case of “</w:t>
      </w:r>
      <w:proofErr w:type="spellStart"/>
      <w:r w:rsidRPr="00A01A72">
        <w:rPr>
          <w:szCs w:val="18"/>
        </w:rPr>
        <w:t>self-defence</w:t>
      </w:r>
      <w:proofErr w:type="spellEnd"/>
      <w:r w:rsidRPr="00A01A72">
        <w:rPr>
          <w:szCs w:val="18"/>
        </w:rPr>
        <w:t xml:space="preserve">,” have to be used with a supervisor responsible for assessing the overall situation and the movements of the demonstrators, to make sure that the shooter understands the orders and to designate the objective. This system will be evaluated after one year of implementation. The SNMO also confirmed a January 23, 2019, instruction by virtue of which LBD carriers should be equipped with a belly-mounted camera whenever </w:t>
      </w:r>
      <w:proofErr w:type="gramStart"/>
      <w:r w:rsidRPr="00A01A72">
        <w:rPr>
          <w:szCs w:val="18"/>
        </w:rPr>
        <w:t>possible, or</w:t>
      </w:r>
      <w:proofErr w:type="gramEnd"/>
      <w:r w:rsidRPr="00A01A72">
        <w:rPr>
          <w:szCs w:val="18"/>
        </w:rPr>
        <w:t xml:space="preserve"> provide for an LBD carrier/camera carrier pairing (with the supervisor). Camera carriers must record the conditions under which the LBD was used. See: Amnesty International, New Policing Model: A missed opportunity (22 September 2020). Available at: &lt;https://www.amnesty.fr/liberte-d-expression/actualites/schema-du-maintien-de-lordre-occasion-manquee&gt;.</w:t>
      </w:r>
    </w:p>
  </w:footnote>
  <w:footnote w:id="57">
    <w:p w14:paraId="4FFBBC14"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rPr>
        <w:t>French Ministry of the Interior, ‘National framework for maintaining public order’ (16 September 2020), paragraph 3.3.  Available at: &lt; https://www.interieur.gouv.fr/sites/minint/files/medias/documents/2021-12/schema-national-du-maintien-de-l-ordre-decembre-2021.pdf&gt;.  See: Amnesty International, New Policing Model: A missed opportunity (22 September 2020). Available at: &lt;https://www.amnesty.fr/liberte-d-expression/actualites/schema-du-maintien-de-lordre-occasion-manquee&gt;.</w:t>
      </w:r>
    </w:p>
  </w:footnote>
  <w:footnote w:id="58">
    <w:p w14:paraId="076B30CC"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French National Consultative Commission on Human Rights (CNCDH), Opinion on police-public relations: rebuilding trust between the police and the public (A-2021-2, 11 February 2021) paragraph 46. Available at: &lt; https://www.cncdh.fr/publications/avis-sur-les-rapports-entre-police-et-population-2021-2&gt;.</w:t>
      </w:r>
    </w:p>
  </w:footnote>
  <w:footnote w:id="59">
    <w:p w14:paraId="363BBA4E"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French Ministry of the Interior, ‘</w:t>
      </w:r>
      <w:proofErr w:type="spellStart"/>
      <w:r w:rsidRPr="00A01A72">
        <w:rPr>
          <w:szCs w:val="18"/>
        </w:rPr>
        <w:t>Projet</w:t>
      </w:r>
      <w:proofErr w:type="spellEnd"/>
      <w:r w:rsidRPr="00A01A72">
        <w:rPr>
          <w:szCs w:val="18"/>
        </w:rPr>
        <w:t xml:space="preserve"> de </w:t>
      </w:r>
      <w:proofErr w:type="spellStart"/>
      <w:r w:rsidRPr="00A01A72">
        <w:rPr>
          <w:szCs w:val="18"/>
        </w:rPr>
        <w:t>loi</w:t>
      </w:r>
      <w:proofErr w:type="spellEnd"/>
      <w:r w:rsidRPr="00A01A72">
        <w:rPr>
          <w:szCs w:val="18"/>
        </w:rPr>
        <w:t xml:space="preserve"> </w:t>
      </w:r>
      <w:proofErr w:type="spellStart"/>
      <w:r w:rsidRPr="00A01A72">
        <w:rPr>
          <w:szCs w:val="18"/>
        </w:rPr>
        <w:t>d’orientation</w:t>
      </w:r>
      <w:proofErr w:type="spellEnd"/>
      <w:r w:rsidRPr="00A01A72">
        <w:rPr>
          <w:szCs w:val="18"/>
        </w:rPr>
        <w:t xml:space="preserve"> et de </w:t>
      </w:r>
      <w:proofErr w:type="spellStart"/>
      <w:r w:rsidRPr="00A01A72">
        <w:rPr>
          <w:szCs w:val="18"/>
        </w:rPr>
        <w:t>programmation</w:t>
      </w:r>
      <w:proofErr w:type="spellEnd"/>
      <w:r w:rsidRPr="00A01A72">
        <w:rPr>
          <w:szCs w:val="18"/>
        </w:rPr>
        <w:t xml:space="preserve"> du </w:t>
      </w:r>
      <w:proofErr w:type="spellStart"/>
      <w:r w:rsidRPr="00A01A72">
        <w:rPr>
          <w:szCs w:val="18"/>
        </w:rPr>
        <w:t>ministère</w:t>
      </w:r>
      <w:proofErr w:type="spellEnd"/>
      <w:r w:rsidRPr="00A01A72">
        <w:rPr>
          <w:szCs w:val="18"/>
        </w:rPr>
        <w:t xml:space="preserve"> de </w:t>
      </w:r>
      <w:proofErr w:type="spellStart"/>
      <w:r w:rsidRPr="00A01A72">
        <w:rPr>
          <w:szCs w:val="18"/>
        </w:rPr>
        <w:t>l’intérieur</w:t>
      </w:r>
      <w:proofErr w:type="spellEnd"/>
      <w:r w:rsidRPr="00A01A72">
        <w:rPr>
          <w:szCs w:val="18"/>
        </w:rPr>
        <w:t xml:space="preserve"> 2022-2027’ (draft law on the orientation and programming of the Ministry of the Interior 2022-2027) (16 March 2022). Available at: &lt;https://www.interieur.gouv.fr/sites/minint/files/medias/documents/2022-03/16-03-2022-projet-de-loi-d-orientation-et-de-programmation-du-ministere.pdf&gt;. </w:t>
      </w:r>
    </w:p>
  </w:footnote>
  <w:footnote w:id="60">
    <w:p w14:paraId="2C672505" w14:textId="77777777" w:rsidR="009D40A8" w:rsidRPr="00A01A72" w:rsidRDefault="009D40A8" w:rsidP="00A01A72">
      <w:pPr>
        <w:pStyle w:val="FootnoteText"/>
        <w:rPr>
          <w:szCs w:val="18"/>
          <w:vertAlign w:val="superscript"/>
          <w:lang w:val="fr-FR"/>
        </w:rPr>
      </w:pPr>
      <w:r w:rsidRPr="00A01A72">
        <w:rPr>
          <w:rStyle w:val="FootnoteReference"/>
          <w:rFonts w:cs="Times New Roman"/>
          <w:color w:val="000000" w:themeColor="text1"/>
          <w:szCs w:val="18"/>
        </w:rPr>
        <w:footnoteRef/>
      </w:r>
      <w:r w:rsidRPr="00A01A72">
        <w:rPr>
          <w:szCs w:val="18"/>
          <w:vertAlign w:val="superscript"/>
          <w:lang w:val="fr-FR"/>
        </w:rPr>
        <w:t xml:space="preserve"> </w:t>
      </w:r>
      <w:r w:rsidRPr="00A01A72">
        <w:rPr>
          <w:szCs w:val="18"/>
          <w:lang w:val="fr-FR"/>
        </w:rPr>
        <w:t xml:space="preserve">France Info, ‘REPLAY. Les annonces d'Emmanuel Macron pour conclure le Beauvau de la sécurité’ (14 </w:t>
      </w:r>
      <w:proofErr w:type="spellStart"/>
      <w:r w:rsidRPr="00A01A72">
        <w:rPr>
          <w:szCs w:val="18"/>
          <w:lang w:val="fr-FR"/>
        </w:rPr>
        <w:t>September</w:t>
      </w:r>
      <w:proofErr w:type="spellEnd"/>
      <w:r w:rsidRPr="00A01A72">
        <w:rPr>
          <w:szCs w:val="18"/>
          <w:lang w:val="fr-FR"/>
        </w:rPr>
        <w:t xml:space="preserve"> 2021), </w:t>
      </w:r>
      <w:proofErr w:type="spellStart"/>
      <w:r w:rsidRPr="00A01A72">
        <w:rPr>
          <w:szCs w:val="18"/>
          <w:lang w:val="fr-FR"/>
        </w:rPr>
        <w:t>available</w:t>
      </w:r>
      <w:proofErr w:type="spellEnd"/>
      <w:r w:rsidRPr="00A01A72">
        <w:rPr>
          <w:szCs w:val="18"/>
          <w:lang w:val="fr-FR"/>
        </w:rPr>
        <w:t xml:space="preserve"> at : &lt;https://www.francetvinfo.fr/faits-divers/police/violences-policieres/direct-beauvau-de-la-securite-suivez-le-discours-d-emmanuel-macron-a-partir-de-12h30_4769999.html&gt;.</w:t>
      </w:r>
    </w:p>
  </w:footnote>
  <w:footnote w:id="61">
    <w:p w14:paraId="6D556B6D" w14:textId="73086942" w:rsidR="00AA58E7" w:rsidRPr="00A01A72" w:rsidRDefault="00AA58E7" w:rsidP="00A01A72">
      <w:pPr>
        <w:pStyle w:val="FootnoteText"/>
        <w:rPr>
          <w:szCs w:val="18"/>
        </w:rPr>
      </w:pPr>
      <w:r w:rsidRPr="00A01A72">
        <w:rPr>
          <w:rStyle w:val="FootnoteReference"/>
          <w:rFonts w:cs="Times New Roman"/>
          <w:color w:val="000000" w:themeColor="text1"/>
          <w:szCs w:val="18"/>
        </w:rPr>
        <w:footnoteRef/>
      </w:r>
      <w:r w:rsidRPr="00A01A72">
        <w:rPr>
          <w:szCs w:val="18"/>
          <w:lang w:val="fr-CH"/>
        </w:rPr>
        <w:t xml:space="preserve"> </w:t>
      </w:r>
      <w:r w:rsidRPr="00A01A72">
        <w:rPr>
          <w:szCs w:val="18"/>
          <w:lang w:val="fr-FR"/>
        </w:rPr>
        <w:t xml:space="preserve">Loi n° 2021-646 du 25 mai 2021 pour une sécurité globale préservant les libertés. </w:t>
      </w:r>
      <w:r w:rsidRPr="00A01A72">
        <w:rPr>
          <w:szCs w:val="18"/>
          <w:lang w:val="en-US"/>
        </w:rPr>
        <w:t>Available at: &lt;https://www.legifrance.gouv.fr/loda/id/JORFTEXT000043530276/?isSuggest=true&gt;.</w:t>
      </w:r>
    </w:p>
  </w:footnote>
  <w:footnote w:id="62">
    <w:p w14:paraId="3F1BAFFA"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National Assembly, Proposition of law </w:t>
      </w:r>
      <w:proofErr w:type="spellStart"/>
      <w:r w:rsidRPr="00A01A72">
        <w:rPr>
          <w:szCs w:val="18"/>
        </w:rPr>
        <w:t>n</w:t>
      </w:r>
      <w:proofErr w:type="spellEnd"/>
      <w:r w:rsidRPr="00A01A72">
        <w:rPr>
          <w:szCs w:val="18"/>
        </w:rPr>
        <w:t>º 599, by the National Assembly, for a global security preserving the liberties, Chapter II Art. L. 242</w:t>
      </w:r>
      <w:r w:rsidRPr="00A01A72">
        <w:rPr>
          <w:rFonts w:ascii="Cambria Math" w:hAnsi="Cambria Math" w:cs="Cambria Math"/>
          <w:szCs w:val="18"/>
        </w:rPr>
        <w:t>‑</w:t>
      </w:r>
      <w:r w:rsidRPr="00A01A72">
        <w:rPr>
          <w:szCs w:val="18"/>
        </w:rPr>
        <w:t>5. – II 1°. Available at: &lt;https://www.assemblee-nationale.fr/dyn/15/textes/l15b4030_texte-adopte-commission&gt;.</w:t>
      </w:r>
    </w:p>
  </w:footnote>
  <w:footnote w:id="63">
    <w:p w14:paraId="243AEDA0"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Defender of </w:t>
      </w:r>
      <w:proofErr w:type="spellStart"/>
      <w:r w:rsidRPr="00A01A72">
        <w:rPr>
          <w:szCs w:val="18"/>
          <w:lang w:val="fr-FR"/>
        </w:rPr>
        <w:t>Rights</w:t>
      </w:r>
      <w:proofErr w:type="spellEnd"/>
      <w:r w:rsidRPr="00A01A72">
        <w:rPr>
          <w:szCs w:val="18"/>
          <w:lang w:val="fr-FR"/>
        </w:rPr>
        <w:t xml:space="preserve">, Avis du Défenseur des droits n°21-12 (20 </w:t>
      </w:r>
      <w:proofErr w:type="spellStart"/>
      <w:r w:rsidRPr="00A01A72">
        <w:rPr>
          <w:szCs w:val="18"/>
          <w:lang w:val="fr-FR"/>
        </w:rPr>
        <w:t>September</w:t>
      </w:r>
      <w:proofErr w:type="spellEnd"/>
      <w:r w:rsidRPr="00A01A72">
        <w:rPr>
          <w:szCs w:val="18"/>
          <w:lang w:val="fr-FR"/>
        </w:rPr>
        <w:t xml:space="preserve"> 2021) page 9. </w:t>
      </w:r>
      <w:r w:rsidRPr="00A01A72">
        <w:rPr>
          <w:szCs w:val="18"/>
        </w:rPr>
        <w:t>Available at: &lt;https://juridique.defenseurdesdroits.fr/doc_num.php?explnum_id=20954&gt;.</w:t>
      </w:r>
    </w:p>
  </w:footnote>
  <w:footnote w:id="64">
    <w:p w14:paraId="03BAEADF"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w:t>
      </w:r>
      <w:proofErr w:type="gramStart"/>
      <w:r w:rsidRPr="00A01A72">
        <w:rPr>
          <w:szCs w:val="18"/>
        </w:rPr>
        <w:t>the</w:t>
      </w:r>
      <w:proofErr w:type="gramEnd"/>
      <w:r w:rsidRPr="00A01A72">
        <w:rPr>
          <w:szCs w:val="18"/>
        </w:rPr>
        <w:t xml:space="preserve"> use of mobile devices, discreet by nature and whose position at height allows them to film places that were previously difficult to access or even forbidden to cameras. The image capture that they allow is therefore considerably extended and, above all, can be </w:t>
      </w:r>
      <w:proofErr w:type="spellStart"/>
      <w:r w:rsidRPr="00A01A72">
        <w:rPr>
          <w:szCs w:val="18"/>
        </w:rPr>
        <w:t>individualised</w:t>
      </w:r>
      <w:proofErr w:type="spellEnd"/>
      <w:r w:rsidRPr="00A01A72">
        <w:rPr>
          <w:szCs w:val="18"/>
        </w:rPr>
        <w:t>, by allowing the tracking of people in their movements, without their knowledge and over a period of time that can be long. Moreover, more than the cameras currently in use, these surveillance devices are likely to affect the exercise by citizens of other fundamental freedoms (right to demonstrate, freedom of worship, freedom of expression” CNIL, Deliberation No. 2021-011 of 26 January 2021 concerning an opinion on a draft law on global security</w:t>
      </w:r>
    </w:p>
    <w:p w14:paraId="34D11506" w14:textId="77777777" w:rsidR="009D40A8" w:rsidRPr="00A01A72" w:rsidRDefault="009D40A8" w:rsidP="00A01A72">
      <w:pPr>
        <w:pStyle w:val="FootnoteText"/>
        <w:rPr>
          <w:szCs w:val="18"/>
        </w:rPr>
      </w:pPr>
      <w:r w:rsidRPr="00A01A72">
        <w:rPr>
          <w:szCs w:val="18"/>
        </w:rPr>
        <w:t>(Request for opinion n° 20020769) page 3 and 4. Available at: &lt;https://www.cnil.fr/sites/default/files/atoms/files/d-2021-011_pplsecu.pdf&gt;.</w:t>
      </w:r>
    </w:p>
  </w:footnote>
  <w:footnote w:id="65">
    <w:p w14:paraId="542060DE"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“Constitutional Court, Decision n° 2021-817 DC of 20 May 2021, paragraph 135. Available at: &lt;https://www.conseil-constitutionnel.fr/decision/2021/2021817DC.htm&gt;. </w:t>
      </w:r>
    </w:p>
  </w:footnote>
  <w:footnote w:id="66">
    <w:p w14:paraId="79310EBE"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Syndicat de la Magistrature, Syndicat des Avocats de France, La Quadrature du Net, Ligue des droits de l’Homme, Contribution extérieure sur la loi relative à la responsabilité pénale et la sécurité intérieure (30 </w:t>
      </w:r>
      <w:proofErr w:type="spellStart"/>
      <w:r w:rsidRPr="00A01A72">
        <w:rPr>
          <w:szCs w:val="18"/>
          <w:lang w:val="fr-FR"/>
        </w:rPr>
        <w:t>December</w:t>
      </w:r>
      <w:proofErr w:type="spellEnd"/>
      <w:r w:rsidRPr="00A01A72">
        <w:rPr>
          <w:szCs w:val="18"/>
          <w:lang w:val="fr-FR"/>
        </w:rPr>
        <w:t xml:space="preserve"> 2021) page 38-42. </w:t>
      </w:r>
      <w:r w:rsidRPr="00A01A72">
        <w:rPr>
          <w:szCs w:val="18"/>
        </w:rPr>
        <w:t>Available at: &lt;https://lesaf.org/notre-contribution-exterieure-sur-la-loi-responsabilite-penale-et-securite-interieure/&gt;.</w:t>
      </w:r>
    </w:p>
  </w:footnote>
  <w:footnote w:id="67">
    <w:p w14:paraId="6A0F9704"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 Loi No. 2022-52 du 24 Janvier 2022 relative à la responsabilité pénale et la sécurité intérieure. </w:t>
      </w:r>
      <w:r w:rsidRPr="00A01A72">
        <w:rPr>
          <w:szCs w:val="18"/>
        </w:rPr>
        <w:t>Available at: &lt;https://www.legifrance.gouv.fr/jorf/id/JORFTEXT000045067923&gt;.</w:t>
      </w:r>
    </w:p>
  </w:footnote>
  <w:footnote w:id="68">
    <w:p w14:paraId="7321685D"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Syndicat de la Magistrature, Syndicat des Avocats de France, La Quadrature du Net, Ligue des droits de l’Homme, Contribution extérieure sur la loi relative à la responsabilité pénale et la sécurité intérieure (30 </w:t>
      </w:r>
      <w:proofErr w:type="spellStart"/>
      <w:r w:rsidRPr="00A01A72">
        <w:rPr>
          <w:szCs w:val="18"/>
          <w:lang w:val="fr-FR"/>
        </w:rPr>
        <w:t>December</w:t>
      </w:r>
      <w:proofErr w:type="spellEnd"/>
      <w:r w:rsidRPr="00A01A72">
        <w:rPr>
          <w:szCs w:val="18"/>
          <w:lang w:val="fr-FR"/>
        </w:rPr>
        <w:t xml:space="preserve"> 2021) page 38-42. </w:t>
      </w:r>
      <w:r w:rsidRPr="00A01A72">
        <w:rPr>
          <w:szCs w:val="18"/>
        </w:rPr>
        <w:t>Available at: &lt;https://lesaf.org/notre-contribution-exterieure-sur-la-loi-responsabilite-penale-et-securite-interieure/&gt;.</w:t>
      </w:r>
    </w:p>
  </w:footnote>
  <w:footnote w:id="69">
    <w:p w14:paraId="63ADB7E9"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highlight w:val="white"/>
          <w:lang w:val="fr-FR"/>
        </w:rPr>
        <w:t>Art. L. 242-5.-I. L</w:t>
      </w:r>
      <w:r w:rsidRPr="00A01A72">
        <w:rPr>
          <w:szCs w:val="18"/>
          <w:lang w:val="fr-FR"/>
        </w:rPr>
        <w:t xml:space="preserve">oi No. 2022-52 du 24 Janvier 2022 relative à la responsabilité pénale et la sécurité intérieure. </w:t>
      </w:r>
      <w:r w:rsidRPr="00A01A72">
        <w:rPr>
          <w:szCs w:val="18"/>
        </w:rPr>
        <w:t>Available at: &lt;https://www.legifrance.gouv.fr/jorf/id/JORFTEXT000045067923&gt;.</w:t>
      </w:r>
    </w:p>
  </w:footnote>
  <w:footnote w:id="70">
    <w:p w14:paraId="1A7556DD"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Constitutional Court, Decision n°2021-817 DC of 20</w:t>
      </w:r>
      <w:r w:rsidRPr="00A01A72">
        <w:rPr>
          <w:szCs w:val="18"/>
          <w:vertAlign w:val="superscript"/>
        </w:rPr>
        <w:t>th</w:t>
      </w:r>
      <w:r w:rsidRPr="00A01A72">
        <w:rPr>
          <w:szCs w:val="18"/>
        </w:rPr>
        <w:t xml:space="preserve"> May 2021: Law for a global security preserving liberties (20 May 2021) paragraph 138. Available at: &lt;https://www.conseil-constitutionnel.fr/decision/2021/2021817DC.htm&gt;.</w:t>
      </w:r>
    </w:p>
  </w:footnote>
  <w:footnote w:id="71">
    <w:p w14:paraId="1E3A4EAA" w14:textId="77777777" w:rsidR="00037681" w:rsidRPr="00A01A72" w:rsidRDefault="00037681" w:rsidP="00A01A72">
      <w:pPr>
        <w:pStyle w:val="FootnoteText"/>
        <w:rPr>
          <w:szCs w:val="18"/>
        </w:rPr>
      </w:pPr>
      <w:r w:rsidRPr="00A01A72">
        <w:rPr>
          <w:rStyle w:val="FootnoteReference"/>
          <w:rFonts w:cs="Times New Roman"/>
          <w:color w:val="000000" w:themeColor="text1"/>
          <w:szCs w:val="18"/>
        </w:rPr>
        <w:footnoteRef/>
      </w:r>
      <w:r w:rsidRPr="00A01A72">
        <w:rPr>
          <w:szCs w:val="18"/>
        </w:rPr>
        <w:t>In each French department and region there is what we call a “Prefect”, who is the representative of the state. The prefect is a high civil servant, appointed by the President of the Republic. The role of the prefect is to ensure peace keeping and security, and to control the legality of what the local authorities (communes, departments, etc.) do. The prefect coordinates government action at local level: employment, social cohesion, regional planning, economic development, environment, etc. The prefect is a direct representative of the State and cannot challenge any government decisions and is therefore not an independent power as the judiciary is. In Paris, and since 2012 in Marseille, there is a prefect specially appointed for police matters, called the “police prefect”.</w:t>
      </w:r>
    </w:p>
  </w:footnote>
  <w:footnote w:id="72">
    <w:p w14:paraId="3DE88A34" w14:textId="77777777" w:rsidR="00037681" w:rsidRPr="00A01A72" w:rsidRDefault="00037681" w:rsidP="00A01A72">
      <w:pPr>
        <w:pStyle w:val="FootnoteText"/>
        <w:rPr>
          <w:szCs w:val="18"/>
        </w:rPr>
      </w:pPr>
      <w:r w:rsidRPr="00A01A72">
        <w:rPr>
          <w:rStyle w:val="FootnoteReference"/>
          <w:rFonts w:cs="Times New Roman"/>
          <w:color w:val="000000" w:themeColor="text1"/>
          <w:szCs w:val="18"/>
        </w:rPr>
        <w:footnoteRef/>
      </w:r>
      <w:r w:rsidRPr="00A01A72">
        <w:rPr>
          <w:szCs w:val="18"/>
          <w:highlight w:val="white"/>
          <w:lang w:val="fr-FR"/>
        </w:rPr>
        <w:t>Art. L. 242-</w:t>
      </w:r>
      <w:r w:rsidRPr="00A01A72">
        <w:rPr>
          <w:szCs w:val="18"/>
          <w:lang w:val="fr-FR"/>
        </w:rPr>
        <w:t xml:space="preserve">5, IV Loi No. 2022-52 du 24 Janvier 2022 relative à la responsabilité pénale et la sécurité intérieure. </w:t>
      </w:r>
      <w:r w:rsidRPr="00A01A72">
        <w:rPr>
          <w:szCs w:val="18"/>
        </w:rPr>
        <w:t>Available at: &lt;https://www.legifrance.gouv.fr/jorf/id/JORFTEXT000045067923&gt;.</w:t>
      </w:r>
    </w:p>
  </w:footnote>
  <w:footnote w:id="73">
    <w:p w14:paraId="718FB0A8" w14:textId="77777777" w:rsidR="00037681" w:rsidRPr="00A01A72" w:rsidRDefault="00037681" w:rsidP="00A01A72">
      <w:pPr>
        <w:pStyle w:val="FootnoteText"/>
        <w:rPr>
          <w:szCs w:val="18"/>
          <w:lang w:val="fr-FR"/>
        </w:rPr>
      </w:pPr>
      <w:r w:rsidRPr="00A01A72">
        <w:rPr>
          <w:rStyle w:val="FootnoteReference"/>
          <w:rFonts w:cs="Times New Roman"/>
          <w:color w:val="000000" w:themeColor="text1"/>
          <w:szCs w:val="18"/>
        </w:rPr>
        <w:footnoteRef/>
      </w:r>
      <w:r w:rsidRPr="00A01A72">
        <w:rPr>
          <w:szCs w:val="18"/>
          <w:lang w:val="fr-FR"/>
        </w:rPr>
        <w:t xml:space="preserve"> </w:t>
      </w:r>
      <w:proofErr w:type="spellStart"/>
      <w:r w:rsidRPr="00A01A72">
        <w:rPr>
          <w:szCs w:val="18"/>
          <w:lang w:val="fr-FR"/>
        </w:rPr>
        <w:t>Ibid</w:t>
      </w:r>
      <w:proofErr w:type="spellEnd"/>
    </w:p>
  </w:footnote>
  <w:footnote w:id="74">
    <w:p w14:paraId="481E820F"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highlight w:val="white"/>
          <w:lang w:val="fr-FR"/>
        </w:rPr>
        <w:t>Art. L. 242-</w:t>
      </w:r>
      <w:r w:rsidRPr="00A01A72">
        <w:rPr>
          <w:szCs w:val="18"/>
          <w:lang w:val="fr-FR"/>
        </w:rPr>
        <w:t xml:space="preserve">5, I Loi No. 2022-52 du 24 Janvier 2022 relative à la responsabilité pénale et la sécurité intérieure. </w:t>
      </w:r>
      <w:r w:rsidRPr="00A01A72">
        <w:rPr>
          <w:szCs w:val="18"/>
        </w:rPr>
        <w:t>Available at: &lt;https://www.legifrance.gouv.fr/jorf/id/JORFTEXT000045067923&gt;.</w:t>
      </w:r>
    </w:p>
  </w:footnote>
  <w:footnote w:id="75">
    <w:p w14:paraId="5570559C" w14:textId="77777777" w:rsidR="009D40A8" w:rsidRPr="00A01A72" w:rsidRDefault="009D40A8" w:rsidP="00A01A72">
      <w:pPr>
        <w:pStyle w:val="FootnoteText"/>
        <w:rPr>
          <w:szCs w:val="18"/>
          <w:lang w:val="fr-FR"/>
        </w:rPr>
      </w:pPr>
      <w:r w:rsidRPr="00A01A72">
        <w:rPr>
          <w:rStyle w:val="FootnoteReference"/>
          <w:rFonts w:cs="Times New Roman"/>
          <w:color w:val="000000" w:themeColor="text1"/>
          <w:szCs w:val="18"/>
        </w:rPr>
        <w:footnoteRef/>
      </w:r>
      <w:r w:rsidRPr="00A01A72">
        <w:rPr>
          <w:szCs w:val="18"/>
          <w:lang w:val="fr-FR"/>
        </w:rPr>
        <w:t xml:space="preserve">La Quadrature du Net, Les drones policiers autorisés par le conseil constitutionnel (21 </w:t>
      </w:r>
      <w:proofErr w:type="spellStart"/>
      <w:r w:rsidRPr="00A01A72">
        <w:rPr>
          <w:szCs w:val="18"/>
          <w:lang w:val="fr-FR"/>
        </w:rPr>
        <w:t>January</w:t>
      </w:r>
      <w:proofErr w:type="spellEnd"/>
      <w:r w:rsidRPr="00A01A72">
        <w:rPr>
          <w:szCs w:val="18"/>
          <w:lang w:val="fr-FR"/>
        </w:rPr>
        <w:t xml:space="preserve"> 2022).</w:t>
      </w:r>
    </w:p>
    <w:p w14:paraId="51912B8B" w14:textId="77777777" w:rsidR="009D40A8" w:rsidRPr="00A01A72" w:rsidRDefault="009D40A8" w:rsidP="00A01A72">
      <w:pPr>
        <w:pStyle w:val="FootnoteText"/>
        <w:rPr>
          <w:szCs w:val="18"/>
        </w:rPr>
      </w:pPr>
      <w:r w:rsidRPr="00A01A72">
        <w:rPr>
          <w:szCs w:val="18"/>
        </w:rPr>
        <w:t>Available at: &lt;https://www.laquadrature.net/2022/01/21/les-drones-policiers-autorises-par-le-conseil-constitutionnel/&gt;.</w:t>
      </w:r>
    </w:p>
  </w:footnote>
  <w:footnote w:id="76">
    <w:p w14:paraId="49406696"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vertAlign w:val="superscript"/>
          <w:lang w:val="fr-FR"/>
        </w:rPr>
        <w:t xml:space="preserve"> </w:t>
      </w:r>
      <w:r w:rsidRPr="00A01A72">
        <w:rPr>
          <w:szCs w:val="18"/>
          <w:lang w:val="fr-FR"/>
        </w:rPr>
        <w:t>Art</w:t>
      </w:r>
      <w:r w:rsidRPr="00A01A72">
        <w:rPr>
          <w:szCs w:val="18"/>
          <w:highlight w:val="white"/>
          <w:lang w:val="fr-FR"/>
        </w:rPr>
        <w:t xml:space="preserve"> L. 242-4 b) L</w:t>
      </w:r>
      <w:r w:rsidRPr="00A01A72">
        <w:rPr>
          <w:szCs w:val="18"/>
          <w:lang w:val="fr-FR"/>
        </w:rPr>
        <w:t xml:space="preserve">oi No. 2022-52 du 24 Janvier 2022 relative à la responsabilité pénale et la sécurité intérieure. </w:t>
      </w:r>
      <w:r w:rsidRPr="00A01A72">
        <w:rPr>
          <w:szCs w:val="18"/>
        </w:rPr>
        <w:t>Available at: &lt;https://www.legifrance.gouv.fr/jorf/id/JORFTEXT000045067923&gt;.</w:t>
      </w:r>
    </w:p>
  </w:footnote>
  <w:footnote w:id="77">
    <w:p w14:paraId="46AC6255" w14:textId="77777777" w:rsidR="009D40A8" w:rsidRPr="00A01A72" w:rsidRDefault="009D40A8" w:rsidP="00A01A72">
      <w:pPr>
        <w:pStyle w:val="FootnoteText"/>
        <w:rPr>
          <w:rFonts w:eastAsia="Roboto"/>
          <w:szCs w:val="18"/>
          <w:shd w:val="clear" w:color="auto" w:fill="D4D4D4"/>
          <w:vertAlign w:val="superscript"/>
        </w:rPr>
      </w:pPr>
      <w:r w:rsidRPr="00A01A72">
        <w:rPr>
          <w:rStyle w:val="FootnoteReference"/>
          <w:rFonts w:cs="Times New Roman"/>
          <w:color w:val="000000" w:themeColor="text1"/>
          <w:szCs w:val="18"/>
        </w:rPr>
        <w:footnoteRef/>
      </w:r>
      <w:r w:rsidRPr="00A01A72">
        <w:rPr>
          <w:szCs w:val="18"/>
          <w:vertAlign w:val="superscript"/>
        </w:rPr>
        <w:t xml:space="preserve"> </w:t>
      </w:r>
      <w:r w:rsidRPr="00A01A72">
        <w:rPr>
          <w:szCs w:val="18"/>
        </w:rPr>
        <w:t xml:space="preserve">A/HRC/38/4 (UPR </w:t>
      </w:r>
      <w:proofErr w:type="gramStart"/>
      <w:r w:rsidRPr="00A01A72">
        <w:rPr>
          <w:szCs w:val="18"/>
        </w:rPr>
        <w:t>2018 )</w:t>
      </w:r>
      <w:proofErr w:type="gramEnd"/>
      <w:r w:rsidRPr="00A01A72">
        <w:rPr>
          <w:szCs w:val="18"/>
        </w:rPr>
        <w:t xml:space="preserve">, recommendation 144.55; CAT/C/FRA/CO/7 (CAT 2016 ), paras.16 and 18; </w:t>
      </w:r>
    </w:p>
  </w:footnote>
  <w:footnote w:id="78">
    <w:p w14:paraId="5E45288D"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UN General Assembly, Seventy-fifth session ‘Report of the Special rapporteur on contemporary forms of racism, racial discrimination, xenophobia and related intolerance’ (10 November 2020) UN Doc A/75/590, para. 58.</w:t>
      </w:r>
    </w:p>
  </w:footnote>
  <w:footnote w:id="79">
    <w:p w14:paraId="1E31829D" w14:textId="77777777" w:rsidR="009D40A8" w:rsidRPr="00A01A72" w:rsidRDefault="009D40A8" w:rsidP="00A01A72">
      <w:pPr>
        <w:pStyle w:val="FootnoteText"/>
        <w:rPr>
          <w:szCs w:val="18"/>
          <w:vertAlign w:val="superscript"/>
        </w:rPr>
      </w:pPr>
      <w:r w:rsidRPr="00A01A72">
        <w:rPr>
          <w:rStyle w:val="FootnoteReference"/>
          <w:rFonts w:cs="Times New Roman"/>
          <w:color w:val="000000" w:themeColor="text1"/>
          <w:szCs w:val="18"/>
        </w:rPr>
        <w:footnoteRef/>
      </w:r>
      <w:r w:rsidRPr="00A01A72">
        <w:rPr>
          <w:szCs w:val="18"/>
          <w:vertAlign w:val="superscript"/>
        </w:rPr>
        <w:t xml:space="preserve"> </w:t>
      </w:r>
      <w:r w:rsidRPr="00A01A72">
        <w:rPr>
          <w:szCs w:val="18"/>
        </w:rPr>
        <w:t xml:space="preserve">Human Rights Watch, They Talk to Us Like We’re Dogs: Abusive Police Stops in France (18 June 2020). Available at: &lt;https://www.hrw.org/report/2020/06/18/they-talk-us-were-dogs/abusive-police-stops-france&gt;.; French National Consultative Commission on Human Rights (CNCDH), Prevention of discriminatory and/or abusive identity control practices (8 November 2016). Available at: &lt;https://www.cncdh.fr/sites/default/files/161108_avis_pratiques_des_controles_didentite_format_a5.pdf&gt;.; Chloé </w:t>
      </w:r>
      <w:proofErr w:type="spellStart"/>
      <w:r w:rsidRPr="00A01A72">
        <w:rPr>
          <w:szCs w:val="18"/>
        </w:rPr>
        <w:t>Pilorget-Rezzouk</w:t>
      </w:r>
      <w:proofErr w:type="spellEnd"/>
      <w:r w:rsidRPr="00A01A72">
        <w:rPr>
          <w:szCs w:val="18"/>
        </w:rPr>
        <w:t>, Abusive identity controls: why the State is condemned for "gross negligence” (</w:t>
      </w:r>
      <w:proofErr w:type="spellStart"/>
      <w:r w:rsidRPr="00A01A72">
        <w:rPr>
          <w:szCs w:val="18"/>
        </w:rPr>
        <w:t>Libération</w:t>
      </w:r>
      <w:proofErr w:type="spellEnd"/>
      <w:r w:rsidRPr="00A01A72">
        <w:rPr>
          <w:szCs w:val="18"/>
        </w:rPr>
        <w:t>, 29 October 2020). Available at: &lt;https://www.liberation.fr/france/2020/10/29/controles-abusifs-pourquoi-l-etat-est-condamne-pour-faute-lourde_1803829/&gt;.</w:t>
      </w:r>
    </w:p>
  </w:footnote>
  <w:footnote w:id="80">
    <w:p w14:paraId="6C6C8F42"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Loi No. 2022-52 du 24 Janvier 2022 relative à la responsabilité pénale et la sécurité intérieure. </w:t>
      </w:r>
      <w:r w:rsidRPr="00A01A72">
        <w:rPr>
          <w:szCs w:val="18"/>
        </w:rPr>
        <w:t>Available at: &lt;https://www.legifrance.gouv.fr/jorf/id/JORFTEXT000045067923&gt;.</w:t>
      </w:r>
    </w:p>
  </w:footnote>
  <w:footnote w:id="81">
    <w:p w14:paraId="1BC0C918"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BFMTV, Armés après 10 jours de formation, les réservistes de la police vont patrouiller dès la fin de l’été (9 August 2022). </w:t>
      </w:r>
      <w:r w:rsidRPr="00A01A72">
        <w:rPr>
          <w:szCs w:val="18"/>
        </w:rPr>
        <w:t>Available at: &lt;https://rmc.bfmtv.com/actualites/police-justice/armes-apres-10-jours-de-formation-les-reservistes-de-la-police-vont-patrouiller-des-la-fin-de-l-ete_AV-202208090277.html&gt;.</w:t>
      </w:r>
    </w:p>
  </w:footnote>
  <w:footnote w:id="82">
    <w:p w14:paraId="4DEF69C5"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Réserve opérationnelle de la Police nationale (National Police </w:t>
      </w:r>
      <w:proofErr w:type="spellStart"/>
      <w:r w:rsidRPr="00A01A72">
        <w:rPr>
          <w:szCs w:val="18"/>
          <w:lang w:val="fr-FR"/>
        </w:rPr>
        <w:t>Operational</w:t>
      </w:r>
      <w:proofErr w:type="spellEnd"/>
      <w:r w:rsidRPr="00A01A72">
        <w:rPr>
          <w:szCs w:val="18"/>
          <w:lang w:val="fr-FR"/>
        </w:rPr>
        <w:t xml:space="preserve"> Reserve). </w:t>
      </w:r>
      <w:r w:rsidRPr="00A01A72">
        <w:rPr>
          <w:szCs w:val="18"/>
        </w:rPr>
        <w:t>Available at: &lt;https://www.service-public.fr/particuliers/vosdroits/F34110#:~:text=Vous%20signez%20un%20contrat%20d'engagement%20d'une%20durée%20de,maximum%2090%20jours%20par%20an.&amp;text=en%20tant%20que%20policier%20réserviste,convocations%20qui%20vous%20seront%20adressées&gt;.</w:t>
      </w:r>
    </w:p>
  </w:footnote>
  <w:footnote w:id="83">
    <w:p w14:paraId="0E32E346" w14:textId="5093BFF4" w:rsidR="009D40A8" w:rsidRPr="00A01A72" w:rsidRDefault="009D40A8" w:rsidP="00A01A72">
      <w:pPr>
        <w:pStyle w:val="FootnoteText"/>
        <w:rPr>
          <w:szCs w:val="18"/>
          <w:lang w:val="en-US"/>
        </w:rPr>
      </w:pPr>
      <w:r w:rsidRPr="00A01A72">
        <w:rPr>
          <w:rStyle w:val="FootnoteReference"/>
          <w:rFonts w:cs="Times New Roman"/>
          <w:color w:val="000000" w:themeColor="text1"/>
          <w:szCs w:val="18"/>
        </w:rPr>
        <w:footnoteRef/>
      </w:r>
      <w:r w:rsidRPr="00A01A72">
        <w:rPr>
          <w:szCs w:val="18"/>
          <w:lang w:val="fr-FR"/>
        </w:rPr>
        <w:t xml:space="preserve">BFMTV, Au cœur de la formation des premiers réservistes de la police nationale (31 juillet 2022). </w:t>
      </w:r>
      <w:r w:rsidRPr="00A01A72">
        <w:rPr>
          <w:szCs w:val="18"/>
          <w:lang w:val="en-US"/>
        </w:rPr>
        <w:t>Available at :&lt;https://rmc.bfmtv.com/actualites/police-justice/au-coeur-de-la-formation-des-premiers-reservistes-de-la-police-nationale_AV-202207310132.html&gt;.</w:t>
      </w:r>
    </w:p>
  </w:footnote>
  <w:footnote w:id="84">
    <w:p w14:paraId="5145A429"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National police </w:t>
      </w:r>
      <w:proofErr w:type="spellStart"/>
      <w:r w:rsidRPr="00A01A72">
        <w:rPr>
          <w:szCs w:val="18"/>
          <w:lang w:val="fr-FR"/>
        </w:rPr>
        <w:t>website</w:t>
      </w:r>
      <w:proofErr w:type="spellEnd"/>
      <w:r w:rsidRPr="00A01A72">
        <w:rPr>
          <w:szCs w:val="18"/>
          <w:lang w:val="fr-FR"/>
        </w:rPr>
        <w:t xml:space="preserve">, Autres </w:t>
      </w:r>
      <w:proofErr w:type="gramStart"/>
      <w:r w:rsidRPr="00A01A72">
        <w:rPr>
          <w:szCs w:val="18"/>
          <w:lang w:val="fr-FR"/>
        </w:rPr>
        <w:t>recrutements:</w:t>
      </w:r>
      <w:proofErr w:type="gramEnd"/>
      <w:r w:rsidRPr="00A01A72">
        <w:rPr>
          <w:szCs w:val="18"/>
          <w:lang w:val="fr-FR"/>
        </w:rPr>
        <w:t xml:space="preserve"> Réserviste opérationnel. </w:t>
      </w:r>
      <w:r w:rsidRPr="00A01A72">
        <w:rPr>
          <w:szCs w:val="18"/>
        </w:rPr>
        <w:t>Available at: &lt;https://www.devenirpolicier.fr/nous-rejoindre/autres-recrutements/reserviste-operationnel&gt;.</w:t>
      </w:r>
    </w:p>
  </w:footnote>
  <w:footnote w:id="85">
    <w:p w14:paraId="77B7876B"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Ministry of the Interior, National study on violent deaths in couples 2021 (26 August 2022) page 15. Available at: &lt; https://www.interieur.gouv.fr/actualites/actu-du-ministere/etude-nationale-sur-morts-violentes-au-sein-du-couple-2021&gt;.</w:t>
      </w:r>
    </w:p>
  </w:footnote>
  <w:footnote w:id="86">
    <w:p w14:paraId="56D2FB7F"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lang w:val="fr-FR"/>
        </w:rPr>
        <w:t xml:space="preserve"> </w:t>
      </w:r>
      <w:proofErr w:type="spellStart"/>
      <w:r w:rsidRPr="00A01A72">
        <w:rPr>
          <w:szCs w:val="18"/>
          <w:lang w:val="fr-FR"/>
        </w:rPr>
        <w:t>Reporterre</w:t>
      </w:r>
      <w:proofErr w:type="spellEnd"/>
      <w:r w:rsidRPr="00A01A72">
        <w:rPr>
          <w:szCs w:val="18"/>
          <w:lang w:val="fr-FR"/>
        </w:rPr>
        <w:t xml:space="preserve">, Féminicides, suicides, les ravages des fusils de chasse (9 </w:t>
      </w:r>
      <w:proofErr w:type="spellStart"/>
      <w:r w:rsidRPr="00A01A72">
        <w:rPr>
          <w:szCs w:val="18"/>
          <w:lang w:val="fr-FR"/>
        </w:rPr>
        <w:t>December</w:t>
      </w:r>
      <w:proofErr w:type="spellEnd"/>
      <w:r w:rsidRPr="00A01A72">
        <w:rPr>
          <w:szCs w:val="18"/>
          <w:lang w:val="fr-FR"/>
        </w:rPr>
        <w:t xml:space="preserve"> 2021). </w:t>
      </w:r>
      <w:r w:rsidRPr="00A01A72">
        <w:rPr>
          <w:szCs w:val="18"/>
        </w:rPr>
        <w:t>Available at: &lt;https://reporterre.net/Feminicides-suicides-les-ravages-des-fusils-de-chasse&gt;.&gt;.</w:t>
      </w:r>
    </w:p>
  </w:footnote>
  <w:footnote w:id="87">
    <w:p w14:paraId="77071911" w14:textId="77777777" w:rsidR="009D40A8" w:rsidRPr="00A01A72" w:rsidRDefault="009D40A8" w:rsidP="00A01A72">
      <w:pPr>
        <w:pStyle w:val="FootnoteText"/>
        <w:rPr>
          <w:szCs w:val="18"/>
        </w:rPr>
      </w:pPr>
      <w:r w:rsidRPr="00A01A72">
        <w:rPr>
          <w:rStyle w:val="FootnoteReference"/>
          <w:rFonts w:cs="Times New Roman"/>
          <w:color w:val="000000" w:themeColor="text1"/>
          <w:szCs w:val="18"/>
        </w:rPr>
        <w:footnoteRef/>
      </w:r>
      <w:r w:rsidRPr="00A01A72">
        <w:rPr>
          <w:szCs w:val="18"/>
        </w:rPr>
        <w:t xml:space="preserve"> Ministry of the Interior, National study on violent deaths in couples 2021 (26 August 2022) page 15. Available at: &lt; https://www.interieur.gouv.fr/actualites/actu-du-ministere/etude-nationale-sur-morts-violentes-au-sein-du-couple-2021&gt;.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ADE41" w14:textId="3FA2ECF2" w:rsidR="001D5BB8" w:rsidRDefault="001D5BB8">
    <w:pPr>
      <w:pStyle w:val="Normal1"/>
      <w:pBdr>
        <w:top w:val="nil"/>
        <w:left w:val="nil"/>
        <w:bottom w:val="nil"/>
        <w:right w:val="nil"/>
        <w:between w:val="nil"/>
      </w:pBdr>
      <w:tabs>
        <w:tab w:val="center" w:pos="4320"/>
        <w:tab w:val="right" w:pos="8640"/>
      </w:tabs>
      <w:contextualSpacing w:val="0"/>
      <w:rPr>
        <w:color w:val="000000"/>
      </w:rPr>
    </w:pPr>
  </w:p>
  <w:p w14:paraId="044FB01F" w14:textId="1256781C" w:rsidR="001D5BB8" w:rsidRDefault="001D5BB8" w:rsidP="00D834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94289"/>
    <w:multiLevelType w:val="hybridMultilevel"/>
    <w:tmpl w:val="86F87DFC"/>
    <w:lvl w:ilvl="0" w:tplc="CF4E71D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D363E2"/>
    <w:multiLevelType w:val="multilevel"/>
    <w:tmpl w:val="2E66731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37192"/>
    <w:multiLevelType w:val="multilevel"/>
    <w:tmpl w:val="AB50B428"/>
    <w:lvl w:ilvl="0">
      <w:start w:val="1"/>
      <w:numFmt w:val="bullet"/>
      <w:lvlText w:val=""/>
      <w:lvlJc w:val="left"/>
      <w:pPr>
        <w:ind w:left="720" w:hanging="360"/>
      </w:pPr>
      <w:rPr>
        <w:rFonts w:ascii="Wingdings" w:hAnsi="Wingdings" w:cs="Wingdings" w:hint="default"/>
        <w:color w:val="244061" w:themeColor="accent1" w:themeShade="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090BE1"/>
    <w:multiLevelType w:val="multilevel"/>
    <w:tmpl w:val="2BA852B8"/>
    <w:lvl w:ilvl="0">
      <w:start w:val="1"/>
      <w:numFmt w:val="bullet"/>
      <w:lvlText w:val="o"/>
      <w:lvlJc w:val="left"/>
      <w:pPr>
        <w:ind w:left="720" w:hanging="360"/>
      </w:pPr>
      <w:rPr>
        <w:rFonts w:ascii="Courier New" w:hAnsi="Courier New"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A9002D"/>
    <w:multiLevelType w:val="hybridMultilevel"/>
    <w:tmpl w:val="133EB8AC"/>
    <w:lvl w:ilvl="0" w:tplc="F8D47E92">
      <w:start w:val="1"/>
      <w:numFmt w:val="upp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46A3A"/>
    <w:multiLevelType w:val="hybridMultilevel"/>
    <w:tmpl w:val="D5026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D0E29"/>
    <w:multiLevelType w:val="hybridMultilevel"/>
    <w:tmpl w:val="D8AC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FB52C2"/>
    <w:multiLevelType w:val="hybridMultilevel"/>
    <w:tmpl w:val="28408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8C13C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150F75"/>
    <w:multiLevelType w:val="multilevel"/>
    <w:tmpl w:val="78D2B6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267097"/>
    <w:multiLevelType w:val="hybridMultilevel"/>
    <w:tmpl w:val="4A062CD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2B17B3"/>
    <w:multiLevelType w:val="hybridMultilevel"/>
    <w:tmpl w:val="FF2266FC"/>
    <w:lvl w:ilvl="0" w:tplc="52FCE21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5332A"/>
    <w:multiLevelType w:val="hybridMultilevel"/>
    <w:tmpl w:val="072C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374271"/>
    <w:multiLevelType w:val="hybridMultilevel"/>
    <w:tmpl w:val="6B2ABE8A"/>
    <w:lvl w:ilvl="0" w:tplc="CF4E71D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C451AB"/>
    <w:multiLevelType w:val="hybridMultilevel"/>
    <w:tmpl w:val="E9367F1A"/>
    <w:lvl w:ilvl="0" w:tplc="575003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5538A7"/>
    <w:multiLevelType w:val="multilevel"/>
    <w:tmpl w:val="72E0859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E380140"/>
    <w:multiLevelType w:val="hybridMultilevel"/>
    <w:tmpl w:val="1BE4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ED481F"/>
    <w:multiLevelType w:val="hybridMultilevel"/>
    <w:tmpl w:val="47201A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90D022E"/>
    <w:multiLevelType w:val="hybridMultilevel"/>
    <w:tmpl w:val="8AC87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B4779"/>
    <w:multiLevelType w:val="multilevel"/>
    <w:tmpl w:val="2E66731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632812"/>
    <w:multiLevelType w:val="multilevel"/>
    <w:tmpl w:val="711EEA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A4533E"/>
    <w:multiLevelType w:val="hybridMultilevel"/>
    <w:tmpl w:val="84CCFCBA"/>
    <w:lvl w:ilvl="0" w:tplc="FD184B0C">
      <w:start w:val="1"/>
      <w:numFmt w:val="bullet"/>
      <w:lvlText w:val=""/>
      <w:lvlJc w:val="left"/>
      <w:pPr>
        <w:ind w:left="720" w:hanging="360"/>
      </w:pPr>
      <w:rPr>
        <w:rFonts w:ascii="Wingdings" w:hAnsi="Wingdings" w:cs="Wingdings"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03615C"/>
    <w:multiLevelType w:val="hybridMultilevel"/>
    <w:tmpl w:val="6E5EAB56"/>
    <w:lvl w:ilvl="0" w:tplc="04090001">
      <w:start w:val="1"/>
      <w:numFmt w:val="bullet"/>
      <w:lvlText w:val=""/>
      <w:lvlJc w:val="left"/>
      <w:pPr>
        <w:ind w:left="719" w:hanging="360"/>
      </w:pPr>
      <w:rPr>
        <w:rFonts w:ascii="Symbol" w:hAnsi="Symbol" w:hint="default"/>
      </w:rPr>
    </w:lvl>
    <w:lvl w:ilvl="1" w:tplc="FFFFFFFF">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3" w15:restartNumberingAfterBreak="0">
    <w:nsid w:val="6226201C"/>
    <w:multiLevelType w:val="multilevel"/>
    <w:tmpl w:val="78CE08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76D1103"/>
    <w:multiLevelType w:val="multilevel"/>
    <w:tmpl w:val="D05E2A98"/>
    <w:lvl w:ilvl="0">
      <w:start w:val="1"/>
      <w:numFmt w:val="lowerLetter"/>
      <w:lvlText w:val="%1)"/>
      <w:lvlJc w:val="left"/>
      <w:pPr>
        <w:ind w:left="720" w:hanging="360"/>
      </w:p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2C2D27"/>
    <w:multiLevelType w:val="multilevel"/>
    <w:tmpl w:val="E0E443D2"/>
    <w:lvl w:ilvl="0">
      <w:start w:val="1"/>
      <w:numFmt w:val="bullet"/>
      <w:lvlText w:val=""/>
      <w:lvlJc w:val="left"/>
      <w:pPr>
        <w:ind w:left="1080" w:hanging="360"/>
      </w:pPr>
      <w:rPr>
        <w:rFonts w:ascii="Wingdings" w:hAnsi="Wingdings" w:cs="Wingdings" w:hint="default"/>
        <w:color w:val="244061" w:themeColor="accent1" w:themeShade="80"/>
      </w:rPr>
    </w:lvl>
    <w:lvl w:ilvl="1">
      <w:start w:val="1"/>
      <w:numFmt w:val="bullet"/>
      <w:lvlText w:val="○"/>
      <w:lvlJc w:val="left"/>
      <w:pPr>
        <w:ind w:left="1442" w:hanging="360"/>
      </w:pPr>
    </w:lvl>
    <w:lvl w:ilvl="2">
      <w:start w:val="1"/>
      <w:numFmt w:val="lowerRoman"/>
      <w:lvlText w:val="%3."/>
      <w:lvlJc w:val="right"/>
      <w:pPr>
        <w:ind w:left="2162" w:hanging="180"/>
      </w:pPr>
    </w:lvl>
    <w:lvl w:ilvl="3">
      <w:start w:val="1"/>
      <w:numFmt w:val="decimal"/>
      <w:lvlText w:val="%4."/>
      <w:lvlJc w:val="left"/>
      <w:pPr>
        <w:ind w:left="2882" w:hanging="360"/>
      </w:pPr>
    </w:lvl>
    <w:lvl w:ilvl="4">
      <w:start w:val="1"/>
      <w:numFmt w:val="lowerLetter"/>
      <w:lvlText w:val="%5."/>
      <w:lvlJc w:val="left"/>
      <w:pPr>
        <w:ind w:left="3602" w:hanging="360"/>
      </w:pPr>
    </w:lvl>
    <w:lvl w:ilvl="5">
      <w:start w:val="1"/>
      <w:numFmt w:val="lowerRoman"/>
      <w:lvlText w:val="%6."/>
      <w:lvlJc w:val="right"/>
      <w:pPr>
        <w:ind w:left="4322" w:hanging="180"/>
      </w:pPr>
    </w:lvl>
    <w:lvl w:ilvl="6">
      <w:start w:val="1"/>
      <w:numFmt w:val="decimal"/>
      <w:lvlText w:val="%7."/>
      <w:lvlJc w:val="left"/>
      <w:pPr>
        <w:ind w:left="5042" w:hanging="360"/>
      </w:pPr>
    </w:lvl>
    <w:lvl w:ilvl="7">
      <w:start w:val="1"/>
      <w:numFmt w:val="lowerLetter"/>
      <w:lvlText w:val="%8."/>
      <w:lvlJc w:val="left"/>
      <w:pPr>
        <w:ind w:left="5762" w:hanging="360"/>
      </w:pPr>
    </w:lvl>
    <w:lvl w:ilvl="8">
      <w:start w:val="1"/>
      <w:numFmt w:val="lowerRoman"/>
      <w:lvlText w:val="%9."/>
      <w:lvlJc w:val="right"/>
      <w:pPr>
        <w:ind w:left="6482" w:hanging="180"/>
      </w:pPr>
    </w:lvl>
  </w:abstractNum>
  <w:abstractNum w:abstractNumId="26" w15:restartNumberingAfterBreak="0">
    <w:nsid w:val="6B6548F3"/>
    <w:multiLevelType w:val="hybridMultilevel"/>
    <w:tmpl w:val="B186E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5848A6"/>
    <w:multiLevelType w:val="multilevel"/>
    <w:tmpl w:val="FC98DBA6"/>
    <w:lvl w:ilvl="0">
      <w:start w:val="1"/>
      <w:numFmt w:val="bullet"/>
      <w:lvlText w:val=""/>
      <w:lvlJc w:val="left"/>
      <w:pPr>
        <w:ind w:left="567" w:hanging="207"/>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2A86BE1"/>
    <w:multiLevelType w:val="multilevel"/>
    <w:tmpl w:val="610677DE"/>
    <w:lvl w:ilvl="0">
      <w:start w:val="1"/>
      <w:numFmt w:val="bullet"/>
      <w:lvlText w:val=""/>
      <w:lvlJc w:val="left"/>
      <w:pPr>
        <w:ind w:left="1081" w:hanging="360"/>
      </w:pPr>
      <w:rPr>
        <w:rFonts w:ascii="Wingdings" w:hAnsi="Wingdings" w:cs="Wingdings" w:hint="default"/>
        <w:color w:val="244061" w:themeColor="accent1" w:themeShade="80"/>
      </w:rPr>
    </w:lvl>
    <w:lvl w:ilvl="1">
      <w:start w:val="1"/>
      <w:numFmt w:val="bullet"/>
      <w:lvlText w:val="○"/>
      <w:lvlJc w:val="left"/>
      <w:pPr>
        <w:ind w:left="1443" w:hanging="360"/>
      </w:pPr>
    </w:lvl>
    <w:lvl w:ilvl="2">
      <w:start w:val="1"/>
      <w:numFmt w:val="lowerRoman"/>
      <w:lvlText w:val="%3."/>
      <w:lvlJc w:val="right"/>
      <w:pPr>
        <w:ind w:left="2163" w:hanging="180"/>
      </w:pPr>
    </w:lvl>
    <w:lvl w:ilvl="3">
      <w:start w:val="1"/>
      <w:numFmt w:val="decimal"/>
      <w:lvlText w:val="%4."/>
      <w:lvlJc w:val="left"/>
      <w:pPr>
        <w:ind w:left="2883" w:hanging="360"/>
      </w:pPr>
    </w:lvl>
    <w:lvl w:ilvl="4">
      <w:start w:val="1"/>
      <w:numFmt w:val="lowerLetter"/>
      <w:lvlText w:val="%5."/>
      <w:lvlJc w:val="left"/>
      <w:pPr>
        <w:ind w:left="3603" w:hanging="360"/>
      </w:pPr>
    </w:lvl>
    <w:lvl w:ilvl="5">
      <w:start w:val="1"/>
      <w:numFmt w:val="lowerRoman"/>
      <w:lvlText w:val="%6."/>
      <w:lvlJc w:val="right"/>
      <w:pPr>
        <w:ind w:left="4323" w:hanging="180"/>
      </w:pPr>
    </w:lvl>
    <w:lvl w:ilvl="6">
      <w:start w:val="1"/>
      <w:numFmt w:val="decimal"/>
      <w:lvlText w:val="%7."/>
      <w:lvlJc w:val="left"/>
      <w:pPr>
        <w:ind w:left="5043" w:hanging="360"/>
      </w:pPr>
    </w:lvl>
    <w:lvl w:ilvl="7">
      <w:start w:val="1"/>
      <w:numFmt w:val="lowerLetter"/>
      <w:lvlText w:val="%8."/>
      <w:lvlJc w:val="left"/>
      <w:pPr>
        <w:ind w:left="5763" w:hanging="360"/>
      </w:pPr>
    </w:lvl>
    <w:lvl w:ilvl="8">
      <w:start w:val="1"/>
      <w:numFmt w:val="lowerRoman"/>
      <w:lvlText w:val="%9."/>
      <w:lvlJc w:val="right"/>
      <w:pPr>
        <w:ind w:left="6483" w:hanging="180"/>
      </w:pPr>
    </w:lvl>
  </w:abstractNum>
  <w:abstractNum w:abstractNumId="29" w15:restartNumberingAfterBreak="0">
    <w:nsid w:val="77193C99"/>
    <w:multiLevelType w:val="hybridMultilevel"/>
    <w:tmpl w:val="E3168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939464">
    <w:abstractNumId w:val="16"/>
  </w:num>
  <w:num w:numId="2" w16cid:durableId="658463778">
    <w:abstractNumId w:val="5"/>
  </w:num>
  <w:num w:numId="3" w16cid:durableId="1004360662">
    <w:abstractNumId w:val="18"/>
  </w:num>
  <w:num w:numId="4" w16cid:durableId="1480341573">
    <w:abstractNumId w:val="7"/>
  </w:num>
  <w:num w:numId="5" w16cid:durableId="520508444">
    <w:abstractNumId w:val="12"/>
  </w:num>
  <w:num w:numId="6" w16cid:durableId="1018308115">
    <w:abstractNumId w:val="29"/>
  </w:num>
  <w:num w:numId="7" w16cid:durableId="12613155">
    <w:abstractNumId w:val="26"/>
  </w:num>
  <w:num w:numId="8" w16cid:durableId="161089606">
    <w:abstractNumId w:val="8"/>
  </w:num>
  <w:num w:numId="9" w16cid:durableId="1969702908">
    <w:abstractNumId w:val="17"/>
  </w:num>
  <w:num w:numId="10" w16cid:durableId="1172531885">
    <w:abstractNumId w:val="20"/>
  </w:num>
  <w:num w:numId="11" w16cid:durableId="1177621233">
    <w:abstractNumId w:val="9"/>
  </w:num>
  <w:num w:numId="12" w16cid:durableId="1758668375">
    <w:abstractNumId w:val="24"/>
  </w:num>
  <w:num w:numId="13" w16cid:durableId="564682127">
    <w:abstractNumId w:val="10"/>
  </w:num>
  <w:num w:numId="14" w16cid:durableId="7563152">
    <w:abstractNumId w:val="23"/>
  </w:num>
  <w:num w:numId="15" w16cid:durableId="915822882">
    <w:abstractNumId w:val="6"/>
  </w:num>
  <w:num w:numId="16" w16cid:durableId="1122728919">
    <w:abstractNumId w:val="22"/>
  </w:num>
  <w:num w:numId="17" w16cid:durableId="627207196">
    <w:abstractNumId w:val="15"/>
  </w:num>
  <w:num w:numId="18" w16cid:durableId="841549049">
    <w:abstractNumId w:val="4"/>
  </w:num>
  <w:num w:numId="19" w16cid:durableId="1321228608">
    <w:abstractNumId w:val="11"/>
  </w:num>
  <w:num w:numId="20" w16cid:durableId="595359315">
    <w:abstractNumId w:val="14"/>
  </w:num>
  <w:num w:numId="21" w16cid:durableId="1447432199">
    <w:abstractNumId w:val="27"/>
  </w:num>
  <w:num w:numId="22" w16cid:durableId="993021861">
    <w:abstractNumId w:val="13"/>
  </w:num>
  <w:num w:numId="23" w16cid:durableId="1146052224">
    <w:abstractNumId w:val="2"/>
  </w:num>
  <w:num w:numId="24" w16cid:durableId="1688405155">
    <w:abstractNumId w:val="0"/>
  </w:num>
  <w:num w:numId="25" w16cid:durableId="2016640388">
    <w:abstractNumId w:val="25"/>
  </w:num>
  <w:num w:numId="26" w16cid:durableId="1516378390">
    <w:abstractNumId w:val="3"/>
  </w:num>
  <w:num w:numId="27" w16cid:durableId="852112063">
    <w:abstractNumId w:val="19"/>
  </w:num>
  <w:num w:numId="28" w16cid:durableId="1426462948">
    <w:abstractNumId w:val="1"/>
  </w:num>
  <w:num w:numId="29" w16cid:durableId="209340609">
    <w:abstractNumId w:val="21"/>
  </w:num>
  <w:num w:numId="30" w16cid:durableId="1908294642">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removePersonalInformation/>
  <w:removeDateAndTime/>
  <w:hideSpellingErrors/>
  <w:hideGrammaticalErrors/>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sv-SE"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fr-FR" w:vendorID="64" w:dllVersion="0" w:nlCheck="1" w:checkStyle="0"/>
  <w:activeWritingStyle w:appName="MSWord" w:lang="fr-CH" w:vendorID="64" w:dllVersion="0" w:nlCheck="1" w:checkStyle="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271E"/>
    <w:rsid w:val="000043A5"/>
    <w:rsid w:val="00010333"/>
    <w:rsid w:val="00012BC3"/>
    <w:rsid w:val="00030B2F"/>
    <w:rsid w:val="00031003"/>
    <w:rsid w:val="00037681"/>
    <w:rsid w:val="00042501"/>
    <w:rsid w:val="00047B83"/>
    <w:rsid w:val="00052CE2"/>
    <w:rsid w:val="00054374"/>
    <w:rsid w:val="0005503E"/>
    <w:rsid w:val="000570A9"/>
    <w:rsid w:val="00057F19"/>
    <w:rsid w:val="00060A60"/>
    <w:rsid w:val="00061BB2"/>
    <w:rsid w:val="0007107E"/>
    <w:rsid w:val="000762B4"/>
    <w:rsid w:val="000859B6"/>
    <w:rsid w:val="000901AE"/>
    <w:rsid w:val="00091363"/>
    <w:rsid w:val="00097AA7"/>
    <w:rsid w:val="000A5B10"/>
    <w:rsid w:val="000B5AB7"/>
    <w:rsid w:val="000B5BD6"/>
    <w:rsid w:val="000B6070"/>
    <w:rsid w:val="000C0383"/>
    <w:rsid w:val="000C2C92"/>
    <w:rsid w:val="000C7C01"/>
    <w:rsid w:val="000D1113"/>
    <w:rsid w:val="000D3BD9"/>
    <w:rsid w:val="000D5DBF"/>
    <w:rsid w:val="000E6B31"/>
    <w:rsid w:val="000F02D7"/>
    <w:rsid w:val="000F45FC"/>
    <w:rsid w:val="001044A6"/>
    <w:rsid w:val="0010546A"/>
    <w:rsid w:val="00107EB2"/>
    <w:rsid w:val="001224DC"/>
    <w:rsid w:val="00135F67"/>
    <w:rsid w:val="0014147A"/>
    <w:rsid w:val="001432E4"/>
    <w:rsid w:val="00152905"/>
    <w:rsid w:val="0016241A"/>
    <w:rsid w:val="00162F70"/>
    <w:rsid w:val="00163897"/>
    <w:rsid w:val="00176AA0"/>
    <w:rsid w:val="001A133A"/>
    <w:rsid w:val="001B3927"/>
    <w:rsid w:val="001C2F1F"/>
    <w:rsid w:val="001C4299"/>
    <w:rsid w:val="001D5BB8"/>
    <w:rsid w:val="001D798F"/>
    <w:rsid w:val="001E0DE2"/>
    <w:rsid w:val="001F6CA6"/>
    <w:rsid w:val="00203C2E"/>
    <w:rsid w:val="00204268"/>
    <w:rsid w:val="002066EC"/>
    <w:rsid w:val="002132F9"/>
    <w:rsid w:val="00214A04"/>
    <w:rsid w:val="00217FA2"/>
    <w:rsid w:val="002206C1"/>
    <w:rsid w:val="00237D2F"/>
    <w:rsid w:val="002458EC"/>
    <w:rsid w:val="002467E9"/>
    <w:rsid w:val="0025136B"/>
    <w:rsid w:val="00251B13"/>
    <w:rsid w:val="0025251D"/>
    <w:rsid w:val="00253701"/>
    <w:rsid w:val="00257003"/>
    <w:rsid w:val="00260A03"/>
    <w:rsid w:val="00274950"/>
    <w:rsid w:val="00274B32"/>
    <w:rsid w:val="00287914"/>
    <w:rsid w:val="0029142C"/>
    <w:rsid w:val="00295099"/>
    <w:rsid w:val="002956FA"/>
    <w:rsid w:val="002B0CB4"/>
    <w:rsid w:val="002B38F9"/>
    <w:rsid w:val="002B3F82"/>
    <w:rsid w:val="002B761F"/>
    <w:rsid w:val="002C5B18"/>
    <w:rsid w:val="002D22FD"/>
    <w:rsid w:val="002D250D"/>
    <w:rsid w:val="002D4BB5"/>
    <w:rsid w:val="002D7F5E"/>
    <w:rsid w:val="002E396E"/>
    <w:rsid w:val="00304BB0"/>
    <w:rsid w:val="00313200"/>
    <w:rsid w:val="0031452B"/>
    <w:rsid w:val="00315F04"/>
    <w:rsid w:val="00327F5F"/>
    <w:rsid w:val="003348ED"/>
    <w:rsid w:val="00346056"/>
    <w:rsid w:val="0035098D"/>
    <w:rsid w:val="003571D8"/>
    <w:rsid w:val="00362E9B"/>
    <w:rsid w:val="00367807"/>
    <w:rsid w:val="00373FCF"/>
    <w:rsid w:val="00375687"/>
    <w:rsid w:val="00382AD8"/>
    <w:rsid w:val="00384DB0"/>
    <w:rsid w:val="003870C9"/>
    <w:rsid w:val="003A4365"/>
    <w:rsid w:val="003B0A8C"/>
    <w:rsid w:val="003B5CB8"/>
    <w:rsid w:val="003B6C6B"/>
    <w:rsid w:val="003C018B"/>
    <w:rsid w:val="003C2E62"/>
    <w:rsid w:val="003D2DA5"/>
    <w:rsid w:val="003D79F2"/>
    <w:rsid w:val="003E3CF7"/>
    <w:rsid w:val="003E4344"/>
    <w:rsid w:val="003E6473"/>
    <w:rsid w:val="004004A6"/>
    <w:rsid w:val="00402925"/>
    <w:rsid w:val="00402ADE"/>
    <w:rsid w:val="00412054"/>
    <w:rsid w:val="00412A49"/>
    <w:rsid w:val="004154E2"/>
    <w:rsid w:val="00423785"/>
    <w:rsid w:val="00424EAC"/>
    <w:rsid w:val="00426FF3"/>
    <w:rsid w:val="00430D58"/>
    <w:rsid w:val="00434D28"/>
    <w:rsid w:val="004366B6"/>
    <w:rsid w:val="004419C4"/>
    <w:rsid w:val="00446AD2"/>
    <w:rsid w:val="00450FBC"/>
    <w:rsid w:val="004559CA"/>
    <w:rsid w:val="004576DA"/>
    <w:rsid w:val="00461535"/>
    <w:rsid w:val="00463689"/>
    <w:rsid w:val="00471F90"/>
    <w:rsid w:val="00472C4E"/>
    <w:rsid w:val="00481761"/>
    <w:rsid w:val="00482E5D"/>
    <w:rsid w:val="0048455F"/>
    <w:rsid w:val="00486808"/>
    <w:rsid w:val="0049376D"/>
    <w:rsid w:val="00496188"/>
    <w:rsid w:val="004A7A30"/>
    <w:rsid w:val="004B4446"/>
    <w:rsid w:val="004B4EC2"/>
    <w:rsid w:val="004D239F"/>
    <w:rsid w:val="004D5BBF"/>
    <w:rsid w:val="004D6669"/>
    <w:rsid w:val="004D7AAA"/>
    <w:rsid w:val="004F358B"/>
    <w:rsid w:val="004F51C2"/>
    <w:rsid w:val="004F6044"/>
    <w:rsid w:val="005030AC"/>
    <w:rsid w:val="005118FB"/>
    <w:rsid w:val="00512F71"/>
    <w:rsid w:val="0052513B"/>
    <w:rsid w:val="005253B4"/>
    <w:rsid w:val="00534068"/>
    <w:rsid w:val="00547205"/>
    <w:rsid w:val="00560DE6"/>
    <w:rsid w:val="00574D28"/>
    <w:rsid w:val="00575C1B"/>
    <w:rsid w:val="0058226C"/>
    <w:rsid w:val="00593579"/>
    <w:rsid w:val="005973DA"/>
    <w:rsid w:val="005A08A3"/>
    <w:rsid w:val="005A23F8"/>
    <w:rsid w:val="005B14A1"/>
    <w:rsid w:val="005B5B3B"/>
    <w:rsid w:val="005B5EB7"/>
    <w:rsid w:val="005C0F7B"/>
    <w:rsid w:val="005C15F8"/>
    <w:rsid w:val="005E48A4"/>
    <w:rsid w:val="00602F4A"/>
    <w:rsid w:val="006063F7"/>
    <w:rsid w:val="00615CE9"/>
    <w:rsid w:val="0062670B"/>
    <w:rsid w:val="00630C6E"/>
    <w:rsid w:val="00642B57"/>
    <w:rsid w:val="00661076"/>
    <w:rsid w:val="006635A8"/>
    <w:rsid w:val="006778A9"/>
    <w:rsid w:val="00687F7A"/>
    <w:rsid w:val="00691F00"/>
    <w:rsid w:val="006928EE"/>
    <w:rsid w:val="00695620"/>
    <w:rsid w:val="006A101E"/>
    <w:rsid w:val="006B30C9"/>
    <w:rsid w:val="006B3B60"/>
    <w:rsid w:val="006D3E7C"/>
    <w:rsid w:val="006D5546"/>
    <w:rsid w:val="006D5DC3"/>
    <w:rsid w:val="006D618C"/>
    <w:rsid w:val="006E12A9"/>
    <w:rsid w:val="006E2099"/>
    <w:rsid w:val="006E4F52"/>
    <w:rsid w:val="006F0A05"/>
    <w:rsid w:val="006F4C2E"/>
    <w:rsid w:val="006F724F"/>
    <w:rsid w:val="00711409"/>
    <w:rsid w:val="0071676E"/>
    <w:rsid w:val="00722DD0"/>
    <w:rsid w:val="00733BD7"/>
    <w:rsid w:val="00734E49"/>
    <w:rsid w:val="00744766"/>
    <w:rsid w:val="00757F5B"/>
    <w:rsid w:val="00762888"/>
    <w:rsid w:val="0077291B"/>
    <w:rsid w:val="00773397"/>
    <w:rsid w:val="00783333"/>
    <w:rsid w:val="00792478"/>
    <w:rsid w:val="00792C75"/>
    <w:rsid w:val="00793419"/>
    <w:rsid w:val="007A1A0A"/>
    <w:rsid w:val="007A26DE"/>
    <w:rsid w:val="007A3406"/>
    <w:rsid w:val="007B26A8"/>
    <w:rsid w:val="007C18EF"/>
    <w:rsid w:val="007D030E"/>
    <w:rsid w:val="007D09FC"/>
    <w:rsid w:val="007D34FB"/>
    <w:rsid w:val="007D38AC"/>
    <w:rsid w:val="007D4F49"/>
    <w:rsid w:val="007E1909"/>
    <w:rsid w:val="007E1A72"/>
    <w:rsid w:val="007E1AAD"/>
    <w:rsid w:val="007E6823"/>
    <w:rsid w:val="00800F5E"/>
    <w:rsid w:val="0080127C"/>
    <w:rsid w:val="0080598D"/>
    <w:rsid w:val="00812F1F"/>
    <w:rsid w:val="0081412C"/>
    <w:rsid w:val="00816022"/>
    <w:rsid w:val="00816709"/>
    <w:rsid w:val="00826CD6"/>
    <w:rsid w:val="00827A97"/>
    <w:rsid w:val="008305A4"/>
    <w:rsid w:val="00830B4A"/>
    <w:rsid w:val="00831428"/>
    <w:rsid w:val="008438E3"/>
    <w:rsid w:val="00852D7B"/>
    <w:rsid w:val="00857397"/>
    <w:rsid w:val="00861BA5"/>
    <w:rsid w:val="00861FB8"/>
    <w:rsid w:val="00862AA8"/>
    <w:rsid w:val="00862F79"/>
    <w:rsid w:val="008662A6"/>
    <w:rsid w:val="00867075"/>
    <w:rsid w:val="00867171"/>
    <w:rsid w:val="0087448B"/>
    <w:rsid w:val="00876E54"/>
    <w:rsid w:val="00882B6A"/>
    <w:rsid w:val="008859AC"/>
    <w:rsid w:val="00886F90"/>
    <w:rsid w:val="00887008"/>
    <w:rsid w:val="00887688"/>
    <w:rsid w:val="00896798"/>
    <w:rsid w:val="008A3378"/>
    <w:rsid w:val="008A71BC"/>
    <w:rsid w:val="008B0E17"/>
    <w:rsid w:val="008B33E1"/>
    <w:rsid w:val="008B4344"/>
    <w:rsid w:val="008C5F91"/>
    <w:rsid w:val="008C6E3A"/>
    <w:rsid w:val="008D224A"/>
    <w:rsid w:val="008E304A"/>
    <w:rsid w:val="008E3B11"/>
    <w:rsid w:val="008E6D8C"/>
    <w:rsid w:val="008F35B9"/>
    <w:rsid w:val="008F3965"/>
    <w:rsid w:val="008F6771"/>
    <w:rsid w:val="0090660F"/>
    <w:rsid w:val="00906F49"/>
    <w:rsid w:val="0091129D"/>
    <w:rsid w:val="00913622"/>
    <w:rsid w:val="00914A2E"/>
    <w:rsid w:val="00920A1F"/>
    <w:rsid w:val="00924636"/>
    <w:rsid w:val="00924637"/>
    <w:rsid w:val="0092584F"/>
    <w:rsid w:val="00926F73"/>
    <w:rsid w:val="00931529"/>
    <w:rsid w:val="00932F2F"/>
    <w:rsid w:val="00941ADD"/>
    <w:rsid w:val="00946AC2"/>
    <w:rsid w:val="009509A3"/>
    <w:rsid w:val="00950F16"/>
    <w:rsid w:val="00952EA0"/>
    <w:rsid w:val="00955AB0"/>
    <w:rsid w:val="00985CD6"/>
    <w:rsid w:val="00986235"/>
    <w:rsid w:val="009871AE"/>
    <w:rsid w:val="0099038C"/>
    <w:rsid w:val="009A0B72"/>
    <w:rsid w:val="009A2484"/>
    <w:rsid w:val="009A2992"/>
    <w:rsid w:val="009B073F"/>
    <w:rsid w:val="009B176A"/>
    <w:rsid w:val="009B4F02"/>
    <w:rsid w:val="009D1E17"/>
    <w:rsid w:val="009D40A8"/>
    <w:rsid w:val="009D6706"/>
    <w:rsid w:val="009E5E7E"/>
    <w:rsid w:val="009F1891"/>
    <w:rsid w:val="009F40F5"/>
    <w:rsid w:val="00A01A72"/>
    <w:rsid w:val="00A03505"/>
    <w:rsid w:val="00A03DF6"/>
    <w:rsid w:val="00A116EE"/>
    <w:rsid w:val="00A11CA7"/>
    <w:rsid w:val="00A1687C"/>
    <w:rsid w:val="00A26E21"/>
    <w:rsid w:val="00A50751"/>
    <w:rsid w:val="00A50919"/>
    <w:rsid w:val="00A61EE0"/>
    <w:rsid w:val="00A6472F"/>
    <w:rsid w:val="00A711AF"/>
    <w:rsid w:val="00A86B12"/>
    <w:rsid w:val="00A922FC"/>
    <w:rsid w:val="00A94A50"/>
    <w:rsid w:val="00A96A1E"/>
    <w:rsid w:val="00AA095E"/>
    <w:rsid w:val="00AA186A"/>
    <w:rsid w:val="00AA58E7"/>
    <w:rsid w:val="00AC2765"/>
    <w:rsid w:val="00AC3A0A"/>
    <w:rsid w:val="00AC4440"/>
    <w:rsid w:val="00AD3B06"/>
    <w:rsid w:val="00AD6434"/>
    <w:rsid w:val="00AD75B5"/>
    <w:rsid w:val="00AE3540"/>
    <w:rsid w:val="00AE551B"/>
    <w:rsid w:val="00AF0302"/>
    <w:rsid w:val="00AF1126"/>
    <w:rsid w:val="00AF1A6F"/>
    <w:rsid w:val="00AF7DD7"/>
    <w:rsid w:val="00B07E4D"/>
    <w:rsid w:val="00B11A4E"/>
    <w:rsid w:val="00B16245"/>
    <w:rsid w:val="00B16A09"/>
    <w:rsid w:val="00B20304"/>
    <w:rsid w:val="00B23931"/>
    <w:rsid w:val="00B2424C"/>
    <w:rsid w:val="00B30233"/>
    <w:rsid w:val="00B359AC"/>
    <w:rsid w:val="00B43154"/>
    <w:rsid w:val="00B43F32"/>
    <w:rsid w:val="00B50353"/>
    <w:rsid w:val="00B633C2"/>
    <w:rsid w:val="00B662FD"/>
    <w:rsid w:val="00B86922"/>
    <w:rsid w:val="00B9134A"/>
    <w:rsid w:val="00B9297A"/>
    <w:rsid w:val="00BA19CB"/>
    <w:rsid w:val="00BA1BAA"/>
    <w:rsid w:val="00BA44CD"/>
    <w:rsid w:val="00BA72F8"/>
    <w:rsid w:val="00BB1F88"/>
    <w:rsid w:val="00BB3B39"/>
    <w:rsid w:val="00BC11F1"/>
    <w:rsid w:val="00BC1EF6"/>
    <w:rsid w:val="00BC4257"/>
    <w:rsid w:val="00BD0D97"/>
    <w:rsid w:val="00BD3A44"/>
    <w:rsid w:val="00BD41AA"/>
    <w:rsid w:val="00BF1EAA"/>
    <w:rsid w:val="00BF6E4E"/>
    <w:rsid w:val="00C001E8"/>
    <w:rsid w:val="00C107BF"/>
    <w:rsid w:val="00C15934"/>
    <w:rsid w:val="00C213C5"/>
    <w:rsid w:val="00C300BC"/>
    <w:rsid w:val="00C313FB"/>
    <w:rsid w:val="00C32518"/>
    <w:rsid w:val="00C354B1"/>
    <w:rsid w:val="00C41481"/>
    <w:rsid w:val="00C429AA"/>
    <w:rsid w:val="00C65704"/>
    <w:rsid w:val="00C712D7"/>
    <w:rsid w:val="00C758B5"/>
    <w:rsid w:val="00CA2386"/>
    <w:rsid w:val="00CA7BA9"/>
    <w:rsid w:val="00CB0D59"/>
    <w:rsid w:val="00CB1C3F"/>
    <w:rsid w:val="00CB415A"/>
    <w:rsid w:val="00CB76FC"/>
    <w:rsid w:val="00CC23F3"/>
    <w:rsid w:val="00CD2E44"/>
    <w:rsid w:val="00CD3B44"/>
    <w:rsid w:val="00CE35B1"/>
    <w:rsid w:val="00CE36CD"/>
    <w:rsid w:val="00CE470E"/>
    <w:rsid w:val="00D02E1F"/>
    <w:rsid w:val="00D0403C"/>
    <w:rsid w:val="00D05274"/>
    <w:rsid w:val="00D07C28"/>
    <w:rsid w:val="00D23CE1"/>
    <w:rsid w:val="00D24442"/>
    <w:rsid w:val="00D31EEA"/>
    <w:rsid w:val="00D36BF2"/>
    <w:rsid w:val="00D412EE"/>
    <w:rsid w:val="00D431EC"/>
    <w:rsid w:val="00D442EB"/>
    <w:rsid w:val="00D47A60"/>
    <w:rsid w:val="00D47FC1"/>
    <w:rsid w:val="00D54967"/>
    <w:rsid w:val="00D612D7"/>
    <w:rsid w:val="00D662D8"/>
    <w:rsid w:val="00D673B8"/>
    <w:rsid w:val="00D76D17"/>
    <w:rsid w:val="00D77C93"/>
    <w:rsid w:val="00D81E76"/>
    <w:rsid w:val="00D83442"/>
    <w:rsid w:val="00D85620"/>
    <w:rsid w:val="00D85B8C"/>
    <w:rsid w:val="00DA0387"/>
    <w:rsid w:val="00DA35CD"/>
    <w:rsid w:val="00DA6FD5"/>
    <w:rsid w:val="00DC0A83"/>
    <w:rsid w:val="00DC3386"/>
    <w:rsid w:val="00DC6CCE"/>
    <w:rsid w:val="00DD701E"/>
    <w:rsid w:val="00DD73B3"/>
    <w:rsid w:val="00DF24A0"/>
    <w:rsid w:val="00DF38A5"/>
    <w:rsid w:val="00E01FE2"/>
    <w:rsid w:val="00E0419A"/>
    <w:rsid w:val="00E04362"/>
    <w:rsid w:val="00E05E88"/>
    <w:rsid w:val="00E07403"/>
    <w:rsid w:val="00E307A0"/>
    <w:rsid w:val="00E311C4"/>
    <w:rsid w:val="00E346BB"/>
    <w:rsid w:val="00E40380"/>
    <w:rsid w:val="00E447DA"/>
    <w:rsid w:val="00E45453"/>
    <w:rsid w:val="00E53333"/>
    <w:rsid w:val="00E61789"/>
    <w:rsid w:val="00E62225"/>
    <w:rsid w:val="00E6349D"/>
    <w:rsid w:val="00E72D0E"/>
    <w:rsid w:val="00E85D5F"/>
    <w:rsid w:val="00EA5837"/>
    <w:rsid w:val="00EB2B2E"/>
    <w:rsid w:val="00EB2C09"/>
    <w:rsid w:val="00EB3EE5"/>
    <w:rsid w:val="00ED0ED7"/>
    <w:rsid w:val="00ED1995"/>
    <w:rsid w:val="00ED7FAE"/>
    <w:rsid w:val="00EE7A56"/>
    <w:rsid w:val="00EF0295"/>
    <w:rsid w:val="00EF1E18"/>
    <w:rsid w:val="00F000BB"/>
    <w:rsid w:val="00F00B89"/>
    <w:rsid w:val="00F07BE2"/>
    <w:rsid w:val="00F12957"/>
    <w:rsid w:val="00F3004C"/>
    <w:rsid w:val="00F3312D"/>
    <w:rsid w:val="00F33281"/>
    <w:rsid w:val="00F34844"/>
    <w:rsid w:val="00F50F0C"/>
    <w:rsid w:val="00F537E8"/>
    <w:rsid w:val="00F67CA6"/>
    <w:rsid w:val="00F67D98"/>
    <w:rsid w:val="00F708F1"/>
    <w:rsid w:val="00F71D5A"/>
    <w:rsid w:val="00F77331"/>
    <w:rsid w:val="00F84650"/>
    <w:rsid w:val="00F847CA"/>
    <w:rsid w:val="00F84C11"/>
    <w:rsid w:val="00F85F6F"/>
    <w:rsid w:val="00F94701"/>
    <w:rsid w:val="00FA6523"/>
    <w:rsid w:val="00FB1F6B"/>
    <w:rsid w:val="00FB570B"/>
    <w:rsid w:val="00FB7E50"/>
    <w:rsid w:val="00FD5713"/>
    <w:rsid w:val="00FD59F6"/>
    <w:rsid w:val="00FD5B8F"/>
    <w:rsid w:val="00FD7274"/>
    <w:rsid w:val="00FE2A93"/>
    <w:rsid w:val="00FF2A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9AA"/>
    <w:pPr>
      <w:spacing w:line="360" w:lineRule="auto"/>
      <w:jc w:val="both"/>
    </w:pPr>
    <w:rPr>
      <w:rFonts w:ascii="Franklin Gothic Book" w:hAnsi="Franklin Gothic Book"/>
      <w:sz w:val="20"/>
      <w:lang w:val="en-GB"/>
    </w:rPr>
  </w:style>
  <w:style w:type="paragraph" w:styleId="Heading1">
    <w:name w:val="heading 1"/>
    <w:basedOn w:val="Normal1"/>
    <w:next w:val="Normal1"/>
    <w:rsid w:val="00C429AA"/>
    <w:pPr>
      <w:keepNext/>
      <w:keepLines/>
      <w:pBdr>
        <w:top w:val="nil"/>
        <w:left w:val="nil"/>
        <w:bottom w:val="nil"/>
        <w:right w:val="nil"/>
        <w:between w:val="nil"/>
      </w:pBdr>
      <w:tabs>
        <w:tab w:val="left" w:pos="426"/>
      </w:tabs>
      <w:spacing w:after="16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D83442"/>
    <w:pPr>
      <w:keepNext/>
      <w:keepLines/>
      <w:pBdr>
        <w:top w:val="nil"/>
        <w:left w:val="nil"/>
        <w:bottom w:val="nil"/>
        <w:right w:val="nil"/>
        <w:between w:val="nil"/>
      </w:pBdr>
      <w:tabs>
        <w:tab w:val="left" w:pos="426"/>
      </w:tabs>
      <w:spacing w:after="120" w:line="240" w:lineRule="auto"/>
      <w:ind w:left="426" w:hanging="426"/>
      <w:outlineLvl w:val="1"/>
    </w:pPr>
    <w:rPr>
      <w:rFonts w:ascii="Verdana" w:hAnsi="Verdana" w:cstheme="majorHAnsi"/>
      <w:b/>
      <w:bCs/>
      <w:color w:val="17365D" w:themeColor="text2" w:themeShade="BF"/>
      <w:lang w:val="en-US"/>
    </w:rPr>
  </w:style>
  <w:style w:type="paragraph" w:styleId="Heading3">
    <w:name w:val="heading 3"/>
    <w:basedOn w:val="Normal"/>
    <w:next w:val="Normal1"/>
    <w:rsid w:val="00257003"/>
    <w:pPr>
      <w:keepNext/>
      <w:keepLines/>
      <w:pBdr>
        <w:top w:val="nil"/>
        <w:left w:val="nil"/>
        <w:bottom w:val="nil"/>
        <w:right w:val="nil"/>
        <w:between w:val="nil"/>
      </w:pBdr>
      <w:tabs>
        <w:tab w:val="left" w:pos="426"/>
      </w:tabs>
      <w:spacing w:after="120" w:line="240" w:lineRule="auto"/>
      <w:ind w:left="426" w:hanging="426"/>
      <w:jc w:val="left"/>
      <w:outlineLvl w:val="2"/>
    </w:pPr>
    <w:rPr>
      <w:rFonts w:ascii="Franklin Gothic Medium" w:hAnsi="Franklin Gothic Medium"/>
      <w:color w:val="17365D" w:themeColor="text2" w:themeShade="BF"/>
      <w:sz w:val="24"/>
      <w:szCs w:val="28"/>
      <w:u w:val="single"/>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paragraph" w:styleId="Heading7">
    <w:name w:val="heading 7"/>
    <w:basedOn w:val="Normal"/>
    <w:next w:val="Normal"/>
    <w:link w:val="Heading7Char"/>
    <w:uiPriority w:val="9"/>
    <w:unhideWhenUsed/>
    <w:qFormat/>
    <w:rsid w:val="009D40A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BA44CD"/>
    <w:pPr>
      <w:spacing w:line="240" w:lineRule="auto"/>
      <w:jc w:val="left"/>
    </w:pPr>
    <w:rPr>
      <w:color w:val="262626" w:themeColor="text1" w:themeTint="D9"/>
      <w:sz w:val="18"/>
      <w:szCs w:val="24"/>
    </w:rPr>
  </w:style>
  <w:style w:type="character" w:customStyle="1" w:styleId="FootnoteTextChar">
    <w:name w:val="Footnote Text Char"/>
    <w:basedOn w:val="DefaultParagraphFont"/>
    <w:link w:val="FootnoteText"/>
    <w:uiPriority w:val="99"/>
    <w:rsid w:val="00BA44CD"/>
    <w:rPr>
      <w:rFonts w:ascii="Franklin Gothic Book" w:hAnsi="Franklin Gothic Book"/>
      <w:color w:val="262626" w:themeColor="text1" w:themeTint="D9"/>
      <w:sz w:val="18"/>
      <w:szCs w:val="24"/>
      <w:lang w:val="en-GB"/>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B23931"/>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character" w:styleId="SubtleEmphasis">
    <w:name w:val="Subtle Emphasis"/>
    <w:basedOn w:val="DefaultParagraphFont"/>
    <w:uiPriority w:val="19"/>
    <w:qFormat/>
    <w:rsid w:val="003D79F2"/>
    <w:rPr>
      <w:i/>
      <w:iCs/>
      <w:color w:val="404040" w:themeColor="text1" w:themeTint="BF"/>
    </w:rPr>
  </w:style>
  <w:style w:type="paragraph" w:styleId="Revision">
    <w:name w:val="Revision"/>
    <w:hidden/>
    <w:uiPriority w:val="99"/>
    <w:semiHidden/>
    <w:rsid w:val="00D81E76"/>
    <w:pPr>
      <w:spacing w:line="240" w:lineRule="auto"/>
      <w:contextualSpacing w:val="0"/>
    </w:pPr>
    <w:rPr>
      <w:rFonts w:ascii="Franklin Gothic Book" w:hAnsi="Franklin Gothic Book"/>
    </w:rPr>
  </w:style>
  <w:style w:type="character" w:customStyle="1" w:styleId="UnresolvedMention3">
    <w:name w:val="Unresolved Mention3"/>
    <w:basedOn w:val="DefaultParagraphFont"/>
    <w:uiPriority w:val="99"/>
    <w:semiHidden/>
    <w:unhideWhenUsed/>
    <w:rsid w:val="00057F19"/>
    <w:rPr>
      <w:color w:val="605E5C"/>
      <w:shd w:val="clear" w:color="auto" w:fill="E1DFDD"/>
    </w:rPr>
  </w:style>
  <w:style w:type="paragraph" w:styleId="NormalWeb">
    <w:name w:val="Normal (Web)"/>
    <w:basedOn w:val="Normal"/>
    <w:uiPriority w:val="99"/>
    <w:unhideWhenUsed/>
    <w:rsid w:val="00A86B12"/>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20304"/>
  </w:style>
  <w:style w:type="numbering" w:styleId="111111">
    <w:name w:val="Outline List 2"/>
    <w:basedOn w:val="NoList"/>
    <w:uiPriority w:val="99"/>
    <w:semiHidden/>
    <w:unhideWhenUsed/>
    <w:rsid w:val="00E53333"/>
    <w:pPr>
      <w:numPr>
        <w:numId w:val="8"/>
      </w:numPr>
    </w:pPr>
  </w:style>
  <w:style w:type="character" w:styleId="UnresolvedMention">
    <w:name w:val="Unresolved Mention"/>
    <w:basedOn w:val="DefaultParagraphFont"/>
    <w:uiPriority w:val="99"/>
    <w:semiHidden/>
    <w:unhideWhenUsed/>
    <w:rsid w:val="002D4BB5"/>
    <w:rPr>
      <w:color w:val="605E5C"/>
      <w:shd w:val="clear" w:color="auto" w:fill="E1DFDD"/>
    </w:rPr>
  </w:style>
  <w:style w:type="character" w:customStyle="1" w:styleId="Heading7Char">
    <w:name w:val="Heading 7 Char"/>
    <w:basedOn w:val="DefaultParagraphFont"/>
    <w:link w:val="Heading7"/>
    <w:uiPriority w:val="9"/>
    <w:rsid w:val="009D40A8"/>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4510">
      <w:bodyDiv w:val="1"/>
      <w:marLeft w:val="0"/>
      <w:marRight w:val="0"/>
      <w:marTop w:val="0"/>
      <w:marBottom w:val="0"/>
      <w:divBdr>
        <w:top w:val="none" w:sz="0" w:space="0" w:color="auto"/>
        <w:left w:val="none" w:sz="0" w:space="0" w:color="auto"/>
        <w:bottom w:val="none" w:sz="0" w:space="0" w:color="auto"/>
        <w:right w:val="none" w:sz="0" w:space="0" w:color="auto"/>
      </w:divBdr>
    </w:div>
    <w:div w:id="35740579">
      <w:bodyDiv w:val="1"/>
      <w:marLeft w:val="0"/>
      <w:marRight w:val="0"/>
      <w:marTop w:val="0"/>
      <w:marBottom w:val="0"/>
      <w:divBdr>
        <w:top w:val="none" w:sz="0" w:space="0" w:color="auto"/>
        <w:left w:val="none" w:sz="0" w:space="0" w:color="auto"/>
        <w:bottom w:val="none" w:sz="0" w:space="0" w:color="auto"/>
        <w:right w:val="none" w:sz="0" w:space="0" w:color="auto"/>
      </w:divBdr>
      <w:divsChild>
        <w:div w:id="830945137">
          <w:marLeft w:val="0"/>
          <w:marRight w:val="0"/>
          <w:marTop w:val="0"/>
          <w:marBottom w:val="0"/>
          <w:divBdr>
            <w:top w:val="none" w:sz="0" w:space="0" w:color="auto"/>
            <w:left w:val="none" w:sz="0" w:space="0" w:color="auto"/>
            <w:bottom w:val="none" w:sz="0" w:space="0" w:color="auto"/>
            <w:right w:val="none" w:sz="0" w:space="0" w:color="auto"/>
          </w:divBdr>
          <w:divsChild>
            <w:div w:id="452285530">
              <w:marLeft w:val="0"/>
              <w:marRight w:val="0"/>
              <w:marTop w:val="0"/>
              <w:marBottom w:val="0"/>
              <w:divBdr>
                <w:top w:val="none" w:sz="0" w:space="0" w:color="auto"/>
                <w:left w:val="none" w:sz="0" w:space="0" w:color="auto"/>
                <w:bottom w:val="none" w:sz="0" w:space="0" w:color="auto"/>
                <w:right w:val="none" w:sz="0" w:space="0" w:color="auto"/>
              </w:divBdr>
              <w:divsChild>
                <w:div w:id="586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3208">
      <w:bodyDiv w:val="1"/>
      <w:marLeft w:val="0"/>
      <w:marRight w:val="0"/>
      <w:marTop w:val="0"/>
      <w:marBottom w:val="0"/>
      <w:divBdr>
        <w:top w:val="none" w:sz="0" w:space="0" w:color="auto"/>
        <w:left w:val="none" w:sz="0" w:space="0" w:color="auto"/>
        <w:bottom w:val="none" w:sz="0" w:space="0" w:color="auto"/>
        <w:right w:val="none" w:sz="0" w:space="0" w:color="auto"/>
      </w:divBdr>
    </w:div>
    <w:div w:id="41484514">
      <w:bodyDiv w:val="1"/>
      <w:marLeft w:val="0"/>
      <w:marRight w:val="0"/>
      <w:marTop w:val="0"/>
      <w:marBottom w:val="0"/>
      <w:divBdr>
        <w:top w:val="none" w:sz="0" w:space="0" w:color="auto"/>
        <w:left w:val="none" w:sz="0" w:space="0" w:color="auto"/>
        <w:bottom w:val="none" w:sz="0" w:space="0" w:color="auto"/>
        <w:right w:val="none" w:sz="0" w:space="0" w:color="auto"/>
      </w:divBdr>
    </w:div>
    <w:div w:id="62487623">
      <w:bodyDiv w:val="1"/>
      <w:marLeft w:val="0"/>
      <w:marRight w:val="0"/>
      <w:marTop w:val="0"/>
      <w:marBottom w:val="0"/>
      <w:divBdr>
        <w:top w:val="none" w:sz="0" w:space="0" w:color="auto"/>
        <w:left w:val="none" w:sz="0" w:space="0" w:color="auto"/>
        <w:bottom w:val="none" w:sz="0" w:space="0" w:color="auto"/>
        <w:right w:val="none" w:sz="0" w:space="0" w:color="auto"/>
      </w:divBdr>
    </w:div>
    <w:div w:id="96871437">
      <w:bodyDiv w:val="1"/>
      <w:marLeft w:val="0"/>
      <w:marRight w:val="0"/>
      <w:marTop w:val="0"/>
      <w:marBottom w:val="0"/>
      <w:divBdr>
        <w:top w:val="none" w:sz="0" w:space="0" w:color="auto"/>
        <w:left w:val="none" w:sz="0" w:space="0" w:color="auto"/>
        <w:bottom w:val="none" w:sz="0" w:space="0" w:color="auto"/>
        <w:right w:val="none" w:sz="0" w:space="0" w:color="auto"/>
      </w:divBdr>
    </w:div>
    <w:div w:id="116609070">
      <w:bodyDiv w:val="1"/>
      <w:marLeft w:val="0"/>
      <w:marRight w:val="0"/>
      <w:marTop w:val="0"/>
      <w:marBottom w:val="0"/>
      <w:divBdr>
        <w:top w:val="none" w:sz="0" w:space="0" w:color="auto"/>
        <w:left w:val="none" w:sz="0" w:space="0" w:color="auto"/>
        <w:bottom w:val="none" w:sz="0" w:space="0" w:color="auto"/>
        <w:right w:val="none" w:sz="0" w:space="0" w:color="auto"/>
      </w:divBdr>
      <w:divsChild>
        <w:div w:id="292248129">
          <w:marLeft w:val="0"/>
          <w:marRight w:val="0"/>
          <w:marTop w:val="0"/>
          <w:marBottom w:val="0"/>
          <w:divBdr>
            <w:top w:val="none" w:sz="0" w:space="0" w:color="auto"/>
            <w:left w:val="none" w:sz="0" w:space="0" w:color="auto"/>
            <w:bottom w:val="none" w:sz="0" w:space="0" w:color="auto"/>
            <w:right w:val="none" w:sz="0" w:space="0" w:color="auto"/>
          </w:divBdr>
          <w:divsChild>
            <w:div w:id="1411269951">
              <w:marLeft w:val="0"/>
              <w:marRight w:val="0"/>
              <w:marTop w:val="0"/>
              <w:marBottom w:val="0"/>
              <w:divBdr>
                <w:top w:val="none" w:sz="0" w:space="0" w:color="auto"/>
                <w:left w:val="none" w:sz="0" w:space="0" w:color="auto"/>
                <w:bottom w:val="none" w:sz="0" w:space="0" w:color="auto"/>
                <w:right w:val="none" w:sz="0" w:space="0" w:color="auto"/>
              </w:divBdr>
              <w:divsChild>
                <w:div w:id="18350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4051">
      <w:bodyDiv w:val="1"/>
      <w:marLeft w:val="0"/>
      <w:marRight w:val="0"/>
      <w:marTop w:val="0"/>
      <w:marBottom w:val="0"/>
      <w:divBdr>
        <w:top w:val="none" w:sz="0" w:space="0" w:color="auto"/>
        <w:left w:val="none" w:sz="0" w:space="0" w:color="auto"/>
        <w:bottom w:val="none" w:sz="0" w:space="0" w:color="auto"/>
        <w:right w:val="none" w:sz="0" w:space="0" w:color="auto"/>
      </w:divBdr>
      <w:divsChild>
        <w:div w:id="1248689298">
          <w:marLeft w:val="0"/>
          <w:marRight w:val="0"/>
          <w:marTop w:val="0"/>
          <w:marBottom w:val="0"/>
          <w:divBdr>
            <w:top w:val="none" w:sz="0" w:space="0" w:color="auto"/>
            <w:left w:val="none" w:sz="0" w:space="0" w:color="auto"/>
            <w:bottom w:val="none" w:sz="0" w:space="0" w:color="auto"/>
            <w:right w:val="none" w:sz="0" w:space="0" w:color="auto"/>
          </w:divBdr>
          <w:divsChild>
            <w:div w:id="1175530367">
              <w:marLeft w:val="0"/>
              <w:marRight w:val="0"/>
              <w:marTop w:val="0"/>
              <w:marBottom w:val="0"/>
              <w:divBdr>
                <w:top w:val="none" w:sz="0" w:space="0" w:color="auto"/>
                <w:left w:val="none" w:sz="0" w:space="0" w:color="auto"/>
                <w:bottom w:val="none" w:sz="0" w:space="0" w:color="auto"/>
                <w:right w:val="none" w:sz="0" w:space="0" w:color="auto"/>
              </w:divBdr>
              <w:divsChild>
                <w:div w:id="14521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6651">
      <w:bodyDiv w:val="1"/>
      <w:marLeft w:val="0"/>
      <w:marRight w:val="0"/>
      <w:marTop w:val="0"/>
      <w:marBottom w:val="0"/>
      <w:divBdr>
        <w:top w:val="none" w:sz="0" w:space="0" w:color="auto"/>
        <w:left w:val="none" w:sz="0" w:space="0" w:color="auto"/>
        <w:bottom w:val="none" w:sz="0" w:space="0" w:color="auto"/>
        <w:right w:val="none" w:sz="0" w:space="0" w:color="auto"/>
      </w:divBdr>
    </w:div>
    <w:div w:id="141893411">
      <w:bodyDiv w:val="1"/>
      <w:marLeft w:val="0"/>
      <w:marRight w:val="0"/>
      <w:marTop w:val="0"/>
      <w:marBottom w:val="0"/>
      <w:divBdr>
        <w:top w:val="none" w:sz="0" w:space="0" w:color="auto"/>
        <w:left w:val="none" w:sz="0" w:space="0" w:color="auto"/>
        <w:bottom w:val="none" w:sz="0" w:space="0" w:color="auto"/>
        <w:right w:val="none" w:sz="0" w:space="0" w:color="auto"/>
      </w:divBdr>
    </w:div>
    <w:div w:id="181238256">
      <w:bodyDiv w:val="1"/>
      <w:marLeft w:val="0"/>
      <w:marRight w:val="0"/>
      <w:marTop w:val="0"/>
      <w:marBottom w:val="0"/>
      <w:divBdr>
        <w:top w:val="none" w:sz="0" w:space="0" w:color="auto"/>
        <w:left w:val="none" w:sz="0" w:space="0" w:color="auto"/>
        <w:bottom w:val="none" w:sz="0" w:space="0" w:color="auto"/>
        <w:right w:val="none" w:sz="0" w:space="0" w:color="auto"/>
      </w:divBdr>
      <w:divsChild>
        <w:div w:id="1287127501">
          <w:marLeft w:val="0"/>
          <w:marRight w:val="0"/>
          <w:marTop w:val="0"/>
          <w:marBottom w:val="0"/>
          <w:divBdr>
            <w:top w:val="none" w:sz="0" w:space="0" w:color="auto"/>
            <w:left w:val="none" w:sz="0" w:space="0" w:color="auto"/>
            <w:bottom w:val="none" w:sz="0" w:space="0" w:color="auto"/>
            <w:right w:val="none" w:sz="0" w:space="0" w:color="auto"/>
          </w:divBdr>
          <w:divsChild>
            <w:div w:id="1606425414">
              <w:marLeft w:val="0"/>
              <w:marRight w:val="0"/>
              <w:marTop w:val="0"/>
              <w:marBottom w:val="0"/>
              <w:divBdr>
                <w:top w:val="none" w:sz="0" w:space="0" w:color="auto"/>
                <w:left w:val="none" w:sz="0" w:space="0" w:color="auto"/>
                <w:bottom w:val="none" w:sz="0" w:space="0" w:color="auto"/>
                <w:right w:val="none" w:sz="0" w:space="0" w:color="auto"/>
              </w:divBdr>
              <w:divsChild>
                <w:div w:id="4545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5086">
      <w:bodyDiv w:val="1"/>
      <w:marLeft w:val="0"/>
      <w:marRight w:val="0"/>
      <w:marTop w:val="0"/>
      <w:marBottom w:val="0"/>
      <w:divBdr>
        <w:top w:val="none" w:sz="0" w:space="0" w:color="auto"/>
        <w:left w:val="none" w:sz="0" w:space="0" w:color="auto"/>
        <w:bottom w:val="none" w:sz="0" w:space="0" w:color="auto"/>
        <w:right w:val="none" w:sz="0" w:space="0" w:color="auto"/>
      </w:divBdr>
    </w:div>
    <w:div w:id="224806023">
      <w:bodyDiv w:val="1"/>
      <w:marLeft w:val="0"/>
      <w:marRight w:val="0"/>
      <w:marTop w:val="0"/>
      <w:marBottom w:val="0"/>
      <w:divBdr>
        <w:top w:val="none" w:sz="0" w:space="0" w:color="auto"/>
        <w:left w:val="none" w:sz="0" w:space="0" w:color="auto"/>
        <w:bottom w:val="none" w:sz="0" w:space="0" w:color="auto"/>
        <w:right w:val="none" w:sz="0" w:space="0" w:color="auto"/>
      </w:divBdr>
      <w:divsChild>
        <w:div w:id="1243637354">
          <w:marLeft w:val="0"/>
          <w:marRight w:val="0"/>
          <w:marTop w:val="0"/>
          <w:marBottom w:val="0"/>
          <w:divBdr>
            <w:top w:val="none" w:sz="0" w:space="0" w:color="auto"/>
            <w:left w:val="none" w:sz="0" w:space="0" w:color="auto"/>
            <w:bottom w:val="none" w:sz="0" w:space="0" w:color="auto"/>
            <w:right w:val="none" w:sz="0" w:space="0" w:color="auto"/>
          </w:divBdr>
          <w:divsChild>
            <w:div w:id="745222733">
              <w:marLeft w:val="0"/>
              <w:marRight w:val="0"/>
              <w:marTop w:val="0"/>
              <w:marBottom w:val="0"/>
              <w:divBdr>
                <w:top w:val="none" w:sz="0" w:space="0" w:color="auto"/>
                <w:left w:val="none" w:sz="0" w:space="0" w:color="auto"/>
                <w:bottom w:val="none" w:sz="0" w:space="0" w:color="auto"/>
                <w:right w:val="none" w:sz="0" w:space="0" w:color="auto"/>
              </w:divBdr>
              <w:divsChild>
                <w:div w:id="14089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284812">
      <w:bodyDiv w:val="1"/>
      <w:marLeft w:val="0"/>
      <w:marRight w:val="0"/>
      <w:marTop w:val="0"/>
      <w:marBottom w:val="0"/>
      <w:divBdr>
        <w:top w:val="none" w:sz="0" w:space="0" w:color="auto"/>
        <w:left w:val="none" w:sz="0" w:space="0" w:color="auto"/>
        <w:bottom w:val="none" w:sz="0" w:space="0" w:color="auto"/>
        <w:right w:val="none" w:sz="0" w:space="0" w:color="auto"/>
      </w:divBdr>
    </w:div>
    <w:div w:id="253636964">
      <w:bodyDiv w:val="1"/>
      <w:marLeft w:val="0"/>
      <w:marRight w:val="0"/>
      <w:marTop w:val="0"/>
      <w:marBottom w:val="0"/>
      <w:divBdr>
        <w:top w:val="none" w:sz="0" w:space="0" w:color="auto"/>
        <w:left w:val="none" w:sz="0" w:space="0" w:color="auto"/>
        <w:bottom w:val="none" w:sz="0" w:space="0" w:color="auto"/>
        <w:right w:val="none" w:sz="0" w:space="0" w:color="auto"/>
      </w:divBdr>
    </w:div>
    <w:div w:id="264963930">
      <w:bodyDiv w:val="1"/>
      <w:marLeft w:val="0"/>
      <w:marRight w:val="0"/>
      <w:marTop w:val="0"/>
      <w:marBottom w:val="0"/>
      <w:divBdr>
        <w:top w:val="none" w:sz="0" w:space="0" w:color="auto"/>
        <w:left w:val="none" w:sz="0" w:space="0" w:color="auto"/>
        <w:bottom w:val="none" w:sz="0" w:space="0" w:color="auto"/>
        <w:right w:val="none" w:sz="0" w:space="0" w:color="auto"/>
      </w:divBdr>
      <w:divsChild>
        <w:div w:id="666327951">
          <w:marLeft w:val="0"/>
          <w:marRight w:val="0"/>
          <w:marTop w:val="0"/>
          <w:marBottom w:val="0"/>
          <w:divBdr>
            <w:top w:val="none" w:sz="0" w:space="0" w:color="auto"/>
            <w:left w:val="none" w:sz="0" w:space="0" w:color="auto"/>
            <w:bottom w:val="none" w:sz="0" w:space="0" w:color="auto"/>
            <w:right w:val="none" w:sz="0" w:space="0" w:color="auto"/>
          </w:divBdr>
          <w:divsChild>
            <w:div w:id="358236983">
              <w:marLeft w:val="0"/>
              <w:marRight w:val="0"/>
              <w:marTop w:val="0"/>
              <w:marBottom w:val="0"/>
              <w:divBdr>
                <w:top w:val="none" w:sz="0" w:space="0" w:color="auto"/>
                <w:left w:val="none" w:sz="0" w:space="0" w:color="auto"/>
                <w:bottom w:val="none" w:sz="0" w:space="0" w:color="auto"/>
                <w:right w:val="none" w:sz="0" w:space="0" w:color="auto"/>
              </w:divBdr>
              <w:divsChild>
                <w:div w:id="17196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870755">
      <w:bodyDiv w:val="1"/>
      <w:marLeft w:val="0"/>
      <w:marRight w:val="0"/>
      <w:marTop w:val="0"/>
      <w:marBottom w:val="0"/>
      <w:divBdr>
        <w:top w:val="none" w:sz="0" w:space="0" w:color="auto"/>
        <w:left w:val="none" w:sz="0" w:space="0" w:color="auto"/>
        <w:bottom w:val="none" w:sz="0" w:space="0" w:color="auto"/>
        <w:right w:val="none" w:sz="0" w:space="0" w:color="auto"/>
      </w:divBdr>
      <w:divsChild>
        <w:div w:id="339937161">
          <w:marLeft w:val="0"/>
          <w:marRight w:val="0"/>
          <w:marTop w:val="0"/>
          <w:marBottom w:val="0"/>
          <w:divBdr>
            <w:top w:val="none" w:sz="0" w:space="0" w:color="auto"/>
            <w:left w:val="none" w:sz="0" w:space="0" w:color="auto"/>
            <w:bottom w:val="none" w:sz="0" w:space="0" w:color="auto"/>
            <w:right w:val="none" w:sz="0" w:space="0" w:color="auto"/>
          </w:divBdr>
          <w:divsChild>
            <w:div w:id="873931092">
              <w:marLeft w:val="0"/>
              <w:marRight w:val="0"/>
              <w:marTop w:val="0"/>
              <w:marBottom w:val="0"/>
              <w:divBdr>
                <w:top w:val="none" w:sz="0" w:space="0" w:color="auto"/>
                <w:left w:val="none" w:sz="0" w:space="0" w:color="auto"/>
                <w:bottom w:val="none" w:sz="0" w:space="0" w:color="auto"/>
                <w:right w:val="none" w:sz="0" w:space="0" w:color="auto"/>
              </w:divBdr>
              <w:divsChild>
                <w:div w:id="138506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87191">
      <w:bodyDiv w:val="1"/>
      <w:marLeft w:val="0"/>
      <w:marRight w:val="0"/>
      <w:marTop w:val="0"/>
      <w:marBottom w:val="0"/>
      <w:divBdr>
        <w:top w:val="none" w:sz="0" w:space="0" w:color="auto"/>
        <w:left w:val="none" w:sz="0" w:space="0" w:color="auto"/>
        <w:bottom w:val="none" w:sz="0" w:space="0" w:color="auto"/>
        <w:right w:val="none" w:sz="0" w:space="0" w:color="auto"/>
      </w:divBdr>
    </w:div>
    <w:div w:id="286130695">
      <w:bodyDiv w:val="1"/>
      <w:marLeft w:val="0"/>
      <w:marRight w:val="0"/>
      <w:marTop w:val="0"/>
      <w:marBottom w:val="0"/>
      <w:divBdr>
        <w:top w:val="none" w:sz="0" w:space="0" w:color="auto"/>
        <w:left w:val="none" w:sz="0" w:space="0" w:color="auto"/>
        <w:bottom w:val="none" w:sz="0" w:space="0" w:color="auto"/>
        <w:right w:val="none" w:sz="0" w:space="0" w:color="auto"/>
      </w:divBdr>
      <w:divsChild>
        <w:div w:id="1234120911">
          <w:marLeft w:val="0"/>
          <w:marRight w:val="0"/>
          <w:marTop w:val="0"/>
          <w:marBottom w:val="0"/>
          <w:divBdr>
            <w:top w:val="none" w:sz="0" w:space="0" w:color="auto"/>
            <w:left w:val="none" w:sz="0" w:space="0" w:color="auto"/>
            <w:bottom w:val="none" w:sz="0" w:space="0" w:color="auto"/>
            <w:right w:val="none" w:sz="0" w:space="0" w:color="auto"/>
          </w:divBdr>
          <w:divsChild>
            <w:div w:id="2035418267">
              <w:marLeft w:val="0"/>
              <w:marRight w:val="0"/>
              <w:marTop w:val="0"/>
              <w:marBottom w:val="0"/>
              <w:divBdr>
                <w:top w:val="none" w:sz="0" w:space="0" w:color="auto"/>
                <w:left w:val="none" w:sz="0" w:space="0" w:color="auto"/>
                <w:bottom w:val="none" w:sz="0" w:space="0" w:color="auto"/>
                <w:right w:val="none" w:sz="0" w:space="0" w:color="auto"/>
              </w:divBdr>
              <w:divsChild>
                <w:div w:id="987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72883">
      <w:bodyDiv w:val="1"/>
      <w:marLeft w:val="0"/>
      <w:marRight w:val="0"/>
      <w:marTop w:val="0"/>
      <w:marBottom w:val="0"/>
      <w:divBdr>
        <w:top w:val="none" w:sz="0" w:space="0" w:color="auto"/>
        <w:left w:val="none" w:sz="0" w:space="0" w:color="auto"/>
        <w:bottom w:val="none" w:sz="0" w:space="0" w:color="auto"/>
        <w:right w:val="none" w:sz="0" w:space="0" w:color="auto"/>
      </w:divBdr>
    </w:div>
    <w:div w:id="327562343">
      <w:bodyDiv w:val="1"/>
      <w:marLeft w:val="0"/>
      <w:marRight w:val="0"/>
      <w:marTop w:val="0"/>
      <w:marBottom w:val="0"/>
      <w:divBdr>
        <w:top w:val="none" w:sz="0" w:space="0" w:color="auto"/>
        <w:left w:val="none" w:sz="0" w:space="0" w:color="auto"/>
        <w:bottom w:val="none" w:sz="0" w:space="0" w:color="auto"/>
        <w:right w:val="none" w:sz="0" w:space="0" w:color="auto"/>
      </w:divBdr>
      <w:divsChild>
        <w:div w:id="1248422847">
          <w:marLeft w:val="0"/>
          <w:marRight w:val="0"/>
          <w:marTop w:val="0"/>
          <w:marBottom w:val="0"/>
          <w:divBdr>
            <w:top w:val="none" w:sz="0" w:space="0" w:color="auto"/>
            <w:left w:val="none" w:sz="0" w:space="0" w:color="auto"/>
            <w:bottom w:val="none" w:sz="0" w:space="0" w:color="auto"/>
            <w:right w:val="none" w:sz="0" w:space="0" w:color="auto"/>
          </w:divBdr>
          <w:divsChild>
            <w:div w:id="1179154562">
              <w:marLeft w:val="0"/>
              <w:marRight w:val="0"/>
              <w:marTop w:val="0"/>
              <w:marBottom w:val="0"/>
              <w:divBdr>
                <w:top w:val="none" w:sz="0" w:space="0" w:color="auto"/>
                <w:left w:val="none" w:sz="0" w:space="0" w:color="auto"/>
                <w:bottom w:val="none" w:sz="0" w:space="0" w:color="auto"/>
                <w:right w:val="none" w:sz="0" w:space="0" w:color="auto"/>
              </w:divBdr>
              <w:divsChild>
                <w:div w:id="497695043">
                  <w:marLeft w:val="0"/>
                  <w:marRight w:val="0"/>
                  <w:marTop w:val="0"/>
                  <w:marBottom w:val="0"/>
                  <w:divBdr>
                    <w:top w:val="none" w:sz="0" w:space="0" w:color="auto"/>
                    <w:left w:val="none" w:sz="0" w:space="0" w:color="auto"/>
                    <w:bottom w:val="none" w:sz="0" w:space="0" w:color="auto"/>
                    <w:right w:val="none" w:sz="0" w:space="0" w:color="auto"/>
                  </w:divBdr>
                  <w:divsChild>
                    <w:div w:id="13938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4710">
      <w:bodyDiv w:val="1"/>
      <w:marLeft w:val="0"/>
      <w:marRight w:val="0"/>
      <w:marTop w:val="0"/>
      <w:marBottom w:val="0"/>
      <w:divBdr>
        <w:top w:val="none" w:sz="0" w:space="0" w:color="auto"/>
        <w:left w:val="none" w:sz="0" w:space="0" w:color="auto"/>
        <w:bottom w:val="none" w:sz="0" w:space="0" w:color="auto"/>
        <w:right w:val="none" w:sz="0" w:space="0" w:color="auto"/>
      </w:divBdr>
      <w:divsChild>
        <w:div w:id="179785954">
          <w:marLeft w:val="0"/>
          <w:marRight w:val="0"/>
          <w:marTop w:val="0"/>
          <w:marBottom w:val="0"/>
          <w:divBdr>
            <w:top w:val="none" w:sz="0" w:space="0" w:color="auto"/>
            <w:left w:val="none" w:sz="0" w:space="0" w:color="auto"/>
            <w:bottom w:val="none" w:sz="0" w:space="0" w:color="auto"/>
            <w:right w:val="none" w:sz="0" w:space="0" w:color="auto"/>
          </w:divBdr>
          <w:divsChild>
            <w:div w:id="138959381">
              <w:marLeft w:val="0"/>
              <w:marRight w:val="0"/>
              <w:marTop w:val="0"/>
              <w:marBottom w:val="0"/>
              <w:divBdr>
                <w:top w:val="none" w:sz="0" w:space="0" w:color="auto"/>
                <w:left w:val="none" w:sz="0" w:space="0" w:color="auto"/>
                <w:bottom w:val="none" w:sz="0" w:space="0" w:color="auto"/>
                <w:right w:val="none" w:sz="0" w:space="0" w:color="auto"/>
              </w:divBdr>
              <w:divsChild>
                <w:div w:id="1385644644">
                  <w:marLeft w:val="0"/>
                  <w:marRight w:val="0"/>
                  <w:marTop w:val="0"/>
                  <w:marBottom w:val="0"/>
                  <w:divBdr>
                    <w:top w:val="none" w:sz="0" w:space="0" w:color="auto"/>
                    <w:left w:val="none" w:sz="0" w:space="0" w:color="auto"/>
                    <w:bottom w:val="none" w:sz="0" w:space="0" w:color="auto"/>
                    <w:right w:val="none" w:sz="0" w:space="0" w:color="auto"/>
                  </w:divBdr>
                  <w:divsChild>
                    <w:div w:id="20012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92934">
      <w:bodyDiv w:val="1"/>
      <w:marLeft w:val="0"/>
      <w:marRight w:val="0"/>
      <w:marTop w:val="0"/>
      <w:marBottom w:val="0"/>
      <w:divBdr>
        <w:top w:val="none" w:sz="0" w:space="0" w:color="auto"/>
        <w:left w:val="none" w:sz="0" w:space="0" w:color="auto"/>
        <w:bottom w:val="none" w:sz="0" w:space="0" w:color="auto"/>
        <w:right w:val="none" w:sz="0" w:space="0" w:color="auto"/>
      </w:divBdr>
    </w:div>
    <w:div w:id="358966579">
      <w:bodyDiv w:val="1"/>
      <w:marLeft w:val="0"/>
      <w:marRight w:val="0"/>
      <w:marTop w:val="0"/>
      <w:marBottom w:val="0"/>
      <w:divBdr>
        <w:top w:val="none" w:sz="0" w:space="0" w:color="auto"/>
        <w:left w:val="none" w:sz="0" w:space="0" w:color="auto"/>
        <w:bottom w:val="none" w:sz="0" w:space="0" w:color="auto"/>
        <w:right w:val="none" w:sz="0" w:space="0" w:color="auto"/>
      </w:divBdr>
    </w:div>
    <w:div w:id="362293471">
      <w:bodyDiv w:val="1"/>
      <w:marLeft w:val="0"/>
      <w:marRight w:val="0"/>
      <w:marTop w:val="0"/>
      <w:marBottom w:val="0"/>
      <w:divBdr>
        <w:top w:val="none" w:sz="0" w:space="0" w:color="auto"/>
        <w:left w:val="none" w:sz="0" w:space="0" w:color="auto"/>
        <w:bottom w:val="none" w:sz="0" w:space="0" w:color="auto"/>
        <w:right w:val="none" w:sz="0" w:space="0" w:color="auto"/>
      </w:divBdr>
    </w:div>
    <w:div w:id="364448490">
      <w:bodyDiv w:val="1"/>
      <w:marLeft w:val="0"/>
      <w:marRight w:val="0"/>
      <w:marTop w:val="0"/>
      <w:marBottom w:val="0"/>
      <w:divBdr>
        <w:top w:val="none" w:sz="0" w:space="0" w:color="auto"/>
        <w:left w:val="none" w:sz="0" w:space="0" w:color="auto"/>
        <w:bottom w:val="none" w:sz="0" w:space="0" w:color="auto"/>
        <w:right w:val="none" w:sz="0" w:space="0" w:color="auto"/>
      </w:divBdr>
    </w:div>
    <w:div w:id="366757621">
      <w:bodyDiv w:val="1"/>
      <w:marLeft w:val="0"/>
      <w:marRight w:val="0"/>
      <w:marTop w:val="0"/>
      <w:marBottom w:val="0"/>
      <w:divBdr>
        <w:top w:val="none" w:sz="0" w:space="0" w:color="auto"/>
        <w:left w:val="none" w:sz="0" w:space="0" w:color="auto"/>
        <w:bottom w:val="none" w:sz="0" w:space="0" w:color="auto"/>
        <w:right w:val="none" w:sz="0" w:space="0" w:color="auto"/>
      </w:divBdr>
    </w:div>
    <w:div w:id="368145433">
      <w:bodyDiv w:val="1"/>
      <w:marLeft w:val="0"/>
      <w:marRight w:val="0"/>
      <w:marTop w:val="0"/>
      <w:marBottom w:val="0"/>
      <w:divBdr>
        <w:top w:val="none" w:sz="0" w:space="0" w:color="auto"/>
        <w:left w:val="none" w:sz="0" w:space="0" w:color="auto"/>
        <w:bottom w:val="none" w:sz="0" w:space="0" w:color="auto"/>
        <w:right w:val="none" w:sz="0" w:space="0" w:color="auto"/>
      </w:divBdr>
    </w:div>
    <w:div w:id="371156784">
      <w:bodyDiv w:val="1"/>
      <w:marLeft w:val="0"/>
      <w:marRight w:val="0"/>
      <w:marTop w:val="0"/>
      <w:marBottom w:val="0"/>
      <w:divBdr>
        <w:top w:val="none" w:sz="0" w:space="0" w:color="auto"/>
        <w:left w:val="none" w:sz="0" w:space="0" w:color="auto"/>
        <w:bottom w:val="none" w:sz="0" w:space="0" w:color="auto"/>
        <w:right w:val="none" w:sz="0" w:space="0" w:color="auto"/>
      </w:divBdr>
    </w:div>
    <w:div w:id="379090364">
      <w:bodyDiv w:val="1"/>
      <w:marLeft w:val="0"/>
      <w:marRight w:val="0"/>
      <w:marTop w:val="0"/>
      <w:marBottom w:val="0"/>
      <w:divBdr>
        <w:top w:val="none" w:sz="0" w:space="0" w:color="auto"/>
        <w:left w:val="none" w:sz="0" w:space="0" w:color="auto"/>
        <w:bottom w:val="none" w:sz="0" w:space="0" w:color="auto"/>
        <w:right w:val="none" w:sz="0" w:space="0" w:color="auto"/>
      </w:divBdr>
    </w:div>
    <w:div w:id="446438363">
      <w:bodyDiv w:val="1"/>
      <w:marLeft w:val="0"/>
      <w:marRight w:val="0"/>
      <w:marTop w:val="0"/>
      <w:marBottom w:val="0"/>
      <w:divBdr>
        <w:top w:val="none" w:sz="0" w:space="0" w:color="auto"/>
        <w:left w:val="none" w:sz="0" w:space="0" w:color="auto"/>
        <w:bottom w:val="none" w:sz="0" w:space="0" w:color="auto"/>
        <w:right w:val="none" w:sz="0" w:space="0" w:color="auto"/>
      </w:divBdr>
      <w:divsChild>
        <w:div w:id="1279795757">
          <w:marLeft w:val="0"/>
          <w:marRight w:val="0"/>
          <w:marTop w:val="0"/>
          <w:marBottom w:val="0"/>
          <w:divBdr>
            <w:top w:val="none" w:sz="0" w:space="0" w:color="auto"/>
            <w:left w:val="none" w:sz="0" w:space="0" w:color="auto"/>
            <w:bottom w:val="none" w:sz="0" w:space="0" w:color="auto"/>
            <w:right w:val="none" w:sz="0" w:space="0" w:color="auto"/>
          </w:divBdr>
          <w:divsChild>
            <w:div w:id="1808467647">
              <w:marLeft w:val="0"/>
              <w:marRight w:val="0"/>
              <w:marTop w:val="0"/>
              <w:marBottom w:val="0"/>
              <w:divBdr>
                <w:top w:val="none" w:sz="0" w:space="0" w:color="auto"/>
                <w:left w:val="none" w:sz="0" w:space="0" w:color="auto"/>
                <w:bottom w:val="none" w:sz="0" w:space="0" w:color="auto"/>
                <w:right w:val="none" w:sz="0" w:space="0" w:color="auto"/>
              </w:divBdr>
              <w:divsChild>
                <w:div w:id="6714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193302">
      <w:bodyDiv w:val="1"/>
      <w:marLeft w:val="0"/>
      <w:marRight w:val="0"/>
      <w:marTop w:val="0"/>
      <w:marBottom w:val="0"/>
      <w:divBdr>
        <w:top w:val="none" w:sz="0" w:space="0" w:color="auto"/>
        <w:left w:val="none" w:sz="0" w:space="0" w:color="auto"/>
        <w:bottom w:val="none" w:sz="0" w:space="0" w:color="auto"/>
        <w:right w:val="none" w:sz="0" w:space="0" w:color="auto"/>
      </w:divBdr>
    </w:div>
    <w:div w:id="468211495">
      <w:bodyDiv w:val="1"/>
      <w:marLeft w:val="0"/>
      <w:marRight w:val="0"/>
      <w:marTop w:val="0"/>
      <w:marBottom w:val="0"/>
      <w:divBdr>
        <w:top w:val="none" w:sz="0" w:space="0" w:color="auto"/>
        <w:left w:val="none" w:sz="0" w:space="0" w:color="auto"/>
        <w:bottom w:val="none" w:sz="0" w:space="0" w:color="auto"/>
        <w:right w:val="none" w:sz="0" w:space="0" w:color="auto"/>
      </w:divBdr>
      <w:divsChild>
        <w:div w:id="475339622">
          <w:marLeft w:val="0"/>
          <w:marRight w:val="0"/>
          <w:marTop w:val="0"/>
          <w:marBottom w:val="0"/>
          <w:divBdr>
            <w:top w:val="none" w:sz="0" w:space="0" w:color="auto"/>
            <w:left w:val="none" w:sz="0" w:space="0" w:color="auto"/>
            <w:bottom w:val="none" w:sz="0" w:space="0" w:color="auto"/>
            <w:right w:val="none" w:sz="0" w:space="0" w:color="auto"/>
          </w:divBdr>
          <w:divsChild>
            <w:div w:id="372772502">
              <w:marLeft w:val="0"/>
              <w:marRight w:val="0"/>
              <w:marTop w:val="0"/>
              <w:marBottom w:val="0"/>
              <w:divBdr>
                <w:top w:val="none" w:sz="0" w:space="0" w:color="auto"/>
                <w:left w:val="none" w:sz="0" w:space="0" w:color="auto"/>
                <w:bottom w:val="none" w:sz="0" w:space="0" w:color="auto"/>
                <w:right w:val="none" w:sz="0" w:space="0" w:color="auto"/>
              </w:divBdr>
              <w:divsChild>
                <w:div w:id="1853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29585">
      <w:bodyDiv w:val="1"/>
      <w:marLeft w:val="0"/>
      <w:marRight w:val="0"/>
      <w:marTop w:val="0"/>
      <w:marBottom w:val="0"/>
      <w:divBdr>
        <w:top w:val="none" w:sz="0" w:space="0" w:color="auto"/>
        <w:left w:val="none" w:sz="0" w:space="0" w:color="auto"/>
        <w:bottom w:val="none" w:sz="0" w:space="0" w:color="auto"/>
        <w:right w:val="none" w:sz="0" w:space="0" w:color="auto"/>
      </w:divBdr>
    </w:div>
    <w:div w:id="530725703">
      <w:bodyDiv w:val="1"/>
      <w:marLeft w:val="0"/>
      <w:marRight w:val="0"/>
      <w:marTop w:val="0"/>
      <w:marBottom w:val="0"/>
      <w:divBdr>
        <w:top w:val="none" w:sz="0" w:space="0" w:color="auto"/>
        <w:left w:val="none" w:sz="0" w:space="0" w:color="auto"/>
        <w:bottom w:val="none" w:sz="0" w:space="0" w:color="auto"/>
        <w:right w:val="none" w:sz="0" w:space="0" w:color="auto"/>
      </w:divBdr>
      <w:divsChild>
        <w:div w:id="2027096976">
          <w:marLeft w:val="0"/>
          <w:marRight w:val="0"/>
          <w:marTop w:val="0"/>
          <w:marBottom w:val="0"/>
          <w:divBdr>
            <w:top w:val="none" w:sz="0" w:space="0" w:color="auto"/>
            <w:left w:val="none" w:sz="0" w:space="0" w:color="auto"/>
            <w:bottom w:val="none" w:sz="0" w:space="0" w:color="auto"/>
            <w:right w:val="none" w:sz="0" w:space="0" w:color="auto"/>
          </w:divBdr>
          <w:divsChild>
            <w:div w:id="1408259808">
              <w:marLeft w:val="0"/>
              <w:marRight w:val="0"/>
              <w:marTop w:val="0"/>
              <w:marBottom w:val="0"/>
              <w:divBdr>
                <w:top w:val="none" w:sz="0" w:space="0" w:color="auto"/>
                <w:left w:val="none" w:sz="0" w:space="0" w:color="auto"/>
                <w:bottom w:val="none" w:sz="0" w:space="0" w:color="auto"/>
                <w:right w:val="none" w:sz="0" w:space="0" w:color="auto"/>
              </w:divBdr>
              <w:divsChild>
                <w:div w:id="19428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4487">
      <w:bodyDiv w:val="1"/>
      <w:marLeft w:val="0"/>
      <w:marRight w:val="0"/>
      <w:marTop w:val="0"/>
      <w:marBottom w:val="0"/>
      <w:divBdr>
        <w:top w:val="none" w:sz="0" w:space="0" w:color="auto"/>
        <w:left w:val="none" w:sz="0" w:space="0" w:color="auto"/>
        <w:bottom w:val="none" w:sz="0" w:space="0" w:color="auto"/>
        <w:right w:val="none" w:sz="0" w:space="0" w:color="auto"/>
      </w:divBdr>
      <w:divsChild>
        <w:div w:id="391587647">
          <w:marLeft w:val="0"/>
          <w:marRight w:val="0"/>
          <w:marTop w:val="0"/>
          <w:marBottom w:val="0"/>
          <w:divBdr>
            <w:top w:val="none" w:sz="0" w:space="0" w:color="auto"/>
            <w:left w:val="none" w:sz="0" w:space="0" w:color="auto"/>
            <w:bottom w:val="none" w:sz="0" w:space="0" w:color="auto"/>
            <w:right w:val="none" w:sz="0" w:space="0" w:color="auto"/>
          </w:divBdr>
          <w:divsChild>
            <w:div w:id="925919760">
              <w:marLeft w:val="0"/>
              <w:marRight w:val="0"/>
              <w:marTop w:val="0"/>
              <w:marBottom w:val="0"/>
              <w:divBdr>
                <w:top w:val="none" w:sz="0" w:space="0" w:color="auto"/>
                <w:left w:val="none" w:sz="0" w:space="0" w:color="auto"/>
                <w:bottom w:val="none" w:sz="0" w:space="0" w:color="auto"/>
                <w:right w:val="none" w:sz="0" w:space="0" w:color="auto"/>
              </w:divBdr>
              <w:divsChild>
                <w:div w:id="20905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91900">
      <w:bodyDiv w:val="1"/>
      <w:marLeft w:val="0"/>
      <w:marRight w:val="0"/>
      <w:marTop w:val="0"/>
      <w:marBottom w:val="0"/>
      <w:divBdr>
        <w:top w:val="none" w:sz="0" w:space="0" w:color="auto"/>
        <w:left w:val="none" w:sz="0" w:space="0" w:color="auto"/>
        <w:bottom w:val="none" w:sz="0" w:space="0" w:color="auto"/>
        <w:right w:val="none" w:sz="0" w:space="0" w:color="auto"/>
      </w:divBdr>
      <w:divsChild>
        <w:div w:id="986013894">
          <w:marLeft w:val="0"/>
          <w:marRight w:val="0"/>
          <w:marTop w:val="0"/>
          <w:marBottom w:val="0"/>
          <w:divBdr>
            <w:top w:val="none" w:sz="0" w:space="0" w:color="auto"/>
            <w:left w:val="none" w:sz="0" w:space="0" w:color="auto"/>
            <w:bottom w:val="none" w:sz="0" w:space="0" w:color="auto"/>
            <w:right w:val="none" w:sz="0" w:space="0" w:color="auto"/>
          </w:divBdr>
          <w:divsChild>
            <w:div w:id="1013608824">
              <w:marLeft w:val="0"/>
              <w:marRight w:val="0"/>
              <w:marTop w:val="0"/>
              <w:marBottom w:val="0"/>
              <w:divBdr>
                <w:top w:val="none" w:sz="0" w:space="0" w:color="auto"/>
                <w:left w:val="none" w:sz="0" w:space="0" w:color="auto"/>
                <w:bottom w:val="none" w:sz="0" w:space="0" w:color="auto"/>
                <w:right w:val="none" w:sz="0" w:space="0" w:color="auto"/>
              </w:divBdr>
              <w:divsChild>
                <w:div w:id="13530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9288">
      <w:bodyDiv w:val="1"/>
      <w:marLeft w:val="0"/>
      <w:marRight w:val="0"/>
      <w:marTop w:val="0"/>
      <w:marBottom w:val="0"/>
      <w:divBdr>
        <w:top w:val="none" w:sz="0" w:space="0" w:color="auto"/>
        <w:left w:val="none" w:sz="0" w:space="0" w:color="auto"/>
        <w:bottom w:val="none" w:sz="0" w:space="0" w:color="auto"/>
        <w:right w:val="none" w:sz="0" w:space="0" w:color="auto"/>
      </w:divBdr>
    </w:div>
    <w:div w:id="647827503">
      <w:bodyDiv w:val="1"/>
      <w:marLeft w:val="0"/>
      <w:marRight w:val="0"/>
      <w:marTop w:val="0"/>
      <w:marBottom w:val="0"/>
      <w:divBdr>
        <w:top w:val="none" w:sz="0" w:space="0" w:color="auto"/>
        <w:left w:val="none" w:sz="0" w:space="0" w:color="auto"/>
        <w:bottom w:val="none" w:sz="0" w:space="0" w:color="auto"/>
        <w:right w:val="none" w:sz="0" w:space="0" w:color="auto"/>
      </w:divBdr>
      <w:divsChild>
        <w:div w:id="1671636732">
          <w:marLeft w:val="0"/>
          <w:marRight w:val="0"/>
          <w:marTop w:val="0"/>
          <w:marBottom w:val="0"/>
          <w:divBdr>
            <w:top w:val="none" w:sz="0" w:space="0" w:color="auto"/>
            <w:left w:val="none" w:sz="0" w:space="0" w:color="auto"/>
            <w:bottom w:val="none" w:sz="0" w:space="0" w:color="auto"/>
            <w:right w:val="none" w:sz="0" w:space="0" w:color="auto"/>
          </w:divBdr>
          <w:divsChild>
            <w:div w:id="387848987">
              <w:marLeft w:val="0"/>
              <w:marRight w:val="0"/>
              <w:marTop w:val="0"/>
              <w:marBottom w:val="0"/>
              <w:divBdr>
                <w:top w:val="none" w:sz="0" w:space="0" w:color="auto"/>
                <w:left w:val="none" w:sz="0" w:space="0" w:color="auto"/>
                <w:bottom w:val="none" w:sz="0" w:space="0" w:color="auto"/>
                <w:right w:val="none" w:sz="0" w:space="0" w:color="auto"/>
              </w:divBdr>
              <w:divsChild>
                <w:div w:id="2032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3029">
      <w:bodyDiv w:val="1"/>
      <w:marLeft w:val="0"/>
      <w:marRight w:val="0"/>
      <w:marTop w:val="0"/>
      <w:marBottom w:val="0"/>
      <w:divBdr>
        <w:top w:val="none" w:sz="0" w:space="0" w:color="auto"/>
        <w:left w:val="none" w:sz="0" w:space="0" w:color="auto"/>
        <w:bottom w:val="none" w:sz="0" w:space="0" w:color="auto"/>
        <w:right w:val="none" w:sz="0" w:space="0" w:color="auto"/>
      </w:divBdr>
    </w:div>
    <w:div w:id="708795432">
      <w:bodyDiv w:val="1"/>
      <w:marLeft w:val="0"/>
      <w:marRight w:val="0"/>
      <w:marTop w:val="0"/>
      <w:marBottom w:val="0"/>
      <w:divBdr>
        <w:top w:val="none" w:sz="0" w:space="0" w:color="auto"/>
        <w:left w:val="none" w:sz="0" w:space="0" w:color="auto"/>
        <w:bottom w:val="none" w:sz="0" w:space="0" w:color="auto"/>
        <w:right w:val="none" w:sz="0" w:space="0" w:color="auto"/>
      </w:divBdr>
    </w:div>
    <w:div w:id="737173801">
      <w:bodyDiv w:val="1"/>
      <w:marLeft w:val="0"/>
      <w:marRight w:val="0"/>
      <w:marTop w:val="0"/>
      <w:marBottom w:val="0"/>
      <w:divBdr>
        <w:top w:val="none" w:sz="0" w:space="0" w:color="auto"/>
        <w:left w:val="none" w:sz="0" w:space="0" w:color="auto"/>
        <w:bottom w:val="none" w:sz="0" w:space="0" w:color="auto"/>
        <w:right w:val="none" w:sz="0" w:space="0" w:color="auto"/>
      </w:divBdr>
      <w:divsChild>
        <w:div w:id="908807581">
          <w:marLeft w:val="0"/>
          <w:marRight w:val="0"/>
          <w:marTop w:val="0"/>
          <w:marBottom w:val="0"/>
          <w:divBdr>
            <w:top w:val="none" w:sz="0" w:space="0" w:color="auto"/>
            <w:left w:val="none" w:sz="0" w:space="0" w:color="auto"/>
            <w:bottom w:val="none" w:sz="0" w:space="0" w:color="auto"/>
            <w:right w:val="none" w:sz="0" w:space="0" w:color="auto"/>
          </w:divBdr>
        </w:div>
        <w:div w:id="298150537">
          <w:marLeft w:val="0"/>
          <w:marRight w:val="0"/>
          <w:marTop w:val="0"/>
          <w:marBottom w:val="0"/>
          <w:divBdr>
            <w:top w:val="none" w:sz="0" w:space="0" w:color="auto"/>
            <w:left w:val="none" w:sz="0" w:space="0" w:color="auto"/>
            <w:bottom w:val="none" w:sz="0" w:space="0" w:color="auto"/>
            <w:right w:val="none" w:sz="0" w:space="0" w:color="auto"/>
          </w:divBdr>
        </w:div>
      </w:divsChild>
    </w:div>
    <w:div w:id="782648891">
      <w:bodyDiv w:val="1"/>
      <w:marLeft w:val="0"/>
      <w:marRight w:val="0"/>
      <w:marTop w:val="0"/>
      <w:marBottom w:val="0"/>
      <w:divBdr>
        <w:top w:val="none" w:sz="0" w:space="0" w:color="auto"/>
        <w:left w:val="none" w:sz="0" w:space="0" w:color="auto"/>
        <w:bottom w:val="none" w:sz="0" w:space="0" w:color="auto"/>
        <w:right w:val="none" w:sz="0" w:space="0" w:color="auto"/>
      </w:divBdr>
      <w:divsChild>
        <w:div w:id="1889681490">
          <w:marLeft w:val="0"/>
          <w:marRight w:val="0"/>
          <w:marTop w:val="0"/>
          <w:marBottom w:val="0"/>
          <w:divBdr>
            <w:top w:val="none" w:sz="0" w:space="0" w:color="auto"/>
            <w:left w:val="none" w:sz="0" w:space="0" w:color="auto"/>
            <w:bottom w:val="none" w:sz="0" w:space="0" w:color="auto"/>
            <w:right w:val="none" w:sz="0" w:space="0" w:color="auto"/>
          </w:divBdr>
          <w:divsChild>
            <w:div w:id="1764957369">
              <w:marLeft w:val="0"/>
              <w:marRight w:val="0"/>
              <w:marTop w:val="0"/>
              <w:marBottom w:val="0"/>
              <w:divBdr>
                <w:top w:val="none" w:sz="0" w:space="0" w:color="auto"/>
                <w:left w:val="none" w:sz="0" w:space="0" w:color="auto"/>
                <w:bottom w:val="none" w:sz="0" w:space="0" w:color="auto"/>
                <w:right w:val="none" w:sz="0" w:space="0" w:color="auto"/>
              </w:divBdr>
              <w:divsChild>
                <w:div w:id="1053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4527">
      <w:bodyDiv w:val="1"/>
      <w:marLeft w:val="0"/>
      <w:marRight w:val="0"/>
      <w:marTop w:val="0"/>
      <w:marBottom w:val="0"/>
      <w:divBdr>
        <w:top w:val="none" w:sz="0" w:space="0" w:color="auto"/>
        <w:left w:val="none" w:sz="0" w:space="0" w:color="auto"/>
        <w:bottom w:val="none" w:sz="0" w:space="0" w:color="auto"/>
        <w:right w:val="none" w:sz="0" w:space="0" w:color="auto"/>
      </w:divBdr>
    </w:div>
    <w:div w:id="837959272">
      <w:bodyDiv w:val="1"/>
      <w:marLeft w:val="0"/>
      <w:marRight w:val="0"/>
      <w:marTop w:val="0"/>
      <w:marBottom w:val="0"/>
      <w:divBdr>
        <w:top w:val="none" w:sz="0" w:space="0" w:color="auto"/>
        <w:left w:val="none" w:sz="0" w:space="0" w:color="auto"/>
        <w:bottom w:val="none" w:sz="0" w:space="0" w:color="auto"/>
        <w:right w:val="none" w:sz="0" w:space="0" w:color="auto"/>
      </w:divBdr>
    </w:div>
    <w:div w:id="848523233">
      <w:bodyDiv w:val="1"/>
      <w:marLeft w:val="0"/>
      <w:marRight w:val="0"/>
      <w:marTop w:val="0"/>
      <w:marBottom w:val="0"/>
      <w:divBdr>
        <w:top w:val="none" w:sz="0" w:space="0" w:color="auto"/>
        <w:left w:val="none" w:sz="0" w:space="0" w:color="auto"/>
        <w:bottom w:val="none" w:sz="0" w:space="0" w:color="auto"/>
        <w:right w:val="none" w:sz="0" w:space="0" w:color="auto"/>
      </w:divBdr>
    </w:div>
    <w:div w:id="849223326">
      <w:bodyDiv w:val="1"/>
      <w:marLeft w:val="0"/>
      <w:marRight w:val="0"/>
      <w:marTop w:val="0"/>
      <w:marBottom w:val="0"/>
      <w:divBdr>
        <w:top w:val="none" w:sz="0" w:space="0" w:color="auto"/>
        <w:left w:val="none" w:sz="0" w:space="0" w:color="auto"/>
        <w:bottom w:val="none" w:sz="0" w:space="0" w:color="auto"/>
        <w:right w:val="none" w:sz="0" w:space="0" w:color="auto"/>
      </w:divBdr>
    </w:div>
    <w:div w:id="858352860">
      <w:bodyDiv w:val="1"/>
      <w:marLeft w:val="0"/>
      <w:marRight w:val="0"/>
      <w:marTop w:val="0"/>
      <w:marBottom w:val="0"/>
      <w:divBdr>
        <w:top w:val="none" w:sz="0" w:space="0" w:color="auto"/>
        <w:left w:val="none" w:sz="0" w:space="0" w:color="auto"/>
        <w:bottom w:val="none" w:sz="0" w:space="0" w:color="auto"/>
        <w:right w:val="none" w:sz="0" w:space="0" w:color="auto"/>
      </w:divBdr>
    </w:div>
    <w:div w:id="862474828">
      <w:bodyDiv w:val="1"/>
      <w:marLeft w:val="0"/>
      <w:marRight w:val="0"/>
      <w:marTop w:val="0"/>
      <w:marBottom w:val="0"/>
      <w:divBdr>
        <w:top w:val="none" w:sz="0" w:space="0" w:color="auto"/>
        <w:left w:val="none" w:sz="0" w:space="0" w:color="auto"/>
        <w:bottom w:val="none" w:sz="0" w:space="0" w:color="auto"/>
        <w:right w:val="none" w:sz="0" w:space="0" w:color="auto"/>
      </w:divBdr>
      <w:divsChild>
        <w:div w:id="1149130312">
          <w:marLeft w:val="0"/>
          <w:marRight w:val="0"/>
          <w:marTop w:val="0"/>
          <w:marBottom w:val="0"/>
          <w:divBdr>
            <w:top w:val="none" w:sz="0" w:space="0" w:color="auto"/>
            <w:left w:val="none" w:sz="0" w:space="0" w:color="auto"/>
            <w:bottom w:val="none" w:sz="0" w:space="0" w:color="auto"/>
            <w:right w:val="none" w:sz="0" w:space="0" w:color="auto"/>
          </w:divBdr>
          <w:divsChild>
            <w:div w:id="559291342">
              <w:marLeft w:val="0"/>
              <w:marRight w:val="0"/>
              <w:marTop w:val="0"/>
              <w:marBottom w:val="0"/>
              <w:divBdr>
                <w:top w:val="none" w:sz="0" w:space="0" w:color="auto"/>
                <w:left w:val="none" w:sz="0" w:space="0" w:color="auto"/>
                <w:bottom w:val="none" w:sz="0" w:space="0" w:color="auto"/>
                <w:right w:val="none" w:sz="0" w:space="0" w:color="auto"/>
              </w:divBdr>
              <w:divsChild>
                <w:div w:id="21311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82832">
      <w:bodyDiv w:val="1"/>
      <w:marLeft w:val="0"/>
      <w:marRight w:val="0"/>
      <w:marTop w:val="0"/>
      <w:marBottom w:val="0"/>
      <w:divBdr>
        <w:top w:val="none" w:sz="0" w:space="0" w:color="auto"/>
        <w:left w:val="none" w:sz="0" w:space="0" w:color="auto"/>
        <w:bottom w:val="none" w:sz="0" w:space="0" w:color="auto"/>
        <w:right w:val="none" w:sz="0" w:space="0" w:color="auto"/>
      </w:divBdr>
    </w:div>
    <w:div w:id="881552453">
      <w:bodyDiv w:val="1"/>
      <w:marLeft w:val="0"/>
      <w:marRight w:val="0"/>
      <w:marTop w:val="0"/>
      <w:marBottom w:val="0"/>
      <w:divBdr>
        <w:top w:val="none" w:sz="0" w:space="0" w:color="auto"/>
        <w:left w:val="none" w:sz="0" w:space="0" w:color="auto"/>
        <w:bottom w:val="none" w:sz="0" w:space="0" w:color="auto"/>
        <w:right w:val="none" w:sz="0" w:space="0" w:color="auto"/>
      </w:divBdr>
    </w:div>
    <w:div w:id="911699017">
      <w:bodyDiv w:val="1"/>
      <w:marLeft w:val="0"/>
      <w:marRight w:val="0"/>
      <w:marTop w:val="0"/>
      <w:marBottom w:val="0"/>
      <w:divBdr>
        <w:top w:val="none" w:sz="0" w:space="0" w:color="auto"/>
        <w:left w:val="none" w:sz="0" w:space="0" w:color="auto"/>
        <w:bottom w:val="none" w:sz="0" w:space="0" w:color="auto"/>
        <w:right w:val="none" w:sz="0" w:space="0" w:color="auto"/>
      </w:divBdr>
      <w:divsChild>
        <w:div w:id="1652981116">
          <w:marLeft w:val="0"/>
          <w:marRight w:val="0"/>
          <w:marTop w:val="0"/>
          <w:marBottom w:val="0"/>
          <w:divBdr>
            <w:top w:val="none" w:sz="0" w:space="0" w:color="auto"/>
            <w:left w:val="none" w:sz="0" w:space="0" w:color="auto"/>
            <w:bottom w:val="none" w:sz="0" w:space="0" w:color="auto"/>
            <w:right w:val="none" w:sz="0" w:space="0" w:color="auto"/>
          </w:divBdr>
          <w:divsChild>
            <w:div w:id="1056394171">
              <w:marLeft w:val="0"/>
              <w:marRight w:val="0"/>
              <w:marTop w:val="0"/>
              <w:marBottom w:val="0"/>
              <w:divBdr>
                <w:top w:val="none" w:sz="0" w:space="0" w:color="auto"/>
                <w:left w:val="none" w:sz="0" w:space="0" w:color="auto"/>
                <w:bottom w:val="none" w:sz="0" w:space="0" w:color="auto"/>
                <w:right w:val="none" w:sz="0" w:space="0" w:color="auto"/>
              </w:divBdr>
              <w:divsChild>
                <w:div w:id="1129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97732">
      <w:bodyDiv w:val="1"/>
      <w:marLeft w:val="0"/>
      <w:marRight w:val="0"/>
      <w:marTop w:val="0"/>
      <w:marBottom w:val="0"/>
      <w:divBdr>
        <w:top w:val="none" w:sz="0" w:space="0" w:color="auto"/>
        <w:left w:val="none" w:sz="0" w:space="0" w:color="auto"/>
        <w:bottom w:val="none" w:sz="0" w:space="0" w:color="auto"/>
        <w:right w:val="none" w:sz="0" w:space="0" w:color="auto"/>
      </w:divBdr>
    </w:div>
    <w:div w:id="940189880">
      <w:bodyDiv w:val="1"/>
      <w:marLeft w:val="0"/>
      <w:marRight w:val="0"/>
      <w:marTop w:val="0"/>
      <w:marBottom w:val="0"/>
      <w:divBdr>
        <w:top w:val="none" w:sz="0" w:space="0" w:color="auto"/>
        <w:left w:val="none" w:sz="0" w:space="0" w:color="auto"/>
        <w:bottom w:val="none" w:sz="0" w:space="0" w:color="auto"/>
        <w:right w:val="none" w:sz="0" w:space="0" w:color="auto"/>
      </w:divBdr>
    </w:div>
    <w:div w:id="1028873656">
      <w:bodyDiv w:val="1"/>
      <w:marLeft w:val="0"/>
      <w:marRight w:val="0"/>
      <w:marTop w:val="0"/>
      <w:marBottom w:val="0"/>
      <w:divBdr>
        <w:top w:val="none" w:sz="0" w:space="0" w:color="auto"/>
        <w:left w:val="none" w:sz="0" w:space="0" w:color="auto"/>
        <w:bottom w:val="none" w:sz="0" w:space="0" w:color="auto"/>
        <w:right w:val="none" w:sz="0" w:space="0" w:color="auto"/>
      </w:divBdr>
    </w:div>
    <w:div w:id="1063060086">
      <w:bodyDiv w:val="1"/>
      <w:marLeft w:val="0"/>
      <w:marRight w:val="0"/>
      <w:marTop w:val="0"/>
      <w:marBottom w:val="0"/>
      <w:divBdr>
        <w:top w:val="none" w:sz="0" w:space="0" w:color="auto"/>
        <w:left w:val="none" w:sz="0" w:space="0" w:color="auto"/>
        <w:bottom w:val="none" w:sz="0" w:space="0" w:color="auto"/>
        <w:right w:val="none" w:sz="0" w:space="0" w:color="auto"/>
      </w:divBdr>
    </w:div>
    <w:div w:id="1070467919">
      <w:bodyDiv w:val="1"/>
      <w:marLeft w:val="0"/>
      <w:marRight w:val="0"/>
      <w:marTop w:val="0"/>
      <w:marBottom w:val="0"/>
      <w:divBdr>
        <w:top w:val="none" w:sz="0" w:space="0" w:color="auto"/>
        <w:left w:val="none" w:sz="0" w:space="0" w:color="auto"/>
        <w:bottom w:val="none" w:sz="0" w:space="0" w:color="auto"/>
        <w:right w:val="none" w:sz="0" w:space="0" w:color="auto"/>
      </w:divBdr>
    </w:div>
    <w:div w:id="1079404916">
      <w:bodyDiv w:val="1"/>
      <w:marLeft w:val="0"/>
      <w:marRight w:val="0"/>
      <w:marTop w:val="0"/>
      <w:marBottom w:val="0"/>
      <w:divBdr>
        <w:top w:val="none" w:sz="0" w:space="0" w:color="auto"/>
        <w:left w:val="none" w:sz="0" w:space="0" w:color="auto"/>
        <w:bottom w:val="none" w:sz="0" w:space="0" w:color="auto"/>
        <w:right w:val="none" w:sz="0" w:space="0" w:color="auto"/>
      </w:divBdr>
    </w:div>
    <w:div w:id="1101801423">
      <w:bodyDiv w:val="1"/>
      <w:marLeft w:val="0"/>
      <w:marRight w:val="0"/>
      <w:marTop w:val="0"/>
      <w:marBottom w:val="0"/>
      <w:divBdr>
        <w:top w:val="none" w:sz="0" w:space="0" w:color="auto"/>
        <w:left w:val="none" w:sz="0" w:space="0" w:color="auto"/>
        <w:bottom w:val="none" w:sz="0" w:space="0" w:color="auto"/>
        <w:right w:val="none" w:sz="0" w:space="0" w:color="auto"/>
      </w:divBdr>
      <w:divsChild>
        <w:div w:id="2130202398">
          <w:marLeft w:val="0"/>
          <w:marRight w:val="0"/>
          <w:marTop w:val="0"/>
          <w:marBottom w:val="0"/>
          <w:divBdr>
            <w:top w:val="none" w:sz="0" w:space="0" w:color="auto"/>
            <w:left w:val="none" w:sz="0" w:space="0" w:color="auto"/>
            <w:bottom w:val="none" w:sz="0" w:space="0" w:color="auto"/>
            <w:right w:val="none" w:sz="0" w:space="0" w:color="auto"/>
          </w:divBdr>
          <w:divsChild>
            <w:div w:id="1457289598">
              <w:marLeft w:val="0"/>
              <w:marRight w:val="0"/>
              <w:marTop w:val="0"/>
              <w:marBottom w:val="0"/>
              <w:divBdr>
                <w:top w:val="none" w:sz="0" w:space="0" w:color="auto"/>
                <w:left w:val="none" w:sz="0" w:space="0" w:color="auto"/>
                <w:bottom w:val="none" w:sz="0" w:space="0" w:color="auto"/>
                <w:right w:val="none" w:sz="0" w:space="0" w:color="auto"/>
              </w:divBdr>
              <w:divsChild>
                <w:div w:id="3043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2212">
      <w:bodyDiv w:val="1"/>
      <w:marLeft w:val="0"/>
      <w:marRight w:val="0"/>
      <w:marTop w:val="0"/>
      <w:marBottom w:val="0"/>
      <w:divBdr>
        <w:top w:val="none" w:sz="0" w:space="0" w:color="auto"/>
        <w:left w:val="none" w:sz="0" w:space="0" w:color="auto"/>
        <w:bottom w:val="none" w:sz="0" w:space="0" w:color="auto"/>
        <w:right w:val="none" w:sz="0" w:space="0" w:color="auto"/>
      </w:divBdr>
      <w:divsChild>
        <w:div w:id="1695695338">
          <w:marLeft w:val="0"/>
          <w:marRight w:val="0"/>
          <w:marTop w:val="0"/>
          <w:marBottom w:val="0"/>
          <w:divBdr>
            <w:top w:val="none" w:sz="0" w:space="0" w:color="auto"/>
            <w:left w:val="none" w:sz="0" w:space="0" w:color="auto"/>
            <w:bottom w:val="none" w:sz="0" w:space="0" w:color="auto"/>
            <w:right w:val="none" w:sz="0" w:space="0" w:color="auto"/>
          </w:divBdr>
          <w:divsChild>
            <w:div w:id="1216425730">
              <w:marLeft w:val="0"/>
              <w:marRight w:val="0"/>
              <w:marTop w:val="0"/>
              <w:marBottom w:val="0"/>
              <w:divBdr>
                <w:top w:val="none" w:sz="0" w:space="0" w:color="auto"/>
                <w:left w:val="none" w:sz="0" w:space="0" w:color="auto"/>
                <w:bottom w:val="none" w:sz="0" w:space="0" w:color="auto"/>
                <w:right w:val="none" w:sz="0" w:space="0" w:color="auto"/>
              </w:divBdr>
              <w:divsChild>
                <w:div w:id="173076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743">
      <w:bodyDiv w:val="1"/>
      <w:marLeft w:val="0"/>
      <w:marRight w:val="0"/>
      <w:marTop w:val="0"/>
      <w:marBottom w:val="0"/>
      <w:divBdr>
        <w:top w:val="none" w:sz="0" w:space="0" w:color="auto"/>
        <w:left w:val="none" w:sz="0" w:space="0" w:color="auto"/>
        <w:bottom w:val="none" w:sz="0" w:space="0" w:color="auto"/>
        <w:right w:val="none" w:sz="0" w:space="0" w:color="auto"/>
      </w:divBdr>
      <w:divsChild>
        <w:div w:id="709190668">
          <w:marLeft w:val="0"/>
          <w:marRight w:val="0"/>
          <w:marTop w:val="0"/>
          <w:marBottom w:val="0"/>
          <w:divBdr>
            <w:top w:val="none" w:sz="0" w:space="0" w:color="auto"/>
            <w:left w:val="none" w:sz="0" w:space="0" w:color="auto"/>
            <w:bottom w:val="none" w:sz="0" w:space="0" w:color="auto"/>
            <w:right w:val="none" w:sz="0" w:space="0" w:color="auto"/>
          </w:divBdr>
          <w:divsChild>
            <w:div w:id="1801998893">
              <w:marLeft w:val="0"/>
              <w:marRight w:val="0"/>
              <w:marTop w:val="0"/>
              <w:marBottom w:val="0"/>
              <w:divBdr>
                <w:top w:val="none" w:sz="0" w:space="0" w:color="auto"/>
                <w:left w:val="none" w:sz="0" w:space="0" w:color="auto"/>
                <w:bottom w:val="none" w:sz="0" w:space="0" w:color="auto"/>
                <w:right w:val="none" w:sz="0" w:space="0" w:color="auto"/>
              </w:divBdr>
              <w:divsChild>
                <w:div w:id="3183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34156">
      <w:bodyDiv w:val="1"/>
      <w:marLeft w:val="0"/>
      <w:marRight w:val="0"/>
      <w:marTop w:val="0"/>
      <w:marBottom w:val="0"/>
      <w:divBdr>
        <w:top w:val="none" w:sz="0" w:space="0" w:color="auto"/>
        <w:left w:val="none" w:sz="0" w:space="0" w:color="auto"/>
        <w:bottom w:val="none" w:sz="0" w:space="0" w:color="auto"/>
        <w:right w:val="none" w:sz="0" w:space="0" w:color="auto"/>
      </w:divBdr>
    </w:div>
    <w:div w:id="1133018982">
      <w:bodyDiv w:val="1"/>
      <w:marLeft w:val="0"/>
      <w:marRight w:val="0"/>
      <w:marTop w:val="0"/>
      <w:marBottom w:val="0"/>
      <w:divBdr>
        <w:top w:val="none" w:sz="0" w:space="0" w:color="auto"/>
        <w:left w:val="none" w:sz="0" w:space="0" w:color="auto"/>
        <w:bottom w:val="none" w:sz="0" w:space="0" w:color="auto"/>
        <w:right w:val="none" w:sz="0" w:space="0" w:color="auto"/>
      </w:divBdr>
    </w:div>
    <w:div w:id="1139148329">
      <w:bodyDiv w:val="1"/>
      <w:marLeft w:val="0"/>
      <w:marRight w:val="0"/>
      <w:marTop w:val="0"/>
      <w:marBottom w:val="0"/>
      <w:divBdr>
        <w:top w:val="none" w:sz="0" w:space="0" w:color="auto"/>
        <w:left w:val="none" w:sz="0" w:space="0" w:color="auto"/>
        <w:bottom w:val="none" w:sz="0" w:space="0" w:color="auto"/>
        <w:right w:val="none" w:sz="0" w:space="0" w:color="auto"/>
      </w:divBdr>
      <w:divsChild>
        <w:div w:id="24138262">
          <w:marLeft w:val="0"/>
          <w:marRight w:val="0"/>
          <w:marTop w:val="0"/>
          <w:marBottom w:val="0"/>
          <w:divBdr>
            <w:top w:val="none" w:sz="0" w:space="0" w:color="auto"/>
            <w:left w:val="none" w:sz="0" w:space="0" w:color="auto"/>
            <w:bottom w:val="none" w:sz="0" w:space="0" w:color="auto"/>
            <w:right w:val="none" w:sz="0" w:space="0" w:color="auto"/>
          </w:divBdr>
          <w:divsChild>
            <w:div w:id="2005938800">
              <w:marLeft w:val="0"/>
              <w:marRight w:val="0"/>
              <w:marTop w:val="0"/>
              <w:marBottom w:val="0"/>
              <w:divBdr>
                <w:top w:val="none" w:sz="0" w:space="0" w:color="auto"/>
                <w:left w:val="none" w:sz="0" w:space="0" w:color="auto"/>
                <w:bottom w:val="none" w:sz="0" w:space="0" w:color="auto"/>
                <w:right w:val="none" w:sz="0" w:space="0" w:color="auto"/>
              </w:divBdr>
              <w:divsChild>
                <w:div w:id="1701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02779">
      <w:bodyDiv w:val="1"/>
      <w:marLeft w:val="0"/>
      <w:marRight w:val="0"/>
      <w:marTop w:val="0"/>
      <w:marBottom w:val="0"/>
      <w:divBdr>
        <w:top w:val="none" w:sz="0" w:space="0" w:color="auto"/>
        <w:left w:val="none" w:sz="0" w:space="0" w:color="auto"/>
        <w:bottom w:val="none" w:sz="0" w:space="0" w:color="auto"/>
        <w:right w:val="none" w:sz="0" w:space="0" w:color="auto"/>
      </w:divBdr>
    </w:div>
    <w:div w:id="1205486404">
      <w:bodyDiv w:val="1"/>
      <w:marLeft w:val="0"/>
      <w:marRight w:val="0"/>
      <w:marTop w:val="0"/>
      <w:marBottom w:val="0"/>
      <w:divBdr>
        <w:top w:val="none" w:sz="0" w:space="0" w:color="auto"/>
        <w:left w:val="none" w:sz="0" w:space="0" w:color="auto"/>
        <w:bottom w:val="none" w:sz="0" w:space="0" w:color="auto"/>
        <w:right w:val="none" w:sz="0" w:space="0" w:color="auto"/>
      </w:divBdr>
    </w:div>
    <w:div w:id="1209798988">
      <w:bodyDiv w:val="1"/>
      <w:marLeft w:val="0"/>
      <w:marRight w:val="0"/>
      <w:marTop w:val="0"/>
      <w:marBottom w:val="0"/>
      <w:divBdr>
        <w:top w:val="none" w:sz="0" w:space="0" w:color="auto"/>
        <w:left w:val="none" w:sz="0" w:space="0" w:color="auto"/>
        <w:bottom w:val="none" w:sz="0" w:space="0" w:color="auto"/>
        <w:right w:val="none" w:sz="0" w:space="0" w:color="auto"/>
      </w:divBdr>
      <w:divsChild>
        <w:div w:id="1701931197">
          <w:marLeft w:val="0"/>
          <w:marRight w:val="0"/>
          <w:marTop w:val="0"/>
          <w:marBottom w:val="0"/>
          <w:divBdr>
            <w:top w:val="none" w:sz="0" w:space="0" w:color="auto"/>
            <w:left w:val="none" w:sz="0" w:space="0" w:color="auto"/>
            <w:bottom w:val="none" w:sz="0" w:space="0" w:color="auto"/>
            <w:right w:val="none" w:sz="0" w:space="0" w:color="auto"/>
          </w:divBdr>
          <w:divsChild>
            <w:div w:id="350763024">
              <w:marLeft w:val="0"/>
              <w:marRight w:val="0"/>
              <w:marTop w:val="0"/>
              <w:marBottom w:val="0"/>
              <w:divBdr>
                <w:top w:val="none" w:sz="0" w:space="0" w:color="auto"/>
                <w:left w:val="none" w:sz="0" w:space="0" w:color="auto"/>
                <w:bottom w:val="none" w:sz="0" w:space="0" w:color="auto"/>
                <w:right w:val="none" w:sz="0" w:space="0" w:color="auto"/>
              </w:divBdr>
              <w:divsChild>
                <w:div w:id="419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8678">
      <w:bodyDiv w:val="1"/>
      <w:marLeft w:val="0"/>
      <w:marRight w:val="0"/>
      <w:marTop w:val="0"/>
      <w:marBottom w:val="0"/>
      <w:divBdr>
        <w:top w:val="none" w:sz="0" w:space="0" w:color="auto"/>
        <w:left w:val="none" w:sz="0" w:space="0" w:color="auto"/>
        <w:bottom w:val="none" w:sz="0" w:space="0" w:color="auto"/>
        <w:right w:val="none" w:sz="0" w:space="0" w:color="auto"/>
      </w:divBdr>
    </w:div>
    <w:div w:id="1231110653">
      <w:bodyDiv w:val="1"/>
      <w:marLeft w:val="0"/>
      <w:marRight w:val="0"/>
      <w:marTop w:val="0"/>
      <w:marBottom w:val="0"/>
      <w:divBdr>
        <w:top w:val="none" w:sz="0" w:space="0" w:color="auto"/>
        <w:left w:val="none" w:sz="0" w:space="0" w:color="auto"/>
        <w:bottom w:val="none" w:sz="0" w:space="0" w:color="auto"/>
        <w:right w:val="none" w:sz="0" w:space="0" w:color="auto"/>
      </w:divBdr>
      <w:divsChild>
        <w:div w:id="459688063">
          <w:marLeft w:val="0"/>
          <w:marRight w:val="0"/>
          <w:marTop w:val="0"/>
          <w:marBottom w:val="0"/>
          <w:divBdr>
            <w:top w:val="none" w:sz="0" w:space="0" w:color="auto"/>
            <w:left w:val="none" w:sz="0" w:space="0" w:color="auto"/>
            <w:bottom w:val="none" w:sz="0" w:space="0" w:color="auto"/>
            <w:right w:val="none" w:sz="0" w:space="0" w:color="auto"/>
          </w:divBdr>
          <w:divsChild>
            <w:div w:id="471562279">
              <w:marLeft w:val="0"/>
              <w:marRight w:val="0"/>
              <w:marTop w:val="0"/>
              <w:marBottom w:val="0"/>
              <w:divBdr>
                <w:top w:val="none" w:sz="0" w:space="0" w:color="auto"/>
                <w:left w:val="none" w:sz="0" w:space="0" w:color="auto"/>
                <w:bottom w:val="none" w:sz="0" w:space="0" w:color="auto"/>
                <w:right w:val="none" w:sz="0" w:space="0" w:color="auto"/>
              </w:divBdr>
              <w:divsChild>
                <w:div w:id="112473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4942">
      <w:bodyDiv w:val="1"/>
      <w:marLeft w:val="0"/>
      <w:marRight w:val="0"/>
      <w:marTop w:val="0"/>
      <w:marBottom w:val="0"/>
      <w:divBdr>
        <w:top w:val="none" w:sz="0" w:space="0" w:color="auto"/>
        <w:left w:val="none" w:sz="0" w:space="0" w:color="auto"/>
        <w:bottom w:val="none" w:sz="0" w:space="0" w:color="auto"/>
        <w:right w:val="none" w:sz="0" w:space="0" w:color="auto"/>
      </w:divBdr>
      <w:divsChild>
        <w:div w:id="1572620011">
          <w:marLeft w:val="0"/>
          <w:marRight w:val="0"/>
          <w:marTop w:val="0"/>
          <w:marBottom w:val="0"/>
          <w:divBdr>
            <w:top w:val="none" w:sz="0" w:space="0" w:color="auto"/>
            <w:left w:val="none" w:sz="0" w:space="0" w:color="auto"/>
            <w:bottom w:val="none" w:sz="0" w:space="0" w:color="auto"/>
            <w:right w:val="none" w:sz="0" w:space="0" w:color="auto"/>
          </w:divBdr>
          <w:divsChild>
            <w:div w:id="784542058">
              <w:marLeft w:val="0"/>
              <w:marRight w:val="0"/>
              <w:marTop w:val="0"/>
              <w:marBottom w:val="0"/>
              <w:divBdr>
                <w:top w:val="none" w:sz="0" w:space="0" w:color="auto"/>
                <w:left w:val="none" w:sz="0" w:space="0" w:color="auto"/>
                <w:bottom w:val="none" w:sz="0" w:space="0" w:color="auto"/>
                <w:right w:val="none" w:sz="0" w:space="0" w:color="auto"/>
              </w:divBdr>
              <w:divsChild>
                <w:div w:id="1181237524">
                  <w:marLeft w:val="0"/>
                  <w:marRight w:val="0"/>
                  <w:marTop w:val="0"/>
                  <w:marBottom w:val="0"/>
                  <w:divBdr>
                    <w:top w:val="none" w:sz="0" w:space="0" w:color="auto"/>
                    <w:left w:val="none" w:sz="0" w:space="0" w:color="auto"/>
                    <w:bottom w:val="none" w:sz="0" w:space="0" w:color="auto"/>
                    <w:right w:val="none" w:sz="0" w:space="0" w:color="auto"/>
                  </w:divBdr>
                  <w:divsChild>
                    <w:div w:id="12581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95784">
      <w:bodyDiv w:val="1"/>
      <w:marLeft w:val="0"/>
      <w:marRight w:val="0"/>
      <w:marTop w:val="0"/>
      <w:marBottom w:val="0"/>
      <w:divBdr>
        <w:top w:val="none" w:sz="0" w:space="0" w:color="auto"/>
        <w:left w:val="none" w:sz="0" w:space="0" w:color="auto"/>
        <w:bottom w:val="none" w:sz="0" w:space="0" w:color="auto"/>
        <w:right w:val="none" w:sz="0" w:space="0" w:color="auto"/>
      </w:divBdr>
      <w:divsChild>
        <w:div w:id="1367367839">
          <w:marLeft w:val="0"/>
          <w:marRight w:val="0"/>
          <w:marTop w:val="0"/>
          <w:marBottom w:val="0"/>
          <w:divBdr>
            <w:top w:val="none" w:sz="0" w:space="0" w:color="auto"/>
            <w:left w:val="none" w:sz="0" w:space="0" w:color="auto"/>
            <w:bottom w:val="none" w:sz="0" w:space="0" w:color="auto"/>
            <w:right w:val="none" w:sz="0" w:space="0" w:color="auto"/>
          </w:divBdr>
          <w:divsChild>
            <w:div w:id="923490819">
              <w:marLeft w:val="0"/>
              <w:marRight w:val="0"/>
              <w:marTop w:val="0"/>
              <w:marBottom w:val="0"/>
              <w:divBdr>
                <w:top w:val="none" w:sz="0" w:space="0" w:color="auto"/>
                <w:left w:val="none" w:sz="0" w:space="0" w:color="auto"/>
                <w:bottom w:val="none" w:sz="0" w:space="0" w:color="auto"/>
                <w:right w:val="none" w:sz="0" w:space="0" w:color="auto"/>
              </w:divBdr>
              <w:divsChild>
                <w:div w:id="440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86988">
      <w:bodyDiv w:val="1"/>
      <w:marLeft w:val="0"/>
      <w:marRight w:val="0"/>
      <w:marTop w:val="0"/>
      <w:marBottom w:val="0"/>
      <w:divBdr>
        <w:top w:val="none" w:sz="0" w:space="0" w:color="auto"/>
        <w:left w:val="none" w:sz="0" w:space="0" w:color="auto"/>
        <w:bottom w:val="none" w:sz="0" w:space="0" w:color="auto"/>
        <w:right w:val="none" w:sz="0" w:space="0" w:color="auto"/>
      </w:divBdr>
    </w:div>
    <w:div w:id="1279222389">
      <w:bodyDiv w:val="1"/>
      <w:marLeft w:val="0"/>
      <w:marRight w:val="0"/>
      <w:marTop w:val="0"/>
      <w:marBottom w:val="0"/>
      <w:divBdr>
        <w:top w:val="none" w:sz="0" w:space="0" w:color="auto"/>
        <w:left w:val="none" w:sz="0" w:space="0" w:color="auto"/>
        <w:bottom w:val="none" w:sz="0" w:space="0" w:color="auto"/>
        <w:right w:val="none" w:sz="0" w:space="0" w:color="auto"/>
      </w:divBdr>
    </w:div>
    <w:div w:id="1282105950">
      <w:bodyDiv w:val="1"/>
      <w:marLeft w:val="0"/>
      <w:marRight w:val="0"/>
      <w:marTop w:val="0"/>
      <w:marBottom w:val="0"/>
      <w:divBdr>
        <w:top w:val="none" w:sz="0" w:space="0" w:color="auto"/>
        <w:left w:val="none" w:sz="0" w:space="0" w:color="auto"/>
        <w:bottom w:val="none" w:sz="0" w:space="0" w:color="auto"/>
        <w:right w:val="none" w:sz="0" w:space="0" w:color="auto"/>
      </w:divBdr>
    </w:div>
    <w:div w:id="1294560107">
      <w:bodyDiv w:val="1"/>
      <w:marLeft w:val="0"/>
      <w:marRight w:val="0"/>
      <w:marTop w:val="0"/>
      <w:marBottom w:val="0"/>
      <w:divBdr>
        <w:top w:val="none" w:sz="0" w:space="0" w:color="auto"/>
        <w:left w:val="none" w:sz="0" w:space="0" w:color="auto"/>
        <w:bottom w:val="none" w:sz="0" w:space="0" w:color="auto"/>
        <w:right w:val="none" w:sz="0" w:space="0" w:color="auto"/>
      </w:divBdr>
    </w:div>
    <w:div w:id="1318682133">
      <w:bodyDiv w:val="1"/>
      <w:marLeft w:val="0"/>
      <w:marRight w:val="0"/>
      <w:marTop w:val="0"/>
      <w:marBottom w:val="0"/>
      <w:divBdr>
        <w:top w:val="none" w:sz="0" w:space="0" w:color="auto"/>
        <w:left w:val="none" w:sz="0" w:space="0" w:color="auto"/>
        <w:bottom w:val="none" w:sz="0" w:space="0" w:color="auto"/>
        <w:right w:val="none" w:sz="0" w:space="0" w:color="auto"/>
      </w:divBdr>
      <w:divsChild>
        <w:div w:id="200754857">
          <w:marLeft w:val="0"/>
          <w:marRight w:val="0"/>
          <w:marTop w:val="0"/>
          <w:marBottom w:val="0"/>
          <w:divBdr>
            <w:top w:val="none" w:sz="0" w:space="0" w:color="auto"/>
            <w:left w:val="none" w:sz="0" w:space="0" w:color="auto"/>
            <w:bottom w:val="none" w:sz="0" w:space="0" w:color="auto"/>
            <w:right w:val="none" w:sz="0" w:space="0" w:color="auto"/>
          </w:divBdr>
          <w:divsChild>
            <w:div w:id="2109346988">
              <w:marLeft w:val="0"/>
              <w:marRight w:val="0"/>
              <w:marTop w:val="0"/>
              <w:marBottom w:val="0"/>
              <w:divBdr>
                <w:top w:val="none" w:sz="0" w:space="0" w:color="auto"/>
                <w:left w:val="none" w:sz="0" w:space="0" w:color="auto"/>
                <w:bottom w:val="none" w:sz="0" w:space="0" w:color="auto"/>
                <w:right w:val="none" w:sz="0" w:space="0" w:color="auto"/>
              </w:divBdr>
              <w:divsChild>
                <w:div w:id="18013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86552">
      <w:bodyDiv w:val="1"/>
      <w:marLeft w:val="0"/>
      <w:marRight w:val="0"/>
      <w:marTop w:val="0"/>
      <w:marBottom w:val="0"/>
      <w:divBdr>
        <w:top w:val="none" w:sz="0" w:space="0" w:color="auto"/>
        <w:left w:val="none" w:sz="0" w:space="0" w:color="auto"/>
        <w:bottom w:val="none" w:sz="0" w:space="0" w:color="auto"/>
        <w:right w:val="none" w:sz="0" w:space="0" w:color="auto"/>
      </w:divBdr>
    </w:div>
    <w:div w:id="1356732329">
      <w:bodyDiv w:val="1"/>
      <w:marLeft w:val="0"/>
      <w:marRight w:val="0"/>
      <w:marTop w:val="0"/>
      <w:marBottom w:val="0"/>
      <w:divBdr>
        <w:top w:val="none" w:sz="0" w:space="0" w:color="auto"/>
        <w:left w:val="none" w:sz="0" w:space="0" w:color="auto"/>
        <w:bottom w:val="none" w:sz="0" w:space="0" w:color="auto"/>
        <w:right w:val="none" w:sz="0" w:space="0" w:color="auto"/>
      </w:divBdr>
      <w:divsChild>
        <w:div w:id="1144273065">
          <w:marLeft w:val="0"/>
          <w:marRight w:val="0"/>
          <w:marTop w:val="0"/>
          <w:marBottom w:val="0"/>
          <w:divBdr>
            <w:top w:val="none" w:sz="0" w:space="0" w:color="auto"/>
            <w:left w:val="none" w:sz="0" w:space="0" w:color="auto"/>
            <w:bottom w:val="none" w:sz="0" w:space="0" w:color="auto"/>
            <w:right w:val="none" w:sz="0" w:space="0" w:color="auto"/>
          </w:divBdr>
          <w:divsChild>
            <w:div w:id="1794640652">
              <w:marLeft w:val="0"/>
              <w:marRight w:val="0"/>
              <w:marTop w:val="0"/>
              <w:marBottom w:val="0"/>
              <w:divBdr>
                <w:top w:val="none" w:sz="0" w:space="0" w:color="auto"/>
                <w:left w:val="none" w:sz="0" w:space="0" w:color="auto"/>
                <w:bottom w:val="none" w:sz="0" w:space="0" w:color="auto"/>
                <w:right w:val="none" w:sz="0" w:space="0" w:color="auto"/>
              </w:divBdr>
              <w:divsChild>
                <w:div w:id="3689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7899">
      <w:bodyDiv w:val="1"/>
      <w:marLeft w:val="0"/>
      <w:marRight w:val="0"/>
      <w:marTop w:val="0"/>
      <w:marBottom w:val="0"/>
      <w:divBdr>
        <w:top w:val="none" w:sz="0" w:space="0" w:color="auto"/>
        <w:left w:val="none" w:sz="0" w:space="0" w:color="auto"/>
        <w:bottom w:val="none" w:sz="0" w:space="0" w:color="auto"/>
        <w:right w:val="none" w:sz="0" w:space="0" w:color="auto"/>
      </w:divBdr>
      <w:divsChild>
        <w:div w:id="19748709">
          <w:marLeft w:val="0"/>
          <w:marRight w:val="0"/>
          <w:marTop w:val="0"/>
          <w:marBottom w:val="0"/>
          <w:divBdr>
            <w:top w:val="none" w:sz="0" w:space="0" w:color="auto"/>
            <w:left w:val="none" w:sz="0" w:space="0" w:color="auto"/>
            <w:bottom w:val="none" w:sz="0" w:space="0" w:color="auto"/>
            <w:right w:val="none" w:sz="0" w:space="0" w:color="auto"/>
          </w:divBdr>
          <w:divsChild>
            <w:div w:id="220210559">
              <w:marLeft w:val="0"/>
              <w:marRight w:val="0"/>
              <w:marTop w:val="0"/>
              <w:marBottom w:val="0"/>
              <w:divBdr>
                <w:top w:val="none" w:sz="0" w:space="0" w:color="auto"/>
                <w:left w:val="none" w:sz="0" w:space="0" w:color="auto"/>
                <w:bottom w:val="none" w:sz="0" w:space="0" w:color="auto"/>
                <w:right w:val="none" w:sz="0" w:space="0" w:color="auto"/>
              </w:divBdr>
              <w:divsChild>
                <w:div w:id="19255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7681">
      <w:bodyDiv w:val="1"/>
      <w:marLeft w:val="0"/>
      <w:marRight w:val="0"/>
      <w:marTop w:val="0"/>
      <w:marBottom w:val="0"/>
      <w:divBdr>
        <w:top w:val="none" w:sz="0" w:space="0" w:color="auto"/>
        <w:left w:val="none" w:sz="0" w:space="0" w:color="auto"/>
        <w:bottom w:val="none" w:sz="0" w:space="0" w:color="auto"/>
        <w:right w:val="none" w:sz="0" w:space="0" w:color="auto"/>
      </w:divBdr>
      <w:divsChild>
        <w:div w:id="7951485">
          <w:marLeft w:val="0"/>
          <w:marRight w:val="0"/>
          <w:marTop w:val="0"/>
          <w:marBottom w:val="0"/>
          <w:divBdr>
            <w:top w:val="none" w:sz="0" w:space="0" w:color="auto"/>
            <w:left w:val="none" w:sz="0" w:space="0" w:color="auto"/>
            <w:bottom w:val="none" w:sz="0" w:space="0" w:color="auto"/>
            <w:right w:val="none" w:sz="0" w:space="0" w:color="auto"/>
          </w:divBdr>
          <w:divsChild>
            <w:div w:id="1934900792">
              <w:marLeft w:val="0"/>
              <w:marRight w:val="0"/>
              <w:marTop w:val="0"/>
              <w:marBottom w:val="0"/>
              <w:divBdr>
                <w:top w:val="none" w:sz="0" w:space="0" w:color="auto"/>
                <w:left w:val="none" w:sz="0" w:space="0" w:color="auto"/>
                <w:bottom w:val="none" w:sz="0" w:space="0" w:color="auto"/>
                <w:right w:val="none" w:sz="0" w:space="0" w:color="auto"/>
              </w:divBdr>
              <w:divsChild>
                <w:div w:id="631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4694">
      <w:bodyDiv w:val="1"/>
      <w:marLeft w:val="0"/>
      <w:marRight w:val="0"/>
      <w:marTop w:val="0"/>
      <w:marBottom w:val="0"/>
      <w:divBdr>
        <w:top w:val="none" w:sz="0" w:space="0" w:color="auto"/>
        <w:left w:val="none" w:sz="0" w:space="0" w:color="auto"/>
        <w:bottom w:val="none" w:sz="0" w:space="0" w:color="auto"/>
        <w:right w:val="none" w:sz="0" w:space="0" w:color="auto"/>
      </w:divBdr>
    </w:div>
    <w:div w:id="1492910660">
      <w:bodyDiv w:val="1"/>
      <w:marLeft w:val="0"/>
      <w:marRight w:val="0"/>
      <w:marTop w:val="0"/>
      <w:marBottom w:val="0"/>
      <w:divBdr>
        <w:top w:val="none" w:sz="0" w:space="0" w:color="auto"/>
        <w:left w:val="none" w:sz="0" w:space="0" w:color="auto"/>
        <w:bottom w:val="none" w:sz="0" w:space="0" w:color="auto"/>
        <w:right w:val="none" w:sz="0" w:space="0" w:color="auto"/>
      </w:divBdr>
      <w:divsChild>
        <w:div w:id="993950204">
          <w:marLeft w:val="0"/>
          <w:marRight w:val="0"/>
          <w:marTop w:val="0"/>
          <w:marBottom w:val="0"/>
          <w:divBdr>
            <w:top w:val="none" w:sz="0" w:space="0" w:color="auto"/>
            <w:left w:val="none" w:sz="0" w:space="0" w:color="auto"/>
            <w:bottom w:val="none" w:sz="0" w:space="0" w:color="auto"/>
            <w:right w:val="none" w:sz="0" w:space="0" w:color="auto"/>
          </w:divBdr>
          <w:divsChild>
            <w:div w:id="335882448">
              <w:marLeft w:val="0"/>
              <w:marRight w:val="0"/>
              <w:marTop w:val="0"/>
              <w:marBottom w:val="0"/>
              <w:divBdr>
                <w:top w:val="none" w:sz="0" w:space="0" w:color="auto"/>
                <w:left w:val="none" w:sz="0" w:space="0" w:color="auto"/>
                <w:bottom w:val="none" w:sz="0" w:space="0" w:color="auto"/>
                <w:right w:val="none" w:sz="0" w:space="0" w:color="auto"/>
              </w:divBdr>
              <w:divsChild>
                <w:div w:id="485246217">
                  <w:marLeft w:val="0"/>
                  <w:marRight w:val="0"/>
                  <w:marTop w:val="0"/>
                  <w:marBottom w:val="0"/>
                  <w:divBdr>
                    <w:top w:val="none" w:sz="0" w:space="0" w:color="auto"/>
                    <w:left w:val="none" w:sz="0" w:space="0" w:color="auto"/>
                    <w:bottom w:val="none" w:sz="0" w:space="0" w:color="auto"/>
                    <w:right w:val="none" w:sz="0" w:space="0" w:color="auto"/>
                  </w:divBdr>
                  <w:divsChild>
                    <w:div w:id="24334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70155">
      <w:bodyDiv w:val="1"/>
      <w:marLeft w:val="0"/>
      <w:marRight w:val="0"/>
      <w:marTop w:val="0"/>
      <w:marBottom w:val="0"/>
      <w:divBdr>
        <w:top w:val="none" w:sz="0" w:space="0" w:color="auto"/>
        <w:left w:val="none" w:sz="0" w:space="0" w:color="auto"/>
        <w:bottom w:val="none" w:sz="0" w:space="0" w:color="auto"/>
        <w:right w:val="none" w:sz="0" w:space="0" w:color="auto"/>
      </w:divBdr>
    </w:div>
    <w:div w:id="1570267090">
      <w:bodyDiv w:val="1"/>
      <w:marLeft w:val="0"/>
      <w:marRight w:val="0"/>
      <w:marTop w:val="0"/>
      <w:marBottom w:val="0"/>
      <w:divBdr>
        <w:top w:val="none" w:sz="0" w:space="0" w:color="auto"/>
        <w:left w:val="none" w:sz="0" w:space="0" w:color="auto"/>
        <w:bottom w:val="none" w:sz="0" w:space="0" w:color="auto"/>
        <w:right w:val="none" w:sz="0" w:space="0" w:color="auto"/>
      </w:divBdr>
      <w:divsChild>
        <w:div w:id="1009024508">
          <w:marLeft w:val="0"/>
          <w:marRight w:val="0"/>
          <w:marTop w:val="0"/>
          <w:marBottom w:val="0"/>
          <w:divBdr>
            <w:top w:val="none" w:sz="0" w:space="0" w:color="auto"/>
            <w:left w:val="none" w:sz="0" w:space="0" w:color="auto"/>
            <w:bottom w:val="none" w:sz="0" w:space="0" w:color="auto"/>
            <w:right w:val="none" w:sz="0" w:space="0" w:color="auto"/>
          </w:divBdr>
          <w:divsChild>
            <w:div w:id="428350074">
              <w:marLeft w:val="0"/>
              <w:marRight w:val="0"/>
              <w:marTop w:val="0"/>
              <w:marBottom w:val="0"/>
              <w:divBdr>
                <w:top w:val="none" w:sz="0" w:space="0" w:color="auto"/>
                <w:left w:val="none" w:sz="0" w:space="0" w:color="auto"/>
                <w:bottom w:val="none" w:sz="0" w:space="0" w:color="auto"/>
                <w:right w:val="none" w:sz="0" w:space="0" w:color="auto"/>
              </w:divBdr>
              <w:divsChild>
                <w:div w:id="6993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7060">
      <w:bodyDiv w:val="1"/>
      <w:marLeft w:val="0"/>
      <w:marRight w:val="0"/>
      <w:marTop w:val="0"/>
      <w:marBottom w:val="0"/>
      <w:divBdr>
        <w:top w:val="none" w:sz="0" w:space="0" w:color="auto"/>
        <w:left w:val="none" w:sz="0" w:space="0" w:color="auto"/>
        <w:bottom w:val="none" w:sz="0" w:space="0" w:color="auto"/>
        <w:right w:val="none" w:sz="0" w:space="0" w:color="auto"/>
      </w:divBdr>
      <w:divsChild>
        <w:div w:id="249239346">
          <w:marLeft w:val="0"/>
          <w:marRight w:val="0"/>
          <w:marTop w:val="0"/>
          <w:marBottom w:val="0"/>
          <w:divBdr>
            <w:top w:val="none" w:sz="0" w:space="0" w:color="auto"/>
            <w:left w:val="none" w:sz="0" w:space="0" w:color="auto"/>
            <w:bottom w:val="none" w:sz="0" w:space="0" w:color="auto"/>
            <w:right w:val="none" w:sz="0" w:space="0" w:color="auto"/>
          </w:divBdr>
          <w:divsChild>
            <w:div w:id="640041625">
              <w:marLeft w:val="0"/>
              <w:marRight w:val="0"/>
              <w:marTop w:val="0"/>
              <w:marBottom w:val="0"/>
              <w:divBdr>
                <w:top w:val="none" w:sz="0" w:space="0" w:color="auto"/>
                <w:left w:val="none" w:sz="0" w:space="0" w:color="auto"/>
                <w:bottom w:val="none" w:sz="0" w:space="0" w:color="auto"/>
                <w:right w:val="none" w:sz="0" w:space="0" w:color="auto"/>
              </w:divBdr>
              <w:divsChild>
                <w:div w:id="10299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13322">
      <w:bodyDiv w:val="1"/>
      <w:marLeft w:val="0"/>
      <w:marRight w:val="0"/>
      <w:marTop w:val="0"/>
      <w:marBottom w:val="0"/>
      <w:divBdr>
        <w:top w:val="none" w:sz="0" w:space="0" w:color="auto"/>
        <w:left w:val="none" w:sz="0" w:space="0" w:color="auto"/>
        <w:bottom w:val="none" w:sz="0" w:space="0" w:color="auto"/>
        <w:right w:val="none" w:sz="0" w:space="0" w:color="auto"/>
      </w:divBdr>
    </w:div>
    <w:div w:id="1651129355">
      <w:bodyDiv w:val="1"/>
      <w:marLeft w:val="0"/>
      <w:marRight w:val="0"/>
      <w:marTop w:val="0"/>
      <w:marBottom w:val="0"/>
      <w:divBdr>
        <w:top w:val="none" w:sz="0" w:space="0" w:color="auto"/>
        <w:left w:val="none" w:sz="0" w:space="0" w:color="auto"/>
        <w:bottom w:val="none" w:sz="0" w:space="0" w:color="auto"/>
        <w:right w:val="none" w:sz="0" w:space="0" w:color="auto"/>
      </w:divBdr>
      <w:divsChild>
        <w:div w:id="115367141">
          <w:marLeft w:val="0"/>
          <w:marRight w:val="0"/>
          <w:marTop w:val="0"/>
          <w:marBottom w:val="0"/>
          <w:divBdr>
            <w:top w:val="none" w:sz="0" w:space="0" w:color="auto"/>
            <w:left w:val="none" w:sz="0" w:space="0" w:color="auto"/>
            <w:bottom w:val="none" w:sz="0" w:space="0" w:color="auto"/>
            <w:right w:val="none" w:sz="0" w:space="0" w:color="auto"/>
          </w:divBdr>
          <w:divsChild>
            <w:div w:id="7484953">
              <w:marLeft w:val="0"/>
              <w:marRight w:val="0"/>
              <w:marTop w:val="0"/>
              <w:marBottom w:val="0"/>
              <w:divBdr>
                <w:top w:val="none" w:sz="0" w:space="0" w:color="auto"/>
                <w:left w:val="none" w:sz="0" w:space="0" w:color="auto"/>
                <w:bottom w:val="none" w:sz="0" w:space="0" w:color="auto"/>
                <w:right w:val="none" w:sz="0" w:space="0" w:color="auto"/>
              </w:divBdr>
              <w:divsChild>
                <w:div w:id="15622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8783">
      <w:bodyDiv w:val="1"/>
      <w:marLeft w:val="0"/>
      <w:marRight w:val="0"/>
      <w:marTop w:val="0"/>
      <w:marBottom w:val="0"/>
      <w:divBdr>
        <w:top w:val="none" w:sz="0" w:space="0" w:color="auto"/>
        <w:left w:val="none" w:sz="0" w:space="0" w:color="auto"/>
        <w:bottom w:val="none" w:sz="0" w:space="0" w:color="auto"/>
        <w:right w:val="none" w:sz="0" w:space="0" w:color="auto"/>
      </w:divBdr>
    </w:div>
    <w:div w:id="1806392020">
      <w:bodyDiv w:val="1"/>
      <w:marLeft w:val="0"/>
      <w:marRight w:val="0"/>
      <w:marTop w:val="0"/>
      <w:marBottom w:val="0"/>
      <w:divBdr>
        <w:top w:val="none" w:sz="0" w:space="0" w:color="auto"/>
        <w:left w:val="none" w:sz="0" w:space="0" w:color="auto"/>
        <w:bottom w:val="none" w:sz="0" w:space="0" w:color="auto"/>
        <w:right w:val="none" w:sz="0" w:space="0" w:color="auto"/>
      </w:divBdr>
    </w:div>
    <w:div w:id="1810200660">
      <w:bodyDiv w:val="1"/>
      <w:marLeft w:val="0"/>
      <w:marRight w:val="0"/>
      <w:marTop w:val="0"/>
      <w:marBottom w:val="0"/>
      <w:divBdr>
        <w:top w:val="none" w:sz="0" w:space="0" w:color="auto"/>
        <w:left w:val="none" w:sz="0" w:space="0" w:color="auto"/>
        <w:bottom w:val="none" w:sz="0" w:space="0" w:color="auto"/>
        <w:right w:val="none" w:sz="0" w:space="0" w:color="auto"/>
      </w:divBdr>
    </w:div>
    <w:div w:id="1819028642">
      <w:bodyDiv w:val="1"/>
      <w:marLeft w:val="0"/>
      <w:marRight w:val="0"/>
      <w:marTop w:val="0"/>
      <w:marBottom w:val="0"/>
      <w:divBdr>
        <w:top w:val="none" w:sz="0" w:space="0" w:color="auto"/>
        <w:left w:val="none" w:sz="0" w:space="0" w:color="auto"/>
        <w:bottom w:val="none" w:sz="0" w:space="0" w:color="auto"/>
        <w:right w:val="none" w:sz="0" w:space="0" w:color="auto"/>
      </w:divBdr>
    </w:div>
    <w:div w:id="1857766161">
      <w:bodyDiv w:val="1"/>
      <w:marLeft w:val="0"/>
      <w:marRight w:val="0"/>
      <w:marTop w:val="0"/>
      <w:marBottom w:val="0"/>
      <w:divBdr>
        <w:top w:val="none" w:sz="0" w:space="0" w:color="auto"/>
        <w:left w:val="none" w:sz="0" w:space="0" w:color="auto"/>
        <w:bottom w:val="none" w:sz="0" w:space="0" w:color="auto"/>
        <w:right w:val="none" w:sz="0" w:space="0" w:color="auto"/>
      </w:divBdr>
      <w:divsChild>
        <w:div w:id="1260411106">
          <w:marLeft w:val="0"/>
          <w:marRight w:val="0"/>
          <w:marTop w:val="0"/>
          <w:marBottom w:val="0"/>
          <w:divBdr>
            <w:top w:val="none" w:sz="0" w:space="0" w:color="auto"/>
            <w:left w:val="none" w:sz="0" w:space="0" w:color="auto"/>
            <w:bottom w:val="none" w:sz="0" w:space="0" w:color="auto"/>
            <w:right w:val="none" w:sz="0" w:space="0" w:color="auto"/>
          </w:divBdr>
          <w:divsChild>
            <w:div w:id="96994827">
              <w:marLeft w:val="0"/>
              <w:marRight w:val="0"/>
              <w:marTop w:val="0"/>
              <w:marBottom w:val="0"/>
              <w:divBdr>
                <w:top w:val="none" w:sz="0" w:space="0" w:color="auto"/>
                <w:left w:val="none" w:sz="0" w:space="0" w:color="auto"/>
                <w:bottom w:val="none" w:sz="0" w:space="0" w:color="auto"/>
                <w:right w:val="none" w:sz="0" w:space="0" w:color="auto"/>
              </w:divBdr>
              <w:divsChild>
                <w:div w:id="14515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99663">
      <w:bodyDiv w:val="1"/>
      <w:marLeft w:val="0"/>
      <w:marRight w:val="0"/>
      <w:marTop w:val="0"/>
      <w:marBottom w:val="0"/>
      <w:divBdr>
        <w:top w:val="none" w:sz="0" w:space="0" w:color="auto"/>
        <w:left w:val="none" w:sz="0" w:space="0" w:color="auto"/>
        <w:bottom w:val="none" w:sz="0" w:space="0" w:color="auto"/>
        <w:right w:val="none" w:sz="0" w:space="0" w:color="auto"/>
      </w:divBdr>
    </w:div>
    <w:div w:id="1935244407">
      <w:bodyDiv w:val="1"/>
      <w:marLeft w:val="0"/>
      <w:marRight w:val="0"/>
      <w:marTop w:val="0"/>
      <w:marBottom w:val="0"/>
      <w:divBdr>
        <w:top w:val="none" w:sz="0" w:space="0" w:color="auto"/>
        <w:left w:val="none" w:sz="0" w:space="0" w:color="auto"/>
        <w:bottom w:val="none" w:sz="0" w:space="0" w:color="auto"/>
        <w:right w:val="none" w:sz="0" w:space="0" w:color="auto"/>
      </w:divBdr>
    </w:div>
    <w:div w:id="1950969565">
      <w:bodyDiv w:val="1"/>
      <w:marLeft w:val="0"/>
      <w:marRight w:val="0"/>
      <w:marTop w:val="0"/>
      <w:marBottom w:val="0"/>
      <w:divBdr>
        <w:top w:val="none" w:sz="0" w:space="0" w:color="auto"/>
        <w:left w:val="none" w:sz="0" w:space="0" w:color="auto"/>
        <w:bottom w:val="none" w:sz="0" w:space="0" w:color="auto"/>
        <w:right w:val="none" w:sz="0" w:space="0" w:color="auto"/>
      </w:divBdr>
    </w:div>
    <w:div w:id="1960181903">
      <w:bodyDiv w:val="1"/>
      <w:marLeft w:val="0"/>
      <w:marRight w:val="0"/>
      <w:marTop w:val="0"/>
      <w:marBottom w:val="0"/>
      <w:divBdr>
        <w:top w:val="none" w:sz="0" w:space="0" w:color="auto"/>
        <w:left w:val="none" w:sz="0" w:space="0" w:color="auto"/>
        <w:bottom w:val="none" w:sz="0" w:space="0" w:color="auto"/>
        <w:right w:val="none" w:sz="0" w:space="0" w:color="auto"/>
      </w:divBdr>
    </w:div>
    <w:div w:id="1964267228">
      <w:bodyDiv w:val="1"/>
      <w:marLeft w:val="0"/>
      <w:marRight w:val="0"/>
      <w:marTop w:val="0"/>
      <w:marBottom w:val="0"/>
      <w:divBdr>
        <w:top w:val="none" w:sz="0" w:space="0" w:color="auto"/>
        <w:left w:val="none" w:sz="0" w:space="0" w:color="auto"/>
        <w:bottom w:val="none" w:sz="0" w:space="0" w:color="auto"/>
        <w:right w:val="none" w:sz="0" w:space="0" w:color="auto"/>
      </w:divBdr>
    </w:div>
    <w:div w:id="1971323410">
      <w:bodyDiv w:val="1"/>
      <w:marLeft w:val="0"/>
      <w:marRight w:val="0"/>
      <w:marTop w:val="0"/>
      <w:marBottom w:val="0"/>
      <w:divBdr>
        <w:top w:val="none" w:sz="0" w:space="0" w:color="auto"/>
        <w:left w:val="none" w:sz="0" w:space="0" w:color="auto"/>
        <w:bottom w:val="none" w:sz="0" w:space="0" w:color="auto"/>
        <w:right w:val="none" w:sz="0" w:space="0" w:color="auto"/>
      </w:divBdr>
    </w:div>
    <w:div w:id="1981036117">
      <w:bodyDiv w:val="1"/>
      <w:marLeft w:val="0"/>
      <w:marRight w:val="0"/>
      <w:marTop w:val="0"/>
      <w:marBottom w:val="0"/>
      <w:divBdr>
        <w:top w:val="none" w:sz="0" w:space="0" w:color="auto"/>
        <w:left w:val="none" w:sz="0" w:space="0" w:color="auto"/>
        <w:bottom w:val="none" w:sz="0" w:space="0" w:color="auto"/>
        <w:right w:val="none" w:sz="0" w:space="0" w:color="auto"/>
      </w:divBdr>
      <w:divsChild>
        <w:div w:id="1617954272">
          <w:marLeft w:val="0"/>
          <w:marRight w:val="0"/>
          <w:marTop w:val="0"/>
          <w:marBottom w:val="0"/>
          <w:divBdr>
            <w:top w:val="none" w:sz="0" w:space="0" w:color="auto"/>
            <w:left w:val="none" w:sz="0" w:space="0" w:color="auto"/>
            <w:bottom w:val="none" w:sz="0" w:space="0" w:color="auto"/>
            <w:right w:val="none" w:sz="0" w:space="0" w:color="auto"/>
          </w:divBdr>
          <w:divsChild>
            <w:div w:id="1435126345">
              <w:marLeft w:val="0"/>
              <w:marRight w:val="0"/>
              <w:marTop w:val="0"/>
              <w:marBottom w:val="0"/>
              <w:divBdr>
                <w:top w:val="none" w:sz="0" w:space="0" w:color="auto"/>
                <w:left w:val="none" w:sz="0" w:space="0" w:color="auto"/>
                <w:bottom w:val="none" w:sz="0" w:space="0" w:color="auto"/>
                <w:right w:val="none" w:sz="0" w:space="0" w:color="auto"/>
              </w:divBdr>
              <w:divsChild>
                <w:div w:id="875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6492">
      <w:bodyDiv w:val="1"/>
      <w:marLeft w:val="0"/>
      <w:marRight w:val="0"/>
      <w:marTop w:val="0"/>
      <w:marBottom w:val="0"/>
      <w:divBdr>
        <w:top w:val="none" w:sz="0" w:space="0" w:color="auto"/>
        <w:left w:val="none" w:sz="0" w:space="0" w:color="auto"/>
        <w:bottom w:val="none" w:sz="0" w:space="0" w:color="auto"/>
        <w:right w:val="none" w:sz="0" w:space="0" w:color="auto"/>
      </w:divBdr>
    </w:div>
    <w:div w:id="2059089135">
      <w:bodyDiv w:val="1"/>
      <w:marLeft w:val="0"/>
      <w:marRight w:val="0"/>
      <w:marTop w:val="0"/>
      <w:marBottom w:val="0"/>
      <w:divBdr>
        <w:top w:val="none" w:sz="0" w:space="0" w:color="auto"/>
        <w:left w:val="none" w:sz="0" w:space="0" w:color="auto"/>
        <w:bottom w:val="none" w:sz="0" w:space="0" w:color="auto"/>
        <w:right w:val="none" w:sz="0" w:space="0" w:color="auto"/>
      </w:divBdr>
    </w:div>
    <w:div w:id="2078748685">
      <w:bodyDiv w:val="1"/>
      <w:marLeft w:val="0"/>
      <w:marRight w:val="0"/>
      <w:marTop w:val="0"/>
      <w:marBottom w:val="0"/>
      <w:divBdr>
        <w:top w:val="none" w:sz="0" w:space="0" w:color="auto"/>
        <w:left w:val="none" w:sz="0" w:space="0" w:color="auto"/>
        <w:bottom w:val="none" w:sz="0" w:space="0" w:color="auto"/>
        <w:right w:val="none" w:sz="0" w:space="0" w:color="auto"/>
      </w:divBdr>
    </w:div>
    <w:div w:id="2104524056">
      <w:bodyDiv w:val="1"/>
      <w:marLeft w:val="0"/>
      <w:marRight w:val="0"/>
      <w:marTop w:val="0"/>
      <w:marBottom w:val="0"/>
      <w:divBdr>
        <w:top w:val="none" w:sz="0" w:space="0" w:color="auto"/>
        <w:left w:val="none" w:sz="0" w:space="0" w:color="auto"/>
        <w:bottom w:val="none" w:sz="0" w:space="0" w:color="auto"/>
        <w:right w:val="none" w:sz="0" w:space="0" w:color="auto"/>
      </w:divBdr>
    </w:div>
    <w:div w:id="2111199493">
      <w:bodyDiv w:val="1"/>
      <w:marLeft w:val="0"/>
      <w:marRight w:val="0"/>
      <w:marTop w:val="0"/>
      <w:marBottom w:val="0"/>
      <w:divBdr>
        <w:top w:val="none" w:sz="0" w:space="0" w:color="auto"/>
        <w:left w:val="none" w:sz="0" w:space="0" w:color="auto"/>
        <w:bottom w:val="none" w:sz="0" w:space="0" w:color="auto"/>
        <w:right w:val="none" w:sz="0" w:space="0" w:color="auto"/>
      </w:divBdr>
      <w:divsChild>
        <w:div w:id="1062673376">
          <w:marLeft w:val="0"/>
          <w:marRight w:val="0"/>
          <w:marTop w:val="0"/>
          <w:marBottom w:val="0"/>
          <w:divBdr>
            <w:top w:val="none" w:sz="0" w:space="0" w:color="auto"/>
            <w:left w:val="none" w:sz="0" w:space="0" w:color="auto"/>
            <w:bottom w:val="none" w:sz="0" w:space="0" w:color="auto"/>
            <w:right w:val="none" w:sz="0" w:space="0" w:color="auto"/>
          </w:divBdr>
          <w:divsChild>
            <w:div w:id="2084404248">
              <w:marLeft w:val="0"/>
              <w:marRight w:val="0"/>
              <w:marTop w:val="0"/>
              <w:marBottom w:val="0"/>
              <w:divBdr>
                <w:top w:val="none" w:sz="0" w:space="0" w:color="auto"/>
                <w:left w:val="none" w:sz="0" w:space="0" w:color="auto"/>
                <w:bottom w:val="none" w:sz="0" w:space="0" w:color="auto"/>
                <w:right w:val="none" w:sz="0" w:space="0" w:color="auto"/>
              </w:divBdr>
              <w:divsChild>
                <w:div w:id="8017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15588">
      <w:bodyDiv w:val="1"/>
      <w:marLeft w:val="0"/>
      <w:marRight w:val="0"/>
      <w:marTop w:val="0"/>
      <w:marBottom w:val="0"/>
      <w:divBdr>
        <w:top w:val="none" w:sz="0" w:space="0" w:color="auto"/>
        <w:left w:val="none" w:sz="0" w:space="0" w:color="auto"/>
        <w:bottom w:val="none" w:sz="0" w:space="0" w:color="auto"/>
        <w:right w:val="none" w:sz="0" w:space="0" w:color="auto"/>
      </w:divBdr>
    </w:div>
    <w:div w:id="2123187709">
      <w:bodyDiv w:val="1"/>
      <w:marLeft w:val="0"/>
      <w:marRight w:val="0"/>
      <w:marTop w:val="0"/>
      <w:marBottom w:val="0"/>
      <w:divBdr>
        <w:top w:val="none" w:sz="0" w:space="0" w:color="auto"/>
        <w:left w:val="none" w:sz="0" w:space="0" w:color="auto"/>
        <w:bottom w:val="none" w:sz="0" w:space="0" w:color="auto"/>
        <w:right w:val="none" w:sz="0" w:space="0" w:color="auto"/>
      </w:divBdr>
    </w:div>
    <w:div w:id="2125222351">
      <w:bodyDiv w:val="1"/>
      <w:marLeft w:val="0"/>
      <w:marRight w:val="0"/>
      <w:marTop w:val="0"/>
      <w:marBottom w:val="0"/>
      <w:divBdr>
        <w:top w:val="none" w:sz="0" w:space="0" w:color="auto"/>
        <w:left w:val="none" w:sz="0" w:space="0" w:color="auto"/>
        <w:bottom w:val="none" w:sz="0" w:space="0" w:color="auto"/>
        <w:right w:val="none" w:sz="0" w:space="0" w:color="auto"/>
      </w:divBdr>
    </w:div>
    <w:div w:id="2137485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thelancet.com/journals/lancet/issue/vol396no10253/PIIS0140-6736(20)X00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FF80-F411-014F-BA42-72294C52B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3871</Words>
  <Characters>22069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2019-03-30T21:10:00Z</cp:lastPrinted>
  <dcterms:created xsi:type="dcterms:W3CDTF">2023-08-17T16:49:00Z</dcterms:created>
  <dcterms:modified xsi:type="dcterms:W3CDTF">2023-08-17T16:49:00Z</dcterms:modified>
</cp:coreProperties>
</file>