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docProps/core.xml" ContentType="application/vnd.openxmlformats-package.core-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50047" w14:textId="1CD14A78" w:rsidR="71E8BEB3" w:rsidRDefault="71E8BEB3" w:rsidP="71E8BEB3">
      <w:pPr>
        <w:pStyle w:val="Prrafodelista"/>
        <w:ind w:left="0"/>
        <w:jc w:val="center"/>
        <w:rPr>
          <w:rFonts w:ascii="Times" w:eastAsia="Times New Roman" w:hAnsi="Times" w:cs="Arial"/>
          <w:b/>
          <w:bCs/>
          <w:color w:val="000000" w:themeColor="text1"/>
          <w:sz w:val="28"/>
          <w:szCs w:val="28"/>
          <w:lang w:eastAsia="es-MX"/>
        </w:rPr>
      </w:pPr>
      <w:bookmarkStart w:id="0" w:name="_GoBack"/>
      <w:bookmarkEnd w:id="0"/>
    </w:p>
    <w:p w14:paraId="212F055E" w14:textId="1AB0D44F" w:rsidR="00BD535A" w:rsidRDefault="71E8BEB3" w:rsidP="71E8BEB3">
      <w:pPr>
        <w:pStyle w:val="Prrafodelista"/>
        <w:ind w:left="0"/>
        <w:jc w:val="center"/>
        <w:rPr>
          <w:rFonts w:ascii="Times" w:eastAsia="Times New Roman" w:hAnsi="Times" w:cs="Arial"/>
          <w:b/>
          <w:bCs/>
          <w:color w:val="000000" w:themeColor="text1"/>
          <w:sz w:val="28"/>
          <w:szCs w:val="28"/>
          <w:lang w:eastAsia="es-MX"/>
        </w:rPr>
      </w:pPr>
      <w:r w:rsidRPr="71E8BEB3">
        <w:rPr>
          <w:rFonts w:ascii="Times" w:eastAsia="Times New Roman" w:hAnsi="Times" w:cs="Arial"/>
          <w:b/>
          <w:bCs/>
          <w:color w:val="000000" w:themeColor="text1"/>
          <w:sz w:val="28"/>
          <w:szCs w:val="28"/>
          <w:lang w:eastAsia="es-MX"/>
        </w:rPr>
        <w:t>RESPUESTA DEL ESTADO PERUANO EN EL MARCO DEL DIÁLOGO CON EL CEDAW</w:t>
      </w:r>
    </w:p>
    <w:p w14:paraId="6E1DD49D" w14:textId="77777777" w:rsidR="00BD535A" w:rsidRDefault="00BD535A" w:rsidP="71E8BEB3">
      <w:pPr>
        <w:pStyle w:val="Prrafodelista"/>
        <w:ind w:left="0"/>
        <w:jc w:val="both"/>
        <w:rPr>
          <w:rFonts w:ascii="Times" w:eastAsia="Times New Roman" w:hAnsi="Times" w:cs="Arial"/>
          <w:b/>
          <w:bCs/>
          <w:color w:val="000000" w:themeColor="text1"/>
          <w:sz w:val="28"/>
          <w:szCs w:val="28"/>
          <w:lang w:eastAsia="es-MX"/>
        </w:rPr>
      </w:pPr>
    </w:p>
    <w:p w14:paraId="2C9F6F79" w14:textId="06BCEEF6" w:rsidR="71E8BEB3" w:rsidRDefault="71E8BEB3" w:rsidP="71E8BEB3">
      <w:pPr>
        <w:pStyle w:val="Prrafodelista"/>
        <w:ind w:left="0"/>
        <w:jc w:val="both"/>
        <w:rPr>
          <w:rFonts w:ascii="Times" w:eastAsia="Times New Roman" w:hAnsi="Times" w:cs="Arial"/>
          <w:b/>
          <w:bCs/>
          <w:color w:val="000000" w:themeColor="text1"/>
          <w:lang w:eastAsia="es-MX"/>
        </w:rPr>
      </w:pPr>
    </w:p>
    <w:p w14:paraId="6823750E" w14:textId="79966122" w:rsidR="71E8BEB3" w:rsidRDefault="71E8BEB3" w:rsidP="71E8BEB3">
      <w:pPr>
        <w:pStyle w:val="Prrafodelista"/>
        <w:spacing w:line="259" w:lineRule="auto"/>
        <w:ind w:left="0"/>
        <w:jc w:val="both"/>
        <w:rPr>
          <w:rFonts w:ascii="Times" w:eastAsia="Times New Roman" w:hAnsi="Times" w:cs="Arial"/>
          <w:color w:val="000000" w:themeColor="text1"/>
          <w:lang w:eastAsia="es-MX"/>
        </w:rPr>
      </w:pPr>
      <w:r w:rsidRPr="71E8BEB3">
        <w:rPr>
          <w:rFonts w:ascii="Times" w:eastAsia="Times New Roman" w:hAnsi="Times" w:cs="Arial"/>
          <w:color w:val="000000" w:themeColor="text1"/>
          <w:lang w:eastAsia="es-MX"/>
        </w:rPr>
        <w:t>Para combatir todas las formas de discriminación contra la mujer, en cumplimiento de las disposiciones de la CEDAW y otros estándares internacionales en derechos humanos, el Estado peruano aprobó la Política Nacional de Igualdad de Género. Asimismo, aprobó la Política General de Gobierno 2021–2026, que establece como línea de intervención “Garantizar el funcionamiento e interoperabilidad del Sistema Nacional Especializado de Justicia para la protección y sanción de la violencia contra las mujeres e integrantes del grupo familiar”</w:t>
      </w:r>
    </w:p>
    <w:p w14:paraId="29CD8B38" w14:textId="4197E3C9" w:rsidR="71E8BEB3" w:rsidRDefault="71E8BEB3" w:rsidP="71E8BEB3">
      <w:pPr>
        <w:rPr>
          <w:rFonts w:ascii="Times New Roman" w:eastAsia="Times New Roman" w:hAnsi="Times New Roman" w:cs="Times New Roman"/>
        </w:rPr>
      </w:pPr>
    </w:p>
    <w:p w14:paraId="213646BE" w14:textId="6500DE35" w:rsidR="71E8BEB3" w:rsidRDefault="71E8BEB3" w:rsidP="71E8BEB3">
      <w:pPr>
        <w:jc w:val="both"/>
        <w:rPr>
          <w:rFonts w:ascii="Times New Roman" w:eastAsia="Times New Roman" w:hAnsi="Times New Roman" w:cs="Times New Roman"/>
        </w:rPr>
      </w:pPr>
      <w:r w:rsidRPr="71E8BEB3">
        <w:rPr>
          <w:rFonts w:ascii="Times New Roman" w:eastAsia="Times New Roman" w:hAnsi="Times New Roman" w:cs="Times New Roman"/>
        </w:rPr>
        <w:t>A la fecha, diversas políticas públicas nacionales han incorporado en su proceso de diseño, formulación, implementación y seguimiento el enfoque de género. Algunas de ellas son: la Política Nacional Multisectorial para las Personas Adultas Mayores al 2030, la Política Nacional Multisectorial en Discapacidad para el Desarrollo al 2030, la Política Nacional Multisectorial para las Niñas, Niños y Adolescentes al 2030, la Política Nacional frente a la Trata de Personas y sus formas de explotación al 2030, el Plan Nacional de Acción sobre Empresas y Derechos Humanos 2021 – 2025, la Política Nacional Penitenciaria al 2030, la Política Pública de Reforma del Sistema de Justicia 2021-2025 y la Política Nacional de Empleo Decente.</w:t>
      </w:r>
    </w:p>
    <w:p w14:paraId="4F4CCADC" w14:textId="632C1BE0" w:rsidR="71E8BEB3" w:rsidRDefault="71E8BEB3"/>
    <w:p w14:paraId="27479790" w14:textId="23ED9FF2" w:rsidR="004366AB" w:rsidRPr="00727CAD" w:rsidRDefault="004366AB" w:rsidP="00D86CD1">
      <w:pPr>
        <w:pStyle w:val="Prrafodelista"/>
        <w:ind w:left="0"/>
        <w:jc w:val="both"/>
        <w:rPr>
          <w:rFonts w:ascii="Times" w:eastAsia="Times New Roman" w:hAnsi="Times" w:cs="Arial"/>
          <w:b/>
          <w:bCs/>
          <w:color w:val="000000" w:themeColor="text1"/>
          <w:lang w:eastAsia="es-MX"/>
        </w:rPr>
      </w:pPr>
      <w:r w:rsidRPr="00727CAD">
        <w:rPr>
          <w:rFonts w:ascii="Times" w:eastAsia="Times New Roman" w:hAnsi="Times" w:cs="Arial"/>
          <w:b/>
          <w:bCs/>
          <w:color w:val="000000" w:themeColor="text1"/>
          <w:lang w:eastAsia="es-MX"/>
        </w:rPr>
        <w:t>Artículo 6</w:t>
      </w:r>
    </w:p>
    <w:p w14:paraId="42BC5CEA" w14:textId="528B6E05" w:rsidR="004366AB" w:rsidRDefault="004366AB" w:rsidP="00D86CD1">
      <w:pPr>
        <w:pStyle w:val="Prrafodelista"/>
        <w:ind w:left="0"/>
        <w:jc w:val="both"/>
        <w:rPr>
          <w:rFonts w:ascii="Times" w:eastAsia="Times New Roman" w:hAnsi="Times" w:cs="Arial"/>
          <w:color w:val="000000" w:themeColor="text1"/>
          <w:lang w:eastAsia="es-MX"/>
        </w:rPr>
      </w:pPr>
    </w:p>
    <w:p w14:paraId="061A9BAE" w14:textId="2F442563" w:rsidR="003A04BE" w:rsidRPr="003A04BE" w:rsidRDefault="71E8BEB3" w:rsidP="00D86CD1">
      <w:pPr>
        <w:pStyle w:val="Prrafodelista"/>
        <w:ind w:left="0"/>
        <w:jc w:val="both"/>
        <w:rPr>
          <w:rFonts w:ascii="Times" w:eastAsia="Times New Roman" w:hAnsi="Times" w:cs="Arial"/>
          <w:color w:val="000000" w:themeColor="text1"/>
          <w:lang w:eastAsia="es-MX"/>
        </w:rPr>
      </w:pPr>
      <w:r w:rsidRPr="71E8BEB3">
        <w:rPr>
          <w:rFonts w:ascii="Times" w:eastAsia="Times New Roman" w:hAnsi="Times" w:cs="Arial"/>
          <w:color w:val="000000" w:themeColor="text1"/>
          <w:lang w:eastAsia="es-MX"/>
        </w:rPr>
        <w:t>En 2021, mediante Ley 31146, se aprobaron modificaciones normativas con la finalidad de implementar los artículos referidos a los delitos de trata de personas y de explotación, y garantizar la representación procesal de los menores de edad como la reparación civil de las víctimas de trata de personas.</w:t>
      </w:r>
    </w:p>
    <w:p w14:paraId="23AA7A45" w14:textId="65EB9A3B" w:rsidR="004366AB" w:rsidRDefault="004366AB" w:rsidP="00D86CD1">
      <w:pPr>
        <w:pStyle w:val="Prrafodelista"/>
        <w:ind w:left="0"/>
        <w:jc w:val="both"/>
        <w:rPr>
          <w:rFonts w:ascii="Times" w:eastAsia="Times New Roman" w:hAnsi="Times" w:cs="Arial"/>
          <w:color w:val="000000" w:themeColor="text1"/>
          <w:lang w:eastAsia="es-MX"/>
        </w:rPr>
      </w:pPr>
    </w:p>
    <w:p w14:paraId="1A88C4B1" w14:textId="47DDEC27" w:rsidR="00B553B3" w:rsidRPr="00742074" w:rsidRDefault="00B553B3" w:rsidP="00D86CD1">
      <w:pPr>
        <w:pStyle w:val="Prrafodelista"/>
        <w:ind w:left="0"/>
        <w:jc w:val="both"/>
        <w:rPr>
          <w:rFonts w:ascii="Times" w:eastAsia="Times New Roman" w:hAnsi="Times" w:cs="Arial"/>
          <w:b/>
          <w:bCs/>
          <w:color w:val="000000" w:themeColor="text1"/>
          <w:lang w:eastAsia="es-MX"/>
        </w:rPr>
      </w:pPr>
      <w:r w:rsidRPr="00742074">
        <w:rPr>
          <w:rFonts w:ascii="Times" w:eastAsia="Times New Roman" w:hAnsi="Times" w:cs="Arial"/>
          <w:b/>
          <w:bCs/>
          <w:color w:val="000000" w:themeColor="text1"/>
          <w:lang w:eastAsia="es-MX"/>
        </w:rPr>
        <w:t>Artículo 7</w:t>
      </w:r>
    </w:p>
    <w:p w14:paraId="48A2FBF0" w14:textId="2FA80160" w:rsidR="00B553B3" w:rsidRDefault="00B553B3" w:rsidP="00D86CD1">
      <w:pPr>
        <w:pStyle w:val="Prrafodelista"/>
        <w:ind w:left="0"/>
        <w:jc w:val="both"/>
        <w:rPr>
          <w:rFonts w:ascii="Times" w:eastAsia="Times New Roman" w:hAnsi="Times" w:cs="Arial"/>
          <w:color w:val="000000" w:themeColor="text1"/>
          <w:lang w:eastAsia="es-MX"/>
        </w:rPr>
      </w:pPr>
    </w:p>
    <w:p w14:paraId="3EDBD3CD" w14:textId="3885966F" w:rsidR="00B553B3" w:rsidRPr="004366AB" w:rsidRDefault="00D7741F" w:rsidP="00B553B3">
      <w:pPr>
        <w:jc w:val="both"/>
        <w:rPr>
          <w:rFonts w:ascii="Times" w:eastAsia="Times New Roman" w:hAnsi="Times" w:cs="Arial"/>
          <w:color w:val="000000" w:themeColor="text1"/>
          <w:lang w:eastAsia="es-MX"/>
        </w:rPr>
      </w:pPr>
      <w:r>
        <w:rPr>
          <w:rFonts w:ascii="Times" w:eastAsia="Times New Roman" w:hAnsi="Times" w:cs="Arial"/>
          <w:color w:val="000000" w:themeColor="text1"/>
          <w:lang w:eastAsia="es-MX"/>
        </w:rPr>
        <w:t>E</w:t>
      </w:r>
      <w:r w:rsidR="00B553B3" w:rsidRPr="004366AB">
        <w:rPr>
          <w:rFonts w:ascii="Times" w:eastAsia="Times New Roman" w:hAnsi="Times" w:cs="Arial"/>
          <w:color w:val="000000" w:themeColor="text1"/>
          <w:lang w:eastAsia="es-MX"/>
        </w:rPr>
        <w:t>l J</w:t>
      </w:r>
      <w:r w:rsidR="00B553B3">
        <w:rPr>
          <w:rFonts w:ascii="Times" w:eastAsia="Times New Roman" w:hAnsi="Times" w:cs="Arial"/>
          <w:color w:val="000000" w:themeColor="text1"/>
          <w:lang w:eastAsia="es-MX"/>
        </w:rPr>
        <w:t>urado Nacional de Elecciones</w:t>
      </w:r>
      <w:r w:rsidR="002F0FBF">
        <w:rPr>
          <w:rFonts w:ascii="Times" w:eastAsia="Times New Roman" w:hAnsi="Times" w:cs="Arial"/>
          <w:color w:val="000000" w:themeColor="text1"/>
          <w:lang w:eastAsia="es-MX"/>
        </w:rPr>
        <w:t>, desde el</w:t>
      </w:r>
      <w:r w:rsidR="00B553B3" w:rsidRPr="004366AB">
        <w:rPr>
          <w:rFonts w:ascii="Times" w:eastAsia="Times New Roman" w:hAnsi="Times" w:cs="Arial"/>
          <w:color w:val="000000" w:themeColor="text1"/>
          <w:lang w:eastAsia="es-MX"/>
        </w:rPr>
        <w:t xml:space="preserve"> Grupo de Fortalecimiento de la Participación Política Indígena</w:t>
      </w:r>
      <w:r>
        <w:rPr>
          <w:rFonts w:ascii="Times" w:eastAsia="Times New Roman" w:hAnsi="Times" w:cs="Arial"/>
          <w:color w:val="000000" w:themeColor="text1"/>
          <w:lang w:eastAsia="es-MX"/>
        </w:rPr>
        <w:t xml:space="preserve"> (</w:t>
      </w:r>
      <w:r w:rsidR="00B553B3" w:rsidRPr="004366AB">
        <w:rPr>
          <w:rFonts w:ascii="Times" w:eastAsia="Times New Roman" w:hAnsi="Times" w:cs="Arial"/>
          <w:color w:val="000000" w:themeColor="text1"/>
          <w:lang w:eastAsia="es-MX"/>
        </w:rPr>
        <w:t>Resolución 085-A-2016-P/JNE</w:t>
      </w:r>
      <w:r>
        <w:rPr>
          <w:rFonts w:ascii="Times" w:eastAsia="Times New Roman" w:hAnsi="Times" w:cs="Arial"/>
          <w:color w:val="000000" w:themeColor="text1"/>
          <w:lang w:eastAsia="es-MX"/>
        </w:rPr>
        <w:t>)</w:t>
      </w:r>
      <w:r w:rsidR="002F0FBF">
        <w:rPr>
          <w:rFonts w:ascii="Times" w:eastAsia="Times New Roman" w:hAnsi="Times" w:cs="Arial"/>
          <w:color w:val="000000" w:themeColor="text1"/>
          <w:lang w:eastAsia="es-MX"/>
        </w:rPr>
        <w:t>, realiza</w:t>
      </w:r>
      <w:r w:rsidR="00B553B3" w:rsidRPr="004366AB">
        <w:rPr>
          <w:rFonts w:ascii="Times" w:eastAsia="Times New Roman" w:hAnsi="Times" w:cs="Arial"/>
          <w:color w:val="000000" w:themeColor="text1"/>
          <w:lang w:eastAsia="es-MX"/>
        </w:rPr>
        <w:t xml:space="preserve"> talleres de asistencias técnicas para la elaboración de planes de gobierno dirigido a los equipos técnicos de las organizaciones políticas de mujeres, entre otros grupos.</w:t>
      </w:r>
    </w:p>
    <w:p w14:paraId="12593BB6" w14:textId="77777777" w:rsidR="00B553B3" w:rsidRPr="004366AB" w:rsidRDefault="00B553B3" w:rsidP="00B553B3">
      <w:pPr>
        <w:pStyle w:val="Prrafodelista"/>
        <w:jc w:val="both"/>
        <w:rPr>
          <w:rFonts w:ascii="Times" w:eastAsia="Times New Roman" w:hAnsi="Times" w:cs="Arial"/>
          <w:color w:val="000000" w:themeColor="text1"/>
          <w:lang w:eastAsia="es-MX"/>
        </w:rPr>
      </w:pPr>
    </w:p>
    <w:p w14:paraId="04547F9A" w14:textId="41A57E3E" w:rsidR="00B553B3" w:rsidRDefault="71E8BEB3" w:rsidP="00B553B3">
      <w:pPr>
        <w:pStyle w:val="Prrafodelista"/>
        <w:ind w:left="0"/>
        <w:jc w:val="both"/>
        <w:rPr>
          <w:rFonts w:ascii="Times" w:eastAsia="Times New Roman" w:hAnsi="Times" w:cs="Arial"/>
          <w:color w:val="000000" w:themeColor="text1"/>
          <w:lang w:eastAsia="es-MX"/>
        </w:rPr>
      </w:pPr>
      <w:r w:rsidRPr="71E8BEB3">
        <w:rPr>
          <w:rFonts w:ascii="Times" w:eastAsia="Times New Roman" w:hAnsi="Times" w:cs="Arial"/>
          <w:color w:val="000000" w:themeColor="text1"/>
          <w:lang w:eastAsia="es-MX"/>
        </w:rPr>
        <w:t>Con la Ley 31030 se modificó el porcentaje de la cuota en elecciones regionales (Ley 27683), pasando del 30% al 50%, respetando la paridad y alternancia; y, se modificó la cuota en las elecciones municipales (Ley 26864), siendo ahora del 50% de hombres y mujeres, ubicados intercaladamente en las listas, del 20% de personas menores de 29 años y 15% de personas representantes de pueblos indígenas u originarios.</w:t>
      </w:r>
    </w:p>
    <w:p w14:paraId="5B499BE3" w14:textId="07DD2118" w:rsidR="00B553B3" w:rsidRDefault="00B553B3" w:rsidP="00D86CD1">
      <w:pPr>
        <w:pStyle w:val="Prrafodelista"/>
        <w:ind w:left="0"/>
        <w:jc w:val="both"/>
        <w:rPr>
          <w:rFonts w:ascii="Times" w:eastAsia="Times New Roman" w:hAnsi="Times" w:cs="Arial"/>
          <w:color w:val="000000" w:themeColor="text1"/>
          <w:lang w:eastAsia="es-MX"/>
        </w:rPr>
      </w:pPr>
    </w:p>
    <w:p w14:paraId="494B5A6E" w14:textId="2A69D031" w:rsidR="00B930E7" w:rsidRDefault="00B930E7" w:rsidP="00D86CD1">
      <w:pPr>
        <w:pStyle w:val="Prrafodelista"/>
        <w:ind w:left="0"/>
        <w:jc w:val="both"/>
        <w:rPr>
          <w:rFonts w:ascii="Times" w:eastAsia="Times New Roman" w:hAnsi="Times" w:cs="Arial"/>
          <w:b/>
          <w:bCs/>
          <w:color w:val="000000" w:themeColor="text1"/>
          <w:lang w:eastAsia="es-MX"/>
        </w:rPr>
      </w:pPr>
      <w:r w:rsidRPr="00742074">
        <w:rPr>
          <w:rFonts w:ascii="Times" w:eastAsia="Times New Roman" w:hAnsi="Times" w:cs="Arial"/>
          <w:b/>
          <w:bCs/>
          <w:color w:val="000000" w:themeColor="text1"/>
          <w:lang w:eastAsia="es-MX"/>
        </w:rPr>
        <w:t xml:space="preserve">Artículo </w:t>
      </w:r>
      <w:r>
        <w:rPr>
          <w:rFonts w:ascii="Times" w:eastAsia="Times New Roman" w:hAnsi="Times" w:cs="Arial"/>
          <w:b/>
          <w:bCs/>
          <w:color w:val="000000" w:themeColor="text1"/>
          <w:lang w:eastAsia="es-MX"/>
        </w:rPr>
        <w:t>9</w:t>
      </w:r>
    </w:p>
    <w:p w14:paraId="0A8E1777" w14:textId="5F1765E9" w:rsidR="00B930E7" w:rsidRPr="00657FE7" w:rsidRDefault="00B930E7" w:rsidP="00657FE7">
      <w:pPr>
        <w:pStyle w:val="Prrafodelista"/>
        <w:ind w:left="0"/>
        <w:jc w:val="both"/>
        <w:rPr>
          <w:rFonts w:ascii="Times" w:eastAsia="Times New Roman" w:hAnsi="Times" w:cs="Arial"/>
          <w:color w:val="000000" w:themeColor="text1"/>
          <w:lang w:eastAsia="es-MX"/>
        </w:rPr>
      </w:pPr>
    </w:p>
    <w:p w14:paraId="339717F7" w14:textId="1F62EE12" w:rsidR="00657FE7" w:rsidRDefault="00D7741F" w:rsidP="00657FE7">
      <w:pPr>
        <w:pStyle w:val="Prrafodelista"/>
        <w:ind w:left="0"/>
        <w:jc w:val="both"/>
        <w:rPr>
          <w:rFonts w:ascii="Times" w:eastAsia="Times New Roman" w:hAnsi="Times" w:cs="Arial"/>
          <w:color w:val="000000" w:themeColor="text1"/>
          <w:lang w:eastAsia="es-MX"/>
        </w:rPr>
      </w:pPr>
      <w:r>
        <w:rPr>
          <w:rFonts w:ascii="Times" w:eastAsia="Times New Roman" w:hAnsi="Times" w:cs="Arial"/>
          <w:color w:val="000000" w:themeColor="text1"/>
          <w:lang w:eastAsia="es-MX"/>
        </w:rPr>
        <w:t>En</w:t>
      </w:r>
      <w:r w:rsidR="00657FE7" w:rsidRPr="00657FE7">
        <w:rPr>
          <w:rFonts w:ascii="Times" w:eastAsia="Times New Roman" w:hAnsi="Times" w:cs="Arial"/>
          <w:color w:val="000000" w:themeColor="text1"/>
          <w:lang w:eastAsia="es-MX"/>
        </w:rPr>
        <w:t xml:space="preserve"> 2021 se resolvieron 1,523 </w:t>
      </w:r>
      <w:r w:rsidR="00657FE7">
        <w:rPr>
          <w:rFonts w:ascii="Times" w:eastAsia="Times New Roman" w:hAnsi="Times" w:cs="Arial"/>
          <w:color w:val="000000" w:themeColor="text1"/>
          <w:lang w:eastAsia="es-MX"/>
        </w:rPr>
        <w:t>solicitudes de</w:t>
      </w:r>
      <w:r w:rsidR="00657FE7" w:rsidRPr="00657FE7">
        <w:rPr>
          <w:rFonts w:ascii="Times" w:eastAsia="Times New Roman" w:hAnsi="Times" w:cs="Arial"/>
          <w:color w:val="000000" w:themeColor="text1"/>
          <w:lang w:eastAsia="es-MX"/>
        </w:rPr>
        <w:t xml:space="preserve"> reconocimiento</w:t>
      </w:r>
      <w:r w:rsidR="00657FE7">
        <w:rPr>
          <w:rFonts w:ascii="Times" w:eastAsia="Times New Roman" w:hAnsi="Times" w:cs="Arial"/>
          <w:color w:val="000000" w:themeColor="text1"/>
          <w:lang w:eastAsia="es-MX"/>
        </w:rPr>
        <w:t xml:space="preserve"> </w:t>
      </w:r>
      <w:r w:rsidR="00657FE7" w:rsidRPr="00657FE7">
        <w:rPr>
          <w:rFonts w:ascii="Times" w:eastAsia="Times New Roman" w:hAnsi="Times" w:cs="Arial"/>
          <w:color w:val="000000" w:themeColor="text1"/>
          <w:lang w:eastAsia="es-MX"/>
        </w:rPr>
        <w:t>de la calidad de refugiado</w:t>
      </w:r>
      <w:r w:rsidR="00657FE7">
        <w:rPr>
          <w:rFonts w:ascii="Times" w:eastAsia="Times New Roman" w:hAnsi="Times" w:cs="Arial"/>
          <w:color w:val="000000" w:themeColor="text1"/>
          <w:lang w:eastAsia="es-MX"/>
        </w:rPr>
        <w:t xml:space="preserve"> (</w:t>
      </w:r>
      <w:r w:rsidR="00657FE7" w:rsidRPr="00657FE7">
        <w:rPr>
          <w:rFonts w:ascii="Times" w:eastAsia="Times New Roman" w:hAnsi="Times" w:cs="Arial"/>
          <w:color w:val="000000" w:themeColor="text1"/>
          <w:lang w:eastAsia="es-MX"/>
        </w:rPr>
        <w:t>837 mujeres</w:t>
      </w:r>
      <w:r w:rsidR="00657FE7">
        <w:rPr>
          <w:rFonts w:ascii="Times" w:eastAsia="Times New Roman" w:hAnsi="Times" w:cs="Arial"/>
          <w:color w:val="000000" w:themeColor="text1"/>
          <w:lang w:eastAsia="es-MX"/>
        </w:rPr>
        <w:t>)</w:t>
      </w:r>
      <w:r w:rsidR="00657FE7" w:rsidRPr="00657FE7">
        <w:rPr>
          <w:rFonts w:ascii="Times" w:eastAsia="Times New Roman" w:hAnsi="Times" w:cs="Arial"/>
          <w:color w:val="000000" w:themeColor="text1"/>
          <w:lang w:eastAsia="es-MX"/>
        </w:rPr>
        <w:t>.</w:t>
      </w:r>
      <w:r w:rsidR="00657FE7">
        <w:rPr>
          <w:rFonts w:ascii="Times" w:eastAsia="Times New Roman" w:hAnsi="Times" w:cs="Arial"/>
          <w:color w:val="000000" w:themeColor="text1"/>
          <w:lang w:eastAsia="es-MX"/>
        </w:rPr>
        <w:t xml:space="preserve"> Asimismo, se atendieron 65,457 casos de solicitantes de refugio</w:t>
      </w:r>
      <w:r w:rsidR="00BA19DB">
        <w:rPr>
          <w:rFonts w:ascii="Times" w:eastAsia="Times New Roman" w:hAnsi="Times" w:cs="Arial"/>
          <w:color w:val="000000" w:themeColor="text1"/>
          <w:lang w:eastAsia="es-MX"/>
        </w:rPr>
        <w:t xml:space="preserve"> en situación de vulnerabilidad, </w:t>
      </w:r>
      <w:r>
        <w:rPr>
          <w:rFonts w:ascii="Times" w:eastAsia="Times New Roman" w:hAnsi="Times" w:cs="Arial"/>
          <w:color w:val="000000" w:themeColor="text1"/>
          <w:lang w:eastAsia="es-MX"/>
        </w:rPr>
        <w:t>otorgándoseles</w:t>
      </w:r>
      <w:r w:rsidR="00BA19DB">
        <w:rPr>
          <w:rFonts w:ascii="Times" w:eastAsia="Times New Roman" w:hAnsi="Times" w:cs="Arial"/>
          <w:color w:val="000000" w:themeColor="text1"/>
          <w:lang w:eastAsia="es-MX"/>
        </w:rPr>
        <w:t xml:space="preserve"> la calidad migratoria humanitaria (</w:t>
      </w:r>
      <w:r w:rsidR="00BA19DB" w:rsidRPr="00657FE7">
        <w:rPr>
          <w:rFonts w:ascii="Times" w:eastAsia="Times New Roman" w:hAnsi="Times" w:cs="Arial"/>
          <w:color w:val="000000" w:themeColor="text1"/>
          <w:lang w:eastAsia="es-MX"/>
        </w:rPr>
        <w:t xml:space="preserve">31,605 </w:t>
      </w:r>
      <w:r>
        <w:rPr>
          <w:rFonts w:ascii="Times" w:eastAsia="Times New Roman" w:hAnsi="Times" w:cs="Arial"/>
          <w:color w:val="000000" w:themeColor="text1"/>
          <w:lang w:eastAsia="es-MX"/>
        </w:rPr>
        <w:t>mujeres</w:t>
      </w:r>
      <w:r w:rsidR="00BA19DB">
        <w:rPr>
          <w:rFonts w:ascii="Times" w:eastAsia="Times New Roman" w:hAnsi="Times" w:cs="Arial"/>
          <w:color w:val="000000" w:themeColor="text1"/>
          <w:lang w:eastAsia="es-MX"/>
        </w:rPr>
        <w:t>).</w:t>
      </w:r>
    </w:p>
    <w:p w14:paraId="5076791D" w14:textId="6C113BFA" w:rsidR="00BA19DB" w:rsidRDefault="00BA19DB" w:rsidP="00657FE7">
      <w:pPr>
        <w:pStyle w:val="Prrafodelista"/>
        <w:ind w:left="0"/>
        <w:jc w:val="both"/>
        <w:rPr>
          <w:rFonts w:ascii="Times" w:eastAsia="Times New Roman" w:hAnsi="Times" w:cs="Arial"/>
          <w:color w:val="000000" w:themeColor="text1"/>
          <w:lang w:eastAsia="es-MX"/>
        </w:rPr>
      </w:pPr>
    </w:p>
    <w:p w14:paraId="6C1696A4" w14:textId="776103C4" w:rsidR="00BA19DB" w:rsidRDefault="71E8BEB3" w:rsidP="00657FE7">
      <w:pPr>
        <w:pStyle w:val="Prrafodelista"/>
        <w:ind w:left="0"/>
        <w:jc w:val="both"/>
        <w:rPr>
          <w:rFonts w:ascii="Times" w:eastAsia="Times New Roman" w:hAnsi="Times" w:cs="Arial"/>
          <w:color w:val="000000" w:themeColor="text1"/>
          <w:lang w:eastAsia="es-MX"/>
        </w:rPr>
      </w:pPr>
      <w:r w:rsidRPr="71E8BEB3">
        <w:rPr>
          <w:rFonts w:ascii="Times" w:eastAsia="Times New Roman" w:hAnsi="Times" w:cs="Arial"/>
          <w:color w:val="000000" w:themeColor="text1"/>
          <w:lang w:eastAsia="es-MX"/>
        </w:rPr>
        <w:t>Todas las mujeres residentes en Perú, sin distinción de nacionalidad, incluyendo apátridas, pueden acceder a los servicios públicos implementados por el Estado (Decreto Legislativo 1350). Es decir, toda mujer embarazada, así como los niños y niñas menores de 5 años, pueden acogerse al Sistema Integral de Salud y recibir atención médica (Decreto Legislativo 1164). Específicamente, desde el año 2019 se han adoptado medidas administrativas migratorias en favor de mujeres y niñas migrantes venezolanas (Acta 04-2019-MIGRACIONES).</w:t>
      </w:r>
    </w:p>
    <w:p w14:paraId="1C72082B" w14:textId="123CD40E" w:rsidR="00BA19DB" w:rsidRDefault="00BA19DB" w:rsidP="00657FE7">
      <w:pPr>
        <w:pStyle w:val="Prrafodelista"/>
        <w:ind w:left="0"/>
        <w:jc w:val="both"/>
        <w:rPr>
          <w:rFonts w:ascii="Times" w:eastAsia="Times New Roman" w:hAnsi="Times" w:cs="Arial"/>
          <w:color w:val="000000" w:themeColor="text1"/>
          <w:lang w:eastAsia="es-MX"/>
        </w:rPr>
      </w:pPr>
    </w:p>
    <w:p w14:paraId="211393BD" w14:textId="3F3AD005" w:rsidR="00657FE7" w:rsidRPr="00BA19DB" w:rsidRDefault="00BA19DB" w:rsidP="00BA19DB">
      <w:pPr>
        <w:pStyle w:val="Prrafodelista"/>
        <w:ind w:left="0"/>
        <w:jc w:val="both"/>
        <w:rPr>
          <w:rFonts w:ascii="Times" w:eastAsia="Times New Roman" w:hAnsi="Times" w:cs="Arial"/>
          <w:color w:val="000000" w:themeColor="text1"/>
          <w:lang w:eastAsia="es-MX"/>
        </w:rPr>
      </w:pPr>
      <w:r>
        <w:rPr>
          <w:rFonts w:ascii="Times" w:eastAsia="Times New Roman" w:hAnsi="Times" w:cs="Arial"/>
          <w:color w:val="000000" w:themeColor="text1"/>
          <w:lang w:eastAsia="es-MX"/>
        </w:rPr>
        <w:t>Respecto a la apatridia,</w:t>
      </w:r>
      <w:r w:rsidR="00E70BE1">
        <w:rPr>
          <w:rFonts w:ascii="Times" w:eastAsia="Times New Roman" w:hAnsi="Times" w:cs="Arial"/>
          <w:color w:val="000000" w:themeColor="text1"/>
          <w:lang w:eastAsia="es-MX"/>
        </w:rPr>
        <w:t xml:space="preserve"> en el 2018, se</w:t>
      </w:r>
      <w:r>
        <w:rPr>
          <w:rFonts w:ascii="Times" w:eastAsia="Times New Roman" w:hAnsi="Times" w:cs="Arial"/>
          <w:color w:val="000000" w:themeColor="text1"/>
          <w:lang w:eastAsia="es-MX"/>
        </w:rPr>
        <w:t xml:space="preserve"> modificó el artículo 52 de la Constitución Política, para evitar que los menores </w:t>
      </w:r>
      <w:r w:rsidRPr="00BA19DB">
        <w:rPr>
          <w:rFonts w:ascii="Times" w:eastAsia="Times New Roman" w:hAnsi="Times" w:cs="Arial"/>
          <w:color w:val="000000" w:themeColor="text1"/>
          <w:lang w:eastAsia="es-MX"/>
        </w:rPr>
        <w:t xml:space="preserve">de padres peruanos nacidos en el exterior caigan en situación de </w:t>
      </w:r>
      <w:r>
        <w:rPr>
          <w:rFonts w:ascii="Times" w:eastAsia="Times New Roman" w:hAnsi="Times" w:cs="Arial"/>
          <w:color w:val="000000" w:themeColor="text1"/>
          <w:lang w:eastAsia="es-MX"/>
        </w:rPr>
        <w:t>a</w:t>
      </w:r>
      <w:r w:rsidRPr="00BA19DB">
        <w:rPr>
          <w:rFonts w:ascii="Times" w:eastAsia="Times New Roman" w:hAnsi="Times" w:cs="Arial"/>
          <w:color w:val="000000" w:themeColor="text1"/>
          <w:lang w:eastAsia="es-MX"/>
        </w:rPr>
        <w:t>patridia, ampliándose hasta la mayoría de edad la posibilidad de inscribirse en el Consulado peruano</w:t>
      </w:r>
      <w:r>
        <w:rPr>
          <w:rFonts w:ascii="Times" w:eastAsia="Times New Roman" w:hAnsi="Times" w:cs="Arial"/>
          <w:color w:val="000000" w:themeColor="text1"/>
          <w:lang w:eastAsia="es-MX"/>
        </w:rPr>
        <w:t xml:space="preserve">; sin embargo, a la fecha no se ha </w:t>
      </w:r>
      <w:r w:rsidRPr="00BA19DB">
        <w:rPr>
          <w:rFonts w:ascii="Times" w:eastAsia="Times New Roman" w:hAnsi="Times" w:cs="Arial"/>
          <w:color w:val="000000" w:themeColor="text1"/>
          <w:lang w:eastAsia="es-MX"/>
        </w:rPr>
        <w:t>recibido solicitudes de personas para el reconocimiento del Estatuto de Apátrida</w:t>
      </w:r>
      <w:r>
        <w:rPr>
          <w:rFonts w:ascii="Times" w:eastAsia="Times New Roman" w:hAnsi="Times" w:cs="Arial"/>
          <w:color w:val="000000" w:themeColor="text1"/>
          <w:lang w:eastAsia="es-MX"/>
        </w:rPr>
        <w:t>.</w:t>
      </w:r>
    </w:p>
    <w:p w14:paraId="6DF1F6AA" w14:textId="77777777" w:rsidR="00B930E7" w:rsidRDefault="00B930E7" w:rsidP="00D86CD1">
      <w:pPr>
        <w:pStyle w:val="Prrafodelista"/>
        <w:ind w:left="0"/>
        <w:jc w:val="both"/>
        <w:rPr>
          <w:rFonts w:ascii="Times" w:eastAsia="Times New Roman" w:hAnsi="Times" w:cs="Arial"/>
          <w:color w:val="000000" w:themeColor="text1"/>
          <w:lang w:eastAsia="es-MX"/>
        </w:rPr>
      </w:pPr>
    </w:p>
    <w:p w14:paraId="6CCD3E27" w14:textId="27B974FA" w:rsidR="00B553B3" w:rsidRPr="002B432C" w:rsidRDefault="00B553B3" w:rsidP="00D86CD1">
      <w:pPr>
        <w:pStyle w:val="Prrafodelista"/>
        <w:ind w:left="0"/>
        <w:jc w:val="both"/>
        <w:rPr>
          <w:rFonts w:ascii="Times" w:eastAsia="Times New Roman" w:hAnsi="Times" w:cs="Arial"/>
          <w:b/>
          <w:bCs/>
          <w:color w:val="000000" w:themeColor="text1"/>
          <w:lang w:eastAsia="es-MX"/>
        </w:rPr>
      </w:pPr>
      <w:r w:rsidRPr="002B432C">
        <w:rPr>
          <w:rFonts w:ascii="Times" w:eastAsia="Times New Roman" w:hAnsi="Times" w:cs="Arial"/>
          <w:b/>
          <w:bCs/>
          <w:color w:val="000000" w:themeColor="text1"/>
          <w:lang w:eastAsia="es-MX"/>
        </w:rPr>
        <w:t>Artículo 10</w:t>
      </w:r>
    </w:p>
    <w:p w14:paraId="05C25BA6" w14:textId="0C42B178" w:rsidR="00B553B3" w:rsidRDefault="00B553B3" w:rsidP="00D86CD1">
      <w:pPr>
        <w:pStyle w:val="Prrafodelista"/>
        <w:ind w:left="0"/>
        <w:jc w:val="both"/>
        <w:rPr>
          <w:rFonts w:ascii="Times" w:eastAsia="Times New Roman" w:hAnsi="Times" w:cs="Arial"/>
          <w:color w:val="000000" w:themeColor="text1"/>
          <w:lang w:eastAsia="es-MX"/>
        </w:rPr>
      </w:pPr>
    </w:p>
    <w:p w14:paraId="20910904" w14:textId="785AC25A" w:rsidR="002B432C" w:rsidRDefault="00B553B3" w:rsidP="00D86CD1">
      <w:pPr>
        <w:pStyle w:val="Prrafodelista"/>
        <w:ind w:left="0"/>
        <w:jc w:val="both"/>
        <w:rPr>
          <w:rFonts w:ascii="Times" w:eastAsia="Times New Roman" w:hAnsi="Times" w:cs="Arial"/>
          <w:color w:val="000000" w:themeColor="text1"/>
          <w:lang w:eastAsia="es-MX"/>
        </w:rPr>
      </w:pPr>
      <w:r>
        <w:rPr>
          <w:rFonts w:ascii="Times" w:eastAsia="Times New Roman" w:hAnsi="Times" w:cs="Arial"/>
          <w:color w:val="000000" w:themeColor="text1"/>
          <w:lang w:eastAsia="es-MX"/>
        </w:rPr>
        <w:t xml:space="preserve">Para </w:t>
      </w:r>
      <w:r w:rsidRPr="00B553B3">
        <w:rPr>
          <w:rFonts w:ascii="Times" w:eastAsia="Times New Roman" w:hAnsi="Times" w:cs="Arial"/>
          <w:color w:val="000000" w:themeColor="text1"/>
          <w:lang w:eastAsia="es-MX"/>
        </w:rPr>
        <w:t xml:space="preserve">cerrar la brecha educativa </w:t>
      </w:r>
      <w:r>
        <w:rPr>
          <w:rFonts w:ascii="Times" w:eastAsia="Times New Roman" w:hAnsi="Times" w:cs="Arial"/>
          <w:color w:val="000000" w:themeColor="text1"/>
          <w:lang w:eastAsia="es-MX"/>
        </w:rPr>
        <w:t>de</w:t>
      </w:r>
      <w:r w:rsidRPr="00B553B3">
        <w:rPr>
          <w:rFonts w:ascii="Times" w:eastAsia="Times New Roman" w:hAnsi="Times" w:cs="Arial"/>
          <w:color w:val="000000" w:themeColor="text1"/>
          <w:lang w:eastAsia="es-MX"/>
        </w:rPr>
        <w:t xml:space="preserve"> jóvenes y adultos en condición de analfabetismo absoluto y con primaria incompleta, en los Centros de Educación Básica Alternativa se </w:t>
      </w:r>
      <w:r>
        <w:rPr>
          <w:rFonts w:ascii="Times" w:eastAsia="Times New Roman" w:hAnsi="Times" w:cs="Arial"/>
          <w:color w:val="000000" w:themeColor="text1"/>
          <w:lang w:eastAsia="es-MX"/>
        </w:rPr>
        <w:t xml:space="preserve">brinda </w:t>
      </w:r>
      <w:r w:rsidRPr="00B553B3">
        <w:rPr>
          <w:rFonts w:ascii="Times" w:eastAsia="Times New Roman" w:hAnsi="Times" w:cs="Arial"/>
          <w:color w:val="000000" w:themeColor="text1"/>
          <w:lang w:eastAsia="es-MX"/>
        </w:rPr>
        <w:t xml:space="preserve">el Programa de Educación Básica Alternativa para Jóvenes y Adultos y el Programa de Alfabetización y Continuidad </w:t>
      </w:r>
      <w:r w:rsidR="009C7D76" w:rsidRPr="00B553B3">
        <w:rPr>
          <w:rFonts w:ascii="Times" w:eastAsia="Times New Roman" w:hAnsi="Times" w:cs="Arial"/>
          <w:color w:val="000000" w:themeColor="text1"/>
          <w:lang w:eastAsia="es-MX"/>
        </w:rPr>
        <w:t>Educativa</w:t>
      </w:r>
      <w:r w:rsidR="009C7D76">
        <w:rPr>
          <w:rFonts w:ascii="Times" w:eastAsia="Times New Roman" w:hAnsi="Times" w:cs="Arial"/>
          <w:color w:val="000000" w:themeColor="text1"/>
          <w:lang w:eastAsia="es-MX"/>
        </w:rPr>
        <w:t>.</w:t>
      </w:r>
    </w:p>
    <w:p w14:paraId="33EC1153" w14:textId="54BE4FAE" w:rsidR="00B553B3" w:rsidRDefault="00B553B3" w:rsidP="00D86CD1">
      <w:pPr>
        <w:pStyle w:val="Prrafodelista"/>
        <w:ind w:left="0"/>
        <w:jc w:val="both"/>
        <w:rPr>
          <w:rFonts w:ascii="Times" w:eastAsia="Times New Roman" w:hAnsi="Times" w:cs="Arial"/>
          <w:color w:val="000000" w:themeColor="text1"/>
          <w:lang w:eastAsia="es-MX"/>
        </w:rPr>
      </w:pPr>
    </w:p>
    <w:p w14:paraId="6261E6C6" w14:textId="02ABAD58" w:rsidR="00421CFB" w:rsidRDefault="71E8BEB3" w:rsidP="00D86CD1">
      <w:pPr>
        <w:pStyle w:val="Prrafodelista"/>
        <w:ind w:left="0"/>
        <w:jc w:val="both"/>
        <w:rPr>
          <w:rFonts w:ascii="Times" w:eastAsia="Times New Roman" w:hAnsi="Times" w:cs="Arial"/>
          <w:color w:val="000000" w:themeColor="text1"/>
          <w:lang w:eastAsia="es-MX"/>
        </w:rPr>
      </w:pPr>
      <w:r w:rsidRPr="71E8BEB3">
        <w:rPr>
          <w:rFonts w:ascii="Times" w:eastAsia="Times New Roman" w:hAnsi="Times" w:cs="Arial"/>
          <w:color w:val="000000" w:themeColor="text1"/>
          <w:lang w:eastAsia="es-MX"/>
        </w:rPr>
        <w:t>En 2021, se atendió a 26,345 estudiantes en los ciclos inicial e intermedio y a 13,113 en los programas de continuidad escolar. Sin embargo, la brecha educativa pendiente es más del 98 % de la población potencial, por lo que se ha duplicado la atención en el Programa de Alfabetización del Plan Nacional de Emergencia del Sistema Educativo Peruano.</w:t>
      </w:r>
    </w:p>
    <w:p w14:paraId="0649BBDF" w14:textId="55B905D8" w:rsidR="00421CFB" w:rsidRDefault="00421CFB" w:rsidP="00D86CD1">
      <w:pPr>
        <w:pStyle w:val="Prrafodelista"/>
        <w:ind w:left="0"/>
        <w:jc w:val="both"/>
        <w:rPr>
          <w:rFonts w:ascii="Times" w:eastAsia="Times New Roman" w:hAnsi="Times" w:cs="Arial"/>
          <w:color w:val="000000" w:themeColor="text1"/>
          <w:lang w:eastAsia="es-MX"/>
        </w:rPr>
      </w:pPr>
    </w:p>
    <w:p w14:paraId="36221346" w14:textId="57966E01" w:rsidR="00421CFB" w:rsidRDefault="003A1BC5" w:rsidP="00D86CD1">
      <w:pPr>
        <w:pStyle w:val="Prrafodelista"/>
        <w:ind w:left="0"/>
        <w:jc w:val="both"/>
        <w:rPr>
          <w:rFonts w:ascii="Times" w:eastAsia="Times New Roman" w:hAnsi="Times" w:cs="Arial"/>
          <w:color w:val="000000" w:themeColor="text1"/>
          <w:lang w:eastAsia="es-MX"/>
        </w:rPr>
      </w:pPr>
      <w:r>
        <w:rPr>
          <w:rFonts w:ascii="Times" w:eastAsia="Times New Roman" w:hAnsi="Times" w:cs="Arial"/>
          <w:color w:val="000000" w:themeColor="text1"/>
          <w:lang w:eastAsia="es-MX"/>
        </w:rPr>
        <w:t xml:space="preserve">Asimismo, se han elaborado </w:t>
      </w:r>
      <w:r w:rsidRPr="003A1BC5">
        <w:rPr>
          <w:rFonts w:ascii="Times" w:eastAsia="Times New Roman" w:hAnsi="Times" w:cs="Arial"/>
          <w:color w:val="000000" w:themeColor="text1"/>
          <w:lang w:eastAsia="es-MX"/>
        </w:rPr>
        <w:t xml:space="preserve">materiales y recursos con pertinencia cultural, orientados a abordar los temas de prevención de la </w:t>
      </w:r>
      <w:r>
        <w:rPr>
          <w:rFonts w:ascii="Times" w:eastAsia="Times New Roman" w:hAnsi="Times" w:cs="Arial"/>
          <w:color w:val="000000" w:themeColor="text1"/>
          <w:lang w:eastAsia="es-MX"/>
        </w:rPr>
        <w:t>v</w:t>
      </w:r>
      <w:r w:rsidRPr="003A1BC5">
        <w:rPr>
          <w:rFonts w:ascii="Times" w:eastAsia="Times New Roman" w:hAnsi="Times" w:cs="Arial"/>
          <w:color w:val="000000" w:themeColor="text1"/>
          <w:lang w:eastAsia="es-MX"/>
        </w:rPr>
        <w:t>iolencia</w:t>
      </w:r>
      <w:r>
        <w:rPr>
          <w:rFonts w:ascii="Times" w:eastAsia="Times New Roman" w:hAnsi="Times" w:cs="Arial"/>
          <w:color w:val="000000" w:themeColor="text1"/>
          <w:lang w:eastAsia="es-MX"/>
        </w:rPr>
        <w:t xml:space="preserve"> </w:t>
      </w:r>
      <w:r w:rsidRPr="003A1BC5">
        <w:rPr>
          <w:rFonts w:ascii="Times" w:eastAsia="Times New Roman" w:hAnsi="Times" w:cs="Arial"/>
          <w:color w:val="000000" w:themeColor="text1"/>
          <w:lang w:eastAsia="es-MX"/>
        </w:rPr>
        <w:t xml:space="preserve">y </w:t>
      </w:r>
      <w:r>
        <w:rPr>
          <w:rFonts w:ascii="Times" w:eastAsia="Times New Roman" w:hAnsi="Times" w:cs="Arial"/>
          <w:color w:val="000000" w:themeColor="text1"/>
          <w:lang w:eastAsia="es-MX"/>
        </w:rPr>
        <w:t>e</w:t>
      </w:r>
      <w:r w:rsidRPr="003A1BC5">
        <w:rPr>
          <w:rFonts w:ascii="Times" w:eastAsia="Times New Roman" w:hAnsi="Times" w:cs="Arial"/>
          <w:color w:val="000000" w:themeColor="text1"/>
          <w:lang w:eastAsia="es-MX"/>
        </w:rPr>
        <w:t>ducación sexual integral</w:t>
      </w:r>
      <w:r>
        <w:rPr>
          <w:rFonts w:ascii="Times" w:eastAsia="Times New Roman" w:hAnsi="Times" w:cs="Arial"/>
          <w:color w:val="000000" w:themeColor="text1"/>
          <w:lang w:eastAsia="es-MX"/>
        </w:rPr>
        <w:t xml:space="preserve"> en </w:t>
      </w:r>
      <w:proofErr w:type="gramStart"/>
      <w:r w:rsidRPr="003A1BC5">
        <w:rPr>
          <w:rFonts w:ascii="Times" w:eastAsia="Times New Roman" w:hAnsi="Times" w:cs="Arial"/>
          <w:color w:val="000000" w:themeColor="text1"/>
          <w:lang w:eastAsia="es-MX"/>
        </w:rPr>
        <w:t>Quechua</w:t>
      </w:r>
      <w:proofErr w:type="gramEnd"/>
      <w:r w:rsidRPr="003A1BC5">
        <w:rPr>
          <w:rFonts w:ascii="Times" w:eastAsia="Times New Roman" w:hAnsi="Times" w:cs="Arial"/>
          <w:color w:val="000000" w:themeColor="text1"/>
          <w:lang w:eastAsia="es-MX"/>
        </w:rPr>
        <w:t xml:space="preserve"> y sus modalidades, Aymara, Awajún, Wampis, Ashaninka, Shipibo y Sawi.</w:t>
      </w:r>
    </w:p>
    <w:p w14:paraId="6E67204A" w14:textId="77777777" w:rsidR="00421CFB" w:rsidRDefault="00421CFB" w:rsidP="00D86CD1">
      <w:pPr>
        <w:pStyle w:val="Prrafodelista"/>
        <w:ind w:left="0"/>
        <w:jc w:val="both"/>
        <w:rPr>
          <w:rFonts w:ascii="Times" w:eastAsia="Times New Roman" w:hAnsi="Times" w:cs="Arial"/>
          <w:color w:val="000000" w:themeColor="text1"/>
          <w:lang w:eastAsia="es-MX"/>
        </w:rPr>
      </w:pPr>
    </w:p>
    <w:p w14:paraId="598DE812" w14:textId="10C96860" w:rsidR="00B553B3" w:rsidRPr="00770552" w:rsidRDefault="003A1BC5" w:rsidP="00D86CD1">
      <w:pPr>
        <w:pStyle w:val="Prrafodelista"/>
        <w:ind w:left="0"/>
        <w:jc w:val="both"/>
        <w:rPr>
          <w:rFonts w:ascii="Times" w:eastAsia="Times New Roman" w:hAnsi="Times" w:cs="Arial"/>
          <w:b/>
          <w:bCs/>
          <w:color w:val="000000" w:themeColor="text1"/>
          <w:lang w:eastAsia="es-MX"/>
        </w:rPr>
      </w:pPr>
      <w:r w:rsidRPr="00770552">
        <w:rPr>
          <w:rFonts w:ascii="Times" w:eastAsia="Times New Roman" w:hAnsi="Times" w:cs="Arial"/>
          <w:b/>
          <w:bCs/>
          <w:color w:val="000000" w:themeColor="text1"/>
          <w:lang w:eastAsia="es-MX"/>
        </w:rPr>
        <w:t>Artículo 1</w:t>
      </w:r>
      <w:r w:rsidR="00770552" w:rsidRPr="00770552">
        <w:rPr>
          <w:rFonts w:ascii="Times" w:eastAsia="Times New Roman" w:hAnsi="Times" w:cs="Arial"/>
          <w:b/>
          <w:bCs/>
          <w:color w:val="000000" w:themeColor="text1"/>
          <w:lang w:eastAsia="es-MX"/>
        </w:rPr>
        <w:t>2</w:t>
      </w:r>
    </w:p>
    <w:p w14:paraId="7A138719" w14:textId="5A32C9D5" w:rsidR="003A1BC5" w:rsidRDefault="003A1BC5" w:rsidP="00D86CD1">
      <w:pPr>
        <w:pStyle w:val="Prrafodelista"/>
        <w:ind w:left="0"/>
        <w:jc w:val="both"/>
        <w:rPr>
          <w:rFonts w:ascii="Times" w:eastAsia="Times New Roman" w:hAnsi="Times" w:cs="Arial"/>
          <w:color w:val="000000" w:themeColor="text1"/>
          <w:lang w:eastAsia="es-MX"/>
        </w:rPr>
      </w:pPr>
    </w:p>
    <w:p w14:paraId="6975E50A" w14:textId="3ADE56B5" w:rsidR="003A1BC5" w:rsidRDefault="71E8BEB3" w:rsidP="00A0036F">
      <w:pPr>
        <w:pBdr>
          <w:top w:val="nil"/>
          <w:left w:val="nil"/>
          <w:bottom w:val="nil"/>
          <w:right w:val="nil"/>
          <w:between w:val="nil"/>
        </w:pBdr>
        <w:jc w:val="both"/>
        <w:rPr>
          <w:rFonts w:ascii="Times" w:eastAsia="Times New Roman" w:hAnsi="Times" w:cs="Arial"/>
          <w:color w:val="000000" w:themeColor="text1"/>
          <w:lang w:eastAsia="es-MX"/>
        </w:rPr>
      </w:pPr>
      <w:r w:rsidRPr="71E8BEB3">
        <w:rPr>
          <w:rFonts w:ascii="Times" w:hAnsi="Times" w:cs="Arial"/>
          <w:color w:val="000000" w:themeColor="text1"/>
        </w:rPr>
        <w:t>La Política Nacional Multisectorial para las Niñas, Niños y Adolescentes al 2030, establece lineamientos vinculados a la reducción del embarazo adolescente, priorizando servicios de educación sexual integral, dirigido a estudiantes de educación básica.</w:t>
      </w:r>
    </w:p>
    <w:p w14:paraId="7E5AD635" w14:textId="66880FC2" w:rsidR="00770552" w:rsidRDefault="00770552" w:rsidP="00D86CD1">
      <w:pPr>
        <w:pStyle w:val="Prrafodelista"/>
        <w:ind w:left="0"/>
        <w:jc w:val="both"/>
        <w:rPr>
          <w:rFonts w:ascii="Times" w:eastAsia="Times New Roman" w:hAnsi="Times" w:cs="Arial"/>
          <w:color w:val="000000" w:themeColor="text1"/>
          <w:lang w:eastAsia="es-MX"/>
        </w:rPr>
      </w:pPr>
    </w:p>
    <w:p w14:paraId="0CD17C8B" w14:textId="19B5DE47" w:rsidR="00EA3E78" w:rsidRPr="00EA3E78" w:rsidRDefault="00EA3E78" w:rsidP="00D86CD1">
      <w:pPr>
        <w:pStyle w:val="Prrafodelista"/>
        <w:ind w:left="0"/>
        <w:jc w:val="both"/>
        <w:rPr>
          <w:rFonts w:ascii="Times" w:eastAsia="Times New Roman" w:hAnsi="Times" w:cs="Arial"/>
          <w:b/>
          <w:bCs/>
          <w:color w:val="000000" w:themeColor="text1"/>
          <w:lang w:eastAsia="es-MX"/>
        </w:rPr>
      </w:pPr>
      <w:r w:rsidRPr="00EA3E78">
        <w:rPr>
          <w:rFonts w:ascii="Times" w:eastAsia="Times New Roman" w:hAnsi="Times" w:cs="Arial"/>
          <w:b/>
          <w:bCs/>
          <w:color w:val="000000" w:themeColor="text1"/>
          <w:lang w:eastAsia="es-MX"/>
        </w:rPr>
        <w:t>Artículo 13</w:t>
      </w:r>
    </w:p>
    <w:p w14:paraId="67E0C975" w14:textId="359D6971" w:rsidR="00EA3E78" w:rsidRPr="00EA3E78" w:rsidRDefault="00EA3E78" w:rsidP="00D86CD1">
      <w:pPr>
        <w:pStyle w:val="Prrafodelista"/>
        <w:ind w:left="0"/>
        <w:jc w:val="both"/>
        <w:rPr>
          <w:rFonts w:ascii="Times" w:eastAsia="Times New Roman" w:hAnsi="Times" w:cs="Arial"/>
          <w:b/>
          <w:bCs/>
          <w:color w:val="000000" w:themeColor="text1"/>
          <w:lang w:eastAsia="es-MX"/>
        </w:rPr>
      </w:pPr>
    </w:p>
    <w:p w14:paraId="433C759F" w14:textId="6BDAB6F9" w:rsidR="00EA3E78" w:rsidRPr="00B039AA" w:rsidRDefault="71E8BEB3" w:rsidP="71E8BEB3">
      <w:pPr>
        <w:pBdr>
          <w:top w:val="nil"/>
          <w:left w:val="nil"/>
          <w:bottom w:val="nil"/>
          <w:right w:val="nil"/>
          <w:between w:val="nil"/>
        </w:pBdr>
        <w:jc w:val="both"/>
        <w:rPr>
          <w:rFonts w:ascii="Times" w:hAnsi="Times" w:cs="Arial"/>
          <w:color w:val="000000"/>
        </w:rPr>
      </w:pPr>
      <w:r w:rsidRPr="71E8BEB3">
        <w:rPr>
          <w:rFonts w:ascii="Times" w:hAnsi="Times" w:cs="Arial"/>
          <w:color w:val="000000" w:themeColor="text1"/>
        </w:rPr>
        <w:t>En el marco de la Política Multisectorial para las Personas Adultas Mayores al 2030, se elaboraron instrumentos normativos para orientar el funcionamiento de distintas instancias a nivel regional y local, como Consejo Regionales (26) y Mesas de Trabajo (15), para promover la incorporación de las personas adultas mayores en las decisiones de la esfera pública. También se contempla el “Servicio para el desarrollo y fortalecimiento del autoempleo productivo”, considera para su inclusión del enfoque de género.</w:t>
      </w:r>
    </w:p>
    <w:p w14:paraId="2B4B81D5" w14:textId="77777777" w:rsidR="00EA3E78" w:rsidRDefault="00EA3E78" w:rsidP="00D86CD1">
      <w:pPr>
        <w:pStyle w:val="Prrafodelista"/>
        <w:ind w:left="0"/>
        <w:jc w:val="both"/>
        <w:rPr>
          <w:rFonts w:ascii="Times" w:eastAsia="Times New Roman" w:hAnsi="Times" w:cs="Arial"/>
          <w:color w:val="000000" w:themeColor="text1"/>
          <w:lang w:eastAsia="es-MX"/>
        </w:rPr>
      </w:pPr>
    </w:p>
    <w:p w14:paraId="5C4DBA1B" w14:textId="711D147E" w:rsidR="00770552" w:rsidRPr="00770552" w:rsidRDefault="00770552" w:rsidP="00D86CD1">
      <w:pPr>
        <w:pStyle w:val="Prrafodelista"/>
        <w:ind w:left="0"/>
        <w:jc w:val="both"/>
        <w:rPr>
          <w:rFonts w:ascii="Times" w:eastAsia="Times New Roman" w:hAnsi="Times" w:cs="Arial"/>
          <w:b/>
          <w:bCs/>
          <w:color w:val="000000" w:themeColor="text1"/>
          <w:lang w:eastAsia="es-MX"/>
        </w:rPr>
      </w:pPr>
      <w:r w:rsidRPr="00770552">
        <w:rPr>
          <w:rFonts w:ascii="Times" w:eastAsia="Times New Roman" w:hAnsi="Times" w:cs="Arial"/>
          <w:b/>
          <w:bCs/>
          <w:color w:val="000000" w:themeColor="text1"/>
          <w:lang w:eastAsia="es-MX"/>
        </w:rPr>
        <w:t>Artículo 14</w:t>
      </w:r>
    </w:p>
    <w:p w14:paraId="16B5A7AF" w14:textId="77777777" w:rsidR="00770552" w:rsidRDefault="00770552" w:rsidP="00D86CD1">
      <w:pPr>
        <w:pStyle w:val="Prrafodelista"/>
        <w:ind w:left="0"/>
        <w:jc w:val="both"/>
        <w:rPr>
          <w:rFonts w:ascii="Times" w:eastAsia="Times New Roman" w:hAnsi="Times" w:cs="Arial"/>
          <w:color w:val="000000" w:themeColor="text1"/>
          <w:lang w:eastAsia="es-MX"/>
        </w:rPr>
      </w:pPr>
    </w:p>
    <w:p w14:paraId="3C162CC9" w14:textId="1C731DDA" w:rsidR="0065338D" w:rsidRPr="009A6491" w:rsidRDefault="00E739FB" w:rsidP="00D86CD1">
      <w:pPr>
        <w:pStyle w:val="Prrafodelista"/>
        <w:ind w:left="0"/>
        <w:jc w:val="both"/>
        <w:rPr>
          <w:rFonts w:ascii="Times" w:eastAsia="Times New Roman" w:hAnsi="Times" w:cs="Arial"/>
          <w:color w:val="000000" w:themeColor="text1"/>
          <w:lang w:eastAsia="es-MX"/>
        </w:rPr>
      </w:pPr>
      <w:r>
        <w:rPr>
          <w:rFonts w:ascii="Times" w:eastAsia="Times New Roman" w:hAnsi="Times" w:cs="Arial"/>
          <w:color w:val="000000" w:themeColor="text1"/>
          <w:lang w:eastAsia="es-MX"/>
        </w:rPr>
        <w:lastRenderedPageBreak/>
        <w:t xml:space="preserve">El </w:t>
      </w:r>
      <w:r w:rsidR="0065338D" w:rsidRPr="009A6491">
        <w:rPr>
          <w:rFonts w:ascii="Times" w:eastAsia="Times New Roman" w:hAnsi="Times" w:cs="Arial"/>
          <w:color w:val="000000" w:themeColor="text1"/>
          <w:lang w:eastAsia="es-MX"/>
        </w:rPr>
        <w:t xml:space="preserve">Programa Nacional Aurora cuenta con </w:t>
      </w:r>
      <w:r w:rsidR="00535C18" w:rsidRPr="009A6491">
        <w:rPr>
          <w:rFonts w:ascii="Times" w:eastAsia="Times New Roman" w:hAnsi="Times" w:cs="Arial"/>
          <w:color w:val="000000" w:themeColor="text1"/>
          <w:lang w:eastAsia="es-MX"/>
        </w:rPr>
        <w:t>l</w:t>
      </w:r>
      <w:r w:rsidR="0065338D" w:rsidRPr="009A6491">
        <w:rPr>
          <w:rFonts w:ascii="Times" w:eastAsia="Times New Roman" w:hAnsi="Times" w:cs="Arial"/>
          <w:color w:val="000000" w:themeColor="text1"/>
          <w:lang w:eastAsia="es-MX"/>
        </w:rPr>
        <w:t>a Estrategia de Prevención</w:t>
      </w:r>
      <w:r w:rsidR="00FB3A26">
        <w:rPr>
          <w:rFonts w:ascii="Times" w:eastAsia="Times New Roman" w:hAnsi="Times" w:cs="Arial"/>
          <w:color w:val="000000" w:themeColor="text1"/>
          <w:lang w:eastAsia="es-MX"/>
        </w:rPr>
        <w:t xml:space="preserve"> y</w:t>
      </w:r>
      <w:r w:rsidR="0065338D" w:rsidRPr="009A6491">
        <w:rPr>
          <w:rFonts w:ascii="Times" w:eastAsia="Times New Roman" w:hAnsi="Times" w:cs="Arial"/>
          <w:color w:val="000000" w:themeColor="text1"/>
          <w:lang w:eastAsia="es-MX"/>
        </w:rPr>
        <w:t xml:space="preserve"> Atención en Zonas Rurales</w:t>
      </w:r>
      <w:r w:rsidR="00FB3A26">
        <w:rPr>
          <w:rFonts w:ascii="Times" w:eastAsia="Times New Roman" w:hAnsi="Times" w:cs="Arial"/>
          <w:color w:val="000000" w:themeColor="text1"/>
          <w:lang w:eastAsia="es-MX"/>
        </w:rPr>
        <w:t>,</w:t>
      </w:r>
      <w:r w:rsidR="0065338D" w:rsidRPr="009A6491">
        <w:rPr>
          <w:rFonts w:ascii="Times" w:eastAsia="Times New Roman" w:hAnsi="Times" w:cs="Arial"/>
          <w:color w:val="000000" w:themeColor="text1"/>
          <w:lang w:eastAsia="es-MX"/>
        </w:rPr>
        <w:t xml:space="preserve"> </w:t>
      </w:r>
      <w:r w:rsidR="004366AB">
        <w:rPr>
          <w:rFonts w:ascii="Times" w:eastAsia="Times New Roman" w:hAnsi="Times" w:cs="Arial"/>
          <w:color w:val="000000" w:themeColor="text1"/>
          <w:lang w:eastAsia="es-MX"/>
        </w:rPr>
        <w:t xml:space="preserve">a fin de </w:t>
      </w:r>
      <w:r w:rsidR="0065338D" w:rsidRPr="009A6491">
        <w:rPr>
          <w:rFonts w:ascii="Times" w:eastAsia="Times New Roman" w:hAnsi="Times" w:cs="Arial"/>
          <w:color w:val="000000" w:themeColor="text1"/>
          <w:lang w:eastAsia="es-MX"/>
        </w:rPr>
        <w:t>garantizar el acceso a la justicia, y la atención y protección de las víctimas de violencia en el ámbito rural, con especial énfasis en localidades indígenas.</w:t>
      </w:r>
    </w:p>
    <w:p w14:paraId="0AD93049" w14:textId="77777777" w:rsidR="00535C18" w:rsidRPr="009A6491" w:rsidRDefault="00535C18" w:rsidP="00D86CD1">
      <w:pPr>
        <w:pStyle w:val="Prrafodelista"/>
        <w:ind w:left="0"/>
        <w:jc w:val="both"/>
        <w:rPr>
          <w:rFonts w:ascii="Times" w:eastAsia="Times New Roman" w:hAnsi="Times" w:cs="Arial"/>
          <w:color w:val="000000" w:themeColor="text1"/>
          <w:lang w:eastAsia="es-MX"/>
        </w:rPr>
      </w:pPr>
    </w:p>
    <w:p w14:paraId="6CB0497D" w14:textId="36AF602D" w:rsidR="71E8BEB3" w:rsidRDefault="71E8BEB3" w:rsidP="71E8BEB3">
      <w:pPr>
        <w:pStyle w:val="Prrafodelista"/>
        <w:spacing w:line="259" w:lineRule="auto"/>
        <w:ind w:left="0"/>
        <w:jc w:val="both"/>
        <w:rPr>
          <w:rFonts w:ascii="Times" w:eastAsia="Times New Roman" w:hAnsi="Times" w:cs="Arial"/>
          <w:color w:val="000000" w:themeColor="text1"/>
          <w:lang w:eastAsia="es-MX"/>
        </w:rPr>
      </w:pPr>
      <w:r w:rsidRPr="71E8BEB3">
        <w:rPr>
          <w:rFonts w:ascii="Times" w:eastAsia="Times New Roman" w:hAnsi="Times" w:cs="Arial"/>
          <w:color w:val="000000" w:themeColor="text1"/>
          <w:lang w:eastAsia="es-MX"/>
        </w:rPr>
        <w:t xml:space="preserve">Por Resolución 009-2021-PCM/SGSD, se aprobaron los “Lineamientos para la promoción de la participación significativa de mujeres en los procesos de diálogo para la atención de conflictos sociales”, con la finalidad de promover la igualdad de género y oportunidades sin discriminación en dichos espacios. </w:t>
      </w:r>
    </w:p>
    <w:p w14:paraId="180547C9" w14:textId="77777777" w:rsidR="00621EC1" w:rsidRPr="009A6491" w:rsidRDefault="00621EC1" w:rsidP="00621EC1">
      <w:pPr>
        <w:pStyle w:val="Prrafodelista"/>
        <w:ind w:left="0"/>
        <w:jc w:val="both"/>
        <w:rPr>
          <w:rFonts w:ascii="Times" w:eastAsia="Times New Roman" w:hAnsi="Times" w:cs="Arial"/>
          <w:color w:val="000000" w:themeColor="text1"/>
          <w:lang w:eastAsia="es-MX"/>
        </w:rPr>
      </w:pPr>
    </w:p>
    <w:p w14:paraId="60CAE87B" w14:textId="1DA089A6" w:rsidR="0065338D" w:rsidRDefault="00F909FA" w:rsidP="71E8BEB3">
      <w:pPr>
        <w:pStyle w:val="paragraph"/>
        <w:spacing w:before="0" w:beforeAutospacing="0" w:after="0" w:afterAutospacing="0"/>
        <w:jc w:val="both"/>
        <w:textAlignment w:val="baseline"/>
        <w:rPr>
          <w:color w:val="000000"/>
          <w:shd w:val="clear" w:color="auto" w:fill="FFFFFF"/>
          <w:lang w:val="es"/>
        </w:rPr>
      </w:pPr>
      <w:r>
        <w:rPr>
          <w:rFonts w:ascii="Times" w:hAnsi="Times"/>
          <w:color w:val="000000"/>
          <w:shd w:val="clear" w:color="auto" w:fill="FFFFFF"/>
          <w:lang w:val="es-ES"/>
        </w:rPr>
        <w:t>Por otro lado</w:t>
      </w:r>
      <w:r w:rsidR="00770552">
        <w:rPr>
          <w:rFonts w:ascii="Times" w:hAnsi="Times"/>
          <w:color w:val="000000"/>
          <w:shd w:val="clear" w:color="auto" w:fill="FFFFFF"/>
          <w:lang w:val="es-ES"/>
        </w:rPr>
        <w:t xml:space="preserve">, se viene trabajando </w:t>
      </w:r>
      <w:r w:rsidR="00770552" w:rsidRPr="00621EC1">
        <w:rPr>
          <w:rFonts w:ascii="Times" w:hAnsi="Times"/>
          <w:color w:val="000000"/>
          <w:shd w:val="clear" w:color="auto" w:fill="FFFFFF"/>
          <w:lang w:val="es-ES"/>
        </w:rPr>
        <w:t xml:space="preserve">la Política Nacional del Pueblo Afroperuano al 2030, que </w:t>
      </w:r>
      <w:r w:rsidR="00770552">
        <w:rPr>
          <w:rFonts w:ascii="Times" w:hAnsi="Times"/>
          <w:color w:val="000000"/>
          <w:shd w:val="clear" w:color="auto" w:fill="FFFFFF"/>
          <w:lang w:val="es-ES"/>
        </w:rPr>
        <w:t>incluirá</w:t>
      </w:r>
      <w:r w:rsidR="00770552" w:rsidRPr="00621EC1">
        <w:rPr>
          <w:rFonts w:ascii="Times" w:hAnsi="Times"/>
          <w:color w:val="000000"/>
          <w:shd w:val="clear" w:color="auto" w:fill="FFFFFF"/>
          <w:lang w:val="es-ES"/>
        </w:rPr>
        <w:t xml:space="preserve"> los enfoques de género, interseccional y de derechos humanos para su implementación. Cabe señalar que </w:t>
      </w:r>
      <w:r w:rsidR="71E8BEB3" w:rsidRPr="71E8BEB3">
        <w:rPr>
          <w:rFonts w:ascii="Times" w:eastAsia="Times" w:hAnsi="Times" w:cs="Times"/>
          <w:color w:val="000000" w:themeColor="text1"/>
          <w:lang w:val="es"/>
        </w:rPr>
        <w:t>se dispuso la prepublicación de la propuesta de dicha Política, para conocer las opiniones, comentarios y/o sugerencias de la ciudadanía sobre el mismo.</w:t>
      </w:r>
    </w:p>
    <w:p w14:paraId="78676729" w14:textId="31ED8E13" w:rsidR="004919A8" w:rsidRDefault="004919A8" w:rsidP="00535C18">
      <w:pPr>
        <w:pStyle w:val="paragraph"/>
        <w:spacing w:before="0" w:beforeAutospacing="0" w:after="0" w:afterAutospacing="0"/>
        <w:jc w:val="both"/>
        <w:textAlignment w:val="baseline"/>
        <w:rPr>
          <w:rFonts w:ascii="Times" w:hAnsi="Times"/>
          <w:color w:val="000000"/>
          <w:shd w:val="clear" w:color="auto" w:fill="FFFFFF"/>
          <w:lang w:val="es-ES"/>
        </w:rPr>
      </w:pPr>
    </w:p>
    <w:p w14:paraId="2945003C" w14:textId="1F776EE7" w:rsidR="009D3716" w:rsidRPr="004919A8" w:rsidRDefault="71E8BEB3" w:rsidP="71E8BEB3">
      <w:pPr>
        <w:pStyle w:val="paragraph"/>
        <w:spacing w:before="0" w:beforeAutospacing="0" w:after="0" w:afterAutospacing="0" w:line="259" w:lineRule="auto"/>
        <w:jc w:val="both"/>
        <w:rPr>
          <w:rFonts w:ascii="Times" w:hAnsi="Times"/>
          <w:color w:val="000000" w:themeColor="text1"/>
        </w:rPr>
      </w:pPr>
      <w:r w:rsidRPr="71E8BEB3">
        <w:rPr>
          <w:rFonts w:ascii="Times" w:hAnsi="Times"/>
          <w:color w:val="000000" w:themeColor="text1"/>
        </w:rPr>
        <w:t>Respecto a las personas con discapacidad, la Política Nacional Multisectorial en Discapacidad para el Desarrollo al 2030 ha incorporado el enfoque de género de manera transversal en su implementación. Además, se ha establecido los siguientes servicios: Atención integral en los Centros de Emergencia Mujer por hechos de violencia; acompañamiento especializado para el ejercicio de la capacidad jurídica; defensa Pública accesible; aseguramiento de las condiciones de accesibilidad en las sedes de atención de denuncias; en los que se ha dispuesto que los operadores de estos servicios reciban capacitación sobre trato adecuado para personas con discapacidad y perspectiva de discapacidad; sensibilización para prevenir la violencia contra las mujeres e integrantes del grupo familiar; y el desarrollo de campañas de promoción y concientización para el respeto de los derechos de las personas con discapacidad.</w:t>
      </w:r>
    </w:p>
    <w:p w14:paraId="6436FEA5" w14:textId="32A2E934" w:rsidR="00770552" w:rsidRDefault="00770552" w:rsidP="00535C18">
      <w:pPr>
        <w:pStyle w:val="paragraph"/>
        <w:spacing w:before="0" w:beforeAutospacing="0" w:after="0" w:afterAutospacing="0"/>
        <w:jc w:val="both"/>
        <w:textAlignment w:val="baseline"/>
        <w:rPr>
          <w:rStyle w:val="normaltextrun"/>
          <w:rFonts w:ascii="Times" w:hAnsi="Times"/>
          <w:lang w:val="es-ES"/>
        </w:rPr>
      </w:pPr>
    </w:p>
    <w:p w14:paraId="5D5C45BB" w14:textId="77777777" w:rsidR="00540E8F" w:rsidRPr="00540E8F" w:rsidRDefault="00540E8F" w:rsidP="00540E8F">
      <w:pPr>
        <w:jc w:val="both"/>
        <w:rPr>
          <w:rFonts w:ascii="Times" w:eastAsia="Times New Roman" w:hAnsi="Times" w:cs="Times New Roman"/>
          <w:b/>
          <w:bCs/>
          <w:color w:val="000000"/>
          <w:shd w:val="clear" w:color="auto" w:fill="FFFFFF"/>
          <w:lang w:val="es-ES" w:eastAsia="es-MX"/>
        </w:rPr>
      </w:pPr>
      <w:r w:rsidRPr="00540E8F">
        <w:rPr>
          <w:rFonts w:ascii="Times" w:eastAsia="Times New Roman" w:hAnsi="Times" w:cs="Times New Roman"/>
          <w:b/>
          <w:bCs/>
          <w:color w:val="000000"/>
          <w:shd w:val="clear" w:color="auto" w:fill="FFFFFF"/>
          <w:lang w:val="es-ES" w:eastAsia="es-MX"/>
        </w:rPr>
        <w:t>Artículo 15</w:t>
      </w:r>
    </w:p>
    <w:p w14:paraId="37EBF678" w14:textId="77777777" w:rsidR="00540E8F" w:rsidRDefault="00540E8F" w:rsidP="00540E8F">
      <w:pPr>
        <w:jc w:val="both"/>
        <w:rPr>
          <w:rFonts w:ascii="Times" w:eastAsia="Times New Roman" w:hAnsi="Times" w:cs="Times New Roman"/>
          <w:color w:val="000000"/>
          <w:shd w:val="clear" w:color="auto" w:fill="FFFFFF"/>
          <w:lang w:val="es-ES" w:eastAsia="es-MX"/>
        </w:rPr>
      </w:pPr>
    </w:p>
    <w:p w14:paraId="28179110" w14:textId="7259FCED" w:rsidR="71E8BEB3" w:rsidRDefault="71E8BEB3" w:rsidP="71E8BEB3">
      <w:pPr>
        <w:pStyle w:val="paragraph"/>
        <w:spacing w:before="0" w:beforeAutospacing="0" w:after="0" w:afterAutospacing="0" w:line="259" w:lineRule="auto"/>
        <w:jc w:val="both"/>
        <w:rPr>
          <w:rFonts w:ascii="Times" w:hAnsi="Times"/>
          <w:color w:val="000000" w:themeColor="text1"/>
        </w:rPr>
      </w:pPr>
      <w:r w:rsidRPr="71E8BEB3">
        <w:rPr>
          <w:rFonts w:ascii="Times" w:hAnsi="Times"/>
          <w:color w:val="000000" w:themeColor="text1"/>
        </w:rPr>
        <w:t xml:space="preserve">En relación con las acciones dirigidas para el reconocimiento y protección de los derechos de las personas LGBTI: </w:t>
      </w:r>
      <w:r w:rsidRPr="71E8BEB3">
        <w:rPr>
          <w:rFonts w:ascii="Times" w:hAnsi="Times"/>
          <w:b/>
          <w:bCs/>
          <w:i/>
          <w:iCs/>
          <w:color w:val="000000" w:themeColor="text1"/>
        </w:rPr>
        <w:t xml:space="preserve">i) </w:t>
      </w:r>
      <w:r w:rsidRPr="71E8BEB3">
        <w:rPr>
          <w:rFonts w:ascii="Times" w:hAnsi="Times"/>
          <w:color w:val="000000" w:themeColor="text1"/>
        </w:rPr>
        <w:t xml:space="preserve">han sido identificadas como un grupo de especial protección en el Plan Nacional de Derechos Humanos, </w:t>
      </w:r>
      <w:r w:rsidRPr="71E8BEB3">
        <w:rPr>
          <w:rFonts w:ascii="Times" w:hAnsi="Times"/>
          <w:b/>
          <w:bCs/>
          <w:i/>
          <w:iCs/>
          <w:color w:val="000000" w:themeColor="text1"/>
        </w:rPr>
        <w:t>ii)</w:t>
      </w:r>
      <w:r w:rsidRPr="71E8BEB3">
        <w:rPr>
          <w:rFonts w:ascii="Times" w:hAnsi="Times"/>
          <w:color w:val="000000" w:themeColor="text1"/>
        </w:rPr>
        <w:t xml:space="preserve"> la Política Nacional de Igualdad de Género identifica a la orientación sexual e identidad de género como factores que complejizan la discriminación estructural que viven las mujeres en su diversidad, </w:t>
      </w:r>
      <w:r w:rsidRPr="71E8BEB3">
        <w:rPr>
          <w:rFonts w:ascii="Times" w:hAnsi="Times"/>
          <w:b/>
          <w:bCs/>
          <w:i/>
          <w:iCs/>
          <w:color w:val="000000" w:themeColor="text1"/>
        </w:rPr>
        <w:t>iii)</w:t>
      </w:r>
      <w:r w:rsidRPr="71E8BEB3">
        <w:rPr>
          <w:rFonts w:ascii="Times" w:hAnsi="Times"/>
          <w:color w:val="000000" w:themeColor="text1"/>
        </w:rPr>
        <w:t xml:space="preserve"> la orientación sexual e identidad de género de las personas son aspectos considerados para la atención de casos de violencia según los Lineamientos de los servicios del Programa Nacional Aurora, y </w:t>
      </w:r>
      <w:r w:rsidRPr="71E8BEB3">
        <w:rPr>
          <w:rFonts w:ascii="Times" w:hAnsi="Times"/>
          <w:b/>
          <w:bCs/>
          <w:i/>
          <w:iCs/>
          <w:color w:val="000000" w:themeColor="text1"/>
        </w:rPr>
        <w:t>iv)</w:t>
      </w:r>
      <w:r w:rsidRPr="71E8BEB3">
        <w:rPr>
          <w:rFonts w:ascii="Times" w:hAnsi="Times"/>
          <w:color w:val="000000" w:themeColor="text1"/>
        </w:rPr>
        <w:t xml:space="preserve"> la discriminación por orientación sexual e identidad de género constituye un delito de acuerdo con el Código Penal.</w:t>
      </w:r>
    </w:p>
    <w:p w14:paraId="1D23E8B8" w14:textId="76E0CB93" w:rsidR="71E8BEB3" w:rsidRDefault="71E8BEB3" w:rsidP="71E8BEB3">
      <w:pPr>
        <w:jc w:val="both"/>
        <w:rPr>
          <w:rFonts w:ascii="Times" w:eastAsia="Times New Roman" w:hAnsi="Times" w:cs="Arial"/>
          <w:color w:val="000000" w:themeColor="text1"/>
          <w:lang w:eastAsia="es-MX"/>
        </w:rPr>
      </w:pPr>
    </w:p>
    <w:p w14:paraId="00FEC651" w14:textId="24EFE2A7" w:rsidR="002003E9" w:rsidRDefault="002003E9" w:rsidP="002003E9">
      <w:pPr>
        <w:jc w:val="both"/>
        <w:rPr>
          <w:rFonts w:ascii="Times" w:eastAsia="Times New Roman" w:hAnsi="Times" w:cs="Arial"/>
          <w:color w:val="000000" w:themeColor="text1"/>
          <w:lang w:eastAsia="es-MX"/>
        </w:rPr>
      </w:pPr>
      <w:r>
        <w:rPr>
          <w:rFonts w:ascii="Times" w:eastAsia="Times New Roman" w:hAnsi="Times" w:cs="Arial"/>
          <w:color w:val="000000" w:themeColor="text1"/>
          <w:lang w:eastAsia="es-MX"/>
        </w:rPr>
        <w:t xml:space="preserve">Respecto del reconocimiento </w:t>
      </w:r>
      <w:r w:rsidRPr="00742074">
        <w:rPr>
          <w:rFonts w:ascii="Times" w:eastAsia="Times New Roman" w:hAnsi="Times" w:cs="Arial"/>
          <w:color w:val="000000" w:themeColor="text1"/>
          <w:lang w:eastAsia="es-MX"/>
        </w:rPr>
        <w:t xml:space="preserve">del matrimonio de parejas </w:t>
      </w:r>
      <w:r>
        <w:rPr>
          <w:rFonts w:ascii="Times" w:eastAsia="Times New Roman" w:hAnsi="Times" w:cs="Arial"/>
          <w:color w:val="000000" w:themeColor="text1"/>
          <w:lang w:eastAsia="es-MX"/>
        </w:rPr>
        <w:t>LGBTI</w:t>
      </w:r>
      <w:r w:rsidRPr="00742074">
        <w:rPr>
          <w:rFonts w:ascii="Times" w:eastAsia="Times New Roman" w:hAnsi="Times" w:cs="Arial"/>
          <w:color w:val="000000" w:themeColor="text1"/>
          <w:lang w:eastAsia="es-MX"/>
        </w:rPr>
        <w:t xml:space="preserve"> contraído en el extranjero</w:t>
      </w:r>
      <w:r>
        <w:rPr>
          <w:rFonts w:ascii="Times" w:eastAsia="Times New Roman" w:hAnsi="Times" w:cs="Arial"/>
          <w:color w:val="000000" w:themeColor="text1"/>
          <w:lang w:eastAsia="es-MX"/>
        </w:rPr>
        <w:t xml:space="preserve">, mediante fallos de la vía judicial ordinaria, parejas del mismo sexo han logrado el reconocimiento de sus uniones en primera instancia. </w:t>
      </w:r>
    </w:p>
    <w:p w14:paraId="490AAF06" w14:textId="77777777" w:rsidR="002003E9" w:rsidRDefault="002003E9" w:rsidP="002003E9">
      <w:pPr>
        <w:jc w:val="both"/>
        <w:rPr>
          <w:rFonts w:ascii="Times" w:eastAsia="Times New Roman" w:hAnsi="Times" w:cs="Arial"/>
          <w:color w:val="000000" w:themeColor="text1"/>
          <w:lang w:eastAsia="es-MX"/>
        </w:rPr>
      </w:pPr>
    </w:p>
    <w:p w14:paraId="0A48DD1F" w14:textId="0C77B0B1" w:rsidR="002003E9" w:rsidRDefault="71E8BEB3" w:rsidP="002003E9">
      <w:pPr>
        <w:jc w:val="both"/>
        <w:rPr>
          <w:rFonts w:ascii="Times" w:eastAsia="Times New Roman" w:hAnsi="Times" w:cs="Arial"/>
          <w:color w:val="000000" w:themeColor="text1"/>
          <w:lang w:eastAsia="es-MX"/>
        </w:rPr>
      </w:pPr>
      <w:r w:rsidRPr="71E8BEB3">
        <w:rPr>
          <w:rFonts w:ascii="Times" w:eastAsia="Times New Roman" w:hAnsi="Times" w:cs="Arial"/>
          <w:color w:val="000000" w:themeColor="text1"/>
          <w:lang w:eastAsia="es-MX"/>
        </w:rPr>
        <w:t>En 2019, el 11° Juzgado Constitucional declaró fundada la demanda de reconocimiento de matrimonio de dos mujeres celebrado en México, recaída en el Expediente 10776-2017. Asimismo, el 2° Juzgado Constitucional ordenó la inscripción de un matrimonio de una pareja gay, contraído en el extranjero, demanda recaída en el Expediente 20900-</w:t>
      </w:r>
      <w:r w:rsidRPr="71E8BEB3">
        <w:rPr>
          <w:rFonts w:ascii="Times" w:eastAsia="Times New Roman" w:hAnsi="Times" w:cs="Arial"/>
          <w:color w:val="000000" w:themeColor="text1"/>
          <w:lang w:eastAsia="es-MX"/>
        </w:rPr>
        <w:lastRenderedPageBreak/>
        <w:t>2015. En ambos casos, el fallo fue modificado, con lo cual las partes recurrieron al Tribunal Constitucional.</w:t>
      </w:r>
    </w:p>
    <w:p w14:paraId="45CA0F44" w14:textId="77777777" w:rsidR="0021613E" w:rsidRDefault="0021613E" w:rsidP="002003E9">
      <w:pPr>
        <w:jc w:val="both"/>
        <w:rPr>
          <w:rFonts w:ascii="Times" w:eastAsia="Times New Roman" w:hAnsi="Times" w:cs="Arial"/>
          <w:color w:val="000000" w:themeColor="text1"/>
          <w:lang w:eastAsia="es-MX"/>
        </w:rPr>
      </w:pPr>
    </w:p>
    <w:p w14:paraId="44E78134" w14:textId="357ADF02" w:rsidR="002003E9" w:rsidRPr="00A3463F" w:rsidRDefault="71E8BEB3" w:rsidP="002003E9">
      <w:pPr>
        <w:jc w:val="both"/>
        <w:rPr>
          <w:rFonts w:ascii="Times" w:eastAsia="Times New Roman" w:hAnsi="Times" w:cs="Arial"/>
          <w:color w:val="000000" w:themeColor="text1"/>
          <w:lang w:eastAsia="es-MX"/>
        </w:rPr>
      </w:pPr>
      <w:r w:rsidRPr="71E8BEB3">
        <w:rPr>
          <w:rFonts w:ascii="Times" w:eastAsia="Times New Roman" w:hAnsi="Times" w:cs="Arial"/>
          <w:color w:val="000000" w:themeColor="text1"/>
          <w:lang w:eastAsia="es-MX"/>
        </w:rPr>
        <w:t xml:space="preserve">Por otro lado, en el Congreso de la República, se presentó el Proyecto de Ley 525/2021-CR, que busca modificar el Código Civil y reconocer el matrimonio igualitario, incluyendo aquellos celebrados en el extranjero. </w:t>
      </w:r>
    </w:p>
    <w:p w14:paraId="2ED931E7" w14:textId="77777777" w:rsidR="00540E8F" w:rsidRDefault="00540E8F" w:rsidP="00535C18">
      <w:pPr>
        <w:pStyle w:val="paragraph"/>
        <w:spacing w:before="0" w:beforeAutospacing="0" w:after="0" w:afterAutospacing="0"/>
        <w:jc w:val="both"/>
        <w:textAlignment w:val="baseline"/>
        <w:rPr>
          <w:rStyle w:val="normaltextrun"/>
          <w:rFonts w:ascii="Times" w:hAnsi="Times"/>
          <w:lang w:val="es-ES"/>
        </w:rPr>
      </w:pPr>
    </w:p>
    <w:p w14:paraId="623DC03B" w14:textId="03A829A7" w:rsidR="00535C18" w:rsidRPr="00EA3E78" w:rsidRDefault="00EA3E78" w:rsidP="00535C18">
      <w:pPr>
        <w:pStyle w:val="paragraph"/>
        <w:spacing w:before="0" w:beforeAutospacing="0" w:after="0" w:afterAutospacing="0"/>
        <w:jc w:val="both"/>
        <w:textAlignment w:val="baseline"/>
        <w:rPr>
          <w:rStyle w:val="normaltextrun"/>
          <w:rFonts w:ascii="Times" w:hAnsi="Times"/>
          <w:b/>
          <w:bCs/>
          <w:lang w:val="es-ES"/>
        </w:rPr>
      </w:pPr>
      <w:r w:rsidRPr="00EA3E78">
        <w:rPr>
          <w:rStyle w:val="normaltextrun"/>
          <w:rFonts w:ascii="Times" w:hAnsi="Times"/>
          <w:b/>
          <w:bCs/>
          <w:lang w:val="es-ES"/>
        </w:rPr>
        <w:t>Artículo 16</w:t>
      </w:r>
    </w:p>
    <w:p w14:paraId="6444D87E" w14:textId="52EBF35C" w:rsidR="00EA3E78" w:rsidRDefault="00EA3E78" w:rsidP="00EA3E78">
      <w:pPr>
        <w:pStyle w:val="Prrafodelista"/>
        <w:ind w:left="0"/>
        <w:jc w:val="both"/>
        <w:rPr>
          <w:rFonts w:ascii="Times" w:eastAsia="Times New Roman" w:hAnsi="Times" w:cs="Arial"/>
          <w:color w:val="000000" w:themeColor="text1"/>
          <w:lang w:eastAsia="es-MX"/>
        </w:rPr>
      </w:pPr>
    </w:p>
    <w:p w14:paraId="403249A4" w14:textId="4B051151" w:rsidR="00EA3E78" w:rsidRDefault="00EA3E78" w:rsidP="00EA3E78">
      <w:pPr>
        <w:jc w:val="both"/>
        <w:rPr>
          <w:rFonts w:ascii="Times" w:hAnsi="Times" w:cs="Arial"/>
        </w:rPr>
      </w:pPr>
      <w:r w:rsidRPr="009A6491">
        <w:rPr>
          <w:rFonts w:ascii="Times" w:hAnsi="Times" w:cs="Arial"/>
        </w:rPr>
        <w:t xml:space="preserve">En el Perú, por regla general el matrimonio puede ser contraído a partir de los 18 años de edad, no obstante, el Código Civil hace excepciones permitiendo que pueda celebrarse a partir de los 14 años de edad, edad en la que una persona se encuentra en su proceso evolutivo (físico y mental, por ello desde el Ministerio de la Mujer y Poblaciones Vulnerables se </w:t>
      </w:r>
      <w:r w:rsidR="009F4918">
        <w:rPr>
          <w:rFonts w:ascii="Times" w:hAnsi="Times" w:cs="Arial"/>
        </w:rPr>
        <w:t xml:space="preserve">presentó </w:t>
      </w:r>
      <w:r w:rsidR="009C1099">
        <w:rPr>
          <w:rFonts w:ascii="Times" w:hAnsi="Times" w:cs="Arial"/>
        </w:rPr>
        <w:t xml:space="preserve">en la legislatura anterior un </w:t>
      </w:r>
      <w:r w:rsidRPr="009A6491">
        <w:rPr>
          <w:rFonts w:ascii="Times" w:hAnsi="Times" w:cs="Arial"/>
        </w:rPr>
        <w:t xml:space="preserve"> </w:t>
      </w:r>
      <w:r>
        <w:rPr>
          <w:rFonts w:ascii="Times" w:hAnsi="Times" w:cs="Arial"/>
        </w:rPr>
        <w:t>P</w:t>
      </w:r>
      <w:r w:rsidRPr="009A6491">
        <w:rPr>
          <w:rFonts w:ascii="Times" w:hAnsi="Times" w:cs="Arial"/>
        </w:rPr>
        <w:t xml:space="preserve">royecto de </w:t>
      </w:r>
      <w:r>
        <w:rPr>
          <w:rFonts w:ascii="Times" w:hAnsi="Times" w:cs="Arial"/>
        </w:rPr>
        <w:t>L</w:t>
      </w:r>
      <w:r w:rsidRPr="009A6491">
        <w:rPr>
          <w:rFonts w:ascii="Times" w:hAnsi="Times" w:cs="Arial"/>
        </w:rPr>
        <w:t>ey 5988/2020-PE, a través del cual se modifica el Código Civil, prohibiendo el matrimonio de las personas menores de 18 dieciocho años.</w:t>
      </w:r>
    </w:p>
    <w:p w14:paraId="1C762FD0" w14:textId="77777777" w:rsidR="00E70BE1" w:rsidRPr="009A6491" w:rsidRDefault="00E70BE1" w:rsidP="00EA3E78">
      <w:pPr>
        <w:jc w:val="both"/>
        <w:rPr>
          <w:rFonts w:ascii="Times" w:hAnsi="Times" w:cs="Arial"/>
        </w:rPr>
      </w:pPr>
    </w:p>
    <w:p w14:paraId="5036FBE1" w14:textId="08EECF79" w:rsidR="00540E8F" w:rsidRDefault="00540E8F" w:rsidP="00540E8F">
      <w:pPr>
        <w:jc w:val="both"/>
        <w:rPr>
          <w:rFonts w:ascii="Times" w:eastAsia="Times New Roman" w:hAnsi="Times" w:cs="Arial"/>
          <w:color w:val="000000" w:themeColor="text1"/>
          <w:lang w:eastAsia="es-MX"/>
        </w:rPr>
      </w:pPr>
      <w:r>
        <w:rPr>
          <w:rFonts w:ascii="Times" w:eastAsia="Times New Roman" w:hAnsi="Times" w:cs="Arial"/>
          <w:color w:val="000000" w:themeColor="text1"/>
          <w:lang w:eastAsia="es-MX"/>
        </w:rPr>
        <w:t>Respecto de los mecanismos alternativos de solución de conflictos</w:t>
      </w:r>
      <w:r w:rsidR="00A0036F">
        <w:rPr>
          <w:rFonts w:ascii="Times" w:eastAsia="Times New Roman" w:hAnsi="Times" w:cs="Arial"/>
          <w:color w:val="000000" w:themeColor="text1"/>
          <w:lang w:eastAsia="es-MX"/>
        </w:rPr>
        <w:t>,</w:t>
      </w:r>
      <w:r w:rsidR="00546631">
        <w:rPr>
          <w:rFonts w:ascii="Times" w:eastAsia="Times New Roman" w:hAnsi="Times" w:cs="Arial"/>
          <w:color w:val="000000" w:themeColor="text1"/>
          <w:lang w:eastAsia="es-MX"/>
        </w:rPr>
        <w:t xml:space="preserve"> conforme a la Ley </w:t>
      </w:r>
      <w:r w:rsidR="00E70BE1">
        <w:rPr>
          <w:rFonts w:ascii="Times" w:eastAsia="Times New Roman" w:hAnsi="Times" w:cs="Arial"/>
          <w:color w:val="000000" w:themeColor="text1"/>
          <w:lang w:eastAsia="es-MX"/>
        </w:rPr>
        <w:t>26872</w:t>
      </w:r>
      <w:r>
        <w:rPr>
          <w:rFonts w:ascii="Times" w:eastAsia="Times New Roman" w:hAnsi="Times" w:cs="Arial"/>
          <w:color w:val="000000" w:themeColor="text1"/>
          <w:lang w:eastAsia="es-MX"/>
        </w:rPr>
        <w:t>, existe un sistema conciliatorio nacional, que brinda servicios de mediación a través de 89 centros de conciliación gratuitos y de un Centro de Arbitraje Popular</w:t>
      </w:r>
      <w:r w:rsidR="00B930E7">
        <w:rPr>
          <w:rFonts w:ascii="Times" w:eastAsia="Times New Roman" w:hAnsi="Times" w:cs="Arial"/>
          <w:color w:val="000000" w:themeColor="text1"/>
          <w:lang w:eastAsia="es-MX"/>
        </w:rPr>
        <w:t xml:space="preserve"> “Arbitra Perú”. </w:t>
      </w:r>
    </w:p>
    <w:p w14:paraId="4C9A123F" w14:textId="3842C3CC" w:rsidR="004919A8" w:rsidRDefault="004919A8" w:rsidP="00540E8F">
      <w:pPr>
        <w:jc w:val="both"/>
        <w:rPr>
          <w:rFonts w:ascii="Times" w:eastAsia="Times New Roman" w:hAnsi="Times" w:cs="Arial"/>
          <w:color w:val="000000" w:themeColor="text1"/>
          <w:lang w:eastAsia="es-MX"/>
        </w:rPr>
      </w:pPr>
    </w:p>
    <w:p w14:paraId="7E11297A" w14:textId="263F0D07" w:rsidR="71E8BEB3" w:rsidRDefault="71E8BEB3" w:rsidP="71E8BEB3">
      <w:pPr>
        <w:jc w:val="both"/>
        <w:rPr>
          <w:rFonts w:ascii="Times" w:eastAsia="Times New Roman" w:hAnsi="Times" w:cs="Arial"/>
          <w:color w:val="000000" w:themeColor="text1"/>
          <w:lang w:eastAsia="es-MX"/>
        </w:rPr>
      </w:pPr>
    </w:p>
    <w:sectPr w:rsidR="71E8BEB3" w:rsidSect="00287213">
      <w:pgSz w:w="11900" w:h="16840"/>
      <w:pgMar w:top="1417" w:right="1701" w:bottom="1417" w:left="1701"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5B85E2A" w16cex:dateUtc="2022-02-17T10:39:00Z"/>
  <w16cex:commentExtensible w16cex:durableId="25B85F2B" w16cex:dateUtc="2022-02-17T10:44:00Z"/>
</w16cex:commentsExtensible>
</file>

<file path=word/commentsIds.xml><?xml version="1.0" encoding="utf-8"?>
<w16cid:commentsIds xmlns:mc="http://schemas.openxmlformats.org/markup-compatibility/2006" xmlns:w16cid="http://schemas.microsoft.com/office/word/2016/wordml/cid" mc:Ignorable="w16cid">
  <w16cid:commentId w16cid:paraId="6375F10F" w16cid:durableId="25B85E2A"/>
  <w16cid:commentId w16cid:paraId="532276DF" w16cid:durableId="25B85F2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871FBB" w14:textId="77777777" w:rsidR="0019329F" w:rsidRDefault="0019329F" w:rsidP="0065338D">
      <w:r>
        <w:separator/>
      </w:r>
    </w:p>
  </w:endnote>
  <w:endnote w:type="continuationSeparator" w:id="0">
    <w:p w14:paraId="29F27949" w14:textId="77777777" w:rsidR="0019329F" w:rsidRDefault="0019329F" w:rsidP="00653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4CA7CF" w14:textId="77777777" w:rsidR="0019329F" w:rsidRDefault="0019329F" w:rsidP="0065338D">
      <w:r>
        <w:separator/>
      </w:r>
    </w:p>
  </w:footnote>
  <w:footnote w:type="continuationSeparator" w:id="0">
    <w:p w14:paraId="5F3FC518" w14:textId="77777777" w:rsidR="0019329F" w:rsidRDefault="0019329F" w:rsidP="006533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C1BE6"/>
    <w:multiLevelType w:val="hybridMultilevel"/>
    <w:tmpl w:val="EA009AE2"/>
    <w:lvl w:ilvl="0" w:tplc="3BD26422">
      <w:start w:val="1"/>
      <w:numFmt w:val="bullet"/>
      <w:lvlText w:val=""/>
      <w:lvlJc w:val="left"/>
      <w:pPr>
        <w:ind w:left="720" w:hanging="360"/>
      </w:pPr>
      <w:rPr>
        <w:rFonts w:ascii="Symbol" w:hAnsi="Symbol" w:hint="default"/>
      </w:rPr>
    </w:lvl>
    <w:lvl w:ilvl="1" w:tplc="F05C83BA">
      <w:start w:val="1"/>
      <w:numFmt w:val="bullet"/>
      <w:lvlText w:val="o"/>
      <w:lvlJc w:val="left"/>
      <w:pPr>
        <w:ind w:left="1440" w:hanging="360"/>
      </w:pPr>
      <w:rPr>
        <w:rFonts w:ascii="Courier New" w:hAnsi="Courier New" w:hint="default"/>
      </w:rPr>
    </w:lvl>
    <w:lvl w:ilvl="2" w:tplc="13BA1AC0">
      <w:start w:val="1"/>
      <w:numFmt w:val="bullet"/>
      <w:lvlText w:val=""/>
      <w:lvlJc w:val="left"/>
      <w:pPr>
        <w:ind w:left="2160" w:hanging="360"/>
      </w:pPr>
      <w:rPr>
        <w:rFonts w:ascii="Wingdings" w:hAnsi="Wingdings" w:hint="default"/>
      </w:rPr>
    </w:lvl>
    <w:lvl w:ilvl="3" w:tplc="8752B79A">
      <w:start w:val="1"/>
      <w:numFmt w:val="bullet"/>
      <w:lvlText w:val=""/>
      <w:lvlJc w:val="left"/>
      <w:pPr>
        <w:ind w:left="2880" w:hanging="360"/>
      </w:pPr>
      <w:rPr>
        <w:rFonts w:ascii="Symbol" w:hAnsi="Symbol" w:hint="default"/>
      </w:rPr>
    </w:lvl>
    <w:lvl w:ilvl="4" w:tplc="40BCBC08">
      <w:start w:val="1"/>
      <w:numFmt w:val="bullet"/>
      <w:lvlText w:val="o"/>
      <w:lvlJc w:val="left"/>
      <w:pPr>
        <w:ind w:left="3600" w:hanging="360"/>
      </w:pPr>
      <w:rPr>
        <w:rFonts w:ascii="Courier New" w:hAnsi="Courier New" w:hint="default"/>
      </w:rPr>
    </w:lvl>
    <w:lvl w:ilvl="5" w:tplc="2E16869C">
      <w:start w:val="1"/>
      <w:numFmt w:val="bullet"/>
      <w:lvlText w:val=""/>
      <w:lvlJc w:val="left"/>
      <w:pPr>
        <w:ind w:left="4320" w:hanging="360"/>
      </w:pPr>
      <w:rPr>
        <w:rFonts w:ascii="Wingdings" w:hAnsi="Wingdings" w:hint="default"/>
      </w:rPr>
    </w:lvl>
    <w:lvl w:ilvl="6" w:tplc="746CE28C">
      <w:start w:val="1"/>
      <w:numFmt w:val="bullet"/>
      <w:lvlText w:val=""/>
      <w:lvlJc w:val="left"/>
      <w:pPr>
        <w:ind w:left="5040" w:hanging="360"/>
      </w:pPr>
      <w:rPr>
        <w:rFonts w:ascii="Symbol" w:hAnsi="Symbol" w:hint="default"/>
      </w:rPr>
    </w:lvl>
    <w:lvl w:ilvl="7" w:tplc="D2046ACE">
      <w:start w:val="1"/>
      <w:numFmt w:val="bullet"/>
      <w:lvlText w:val="o"/>
      <w:lvlJc w:val="left"/>
      <w:pPr>
        <w:ind w:left="5760" w:hanging="360"/>
      </w:pPr>
      <w:rPr>
        <w:rFonts w:ascii="Courier New" w:hAnsi="Courier New" w:hint="default"/>
      </w:rPr>
    </w:lvl>
    <w:lvl w:ilvl="8" w:tplc="F72856F8">
      <w:start w:val="1"/>
      <w:numFmt w:val="bullet"/>
      <w:lvlText w:val=""/>
      <w:lvlJc w:val="left"/>
      <w:pPr>
        <w:ind w:left="6480" w:hanging="360"/>
      </w:pPr>
      <w:rPr>
        <w:rFonts w:ascii="Wingdings" w:hAnsi="Wingdings" w:hint="default"/>
      </w:rPr>
    </w:lvl>
  </w:abstractNum>
  <w:abstractNum w:abstractNumId="1">
    <w:nsid w:val="15E94F1F"/>
    <w:multiLevelType w:val="multilevel"/>
    <w:tmpl w:val="3B243AFA"/>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1062A1"/>
    <w:multiLevelType w:val="hybridMultilevel"/>
    <w:tmpl w:val="651C51DE"/>
    <w:lvl w:ilvl="0" w:tplc="3D926C08">
      <w:start w:val="1"/>
      <w:numFmt w:val="bullet"/>
      <w:lvlText w:val=""/>
      <w:lvlJc w:val="left"/>
      <w:pPr>
        <w:ind w:left="720" w:hanging="360"/>
      </w:pPr>
      <w:rPr>
        <w:rFonts w:ascii="Symbol" w:hAnsi="Symbol" w:hint="default"/>
        <w:color w:val="000000" w:themeColor="text1"/>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89B77BB"/>
    <w:multiLevelType w:val="multilevel"/>
    <w:tmpl w:val="08F61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7D92C66"/>
    <w:multiLevelType w:val="hybridMultilevel"/>
    <w:tmpl w:val="F9A86E4E"/>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FFA698E"/>
    <w:multiLevelType w:val="hybridMultilevel"/>
    <w:tmpl w:val="6EC609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E93799D"/>
    <w:multiLevelType w:val="hybridMultilevel"/>
    <w:tmpl w:val="BAD27D98"/>
    <w:lvl w:ilvl="0" w:tplc="E05A98F2">
      <w:start w:val="1"/>
      <w:numFmt w:val="bullet"/>
      <w:lvlText w:val=""/>
      <w:lvlJc w:val="left"/>
      <w:pPr>
        <w:ind w:left="927" w:hanging="360"/>
      </w:pPr>
      <w:rPr>
        <w:rFonts w:ascii="Symbol" w:hAnsi="Symbol" w:hint="default"/>
      </w:rPr>
    </w:lvl>
    <w:lvl w:ilvl="1" w:tplc="FFFFFFFF" w:tentative="1">
      <w:start w:val="1"/>
      <w:numFmt w:val="bullet"/>
      <w:lvlText w:val="o"/>
      <w:lvlJc w:val="left"/>
      <w:pPr>
        <w:ind w:left="1647" w:hanging="360"/>
      </w:pPr>
      <w:rPr>
        <w:rFonts w:ascii="Courier New" w:hAnsi="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7">
    <w:nsid w:val="64F00A33"/>
    <w:multiLevelType w:val="hybridMultilevel"/>
    <w:tmpl w:val="E71E1636"/>
    <w:lvl w:ilvl="0" w:tplc="9DF8A104">
      <w:start w:val="10"/>
      <w:numFmt w:val="decimal"/>
      <w:lvlText w:val="%1."/>
      <w:lvlJc w:val="left"/>
      <w:pPr>
        <w:ind w:left="720" w:hanging="360"/>
      </w:pPr>
    </w:lvl>
    <w:lvl w:ilvl="1" w:tplc="C5A49650">
      <w:start w:val="1"/>
      <w:numFmt w:val="lowerLetter"/>
      <w:lvlText w:val="%2."/>
      <w:lvlJc w:val="left"/>
      <w:pPr>
        <w:ind w:left="1440" w:hanging="360"/>
      </w:pPr>
    </w:lvl>
    <w:lvl w:ilvl="2" w:tplc="166C9818">
      <w:start w:val="1"/>
      <w:numFmt w:val="lowerRoman"/>
      <w:lvlText w:val="%3."/>
      <w:lvlJc w:val="right"/>
      <w:pPr>
        <w:ind w:left="2160" w:hanging="180"/>
      </w:pPr>
    </w:lvl>
    <w:lvl w:ilvl="3" w:tplc="443E916C">
      <w:start w:val="1"/>
      <w:numFmt w:val="decimal"/>
      <w:lvlText w:val="%4."/>
      <w:lvlJc w:val="left"/>
      <w:pPr>
        <w:ind w:left="2880" w:hanging="360"/>
      </w:pPr>
    </w:lvl>
    <w:lvl w:ilvl="4" w:tplc="856AB85E">
      <w:start w:val="1"/>
      <w:numFmt w:val="lowerLetter"/>
      <w:lvlText w:val="%5."/>
      <w:lvlJc w:val="left"/>
      <w:pPr>
        <w:ind w:left="3600" w:hanging="360"/>
      </w:pPr>
    </w:lvl>
    <w:lvl w:ilvl="5" w:tplc="91F4E7AA">
      <w:start w:val="1"/>
      <w:numFmt w:val="lowerRoman"/>
      <w:lvlText w:val="%6."/>
      <w:lvlJc w:val="right"/>
      <w:pPr>
        <w:ind w:left="4320" w:hanging="180"/>
      </w:pPr>
    </w:lvl>
    <w:lvl w:ilvl="6" w:tplc="2728AD5C">
      <w:start w:val="1"/>
      <w:numFmt w:val="decimal"/>
      <w:lvlText w:val="%7."/>
      <w:lvlJc w:val="left"/>
      <w:pPr>
        <w:ind w:left="5040" w:hanging="360"/>
      </w:pPr>
    </w:lvl>
    <w:lvl w:ilvl="7" w:tplc="470C0318">
      <w:start w:val="1"/>
      <w:numFmt w:val="lowerLetter"/>
      <w:lvlText w:val="%8."/>
      <w:lvlJc w:val="left"/>
      <w:pPr>
        <w:ind w:left="5760" w:hanging="360"/>
      </w:pPr>
    </w:lvl>
    <w:lvl w:ilvl="8" w:tplc="28FEEC96">
      <w:start w:val="1"/>
      <w:numFmt w:val="lowerRoman"/>
      <w:lvlText w:val="%9."/>
      <w:lvlJc w:val="right"/>
      <w:pPr>
        <w:ind w:left="6480" w:hanging="180"/>
      </w:pPr>
    </w:lvl>
  </w:abstractNum>
  <w:abstractNum w:abstractNumId="8">
    <w:nsid w:val="6A9B1729"/>
    <w:multiLevelType w:val="hybridMultilevel"/>
    <w:tmpl w:val="520649E4"/>
    <w:lvl w:ilvl="0" w:tplc="1AB4D9E6">
      <w:start w:val="4"/>
      <w:numFmt w:val="decimal"/>
      <w:lvlText w:val="%1."/>
      <w:lvlJc w:val="left"/>
      <w:pPr>
        <w:ind w:left="720" w:hanging="360"/>
      </w:pPr>
    </w:lvl>
    <w:lvl w:ilvl="1" w:tplc="FEF82340">
      <w:start w:val="1"/>
      <w:numFmt w:val="lowerLetter"/>
      <w:lvlText w:val="%2."/>
      <w:lvlJc w:val="left"/>
      <w:pPr>
        <w:ind w:left="1440" w:hanging="360"/>
      </w:pPr>
    </w:lvl>
    <w:lvl w:ilvl="2" w:tplc="C87492A4">
      <w:start w:val="1"/>
      <w:numFmt w:val="lowerRoman"/>
      <w:lvlText w:val="%3."/>
      <w:lvlJc w:val="right"/>
      <w:pPr>
        <w:ind w:left="2160" w:hanging="180"/>
      </w:pPr>
    </w:lvl>
    <w:lvl w:ilvl="3" w:tplc="0DD61C3A">
      <w:start w:val="1"/>
      <w:numFmt w:val="decimal"/>
      <w:lvlText w:val="%4."/>
      <w:lvlJc w:val="left"/>
      <w:pPr>
        <w:ind w:left="2880" w:hanging="360"/>
      </w:pPr>
    </w:lvl>
    <w:lvl w:ilvl="4" w:tplc="5B1A8AE8">
      <w:start w:val="1"/>
      <w:numFmt w:val="lowerLetter"/>
      <w:lvlText w:val="%5."/>
      <w:lvlJc w:val="left"/>
      <w:pPr>
        <w:ind w:left="3600" w:hanging="360"/>
      </w:pPr>
    </w:lvl>
    <w:lvl w:ilvl="5" w:tplc="78EC63D4">
      <w:start w:val="1"/>
      <w:numFmt w:val="lowerRoman"/>
      <w:lvlText w:val="%6."/>
      <w:lvlJc w:val="right"/>
      <w:pPr>
        <w:ind w:left="4320" w:hanging="180"/>
      </w:pPr>
    </w:lvl>
    <w:lvl w:ilvl="6" w:tplc="26F4C210">
      <w:start w:val="1"/>
      <w:numFmt w:val="decimal"/>
      <w:lvlText w:val="%7."/>
      <w:lvlJc w:val="left"/>
      <w:pPr>
        <w:ind w:left="5040" w:hanging="360"/>
      </w:pPr>
    </w:lvl>
    <w:lvl w:ilvl="7" w:tplc="70F86B88">
      <w:start w:val="1"/>
      <w:numFmt w:val="lowerLetter"/>
      <w:lvlText w:val="%8."/>
      <w:lvlJc w:val="left"/>
      <w:pPr>
        <w:ind w:left="5760" w:hanging="360"/>
      </w:pPr>
    </w:lvl>
    <w:lvl w:ilvl="8" w:tplc="DCBE1416">
      <w:start w:val="1"/>
      <w:numFmt w:val="lowerRoman"/>
      <w:lvlText w:val="%9."/>
      <w:lvlJc w:val="right"/>
      <w:pPr>
        <w:ind w:left="6480" w:hanging="180"/>
      </w:pPr>
    </w:lvl>
  </w:abstractNum>
  <w:abstractNum w:abstractNumId="9">
    <w:nsid w:val="6DF81712"/>
    <w:multiLevelType w:val="hybridMultilevel"/>
    <w:tmpl w:val="9EB633E2"/>
    <w:lvl w:ilvl="0" w:tplc="E7C64E64">
      <w:start w:val="5"/>
      <w:numFmt w:val="decimal"/>
      <w:lvlText w:val="%1."/>
      <w:lvlJc w:val="left"/>
      <w:pPr>
        <w:ind w:left="720" w:hanging="360"/>
      </w:pPr>
    </w:lvl>
    <w:lvl w:ilvl="1" w:tplc="D30C0B90">
      <w:start w:val="1"/>
      <w:numFmt w:val="lowerLetter"/>
      <w:lvlText w:val="%2."/>
      <w:lvlJc w:val="left"/>
      <w:pPr>
        <w:ind w:left="1440" w:hanging="360"/>
      </w:pPr>
    </w:lvl>
    <w:lvl w:ilvl="2" w:tplc="105AC19C">
      <w:start w:val="1"/>
      <w:numFmt w:val="lowerRoman"/>
      <w:lvlText w:val="%3."/>
      <w:lvlJc w:val="right"/>
      <w:pPr>
        <w:ind w:left="2160" w:hanging="180"/>
      </w:pPr>
    </w:lvl>
    <w:lvl w:ilvl="3" w:tplc="201EA56A">
      <w:start w:val="1"/>
      <w:numFmt w:val="decimal"/>
      <w:lvlText w:val="%4."/>
      <w:lvlJc w:val="left"/>
      <w:pPr>
        <w:ind w:left="2880" w:hanging="360"/>
      </w:pPr>
    </w:lvl>
    <w:lvl w:ilvl="4" w:tplc="3F60977A">
      <w:start w:val="1"/>
      <w:numFmt w:val="lowerLetter"/>
      <w:lvlText w:val="%5."/>
      <w:lvlJc w:val="left"/>
      <w:pPr>
        <w:ind w:left="3600" w:hanging="360"/>
      </w:pPr>
    </w:lvl>
    <w:lvl w:ilvl="5" w:tplc="C83ADB3E">
      <w:start w:val="1"/>
      <w:numFmt w:val="lowerRoman"/>
      <w:lvlText w:val="%6."/>
      <w:lvlJc w:val="right"/>
      <w:pPr>
        <w:ind w:left="4320" w:hanging="180"/>
      </w:pPr>
    </w:lvl>
    <w:lvl w:ilvl="6" w:tplc="8B2215CC">
      <w:start w:val="1"/>
      <w:numFmt w:val="decimal"/>
      <w:lvlText w:val="%7."/>
      <w:lvlJc w:val="left"/>
      <w:pPr>
        <w:ind w:left="5040" w:hanging="360"/>
      </w:pPr>
    </w:lvl>
    <w:lvl w:ilvl="7" w:tplc="B41049BE">
      <w:start w:val="1"/>
      <w:numFmt w:val="lowerLetter"/>
      <w:lvlText w:val="%8."/>
      <w:lvlJc w:val="left"/>
      <w:pPr>
        <w:ind w:left="5760" w:hanging="360"/>
      </w:pPr>
    </w:lvl>
    <w:lvl w:ilvl="8" w:tplc="5F8A8C18">
      <w:start w:val="1"/>
      <w:numFmt w:val="lowerRoman"/>
      <w:lvlText w:val="%9."/>
      <w:lvlJc w:val="right"/>
      <w:pPr>
        <w:ind w:left="6480" w:hanging="180"/>
      </w:pPr>
    </w:lvl>
  </w:abstractNum>
  <w:abstractNum w:abstractNumId="10">
    <w:nsid w:val="756E4094"/>
    <w:multiLevelType w:val="multilevel"/>
    <w:tmpl w:val="7E2E50D0"/>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6E04DF7"/>
    <w:multiLevelType w:val="hybridMultilevel"/>
    <w:tmpl w:val="764A5FCA"/>
    <w:lvl w:ilvl="0" w:tplc="4A62F036">
      <w:start w:val="1"/>
      <w:numFmt w:val="decimal"/>
      <w:lvlText w:val="%1."/>
      <w:lvlJc w:val="left"/>
      <w:pPr>
        <w:ind w:left="720" w:hanging="360"/>
      </w:pPr>
    </w:lvl>
    <w:lvl w:ilvl="1" w:tplc="E9A869DE">
      <w:start w:val="1"/>
      <w:numFmt w:val="lowerLetter"/>
      <w:lvlText w:val="%2."/>
      <w:lvlJc w:val="left"/>
      <w:pPr>
        <w:ind w:left="1440" w:hanging="360"/>
      </w:pPr>
    </w:lvl>
    <w:lvl w:ilvl="2" w:tplc="CAF49732">
      <w:start w:val="1"/>
      <w:numFmt w:val="lowerRoman"/>
      <w:lvlText w:val="%3."/>
      <w:lvlJc w:val="right"/>
      <w:pPr>
        <w:ind w:left="2160" w:hanging="180"/>
      </w:pPr>
    </w:lvl>
    <w:lvl w:ilvl="3" w:tplc="D250D224">
      <w:start w:val="1"/>
      <w:numFmt w:val="decimal"/>
      <w:lvlText w:val="%4."/>
      <w:lvlJc w:val="left"/>
      <w:pPr>
        <w:ind w:left="2880" w:hanging="360"/>
      </w:pPr>
    </w:lvl>
    <w:lvl w:ilvl="4" w:tplc="55229496">
      <w:start w:val="1"/>
      <w:numFmt w:val="lowerLetter"/>
      <w:lvlText w:val="%5."/>
      <w:lvlJc w:val="left"/>
      <w:pPr>
        <w:ind w:left="3600" w:hanging="360"/>
      </w:pPr>
    </w:lvl>
    <w:lvl w:ilvl="5" w:tplc="B3E00C3A">
      <w:start w:val="1"/>
      <w:numFmt w:val="lowerRoman"/>
      <w:lvlText w:val="%6."/>
      <w:lvlJc w:val="right"/>
      <w:pPr>
        <w:ind w:left="4320" w:hanging="180"/>
      </w:pPr>
    </w:lvl>
    <w:lvl w:ilvl="6" w:tplc="62C0E35E">
      <w:start w:val="1"/>
      <w:numFmt w:val="decimal"/>
      <w:lvlText w:val="%7."/>
      <w:lvlJc w:val="left"/>
      <w:pPr>
        <w:ind w:left="5040" w:hanging="360"/>
      </w:pPr>
    </w:lvl>
    <w:lvl w:ilvl="7" w:tplc="07FCC716">
      <w:start w:val="1"/>
      <w:numFmt w:val="lowerLetter"/>
      <w:lvlText w:val="%8."/>
      <w:lvlJc w:val="left"/>
      <w:pPr>
        <w:ind w:left="5760" w:hanging="360"/>
      </w:pPr>
    </w:lvl>
    <w:lvl w:ilvl="8" w:tplc="1E8C4A14">
      <w:start w:val="1"/>
      <w:numFmt w:val="lowerRoman"/>
      <w:lvlText w:val="%9."/>
      <w:lvlJc w:val="right"/>
      <w:pPr>
        <w:ind w:left="6480" w:hanging="180"/>
      </w:pPr>
    </w:lvl>
  </w:abstractNum>
  <w:abstractNum w:abstractNumId="12">
    <w:nsid w:val="77857635"/>
    <w:multiLevelType w:val="hybridMultilevel"/>
    <w:tmpl w:val="3D460588"/>
    <w:lvl w:ilvl="0" w:tplc="7E1A4964">
      <w:start w:val="9"/>
      <w:numFmt w:val="decimal"/>
      <w:lvlText w:val="%1."/>
      <w:lvlJc w:val="left"/>
      <w:pPr>
        <w:ind w:left="720" w:hanging="360"/>
      </w:pPr>
    </w:lvl>
    <w:lvl w:ilvl="1" w:tplc="DDD8234A">
      <w:start w:val="1"/>
      <w:numFmt w:val="lowerLetter"/>
      <w:lvlText w:val="%2."/>
      <w:lvlJc w:val="left"/>
      <w:pPr>
        <w:ind w:left="1440" w:hanging="360"/>
      </w:pPr>
    </w:lvl>
    <w:lvl w:ilvl="2" w:tplc="3022F51A">
      <w:start w:val="1"/>
      <w:numFmt w:val="lowerRoman"/>
      <w:lvlText w:val="%3."/>
      <w:lvlJc w:val="right"/>
      <w:pPr>
        <w:ind w:left="2160" w:hanging="180"/>
      </w:pPr>
    </w:lvl>
    <w:lvl w:ilvl="3" w:tplc="A566AF38">
      <w:start w:val="1"/>
      <w:numFmt w:val="decimal"/>
      <w:lvlText w:val="%4."/>
      <w:lvlJc w:val="left"/>
      <w:pPr>
        <w:ind w:left="2880" w:hanging="360"/>
      </w:pPr>
    </w:lvl>
    <w:lvl w:ilvl="4" w:tplc="61F672C8">
      <w:start w:val="1"/>
      <w:numFmt w:val="lowerLetter"/>
      <w:lvlText w:val="%5."/>
      <w:lvlJc w:val="left"/>
      <w:pPr>
        <w:ind w:left="3600" w:hanging="360"/>
      </w:pPr>
    </w:lvl>
    <w:lvl w:ilvl="5" w:tplc="C4E63216">
      <w:start w:val="1"/>
      <w:numFmt w:val="lowerRoman"/>
      <w:lvlText w:val="%6."/>
      <w:lvlJc w:val="right"/>
      <w:pPr>
        <w:ind w:left="4320" w:hanging="180"/>
      </w:pPr>
    </w:lvl>
    <w:lvl w:ilvl="6" w:tplc="D6AAD050">
      <w:start w:val="1"/>
      <w:numFmt w:val="decimal"/>
      <w:lvlText w:val="%7."/>
      <w:lvlJc w:val="left"/>
      <w:pPr>
        <w:ind w:left="5040" w:hanging="360"/>
      </w:pPr>
    </w:lvl>
    <w:lvl w:ilvl="7" w:tplc="026C54D0">
      <w:start w:val="1"/>
      <w:numFmt w:val="lowerLetter"/>
      <w:lvlText w:val="%8."/>
      <w:lvlJc w:val="left"/>
      <w:pPr>
        <w:ind w:left="5760" w:hanging="360"/>
      </w:pPr>
    </w:lvl>
    <w:lvl w:ilvl="8" w:tplc="345AE5CA">
      <w:start w:val="1"/>
      <w:numFmt w:val="lowerRoman"/>
      <w:lvlText w:val="%9."/>
      <w:lvlJc w:val="right"/>
      <w:pPr>
        <w:ind w:left="6480" w:hanging="180"/>
      </w:pPr>
    </w:lvl>
  </w:abstractNum>
  <w:abstractNum w:abstractNumId="13">
    <w:nsid w:val="7B856299"/>
    <w:multiLevelType w:val="multilevel"/>
    <w:tmpl w:val="CA245E18"/>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2"/>
  </w:num>
  <w:num w:numId="3">
    <w:abstractNumId w:val="0"/>
  </w:num>
  <w:num w:numId="4">
    <w:abstractNumId w:val="9"/>
  </w:num>
  <w:num w:numId="5">
    <w:abstractNumId w:val="8"/>
  </w:num>
  <w:num w:numId="6">
    <w:abstractNumId w:val="11"/>
  </w:num>
  <w:num w:numId="7">
    <w:abstractNumId w:val="4"/>
  </w:num>
  <w:num w:numId="8">
    <w:abstractNumId w:val="5"/>
  </w:num>
  <w:num w:numId="9">
    <w:abstractNumId w:val="6"/>
  </w:num>
  <w:num w:numId="10">
    <w:abstractNumId w:val="2"/>
  </w:num>
  <w:num w:numId="11">
    <w:abstractNumId w:val="13"/>
  </w:num>
  <w:num w:numId="12">
    <w:abstractNumId w:val="3"/>
  </w:num>
  <w:num w:numId="13">
    <w:abstractNumId w:val="1"/>
  </w:num>
  <w:num w:numId="14">
    <w:abstractNumId w:val="1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38D"/>
    <w:rsid w:val="0001744C"/>
    <w:rsid w:val="000662DF"/>
    <w:rsid w:val="00073247"/>
    <w:rsid w:val="00112ACA"/>
    <w:rsid w:val="0019329F"/>
    <w:rsid w:val="00194D5E"/>
    <w:rsid w:val="001D3DED"/>
    <w:rsid w:val="001E439D"/>
    <w:rsid w:val="002003E9"/>
    <w:rsid w:val="0021613E"/>
    <w:rsid w:val="0024025A"/>
    <w:rsid w:val="00243610"/>
    <w:rsid w:val="00277231"/>
    <w:rsid w:val="00287213"/>
    <w:rsid w:val="002A30C1"/>
    <w:rsid w:val="002B432C"/>
    <w:rsid w:val="002D69F0"/>
    <w:rsid w:val="002F0FBF"/>
    <w:rsid w:val="002F7435"/>
    <w:rsid w:val="0030106A"/>
    <w:rsid w:val="00322029"/>
    <w:rsid w:val="00326A9B"/>
    <w:rsid w:val="003547EE"/>
    <w:rsid w:val="003A04BE"/>
    <w:rsid w:val="003A1BC5"/>
    <w:rsid w:val="003B3828"/>
    <w:rsid w:val="003E5270"/>
    <w:rsid w:val="00421CFB"/>
    <w:rsid w:val="004366AB"/>
    <w:rsid w:val="00453070"/>
    <w:rsid w:val="00453A16"/>
    <w:rsid w:val="00473A76"/>
    <w:rsid w:val="004919A8"/>
    <w:rsid w:val="004F345D"/>
    <w:rsid w:val="00503C14"/>
    <w:rsid w:val="0053065D"/>
    <w:rsid w:val="00535C18"/>
    <w:rsid w:val="00540E8F"/>
    <w:rsid w:val="00546631"/>
    <w:rsid w:val="005C1133"/>
    <w:rsid w:val="005F0000"/>
    <w:rsid w:val="00621EC1"/>
    <w:rsid w:val="00626063"/>
    <w:rsid w:val="0065338D"/>
    <w:rsid w:val="00657FE7"/>
    <w:rsid w:val="00662192"/>
    <w:rsid w:val="00670DE2"/>
    <w:rsid w:val="00671E36"/>
    <w:rsid w:val="00682232"/>
    <w:rsid w:val="00710D8D"/>
    <w:rsid w:val="00727CAD"/>
    <w:rsid w:val="00736470"/>
    <w:rsid w:val="00742074"/>
    <w:rsid w:val="00756BC5"/>
    <w:rsid w:val="00770552"/>
    <w:rsid w:val="00784945"/>
    <w:rsid w:val="007E04B8"/>
    <w:rsid w:val="007F2ECE"/>
    <w:rsid w:val="008905BB"/>
    <w:rsid w:val="00917EE3"/>
    <w:rsid w:val="00943284"/>
    <w:rsid w:val="00950A2E"/>
    <w:rsid w:val="00957E89"/>
    <w:rsid w:val="009740BA"/>
    <w:rsid w:val="009A007F"/>
    <w:rsid w:val="009A6491"/>
    <w:rsid w:val="009C1099"/>
    <w:rsid w:val="009C7D76"/>
    <w:rsid w:val="009D3716"/>
    <w:rsid w:val="009F4918"/>
    <w:rsid w:val="00A0036F"/>
    <w:rsid w:val="00AD1994"/>
    <w:rsid w:val="00B039AA"/>
    <w:rsid w:val="00B553B3"/>
    <w:rsid w:val="00B930E7"/>
    <w:rsid w:val="00BA19DB"/>
    <w:rsid w:val="00BD535A"/>
    <w:rsid w:val="00BF041A"/>
    <w:rsid w:val="00C90C00"/>
    <w:rsid w:val="00CC4E83"/>
    <w:rsid w:val="00CE28FB"/>
    <w:rsid w:val="00CE632B"/>
    <w:rsid w:val="00D13D9C"/>
    <w:rsid w:val="00D201B8"/>
    <w:rsid w:val="00D43864"/>
    <w:rsid w:val="00D7741F"/>
    <w:rsid w:val="00D86CD1"/>
    <w:rsid w:val="00DE48E9"/>
    <w:rsid w:val="00DF4CFF"/>
    <w:rsid w:val="00E04082"/>
    <w:rsid w:val="00E23F7D"/>
    <w:rsid w:val="00E6483A"/>
    <w:rsid w:val="00E70BE1"/>
    <w:rsid w:val="00E7391E"/>
    <w:rsid w:val="00E739FB"/>
    <w:rsid w:val="00EA3E78"/>
    <w:rsid w:val="00EB0FF6"/>
    <w:rsid w:val="00F62092"/>
    <w:rsid w:val="00F909FA"/>
    <w:rsid w:val="00FB3A26"/>
    <w:rsid w:val="00FB3C6F"/>
    <w:rsid w:val="00FC0800"/>
    <w:rsid w:val="71E8BEB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5F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38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undamentacion,List Paragraph1,NUMBERED PARAGRAPH,List Paragraph 1,References,ReferencesCxSpLast,lp1,Footnote,NIVEL ONE,Párrafo de lista1,paul2,List Paragraph,Titulo 1,Cita Pie de Página,titulo,Párrafo de lista11,titulo 3,Bullets,Dot pt"/>
    <w:basedOn w:val="Normal"/>
    <w:link w:val="PrrafodelistaCar"/>
    <w:uiPriority w:val="34"/>
    <w:qFormat/>
    <w:rsid w:val="0065338D"/>
    <w:pPr>
      <w:ind w:left="720"/>
      <w:contextualSpacing/>
    </w:pPr>
  </w:style>
  <w:style w:type="character" w:customStyle="1" w:styleId="TextonotapieCar">
    <w:name w:val="Texto nota pie Car"/>
    <w:aliases w:val="FA Fu Car,+ 10 pt Car Car,+ 10 pt Car1,Nota a pie/Bibliog Car,Footnote Text Char Char Char Char Car,Footnote Text Char Char Char Car,single space Car,footnote text Car,fn Car,FOOTNOTES Car,Fußnotentextr Car,single space Char Char Car"/>
    <w:basedOn w:val="Fuentedeprrafopredeter"/>
    <w:link w:val="Textonotapie"/>
    <w:uiPriority w:val="99"/>
    <w:semiHidden/>
    <w:qFormat/>
    <w:locked/>
    <w:rsid w:val="0065338D"/>
    <w:rPr>
      <w:sz w:val="20"/>
      <w:szCs w:val="20"/>
      <w:lang w:val="es-MX"/>
    </w:rPr>
  </w:style>
  <w:style w:type="paragraph" w:styleId="Textonotapie">
    <w:name w:val="footnote text"/>
    <w:aliases w:val="FA Fu,+ 10 pt Car,+ 10 pt,Nota a pie/Bibliog,Footnote Text Char Char Char Char,Footnote Text Char Char Char,single space,footnote text,fn,FOOTNOTES,Footnote Text Char Char Char Char Char Char,Fußnotentextr,single space Char Char,Geneva 9"/>
    <w:basedOn w:val="Normal"/>
    <w:link w:val="TextonotapieCar"/>
    <w:uiPriority w:val="99"/>
    <w:semiHidden/>
    <w:unhideWhenUsed/>
    <w:qFormat/>
    <w:rsid w:val="0065338D"/>
    <w:rPr>
      <w:sz w:val="20"/>
      <w:szCs w:val="20"/>
      <w:lang w:val="es-MX"/>
    </w:rPr>
  </w:style>
  <w:style w:type="character" w:customStyle="1" w:styleId="TextonotapieCar1">
    <w:name w:val="Texto nota pie Car1"/>
    <w:basedOn w:val="Fuentedeprrafopredeter"/>
    <w:uiPriority w:val="99"/>
    <w:semiHidden/>
    <w:rsid w:val="0065338D"/>
    <w:rPr>
      <w:sz w:val="20"/>
      <w:szCs w:val="20"/>
    </w:rPr>
  </w:style>
  <w:style w:type="character" w:styleId="Refdenotaalpie">
    <w:name w:val="footnote reference"/>
    <w:aliases w:val="Ref,de nota al pie,Appel note de bas de page,Ref. de nota al pie.,16 Point,Superscript 6 Point,FC,BVI fnr,ftref Car Car Car Car Car,BVI fnr Char Car Car Car Car Car Car,BVI fnr Zchn Char Car Char Car Char Car Car Car Car Car Car Car"/>
    <w:basedOn w:val="Fuentedeprrafopredeter"/>
    <w:link w:val="ftrefCarCarCarCar"/>
    <w:uiPriority w:val="99"/>
    <w:unhideWhenUsed/>
    <w:qFormat/>
    <w:rsid w:val="0065338D"/>
    <w:rPr>
      <w:vertAlign w:val="superscript"/>
    </w:rPr>
  </w:style>
  <w:style w:type="paragraph" w:customStyle="1" w:styleId="ftrefCarCarCarCar">
    <w:name w:val="ftref Car Car Car Car"/>
    <w:aliases w:val="BVI fnr Char Car Car Car Car Car,BVI fnr Zchn Char Car Char Car Char Car Car Car Car Car"/>
    <w:basedOn w:val="Normal"/>
    <w:link w:val="Refdenotaalpie"/>
    <w:uiPriority w:val="99"/>
    <w:rsid w:val="0065338D"/>
    <w:pPr>
      <w:spacing w:after="160" w:line="240" w:lineRule="exact"/>
    </w:pPr>
    <w:rPr>
      <w:vertAlign w:val="superscript"/>
    </w:rPr>
  </w:style>
  <w:style w:type="character" w:customStyle="1" w:styleId="PrrafodelistaCar">
    <w:name w:val="Párrafo de lista Car"/>
    <w:aliases w:val="Fundamentacion Car,List Paragraph1 Car,NUMBERED PARAGRAPH Car,List Paragraph 1 Car,References Car,ReferencesCxSpLast Car,lp1 Car,Footnote Car,NIVEL ONE Car,Párrafo de lista1 Car,paul2 Car,List Paragraph Car,Titulo 1 Car,titulo Car"/>
    <w:link w:val="Prrafodelista"/>
    <w:uiPriority w:val="34"/>
    <w:qFormat/>
    <w:locked/>
    <w:rsid w:val="0065338D"/>
  </w:style>
  <w:style w:type="character" w:styleId="Hipervnculo">
    <w:name w:val="Hyperlink"/>
    <w:basedOn w:val="Fuentedeprrafopredeter"/>
    <w:uiPriority w:val="99"/>
    <w:semiHidden/>
    <w:unhideWhenUsed/>
    <w:rsid w:val="0065338D"/>
    <w:rPr>
      <w:color w:val="0563C1" w:themeColor="hyperlink"/>
      <w:u w:val="single"/>
    </w:rPr>
  </w:style>
  <w:style w:type="paragraph" w:customStyle="1" w:styleId="paragraph">
    <w:name w:val="paragraph"/>
    <w:basedOn w:val="Normal"/>
    <w:rsid w:val="0065338D"/>
    <w:pPr>
      <w:spacing w:before="100" w:beforeAutospacing="1" w:after="100" w:afterAutospacing="1"/>
    </w:pPr>
    <w:rPr>
      <w:rFonts w:ascii="Times New Roman" w:eastAsia="Times New Roman" w:hAnsi="Times New Roman" w:cs="Times New Roman"/>
      <w:lang w:eastAsia="es-MX"/>
    </w:rPr>
  </w:style>
  <w:style w:type="character" w:customStyle="1" w:styleId="normaltextrun">
    <w:name w:val="normaltextrun"/>
    <w:basedOn w:val="Fuentedeprrafopredeter"/>
    <w:rsid w:val="0065338D"/>
  </w:style>
  <w:style w:type="character" w:customStyle="1" w:styleId="eop">
    <w:name w:val="eop"/>
    <w:basedOn w:val="Fuentedeprrafopredeter"/>
    <w:rsid w:val="0065338D"/>
  </w:style>
  <w:style w:type="character" w:customStyle="1" w:styleId="findhit">
    <w:name w:val="findhit"/>
    <w:basedOn w:val="Fuentedeprrafopredeter"/>
    <w:rsid w:val="00D86CD1"/>
  </w:style>
  <w:style w:type="character" w:styleId="Refdecomentario">
    <w:name w:val="annotation reference"/>
    <w:basedOn w:val="Fuentedeprrafopredeter"/>
    <w:uiPriority w:val="99"/>
    <w:semiHidden/>
    <w:unhideWhenUsed/>
    <w:rsid w:val="00FB3A26"/>
    <w:rPr>
      <w:sz w:val="16"/>
      <w:szCs w:val="16"/>
    </w:rPr>
  </w:style>
  <w:style w:type="paragraph" w:styleId="Textocomentario">
    <w:name w:val="annotation text"/>
    <w:basedOn w:val="Normal"/>
    <w:link w:val="TextocomentarioCar"/>
    <w:uiPriority w:val="99"/>
    <w:semiHidden/>
    <w:unhideWhenUsed/>
    <w:rsid w:val="00FB3A26"/>
    <w:rPr>
      <w:sz w:val="20"/>
      <w:szCs w:val="20"/>
    </w:rPr>
  </w:style>
  <w:style w:type="character" w:customStyle="1" w:styleId="TextocomentarioCar">
    <w:name w:val="Texto comentario Car"/>
    <w:basedOn w:val="Fuentedeprrafopredeter"/>
    <w:link w:val="Textocomentario"/>
    <w:uiPriority w:val="99"/>
    <w:semiHidden/>
    <w:rsid w:val="00FB3A26"/>
    <w:rPr>
      <w:sz w:val="20"/>
      <w:szCs w:val="20"/>
    </w:rPr>
  </w:style>
  <w:style w:type="paragraph" w:styleId="Asuntodelcomentario">
    <w:name w:val="annotation subject"/>
    <w:basedOn w:val="Textocomentario"/>
    <w:next w:val="Textocomentario"/>
    <w:link w:val="AsuntodelcomentarioCar"/>
    <w:uiPriority w:val="99"/>
    <w:semiHidden/>
    <w:unhideWhenUsed/>
    <w:rsid w:val="00FB3A26"/>
    <w:rPr>
      <w:b/>
      <w:bCs/>
    </w:rPr>
  </w:style>
  <w:style w:type="character" w:customStyle="1" w:styleId="AsuntodelcomentarioCar">
    <w:name w:val="Asunto del comentario Car"/>
    <w:basedOn w:val="TextocomentarioCar"/>
    <w:link w:val="Asuntodelcomentario"/>
    <w:uiPriority w:val="99"/>
    <w:semiHidden/>
    <w:rsid w:val="00FB3A26"/>
    <w:rPr>
      <w:b/>
      <w:bCs/>
      <w:sz w:val="20"/>
      <w:szCs w:val="20"/>
    </w:rPr>
  </w:style>
  <w:style w:type="paragraph" w:styleId="Revisin">
    <w:name w:val="Revision"/>
    <w:hidden/>
    <w:uiPriority w:val="99"/>
    <w:semiHidden/>
    <w:rsid w:val="00FB3A26"/>
  </w:style>
  <w:style w:type="paragraph" w:styleId="Textodeglobo">
    <w:name w:val="Balloon Text"/>
    <w:basedOn w:val="Normal"/>
    <w:link w:val="TextodegloboCar"/>
    <w:uiPriority w:val="99"/>
    <w:semiHidden/>
    <w:unhideWhenUsed/>
    <w:rsid w:val="009C7D7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7D7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38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undamentacion,List Paragraph1,NUMBERED PARAGRAPH,List Paragraph 1,References,ReferencesCxSpLast,lp1,Footnote,NIVEL ONE,Párrafo de lista1,paul2,List Paragraph,Titulo 1,Cita Pie de Página,titulo,Párrafo de lista11,titulo 3,Bullets,Dot pt"/>
    <w:basedOn w:val="Normal"/>
    <w:link w:val="PrrafodelistaCar"/>
    <w:uiPriority w:val="34"/>
    <w:qFormat/>
    <w:rsid w:val="0065338D"/>
    <w:pPr>
      <w:ind w:left="720"/>
      <w:contextualSpacing/>
    </w:pPr>
  </w:style>
  <w:style w:type="character" w:customStyle="1" w:styleId="TextonotapieCar">
    <w:name w:val="Texto nota pie Car"/>
    <w:aliases w:val="FA Fu Car,+ 10 pt Car Car,+ 10 pt Car1,Nota a pie/Bibliog Car,Footnote Text Char Char Char Char Car,Footnote Text Char Char Char Car,single space Car,footnote text Car,fn Car,FOOTNOTES Car,Fußnotentextr Car,single space Char Char Car"/>
    <w:basedOn w:val="Fuentedeprrafopredeter"/>
    <w:link w:val="Textonotapie"/>
    <w:uiPriority w:val="99"/>
    <w:semiHidden/>
    <w:qFormat/>
    <w:locked/>
    <w:rsid w:val="0065338D"/>
    <w:rPr>
      <w:sz w:val="20"/>
      <w:szCs w:val="20"/>
      <w:lang w:val="es-MX"/>
    </w:rPr>
  </w:style>
  <w:style w:type="paragraph" w:styleId="Textonotapie">
    <w:name w:val="footnote text"/>
    <w:aliases w:val="FA Fu,+ 10 pt Car,+ 10 pt,Nota a pie/Bibliog,Footnote Text Char Char Char Char,Footnote Text Char Char Char,single space,footnote text,fn,FOOTNOTES,Footnote Text Char Char Char Char Char Char,Fußnotentextr,single space Char Char,Geneva 9"/>
    <w:basedOn w:val="Normal"/>
    <w:link w:val="TextonotapieCar"/>
    <w:uiPriority w:val="99"/>
    <w:semiHidden/>
    <w:unhideWhenUsed/>
    <w:qFormat/>
    <w:rsid w:val="0065338D"/>
    <w:rPr>
      <w:sz w:val="20"/>
      <w:szCs w:val="20"/>
      <w:lang w:val="es-MX"/>
    </w:rPr>
  </w:style>
  <w:style w:type="character" w:customStyle="1" w:styleId="TextonotapieCar1">
    <w:name w:val="Texto nota pie Car1"/>
    <w:basedOn w:val="Fuentedeprrafopredeter"/>
    <w:uiPriority w:val="99"/>
    <w:semiHidden/>
    <w:rsid w:val="0065338D"/>
    <w:rPr>
      <w:sz w:val="20"/>
      <w:szCs w:val="20"/>
    </w:rPr>
  </w:style>
  <w:style w:type="character" w:styleId="Refdenotaalpie">
    <w:name w:val="footnote reference"/>
    <w:aliases w:val="Ref,de nota al pie,Appel note de bas de page,Ref. de nota al pie.,16 Point,Superscript 6 Point,FC,BVI fnr,ftref Car Car Car Car Car,BVI fnr Char Car Car Car Car Car Car,BVI fnr Zchn Char Car Char Car Char Car Car Car Car Car Car Car"/>
    <w:basedOn w:val="Fuentedeprrafopredeter"/>
    <w:link w:val="ftrefCarCarCarCar"/>
    <w:uiPriority w:val="99"/>
    <w:unhideWhenUsed/>
    <w:qFormat/>
    <w:rsid w:val="0065338D"/>
    <w:rPr>
      <w:vertAlign w:val="superscript"/>
    </w:rPr>
  </w:style>
  <w:style w:type="paragraph" w:customStyle="1" w:styleId="ftrefCarCarCarCar">
    <w:name w:val="ftref Car Car Car Car"/>
    <w:aliases w:val="BVI fnr Char Car Car Car Car Car,BVI fnr Zchn Char Car Char Car Char Car Car Car Car Car"/>
    <w:basedOn w:val="Normal"/>
    <w:link w:val="Refdenotaalpie"/>
    <w:uiPriority w:val="99"/>
    <w:rsid w:val="0065338D"/>
    <w:pPr>
      <w:spacing w:after="160" w:line="240" w:lineRule="exact"/>
    </w:pPr>
    <w:rPr>
      <w:vertAlign w:val="superscript"/>
    </w:rPr>
  </w:style>
  <w:style w:type="character" w:customStyle="1" w:styleId="PrrafodelistaCar">
    <w:name w:val="Párrafo de lista Car"/>
    <w:aliases w:val="Fundamentacion Car,List Paragraph1 Car,NUMBERED PARAGRAPH Car,List Paragraph 1 Car,References Car,ReferencesCxSpLast Car,lp1 Car,Footnote Car,NIVEL ONE Car,Párrafo de lista1 Car,paul2 Car,List Paragraph Car,Titulo 1 Car,titulo Car"/>
    <w:link w:val="Prrafodelista"/>
    <w:uiPriority w:val="34"/>
    <w:qFormat/>
    <w:locked/>
    <w:rsid w:val="0065338D"/>
  </w:style>
  <w:style w:type="character" w:styleId="Hipervnculo">
    <w:name w:val="Hyperlink"/>
    <w:basedOn w:val="Fuentedeprrafopredeter"/>
    <w:uiPriority w:val="99"/>
    <w:semiHidden/>
    <w:unhideWhenUsed/>
    <w:rsid w:val="0065338D"/>
    <w:rPr>
      <w:color w:val="0563C1" w:themeColor="hyperlink"/>
      <w:u w:val="single"/>
    </w:rPr>
  </w:style>
  <w:style w:type="paragraph" w:customStyle="1" w:styleId="paragraph">
    <w:name w:val="paragraph"/>
    <w:basedOn w:val="Normal"/>
    <w:rsid w:val="0065338D"/>
    <w:pPr>
      <w:spacing w:before="100" w:beforeAutospacing="1" w:after="100" w:afterAutospacing="1"/>
    </w:pPr>
    <w:rPr>
      <w:rFonts w:ascii="Times New Roman" w:eastAsia="Times New Roman" w:hAnsi="Times New Roman" w:cs="Times New Roman"/>
      <w:lang w:eastAsia="es-MX"/>
    </w:rPr>
  </w:style>
  <w:style w:type="character" w:customStyle="1" w:styleId="normaltextrun">
    <w:name w:val="normaltextrun"/>
    <w:basedOn w:val="Fuentedeprrafopredeter"/>
    <w:rsid w:val="0065338D"/>
  </w:style>
  <w:style w:type="character" w:customStyle="1" w:styleId="eop">
    <w:name w:val="eop"/>
    <w:basedOn w:val="Fuentedeprrafopredeter"/>
    <w:rsid w:val="0065338D"/>
  </w:style>
  <w:style w:type="character" w:customStyle="1" w:styleId="findhit">
    <w:name w:val="findhit"/>
    <w:basedOn w:val="Fuentedeprrafopredeter"/>
    <w:rsid w:val="00D86CD1"/>
  </w:style>
  <w:style w:type="character" w:styleId="Refdecomentario">
    <w:name w:val="annotation reference"/>
    <w:basedOn w:val="Fuentedeprrafopredeter"/>
    <w:uiPriority w:val="99"/>
    <w:semiHidden/>
    <w:unhideWhenUsed/>
    <w:rsid w:val="00FB3A26"/>
    <w:rPr>
      <w:sz w:val="16"/>
      <w:szCs w:val="16"/>
    </w:rPr>
  </w:style>
  <w:style w:type="paragraph" w:styleId="Textocomentario">
    <w:name w:val="annotation text"/>
    <w:basedOn w:val="Normal"/>
    <w:link w:val="TextocomentarioCar"/>
    <w:uiPriority w:val="99"/>
    <w:semiHidden/>
    <w:unhideWhenUsed/>
    <w:rsid w:val="00FB3A26"/>
    <w:rPr>
      <w:sz w:val="20"/>
      <w:szCs w:val="20"/>
    </w:rPr>
  </w:style>
  <w:style w:type="character" w:customStyle="1" w:styleId="TextocomentarioCar">
    <w:name w:val="Texto comentario Car"/>
    <w:basedOn w:val="Fuentedeprrafopredeter"/>
    <w:link w:val="Textocomentario"/>
    <w:uiPriority w:val="99"/>
    <w:semiHidden/>
    <w:rsid w:val="00FB3A26"/>
    <w:rPr>
      <w:sz w:val="20"/>
      <w:szCs w:val="20"/>
    </w:rPr>
  </w:style>
  <w:style w:type="paragraph" w:styleId="Asuntodelcomentario">
    <w:name w:val="annotation subject"/>
    <w:basedOn w:val="Textocomentario"/>
    <w:next w:val="Textocomentario"/>
    <w:link w:val="AsuntodelcomentarioCar"/>
    <w:uiPriority w:val="99"/>
    <w:semiHidden/>
    <w:unhideWhenUsed/>
    <w:rsid w:val="00FB3A26"/>
    <w:rPr>
      <w:b/>
      <w:bCs/>
    </w:rPr>
  </w:style>
  <w:style w:type="character" w:customStyle="1" w:styleId="AsuntodelcomentarioCar">
    <w:name w:val="Asunto del comentario Car"/>
    <w:basedOn w:val="TextocomentarioCar"/>
    <w:link w:val="Asuntodelcomentario"/>
    <w:uiPriority w:val="99"/>
    <w:semiHidden/>
    <w:rsid w:val="00FB3A26"/>
    <w:rPr>
      <w:b/>
      <w:bCs/>
      <w:sz w:val="20"/>
      <w:szCs w:val="20"/>
    </w:rPr>
  </w:style>
  <w:style w:type="paragraph" w:styleId="Revisin">
    <w:name w:val="Revision"/>
    <w:hidden/>
    <w:uiPriority w:val="99"/>
    <w:semiHidden/>
    <w:rsid w:val="00FB3A26"/>
  </w:style>
  <w:style w:type="paragraph" w:styleId="Textodeglobo">
    <w:name w:val="Balloon Text"/>
    <w:basedOn w:val="Normal"/>
    <w:link w:val="TextodegloboCar"/>
    <w:uiPriority w:val="99"/>
    <w:semiHidden/>
    <w:unhideWhenUsed/>
    <w:rsid w:val="009C7D7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7D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98053">
      <w:bodyDiv w:val="1"/>
      <w:marLeft w:val="0"/>
      <w:marRight w:val="0"/>
      <w:marTop w:val="0"/>
      <w:marBottom w:val="0"/>
      <w:divBdr>
        <w:top w:val="none" w:sz="0" w:space="0" w:color="auto"/>
        <w:left w:val="none" w:sz="0" w:space="0" w:color="auto"/>
        <w:bottom w:val="none" w:sz="0" w:space="0" w:color="auto"/>
        <w:right w:val="none" w:sz="0" w:space="0" w:color="auto"/>
      </w:divBdr>
    </w:div>
    <w:div w:id="396321127">
      <w:bodyDiv w:val="1"/>
      <w:marLeft w:val="0"/>
      <w:marRight w:val="0"/>
      <w:marTop w:val="0"/>
      <w:marBottom w:val="0"/>
      <w:divBdr>
        <w:top w:val="none" w:sz="0" w:space="0" w:color="auto"/>
        <w:left w:val="none" w:sz="0" w:space="0" w:color="auto"/>
        <w:bottom w:val="none" w:sz="0" w:space="0" w:color="auto"/>
        <w:right w:val="none" w:sz="0" w:space="0" w:color="auto"/>
      </w:divBdr>
    </w:div>
    <w:div w:id="486285142">
      <w:bodyDiv w:val="1"/>
      <w:marLeft w:val="0"/>
      <w:marRight w:val="0"/>
      <w:marTop w:val="0"/>
      <w:marBottom w:val="0"/>
      <w:divBdr>
        <w:top w:val="none" w:sz="0" w:space="0" w:color="auto"/>
        <w:left w:val="none" w:sz="0" w:space="0" w:color="auto"/>
        <w:bottom w:val="none" w:sz="0" w:space="0" w:color="auto"/>
        <w:right w:val="none" w:sz="0" w:space="0" w:color="auto"/>
      </w:divBdr>
    </w:div>
    <w:div w:id="886260295">
      <w:bodyDiv w:val="1"/>
      <w:marLeft w:val="0"/>
      <w:marRight w:val="0"/>
      <w:marTop w:val="0"/>
      <w:marBottom w:val="0"/>
      <w:divBdr>
        <w:top w:val="none" w:sz="0" w:space="0" w:color="auto"/>
        <w:left w:val="none" w:sz="0" w:space="0" w:color="auto"/>
        <w:bottom w:val="none" w:sz="0" w:space="0" w:color="auto"/>
        <w:right w:val="none" w:sz="0" w:space="0" w:color="auto"/>
      </w:divBdr>
    </w:div>
    <w:div w:id="1187984443">
      <w:bodyDiv w:val="1"/>
      <w:marLeft w:val="0"/>
      <w:marRight w:val="0"/>
      <w:marTop w:val="0"/>
      <w:marBottom w:val="0"/>
      <w:divBdr>
        <w:top w:val="none" w:sz="0" w:space="0" w:color="auto"/>
        <w:left w:val="none" w:sz="0" w:space="0" w:color="auto"/>
        <w:bottom w:val="none" w:sz="0" w:space="0" w:color="auto"/>
        <w:right w:val="none" w:sz="0" w:space="0" w:color="auto"/>
      </w:divBdr>
    </w:div>
    <w:div w:id="1594312648">
      <w:bodyDiv w:val="1"/>
      <w:marLeft w:val="0"/>
      <w:marRight w:val="0"/>
      <w:marTop w:val="0"/>
      <w:marBottom w:val="0"/>
      <w:divBdr>
        <w:top w:val="none" w:sz="0" w:space="0" w:color="auto"/>
        <w:left w:val="none" w:sz="0" w:space="0" w:color="auto"/>
        <w:bottom w:val="none" w:sz="0" w:space="0" w:color="auto"/>
        <w:right w:val="none" w:sz="0" w:space="0" w:color="auto"/>
      </w:divBdr>
    </w:div>
    <w:div w:id="1776628300">
      <w:bodyDiv w:val="1"/>
      <w:marLeft w:val="0"/>
      <w:marRight w:val="0"/>
      <w:marTop w:val="0"/>
      <w:marBottom w:val="0"/>
      <w:divBdr>
        <w:top w:val="none" w:sz="0" w:space="0" w:color="auto"/>
        <w:left w:val="none" w:sz="0" w:space="0" w:color="auto"/>
        <w:bottom w:val="none" w:sz="0" w:space="0" w:color="auto"/>
        <w:right w:val="none" w:sz="0" w:space="0" w:color="auto"/>
      </w:divBdr>
    </w:div>
    <w:div w:id="210626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1/relationships/commentsExtended" Target="commentsExtended.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908117-9294-4D31-9FEC-3FB1A2A870A2}">
  <ds:schemaRefs>
    <ds:schemaRef ds:uri="http://schemas.openxmlformats.org/officeDocument/2006/bibliography"/>
  </ds:schemaRefs>
</ds:datastoreItem>
</file>

<file path=customXml/itemProps2.xml><?xml version="1.0" encoding="utf-8"?>
<ds:datastoreItem xmlns:ds="http://schemas.openxmlformats.org/officeDocument/2006/customXml" ds:itemID="{B2B58D94-7EBC-4987-A974-7512CB1C8FC4}"/>
</file>

<file path=customXml/itemProps3.xml><?xml version="1.0" encoding="utf-8"?>
<ds:datastoreItem xmlns:ds="http://schemas.openxmlformats.org/officeDocument/2006/customXml" ds:itemID="{DCFFF126-8C4A-4A76-A2DB-6F29E4CC55E5}"/>
</file>

<file path=customXml/itemProps4.xml><?xml version="1.0" encoding="utf-8"?>
<ds:datastoreItem xmlns:ds="http://schemas.openxmlformats.org/officeDocument/2006/customXml" ds:itemID="{711E6B66-559E-482E-BDC0-F03B14C3CD8E}"/>
</file>

<file path=docProps/app.xml><?xml version="1.0" encoding="utf-8"?>
<Properties xmlns="http://schemas.openxmlformats.org/officeDocument/2006/extended-properties" xmlns:vt="http://schemas.openxmlformats.org/officeDocument/2006/docPropsVTypes">
  <Template>Normal</Template>
  <TotalTime>0</TotalTime>
  <Pages>4</Pages>
  <Words>1484</Words>
  <Characters>8165</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 martens</dc:creator>
  <cp:lastModifiedBy>Ponce</cp:lastModifiedBy>
  <cp:revision>2</cp:revision>
  <dcterms:created xsi:type="dcterms:W3CDTF">2022-02-17T16:04:00Z</dcterms:created>
  <dcterms:modified xsi:type="dcterms:W3CDTF">2022-02-17T16:04:00Z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